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0D84A6">
      <w:pPr>
        <w:rPr>
          <w:rFonts w:hint="default" w:ascii="宋体" w:hAnsi="宋体" w:cs="仿宋_GB2312"/>
          <w:color w:val="auto"/>
          <w:sz w:val="32"/>
          <w:szCs w:val="32"/>
          <w:highlight w:val="none"/>
          <w:lang w:val="en-US" w:eastAsia="zh-CN"/>
        </w:rPr>
      </w:pPr>
      <w:r>
        <w:rPr>
          <w:rFonts w:ascii="宋体" w:hAnsi="宋体" w:cs="仿宋_GB2312"/>
          <w:color w:val="auto"/>
          <w:sz w:val="32"/>
          <w:szCs w:val="32"/>
          <w:highlight w:val="none"/>
          <w:lang w:eastAsia="zh-CN"/>
        </w:rPr>
        <w:t>SF-</w:t>
      </w:r>
      <w:r>
        <w:rPr>
          <w:rFonts w:hint="eastAsia" w:ascii="宋体" w:hAnsi="宋体" w:cs="仿宋_GB2312"/>
          <w:color w:val="auto"/>
          <w:sz w:val="32"/>
          <w:szCs w:val="32"/>
          <w:highlight w:val="none"/>
          <w:lang w:val="en-US" w:eastAsia="zh-CN"/>
        </w:rPr>
        <w:t>2022</w:t>
      </w:r>
      <w:r>
        <w:rPr>
          <w:rFonts w:ascii="宋体" w:hAnsi="宋体" w:cs="仿宋_GB2312"/>
          <w:color w:val="auto"/>
          <w:sz w:val="32"/>
          <w:szCs w:val="32"/>
          <w:highlight w:val="none"/>
          <w:lang w:eastAsia="zh-CN"/>
        </w:rPr>
        <w:t>-</w:t>
      </w:r>
      <w:r>
        <w:rPr>
          <w:rFonts w:hint="eastAsia" w:ascii="宋体" w:hAnsi="宋体" w:cs="仿宋_GB2312"/>
          <w:color w:val="auto"/>
          <w:sz w:val="32"/>
          <w:szCs w:val="32"/>
          <w:highlight w:val="none"/>
          <w:lang w:val="en-US" w:eastAsia="zh-CN"/>
        </w:rPr>
        <w:t>0210</w:t>
      </w:r>
    </w:p>
    <w:p w14:paraId="44A6C2E6">
      <w:pPr>
        <w:pStyle w:val="207"/>
        <w:spacing w:line="640" w:lineRule="exact"/>
        <w:jc w:val="left"/>
        <w:rPr>
          <w:rFonts w:hint="eastAsia" w:ascii="华文中宋" w:hAnsi="华文中宋" w:eastAsia="华文中宋" w:cs="华文中宋"/>
          <w:color w:val="auto"/>
          <w:sz w:val="32"/>
          <w:szCs w:val="32"/>
          <w:highlight w:val="none"/>
          <w:u w:val="single"/>
        </w:rPr>
      </w:pPr>
      <w:r>
        <w:rPr>
          <w:rFonts w:hint="eastAsia" w:ascii="华文中宋" w:hAnsi="华文中宋" w:eastAsia="华文中宋" w:cs="华文中宋"/>
          <w:color w:val="auto"/>
          <w:sz w:val="32"/>
          <w:szCs w:val="32"/>
          <w:highlight w:val="none"/>
        </w:rPr>
        <w:tab/>
      </w:r>
      <w:r>
        <w:rPr>
          <w:rFonts w:hint="eastAsia" w:ascii="华文中宋" w:hAnsi="华文中宋" w:eastAsia="华文中宋" w:cs="华文中宋"/>
          <w:color w:val="auto"/>
          <w:sz w:val="32"/>
          <w:szCs w:val="32"/>
          <w:highlight w:val="none"/>
        </w:rPr>
        <w:t>项目编码</w:t>
      </w:r>
      <w:r>
        <w:rPr>
          <w:rFonts w:hint="eastAsia" w:ascii="华文中宋" w:hAnsi="华文中宋" w:eastAsia="华文中宋" w:cs="华文中宋"/>
          <w:color w:val="auto"/>
          <w:sz w:val="32"/>
          <w:szCs w:val="32"/>
          <w:highlight w:val="none"/>
          <w:u w:val="none"/>
        </w:rPr>
        <w:t>：</w:t>
      </w:r>
    </w:p>
    <w:p w14:paraId="4C8FCF4A">
      <w:pPr>
        <w:pStyle w:val="207"/>
        <w:spacing w:line="640" w:lineRule="exact"/>
        <w:jc w:val="left"/>
        <w:rPr>
          <w:rFonts w:hint="eastAsia" w:ascii="华文中宋" w:hAnsi="华文中宋" w:eastAsia="华文中宋"/>
          <w:color w:val="auto"/>
          <w:sz w:val="32"/>
          <w:szCs w:val="32"/>
          <w:highlight w:val="none"/>
        </w:rPr>
      </w:pPr>
      <w:r>
        <w:rPr>
          <w:rFonts w:hint="eastAsia" w:ascii="华文中宋" w:hAnsi="华文中宋" w:eastAsia="华文中宋" w:cs="华文中宋"/>
          <w:color w:val="auto"/>
          <w:sz w:val="32"/>
          <w:szCs w:val="32"/>
          <w:highlight w:val="none"/>
        </w:rPr>
        <w:t>工程编码：</w:t>
      </w:r>
    </w:p>
    <w:p w14:paraId="44102CA3">
      <w:pPr>
        <w:pStyle w:val="207"/>
        <w:spacing w:line="640" w:lineRule="exact"/>
        <w:jc w:val="left"/>
        <w:rPr>
          <w:rFonts w:hint="eastAsia" w:ascii="华文中宋" w:hAnsi="华文中宋" w:eastAsia="华文中宋"/>
          <w:color w:val="auto"/>
          <w:sz w:val="32"/>
          <w:szCs w:val="32"/>
          <w:highlight w:val="none"/>
        </w:rPr>
      </w:pPr>
      <w:r>
        <w:rPr>
          <w:rFonts w:hint="eastAsia" w:ascii="华文中宋" w:hAnsi="华文中宋" w:eastAsia="华文中宋" w:cs="华文中宋"/>
          <w:color w:val="auto"/>
          <w:sz w:val="32"/>
          <w:szCs w:val="32"/>
          <w:highlight w:val="none"/>
        </w:rPr>
        <w:t>合同编号：</w:t>
      </w:r>
    </w:p>
    <w:p w14:paraId="3B8D527D">
      <w:pPr>
        <w:pStyle w:val="207"/>
        <w:spacing w:line="240" w:lineRule="auto"/>
        <w:rPr>
          <w:rFonts w:hint="eastAsia" w:ascii="华文中宋" w:hAnsi="华文中宋" w:eastAsia="华文中宋"/>
          <w:color w:val="auto"/>
          <w:sz w:val="32"/>
          <w:szCs w:val="32"/>
          <w:highlight w:val="none"/>
        </w:rPr>
      </w:pPr>
    </w:p>
    <w:p w14:paraId="37A2671E">
      <w:pPr>
        <w:spacing w:line="360" w:lineRule="auto"/>
        <w:jc w:val="right"/>
        <w:rPr>
          <w:rFonts w:ascii="宋体"/>
          <w:color w:val="auto"/>
          <w:sz w:val="32"/>
          <w:szCs w:val="32"/>
          <w:highlight w:val="none"/>
          <w:u w:val="single"/>
          <w:lang w:eastAsia="zh-CN"/>
        </w:rPr>
      </w:pPr>
    </w:p>
    <w:p w14:paraId="6C5ABE57">
      <w:pPr>
        <w:spacing w:line="360" w:lineRule="auto"/>
        <w:jc w:val="center"/>
        <w:rPr>
          <w:rFonts w:hint="eastAsia" w:ascii="宋体" w:hAnsi="宋体" w:cs="宋体"/>
          <w:b/>
          <w:bCs/>
          <w:color w:val="auto"/>
          <w:spacing w:val="-40"/>
          <w:sz w:val="52"/>
          <w:szCs w:val="52"/>
          <w:highlight w:val="none"/>
          <w:lang w:eastAsia="zh-CN"/>
        </w:rPr>
      </w:pPr>
      <w:r>
        <w:rPr>
          <w:rFonts w:hint="eastAsia" w:ascii="宋体" w:hAnsi="宋体" w:cs="宋体"/>
          <w:b/>
          <w:bCs/>
          <w:color w:val="auto"/>
          <w:spacing w:val="-40"/>
          <w:sz w:val="52"/>
          <w:szCs w:val="52"/>
          <w:highlight w:val="none"/>
          <w:lang w:eastAsia="zh-CN"/>
        </w:rPr>
        <w:t>广州市建设工程总承包合同</w:t>
      </w:r>
    </w:p>
    <w:p w14:paraId="704504A4">
      <w:pPr>
        <w:spacing w:after="120" w:line="360" w:lineRule="auto"/>
        <w:ind w:right="463" w:rightChars="193"/>
        <w:rPr>
          <w:rFonts w:cs="宋体"/>
          <w:color w:val="auto"/>
          <w:sz w:val="32"/>
          <w:szCs w:val="32"/>
          <w:highlight w:val="none"/>
          <w:lang w:eastAsia="zh-CN"/>
        </w:rPr>
      </w:pPr>
    </w:p>
    <w:p w14:paraId="22CFFD4B">
      <w:pPr>
        <w:spacing w:after="120" w:line="360" w:lineRule="auto"/>
        <w:ind w:right="463" w:rightChars="193"/>
        <w:rPr>
          <w:rFonts w:cs="宋体"/>
          <w:color w:val="auto"/>
          <w:sz w:val="32"/>
          <w:szCs w:val="32"/>
          <w:highlight w:val="none"/>
          <w:u w:val="single"/>
          <w:lang w:eastAsia="zh-CN"/>
        </w:rPr>
      </w:pPr>
      <w:r>
        <w:rPr>
          <w:rFonts w:hint="eastAsia" w:cs="宋体"/>
          <w:color w:val="auto"/>
          <w:sz w:val="32"/>
          <w:szCs w:val="32"/>
          <w:highlight w:val="none"/>
          <w:lang w:eastAsia="zh-CN"/>
        </w:rPr>
        <w:t>工程名称：</w:t>
      </w:r>
      <w:r>
        <w:rPr>
          <w:rFonts w:hint="eastAsia" w:cs="宋体"/>
          <w:color w:val="auto"/>
          <w:sz w:val="32"/>
          <w:szCs w:val="32"/>
          <w:highlight w:val="none"/>
          <w:u w:val="single"/>
          <w:lang w:eastAsia="zh-CN"/>
        </w:rPr>
        <w:t>鸭洞河驿站新建项目设计施工总承包</w:t>
      </w:r>
    </w:p>
    <w:p w14:paraId="2034E783">
      <w:pPr>
        <w:spacing w:after="120" w:line="360" w:lineRule="auto"/>
        <w:ind w:right="463" w:rightChars="193"/>
        <w:rPr>
          <w:rFonts w:hint="default" w:cs="宋体"/>
          <w:color w:val="auto"/>
          <w:sz w:val="32"/>
          <w:szCs w:val="32"/>
          <w:highlight w:val="none"/>
          <w:u w:val="single"/>
          <w:lang w:val="en-US" w:eastAsia="zh-CN"/>
        </w:rPr>
      </w:pPr>
      <w:r>
        <w:rPr>
          <w:rFonts w:hint="eastAsia" w:cs="宋体"/>
          <w:color w:val="auto"/>
          <w:sz w:val="32"/>
          <w:szCs w:val="32"/>
          <w:highlight w:val="none"/>
          <w:lang w:eastAsia="zh-CN"/>
        </w:rPr>
        <w:t>工程地点</w:t>
      </w:r>
      <w:r>
        <w:rPr>
          <w:rFonts w:hint="eastAsia" w:cs="宋体"/>
          <w:color w:val="auto"/>
          <w:sz w:val="32"/>
          <w:szCs w:val="32"/>
          <w:highlight w:val="none"/>
          <w:u w:val="none"/>
          <w:lang w:eastAsia="zh-CN"/>
        </w:rPr>
        <w:t>：</w:t>
      </w:r>
      <w:r>
        <w:rPr>
          <w:rFonts w:hint="eastAsia" w:cs="宋体"/>
          <w:color w:val="auto"/>
          <w:sz w:val="32"/>
          <w:szCs w:val="32"/>
          <w:highlight w:val="none"/>
          <w:u w:val="single"/>
          <w:lang w:eastAsia="zh-CN"/>
        </w:rPr>
        <w:t>广州市从化区</w:t>
      </w:r>
      <w:r>
        <w:rPr>
          <w:rFonts w:hint="eastAsia" w:cs="宋体"/>
          <w:color w:val="auto"/>
          <w:sz w:val="32"/>
          <w:szCs w:val="32"/>
          <w:highlight w:val="none"/>
          <w:u w:val="single"/>
          <w:lang w:val="en-US" w:eastAsia="zh-CN"/>
        </w:rPr>
        <w:t>良口镇</w:t>
      </w:r>
    </w:p>
    <w:p w14:paraId="28A24816">
      <w:pPr>
        <w:spacing w:after="120" w:line="360" w:lineRule="auto"/>
        <w:ind w:right="463" w:rightChars="193"/>
        <w:rPr>
          <w:rFonts w:cs="宋体"/>
          <w:color w:val="auto"/>
          <w:sz w:val="32"/>
          <w:szCs w:val="32"/>
          <w:highlight w:val="none"/>
          <w:lang w:eastAsia="zh-CN"/>
        </w:rPr>
      </w:pPr>
    </w:p>
    <w:p w14:paraId="74B43002">
      <w:pPr>
        <w:keepNext w:val="0"/>
        <w:keepLines w:val="0"/>
        <w:pageBreakBefore w:val="0"/>
        <w:widowControl/>
        <w:kinsoku/>
        <w:wordWrap/>
        <w:overflowPunct/>
        <w:topLinePunct w:val="0"/>
        <w:autoSpaceDE/>
        <w:autoSpaceDN/>
        <w:bidi w:val="0"/>
        <w:adjustRightInd/>
        <w:snapToGrid/>
        <w:spacing w:after="120" w:line="360" w:lineRule="auto"/>
        <w:ind w:right="0" w:rightChars="0"/>
        <w:textAlignment w:val="auto"/>
        <w:rPr>
          <w:rFonts w:cs="宋体"/>
          <w:color w:val="auto"/>
          <w:sz w:val="32"/>
          <w:szCs w:val="32"/>
          <w:highlight w:val="none"/>
          <w:lang w:eastAsia="zh-CN"/>
        </w:rPr>
      </w:pPr>
      <w:r>
        <w:rPr>
          <w:rFonts w:hint="eastAsia" w:cs="宋体"/>
          <w:color w:val="auto"/>
          <w:sz w:val="32"/>
          <w:szCs w:val="32"/>
          <w:highlight w:val="none"/>
          <w:lang w:eastAsia="zh-CN"/>
        </w:rPr>
        <w:t>发包人：广州从化城投商业发展有限公司</w:t>
      </w:r>
    </w:p>
    <w:p w14:paraId="3FA2A986">
      <w:pPr>
        <w:keepNext w:val="0"/>
        <w:keepLines w:val="0"/>
        <w:pageBreakBefore w:val="0"/>
        <w:widowControl/>
        <w:kinsoku/>
        <w:wordWrap/>
        <w:overflowPunct/>
        <w:topLinePunct w:val="0"/>
        <w:autoSpaceDE/>
        <w:autoSpaceDN/>
        <w:bidi w:val="0"/>
        <w:adjustRightInd/>
        <w:snapToGrid/>
        <w:spacing w:after="120" w:line="360" w:lineRule="auto"/>
        <w:ind w:right="0" w:rightChars="0"/>
        <w:jc w:val="both"/>
        <w:textAlignment w:val="auto"/>
        <w:rPr>
          <w:rFonts w:hint="eastAsia" w:cs="宋体"/>
          <w:color w:val="auto"/>
          <w:sz w:val="32"/>
          <w:szCs w:val="32"/>
          <w:highlight w:val="none"/>
          <w:lang w:eastAsia="zh"/>
          <w:woUserID w:val="1"/>
        </w:rPr>
      </w:pPr>
      <w:r>
        <w:rPr>
          <w:rFonts w:hint="eastAsia" w:cs="宋体"/>
          <w:color w:val="auto"/>
          <w:sz w:val="32"/>
          <w:szCs w:val="32"/>
          <w:highlight w:val="none"/>
          <w:lang w:eastAsia="zh-CN"/>
        </w:rPr>
        <w:t>承包人（牵头单位全称）：</w:t>
      </w:r>
    </w:p>
    <w:p w14:paraId="3D24B7CB">
      <w:pPr>
        <w:keepNext w:val="0"/>
        <w:keepLines w:val="0"/>
        <w:pageBreakBefore w:val="0"/>
        <w:widowControl/>
        <w:kinsoku/>
        <w:wordWrap/>
        <w:overflowPunct/>
        <w:topLinePunct w:val="0"/>
        <w:autoSpaceDE/>
        <w:autoSpaceDN/>
        <w:bidi w:val="0"/>
        <w:adjustRightInd/>
        <w:snapToGrid/>
        <w:spacing w:after="120" w:line="360" w:lineRule="auto"/>
        <w:ind w:right="0" w:rightChars="0"/>
        <w:jc w:val="both"/>
        <w:textAlignment w:val="auto"/>
        <w:rPr>
          <w:rFonts w:hint="eastAsia" w:cs="宋体"/>
          <w:color w:val="auto"/>
          <w:sz w:val="32"/>
          <w:szCs w:val="32"/>
          <w:highlight w:val="none"/>
          <w:lang w:eastAsia="zh"/>
          <w:woUserID w:val="1"/>
        </w:rPr>
      </w:pPr>
      <w:r>
        <w:rPr>
          <w:rFonts w:hint="eastAsia" w:cs="宋体"/>
          <w:color w:val="auto"/>
          <w:sz w:val="32"/>
          <w:szCs w:val="32"/>
          <w:highlight w:val="none"/>
          <w:lang w:eastAsia="zh-CN"/>
          <w:woUserID w:val="1"/>
        </w:rPr>
        <w:t>承包人（成员单位全称）：</w:t>
      </w:r>
    </w:p>
    <w:p w14:paraId="6214D471">
      <w:pPr>
        <w:rPr>
          <w:color w:val="auto"/>
          <w:highlight w:val="none"/>
          <w:lang w:eastAsia="zh-CN"/>
        </w:rPr>
      </w:pPr>
    </w:p>
    <w:p w14:paraId="5426DD60">
      <w:pPr>
        <w:spacing w:line="240" w:lineRule="atLeast"/>
        <w:jc w:val="center"/>
        <w:rPr>
          <w:rFonts w:ascii="宋体"/>
          <w:b/>
          <w:bCs/>
          <w:color w:val="auto"/>
          <w:spacing w:val="50"/>
          <w:sz w:val="32"/>
          <w:szCs w:val="32"/>
          <w:highlight w:val="none"/>
          <w:lang w:eastAsia="zh-CN"/>
        </w:rPr>
      </w:pPr>
      <w:r>
        <w:rPr>
          <w:rFonts w:hint="eastAsia" w:ascii="宋体" w:hAnsi="宋体" w:cs="宋体"/>
          <w:b/>
          <w:bCs/>
          <w:color w:val="auto"/>
          <w:spacing w:val="50"/>
          <w:sz w:val="32"/>
          <w:szCs w:val="32"/>
          <w:highlight w:val="none"/>
          <w:lang w:eastAsia="zh-CN"/>
        </w:rPr>
        <w:t>广州市住房和城乡建设局</w:t>
      </w:r>
    </w:p>
    <w:p w14:paraId="72077C0C">
      <w:pPr>
        <w:spacing w:line="240" w:lineRule="atLeast"/>
        <w:jc w:val="center"/>
        <w:rPr>
          <w:rFonts w:ascii="宋体"/>
          <w:b/>
          <w:bCs/>
          <w:color w:val="auto"/>
          <w:spacing w:val="20"/>
          <w:sz w:val="32"/>
          <w:szCs w:val="32"/>
          <w:highlight w:val="none"/>
          <w:lang w:eastAsia="zh-CN"/>
        </w:rPr>
      </w:pPr>
      <w:r>
        <w:rPr>
          <w:rFonts w:hint="eastAsia" w:ascii="宋体" w:hAnsi="宋体" w:cs="宋体"/>
          <w:b/>
          <w:bCs/>
          <w:color w:val="auto"/>
          <w:spacing w:val="20"/>
          <w:sz w:val="32"/>
          <w:szCs w:val="32"/>
          <w:highlight w:val="none"/>
          <w:lang w:eastAsia="zh-CN"/>
        </w:rPr>
        <w:t xml:space="preserve">                           制定</w:t>
      </w:r>
    </w:p>
    <w:p w14:paraId="242EBFD6">
      <w:pPr>
        <w:spacing w:line="240" w:lineRule="atLeast"/>
        <w:ind w:firstLine="2126" w:firstLineChars="455"/>
        <w:rPr>
          <w:rFonts w:ascii="宋体"/>
          <w:b/>
          <w:bCs/>
          <w:color w:val="auto"/>
          <w:spacing w:val="20"/>
          <w:sz w:val="32"/>
          <w:szCs w:val="32"/>
          <w:highlight w:val="none"/>
          <w:lang w:eastAsia="zh-CN"/>
        </w:rPr>
      </w:pPr>
      <w:r>
        <w:rPr>
          <w:rFonts w:hint="eastAsia" w:ascii="宋体" w:hAnsi="宋体" w:cs="宋体"/>
          <w:b/>
          <w:bCs/>
          <w:color w:val="auto"/>
          <w:spacing w:val="73"/>
          <w:sz w:val="32"/>
          <w:szCs w:val="32"/>
          <w:highlight w:val="none"/>
          <w:lang w:eastAsia="zh-CN"/>
        </w:rPr>
        <w:t>广州市市场监督管理局</w:t>
      </w:r>
    </w:p>
    <w:p w14:paraId="308248BD">
      <w:pPr>
        <w:spacing w:line="360" w:lineRule="auto"/>
        <w:rPr>
          <w:rFonts w:ascii="宋体"/>
          <w:b/>
          <w:bCs/>
          <w:color w:val="auto"/>
          <w:spacing w:val="80"/>
          <w:sz w:val="36"/>
          <w:szCs w:val="36"/>
          <w:highlight w:val="none"/>
          <w:lang w:eastAsia="zh-CN"/>
        </w:rPr>
        <w:sectPr>
          <w:headerReference r:id="rId3" w:type="default"/>
          <w:footerReference r:id="rId4" w:type="default"/>
          <w:endnotePr>
            <w:numFmt w:val="decimal"/>
          </w:endnotePr>
          <w:pgSz w:w="11906" w:h="16838"/>
          <w:pgMar w:top="1440" w:right="1440" w:bottom="1440" w:left="1440" w:header="0" w:footer="0" w:gutter="0"/>
          <w:pgNumType w:start="1"/>
          <w:cols w:space="720" w:num="1"/>
        </w:sectPr>
      </w:pPr>
    </w:p>
    <w:p w14:paraId="112D45E4">
      <w:pPr>
        <w:jc w:val="center"/>
        <w:rPr>
          <w:rFonts w:cs="宋体"/>
          <w:b/>
          <w:color w:val="auto"/>
          <w:sz w:val="36"/>
          <w:szCs w:val="36"/>
          <w:highlight w:val="none"/>
          <w:lang w:eastAsia="zh-CN"/>
        </w:rPr>
      </w:pPr>
      <w:r>
        <w:rPr>
          <w:rFonts w:hint="eastAsia" w:cs="宋体"/>
          <w:b/>
          <w:color w:val="auto"/>
          <w:sz w:val="36"/>
          <w:szCs w:val="36"/>
          <w:highlight w:val="none"/>
          <w:lang w:eastAsia="zh-CN"/>
        </w:rPr>
        <w:t>目录</w:t>
      </w:r>
    </w:p>
    <w:p w14:paraId="10DEFD65">
      <w:pPr>
        <w:jc w:val="center"/>
        <w:rPr>
          <w:b/>
          <w:color w:val="auto"/>
          <w:sz w:val="36"/>
          <w:szCs w:val="36"/>
          <w:highlight w:val="none"/>
          <w:lang w:eastAsia="zh-CN"/>
        </w:rPr>
      </w:pPr>
    </w:p>
    <w:p w14:paraId="5A17E49E">
      <w:pPr>
        <w:pStyle w:val="53"/>
        <w:tabs>
          <w:tab w:val="right" w:leader="dot" w:pos="9026"/>
        </w:tabs>
        <w:rPr>
          <w:color w:val="auto"/>
          <w:highlight w:val="none"/>
        </w:rPr>
      </w:pPr>
      <w:r>
        <w:rPr>
          <w:rFonts w:hint="eastAsia" w:ascii="仿宋" w:hAnsi="仿宋" w:eastAsia="仿宋" w:cs="宋体"/>
          <w:b w:val="0"/>
          <w:color w:val="auto"/>
          <w:sz w:val="24"/>
          <w:szCs w:val="24"/>
          <w:highlight w:val="none"/>
          <w:lang w:eastAsia="zh-CN"/>
        </w:rPr>
        <w:fldChar w:fldCharType="begin"/>
      </w:r>
      <w:r>
        <w:rPr>
          <w:rStyle w:val="90"/>
          <w:rFonts w:hint="eastAsia" w:ascii="仿宋" w:hAnsi="仿宋" w:eastAsia="仿宋" w:cs="宋体"/>
          <w:b w:val="0"/>
          <w:color w:val="auto"/>
          <w:sz w:val="24"/>
          <w:szCs w:val="24"/>
          <w:highlight w:val="none"/>
          <w:lang w:eastAsia="zh-CN"/>
        </w:rPr>
        <w:instrText xml:space="preserve"> TOC \o "1-3" \h \z \u </w:instrText>
      </w:r>
      <w:r>
        <w:rPr>
          <w:rFonts w:hint="eastAsia" w:ascii="仿宋" w:hAnsi="仿宋" w:eastAsia="仿宋" w:cs="宋体"/>
          <w:b w:val="0"/>
          <w:color w:val="auto"/>
          <w:sz w:val="24"/>
          <w:szCs w:val="24"/>
          <w:highlight w:val="none"/>
          <w:lang w:eastAsia="zh-CN"/>
        </w:rPr>
        <w:fldChar w:fldCharType="separate"/>
      </w: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_Toc30380 </w:instrText>
      </w:r>
      <w:r>
        <w:rPr>
          <w:rFonts w:hint="eastAsia" w:ascii="仿宋" w:hAnsi="仿宋" w:eastAsia="仿宋" w:cs="宋体"/>
          <w:bCs/>
          <w:caps/>
          <w:smallCaps w:val="0"/>
          <w:color w:val="auto"/>
          <w:szCs w:val="24"/>
          <w:highlight w:val="none"/>
          <w:lang w:eastAsia="zh-CN"/>
        </w:rPr>
        <w:fldChar w:fldCharType="separate"/>
      </w:r>
      <w:r>
        <w:rPr>
          <w:rFonts w:hint="eastAsia" w:ascii="宋体" w:hAnsi="宋体" w:cs="宋体"/>
          <w:bCs/>
          <w:color w:val="auto"/>
          <w:szCs w:val="36"/>
          <w:highlight w:val="none"/>
          <w:lang w:eastAsia="zh-CN"/>
        </w:rPr>
        <w:t xml:space="preserve">第一部分 </w:t>
      </w:r>
      <w:r>
        <w:rPr>
          <w:rFonts w:ascii="宋体" w:hAnsi="宋体" w:cs="宋体"/>
          <w:bCs/>
          <w:color w:val="auto"/>
          <w:szCs w:val="36"/>
          <w:highlight w:val="none"/>
          <w:lang w:eastAsia="zh-CN"/>
        </w:rPr>
        <w:t xml:space="preserve"> </w:t>
      </w:r>
      <w:r>
        <w:rPr>
          <w:rFonts w:hint="eastAsia" w:ascii="宋体" w:hAnsi="宋体" w:cs="宋体"/>
          <w:bCs/>
          <w:color w:val="auto"/>
          <w:szCs w:val="36"/>
          <w:highlight w:val="none"/>
          <w:lang w:eastAsia="zh-CN"/>
        </w:rPr>
        <w:t>协议书</w:t>
      </w:r>
      <w:r>
        <w:rPr>
          <w:color w:val="auto"/>
          <w:highlight w:val="none"/>
        </w:rPr>
        <w:tab/>
      </w:r>
      <w:r>
        <w:rPr>
          <w:color w:val="auto"/>
          <w:highlight w:val="none"/>
        </w:rPr>
        <w:fldChar w:fldCharType="begin"/>
      </w:r>
      <w:r>
        <w:rPr>
          <w:color w:val="auto"/>
          <w:highlight w:val="none"/>
        </w:rPr>
        <w:instrText xml:space="preserve"> PAGEREF _Toc30380 \h </w:instrText>
      </w:r>
      <w:r>
        <w:rPr>
          <w:color w:val="auto"/>
          <w:highlight w:val="none"/>
        </w:rPr>
        <w:fldChar w:fldCharType="separate"/>
      </w:r>
      <w:r>
        <w:rPr>
          <w:color w:val="auto"/>
          <w:highlight w:val="none"/>
        </w:rPr>
        <w:t>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97D8772">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_Toc14629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一、工程概况</w:t>
      </w:r>
      <w:r>
        <w:rPr>
          <w:color w:val="auto"/>
          <w:highlight w:val="none"/>
        </w:rPr>
        <w:tab/>
      </w:r>
      <w:r>
        <w:rPr>
          <w:color w:val="auto"/>
          <w:highlight w:val="none"/>
        </w:rPr>
        <w:fldChar w:fldCharType="begin"/>
      </w:r>
      <w:r>
        <w:rPr>
          <w:color w:val="auto"/>
          <w:highlight w:val="none"/>
        </w:rPr>
        <w:instrText xml:space="preserve"> PAGEREF _Toc14629 \h </w:instrText>
      </w:r>
      <w:r>
        <w:rPr>
          <w:color w:val="auto"/>
          <w:highlight w:val="none"/>
        </w:rPr>
        <w:fldChar w:fldCharType="separate"/>
      </w:r>
      <w:r>
        <w:rPr>
          <w:color w:val="auto"/>
          <w:highlight w:val="none"/>
        </w:rPr>
        <w:t>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7C3423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_Toc26026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二、总承包范围与工程内容</w:t>
      </w:r>
      <w:r>
        <w:rPr>
          <w:color w:val="auto"/>
          <w:highlight w:val="none"/>
        </w:rPr>
        <w:tab/>
      </w:r>
      <w:r>
        <w:rPr>
          <w:color w:val="auto"/>
          <w:highlight w:val="none"/>
        </w:rPr>
        <w:fldChar w:fldCharType="begin"/>
      </w:r>
      <w:r>
        <w:rPr>
          <w:color w:val="auto"/>
          <w:highlight w:val="none"/>
        </w:rPr>
        <w:instrText xml:space="preserve"> PAGEREF _Toc26026 \h </w:instrText>
      </w:r>
      <w:r>
        <w:rPr>
          <w:color w:val="auto"/>
          <w:highlight w:val="none"/>
        </w:rPr>
        <w:fldChar w:fldCharType="separate"/>
      </w:r>
      <w:r>
        <w:rPr>
          <w:color w:val="auto"/>
          <w:highlight w:val="none"/>
        </w:rPr>
        <w:t>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C5AA2C5">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_Toc2109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★三、质量标准和要求</w:t>
      </w:r>
      <w:r>
        <w:rPr>
          <w:color w:val="auto"/>
          <w:highlight w:val="none"/>
        </w:rPr>
        <w:tab/>
      </w:r>
      <w:r>
        <w:rPr>
          <w:color w:val="auto"/>
          <w:highlight w:val="none"/>
        </w:rPr>
        <w:fldChar w:fldCharType="begin"/>
      </w:r>
      <w:r>
        <w:rPr>
          <w:color w:val="auto"/>
          <w:highlight w:val="none"/>
        </w:rPr>
        <w:instrText xml:space="preserve"> PAGEREF _Toc2109 \h </w:instrText>
      </w:r>
      <w:r>
        <w:rPr>
          <w:color w:val="auto"/>
          <w:highlight w:val="none"/>
        </w:rPr>
        <w:fldChar w:fldCharType="separate"/>
      </w:r>
      <w:r>
        <w:rPr>
          <w:color w:val="auto"/>
          <w:highlight w:val="none"/>
        </w:rPr>
        <w:t>13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D3099CC">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_Toc23637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四、创优目标</w:t>
      </w:r>
      <w:r>
        <w:rPr>
          <w:color w:val="auto"/>
          <w:highlight w:val="none"/>
        </w:rPr>
        <w:tab/>
      </w:r>
      <w:r>
        <w:rPr>
          <w:color w:val="auto"/>
          <w:highlight w:val="none"/>
        </w:rPr>
        <w:fldChar w:fldCharType="begin"/>
      </w:r>
      <w:r>
        <w:rPr>
          <w:color w:val="auto"/>
          <w:highlight w:val="none"/>
        </w:rPr>
        <w:instrText xml:space="preserve"> PAGEREF _Toc23637 \h </w:instrText>
      </w:r>
      <w:r>
        <w:rPr>
          <w:color w:val="auto"/>
          <w:highlight w:val="none"/>
        </w:rPr>
        <w:fldChar w:fldCharType="separate"/>
      </w:r>
      <w:r>
        <w:rPr>
          <w:color w:val="auto"/>
          <w:highlight w:val="none"/>
        </w:rPr>
        <w:t>14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7530F33">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_Toc20485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五、创文明工地目标</w:t>
      </w:r>
      <w:r>
        <w:rPr>
          <w:color w:val="auto"/>
          <w:highlight w:val="none"/>
        </w:rPr>
        <w:tab/>
      </w:r>
      <w:r>
        <w:rPr>
          <w:color w:val="auto"/>
          <w:highlight w:val="none"/>
        </w:rPr>
        <w:fldChar w:fldCharType="begin"/>
      </w:r>
      <w:r>
        <w:rPr>
          <w:color w:val="auto"/>
          <w:highlight w:val="none"/>
        </w:rPr>
        <w:instrText xml:space="preserve"> PAGEREF _Toc20485 \h </w:instrText>
      </w:r>
      <w:r>
        <w:rPr>
          <w:color w:val="auto"/>
          <w:highlight w:val="none"/>
        </w:rPr>
        <w:fldChar w:fldCharType="separate"/>
      </w:r>
      <w:r>
        <w:rPr>
          <w:color w:val="auto"/>
          <w:highlight w:val="none"/>
        </w:rPr>
        <w:t>14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C7F7BE0">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_Toc31416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六、职业健康安全管理目标和环境管理目标</w:t>
      </w:r>
      <w:r>
        <w:rPr>
          <w:color w:val="auto"/>
          <w:highlight w:val="none"/>
        </w:rPr>
        <w:tab/>
      </w:r>
      <w:r>
        <w:rPr>
          <w:color w:val="auto"/>
          <w:highlight w:val="none"/>
        </w:rPr>
        <w:fldChar w:fldCharType="begin"/>
      </w:r>
      <w:r>
        <w:rPr>
          <w:color w:val="auto"/>
          <w:highlight w:val="none"/>
        </w:rPr>
        <w:instrText xml:space="preserve"> PAGEREF _Toc31416 \h </w:instrText>
      </w:r>
      <w:r>
        <w:rPr>
          <w:color w:val="auto"/>
          <w:highlight w:val="none"/>
        </w:rPr>
        <w:fldChar w:fldCharType="separate"/>
      </w:r>
      <w:r>
        <w:rPr>
          <w:color w:val="auto"/>
          <w:highlight w:val="none"/>
        </w:rPr>
        <w:t>14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DF3D0A7">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_Toc10312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七、合同工期</w:t>
      </w:r>
      <w:r>
        <w:rPr>
          <w:color w:val="auto"/>
          <w:highlight w:val="none"/>
        </w:rPr>
        <w:tab/>
      </w:r>
      <w:r>
        <w:rPr>
          <w:color w:val="auto"/>
          <w:highlight w:val="none"/>
        </w:rPr>
        <w:fldChar w:fldCharType="begin"/>
      </w:r>
      <w:r>
        <w:rPr>
          <w:color w:val="auto"/>
          <w:highlight w:val="none"/>
        </w:rPr>
        <w:instrText xml:space="preserve"> PAGEREF _Toc10312 \h </w:instrText>
      </w:r>
      <w:r>
        <w:rPr>
          <w:color w:val="auto"/>
          <w:highlight w:val="none"/>
        </w:rPr>
        <w:fldChar w:fldCharType="separate"/>
      </w:r>
      <w:r>
        <w:rPr>
          <w:color w:val="auto"/>
          <w:highlight w:val="none"/>
        </w:rPr>
        <w:t>15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CE65DCE">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_Toc6610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八、签约合同价与合同价格形式</w:t>
      </w:r>
      <w:r>
        <w:rPr>
          <w:color w:val="auto"/>
          <w:highlight w:val="none"/>
        </w:rPr>
        <w:tab/>
      </w:r>
      <w:r>
        <w:rPr>
          <w:color w:val="auto"/>
          <w:highlight w:val="none"/>
        </w:rPr>
        <w:fldChar w:fldCharType="begin"/>
      </w:r>
      <w:r>
        <w:rPr>
          <w:color w:val="auto"/>
          <w:highlight w:val="none"/>
        </w:rPr>
        <w:instrText xml:space="preserve"> PAGEREF _Toc6610 \h </w:instrText>
      </w:r>
      <w:r>
        <w:rPr>
          <w:color w:val="auto"/>
          <w:highlight w:val="none"/>
        </w:rPr>
        <w:fldChar w:fldCharType="separate"/>
      </w:r>
      <w:r>
        <w:rPr>
          <w:color w:val="auto"/>
          <w:highlight w:val="none"/>
        </w:rPr>
        <w:t>15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F4A1771">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_Toc3315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★九、工人工资支付分账、建筑安装工程费支付专户</w:t>
      </w:r>
      <w:r>
        <w:rPr>
          <w:color w:val="auto"/>
          <w:highlight w:val="none"/>
        </w:rPr>
        <w:tab/>
      </w:r>
      <w:r>
        <w:rPr>
          <w:color w:val="auto"/>
          <w:highlight w:val="none"/>
        </w:rPr>
        <w:fldChar w:fldCharType="begin"/>
      </w:r>
      <w:r>
        <w:rPr>
          <w:color w:val="auto"/>
          <w:highlight w:val="none"/>
        </w:rPr>
        <w:instrText xml:space="preserve"> PAGEREF _Toc3315 \h </w:instrText>
      </w:r>
      <w:r>
        <w:rPr>
          <w:color w:val="auto"/>
          <w:highlight w:val="none"/>
        </w:rPr>
        <w:fldChar w:fldCharType="separate"/>
      </w:r>
      <w:r>
        <w:rPr>
          <w:color w:val="auto"/>
          <w:highlight w:val="none"/>
        </w:rPr>
        <w:t>17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725C471">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_Toc30978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十、组成合同的文件</w:t>
      </w:r>
      <w:r>
        <w:rPr>
          <w:color w:val="auto"/>
          <w:highlight w:val="none"/>
        </w:rPr>
        <w:tab/>
      </w:r>
      <w:r>
        <w:rPr>
          <w:color w:val="auto"/>
          <w:highlight w:val="none"/>
        </w:rPr>
        <w:fldChar w:fldCharType="begin"/>
      </w:r>
      <w:r>
        <w:rPr>
          <w:color w:val="auto"/>
          <w:highlight w:val="none"/>
        </w:rPr>
        <w:instrText xml:space="preserve"> PAGEREF _Toc30978 \h </w:instrText>
      </w:r>
      <w:r>
        <w:rPr>
          <w:color w:val="auto"/>
          <w:highlight w:val="none"/>
        </w:rPr>
        <w:fldChar w:fldCharType="separate"/>
      </w:r>
      <w:r>
        <w:rPr>
          <w:color w:val="auto"/>
          <w:highlight w:val="none"/>
        </w:rPr>
        <w:t>18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34DA7C9">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_Toc20079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十一、词语含义</w:t>
      </w:r>
      <w:r>
        <w:rPr>
          <w:color w:val="auto"/>
          <w:highlight w:val="none"/>
        </w:rPr>
        <w:tab/>
      </w:r>
      <w:r>
        <w:rPr>
          <w:color w:val="auto"/>
          <w:highlight w:val="none"/>
        </w:rPr>
        <w:fldChar w:fldCharType="begin"/>
      </w:r>
      <w:r>
        <w:rPr>
          <w:color w:val="auto"/>
          <w:highlight w:val="none"/>
        </w:rPr>
        <w:instrText xml:space="preserve"> PAGEREF _Toc20079 \h </w:instrText>
      </w:r>
      <w:r>
        <w:rPr>
          <w:color w:val="auto"/>
          <w:highlight w:val="none"/>
        </w:rPr>
        <w:fldChar w:fldCharType="separate"/>
      </w:r>
      <w:r>
        <w:rPr>
          <w:color w:val="auto"/>
          <w:highlight w:val="none"/>
        </w:rPr>
        <w:t>18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17FE002">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_Toc32145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十二、承诺</w:t>
      </w:r>
      <w:r>
        <w:rPr>
          <w:color w:val="auto"/>
          <w:highlight w:val="none"/>
        </w:rPr>
        <w:tab/>
      </w:r>
      <w:r>
        <w:rPr>
          <w:color w:val="auto"/>
          <w:highlight w:val="none"/>
        </w:rPr>
        <w:fldChar w:fldCharType="begin"/>
      </w:r>
      <w:r>
        <w:rPr>
          <w:color w:val="auto"/>
          <w:highlight w:val="none"/>
        </w:rPr>
        <w:instrText xml:space="preserve"> PAGEREF _Toc32145 \h </w:instrText>
      </w:r>
      <w:r>
        <w:rPr>
          <w:color w:val="auto"/>
          <w:highlight w:val="none"/>
        </w:rPr>
        <w:fldChar w:fldCharType="separate"/>
      </w:r>
      <w:r>
        <w:rPr>
          <w:color w:val="auto"/>
          <w:highlight w:val="none"/>
        </w:rPr>
        <w:t>18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AFE229E">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_Toc22321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十三、合同生效</w:t>
      </w:r>
      <w:r>
        <w:rPr>
          <w:color w:val="auto"/>
          <w:highlight w:val="none"/>
        </w:rPr>
        <w:tab/>
      </w:r>
      <w:r>
        <w:rPr>
          <w:color w:val="auto"/>
          <w:highlight w:val="none"/>
        </w:rPr>
        <w:fldChar w:fldCharType="begin"/>
      </w:r>
      <w:r>
        <w:rPr>
          <w:color w:val="auto"/>
          <w:highlight w:val="none"/>
        </w:rPr>
        <w:instrText xml:space="preserve"> PAGEREF _Toc22321 \h </w:instrText>
      </w:r>
      <w:r>
        <w:rPr>
          <w:color w:val="auto"/>
          <w:highlight w:val="none"/>
        </w:rPr>
        <w:fldChar w:fldCharType="separate"/>
      </w:r>
      <w:r>
        <w:rPr>
          <w:color w:val="auto"/>
          <w:highlight w:val="none"/>
        </w:rPr>
        <w:t>18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7BC158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_Toc30731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十四、合同份数</w:t>
      </w:r>
      <w:r>
        <w:rPr>
          <w:color w:val="auto"/>
          <w:highlight w:val="none"/>
        </w:rPr>
        <w:tab/>
      </w:r>
      <w:r>
        <w:rPr>
          <w:color w:val="auto"/>
          <w:highlight w:val="none"/>
        </w:rPr>
        <w:fldChar w:fldCharType="begin"/>
      </w:r>
      <w:r>
        <w:rPr>
          <w:color w:val="auto"/>
          <w:highlight w:val="none"/>
        </w:rPr>
        <w:instrText xml:space="preserve"> PAGEREF _Toc30731 \h </w:instrText>
      </w:r>
      <w:r>
        <w:rPr>
          <w:color w:val="auto"/>
          <w:highlight w:val="none"/>
        </w:rPr>
        <w:fldChar w:fldCharType="separate"/>
      </w:r>
      <w:r>
        <w:rPr>
          <w:color w:val="auto"/>
          <w:highlight w:val="none"/>
        </w:rPr>
        <w:t>19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592D0F0">
      <w:pPr>
        <w:pStyle w:val="53"/>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_Toc8597 </w:instrText>
      </w:r>
      <w:r>
        <w:rPr>
          <w:rFonts w:hint="eastAsia" w:ascii="仿宋" w:hAnsi="仿宋" w:eastAsia="仿宋" w:cs="宋体"/>
          <w:bCs/>
          <w:caps/>
          <w:smallCaps w:val="0"/>
          <w:color w:val="auto"/>
          <w:szCs w:val="24"/>
          <w:highlight w:val="none"/>
          <w:lang w:eastAsia="zh-CN"/>
        </w:rPr>
        <w:fldChar w:fldCharType="separate"/>
      </w:r>
      <w:r>
        <w:rPr>
          <w:rFonts w:hint="eastAsia" w:ascii="宋体" w:hAnsi="宋体" w:cs="宋体"/>
          <w:bCs/>
          <w:color w:val="auto"/>
          <w:szCs w:val="36"/>
          <w:highlight w:val="none"/>
          <w:lang w:eastAsia="zh-CN"/>
        </w:rPr>
        <w:t xml:space="preserve">第二部分 </w:t>
      </w:r>
      <w:r>
        <w:rPr>
          <w:rFonts w:ascii="宋体" w:hAnsi="宋体" w:cs="宋体"/>
          <w:bCs/>
          <w:color w:val="auto"/>
          <w:szCs w:val="36"/>
          <w:highlight w:val="none"/>
          <w:lang w:eastAsia="zh-CN"/>
        </w:rPr>
        <w:t xml:space="preserve"> </w:t>
      </w:r>
      <w:r>
        <w:rPr>
          <w:rFonts w:hint="eastAsia" w:ascii="宋体" w:hAnsi="宋体" w:cs="宋体"/>
          <w:bCs/>
          <w:color w:val="auto"/>
          <w:szCs w:val="36"/>
          <w:highlight w:val="none"/>
          <w:lang w:eastAsia="zh-CN"/>
        </w:rPr>
        <w:t>通用条款</w:t>
      </w:r>
      <w:r>
        <w:rPr>
          <w:color w:val="auto"/>
          <w:highlight w:val="none"/>
        </w:rPr>
        <w:tab/>
      </w:r>
      <w:r>
        <w:rPr>
          <w:color w:val="auto"/>
          <w:highlight w:val="none"/>
        </w:rPr>
        <w:fldChar w:fldCharType="begin"/>
      </w:r>
      <w:r>
        <w:rPr>
          <w:color w:val="auto"/>
          <w:highlight w:val="none"/>
        </w:rPr>
        <w:instrText xml:space="preserve"> PAGEREF _Toc8597 \h </w:instrText>
      </w:r>
      <w:r>
        <w:rPr>
          <w:color w:val="auto"/>
          <w:highlight w:val="none"/>
        </w:rPr>
        <w:fldChar w:fldCharType="separate"/>
      </w:r>
      <w:r>
        <w:rPr>
          <w:color w:val="auto"/>
          <w:highlight w:val="none"/>
        </w:rPr>
        <w:t>21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DA3CE0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_Toc30495 </w:instrText>
      </w:r>
      <w:r>
        <w:rPr>
          <w:rFonts w:hint="eastAsia" w:ascii="仿宋" w:hAnsi="仿宋" w:eastAsia="仿宋" w:cs="宋体"/>
          <w:bCs/>
          <w:caps/>
          <w:smallCaps w:val="0"/>
          <w:color w:val="auto"/>
          <w:szCs w:val="24"/>
          <w:highlight w:val="none"/>
          <w:lang w:eastAsia="zh-CN"/>
        </w:rPr>
        <w:fldChar w:fldCharType="separate"/>
      </w:r>
      <w:r>
        <w:rPr>
          <w:rFonts w:hint="eastAsia" w:hAnsi="宋体"/>
          <w:bCs/>
          <w:color w:val="auto"/>
          <w:szCs w:val="32"/>
          <w:highlight w:val="none"/>
          <w:lang w:eastAsia="zh-CN"/>
        </w:rPr>
        <w:t>一、总则</w:t>
      </w:r>
      <w:r>
        <w:rPr>
          <w:color w:val="auto"/>
          <w:highlight w:val="none"/>
        </w:rPr>
        <w:tab/>
      </w:r>
      <w:r>
        <w:rPr>
          <w:color w:val="auto"/>
          <w:highlight w:val="none"/>
        </w:rPr>
        <w:fldChar w:fldCharType="begin"/>
      </w:r>
      <w:r>
        <w:rPr>
          <w:color w:val="auto"/>
          <w:highlight w:val="none"/>
        </w:rPr>
        <w:instrText xml:space="preserve"> PAGEREF _Toc30495 \h </w:instrText>
      </w:r>
      <w:r>
        <w:rPr>
          <w:color w:val="auto"/>
          <w:highlight w:val="none"/>
        </w:rPr>
        <w:fldChar w:fldCharType="separate"/>
      </w:r>
      <w:r>
        <w:rPr>
          <w:color w:val="auto"/>
          <w:highlight w:val="none"/>
        </w:rPr>
        <w:t>21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B96883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_Toc12982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color w:val="auto"/>
          <w:szCs w:val="24"/>
          <w:highlight w:val="none"/>
          <w:lang w:eastAsia="zh-CN"/>
        </w:rPr>
        <w:t xml:space="preserve">1 </w:t>
      </w:r>
      <w:r>
        <w:rPr>
          <w:rFonts w:hint="eastAsia" w:ascii="仿宋" w:hAnsi="仿宋" w:eastAsia="仿宋" w:cs="仿宋"/>
          <w:bCs/>
          <w:color w:val="auto"/>
          <w:szCs w:val="24"/>
          <w:highlight w:val="none"/>
          <w:lang w:eastAsia="zh-CN"/>
        </w:rPr>
        <w:t>定义</w:t>
      </w:r>
      <w:r>
        <w:rPr>
          <w:color w:val="auto"/>
          <w:highlight w:val="none"/>
        </w:rPr>
        <w:tab/>
      </w:r>
      <w:r>
        <w:rPr>
          <w:color w:val="auto"/>
          <w:highlight w:val="none"/>
        </w:rPr>
        <w:fldChar w:fldCharType="begin"/>
      </w:r>
      <w:r>
        <w:rPr>
          <w:color w:val="auto"/>
          <w:highlight w:val="none"/>
        </w:rPr>
        <w:instrText xml:space="preserve"> PAGEREF _Toc12982 \h </w:instrText>
      </w:r>
      <w:r>
        <w:rPr>
          <w:color w:val="auto"/>
          <w:highlight w:val="none"/>
        </w:rPr>
        <w:fldChar w:fldCharType="separate"/>
      </w:r>
      <w:r>
        <w:rPr>
          <w:color w:val="auto"/>
          <w:highlight w:val="none"/>
        </w:rPr>
        <w:t>21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D2A9F6C">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_Toc21708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 xml:space="preserve">2 </w:t>
      </w:r>
      <w:r>
        <w:rPr>
          <w:rFonts w:hint="eastAsia" w:ascii="仿宋" w:hAnsi="仿宋" w:eastAsia="仿宋" w:cs="仿宋"/>
          <w:bCs w:val="0"/>
          <w:color w:val="auto"/>
          <w:szCs w:val="24"/>
          <w:highlight w:val="none"/>
          <w:lang w:eastAsia="zh-CN"/>
        </w:rPr>
        <w:t>合同文件及解释</w:t>
      </w:r>
      <w:r>
        <w:rPr>
          <w:color w:val="auto"/>
          <w:highlight w:val="none"/>
        </w:rPr>
        <w:tab/>
      </w:r>
      <w:r>
        <w:rPr>
          <w:color w:val="auto"/>
          <w:highlight w:val="none"/>
        </w:rPr>
        <w:fldChar w:fldCharType="begin"/>
      </w:r>
      <w:r>
        <w:rPr>
          <w:color w:val="auto"/>
          <w:highlight w:val="none"/>
        </w:rPr>
        <w:instrText xml:space="preserve"> PAGEREF _Toc21708 \h </w:instrText>
      </w:r>
      <w:r>
        <w:rPr>
          <w:color w:val="auto"/>
          <w:highlight w:val="none"/>
        </w:rPr>
        <w:fldChar w:fldCharType="separate"/>
      </w:r>
      <w:r>
        <w:rPr>
          <w:color w:val="auto"/>
          <w:highlight w:val="none"/>
        </w:rPr>
        <w:t>31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8BF013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_Toc431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 xml:space="preserve">3 </w:t>
      </w:r>
      <w:r>
        <w:rPr>
          <w:rFonts w:hint="eastAsia" w:ascii="仿宋" w:hAnsi="仿宋" w:eastAsia="仿宋" w:cs="仿宋"/>
          <w:bCs w:val="0"/>
          <w:color w:val="auto"/>
          <w:szCs w:val="24"/>
          <w:highlight w:val="none"/>
          <w:lang w:eastAsia="zh-CN"/>
        </w:rPr>
        <w:t>阅读、理解与接受</w:t>
      </w:r>
      <w:r>
        <w:rPr>
          <w:color w:val="auto"/>
          <w:highlight w:val="none"/>
        </w:rPr>
        <w:tab/>
      </w:r>
      <w:r>
        <w:rPr>
          <w:color w:val="auto"/>
          <w:highlight w:val="none"/>
        </w:rPr>
        <w:fldChar w:fldCharType="begin"/>
      </w:r>
      <w:r>
        <w:rPr>
          <w:color w:val="auto"/>
          <w:highlight w:val="none"/>
        </w:rPr>
        <w:instrText xml:space="preserve"> PAGEREF _Toc431 \h </w:instrText>
      </w:r>
      <w:r>
        <w:rPr>
          <w:color w:val="auto"/>
          <w:highlight w:val="none"/>
        </w:rPr>
        <w:fldChar w:fldCharType="separate"/>
      </w:r>
      <w:r>
        <w:rPr>
          <w:color w:val="auto"/>
          <w:highlight w:val="none"/>
        </w:rPr>
        <w:t>32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4235030">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_Toc19587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 xml:space="preserve">4 </w:t>
      </w:r>
      <w:r>
        <w:rPr>
          <w:rFonts w:hint="eastAsia" w:ascii="仿宋" w:hAnsi="仿宋" w:eastAsia="仿宋" w:cs="仿宋"/>
          <w:bCs w:val="0"/>
          <w:color w:val="auto"/>
          <w:szCs w:val="24"/>
          <w:highlight w:val="none"/>
          <w:lang w:eastAsia="zh-CN"/>
        </w:rPr>
        <w:t>语言及适用的法律、标准与规范</w:t>
      </w:r>
      <w:r>
        <w:rPr>
          <w:color w:val="auto"/>
          <w:highlight w:val="none"/>
        </w:rPr>
        <w:tab/>
      </w:r>
      <w:r>
        <w:rPr>
          <w:color w:val="auto"/>
          <w:highlight w:val="none"/>
        </w:rPr>
        <w:fldChar w:fldCharType="begin"/>
      </w:r>
      <w:r>
        <w:rPr>
          <w:color w:val="auto"/>
          <w:highlight w:val="none"/>
        </w:rPr>
        <w:instrText xml:space="preserve"> PAGEREF _Toc19587 \h </w:instrText>
      </w:r>
      <w:r>
        <w:rPr>
          <w:color w:val="auto"/>
          <w:highlight w:val="none"/>
        </w:rPr>
        <w:fldChar w:fldCharType="separate"/>
      </w:r>
      <w:r>
        <w:rPr>
          <w:color w:val="auto"/>
          <w:highlight w:val="none"/>
        </w:rPr>
        <w:t>33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9FD6BE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_Toc5821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 发包人要求</w:t>
      </w:r>
      <w:r>
        <w:rPr>
          <w:color w:val="auto"/>
          <w:highlight w:val="none"/>
        </w:rPr>
        <w:tab/>
      </w:r>
      <w:r>
        <w:rPr>
          <w:color w:val="auto"/>
          <w:highlight w:val="none"/>
        </w:rPr>
        <w:fldChar w:fldCharType="begin"/>
      </w:r>
      <w:r>
        <w:rPr>
          <w:color w:val="auto"/>
          <w:highlight w:val="none"/>
        </w:rPr>
        <w:instrText xml:space="preserve"> PAGEREF _Toc5821 \h </w:instrText>
      </w:r>
      <w:r>
        <w:rPr>
          <w:color w:val="auto"/>
          <w:highlight w:val="none"/>
        </w:rPr>
        <w:fldChar w:fldCharType="separate"/>
      </w:r>
      <w:r>
        <w:rPr>
          <w:color w:val="auto"/>
          <w:highlight w:val="none"/>
        </w:rPr>
        <w:t>33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CF1E0C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_Toc6751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 项目基础资料</w:t>
      </w:r>
      <w:r>
        <w:rPr>
          <w:color w:val="auto"/>
          <w:highlight w:val="none"/>
        </w:rPr>
        <w:tab/>
      </w:r>
      <w:r>
        <w:rPr>
          <w:color w:val="auto"/>
          <w:highlight w:val="none"/>
        </w:rPr>
        <w:fldChar w:fldCharType="begin"/>
      </w:r>
      <w:r>
        <w:rPr>
          <w:color w:val="auto"/>
          <w:highlight w:val="none"/>
        </w:rPr>
        <w:instrText xml:space="preserve"> PAGEREF _Toc6751 \h </w:instrText>
      </w:r>
      <w:r>
        <w:rPr>
          <w:color w:val="auto"/>
          <w:highlight w:val="none"/>
        </w:rPr>
        <w:fldChar w:fldCharType="separate"/>
      </w:r>
      <w:r>
        <w:rPr>
          <w:color w:val="auto"/>
          <w:highlight w:val="none"/>
        </w:rPr>
        <w:t>36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E8AE5FD">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_Toc318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 勘察报告、设计文件、建筑信息模型（BIM）</w:t>
      </w:r>
      <w:r>
        <w:rPr>
          <w:color w:val="auto"/>
          <w:highlight w:val="none"/>
        </w:rPr>
        <w:tab/>
      </w:r>
      <w:r>
        <w:rPr>
          <w:color w:val="auto"/>
          <w:highlight w:val="none"/>
        </w:rPr>
        <w:fldChar w:fldCharType="begin"/>
      </w:r>
      <w:r>
        <w:rPr>
          <w:color w:val="auto"/>
          <w:highlight w:val="none"/>
        </w:rPr>
        <w:instrText xml:space="preserve"> PAGEREF _Toc318 \h </w:instrText>
      </w:r>
      <w:r>
        <w:rPr>
          <w:color w:val="auto"/>
          <w:highlight w:val="none"/>
        </w:rPr>
        <w:fldChar w:fldCharType="separate"/>
      </w:r>
      <w:r>
        <w:rPr>
          <w:color w:val="auto"/>
          <w:highlight w:val="none"/>
        </w:rPr>
        <w:t>37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DD888A6">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_Toc9600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rPr>
        <w:t>8 合同价格的控制原则</w:t>
      </w:r>
      <w:r>
        <w:rPr>
          <w:color w:val="auto"/>
          <w:highlight w:val="none"/>
        </w:rPr>
        <w:tab/>
      </w:r>
      <w:r>
        <w:rPr>
          <w:color w:val="auto"/>
          <w:highlight w:val="none"/>
        </w:rPr>
        <w:fldChar w:fldCharType="begin"/>
      </w:r>
      <w:r>
        <w:rPr>
          <w:color w:val="auto"/>
          <w:highlight w:val="none"/>
        </w:rPr>
        <w:instrText xml:space="preserve"> PAGEREF _Toc9600 \h </w:instrText>
      </w:r>
      <w:r>
        <w:rPr>
          <w:color w:val="auto"/>
          <w:highlight w:val="none"/>
        </w:rPr>
        <w:fldChar w:fldCharType="separate"/>
      </w:r>
      <w:r>
        <w:rPr>
          <w:color w:val="auto"/>
          <w:highlight w:val="none"/>
        </w:rPr>
        <w:t>40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C4A315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_Toc11605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9通讯联络</w:t>
      </w:r>
      <w:r>
        <w:rPr>
          <w:color w:val="auto"/>
          <w:highlight w:val="none"/>
        </w:rPr>
        <w:tab/>
      </w:r>
      <w:r>
        <w:rPr>
          <w:color w:val="auto"/>
          <w:highlight w:val="none"/>
        </w:rPr>
        <w:fldChar w:fldCharType="begin"/>
      </w:r>
      <w:r>
        <w:rPr>
          <w:color w:val="auto"/>
          <w:highlight w:val="none"/>
        </w:rPr>
        <w:instrText xml:space="preserve"> PAGEREF _Toc11605 \h </w:instrText>
      </w:r>
      <w:r>
        <w:rPr>
          <w:color w:val="auto"/>
          <w:highlight w:val="none"/>
        </w:rPr>
        <w:fldChar w:fldCharType="separate"/>
      </w:r>
      <w:r>
        <w:rPr>
          <w:color w:val="auto"/>
          <w:highlight w:val="none"/>
        </w:rPr>
        <w:t>44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5760467">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_Toc21464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10分包</w:t>
      </w:r>
      <w:r>
        <w:rPr>
          <w:color w:val="auto"/>
          <w:highlight w:val="none"/>
        </w:rPr>
        <w:tab/>
      </w:r>
      <w:r>
        <w:rPr>
          <w:color w:val="auto"/>
          <w:highlight w:val="none"/>
        </w:rPr>
        <w:fldChar w:fldCharType="begin"/>
      </w:r>
      <w:r>
        <w:rPr>
          <w:color w:val="auto"/>
          <w:highlight w:val="none"/>
        </w:rPr>
        <w:instrText xml:space="preserve"> PAGEREF _Toc21464 \h </w:instrText>
      </w:r>
      <w:r>
        <w:rPr>
          <w:color w:val="auto"/>
          <w:highlight w:val="none"/>
        </w:rPr>
        <w:fldChar w:fldCharType="separate"/>
      </w:r>
      <w:r>
        <w:rPr>
          <w:color w:val="auto"/>
          <w:highlight w:val="none"/>
        </w:rPr>
        <w:t>45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EEA027C">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_Toc30528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11现场查勘</w:t>
      </w:r>
      <w:r>
        <w:rPr>
          <w:color w:val="auto"/>
          <w:highlight w:val="none"/>
        </w:rPr>
        <w:tab/>
      </w:r>
      <w:r>
        <w:rPr>
          <w:color w:val="auto"/>
          <w:highlight w:val="none"/>
        </w:rPr>
        <w:fldChar w:fldCharType="begin"/>
      </w:r>
      <w:r>
        <w:rPr>
          <w:color w:val="auto"/>
          <w:highlight w:val="none"/>
        </w:rPr>
        <w:instrText xml:space="preserve"> PAGEREF _Toc30528 \h </w:instrText>
      </w:r>
      <w:r>
        <w:rPr>
          <w:color w:val="auto"/>
          <w:highlight w:val="none"/>
        </w:rPr>
        <w:fldChar w:fldCharType="separate"/>
      </w:r>
      <w:r>
        <w:rPr>
          <w:color w:val="auto"/>
          <w:highlight w:val="none"/>
        </w:rPr>
        <w:t>46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C2AFD14">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_Toc5474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12招标错失的修正</w:t>
      </w:r>
      <w:r>
        <w:rPr>
          <w:color w:val="auto"/>
          <w:highlight w:val="none"/>
        </w:rPr>
        <w:tab/>
      </w:r>
      <w:r>
        <w:rPr>
          <w:color w:val="auto"/>
          <w:highlight w:val="none"/>
        </w:rPr>
        <w:fldChar w:fldCharType="begin"/>
      </w:r>
      <w:r>
        <w:rPr>
          <w:color w:val="auto"/>
          <w:highlight w:val="none"/>
        </w:rPr>
        <w:instrText xml:space="preserve"> PAGEREF _Toc5474 \h </w:instrText>
      </w:r>
      <w:r>
        <w:rPr>
          <w:color w:val="auto"/>
          <w:highlight w:val="none"/>
        </w:rPr>
        <w:fldChar w:fldCharType="separate"/>
      </w:r>
      <w:r>
        <w:rPr>
          <w:color w:val="auto"/>
          <w:highlight w:val="none"/>
        </w:rPr>
        <w:t>47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81020CA">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_Toc31321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color w:val="auto"/>
          <w:szCs w:val="24"/>
          <w:highlight w:val="none"/>
          <w:lang w:eastAsia="zh-CN"/>
        </w:rPr>
        <w:t>1</w:t>
      </w:r>
      <w:r>
        <w:rPr>
          <w:rFonts w:hint="eastAsia" w:ascii="仿宋" w:hAnsi="仿宋" w:eastAsia="仿宋" w:cs="仿宋"/>
          <w:color w:val="auto"/>
          <w:szCs w:val="24"/>
          <w:highlight w:val="none"/>
          <w:lang w:eastAsia="zh-CN"/>
        </w:rPr>
        <w:t>3投标文件的完备性</w:t>
      </w:r>
      <w:r>
        <w:rPr>
          <w:color w:val="auto"/>
          <w:highlight w:val="none"/>
        </w:rPr>
        <w:tab/>
      </w:r>
      <w:r>
        <w:rPr>
          <w:color w:val="auto"/>
          <w:highlight w:val="none"/>
        </w:rPr>
        <w:fldChar w:fldCharType="begin"/>
      </w:r>
      <w:r>
        <w:rPr>
          <w:color w:val="auto"/>
          <w:highlight w:val="none"/>
        </w:rPr>
        <w:instrText xml:space="preserve"> PAGEREF _Toc31321 \h </w:instrText>
      </w:r>
      <w:r>
        <w:rPr>
          <w:color w:val="auto"/>
          <w:highlight w:val="none"/>
        </w:rPr>
        <w:fldChar w:fldCharType="separate"/>
      </w:r>
      <w:r>
        <w:rPr>
          <w:color w:val="auto"/>
          <w:highlight w:val="none"/>
        </w:rPr>
        <w:t>48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65AB6AE">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_Toc17420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1</w:t>
      </w:r>
      <w:r>
        <w:rPr>
          <w:rFonts w:hint="eastAsia" w:ascii="仿宋" w:hAnsi="仿宋" w:eastAsia="仿宋" w:cs="仿宋"/>
          <w:bCs w:val="0"/>
          <w:color w:val="auto"/>
          <w:szCs w:val="24"/>
          <w:highlight w:val="none"/>
          <w:lang w:eastAsia="zh-CN"/>
        </w:rPr>
        <w:t>4文物和地下障碍物</w:t>
      </w:r>
      <w:r>
        <w:rPr>
          <w:color w:val="auto"/>
          <w:highlight w:val="none"/>
        </w:rPr>
        <w:tab/>
      </w:r>
      <w:r>
        <w:rPr>
          <w:color w:val="auto"/>
          <w:highlight w:val="none"/>
        </w:rPr>
        <w:fldChar w:fldCharType="begin"/>
      </w:r>
      <w:r>
        <w:rPr>
          <w:color w:val="auto"/>
          <w:highlight w:val="none"/>
        </w:rPr>
        <w:instrText xml:space="preserve"> PAGEREF _Toc17420 \h </w:instrText>
      </w:r>
      <w:r>
        <w:rPr>
          <w:color w:val="auto"/>
          <w:highlight w:val="none"/>
        </w:rPr>
        <w:fldChar w:fldCharType="separate"/>
      </w:r>
      <w:r>
        <w:rPr>
          <w:color w:val="auto"/>
          <w:highlight w:val="none"/>
        </w:rPr>
        <w:t>48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5249E3C">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_Toc28557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1</w:t>
      </w:r>
      <w:r>
        <w:rPr>
          <w:rFonts w:hint="eastAsia" w:ascii="仿宋" w:hAnsi="仿宋" w:eastAsia="仿宋" w:cs="仿宋"/>
          <w:bCs w:val="0"/>
          <w:color w:val="auto"/>
          <w:szCs w:val="24"/>
          <w:highlight w:val="none"/>
          <w:lang w:eastAsia="zh-CN"/>
        </w:rPr>
        <w:t>5事故处理</w:t>
      </w:r>
      <w:r>
        <w:rPr>
          <w:color w:val="auto"/>
          <w:highlight w:val="none"/>
        </w:rPr>
        <w:tab/>
      </w:r>
      <w:r>
        <w:rPr>
          <w:color w:val="auto"/>
          <w:highlight w:val="none"/>
        </w:rPr>
        <w:fldChar w:fldCharType="begin"/>
      </w:r>
      <w:r>
        <w:rPr>
          <w:color w:val="auto"/>
          <w:highlight w:val="none"/>
        </w:rPr>
        <w:instrText xml:space="preserve"> PAGEREF _Toc28557 \h </w:instrText>
      </w:r>
      <w:r>
        <w:rPr>
          <w:color w:val="auto"/>
          <w:highlight w:val="none"/>
        </w:rPr>
        <w:fldChar w:fldCharType="separate"/>
      </w:r>
      <w:r>
        <w:rPr>
          <w:color w:val="auto"/>
          <w:highlight w:val="none"/>
        </w:rPr>
        <w:t>49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8FC8E3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_Toc26301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1</w:t>
      </w:r>
      <w:r>
        <w:rPr>
          <w:rFonts w:hint="eastAsia" w:ascii="仿宋" w:hAnsi="仿宋" w:eastAsia="仿宋" w:cs="仿宋"/>
          <w:bCs w:val="0"/>
          <w:color w:val="auto"/>
          <w:szCs w:val="24"/>
          <w:highlight w:val="none"/>
          <w:lang w:eastAsia="zh-CN"/>
        </w:rPr>
        <w:t>6交通运输</w:t>
      </w:r>
      <w:r>
        <w:rPr>
          <w:color w:val="auto"/>
          <w:highlight w:val="none"/>
        </w:rPr>
        <w:tab/>
      </w:r>
      <w:r>
        <w:rPr>
          <w:color w:val="auto"/>
          <w:highlight w:val="none"/>
        </w:rPr>
        <w:fldChar w:fldCharType="begin"/>
      </w:r>
      <w:r>
        <w:rPr>
          <w:color w:val="auto"/>
          <w:highlight w:val="none"/>
        </w:rPr>
        <w:instrText xml:space="preserve"> PAGEREF _Toc26301 \h </w:instrText>
      </w:r>
      <w:r>
        <w:rPr>
          <w:color w:val="auto"/>
          <w:highlight w:val="none"/>
        </w:rPr>
        <w:fldChar w:fldCharType="separate"/>
      </w:r>
      <w:r>
        <w:rPr>
          <w:color w:val="auto"/>
          <w:highlight w:val="none"/>
        </w:rPr>
        <w:t>50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E9527F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_Toc24436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1</w:t>
      </w:r>
      <w:r>
        <w:rPr>
          <w:rFonts w:hint="eastAsia" w:ascii="仿宋" w:hAnsi="仿宋" w:eastAsia="仿宋" w:cs="仿宋"/>
          <w:bCs w:val="0"/>
          <w:color w:val="auto"/>
          <w:szCs w:val="24"/>
          <w:highlight w:val="none"/>
          <w:lang w:eastAsia="zh-CN"/>
        </w:rPr>
        <w:t>7专项批准事项的签认</w:t>
      </w:r>
      <w:r>
        <w:rPr>
          <w:color w:val="auto"/>
          <w:highlight w:val="none"/>
        </w:rPr>
        <w:tab/>
      </w:r>
      <w:r>
        <w:rPr>
          <w:color w:val="auto"/>
          <w:highlight w:val="none"/>
        </w:rPr>
        <w:fldChar w:fldCharType="begin"/>
      </w:r>
      <w:r>
        <w:rPr>
          <w:color w:val="auto"/>
          <w:highlight w:val="none"/>
        </w:rPr>
        <w:instrText xml:space="preserve"> PAGEREF _Toc24436 \h </w:instrText>
      </w:r>
      <w:r>
        <w:rPr>
          <w:color w:val="auto"/>
          <w:highlight w:val="none"/>
        </w:rPr>
        <w:fldChar w:fldCharType="separate"/>
      </w:r>
      <w:r>
        <w:rPr>
          <w:color w:val="auto"/>
          <w:highlight w:val="none"/>
        </w:rPr>
        <w:t>51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BDC520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_Toc12644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1</w:t>
      </w:r>
      <w:r>
        <w:rPr>
          <w:rFonts w:hint="eastAsia" w:ascii="仿宋" w:hAnsi="仿宋" w:eastAsia="仿宋" w:cs="仿宋"/>
          <w:bCs w:val="0"/>
          <w:color w:val="auto"/>
          <w:szCs w:val="24"/>
          <w:highlight w:val="none"/>
          <w:lang w:eastAsia="zh-CN"/>
        </w:rPr>
        <w:t>8专利技术和知识产权</w:t>
      </w:r>
      <w:r>
        <w:rPr>
          <w:color w:val="auto"/>
          <w:highlight w:val="none"/>
        </w:rPr>
        <w:tab/>
      </w:r>
      <w:r>
        <w:rPr>
          <w:color w:val="auto"/>
          <w:highlight w:val="none"/>
        </w:rPr>
        <w:fldChar w:fldCharType="begin"/>
      </w:r>
      <w:r>
        <w:rPr>
          <w:color w:val="auto"/>
          <w:highlight w:val="none"/>
        </w:rPr>
        <w:instrText xml:space="preserve"> PAGEREF _Toc12644 \h </w:instrText>
      </w:r>
      <w:r>
        <w:rPr>
          <w:color w:val="auto"/>
          <w:highlight w:val="none"/>
        </w:rPr>
        <w:fldChar w:fldCharType="separate"/>
      </w:r>
      <w:r>
        <w:rPr>
          <w:color w:val="auto"/>
          <w:highlight w:val="none"/>
        </w:rPr>
        <w:t>51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9C0ADC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_Toc17029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1</w:t>
      </w:r>
      <w:r>
        <w:rPr>
          <w:rFonts w:hint="eastAsia" w:ascii="仿宋" w:hAnsi="仿宋" w:eastAsia="仿宋" w:cs="仿宋"/>
          <w:bCs w:val="0"/>
          <w:color w:val="auto"/>
          <w:szCs w:val="24"/>
          <w:highlight w:val="none"/>
          <w:lang w:eastAsia="zh-CN"/>
        </w:rPr>
        <w:t>9 联合体</w:t>
      </w:r>
      <w:r>
        <w:rPr>
          <w:color w:val="auto"/>
          <w:highlight w:val="none"/>
        </w:rPr>
        <w:tab/>
      </w:r>
      <w:r>
        <w:rPr>
          <w:color w:val="auto"/>
          <w:highlight w:val="none"/>
        </w:rPr>
        <w:fldChar w:fldCharType="begin"/>
      </w:r>
      <w:r>
        <w:rPr>
          <w:color w:val="auto"/>
          <w:highlight w:val="none"/>
        </w:rPr>
        <w:instrText xml:space="preserve"> PAGEREF _Toc17029 \h </w:instrText>
      </w:r>
      <w:r>
        <w:rPr>
          <w:color w:val="auto"/>
          <w:highlight w:val="none"/>
        </w:rPr>
        <w:fldChar w:fldCharType="separate"/>
      </w:r>
      <w:r>
        <w:rPr>
          <w:color w:val="auto"/>
          <w:highlight w:val="none"/>
        </w:rPr>
        <w:t>53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9690DBD">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_Toc2240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20保障</w:t>
      </w:r>
      <w:r>
        <w:rPr>
          <w:color w:val="auto"/>
          <w:highlight w:val="none"/>
        </w:rPr>
        <w:tab/>
      </w:r>
      <w:r>
        <w:rPr>
          <w:color w:val="auto"/>
          <w:highlight w:val="none"/>
        </w:rPr>
        <w:fldChar w:fldCharType="begin"/>
      </w:r>
      <w:r>
        <w:rPr>
          <w:color w:val="auto"/>
          <w:highlight w:val="none"/>
        </w:rPr>
        <w:instrText xml:space="preserve"> PAGEREF _Toc2240 \h </w:instrText>
      </w:r>
      <w:r>
        <w:rPr>
          <w:color w:val="auto"/>
          <w:highlight w:val="none"/>
        </w:rPr>
        <w:fldChar w:fldCharType="separate"/>
      </w:r>
      <w:r>
        <w:rPr>
          <w:color w:val="auto"/>
          <w:highlight w:val="none"/>
        </w:rPr>
        <w:t>56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25B609D">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_Toc24041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21财产</w:t>
      </w:r>
      <w:r>
        <w:rPr>
          <w:color w:val="auto"/>
          <w:highlight w:val="none"/>
        </w:rPr>
        <w:tab/>
      </w:r>
      <w:r>
        <w:rPr>
          <w:color w:val="auto"/>
          <w:highlight w:val="none"/>
        </w:rPr>
        <w:fldChar w:fldCharType="begin"/>
      </w:r>
      <w:r>
        <w:rPr>
          <w:color w:val="auto"/>
          <w:highlight w:val="none"/>
        </w:rPr>
        <w:instrText xml:space="preserve"> PAGEREF _Toc24041 \h </w:instrText>
      </w:r>
      <w:r>
        <w:rPr>
          <w:color w:val="auto"/>
          <w:highlight w:val="none"/>
        </w:rPr>
        <w:fldChar w:fldCharType="separate"/>
      </w:r>
      <w:r>
        <w:rPr>
          <w:color w:val="auto"/>
          <w:highlight w:val="none"/>
        </w:rPr>
        <w:t>56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FE9D40E">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_Toc26838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二、合同主体</w:t>
      </w:r>
      <w:r>
        <w:rPr>
          <w:color w:val="auto"/>
          <w:highlight w:val="none"/>
        </w:rPr>
        <w:tab/>
      </w:r>
      <w:r>
        <w:rPr>
          <w:color w:val="auto"/>
          <w:highlight w:val="none"/>
        </w:rPr>
        <w:fldChar w:fldCharType="begin"/>
      </w:r>
      <w:r>
        <w:rPr>
          <w:color w:val="auto"/>
          <w:highlight w:val="none"/>
        </w:rPr>
        <w:instrText xml:space="preserve"> PAGEREF _Toc26838 \h </w:instrText>
      </w:r>
      <w:r>
        <w:rPr>
          <w:color w:val="auto"/>
          <w:highlight w:val="none"/>
        </w:rPr>
        <w:fldChar w:fldCharType="separate"/>
      </w:r>
      <w:r>
        <w:rPr>
          <w:color w:val="auto"/>
          <w:highlight w:val="none"/>
        </w:rPr>
        <w:t>57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A5206D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_Toc25347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22发包人</w:t>
      </w:r>
      <w:r>
        <w:rPr>
          <w:color w:val="auto"/>
          <w:highlight w:val="none"/>
        </w:rPr>
        <w:tab/>
      </w:r>
      <w:r>
        <w:rPr>
          <w:color w:val="auto"/>
          <w:highlight w:val="none"/>
        </w:rPr>
        <w:fldChar w:fldCharType="begin"/>
      </w:r>
      <w:r>
        <w:rPr>
          <w:color w:val="auto"/>
          <w:highlight w:val="none"/>
        </w:rPr>
        <w:instrText xml:space="preserve"> PAGEREF _Toc25347 \h </w:instrText>
      </w:r>
      <w:r>
        <w:rPr>
          <w:color w:val="auto"/>
          <w:highlight w:val="none"/>
        </w:rPr>
        <w:fldChar w:fldCharType="separate"/>
      </w:r>
      <w:r>
        <w:rPr>
          <w:color w:val="auto"/>
          <w:highlight w:val="none"/>
        </w:rPr>
        <w:t>57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0758E4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_Toc13580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color w:val="auto"/>
          <w:szCs w:val="24"/>
          <w:highlight w:val="none"/>
          <w:lang w:eastAsia="zh-CN"/>
        </w:rPr>
        <w:t>2</w:t>
      </w:r>
      <w:r>
        <w:rPr>
          <w:rFonts w:hint="eastAsia" w:ascii="仿宋" w:hAnsi="仿宋" w:eastAsia="仿宋" w:cs="仿宋"/>
          <w:color w:val="auto"/>
          <w:szCs w:val="24"/>
          <w:highlight w:val="none"/>
          <w:lang w:eastAsia="zh-CN"/>
        </w:rPr>
        <w:t>3承包人</w:t>
      </w:r>
      <w:r>
        <w:rPr>
          <w:color w:val="auto"/>
          <w:highlight w:val="none"/>
        </w:rPr>
        <w:tab/>
      </w:r>
      <w:r>
        <w:rPr>
          <w:color w:val="auto"/>
          <w:highlight w:val="none"/>
        </w:rPr>
        <w:fldChar w:fldCharType="begin"/>
      </w:r>
      <w:r>
        <w:rPr>
          <w:color w:val="auto"/>
          <w:highlight w:val="none"/>
        </w:rPr>
        <w:instrText xml:space="preserve"> PAGEREF _Toc13580 \h </w:instrText>
      </w:r>
      <w:r>
        <w:rPr>
          <w:color w:val="auto"/>
          <w:highlight w:val="none"/>
        </w:rPr>
        <w:fldChar w:fldCharType="separate"/>
      </w:r>
      <w:r>
        <w:rPr>
          <w:color w:val="auto"/>
          <w:highlight w:val="none"/>
        </w:rPr>
        <w:t>59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8E556C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_Toc2291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2</w:t>
      </w:r>
      <w:r>
        <w:rPr>
          <w:rFonts w:hint="eastAsia" w:ascii="仿宋" w:hAnsi="仿宋" w:eastAsia="仿宋" w:cs="仿宋"/>
          <w:bCs w:val="0"/>
          <w:color w:val="auto"/>
          <w:szCs w:val="24"/>
          <w:highlight w:val="none"/>
          <w:lang w:eastAsia="zh-CN"/>
        </w:rPr>
        <w:t>4现场管理人员任命和更换</w:t>
      </w:r>
      <w:r>
        <w:rPr>
          <w:color w:val="auto"/>
          <w:highlight w:val="none"/>
        </w:rPr>
        <w:tab/>
      </w:r>
      <w:r>
        <w:rPr>
          <w:color w:val="auto"/>
          <w:highlight w:val="none"/>
        </w:rPr>
        <w:fldChar w:fldCharType="begin"/>
      </w:r>
      <w:r>
        <w:rPr>
          <w:color w:val="auto"/>
          <w:highlight w:val="none"/>
        </w:rPr>
        <w:instrText xml:space="preserve"> PAGEREF _Toc2291 \h </w:instrText>
      </w:r>
      <w:r>
        <w:rPr>
          <w:color w:val="auto"/>
          <w:highlight w:val="none"/>
        </w:rPr>
        <w:fldChar w:fldCharType="separate"/>
      </w:r>
      <w:r>
        <w:rPr>
          <w:color w:val="auto"/>
          <w:highlight w:val="none"/>
        </w:rPr>
        <w:t>62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426FF5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_Toc19495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color w:val="auto"/>
          <w:szCs w:val="24"/>
          <w:highlight w:val="none"/>
          <w:lang w:eastAsia="zh-CN"/>
        </w:rPr>
        <w:t>2</w:t>
      </w:r>
      <w:r>
        <w:rPr>
          <w:rFonts w:hint="eastAsia" w:ascii="仿宋" w:hAnsi="仿宋" w:eastAsia="仿宋" w:cs="仿宋"/>
          <w:color w:val="auto"/>
          <w:szCs w:val="24"/>
          <w:highlight w:val="none"/>
          <w:lang w:eastAsia="zh-CN"/>
        </w:rPr>
        <w:t>5发包人代表</w:t>
      </w:r>
      <w:r>
        <w:rPr>
          <w:color w:val="auto"/>
          <w:highlight w:val="none"/>
        </w:rPr>
        <w:tab/>
      </w:r>
      <w:r>
        <w:rPr>
          <w:color w:val="auto"/>
          <w:highlight w:val="none"/>
        </w:rPr>
        <w:fldChar w:fldCharType="begin"/>
      </w:r>
      <w:r>
        <w:rPr>
          <w:color w:val="auto"/>
          <w:highlight w:val="none"/>
        </w:rPr>
        <w:instrText xml:space="preserve"> PAGEREF _Toc19495 \h </w:instrText>
      </w:r>
      <w:r>
        <w:rPr>
          <w:color w:val="auto"/>
          <w:highlight w:val="none"/>
        </w:rPr>
        <w:fldChar w:fldCharType="separate"/>
      </w:r>
      <w:r>
        <w:rPr>
          <w:color w:val="auto"/>
          <w:highlight w:val="none"/>
        </w:rPr>
        <w:t>63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D6639A0">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_Toc12032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color w:val="auto"/>
          <w:szCs w:val="24"/>
          <w:highlight w:val="none"/>
          <w:lang w:eastAsia="zh-CN"/>
        </w:rPr>
        <w:t>2</w:t>
      </w:r>
      <w:r>
        <w:rPr>
          <w:rFonts w:hint="eastAsia" w:ascii="仿宋" w:hAnsi="仿宋" w:eastAsia="仿宋" w:cs="仿宋"/>
          <w:color w:val="auto"/>
          <w:szCs w:val="24"/>
          <w:highlight w:val="none"/>
          <w:lang w:eastAsia="zh-CN"/>
        </w:rPr>
        <w:t>6设计顾问人</w:t>
      </w:r>
      <w:r>
        <w:rPr>
          <w:color w:val="auto"/>
          <w:highlight w:val="none"/>
        </w:rPr>
        <w:tab/>
      </w:r>
      <w:r>
        <w:rPr>
          <w:color w:val="auto"/>
          <w:highlight w:val="none"/>
        </w:rPr>
        <w:fldChar w:fldCharType="begin"/>
      </w:r>
      <w:r>
        <w:rPr>
          <w:color w:val="auto"/>
          <w:highlight w:val="none"/>
        </w:rPr>
        <w:instrText xml:space="preserve"> PAGEREF _Toc12032 \h </w:instrText>
      </w:r>
      <w:r>
        <w:rPr>
          <w:color w:val="auto"/>
          <w:highlight w:val="none"/>
        </w:rPr>
        <w:fldChar w:fldCharType="separate"/>
      </w:r>
      <w:r>
        <w:rPr>
          <w:color w:val="auto"/>
          <w:highlight w:val="none"/>
        </w:rPr>
        <w:t>63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F81348E">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_Toc1411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2</w:t>
      </w:r>
      <w:r>
        <w:rPr>
          <w:rFonts w:hint="eastAsia" w:ascii="仿宋" w:hAnsi="仿宋" w:eastAsia="仿宋" w:cs="仿宋"/>
          <w:bCs w:val="0"/>
          <w:color w:val="auto"/>
          <w:szCs w:val="24"/>
          <w:highlight w:val="none"/>
          <w:lang w:eastAsia="zh-CN"/>
        </w:rPr>
        <w:t>7监理人</w:t>
      </w:r>
      <w:r>
        <w:rPr>
          <w:color w:val="auto"/>
          <w:highlight w:val="none"/>
        </w:rPr>
        <w:tab/>
      </w:r>
      <w:r>
        <w:rPr>
          <w:color w:val="auto"/>
          <w:highlight w:val="none"/>
        </w:rPr>
        <w:fldChar w:fldCharType="begin"/>
      </w:r>
      <w:r>
        <w:rPr>
          <w:color w:val="auto"/>
          <w:highlight w:val="none"/>
        </w:rPr>
        <w:instrText xml:space="preserve"> PAGEREF _Toc1411 \h </w:instrText>
      </w:r>
      <w:r>
        <w:rPr>
          <w:color w:val="auto"/>
          <w:highlight w:val="none"/>
        </w:rPr>
        <w:fldChar w:fldCharType="separate"/>
      </w:r>
      <w:r>
        <w:rPr>
          <w:color w:val="auto"/>
          <w:highlight w:val="none"/>
        </w:rPr>
        <w:t>66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0B7D25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_Toc14211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color w:val="auto"/>
          <w:szCs w:val="24"/>
          <w:highlight w:val="none"/>
          <w:lang w:eastAsia="zh-CN"/>
        </w:rPr>
        <w:t>2</w:t>
      </w:r>
      <w:r>
        <w:rPr>
          <w:rFonts w:hint="eastAsia" w:ascii="仿宋" w:hAnsi="仿宋" w:eastAsia="仿宋" w:cs="仿宋"/>
          <w:color w:val="auto"/>
          <w:szCs w:val="24"/>
          <w:highlight w:val="none"/>
          <w:lang w:eastAsia="zh-CN"/>
        </w:rPr>
        <w:t>8造价咨询人</w:t>
      </w:r>
      <w:r>
        <w:rPr>
          <w:color w:val="auto"/>
          <w:highlight w:val="none"/>
        </w:rPr>
        <w:tab/>
      </w:r>
      <w:r>
        <w:rPr>
          <w:color w:val="auto"/>
          <w:highlight w:val="none"/>
        </w:rPr>
        <w:fldChar w:fldCharType="begin"/>
      </w:r>
      <w:r>
        <w:rPr>
          <w:color w:val="auto"/>
          <w:highlight w:val="none"/>
        </w:rPr>
        <w:instrText xml:space="preserve"> PAGEREF _Toc14211 \h </w:instrText>
      </w:r>
      <w:r>
        <w:rPr>
          <w:color w:val="auto"/>
          <w:highlight w:val="none"/>
        </w:rPr>
        <w:fldChar w:fldCharType="separate"/>
      </w:r>
      <w:r>
        <w:rPr>
          <w:color w:val="auto"/>
          <w:highlight w:val="none"/>
        </w:rPr>
        <w:t>67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5EE1E1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_Toc10455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color w:val="auto"/>
          <w:szCs w:val="24"/>
          <w:highlight w:val="none"/>
          <w:lang w:eastAsia="zh-CN"/>
        </w:rPr>
        <w:t>2</w:t>
      </w:r>
      <w:r>
        <w:rPr>
          <w:rFonts w:hint="eastAsia" w:ascii="仿宋" w:hAnsi="仿宋" w:eastAsia="仿宋" w:cs="仿宋"/>
          <w:color w:val="auto"/>
          <w:szCs w:val="24"/>
          <w:highlight w:val="none"/>
          <w:lang w:eastAsia="zh-CN"/>
        </w:rPr>
        <w:t>9承包人代表及其专业负责人</w:t>
      </w:r>
      <w:r>
        <w:rPr>
          <w:color w:val="auto"/>
          <w:highlight w:val="none"/>
        </w:rPr>
        <w:tab/>
      </w:r>
      <w:r>
        <w:rPr>
          <w:color w:val="auto"/>
          <w:highlight w:val="none"/>
        </w:rPr>
        <w:fldChar w:fldCharType="begin"/>
      </w:r>
      <w:r>
        <w:rPr>
          <w:color w:val="auto"/>
          <w:highlight w:val="none"/>
        </w:rPr>
        <w:instrText xml:space="preserve"> PAGEREF _Toc10455 \h </w:instrText>
      </w:r>
      <w:r>
        <w:rPr>
          <w:color w:val="auto"/>
          <w:highlight w:val="none"/>
        </w:rPr>
        <w:fldChar w:fldCharType="separate"/>
      </w:r>
      <w:r>
        <w:rPr>
          <w:color w:val="auto"/>
          <w:highlight w:val="none"/>
        </w:rPr>
        <w:t>69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B8C56B5">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_Toc1808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30指定分包人</w:t>
      </w:r>
      <w:r>
        <w:rPr>
          <w:color w:val="auto"/>
          <w:highlight w:val="none"/>
        </w:rPr>
        <w:tab/>
      </w:r>
      <w:r>
        <w:rPr>
          <w:color w:val="auto"/>
          <w:highlight w:val="none"/>
        </w:rPr>
        <w:fldChar w:fldCharType="begin"/>
      </w:r>
      <w:r>
        <w:rPr>
          <w:color w:val="auto"/>
          <w:highlight w:val="none"/>
        </w:rPr>
        <w:instrText xml:space="preserve"> PAGEREF _Toc1808 \h </w:instrText>
      </w:r>
      <w:r>
        <w:rPr>
          <w:color w:val="auto"/>
          <w:highlight w:val="none"/>
        </w:rPr>
        <w:fldChar w:fldCharType="separate"/>
      </w:r>
      <w:r>
        <w:rPr>
          <w:color w:val="auto"/>
          <w:highlight w:val="none"/>
        </w:rPr>
        <w:t>70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42D117C">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_Toc15675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31 承包人劳务</w:t>
      </w:r>
      <w:r>
        <w:rPr>
          <w:color w:val="auto"/>
          <w:highlight w:val="none"/>
        </w:rPr>
        <w:tab/>
      </w:r>
      <w:r>
        <w:rPr>
          <w:color w:val="auto"/>
          <w:highlight w:val="none"/>
        </w:rPr>
        <w:fldChar w:fldCharType="begin"/>
      </w:r>
      <w:r>
        <w:rPr>
          <w:color w:val="auto"/>
          <w:highlight w:val="none"/>
        </w:rPr>
        <w:instrText xml:space="preserve"> PAGEREF _Toc15675 \h </w:instrText>
      </w:r>
      <w:r>
        <w:rPr>
          <w:color w:val="auto"/>
          <w:highlight w:val="none"/>
        </w:rPr>
        <w:fldChar w:fldCharType="separate"/>
      </w:r>
      <w:r>
        <w:rPr>
          <w:color w:val="auto"/>
          <w:highlight w:val="none"/>
        </w:rPr>
        <w:t>70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24DE387">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_Toc12773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szCs w:val="24"/>
          <w:highlight w:val="none"/>
          <w:lang w:eastAsia="zh-CN"/>
        </w:rPr>
        <w:t>三、担保、保险与风险</w:t>
      </w:r>
      <w:r>
        <w:rPr>
          <w:color w:val="auto"/>
          <w:highlight w:val="none"/>
        </w:rPr>
        <w:tab/>
      </w:r>
      <w:r>
        <w:rPr>
          <w:color w:val="auto"/>
          <w:highlight w:val="none"/>
        </w:rPr>
        <w:fldChar w:fldCharType="begin"/>
      </w:r>
      <w:r>
        <w:rPr>
          <w:color w:val="auto"/>
          <w:highlight w:val="none"/>
        </w:rPr>
        <w:instrText xml:space="preserve"> PAGEREF _Toc12773 \h </w:instrText>
      </w:r>
      <w:r>
        <w:rPr>
          <w:color w:val="auto"/>
          <w:highlight w:val="none"/>
        </w:rPr>
        <w:fldChar w:fldCharType="separate"/>
      </w:r>
      <w:r>
        <w:rPr>
          <w:color w:val="auto"/>
          <w:highlight w:val="none"/>
        </w:rPr>
        <w:t>72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0314FB9">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_Toc12628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32工程担保</w:t>
      </w:r>
      <w:r>
        <w:rPr>
          <w:color w:val="auto"/>
          <w:highlight w:val="none"/>
        </w:rPr>
        <w:tab/>
      </w:r>
      <w:r>
        <w:rPr>
          <w:color w:val="auto"/>
          <w:highlight w:val="none"/>
        </w:rPr>
        <w:fldChar w:fldCharType="begin"/>
      </w:r>
      <w:r>
        <w:rPr>
          <w:color w:val="auto"/>
          <w:highlight w:val="none"/>
        </w:rPr>
        <w:instrText xml:space="preserve"> PAGEREF _Toc12628 \h </w:instrText>
      </w:r>
      <w:r>
        <w:rPr>
          <w:color w:val="auto"/>
          <w:highlight w:val="none"/>
        </w:rPr>
        <w:fldChar w:fldCharType="separate"/>
      </w:r>
      <w:r>
        <w:rPr>
          <w:color w:val="auto"/>
          <w:highlight w:val="none"/>
        </w:rPr>
        <w:t>72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17D05B6">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_Toc29169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33发包人风险</w:t>
      </w:r>
      <w:r>
        <w:rPr>
          <w:color w:val="auto"/>
          <w:highlight w:val="none"/>
        </w:rPr>
        <w:tab/>
      </w:r>
      <w:r>
        <w:rPr>
          <w:color w:val="auto"/>
          <w:highlight w:val="none"/>
        </w:rPr>
        <w:fldChar w:fldCharType="begin"/>
      </w:r>
      <w:r>
        <w:rPr>
          <w:color w:val="auto"/>
          <w:highlight w:val="none"/>
        </w:rPr>
        <w:instrText xml:space="preserve"> PAGEREF _Toc29169 \h </w:instrText>
      </w:r>
      <w:r>
        <w:rPr>
          <w:color w:val="auto"/>
          <w:highlight w:val="none"/>
        </w:rPr>
        <w:fldChar w:fldCharType="separate"/>
      </w:r>
      <w:r>
        <w:rPr>
          <w:color w:val="auto"/>
          <w:highlight w:val="none"/>
        </w:rPr>
        <w:t>74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A963DFC">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_Toc11719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rPr>
        <w:t>3</w:t>
      </w:r>
      <w:r>
        <w:rPr>
          <w:rFonts w:hint="eastAsia" w:ascii="仿宋" w:hAnsi="仿宋" w:eastAsia="仿宋" w:cs="仿宋"/>
          <w:bCs w:val="0"/>
          <w:color w:val="auto"/>
          <w:szCs w:val="24"/>
          <w:highlight w:val="none"/>
        </w:rPr>
        <w:t>4承包人风险</w:t>
      </w:r>
      <w:r>
        <w:rPr>
          <w:color w:val="auto"/>
          <w:highlight w:val="none"/>
        </w:rPr>
        <w:tab/>
      </w:r>
      <w:r>
        <w:rPr>
          <w:color w:val="auto"/>
          <w:highlight w:val="none"/>
        </w:rPr>
        <w:fldChar w:fldCharType="begin"/>
      </w:r>
      <w:r>
        <w:rPr>
          <w:color w:val="auto"/>
          <w:highlight w:val="none"/>
        </w:rPr>
        <w:instrText xml:space="preserve"> PAGEREF _Toc11719 \h </w:instrText>
      </w:r>
      <w:r>
        <w:rPr>
          <w:color w:val="auto"/>
          <w:highlight w:val="none"/>
        </w:rPr>
        <w:fldChar w:fldCharType="separate"/>
      </w:r>
      <w:r>
        <w:rPr>
          <w:color w:val="auto"/>
          <w:highlight w:val="none"/>
        </w:rPr>
        <w:t>74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710469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_Toc4592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3</w:t>
      </w:r>
      <w:r>
        <w:rPr>
          <w:rFonts w:hint="eastAsia" w:ascii="仿宋" w:hAnsi="仿宋" w:eastAsia="仿宋" w:cs="仿宋"/>
          <w:bCs w:val="0"/>
          <w:color w:val="auto"/>
          <w:szCs w:val="24"/>
          <w:highlight w:val="none"/>
          <w:lang w:eastAsia="zh-CN"/>
        </w:rPr>
        <w:t>5不可抗力</w:t>
      </w:r>
      <w:r>
        <w:rPr>
          <w:color w:val="auto"/>
          <w:highlight w:val="none"/>
        </w:rPr>
        <w:tab/>
      </w:r>
      <w:r>
        <w:rPr>
          <w:color w:val="auto"/>
          <w:highlight w:val="none"/>
        </w:rPr>
        <w:fldChar w:fldCharType="begin"/>
      </w:r>
      <w:r>
        <w:rPr>
          <w:color w:val="auto"/>
          <w:highlight w:val="none"/>
        </w:rPr>
        <w:instrText xml:space="preserve"> PAGEREF _Toc4592 \h </w:instrText>
      </w:r>
      <w:r>
        <w:rPr>
          <w:color w:val="auto"/>
          <w:highlight w:val="none"/>
        </w:rPr>
        <w:fldChar w:fldCharType="separate"/>
      </w:r>
      <w:r>
        <w:rPr>
          <w:color w:val="auto"/>
          <w:highlight w:val="none"/>
        </w:rPr>
        <w:t>75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427DF2E">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_Toc11366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3</w:t>
      </w:r>
      <w:r>
        <w:rPr>
          <w:rFonts w:hint="eastAsia" w:ascii="仿宋" w:hAnsi="仿宋" w:eastAsia="仿宋" w:cs="仿宋"/>
          <w:bCs w:val="0"/>
          <w:color w:val="auto"/>
          <w:szCs w:val="24"/>
          <w:highlight w:val="none"/>
          <w:lang w:eastAsia="zh-CN"/>
        </w:rPr>
        <w:t>6保险</w:t>
      </w:r>
      <w:r>
        <w:rPr>
          <w:color w:val="auto"/>
          <w:highlight w:val="none"/>
        </w:rPr>
        <w:tab/>
      </w:r>
      <w:r>
        <w:rPr>
          <w:color w:val="auto"/>
          <w:highlight w:val="none"/>
        </w:rPr>
        <w:fldChar w:fldCharType="begin"/>
      </w:r>
      <w:r>
        <w:rPr>
          <w:color w:val="auto"/>
          <w:highlight w:val="none"/>
        </w:rPr>
        <w:instrText xml:space="preserve"> PAGEREF _Toc11366 \h </w:instrText>
      </w:r>
      <w:r>
        <w:rPr>
          <w:color w:val="auto"/>
          <w:highlight w:val="none"/>
        </w:rPr>
        <w:fldChar w:fldCharType="separate"/>
      </w:r>
      <w:r>
        <w:rPr>
          <w:color w:val="auto"/>
          <w:highlight w:val="none"/>
        </w:rPr>
        <w:t>76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C5E6A49">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_Toc7780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四、勘察、设计与BIM技术应用</w:t>
      </w:r>
      <w:r>
        <w:rPr>
          <w:color w:val="auto"/>
          <w:highlight w:val="none"/>
        </w:rPr>
        <w:tab/>
      </w:r>
      <w:r>
        <w:rPr>
          <w:color w:val="auto"/>
          <w:highlight w:val="none"/>
        </w:rPr>
        <w:fldChar w:fldCharType="begin"/>
      </w:r>
      <w:r>
        <w:rPr>
          <w:color w:val="auto"/>
          <w:highlight w:val="none"/>
        </w:rPr>
        <w:instrText xml:space="preserve"> PAGEREF _Toc7780 \h </w:instrText>
      </w:r>
      <w:r>
        <w:rPr>
          <w:color w:val="auto"/>
          <w:highlight w:val="none"/>
        </w:rPr>
        <w:fldChar w:fldCharType="separate"/>
      </w:r>
      <w:r>
        <w:rPr>
          <w:color w:val="auto"/>
          <w:highlight w:val="none"/>
        </w:rPr>
        <w:t>78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A49F7A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_Toc441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37  工程勘察</w:t>
      </w:r>
      <w:r>
        <w:rPr>
          <w:color w:val="auto"/>
          <w:highlight w:val="none"/>
        </w:rPr>
        <w:tab/>
      </w:r>
      <w:r>
        <w:rPr>
          <w:color w:val="auto"/>
          <w:highlight w:val="none"/>
        </w:rPr>
        <w:fldChar w:fldCharType="begin"/>
      </w:r>
      <w:r>
        <w:rPr>
          <w:color w:val="auto"/>
          <w:highlight w:val="none"/>
        </w:rPr>
        <w:instrText xml:space="preserve"> PAGEREF _Toc441 \h </w:instrText>
      </w:r>
      <w:r>
        <w:rPr>
          <w:color w:val="auto"/>
          <w:highlight w:val="none"/>
        </w:rPr>
        <w:fldChar w:fldCharType="separate"/>
      </w:r>
      <w:r>
        <w:rPr>
          <w:color w:val="auto"/>
          <w:highlight w:val="none"/>
        </w:rPr>
        <w:t>78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16B6317">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_Toc13258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38  工程设计</w:t>
      </w:r>
      <w:r>
        <w:rPr>
          <w:color w:val="auto"/>
          <w:highlight w:val="none"/>
        </w:rPr>
        <w:tab/>
      </w:r>
      <w:r>
        <w:rPr>
          <w:color w:val="auto"/>
          <w:highlight w:val="none"/>
        </w:rPr>
        <w:fldChar w:fldCharType="begin"/>
      </w:r>
      <w:r>
        <w:rPr>
          <w:color w:val="auto"/>
          <w:highlight w:val="none"/>
        </w:rPr>
        <w:instrText xml:space="preserve"> PAGEREF _Toc13258 \h </w:instrText>
      </w:r>
      <w:r>
        <w:rPr>
          <w:color w:val="auto"/>
          <w:highlight w:val="none"/>
        </w:rPr>
        <w:fldChar w:fldCharType="separate"/>
      </w:r>
      <w:r>
        <w:rPr>
          <w:color w:val="auto"/>
          <w:highlight w:val="none"/>
        </w:rPr>
        <w:t>80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FE731A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_Toc14139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39  BIM技术应用</w:t>
      </w:r>
      <w:r>
        <w:rPr>
          <w:color w:val="auto"/>
          <w:highlight w:val="none"/>
        </w:rPr>
        <w:tab/>
      </w:r>
      <w:r>
        <w:rPr>
          <w:color w:val="auto"/>
          <w:highlight w:val="none"/>
        </w:rPr>
        <w:fldChar w:fldCharType="begin"/>
      </w:r>
      <w:r>
        <w:rPr>
          <w:color w:val="auto"/>
          <w:highlight w:val="none"/>
        </w:rPr>
        <w:instrText xml:space="preserve"> PAGEREF _Toc14139 \h </w:instrText>
      </w:r>
      <w:r>
        <w:rPr>
          <w:color w:val="auto"/>
          <w:highlight w:val="none"/>
        </w:rPr>
        <w:fldChar w:fldCharType="separate"/>
      </w:r>
      <w:r>
        <w:rPr>
          <w:color w:val="auto"/>
          <w:highlight w:val="none"/>
        </w:rPr>
        <w:t>84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0094EC2">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_Toc4196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szCs w:val="24"/>
          <w:highlight w:val="none"/>
          <w:lang w:eastAsia="zh-CN"/>
        </w:rPr>
        <w:t>五、工期</w:t>
      </w:r>
      <w:r>
        <w:rPr>
          <w:color w:val="auto"/>
          <w:highlight w:val="none"/>
        </w:rPr>
        <w:tab/>
      </w:r>
      <w:r>
        <w:rPr>
          <w:color w:val="auto"/>
          <w:highlight w:val="none"/>
        </w:rPr>
        <w:fldChar w:fldCharType="begin"/>
      </w:r>
      <w:r>
        <w:rPr>
          <w:color w:val="auto"/>
          <w:highlight w:val="none"/>
        </w:rPr>
        <w:instrText xml:space="preserve"> PAGEREF _Toc4196 \h </w:instrText>
      </w:r>
      <w:r>
        <w:rPr>
          <w:color w:val="auto"/>
          <w:highlight w:val="none"/>
        </w:rPr>
        <w:fldChar w:fldCharType="separate"/>
      </w:r>
      <w:r>
        <w:rPr>
          <w:color w:val="auto"/>
          <w:highlight w:val="none"/>
        </w:rPr>
        <w:t>87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837018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_Toc2342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40</w:t>
      </w:r>
      <w:r>
        <w:rPr>
          <w:rFonts w:hint="eastAsia" w:ascii="仿宋" w:hAnsi="仿宋" w:eastAsia="仿宋" w:cs="仿宋"/>
          <w:color w:val="auto"/>
          <w:szCs w:val="24"/>
          <w:highlight w:val="none"/>
          <w:lang w:eastAsia="zh-CN"/>
        </w:rPr>
        <w:t>进度计划和报告</w:t>
      </w:r>
      <w:r>
        <w:rPr>
          <w:color w:val="auto"/>
          <w:highlight w:val="none"/>
        </w:rPr>
        <w:tab/>
      </w:r>
      <w:r>
        <w:rPr>
          <w:color w:val="auto"/>
          <w:highlight w:val="none"/>
        </w:rPr>
        <w:fldChar w:fldCharType="begin"/>
      </w:r>
      <w:r>
        <w:rPr>
          <w:color w:val="auto"/>
          <w:highlight w:val="none"/>
        </w:rPr>
        <w:instrText xml:space="preserve"> PAGEREF _Toc2342 \h </w:instrText>
      </w:r>
      <w:r>
        <w:rPr>
          <w:color w:val="auto"/>
          <w:highlight w:val="none"/>
        </w:rPr>
        <w:fldChar w:fldCharType="separate"/>
      </w:r>
      <w:r>
        <w:rPr>
          <w:color w:val="auto"/>
          <w:highlight w:val="none"/>
        </w:rPr>
        <w:t>87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CD3348D">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_Toc17950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41开始工作或开工</w:t>
      </w:r>
      <w:r>
        <w:rPr>
          <w:color w:val="auto"/>
          <w:highlight w:val="none"/>
        </w:rPr>
        <w:tab/>
      </w:r>
      <w:r>
        <w:rPr>
          <w:color w:val="auto"/>
          <w:highlight w:val="none"/>
        </w:rPr>
        <w:fldChar w:fldCharType="begin"/>
      </w:r>
      <w:r>
        <w:rPr>
          <w:color w:val="auto"/>
          <w:highlight w:val="none"/>
        </w:rPr>
        <w:instrText xml:space="preserve"> PAGEREF _Toc17950 \h </w:instrText>
      </w:r>
      <w:r>
        <w:rPr>
          <w:color w:val="auto"/>
          <w:highlight w:val="none"/>
        </w:rPr>
        <w:fldChar w:fldCharType="separate"/>
      </w:r>
      <w:r>
        <w:rPr>
          <w:color w:val="auto"/>
          <w:highlight w:val="none"/>
        </w:rPr>
        <w:t>88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75B7066">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_Toc15796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42暂停工作、暂停施工和复工</w:t>
      </w:r>
      <w:r>
        <w:rPr>
          <w:color w:val="auto"/>
          <w:highlight w:val="none"/>
        </w:rPr>
        <w:tab/>
      </w:r>
      <w:r>
        <w:rPr>
          <w:color w:val="auto"/>
          <w:highlight w:val="none"/>
        </w:rPr>
        <w:fldChar w:fldCharType="begin"/>
      </w:r>
      <w:r>
        <w:rPr>
          <w:color w:val="auto"/>
          <w:highlight w:val="none"/>
        </w:rPr>
        <w:instrText xml:space="preserve"> PAGEREF _Toc15796 \h </w:instrText>
      </w:r>
      <w:r>
        <w:rPr>
          <w:color w:val="auto"/>
          <w:highlight w:val="none"/>
        </w:rPr>
        <w:fldChar w:fldCharType="separate"/>
      </w:r>
      <w:r>
        <w:rPr>
          <w:color w:val="auto"/>
          <w:highlight w:val="none"/>
        </w:rPr>
        <w:t>89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EDED636">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_Toc7911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43工期和工期延误</w:t>
      </w:r>
      <w:r>
        <w:rPr>
          <w:color w:val="auto"/>
          <w:highlight w:val="none"/>
        </w:rPr>
        <w:tab/>
      </w:r>
      <w:r>
        <w:rPr>
          <w:color w:val="auto"/>
          <w:highlight w:val="none"/>
        </w:rPr>
        <w:fldChar w:fldCharType="begin"/>
      </w:r>
      <w:r>
        <w:rPr>
          <w:color w:val="auto"/>
          <w:highlight w:val="none"/>
        </w:rPr>
        <w:instrText xml:space="preserve"> PAGEREF _Toc7911 \h </w:instrText>
      </w:r>
      <w:r>
        <w:rPr>
          <w:color w:val="auto"/>
          <w:highlight w:val="none"/>
        </w:rPr>
        <w:fldChar w:fldCharType="separate"/>
      </w:r>
      <w:r>
        <w:rPr>
          <w:color w:val="auto"/>
          <w:highlight w:val="none"/>
        </w:rPr>
        <w:t>92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2DBF084">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_Toc26909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44加快进度</w:t>
      </w:r>
      <w:r>
        <w:rPr>
          <w:color w:val="auto"/>
          <w:highlight w:val="none"/>
        </w:rPr>
        <w:tab/>
      </w:r>
      <w:r>
        <w:rPr>
          <w:color w:val="auto"/>
          <w:highlight w:val="none"/>
        </w:rPr>
        <w:fldChar w:fldCharType="begin"/>
      </w:r>
      <w:r>
        <w:rPr>
          <w:color w:val="auto"/>
          <w:highlight w:val="none"/>
        </w:rPr>
        <w:instrText xml:space="preserve"> PAGEREF _Toc26909 \h </w:instrText>
      </w:r>
      <w:r>
        <w:rPr>
          <w:color w:val="auto"/>
          <w:highlight w:val="none"/>
        </w:rPr>
        <w:fldChar w:fldCharType="separate"/>
      </w:r>
      <w:r>
        <w:rPr>
          <w:color w:val="auto"/>
          <w:highlight w:val="none"/>
        </w:rPr>
        <w:t>95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6CB15BC">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_Toc12285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45竣工日期</w:t>
      </w:r>
      <w:r>
        <w:rPr>
          <w:color w:val="auto"/>
          <w:highlight w:val="none"/>
        </w:rPr>
        <w:tab/>
      </w:r>
      <w:r>
        <w:rPr>
          <w:color w:val="auto"/>
          <w:highlight w:val="none"/>
        </w:rPr>
        <w:fldChar w:fldCharType="begin"/>
      </w:r>
      <w:r>
        <w:rPr>
          <w:color w:val="auto"/>
          <w:highlight w:val="none"/>
        </w:rPr>
        <w:instrText xml:space="preserve"> PAGEREF _Toc12285 \h </w:instrText>
      </w:r>
      <w:r>
        <w:rPr>
          <w:color w:val="auto"/>
          <w:highlight w:val="none"/>
        </w:rPr>
        <w:fldChar w:fldCharType="separate"/>
      </w:r>
      <w:r>
        <w:rPr>
          <w:color w:val="auto"/>
          <w:highlight w:val="none"/>
        </w:rPr>
        <w:t>96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1447C52">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_Toc24069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46提前竣工</w:t>
      </w:r>
      <w:r>
        <w:rPr>
          <w:color w:val="auto"/>
          <w:highlight w:val="none"/>
        </w:rPr>
        <w:tab/>
      </w:r>
      <w:r>
        <w:rPr>
          <w:color w:val="auto"/>
          <w:highlight w:val="none"/>
        </w:rPr>
        <w:fldChar w:fldCharType="begin"/>
      </w:r>
      <w:r>
        <w:rPr>
          <w:color w:val="auto"/>
          <w:highlight w:val="none"/>
        </w:rPr>
        <w:instrText xml:space="preserve"> PAGEREF _Toc24069 \h </w:instrText>
      </w:r>
      <w:r>
        <w:rPr>
          <w:color w:val="auto"/>
          <w:highlight w:val="none"/>
        </w:rPr>
        <w:fldChar w:fldCharType="separate"/>
      </w:r>
      <w:r>
        <w:rPr>
          <w:color w:val="auto"/>
          <w:highlight w:val="none"/>
        </w:rPr>
        <w:t>97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1D3C3C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_Toc12903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4</w:t>
      </w:r>
      <w:r>
        <w:rPr>
          <w:rFonts w:hint="eastAsia" w:ascii="仿宋" w:hAnsi="仿宋" w:eastAsia="仿宋" w:cs="仿宋"/>
          <w:bCs w:val="0"/>
          <w:color w:val="auto"/>
          <w:szCs w:val="24"/>
          <w:highlight w:val="none"/>
          <w:lang w:eastAsia="zh-CN"/>
        </w:rPr>
        <w:t>7误期赔偿</w:t>
      </w:r>
      <w:r>
        <w:rPr>
          <w:color w:val="auto"/>
          <w:highlight w:val="none"/>
        </w:rPr>
        <w:tab/>
      </w:r>
      <w:r>
        <w:rPr>
          <w:color w:val="auto"/>
          <w:highlight w:val="none"/>
        </w:rPr>
        <w:fldChar w:fldCharType="begin"/>
      </w:r>
      <w:r>
        <w:rPr>
          <w:color w:val="auto"/>
          <w:highlight w:val="none"/>
        </w:rPr>
        <w:instrText xml:space="preserve"> PAGEREF _Toc12903 \h </w:instrText>
      </w:r>
      <w:r>
        <w:rPr>
          <w:color w:val="auto"/>
          <w:highlight w:val="none"/>
        </w:rPr>
        <w:fldChar w:fldCharType="separate"/>
      </w:r>
      <w:r>
        <w:rPr>
          <w:color w:val="auto"/>
          <w:highlight w:val="none"/>
        </w:rPr>
        <w:t>97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5674FAD">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_Toc9856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szCs w:val="24"/>
          <w:highlight w:val="none"/>
          <w:lang w:eastAsia="zh-CN"/>
        </w:rPr>
        <w:t>六、质量与安全</w:t>
      </w:r>
      <w:r>
        <w:rPr>
          <w:color w:val="auto"/>
          <w:highlight w:val="none"/>
        </w:rPr>
        <w:tab/>
      </w:r>
      <w:r>
        <w:rPr>
          <w:color w:val="auto"/>
          <w:highlight w:val="none"/>
        </w:rPr>
        <w:fldChar w:fldCharType="begin"/>
      </w:r>
      <w:r>
        <w:rPr>
          <w:color w:val="auto"/>
          <w:highlight w:val="none"/>
        </w:rPr>
        <w:instrText xml:space="preserve"> PAGEREF _Toc9856 \h </w:instrText>
      </w:r>
      <w:r>
        <w:rPr>
          <w:color w:val="auto"/>
          <w:highlight w:val="none"/>
        </w:rPr>
        <w:fldChar w:fldCharType="separate"/>
      </w:r>
      <w:r>
        <w:rPr>
          <w:color w:val="auto"/>
          <w:highlight w:val="none"/>
        </w:rPr>
        <w:t>97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280C796">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_Toc4202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w:t>
      </w:r>
      <w:r>
        <w:rPr>
          <w:rFonts w:ascii="仿宋" w:hAnsi="仿宋" w:eastAsia="仿宋" w:cs="仿宋"/>
          <w:bCs w:val="0"/>
          <w:color w:val="auto"/>
          <w:szCs w:val="24"/>
          <w:highlight w:val="none"/>
          <w:lang w:eastAsia="zh-CN"/>
        </w:rPr>
        <w:t>4</w:t>
      </w:r>
      <w:r>
        <w:rPr>
          <w:rFonts w:hint="eastAsia" w:ascii="仿宋" w:hAnsi="仿宋" w:eastAsia="仿宋" w:cs="仿宋"/>
          <w:bCs w:val="0"/>
          <w:color w:val="auto"/>
          <w:szCs w:val="24"/>
          <w:highlight w:val="none"/>
          <w:lang w:eastAsia="zh-CN"/>
        </w:rPr>
        <w:t>8质量与安全管理</w:t>
      </w:r>
      <w:r>
        <w:rPr>
          <w:color w:val="auto"/>
          <w:highlight w:val="none"/>
        </w:rPr>
        <w:tab/>
      </w:r>
      <w:r>
        <w:rPr>
          <w:color w:val="auto"/>
          <w:highlight w:val="none"/>
        </w:rPr>
        <w:fldChar w:fldCharType="begin"/>
      </w:r>
      <w:r>
        <w:rPr>
          <w:color w:val="auto"/>
          <w:highlight w:val="none"/>
        </w:rPr>
        <w:instrText xml:space="preserve"> PAGEREF _Toc4202 \h </w:instrText>
      </w:r>
      <w:r>
        <w:rPr>
          <w:color w:val="auto"/>
          <w:highlight w:val="none"/>
        </w:rPr>
        <w:fldChar w:fldCharType="separate"/>
      </w:r>
      <w:r>
        <w:rPr>
          <w:color w:val="auto"/>
          <w:highlight w:val="none"/>
        </w:rPr>
        <w:t>98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36B00A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_Toc22427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★49质量标准</w:t>
      </w:r>
      <w:r>
        <w:rPr>
          <w:color w:val="auto"/>
          <w:highlight w:val="none"/>
        </w:rPr>
        <w:tab/>
      </w:r>
      <w:r>
        <w:rPr>
          <w:color w:val="auto"/>
          <w:highlight w:val="none"/>
        </w:rPr>
        <w:fldChar w:fldCharType="begin"/>
      </w:r>
      <w:r>
        <w:rPr>
          <w:color w:val="auto"/>
          <w:highlight w:val="none"/>
        </w:rPr>
        <w:instrText xml:space="preserve"> PAGEREF _Toc22427 \h </w:instrText>
      </w:r>
      <w:r>
        <w:rPr>
          <w:color w:val="auto"/>
          <w:highlight w:val="none"/>
        </w:rPr>
        <w:fldChar w:fldCharType="separate"/>
      </w:r>
      <w:r>
        <w:rPr>
          <w:color w:val="auto"/>
          <w:highlight w:val="none"/>
        </w:rPr>
        <w:t>99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5A73FB4">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_Toc2747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★50工程质量创优</w:t>
      </w:r>
      <w:r>
        <w:rPr>
          <w:color w:val="auto"/>
          <w:highlight w:val="none"/>
        </w:rPr>
        <w:tab/>
      </w:r>
      <w:r>
        <w:rPr>
          <w:color w:val="auto"/>
          <w:highlight w:val="none"/>
        </w:rPr>
        <w:fldChar w:fldCharType="begin"/>
      </w:r>
      <w:r>
        <w:rPr>
          <w:color w:val="auto"/>
          <w:highlight w:val="none"/>
        </w:rPr>
        <w:instrText xml:space="preserve"> PAGEREF _Toc2747 \h </w:instrText>
      </w:r>
      <w:r>
        <w:rPr>
          <w:color w:val="auto"/>
          <w:highlight w:val="none"/>
        </w:rPr>
        <w:fldChar w:fldCharType="separate"/>
      </w:r>
      <w:r>
        <w:rPr>
          <w:color w:val="auto"/>
          <w:highlight w:val="none"/>
        </w:rPr>
        <w:t>100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DE4856A">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_Toc31858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51工程的照管</w:t>
      </w:r>
      <w:r>
        <w:rPr>
          <w:color w:val="auto"/>
          <w:highlight w:val="none"/>
        </w:rPr>
        <w:tab/>
      </w:r>
      <w:r>
        <w:rPr>
          <w:color w:val="auto"/>
          <w:highlight w:val="none"/>
        </w:rPr>
        <w:fldChar w:fldCharType="begin"/>
      </w:r>
      <w:r>
        <w:rPr>
          <w:color w:val="auto"/>
          <w:highlight w:val="none"/>
        </w:rPr>
        <w:instrText xml:space="preserve"> PAGEREF _Toc31858 \h </w:instrText>
      </w:r>
      <w:r>
        <w:rPr>
          <w:color w:val="auto"/>
          <w:highlight w:val="none"/>
        </w:rPr>
        <w:fldChar w:fldCharType="separate"/>
      </w:r>
      <w:r>
        <w:rPr>
          <w:color w:val="auto"/>
          <w:highlight w:val="none"/>
        </w:rPr>
        <w:t>101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24E6610">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_Toc10041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★52绿色施工安全防护</w:t>
      </w:r>
      <w:r>
        <w:rPr>
          <w:color w:val="auto"/>
          <w:highlight w:val="none"/>
        </w:rPr>
        <w:tab/>
      </w:r>
      <w:r>
        <w:rPr>
          <w:color w:val="auto"/>
          <w:highlight w:val="none"/>
        </w:rPr>
        <w:fldChar w:fldCharType="begin"/>
      </w:r>
      <w:r>
        <w:rPr>
          <w:color w:val="auto"/>
          <w:highlight w:val="none"/>
        </w:rPr>
        <w:instrText xml:space="preserve"> PAGEREF _Toc10041 \h </w:instrText>
      </w:r>
      <w:r>
        <w:rPr>
          <w:color w:val="auto"/>
          <w:highlight w:val="none"/>
        </w:rPr>
        <w:fldChar w:fldCharType="separate"/>
      </w:r>
      <w:r>
        <w:rPr>
          <w:color w:val="auto"/>
          <w:highlight w:val="none"/>
        </w:rPr>
        <w:t>102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05E05F6">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_Toc910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53测量放线</w:t>
      </w:r>
      <w:r>
        <w:rPr>
          <w:color w:val="auto"/>
          <w:highlight w:val="none"/>
        </w:rPr>
        <w:tab/>
      </w:r>
      <w:r>
        <w:rPr>
          <w:color w:val="auto"/>
          <w:highlight w:val="none"/>
        </w:rPr>
        <w:fldChar w:fldCharType="begin"/>
      </w:r>
      <w:r>
        <w:rPr>
          <w:color w:val="auto"/>
          <w:highlight w:val="none"/>
        </w:rPr>
        <w:instrText xml:space="preserve"> PAGEREF _Toc910 \h </w:instrText>
      </w:r>
      <w:r>
        <w:rPr>
          <w:color w:val="auto"/>
          <w:highlight w:val="none"/>
        </w:rPr>
        <w:fldChar w:fldCharType="separate"/>
      </w:r>
      <w:r>
        <w:rPr>
          <w:color w:val="auto"/>
          <w:highlight w:val="none"/>
        </w:rPr>
        <w:t>105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CB5CF0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_Toc832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54钻孔与勘探性开挖</w:t>
      </w:r>
      <w:r>
        <w:rPr>
          <w:color w:val="auto"/>
          <w:highlight w:val="none"/>
        </w:rPr>
        <w:tab/>
      </w:r>
      <w:r>
        <w:rPr>
          <w:color w:val="auto"/>
          <w:highlight w:val="none"/>
        </w:rPr>
        <w:fldChar w:fldCharType="begin"/>
      </w:r>
      <w:r>
        <w:rPr>
          <w:color w:val="auto"/>
          <w:highlight w:val="none"/>
        </w:rPr>
        <w:instrText xml:space="preserve"> PAGEREF _Toc832 \h </w:instrText>
      </w:r>
      <w:r>
        <w:rPr>
          <w:color w:val="auto"/>
          <w:highlight w:val="none"/>
        </w:rPr>
        <w:fldChar w:fldCharType="separate"/>
      </w:r>
      <w:r>
        <w:rPr>
          <w:color w:val="auto"/>
          <w:highlight w:val="none"/>
        </w:rPr>
        <w:t>106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949B56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_Toc1549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55发包人供应工程材料和工程设备</w:t>
      </w:r>
      <w:r>
        <w:rPr>
          <w:color w:val="auto"/>
          <w:highlight w:val="none"/>
        </w:rPr>
        <w:tab/>
      </w:r>
      <w:r>
        <w:rPr>
          <w:color w:val="auto"/>
          <w:highlight w:val="none"/>
        </w:rPr>
        <w:fldChar w:fldCharType="begin"/>
      </w:r>
      <w:r>
        <w:rPr>
          <w:color w:val="auto"/>
          <w:highlight w:val="none"/>
        </w:rPr>
        <w:instrText xml:space="preserve"> PAGEREF _Toc1549 \h </w:instrText>
      </w:r>
      <w:r>
        <w:rPr>
          <w:color w:val="auto"/>
          <w:highlight w:val="none"/>
        </w:rPr>
        <w:fldChar w:fldCharType="separate"/>
      </w:r>
      <w:r>
        <w:rPr>
          <w:color w:val="auto"/>
          <w:highlight w:val="none"/>
        </w:rPr>
        <w:t>107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33026D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_Toc30766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56承包人购置设备及工器具、采购工程材料和工程设备</w:t>
      </w:r>
      <w:r>
        <w:rPr>
          <w:color w:val="auto"/>
          <w:highlight w:val="none"/>
        </w:rPr>
        <w:tab/>
      </w:r>
      <w:r>
        <w:rPr>
          <w:color w:val="auto"/>
          <w:highlight w:val="none"/>
        </w:rPr>
        <w:fldChar w:fldCharType="begin"/>
      </w:r>
      <w:r>
        <w:rPr>
          <w:color w:val="auto"/>
          <w:highlight w:val="none"/>
        </w:rPr>
        <w:instrText xml:space="preserve"> PAGEREF _Toc30766 \h </w:instrText>
      </w:r>
      <w:r>
        <w:rPr>
          <w:color w:val="auto"/>
          <w:highlight w:val="none"/>
        </w:rPr>
        <w:fldChar w:fldCharType="separate"/>
      </w:r>
      <w:r>
        <w:rPr>
          <w:color w:val="auto"/>
          <w:highlight w:val="none"/>
        </w:rPr>
        <w:t>109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05DD7E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_Toc29088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5</w:t>
      </w:r>
      <w:r>
        <w:rPr>
          <w:rFonts w:hint="eastAsia" w:ascii="仿宋" w:hAnsi="仿宋" w:eastAsia="仿宋" w:cs="仿宋"/>
          <w:bCs w:val="0"/>
          <w:color w:val="auto"/>
          <w:szCs w:val="24"/>
          <w:highlight w:val="none"/>
          <w:lang w:eastAsia="zh-CN"/>
        </w:rPr>
        <w:t>7设备及工器具的验收、工程材料和工程设备的检验试验</w:t>
      </w:r>
      <w:r>
        <w:rPr>
          <w:color w:val="auto"/>
          <w:highlight w:val="none"/>
        </w:rPr>
        <w:tab/>
      </w:r>
      <w:r>
        <w:rPr>
          <w:color w:val="auto"/>
          <w:highlight w:val="none"/>
        </w:rPr>
        <w:fldChar w:fldCharType="begin"/>
      </w:r>
      <w:r>
        <w:rPr>
          <w:color w:val="auto"/>
          <w:highlight w:val="none"/>
        </w:rPr>
        <w:instrText xml:space="preserve"> PAGEREF _Toc29088 \h </w:instrText>
      </w:r>
      <w:r>
        <w:rPr>
          <w:color w:val="auto"/>
          <w:highlight w:val="none"/>
        </w:rPr>
        <w:fldChar w:fldCharType="separate"/>
      </w:r>
      <w:r>
        <w:rPr>
          <w:color w:val="auto"/>
          <w:highlight w:val="none"/>
        </w:rPr>
        <w:t>110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1D820FF">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_Toc6011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5</w:t>
      </w:r>
      <w:r>
        <w:rPr>
          <w:rFonts w:hint="eastAsia" w:ascii="仿宋" w:hAnsi="仿宋" w:eastAsia="仿宋" w:cs="仿宋"/>
          <w:bCs w:val="0"/>
          <w:color w:val="auto"/>
          <w:szCs w:val="24"/>
          <w:highlight w:val="none"/>
          <w:lang w:eastAsia="zh-CN"/>
        </w:rPr>
        <w:t>8施工设备和临时设施</w:t>
      </w:r>
      <w:r>
        <w:rPr>
          <w:color w:val="auto"/>
          <w:highlight w:val="none"/>
        </w:rPr>
        <w:tab/>
      </w:r>
      <w:r>
        <w:rPr>
          <w:color w:val="auto"/>
          <w:highlight w:val="none"/>
        </w:rPr>
        <w:fldChar w:fldCharType="begin"/>
      </w:r>
      <w:r>
        <w:rPr>
          <w:color w:val="auto"/>
          <w:highlight w:val="none"/>
        </w:rPr>
        <w:instrText xml:space="preserve"> PAGEREF _Toc6011 \h </w:instrText>
      </w:r>
      <w:r>
        <w:rPr>
          <w:color w:val="auto"/>
          <w:highlight w:val="none"/>
        </w:rPr>
        <w:fldChar w:fldCharType="separate"/>
      </w:r>
      <w:r>
        <w:rPr>
          <w:color w:val="auto"/>
          <w:highlight w:val="none"/>
        </w:rPr>
        <w:t>113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6E0D5D8">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_Toc10822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★59工程质量检查</w:t>
      </w:r>
      <w:r>
        <w:rPr>
          <w:color w:val="auto"/>
          <w:highlight w:val="none"/>
        </w:rPr>
        <w:tab/>
      </w:r>
      <w:r>
        <w:rPr>
          <w:color w:val="auto"/>
          <w:highlight w:val="none"/>
        </w:rPr>
        <w:fldChar w:fldCharType="begin"/>
      </w:r>
      <w:r>
        <w:rPr>
          <w:color w:val="auto"/>
          <w:highlight w:val="none"/>
        </w:rPr>
        <w:instrText xml:space="preserve"> PAGEREF _Toc10822 \h </w:instrText>
      </w:r>
      <w:r>
        <w:rPr>
          <w:color w:val="auto"/>
          <w:highlight w:val="none"/>
        </w:rPr>
        <w:fldChar w:fldCharType="separate"/>
      </w:r>
      <w:r>
        <w:rPr>
          <w:color w:val="auto"/>
          <w:highlight w:val="none"/>
        </w:rPr>
        <w:t>113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CEC4EB9">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_Toc29702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★60隐蔽工程和中间验收</w:t>
      </w:r>
      <w:r>
        <w:rPr>
          <w:color w:val="auto"/>
          <w:highlight w:val="none"/>
        </w:rPr>
        <w:tab/>
      </w:r>
      <w:r>
        <w:rPr>
          <w:color w:val="auto"/>
          <w:highlight w:val="none"/>
        </w:rPr>
        <w:fldChar w:fldCharType="begin"/>
      </w:r>
      <w:r>
        <w:rPr>
          <w:color w:val="auto"/>
          <w:highlight w:val="none"/>
        </w:rPr>
        <w:instrText xml:space="preserve"> PAGEREF _Toc29702 \h </w:instrText>
      </w:r>
      <w:r>
        <w:rPr>
          <w:color w:val="auto"/>
          <w:highlight w:val="none"/>
        </w:rPr>
        <w:fldChar w:fldCharType="separate"/>
      </w:r>
      <w:r>
        <w:rPr>
          <w:color w:val="auto"/>
          <w:highlight w:val="none"/>
        </w:rPr>
        <w:t>114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325F98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_Toc8910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★61重新验收和额外检查检验</w:t>
      </w:r>
      <w:r>
        <w:rPr>
          <w:color w:val="auto"/>
          <w:highlight w:val="none"/>
        </w:rPr>
        <w:tab/>
      </w:r>
      <w:r>
        <w:rPr>
          <w:color w:val="auto"/>
          <w:highlight w:val="none"/>
        </w:rPr>
        <w:fldChar w:fldCharType="begin"/>
      </w:r>
      <w:r>
        <w:rPr>
          <w:color w:val="auto"/>
          <w:highlight w:val="none"/>
        </w:rPr>
        <w:instrText xml:space="preserve"> PAGEREF _Toc8910 \h </w:instrText>
      </w:r>
      <w:r>
        <w:rPr>
          <w:color w:val="auto"/>
          <w:highlight w:val="none"/>
        </w:rPr>
        <w:fldChar w:fldCharType="separate"/>
      </w:r>
      <w:r>
        <w:rPr>
          <w:color w:val="auto"/>
          <w:highlight w:val="none"/>
        </w:rPr>
        <w:t>115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734BCEF">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_Toc31495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62工程试车</w:t>
      </w:r>
      <w:r>
        <w:rPr>
          <w:color w:val="auto"/>
          <w:highlight w:val="none"/>
        </w:rPr>
        <w:tab/>
      </w:r>
      <w:r>
        <w:rPr>
          <w:color w:val="auto"/>
          <w:highlight w:val="none"/>
        </w:rPr>
        <w:fldChar w:fldCharType="begin"/>
      </w:r>
      <w:r>
        <w:rPr>
          <w:color w:val="auto"/>
          <w:highlight w:val="none"/>
        </w:rPr>
        <w:instrText xml:space="preserve"> PAGEREF _Toc31495 \h </w:instrText>
      </w:r>
      <w:r>
        <w:rPr>
          <w:color w:val="auto"/>
          <w:highlight w:val="none"/>
        </w:rPr>
        <w:fldChar w:fldCharType="separate"/>
      </w:r>
      <w:r>
        <w:rPr>
          <w:color w:val="auto"/>
          <w:highlight w:val="none"/>
        </w:rPr>
        <w:t>116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BE84246">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_Toc27291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★63工程变更</w:t>
      </w:r>
      <w:r>
        <w:rPr>
          <w:color w:val="auto"/>
          <w:highlight w:val="none"/>
        </w:rPr>
        <w:tab/>
      </w:r>
      <w:r>
        <w:rPr>
          <w:color w:val="auto"/>
          <w:highlight w:val="none"/>
        </w:rPr>
        <w:fldChar w:fldCharType="begin"/>
      </w:r>
      <w:r>
        <w:rPr>
          <w:color w:val="auto"/>
          <w:highlight w:val="none"/>
        </w:rPr>
        <w:instrText xml:space="preserve"> PAGEREF _Toc27291 \h </w:instrText>
      </w:r>
      <w:r>
        <w:rPr>
          <w:color w:val="auto"/>
          <w:highlight w:val="none"/>
        </w:rPr>
        <w:fldChar w:fldCharType="separate"/>
      </w:r>
      <w:r>
        <w:rPr>
          <w:color w:val="auto"/>
          <w:highlight w:val="none"/>
        </w:rPr>
        <w:t>117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8E2178C">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_Toc341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64竣工验收条件</w:t>
      </w:r>
      <w:r>
        <w:rPr>
          <w:color w:val="auto"/>
          <w:highlight w:val="none"/>
        </w:rPr>
        <w:tab/>
      </w:r>
      <w:r>
        <w:rPr>
          <w:color w:val="auto"/>
          <w:highlight w:val="none"/>
        </w:rPr>
        <w:fldChar w:fldCharType="begin"/>
      </w:r>
      <w:r>
        <w:rPr>
          <w:color w:val="auto"/>
          <w:highlight w:val="none"/>
        </w:rPr>
        <w:instrText xml:space="preserve"> PAGEREF _Toc341 \h </w:instrText>
      </w:r>
      <w:r>
        <w:rPr>
          <w:color w:val="auto"/>
          <w:highlight w:val="none"/>
        </w:rPr>
        <w:fldChar w:fldCharType="separate"/>
      </w:r>
      <w:r>
        <w:rPr>
          <w:color w:val="auto"/>
          <w:highlight w:val="none"/>
        </w:rPr>
        <w:t>120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30D479B">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_Toc25140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65竣工验收</w:t>
      </w:r>
      <w:r>
        <w:rPr>
          <w:color w:val="auto"/>
          <w:highlight w:val="none"/>
        </w:rPr>
        <w:tab/>
      </w:r>
      <w:r>
        <w:rPr>
          <w:color w:val="auto"/>
          <w:highlight w:val="none"/>
        </w:rPr>
        <w:fldChar w:fldCharType="begin"/>
      </w:r>
      <w:r>
        <w:rPr>
          <w:color w:val="auto"/>
          <w:highlight w:val="none"/>
        </w:rPr>
        <w:instrText xml:space="preserve"> PAGEREF _Toc25140 \h </w:instrText>
      </w:r>
      <w:r>
        <w:rPr>
          <w:color w:val="auto"/>
          <w:highlight w:val="none"/>
        </w:rPr>
        <w:fldChar w:fldCharType="separate"/>
      </w:r>
      <w:r>
        <w:rPr>
          <w:color w:val="auto"/>
          <w:highlight w:val="none"/>
        </w:rPr>
        <w:t>121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32B5506">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_Toc4130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66缺陷责任与质量保修</w:t>
      </w:r>
      <w:r>
        <w:rPr>
          <w:color w:val="auto"/>
          <w:highlight w:val="none"/>
        </w:rPr>
        <w:tab/>
      </w:r>
      <w:r>
        <w:rPr>
          <w:color w:val="auto"/>
          <w:highlight w:val="none"/>
        </w:rPr>
        <w:fldChar w:fldCharType="begin"/>
      </w:r>
      <w:r>
        <w:rPr>
          <w:color w:val="auto"/>
          <w:highlight w:val="none"/>
        </w:rPr>
        <w:instrText xml:space="preserve"> PAGEREF _Toc4130 \h </w:instrText>
      </w:r>
      <w:r>
        <w:rPr>
          <w:color w:val="auto"/>
          <w:highlight w:val="none"/>
        </w:rPr>
        <w:fldChar w:fldCharType="separate"/>
      </w:r>
      <w:r>
        <w:rPr>
          <w:color w:val="auto"/>
          <w:highlight w:val="none"/>
        </w:rPr>
        <w:t>124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02807BC">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_Toc5543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七、合同价格</w:t>
      </w:r>
      <w:r>
        <w:rPr>
          <w:color w:val="auto"/>
          <w:highlight w:val="none"/>
        </w:rPr>
        <w:tab/>
      </w:r>
      <w:r>
        <w:rPr>
          <w:color w:val="auto"/>
          <w:highlight w:val="none"/>
        </w:rPr>
        <w:fldChar w:fldCharType="begin"/>
      </w:r>
      <w:r>
        <w:rPr>
          <w:color w:val="auto"/>
          <w:highlight w:val="none"/>
        </w:rPr>
        <w:instrText xml:space="preserve"> PAGEREF _Toc5543 \h </w:instrText>
      </w:r>
      <w:r>
        <w:rPr>
          <w:color w:val="auto"/>
          <w:highlight w:val="none"/>
        </w:rPr>
        <w:fldChar w:fldCharType="separate"/>
      </w:r>
      <w:r>
        <w:rPr>
          <w:color w:val="auto"/>
          <w:highlight w:val="none"/>
        </w:rPr>
        <w:t>126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D143BB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_Toc5215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6</w:t>
      </w:r>
      <w:r>
        <w:rPr>
          <w:rFonts w:hint="eastAsia" w:ascii="仿宋" w:hAnsi="仿宋" w:eastAsia="仿宋" w:cs="仿宋"/>
          <w:bCs w:val="0"/>
          <w:color w:val="auto"/>
          <w:szCs w:val="24"/>
          <w:highlight w:val="none"/>
          <w:lang w:eastAsia="zh-CN"/>
        </w:rPr>
        <w:t>7资金计划和安排</w:t>
      </w:r>
      <w:r>
        <w:rPr>
          <w:color w:val="auto"/>
          <w:highlight w:val="none"/>
        </w:rPr>
        <w:tab/>
      </w:r>
      <w:r>
        <w:rPr>
          <w:color w:val="auto"/>
          <w:highlight w:val="none"/>
        </w:rPr>
        <w:fldChar w:fldCharType="begin"/>
      </w:r>
      <w:r>
        <w:rPr>
          <w:color w:val="auto"/>
          <w:highlight w:val="none"/>
        </w:rPr>
        <w:instrText xml:space="preserve"> PAGEREF _Toc5215 \h </w:instrText>
      </w:r>
      <w:r>
        <w:rPr>
          <w:color w:val="auto"/>
          <w:highlight w:val="none"/>
        </w:rPr>
        <w:fldChar w:fldCharType="separate"/>
      </w:r>
      <w:r>
        <w:rPr>
          <w:color w:val="auto"/>
          <w:highlight w:val="none"/>
        </w:rPr>
        <w:t>126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0B05666">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_Toc29392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68联合体牵头人项目管理费</w:t>
      </w:r>
      <w:r>
        <w:rPr>
          <w:color w:val="auto"/>
          <w:highlight w:val="none"/>
        </w:rPr>
        <w:tab/>
      </w:r>
      <w:r>
        <w:rPr>
          <w:color w:val="auto"/>
          <w:highlight w:val="none"/>
        </w:rPr>
        <w:fldChar w:fldCharType="begin"/>
      </w:r>
      <w:r>
        <w:rPr>
          <w:color w:val="auto"/>
          <w:highlight w:val="none"/>
        </w:rPr>
        <w:instrText xml:space="preserve"> PAGEREF _Toc29392 \h </w:instrText>
      </w:r>
      <w:r>
        <w:rPr>
          <w:color w:val="auto"/>
          <w:highlight w:val="none"/>
        </w:rPr>
        <w:fldChar w:fldCharType="separate"/>
      </w:r>
      <w:r>
        <w:rPr>
          <w:color w:val="auto"/>
          <w:highlight w:val="none"/>
        </w:rPr>
        <w:t>126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F8C4C35">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_Toc28254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★69合同价格的约定与调整</w:t>
      </w:r>
      <w:r>
        <w:rPr>
          <w:color w:val="auto"/>
          <w:highlight w:val="none"/>
        </w:rPr>
        <w:tab/>
      </w:r>
      <w:r>
        <w:rPr>
          <w:color w:val="auto"/>
          <w:highlight w:val="none"/>
        </w:rPr>
        <w:fldChar w:fldCharType="begin"/>
      </w:r>
      <w:r>
        <w:rPr>
          <w:color w:val="auto"/>
          <w:highlight w:val="none"/>
        </w:rPr>
        <w:instrText xml:space="preserve"> PAGEREF _Toc28254 \h </w:instrText>
      </w:r>
      <w:r>
        <w:rPr>
          <w:color w:val="auto"/>
          <w:highlight w:val="none"/>
        </w:rPr>
        <w:fldChar w:fldCharType="separate"/>
      </w:r>
      <w:r>
        <w:rPr>
          <w:color w:val="auto"/>
          <w:highlight w:val="none"/>
        </w:rPr>
        <w:t>127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496541A">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_Toc766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★70合同价格调整程序</w:t>
      </w:r>
      <w:r>
        <w:rPr>
          <w:color w:val="auto"/>
          <w:highlight w:val="none"/>
        </w:rPr>
        <w:tab/>
      </w:r>
      <w:r>
        <w:rPr>
          <w:color w:val="auto"/>
          <w:highlight w:val="none"/>
        </w:rPr>
        <w:fldChar w:fldCharType="begin"/>
      </w:r>
      <w:r>
        <w:rPr>
          <w:color w:val="auto"/>
          <w:highlight w:val="none"/>
        </w:rPr>
        <w:instrText xml:space="preserve"> PAGEREF _Toc766 \h </w:instrText>
      </w:r>
      <w:r>
        <w:rPr>
          <w:color w:val="auto"/>
          <w:highlight w:val="none"/>
        </w:rPr>
        <w:fldChar w:fldCharType="separate"/>
      </w:r>
      <w:r>
        <w:rPr>
          <w:color w:val="auto"/>
          <w:highlight w:val="none"/>
        </w:rPr>
        <w:t>128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A09DBA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_Toc2930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★71工作量或工程量</w:t>
      </w:r>
      <w:r>
        <w:rPr>
          <w:color w:val="auto"/>
          <w:highlight w:val="none"/>
        </w:rPr>
        <w:tab/>
      </w:r>
      <w:r>
        <w:rPr>
          <w:color w:val="auto"/>
          <w:highlight w:val="none"/>
        </w:rPr>
        <w:fldChar w:fldCharType="begin"/>
      </w:r>
      <w:r>
        <w:rPr>
          <w:color w:val="auto"/>
          <w:highlight w:val="none"/>
        </w:rPr>
        <w:instrText xml:space="preserve"> PAGEREF _Toc2930 \h </w:instrText>
      </w:r>
      <w:r>
        <w:rPr>
          <w:color w:val="auto"/>
          <w:highlight w:val="none"/>
        </w:rPr>
        <w:fldChar w:fldCharType="separate"/>
      </w:r>
      <w:r>
        <w:rPr>
          <w:color w:val="auto"/>
          <w:highlight w:val="none"/>
        </w:rPr>
        <w:t>129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ECA5CC9">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_Toc19081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★72计量和计价</w:t>
      </w:r>
      <w:r>
        <w:rPr>
          <w:color w:val="auto"/>
          <w:highlight w:val="none"/>
        </w:rPr>
        <w:tab/>
      </w:r>
      <w:r>
        <w:rPr>
          <w:color w:val="auto"/>
          <w:highlight w:val="none"/>
        </w:rPr>
        <w:fldChar w:fldCharType="begin"/>
      </w:r>
      <w:r>
        <w:rPr>
          <w:color w:val="auto"/>
          <w:highlight w:val="none"/>
        </w:rPr>
        <w:instrText xml:space="preserve"> PAGEREF _Toc19081 \h </w:instrText>
      </w:r>
      <w:r>
        <w:rPr>
          <w:color w:val="auto"/>
          <w:highlight w:val="none"/>
        </w:rPr>
        <w:fldChar w:fldCharType="separate"/>
      </w:r>
      <w:r>
        <w:rPr>
          <w:color w:val="auto"/>
          <w:highlight w:val="none"/>
        </w:rPr>
        <w:t>130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6FED84E">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_Toc16794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★73暂列金额</w:t>
      </w:r>
      <w:r>
        <w:rPr>
          <w:color w:val="auto"/>
          <w:highlight w:val="none"/>
        </w:rPr>
        <w:tab/>
      </w:r>
      <w:r>
        <w:rPr>
          <w:color w:val="auto"/>
          <w:highlight w:val="none"/>
        </w:rPr>
        <w:fldChar w:fldCharType="begin"/>
      </w:r>
      <w:r>
        <w:rPr>
          <w:color w:val="auto"/>
          <w:highlight w:val="none"/>
        </w:rPr>
        <w:instrText xml:space="preserve"> PAGEREF _Toc16794 \h </w:instrText>
      </w:r>
      <w:r>
        <w:rPr>
          <w:color w:val="auto"/>
          <w:highlight w:val="none"/>
        </w:rPr>
        <w:fldChar w:fldCharType="separate"/>
      </w:r>
      <w:r>
        <w:rPr>
          <w:color w:val="auto"/>
          <w:highlight w:val="none"/>
        </w:rPr>
        <w:t>132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2D0F0F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_Toc18009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★74计日工</w:t>
      </w:r>
      <w:r>
        <w:rPr>
          <w:color w:val="auto"/>
          <w:highlight w:val="none"/>
        </w:rPr>
        <w:tab/>
      </w:r>
      <w:r>
        <w:rPr>
          <w:color w:val="auto"/>
          <w:highlight w:val="none"/>
        </w:rPr>
        <w:fldChar w:fldCharType="begin"/>
      </w:r>
      <w:r>
        <w:rPr>
          <w:color w:val="auto"/>
          <w:highlight w:val="none"/>
        </w:rPr>
        <w:instrText xml:space="preserve"> PAGEREF _Toc18009 \h </w:instrText>
      </w:r>
      <w:r>
        <w:rPr>
          <w:color w:val="auto"/>
          <w:highlight w:val="none"/>
        </w:rPr>
        <w:fldChar w:fldCharType="separate"/>
      </w:r>
      <w:r>
        <w:rPr>
          <w:color w:val="auto"/>
          <w:highlight w:val="none"/>
        </w:rPr>
        <w:t>133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72EDDB0">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_Toc9594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★75暂估价</w:t>
      </w:r>
      <w:r>
        <w:rPr>
          <w:color w:val="auto"/>
          <w:highlight w:val="none"/>
        </w:rPr>
        <w:tab/>
      </w:r>
      <w:r>
        <w:rPr>
          <w:color w:val="auto"/>
          <w:highlight w:val="none"/>
        </w:rPr>
        <w:fldChar w:fldCharType="begin"/>
      </w:r>
      <w:r>
        <w:rPr>
          <w:color w:val="auto"/>
          <w:highlight w:val="none"/>
        </w:rPr>
        <w:instrText xml:space="preserve"> PAGEREF _Toc9594 \h </w:instrText>
      </w:r>
      <w:r>
        <w:rPr>
          <w:color w:val="auto"/>
          <w:highlight w:val="none"/>
        </w:rPr>
        <w:fldChar w:fldCharType="separate"/>
      </w:r>
      <w:r>
        <w:rPr>
          <w:color w:val="auto"/>
          <w:highlight w:val="none"/>
        </w:rPr>
        <w:t>134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EC7C354">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_Toc5425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★76提前竣工奖与误期赔偿费</w:t>
      </w:r>
      <w:r>
        <w:rPr>
          <w:color w:val="auto"/>
          <w:highlight w:val="none"/>
        </w:rPr>
        <w:tab/>
      </w:r>
      <w:r>
        <w:rPr>
          <w:color w:val="auto"/>
          <w:highlight w:val="none"/>
        </w:rPr>
        <w:fldChar w:fldCharType="begin"/>
      </w:r>
      <w:r>
        <w:rPr>
          <w:color w:val="auto"/>
          <w:highlight w:val="none"/>
        </w:rPr>
        <w:instrText xml:space="preserve"> PAGEREF _Toc5425 \h </w:instrText>
      </w:r>
      <w:r>
        <w:rPr>
          <w:color w:val="auto"/>
          <w:highlight w:val="none"/>
        </w:rPr>
        <w:fldChar w:fldCharType="separate"/>
      </w:r>
      <w:r>
        <w:rPr>
          <w:color w:val="auto"/>
          <w:highlight w:val="none"/>
        </w:rPr>
        <w:t>134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03C6758">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_Toc7667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★77优质优价费用</w:t>
      </w:r>
      <w:r>
        <w:rPr>
          <w:color w:val="auto"/>
          <w:highlight w:val="none"/>
        </w:rPr>
        <w:tab/>
      </w:r>
      <w:r>
        <w:rPr>
          <w:color w:val="auto"/>
          <w:highlight w:val="none"/>
        </w:rPr>
        <w:fldChar w:fldCharType="begin"/>
      </w:r>
      <w:r>
        <w:rPr>
          <w:color w:val="auto"/>
          <w:highlight w:val="none"/>
        </w:rPr>
        <w:instrText xml:space="preserve"> PAGEREF _Toc7667 \h </w:instrText>
      </w:r>
      <w:r>
        <w:rPr>
          <w:color w:val="auto"/>
          <w:highlight w:val="none"/>
        </w:rPr>
        <w:fldChar w:fldCharType="separate"/>
      </w:r>
      <w:r>
        <w:rPr>
          <w:color w:val="auto"/>
          <w:highlight w:val="none"/>
        </w:rPr>
        <w:t>135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FD2782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_Toc18127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★78后继法律变化引起的价格调整</w:t>
      </w:r>
      <w:r>
        <w:rPr>
          <w:color w:val="auto"/>
          <w:highlight w:val="none"/>
        </w:rPr>
        <w:tab/>
      </w:r>
      <w:r>
        <w:rPr>
          <w:color w:val="auto"/>
          <w:highlight w:val="none"/>
        </w:rPr>
        <w:fldChar w:fldCharType="begin"/>
      </w:r>
      <w:r>
        <w:rPr>
          <w:color w:val="auto"/>
          <w:highlight w:val="none"/>
        </w:rPr>
        <w:instrText xml:space="preserve"> PAGEREF _Toc18127 \h </w:instrText>
      </w:r>
      <w:r>
        <w:rPr>
          <w:color w:val="auto"/>
          <w:highlight w:val="none"/>
        </w:rPr>
        <w:fldChar w:fldCharType="separate"/>
      </w:r>
      <w:r>
        <w:rPr>
          <w:color w:val="auto"/>
          <w:highlight w:val="none"/>
        </w:rPr>
        <w:t>136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DED01BE">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_Toc17477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★79 可调价变更定价</w:t>
      </w:r>
      <w:r>
        <w:rPr>
          <w:color w:val="auto"/>
          <w:highlight w:val="none"/>
        </w:rPr>
        <w:tab/>
      </w:r>
      <w:r>
        <w:rPr>
          <w:color w:val="auto"/>
          <w:highlight w:val="none"/>
        </w:rPr>
        <w:fldChar w:fldCharType="begin"/>
      </w:r>
      <w:r>
        <w:rPr>
          <w:color w:val="auto"/>
          <w:highlight w:val="none"/>
        </w:rPr>
        <w:instrText xml:space="preserve"> PAGEREF _Toc17477 \h </w:instrText>
      </w:r>
      <w:r>
        <w:rPr>
          <w:color w:val="auto"/>
          <w:highlight w:val="none"/>
        </w:rPr>
        <w:fldChar w:fldCharType="separate"/>
      </w:r>
      <w:r>
        <w:rPr>
          <w:color w:val="auto"/>
          <w:highlight w:val="none"/>
        </w:rPr>
        <w:t>136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FD63ED2">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_Toc24433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★80费用索赔</w:t>
      </w:r>
      <w:r>
        <w:rPr>
          <w:color w:val="auto"/>
          <w:highlight w:val="none"/>
        </w:rPr>
        <w:tab/>
      </w:r>
      <w:r>
        <w:rPr>
          <w:color w:val="auto"/>
          <w:highlight w:val="none"/>
        </w:rPr>
        <w:fldChar w:fldCharType="begin"/>
      </w:r>
      <w:r>
        <w:rPr>
          <w:color w:val="auto"/>
          <w:highlight w:val="none"/>
        </w:rPr>
        <w:instrText xml:space="preserve"> PAGEREF _Toc24433 \h </w:instrText>
      </w:r>
      <w:r>
        <w:rPr>
          <w:color w:val="auto"/>
          <w:highlight w:val="none"/>
        </w:rPr>
        <w:fldChar w:fldCharType="separate"/>
      </w:r>
      <w:r>
        <w:rPr>
          <w:color w:val="auto"/>
          <w:highlight w:val="none"/>
        </w:rPr>
        <w:t>138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A87BB3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_Toc8242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★81现场签证价格的确定</w:t>
      </w:r>
      <w:r>
        <w:rPr>
          <w:color w:val="auto"/>
          <w:highlight w:val="none"/>
        </w:rPr>
        <w:tab/>
      </w:r>
      <w:r>
        <w:rPr>
          <w:color w:val="auto"/>
          <w:highlight w:val="none"/>
        </w:rPr>
        <w:fldChar w:fldCharType="begin"/>
      </w:r>
      <w:r>
        <w:rPr>
          <w:color w:val="auto"/>
          <w:highlight w:val="none"/>
        </w:rPr>
        <w:instrText xml:space="preserve"> PAGEREF _Toc8242 \h </w:instrText>
      </w:r>
      <w:r>
        <w:rPr>
          <w:color w:val="auto"/>
          <w:highlight w:val="none"/>
        </w:rPr>
        <w:fldChar w:fldCharType="separate"/>
      </w:r>
      <w:r>
        <w:rPr>
          <w:color w:val="auto"/>
          <w:highlight w:val="none"/>
        </w:rPr>
        <w:t>139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66DBB55">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★82物价涨落的价格调整</w:t>
      </w:r>
      <w:r>
        <w:rPr>
          <w:color w:val="auto"/>
          <w:highlight w:val="none"/>
        </w:rPr>
        <w:tab/>
      </w:r>
      <w:r>
        <w:rPr>
          <w:color w:val="auto"/>
          <w:highlight w:val="none"/>
        </w:rPr>
        <w:fldChar w:fldCharType="begin"/>
      </w:r>
      <w:r>
        <w:rPr>
          <w:color w:val="auto"/>
          <w:highlight w:val="none"/>
        </w:rPr>
        <w:instrText xml:space="preserve"> PAGEREF _Toc81 \h </w:instrText>
      </w:r>
      <w:r>
        <w:rPr>
          <w:color w:val="auto"/>
          <w:highlight w:val="none"/>
        </w:rPr>
        <w:fldChar w:fldCharType="separate"/>
      </w:r>
      <w:r>
        <w:rPr>
          <w:color w:val="auto"/>
          <w:highlight w:val="none"/>
        </w:rPr>
        <w:t>140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03CDCF4">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_Toc11581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★83支付事项</w:t>
      </w:r>
      <w:r>
        <w:rPr>
          <w:color w:val="auto"/>
          <w:highlight w:val="none"/>
        </w:rPr>
        <w:tab/>
      </w:r>
      <w:r>
        <w:rPr>
          <w:color w:val="auto"/>
          <w:highlight w:val="none"/>
        </w:rPr>
        <w:fldChar w:fldCharType="begin"/>
      </w:r>
      <w:r>
        <w:rPr>
          <w:color w:val="auto"/>
          <w:highlight w:val="none"/>
        </w:rPr>
        <w:instrText xml:space="preserve"> PAGEREF _Toc11581 \h </w:instrText>
      </w:r>
      <w:r>
        <w:rPr>
          <w:color w:val="auto"/>
          <w:highlight w:val="none"/>
        </w:rPr>
        <w:fldChar w:fldCharType="separate"/>
      </w:r>
      <w:r>
        <w:rPr>
          <w:color w:val="auto"/>
          <w:highlight w:val="none"/>
        </w:rPr>
        <w:t>142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4156661">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_Toc24911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★84预付款</w:t>
      </w:r>
      <w:r>
        <w:rPr>
          <w:color w:val="auto"/>
          <w:highlight w:val="none"/>
        </w:rPr>
        <w:tab/>
      </w:r>
      <w:r>
        <w:rPr>
          <w:color w:val="auto"/>
          <w:highlight w:val="none"/>
        </w:rPr>
        <w:fldChar w:fldCharType="begin"/>
      </w:r>
      <w:r>
        <w:rPr>
          <w:color w:val="auto"/>
          <w:highlight w:val="none"/>
        </w:rPr>
        <w:instrText xml:space="preserve"> PAGEREF _Toc24911 \h </w:instrText>
      </w:r>
      <w:r>
        <w:rPr>
          <w:color w:val="auto"/>
          <w:highlight w:val="none"/>
        </w:rPr>
        <w:fldChar w:fldCharType="separate"/>
      </w:r>
      <w:r>
        <w:rPr>
          <w:color w:val="auto"/>
          <w:highlight w:val="none"/>
        </w:rPr>
        <w:t>143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37755CF">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_Toc27786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★85绿色施工安全防护费</w:t>
      </w:r>
      <w:r>
        <w:rPr>
          <w:color w:val="auto"/>
          <w:highlight w:val="none"/>
        </w:rPr>
        <w:tab/>
      </w:r>
      <w:r>
        <w:rPr>
          <w:color w:val="auto"/>
          <w:highlight w:val="none"/>
        </w:rPr>
        <w:fldChar w:fldCharType="begin"/>
      </w:r>
      <w:r>
        <w:rPr>
          <w:color w:val="auto"/>
          <w:highlight w:val="none"/>
        </w:rPr>
        <w:instrText xml:space="preserve"> PAGEREF _Toc27786 \h </w:instrText>
      </w:r>
      <w:r>
        <w:rPr>
          <w:color w:val="auto"/>
          <w:highlight w:val="none"/>
        </w:rPr>
        <w:fldChar w:fldCharType="separate"/>
      </w:r>
      <w:r>
        <w:rPr>
          <w:color w:val="auto"/>
          <w:highlight w:val="none"/>
        </w:rPr>
        <w:t>145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B0680A2">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_Toc3255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★86进度款</w:t>
      </w:r>
      <w:r>
        <w:rPr>
          <w:color w:val="auto"/>
          <w:highlight w:val="none"/>
        </w:rPr>
        <w:tab/>
      </w:r>
      <w:r>
        <w:rPr>
          <w:color w:val="auto"/>
          <w:highlight w:val="none"/>
        </w:rPr>
        <w:fldChar w:fldCharType="begin"/>
      </w:r>
      <w:r>
        <w:rPr>
          <w:color w:val="auto"/>
          <w:highlight w:val="none"/>
        </w:rPr>
        <w:instrText xml:space="preserve"> PAGEREF _Toc3255 \h </w:instrText>
      </w:r>
      <w:r>
        <w:rPr>
          <w:color w:val="auto"/>
          <w:highlight w:val="none"/>
        </w:rPr>
        <w:fldChar w:fldCharType="separate"/>
      </w:r>
      <w:r>
        <w:rPr>
          <w:color w:val="auto"/>
          <w:highlight w:val="none"/>
        </w:rPr>
        <w:t>146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36C1E3F">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_Toc32258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w:t>
      </w:r>
      <w:r>
        <w:rPr>
          <w:rFonts w:ascii="仿宋" w:hAnsi="仿宋" w:eastAsia="仿宋" w:cs="仿宋"/>
          <w:bCs w:val="0"/>
          <w:color w:val="auto"/>
          <w:szCs w:val="24"/>
          <w:highlight w:val="none"/>
          <w:lang w:eastAsia="zh-CN"/>
        </w:rPr>
        <w:t>8</w:t>
      </w:r>
      <w:r>
        <w:rPr>
          <w:rFonts w:hint="eastAsia" w:ascii="仿宋" w:hAnsi="仿宋" w:eastAsia="仿宋" w:cs="仿宋"/>
          <w:bCs w:val="0"/>
          <w:color w:val="auto"/>
          <w:szCs w:val="24"/>
          <w:highlight w:val="none"/>
          <w:lang w:eastAsia="zh-CN"/>
        </w:rPr>
        <w:t>7竣工结算</w:t>
      </w:r>
      <w:r>
        <w:rPr>
          <w:color w:val="auto"/>
          <w:highlight w:val="none"/>
        </w:rPr>
        <w:tab/>
      </w:r>
      <w:r>
        <w:rPr>
          <w:color w:val="auto"/>
          <w:highlight w:val="none"/>
        </w:rPr>
        <w:fldChar w:fldCharType="begin"/>
      </w:r>
      <w:r>
        <w:rPr>
          <w:color w:val="auto"/>
          <w:highlight w:val="none"/>
        </w:rPr>
        <w:instrText xml:space="preserve"> PAGEREF _Toc32258 \h </w:instrText>
      </w:r>
      <w:r>
        <w:rPr>
          <w:color w:val="auto"/>
          <w:highlight w:val="none"/>
        </w:rPr>
        <w:fldChar w:fldCharType="separate"/>
      </w:r>
      <w:r>
        <w:rPr>
          <w:color w:val="auto"/>
          <w:highlight w:val="none"/>
        </w:rPr>
        <w:t>148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05B3233">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_Toc11864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w:t>
      </w:r>
      <w:r>
        <w:rPr>
          <w:rFonts w:ascii="仿宋" w:hAnsi="仿宋" w:eastAsia="仿宋" w:cs="仿宋"/>
          <w:bCs w:val="0"/>
          <w:color w:val="auto"/>
          <w:szCs w:val="24"/>
          <w:highlight w:val="none"/>
          <w:lang w:eastAsia="zh-CN"/>
        </w:rPr>
        <w:t>8</w:t>
      </w:r>
      <w:r>
        <w:rPr>
          <w:rFonts w:hint="eastAsia" w:ascii="仿宋" w:hAnsi="仿宋" w:eastAsia="仿宋" w:cs="仿宋"/>
          <w:bCs w:val="0"/>
          <w:color w:val="auto"/>
          <w:szCs w:val="24"/>
          <w:highlight w:val="none"/>
          <w:lang w:eastAsia="zh-CN"/>
        </w:rPr>
        <w:t>8结算款</w:t>
      </w:r>
      <w:r>
        <w:rPr>
          <w:color w:val="auto"/>
          <w:highlight w:val="none"/>
        </w:rPr>
        <w:tab/>
      </w:r>
      <w:r>
        <w:rPr>
          <w:color w:val="auto"/>
          <w:highlight w:val="none"/>
        </w:rPr>
        <w:fldChar w:fldCharType="begin"/>
      </w:r>
      <w:r>
        <w:rPr>
          <w:color w:val="auto"/>
          <w:highlight w:val="none"/>
        </w:rPr>
        <w:instrText xml:space="preserve"> PAGEREF _Toc11864 \h </w:instrText>
      </w:r>
      <w:r>
        <w:rPr>
          <w:color w:val="auto"/>
          <w:highlight w:val="none"/>
        </w:rPr>
        <w:fldChar w:fldCharType="separate"/>
      </w:r>
      <w:r>
        <w:rPr>
          <w:color w:val="auto"/>
          <w:highlight w:val="none"/>
        </w:rPr>
        <w:t>150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CC6C2B4">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_Toc25503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★89质量保证金</w:t>
      </w:r>
      <w:r>
        <w:rPr>
          <w:color w:val="auto"/>
          <w:highlight w:val="none"/>
        </w:rPr>
        <w:tab/>
      </w:r>
      <w:r>
        <w:rPr>
          <w:color w:val="auto"/>
          <w:highlight w:val="none"/>
        </w:rPr>
        <w:fldChar w:fldCharType="begin"/>
      </w:r>
      <w:r>
        <w:rPr>
          <w:color w:val="auto"/>
          <w:highlight w:val="none"/>
        </w:rPr>
        <w:instrText xml:space="preserve"> PAGEREF _Toc25503 \h </w:instrText>
      </w:r>
      <w:r>
        <w:rPr>
          <w:color w:val="auto"/>
          <w:highlight w:val="none"/>
        </w:rPr>
        <w:fldChar w:fldCharType="separate"/>
      </w:r>
      <w:r>
        <w:rPr>
          <w:color w:val="auto"/>
          <w:highlight w:val="none"/>
        </w:rPr>
        <w:t>151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BEE326B">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_Toc14372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90最终清算款</w:t>
      </w:r>
      <w:r>
        <w:rPr>
          <w:color w:val="auto"/>
          <w:highlight w:val="none"/>
        </w:rPr>
        <w:tab/>
      </w:r>
      <w:r>
        <w:rPr>
          <w:color w:val="auto"/>
          <w:highlight w:val="none"/>
        </w:rPr>
        <w:fldChar w:fldCharType="begin"/>
      </w:r>
      <w:r>
        <w:rPr>
          <w:color w:val="auto"/>
          <w:highlight w:val="none"/>
        </w:rPr>
        <w:instrText xml:space="preserve"> PAGEREF _Toc14372 \h </w:instrText>
      </w:r>
      <w:r>
        <w:rPr>
          <w:color w:val="auto"/>
          <w:highlight w:val="none"/>
        </w:rPr>
        <w:fldChar w:fldCharType="separate"/>
      </w:r>
      <w:r>
        <w:rPr>
          <w:color w:val="auto"/>
          <w:highlight w:val="none"/>
        </w:rPr>
        <w:t>152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C571080">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_Toc18428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szCs w:val="24"/>
          <w:highlight w:val="none"/>
          <w:lang w:eastAsia="zh-CN"/>
        </w:rPr>
        <w:t>八、合同争议、解除与终止</w:t>
      </w:r>
      <w:r>
        <w:rPr>
          <w:color w:val="auto"/>
          <w:highlight w:val="none"/>
        </w:rPr>
        <w:tab/>
      </w:r>
      <w:r>
        <w:rPr>
          <w:color w:val="auto"/>
          <w:highlight w:val="none"/>
        </w:rPr>
        <w:fldChar w:fldCharType="begin"/>
      </w:r>
      <w:r>
        <w:rPr>
          <w:color w:val="auto"/>
          <w:highlight w:val="none"/>
        </w:rPr>
        <w:instrText xml:space="preserve"> PAGEREF _Toc18428 \h </w:instrText>
      </w:r>
      <w:r>
        <w:rPr>
          <w:color w:val="auto"/>
          <w:highlight w:val="none"/>
        </w:rPr>
        <w:fldChar w:fldCharType="separate"/>
      </w:r>
      <w:r>
        <w:rPr>
          <w:color w:val="auto"/>
          <w:highlight w:val="none"/>
        </w:rPr>
        <w:t>153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6F4A288">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_Toc28907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91合同争议</w:t>
      </w:r>
      <w:r>
        <w:rPr>
          <w:color w:val="auto"/>
          <w:highlight w:val="none"/>
        </w:rPr>
        <w:tab/>
      </w:r>
      <w:r>
        <w:rPr>
          <w:color w:val="auto"/>
          <w:highlight w:val="none"/>
        </w:rPr>
        <w:fldChar w:fldCharType="begin"/>
      </w:r>
      <w:r>
        <w:rPr>
          <w:color w:val="auto"/>
          <w:highlight w:val="none"/>
        </w:rPr>
        <w:instrText xml:space="preserve"> PAGEREF _Toc28907 \h </w:instrText>
      </w:r>
      <w:r>
        <w:rPr>
          <w:color w:val="auto"/>
          <w:highlight w:val="none"/>
        </w:rPr>
        <w:fldChar w:fldCharType="separate"/>
      </w:r>
      <w:r>
        <w:rPr>
          <w:color w:val="auto"/>
          <w:highlight w:val="none"/>
        </w:rPr>
        <w:t>153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F37DAB4">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_Toc10921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92合同解除</w:t>
      </w:r>
      <w:r>
        <w:rPr>
          <w:color w:val="auto"/>
          <w:highlight w:val="none"/>
        </w:rPr>
        <w:tab/>
      </w:r>
      <w:r>
        <w:rPr>
          <w:color w:val="auto"/>
          <w:highlight w:val="none"/>
        </w:rPr>
        <w:fldChar w:fldCharType="begin"/>
      </w:r>
      <w:r>
        <w:rPr>
          <w:color w:val="auto"/>
          <w:highlight w:val="none"/>
        </w:rPr>
        <w:instrText xml:space="preserve"> PAGEREF _Toc10921 \h </w:instrText>
      </w:r>
      <w:r>
        <w:rPr>
          <w:color w:val="auto"/>
          <w:highlight w:val="none"/>
        </w:rPr>
        <w:fldChar w:fldCharType="separate"/>
      </w:r>
      <w:r>
        <w:rPr>
          <w:color w:val="auto"/>
          <w:highlight w:val="none"/>
        </w:rPr>
        <w:t>155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46A02D6">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_Toc26107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93合同解除的支付</w:t>
      </w:r>
      <w:r>
        <w:rPr>
          <w:color w:val="auto"/>
          <w:highlight w:val="none"/>
        </w:rPr>
        <w:tab/>
      </w:r>
      <w:r>
        <w:rPr>
          <w:color w:val="auto"/>
          <w:highlight w:val="none"/>
        </w:rPr>
        <w:fldChar w:fldCharType="begin"/>
      </w:r>
      <w:r>
        <w:rPr>
          <w:color w:val="auto"/>
          <w:highlight w:val="none"/>
        </w:rPr>
        <w:instrText xml:space="preserve"> PAGEREF _Toc26107 \h </w:instrText>
      </w:r>
      <w:r>
        <w:rPr>
          <w:color w:val="auto"/>
          <w:highlight w:val="none"/>
        </w:rPr>
        <w:fldChar w:fldCharType="separate"/>
      </w:r>
      <w:r>
        <w:rPr>
          <w:color w:val="auto"/>
          <w:highlight w:val="none"/>
        </w:rPr>
        <w:t>157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30BDA6C">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_Toc10191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94合同终止</w:t>
      </w:r>
      <w:r>
        <w:rPr>
          <w:color w:val="auto"/>
          <w:highlight w:val="none"/>
        </w:rPr>
        <w:tab/>
      </w:r>
      <w:r>
        <w:rPr>
          <w:color w:val="auto"/>
          <w:highlight w:val="none"/>
        </w:rPr>
        <w:fldChar w:fldCharType="begin"/>
      </w:r>
      <w:r>
        <w:rPr>
          <w:color w:val="auto"/>
          <w:highlight w:val="none"/>
        </w:rPr>
        <w:instrText xml:space="preserve"> PAGEREF _Toc10191 \h </w:instrText>
      </w:r>
      <w:r>
        <w:rPr>
          <w:color w:val="auto"/>
          <w:highlight w:val="none"/>
        </w:rPr>
        <w:fldChar w:fldCharType="separate"/>
      </w:r>
      <w:r>
        <w:rPr>
          <w:color w:val="auto"/>
          <w:highlight w:val="none"/>
        </w:rPr>
        <w:t>158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CD00CD7">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_Toc16038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szCs w:val="24"/>
          <w:highlight w:val="none"/>
          <w:lang w:eastAsia="zh-CN"/>
        </w:rPr>
        <w:t>九、违约</w:t>
      </w:r>
      <w:r>
        <w:rPr>
          <w:color w:val="auto"/>
          <w:highlight w:val="none"/>
        </w:rPr>
        <w:tab/>
      </w:r>
      <w:r>
        <w:rPr>
          <w:color w:val="auto"/>
          <w:highlight w:val="none"/>
        </w:rPr>
        <w:fldChar w:fldCharType="begin"/>
      </w:r>
      <w:r>
        <w:rPr>
          <w:color w:val="auto"/>
          <w:highlight w:val="none"/>
        </w:rPr>
        <w:instrText xml:space="preserve"> PAGEREF _Toc16038 \h </w:instrText>
      </w:r>
      <w:r>
        <w:rPr>
          <w:color w:val="auto"/>
          <w:highlight w:val="none"/>
        </w:rPr>
        <w:fldChar w:fldCharType="separate"/>
      </w:r>
      <w:r>
        <w:rPr>
          <w:color w:val="auto"/>
          <w:highlight w:val="none"/>
        </w:rPr>
        <w:t>159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73801AE">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_Toc32285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★95承包人违约</w:t>
      </w:r>
      <w:r>
        <w:rPr>
          <w:color w:val="auto"/>
          <w:highlight w:val="none"/>
        </w:rPr>
        <w:tab/>
      </w:r>
      <w:r>
        <w:rPr>
          <w:color w:val="auto"/>
          <w:highlight w:val="none"/>
        </w:rPr>
        <w:fldChar w:fldCharType="begin"/>
      </w:r>
      <w:r>
        <w:rPr>
          <w:color w:val="auto"/>
          <w:highlight w:val="none"/>
        </w:rPr>
        <w:instrText xml:space="preserve"> PAGEREF _Toc32285 \h </w:instrText>
      </w:r>
      <w:r>
        <w:rPr>
          <w:color w:val="auto"/>
          <w:highlight w:val="none"/>
        </w:rPr>
        <w:fldChar w:fldCharType="separate"/>
      </w:r>
      <w:r>
        <w:rPr>
          <w:color w:val="auto"/>
          <w:highlight w:val="none"/>
        </w:rPr>
        <w:t>159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03CC196">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_Toc10485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★96 发包人违约</w:t>
      </w:r>
      <w:r>
        <w:rPr>
          <w:color w:val="auto"/>
          <w:highlight w:val="none"/>
        </w:rPr>
        <w:tab/>
      </w:r>
      <w:r>
        <w:rPr>
          <w:color w:val="auto"/>
          <w:highlight w:val="none"/>
        </w:rPr>
        <w:fldChar w:fldCharType="begin"/>
      </w:r>
      <w:r>
        <w:rPr>
          <w:color w:val="auto"/>
          <w:highlight w:val="none"/>
        </w:rPr>
        <w:instrText xml:space="preserve"> PAGEREF _Toc10485 \h </w:instrText>
      </w:r>
      <w:r>
        <w:rPr>
          <w:color w:val="auto"/>
          <w:highlight w:val="none"/>
        </w:rPr>
        <w:fldChar w:fldCharType="separate"/>
      </w:r>
      <w:r>
        <w:rPr>
          <w:color w:val="auto"/>
          <w:highlight w:val="none"/>
        </w:rPr>
        <w:t>160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EFCEEA8">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_Toc19749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w:t>
      </w:r>
      <w:r>
        <w:rPr>
          <w:rFonts w:ascii="仿宋" w:hAnsi="仿宋" w:eastAsia="仿宋" w:cs="仿宋"/>
          <w:bCs w:val="0"/>
          <w:color w:val="auto"/>
          <w:szCs w:val="24"/>
          <w:highlight w:val="none"/>
          <w:lang w:eastAsia="zh-CN"/>
        </w:rPr>
        <w:t>9</w:t>
      </w:r>
      <w:r>
        <w:rPr>
          <w:rFonts w:hint="eastAsia" w:ascii="仿宋" w:hAnsi="仿宋" w:eastAsia="仿宋" w:cs="仿宋"/>
          <w:bCs w:val="0"/>
          <w:color w:val="auto"/>
          <w:szCs w:val="24"/>
          <w:highlight w:val="none"/>
          <w:lang w:eastAsia="zh-CN"/>
        </w:rPr>
        <w:t>7第三方违约与除外责任</w:t>
      </w:r>
      <w:r>
        <w:rPr>
          <w:color w:val="auto"/>
          <w:highlight w:val="none"/>
        </w:rPr>
        <w:tab/>
      </w:r>
      <w:r>
        <w:rPr>
          <w:color w:val="auto"/>
          <w:highlight w:val="none"/>
        </w:rPr>
        <w:fldChar w:fldCharType="begin"/>
      </w:r>
      <w:r>
        <w:rPr>
          <w:color w:val="auto"/>
          <w:highlight w:val="none"/>
        </w:rPr>
        <w:instrText xml:space="preserve"> PAGEREF _Toc19749 \h </w:instrText>
      </w:r>
      <w:r>
        <w:rPr>
          <w:color w:val="auto"/>
          <w:highlight w:val="none"/>
        </w:rPr>
        <w:fldChar w:fldCharType="separate"/>
      </w:r>
      <w:r>
        <w:rPr>
          <w:color w:val="auto"/>
          <w:highlight w:val="none"/>
        </w:rPr>
        <w:t>161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7B93B27">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_Toc4382 </w:instrText>
      </w:r>
      <w:r>
        <w:rPr>
          <w:rFonts w:hint="eastAsia" w:ascii="仿宋" w:hAnsi="仿宋" w:eastAsia="仿宋" w:cs="宋体"/>
          <w:bCs/>
          <w:caps/>
          <w:smallCaps w:val="0"/>
          <w:color w:val="auto"/>
          <w:szCs w:val="24"/>
          <w:highlight w:val="none"/>
          <w:lang w:eastAsia="zh-CN"/>
        </w:rPr>
        <w:fldChar w:fldCharType="separate"/>
      </w:r>
      <w:r>
        <w:rPr>
          <w:rFonts w:ascii="仿宋" w:hAnsi="仿宋" w:eastAsia="仿宋" w:cs="仿宋"/>
          <w:bCs w:val="0"/>
          <w:color w:val="auto"/>
          <w:szCs w:val="24"/>
          <w:highlight w:val="none"/>
          <w:lang w:eastAsia="zh-CN"/>
        </w:rPr>
        <w:t>9</w:t>
      </w:r>
      <w:r>
        <w:rPr>
          <w:rFonts w:hint="eastAsia" w:ascii="仿宋" w:hAnsi="仿宋" w:eastAsia="仿宋" w:cs="仿宋"/>
          <w:bCs w:val="0"/>
          <w:color w:val="auto"/>
          <w:szCs w:val="24"/>
          <w:highlight w:val="none"/>
          <w:lang w:eastAsia="zh-CN"/>
        </w:rPr>
        <w:t>8缴纳税费</w:t>
      </w:r>
      <w:r>
        <w:rPr>
          <w:color w:val="auto"/>
          <w:highlight w:val="none"/>
        </w:rPr>
        <w:tab/>
      </w:r>
      <w:r>
        <w:rPr>
          <w:color w:val="auto"/>
          <w:highlight w:val="none"/>
        </w:rPr>
        <w:fldChar w:fldCharType="begin"/>
      </w:r>
      <w:r>
        <w:rPr>
          <w:color w:val="auto"/>
          <w:highlight w:val="none"/>
        </w:rPr>
        <w:instrText xml:space="preserve"> PAGEREF _Toc4382 \h </w:instrText>
      </w:r>
      <w:r>
        <w:rPr>
          <w:color w:val="auto"/>
          <w:highlight w:val="none"/>
        </w:rPr>
        <w:fldChar w:fldCharType="separate"/>
      </w:r>
      <w:r>
        <w:rPr>
          <w:color w:val="auto"/>
          <w:highlight w:val="none"/>
        </w:rPr>
        <w:t>161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6030CEB">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_Toc6026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szCs w:val="24"/>
          <w:highlight w:val="none"/>
          <w:lang w:eastAsia="zh-CN"/>
        </w:rPr>
        <w:t>十、其他</w:t>
      </w:r>
      <w:r>
        <w:rPr>
          <w:color w:val="auto"/>
          <w:highlight w:val="none"/>
        </w:rPr>
        <w:tab/>
      </w:r>
      <w:r>
        <w:rPr>
          <w:color w:val="auto"/>
          <w:highlight w:val="none"/>
        </w:rPr>
        <w:fldChar w:fldCharType="begin"/>
      </w:r>
      <w:r>
        <w:rPr>
          <w:color w:val="auto"/>
          <w:highlight w:val="none"/>
        </w:rPr>
        <w:instrText xml:space="preserve"> PAGEREF _Toc6026 \h </w:instrText>
      </w:r>
      <w:r>
        <w:rPr>
          <w:color w:val="auto"/>
          <w:highlight w:val="none"/>
        </w:rPr>
        <w:fldChar w:fldCharType="separate"/>
      </w:r>
      <w:r>
        <w:rPr>
          <w:color w:val="auto"/>
          <w:highlight w:val="none"/>
        </w:rPr>
        <w:t>161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4881617">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_Toc8561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99保密要求</w:t>
      </w:r>
      <w:r>
        <w:rPr>
          <w:color w:val="auto"/>
          <w:highlight w:val="none"/>
        </w:rPr>
        <w:tab/>
      </w:r>
      <w:r>
        <w:rPr>
          <w:color w:val="auto"/>
          <w:highlight w:val="none"/>
        </w:rPr>
        <w:fldChar w:fldCharType="begin"/>
      </w:r>
      <w:r>
        <w:rPr>
          <w:color w:val="auto"/>
          <w:highlight w:val="none"/>
        </w:rPr>
        <w:instrText xml:space="preserve"> PAGEREF _Toc8561 \h </w:instrText>
      </w:r>
      <w:r>
        <w:rPr>
          <w:color w:val="auto"/>
          <w:highlight w:val="none"/>
        </w:rPr>
        <w:fldChar w:fldCharType="separate"/>
      </w:r>
      <w:r>
        <w:rPr>
          <w:color w:val="auto"/>
          <w:highlight w:val="none"/>
        </w:rPr>
        <w:t>162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E0252F7">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_Toc12205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100 廉政建设</w:t>
      </w:r>
      <w:r>
        <w:rPr>
          <w:color w:val="auto"/>
          <w:highlight w:val="none"/>
        </w:rPr>
        <w:tab/>
      </w:r>
      <w:r>
        <w:rPr>
          <w:color w:val="auto"/>
          <w:highlight w:val="none"/>
        </w:rPr>
        <w:fldChar w:fldCharType="begin"/>
      </w:r>
      <w:r>
        <w:rPr>
          <w:color w:val="auto"/>
          <w:highlight w:val="none"/>
        </w:rPr>
        <w:instrText xml:space="preserve"> PAGEREF _Toc12205 \h </w:instrText>
      </w:r>
      <w:r>
        <w:rPr>
          <w:color w:val="auto"/>
          <w:highlight w:val="none"/>
        </w:rPr>
        <w:fldChar w:fldCharType="separate"/>
      </w:r>
      <w:r>
        <w:rPr>
          <w:color w:val="auto"/>
          <w:highlight w:val="none"/>
        </w:rPr>
        <w:t>163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DCB8517">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_Toc14035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101禁止转让</w:t>
      </w:r>
      <w:r>
        <w:rPr>
          <w:color w:val="auto"/>
          <w:highlight w:val="none"/>
        </w:rPr>
        <w:tab/>
      </w:r>
      <w:r>
        <w:rPr>
          <w:color w:val="auto"/>
          <w:highlight w:val="none"/>
        </w:rPr>
        <w:fldChar w:fldCharType="begin"/>
      </w:r>
      <w:r>
        <w:rPr>
          <w:color w:val="auto"/>
          <w:highlight w:val="none"/>
        </w:rPr>
        <w:instrText xml:space="preserve"> PAGEREF _Toc14035 \h </w:instrText>
      </w:r>
      <w:r>
        <w:rPr>
          <w:color w:val="auto"/>
          <w:highlight w:val="none"/>
        </w:rPr>
        <w:fldChar w:fldCharType="separate"/>
      </w:r>
      <w:r>
        <w:rPr>
          <w:color w:val="auto"/>
          <w:highlight w:val="none"/>
        </w:rPr>
        <w:t>163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019307D">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_Toc10944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102合同份数</w:t>
      </w:r>
      <w:r>
        <w:rPr>
          <w:color w:val="auto"/>
          <w:highlight w:val="none"/>
        </w:rPr>
        <w:tab/>
      </w:r>
      <w:r>
        <w:rPr>
          <w:color w:val="auto"/>
          <w:highlight w:val="none"/>
        </w:rPr>
        <w:fldChar w:fldCharType="begin"/>
      </w:r>
      <w:r>
        <w:rPr>
          <w:color w:val="auto"/>
          <w:highlight w:val="none"/>
        </w:rPr>
        <w:instrText xml:space="preserve"> PAGEREF _Toc10944 \h </w:instrText>
      </w:r>
      <w:r>
        <w:rPr>
          <w:color w:val="auto"/>
          <w:highlight w:val="none"/>
        </w:rPr>
        <w:fldChar w:fldCharType="separate"/>
      </w:r>
      <w:r>
        <w:rPr>
          <w:color w:val="auto"/>
          <w:highlight w:val="none"/>
        </w:rPr>
        <w:t>164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C6D6BB8">
      <w:pPr>
        <w:pStyle w:val="40"/>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_Toc5643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103合同管理</w:t>
      </w:r>
      <w:r>
        <w:rPr>
          <w:color w:val="auto"/>
          <w:highlight w:val="none"/>
        </w:rPr>
        <w:tab/>
      </w:r>
      <w:r>
        <w:rPr>
          <w:color w:val="auto"/>
          <w:highlight w:val="none"/>
        </w:rPr>
        <w:fldChar w:fldCharType="begin"/>
      </w:r>
      <w:r>
        <w:rPr>
          <w:color w:val="auto"/>
          <w:highlight w:val="none"/>
        </w:rPr>
        <w:instrText xml:space="preserve"> PAGEREF _Toc5643 \h </w:instrText>
      </w:r>
      <w:r>
        <w:rPr>
          <w:color w:val="auto"/>
          <w:highlight w:val="none"/>
        </w:rPr>
        <w:fldChar w:fldCharType="separate"/>
      </w:r>
      <w:r>
        <w:rPr>
          <w:color w:val="auto"/>
          <w:highlight w:val="none"/>
        </w:rPr>
        <w:t>164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297680C">
      <w:pPr>
        <w:pStyle w:val="53"/>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_Toc20579 </w:instrText>
      </w:r>
      <w:r>
        <w:rPr>
          <w:rFonts w:hint="eastAsia" w:ascii="仿宋" w:hAnsi="仿宋" w:eastAsia="仿宋" w:cs="宋体"/>
          <w:bCs/>
          <w:caps/>
          <w:smallCaps w:val="0"/>
          <w:color w:val="auto"/>
          <w:szCs w:val="24"/>
          <w:highlight w:val="none"/>
          <w:lang w:eastAsia="zh-CN"/>
        </w:rPr>
        <w:fldChar w:fldCharType="separate"/>
      </w:r>
      <w:r>
        <w:rPr>
          <w:rFonts w:hint="eastAsia" w:hAnsi="宋体"/>
          <w:bCs w:val="0"/>
          <w:color w:val="auto"/>
          <w:szCs w:val="36"/>
          <w:highlight w:val="none"/>
          <w:lang w:eastAsia="zh-CN"/>
        </w:rPr>
        <w:t>第三部分  专用条款</w:t>
      </w:r>
      <w:r>
        <w:rPr>
          <w:color w:val="auto"/>
          <w:highlight w:val="none"/>
        </w:rPr>
        <w:tab/>
      </w:r>
      <w:r>
        <w:rPr>
          <w:color w:val="auto"/>
          <w:highlight w:val="none"/>
        </w:rPr>
        <w:fldChar w:fldCharType="begin"/>
      </w:r>
      <w:r>
        <w:rPr>
          <w:color w:val="auto"/>
          <w:highlight w:val="none"/>
        </w:rPr>
        <w:instrText xml:space="preserve"> PAGEREF _Toc20579 \h </w:instrText>
      </w:r>
      <w:r>
        <w:rPr>
          <w:color w:val="auto"/>
          <w:highlight w:val="none"/>
        </w:rPr>
        <w:fldChar w:fldCharType="separate"/>
      </w:r>
      <w:r>
        <w:rPr>
          <w:color w:val="auto"/>
          <w:highlight w:val="none"/>
        </w:rPr>
        <w:t>165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379200B">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_Toc15928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i w:val="0"/>
          <w:iCs w:val="0"/>
          <w:color w:val="auto"/>
          <w:szCs w:val="24"/>
          <w:highlight w:val="none"/>
          <w:lang w:eastAsia="zh-CN"/>
        </w:rPr>
        <w:t>1．定义</w:t>
      </w:r>
      <w:r>
        <w:rPr>
          <w:color w:val="auto"/>
          <w:highlight w:val="none"/>
        </w:rPr>
        <w:tab/>
      </w:r>
      <w:r>
        <w:rPr>
          <w:color w:val="auto"/>
          <w:highlight w:val="none"/>
        </w:rPr>
        <w:fldChar w:fldCharType="begin"/>
      </w:r>
      <w:r>
        <w:rPr>
          <w:color w:val="auto"/>
          <w:highlight w:val="none"/>
        </w:rPr>
        <w:instrText xml:space="preserve"> PAGEREF _Toc15928 \h </w:instrText>
      </w:r>
      <w:r>
        <w:rPr>
          <w:color w:val="auto"/>
          <w:highlight w:val="none"/>
        </w:rPr>
        <w:fldChar w:fldCharType="separate"/>
      </w:r>
      <w:r>
        <w:rPr>
          <w:color w:val="auto"/>
          <w:highlight w:val="none"/>
        </w:rPr>
        <w:t>165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C48F5C6">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_Toc31343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i w:val="0"/>
          <w:iCs w:val="0"/>
          <w:color w:val="auto"/>
          <w:szCs w:val="24"/>
          <w:highlight w:val="none"/>
          <w:lang w:eastAsia="zh-CN"/>
        </w:rPr>
        <w:t>2.合同文件及解释</w:t>
      </w:r>
      <w:r>
        <w:rPr>
          <w:color w:val="auto"/>
          <w:highlight w:val="none"/>
        </w:rPr>
        <w:tab/>
      </w:r>
      <w:r>
        <w:rPr>
          <w:color w:val="auto"/>
          <w:highlight w:val="none"/>
        </w:rPr>
        <w:fldChar w:fldCharType="begin"/>
      </w:r>
      <w:r>
        <w:rPr>
          <w:color w:val="auto"/>
          <w:highlight w:val="none"/>
        </w:rPr>
        <w:instrText xml:space="preserve"> PAGEREF _Toc31343 \h </w:instrText>
      </w:r>
      <w:r>
        <w:rPr>
          <w:color w:val="auto"/>
          <w:highlight w:val="none"/>
        </w:rPr>
        <w:fldChar w:fldCharType="separate"/>
      </w:r>
      <w:r>
        <w:rPr>
          <w:color w:val="auto"/>
          <w:highlight w:val="none"/>
        </w:rPr>
        <w:t>165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5C2DC3B">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_Toc19987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i w:val="0"/>
          <w:iCs w:val="0"/>
          <w:color w:val="auto"/>
          <w:szCs w:val="24"/>
          <w:highlight w:val="none"/>
          <w:lang w:eastAsia="zh-CN"/>
        </w:rPr>
        <w:t>3.语言及适用的法律、标准与</w:t>
      </w:r>
      <w:r>
        <w:rPr>
          <w:rFonts w:hint="eastAsia" w:ascii="仿宋" w:hAnsi="仿宋" w:eastAsia="仿宋"/>
          <w:i w:val="0"/>
          <w:iCs w:val="0"/>
          <w:color w:val="auto"/>
          <w:szCs w:val="24"/>
          <w:highlight w:val="none"/>
          <w:lang w:eastAsia="zh-CN"/>
        </w:rPr>
        <w:t>规范</w:t>
      </w:r>
      <w:r>
        <w:rPr>
          <w:color w:val="auto"/>
          <w:highlight w:val="none"/>
        </w:rPr>
        <w:tab/>
      </w:r>
      <w:r>
        <w:rPr>
          <w:color w:val="auto"/>
          <w:highlight w:val="none"/>
        </w:rPr>
        <w:fldChar w:fldCharType="begin"/>
      </w:r>
      <w:r>
        <w:rPr>
          <w:color w:val="auto"/>
          <w:highlight w:val="none"/>
        </w:rPr>
        <w:instrText xml:space="preserve"> PAGEREF _Toc19987 \h </w:instrText>
      </w:r>
      <w:r>
        <w:rPr>
          <w:color w:val="auto"/>
          <w:highlight w:val="none"/>
        </w:rPr>
        <w:fldChar w:fldCharType="separate"/>
      </w:r>
      <w:r>
        <w:rPr>
          <w:color w:val="auto"/>
          <w:highlight w:val="none"/>
        </w:rPr>
        <w:t>166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12514F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_Toc11773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i w:val="0"/>
          <w:iCs w:val="0"/>
          <w:color w:val="auto"/>
          <w:szCs w:val="24"/>
          <w:highlight w:val="none"/>
          <w:lang w:eastAsia="zh-CN"/>
        </w:rPr>
        <w:t>4.项目基础资料的提供</w:t>
      </w:r>
      <w:r>
        <w:rPr>
          <w:color w:val="auto"/>
          <w:highlight w:val="none"/>
        </w:rPr>
        <w:tab/>
      </w:r>
      <w:r>
        <w:rPr>
          <w:color w:val="auto"/>
          <w:highlight w:val="none"/>
        </w:rPr>
        <w:fldChar w:fldCharType="begin"/>
      </w:r>
      <w:r>
        <w:rPr>
          <w:color w:val="auto"/>
          <w:highlight w:val="none"/>
        </w:rPr>
        <w:instrText xml:space="preserve"> PAGEREF _Toc11773 \h </w:instrText>
      </w:r>
      <w:r>
        <w:rPr>
          <w:color w:val="auto"/>
          <w:highlight w:val="none"/>
        </w:rPr>
        <w:fldChar w:fldCharType="separate"/>
      </w:r>
      <w:r>
        <w:rPr>
          <w:color w:val="auto"/>
          <w:highlight w:val="none"/>
        </w:rPr>
        <w:t>166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B0BE23E">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_Toc25264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i w:val="0"/>
          <w:iCs w:val="0"/>
          <w:color w:val="auto"/>
          <w:szCs w:val="24"/>
          <w:highlight w:val="none"/>
          <w:lang w:eastAsia="zh-CN"/>
        </w:rPr>
        <w:t>5.勘察报告、设计文件、建筑信息模型（BIM）</w:t>
      </w:r>
      <w:r>
        <w:rPr>
          <w:color w:val="auto"/>
          <w:highlight w:val="none"/>
        </w:rPr>
        <w:tab/>
      </w:r>
      <w:r>
        <w:rPr>
          <w:color w:val="auto"/>
          <w:highlight w:val="none"/>
        </w:rPr>
        <w:fldChar w:fldCharType="begin"/>
      </w:r>
      <w:r>
        <w:rPr>
          <w:color w:val="auto"/>
          <w:highlight w:val="none"/>
        </w:rPr>
        <w:instrText xml:space="preserve"> PAGEREF _Toc25264 \h </w:instrText>
      </w:r>
      <w:r>
        <w:rPr>
          <w:color w:val="auto"/>
          <w:highlight w:val="none"/>
        </w:rPr>
        <w:fldChar w:fldCharType="separate"/>
      </w:r>
      <w:r>
        <w:rPr>
          <w:color w:val="auto"/>
          <w:highlight w:val="none"/>
        </w:rPr>
        <w:t>166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F83508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_Toc22640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  合同价格的控制原则</w:t>
      </w:r>
      <w:r>
        <w:rPr>
          <w:color w:val="auto"/>
          <w:highlight w:val="none"/>
        </w:rPr>
        <w:tab/>
      </w:r>
      <w:r>
        <w:rPr>
          <w:color w:val="auto"/>
          <w:highlight w:val="none"/>
        </w:rPr>
        <w:fldChar w:fldCharType="begin"/>
      </w:r>
      <w:r>
        <w:rPr>
          <w:color w:val="auto"/>
          <w:highlight w:val="none"/>
        </w:rPr>
        <w:instrText xml:space="preserve"> PAGEREF _Toc22640 \h </w:instrText>
      </w:r>
      <w:r>
        <w:rPr>
          <w:color w:val="auto"/>
          <w:highlight w:val="none"/>
        </w:rPr>
        <w:fldChar w:fldCharType="separate"/>
      </w:r>
      <w:r>
        <w:rPr>
          <w:color w:val="auto"/>
          <w:highlight w:val="none"/>
        </w:rPr>
        <w:t>168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17FEC50">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_Toc18456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7. 通信联络</w:t>
      </w:r>
      <w:r>
        <w:rPr>
          <w:color w:val="auto"/>
          <w:highlight w:val="none"/>
        </w:rPr>
        <w:tab/>
      </w:r>
      <w:r>
        <w:rPr>
          <w:color w:val="auto"/>
          <w:highlight w:val="none"/>
        </w:rPr>
        <w:fldChar w:fldCharType="begin"/>
      </w:r>
      <w:r>
        <w:rPr>
          <w:color w:val="auto"/>
          <w:highlight w:val="none"/>
        </w:rPr>
        <w:instrText xml:space="preserve"> PAGEREF _Toc18456 \h </w:instrText>
      </w:r>
      <w:r>
        <w:rPr>
          <w:color w:val="auto"/>
          <w:highlight w:val="none"/>
        </w:rPr>
        <w:fldChar w:fldCharType="separate"/>
      </w:r>
      <w:r>
        <w:rPr>
          <w:color w:val="auto"/>
          <w:highlight w:val="none"/>
        </w:rPr>
        <w:t>170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93DCF89">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_Toc8473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i w:val="0"/>
          <w:iCs w:val="0"/>
          <w:color w:val="auto"/>
          <w:szCs w:val="24"/>
          <w:highlight w:val="none"/>
          <w:lang w:eastAsia="zh-CN"/>
        </w:rPr>
        <w:t>8. 工程分包</w:t>
      </w:r>
      <w:r>
        <w:rPr>
          <w:color w:val="auto"/>
          <w:highlight w:val="none"/>
        </w:rPr>
        <w:tab/>
      </w:r>
      <w:r>
        <w:rPr>
          <w:color w:val="auto"/>
          <w:highlight w:val="none"/>
        </w:rPr>
        <w:fldChar w:fldCharType="begin"/>
      </w:r>
      <w:r>
        <w:rPr>
          <w:color w:val="auto"/>
          <w:highlight w:val="none"/>
        </w:rPr>
        <w:instrText xml:space="preserve"> PAGEREF _Toc8473 \h </w:instrText>
      </w:r>
      <w:r>
        <w:rPr>
          <w:color w:val="auto"/>
          <w:highlight w:val="none"/>
        </w:rPr>
        <w:fldChar w:fldCharType="separate"/>
      </w:r>
      <w:r>
        <w:rPr>
          <w:color w:val="auto"/>
          <w:highlight w:val="none"/>
        </w:rPr>
        <w:t>171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0F199C1">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_Toc3606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i w:val="0"/>
          <w:iCs w:val="0"/>
          <w:color w:val="auto"/>
          <w:szCs w:val="24"/>
          <w:highlight w:val="none"/>
          <w:lang w:eastAsia="zh-CN"/>
        </w:rPr>
        <w:t>9. 交通运输</w:t>
      </w:r>
      <w:r>
        <w:rPr>
          <w:color w:val="auto"/>
          <w:highlight w:val="none"/>
        </w:rPr>
        <w:tab/>
      </w:r>
      <w:r>
        <w:rPr>
          <w:color w:val="auto"/>
          <w:highlight w:val="none"/>
        </w:rPr>
        <w:fldChar w:fldCharType="begin"/>
      </w:r>
      <w:r>
        <w:rPr>
          <w:color w:val="auto"/>
          <w:highlight w:val="none"/>
        </w:rPr>
        <w:instrText xml:space="preserve"> PAGEREF _Toc3606 \h </w:instrText>
      </w:r>
      <w:r>
        <w:rPr>
          <w:color w:val="auto"/>
          <w:highlight w:val="none"/>
        </w:rPr>
        <w:fldChar w:fldCharType="separate"/>
      </w:r>
      <w:r>
        <w:rPr>
          <w:color w:val="auto"/>
          <w:highlight w:val="none"/>
        </w:rPr>
        <w:t>171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9D61F0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_Toc20308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i w:val="0"/>
          <w:iCs w:val="0"/>
          <w:color w:val="auto"/>
          <w:szCs w:val="24"/>
          <w:highlight w:val="none"/>
          <w:lang w:eastAsia="zh-CN"/>
        </w:rPr>
        <w:t>10. 专项批准事件的签认</w:t>
      </w:r>
      <w:r>
        <w:rPr>
          <w:color w:val="auto"/>
          <w:highlight w:val="none"/>
        </w:rPr>
        <w:tab/>
      </w:r>
      <w:r>
        <w:rPr>
          <w:color w:val="auto"/>
          <w:highlight w:val="none"/>
        </w:rPr>
        <w:fldChar w:fldCharType="begin"/>
      </w:r>
      <w:r>
        <w:rPr>
          <w:color w:val="auto"/>
          <w:highlight w:val="none"/>
        </w:rPr>
        <w:instrText xml:space="preserve"> PAGEREF _Toc20308 \h </w:instrText>
      </w:r>
      <w:r>
        <w:rPr>
          <w:color w:val="auto"/>
          <w:highlight w:val="none"/>
        </w:rPr>
        <w:fldChar w:fldCharType="separate"/>
      </w:r>
      <w:r>
        <w:rPr>
          <w:color w:val="auto"/>
          <w:highlight w:val="none"/>
        </w:rPr>
        <w:t>171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469CFD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_Toc25194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11.专利技术和知识产权</w:t>
      </w:r>
      <w:r>
        <w:rPr>
          <w:color w:val="auto"/>
          <w:highlight w:val="none"/>
        </w:rPr>
        <w:tab/>
      </w:r>
      <w:r>
        <w:rPr>
          <w:color w:val="auto"/>
          <w:highlight w:val="none"/>
        </w:rPr>
        <w:fldChar w:fldCharType="begin"/>
      </w:r>
      <w:r>
        <w:rPr>
          <w:color w:val="auto"/>
          <w:highlight w:val="none"/>
        </w:rPr>
        <w:instrText xml:space="preserve"> PAGEREF _Toc25194 \h </w:instrText>
      </w:r>
      <w:r>
        <w:rPr>
          <w:color w:val="auto"/>
          <w:highlight w:val="none"/>
        </w:rPr>
        <w:fldChar w:fldCharType="separate"/>
      </w:r>
      <w:r>
        <w:rPr>
          <w:color w:val="auto"/>
          <w:highlight w:val="none"/>
        </w:rPr>
        <w:t>172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AC65111">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_Toc5734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12.  联合体的责任</w:t>
      </w:r>
      <w:r>
        <w:rPr>
          <w:color w:val="auto"/>
          <w:highlight w:val="none"/>
        </w:rPr>
        <w:tab/>
      </w:r>
      <w:r>
        <w:rPr>
          <w:color w:val="auto"/>
          <w:highlight w:val="none"/>
        </w:rPr>
        <w:fldChar w:fldCharType="begin"/>
      </w:r>
      <w:r>
        <w:rPr>
          <w:color w:val="auto"/>
          <w:highlight w:val="none"/>
        </w:rPr>
        <w:instrText xml:space="preserve"> PAGEREF _Toc5734 \h </w:instrText>
      </w:r>
      <w:r>
        <w:rPr>
          <w:color w:val="auto"/>
          <w:highlight w:val="none"/>
        </w:rPr>
        <w:fldChar w:fldCharType="separate"/>
      </w:r>
      <w:r>
        <w:rPr>
          <w:color w:val="auto"/>
          <w:highlight w:val="none"/>
        </w:rPr>
        <w:t>172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A9F11D3">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_Toc7591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13.发包人</w:t>
      </w:r>
      <w:r>
        <w:rPr>
          <w:color w:val="auto"/>
          <w:highlight w:val="none"/>
        </w:rPr>
        <w:tab/>
      </w:r>
      <w:r>
        <w:rPr>
          <w:color w:val="auto"/>
          <w:highlight w:val="none"/>
        </w:rPr>
        <w:fldChar w:fldCharType="begin"/>
      </w:r>
      <w:r>
        <w:rPr>
          <w:color w:val="auto"/>
          <w:highlight w:val="none"/>
        </w:rPr>
        <w:instrText xml:space="preserve"> PAGEREF _Toc7591 \h </w:instrText>
      </w:r>
      <w:r>
        <w:rPr>
          <w:color w:val="auto"/>
          <w:highlight w:val="none"/>
        </w:rPr>
        <w:fldChar w:fldCharType="separate"/>
      </w:r>
      <w:r>
        <w:rPr>
          <w:color w:val="auto"/>
          <w:highlight w:val="none"/>
        </w:rPr>
        <w:t>172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3708951">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_Toc7538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14</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承包人</w:t>
      </w:r>
      <w:r>
        <w:rPr>
          <w:color w:val="auto"/>
          <w:highlight w:val="none"/>
        </w:rPr>
        <w:tab/>
      </w:r>
      <w:r>
        <w:rPr>
          <w:color w:val="auto"/>
          <w:highlight w:val="none"/>
        </w:rPr>
        <w:fldChar w:fldCharType="begin"/>
      </w:r>
      <w:r>
        <w:rPr>
          <w:color w:val="auto"/>
          <w:highlight w:val="none"/>
        </w:rPr>
        <w:instrText xml:space="preserve"> PAGEREF _Toc7538 \h </w:instrText>
      </w:r>
      <w:r>
        <w:rPr>
          <w:color w:val="auto"/>
          <w:highlight w:val="none"/>
        </w:rPr>
        <w:fldChar w:fldCharType="separate"/>
      </w:r>
      <w:r>
        <w:rPr>
          <w:color w:val="auto"/>
          <w:highlight w:val="none"/>
        </w:rPr>
        <w:t>174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0EE4869">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_Toc8152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15. 现场管理人员任命和更换</w:t>
      </w:r>
      <w:r>
        <w:rPr>
          <w:color w:val="auto"/>
          <w:highlight w:val="none"/>
        </w:rPr>
        <w:tab/>
      </w:r>
      <w:r>
        <w:rPr>
          <w:color w:val="auto"/>
          <w:highlight w:val="none"/>
        </w:rPr>
        <w:fldChar w:fldCharType="begin"/>
      </w:r>
      <w:r>
        <w:rPr>
          <w:color w:val="auto"/>
          <w:highlight w:val="none"/>
        </w:rPr>
        <w:instrText xml:space="preserve"> PAGEREF _Toc8152 \h </w:instrText>
      </w:r>
      <w:r>
        <w:rPr>
          <w:color w:val="auto"/>
          <w:highlight w:val="none"/>
        </w:rPr>
        <w:fldChar w:fldCharType="separate"/>
      </w:r>
      <w:r>
        <w:rPr>
          <w:color w:val="auto"/>
          <w:highlight w:val="none"/>
        </w:rPr>
        <w:t>179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9DB1649">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_Toc3076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16.  发包人代表</w:t>
      </w:r>
      <w:r>
        <w:rPr>
          <w:color w:val="auto"/>
          <w:highlight w:val="none"/>
        </w:rPr>
        <w:tab/>
      </w:r>
      <w:r>
        <w:rPr>
          <w:color w:val="auto"/>
          <w:highlight w:val="none"/>
        </w:rPr>
        <w:fldChar w:fldCharType="begin"/>
      </w:r>
      <w:r>
        <w:rPr>
          <w:color w:val="auto"/>
          <w:highlight w:val="none"/>
        </w:rPr>
        <w:instrText xml:space="preserve"> PAGEREF _Toc3076 \h </w:instrText>
      </w:r>
      <w:r>
        <w:rPr>
          <w:color w:val="auto"/>
          <w:highlight w:val="none"/>
        </w:rPr>
        <w:fldChar w:fldCharType="separate"/>
      </w:r>
      <w:r>
        <w:rPr>
          <w:color w:val="auto"/>
          <w:highlight w:val="none"/>
        </w:rPr>
        <w:t>180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88932CC">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_Toc17240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17.  设计顾问人</w:t>
      </w:r>
      <w:r>
        <w:rPr>
          <w:color w:val="auto"/>
          <w:highlight w:val="none"/>
        </w:rPr>
        <w:tab/>
      </w:r>
      <w:r>
        <w:rPr>
          <w:color w:val="auto"/>
          <w:highlight w:val="none"/>
        </w:rPr>
        <w:fldChar w:fldCharType="begin"/>
      </w:r>
      <w:r>
        <w:rPr>
          <w:color w:val="auto"/>
          <w:highlight w:val="none"/>
        </w:rPr>
        <w:instrText xml:space="preserve"> PAGEREF _Toc17240 \h </w:instrText>
      </w:r>
      <w:r>
        <w:rPr>
          <w:color w:val="auto"/>
          <w:highlight w:val="none"/>
        </w:rPr>
        <w:fldChar w:fldCharType="separate"/>
      </w:r>
      <w:r>
        <w:rPr>
          <w:color w:val="auto"/>
          <w:highlight w:val="none"/>
        </w:rPr>
        <w:t>181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CDEAF8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_Toc26624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18.  监理人</w:t>
      </w:r>
      <w:r>
        <w:rPr>
          <w:color w:val="auto"/>
          <w:highlight w:val="none"/>
        </w:rPr>
        <w:tab/>
      </w:r>
      <w:r>
        <w:rPr>
          <w:color w:val="auto"/>
          <w:highlight w:val="none"/>
        </w:rPr>
        <w:fldChar w:fldCharType="begin"/>
      </w:r>
      <w:r>
        <w:rPr>
          <w:color w:val="auto"/>
          <w:highlight w:val="none"/>
        </w:rPr>
        <w:instrText xml:space="preserve"> PAGEREF _Toc26624 \h </w:instrText>
      </w:r>
      <w:r>
        <w:rPr>
          <w:color w:val="auto"/>
          <w:highlight w:val="none"/>
        </w:rPr>
        <w:fldChar w:fldCharType="separate"/>
      </w:r>
      <w:r>
        <w:rPr>
          <w:color w:val="auto"/>
          <w:highlight w:val="none"/>
        </w:rPr>
        <w:t>181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2B4651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_Toc8081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19.  造价咨询人（不涉及）</w:t>
      </w:r>
      <w:r>
        <w:rPr>
          <w:color w:val="auto"/>
          <w:highlight w:val="none"/>
        </w:rPr>
        <w:tab/>
      </w:r>
      <w:r>
        <w:rPr>
          <w:color w:val="auto"/>
          <w:highlight w:val="none"/>
        </w:rPr>
        <w:fldChar w:fldCharType="begin"/>
      </w:r>
      <w:r>
        <w:rPr>
          <w:color w:val="auto"/>
          <w:highlight w:val="none"/>
        </w:rPr>
        <w:instrText xml:space="preserve"> PAGEREF _Toc8081 \h </w:instrText>
      </w:r>
      <w:r>
        <w:rPr>
          <w:color w:val="auto"/>
          <w:highlight w:val="none"/>
        </w:rPr>
        <w:fldChar w:fldCharType="separate"/>
      </w:r>
      <w:r>
        <w:rPr>
          <w:color w:val="auto"/>
          <w:highlight w:val="none"/>
        </w:rPr>
        <w:t>181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79F0645">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_Toc14324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21</w:t>
      </w:r>
      <w:r>
        <w:rPr>
          <w:rFonts w:hint="eastAsia" w:ascii="仿宋" w:hAnsi="仿宋" w:eastAsia="仿宋" w:cs="仿宋"/>
          <w:bCs w:val="0"/>
          <w:color w:val="auto"/>
          <w:szCs w:val="24"/>
          <w:highlight w:val="none"/>
        </w:rPr>
        <w:t>.  指定分包人</w:t>
      </w:r>
      <w:r>
        <w:rPr>
          <w:color w:val="auto"/>
          <w:highlight w:val="none"/>
        </w:rPr>
        <w:tab/>
      </w:r>
      <w:r>
        <w:rPr>
          <w:color w:val="auto"/>
          <w:highlight w:val="none"/>
        </w:rPr>
        <w:fldChar w:fldCharType="begin"/>
      </w:r>
      <w:r>
        <w:rPr>
          <w:color w:val="auto"/>
          <w:highlight w:val="none"/>
        </w:rPr>
        <w:instrText xml:space="preserve"> PAGEREF _Toc14324 \h </w:instrText>
      </w:r>
      <w:r>
        <w:rPr>
          <w:color w:val="auto"/>
          <w:highlight w:val="none"/>
        </w:rPr>
        <w:fldChar w:fldCharType="separate"/>
      </w:r>
      <w:r>
        <w:rPr>
          <w:color w:val="auto"/>
          <w:highlight w:val="none"/>
        </w:rPr>
        <w:t>183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DFAE573">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_Toc25205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22. 工程担保</w:t>
      </w:r>
      <w:r>
        <w:rPr>
          <w:color w:val="auto"/>
          <w:highlight w:val="none"/>
        </w:rPr>
        <w:tab/>
      </w:r>
      <w:r>
        <w:rPr>
          <w:color w:val="auto"/>
          <w:highlight w:val="none"/>
        </w:rPr>
        <w:fldChar w:fldCharType="begin"/>
      </w:r>
      <w:r>
        <w:rPr>
          <w:color w:val="auto"/>
          <w:highlight w:val="none"/>
        </w:rPr>
        <w:instrText xml:space="preserve"> PAGEREF _Toc25205 \h </w:instrText>
      </w:r>
      <w:r>
        <w:rPr>
          <w:color w:val="auto"/>
          <w:highlight w:val="none"/>
        </w:rPr>
        <w:fldChar w:fldCharType="separate"/>
      </w:r>
      <w:r>
        <w:rPr>
          <w:color w:val="auto"/>
          <w:highlight w:val="none"/>
        </w:rPr>
        <w:t>183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0DDEB26">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_Toc13606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23.不可抗力</w:t>
      </w:r>
      <w:r>
        <w:rPr>
          <w:color w:val="auto"/>
          <w:highlight w:val="none"/>
        </w:rPr>
        <w:tab/>
      </w:r>
      <w:r>
        <w:rPr>
          <w:color w:val="auto"/>
          <w:highlight w:val="none"/>
        </w:rPr>
        <w:fldChar w:fldCharType="begin"/>
      </w:r>
      <w:r>
        <w:rPr>
          <w:color w:val="auto"/>
          <w:highlight w:val="none"/>
        </w:rPr>
        <w:instrText xml:space="preserve"> PAGEREF _Toc13606 \h </w:instrText>
      </w:r>
      <w:r>
        <w:rPr>
          <w:color w:val="auto"/>
          <w:highlight w:val="none"/>
        </w:rPr>
        <w:fldChar w:fldCharType="separate"/>
      </w:r>
      <w:r>
        <w:rPr>
          <w:color w:val="auto"/>
          <w:highlight w:val="none"/>
        </w:rPr>
        <w:t>184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014D39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_Toc32489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24</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保险</w:t>
      </w:r>
      <w:r>
        <w:rPr>
          <w:color w:val="auto"/>
          <w:highlight w:val="none"/>
        </w:rPr>
        <w:tab/>
      </w:r>
      <w:r>
        <w:rPr>
          <w:color w:val="auto"/>
          <w:highlight w:val="none"/>
        </w:rPr>
        <w:fldChar w:fldCharType="begin"/>
      </w:r>
      <w:r>
        <w:rPr>
          <w:color w:val="auto"/>
          <w:highlight w:val="none"/>
        </w:rPr>
        <w:instrText xml:space="preserve"> PAGEREF _Toc32489 \h </w:instrText>
      </w:r>
      <w:r>
        <w:rPr>
          <w:color w:val="auto"/>
          <w:highlight w:val="none"/>
        </w:rPr>
        <w:fldChar w:fldCharType="separate"/>
      </w:r>
      <w:r>
        <w:rPr>
          <w:color w:val="auto"/>
          <w:highlight w:val="none"/>
        </w:rPr>
        <w:t>184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C95BD5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_Toc29389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25.  工程勘察</w:t>
      </w:r>
      <w:r>
        <w:rPr>
          <w:color w:val="auto"/>
          <w:highlight w:val="none"/>
        </w:rPr>
        <w:tab/>
      </w:r>
      <w:r>
        <w:rPr>
          <w:color w:val="auto"/>
          <w:highlight w:val="none"/>
        </w:rPr>
        <w:fldChar w:fldCharType="begin"/>
      </w:r>
      <w:r>
        <w:rPr>
          <w:color w:val="auto"/>
          <w:highlight w:val="none"/>
        </w:rPr>
        <w:instrText xml:space="preserve"> PAGEREF _Toc29389 \h </w:instrText>
      </w:r>
      <w:r>
        <w:rPr>
          <w:color w:val="auto"/>
          <w:highlight w:val="none"/>
        </w:rPr>
        <w:fldChar w:fldCharType="separate"/>
      </w:r>
      <w:r>
        <w:rPr>
          <w:color w:val="auto"/>
          <w:highlight w:val="none"/>
        </w:rPr>
        <w:t>184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B2959BD">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_Toc8072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26.  工程设计</w:t>
      </w:r>
      <w:r>
        <w:rPr>
          <w:color w:val="auto"/>
          <w:highlight w:val="none"/>
        </w:rPr>
        <w:tab/>
      </w:r>
      <w:r>
        <w:rPr>
          <w:color w:val="auto"/>
          <w:highlight w:val="none"/>
        </w:rPr>
        <w:fldChar w:fldCharType="begin"/>
      </w:r>
      <w:r>
        <w:rPr>
          <w:color w:val="auto"/>
          <w:highlight w:val="none"/>
        </w:rPr>
        <w:instrText xml:space="preserve"> PAGEREF _Toc8072 \h </w:instrText>
      </w:r>
      <w:r>
        <w:rPr>
          <w:color w:val="auto"/>
          <w:highlight w:val="none"/>
        </w:rPr>
        <w:fldChar w:fldCharType="separate"/>
      </w:r>
      <w:r>
        <w:rPr>
          <w:color w:val="auto"/>
          <w:highlight w:val="none"/>
        </w:rPr>
        <w:t>185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DBE93DA">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_Toc19542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27.  BIM技术应用及智能建造（</w:t>
      </w:r>
      <w:r>
        <w:rPr>
          <w:rFonts w:hint="eastAsia" w:ascii="仿宋" w:hAnsi="仿宋" w:eastAsia="仿宋" w:cs="仿宋"/>
          <w:bCs w:val="0"/>
          <w:color w:val="auto"/>
          <w:szCs w:val="24"/>
          <w:highlight w:val="none"/>
          <w:lang w:val="en-US" w:eastAsia="zh-CN"/>
        </w:rPr>
        <w:t>不涉及）</w:t>
      </w:r>
      <w:r>
        <w:rPr>
          <w:color w:val="auto"/>
          <w:highlight w:val="none"/>
        </w:rPr>
        <w:tab/>
      </w:r>
      <w:r>
        <w:rPr>
          <w:color w:val="auto"/>
          <w:highlight w:val="none"/>
        </w:rPr>
        <w:fldChar w:fldCharType="begin"/>
      </w:r>
      <w:r>
        <w:rPr>
          <w:color w:val="auto"/>
          <w:highlight w:val="none"/>
        </w:rPr>
        <w:instrText xml:space="preserve"> PAGEREF _Toc19542 \h </w:instrText>
      </w:r>
      <w:r>
        <w:rPr>
          <w:color w:val="auto"/>
          <w:highlight w:val="none"/>
        </w:rPr>
        <w:fldChar w:fldCharType="separate"/>
      </w:r>
      <w:r>
        <w:rPr>
          <w:color w:val="auto"/>
          <w:highlight w:val="none"/>
        </w:rPr>
        <w:t>192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4D563E6">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_Toc2138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28</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进度计划和报告</w:t>
      </w:r>
      <w:r>
        <w:rPr>
          <w:color w:val="auto"/>
          <w:highlight w:val="none"/>
        </w:rPr>
        <w:tab/>
      </w:r>
      <w:r>
        <w:rPr>
          <w:color w:val="auto"/>
          <w:highlight w:val="none"/>
        </w:rPr>
        <w:fldChar w:fldCharType="begin"/>
      </w:r>
      <w:r>
        <w:rPr>
          <w:color w:val="auto"/>
          <w:highlight w:val="none"/>
        </w:rPr>
        <w:instrText xml:space="preserve"> PAGEREF _Toc2138 \h </w:instrText>
      </w:r>
      <w:r>
        <w:rPr>
          <w:color w:val="auto"/>
          <w:highlight w:val="none"/>
        </w:rPr>
        <w:fldChar w:fldCharType="separate"/>
      </w:r>
      <w:r>
        <w:rPr>
          <w:color w:val="auto"/>
          <w:highlight w:val="none"/>
        </w:rPr>
        <w:t>193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78BD60B">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_Toc15024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29</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开工</w:t>
      </w:r>
      <w:r>
        <w:rPr>
          <w:color w:val="auto"/>
          <w:highlight w:val="none"/>
        </w:rPr>
        <w:tab/>
      </w:r>
      <w:r>
        <w:rPr>
          <w:color w:val="auto"/>
          <w:highlight w:val="none"/>
        </w:rPr>
        <w:fldChar w:fldCharType="begin"/>
      </w:r>
      <w:r>
        <w:rPr>
          <w:color w:val="auto"/>
          <w:highlight w:val="none"/>
        </w:rPr>
        <w:instrText xml:space="preserve"> PAGEREF _Toc15024 \h </w:instrText>
      </w:r>
      <w:r>
        <w:rPr>
          <w:color w:val="auto"/>
          <w:highlight w:val="none"/>
        </w:rPr>
        <w:fldChar w:fldCharType="separate"/>
      </w:r>
      <w:r>
        <w:rPr>
          <w:color w:val="auto"/>
          <w:highlight w:val="none"/>
        </w:rPr>
        <w:t>194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C1B70C5">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_Toc10108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30</w:t>
      </w:r>
      <w:r>
        <w:rPr>
          <w:rFonts w:ascii="仿宋" w:hAnsi="仿宋" w:eastAsia="仿宋" w:cs="仿宋"/>
          <w:color w:val="auto"/>
          <w:szCs w:val="24"/>
          <w:highlight w:val="none"/>
          <w:lang w:eastAsia="zh-CN"/>
        </w:rPr>
        <w:t>.</w:t>
      </w:r>
      <w:r>
        <w:rPr>
          <w:rFonts w:hint="eastAsia" w:ascii="仿宋" w:hAnsi="仿宋" w:eastAsia="仿宋" w:cs="仿宋"/>
          <w:color w:val="auto"/>
          <w:szCs w:val="24"/>
          <w:highlight w:val="none"/>
          <w:lang w:eastAsia="zh-CN"/>
        </w:rPr>
        <w:t>暂停施工和复工</w:t>
      </w:r>
      <w:r>
        <w:rPr>
          <w:color w:val="auto"/>
          <w:highlight w:val="none"/>
        </w:rPr>
        <w:tab/>
      </w:r>
      <w:r>
        <w:rPr>
          <w:color w:val="auto"/>
          <w:highlight w:val="none"/>
        </w:rPr>
        <w:fldChar w:fldCharType="begin"/>
      </w:r>
      <w:r>
        <w:rPr>
          <w:color w:val="auto"/>
          <w:highlight w:val="none"/>
        </w:rPr>
        <w:instrText xml:space="preserve"> PAGEREF _Toc10108 \h </w:instrText>
      </w:r>
      <w:r>
        <w:rPr>
          <w:color w:val="auto"/>
          <w:highlight w:val="none"/>
        </w:rPr>
        <w:fldChar w:fldCharType="separate"/>
      </w:r>
      <w:r>
        <w:rPr>
          <w:color w:val="auto"/>
          <w:highlight w:val="none"/>
        </w:rPr>
        <w:t>194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3751592">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_Toc28896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31</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工期及工期延误</w:t>
      </w:r>
      <w:r>
        <w:rPr>
          <w:color w:val="auto"/>
          <w:highlight w:val="none"/>
        </w:rPr>
        <w:tab/>
      </w:r>
      <w:r>
        <w:rPr>
          <w:color w:val="auto"/>
          <w:highlight w:val="none"/>
        </w:rPr>
        <w:fldChar w:fldCharType="begin"/>
      </w:r>
      <w:r>
        <w:rPr>
          <w:color w:val="auto"/>
          <w:highlight w:val="none"/>
        </w:rPr>
        <w:instrText xml:space="preserve"> PAGEREF _Toc28896 \h </w:instrText>
      </w:r>
      <w:r>
        <w:rPr>
          <w:color w:val="auto"/>
          <w:highlight w:val="none"/>
        </w:rPr>
        <w:fldChar w:fldCharType="separate"/>
      </w:r>
      <w:r>
        <w:rPr>
          <w:color w:val="auto"/>
          <w:highlight w:val="none"/>
        </w:rPr>
        <w:t>194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1943F12">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_Toc21449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32</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竣工日期</w:t>
      </w:r>
      <w:r>
        <w:rPr>
          <w:color w:val="auto"/>
          <w:highlight w:val="none"/>
        </w:rPr>
        <w:tab/>
      </w:r>
      <w:r>
        <w:rPr>
          <w:color w:val="auto"/>
          <w:highlight w:val="none"/>
        </w:rPr>
        <w:fldChar w:fldCharType="begin"/>
      </w:r>
      <w:r>
        <w:rPr>
          <w:color w:val="auto"/>
          <w:highlight w:val="none"/>
        </w:rPr>
        <w:instrText xml:space="preserve"> PAGEREF _Toc21449 \h </w:instrText>
      </w:r>
      <w:r>
        <w:rPr>
          <w:color w:val="auto"/>
          <w:highlight w:val="none"/>
        </w:rPr>
        <w:fldChar w:fldCharType="separate"/>
      </w:r>
      <w:r>
        <w:rPr>
          <w:color w:val="auto"/>
          <w:highlight w:val="none"/>
        </w:rPr>
        <w:t>194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187B4BA">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_Toc25213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★33</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质量标准、目标</w:t>
      </w:r>
      <w:r>
        <w:rPr>
          <w:color w:val="auto"/>
          <w:highlight w:val="none"/>
        </w:rPr>
        <w:tab/>
      </w:r>
      <w:r>
        <w:rPr>
          <w:color w:val="auto"/>
          <w:highlight w:val="none"/>
        </w:rPr>
        <w:fldChar w:fldCharType="begin"/>
      </w:r>
      <w:r>
        <w:rPr>
          <w:color w:val="auto"/>
          <w:highlight w:val="none"/>
        </w:rPr>
        <w:instrText xml:space="preserve"> PAGEREF _Toc25213 \h </w:instrText>
      </w:r>
      <w:r>
        <w:rPr>
          <w:color w:val="auto"/>
          <w:highlight w:val="none"/>
        </w:rPr>
        <w:fldChar w:fldCharType="separate"/>
      </w:r>
      <w:r>
        <w:rPr>
          <w:color w:val="auto"/>
          <w:highlight w:val="none"/>
        </w:rPr>
        <w:t>194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DABB919">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_Toc29186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★34</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绿色施工安全防护</w:t>
      </w:r>
      <w:r>
        <w:rPr>
          <w:color w:val="auto"/>
          <w:highlight w:val="none"/>
        </w:rPr>
        <w:tab/>
      </w:r>
      <w:r>
        <w:rPr>
          <w:color w:val="auto"/>
          <w:highlight w:val="none"/>
        </w:rPr>
        <w:fldChar w:fldCharType="begin"/>
      </w:r>
      <w:r>
        <w:rPr>
          <w:color w:val="auto"/>
          <w:highlight w:val="none"/>
        </w:rPr>
        <w:instrText xml:space="preserve"> PAGEREF _Toc29186 \h </w:instrText>
      </w:r>
      <w:r>
        <w:rPr>
          <w:color w:val="auto"/>
          <w:highlight w:val="none"/>
        </w:rPr>
        <w:fldChar w:fldCharType="separate"/>
      </w:r>
      <w:r>
        <w:rPr>
          <w:color w:val="auto"/>
          <w:highlight w:val="none"/>
        </w:rPr>
        <w:t>195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9EF0730">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_Toc10945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35</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测量放线</w:t>
      </w:r>
      <w:r>
        <w:rPr>
          <w:color w:val="auto"/>
          <w:highlight w:val="none"/>
        </w:rPr>
        <w:tab/>
      </w:r>
      <w:r>
        <w:rPr>
          <w:color w:val="auto"/>
          <w:highlight w:val="none"/>
        </w:rPr>
        <w:fldChar w:fldCharType="begin"/>
      </w:r>
      <w:r>
        <w:rPr>
          <w:color w:val="auto"/>
          <w:highlight w:val="none"/>
        </w:rPr>
        <w:instrText xml:space="preserve"> PAGEREF _Toc10945 \h </w:instrText>
      </w:r>
      <w:r>
        <w:rPr>
          <w:color w:val="auto"/>
          <w:highlight w:val="none"/>
        </w:rPr>
        <w:fldChar w:fldCharType="separate"/>
      </w:r>
      <w:r>
        <w:rPr>
          <w:color w:val="auto"/>
          <w:highlight w:val="none"/>
        </w:rPr>
        <w:t>197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F834C4A">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_Toc15371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36</w:t>
      </w:r>
      <w:r>
        <w:rPr>
          <w:rFonts w:ascii="仿宋" w:hAnsi="仿宋" w:eastAsia="仿宋" w:cs="仿宋"/>
          <w:color w:val="auto"/>
          <w:szCs w:val="24"/>
          <w:highlight w:val="none"/>
          <w:lang w:eastAsia="zh-CN"/>
        </w:rPr>
        <w:t>.</w:t>
      </w:r>
      <w:r>
        <w:rPr>
          <w:rFonts w:hint="eastAsia" w:ascii="仿宋" w:hAnsi="仿宋" w:eastAsia="仿宋" w:cs="仿宋"/>
          <w:color w:val="auto"/>
          <w:szCs w:val="24"/>
          <w:highlight w:val="none"/>
          <w:lang w:eastAsia="zh-CN"/>
        </w:rPr>
        <w:t>发包人供应材料和工程设备</w:t>
      </w:r>
      <w:r>
        <w:rPr>
          <w:color w:val="auto"/>
          <w:highlight w:val="none"/>
        </w:rPr>
        <w:tab/>
      </w:r>
      <w:r>
        <w:rPr>
          <w:color w:val="auto"/>
          <w:highlight w:val="none"/>
        </w:rPr>
        <w:fldChar w:fldCharType="begin"/>
      </w:r>
      <w:r>
        <w:rPr>
          <w:color w:val="auto"/>
          <w:highlight w:val="none"/>
        </w:rPr>
        <w:instrText xml:space="preserve"> PAGEREF _Toc15371 \h </w:instrText>
      </w:r>
      <w:r>
        <w:rPr>
          <w:color w:val="auto"/>
          <w:highlight w:val="none"/>
        </w:rPr>
        <w:fldChar w:fldCharType="separate"/>
      </w:r>
      <w:r>
        <w:rPr>
          <w:color w:val="auto"/>
          <w:highlight w:val="none"/>
        </w:rPr>
        <w:t>197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AF911F3">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_Toc16711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37</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承包人采购材料和工程设备</w:t>
      </w:r>
      <w:r>
        <w:rPr>
          <w:color w:val="auto"/>
          <w:highlight w:val="none"/>
        </w:rPr>
        <w:tab/>
      </w:r>
      <w:r>
        <w:rPr>
          <w:color w:val="auto"/>
          <w:highlight w:val="none"/>
        </w:rPr>
        <w:fldChar w:fldCharType="begin"/>
      </w:r>
      <w:r>
        <w:rPr>
          <w:color w:val="auto"/>
          <w:highlight w:val="none"/>
        </w:rPr>
        <w:instrText xml:space="preserve"> PAGEREF _Toc16711 \h </w:instrText>
      </w:r>
      <w:r>
        <w:rPr>
          <w:color w:val="auto"/>
          <w:highlight w:val="none"/>
        </w:rPr>
        <w:fldChar w:fldCharType="separate"/>
      </w:r>
      <w:r>
        <w:rPr>
          <w:color w:val="auto"/>
          <w:highlight w:val="none"/>
        </w:rPr>
        <w:t>197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6B84A1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_Toc820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38</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材料和工程设备的检验试验</w:t>
      </w:r>
      <w:r>
        <w:rPr>
          <w:color w:val="auto"/>
          <w:highlight w:val="none"/>
        </w:rPr>
        <w:tab/>
      </w:r>
      <w:r>
        <w:rPr>
          <w:color w:val="auto"/>
          <w:highlight w:val="none"/>
        </w:rPr>
        <w:fldChar w:fldCharType="begin"/>
      </w:r>
      <w:r>
        <w:rPr>
          <w:color w:val="auto"/>
          <w:highlight w:val="none"/>
        </w:rPr>
        <w:instrText xml:space="preserve"> PAGEREF _Toc820 \h </w:instrText>
      </w:r>
      <w:r>
        <w:rPr>
          <w:color w:val="auto"/>
          <w:highlight w:val="none"/>
        </w:rPr>
        <w:fldChar w:fldCharType="separate"/>
      </w:r>
      <w:r>
        <w:rPr>
          <w:color w:val="auto"/>
          <w:highlight w:val="none"/>
        </w:rPr>
        <w:t>197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E187971">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_Toc4540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39</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施工设备和临时设施</w:t>
      </w:r>
      <w:r>
        <w:rPr>
          <w:color w:val="auto"/>
          <w:highlight w:val="none"/>
        </w:rPr>
        <w:tab/>
      </w:r>
      <w:r>
        <w:rPr>
          <w:color w:val="auto"/>
          <w:highlight w:val="none"/>
        </w:rPr>
        <w:fldChar w:fldCharType="begin"/>
      </w:r>
      <w:r>
        <w:rPr>
          <w:color w:val="auto"/>
          <w:highlight w:val="none"/>
        </w:rPr>
        <w:instrText xml:space="preserve"> PAGEREF _Toc4540 \h </w:instrText>
      </w:r>
      <w:r>
        <w:rPr>
          <w:color w:val="auto"/>
          <w:highlight w:val="none"/>
        </w:rPr>
        <w:fldChar w:fldCharType="separate"/>
      </w:r>
      <w:r>
        <w:rPr>
          <w:color w:val="auto"/>
          <w:highlight w:val="none"/>
        </w:rPr>
        <w:t>198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674166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_Toc19880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40</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隐蔽工程和中间验收</w:t>
      </w:r>
      <w:r>
        <w:rPr>
          <w:color w:val="auto"/>
          <w:highlight w:val="none"/>
        </w:rPr>
        <w:tab/>
      </w:r>
      <w:r>
        <w:rPr>
          <w:color w:val="auto"/>
          <w:highlight w:val="none"/>
        </w:rPr>
        <w:fldChar w:fldCharType="begin"/>
      </w:r>
      <w:r>
        <w:rPr>
          <w:color w:val="auto"/>
          <w:highlight w:val="none"/>
        </w:rPr>
        <w:instrText xml:space="preserve"> PAGEREF _Toc19880 \h </w:instrText>
      </w:r>
      <w:r>
        <w:rPr>
          <w:color w:val="auto"/>
          <w:highlight w:val="none"/>
        </w:rPr>
        <w:fldChar w:fldCharType="separate"/>
      </w:r>
      <w:r>
        <w:rPr>
          <w:color w:val="auto"/>
          <w:highlight w:val="none"/>
        </w:rPr>
        <w:t>198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2668C60">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_Toc30214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41</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工程试车</w:t>
      </w:r>
      <w:r>
        <w:rPr>
          <w:color w:val="auto"/>
          <w:highlight w:val="none"/>
        </w:rPr>
        <w:tab/>
      </w:r>
      <w:r>
        <w:rPr>
          <w:color w:val="auto"/>
          <w:highlight w:val="none"/>
        </w:rPr>
        <w:fldChar w:fldCharType="begin"/>
      </w:r>
      <w:r>
        <w:rPr>
          <w:color w:val="auto"/>
          <w:highlight w:val="none"/>
        </w:rPr>
        <w:instrText xml:space="preserve"> PAGEREF _Toc30214 \h </w:instrText>
      </w:r>
      <w:r>
        <w:rPr>
          <w:color w:val="auto"/>
          <w:highlight w:val="none"/>
        </w:rPr>
        <w:fldChar w:fldCharType="separate"/>
      </w:r>
      <w:r>
        <w:rPr>
          <w:color w:val="auto"/>
          <w:highlight w:val="none"/>
        </w:rPr>
        <w:t>198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77AB596">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_Toc28792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42.工程变更</w:t>
      </w:r>
      <w:r>
        <w:rPr>
          <w:color w:val="auto"/>
          <w:highlight w:val="none"/>
        </w:rPr>
        <w:tab/>
      </w:r>
      <w:r>
        <w:rPr>
          <w:color w:val="auto"/>
          <w:highlight w:val="none"/>
        </w:rPr>
        <w:fldChar w:fldCharType="begin"/>
      </w:r>
      <w:r>
        <w:rPr>
          <w:color w:val="auto"/>
          <w:highlight w:val="none"/>
        </w:rPr>
        <w:instrText xml:space="preserve"> PAGEREF _Toc28792 \h </w:instrText>
      </w:r>
      <w:r>
        <w:rPr>
          <w:color w:val="auto"/>
          <w:highlight w:val="none"/>
        </w:rPr>
        <w:fldChar w:fldCharType="separate"/>
      </w:r>
      <w:r>
        <w:rPr>
          <w:color w:val="auto"/>
          <w:highlight w:val="none"/>
        </w:rPr>
        <w:t>198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223E2D0">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_Toc20141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★43</w:t>
      </w:r>
      <w:r>
        <w:rPr>
          <w:rFonts w:ascii="仿宋" w:hAnsi="仿宋" w:eastAsia="仿宋" w:cs="仿宋"/>
          <w:color w:val="auto"/>
          <w:szCs w:val="24"/>
          <w:highlight w:val="none"/>
          <w:lang w:eastAsia="zh-CN"/>
        </w:rPr>
        <w:t>.</w:t>
      </w:r>
      <w:r>
        <w:rPr>
          <w:rFonts w:hint="eastAsia" w:ascii="仿宋" w:hAnsi="仿宋" w:eastAsia="仿宋" w:cs="仿宋"/>
          <w:color w:val="auto"/>
          <w:szCs w:val="24"/>
          <w:highlight w:val="none"/>
          <w:lang w:eastAsia="zh-CN"/>
        </w:rPr>
        <w:t>竣工验收</w:t>
      </w:r>
      <w:r>
        <w:rPr>
          <w:color w:val="auto"/>
          <w:highlight w:val="none"/>
        </w:rPr>
        <w:tab/>
      </w:r>
      <w:r>
        <w:rPr>
          <w:color w:val="auto"/>
          <w:highlight w:val="none"/>
        </w:rPr>
        <w:fldChar w:fldCharType="begin"/>
      </w:r>
      <w:r>
        <w:rPr>
          <w:color w:val="auto"/>
          <w:highlight w:val="none"/>
        </w:rPr>
        <w:instrText xml:space="preserve"> PAGEREF _Toc20141 \h </w:instrText>
      </w:r>
      <w:r>
        <w:rPr>
          <w:color w:val="auto"/>
          <w:highlight w:val="none"/>
        </w:rPr>
        <w:fldChar w:fldCharType="separate"/>
      </w:r>
      <w:r>
        <w:rPr>
          <w:color w:val="auto"/>
          <w:highlight w:val="none"/>
        </w:rPr>
        <w:t>199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C180F95">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_Toc4831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44</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缺陷责任与质量保修</w:t>
      </w:r>
      <w:r>
        <w:rPr>
          <w:color w:val="auto"/>
          <w:highlight w:val="none"/>
        </w:rPr>
        <w:tab/>
      </w:r>
      <w:r>
        <w:rPr>
          <w:color w:val="auto"/>
          <w:highlight w:val="none"/>
        </w:rPr>
        <w:fldChar w:fldCharType="begin"/>
      </w:r>
      <w:r>
        <w:rPr>
          <w:color w:val="auto"/>
          <w:highlight w:val="none"/>
        </w:rPr>
        <w:instrText xml:space="preserve"> PAGEREF _Toc4831 \h </w:instrText>
      </w:r>
      <w:r>
        <w:rPr>
          <w:color w:val="auto"/>
          <w:highlight w:val="none"/>
        </w:rPr>
        <w:fldChar w:fldCharType="separate"/>
      </w:r>
      <w:r>
        <w:rPr>
          <w:color w:val="auto"/>
          <w:highlight w:val="none"/>
        </w:rPr>
        <w:t>200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9EF494C">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_Toc5004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45.联合体牵头人项目管理费</w:t>
      </w:r>
      <w:r>
        <w:rPr>
          <w:color w:val="auto"/>
          <w:highlight w:val="none"/>
        </w:rPr>
        <w:tab/>
      </w:r>
      <w:r>
        <w:rPr>
          <w:color w:val="auto"/>
          <w:highlight w:val="none"/>
        </w:rPr>
        <w:fldChar w:fldCharType="begin"/>
      </w:r>
      <w:r>
        <w:rPr>
          <w:color w:val="auto"/>
          <w:highlight w:val="none"/>
        </w:rPr>
        <w:instrText xml:space="preserve"> PAGEREF _Toc5004 \h </w:instrText>
      </w:r>
      <w:r>
        <w:rPr>
          <w:color w:val="auto"/>
          <w:highlight w:val="none"/>
        </w:rPr>
        <w:fldChar w:fldCharType="separate"/>
      </w:r>
      <w:r>
        <w:rPr>
          <w:color w:val="auto"/>
          <w:highlight w:val="none"/>
        </w:rPr>
        <w:t>200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7D0621A">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_Toc11432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★46. 工作量或工程量</w:t>
      </w:r>
      <w:r>
        <w:rPr>
          <w:color w:val="auto"/>
          <w:highlight w:val="none"/>
        </w:rPr>
        <w:tab/>
      </w:r>
      <w:r>
        <w:rPr>
          <w:color w:val="auto"/>
          <w:highlight w:val="none"/>
        </w:rPr>
        <w:fldChar w:fldCharType="begin"/>
      </w:r>
      <w:r>
        <w:rPr>
          <w:color w:val="auto"/>
          <w:highlight w:val="none"/>
        </w:rPr>
        <w:instrText xml:space="preserve"> PAGEREF _Toc11432 \h </w:instrText>
      </w:r>
      <w:r>
        <w:rPr>
          <w:color w:val="auto"/>
          <w:highlight w:val="none"/>
        </w:rPr>
        <w:fldChar w:fldCharType="separate"/>
      </w:r>
      <w:r>
        <w:rPr>
          <w:color w:val="auto"/>
          <w:highlight w:val="none"/>
        </w:rPr>
        <w:t>200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E01B12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_Toc18201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★48</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暂列金额</w:t>
      </w:r>
      <w:r>
        <w:rPr>
          <w:color w:val="auto"/>
          <w:highlight w:val="none"/>
        </w:rPr>
        <w:tab/>
      </w:r>
      <w:r>
        <w:rPr>
          <w:color w:val="auto"/>
          <w:highlight w:val="none"/>
        </w:rPr>
        <w:fldChar w:fldCharType="begin"/>
      </w:r>
      <w:r>
        <w:rPr>
          <w:color w:val="auto"/>
          <w:highlight w:val="none"/>
        </w:rPr>
        <w:instrText xml:space="preserve"> PAGEREF _Toc18201 \h </w:instrText>
      </w:r>
      <w:r>
        <w:rPr>
          <w:color w:val="auto"/>
          <w:highlight w:val="none"/>
        </w:rPr>
        <w:fldChar w:fldCharType="separate"/>
      </w:r>
      <w:r>
        <w:rPr>
          <w:color w:val="auto"/>
          <w:highlight w:val="none"/>
        </w:rPr>
        <w:t>203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A00145E">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_Toc24810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★49</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专业承包工程</w:t>
      </w:r>
      <w:r>
        <w:rPr>
          <w:color w:val="auto"/>
          <w:highlight w:val="none"/>
        </w:rPr>
        <w:tab/>
      </w:r>
      <w:r>
        <w:rPr>
          <w:color w:val="auto"/>
          <w:highlight w:val="none"/>
        </w:rPr>
        <w:fldChar w:fldCharType="begin"/>
      </w:r>
      <w:r>
        <w:rPr>
          <w:color w:val="auto"/>
          <w:highlight w:val="none"/>
        </w:rPr>
        <w:instrText xml:space="preserve"> PAGEREF _Toc24810 \h </w:instrText>
      </w:r>
      <w:r>
        <w:rPr>
          <w:color w:val="auto"/>
          <w:highlight w:val="none"/>
        </w:rPr>
        <w:fldChar w:fldCharType="separate"/>
      </w:r>
      <w:r>
        <w:rPr>
          <w:color w:val="auto"/>
          <w:highlight w:val="none"/>
        </w:rPr>
        <w:t>203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5AE5CCC">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_Toc18619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★50</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提前竣工奖与误期赔偿费</w:t>
      </w:r>
      <w:r>
        <w:rPr>
          <w:color w:val="auto"/>
          <w:highlight w:val="none"/>
        </w:rPr>
        <w:tab/>
      </w:r>
      <w:r>
        <w:rPr>
          <w:color w:val="auto"/>
          <w:highlight w:val="none"/>
        </w:rPr>
        <w:fldChar w:fldCharType="begin"/>
      </w:r>
      <w:r>
        <w:rPr>
          <w:color w:val="auto"/>
          <w:highlight w:val="none"/>
        </w:rPr>
        <w:instrText xml:space="preserve"> PAGEREF _Toc18619 \h </w:instrText>
      </w:r>
      <w:r>
        <w:rPr>
          <w:color w:val="auto"/>
          <w:highlight w:val="none"/>
        </w:rPr>
        <w:fldChar w:fldCharType="separate"/>
      </w:r>
      <w:r>
        <w:rPr>
          <w:color w:val="auto"/>
          <w:highlight w:val="none"/>
        </w:rPr>
        <w:t>203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539E1FD">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_Toc24432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★51</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工程优质费、工程建设标准费用</w:t>
      </w:r>
      <w:r>
        <w:rPr>
          <w:color w:val="auto"/>
          <w:highlight w:val="none"/>
        </w:rPr>
        <w:tab/>
      </w:r>
      <w:r>
        <w:rPr>
          <w:color w:val="auto"/>
          <w:highlight w:val="none"/>
        </w:rPr>
        <w:fldChar w:fldCharType="begin"/>
      </w:r>
      <w:r>
        <w:rPr>
          <w:color w:val="auto"/>
          <w:highlight w:val="none"/>
        </w:rPr>
        <w:instrText xml:space="preserve"> PAGEREF _Toc24432 \h </w:instrText>
      </w:r>
      <w:r>
        <w:rPr>
          <w:color w:val="auto"/>
          <w:highlight w:val="none"/>
        </w:rPr>
        <w:fldChar w:fldCharType="separate"/>
      </w:r>
      <w:r>
        <w:rPr>
          <w:color w:val="auto"/>
          <w:highlight w:val="none"/>
        </w:rPr>
        <w:t>204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5E4C8D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_Toc9993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★52. 合同价格的约定与调整</w:t>
      </w:r>
      <w:r>
        <w:rPr>
          <w:color w:val="auto"/>
          <w:highlight w:val="none"/>
        </w:rPr>
        <w:tab/>
      </w:r>
      <w:r>
        <w:rPr>
          <w:color w:val="auto"/>
          <w:highlight w:val="none"/>
        </w:rPr>
        <w:fldChar w:fldCharType="begin"/>
      </w:r>
      <w:r>
        <w:rPr>
          <w:color w:val="auto"/>
          <w:highlight w:val="none"/>
        </w:rPr>
        <w:instrText xml:space="preserve"> PAGEREF _Toc9993 \h </w:instrText>
      </w:r>
      <w:r>
        <w:rPr>
          <w:color w:val="auto"/>
          <w:highlight w:val="none"/>
        </w:rPr>
        <w:fldChar w:fldCharType="separate"/>
      </w:r>
      <w:r>
        <w:rPr>
          <w:color w:val="auto"/>
          <w:highlight w:val="none"/>
        </w:rPr>
        <w:t>204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D4298CA">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_Toc2691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53</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工程变更事件</w:t>
      </w:r>
      <w:r>
        <w:rPr>
          <w:color w:val="auto"/>
          <w:highlight w:val="none"/>
        </w:rPr>
        <w:tab/>
      </w:r>
      <w:r>
        <w:rPr>
          <w:color w:val="auto"/>
          <w:highlight w:val="none"/>
        </w:rPr>
        <w:fldChar w:fldCharType="begin"/>
      </w:r>
      <w:r>
        <w:rPr>
          <w:color w:val="auto"/>
          <w:highlight w:val="none"/>
        </w:rPr>
        <w:instrText xml:space="preserve"> PAGEREF _Toc2691 \h </w:instrText>
      </w:r>
      <w:r>
        <w:rPr>
          <w:color w:val="auto"/>
          <w:highlight w:val="none"/>
        </w:rPr>
        <w:fldChar w:fldCharType="separate"/>
      </w:r>
      <w:r>
        <w:rPr>
          <w:color w:val="auto"/>
          <w:highlight w:val="none"/>
        </w:rPr>
        <w:t>205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030777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_Toc22772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54</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工程量偏差事件</w:t>
      </w:r>
      <w:r>
        <w:rPr>
          <w:color w:val="auto"/>
          <w:highlight w:val="none"/>
        </w:rPr>
        <w:tab/>
      </w:r>
      <w:r>
        <w:rPr>
          <w:color w:val="auto"/>
          <w:highlight w:val="none"/>
        </w:rPr>
        <w:fldChar w:fldCharType="begin"/>
      </w:r>
      <w:r>
        <w:rPr>
          <w:color w:val="auto"/>
          <w:highlight w:val="none"/>
        </w:rPr>
        <w:instrText xml:space="preserve"> PAGEREF _Toc22772 \h </w:instrText>
      </w:r>
      <w:r>
        <w:rPr>
          <w:color w:val="auto"/>
          <w:highlight w:val="none"/>
        </w:rPr>
        <w:fldChar w:fldCharType="separate"/>
      </w:r>
      <w:r>
        <w:rPr>
          <w:color w:val="auto"/>
          <w:highlight w:val="none"/>
        </w:rPr>
        <w:t>205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F8D581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_Toc19447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55</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现场签证事件</w:t>
      </w:r>
      <w:r>
        <w:rPr>
          <w:color w:val="auto"/>
          <w:highlight w:val="none"/>
        </w:rPr>
        <w:tab/>
      </w:r>
      <w:r>
        <w:rPr>
          <w:color w:val="auto"/>
          <w:highlight w:val="none"/>
        </w:rPr>
        <w:fldChar w:fldCharType="begin"/>
      </w:r>
      <w:r>
        <w:rPr>
          <w:color w:val="auto"/>
          <w:highlight w:val="none"/>
        </w:rPr>
        <w:instrText xml:space="preserve"> PAGEREF _Toc19447 \h </w:instrText>
      </w:r>
      <w:r>
        <w:rPr>
          <w:color w:val="auto"/>
          <w:highlight w:val="none"/>
        </w:rPr>
        <w:fldChar w:fldCharType="separate"/>
      </w:r>
      <w:r>
        <w:rPr>
          <w:color w:val="auto"/>
          <w:highlight w:val="none"/>
        </w:rPr>
        <w:t>205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10C7E6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_Toc15641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★56</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物价涨落事件</w:t>
      </w:r>
      <w:r>
        <w:rPr>
          <w:color w:val="auto"/>
          <w:highlight w:val="none"/>
        </w:rPr>
        <w:tab/>
      </w:r>
      <w:r>
        <w:rPr>
          <w:color w:val="auto"/>
          <w:highlight w:val="none"/>
        </w:rPr>
        <w:fldChar w:fldCharType="begin"/>
      </w:r>
      <w:r>
        <w:rPr>
          <w:color w:val="auto"/>
          <w:highlight w:val="none"/>
        </w:rPr>
        <w:instrText xml:space="preserve"> PAGEREF _Toc15641 \h </w:instrText>
      </w:r>
      <w:r>
        <w:rPr>
          <w:color w:val="auto"/>
          <w:highlight w:val="none"/>
        </w:rPr>
        <w:fldChar w:fldCharType="separate"/>
      </w:r>
      <w:r>
        <w:rPr>
          <w:color w:val="auto"/>
          <w:highlight w:val="none"/>
        </w:rPr>
        <w:t>206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5080527">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_Toc7078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57</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支付事项</w:t>
      </w:r>
      <w:r>
        <w:rPr>
          <w:color w:val="auto"/>
          <w:highlight w:val="none"/>
        </w:rPr>
        <w:tab/>
      </w:r>
      <w:r>
        <w:rPr>
          <w:color w:val="auto"/>
          <w:highlight w:val="none"/>
        </w:rPr>
        <w:fldChar w:fldCharType="begin"/>
      </w:r>
      <w:r>
        <w:rPr>
          <w:color w:val="auto"/>
          <w:highlight w:val="none"/>
        </w:rPr>
        <w:instrText xml:space="preserve"> PAGEREF _Toc7078 \h </w:instrText>
      </w:r>
      <w:r>
        <w:rPr>
          <w:color w:val="auto"/>
          <w:highlight w:val="none"/>
        </w:rPr>
        <w:fldChar w:fldCharType="separate"/>
      </w:r>
      <w:r>
        <w:rPr>
          <w:color w:val="auto"/>
          <w:highlight w:val="none"/>
        </w:rPr>
        <w:t>206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5C9667C">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_Toc30930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★58</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预付款</w:t>
      </w:r>
      <w:r>
        <w:rPr>
          <w:color w:val="auto"/>
          <w:highlight w:val="none"/>
        </w:rPr>
        <w:tab/>
      </w:r>
      <w:r>
        <w:rPr>
          <w:color w:val="auto"/>
          <w:highlight w:val="none"/>
        </w:rPr>
        <w:fldChar w:fldCharType="begin"/>
      </w:r>
      <w:r>
        <w:rPr>
          <w:color w:val="auto"/>
          <w:highlight w:val="none"/>
        </w:rPr>
        <w:instrText xml:space="preserve"> PAGEREF _Toc30930 \h </w:instrText>
      </w:r>
      <w:r>
        <w:rPr>
          <w:color w:val="auto"/>
          <w:highlight w:val="none"/>
        </w:rPr>
        <w:fldChar w:fldCharType="separate"/>
      </w:r>
      <w:r>
        <w:rPr>
          <w:color w:val="auto"/>
          <w:highlight w:val="none"/>
        </w:rPr>
        <w:t>206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D98C2A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_Toc2753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★59</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绿色施工安全防护费</w:t>
      </w:r>
      <w:r>
        <w:rPr>
          <w:color w:val="auto"/>
          <w:highlight w:val="none"/>
        </w:rPr>
        <w:tab/>
      </w:r>
      <w:r>
        <w:rPr>
          <w:color w:val="auto"/>
          <w:highlight w:val="none"/>
        </w:rPr>
        <w:fldChar w:fldCharType="begin"/>
      </w:r>
      <w:r>
        <w:rPr>
          <w:color w:val="auto"/>
          <w:highlight w:val="none"/>
        </w:rPr>
        <w:instrText xml:space="preserve"> PAGEREF _Toc2753 \h </w:instrText>
      </w:r>
      <w:r>
        <w:rPr>
          <w:color w:val="auto"/>
          <w:highlight w:val="none"/>
        </w:rPr>
        <w:fldChar w:fldCharType="separate"/>
      </w:r>
      <w:r>
        <w:rPr>
          <w:color w:val="auto"/>
          <w:highlight w:val="none"/>
        </w:rPr>
        <w:t>207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601BF7A">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_Toc23756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★60.  进度款</w:t>
      </w:r>
      <w:r>
        <w:rPr>
          <w:color w:val="auto"/>
          <w:highlight w:val="none"/>
        </w:rPr>
        <w:tab/>
      </w:r>
      <w:r>
        <w:rPr>
          <w:color w:val="auto"/>
          <w:highlight w:val="none"/>
        </w:rPr>
        <w:fldChar w:fldCharType="begin"/>
      </w:r>
      <w:r>
        <w:rPr>
          <w:color w:val="auto"/>
          <w:highlight w:val="none"/>
        </w:rPr>
        <w:instrText xml:space="preserve"> PAGEREF _Toc23756 \h </w:instrText>
      </w:r>
      <w:r>
        <w:rPr>
          <w:color w:val="auto"/>
          <w:highlight w:val="none"/>
        </w:rPr>
        <w:fldChar w:fldCharType="separate"/>
      </w:r>
      <w:r>
        <w:rPr>
          <w:color w:val="auto"/>
          <w:highlight w:val="none"/>
        </w:rPr>
        <w:t>208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D8FFFD3">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_Toc25369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★61. 竣工结算</w:t>
      </w:r>
      <w:r>
        <w:rPr>
          <w:color w:val="auto"/>
          <w:highlight w:val="none"/>
        </w:rPr>
        <w:tab/>
      </w:r>
      <w:r>
        <w:rPr>
          <w:color w:val="auto"/>
          <w:highlight w:val="none"/>
        </w:rPr>
        <w:fldChar w:fldCharType="begin"/>
      </w:r>
      <w:r>
        <w:rPr>
          <w:color w:val="auto"/>
          <w:highlight w:val="none"/>
        </w:rPr>
        <w:instrText xml:space="preserve"> PAGEREF _Toc25369 \h </w:instrText>
      </w:r>
      <w:r>
        <w:rPr>
          <w:color w:val="auto"/>
          <w:highlight w:val="none"/>
        </w:rPr>
        <w:fldChar w:fldCharType="separate"/>
      </w:r>
      <w:r>
        <w:rPr>
          <w:color w:val="auto"/>
          <w:highlight w:val="none"/>
        </w:rPr>
        <w:t>212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401448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_Toc6868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★62</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结算款</w:t>
      </w:r>
      <w:r>
        <w:rPr>
          <w:color w:val="auto"/>
          <w:highlight w:val="none"/>
        </w:rPr>
        <w:tab/>
      </w:r>
      <w:r>
        <w:rPr>
          <w:color w:val="auto"/>
          <w:highlight w:val="none"/>
        </w:rPr>
        <w:fldChar w:fldCharType="begin"/>
      </w:r>
      <w:r>
        <w:rPr>
          <w:color w:val="auto"/>
          <w:highlight w:val="none"/>
        </w:rPr>
        <w:instrText xml:space="preserve"> PAGEREF _Toc6868 \h </w:instrText>
      </w:r>
      <w:r>
        <w:rPr>
          <w:color w:val="auto"/>
          <w:highlight w:val="none"/>
        </w:rPr>
        <w:fldChar w:fldCharType="separate"/>
      </w:r>
      <w:r>
        <w:rPr>
          <w:color w:val="auto"/>
          <w:highlight w:val="none"/>
        </w:rPr>
        <w:t>214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A887C60">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_Toc15138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★63</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质量保证金</w:t>
      </w:r>
      <w:r>
        <w:rPr>
          <w:color w:val="auto"/>
          <w:highlight w:val="none"/>
        </w:rPr>
        <w:tab/>
      </w:r>
      <w:r>
        <w:rPr>
          <w:color w:val="auto"/>
          <w:highlight w:val="none"/>
        </w:rPr>
        <w:fldChar w:fldCharType="begin"/>
      </w:r>
      <w:r>
        <w:rPr>
          <w:color w:val="auto"/>
          <w:highlight w:val="none"/>
        </w:rPr>
        <w:instrText xml:space="preserve"> PAGEREF _Toc15138 \h </w:instrText>
      </w:r>
      <w:r>
        <w:rPr>
          <w:color w:val="auto"/>
          <w:highlight w:val="none"/>
        </w:rPr>
        <w:fldChar w:fldCharType="separate"/>
      </w:r>
      <w:r>
        <w:rPr>
          <w:color w:val="auto"/>
          <w:highlight w:val="none"/>
        </w:rPr>
        <w:t>215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C67B6A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_Toc18986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64</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最终清算款</w:t>
      </w:r>
      <w:r>
        <w:rPr>
          <w:color w:val="auto"/>
          <w:highlight w:val="none"/>
        </w:rPr>
        <w:tab/>
      </w:r>
      <w:r>
        <w:rPr>
          <w:color w:val="auto"/>
          <w:highlight w:val="none"/>
        </w:rPr>
        <w:fldChar w:fldCharType="begin"/>
      </w:r>
      <w:r>
        <w:rPr>
          <w:color w:val="auto"/>
          <w:highlight w:val="none"/>
        </w:rPr>
        <w:instrText xml:space="preserve"> PAGEREF _Toc18986 \h </w:instrText>
      </w:r>
      <w:r>
        <w:rPr>
          <w:color w:val="auto"/>
          <w:highlight w:val="none"/>
        </w:rPr>
        <w:fldChar w:fldCharType="separate"/>
      </w:r>
      <w:r>
        <w:rPr>
          <w:color w:val="auto"/>
          <w:highlight w:val="none"/>
        </w:rPr>
        <w:t>215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F0C2A8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_Toc14825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65. 承包人违约</w:t>
      </w:r>
      <w:r>
        <w:rPr>
          <w:color w:val="auto"/>
          <w:highlight w:val="none"/>
        </w:rPr>
        <w:tab/>
      </w:r>
      <w:r>
        <w:rPr>
          <w:color w:val="auto"/>
          <w:highlight w:val="none"/>
        </w:rPr>
        <w:fldChar w:fldCharType="begin"/>
      </w:r>
      <w:r>
        <w:rPr>
          <w:color w:val="auto"/>
          <w:highlight w:val="none"/>
        </w:rPr>
        <w:instrText xml:space="preserve"> PAGEREF _Toc14825 \h </w:instrText>
      </w:r>
      <w:r>
        <w:rPr>
          <w:color w:val="auto"/>
          <w:highlight w:val="none"/>
        </w:rPr>
        <w:fldChar w:fldCharType="separate"/>
      </w:r>
      <w:r>
        <w:rPr>
          <w:color w:val="auto"/>
          <w:highlight w:val="none"/>
        </w:rPr>
        <w:t>215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FB2A959">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_Toc3609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val="0"/>
          <w:color w:val="auto"/>
          <w:szCs w:val="24"/>
          <w:highlight w:val="none"/>
          <w:lang w:eastAsia="zh-CN"/>
        </w:rPr>
        <w:t>★66发包人违约</w:t>
      </w:r>
      <w:r>
        <w:rPr>
          <w:color w:val="auto"/>
          <w:highlight w:val="none"/>
        </w:rPr>
        <w:tab/>
      </w:r>
      <w:r>
        <w:rPr>
          <w:color w:val="auto"/>
          <w:highlight w:val="none"/>
        </w:rPr>
        <w:fldChar w:fldCharType="begin"/>
      </w:r>
      <w:r>
        <w:rPr>
          <w:color w:val="auto"/>
          <w:highlight w:val="none"/>
        </w:rPr>
        <w:instrText xml:space="preserve"> PAGEREF _Toc3609 \h </w:instrText>
      </w:r>
      <w:r>
        <w:rPr>
          <w:color w:val="auto"/>
          <w:highlight w:val="none"/>
        </w:rPr>
        <w:fldChar w:fldCharType="separate"/>
      </w:r>
      <w:r>
        <w:rPr>
          <w:color w:val="auto"/>
          <w:highlight w:val="none"/>
        </w:rPr>
        <w:t>218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884C50B">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_Toc31085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67</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合同争议</w:t>
      </w:r>
      <w:r>
        <w:rPr>
          <w:color w:val="auto"/>
          <w:highlight w:val="none"/>
        </w:rPr>
        <w:tab/>
      </w:r>
      <w:r>
        <w:rPr>
          <w:color w:val="auto"/>
          <w:highlight w:val="none"/>
        </w:rPr>
        <w:fldChar w:fldCharType="begin"/>
      </w:r>
      <w:r>
        <w:rPr>
          <w:color w:val="auto"/>
          <w:highlight w:val="none"/>
        </w:rPr>
        <w:instrText xml:space="preserve"> PAGEREF _Toc31085 \h </w:instrText>
      </w:r>
      <w:r>
        <w:rPr>
          <w:color w:val="auto"/>
          <w:highlight w:val="none"/>
        </w:rPr>
        <w:fldChar w:fldCharType="separate"/>
      </w:r>
      <w:r>
        <w:rPr>
          <w:color w:val="auto"/>
          <w:highlight w:val="none"/>
        </w:rPr>
        <w:t>218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C1011DB">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_Toc18744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68</w:t>
      </w:r>
      <w:r>
        <w:rPr>
          <w:rFonts w:ascii="仿宋" w:hAnsi="仿宋" w:eastAsia="仿宋" w:cs="仿宋"/>
          <w:color w:val="auto"/>
          <w:szCs w:val="24"/>
          <w:highlight w:val="none"/>
        </w:rPr>
        <w:t xml:space="preserve">. </w:t>
      </w:r>
      <w:r>
        <w:rPr>
          <w:rFonts w:hint="eastAsia" w:ascii="仿宋" w:hAnsi="仿宋" w:eastAsia="仿宋" w:cs="仿宋"/>
          <w:color w:val="auto"/>
          <w:szCs w:val="24"/>
          <w:highlight w:val="none"/>
        </w:rPr>
        <w:t>保密要求</w:t>
      </w:r>
      <w:r>
        <w:rPr>
          <w:color w:val="auto"/>
          <w:highlight w:val="none"/>
        </w:rPr>
        <w:tab/>
      </w:r>
      <w:r>
        <w:rPr>
          <w:color w:val="auto"/>
          <w:highlight w:val="none"/>
        </w:rPr>
        <w:fldChar w:fldCharType="begin"/>
      </w:r>
      <w:r>
        <w:rPr>
          <w:color w:val="auto"/>
          <w:highlight w:val="none"/>
        </w:rPr>
        <w:instrText xml:space="preserve"> PAGEREF _Toc18744 \h </w:instrText>
      </w:r>
      <w:r>
        <w:rPr>
          <w:color w:val="auto"/>
          <w:highlight w:val="none"/>
        </w:rPr>
        <w:fldChar w:fldCharType="separate"/>
      </w:r>
      <w:r>
        <w:rPr>
          <w:color w:val="auto"/>
          <w:highlight w:val="none"/>
        </w:rPr>
        <w:t>219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A2B122B">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_Toc2104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color w:val="auto"/>
          <w:szCs w:val="24"/>
          <w:highlight w:val="none"/>
          <w:lang w:eastAsia="zh-CN"/>
        </w:rPr>
        <w:t>69</w:t>
      </w:r>
      <w:r>
        <w:rPr>
          <w:rFonts w:ascii="仿宋" w:hAnsi="仿宋" w:eastAsia="仿宋" w:cs="仿宋"/>
          <w:color w:val="auto"/>
          <w:szCs w:val="24"/>
          <w:highlight w:val="none"/>
          <w:lang w:eastAsia="zh-CN"/>
        </w:rPr>
        <w:t xml:space="preserve">. </w:t>
      </w:r>
      <w:r>
        <w:rPr>
          <w:rFonts w:hint="eastAsia" w:ascii="仿宋" w:hAnsi="仿宋" w:eastAsia="仿宋" w:cs="仿宋"/>
          <w:color w:val="auto"/>
          <w:szCs w:val="24"/>
          <w:highlight w:val="none"/>
          <w:lang w:eastAsia="zh-CN"/>
        </w:rPr>
        <w:t>合同份数</w:t>
      </w:r>
      <w:r>
        <w:rPr>
          <w:color w:val="auto"/>
          <w:highlight w:val="none"/>
        </w:rPr>
        <w:tab/>
      </w:r>
      <w:r>
        <w:rPr>
          <w:color w:val="auto"/>
          <w:highlight w:val="none"/>
        </w:rPr>
        <w:fldChar w:fldCharType="begin"/>
      </w:r>
      <w:r>
        <w:rPr>
          <w:color w:val="auto"/>
          <w:highlight w:val="none"/>
        </w:rPr>
        <w:instrText xml:space="preserve"> PAGEREF _Toc2104 \h </w:instrText>
      </w:r>
      <w:r>
        <w:rPr>
          <w:color w:val="auto"/>
          <w:highlight w:val="none"/>
        </w:rPr>
        <w:fldChar w:fldCharType="separate"/>
      </w:r>
      <w:r>
        <w:rPr>
          <w:color w:val="auto"/>
          <w:highlight w:val="none"/>
        </w:rPr>
        <w:t>219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F38887B">
      <w:pPr>
        <w:pStyle w:val="53"/>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_Toc21766 </w:instrText>
      </w:r>
      <w:r>
        <w:rPr>
          <w:rFonts w:hint="eastAsia" w:ascii="仿宋" w:hAnsi="仿宋" w:eastAsia="仿宋" w:cs="宋体"/>
          <w:bCs/>
          <w:caps/>
          <w:smallCaps w:val="0"/>
          <w:color w:val="auto"/>
          <w:szCs w:val="24"/>
          <w:highlight w:val="none"/>
          <w:lang w:eastAsia="zh-CN"/>
        </w:rPr>
        <w:fldChar w:fldCharType="separate"/>
      </w:r>
      <w:r>
        <w:rPr>
          <w:rFonts w:hint="eastAsia" w:hAnsi="宋体"/>
          <w:color w:val="auto"/>
          <w:szCs w:val="36"/>
          <w:highlight w:val="none"/>
          <w:lang w:eastAsia="zh-CN"/>
        </w:rPr>
        <w:t>第四部分</w:t>
      </w:r>
      <w:r>
        <w:rPr>
          <w:rFonts w:hAnsi="宋体"/>
          <w:color w:val="auto"/>
          <w:szCs w:val="36"/>
          <w:highlight w:val="none"/>
          <w:lang w:eastAsia="zh-CN"/>
        </w:rPr>
        <w:t xml:space="preserve">  </w:t>
      </w:r>
      <w:r>
        <w:rPr>
          <w:rFonts w:hint="eastAsia" w:hAnsi="宋体"/>
          <w:color w:val="auto"/>
          <w:szCs w:val="36"/>
          <w:highlight w:val="none"/>
          <w:lang w:eastAsia="zh-CN"/>
        </w:rPr>
        <w:t>附件与格式</w:t>
      </w:r>
      <w:r>
        <w:rPr>
          <w:color w:val="auto"/>
          <w:highlight w:val="none"/>
        </w:rPr>
        <w:tab/>
      </w:r>
      <w:r>
        <w:rPr>
          <w:color w:val="auto"/>
          <w:highlight w:val="none"/>
        </w:rPr>
        <w:fldChar w:fldCharType="begin"/>
      </w:r>
      <w:r>
        <w:rPr>
          <w:color w:val="auto"/>
          <w:highlight w:val="none"/>
        </w:rPr>
        <w:instrText xml:space="preserve"> PAGEREF _Toc21766 \h </w:instrText>
      </w:r>
      <w:r>
        <w:rPr>
          <w:color w:val="auto"/>
          <w:highlight w:val="none"/>
        </w:rPr>
        <w:fldChar w:fldCharType="separate"/>
      </w:r>
      <w:r>
        <w:rPr>
          <w:color w:val="auto"/>
          <w:highlight w:val="none"/>
        </w:rPr>
        <w:t>220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204AF2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_Toc21088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1</w:t>
      </w:r>
      <w:r>
        <w:rPr>
          <w:rFonts w:hint="eastAsia" w:ascii="仿宋" w:hAnsi="仿宋" w:eastAsia="仿宋" w:cs="仿宋"/>
          <w:bCs/>
          <w:color w:val="auto"/>
          <w:highlight w:val="none"/>
          <w:lang w:eastAsia="zh-CN"/>
        </w:rPr>
        <w:t xml:space="preserve"> 联合体承包协议书</w:t>
      </w:r>
      <w:r>
        <w:rPr>
          <w:color w:val="auto"/>
          <w:highlight w:val="none"/>
        </w:rPr>
        <w:tab/>
      </w:r>
      <w:r>
        <w:rPr>
          <w:color w:val="auto"/>
          <w:highlight w:val="none"/>
        </w:rPr>
        <w:fldChar w:fldCharType="begin"/>
      </w:r>
      <w:r>
        <w:rPr>
          <w:color w:val="auto"/>
          <w:highlight w:val="none"/>
        </w:rPr>
        <w:instrText xml:space="preserve"> PAGEREF _Toc21088 \h </w:instrText>
      </w:r>
      <w:r>
        <w:rPr>
          <w:color w:val="auto"/>
          <w:highlight w:val="none"/>
        </w:rPr>
        <w:fldChar w:fldCharType="separate"/>
      </w:r>
      <w:r>
        <w:rPr>
          <w:color w:val="auto"/>
          <w:highlight w:val="none"/>
        </w:rPr>
        <w:t>221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7CBDA50">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_Toc27508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格式2 联合体主办方责任承诺书</w:t>
      </w:r>
      <w:r>
        <w:rPr>
          <w:color w:val="auto"/>
          <w:highlight w:val="none"/>
        </w:rPr>
        <w:tab/>
      </w:r>
      <w:r>
        <w:rPr>
          <w:color w:val="auto"/>
          <w:highlight w:val="none"/>
        </w:rPr>
        <w:fldChar w:fldCharType="begin"/>
      </w:r>
      <w:r>
        <w:rPr>
          <w:color w:val="auto"/>
          <w:highlight w:val="none"/>
        </w:rPr>
        <w:instrText xml:space="preserve"> PAGEREF _Toc27508 \h </w:instrText>
      </w:r>
      <w:r>
        <w:rPr>
          <w:color w:val="auto"/>
          <w:highlight w:val="none"/>
        </w:rPr>
        <w:fldChar w:fldCharType="separate"/>
      </w:r>
      <w:r>
        <w:rPr>
          <w:color w:val="auto"/>
          <w:highlight w:val="none"/>
        </w:rPr>
        <w:t>222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A539C99">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_Toc30591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格式3 履约担保</w:t>
      </w:r>
      <w:r>
        <w:rPr>
          <w:color w:val="auto"/>
          <w:highlight w:val="none"/>
        </w:rPr>
        <w:tab/>
      </w:r>
      <w:r>
        <w:rPr>
          <w:color w:val="auto"/>
          <w:highlight w:val="none"/>
        </w:rPr>
        <w:fldChar w:fldCharType="begin"/>
      </w:r>
      <w:r>
        <w:rPr>
          <w:color w:val="auto"/>
          <w:highlight w:val="none"/>
        </w:rPr>
        <w:instrText xml:space="preserve"> PAGEREF _Toc30591 \h </w:instrText>
      </w:r>
      <w:r>
        <w:rPr>
          <w:color w:val="auto"/>
          <w:highlight w:val="none"/>
        </w:rPr>
        <w:fldChar w:fldCharType="separate"/>
      </w:r>
      <w:r>
        <w:rPr>
          <w:color w:val="auto"/>
          <w:highlight w:val="none"/>
        </w:rPr>
        <w:t>223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718B123">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_Toc28026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格式4 支付担保</w:t>
      </w:r>
      <w:r>
        <w:rPr>
          <w:color w:val="auto"/>
          <w:highlight w:val="none"/>
        </w:rPr>
        <w:tab/>
      </w:r>
      <w:r>
        <w:rPr>
          <w:color w:val="auto"/>
          <w:highlight w:val="none"/>
        </w:rPr>
        <w:fldChar w:fldCharType="begin"/>
      </w:r>
      <w:r>
        <w:rPr>
          <w:color w:val="auto"/>
          <w:highlight w:val="none"/>
        </w:rPr>
        <w:instrText xml:space="preserve"> PAGEREF _Toc28026 \h </w:instrText>
      </w:r>
      <w:r>
        <w:rPr>
          <w:color w:val="auto"/>
          <w:highlight w:val="none"/>
        </w:rPr>
        <w:fldChar w:fldCharType="separate"/>
      </w:r>
      <w:r>
        <w:rPr>
          <w:color w:val="auto"/>
          <w:highlight w:val="none"/>
        </w:rPr>
        <w:t>224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9141ED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_Toc7529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格式5 工程项目一览表</w:t>
      </w:r>
      <w:r>
        <w:rPr>
          <w:color w:val="auto"/>
          <w:highlight w:val="none"/>
        </w:rPr>
        <w:tab/>
      </w:r>
      <w:r>
        <w:rPr>
          <w:color w:val="auto"/>
          <w:highlight w:val="none"/>
        </w:rPr>
        <w:fldChar w:fldCharType="begin"/>
      </w:r>
      <w:r>
        <w:rPr>
          <w:color w:val="auto"/>
          <w:highlight w:val="none"/>
        </w:rPr>
        <w:instrText xml:space="preserve"> PAGEREF _Toc7529 \h </w:instrText>
      </w:r>
      <w:r>
        <w:rPr>
          <w:color w:val="auto"/>
          <w:highlight w:val="none"/>
        </w:rPr>
        <w:fldChar w:fldCharType="separate"/>
      </w:r>
      <w:r>
        <w:rPr>
          <w:color w:val="auto"/>
          <w:highlight w:val="none"/>
        </w:rPr>
        <w:t>225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A8BDFC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_Toc30569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格式6 承包人派驻现场主要管理人员及技术骨干名单</w:t>
      </w:r>
      <w:r>
        <w:rPr>
          <w:color w:val="auto"/>
          <w:highlight w:val="none"/>
        </w:rPr>
        <w:tab/>
      </w:r>
      <w:r>
        <w:rPr>
          <w:color w:val="auto"/>
          <w:highlight w:val="none"/>
        </w:rPr>
        <w:fldChar w:fldCharType="begin"/>
      </w:r>
      <w:r>
        <w:rPr>
          <w:color w:val="auto"/>
          <w:highlight w:val="none"/>
        </w:rPr>
        <w:instrText xml:space="preserve"> PAGEREF _Toc30569 \h </w:instrText>
      </w:r>
      <w:r>
        <w:rPr>
          <w:color w:val="auto"/>
          <w:highlight w:val="none"/>
        </w:rPr>
        <w:fldChar w:fldCharType="separate"/>
      </w:r>
      <w:r>
        <w:rPr>
          <w:color w:val="auto"/>
          <w:highlight w:val="none"/>
        </w:rPr>
        <w:t>226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C74BAB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_Toc3506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格式7 分包单位资格报审表</w:t>
      </w:r>
      <w:r>
        <w:rPr>
          <w:color w:val="auto"/>
          <w:highlight w:val="none"/>
        </w:rPr>
        <w:tab/>
      </w:r>
      <w:r>
        <w:rPr>
          <w:color w:val="auto"/>
          <w:highlight w:val="none"/>
        </w:rPr>
        <w:fldChar w:fldCharType="begin"/>
      </w:r>
      <w:r>
        <w:rPr>
          <w:color w:val="auto"/>
          <w:highlight w:val="none"/>
        </w:rPr>
        <w:instrText xml:space="preserve"> PAGEREF _Toc3506 \h </w:instrText>
      </w:r>
      <w:r>
        <w:rPr>
          <w:color w:val="auto"/>
          <w:highlight w:val="none"/>
        </w:rPr>
        <w:fldChar w:fldCharType="separate"/>
      </w:r>
      <w:r>
        <w:rPr>
          <w:color w:val="auto"/>
          <w:highlight w:val="none"/>
        </w:rPr>
        <w:t>227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20083AD">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_Toc30952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格式8 施工组织设计（方案）报审表</w:t>
      </w:r>
      <w:r>
        <w:rPr>
          <w:color w:val="auto"/>
          <w:highlight w:val="none"/>
        </w:rPr>
        <w:tab/>
      </w:r>
      <w:r>
        <w:rPr>
          <w:color w:val="auto"/>
          <w:highlight w:val="none"/>
        </w:rPr>
        <w:fldChar w:fldCharType="begin"/>
      </w:r>
      <w:r>
        <w:rPr>
          <w:color w:val="auto"/>
          <w:highlight w:val="none"/>
        </w:rPr>
        <w:instrText xml:space="preserve"> PAGEREF _Toc30952 \h </w:instrText>
      </w:r>
      <w:r>
        <w:rPr>
          <w:color w:val="auto"/>
          <w:highlight w:val="none"/>
        </w:rPr>
        <w:fldChar w:fldCharType="separate"/>
      </w:r>
      <w:r>
        <w:rPr>
          <w:color w:val="auto"/>
          <w:highlight w:val="none"/>
        </w:rPr>
        <w:t>228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4B75055">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_Toc7233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格式9 工程开工/复工报审表</w:t>
      </w:r>
      <w:r>
        <w:rPr>
          <w:color w:val="auto"/>
          <w:highlight w:val="none"/>
        </w:rPr>
        <w:tab/>
      </w:r>
      <w:r>
        <w:rPr>
          <w:color w:val="auto"/>
          <w:highlight w:val="none"/>
        </w:rPr>
        <w:fldChar w:fldCharType="begin"/>
      </w:r>
      <w:r>
        <w:rPr>
          <w:color w:val="auto"/>
          <w:highlight w:val="none"/>
        </w:rPr>
        <w:instrText xml:space="preserve"> PAGEREF _Toc7233 \h </w:instrText>
      </w:r>
      <w:r>
        <w:rPr>
          <w:color w:val="auto"/>
          <w:highlight w:val="none"/>
        </w:rPr>
        <w:fldChar w:fldCharType="separate"/>
      </w:r>
      <w:r>
        <w:rPr>
          <w:color w:val="auto"/>
          <w:highlight w:val="none"/>
        </w:rPr>
        <w:t>229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62E54B94">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_Toc30138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格式12 暂停施工令</w:t>
      </w:r>
      <w:r>
        <w:rPr>
          <w:color w:val="auto"/>
          <w:highlight w:val="none"/>
        </w:rPr>
        <w:tab/>
      </w:r>
      <w:r>
        <w:rPr>
          <w:color w:val="auto"/>
          <w:highlight w:val="none"/>
        </w:rPr>
        <w:fldChar w:fldCharType="begin"/>
      </w:r>
      <w:r>
        <w:rPr>
          <w:color w:val="auto"/>
          <w:highlight w:val="none"/>
        </w:rPr>
        <w:instrText xml:space="preserve"> PAGEREF _Toc30138 \h </w:instrText>
      </w:r>
      <w:r>
        <w:rPr>
          <w:color w:val="auto"/>
          <w:highlight w:val="none"/>
        </w:rPr>
        <w:fldChar w:fldCharType="separate"/>
      </w:r>
      <w:r>
        <w:rPr>
          <w:color w:val="auto"/>
          <w:highlight w:val="none"/>
        </w:rPr>
        <w:t>230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9D086A6">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_Toc1910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格式11 工期索赔申请表</w:t>
      </w:r>
      <w:r>
        <w:rPr>
          <w:color w:val="auto"/>
          <w:highlight w:val="none"/>
        </w:rPr>
        <w:tab/>
      </w:r>
      <w:r>
        <w:rPr>
          <w:color w:val="auto"/>
          <w:highlight w:val="none"/>
        </w:rPr>
        <w:fldChar w:fldCharType="begin"/>
      </w:r>
      <w:r>
        <w:rPr>
          <w:color w:val="auto"/>
          <w:highlight w:val="none"/>
        </w:rPr>
        <w:instrText xml:space="preserve"> PAGEREF _Toc1910 \h </w:instrText>
      </w:r>
      <w:r>
        <w:rPr>
          <w:color w:val="auto"/>
          <w:highlight w:val="none"/>
        </w:rPr>
        <w:fldChar w:fldCharType="separate"/>
      </w:r>
      <w:r>
        <w:rPr>
          <w:color w:val="auto"/>
          <w:highlight w:val="none"/>
        </w:rPr>
        <w:t>231</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CCC25DE">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_Toc32184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格式12 工期索赔审批表</w:t>
      </w:r>
      <w:r>
        <w:rPr>
          <w:color w:val="auto"/>
          <w:highlight w:val="none"/>
        </w:rPr>
        <w:tab/>
      </w:r>
      <w:r>
        <w:rPr>
          <w:color w:val="auto"/>
          <w:highlight w:val="none"/>
        </w:rPr>
        <w:fldChar w:fldCharType="begin"/>
      </w:r>
      <w:r>
        <w:rPr>
          <w:color w:val="auto"/>
          <w:highlight w:val="none"/>
        </w:rPr>
        <w:instrText xml:space="preserve"> PAGEREF _Toc32184 \h </w:instrText>
      </w:r>
      <w:r>
        <w:rPr>
          <w:color w:val="auto"/>
          <w:highlight w:val="none"/>
        </w:rPr>
        <w:fldChar w:fldCharType="separate"/>
      </w:r>
      <w:r>
        <w:rPr>
          <w:color w:val="auto"/>
          <w:highlight w:val="none"/>
        </w:rPr>
        <w:t>232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9AE6015">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_Toc18113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1</w:t>
      </w:r>
      <w:r>
        <w:rPr>
          <w:rFonts w:hint="eastAsia" w:ascii="仿宋" w:hAnsi="仿宋" w:eastAsia="仿宋" w:cs="仿宋"/>
          <w:bCs/>
          <w:color w:val="auto"/>
          <w:highlight w:val="none"/>
          <w:lang w:eastAsia="zh-CN"/>
        </w:rPr>
        <w:t>4 隐蔽工程/中间验收报告</w:t>
      </w:r>
      <w:r>
        <w:rPr>
          <w:color w:val="auto"/>
          <w:highlight w:val="none"/>
        </w:rPr>
        <w:tab/>
      </w:r>
      <w:r>
        <w:rPr>
          <w:color w:val="auto"/>
          <w:highlight w:val="none"/>
        </w:rPr>
        <w:fldChar w:fldCharType="begin"/>
      </w:r>
      <w:r>
        <w:rPr>
          <w:color w:val="auto"/>
          <w:highlight w:val="none"/>
        </w:rPr>
        <w:instrText xml:space="preserve"> PAGEREF _Toc18113 \h </w:instrText>
      </w:r>
      <w:r>
        <w:rPr>
          <w:color w:val="auto"/>
          <w:highlight w:val="none"/>
        </w:rPr>
        <w:fldChar w:fldCharType="separate"/>
      </w:r>
      <w:r>
        <w:rPr>
          <w:color w:val="auto"/>
          <w:highlight w:val="none"/>
        </w:rPr>
        <w:t>234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6363601">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_Toc7595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1</w:t>
      </w:r>
      <w:r>
        <w:rPr>
          <w:rFonts w:hint="eastAsia" w:ascii="仿宋" w:hAnsi="仿宋" w:eastAsia="仿宋" w:cs="仿宋"/>
          <w:bCs/>
          <w:color w:val="auto"/>
          <w:highlight w:val="none"/>
          <w:lang w:eastAsia="zh-CN"/>
        </w:rPr>
        <w:t>5 工程变更报审表</w:t>
      </w:r>
      <w:r>
        <w:rPr>
          <w:color w:val="auto"/>
          <w:highlight w:val="none"/>
        </w:rPr>
        <w:tab/>
      </w:r>
      <w:r>
        <w:rPr>
          <w:color w:val="auto"/>
          <w:highlight w:val="none"/>
        </w:rPr>
        <w:fldChar w:fldCharType="begin"/>
      </w:r>
      <w:r>
        <w:rPr>
          <w:color w:val="auto"/>
          <w:highlight w:val="none"/>
        </w:rPr>
        <w:instrText xml:space="preserve"> PAGEREF _Toc7595 \h </w:instrText>
      </w:r>
      <w:r>
        <w:rPr>
          <w:color w:val="auto"/>
          <w:highlight w:val="none"/>
        </w:rPr>
        <w:fldChar w:fldCharType="separate"/>
      </w:r>
      <w:r>
        <w:rPr>
          <w:color w:val="auto"/>
          <w:highlight w:val="none"/>
        </w:rPr>
        <w:t>235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3B14E3A">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_Toc8847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1</w:t>
      </w:r>
      <w:r>
        <w:rPr>
          <w:rFonts w:hint="eastAsia" w:ascii="仿宋" w:hAnsi="仿宋" w:eastAsia="仿宋" w:cs="仿宋"/>
          <w:bCs/>
          <w:color w:val="auto"/>
          <w:highlight w:val="none"/>
          <w:lang w:eastAsia="zh-CN"/>
        </w:rPr>
        <w:t>6 现场签证令</w:t>
      </w:r>
      <w:r>
        <w:rPr>
          <w:color w:val="auto"/>
          <w:highlight w:val="none"/>
        </w:rPr>
        <w:tab/>
      </w:r>
      <w:r>
        <w:rPr>
          <w:color w:val="auto"/>
          <w:highlight w:val="none"/>
        </w:rPr>
        <w:fldChar w:fldCharType="begin"/>
      </w:r>
      <w:r>
        <w:rPr>
          <w:color w:val="auto"/>
          <w:highlight w:val="none"/>
        </w:rPr>
        <w:instrText xml:space="preserve"> PAGEREF _Toc8847 \h </w:instrText>
      </w:r>
      <w:r>
        <w:rPr>
          <w:color w:val="auto"/>
          <w:highlight w:val="none"/>
        </w:rPr>
        <w:fldChar w:fldCharType="separate"/>
      </w:r>
      <w:r>
        <w:rPr>
          <w:color w:val="auto"/>
          <w:highlight w:val="none"/>
        </w:rPr>
        <w:t>236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D41DF3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_Toc22506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1</w:t>
      </w:r>
      <w:r>
        <w:rPr>
          <w:rFonts w:hint="eastAsia" w:ascii="仿宋" w:hAnsi="仿宋" w:eastAsia="仿宋" w:cs="仿宋"/>
          <w:bCs/>
          <w:color w:val="auto"/>
          <w:highlight w:val="none"/>
          <w:lang w:eastAsia="zh-CN"/>
        </w:rPr>
        <w:t>7 工程竣工验收申请报告</w:t>
      </w:r>
      <w:r>
        <w:rPr>
          <w:color w:val="auto"/>
          <w:highlight w:val="none"/>
        </w:rPr>
        <w:tab/>
      </w:r>
      <w:r>
        <w:rPr>
          <w:color w:val="auto"/>
          <w:highlight w:val="none"/>
        </w:rPr>
        <w:fldChar w:fldCharType="begin"/>
      </w:r>
      <w:r>
        <w:rPr>
          <w:color w:val="auto"/>
          <w:highlight w:val="none"/>
        </w:rPr>
        <w:instrText xml:space="preserve"> PAGEREF _Toc22506 \h </w:instrText>
      </w:r>
      <w:r>
        <w:rPr>
          <w:color w:val="auto"/>
          <w:highlight w:val="none"/>
        </w:rPr>
        <w:fldChar w:fldCharType="separate"/>
      </w:r>
      <w:r>
        <w:rPr>
          <w:color w:val="auto"/>
          <w:highlight w:val="none"/>
        </w:rPr>
        <w:t>237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1E0C43E">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_Toc2295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1</w:t>
      </w:r>
      <w:r>
        <w:rPr>
          <w:rFonts w:hint="eastAsia" w:ascii="仿宋" w:hAnsi="仿宋" w:eastAsia="仿宋" w:cs="仿宋"/>
          <w:bCs/>
          <w:color w:val="auto"/>
          <w:highlight w:val="none"/>
          <w:lang w:eastAsia="zh-CN"/>
        </w:rPr>
        <w:t>8 工程竣工验收记录</w:t>
      </w:r>
      <w:r>
        <w:rPr>
          <w:color w:val="auto"/>
          <w:highlight w:val="none"/>
        </w:rPr>
        <w:tab/>
      </w:r>
      <w:r>
        <w:rPr>
          <w:color w:val="auto"/>
          <w:highlight w:val="none"/>
        </w:rPr>
        <w:fldChar w:fldCharType="begin"/>
      </w:r>
      <w:r>
        <w:rPr>
          <w:color w:val="auto"/>
          <w:highlight w:val="none"/>
        </w:rPr>
        <w:instrText xml:space="preserve"> PAGEREF _Toc2295 \h </w:instrText>
      </w:r>
      <w:r>
        <w:rPr>
          <w:color w:val="auto"/>
          <w:highlight w:val="none"/>
        </w:rPr>
        <w:fldChar w:fldCharType="separate"/>
      </w:r>
      <w:r>
        <w:rPr>
          <w:color w:val="auto"/>
          <w:highlight w:val="none"/>
        </w:rPr>
        <w:t>238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C8822A1">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_Toc27363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1</w:t>
      </w:r>
      <w:r>
        <w:rPr>
          <w:rFonts w:hint="eastAsia" w:ascii="仿宋" w:hAnsi="仿宋" w:eastAsia="仿宋" w:cs="仿宋"/>
          <w:bCs/>
          <w:color w:val="auto"/>
          <w:highlight w:val="none"/>
          <w:lang w:eastAsia="zh-CN"/>
        </w:rPr>
        <w:t>9 工程接收证书</w:t>
      </w:r>
      <w:r>
        <w:rPr>
          <w:color w:val="auto"/>
          <w:highlight w:val="none"/>
        </w:rPr>
        <w:tab/>
      </w:r>
      <w:r>
        <w:rPr>
          <w:color w:val="auto"/>
          <w:highlight w:val="none"/>
        </w:rPr>
        <w:fldChar w:fldCharType="begin"/>
      </w:r>
      <w:r>
        <w:rPr>
          <w:color w:val="auto"/>
          <w:highlight w:val="none"/>
        </w:rPr>
        <w:instrText xml:space="preserve"> PAGEREF _Toc27363 \h </w:instrText>
      </w:r>
      <w:r>
        <w:rPr>
          <w:color w:val="auto"/>
          <w:highlight w:val="none"/>
        </w:rPr>
        <w:fldChar w:fldCharType="separate"/>
      </w:r>
      <w:r>
        <w:rPr>
          <w:color w:val="auto"/>
          <w:highlight w:val="none"/>
        </w:rPr>
        <w:t>239</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E941033">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_Toc27799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格式20 暂列金额确认表</w:t>
      </w:r>
      <w:r>
        <w:rPr>
          <w:color w:val="auto"/>
          <w:highlight w:val="none"/>
        </w:rPr>
        <w:tab/>
      </w:r>
      <w:r>
        <w:rPr>
          <w:color w:val="auto"/>
          <w:highlight w:val="none"/>
        </w:rPr>
        <w:fldChar w:fldCharType="begin"/>
      </w:r>
      <w:r>
        <w:rPr>
          <w:color w:val="auto"/>
          <w:highlight w:val="none"/>
        </w:rPr>
        <w:instrText xml:space="preserve"> PAGEREF _Toc27799 \h </w:instrText>
      </w:r>
      <w:r>
        <w:rPr>
          <w:color w:val="auto"/>
          <w:highlight w:val="none"/>
        </w:rPr>
        <w:fldChar w:fldCharType="separate"/>
      </w:r>
      <w:r>
        <w:rPr>
          <w:color w:val="auto"/>
          <w:highlight w:val="none"/>
        </w:rPr>
        <w:t>240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CEF5153">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_Toc10105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格式22 材料/工程设备暂估价调整表</w:t>
      </w:r>
      <w:r>
        <w:rPr>
          <w:color w:val="auto"/>
          <w:highlight w:val="none"/>
        </w:rPr>
        <w:tab/>
      </w:r>
      <w:r>
        <w:rPr>
          <w:color w:val="auto"/>
          <w:highlight w:val="none"/>
        </w:rPr>
        <w:fldChar w:fldCharType="begin"/>
      </w:r>
      <w:r>
        <w:rPr>
          <w:color w:val="auto"/>
          <w:highlight w:val="none"/>
        </w:rPr>
        <w:instrText xml:space="preserve"> PAGEREF _Toc10105 \h </w:instrText>
      </w:r>
      <w:r>
        <w:rPr>
          <w:color w:val="auto"/>
          <w:highlight w:val="none"/>
        </w:rPr>
        <w:fldChar w:fldCharType="separate"/>
      </w:r>
      <w:r>
        <w:rPr>
          <w:color w:val="auto"/>
          <w:highlight w:val="none"/>
        </w:rPr>
        <w:t>242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F84903E">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_Toc16497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2</w:t>
      </w:r>
      <w:r>
        <w:rPr>
          <w:rFonts w:hint="eastAsia" w:ascii="仿宋" w:hAnsi="仿宋" w:eastAsia="仿宋" w:cs="仿宋"/>
          <w:bCs/>
          <w:color w:val="auto"/>
          <w:highlight w:val="none"/>
          <w:lang w:eastAsia="zh-CN"/>
        </w:rPr>
        <w:t>3 专业承包工程暂估价调整表</w:t>
      </w:r>
      <w:r>
        <w:rPr>
          <w:color w:val="auto"/>
          <w:highlight w:val="none"/>
        </w:rPr>
        <w:tab/>
      </w:r>
      <w:r>
        <w:rPr>
          <w:color w:val="auto"/>
          <w:highlight w:val="none"/>
        </w:rPr>
        <w:fldChar w:fldCharType="begin"/>
      </w:r>
      <w:r>
        <w:rPr>
          <w:color w:val="auto"/>
          <w:highlight w:val="none"/>
        </w:rPr>
        <w:instrText xml:space="preserve"> PAGEREF _Toc16497 \h </w:instrText>
      </w:r>
      <w:r>
        <w:rPr>
          <w:color w:val="auto"/>
          <w:highlight w:val="none"/>
        </w:rPr>
        <w:fldChar w:fldCharType="separate"/>
      </w:r>
      <w:r>
        <w:rPr>
          <w:color w:val="auto"/>
          <w:highlight w:val="none"/>
        </w:rPr>
        <w:t>243</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25FFE0E6">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_Toc27126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2</w:t>
      </w:r>
      <w:r>
        <w:rPr>
          <w:rFonts w:hint="eastAsia" w:ascii="仿宋" w:hAnsi="仿宋" w:eastAsia="仿宋" w:cs="仿宋"/>
          <w:bCs/>
          <w:color w:val="auto"/>
          <w:highlight w:val="none"/>
          <w:lang w:eastAsia="zh-CN"/>
        </w:rPr>
        <w:t>4 费用索赔申请表</w:t>
      </w:r>
      <w:r>
        <w:rPr>
          <w:color w:val="auto"/>
          <w:highlight w:val="none"/>
        </w:rPr>
        <w:tab/>
      </w:r>
      <w:r>
        <w:rPr>
          <w:color w:val="auto"/>
          <w:highlight w:val="none"/>
        </w:rPr>
        <w:fldChar w:fldCharType="begin"/>
      </w:r>
      <w:r>
        <w:rPr>
          <w:color w:val="auto"/>
          <w:highlight w:val="none"/>
        </w:rPr>
        <w:instrText xml:space="preserve"> PAGEREF _Toc27126 \h </w:instrText>
      </w:r>
      <w:r>
        <w:rPr>
          <w:color w:val="auto"/>
          <w:highlight w:val="none"/>
        </w:rPr>
        <w:fldChar w:fldCharType="separate"/>
      </w:r>
      <w:r>
        <w:rPr>
          <w:color w:val="auto"/>
          <w:highlight w:val="none"/>
        </w:rPr>
        <w:t>244</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4B99E47F">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_Toc30479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2</w:t>
      </w:r>
      <w:r>
        <w:rPr>
          <w:rFonts w:hint="eastAsia" w:ascii="仿宋" w:hAnsi="仿宋" w:eastAsia="仿宋" w:cs="仿宋"/>
          <w:bCs/>
          <w:color w:val="auto"/>
          <w:highlight w:val="none"/>
          <w:lang w:eastAsia="zh-CN"/>
        </w:rPr>
        <w:t>5 费用索赔审批表</w:t>
      </w:r>
      <w:r>
        <w:rPr>
          <w:color w:val="auto"/>
          <w:highlight w:val="none"/>
        </w:rPr>
        <w:tab/>
      </w:r>
      <w:r>
        <w:rPr>
          <w:color w:val="auto"/>
          <w:highlight w:val="none"/>
        </w:rPr>
        <w:fldChar w:fldCharType="begin"/>
      </w:r>
      <w:r>
        <w:rPr>
          <w:color w:val="auto"/>
          <w:highlight w:val="none"/>
        </w:rPr>
        <w:instrText xml:space="preserve"> PAGEREF _Toc30479 \h </w:instrText>
      </w:r>
      <w:r>
        <w:rPr>
          <w:color w:val="auto"/>
          <w:highlight w:val="none"/>
        </w:rPr>
        <w:fldChar w:fldCharType="separate"/>
      </w:r>
      <w:r>
        <w:rPr>
          <w:color w:val="auto"/>
          <w:highlight w:val="none"/>
        </w:rPr>
        <w:t>245</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1886CE3">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_Toc15865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2</w:t>
      </w:r>
      <w:r>
        <w:rPr>
          <w:rFonts w:hint="eastAsia" w:ascii="仿宋" w:hAnsi="仿宋" w:eastAsia="仿宋" w:cs="仿宋"/>
          <w:bCs/>
          <w:color w:val="auto"/>
          <w:highlight w:val="none"/>
          <w:lang w:eastAsia="zh-CN"/>
        </w:rPr>
        <w:t>6 已完工程款额报告</w:t>
      </w:r>
      <w:r>
        <w:rPr>
          <w:color w:val="auto"/>
          <w:highlight w:val="none"/>
        </w:rPr>
        <w:tab/>
      </w:r>
      <w:r>
        <w:rPr>
          <w:color w:val="auto"/>
          <w:highlight w:val="none"/>
        </w:rPr>
        <w:fldChar w:fldCharType="begin"/>
      </w:r>
      <w:r>
        <w:rPr>
          <w:color w:val="auto"/>
          <w:highlight w:val="none"/>
        </w:rPr>
        <w:instrText xml:space="preserve"> PAGEREF _Toc15865 \h </w:instrText>
      </w:r>
      <w:r>
        <w:rPr>
          <w:color w:val="auto"/>
          <w:highlight w:val="none"/>
        </w:rPr>
        <w:fldChar w:fldCharType="separate"/>
      </w:r>
      <w:r>
        <w:rPr>
          <w:color w:val="auto"/>
          <w:highlight w:val="none"/>
        </w:rPr>
        <w:t>246</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780C0990">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_Toc15628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2</w:t>
      </w:r>
      <w:r>
        <w:rPr>
          <w:rFonts w:hint="eastAsia" w:ascii="仿宋" w:hAnsi="仿宋" w:eastAsia="仿宋" w:cs="仿宋"/>
          <w:bCs/>
          <w:color w:val="auto"/>
          <w:highlight w:val="none"/>
          <w:lang w:eastAsia="zh-CN"/>
        </w:rPr>
        <w:t>7 已完工程款额明细表</w:t>
      </w:r>
      <w:r>
        <w:rPr>
          <w:color w:val="auto"/>
          <w:highlight w:val="none"/>
        </w:rPr>
        <w:tab/>
      </w:r>
      <w:r>
        <w:rPr>
          <w:color w:val="auto"/>
          <w:highlight w:val="none"/>
        </w:rPr>
        <w:fldChar w:fldCharType="begin"/>
      </w:r>
      <w:r>
        <w:rPr>
          <w:color w:val="auto"/>
          <w:highlight w:val="none"/>
        </w:rPr>
        <w:instrText xml:space="preserve"> PAGEREF _Toc15628 \h </w:instrText>
      </w:r>
      <w:r>
        <w:rPr>
          <w:color w:val="auto"/>
          <w:highlight w:val="none"/>
        </w:rPr>
        <w:fldChar w:fldCharType="separate"/>
      </w:r>
      <w:r>
        <w:rPr>
          <w:color w:val="auto"/>
          <w:highlight w:val="none"/>
        </w:rPr>
        <w:t>247</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1CE215B9">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_Toc10510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2</w:t>
      </w:r>
      <w:r>
        <w:rPr>
          <w:rFonts w:hint="eastAsia" w:ascii="仿宋" w:hAnsi="仿宋" w:eastAsia="仿宋" w:cs="仿宋"/>
          <w:bCs/>
          <w:color w:val="auto"/>
          <w:highlight w:val="none"/>
          <w:lang w:eastAsia="zh-CN"/>
        </w:rPr>
        <w:t>8 支付申请</w:t>
      </w:r>
      <w:r>
        <w:rPr>
          <w:color w:val="auto"/>
          <w:highlight w:val="none"/>
        </w:rPr>
        <w:tab/>
      </w:r>
      <w:r>
        <w:rPr>
          <w:color w:val="auto"/>
          <w:highlight w:val="none"/>
        </w:rPr>
        <w:fldChar w:fldCharType="begin"/>
      </w:r>
      <w:r>
        <w:rPr>
          <w:color w:val="auto"/>
          <w:highlight w:val="none"/>
        </w:rPr>
        <w:instrText xml:space="preserve"> PAGEREF _Toc10510 \h </w:instrText>
      </w:r>
      <w:r>
        <w:rPr>
          <w:color w:val="auto"/>
          <w:highlight w:val="none"/>
        </w:rPr>
        <w:fldChar w:fldCharType="separate"/>
      </w:r>
      <w:r>
        <w:rPr>
          <w:color w:val="auto"/>
          <w:highlight w:val="none"/>
        </w:rPr>
        <w:t>248</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3EBFC908">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_Toc15173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w:t>
      </w:r>
      <w:r>
        <w:rPr>
          <w:rFonts w:ascii="仿宋" w:hAnsi="仿宋" w:eastAsia="仿宋" w:cs="仿宋"/>
          <w:bCs/>
          <w:color w:val="auto"/>
          <w:highlight w:val="none"/>
          <w:lang w:eastAsia="zh-CN"/>
        </w:rPr>
        <w:t>2</w:t>
      </w:r>
      <w:r>
        <w:rPr>
          <w:rFonts w:hint="eastAsia" w:ascii="仿宋" w:hAnsi="仿宋" w:eastAsia="仿宋" w:cs="仿宋"/>
          <w:bCs/>
          <w:color w:val="auto"/>
          <w:highlight w:val="none"/>
          <w:lang w:eastAsia="zh-CN"/>
        </w:rPr>
        <w:t>9 支付证书</w:t>
      </w:r>
      <w:r>
        <w:rPr>
          <w:color w:val="auto"/>
          <w:highlight w:val="none"/>
        </w:rPr>
        <w:tab/>
      </w:r>
      <w:r>
        <w:rPr>
          <w:color w:val="auto"/>
          <w:highlight w:val="none"/>
        </w:rPr>
        <w:fldChar w:fldCharType="begin"/>
      </w:r>
      <w:r>
        <w:rPr>
          <w:color w:val="auto"/>
          <w:highlight w:val="none"/>
        </w:rPr>
        <w:instrText xml:space="preserve"> PAGEREF _Toc15173 \h </w:instrText>
      </w:r>
      <w:r>
        <w:rPr>
          <w:color w:val="auto"/>
          <w:highlight w:val="none"/>
        </w:rPr>
        <w:fldChar w:fldCharType="separate"/>
      </w:r>
      <w:r>
        <w:rPr>
          <w:color w:val="auto"/>
          <w:highlight w:val="none"/>
        </w:rPr>
        <w:t>250</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5F9EE5B7">
      <w:pPr>
        <w:pStyle w:val="64"/>
        <w:tabs>
          <w:tab w:val="right" w:leader="dot" w:pos="9026"/>
        </w:tabs>
        <w:rPr>
          <w:color w:val="auto"/>
          <w:highlight w:val="none"/>
        </w:rPr>
      </w:pPr>
      <w:r>
        <w:rPr>
          <w:rFonts w:hint="eastAsia" w:ascii="仿宋" w:hAnsi="仿宋" w:eastAsia="仿宋" w:cs="宋体"/>
          <w:bCs/>
          <w:caps/>
          <w:smallCaps w:val="0"/>
          <w:color w:val="auto"/>
          <w:szCs w:val="24"/>
          <w:highlight w:val="none"/>
          <w:lang w:eastAsia="zh-CN"/>
        </w:rPr>
        <w:fldChar w:fldCharType="begin"/>
      </w:r>
      <w:r>
        <w:rPr>
          <w:rFonts w:hint="eastAsia" w:ascii="仿宋" w:hAnsi="仿宋" w:eastAsia="仿宋" w:cs="宋体"/>
          <w:bCs/>
          <w:caps/>
          <w:smallCaps w:val="0"/>
          <w:color w:val="auto"/>
          <w:szCs w:val="24"/>
          <w:highlight w:val="none"/>
          <w:lang w:eastAsia="zh-CN"/>
        </w:rPr>
        <w:instrText xml:space="preserve"> HYPERLINK \l _Toc3098 </w:instrText>
      </w:r>
      <w:r>
        <w:rPr>
          <w:rFonts w:hint="eastAsia" w:ascii="仿宋" w:hAnsi="仿宋" w:eastAsia="仿宋" w:cs="宋体"/>
          <w:bCs/>
          <w:caps/>
          <w:smallCaps w:val="0"/>
          <w:color w:val="auto"/>
          <w:szCs w:val="24"/>
          <w:highlight w:val="none"/>
          <w:lang w:eastAsia="zh-CN"/>
        </w:rPr>
        <w:fldChar w:fldCharType="separate"/>
      </w:r>
      <w:r>
        <w:rPr>
          <w:rFonts w:hint="eastAsia" w:ascii="仿宋" w:hAnsi="仿宋" w:eastAsia="仿宋" w:cs="仿宋"/>
          <w:bCs/>
          <w:color w:val="auto"/>
          <w:highlight w:val="none"/>
          <w:lang w:eastAsia="zh-CN"/>
        </w:rPr>
        <w:t>格式30 支付统计表</w:t>
      </w:r>
      <w:r>
        <w:rPr>
          <w:color w:val="auto"/>
          <w:highlight w:val="none"/>
        </w:rPr>
        <w:tab/>
      </w:r>
      <w:r>
        <w:rPr>
          <w:color w:val="auto"/>
          <w:highlight w:val="none"/>
        </w:rPr>
        <w:fldChar w:fldCharType="begin"/>
      </w:r>
      <w:r>
        <w:rPr>
          <w:color w:val="auto"/>
          <w:highlight w:val="none"/>
        </w:rPr>
        <w:instrText xml:space="preserve"> PAGEREF _Toc3098 \h </w:instrText>
      </w:r>
      <w:r>
        <w:rPr>
          <w:color w:val="auto"/>
          <w:highlight w:val="none"/>
        </w:rPr>
        <w:fldChar w:fldCharType="separate"/>
      </w:r>
      <w:r>
        <w:rPr>
          <w:color w:val="auto"/>
          <w:highlight w:val="none"/>
        </w:rPr>
        <w:t>252</w:t>
      </w:r>
      <w:r>
        <w:rPr>
          <w:color w:val="auto"/>
          <w:highlight w:val="none"/>
        </w:rPr>
        <w:fldChar w:fldCharType="end"/>
      </w:r>
      <w:r>
        <w:rPr>
          <w:rFonts w:hint="eastAsia" w:ascii="仿宋" w:hAnsi="仿宋" w:eastAsia="仿宋" w:cs="宋体"/>
          <w:bCs/>
          <w:caps/>
          <w:smallCaps w:val="0"/>
          <w:color w:val="auto"/>
          <w:szCs w:val="24"/>
          <w:highlight w:val="none"/>
          <w:lang w:eastAsia="zh-CN"/>
        </w:rPr>
        <w:fldChar w:fldCharType="end"/>
      </w:r>
    </w:p>
    <w:p w14:paraId="0EE468CE">
      <w:pPr>
        <w:pStyle w:val="64"/>
        <w:tabs>
          <w:tab w:val="right" w:leader="dot" w:pos="10194"/>
        </w:tabs>
        <w:spacing w:line="360" w:lineRule="auto"/>
        <w:ind w:left="0"/>
        <w:rPr>
          <w:rStyle w:val="90"/>
          <w:rFonts w:hint="eastAsia" w:ascii="仿宋" w:hAnsi="仿宋" w:eastAsia="仿宋" w:cs="宋体"/>
          <w:caps/>
          <w:color w:val="auto"/>
          <w:sz w:val="24"/>
          <w:szCs w:val="24"/>
          <w:highlight w:val="none"/>
          <w:lang w:eastAsia="zh-CN"/>
        </w:rPr>
      </w:pPr>
      <w:r>
        <w:rPr>
          <w:rFonts w:hint="eastAsia" w:ascii="仿宋" w:hAnsi="仿宋" w:eastAsia="仿宋" w:cs="宋体"/>
          <w:bCs/>
          <w:caps/>
          <w:smallCaps w:val="0"/>
          <w:color w:val="auto"/>
          <w:sz w:val="24"/>
          <w:szCs w:val="24"/>
          <w:highlight w:val="none"/>
          <w:lang w:eastAsia="zh-CN"/>
        </w:rPr>
        <w:fldChar w:fldCharType="end"/>
      </w:r>
      <w:r>
        <w:rPr>
          <w:rFonts w:hint="eastAsia" w:ascii="仿宋" w:hAnsi="仿宋" w:eastAsia="仿宋" w:cs="宋体"/>
          <w:bCs/>
          <w:caps/>
          <w:smallCaps w:val="0"/>
          <w:color w:val="auto"/>
          <w:sz w:val="24"/>
          <w:szCs w:val="24"/>
          <w:highlight w:val="none"/>
          <w:lang w:eastAsia="zh-CN"/>
        </w:rPr>
        <w:t xml:space="preserve"> </w:t>
      </w:r>
    </w:p>
    <w:p w14:paraId="6B95591C">
      <w:pPr>
        <w:pStyle w:val="212"/>
        <w:spacing w:before="0" w:after="0" w:line="500" w:lineRule="exact"/>
        <w:jc w:val="center"/>
        <w:rPr>
          <w:rFonts w:hint="eastAsia" w:ascii="仿宋" w:hAnsi="仿宋" w:eastAsia="仿宋" w:cs="仿宋"/>
          <w:color w:val="auto"/>
          <w:sz w:val="36"/>
          <w:szCs w:val="36"/>
          <w:highlight w:val="none"/>
          <w:lang w:val="zh-CN" w:eastAsia="zh-CN"/>
        </w:rPr>
      </w:pPr>
      <w:bookmarkStart w:id="0" w:name="_Toc16018"/>
    </w:p>
    <w:p w14:paraId="5B8882CD">
      <w:pPr>
        <w:rPr>
          <w:rFonts w:hint="eastAsia" w:ascii="仿宋" w:hAnsi="仿宋" w:eastAsia="仿宋" w:cs="仿宋"/>
          <w:color w:val="auto"/>
          <w:sz w:val="36"/>
          <w:szCs w:val="36"/>
          <w:highlight w:val="none"/>
          <w:lang w:val="zh-CN" w:eastAsia="zh-CN"/>
        </w:rPr>
      </w:pPr>
    </w:p>
    <w:p w14:paraId="1F0EE797">
      <w:pPr>
        <w:pStyle w:val="2"/>
        <w:rPr>
          <w:rFonts w:hint="eastAsia" w:ascii="仿宋" w:hAnsi="仿宋" w:eastAsia="仿宋" w:cs="仿宋"/>
          <w:color w:val="auto"/>
          <w:sz w:val="36"/>
          <w:szCs w:val="36"/>
          <w:highlight w:val="none"/>
          <w:lang w:val="zh-CN" w:eastAsia="zh-CN"/>
        </w:rPr>
      </w:pPr>
    </w:p>
    <w:p w14:paraId="19D73BAA">
      <w:pPr>
        <w:rPr>
          <w:rFonts w:hint="eastAsia" w:ascii="仿宋" w:hAnsi="仿宋" w:eastAsia="仿宋" w:cs="仿宋"/>
          <w:color w:val="auto"/>
          <w:sz w:val="36"/>
          <w:szCs w:val="36"/>
          <w:highlight w:val="none"/>
          <w:lang w:val="zh-CN" w:eastAsia="zh-CN"/>
        </w:rPr>
      </w:pPr>
    </w:p>
    <w:p w14:paraId="711897E3">
      <w:pPr>
        <w:pStyle w:val="2"/>
        <w:rPr>
          <w:rFonts w:hint="eastAsia" w:ascii="仿宋" w:hAnsi="仿宋" w:eastAsia="仿宋" w:cs="仿宋"/>
          <w:color w:val="auto"/>
          <w:sz w:val="36"/>
          <w:szCs w:val="36"/>
          <w:highlight w:val="none"/>
          <w:lang w:val="zh-CN" w:eastAsia="zh-CN"/>
        </w:rPr>
      </w:pPr>
    </w:p>
    <w:p w14:paraId="5787C2F8">
      <w:pPr>
        <w:rPr>
          <w:rFonts w:hint="eastAsia" w:ascii="仿宋" w:hAnsi="仿宋" w:eastAsia="仿宋" w:cs="仿宋"/>
          <w:color w:val="auto"/>
          <w:sz w:val="36"/>
          <w:szCs w:val="36"/>
          <w:highlight w:val="none"/>
          <w:lang w:val="zh-CN" w:eastAsia="zh-CN"/>
        </w:rPr>
      </w:pPr>
    </w:p>
    <w:p w14:paraId="0E4F8654">
      <w:pPr>
        <w:pStyle w:val="2"/>
        <w:rPr>
          <w:rFonts w:hint="eastAsia" w:ascii="仿宋" w:hAnsi="仿宋" w:eastAsia="仿宋" w:cs="仿宋"/>
          <w:color w:val="auto"/>
          <w:sz w:val="36"/>
          <w:szCs w:val="36"/>
          <w:highlight w:val="none"/>
          <w:lang w:val="zh-CN" w:eastAsia="zh-CN"/>
        </w:rPr>
      </w:pPr>
    </w:p>
    <w:p w14:paraId="1BE0FD04">
      <w:pPr>
        <w:rPr>
          <w:rFonts w:hint="eastAsia" w:ascii="仿宋" w:hAnsi="仿宋" w:eastAsia="仿宋" w:cs="仿宋"/>
          <w:color w:val="auto"/>
          <w:sz w:val="36"/>
          <w:szCs w:val="36"/>
          <w:highlight w:val="none"/>
          <w:lang w:val="zh-CN" w:eastAsia="zh-CN"/>
        </w:rPr>
      </w:pPr>
    </w:p>
    <w:p w14:paraId="21573448">
      <w:pPr>
        <w:pStyle w:val="2"/>
        <w:rPr>
          <w:rFonts w:hint="eastAsia" w:ascii="仿宋" w:hAnsi="仿宋" w:eastAsia="仿宋" w:cs="仿宋"/>
          <w:color w:val="auto"/>
          <w:sz w:val="36"/>
          <w:szCs w:val="36"/>
          <w:highlight w:val="none"/>
          <w:lang w:val="zh-CN" w:eastAsia="zh-CN"/>
        </w:rPr>
      </w:pPr>
    </w:p>
    <w:p w14:paraId="297D7FFB">
      <w:pPr>
        <w:rPr>
          <w:rFonts w:hint="eastAsia" w:ascii="仿宋" w:hAnsi="仿宋" w:eastAsia="仿宋" w:cs="仿宋"/>
          <w:color w:val="auto"/>
          <w:sz w:val="36"/>
          <w:szCs w:val="36"/>
          <w:highlight w:val="none"/>
          <w:lang w:val="zh-CN" w:eastAsia="zh-CN"/>
        </w:rPr>
      </w:pPr>
    </w:p>
    <w:p w14:paraId="4EA38125">
      <w:pPr>
        <w:pStyle w:val="2"/>
        <w:rPr>
          <w:rFonts w:hint="eastAsia" w:ascii="仿宋" w:hAnsi="仿宋" w:eastAsia="仿宋" w:cs="仿宋"/>
          <w:color w:val="auto"/>
          <w:sz w:val="36"/>
          <w:szCs w:val="36"/>
          <w:highlight w:val="none"/>
          <w:lang w:val="zh-CN" w:eastAsia="zh-CN"/>
        </w:rPr>
      </w:pPr>
    </w:p>
    <w:p w14:paraId="719E54C9">
      <w:pPr>
        <w:pStyle w:val="2"/>
        <w:rPr>
          <w:color w:val="auto"/>
          <w:highlight w:val="none"/>
          <w:lang w:val="zh-CN" w:eastAsia="zh-CN"/>
        </w:rPr>
        <w:sectPr>
          <w:footerReference r:id="rId5" w:type="default"/>
          <w:endnotePr>
            <w:numFmt w:val="decimal"/>
          </w:endnotePr>
          <w:pgSz w:w="11906" w:h="16838"/>
          <w:pgMar w:top="1440" w:right="1440" w:bottom="1440" w:left="1440" w:header="0" w:footer="0" w:gutter="0"/>
          <w:pgNumType w:start="1"/>
          <w:cols w:space="720" w:num="1"/>
          <w:docGrid w:linePitch="326" w:charSpace="0"/>
        </w:sectPr>
      </w:pPr>
    </w:p>
    <w:p w14:paraId="622795E2">
      <w:pPr>
        <w:pStyle w:val="212"/>
        <w:spacing w:before="0" w:after="0" w:line="500" w:lineRule="exact"/>
        <w:jc w:val="center"/>
        <w:rPr>
          <w:rFonts w:hint="eastAsia" w:ascii="仿宋" w:hAnsi="仿宋" w:eastAsia="仿宋" w:cs="Times New Roman"/>
          <w:color w:val="auto"/>
          <w:sz w:val="36"/>
          <w:szCs w:val="36"/>
          <w:highlight w:val="none"/>
          <w:lang w:val="zh-CN" w:eastAsia="zh-CN"/>
        </w:rPr>
      </w:pPr>
      <w:r>
        <w:rPr>
          <w:rFonts w:hint="eastAsia" w:ascii="仿宋" w:hAnsi="仿宋" w:eastAsia="仿宋" w:cs="仿宋"/>
          <w:color w:val="auto"/>
          <w:sz w:val="36"/>
          <w:szCs w:val="36"/>
          <w:highlight w:val="none"/>
          <w:lang w:val="zh-CN" w:eastAsia="zh-CN"/>
        </w:rPr>
        <w:t>总说明</w:t>
      </w:r>
      <w:bookmarkEnd w:id="0"/>
    </w:p>
    <w:p w14:paraId="23ADEA7A">
      <w:pPr>
        <w:rPr>
          <w:color w:val="auto"/>
          <w:highlight w:val="none"/>
          <w:lang w:val="zh-CN" w:eastAsia="zh-CN"/>
        </w:rPr>
      </w:pPr>
    </w:p>
    <w:p w14:paraId="620908F5">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为了指导广州市建设工程总承包项目（又称EPC项目）当事人的签约行为，维护合同当事人的合法权益，依据《中华人民共和国民法典》、《中华人民共和国建筑法》、《中华人民共和国招标投标法》、《房屋建筑和市政基础设施项目工程总承包管理办法》（建市规［2019］12号）以及相关法律法规，参照《建设项目工程总承包合同（示范文本）》（GF-2020-0216）、《建设项目工程总承包合同示范文本（试行）》（</w:t>
      </w:r>
      <w:r>
        <w:rPr>
          <w:rFonts w:ascii="仿宋" w:hAnsi="仿宋" w:eastAsia="仿宋" w:cs="仿宋"/>
          <w:color w:val="auto"/>
          <w:highlight w:val="none"/>
          <w:lang w:eastAsia="zh-CN"/>
        </w:rPr>
        <w:t>GF-2011-0216</w:t>
      </w:r>
      <w:r>
        <w:rPr>
          <w:rFonts w:hint="eastAsia" w:ascii="仿宋" w:hAnsi="仿宋" w:eastAsia="仿宋" w:cs="仿宋"/>
          <w:color w:val="auto"/>
          <w:highlight w:val="none"/>
          <w:lang w:eastAsia="zh-CN"/>
        </w:rPr>
        <w:t>）、《建设工程施工合同（示范文本）》（</w:t>
      </w:r>
      <w:r>
        <w:rPr>
          <w:rFonts w:ascii="仿宋" w:hAnsi="仿宋" w:eastAsia="仿宋" w:cs="仿宋"/>
          <w:color w:val="auto"/>
          <w:highlight w:val="none"/>
          <w:lang w:eastAsia="zh-CN"/>
        </w:rPr>
        <w:t>GF—2017—0201</w:t>
      </w:r>
      <w:r>
        <w:rPr>
          <w:rFonts w:hint="eastAsia" w:ascii="仿宋" w:hAnsi="仿宋" w:eastAsia="仿宋" w:cs="仿宋"/>
          <w:color w:val="auto"/>
          <w:highlight w:val="none"/>
          <w:lang w:eastAsia="zh-CN"/>
        </w:rPr>
        <w:t>）、《广东省建设工程标准施工合同（</w:t>
      </w:r>
      <w:r>
        <w:rPr>
          <w:rFonts w:ascii="仿宋" w:hAnsi="仿宋" w:eastAsia="仿宋" w:cs="仿宋"/>
          <w:color w:val="auto"/>
          <w:highlight w:val="none"/>
          <w:lang w:eastAsia="zh-CN"/>
        </w:rPr>
        <w:t>2009</w:t>
      </w:r>
      <w:r>
        <w:rPr>
          <w:rFonts w:hint="eastAsia" w:ascii="仿宋" w:hAnsi="仿宋" w:eastAsia="仿宋" w:cs="仿宋"/>
          <w:color w:val="auto"/>
          <w:highlight w:val="none"/>
          <w:lang w:eastAsia="zh-CN"/>
        </w:rPr>
        <w:t>年版）》、《建设工程设计合同示范文本（房屋建筑工程）》（</w:t>
      </w:r>
      <w:r>
        <w:rPr>
          <w:rFonts w:ascii="仿宋" w:hAnsi="仿宋" w:eastAsia="仿宋" w:cs="仿宋"/>
          <w:color w:val="auto"/>
          <w:highlight w:val="none"/>
          <w:lang w:eastAsia="zh-CN"/>
        </w:rPr>
        <w:t>GF-201</w:t>
      </w:r>
      <w:r>
        <w:rPr>
          <w:rFonts w:hint="eastAsia" w:ascii="仿宋" w:hAnsi="仿宋" w:eastAsia="仿宋" w:cs="仿宋"/>
          <w:color w:val="auto"/>
          <w:highlight w:val="none"/>
          <w:lang w:eastAsia="zh-CN"/>
        </w:rPr>
        <w:t>5</w:t>
      </w:r>
      <w:r>
        <w:rPr>
          <w:rFonts w:ascii="仿宋" w:hAnsi="仿宋" w:eastAsia="仿宋" w:cs="仿宋"/>
          <w:color w:val="auto"/>
          <w:highlight w:val="none"/>
          <w:lang w:eastAsia="zh-CN"/>
        </w:rPr>
        <w:t>-02</w:t>
      </w:r>
      <w:r>
        <w:rPr>
          <w:rFonts w:hint="eastAsia" w:ascii="仿宋" w:hAnsi="仿宋" w:eastAsia="仿宋" w:cs="仿宋"/>
          <w:color w:val="auto"/>
          <w:highlight w:val="none"/>
          <w:lang w:eastAsia="zh-CN"/>
        </w:rPr>
        <w:t>09）、《建设工程勘察合同示范文本》（</w:t>
      </w:r>
      <w:r>
        <w:rPr>
          <w:rFonts w:ascii="仿宋" w:hAnsi="仿宋" w:eastAsia="仿宋" w:cs="仿宋"/>
          <w:color w:val="auto"/>
          <w:highlight w:val="none"/>
          <w:lang w:eastAsia="zh-CN"/>
        </w:rPr>
        <w:t>GF-201</w:t>
      </w:r>
      <w:r>
        <w:rPr>
          <w:rFonts w:hint="eastAsia" w:ascii="仿宋" w:hAnsi="仿宋" w:eastAsia="仿宋" w:cs="仿宋"/>
          <w:color w:val="auto"/>
          <w:highlight w:val="none"/>
          <w:lang w:eastAsia="zh-CN"/>
        </w:rPr>
        <w:t>6</w:t>
      </w:r>
      <w:r>
        <w:rPr>
          <w:rFonts w:ascii="仿宋" w:hAnsi="仿宋" w:eastAsia="仿宋" w:cs="仿宋"/>
          <w:color w:val="auto"/>
          <w:highlight w:val="none"/>
          <w:lang w:eastAsia="zh-CN"/>
        </w:rPr>
        <w:t>-02</w:t>
      </w:r>
      <w:r>
        <w:rPr>
          <w:rFonts w:hint="eastAsia" w:ascii="仿宋" w:hAnsi="仿宋" w:eastAsia="仿宋" w:cs="仿宋"/>
          <w:color w:val="auto"/>
          <w:highlight w:val="none"/>
          <w:lang w:eastAsia="zh-CN"/>
        </w:rPr>
        <w:t>03）等合同范本，结合近年来广州市建设工程EPC项目的实施情况，特编制本合同示范文本《广州市建设工程总承包合同》（</w:t>
      </w:r>
      <w:r>
        <w:rPr>
          <w:rFonts w:ascii="仿宋" w:hAnsi="仿宋" w:eastAsia="仿宋" w:cs="仿宋"/>
          <w:color w:val="auto"/>
          <w:highlight w:val="none"/>
          <w:lang w:eastAsia="zh-CN"/>
        </w:rPr>
        <w:t>SF-202</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-0210</w:t>
      </w:r>
      <w:r>
        <w:rPr>
          <w:rFonts w:hint="eastAsia" w:ascii="仿宋" w:hAnsi="仿宋" w:eastAsia="仿宋" w:cs="仿宋"/>
          <w:color w:val="auto"/>
          <w:highlight w:val="none"/>
          <w:lang w:eastAsia="zh-CN"/>
        </w:rPr>
        <w:t>）。为了便于合同当事人使用《广州市建设工程总承包合同》（</w:t>
      </w:r>
      <w:r>
        <w:rPr>
          <w:rFonts w:ascii="仿宋" w:hAnsi="仿宋" w:eastAsia="仿宋" w:cs="仿宋"/>
          <w:color w:val="auto"/>
          <w:highlight w:val="none"/>
          <w:lang w:eastAsia="zh-CN"/>
        </w:rPr>
        <w:t>SF-</w:t>
      </w:r>
      <w:r>
        <w:rPr>
          <w:rFonts w:hint="eastAsia" w:ascii="仿宋" w:hAnsi="仿宋" w:eastAsia="仿宋" w:cs="仿宋"/>
          <w:color w:val="auto"/>
          <w:highlight w:val="none"/>
          <w:lang w:eastAsia="zh-CN"/>
        </w:rPr>
        <w:t>2022</w:t>
      </w:r>
      <w:r>
        <w:rPr>
          <w:rFonts w:ascii="仿宋" w:hAnsi="仿宋" w:eastAsia="仿宋" w:cs="仿宋"/>
          <w:color w:val="auto"/>
          <w:highlight w:val="none"/>
          <w:lang w:eastAsia="zh-CN"/>
        </w:rPr>
        <w:t>-0210</w:t>
      </w:r>
      <w:r>
        <w:rPr>
          <w:rFonts w:hint="eastAsia" w:ascii="仿宋" w:hAnsi="仿宋" w:eastAsia="仿宋" w:cs="仿宋"/>
          <w:color w:val="auto"/>
          <w:highlight w:val="none"/>
          <w:lang w:eastAsia="zh-CN"/>
        </w:rPr>
        <w:t>）示范文本，现就有关问题说明如下：</w:t>
      </w:r>
    </w:p>
    <w:p w14:paraId="0FA99984">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一、工程总承包与施工总承包、建设工程设计、建设工程勘察合同的区别与联系</w:t>
      </w:r>
    </w:p>
    <w:p w14:paraId="78730FC0">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工程总承包（EPC）与施工总承包两种模式的联系与区别，两者都理清总承包范围内合同当事人的权利和义务，但工程总承包明确了参建各方在勘察、设计、施工等各阶段工作的角色定位和责任划分，以及合同价款确定和造价控制模式。</w:t>
      </w:r>
    </w:p>
    <w:p w14:paraId="71303ECB">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工程总承包合同与勘察或设计合同的联系与区别：本工程总承包合同示范文本的编写，结合工程总承包合同的承包人为同时具备勘察、设计和施工资质的一个法人或由具有勘察、设计或施工资质的多个法人组成的联合体，注重勘察（如果有）、设计和施工等方面关于工程质量、进度和造价责任条款的融合统一。但两者亦有所区别，建设工程勘察合同的标的是作为工程设计依据的工程地质勘察报告，</w:t>
      </w:r>
      <w:bookmarkStart w:id="1" w:name="_Hlk89524773"/>
      <w:r>
        <w:rPr>
          <w:rFonts w:hint="eastAsia" w:ascii="仿宋" w:hAnsi="仿宋" w:eastAsia="仿宋" w:cs="仿宋"/>
          <w:color w:val="auto"/>
          <w:highlight w:val="none"/>
          <w:lang w:eastAsia="zh-CN"/>
        </w:rPr>
        <w:t>其合同约定与工程地质勘察有关的范围内容、质量、进度和价格等权利、义务和责任；</w:t>
      </w:r>
      <w:bookmarkEnd w:id="1"/>
      <w:r>
        <w:rPr>
          <w:rFonts w:hint="eastAsia" w:ascii="仿宋" w:hAnsi="仿宋" w:eastAsia="仿宋" w:cs="仿宋"/>
          <w:color w:val="auto"/>
          <w:highlight w:val="none"/>
          <w:lang w:eastAsia="zh-CN"/>
        </w:rPr>
        <w:t>建设工程设计合同的标的是作为施工依据的初步设计方案或施工图纸等技术文件，其合同约定与初步设计或施工图设计有关的范围内容、质量、进度和价格等权利和义务；而工程总承包合同着重约定与勘察（如果有）、设计和施工等工程整体实施有关的范围内容、质量、进度和价格等权利、义务和责任。</w:t>
      </w:r>
    </w:p>
    <w:p w14:paraId="62E5F04C">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本工程总承包合同还根据与住建部《建设项目工程总承包合同（示范文本）》（GF-2020-0216），在合同词语定义、合同主要内容方面的差异性进行更新，但继续保持广州地区工程总承包的特点、实际施工需求等方面的特色。</w:t>
      </w:r>
    </w:p>
    <w:p w14:paraId="2A408BDF">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二、《广州市建设工程总承包合同》（</w:t>
      </w:r>
      <w:r>
        <w:rPr>
          <w:rFonts w:ascii="仿宋" w:hAnsi="仿宋" w:eastAsia="仿宋" w:cs="仿宋"/>
          <w:color w:val="auto"/>
          <w:highlight w:val="none"/>
          <w:lang w:eastAsia="zh-CN"/>
        </w:rPr>
        <w:t>SF-202</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-0210</w:t>
      </w:r>
      <w:r>
        <w:rPr>
          <w:rFonts w:hint="eastAsia" w:ascii="仿宋" w:hAnsi="仿宋" w:eastAsia="仿宋" w:cs="仿宋"/>
          <w:color w:val="auto"/>
          <w:highlight w:val="none"/>
          <w:lang w:eastAsia="zh-CN"/>
        </w:rPr>
        <w:t>）的适用范围</w:t>
      </w:r>
    </w:p>
    <w:p w14:paraId="0942B1F2">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《广州市建设工程总承包合同》（SF-2022-0210）适用于广州市行政区域内房屋建筑与市政基础设施项目，并应符合以下条件：</w:t>
      </w:r>
    </w:p>
    <w:p w14:paraId="5EB152C6">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（一）新建、扩建、改建、装修、修缮等建设工程项目；</w:t>
      </w:r>
    </w:p>
    <w:p w14:paraId="53C1692B">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（二）建设标准和建设内容明确、设计方案成熟、技术要求明确；</w:t>
      </w:r>
    </w:p>
    <w:p w14:paraId="3DEC7E66">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（三）采用工程总承包模式的政府投资项目或国有资金投资项目，原则上已完成初步设计审批及概算核定；如采用工程总承包模式的社会投资项目已取得核准或备案；或为采用工程总承包模式的装配式建筑。</w:t>
      </w:r>
    </w:p>
    <w:p w14:paraId="34B9D87C">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三、《广州市建设工程总承包合同》（</w:t>
      </w:r>
      <w:r>
        <w:rPr>
          <w:rFonts w:ascii="仿宋" w:hAnsi="仿宋" w:eastAsia="仿宋" w:cs="仿宋"/>
          <w:color w:val="auto"/>
          <w:highlight w:val="none"/>
          <w:lang w:eastAsia="zh-CN"/>
        </w:rPr>
        <w:t>SF-</w:t>
      </w:r>
      <w:r>
        <w:rPr>
          <w:rFonts w:hint="eastAsia" w:ascii="仿宋" w:hAnsi="仿宋" w:eastAsia="仿宋" w:cs="仿宋"/>
          <w:color w:val="auto"/>
          <w:highlight w:val="none"/>
          <w:lang w:eastAsia="zh-CN"/>
        </w:rPr>
        <w:t>2022</w:t>
      </w:r>
      <w:r>
        <w:rPr>
          <w:rFonts w:ascii="仿宋" w:hAnsi="仿宋" w:eastAsia="仿宋" w:cs="仿宋"/>
          <w:color w:val="auto"/>
          <w:highlight w:val="none"/>
          <w:lang w:eastAsia="zh-CN"/>
        </w:rPr>
        <w:t>-0210</w:t>
      </w:r>
      <w:r>
        <w:rPr>
          <w:rFonts w:hint="eastAsia" w:ascii="仿宋" w:hAnsi="仿宋" w:eastAsia="仿宋" w:cs="仿宋"/>
          <w:color w:val="auto"/>
          <w:highlight w:val="none"/>
          <w:lang w:eastAsia="zh-CN"/>
        </w:rPr>
        <w:t>）的组成</w:t>
      </w:r>
    </w:p>
    <w:p w14:paraId="58B2E72F">
      <w:pPr>
        <w:spacing w:line="500" w:lineRule="exact"/>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《广州市建设工程总承包合同》（</w:t>
      </w:r>
      <w:r>
        <w:rPr>
          <w:rFonts w:ascii="仿宋" w:hAnsi="仿宋" w:eastAsia="仿宋" w:cs="仿宋"/>
          <w:color w:val="auto"/>
          <w:highlight w:val="none"/>
          <w:lang w:eastAsia="zh-CN"/>
        </w:rPr>
        <w:t>SF-</w:t>
      </w:r>
      <w:r>
        <w:rPr>
          <w:rFonts w:hint="eastAsia" w:ascii="仿宋" w:hAnsi="仿宋" w:eastAsia="仿宋" w:cs="仿宋"/>
          <w:color w:val="auto"/>
          <w:highlight w:val="none"/>
          <w:lang w:eastAsia="zh-CN"/>
        </w:rPr>
        <w:t>2022</w:t>
      </w:r>
      <w:r>
        <w:rPr>
          <w:rFonts w:ascii="仿宋" w:hAnsi="仿宋" w:eastAsia="仿宋" w:cs="仿宋"/>
          <w:color w:val="auto"/>
          <w:highlight w:val="none"/>
          <w:lang w:eastAsia="zh-CN"/>
        </w:rPr>
        <w:t>-0210</w:t>
      </w:r>
      <w:r>
        <w:rPr>
          <w:rFonts w:hint="eastAsia" w:ascii="仿宋" w:hAnsi="仿宋" w:eastAsia="仿宋" w:cs="仿宋"/>
          <w:color w:val="auto"/>
          <w:highlight w:val="none"/>
          <w:lang w:eastAsia="zh-CN"/>
        </w:rPr>
        <w:t>）由协议书、通用条款和专用条款三部分组成。</w:t>
      </w:r>
    </w:p>
    <w:p w14:paraId="625BE39E">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四、其他重要事项</w:t>
      </w:r>
    </w:p>
    <w:p w14:paraId="7A3813AA">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1、发包人（项目业主）首要责任制</w:t>
      </w:r>
    </w:p>
    <w:p w14:paraId="545756D8">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项目业主)应履行基本建设程序，做好可行性研究报告编制、初步设计概算编制等前期工作，完善核准或备案等行政审批手续，依法采用招标或直接发包方式确定承包人，重视多方案比选与限额设计，加强合同管理，监督绿色安全施工，防范投资风险，提高投资效益。</w:t>
      </w:r>
    </w:p>
    <w:p w14:paraId="35AB8080">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2、工程总承包（EPC）的定义</w:t>
      </w:r>
    </w:p>
    <w:p w14:paraId="0F6D74C9">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工程总承包（EPC）是指承包人按照与发包人签订的合同，对勘察、设计、采购、施工等建设工程全过程或多阶段实行总承包，并对工程的质量、安全、工期和造价等全面负责的工程建设组织实施方式。合同类型包括：设计、采购、施工合同；勘察、设计、施工合同；设计、施工合同；其它合同。</w:t>
      </w:r>
    </w:p>
    <w:p w14:paraId="75260507">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3、新型建筑工业化</w:t>
      </w:r>
    </w:p>
    <w:p w14:paraId="4E9BDEB8">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住房和城乡建设部等部门关于加快新型建筑工业化发展的若干意见》（建标规〔2020〕8号）精神，范本将工程总承包管理模式与BIM技术应用、装配式建筑应用高度融合，在合同各章节融入了BIM技术应用、装配式建筑应用等方面的管理要求，制定了BIM技术应用、装配式建筑等方面的相关条款。发包人(项目业主)应遵照建标规〔2020〕8号文件的精神，“以工程全寿命期系统化集成设计、精益化生产施工为主要手段，整合工程全产业链、价值链和创新链，实现工程建设高效益、高质量、低消耗、低排放的建筑工业化”。关于设计、采购、施工方面的具体内容和要求，由合同当事人结合项目实际情况在专用条款中约定。</w:t>
      </w:r>
    </w:p>
    <w:p w14:paraId="4CBC1860">
      <w:pPr>
        <w:spacing w:line="500" w:lineRule="exact"/>
        <w:ind w:firstLine="480" w:firstLineChars="200"/>
        <w:rPr>
          <w:rFonts w:hint="eastAsia" w:ascii="仿宋" w:hAnsi="仿宋" w:eastAsia="仿宋"/>
          <w:color w:val="auto"/>
          <w:highlight w:val="none"/>
          <w:lang w:eastAsia="zh-CN"/>
        </w:rPr>
      </w:pPr>
      <w:bookmarkStart w:id="2" w:name="_Toc3056"/>
      <w:r>
        <w:rPr>
          <w:rFonts w:hint="eastAsia" w:ascii="仿宋" w:hAnsi="仿宋" w:eastAsia="仿宋" w:cs="仿宋"/>
          <w:color w:val="auto"/>
          <w:highlight w:val="none"/>
          <w:lang w:eastAsia="zh-CN"/>
        </w:rPr>
        <w:t>4、专用条款</w:t>
      </w:r>
      <w:bookmarkEnd w:id="2"/>
      <w:r>
        <w:rPr>
          <w:rFonts w:hint="eastAsia" w:ascii="仿宋" w:hAnsi="仿宋" w:eastAsia="仿宋" w:cs="仿宋"/>
          <w:color w:val="auto"/>
          <w:highlight w:val="none"/>
          <w:lang w:eastAsia="zh-CN"/>
        </w:rPr>
        <w:t>注意事项</w:t>
      </w:r>
    </w:p>
    <w:p w14:paraId="67000B6A">
      <w:pPr>
        <w:widowControl w:val="0"/>
        <w:spacing w:line="500" w:lineRule="exact"/>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专用条款是对通用条款原则性约定的细化、完善、补充或另行约定的条款。合同当事人可以根据不同建设工程的特点及发承包计价的具体情况，通过双方的谈判、协商对相应的专用条款进行明确。在使用专用条款时，应注意以下事项：</w:t>
      </w:r>
    </w:p>
    <w:p w14:paraId="07C2DAF8">
      <w:pPr>
        <w:spacing w:line="500" w:lineRule="exact"/>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（1）专用条款的编号应与相应的通用条款的编号一致；</w:t>
      </w:r>
    </w:p>
    <w:p w14:paraId="5957206D">
      <w:pPr>
        <w:spacing w:line="500" w:lineRule="exact"/>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（2）合同当事人可以通过对专用条款的补充、完善，满足具体工程的特殊要求，不得直接修改通用条款；</w:t>
      </w:r>
    </w:p>
    <w:p w14:paraId="7E83E89C">
      <w:pPr>
        <w:spacing w:line="500" w:lineRule="exact"/>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（3）在专用条款中有横道线的地方，合同当事人可针对相应的通用条款进行细化、完善、补充或另行约定；如无细化、完善、补充或另行约定，则填写“无”或划“</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w:t>
      </w:r>
    </w:p>
    <w:p w14:paraId="257FA1E8">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5.示范文本非强制性使用</w:t>
      </w:r>
    </w:p>
    <w:p w14:paraId="2C73173A">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《广州市建设工程总承包合同》（</w:t>
      </w:r>
      <w:r>
        <w:rPr>
          <w:rFonts w:ascii="仿宋" w:hAnsi="仿宋" w:eastAsia="仿宋" w:cs="仿宋"/>
          <w:color w:val="auto"/>
          <w:highlight w:val="none"/>
          <w:lang w:eastAsia="zh-CN"/>
        </w:rPr>
        <w:t>SF-</w:t>
      </w:r>
      <w:r>
        <w:rPr>
          <w:rFonts w:hint="eastAsia" w:ascii="仿宋" w:hAnsi="仿宋" w:eastAsia="仿宋" w:cs="仿宋"/>
          <w:color w:val="auto"/>
          <w:highlight w:val="none"/>
          <w:lang w:eastAsia="zh-CN"/>
        </w:rPr>
        <w:t>2022</w:t>
      </w:r>
      <w:r>
        <w:rPr>
          <w:rFonts w:ascii="仿宋" w:hAnsi="仿宋" w:eastAsia="仿宋" w:cs="仿宋"/>
          <w:color w:val="auto"/>
          <w:highlight w:val="none"/>
          <w:lang w:eastAsia="zh-CN"/>
        </w:rPr>
        <w:t>-0210</w:t>
      </w:r>
      <w:r>
        <w:rPr>
          <w:rFonts w:hint="eastAsia" w:ascii="仿宋" w:hAnsi="仿宋" w:eastAsia="仿宋" w:cs="仿宋"/>
          <w:color w:val="auto"/>
          <w:highlight w:val="none"/>
          <w:lang w:eastAsia="zh-CN"/>
        </w:rPr>
        <w:t>）为非强制性使用文本。</w:t>
      </w:r>
      <w:r>
        <w:rPr>
          <w:rFonts w:ascii="仿宋" w:hAnsi="仿宋" w:eastAsia="仿宋" w:cs="仿宋"/>
          <w:color w:val="auto"/>
          <w:highlight w:val="none"/>
          <w:lang w:eastAsia="zh-CN"/>
        </w:rPr>
        <w:t>发包人与承包人</w:t>
      </w:r>
      <w:r>
        <w:rPr>
          <w:rFonts w:hint="eastAsia" w:ascii="仿宋" w:hAnsi="仿宋" w:eastAsia="仿宋" w:cs="仿宋"/>
          <w:color w:val="auto"/>
          <w:highlight w:val="none"/>
          <w:lang w:eastAsia="zh-CN"/>
        </w:rPr>
        <w:t>应</w:t>
      </w:r>
      <w:r>
        <w:rPr>
          <w:rFonts w:ascii="仿宋" w:hAnsi="仿宋" w:eastAsia="仿宋" w:cs="仿宋"/>
          <w:color w:val="auto"/>
          <w:highlight w:val="none"/>
          <w:lang w:eastAsia="zh-CN"/>
        </w:rPr>
        <w:t>结合建设工程具体情况，参考本</w:t>
      </w:r>
      <w:r>
        <w:rPr>
          <w:rFonts w:hint="eastAsia" w:ascii="仿宋" w:hAnsi="仿宋" w:eastAsia="仿宋" w:cs="仿宋"/>
          <w:color w:val="auto"/>
          <w:highlight w:val="none"/>
          <w:lang w:eastAsia="zh-CN"/>
        </w:rPr>
        <w:t>示范文本订立合同，履行合同约定的合同权利义务，并承担相应的法律责任。</w:t>
      </w:r>
    </w:p>
    <w:p w14:paraId="564ECCA8">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6.带</w:t>
      </w:r>
      <w:r>
        <w:rPr>
          <w:rFonts w:hint="eastAsia" w:ascii="仿宋" w:hAnsi="仿宋" w:eastAsia="仿宋" w:cs="仿宋"/>
          <w:b/>
          <w:bCs/>
          <w:color w:val="auto"/>
          <w:highlight w:val="none"/>
          <w:lang w:eastAsia="zh-CN"/>
        </w:rPr>
        <w:t>★</w:t>
      </w:r>
      <w:r>
        <w:rPr>
          <w:rFonts w:hint="eastAsia" w:ascii="仿宋" w:hAnsi="仿宋" w:eastAsia="仿宋" w:cs="仿宋"/>
          <w:color w:val="auto"/>
          <w:highlight w:val="none"/>
          <w:lang w:eastAsia="zh-CN"/>
        </w:rPr>
        <w:t>号的条文的要求</w:t>
      </w:r>
    </w:p>
    <w:p w14:paraId="280E38E7">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通用条款中带</w:t>
      </w:r>
      <w:r>
        <w:rPr>
          <w:rFonts w:hint="eastAsia" w:ascii="仿宋" w:hAnsi="仿宋" w:eastAsia="仿宋" w:cs="仿宋"/>
          <w:b/>
          <w:bCs/>
          <w:color w:val="auto"/>
          <w:highlight w:val="none"/>
          <w:lang w:eastAsia="zh-CN"/>
        </w:rPr>
        <w:t>★</w:t>
      </w:r>
      <w:r>
        <w:rPr>
          <w:rFonts w:hint="eastAsia" w:ascii="仿宋" w:hAnsi="仿宋" w:eastAsia="仿宋" w:cs="仿宋"/>
          <w:color w:val="auto"/>
          <w:highlight w:val="none"/>
          <w:lang w:eastAsia="zh-CN"/>
        </w:rPr>
        <w:t>号的条文，其内容是完整不可分割的，与法律、法规、规范有关联，原则上不应进行删减，只能在专用条款中根据实际情况选择或在不违反原条款实质的前提下完善或增加内容。其他内容合同当事人可结合建设工程具体情况，按照法律法规规定，根据《广州市建设工程总承包合同》（</w:t>
      </w:r>
      <w:r>
        <w:rPr>
          <w:rFonts w:ascii="仿宋" w:hAnsi="仿宋" w:eastAsia="仿宋" w:cs="仿宋"/>
          <w:color w:val="auto"/>
          <w:highlight w:val="none"/>
          <w:lang w:eastAsia="zh-CN"/>
        </w:rPr>
        <w:t>SF-</w:t>
      </w:r>
      <w:r>
        <w:rPr>
          <w:rFonts w:hint="eastAsia" w:ascii="仿宋" w:hAnsi="仿宋" w:eastAsia="仿宋" w:cs="仿宋"/>
          <w:color w:val="auto"/>
          <w:highlight w:val="none"/>
          <w:lang w:eastAsia="zh-CN"/>
        </w:rPr>
        <w:t>2022</w:t>
      </w:r>
      <w:r>
        <w:rPr>
          <w:rFonts w:ascii="仿宋" w:hAnsi="仿宋" w:eastAsia="仿宋" w:cs="仿宋"/>
          <w:color w:val="auto"/>
          <w:highlight w:val="none"/>
          <w:lang w:eastAsia="zh-CN"/>
        </w:rPr>
        <w:t>-0210</w:t>
      </w:r>
      <w:r>
        <w:rPr>
          <w:rFonts w:hint="eastAsia" w:ascii="仿宋" w:hAnsi="仿宋" w:eastAsia="仿宋" w:cs="仿宋"/>
          <w:color w:val="auto"/>
          <w:highlight w:val="none"/>
          <w:lang w:eastAsia="zh-CN"/>
        </w:rPr>
        <w:t>）的内容，约定双方具体的权利义务。</w:t>
      </w:r>
    </w:p>
    <w:p w14:paraId="44A9B0A9">
      <w:pPr>
        <w:spacing w:line="500" w:lineRule="exact"/>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7.“预付款”、“进度款”、“竣工结算”条款的要求</w:t>
      </w:r>
    </w:p>
    <w:p w14:paraId="3CEB2CD2">
      <w:pPr>
        <w:spacing w:line="500" w:lineRule="exact"/>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《广州市建设工程总承包合同》（</w:t>
      </w:r>
      <w:r>
        <w:rPr>
          <w:rFonts w:ascii="仿宋" w:hAnsi="仿宋" w:eastAsia="仿宋" w:cs="仿宋"/>
          <w:color w:val="auto"/>
          <w:highlight w:val="none"/>
          <w:lang w:eastAsia="zh-CN"/>
        </w:rPr>
        <w:t>SF-</w:t>
      </w:r>
      <w:r>
        <w:rPr>
          <w:rFonts w:hint="eastAsia" w:ascii="仿宋" w:hAnsi="仿宋" w:eastAsia="仿宋" w:cs="仿宋"/>
          <w:color w:val="auto"/>
          <w:highlight w:val="none"/>
          <w:lang w:eastAsia="zh-CN"/>
        </w:rPr>
        <w:t>2022</w:t>
      </w:r>
      <w:r>
        <w:rPr>
          <w:rFonts w:ascii="仿宋" w:hAnsi="仿宋" w:eastAsia="仿宋" w:cs="仿宋"/>
          <w:color w:val="auto"/>
          <w:highlight w:val="none"/>
          <w:lang w:eastAsia="zh-CN"/>
        </w:rPr>
        <w:t>-0210</w:t>
      </w:r>
      <w:r>
        <w:rPr>
          <w:rFonts w:hint="eastAsia" w:ascii="仿宋" w:hAnsi="仿宋" w:eastAsia="仿宋" w:cs="仿宋"/>
          <w:color w:val="auto"/>
          <w:highlight w:val="none"/>
          <w:lang w:eastAsia="zh-CN"/>
        </w:rPr>
        <w:t>）专用条款中的“预付款”、“进度款”、“竣工结算”条款，在签订合同时优先选择本合同中已列的支付条件、支付方式，如选择“其它方式”或“另作约定”形式的，需以合同附件的形式予以说明原因。</w:t>
      </w:r>
    </w:p>
    <w:p w14:paraId="25233D92">
      <w:pPr>
        <w:spacing w:beforeAutospacing="1" w:afterAutospacing="1"/>
        <w:rPr>
          <w:rFonts w:ascii="宋体"/>
          <w:color w:val="auto"/>
          <w:sz w:val="36"/>
          <w:szCs w:val="36"/>
          <w:highlight w:val="none"/>
          <w:lang w:eastAsia="zh-CN"/>
        </w:rPr>
        <w:sectPr>
          <w:footerReference r:id="rId7" w:type="first"/>
          <w:footerReference r:id="rId6" w:type="default"/>
          <w:endnotePr>
            <w:numFmt w:val="decimal"/>
          </w:endnotePr>
          <w:pgSz w:w="11906" w:h="16838"/>
          <w:pgMar w:top="1440" w:right="1440" w:bottom="1440" w:left="1440" w:header="0" w:footer="0" w:gutter="0"/>
          <w:pgNumType w:start="1"/>
          <w:cols w:space="720" w:num="1"/>
          <w:titlePg/>
          <w:docGrid w:linePitch="286" w:charSpace="0"/>
        </w:sectPr>
      </w:pPr>
    </w:p>
    <w:p w14:paraId="53FDD63E">
      <w:pPr>
        <w:spacing w:line="360" w:lineRule="auto"/>
        <w:jc w:val="center"/>
        <w:outlineLvl w:val="0"/>
        <w:rPr>
          <w:rFonts w:ascii="宋体"/>
          <w:b/>
          <w:bCs/>
          <w:color w:val="auto"/>
          <w:sz w:val="36"/>
          <w:szCs w:val="36"/>
          <w:highlight w:val="none"/>
          <w:lang w:eastAsia="zh-CN"/>
        </w:rPr>
      </w:pPr>
      <w:bookmarkStart w:id="3" w:name="_Toc26803"/>
      <w:bookmarkStart w:id="4" w:name="_Toc14321"/>
      <w:bookmarkStart w:id="5" w:name="_Toc25316"/>
      <w:bookmarkStart w:id="6" w:name="_Toc16883"/>
      <w:bookmarkStart w:id="7" w:name="_Toc149731411"/>
      <w:bookmarkStart w:id="8" w:name="_Toc20004"/>
      <w:bookmarkStart w:id="9" w:name="_Toc23666"/>
      <w:bookmarkStart w:id="10" w:name="_Toc13601"/>
      <w:bookmarkStart w:id="11" w:name="_Toc17656"/>
      <w:bookmarkStart w:id="12" w:name="_Toc6059"/>
      <w:bookmarkStart w:id="13" w:name="_Toc18245"/>
      <w:bookmarkStart w:id="14" w:name="_Toc8797"/>
      <w:bookmarkStart w:id="15" w:name="_Toc14631"/>
      <w:bookmarkStart w:id="16" w:name="_Toc15033"/>
      <w:bookmarkStart w:id="17" w:name="_Toc31546"/>
      <w:bookmarkStart w:id="18" w:name="_Toc30380"/>
      <w:r>
        <w:rPr>
          <w:rFonts w:hint="eastAsia" w:ascii="宋体" w:hAnsi="宋体" w:cs="宋体"/>
          <w:b/>
          <w:bCs/>
          <w:color w:val="auto"/>
          <w:sz w:val="36"/>
          <w:szCs w:val="36"/>
          <w:highlight w:val="none"/>
          <w:lang w:eastAsia="zh-CN"/>
        </w:rPr>
        <w:t xml:space="preserve">第一部分 </w:t>
      </w:r>
      <w:r>
        <w:rPr>
          <w:rFonts w:ascii="宋体" w:hAnsi="宋体" w:cs="宋体"/>
          <w:b/>
          <w:bCs/>
          <w:color w:val="auto"/>
          <w:sz w:val="36"/>
          <w:szCs w:val="36"/>
          <w:highlight w:val="none"/>
          <w:lang w:eastAsia="zh-CN"/>
        </w:rPr>
        <w:t xml:space="preserve"> </w:t>
      </w:r>
      <w:r>
        <w:rPr>
          <w:rFonts w:hint="eastAsia" w:ascii="宋体" w:hAnsi="宋体" w:cs="宋体"/>
          <w:b/>
          <w:bCs/>
          <w:color w:val="auto"/>
          <w:sz w:val="36"/>
          <w:szCs w:val="36"/>
          <w:highlight w:val="none"/>
          <w:lang w:eastAsia="zh-CN"/>
        </w:rPr>
        <w:t>协议书</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4C10D7F2">
      <w:pPr>
        <w:spacing w:line="360" w:lineRule="auto"/>
        <w:jc w:val="center"/>
        <w:rPr>
          <w:rFonts w:ascii="宋体"/>
          <w:color w:val="auto"/>
          <w:sz w:val="36"/>
          <w:szCs w:val="36"/>
          <w:highlight w:val="none"/>
          <w:lang w:eastAsia="zh-CN"/>
        </w:rPr>
      </w:pPr>
    </w:p>
    <w:p w14:paraId="3D394D6F">
      <w:pPr>
        <w:keepNext w:val="0"/>
        <w:keepLines w:val="0"/>
        <w:pageBreakBefore w:val="0"/>
        <w:widowControl/>
        <w:kinsoku/>
        <w:wordWrap/>
        <w:overflowPunct/>
        <w:topLinePunct w:val="0"/>
        <w:autoSpaceDE/>
        <w:autoSpaceDN/>
        <w:bidi w:val="0"/>
        <w:adjustRightInd/>
        <w:snapToGrid/>
        <w:spacing w:line="360" w:lineRule="auto"/>
        <w:ind w:right="0" w:rightChars="0" w:firstLine="0" w:firstLineChars="0"/>
        <w:textAlignment w:val="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（全称）广州从化城投商业发展有限公司</w:t>
      </w:r>
    </w:p>
    <w:p w14:paraId="5A5C7217">
      <w:pPr>
        <w:keepNext w:val="0"/>
        <w:keepLines w:val="0"/>
        <w:pageBreakBefore w:val="0"/>
        <w:widowControl/>
        <w:kinsoku/>
        <w:wordWrap/>
        <w:overflowPunct/>
        <w:topLinePunct w:val="0"/>
        <w:autoSpaceDE/>
        <w:autoSpaceDN/>
        <w:bidi w:val="0"/>
        <w:adjustRightInd/>
        <w:snapToGrid/>
        <w:spacing w:line="360" w:lineRule="auto"/>
        <w:ind w:right="0" w:rightChars="0" w:firstLine="0" w:firstLineChars="0"/>
        <w:textAlignment w:val="auto"/>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承包人</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（全称）/</w:t>
      </w:r>
    </w:p>
    <w:p w14:paraId="2791C33C">
      <w:pPr>
        <w:keepNext w:val="0"/>
        <w:keepLines w:val="0"/>
        <w:pageBreakBefore w:val="0"/>
        <w:widowControl/>
        <w:kinsoku/>
        <w:wordWrap/>
        <w:overflowPunct/>
        <w:topLinePunct w:val="0"/>
        <w:autoSpaceDE/>
        <w:autoSpaceDN/>
        <w:bidi w:val="0"/>
        <w:adjustRightInd/>
        <w:snapToGrid/>
        <w:spacing w:line="360" w:lineRule="auto"/>
        <w:ind w:right="0" w:rightChars="0" w:firstLine="0" w:firstLineChars="0"/>
        <w:textAlignment w:val="auto"/>
        <w:rPr>
          <w:rFonts w:cs="宋体"/>
          <w:color w:val="auto"/>
          <w:sz w:val="32"/>
          <w:szCs w:val="32"/>
          <w:highlight w:val="none"/>
          <w:lang w:eastAsia="zh-CN"/>
        </w:rPr>
      </w:pPr>
      <w:r>
        <w:rPr>
          <w:rFonts w:hint="eastAsia" w:ascii="仿宋" w:hAnsi="仿宋" w:eastAsia="仿宋" w:cs="仿宋"/>
          <w:color w:val="auto"/>
          <w:highlight w:val="none"/>
          <w:lang w:eastAsia="zh-CN"/>
        </w:rPr>
        <w:t>承包人（承包人为联合体时）：</w:t>
      </w:r>
    </w:p>
    <w:p w14:paraId="310B241F">
      <w:pPr>
        <w:keepNext w:val="0"/>
        <w:keepLines w:val="0"/>
        <w:pageBreakBefore w:val="0"/>
        <w:widowControl/>
        <w:kinsoku/>
        <w:wordWrap/>
        <w:overflowPunct/>
        <w:topLinePunct w:val="0"/>
        <w:autoSpaceDE/>
        <w:autoSpaceDN/>
        <w:bidi w:val="0"/>
        <w:adjustRightInd/>
        <w:snapToGrid/>
        <w:spacing w:line="360" w:lineRule="auto"/>
        <w:ind w:left="0" w:right="0" w:rightChars="0" w:firstLine="0" w:firstLineChars="0"/>
        <w:textAlignment w:val="auto"/>
        <w:rPr>
          <w:rFonts w:hint="eastAsia" w:ascii="仿宋" w:hAnsi="仿宋" w:eastAsia="仿宋" w:cs="仿宋"/>
          <w:color w:val="auto"/>
          <w:highlight w:val="none"/>
          <w:lang w:eastAsia="zh"/>
          <w:woUserID w:val="5"/>
        </w:rPr>
      </w:pPr>
    </w:p>
    <w:p w14:paraId="33715DDC">
      <w:pPr>
        <w:spacing w:after="120" w:line="360" w:lineRule="auto"/>
        <w:ind w:right="463" w:rightChars="193"/>
        <w:rPr>
          <w:rFonts w:hint="eastAsia" w:ascii="仿宋" w:hAnsi="仿宋" w:eastAsia="仿宋"/>
          <w:color w:val="auto"/>
          <w:highlight w:val="none"/>
          <w:lang w:eastAsia="zh-CN"/>
        </w:rPr>
      </w:pPr>
    </w:p>
    <w:p w14:paraId="1F2A8DBA">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textAlignment w:val="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依照《中华人民共和国民法典》、《中华人民共和国建筑法》及其他有关法律法规，遵循平等、自愿、公平和诚实信用的原则，发包人和承包人就本工程项目采用工程总承包（EPC）实施的有关事项达成一致意见，订立本合同。</w:t>
      </w:r>
    </w:p>
    <w:p w14:paraId="3E8BD304">
      <w:pPr>
        <w:spacing w:line="360" w:lineRule="auto"/>
        <w:ind w:left="480" w:leftChars="200"/>
        <w:rPr>
          <w:rFonts w:hint="eastAsia" w:ascii="仿宋" w:hAnsi="仿宋" w:eastAsia="仿宋" w:cs="仿宋"/>
          <w:b/>
          <w:bCs/>
          <w:color w:val="auto"/>
          <w:highlight w:val="none"/>
          <w:lang w:eastAsia="zh-CN"/>
        </w:rPr>
      </w:pPr>
    </w:p>
    <w:p w14:paraId="152B0E02">
      <w:pPr>
        <w:spacing w:line="360" w:lineRule="auto"/>
        <w:ind w:left="480" w:leftChars="200"/>
        <w:outlineLvl w:val="1"/>
        <w:rPr>
          <w:rFonts w:hint="eastAsia" w:ascii="仿宋" w:hAnsi="仿宋" w:eastAsia="仿宋" w:cs="仿宋"/>
          <w:b/>
          <w:bCs/>
          <w:color w:val="auto"/>
          <w:highlight w:val="none"/>
          <w:lang w:eastAsia="zh-CN"/>
        </w:rPr>
      </w:pPr>
      <w:bookmarkStart w:id="19" w:name="_Toc19164"/>
      <w:bookmarkStart w:id="20" w:name="_Toc21189"/>
      <w:bookmarkStart w:id="21" w:name="_Toc24913"/>
      <w:bookmarkStart w:id="22" w:name="_Toc1975"/>
      <w:bookmarkStart w:id="23" w:name="_Toc149731412"/>
      <w:bookmarkStart w:id="24" w:name="_Toc14130"/>
      <w:bookmarkStart w:id="25" w:name="_Toc25827"/>
      <w:bookmarkStart w:id="26" w:name="_Toc14733"/>
      <w:bookmarkStart w:id="27" w:name="_Toc17544"/>
      <w:bookmarkStart w:id="28" w:name="_Toc14629"/>
      <w:bookmarkStart w:id="29" w:name="_Toc13734"/>
      <w:bookmarkStart w:id="30" w:name="_Toc19786"/>
      <w:bookmarkStart w:id="31" w:name="_Toc19419"/>
      <w:bookmarkStart w:id="32" w:name="_Toc83"/>
      <w:bookmarkStart w:id="33" w:name="_Toc31651"/>
      <w:bookmarkStart w:id="34" w:name="_Toc26480"/>
      <w:bookmarkStart w:id="35" w:name="_Toc26526"/>
      <w:r>
        <w:rPr>
          <w:rFonts w:hint="eastAsia" w:ascii="仿宋" w:hAnsi="仿宋" w:eastAsia="仿宋" w:cs="仿宋"/>
          <w:b/>
          <w:bCs/>
          <w:color w:val="auto"/>
          <w:highlight w:val="none"/>
          <w:lang w:eastAsia="zh-CN"/>
        </w:rPr>
        <w:t>一、工程概况</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FC51621">
      <w:pPr>
        <w:spacing w:line="360" w:lineRule="auto"/>
        <w:ind w:left="480" w:left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1、立项批文编号或广东省企业基本建设投资项目备案证备案项目编号：</w:t>
      </w:r>
    </w:p>
    <w:p w14:paraId="36EEBAB1">
      <w:pPr>
        <w:spacing w:after="120" w:line="360" w:lineRule="auto"/>
        <w:ind w:right="463" w:rightChars="193"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2、项目名称：鸭洞河驿站新建项目设计施工总承包</w:t>
      </w:r>
    </w:p>
    <w:p w14:paraId="7F7CF5CF">
      <w:pPr>
        <w:spacing w:line="360" w:lineRule="auto"/>
        <w:ind w:left="480" w:left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3、建设地点：</w:t>
      </w:r>
      <w:r>
        <w:rPr>
          <w:rFonts w:hint="eastAsia" w:ascii="仿宋" w:hAnsi="仿宋" w:eastAsia="仿宋" w:cs="仿宋"/>
          <w:color w:val="auto"/>
          <w:highlight w:val="none"/>
          <w:u w:val="single"/>
          <w:lang w:eastAsia="zh-CN"/>
        </w:rPr>
        <w:t>广州市从化区。</w:t>
      </w:r>
    </w:p>
    <w:p w14:paraId="77EEFA69">
      <w:pPr>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4、合同类型：□设计、采购、施工合同</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勘察、设计、施工合同</w:t>
      </w:r>
    </w:p>
    <w:p w14:paraId="260983DC">
      <w:pPr>
        <w:spacing w:line="360" w:lineRule="auto"/>
        <w:ind w:left="480" w:leftChars="200" w:firstLine="1504" w:firstLineChars="627"/>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☑设计、施工合同□其它：</w:t>
      </w:r>
    </w:p>
    <w:p w14:paraId="5614502F">
      <w:pPr>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5、合同签订阶段：☑可行性研究批准立项或者备案后   </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初步设计批准后</w:t>
      </w:r>
    </w:p>
    <w:p w14:paraId="6454FCEE">
      <w:pPr>
        <w:spacing w:line="360" w:lineRule="auto"/>
        <w:ind w:left="480" w:leftChars="200" w:firstLine="1680" w:firstLineChars="7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□其它阶段：</w:t>
      </w:r>
    </w:p>
    <w:p w14:paraId="2B7818D8">
      <w:pPr>
        <w:numPr>
          <w:ilvl w:val="0"/>
          <w:numId w:val="2"/>
        </w:num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工程规模：</w:t>
      </w:r>
      <w:r>
        <w:rPr>
          <w:rFonts w:hint="eastAsia" w:ascii="仿宋" w:hAnsi="仿宋" w:eastAsia="仿宋" w:cs="仿宋"/>
          <w:color w:val="auto"/>
          <w:highlight w:val="none"/>
          <w:lang w:val="en-US" w:eastAsia="zh-CN"/>
        </w:rPr>
        <w:t>位于广州市从化区良口镇鸭洞河北岸，共青路南侧。为生态设计小镇配套附属文旅餐饮设施项目。项目占地面积 2944.50平方米，建筑面积约 2398 平方米，建筑总高度约 12.8米，局部3层，最大单跨跨度为25.65米。驿站建成后为以展览、休憩、餐饮服务、观景、交流等功能为一体的公共服务文旅基础设施，成为滨江界面上标志性节点。具体详见设计任务书，以最终审批方案和建设工程规划许可证为准。</w:t>
      </w:r>
      <w:r>
        <w:rPr>
          <w:rFonts w:hint="eastAsia" w:ascii="仿宋" w:hAnsi="仿宋" w:eastAsia="仿宋" w:cs="仿宋"/>
          <w:color w:val="auto"/>
          <w:highlight w:val="none"/>
          <w:lang w:eastAsia="zh-CN"/>
        </w:rPr>
        <w:t xml:space="preserve">           </w:t>
      </w:r>
    </w:p>
    <w:p w14:paraId="395DDCE7">
      <w:pPr>
        <w:numPr>
          <w:ilvl w:val="0"/>
          <w:numId w:val="2"/>
        </w:num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结构形式：</w:t>
      </w:r>
      <w:r>
        <w:rPr>
          <w:rFonts w:hint="eastAsia" w:ascii="仿宋" w:hAnsi="仿宋" w:eastAsia="仿宋" w:cs="仿宋"/>
          <w:color w:val="auto"/>
          <w:highlight w:val="none"/>
          <w:u w:val="single"/>
          <w:lang w:val="en-US" w:eastAsia="zh-CN"/>
        </w:rPr>
        <w:t>钢结构</w:t>
      </w:r>
    </w:p>
    <w:p w14:paraId="60F059DD">
      <w:pPr>
        <w:spacing w:line="360" w:lineRule="auto"/>
        <w:ind w:left="480" w:leftChars="200" w:firstLine="1200" w:firstLineChars="5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□本项目不含装配式建筑</w:t>
      </w:r>
    </w:p>
    <w:p w14:paraId="7FB46C37">
      <w:pPr>
        <w:spacing w:line="360" w:lineRule="auto"/>
        <w:ind w:left="480" w:leftChars="200" w:firstLine="1200" w:firstLineChars="5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本项目含装配式建筑，各装配式单体工程名称：</w:t>
      </w:r>
    </w:p>
    <w:p w14:paraId="265B63B3">
      <w:pPr>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8、BIM、CIM技术应用：☑本项目不采用BIM技术应用</w:t>
      </w:r>
    </w:p>
    <w:p w14:paraId="1B0CA13F">
      <w:pPr>
        <w:spacing w:line="360" w:lineRule="auto"/>
        <w:ind w:firstLine="2505" w:firstLineChars="1044"/>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本项目采用BIM技术应用：</w:t>
      </w:r>
    </w:p>
    <w:p w14:paraId="4E92B1D9">
      <w:pPr>
        <w:spacing w:line="360" w:lineRule="auto"/>
        <w:ind w:left="425" w:leftChars="177" w:firstLine="1272" w:firstLineChars="53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（1）</w:t>
      </w:r>
      <w:r>
        <w:rPr>
          <w:rFonts w:hint="eastAsia" w:ascii="仿宋" w:hAnsi="仿宋" w:eastAsia="仿宋" w:cs="仿宋"/>
          <w:color w:val="auto"/>
          <w:highlight w:val="none"/>
        </w:rPr>
        <w:t>选用平台：</w:t>
      </w:r>
      <w:r>
        <w:rPr>
          <w:rFonts w:hint="eastAsia" w:ascii="仿宋" w:hAnsi="仿宋" w:eastAsia="仿宋" w:cs="仿宋"/>
          <w:color w:val="auto"/>
          <w:highlight w:val="none"/>
          <w:lang w:eastAsia="zh-CN"/>
        </w:rPr>
        <w:sym w:font="Wingdings 2" w:char="00A3"/>
      </w:r>
      <w:r>
        <w:rPr>
          <w:rFonts w:hint="eastAsia" w:ascii="宋体" w:hAnsi="宋体"/>
          <w:color w:val="auto"/>
          <w:highlight w:val="none"/>
        </w:rPr>
        <w:t xml:space="preserve">Revit  </w:t>
      </w:r>
      <w:r>
        <w:rPr>
          <w:rFonts w:hint="eastAsia" w:ascii="仿宋" w:hAnsi="仿宋" w:eastAsia="仿宋" w:cs="仿宋"/>
          <w:color w:val="auto"/>
          <w:highlight w:val="none"/>
          <w:lang w:eastAsia="zh-CN"/>
        </w:rPr>
        <w:sym w:font="Wingdings 2" w:char="00A3"/>
      </w:r>
      <w:r>
        <w:rPr>
          <w:rFonts w:ascii="宋体" w:hAnsi="宋体"/>
          <w:color w:val="auto"/>
          <w:highlight w:val="none"/>
        </w:rPr>
        <w:t>Navisworks</w:t>
      </w:r>
      <w:r>
        <w:rPr>
          <w:rFonts w:hint="eastAsia" w:ascii="仿宋" w:hAnsi="仿宋" w:eastAsia="仿宋" w:cs="仿宋"/>
          <w:color w:val="auto"/>
          <w:highlight w:val="none"/>
          <w:lang w:eastAsia="zh-CN"/>
        </w:rPr>
        <w:sym w:font="Wingdings 2" w:char="00A3"/>
      </w:r>
      <w:r>
        <w:rPr>
          <w:rFonts w:ascii="宋体" w:hAnsi="宋体"/>
          <w:color w:val="auto"/>
          <w:highlight w:val="none"/>
        </w:rPr>
        <w:t>Bentley Navigator</w:t>
      </w:r>
      <w:r>
        <w:rPr>
          <w:rFonts w:hint="eastAsia" w:ascii="仿宋" w:hAnsi="仿宋" w:eastAsia="仿宋" w:cs="仿宋"/>
          <w:color w:val="auto"/>
          <w:highlight w:val="none"/>
          <w:lang w:eastAsia="zh-CN"/>
        </w:rPr>
        <w:sym w:font="Wingdings 2" w:char="00A3"/>
      </w:r>
      <w:r>
        <w:rPr>
          <w:rFonts w:ascii="宋体" w:hAnsi="宋体"/>
          <w:color w:val="auto"/>
          <w:highlight w:val="none"/>
        </w:rPr>
        <w:t>Tekla Structures</w:t>
      </w:r>
      <w:r>
        <w:rPr>
          <w:rFonts w:hint="eastAsia" w:ascii="仿宋" w:hAnsi="仿宋" w:eastAsia="仿宋" w:cs="仿宋"/>
          <w:color w:val="auto"/>
          <w:highlight w:val="none"/>
          <w:lang w:eastAsia="zh-CN"/>
        </w:rPr>
        <w:sym w:font="Wingdings 2" w:char="00A3"/>
      </w:r>
      <w:r>
        <w:rPr>
          <w:rFonts w:ascii="宋体" w:hAnsi="宋体"/>
          <w:color w:val="auto"/>
          <w:highlight w:val="none"/>
        </w:rPr>
        <w:t>ArchiCAD</w:t>
      </w:r>
      <w:r>
        <w:rPr>
          <w:rFonts w:hint="eastAsia" w:ascii="仿宋" w:hAnsi="仿宋" w:eastAsia="仿宋" w:cs="仿宋"/>
          <w:color w:val="auto"/>
          <w:highlight w:val="none"/>
          <w:lang w:eastAsia="zh-CN"/>
        </w:rPr>
        <w:sym w:font="Wingdings 2" w:char="00A3"/>
      </w:r>
      <w:r>
        <w:rPr>
          <w:rFonts w:hint="eastAsia" w:ascii="宋体" w:hAnsi="宋体"/>
          <w:color w:val="auto"/>
          <w:highlight w:val="none"/>
        </w:rPr>
        <w:t xml:space="preserve">OpenPlant  </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rPr>
        <w:t xml:space="preserve">Rebro  </w:t>
      </w:r>
      <w:r>
        <w:rPr>
          <w:rFonts w:hint="eastAsia" w:ascii="仿宋" w:hAnsi="仿宋" w:eastAsia="仿宋" w:cs="仿宋"/>
          <w:color w:val="auto"/>
          <w:highlight w:val="none"/>
          <w:lang w:eastAsia="zh-CN"/>
        </w:rPr>
        <w:t>：。</w:t>
      </w:r>
    </w:p>
    <w:p w14:paraId="6CBDA201">
      <w:pPr>
        <w:numPr>
          <w:ilvl w:val="0"/>
          <w:numId w:val="3"/>
        </w:numPr>
        <w:spacing w:line="360" w:lineRule="auto"/>
        <w:ind w:left="425" w:leftChars="177" w:firstLine="1272" w:firstLineChars="530"/>
        <w:rPr>
          <w:color w:val="auto"/>
          <w:highlight w:val="none"/>
          <w:lang w:eastAsia="zh-CN"/>
        </w:rPr>
      </w:pPr>
      <w:r>
        <w:rPr>
          <w:rFonts w:hint="eastAsia" w:ascii="仿宋" w:hAnsi="仿宋" w:eastAsia="仿宋" w:cs="仿宋"/>
          <w:color w:val="auto"/>
          <w:highlight w:val="none"/>
          <w:lang w:eastAsia="zh-CN"/>
        </w:rPr>
        <w:t>应用阶段：</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设计施工运营三阶段应用  </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设计与施工联合应用  □施工与运维联合应用  □其它</w:t>
      </w:r>
    </w:p>
    <w:p w14:paraId="41FCE7D7">
      <w:pPr>
        <w:pStyle w:val="2"/>
        <w:numPr>
          <w:ilvl w:val="0"/>
          <w:numId w:val="3"/>
        </w:numPr>
        <w:spacing w:line="360" w:lineRule="auto"/>
        <w:ind w:left="425" w:leftChars="177" w:firstLine="1272" w:firstLineChars="530"/>
        <w:rPr>
          <w:rFonts w:hint="eastAsia" w:ascii="仿宋" w:hAnsi="仿宋" w:eastAsia="仿宋" w:cs="仿宋"/>
          <w:color w:val="auto"/>
          <w:sz w:val="24"/>
          <w:szCs w:val="24"/>
          <w:highlight w:val="none"/>
          <w:lang w:eastAsia="zh-CN" w:bidi="en-US"/>
        </w:rPr>
      </w:pPr>
      <w:r>
        <w:rPr>
          <w:rFonts w:hint="eastAsia" w:ascii="仿宋" w:hAnsi="仿宋" w:eastAsia="仿宋" w:cs="仿宋"/>
          <w:color w:val="auto"/>
          <w:sz w:val="24"/>
          <w:szCs w:val="24"/>
          <w:highlight w:val="none"/>
          <w:lang w:eastAsia="zh-CN" w:bidi="en-US"/>
        </w:rPr>
        <w:t>具体以发包人要求为准。</w:t>
      </w:r>
    </w:p>
    <w:p w14:paraId="09526BAD">
      <w:pPr>
        <w:spacing w:line="360" w:lineRule="auto"/>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9、资金来源：</w:t>
      </w:r>
      <w:r>
        <w:rPr>
          <w:rFonts w:hint="eastAsia" w:ascii="仿宋" w:hAnsi="仿宋" w:eastAsia="仿宋" w:cs="仿宋"/>
          <w:color w:val="auto"/>
          <w:highlight w:val="none"/>
          <w:u w:val="single"/>
          <w:lang w:eastAsia="zh-CN"/>
        </w:rPr>
        <w:t>招标人自筹</w:t>
      </w:r>
    </w:p>
    <w:p w14:paraId="39F98D69">
      <w:pPr>
        <w:spacing w:line="360" w:lineRule="auto"/>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10、其他：</w:t>
      </w:r>
      <w:r>
        <w:rPr>
          <w:rFonts w:hint="eastAsia" w:ascii="仿宋" w:hAnsi="仿宋" w:eastAsia="仿宋" w:cs="仿宋"/>
          <w:color w:val="auto"/>
          <w:highlight w:val="none"/>
          <w:u w:val="single"/>
          <w:lang w:eastAsia="zh-CN"/>
        </w:rPr>
        <w:t>/</w:t>
      </w:r>
    </w:p>
    <w:p w14:paraId="35B2CC83">
      <w:pPr>
        <w:spacing w:line="360" w:lineRule="auto"/>
        <w:ind w:firstLine="480"/>
        <w:rPr>
          <w:rFonts w:hint="eastAsia" w:ascii="仿宋" w:hAnsi="仿宋" w:eastAsia="仿宋"/>
          <w:color w:val="auto"/>
          <w:highlight w:val="none"/>
          <w:lang w:eastAsia="zh-CN"/>
        </w:rPr>
      </w:pPr>
    </w:p>
    <w:p w14:paraId="275C8F7D">
      <w:pPr>
        <w:spacing w:line="360" w:lineRule="auto"/>
        <w:outlineLvl w:val="1"/>
        <w:rPr>
          <w:rFonts w:hint="eastAsia" w:ascii="仿宋" w:hAnsi="仿宋" w:eastAsia="仿宋" w:cs="仿宋"/>
          <w:b/>
          <w:bCs/>
          <w:color w:val="auto"/>
          <w:highlight w:val="none"/>
          <w:lang w:eastAsia="zh-CN"/>
        </w:rPr>
      </w:pPr>
      <w:bookmarkStart w:id="36" w:name="_Toc26026"/>
      <w:bookmarkStart w:id="37" w:name="_Toc7459"/>
      <w:bookmarkStart w:id="38" w:name="_Toc14873"/>
      <w:bookmarkStart w:id="39" w:name="_Toc10524"/>
      <w:bookmarkStart w:id="40" w:name="_Toc3867"/>
      <w:bookmarkStart w:id="41" w:name="_Toc149731413"/>
      <w:bookmarkStart w:id="42" w:name="_Toc10969"/>
      <w:bookmarkStart w:id="43" w:name="_Toc24321"/>
      <w:bookmarkStart w:id="44" w:name="_Toc22364"/>
      <w:bookmarkStart w:id="45" w:name="_Toc13030"/>
      <w:bookmarkStart w:id="46" w:name="_Toc21142"/>
      <w:bookmarkStart w:id="47" w:name="_Toc19381"/>
      <w:bookmarkStart w:id="48" w:name="_Toc10817"/>
      <w:bookmarkStart w:id="49" w:name="_Toc17307"/>
      <w:bookmarkStart w:id="50" w:name="_Toc13303"/>
      <w:bookmarkStart w:id="51" w:name="_Toc3730"/>
      <w:bookmarkStart w:id="52" w:name="_Toc5701"/>
      <w:r>
        <w:rPr>
          <w:rFonts w:hint="eastAsia" w:ascii="仿宋" w:hAnsi="仿宋" w:eastAsia="仿宋" w:cs="仿宋"/>
          <w:b/>
          <w:bCs/>
          <w:color w:val="auto"/>
          <w:highlight w:val="none"/>
          <w:lang w:eastAsia="zh-CN"/>
        </w:rPr>
        <w:t>二、总承包范围与工程内容</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24F97658">
      <w:pPr>
        <w:spacing w:after="120" w:line="360" w:lineRule="auto"/>
        <w:ind w:right="463" w:rightChars="193"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根据发包人提供的项目要求等资料，负责鸭洞河驿站新建项目设计施工总承包项目从</w:t>
      </w:r>
      <w:r>
        <w:rPr>
          <w:rFonts w:hint="eastAsia" w:ascii="仿宋" w:hAnsi="仿宋" w:eastAsia="仿宋" w:cs="仿宋"/>
          <w:color w:val="auto"/>
          <w:highlight w:val="none"/>
          <w:lang w:val="en-US" w:eastAsia="zh-CN"/>
        </w:rPr>
        <w:t>初步设计</w:t>
      </w:r>
      <w:r>
        <w:rPr>
          <w:rFonts w:hint="eastAsia" w:ascii="仿宋" w:hAnsi="仿宋" w:eastAsia="仿宋" w:cs="仿宋"/>
          <w:color w:val="auto"/>
          <w:highlight w:val="none"/>
          <w:lang w:eastAsia="zh-CN"/>
        </w:rPr>
        <w:t>阶段开始的设计、施工总承包工作，包括但不限于以下内容：</w:t>
      </w:r>
    </w:p>
    <w:p w14:paraId="113DCFD5">
      <w:pPr>
        <w:pStyle w:val="2"/>
        <w:ind w:firstLine="482" w:firstLineChars="200"/>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2.1 设计部分</w:t>
      </w:r>
    </w:p>
    <w:p w14:paraId="0B5AEB42">
      <w:pPr>
        <w:spacing w:line="360" w:lineRule="auto"/>
        <w:ind w:firstLine="523" w:firstLineChars="218"/>
        <w:rPr>
          <w:color w:val="auto"/>
          <w:highlight w:val="none"/>
          <w:lang w:eastAsia="zh-CN"/>
        </w:rPr>
      </w:pPr>
    </w:p>
    <w:p w14:paraId="3A000464">
      <w:pPr>
        <w:spacing w:after="120" w:line="360" w:lineRule="auto"/>
        <w:ind w:right="463" w:rightChars="193"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工程设计包含：规划报建、初步设计</w:t>
      </w:r>
      <w:r>
        <w:rPr>
          <w:rFonts w:hint="eastAsia" w:ascii="仿宋" w:hAnsi="仿宋" w:eastAsia="仿宋" w:cs="仿宋"/>
          <w:strike w:val="0"/>
          <w:dstrike w:val="0"/>
          <w:color w:val="auto"/>
          <w:highlight w:val="none"/>
          <w:lang w:eastAsia="zh-CN"/>
        </w:rPr>
        <w:t>及</w:t>
      </w:r>
      <w:r>
        <w:rPr>
          <w:rFonts w:hint="eastAsia" w:ascii="仿宋" w:hAnsi="仿宋" w:eastAsia="仿宋" w:cs="仿宋"/>
          <w:strike w:val="0"/>
          <w:dstrike w:val="0"/>
          <w:color w:val="auto"/>
          <w:highlight w:val="none"/>
          <w:lang w:val="en-US" w:eastAsia="zh-CN"/>
        </w:rPr>
        <w:t>估算</w:t>
      </w:r>
      <w:r>
        <w:rPr>
          <w:rFonts w:hint="eastAsia" w:ascii="仿宋" w:hAnsi="仿宋" w:eastAsia="仿宋" w:cs="仿宋"/>
          <w:color w:val="auto"/>
          <w:highlight w:val="none"/>
          <w:lang w:eastAsia="zh-CN"/>
        </w:rPr>
        <w:t>、施工图设计、图纸变更、施工配合及跟踪服务、审核确认竣工图等。（具体设计内容以建设单位最终选定方案和后期项目规划报批文件为准）。</w:t>
      </w:r>
    </w:p>
    <w:p w14:paraId="2DB539C2">
      <w:pPr>
        <w:spacing w:line="360" w:lineRule="auto"/>
        <w:ind w:firstLine="523" w:firstLineChars="21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负责施工图设计，包括但不限于：建筑工程、室内精装修设计、装饰装修工程、幕墙工程、电气工程、智能化工程、暖通工程、给排水工程、消防工程、防雷工程、永久用水（满足供水部门审核要求）、永电工程（电房低压柜（不含）至用户部分）、临时用水、临时用电、室外工程（包括绿化、室外管网、室外园建、临时道路、海绵城市等）、智能停车、标识标牌（含地下室标线，</w:t>
      </w:r>
      <w:r>
        <w:rPr>
          <w:rFonts w:hint="eastAsia" w:ascii="仿宋" w:hAnsi="仿宋" w:eastAsia="仿宋" w:cs="仿宋"/>
          <w:color w:val="auto"/>
          <w:highlight w:val="none"/>
          <w:lang w:val="en-US" w:eastAsia="zh-CN"/>
        </w:rPr>
        <w:t>如有</w:t>
      </w:r>
      <w:r>
        <w:rPr>
          <w:rFonts w:hint="eastAsia" w:ascii="仿宋" w:hAnsi="仿宋" w:eastAsia="仿宋" w:cs="仿宋"/>
          <w:color w:val="auto"/>
          <w:highlight w:val="none"/>
          <w:lang w:eastAsia="zh-CN"/>
        </w:rPr>
        <w:t>）、体育场地及相关设施工程（如有）、配套市政工程及其配套设施、泛光照明工程（如有）及零星工程（包括但不限于安装或吊装构件的预埋件和连接件、楼宇门牌标识、信报箱等附属配套工程）等的施工图设计。</w:t>
      </w:r>
    </w:p>
    <w:p w14:paraId="1C75A19E">
      <w:pPr>
        <w:spacing w:line="360" w:lineRule="auto"/>
        <w:ind w:firstLine="523" w:firstLineChars="21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（2）负责所有专业的施工图深化设计，包括但不限于：装修深化图、幕墙深化图、暖通空调深化图、钢结构图、外立面深化设计图（材质分缝分色等）、外墙砖排版分缝深化图、室内墙地砖排版图、</w:t>
      </w:r>
      <w:r>
        <w:rPr>
          <w:rFonts w:hint="eastAsia" w:ascii="仿宋" w:hAnsi="仿宋" w:eastAsia="仿宋" w:cs="仿宋"/>
          <w:strike w:val="0"/>
          <w:dstrike w:val="0"/>
          <w:color w:val="auto"/>
          <w:highlight w:val="none"/>
          <w:lang w:eastAsia="zh-CN"/>
        </w:rPr>
        <w:t>设备机房和配电房深化设计、机电管线综合平衡、市政配套设施管线综合平衡、室外管网综合图、</w:t>
      </w:r>
      <w:r>
        <w:rPr>
          <w:rFonts w:hint="eastAsia" w:ascii="仿宋" w:hAnsi="仿宋" w:eastAsia="仿宋" w:cs="仿宋"/>
          <w:color w:val="auto"/>
          <w:highlight w:val="none"/>
          <w:lang w:eastAsia="zh-CN"/>
        </w:rPr>
        <w:t>停车场管理系统深化图、智能化系统深化图、门窗及栏杆深化图、园林景观深化图、永水工程深化图、临水接入工程深化图、临电接入工程深化图、沟槽支护设计图、市政配套等的深化设计。</w:t>
      </w:r>
    </w:p>
    <w:p w14:paraId="67C5F194">
      <w:pPr>
        <w:spacing w:line="360" w:lineRule="auto"/>
        <w:ind w:firstLine="523" w:firstLineChars="21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（3）负责配合办理项目各专业报建、施工图报建、建设工程规划许可证等各专项报批报建和验收工作，负责配合消防审查等专项报批报建。</w:t>
      </w:r>
    </w:p>
    <w:p w14:paraId="1974EAFF">
      <w:pPr>
        <w:spacing w:line="360" w:lineRule="auto"/>
        <w:ind w:firstLine="523" w:firstLineChars="21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（4）限额设计：限额设计详见专用条款6.4条</w:t>
      </w:r>
    </w:p>
    <w:p w14:paraId="3567F64E">
      <w:pPr>
        <w:spacing w:line="360" w:lineRule="auto"/>
        <w:ind w:firstLine="523" w:firstLineChars="21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5</w:t>
      </w:r>
      <w:r>
        <w:rPr>
          <w:rFonts w:hint="eastAsia" w:ascii="仿宋" w:hAnsi="仿宋" w:eastAsia="仿宋" w:cs="仿宋"/>
          <w:color w:val="auto"/>
          <w:highlight w:val="none"/>
          <w:lang w:eastAsia="zh-CN"/>
        </w:rPr>
        <w:t>）除按合同规定的时间和要求向发包人提交设计成果文件外，还应承担工程施工过程直至竣工验收前的设计服务（包含设计变更）等工作，保证设计服务满足施工进度要求。</w:t>
      </w:r>
    </w:p>
    <w:p w14:paraId="7060D49E">
      <w:pPr>
        <w:spacing w:line="360" w:lineRule="auto"/>
        <w:ind w:firstLine="523" w:firstLineChars="21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lang w:eastAsia="zh-CN"/>
        </w:rPr>
        <w:t>）承包人在征得发包人同意且满足相关法律法规的前提下，将专业部分分包给具备相关资质的设计单位并签订分包合同的，不免除承包人对其承包的全部建设工程所负的质量责任。</w:t>
      </w:r>
    </w:p>
    <w:p w14:paraId="4DC999C6">
      <w:pPr>
        <w:spacing w:line="360" w:lineRule="auto"/>
        <w:ind w:firstLine="523" w:firstLineChars="21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hint="eastAsia" w:ascii="仿宋" w:hAnsi="仿宋" w:eastAsia="仿宋" w:cs="仿宋"/>
          <w:color w:val="auto"/>
          <w:highlight w:val="none"/>
          <w:lang w:val="en-US" w:eastAsia="zh-CN"/>
        </w:rPr>
        <w:t>7</w:t>
      </w:r>
      <w:r>
        <w:rPr>
          <w:rFonts w:hint="eastAsia" w:ascii="仿宋" w:hAnsi="仿宋" w:eastAsia="仿宋" w:cs="仿宋"/>
          <w:color w:val="auto"/>
          <w:highlight w:val="none"/>
          <w:lang w:eastAsia="zh-CN"/>
        </w:rPr>
        <w:t>）其他工作：</w:t>
      </w:r>
      <w:r>
        <w:rPr>
          <w:rFonts w:hint="eastAsia" w:ascii="仿宋" w:hAnsi="仿宋" w:eastAsia="仿宋" w:cs="仿宋"/>
          <w:color w:val="auto"/>
          <w:highlight w:val="none"/>
          <w:u w:val="single"/>
          <w:lang w:eastAsia="zh-CN"/>
        </w:rPr>
        <w:t>配合项目竣工图编制审核盖章、签审等工作（其他要求详见附件八）</w:t>
      </w:r>
      <w:r>
        <w:rPr>
          <w:rFonts w:hint="eastAsia" w:ascii="仿宋" w:hAnsi="仿宋" w:eastAsia="仿宋" w:cs="仿宋"/>
          <w:color w:val="auto"/>
          <w:highlight w:val="none"/>
          <w:lang w:eastAsia="zh-CN"/>
        </w:rPr>
        <w:t>。</w:t>
      </w:r>
    </w:p>
    <w:p w14:paraId="4A1D1BD1">
      <w:pPr>
        <w:pStyle w:val="2"/>
        <w:ind w:firstLine="482" w:firstLineChars="200"/>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2.2 施工部分</w:t>
      </w:r>
    </w:p>
    <w:p w14:paraId="59C1076D">
      <w:pPr>
        <w:rPr>
          <w:color w:val="auto"/>
          <w:highlight w:val="none"/>
          <w:lang w:eastAsia="zh-CN"/>
        </w:rPr>
      </w:pPr>
    </w:p>
    <w:p w14:paraId="5D46CD04">
      <w:pPr>
        <w:numPr>
          <w:ilvl w:val="255"/>
          <w:numId w:val="0"/>
        </w:numPr>
        <w:spacing w:line="360" w:lineRule="auto"/>
        <w:ind w:firstLine="523" w:firstLineChars="21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2.2.1施工内容;完成本项目全过程施工总承包管理（包括但不限于施工准备（含红线内外施工临水的报建施工及开通），包工，包料，包工期，包质量，包安全生产，包文明施工，包劳保，包保险，施工过程中的相关职能部门及物业单位、楼栋管理单位的协调，周边居民施工期交通疏解，承包人应当购买的社保、施工承包管理和现场整体组织、专业协调及配合，承包范围内工程验收通过、移交、各专业工程二次深化图编制、竣工图编制、结算编制、配合相关部门结（决）算审核、组织本项目的验收备案和工程资料汇总及整理归档工作（详见附件八、工程保修等）和综合协调、采购、施工、试运行至工程竣工验收、移交的工程总承包。负责办理工程开工及验收所需的各项手续，配合发包人办理相关部门工程结算、财务决算审核，配合发包人的审计和审计调查等工作。</w:t>
      </w:r>
    </w:p>
    <w:p w14:paraId="00340C4A">
      <w:pPr>
        <w:spacing w:line="360" w:lineRule="auto"/>
        <w:ind w:firstLine="523" w:firstLineChars="21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2.2.2自行施工部分</w:t>
      </w:r>
    </w:p>
    <w:p w14:paraId="3C1D8A9C">
      <w:pPr>
        <w:pStyle w:val="2"/>
        <w:rPr>
          <w:rFonts w:hint="eastAsia"/>
          <w:color w:val="auto"/>
          <w:highlight w:val="none"/>
        </w:rPr>
      </w:pPr>
    </w:p>
    <w:p w14:paraId="25009AE1">
      <w:pPr>
        <w:spacing w:line="360" w:lineRule="auto"/>
        <w:ind w:firstLine="525" w:firstLineChars="218"/>
        <w:rPr>
          <w:rFonts w:hint="eastAsia" w:ascii="仿宋" w:hAnsi="仿宋" w:eastAsia="仿宋" w:cs="仿宋"/>
          <w:color w:val="auto"/>
          <w:sz w:val="24"/>
          <w:szCs w:val="24"/>
          <w:highlight w:val="none"/>
        </w:rPr>
      </w:pPr>
      <w:r>
        <w:rPr>
          <w:rFonts w:hint="eastAsia" w:ascii="仿宋" w:hAnsi="仿宋" w:eastAsia="仿宋" w:cs="仿宋"/>
          <w:b/>
          <w:bCs/>
          <w:color w:val="auto"/>
          <w:sz w:val="24"/>
          <w:szCs w:val="24"/>
          <w:highlight w:val="none"/>
        </w:rPr>
        <w:t>2.1.1土建部分</w:t>
      </w:r>
    </w:p>
    <w:p w14:paraId="1744A8F8">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包括土石方工程，基础工程，砌筑工程，混凝土及钢筋混凝土工程，建筑构件及部品工程，金属结构工程，门窗工程，屋面及防水工程，保温、隔热、防腐工程，楼地面工程，墙、柱面装饰与隔断、幕墙工程，天棚工程，油漆涂料裱糊工程，栏杆工程，其他装饰工程，一次性结构预留洞口（含钢筋混凝土及砌筑）在各专业工程施工完成后的封堵、收口（含机电管线、设备孔洞预留及封堵、门、电梯门洞及门槛封堵塞缝等），其他专业工程预留或打凿洞口的封堵、修补、塞缝以其他零星工程，模板工程，脚手架工程，园林工程，拆除工程，预埋件工程，垂直运输工程，材料及小型构件二次水平运输，成品保护工程等，在完工移交发包人前，进行项目整体精开荒保洁工作，具体要求详见附件《项目开荒基础标准》。</w:t>
      </w:r>
    </w:p>
    <w:p w14:paraId="12F7FCC9">
      <w:pPr>
        <w:spacing w:line="360" w:lineRule="auto"/>
        <w:ind w:firstLine="525" w:firstLineChars="218"/>
        <w:rPr>
          <w:rFonts w:hint="eastAsia" w:ascii="仿宋" w:hAnsi="仿宋" w:eastAsia="仿宋" w:cs="仿宋"/>
          <w:color w:val="auto"/>
          <w:sz w:val="24"/>
          <w:szCs w:val="24"/>
          <w:highlight w:val="none"/>
        </w:rPr>
      </w:pPr>
      <w:r>
        <w:rPr>
          <w:rFonts w:hint="eastAsia" w:ascii="仿宋" w:hAnsi="仿宋" w:eastAsia="仿宋" w:cs="仿宋"/>
          <w:b/>
          <w:bCs/>
          <w:color w:val="auto"/>
          <w:sz w:val="24"/>
          <w:szCs w:val="24"/>
          <w:highlight w:val="none"/>
        </w:rPr>
        <w:t>2.1.2机电工程:</w:t>
      </w:r>
    </w:p>
    <w:p w14:paraId="0EB5029D">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1)强电系统：包括动力系统、照明系统、防雷接地系统</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不含永久供电系统）</w:t>
      </w:r>
      <w:r>
        <w:rPr>
          <w:rFonts w:hint="eastAsia" w:ascii="仿宋" w:hAnsi="仿宋" w:eastAsia="仿宋" w:cs="仿宋"/>
          <w:color w:val="auto"/>
          <w:sz w:val="24"/>
          <w:szCs w:val="24"/>
          <w:highlight w:val="none"/>
        </w:rPr>
        <w:t>。</w:t>
      </w:r>
    </w:p>
    <w:p w14:paraId="4F4434FF">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2)给排水系统：包括给水系统、排水系统、污水系统</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不包永久供水系统）</w:t>
      </w:r>
      <w:r>
        <w:rPr>
          <w:rFonts w:hint="eastAsia" w:ascii="仿宋" w:hAnsi="仿宋" w:eastAsia="仿宋" w:cs="仿宋"/>
          <w:color w:val="auto"/>
          <w:sz w:val="24"/>
          <w:szCs w:val="24"/>
          <w:highlight w:val="none"/>
        </w:rPr>
        <w:t>。</w:t>
      </w:r>
    </w:p>
    <w:p w14:paraId="04CB42F5">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3)空调通风系统：包括通风系统、</w:t>
      </w:r>
      <w:r>
        <w:rPr>
          <w:rFonts w:hint="eastAsia" w:ascii="仿宋" w:hAnsi="仿宋" w:eastAsia="仿宋" w:cs="仿宋"/>
          <w:strike w:val="0"/>
          <w:dstrike w:val="0"/>
          <w:color w:val="auto"/>
          <w:sz w:val="24"/>
          <w:szCs w:val="24"/>
          <w:highlight w:val="none"/>
        </w:rPr>
        <w:t>应急电源</w:t>
      </w:r>
      <w:r>
        <w:rPr>
          <w:rFonts w:hint="eastAsia" w:ascii="仿宋" w:hAnsi="仿宋" w:eastAsia="仿宋" w:cs="仿宋"/>
          <w:strike w:val="0"/>
          <w:dstrike w:val="0"/>
          <w:color w:val="auto"/>
          <w:sz w:val="24"/>
          <w:szCs w:val="24"/>
          <w:highlight w:val="none"/>
          <w:lang w:val="en-US" w:eastAsia="zh-CN"/>
        </w:rPr>
        <w:t>等</w:t>
      </w:r>
      <w:r>
        <w:rPr>
          <w:rFonts w:hint="eastAsia" w:ascii="仿宋" w:hAnsi="仿宋" w:eastAsia="仿宋" w:cs="仿宋"/>
          <w:strike w:val="0"/>
          <w:dstrike w:val="0"/>
          <w:color w:val="auto"/>
          <w:sz w:val="24"/>
          <w:szCs w:val="24"/>
          <w:highlight w:val="none"/>
        </w:rPr>
        <w:t>（以审后的设计为准）</w:t>
      </w:r>
      <w:r>
        <w:rPr>
          <w:rFonts w:hint="eastAsia" w:ascii="仿宋" w:hAnsi="仿宋" w:eastAsia="仿宋" w:cs="仿宋"/>
          <w:color w:val="auto"/>
          <w:sz w:val="24"/>
          <w:szCs w:val="24"/>
          <w:highlight w:val="none"/>
        </w:rPr>
        <w:t>。</w:t>
      </w:r>
    </w:p>
    <w:p w14:paraId="19C7683E">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4</w:t>
      </w:r>
      <w:r>
        <w:rPr>
          <w:rFonts w:hint="eastAsia" w:ascii="仿宋" w:hAnsi="仿宋" w:eastAsia="仿宋" w:cs="仿宋"/>
          <w:color w:val="auto"/>
          <w:sz w:val="24"/>
          <w:szCs w:val="24"/>
          <w:highlight w:val="none"/>
        </w:rPr>
        <w:t>)园林工程，市政道路及排水工程，消防工程。</w:t>
      </w:r>
    </w:p>
    <w:p w14:paraId="1DC7909F">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5</w:t>
      </w:r>
      <w:r>
        <w:rPr>
          <w:rFonts w:hint="eastAsia" w:ascii="仿宋" w:hAnsi="仿宋" w:eastAsia="仿宋" w:cs="仿宋"/>
          <w:color w:val="auto"/>
          <w:sz w:val="24"/>
          <w:szCs w:val="24"/>
          <w:highlight w:val="none"/>
        </w:rPr>
        <w:t>)预留预埋工程：包括混凝土结构、砼预制件中自行施工及其它专业工程所需的所有各类线管、套管、暗装底盒、弱电箱、管道配件（如止水节等）预埋，含套管外的封堵。二次结构砌体各类管线的开槽、压槽、配管及挂网修补，含套管外的封堵；承担所有洞口预留及一次开凿工作。承担所有线槽桥架的敷设工作；承担所有设备的砼设备基础、螺栓预埋及二次灌浆工作；承担坡顶排水沟以内或与建筑物相连的岗亭、道闸等的基础；</w:t>
      </w:r>
    </w:p>
    <w:p w14:paraId="43BC68A0">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6</w:t>
      </w:r>
      <w:r>
        <w:rPr>
          <w:rFonts w:hint="eastAsia" w:ascii="仿宋" w:hAnsi="仿宋" w:eastAsia="仿宋" w:cs="仿宋"/>
          <w:color w:val="auto"/>
          <w:sz w:val="24"/>
          <w:szCs w:val="24"/>
          <w:highlight w:val="none"/>
        </w:rPr>
        <w:t>)弱电系统：监控、门禁、道闸系统，电梯监控， 消防及各机电系统的联动系统（按图纸要求进行）。</w:t>
      </w:r>
    </w:p>
    <w:p w14:paraId="2E667DA1">
      <w:pPr>
        <w:spacing w:line="360" w:lineRule="auto"/>
        <w:ind w:firstLine="525" w:firstLineChars="218"/>
        <w:rPr>
          <w:rFonts w:hint="eastAsia" w:ascii="仿宋" w:hAnsi="仿宋" w:eastAsia="仿宋" w:cs="仿宋"/>
          <w:b/>
          <w:bCs/>
          <w:color w:val="auto"/>
          <w:sz w:val="24"/>
          <w:szCs w:val="24"/>
          <w:highlight w:val="none"/>
        </w:rPr>
      </w:pPr>
      <w:r>
        <w:rPr>
          <w:rFonts w:hint="eastAsia" w:ascii="仿宋" w:hAnsi="仿宋" w:eastAsia="仿宋" w:cs="仿宋"/>
          <w:b/>
          <w:bCs/>
          <w:color w:val="auto"/>
          <w:sz w:val="24"/>
          <w:szCs w:val="24"/>
          <w:highlight w:val="none"/>
        </w:rPr>
        <w:t>2.1.3报建、检测、验收、出证(包括但不限于以下项目)</w:t>
      </w:r>
    </w:p>
    <w:p w14:paraId="113C60A7">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1)承包人负责整个施工期间的施工扬尘、噪音和污水的申报、整治排放和有关政府部门的监测及相关证件办理，并确保监测结果满足排放要求，相关费用及环保税由承包人在报价时综合考虑。</w:t>
      </w:r>
    </w:p>
    <w:p w14:paraId="7462430C">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2)监测及检测：法律法规规定必须由</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委托为进行质监站验收的用于实体工程的材料检测、各类专项检测（</w:t>
      </w:r>
      <w:r>
        <w:rPr>
          <w:rFonts w:hint="eastAsia" w:ascii="仿宋" w:hAnsi="仿宋" w:eastAsia="仿宋" w:cs="仿宋"/>
          <w:strike w:val="0"/>
          <w:dstrike w:val="0"/>
          <w:color w:val="auto"/>
          <w:sz w:val="24"/>
          <w:szCs w:val="24"/>
          <w:highlight w:val="none"/>
        </w:rPr>
        <w:t>结构实体检测、室内空气质量检</w:t>
      </w:r>
      <w:r>
        <w:rPr>
          <w:rFonts w:hint="eastAsia" w:ascii="仿宋" w:hAnsi="仿宋" w:eastAsia="仿宋" w:cs="仿宋"/>
          <w:strike w:val="0"/>
          <w:dstrike w:val="0"/>
          <w:color w:val="auto"/>
          <w:sz w:val="24"/>
          <w:szCs w:val="24"/>
          <w:highlight w:val="none"/>
          <w:lang w:eastAsia="zh-CN"/>
        </w:rPr>
        <w:t>、</w:t>
      </w:r>
      <w:r>
        <w:rPr>
          <w:rFonts w:hint="eastAsia" w:ascii="仿宋" w:hAnsi="仿宋" w:eastAsia="仿宋" w:cs="仿宋"/>
          <w:strike w:val="0"/>
          <w:dstrike w:val="0"/>
          <w:color w:val="auto"/>
          <w:sz w:val="24"/>
          <w:szCs w:val="24"/>
          <w:highlight w:val="none"/>
          <w:lang w:val="en-US" w:eastAsia="zh-CN"/>
        </w:rPr>
        <w:t>钢结构专业检测）</w:t>
      </w:r>
      <w:r>
        <w:rPr>
          <w:rFonts w:hint="eastAsia" w:ascii="仿宋" w:hAnsi="仿宋" w:eastAsia="仿宋" w:cs="仿宋"/>
          <w:color w:val="auto"/>
          <w:sz w:val="24"/>
          <w:szCs w:val="24"/>
          <w:highlight w:val="none"/>
        </w:rPr>
        <w:t>沉降监测、和本合同明确约定由发包人委托的监测、检测由发包人委托第三方进行，并承担相关费用（但具体的检测内容项目、频次由承包人负责按满足验收要求制定检测方案，报有关部门审核通过后实施）。除此之外的其他</w:t>
      </w:r>
      <w:r>
        <w:rPr>
          <w:rFonts w:hint="eastAsia" w:ascii="仿宋" w:hAnsi="仿宋" w:eastAsia="仿宋" w:cs="仿宋"/>
          <w:color w:val="auto"/>
          <w:sz w:val="24"/>
          <w:szCs w:val="24"/>
          <w:highlight w:val="none"/>
          <w:lang w:val="en-US" w:eastAsia="zh-CN"/>
        </w:rPr>
        <w:t>检</w:t>
      </w:r>
      <w:r>
        <w:rPr>
          <w:rFonts w:hint="eastAsia" w:ascii="仿宋" w:hAnsi="仿宋" w:eastAsia="仿宋" w:cs="仿宋"/>
          <w:color w:val="auto"/>
          <w:sz w:val="24"/>
          <w:szCs w:val="24"/>
          <w:highlight w:val="none"/>
        </w:rPr>
        <w:t>测、监测由承包人承担（如：安全防护用品的检测），相关费用在报价中综合考虑。若因承包人原因导致检测未能通过，由此增加的相关费用由承包人承担。</w:t>
      </w:r>
    </w:p>
    <w:p w14:paraId="4729961E">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3)完成全部检测、监测方案编制（包括承包人自行委托的检测及发包人委托的检测），相关费用由承包人在报价时综合考虑。</w:t>
      </w:r>
    </w:p>
    <w:p w14:paraId="2427303A">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4)监测及检测：按当地质检部门要求，必须由发包人负责委托的监测、检测项目，承包人须配合进行相关工作，</w:t>
      </w:r>
      <w:r>
        <w:rPr>
          <w:rFonts w:hint="eastAsia" w:ascii="仿宋" w:hAnsi="仿宋" w:eastAsia="仿宋" w:cs="仿宋"/>
          <w:color w:val="auto"/>
          <w:sz w:val="24"/>
          <w:szCs w:val="24"/>
          <w:highlight w:val="none"/>
          <w:lang w:val="en-US" w:eastAsia="zh-CN"/>
        </w:rPr>
        <w:t>包括且不限于</w:t>
      </w:r>
      <w:r>
        <w:rPr>
          <w:rFonts w:hint="eastAsia" w:ascii="仿宋" w:hAnsi="仿宋" w:eastAsia="仿宋" w:cs="仿宋"/>
          <w:color w:val="auto"/>
          <w:sz w:val="24"/>
          <w:szCs w:val="24"/>
          <w:highlight w:val="none"/>
        </w:rPr>
        <w:t>提供检测材料样品及负责送检和检验合格后的相关工作（如材料运输等）。以上费用在报价中综合考虑。</w:t>
      </w:r>
    </w:p>
    <w:p w14:paraId="57D3C8AC">
      <w:pPr>
        <w:spacing w:line="360" w:lineRule="auto"/>
        <w:ind w:firstLine="523" w:firstLineChars="218"/>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rPr>
        <w:t>5)</w:t>
      </w:r>
      <w:r>
        <w:rPr>
          <w:rFonts w:hint="eastAsia" w:ascii="仿宋" w:hAnsi="仿宋" w:eastAsia="仿宋" w:cs="仿宋"/>
          <w:color w:val="auto"/>
          <w:sz w:val="24"/>
          <w:szCs w:val="24"/>
          <w:highlight w:val="none"/>
          <w:lang w:val="en-US" w:eastAsia="zh-CN"/>
        </w:rPr>
        <w:t>配合、</w:t>
      </w:r>
      <w:r>
        <w:rPr>
          <w:rFonts w:hint="eastAsia" w:ascii="仿宋" w:hAnsi="仿宋" w:eastAsia="仿宋" w:cs="仿宋"/>
          <w:color w:val="auto"/>
          <w:sz w:val="24"/>
          <w:szCs w:val="24"/>
          <w:highlight w:val="none"/>
        </w:rPr>
        <w:t>协助非承包人委托的检测单位完成本项目的相关检测，包括但不限于沉降观测等。</w:t>
      </w:r>
      <w:r>
        <w:rPr>
          <w:rFonts w:hint="eastAsia" w:ascii="仿宋" w:hAnsi="仿宋" w:eastAsia="仿宋" w:cs="仿宋"/>
          <w:color w:val="auto"/>
          <w:sz w:val="24"/>
          <w:szCs w:val="24"/>
          <w:highlight w:val="none"/>
          <w:lang w:val="en-US" w:eastAsia="zh-CN"/>
        </w:rPr>
        <w:t>配合、协助的工作内容包括但不限于为</w:t>
      </w:r>
      <w:r>
        <w:rPr>
          <w:rFonts w:hint="eastAsia" w:ascii="仿宋" w:hAnsi="仿宋" w:eastAsia="仿宋" w:cs="仿宋"/>
          <w:color w:val="auto"/>
          <w:sz w:val="24"/>
          <w:szCs w:val="24"/>
          <w:highlight w:val="none"/>
        </w:rPr>
        <w:t>检测、监测设备提供设备堆放点、进场道路、修填平整设备运行道路、平整挖填、换填场地满足检测需要、提供垂直运输、高坡处检测搭设必要的平台、检测结束后完成场地的</w:t>
      </w:r>
      <w:r>
        <w:rPr>
          <w:rFonts w:hint="eastAsia" w:ascii="仿宋" w:hAnsi="仿宋" w:eastAsia="仿宋" w:cs="仿宋"/>
          <w:color w:val="auto"/>
          <w:sz w:val="24"/>
          <w:szCs w:val="24"/>
          <w:highlight w:val="none"/>
          <w:lang w:val="en-US" w:eastAsia="zh-CN"/>
        </w:rPr>
        <w:t>清理、</w:t>
      </w:r>
      <w:r>
        <w:rPr>
          <w:rFonts w:hint="eastAsia" w:ascii="仿宋" w:hAnsi="仿宋" w:eastAsia="仿宋" w:cs="仿宋"/>
          <w:color w:val="auto"/>
          <w:sz w:val="24"/>
          <w:szCs w:val="24"/>
          <w:highlight w:val="none"/>
        </w:rPr>
        <w:t>恢复和结构工程的恢复、修补</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室内噪声检测需配合关闭门窗，室内无人（测试人员除外），排除施工现场震动噪音、电磁干扰等</w:t>
      </w:r>
      <w:r>
        <w:rPr>
          <w:rFonts w:hint="eastAsia" w:ascii="仿宋" w:hAnsi="仿宋" w:eastAsia="仿宋" w:cs="仿宋"/>
          <w:color w:val="auto"/>
          <w:sz w:val="24"/>
          <w:szCs w:val="24"/>
          <w:highlight w:val="none"/>
          <w:lang w:eastAsia="zh-CN"/>
        </w:rPr>
        <w:t>。</w:t>
      </w:r>
    </w:p>
    <w:p w14:paraId="4FD1687D">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6)负责对承包施工范围的工程自检，以及对指定分包承包工程的检验、验收。</w:t>
      </w:r>
    </w:p>
    <w:p w14:paraId="66CAE692">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7</w:t>
      </w:r>
      <w:r>
        <w:rPr>
          <w:rFonts w:hint="eastAsia" w:ascii="仿宋" w:hAnsi="仿宋" w:eastAsia="仿宋" w:cs="仿宋"/>
          <w:color w:val="auto"/>
          <w:sz w:val="24"/>
          <w:szCs w:val="24"/>
          <w:highlight w:val="none"/>
        </w:rPr>
        <w:t>)负责负责办理永久排水许可证及相关报建验收手续。建筑工程完工后，负责完成经当地环保、水质部门审查核准的检测中心进行水质检测并达到各检测项目合格和出证。</w:t>
      </w:r>
    </w:p>
    <w:p w14:paraId="64A13283">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8</w:t>
      </w:r>
      <w:r>
        <w:rPr>
          <w:rFonts w:hint="eastAsia" w:ascii="仿宋" w:hAnsi="仿宋" w:eastAsia="仿宋" w:cs="仿宋"/>
          <w:color w:val="auto"/>
          <w:sz w:val="24"/>
          <w:szCs w:val="24"/>
          <w:highlight w:val="none"/>
        </w:rPr>
        <w:t>)负责办理施工临时排水许可证及相关报建验收手续。</w:t>
      </w:r>
    </w:p>
    <w:p w14:paraId="0D4C9390">
      <w:pPr>
        <w:spacing w:line="360" w:lineRule="auto"/>
        <w:ind w:firstLine="523" w:firstLineChars="218"/>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9</w:t>
      </w:r>
      <w:r>
        <w:rPr>
          <w:rFonts w:hint="eastAsia" w:ascii="仿宋" w:hAnsi="仿宋" w:eastAsia="仿宋" w:cs="仿宋"/>
          <w:color w:val="auto"/>
          <w:sz w:val="24"/>
          <w:szCs w:val="24"/>
          <w:highlight w:val="none"/>
        </w:rPr>
        <w:t>)负责办理项目施工用临时路口的开设工作和施工图所示永久路口（含红线外接到市政路部分）开设的报批报建工作；其中临时路口的所有费用由承包人在报价综合考虑，施工图纸范围内所需建设的永久路口开设，涉及到树木</w:t>
      </w:r>
      <w:r>
        <w:rPr>
          <w:rFonts w:hint="eastAsia" w:ascii="仿宋" w:hAnsi="仿宋" w:eastAsia="仿宋" w:cs="仿宋"/>
          <w:color w:val="auto"/>
          <w:sz w:val="24"/>
          <w:szCs w:val="24"/>
          <w:highlight w:val="none"/>
          <w:lang w:val="en-US" w:eastAsia="zh-CN"/>
        </w:rPr>
        <w:t>迁移</w:t>
      </w:r>
      <w:r>
        <w:rPr>
          <w:rFonts w:hint="eastAsia" w:ascii="仿宋" w:hAnsi="仿宋" w:eastAsia="仿宋" w:cs="仿宋"/>
          <w:color w:val="auto"/>
          <w:sz w:val="24"/>
          <w:szCs w:val="24"/>
          <w:highlight w:val="none"/>
        </w:rPr>
        <w:t>、路灯、管线保护</w:t>
      </w:r>
      <w:r>
        <w:rPr>
          <w:rFonts w:hint="eastAsia" w:ascii="仿宋" w:hAnsi="仿宋" w:eastAsia="仿宋" w:cs="仿宋"/>
          <w:color w:val="auto"/>
          <w:sz w:val="24"/>
          <w:szCs w:val="24"/>
          <w:highlight w:val="none"/>
          <w:lang w:val="en-US" w:eastAsia="zh-CN"/>
        </w:rPr>
        <w:t>及迁改</w:t>
      </w:r>
      <w:r>
        <w:rPr>
          <w:rFonts w:hint="eastAsia" w:ascii="仿宋" w:hAnsi="仿宋" w:eastAsia="仿宋" w:cs="仿宋"/>
          <w:color w:val="auto"/>
          <w:sz w:val="24"/>
          <w:szCs w:val="24"/>
          <w:highlight w:val="none"/>
        </w:rPr>
        <w:t>的费用由政府相关部门出具收费依据，发包人按此承担费用，除此以外的其他费用由承包人在</w:t>
      </w:r>
      <w:r>
        <w:rPr>
          <w:rFonts w:hint="eastAsia" w:ascii="仿宋" w:hAnsi="仿宋" w:eastAsia="仿宋" w:cs="仿宋"/>
          <w:color w:val="auto"/>
          <w:sz w:val="24"/>
          <w:szCs w:val="24"/>
          <w:highlight w:val="none"/>
          <w:lang w:val="en-US" w:eastAsia="zh-CN"/>
        </w:rPr>
        <w:t>通信</w:t>
      </w:r>
    </w:p>
    <w:p w14:paraId="28471377">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0</w:t>
      </w:r>
      <w:r>
        <w:rPr>
          <w:rFonts w:hint="eastAsia" w:ascii="仿宋" w:hAnsi="仿宋" w:eastAsia="仿宋" w:cs="仿宋"/>
          <w:color w:val="auto"/>
          <w:sz w:val="24"/>
          <w:szCs w:val="24"/>
          <w:highlight w:val="none"/>
        </w:rPr>
        <w:t>)负责合同范围内工程的系统调试、验收工作。</w:t>
      </w:r>
    </w:p>
    <w:p w14:paraId="074E4C48">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1</w:t>
      </w:r>
      <w:r>
        <w:rPr>
          <w:rFonts w:hint="eastAsia" w:ascii="仿宋" w:hAnsi="仿宋" w:eastAsia="仿宋" w:cs="仿宋"/>
          <w:color w:val="auto"/>
          <w:sz w:val="24"/>
          <w:szCs w:val="24"/>
          <w:highlight w:val="none"/>
        </w:rPr>
        <w:t>)配合其他各专业</w:t>
      </w:r>
      <w:r>
        <w:rPr>
          <w:rFonts w:hint="eastAsia" w:ascii="仿宋" w:hAnsi="仿宋" w:eastAsia="仿宋" w:cs="仿宋"/>
          <w:color w:val="auto"/>
          <w:sz w:val="24"/>
          <w:szCs w:val="24"/>
          <w:highlight w:val="none"/>
          <w:lang w:val="en-US" w:eastAsia="zh-CN"/>
        </w:rPr>
        <w:t>承包</w:t>
      </w:r>
      <w:r>
        <w:rPr>
          <w:rFonts w:hint="eastAsia" w:ascii="仿宋" w:hAnsi="仿宋" w:eastAsia="仿宋" w:cs="仿宋"/>
          <w:color w:val="auto"/>
          <w:sz w:val="24"/>
          <w:szCs w:val="24"/>
          <w:highlight w:val="none"/>
        </w:rPr>
        <w:t>工程的调试、验收工作。</w:t>
      </w:r>
    </w:p>
    <w:p w14:paraId="5615ED60">
      <w:pPr>
        <w:spacing w:line="360" w:lineRule="auto"/>
        <w:ind w:firstLine="523" w:firstLineChars="218"/>
        <w:rPr>
          <w:rFonts w:hint="default" w:ascii="仿宋" w:hAnsi="仿宋" w:eastAsia="仿宋" w:cs="仿宋"/>
          <w:color w:val="auto"/>
          <w:sz w:val="24"/>
          <w:szCs w:val="24"/>
          <w:highlight w:val="none"/>
          <w:lang w:val="en-US"/>
        </w:rPr>
      </w:pPr>
      <w:r>
        <w:rPr>
          <w:rFonts w:hint="eastAsia" w:ascii="仿宋" w:hAnsi="仿宋" w:eastAsia="仿宋" w:cs="仿宋"/>
          <w:color w:val="auto"/>
          <w:sz w:val="24"/>
          <w:szCs w:val="24"/>
          <w:highlight w:val="none"/>
          <w:lang w:val="en-US" w:eastAsia="zh-CN"/>
        </w:rPr>
        <w:t>12）负责消防第三方检测及验收工作。</w:t>
      </w:r>
    </w:p>
    <w:p w14:paraId="398ADC0B">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3</w:t>
      </w:r>
      <w:r>
        <w:rPr>
          <w:rFonts w:hint="eastAsia" w:ascii="仿宋" w:hAnsi="仿宋" w:eastAsia="仿宋" w:cs="仿宋"/>
          <w:color w:val="auto"/>
          <w:sz w:val="24"/>
          <w:szCs w:val="24"/>
          <w:highlight w:val="none"/>
        </w:rPr>
        <w:t>)防雷报建、验收、出证：包防雷设计审查、包防雷报建、包验收和出证等；并包括聘请有实力、有资质的第三方进行防雷检测、雷电灾害风险评估、防雷技术评估；以及当地政府要求的防雷其他相关的工作内容（并且包含以上检测、评估、出具报告、出证的所有费用）。</w:t>
      </w:r>
    </w:p>
    <w:p w14:paraId="476DA025">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4</w:t>
      </w:r>
      <w:r>
        <w:rPr>
          <w:rFonts w:hint="eastAsia" w:ascii="仿宋" w:hAnsi="仿宋" w:eastAsia="仿宋" w:cs="仿宋"/>
          <w:color w:val="auto"/>
          <w:sz w:val="24"/>
          <w:szCs w:val="24"/>
          <w:highlight w:val="none"/>
        </w:rPr>
        <w:t>)环保、节能检测：负责整个项目环保检测、验收、出证所发生的一切工作；负责自行施工范围内的材料（风机、照明灯具、电能质量等）环保、节能检测（含承包单位自行施工范围内的材料检测、整个项目节能第三方检测）按国家、地方相关规定要求执行的报建、检测、验收、出证所发生的一切工作。</w:t>
      </w:r>
    </w:p>
    <w:p w14:paraId="4D64821A">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w:t>
      </w:r>
      <w:r>
        <w:rPr>
          <w:rFonts w:hint="eastAsia" w:ascii="仿宋" w:hAnsi="仿宋" w:eastAsia="仿宋" w:cs="仿宋"/>
          <w:color w:val="auto"/>
          <w:sz w:val="24"/>
          <w:szCs w:val="24"/>
          <w:highlight w:val="none"/>
          <w:lang w:val="en-US" w:eastAsia="zh-CN"/>
        </w:rPr>
        <w:t>5</w:t>
      </w:r>
      <w:r>
        <w:rPr>
          <w:rFonts w:hint="eastAsia" w:ascii="仿宋" w:hAnsi="仿宋" w:eastAsia="仿宋" w:cs="仿宋"/>
          <w:color w:val="auto"/>
          <w:sz w:val="24"/>
          <w:szCs w:val="24"/>
          <w:highlight w:val="none"/>
        </w:rPr>
        <w:t>)配合发包人完成室内空气检测工作：建筑工程完工后，配合发包人委托经当地质监部门审查核准的检测中心对本合同范围内所需的室内空气检测项目进行检测并达到各检测项目合格和出证。</w:t>
      </w:r>
    </w:p>
    <w:p w14:paraId="153B0ABD">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19</w:t>
      </w:r>
      <w:r>
        <w:rPr>
          <w:rFonts w:hint="eastAsia" w:ascii="仿宋" w:hAnsi="仿宋" w:eastAsia="仿宋" w:cs="仿宋"/>
          <w:color w:val="auto"/>
          <w:sz w:val="24"/>
          <w:szCs w:val="24"/>
          <w:highlight w:val="none"/>
        </w:rPr>
        <w:t>)承包人应按国家及当地政策关规定对用于本项目的机械设备进行检测。</w:t>
      </w:r>
    </w:p>
    <w:p w14:paraId="71B41C38">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2.1.4其他</w:t>
      </w:r>
    </w:p>
    <w:p w14:paraId="27257DE6">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lang w:val="en-US" w:eastAsia="zh-CN"/>
        </w:rPr>
        <w:t xml:space="preserve">本项目绿化养护期为2年，养护内容包含浇水、施肥、修剪等确保植物良好生长及保持较好形态的各项工作。  </w:t>
      </w:r>
    </w:p>
    <w:p w14:paraId="030D7E48">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highlight w:val="none"/>
        </w:rPr>
      </w:pPr>
      <w:r>
        <w:rPr>
          <w:rFonts w:hint="eastAsia" w:ascii="仿宋" w:hAnsi="仿宋" w:eastAsia="仿宋" w:cs="仿宋"/>
          <w:color w:val="auto"/>
          <w:sz w:val="24"/>
          <w:szCs w:val="24"/>
          <w:highlight w:val="none"/>
        </w:rPr>
        <w:t>负责本项目地块的场地照管</w:t>
      </w:r>
      <w:r>
        <w:rPr>
          <w:rFonts w:hint="eastAsia" w:ascii="仿宋" w:hAnsi="仿宋" w:eastAsia="仿宋" w:cs="仿宋"/>
          <w:color w:val="auto"/>
          <w:sz w:val="24"/>
          <w:szCs w:val="24"/>
          <w:highlight w:val="none"/>
          <w:lang w:val="en-US" w:eastAsia="zh-CN"/>
        </w:rPr>
        <w:t>及围蔽</w:t>
      </w:r>
      <w:r>
        <w:rPr>
          <w:rFonts w:hint="eastAsia" w:ascii="仿宋" w:hAnsi="仿宋" w:eastAsia="仿宋" w:cs="仿宋"/>
          <w:color w:val="auto"/>
          <w:sz w:val="24"/>
          <w:szCs w:val="24"/>
          <w:highlight w:val="none"/>
        </w:rPr>
        <w:t>工作。承包人</w:t>
      </w:r>
      <w:r>
        <w:rPr>
          <w:rFonts w:hint="eastAsia" w:ascii="仿宋" w:hAnsi="仿宋" w:eastAsia="仿宋" w:cs="仿宋"/>
          <w:color w:val="auto"/>
          <w:sz w:val="24"/>
          <w:szCs w:val="24"/>
          <w:highlight w:val="none"/>
          <w:lang w:val="en-US" w:eastAsia="zh-CN"/>
        </w:rPr>
        <w:t>根据需要</w:t>
      </w:r>
      <w:r>
        <w:rPr>
          <w:rFonts w:hint="eastAsia" w:ascii="仿宋" w:hAnsi="仿宋" w:eastAsia="仿宋" w:cs="仿宋"/>
          <w:color w:val="auto"/>
          <w:sz w:val="24"/>
          <w:szCs w:val="24"/>
          <w:highlight w:val="none"/>
        </w:rPr>
        <w:t>增加</w:t>
      </w:r>
      <w:r>
        <w:rPr>
          <w:rFonts w:hint="eastAsia" w:ascii="仿宋" w:hAnsi="仿宋" w:eastAsia="仿宋" w:cs="仿宋"/>
          <w:color w:val="auto"/>
          <w:sz w:val="24"/>
          <w:szCs w:val="24"/>
          <w:highlight w:val="none"/>
          <w:lang w:val="en-US" w:eastAsia="zh-CN"/>
        </w:rPr>
        <w:t>围蔽、</w:t>
      </w:r>
      <w:r>
        <w:rPr>
          <w:rFonts w:hint="eastAsia" w:ascii="仿宋" w:hAnsi="仿宋" w:eastAsia="仿宋" w:cs="仿宋"/>
          <w:color w:val="auto"/>
          <w:sz w:val="24"/>
          <w:szCs w:val="24"/>
          <w:highlight w:val="none"/>
        </w:rPr>
        <w:t>设置出入口</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保安岗亭、</w:t>
      </w:r>
      <w:r>
        <w:rPr>
          <w:rFonts w:hint="eastAsia" w:ascii="仿宋" w:hAnsi="仿宋" w:eastAsia="仿宋" w:cs="仿宋"/>
          <w:color w:val="auto"/>
          <w:sz w:val="24"/>
          <w:szCs w:val="24"/>
          <w:highlight w:val="none"/>
        </w:rPr>
        <w:t>安装大门并</w:t>
      </w:r>
      <w:r>
        <w:rPr>
          <w:rFonts w:hint="eastAsia" w:ascii="仿宋" w:hAnsi="仿宋" w:eastAsia="仿宋" w:cs="仿宋"/>
          <w:color w:val="auto"/>
          <w:sz w:val="24"/>
          <w:szCs w:val="24"/>
          <w:highlight w:val="none"/>
          <w:lang w:val="en-US" w:eastAsia="zh-CN"/>
        </w:rPr>
        <w:t>负责项目的安保工作</w:t>
      </w:r>
      <w:r>
        <w:rPr>
          <w:rFonts w:hint="eastAsia" w:ascii="仿宋" w:hAnsi="仿宋" w:eastAsia="仿宋" w:cs="仿宋"/>
          <w:color w:val="auto"/>
          <w:sz w:val="24"/>
          <w:szCs w:val="24"/>
          <w:highlight w:val="none"/>
        </w:rPr>
        <w:t>。</w:t>
      </w:r>
    </w:p>
    <w:p w14:paraId="1E443AF1">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施工期间的围蔽、洗车槽等设施的维护及现场的安保工作由承包人承担，确保满足当地政府部门的监管及安全文明施工要求。工程完工后由承包人自行拆除清理外运（详见附件）。</w:t>
      </w:r>
    </w:p>
    <w:p w14:paraId="0A588285">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color w:val="auto"/>
          <w:highlight w:val="none"/>
        </w:rPr>
      </w:pPr>
      <w:r>
        <w:rPr>
          <w:rFonts w:hint="eastAsia" w:ascii="仿宋" w:hAnsi="仿宋" w:eastAsia="仿宋" w:cs="仿宋"/>
          <w:color w:val="auto"/>
          <w:sz w:val="24"/>
          <w:szCs w:val="24"/>
          <w:highlight w:val="none"/>
        </w:rPr>
        <w:t>负责</w:t>
      </w:r>
      <w:r>
        <w:rPr>
          <w:rFonts w:hint="eastAsia" w:ascii="仿宋" w:hAnsi="仿宋" w:eastAsia="仿宋" w:cs="仿宋"/>
          <w:color w:val="auto"/>
          <w:sz w:val="24"/>
          <w:szCs w:val="24"/>
          <w:highlight w:val="none"/>
          <w:lang w:val="en-US" w:eastAsia="zh-CN"/>
        </w:rPr>
        <w:t>完善</w:t>
      </w:r>
      <w:r>
        <w:rPr>
          <w:rFonts w:hint="eastAsia" w:ascii="仿宋" w:hAnsi="仿宋" w:eastAsia="仿宋" w:cs="仿宋"/>
          <w:color w:val="auto"/>
          <w:sz w:val="24"/>
          <w:szCs w:val="24"/>
          <w:highlight w:val="none"/>
        </w:rPr>
        <w:t>本项目范围内</w:t>
      </w:r>
      <w:r>
        <w:rPr>
          <w:rFonts w:hint="eastAsia" w:ascii="仿宋" w:hAnsi="仿宋" w:eastAsia="仿宋" w:cs="仿宋"/>
          <w:color w:val="auto"/>
          <w:sz w:val="24"/>
          <w:szCs w:val="24"/>
          <w:highlight w:val="none"/>
          <w:lang w:val="en-US" w:eastAsia="zh-CN"/>
        </w:rPr>
        <w:t>及主出入口</w:t>
      </w:r>
      <w:r>
        <w:rPr>
          <w:rFonts w:hint="eastAsia" w:ascii="仿宋" w:hAnsi="仿宋" w:eastAsia="仿宋" w:cs="仿宋"/>
          <w:color w:val="auto"/>
          <w:sz w:val="24"/>
          <w:szCs w:val="24"/>
          <w:highlight w:val="none"/>
        </w:rPr>
        <w:t>的扬尘在线监测系统及工地视频监控（技术标准需满足当地质监站、发包人要求）工程</w:t>
      </w:r>
      <w:r>
        <w:rPr>
          <w:rFonts w:hint="eastAsia" w:ascii="仿宋" w:hAnsi="仿宋" w:eastAsia="仿宋" w:cs="仿宋"/>
          <w:color w:val="auto"/>
          <w:sz w:val="24"/>
          <w:szCs w:val="24"/>
          <w:highlight w:val="none"/>
          <w:lang w:eastAsia="zh-CN"/>
        </w:rPr>
        <w:t>。</w:t>
      </w:r>
    </w:p>
    <w:p w14:paraId="71DA6228">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根据发包人提供的施工图、资料，负责合同范围内的图纸深化设计(例如铝窗、弱电等各类设计图纸的深化）。</w:t>
      </w:r>
    </w:p>
    <w:p w14:paraId="29BBB5FB">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负责统筹项目管线综合平衡，出具综合管线平衡图。</w:t>
      </w:r>
    </w:p>
    <w:p w14:paraId="7E88CCBD">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现场周边道路有人行道、步道等，承包人因施工所需导致破坏，需在交付前按原场地修复，承包人在报价时需综合考虑。</w:t>
      </w:r>
    </w:p>
    <w:p w14:paraId="4B5F105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现场周边排水沟、电缆井、燃气管道、燃气管井、综合管网等，施工过程中需要进行保护，发包人提供的周边管线图纸未必能非常完善的反映现场情况，承包人需自行勘查现场后，在报价时考虑相关保护费用。</w:t>
      </w:r>
    </w:p>
    <w:p w14:paraId="6C18C513">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本项目场地地下物探</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已完成，其场地及周边管线情况详见《周边管线勘察图》（详见</w:t>
      </w:r>
      <w:r>
        <w:rPr>
          <w:rFonts w:hint="eastAsia" w:ascii="仿宋" w:hAnsi="仿宋" w:eastAsia="仿宋" w:cs="仿宋"/>
          <w:color w:val="auto"/>
          <w:sz w:val="24"/>
          <w:szCs w:val="24"/>
          <w:highlight w:val="none"/>
          <w:lang w:val="en-US" w:eastAsia="zh-CN"/>
        </w:rPr>
        <w:t>附件十九：周边管线勘察图</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承包人</w:t>
      </w:r>
      <w:r>
        <w:rPr>
          <w:rFonts w:hint="eastAsia" w:ascii="仿宋" w:hAnsi="仿宋" w:eastAsia="仿宋" w:cs="仿宋"/>
          <w:color w:val="auto"/>
          <w:sz w:val="24"/>
          <w:szCs w:val="24"/>
          <w:highlight w:val="none"/>
        </w:rPr>
        <w:t>如认为不够详细则自行物探。</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不保证工地现场完全不存在地下建筑物基础梁、承台及其他地下可能存在的障碍物，</w:t>
      </w:r>
      <w:r>
        <w:rPr>
          <w:rFonts w:hint="eastAsia" w:ascii="仿宋" w:hAnsi="仿宋" w:eastAsia="仿宋" w:cs="仿宋"/>
          <w:color w:val="auto"/>
          <w:sz w:val="24"/>
          <w:szCs w:val="24"/>
          <w:highlight w:val="none"/>
          <w:lang w:val="en-US" w:eastAsia="zh-CN"/>
        </w:rPr>
        <w:t>承包人</w:t>
      </w:r>
      <w:r>
        <w:rPr>
          <w:rFonts w:hint="eastAsia" w:ascii="仿宋" w:hAnsi="仿宋" w:eastAsia="仿宋" w:cs="仿宋"/>
          <w:color w:val="auto"/>
          <w:sz w:val="24"/>
          <w:szCs w:val="24"/>
          <w:highlight w:val="none"/>
        </w:rPr>
        <w:t>必须承担现场所有原有地质情况的风险，报价前自行物探并保证其综合报价已包括该风险因素。承包人施工前必须采用人工开挖的方式对现有管线进行核实，应该以确保不对管线造成伤害，因承包人未能完全确定管线确切位置及其他原因造成施工开挖对管线造成的破坏由承包人承担相关责任。</w:t>
      </w:r>
    </w:p>
    <w:p w14:paraId="5C03FD65">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施工临时用水、电由</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提供接驳点，承包人自行按需接驳，相关水、电费由承包人向供水、供电局缴纳。中标后，</w:t>
      </w:r>
      <w:r>
        <w:rPr>
          <w:rFonts w:hint="eastAsia" w:ascii="仿宋" w:hAnsi="仿宋" w:eastAsia="仿宋" w:cs="仿宋"/>
          <w:color w:val="auto"/>
          <w:sz w:val="24"/>
          <w:szCs w:val="24"/>
          <w:highlight w:val="none"/>
          <w:lang w:val="en-US" w:eastAsia="zh-CN"/>
        </w:rPr>
        <w:t>发、承包</w:t>
      </w:r>
      <w:r>
        <w:rPr>
          <w:rFonts w:hint="eastAsia" w:ascii="仿宋" w:hAnsi="仿宋" w:eastAsia="仿宋" w:cs="仿宋"/>
          <w:color w:val="auto"/>
          <w:sz w:val="24"/>
          <w:szCs w:val="24"/>
          <w:highlight w:val="none"/>
        </w:rPr>
        <w:t>双方签订水电费委托支付协议，承包人每月按时缴纳水电费。</w:t>
      </w:r>
    </w:p>
    <w:p w14:paraId="30BA4FD4">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开工初期，发包人提供的施工临时用电可能存在未接通的情况，承包人自行采用发电机供电，并安装电表，发电机台班有关费用承包人需在总报价中综合考虑，发电机供发电增加费按下列计算方式计算：按现场实际签证度数*1.2元/度计算，若不安装电表，则不予计取发电机增加费。要求：在临电正式供应前，测算施工中所需的各种用电设备及其用电功率，从而配备符合工程施工需要的发电机或发电机组，满足正常的工程进度需求。</w:t>
      </w:r>
    </w:p>
    <w:p w14:paraId="2CB1FDD2">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rPr>
        <w:t>负责</w:t>
      </w:r>
      <w:r>
        <w:rPr>
          <w:rFonts w:hint="eastAsia" w:ascii="仿宋" w:hAnsi="仿宋" w:eastAsia="仿宋" w:cs="仿宋"/>
          <w:color w:val="auto"/>
          <w:sz w:val="24"/>
          <w:szCs w:val="24"/>
          <w:highlight w:val="none"/>
          <w:lang w:val="en-US" w:eastAsia="zh-CN"/>
        </w:rPr>
        <w:t>总承包管理</w:t>
      </w:r>
      <w:r>
        <w:rPr>
          <w:rFonts w:hint="eastAsia" w:ascii="仿宋" w:hAnsi="仿宋" w:eastAsia="仿宋" w:cs="仿宋"/>
          <w:color w:val="auto"/>
          <w:sz w:val="24"/>
          <w:szCs w:val="24"/>
          <w:highlight w:val="none"/>
        </w:rPr>
        <w:t>配合服务：</w:t>
      </w:r>
      <w:r>
        <w:rPr>
          <w:rFonts w:hint="eastAsia" w:ascii="仿宋" w:hAnsi="仿宋" w:eastAsia="仿宋" w:cs="仿宋"/>
          <w:color w:val="auto"/>
          <w:sz w:val="24"/>
          <w:szCs w:val="24"/>
          <w:highlight w:val="none"/>
          <w:lang w:val="en-US" w:eastAsia="zh-CN"/>
        </w:rPr>
        <w:t>具体管理配合服务内容详见附件十五《总承包管理配合服务内容》。</w:t>
      </w:r>
      <w:r>
        <w:rPr>
          <w:rFonts w:hint="eastAsia" w:ascii="仿宋" w:hAnsi="仿宋" w:eastAsia="仿宋" w:cs="仿宋"/>
          <w:color w:val="auto"/>
          <w:sz w:val="24"/>
          <w:szCs w:val="24"/>
          <w:highlight w:val="none"/>
        </w:rPr>
        <w:t>对由发包人另行发包的</w:t>
      </w:r>
      <w:r>
        <w:rPr>
          <w:rFonts w:hint="eastAsia" w:ascii="仿宋" w:hAnsi="仿宋" w:eastAsia="仿宋" w:cs="仿宋"/>
          <w:color w:val="auto"/>
          <w:sz w:val="24"/>
          <w:szCs w:val="24"/>
          <w:highlight w:val="none"/>
          <w:lang w:val="en-US" w:eastAsia="zh-CN"/>
        </w:rPr>
        <w:t>专业承包</w:t>
      </w:r>
      <w:r>
        <w:rPr>
          <w:rFonts w:hint="eastAsia" w:ascii="仿宋" w:hAnsi="仿宋" w:eastAsia="仿宋" w:cs="仿宋"/>
          <w:color w:val="auto"/>
          <w:sz w:val="24"/>
          <w:szCs w:val="24"/>
          <w:highlight w:val="none"/>
        </w:rPr>
        <w:t>工程提供配合工作，包括但不限于提供场地和使用临时设施的配合工作、提供供水供电接驳点、提供垂直运输、垃圾清运等工作；负责协调施工过程中的相关职能部门及周边居民,包括且不限于:街道居委、公安派出所、交通部门、质安监、建管、城管等；</w:t>
      </w:r>
      <w:r>
        <w:rPr>
          <w:rFonts w:hint="eastAsia" w:ascii="仿宋" w:hAnsi="仿宋" w:eastAsia="仿宋" w:cs="仿宋"/>
          <w:color w:val="auto"/>
          <w:sz w:val="24"/>
          <w:szCs w:val="24"/>
          <w:highlight w:val="none"/>
          <w:lang w:val="en-US" w:eastAsia="zh-CN"/>
        </w:rPr>
        <w:t>专业承包人进场后需与承包人签署《</w:t>
      </w:r>
      <w:bookmarkStart w:id="53" w:name="_Toc467678057"/>
      <w:bookmarkStart w:id="54" w:name="_Toc468551158"/>
      <w:bookmarkStart w:id="55" w:name="_Toc639"/>
      <w:bookmarkStart w:id="56" w:name="_Toc467163719"/>
      <w:bookmarkStart w:id="57" w:name="_Toc468385139"/>
      <w:bookmarkStart w:id="58" w:name="_Toc468443366"/>
      <w:bookmarkStart w:id="59" w:name="_Toc24170"/>
      <w:bookmarkStart w:id="60" w:name="_Toc478305540"/>
      <w:bookmarkStart w:id="61" w:name="_Toc9896"/>
      <w:bookmarkStart w:id="62" w:name="_Toc310233689"/>
      <w:bookmarkStart w:id="63" w:name="_Toc467830930"/>
      <w:r>
        <w:rPr>
          <w:rFonts w:hint="eastAsia" w:ascii="仿宋" w:hAnsi="仿宋" w:eastAsia="仿宋" w:cs="仿宋"/>
          <w:color w:val="auto"/>
          <w:sz w:val="24"/>
          <w:szCs w:val="24"/>
          <w:highlight w:val="none"/>
          <w:lang w:val="en-US" w:eastAsia="zh-CN"/>
        </w:rPr>
        <w:t>施工总承包管理配合协议</w:t>
      </w:r>
      <w:bookmarkEnd w:id="53"/>
      <w:bookmarkEnd w:id="54"/>
      <w:bookmarkEnd w:id="55"/>
      <w:bookmarkEnd w:id="56"/>
      <w:bookmarkEnd w:id="57"/>
      <w:bookmarkEnd w:id="58"/>
      <w:bookmarkEnd w:id="59"/>
      <w:bookmarkEnd w:id="60"/>
      <w:bookmarkEnd w:id="61"/>
      <w:bookmarkEnd w:id="62"/>
      <w:bookmarkEnd w:id="63"/>
      <w:r>
        <w:rPr>
          <w:rFonts w:hint="eastAsia" w:ascii="仿宋" w:hAnsi="仿宋" w:eastAsia="仿宋" w:cs="仿宋"/>
          <w:color w:val="auto"/>
          <w:sz w:val="24"/>
          <w:szCs w:val="24"/>
          <w:highlight w:val="none"/>
          <w:lang w:val="en-US" w:eastAsia="zh-CN"/>
        </w:rPr>
        <w:t>》、《安全生产、消防保卫与工程资料管理协议书》。</w:t>
      </w:r>
    </w:p>
    <w:p w14:paraId="4A52308E">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负责办理工程开工及验收所需的各项手续，包括但不限于办理建设工程施工许可证、施工建设工程质量监督登记、建设工程安全监督登记、缴交劳动保证金手续(若有)、办理施工报建阶段及竣工验收阶段的行政主管部门审批、专项报建（消防、绿色建筑等）、施工合同备案手续、临时设施设置、施工占道手续、路口开设、负责办理建筑废弃物处置证、余泥排放证、排污手续、排水接驳（含临时）、水质监测、排水许可证、排污口规范化、环保检测、节能备案、</w:t>
      </w:r>
      <w:r>
        <w:rPr>
          <w:rFonts w:hint="eastAsia" w:ascii="仿宋" w:hAnsi="仿宋" w:eastAsia="仿宋" w:cs="仿宋"/>
          <w:color w:val="auto"/>
          <w:sz w:val="24"/>
          <w:szCs w:val="24"/>
          <w:highlight w:val="none"/>
          <w:lang w:val="en-US" w:eastAsia="zh-CN"/>
        </w:rPr>
        <w:t>消防检测验收、</w:t>
      </w:r>
      <w:r>
        <w:rPr>
          <w:rFonts w:hint="eastAsia" w:ascii="仿宋" w:hAnsi="仿宋" w:eastAsia="仿宋" w:cs="仿宋"/>
          <w:color w:val="auto"/>
          <w:sz w:val="24"/>
          <w:szCs w:val="24"/>
          <w:highlight w:val="none"/>
        </w:rPr>
        <w:t>（消防报审、验收、出证）；完成消防报建备案工作及与当地消防审批、验收审批、出证部门进行相关沟通工作。负责本工程所有消防设施安装完工后，整个项目(包括建筑、装修、机电各系统相关专业)的消防调试、试运转、验收、出证工作，包括最终取得消防验收合格证及项目竣工验收备案、联合验收的消防验收。组织本项目的验收备案和工程资料汇总及整理归档工作、完成施工其它相关工作、负责施工过程中的相关职能部门及物业单位、楼栋管理单位的协调，周边居民施工期交通疏解等，除由发包人缴交的行政管理费用外，相关费用已包含在合同总价中；完成并配合相关部门结（决）算审计、工程保修等工作；</w:t>
      </w:r>
    </w:p>
    <w:p w14:paraId="2E7A788C">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承包人</w:t>
      </w:r>
      <w:r>
        <w:rPr>
          <w:rFonts w:hint="eastAsia" w:ascii="仿宋" w:hAnsi="仿宋" w:eastAsia="仿宋" w:cs="仿宋"/>
          <w:color w:val="auto"/>
          <w:sz w:val="24"/>
          <w:szCs w:val="24"/>
          <w:highlight w:val="none"/>
        </w:rPr>
        <w:t>负责施工期间至移交前的场地管理、保安、保洁、防噪音、防扬尘及绿化养护等管理工作；负责设置垃圾池，</w:t>
      </w:r>
      <w:r>
        <w:rPr>
          <w:rFonts w:hint="eastAsia" w:ascii="仿宋" w:hAnsi="仿宋" w:eastAsia="仿宋" w:cs="仿宋"/>
          <w:color w:val="auto"/>
          <w:sz w:val="24"/>
          <w:szCs w:val="24"/>
          <w:highlight w:val="none"/>
          <w:lang w:val="en-US" w:eastAsia="zh-CN"/>
        </w:rPr>
        <w:t>专业承包工程</w:t>
      </w:r>
      <w:r>
        <w:rPr>
          <w:rFonts w:hint="eastAsia" w:ascii="仿宋" w:hAnsi="仿宋" w:eastAsia="仿宋" w:cs="仿宋"/>
          <w:color w:val="auto"/>
          <w:sz w:val="24"/>
          <w:szCs w:val="24"/>
          <w:highlight w:val="none"/>
        </w:rPr>
        <w:t>单位将施工垃圾统一放置到垃圾池，由承包人负责全部垃圾的外运工作；负责设置施工污水收集过滤系统，保证污水排放不得影响周边环境；本项目竣备验收通过后</w:t>
      </w:r>
      <w:r>
        <w:rPr>
          <w:rFonts w:hint="eastAsia" w:ascii="仿宋" w:hAnsi="仿宋" w:eastAsia="仿宋" w:cs="仿宋"/>
          <w:color w:val="auto"/>
          <w:sz w:val="24"/>
          <w:szCs w:val="24"/>
          <w:highlight w:val="none"/>
          <w:lang w:val="en-US" w:eastAsia="zh-CN"/>
        </w:rPr>
        <w:t>至移交运营公司前</w:t>
      </w:r>
      <w:r>
        <w:rPr>
          <w:rFonts w:hint="eastAsia" w:ascii="仿宋" w:hAnsi="仿宋" w:eastAsia="仿宋" w:cs="仿宋"/>
          <w:color w:val="auto"/>
          <w:sz w:val="24"/>
          <w:szCs w:val="24"/>
          <w:highlight w:val="none"/>
        </w:rPr>
        <w:t>的场地、工程的照管、维护工作由承包人承担</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看管人数应满足工作要求。</w:t>
      </w:r>
    </w:p>
    <w:p w14:paraId="70665432">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rPr>
        <w:t>项目区域内的场地围蔽施工及本合同项下全部工程移交前的保修维护工作（该部分费用包含在承包人合同价款中）</w:t>
      </w:r>
      <w:r>
        <w:rPr>
          <w:rFonts w:hint="eastAsia" w:ascii="仿宋" w:hAnsi="仿宋" w:eastAsia="仿宋" w:cs="仿宋"/>
          <w:color w:val="auto"/>
          <w:sz w:val="24"/>
          <w:szCs w:val="24"/>
          <w:highlight w:val="none"/>
          <w:lang w:eastAsia="zh-CN"/>
        </w:rPr>
        <w:t>。</w:t>
      </w:r>
    </w:p>
    <w:p w14:paraId="7B93043C">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负责做好迎检、按政府要求的开工仪式，封顶、竣工和交付仪式等工作；</w:t>
      </w:r>
    </w:p>
    <w:p w14:paraId="4FBE07C1">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绿色施工需符合管理、环保、节材节水、防尘的要求：1、施工管理要求；2、环境保护的要求；3、节材节水；4、防尘的要求。</w:t>
      </w:r>
    </w:p>
    <w:p w14:paraId="6338B097">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承包人需负责做好</w:t>
      </w:r>
      <w:r>
        <w:rPr>
          <w:rFonts w:hint="eastAsia" w:ascii="仿宋" w:hAnsi="仿宋" w:eastAsia="仿宋" w:cs="仿宋"/>
          <w:color w:val="auto"/>
          <w:sz w:val="24"/>
          <w:szCs w:val="24"/>
          <w:highlight w:val="none"/>
          <w:lang w:val="en-US" w:eastAsia="zh-CN"/>
        </w:rPr>
        <w:t>自行施工</w:t>
      </w:r>
      <w:r>
        <w:rPr>
          <w:rFonts w:hint="eastAsia" w:ascii="仿宋" w:hAnsi="仿宋" w:eastAsia="仿宋" w:cs="仿宋"/>
          <w:color w:val="auto"/>
          <w:sz w:val="24"/>
          <w:szCs w:val="24"/>
          <w:highlight w:val="none"/>
        </w:rPr>
        <w:t>范围</w:t>
      </w:r>
      <w:r>
        <w:rPr>
          <w:rFonts w:hint="eastAsia" w:ascii="仿宋" w:hAnsi="仿宋" w:eastAsia="仿宋" w:cs="仿宋"/>
          <w:color w:val="auto"/>
          <w:sz w:val="24"/>
          <w:szCs w:val="24"/>
          <w:highlight w:val="none"/>
          <w:lang w:val="en-US" w:eastAsia="zh-CN"/>
        </w:rPr>
        <w:t>内</w:t>
      </w:r>
      <w:r>
        <w:rPr>
          <w:rFonts w:hint="eastAsia" w:ascii="仿宋" w:hAnsi="仿宋" w:eastAsia="仿宋" w:cs="仿宋"/>
          <w:color w:val="auto"/>
          <w:sz w:val="24"/>
          <w:szCs w:val="24"/>
          <w:highlight w:val="none"/>
        </w:rPr>
        <w:t>的各专业工程资料，以及</w:t>
      </w:r>
      <w:r>
        <w:rPr>
          <w:rFonts w:hint="eastAsia" w:ascii="仿宋" w:hAnsi="仿宋" w:eastAsia="仿宋" w:cs="仿宋"/>
          <w:color w:val="auto"/>
          <w:sz w:val="24"/>
          <w:szCs w:val="24"/>
          <w:highlight w:val="none"/>
          <w:lang w:val="en-US" w:eastAsia="zh-CN"/>
        </w:rPr>
        <w:t>各专业承包工程</w:t>
      </w:r>
      <w:r>
        <w:rPr>
          <w:rFonts w:hint="eastAsia" w:ascii="仿宋" w:hAnsi="仿宋" w:eastAsia="仿宋" w:cs="仿宋"/>
          <w:color w:val="auto"/>
          <w:sz w:val="24"/>
          <w:szCs w:val="24"/>
          <w:highlight w:val="none"/>
        </w:rPr>
        <w:t>资料的归档工作，包含</w:t>
      </w:r>
      <w:r>
        <w:rPr>
          <w:rFonts w:hint="eastAsia" w:ascii="仿宋" w:hAnsi="仿宋" w:eastAsia="仿宋" w:cs="仿宋"/>
          <w:color w:val="auto"/>
          <w:sz w:val="24"/>
          <w:szCs w:val="24"/>
          <w:highlight w:val="none"/>
          <w:lang w:val="en-US" w:eastAsia="zh-CN"/>
        </w:rPr>
        <w:t>对各专业承包工程</w:t>
      </w:r>
      <w:r>
        <w:rPr>
          <w:rFonts w:hint="eastAsia" w:ascii="仿宋" w:hAnsi="仿宋" w:eastAsia="仿宋" w:cs="仿宋"/>
          <w:color w:val="auto"/>
          <w:sz w:val="24"/>
          <w:szCs w:val="24"/>
          <w:highlight w:val="none"/>
        </w:rPr>
        <w:t>资料</w:t>
      </w:r>
      <w:r>
        <w:rPr>
          <w:rFonts w:hint="eastAsia" w:ascii="仿宋" w:hAnsi="仿宋" w:eastAsia="仿宋" w:cs="仿宋"/>
          <w:color w:val="auto"/>
          <w:sz w:val="24"/>
          <w:szCs w:val="24"/>
          <w:highlight w:val="none"/>
          <w:lang w:val="en-US" w:eastAsia="zh-CN"/>
        </w:rPr>
        <w:t>进行</w:t>
      </w:r>
      <w:r>
        <w:rPr>
          <w:rFonts w:hint="eastAsia" w:ascii="仿宋" w:hAnsi="仿宋" w:eastAsia="仿宋" w:cs="仿宋"/>
          <w:color w:val="auto"/>
          <w:sz w:val="24"/>
          <w:szCs w:val="24"/>
          <w:highlight w:val="none"/>
        </w:rPr>
        <w:t>签名（指承包人的签名）、盖章（指承包人的章）、检查、督促、修改等，包括但不限于：组织档案验收并获得档案管的验收证明，结算资料整理汇总、竣工图签审；在本工程范围内工程资料正式移交给</w:t>
      </w:r>
      <w:r>
        <w:rPr>
          <w:rFonts w:hint="eastAsia" w:ascii="仿宋" w:hAnsi="仿宋" w:eastAsia="仿宋" w:cs="仿宋"/>
          <w:color w:val="auto"/>
          <w:sz w:val="24"/>
          <w:szCs w:val="24"/>
          <w:highlight w:val="none"/>
          <w:lang w:val="en-US" w:eastAsia="zh-CN"/>
        </w:rPr>
        <w:t>发包人</w:t>
      </w:r>
      <w:r>
        <w:rPr>
          <w:rFonts w:hint="eastAsia" w:ascii="仿宋" w:hAnsi="仿宋" w:eastAsia="仿宋" w:cs="仿宋"/>
          <w:color w:val="auto"/>
          <w:sz w:val="24"/>
          <w:szCs w:val="24"/>
          <w:highlight w:val="none"/>
        </w:rPr>
        <w:t>及相关建设主管部门之前所产生的费用均包括在承包人合同价款中，不得向分包人收取费用；</w:t>
      </w:r>
    </w:p>
    <w:p w14:paraId="5E299A35">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施工图纸如分阶段提供，承包人应提前做好相应的施工准备工作，因施工准备不充分，图纸下发后不能及时展开施工造成的工期延误，发包人不承担责任。</w:t>
      </w:r>
    </w:p>
    <w:p w14:paraId="3E2EBD0A">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交付发包人前，承包单位负责全部电梯、入户大堂及地下室大堂使用防火板进行墙面、地面保护后移交运营，具体保护样式参照附件：成品保护，该费用在报价中综合考虑。</w:t>
      </w:r>
    </w:p>
    <w:p w14:paraId="0E32406E">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场地内的遗留垃圾及构筑物，由承包人组织清理外运，该部分费用已综合考虑，不另外计取。</w:t>
      </w:r>
    </w:p>
    <w:p w14:paraId="18A721BC">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default" w:ascii="仿宋" w:hAnsi="仿宋" w:eastAsia="仿宋" w:cs="仿宋"/>
          <w:color w:val="auto"/>
          <w:sz w:val="24"/>
          <w:szCs w:val="24"/>
          <w:highlight w:val="none"/>
          <w:lang w:val="en-US" w:eastAsia="zh-CN"/>
        </w:rPr>
        <w:t>工程材料、设备的抽查、检验结果与前款约定不符的，总监理工程师必须扩大对该批材料的抽查范围、增加数量抽检，同时，涉及工程结构安全和使用功能的检测必须委托有资质的第三方检测试验单位进行检测试验，所产生的相关检测费用由承包人承担。</w:t>
      </w:r>
    </w:p>
    <w:p w14:paraId="370DC75B">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default" w:ascii="仿宋" w:hAnsi="仿宋" w:eastAsia="仿宋" w:cs="仿宋"/>
          <w:color w:val="auto"/>
          <w:sz w:val="24"/>
          <w:szCs w:val="24"/>
          <w:highlight w:val="none"/>
          <w:lang w:val="en-US" w:eastAsia="zh-CN"/>
        </w:rPr>
      </w:pPr>
      <w:r>
        <w:rPr>
          <w:rFonts w:hint="default" w:ascii="仿宋" w:hAnsi="仿宋" w:eastAsia="仿宋" w:cs="仿宋"/>
          <w:color w:val="auto"/>
          <w:sz w:val="24"/>
          <w:szCs w:val="24"/>
          <w:highlight w:val="none"/>
          <w:lang w:val="en-US" w:eastAsia="zh-CN"/>
        </w:rPr>
        <w:t>承包人应于工程竣工验收合格之日起15天内按要求提供相关资料，整理汇编成工程移交手册，协助项目产权管理单位尽快熟悉工程项目各部分（建筑单体、小区市政、周边管线等）、各系统（电梯、消防、空调、供水、供电、弱电等）的情况，为项目产权管理单位的接收、使用、维护、管理作准备</w:t>
      </w:r>
      <w:r>
        <w:rPr>
          <w:rFonts w:hint="eastAsia" w:ascii="仿宋" w:hAnsi="仿宋" w:eastAsia="仿宋" w:cs="仿宋"/>
          <w:color w:val="auto"/>
          <w:sz w:val="24"/>
          <w:szCs w:val="24"/>
          <w:highlight w:val="none"/>
          <w:lang w:val="en-US" w:eastAsia="zh-CN"/>
        </w:rPr>
        <w:t>。</w:t>
      </w:r>
    </w:p>
    <w:p w14:paraId="44C61125">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项目中标后，询价人要求报价人委派的主要负责人接受发包人的面试，面试主要内容包括：</w:t>
      </w:r>
    </w:p>
    <w:p w14:paraId="30E45E66">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1. 了解项目经理及主要技术负责人对项目的环境、规模、形式等的熟悉程度；</w:t>
      </w:r>
    </w:p>
    <w:p w14:paraId="45B81A19">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2. 了解拟投入项目的管理架构、人员技术水平、工程经验以及各自的职权范围；</w:t>
      </w:r>
    </w:p>
    <w:p w14:paraId="29DD2410">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3. 了解项目经理对项目实施的总体设想；</w:t>
      </w:r>
    </w:p>
    <w:p w14:paraId="54486D54">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4.  项目经理分析本项目的技术难点是什么，如何解决；</w:t>
      </w:r>
    </w:p>
    <w:p w14:paraId="15A8DEB6">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5.  对项目日后发生问题的预测以及应对处理方法等。</w:t>
      </w:r>
    </w:p>
    <w:p w14:paraId="7F9930A6">
      <w:pPr>
        <w:spacing w:line="360" w:lineRule="auto"/>
        <w:ind w:firstLine="523" w:firstLineChars="218"/>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发包人组织有关人员对项目</w:t>
      </w:r>
      <w:r>
        <w:rPr>
          <w:rFonts w:hint="eastAsia" w:ascii="仿宋" w:hAnsi="仿宋" w:eastAsia="仿宋" w:cs="仿宋"/>
          <w:color w:val="auto"/>
          <w:sz w:val="24"/>
          <w:szCs w:val="24"/>
          <w:highlight w:val="none"/>
          <w:lang w:val="en-US" w:eastAsia="zh-CN"/>
        </w:rPr>
        <w:t>主要负责人</w:t>
      </w:r>
      <w:r>
        <w:rPr>
          <w:rFonts w:hint="eastAsia" w:ascii="仿宋" w:hAnsi="仿宋" w:eastAsia="仿宋" w:cs="仿宋"/>
          <w:color w:val="auto"/>
          <w:sz w:val="24"/>
          <w:szCs w:val="24"/>
          <w:highlight w:val="none"/>
        </w:rPr>
        <w:t>进行面试并进行评分，承包人应给予足够重视，如果发包人进行面试后认为拟报项目经理</w:t>
      </w:r>
      <w:r>
        <w:rPr>
          <w:rFonts w:hint="eastAsia" w:ascii="仿宋" w:hAnsi="仿宋" w:eastAsia="仿宋" w:cs="仿宋"/>
          <w:color w:val="auto"/>
          <w:sz w:val="24"/>
          <w:szCs w:val="24"/>
          <w:highlight w:val="none"/>
          <w:lang w:val="en-US" w:eastAsia="zh-CN"/>
        </w:rPr>
        <w:t>及其他主要负责人</w:t>
      </w:r>
      <w:r>
        <w:rPr>
          <w:rFonts w:hint="eastAsia" w:ascii="仿宋" w:hAnsi="仿宋" w:eastAsia="仿宋" w:cs="仿宋"/>
          <w:color w:val="auto"/>
          <w:sz w:val="24"/>
          <w:szCs w:val="24"/>
          <w:highlight w:val="none"/>
        </w:rPr>
        <w:t xml:space="preserve">不合格，承包人应调整，连续两次项目经理面试不合格按一般违约处理。 </w:t>
      </w:r>
    </w:p>
    <w:p w14:paraId="267C028B">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机电安装工程的各类管道、设施应设置永久性标识标牌，如：风管、水管、桥架应文字标识管道名称（回路）与使用功能，字迹应清晰不易脱落。各种电线电缆的线路编号、型号应在首段、尾端、转弯、分支端、人孔及井内、水平每50米处、垂直时每层，设置永久性标志牌，标志牌规格须统一，塑料制成，尼龙绑扎带或同等材料固定线缆上。配电箱（柜）编号清晰不易脱落，箱（柜）内应按回路用途做好标识标签。</w:t>
      </w:r>
    </w:p>
    <w:p w14:paraId="7DAB6111">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竣工验收合格之日至发包人要求交付之日为照管期，承包人承担照管工程责任，该工作在本合同范围内，需总包在报价时综合考虑，不另外计取费用。</w:t>
      </w:r>
    </w:p>
    <w:p w14:paraId="320C2EBE">
      <w:pPr>
        <w:spacing w:line="360" w:lineRule="auto"/>
        <w:ind w:firstLine="523" w:firstLineChars="218"/>
        <w:rPr>
          <w:rFonts w:hint="eastAsia" w:ascii="仿宋" w:hAnsi="仿宋" w:eastAsia="仿宋" w:cs="仿宋"/>
          <w:color w:val="auto"/>
          <w:sz w:val="24"/>
          <w:szCs w:val="24"/>
          <w:highlight w:val="none"/>
          <w:lang w:val="en-US" w:eastAsia="zh-CN"/>
        </w:rPr>
      </w:pPr>
      <w:r>
        <w:rPr>
          <w:rFonts w:hint="eastAsia" w:ascii="仿宋" w:hAnsi="仿宋" w:eastAsia="仿宋" w:cs="仿宋"/>
          <w:color w:val="auto"/>
          <w:sz w:val="24"/>
          <w:szCs w:val="24"/>
          <w:highlight w:val="none"/>
          <w:lang w:val="en-US" w:eastAsia="zh-CN"/>
        </w:rPr>
        <w:t>以上“二、工程内容与承包范围”所列条款，除本合同另有明确规定外，承包人应在报价中充分考虑其履行所需的所有费用，发包人不再承担任何其他费用。</w:t>
      </w:r>
    </w:p>
    <w:p w14:paraId="07687146">
      <w:pPr>
        <w:spacing w:line="360" w:lineRule="auto"/>
        <w:ind w:firstLine="523" w:firstLineChars="218"/>
        <w:rPr>
          <w:rFonts w:hint="eastAsia" w:ascii="仿宋" w:hAnsi="仿宋" w:eastAsia="仿宋" w:cs="仿宋"/>
          <w:color w:val="auto"/>
          <w:highlight w:val="none"/>
          <w:u w:val="single"/>
          <w:lang w:eastAsia="zh-CN"/>
        </w:rPr>
      </w:pPr>
    </w:p>
    <w:p w14:paraId="4CCE31C4">
      <w:pPr>
        <w:spacing w:line="360" w:lineRule="auto"/>
        <w:outlineLvl w:val="1"/>
        <w:rPr>
          <w:rFonts w:hint="eastAsia" w:ascii="仿宋" w:hAnsi="仿宋" w:eastAsia="仿宋" w:cs="仿宋"/>
          <w:b/>
          <w:bCs/>
          <w:color w:val="auto"/>
          <w:highlight w:val="none"/>
          <w:lang w:eastAsia="zh-CN"/>
        </w:rPr>
      </w:pPr>
      <w:bookmarkStart w:id="64" w:name="_Toc149731414"/>
      <w:bookmarkStart w:id="65" w:name="_Toc2109"/>
      <w:bookmarkStart w:id="66" w:name="_Toc26421"/>
      <w:bookmarkStart w:id="67" w:name="_Toc16927"/>
      <w:bookmarkStart w:id="68" w:name="_Toc13507"/>
      <w:bookmarkStart w:id="69" w:name="_Toc4912"/>
      <w:bookmarkStart w:id="70" w:name="_Toc10785"/>
      <w:bookmarkStart w:id="71" w:name="_Toc8058"/>
      <w:bookmarkStart w:id="72" w:name="_Toc1550"/>
      <w:bookmarkStart w:id="73" w:name="_Toc3799"/>
      <w:bookmarkStart w:id="74" w:name="_Toc24995"/>
      <w:bookmarkStart w:id="75" w:name="_Toc2611"/>
      <w:bookmarkStart w:id="76" w:name="_Toc618"/>
      <w:bookmarkStart w:id="77" w:name="_Toc98"/>
      <w:bookmarkStart w:id="78" w:name="_Toc21050"/>
      <w:bookmarkStart w:id="79" w:name="_Toc7873"/>
      <w:bookmarkStart w:id="80" w:name="_Toc20618"/>
      <w:r>
        <w:rPr>
          <w:rFonts w:hint="eastAsia" w:ascii="仿宋" w:hAnsi="仿宋" w:eastAsia="仿宋" w:cs="仿宋"/>
          <w:b/>
          <w:bCs/>
          <w:color w:val="auto"/>
          <w:highlight w:val="none"/>
          <w:lang w:eastAsia="zh-CN"/>
        </w:rPr>
        <w:t>★三、质量标准和要求</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1D5813E8">
      <w:pPr>
        <w:kinsoku w:val="0"/>
        <w:wordWrap w:val="0"/>
        <w:spacing w:line="360" w:lineRule="auto"/>
        <w:ind w:firstLine="566" w:firstLineChars="236"/>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勘察设计标准和要求：满足设计任务书要求，符合《建设工程质量管理条例》、《建筑工程设计文件编制深度规定（2016年版）》等国家及地方有关工程设计管理法规和规章，达到行业相关规范技术标准等要求。</w:t>
      </w:r>
    </w:p>
    <w:p w14:paraId="467EF048">
      <w:pPr>
        <w:kinsoku w:val="0"/>
        <w:wordWrap w:val="0"/>
        <w:spacing w:line="360" w:lineRule="auto"/>
        <w:ind w:firstLine="566" w:firstLineChars="236"/>
        <w:rPr>
          <w:rFonts w:hint="eastAsia" w:ascii="仿宋" w:hAnsi="仿宋" w:eastAsia="仿宋" w:cs="仿宋"/>
          <w:color w:val="auto"/>
          <w:highlight w:val="none"/>
          <w:lang w:eastAsia="zh-CN"/>
        </w:rPr>
      </w:pPr>
      <w:r>
        <w:rPr>
          <w:rFonts w:hint="eastAsia" w:ascii="仿宋" w:hAnsi="仿宋" w:eastAsia="仿宋" w:cs="仿宋"/>
          <w:color w:val="auto"/>
          <w:highlight w:val="none"/>
          <w:lang w:val="en-US" w:eastAsia="zh-CN"/>
        </w:rPr>
        <w:t>2</w:t>
      </w:r>
      <w:r>
        <w:rPr>
          <w:rFonts w:hint="eastAsia" w:ascii="仿宋" w:hAnsi="仿宋" w:eastAsia="仿宋" w:cs="仿宋"/>
          <w:color w:val="auto"/>
          <w:highlight w:val="none"/>
          <w:lang w:eastAsia="zh-CN"/>
        </w:rPr>
        <w:t>、工程质量标准和要求</w:t>
      </w:r>
      <w:r>
        <w:rPr>
          <w:rFonts w:hint="eastAsia" w:ascii="仿宋" w:hAnsi="仿宋" w:eastAsia="仿宋"/>
          <w:color w:val="auto"/>
          <w:highlight w:val="none"/>
          <w:lang w:eastAsia="zh-CN"/>
        </w:rPr>
        <w:t>（施工质量</w:t>
      </w:r>
      <w:r>
        <w:rPr>
          <w:rFonts w:ascii="仿宋" w:hAnsi="仿宋" w:eastAsia="仿宋"/>
          <w:color w:val="auto"/>
          <w:highlight w:val="none"/>
          <w:lang w:eastAsia="zh-CN"/>
        </w:rPr>
        <w:t>及项目成效</w:t>
      </w:r>
      <w:r>
        <w:rPr>
          <w:rFonts w:hint="eastAsia" w:ascii="仿宋" w:hAnsi="仿宋" w:eastAsia="仿宋"/>
          <w:color w:val="auto"/>
          <w:highlight w:val="none"/>
          <w:lang w:eastAsia="zh-CN"/>
        </w:rPr>
        <w:t>目标</w:t>
      </w:r>
      <w:r>
        <w:rPr>
          <w:rFonts w:ascii="仿宋" w:hAnsi="仿宋" w:eastAsia="仿宋"/>
          <w:color w:val="auto"/>
          <w:highlight w:val="none"/>
          <w:lang w:eastAsia="zh-CN"/>
        </w:rPr>
        <w:t>）</w:t>
      </w:r>
      <w:r>
        <w:rPr>
          <w:rFonts w:hint="eastAsia" w:ascii="仿宋" w:hAnsi="仿宋" w:eastAsia="仿宋" w:cs="仿宋"/>
          <w:color w:val="auto"/>
          <w:highlight w:val="none"/>
          <w:lang w:eastAsia="zh-CN"/>
        </w:rPr>
        <w:t>：分部工程验收合格率100%，项目所涉及的政府专项验收全部通过，单位工程一次竣工验收合格，质量等级评定合格或（以上标准）。</w:t>
      </w:r>
    </w:p>
    <w:p w14:paraId="680A6BE4">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7、其他质量要求：除满足上述要求外还需满足,附件四-1、附件四-2:成品保护、附件九:绿化养护标准要求</w:t>
      </w:r>
    </w:p>
    <w:p w14:paraId="72DA0814">
      <w:pPr>
        <w:kinsoku w:val="0"/>
        <w:wordWrap w:val="0"/>
        <w:spacing w:line="360" w:lineRule="auto"/>
        <w:ind w:firstLine="566" w:firstLineChars="236"/>
        <w:rPr>
          <w:rFonts w:hint="eastAsia" w:ascii="仿宋" w:hAnsi="仿宋" w:eastAsia="仿宋" w:cs="仿宋"/>
          <w:color w:val="auto"/>
          <w:highlight w:val="none"/>
          <w:lang w:eastAsia="zh-CN"/>
        </w:rPr>
      </w:pPr>
    </w:p>
    <w:p w14:paraId="3174E9F1">
      <w:pPr>
        <w:spacing w:line="360" w:lineRule="auto"/>
        <w:outlineLvl w:val="1"/>
        <w:rPr>
          <w:rFonts w:hint="eastAsia" w:ascii="仿宋" w:hAnsi="仿宋" w:eastAsia="仿宋" w:cs="仿宋"/>
          <w:b/>
          <w:bCs/>
          <w:color w:val="auto"/>
          <w:highlight w:val="none"/>
          <w:lang w:eastAsia="zh-CN"/>
        </w:rPr>
      </w:pPr>
      <w:bookmarkStart w:id="81" w:name="_Toc16657"/>
      <w:bookmarkStart w:id="82" w:name="_Toc25327"/>
      <w:bookmarkStart w:id="83" w:name="_Toc31678"/>
      <w:bookmarkStart w:id="84" w:name="_Toc562"/>
      <w:bookmarkStart w:id="85" w:name="_Toc7203"/>
      <w:bookmarkStart w:id="86" w:name="_Toc20636"/>
      <w:bookmarkStart w:id="87" w:name="_Toc5172"/>
      <w:bookmarkStart w:id="88" w:name="_Toc149731415"/>
      <w:bookmarkStart w:id="89" w:name="_Toc27433"/>
      <w:bookmarkStart w:id="90" w:name="_Toc959"/>
      <w:bookmarkStart w:id="91" w:name="_Toc22678"/>
      <w:bookmarkStart w:id="92" w:name="_Toc18313"/>
      <w:bookmarkStart w:id="93" w:name="_Toc4213"/>
      <w:bookmarkStart w:id="94" w:name="_Toc7618"/>
      <w:bookmarkStart w:id="95" w:name="_Toc23637"/>
      <w:bookmarkStart w:id="96" w:name="_Toc2439"/>
      <w:bookmarkStart w:id="97" w:name="_Toc3507"/>
      <w:r>
        <w:rPr>
          <w:rFonts w:hint="eastAsia" w:ascii="仿宋" w:hAnsi="仿宋" w:eastAsia="仿宋" w:cs="仿宋"/>
          <w:b/>
          <w:bCs/>
          <w:color w:val="auto"/>
          <w:highlight w:val="none"/>
          <w:lang w:eastAsia="zh-CN"/>
        </w:rPr>
        <w:t>四、创优目标</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D3F93FF">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市级工程优质奖；</w:t>
      </w:r>
    </w:p>
    <w:p w14:paraId="3B1D887C">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省级工程优质奖；</w:t>
      </w:r>
    </w:p>
    <w:p w14:paraId="7709D7C8">
      <w:pPr>
        <w:pStyle w:val="26"/>
        <w:kinsoku w:val="0"/>
        <w:wordWrap w:val="0"/>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国家级工程优质奖；</w:t>
      </w:r>
    </w:p>
    <w:p w14:paraId="4FA81296">
      <w:pPr>
        <w:pStyle w:val="26"/>
        <w:ind w:firstLine="480" w:firstLineChars="200"/>
        <w:rPr>
          <w:rFonts w:hint="eastAsia" w:ascii="仿宋" w:hAnsi="仿宋" w:eastAsia="仿宋"/>
          <w:color w:val="auto"/>
          <w:highlight w:val="none"/>
          <w:u w:val="single"/>
          <w:lang w:eastAsia="zh-CN"/>
        </w:rPr>
      </w:pPr>
    </w:p>
    <w:p w14:paraId="7DDDD2F0">
      <w:pPr>
        <w:spacing w:line="360" w:lineRule="auto"/>
        <w:outlineLvl w:val="1"/>
        <w:rPr>
          <w:rFonts w:hint="eastAsia" w:ascii="仿宋" w:hAnsi="仿宋" w:eastAsia="仿宋" w:cs="仿宋"/>
          <w:b/>
          <w:bCs/>
          <w:color w:val="auto"/>
          <w:highlight w:val="none"/>
          <w:lang w:eastAsia="zh-CN"/>
        </w:rPr>
      </w:pPr>
      <w:bookmarkStart w:id="98" w:name="_Toc15422"/>
      <w:bookmarkStart w:id="99" w:name="_Toc2653"/>
      <w:bookmarkStart w:id="100" w:name="_Toc10113"/>
      <w:bookmarkStart w:id="101" w:name="_Toc1285"/>
      <w:bookmarkStart w:id="102" w:name="_Toc18776"/>
      <w:bookmarkStart w:id="103" w:name="_Toc9798"/>
      <w:bookmarkStart w:id="104" w:name="_Toc16185"/>
      <w:bookmarkStart w:id="105" w:name="_Toc16458"/>
      <w:bookmarkStart w:id="106" w:name="_Toc10595"/>
      <w:bookmarkStart w:id="107" w:name="_Toc21620"/>
      <w:bookmarkStart w:id="108" w:name="_Toc3809"/>
      <w:bookmarkStart w:id="109" w:name="_Toc20485"/>
      <w:bookmarkStart w:id="110" w:name="_Toc932"/>
      <w:bookmarkStart w:id="111" w:name="_Toc12700"/>
      <w:bookmarkStart w:id="112" w:name="_Toc149731416"/>
      <w:bookmarkStart w:id="113" w:name="_Toc15294"/>
      <w:bookmarkStart w:id="114" w:name="_Toc21695"/>
      <w:r>
        <w:rPr>
          <w:rFonts w:hint="eastAsia" w:ascii="仿宋" w:hAnsi="仿宋" w:eastAsia="仿宋" w:cs="仿宋"/>
          <w:b/>
          <w:bCs/>
          <w:color w:val="auto"/>
          <w:highlight w:val="none"/>
          <w:lang w:eastAsia="zh-CN"/>
        </w:rPr>
        <w:t>五、创文明工地目标</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41F24835">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□市级安全文明绿色施工样板工地；</w:t>
      </w:r>
    </w:p>
    <w:p w14:paraId="06C8FF63">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□省级安全文明示范工地；</w:t>
      </w:r>
    </w:p>
    <w:p w14:paraId="67FA1C2E">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□国家级安全文明工地；</w:t>
      </w:r>
    </w:p>
    <w:p w14:paraId="0117F8C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□广州市建筑业绿色施工示范工程；</w:t>
      </w:r>
    </w:p>
    <w:p w14:paraId="0FB01C53">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□广东省建筑业绿色施工示范工程；</w:t>
      </w:r>
    </w:p>
    <w:p w14:paraId="723B65C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□全国建筑业绿色施工示范工程；</w:t>
      </w:r>
    </w:p>
    <w:p w14:paraId="6BBD8A61">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其它：零死亡、零重伤、零中毒、零火灾、零坍塌、零重大机械事故、零重大财产损失及负面影响事件、零群体事件。改善劳动条件，预防职业病，工地防尘、防毒、防噪音、通风、照明、取暖、降温、防辐射及防物理因素危害等，均符合国家和地方政府管理部门颁布的相关规定。</w:t>
      </w:r>
    </w:p>
    <w:p w14:paraId="61729B1B">
      <w:pPr>
        <w:spacing w:line="360" w:lineRule="auto"/>
        <w:ind w:firstLine="482" w:firstLineChars="200"/>
        <w:rPr>
          <w:rFonts w:hint="eastAsia" w:ascii="仿宋" w:hAnsi="仿宋" w:eastAsia="仿宋" w:cs="仿宋"/>
          <w:b/>
          <w:bCs/>
          <w:color w:val="auto"/>
          <w:highlight w:val="none"/>
          <w:lang w:eastAsia="zh-CN"/>
        </w:rPr>
      </w:pPr>
    </w:p>
    <w:p w14:paraId="04B53BFF">
      <w:pPr>
        <w:spacing w:line="360" w:lineRule="auto"/>
        <w:outlineLvl w:val="1"/>
        <w:rPr>
          <w:rFonts w:hint="eastAsia" w:ascii="仿宋" w:hAnsi="仿宋" w:eastAsia="仿宋" w:cs="仿宋"/>
          <w:b/>
          <w:bCs/>
          <w:color w:val="auto"/>
          <w:highlight w:val="none"/>
          <w:lang w:eastAsia="zh-CN"/>
        </w:rPr>
      </w:pPr>
      <w:bookmarkStart w:id="115" w:name="_Toc30278"/>
      <w:bookmarkStart w:id="116" w:name="_Toc19926"/>
      <w:bookmarkStart w:id="117" w:name="_Toc1096"/>
      <w:bookmarkStart w:id="118" w:name="_Toc795"/>
      <w:bookmarkStart w:id="119" w:name="_Toc149731417"/>
      <w:bookmarkStart w:id="120" w:name="_Toc31416"/>
      <w:bookmarkStart w:id="121" w:name="_Toc9294"/>
      <w:bookmarkStart w:id="122" w:name="_Toc1325"/>
      <w:bookmarkStart w:id="123" w:name="_Toc12002"/>
      <w:bookmarkStart w:id="124" w:name="_Toc864"/>
      <w:bookmarkStart w:id="125" w:name="_Toc16542"/>
      <w:bookmarkStart w:id="126" w:name="_Toc1014"/>
      <w:bookmarkStart w:id="127" w:name="_Toc7291"/>
      <w:bookmarkStart w:id="128" w:name="_Toc9865"/>
      <w:bookmarkStart w:id="129" w:name="_Toc23582"/>
      <w:bookmarkStart w:id="130" w:name="_Toc17020"/>
      <w:bookmarkStart w:id="131" w:name="_Toc8972"/>
      <w:r>
        <w:rPr>
          <w:rFonts w:hint="eastAsia" w:ascii="仿宋" w:hAnsi="仿宋" w:eastAsia="仿宋" w:cs="仿宋"/>
          <w:b/>
          <w:bCs/>
          <w:color w:val="auto"/>
          <w:highlight w:val="none"/>
          <w:lang w:eastAsia="zh-CN"/>
        </w:rPr>
        <w:t>六、职业健康安全管理目标和环境管理目标</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7CB494E">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1、职业健康安全管理目标：</w:t>
      </w:r>
    </w:p>
    <w:p w14:paraId="0CC7FA80">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（1）杜绝发生一般事故等级及以上的伤亡事故且工伤责任事故死亡人数为零。</w:t>
      </w:r>
    </w:p>
    <w:p w14:paraId="6EE1A6B6">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（2）杜绝发生火灾（火情）、舆情、行政处罚、职业病等事故事件。</w:t>
      </w:r>
    </w:p>
    <w:p w14:paraId="61C58662">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2、环境管理目标：</w:t>
      </w:r>
    </w:p>
    <w:p w14:paraId="71C13796">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严格执行《广州市建设工程现场文明施工管理办法》（穗建质〔2008〕937号）、《关于进一步规范建设工程施工现场围蔽的通知》（穗建质〔2008〕1008号）、《广州市住房和城乡建设局等8部门关于印发广州市建设工程扬尘防治“6个100%”管理标准图集（V2.0版）的通知》和《广州市住房和城乡建设局等9部门关于印发广州市建设工程绿色施工围蔽指导图集（V2.0版）的通知 》（穗建质〔2020〕1号）等，杜绝环境破坏、环境污染和水体污染事故等。</w:t>
      </w:r>
    </w:p>
    <w:p w14:paraId="1C7E7B77">
      <w:pPr>
        <w:spacing w:line="360" w:lineRule="auto"/>
        <w:ind w:firstLine="482" w:firstLineChars="200"/>
        <w:rPr>
          <w:rFonts w:hint="eastAsia" w:ascii="仿宋" w:hAnsi="仿宋" w:eastAsia="仿宋" w:cs="仿宋"/>
          <w:b/>
          <w:bCs/>
          <w:color w:val="auto"/>
          <w:highlight w:val="none"/>
          <w:lang w:eastAsia="zh-CN"/>
        </w:rPr>
      </w:pPr>
    </w:p>
    <w:p w14:paraId="3B535561">
      <w:pPr>
        <w:spacing w:line="360" w:lineRule="auto"/>
        <w:outlineLvl w:val="1"/>
        <w:rPr>
          <w:rFonts w:hint="eastAsia" w:ascii="仿宋" w:hAnsi="仿宋" w:eastAsia="仿宋" w:cs="仿宋"/>
          <w:b/>
          <w:bCs/>
          <w:color w:val="auto"/>
          <w:highlight w:val="none"/>
          <w:lang w:eastAsia="zh-CN"/>
        </w:rPr>
      </w:pPr>
      <w:bookmarkStart w:id="132" w:name="_Toc149731418"/>
      <w:bookmarkStart w:id="133" w:name="_Toc3071"/>
      <w:bookmarkStart w:id="134" w:name="_Toc16947"/>
      <w:bookmarkStart w:id="135" w:name="_Toc19662"/>
      <w:bookmarkStart w:id="136" w:name="_Toc30747"/>
      <w:bookmarkStart w:id="137" w:name="_Toc32354"/>
      <w:bookmarkStart w:id="138" w:name="_Toc20112"/>
      <w:bookmarkStart w:id="139" w:name="_Toc5438"/>
      <w:bookmarkStart w:id="140" w:name="_Toc6433"/>
      <w:bookmarkStart w:id="141" w:name="_Toc22136"/>
      <w:bookmarkStart w:id="142" w:name="_Toc27357"/>
      <w:bookmarkStart w:id="143" w:name="_Toc11655"/>
      <w:bookmarkStart w:id="144" w:name="_Toc11824"/>
      <w:bookmarkStart w:id="145" w:name="_Toc7421"/>
      <w:bookmarkStart w:id="146" w:name="_Toc4120"/>
      <w:bookmarkStart w:id="147" w:name="_Toc10312"/>
      <w:bookmarkStart w:id="148" w:name="_Toc14661"/>
      <w:r>
        <w:rPr>
          <w:rFonts w:hint="eastAsia" w:ascii="仿宋" w:hAnsi="仿宋" w:eastAsia="仿宋" w:cs="仿宋"/>
          <w:b/>
          <w:bCs/>
          <w:color w:val="auto"/>
          <w:highlight w:val="none"/>
          <w:lang w:eastAsia="zh-CN"/>
        </w:rPr>
        <w:t>七、合同工期</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06FF3937">
      <w:pPr>
        <w:spacing w:line="360" w:lineRule="auto"/>
        <w:ind w:left="199" w:leftChars="83"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合同</w:t>
      </w:r>
      <w:r>
        <w:rPr>
          <w:rFonts w:ascii="仿宋" w:hAnsi="仿宋" w:eastAsia="仿宋" w:cs="仿宋"/>
          <w:color w:val="auto"/>
          <w:highlight w:val="none"/>
          <w:lang w:eastAsia="zh-CN"/>
        </w:rPr>
        <w:t>工期</w:t>
      </w:r>
      <w:r>
        <w:rPr>
          <w:rFonts w:hint="eastAsia" w:ascii="仿宋" w:hAnsi="仿宋" w:eastAsia="仿宋" w:cs="仿宋"/>
          <w:color w:val="auto"/>
          <w:highlight w:val="none"/>
          <w:lang w:eastAsia="zh-CN"/>
        </w:rPr>
        <w:t xml:space="preserve">总日历天数： </w:t>
      </w:r>
      <w:r>
        <w:rPr>
          <w:rFonts w:hint="eastAsia" w:ascii="仿宋" w:hAnsi="仿宋" w:eastAsia="仿宋" w:cs="仿宋"/>
          <w:color w:val="auto"/>
          <w:highlight w:val="none"/>
          <w:lang w:val="en-US" w:eastAsia="zh-CN"/>
        </w:rPr>
        <w:t>180</w:t>
      </w:r>
      <w:r>
        <w:rPr>
          <w:rFonts w:hint="eastAsia" w:ascii="仿宋" w:hAnsi="仿宋" w:eastAsia="仿宋" w:cs="仿宋"/>
          <w:color w:val="auto"/>
          <w:highlight w:val="none"/>
          <w:lang w:eastAsia="zh-CN"/>
        </w:rPr>
        <w:t>日历天，暂定从 202</w:t>
      </w:r>
      <w:r>
        <w:rPr>
          <w:rFonts w:hint="eastAsia" w:ascii="仿宋" w:hAnsi="仿宋" w:eastAsia="仿宋" w:cs="仿宋"/>
          <w:color w:val="auto"/>
          <w:highlight w:val="none"/>
          <w:lang w:val="en-US" w:eastAsia="zh-CN"/>
        </w:rPr>
        <w:t>6</w:t>
      </w:r>
      <w:r>
        <w:rPr>
          <w:rFonts w:hint="eastAsia" w:ascii="仿宋" w:hAnsi="仿宋" w:eastAsia="仿宋" w:cs="仿宋"/>
          <w:color w:val="auto"/>
          <w:highlight w:val="none"/>
          <w:lang w:eastAsia="zh-CN"/>
        </w:rPr>
        <w:t xml:space="preserve"> 年</w:t>
      </w: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lang w:eastAsia="zh-CN"/>
        </w:rPr>
        <w:t>月</w:t>
      </w:r>
      <w:r>
        <w:rPr>
          <w:rFonts w:hint="eastAsia" w:ascii="仿宋" w:hAnsi="仿宋" w:eastAsia="仿宋" w:cs="仿宋"/>
          <w:color w:val="auto"/>
          <w:highlight w:val="none"/>
          <w:lang w:val="en-US" w:eastAsia="zh-CN"/>
        </w:rPr>
        <w:t>1</w:t>
      </w:r>
      <w:r>
        <w:rPr>
          <w:rFonts w:hint="eastAsia" w:ascii="仿宋" w:hAnsi="仿宋" w:eastAsia="仿宋" w:cs="仿宋"/>
          <w:color w:val="auto"/>
          <w:highlight w:val="none"/>
          <w:lang w:eastAsia="zh-CN"/>
        </w:rPr>
        <w:t xml:space="preserve">日开始，至 </w:t>
      </w:r>
      <w:r>
        <w:rPr>
          <w:rFonts w:hint="eastAsia" w:ascii="仿宋" w:hAnsi="仿宋" w:eastAsia="仿宋" w:cs="仿宋"/>
          <w:color w:val="auto"/>
          <w:kern w:val="2"/>
          <w:highlight w:val="none"/>
          <w:lang w:eastAsia="zh-CN"/>
        </w:rPr>
        <w:t>202</w:t>
      </w:r>
      <w:r>
        <w:rPr>
          <w:rFonts w:hint="eastAsia" w:ascii="仿宋" w:hAnsi="仿宋" w:eastAsia="仿宋" w:cs="仿宋"/>
          <w:color w:val="auto"/>
          <w:kern w:val="2"/>
          <w:highlight w:val="none"/>
          <w:lang w:val="en-US" w:eastAsia="zh-CN"/>
        </w:rPr>
        <w:t>6</w:t>
      </w:r>
      <w:r>
        <w:rPr>
          <w:rFonts w:hint="eastAsia" w:ascii="仿宋" w:hAnsi="仿宋" w:eastAsia="仿宋" w:cs="仿宋"/>
          <w:color w:val="auto"/>
          <w:kern w:val="2"/>
          <w:highlight w:val="none"/>
          <w:lang w:eastAsia="zh-CN"/>
        </w:rPr>
        <w:t>年</w:t>
      </w:r>
      <w:r>
        <w:rPr>
          <w:rFonts w:hint="eastAsia" w:ascii="仿宋" w:hAnsi="仿宋" w:eastAsia="仿宋" w:cs="仿宋"/>
          <w:color w:val="auto"/>
          <w:kern w:val="2"/>
          <w:highlight w:val="none"/>
          <w:lang w:val="en-US" w:eastAsia="zh-CN"/>
        </w:rPr>
        <w:t>6</w:t>
      </w:r>
      <w:r>
        <w:rPr>
          <w:rFonts w:hint="eastAsia" w:ascii="仿宋" w:hAnsi="仿宋" w:eastAsia="仿宋" w:cs="仿宋"/>
          <w:color w:val="auto"/>
          <w:kern w:val="2"/>
          <w:highlight w:val="none"/>
          <w:lang w:eastAsia="zh-CN"/>
        </w:rPr>
        <w:t>月</w:t>
      </w:r>
      <w:r>
        <w:rPr>
          <w:rFonts w:hint="eastAsia" w:ascii="仿宋" w:hAnsi="仿宋" w:eastAsia="仿宋" w:cs="仿宋"/>
          <w:color w:val="auto"/>
          <w:kern w:val="2"/>
          <w:highlight w:val="none"/>
          <w:lang w:val="en-US" w:eastAsia="zh-CN"/>
        </w:rPr>
        <w:t>30</w:t>
      </w:r>
      <w:r>
        <w:rPr>
          <w:rFonts w:hint="eastAsia" w:ascii="仿宋" w:hAnsi="仿宋" w:eastAsia="仿宋" w:cs="仿宋"/>
          <w:color w:val="auto"/>
          <w:kern w:val="2"/>
          <w:highlight w:val="none"/>
          <w:lang w:eastAsia="zh-CN"/>
        </w:rPr>
        <w:t>日</w:t>
      </w:r>
      <w:r>
        <w:rPr>
          <w:rFonts w:hint="eastAsia" w:ascii="仿宋" w:hAnsi="仿宋" w:eastAsia="仿宋" w:cs="仿宋"/>
          <w:color w:val="auto"/>
          <w:highlight w:val="none"/>
          <w:lang w:eastAsia="zh-CN"/>
        </w:rPr>
        <w:t>竣工完成，具体以发包人书面通知为准。合同工期总日历天数与各分项计划开竣工日期计算的工期天数不一致的，以合同工期总日历天数为准。承包人应制定工期计划，报发包人审核批准，按发包人批准后的节点工期执行。发包人根据工程实施情况，有权对本合同工程工期（包括关键节点工期和竣工日期）进行适当调整。</w:t>
      </w:r>
    </w:p>
    <w:p w14:paraId="0842B7B2">
      <w:pPr>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1、设计关键节点工期要求（发包人另有要求除外）：</w:t>
      </w:r>
    </w:p>
    <w:p w14:paraId="028DCA6F">
      <w:pPr>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（1）收到发包人提供的项目设计任务书之日起10个日历天内完成方案设计工作</w:t>
      </w:r>
    </w:p>
    <w:p w14:paraId="149BC298">
      <w:pPr>
        <w:spacing w:line="360" w:lineRule="auto"/>
        <w:ind w:left="480" w:leftChars="200"/>
        <w:rPr>
          <w:color w:val="auto"/>
          <w:highlight w:val="none"/>
          <w:lang w:eastAsia="zh-CN"/>
        </w:rPr>
      </w:pPr>
      <w:r>
        <w:rPr>
          <w:rFonts w:hint="eastAsia" w:ascii="仿宋" w:hAnsi="仿宋" w:eastAsia="仿宋" w:cs="仿宋"/>
          <w:color w:val="auto"/>
          <w:highlight w:val="none"/>
          <w:lang w:eastAsia="zh-CN"/>
        </w:rPr>
        <w:t>（2）方案设计完成之日起20个日历天内完成初步设计图纸工作；</w:t>
      </w:r>
    </w:p>
    <w:p w14:paraId="3684F286">
      <w:pPr>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（2）初步设计图纸、概算资料完成之日起20个日历天内完成施工报建图工作；</w:t>
      </w:r>
    </w:p>
    <w:p w14:paraId="2558DD17">
      <w:pPr>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（2）建筑施工报建图批准之日起10个日历天内完成供外审审查施工图工作；</w:t>
      </w:r>
    </w:p>
    <w:p w14:paraId="5D269019">
      <w:pPr>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（3）收到施工图审查意见之日起5个日历天内内完成图纸审查回复工作；</w:t>
      </w:r>
    </w:p>
    <w:p w14:paraId="2B72F9A2">
      <w:pPr>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（4）完成系统图纸审查之日起5个日历天内完成的施工图蓝图晒图工作报送发包人。</w:t>
      </w:r>
    </w:p>
    <w:p w14:paraId="69CA997D">
      <w:pPr>
        <w:spacing w:line="360" w:lineRule="auto"/>
        <w:rPr>
          <w:rFonts w:hint="eastAsia" w:ascii="仿宋" w:hAnsi="仿宋" w:eastAsia="仿宋" w:cs="仿宋"/>
          <w:color w:val="auto"/>
          <w:highlight w:val="none"/>
          <w:lang w:eastAsia="zh-CN"/>
        </w:rPr>
      </w:pPr>
    </w:p>
    <w:p w14:paraId="0FD77AE8">
      <w:pPr>
        <w:spacing w:line="360" w:lineRule="auto"/>
        <w:outlineLvl w:val="1"/>
        <w:rPr>
          <w:rFonts w:hint="eastAsia" w:ascii="仿宋" w:hAnsi="仿宋" w:eastAsia="仿宋" w:cs="仿宋"/>
          <w:b/>
          <w:bCs/>
          <w:color w:val="auto"/>
          <w:highlight w:val="none"/>
          <w:lang w:eastAsia="zh-CN"/>
        </w:rPr>
      </w:pPr>
      <w:bookmarkStart w:id="149" w:name="_Toc14850"/>
      <w:bookmarkStart w:id="150" w:name="_Toc16969"/>
      <w:bookmarkStart w:id="151" w:name="_Toc149731419"/>
      <w:bookmarkStart w:id="152" w:name="_Toc19104"/>
      <w:bookmarkStart w:id="153" w:name="_Toc783"/>
      <w:bookmarkStart w:id="154" w:name="_Toc22393"/>
      <w:bookmarkStart w:id="155" w:name="_Toc25074"/>
      <w:bookmarkStart w:id="156" w:name="_Toc15247"/>
      <w:bookmarkStart w:id="157" w:name="_Toc28266"/>
      <w:bookmarkStart w:id="158" w:name="_Toc32358"/>
      <w:bookmarkStart w:id="159" w:name="_Toc8140"/>
      <w:bookmarkStart w:id="160" w:name="_Toc17758"/>
      <w:bookmarkStart w:id="161" w:name="_Toc25639"/>
      <w:bookmarkStart w:id="162" w:name="_Toc7860"/>
      <w:bookmarkStart w:id="163" w:name="_Toc2483"/>
      <w:bookmarkStart w:id="164" w:name="_Toc21144"/>
    </w:p>
    <w:p w14:paraId="3E45D9DE">
      <w:pPr>
        <w:spacing w:line="360" w:lineRule="auto"/>
        <w:outlineLvl w:val="1"/>
        <w:rPr>
          <w:rFonts w:hint="eastAsia" w:ascii="仿宋" w:hAnsi="仿宋" w:eastAsia="仿宋" w:cs="仿宋"/>
          <w:b/>
          <w:bCs/>
          <w:color w:val="auto"/>
          <w:highlight w:val="none"/>
          <w:lang w:eastAsia="zh-CN"/>
        </w:rPr>
      </w:pPr>
    </w:p>
    <w:p w14:paraId="1C6F4B25">
      <w:pPr>
        <w:spacing w:line="360" w:lineRule="auto"/>
        <w:outlineLvl w:val="1"/>
        <w:rPr>
          <w:rFonts w:hint="eastAsia" w:ascii="仿宋" w:hAnsi="仿宋" w:eastAsia="仿宋" w:cs="仿宋"/>
          <w:b/>
          <w:bCs/>
          <w:color w:val="auto"/>
          <w:highlight w:val="none"/>
          <w:lang w:eastAsia="zh-CN"/>
        </w:rPr>
      </w:pPr>
      <w:bookmarkStart w:id="165" w:name="_Toc6610"/>
      <w:r>
        <w:rPr>
          <w:rFonts w:hint="eastAsia" w:ascii="仿宋" w:hAnsi="仿宋" w:eastAsia="仿宋" w:cs="仿宋"/>
          <w:b/>
          <w:bCs/>
          <w:color w:val="auto"/>
          <w:highlight w:val="none"/>
          <w:lang w:eastAsia="zh-CN"/>
        </w:rPr>
        <w:t>八、签约合同价</w:t>
      </w:r>
      <w:bookmarkEnd w:id="149"/>
      <w:r>
        <w:rPr>
          <w:rFonts w:hint="eastAsia" w:ascii="仿宋" w:hAnsi="仿宋" w:eastAsia="仿宋" w:cs="仿宋"/>
          <w:b/>
          <w:bCs/>
          <w:color w:val="auto"/>
          <w:highlight w:val="none"/>
          <w:lang w:eastAsia="zh-CN"/>
        </w:rPr>
        <w:t>与合同价格形式</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4A29225">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签约合同价（含税）：人民币（大写）（</w:t>
      </w:r>
      <w:r>
        <w:rPr>
          <w:rFonts w:hint="eastAsia" w:ascii="宋体" w:hAnsi="宋体" w:cs="宋体"/>
          <w:color w:val="auto"/>
          <w:highlight w:val="none"/>
          <w:lang w:eastAsia="zh-CN"/>
        </w:rPr>
        <w:t xml:space="preserve">¥ </w:t>
      </w:r>
      <w:r>
        <w:rPr>
          <w:rFonts w:hint="eastAsia" w:ascii="仿宋" w:hAnsi="仿宋" w:eastAsia="仿宋" w:cs="仿宋"/>
          <w:color w:val="auto"/>
          <w:highlight w:val="none"/>
          <w:lang w:eastAsia="zh-CN"/>
        </w:rPr>
        <w:t>元）。</w:t>
      </w:r>
    </w:p>
    <w:p w14:paraId="1BCD8F21">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其中：不含税金额： </w:t>
      </w:r>
      <w:r>
        <w:rPr>
          <w:rFonts w:hint="eastAsia" w:ascii="仿宋" w:hAnsi="仿宋" w:eastAsia="仿宋" w:cs="仿宋"/>
          <w:color w:val="auto"/>
          <w:highlight w:val="none"/>
          <w:lang w:val="zh-CN" w:eastAsia="zh-CN" w:bidi="zh-CN"/>
        </w:rPr>
        <w:t>￥</w:t>
      </w:r>
      <w:r>
        <w:rPr>
          <w:rFonts w:hint="eastAsia" w:ascii="仿宋" w:hAnsi="仿宋" w:eastAsia="仿宋" w:cs="仿宋"/>
          <w:color w:val="auto"/>
          <w:highlight w:val="none"/>
          <w:lang w:val="en-US" w:eastAsia="zh-CN" w:bidi="zh-CN"/>
        </w:rPr>
        <w:t xml:space="preserve">  </w:t>
      </w:r>
      <w:r>
        <w:rPr>
          <w:rFonts w:hint="eastAsia" w:ascii="仿宋" w:hAnsi="仿宋" w:eastAsia="仿宋" w:cs="仿宋"/>
          <w:color w:val="auto"/>
          <w:highlight w:val="none"/>
          <w:lang w:eastAsia="zh-CN"/>
        </w:rPr>
        <w:t>元，增值税金额：元。</w:t>
      </w:r>
    </w:p>
    <w:p w14:paraId="37F897DE">
      <w:pPr>
        <w:spacing w:line="360" w:lineRule="auto"/>
        <w:ind w:firstLine="480" w:firstLineChars="200"/>
        <w:rPr>
          <w:rFonts w:hint="eastAsia" w:ascii="仿宋" w:hAnsi="仿宋" w:eastAsia="仿宋" w:cs="仿宋"/>
          <w:color w:val="auto"/>
          <w:highlight w:val="none"/>
          <w:lang w:eastAsia="zh-CN"/>
        </w:rPr>
      </w:pP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工程勘察费（含税）：</w:t>
      </w:r>
    </w:p>
    <w:p w14:paraId="56E6DFF0">
      <w:pPr>
        <w:autoSpaceDE w:val="0"/>
        <w:autoSpaceDN w:val="0"/>
        <w:spacing w:line="360" w:lineRule="auto"/>
        <w:ind w:right="50" w:rightChars="21"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r>
        <w:rPr>
          <w:rFonts w:hint="eastAsia" w:ascii="宋体" w:hAnsi="宋体" w:cs="宋体"/>
          <w:color w:val="auto"/>
          <w:highlight w:val="none"/>
          <w:lang w:eastAsia="zh-CN"/>
        </w:rPr>
        <w:t>¥</w:t>
      </w:r>
      <w:r>
        <w:rPr>
          <w:rFonts w:hint="eastAsia" w:ascii="宋体" w:hAnsi="宋体" w:cs="宋体"/>
          <w:color w:val="auto"/>
          <w:highlight w:val="none"/>
          <w:u w:val="single"/>
          <w:lang w:eastAsia="zh-CN"/>
        </w:rPr>
        <w:t xml:space="preserve">     </w:t>
      </w:r>
      <w:r>
        <w:rPr>
          <w:rFonts w:hint="eastAsia" w:ascii="仿宋" w:hAnsi="仿宋" w:eastAsia="仿宋" w:cs="仿宋"/>
          <w:color w:val="auto"/>
          <w:highlight w:val="none"/>
          <w:lang w:eastAsia="zh-CN"/>
        </w:rPr>
        <w:t>元），税率</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 xml:space="preserve"> %。</w:t>
      </w:r>
    </w:p>
    <w:p w14:paraId="7229CE2E">
      <w:pPr>
        <w:autoSpaceDE w:val="0"/>
        <w:autoSpaceDN w:val="0"/>
        <w:spacing w:line="360" w:lineRule="auto"/>
        <w:ind w:right="50" w:rightChars="21" w:firstLine="480" w:firstLineChars="200"/>
        <w:rPr>
          <w:rFonts w:hint="eastAsia" w:ascii="仿宋" w:hAnsi="仿宋" w:eastAsia="仿宋" w:cs="仿宋"/>
          <w:color w:val="auto"/>
          <w:highlight w:val="none"/>
          <w:lang w:val="zh-CN" w:eastAsia="zh-CN" w:bidi="zh-CN"/>
        </w:rPr>
      </w:pPr>
      <w:r>
        <w:rPr>
          <w:rFonts w:hint="eastAsia" w:ascii="仿宋" w:hAnsi="仿宋" w:eastAsia="仿宋" w:cs="仿宋"/>
          <w:color w:val="auto"/>
          <w:highlight w:val="none"/>
          <w:lang w:val="zh-CN" w:eastAsia="zh-CN" w:bidi="zh-CN"/>
        </w:rPr>
        <w:t>其中：超前钻：￥</w:t>
      </w:r>
      <w:r>
        <w:rPr>
          <w:rFonts w:hint="eastAsia" w:ascii="仿宋" w:hAnsi="仿宋" w:eastAsia="仿宋" w:cs="仿宋"/>
          <w:color w:val="auto"/>
          <w:highlight w:val="none"/>
          <w:u w:val="single"/>
          <w:lang w:eastAsia="zh-CN" w:bidi="zh-CN"/>
        </w:rPr>
        <w:t xml:space="preserve">      </w:t>
      </w:r>
      <w:r>
        <w:rPr>
          <w:rFonts w:ascii="仿宋" w:hAnsi="仿宋" w:eastAsia="仿宋" w:cs="仿宋"/>
          <w:color w:val="auto"/>
          <w:highlight w:val="none"/>
          <w:lang w:val="zh-CN" w:eastAsia="zh-CN" w:bidi="zh-CN"/>
        </w:rPr>
        <w:t>元；规划放线测量</w:t>
      </w:r>
      <w:r>
        <w:rPr>
          <w:rFonts w:hint="eastAsia" w:ascii="仿宋" w:hAnsi="仿宋" w:eastAsia="仿宋" w:cs="仿宋"/>
          <w:color w:val="auto"/>
          <w:highlight w:val="none"/>
          <w:lang w:val="zh-CN" w:eastAsia="zh-CN" w:bidi="zh-CN"/>
        </w:rPr>
        <w:t>：￥</w:t>
      </w:r>
      <w:r>
        <w:rPr>
          <w:rFonts w:hint="eastAsia" w:ascii="仿宋" w:hAnsi="仿宋" w:eastAsia="仿宋" w:cs="仿宋"/>
          <w:color w:val="auto"/>
          <w:highlight w:val="none"/>
          <w:u w:val="single"/>
          <w:lang w:eastAsia="zh-CN" w:bidi="zh-CN"/>
        </w:rPr>
        <w:t xml:space="preserve">     </w:t>
      </w:r>
      <w:r>
        <w:rPr>
          <w:rFonts w:hint="eastAsia" w:ascii="仿宋" w:hAnsi="仿宋" w:eastAsia="仿宋" w:cs="仿宋"/>
          <w:color w:val="auto"/>
          <w:highlight w:val="none"/>
          <w:lang w:val="zh-CN" w:eastAsia="zh-CN" w:bidi="zh-CN"/>
        </w:rPr>
        <w:t xml:space="preserve"> 元。</w:t>
      </w:r>
    </w:p>
    <w:p w14:paraId="48D7AC4D">
      <w:pPr>
        <w:spacing w:line="360" w:lineRule="auto"/>
        <w:ind w:firstLine="480" w:firstLineChars="200"/>
        <w:rPr>
          <w:rFonts w:hint="eastAsia" w:ascii="仿宋" w:hAnsi="仿宋" w:eastAsia="仿宋" w:cs="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工程设计费（含税）：</w:t>
      </w:r>
    </w:p>
    <w:p w14:paraId="14F9EDE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w:t>
      </w:r>
      <w:r>
        <w:rPr>
          <w:rFonts w:hint="eastAsia" w:ascii="宋体" w:hAnsi="宋体" w:cs="宋体"/>
          <w:color w:val="auto"/>
          <w:highlight w:val="none"/>
          <w:lang w:eastAsia="zh-CN"/>
        </w:rPr>
        <w:t>¥</w:t>
      </w:r>
      <w:r>
        <w:rPr>
          <w:rFonts w:hint="eastAsia" w:ascii="仿宋" w:hAnsi="仿宋" w:eastAsia="仿宋" w:cs="仿宋"/>
          <w:color w:val="auto"/>
          <w:highlight w:val="none"/>
          <w:lang w:eastAsia="zh-CN"/>
        </w:rPr>
        <w:t>元），税率</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
          <w:woUserID w:val="5"/>
        </w:rPr>
        <w:t>6</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p>
    <w:p w14:paraId="532867EC">
      <w:pPr>
        <w:spacing w:line="360" w:lineRule="auto"/>
        <w:ind w:firstLine="480" w:firstLineChars="200"/>
        <w:rPr>
          <w:rFonts w:hint="eastAsia" w:ascii="仿宋" w:hAnsi="仿宋" w:eastAsia="仿宋" w:cs="仿宋"/>
          <w:color w:val="auto"/>
          <w:highlight w:val="none"/>
          <w:lang w:eastAsia="zh-CN"/>
        </w:rPr>
      </w:pP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BIM技术应用费（含税）：</w:t>
      </w:r>
    </w:p>
    <w:p w14:paraId="50279AA1">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 （</w:t>
      </w:r>
      <w:r>
        <w:rPr>
          <w:rFonts w:hint="eastAsia" w:ascii="宋体" w:hAnsi="宋体" w:cs="宋体"/>
          <w:color w:val="auto"/>
          <w:highlight w:val="none"/>
          <w:lang w:eastAsia="zh-CN"/>
        </w:rPr>
        <w:t>¥</w:t>
      </w:r>
      <w:r>
        <w:rPr>
          <w:rFonts w:hint="eastAsia" w:ascii="仿宋" w:hAnsi="仿宋" w:eastAsia="仿宋" w:cs="仿宋"/>
          <w:color w:val="auto"/>
          <w:highlight w:val="none"/>
          <w:lang w:eastAsia="zh-CN"/>
        </w:rPr>
        <w:t>元），税率</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p>
    <w:p w14:paraId="1A6400C9">
      <w:pPr>
        <w:spacing w:line="360" w:lineRule="auto"/>
        <w:ind w:firstLine="480" w:firstLineChars="200"/>
        <w:rPr>
          <w:rFonts w:hint="eastAsia" w:ascii="宋体" w:hAnsi="宋体"/>
          <w:color w:val="auto"/>
          <w:highlight w:val="none"/>
          <w:lang w:eastAsia="zh-CN"/>
        </w:rPr>
      </w:pPr>
      <w:r>
        <w:rPr>
          <w:rFonts w:hint="eastAsia" w:ascii="仿宋" w:hAnsi="仿宋" w:eastAsia="仿宋" w:cs="仿宋"/>
          <w:color w:val="auto"/>
          <w:highlight w:val="none"/>
          <w:lang w:eastAsia="zh-CN"/>
        </w:rPr>
        <w:t>4、□设备及工器具购置</w:t>
      </w:r>
      <w:r>
        <w:rPr>
          <w:rFonts w:ascii="仿宋" w:hAnsi="仿宋" w:eastAsia="仿宋" w:cs="仿宋"/>
          <w:color w:val="auto"/>
          <w:highlight w:val="none"/>
          <w:lang w:eastAsia="zh-CN"/>
        </w:rPr>
        <w:t>费</w:t>
      </w:r>
      <w:r>
        <w:rPr>
          <w:rFonts w:hint="eastAsia" w:ascii="仿宋" w:hAnsi="仿宋" w:eastAsia="仿宋" w:cs="仿宋"/>
          <w:color w:val="auto"/>
          <w:highlight w:val="none"/>
          <w:lang w:eastAsia="zh-CN"/>
        </w:rPr>
        <w:t>（含税）：</w:t>
      </w:r>
    </w:p>
    <w:p w14:paraId="097EE0E3">
      <w:pPr>
        <w:spacing w:line="360" w:lineRule="auto"/>
        <w:ind w:firstLine="480" w:firstLineChars="200"/>
        <w:rPr>
          <w:rFonts w:hint="eastAsia" w:ascii="宋体" w:hAnsi="宋体"/>
          <w:color w:val="auto"/>
          <w:highlight w:val="none"/>
          <w:lang w:eastAsia="zh-CN"/>
        </w:rPr>
      </w:pPr>
      <w:r>
        <w:rPr>
          <w:rFonts w:hint="eastAsia" w:ascii="仿宋" w:hAnsi="仿宋" w:eastAsia="仿宋" w:cs="仿宋"/>
          <w:color w:val="auto"/>
          <w:highlight w:val="none"/>
          <w:lang w:eastAsia="zh-CN"/>
        </w:rPr>
        <w:t>人民币（大写）（</w:t>
      </w:r>
      <w:r>
        <w:rPr>
          <w:rFonts w:hint="eastAsia" w:ascii="宋体" w:hAnsi="宋体" w:cs="宋体"/>
          <w:color w:val="auto"/>
          <w:highlight w:val="none"/>
          <w:lang w:eastAsia="zh-CN"/>
        </w:rPr>
        <w:t>¥</w:t>
      </w:r>
      <w:r>
        <w:rPr>
          <w:rFonts w:hint="eastAsia" w:ascii="仿宋" w:hAnsi="仿宋" w:eastAsia="仿宋" w:cs="仿宋"/>
          <w:color w:val="auto"/>
          <w:highlight w:val="none"/>
          <w:lang w:eastAsia="zh-CN"/>
        </w:rPr>
        <w:t>元）；</w:t>
      </w:r>
    </w:p>
    <w:p w14:paraId="63860AFA">
      <w:pPr>
        <w:spacing w:line="360" w:lineRule="auto"/>
        <w:ind w:firstLine="480" w:firstLineChars="200"/>
        <w:rPr>
          <w:rFonts w:hint="eastAsia" w:ascii="仿宋" w:hAnsi="仿宋" w:eastAsia="仿宋" w:cs="仿宋"/>
          <w:color w:val="auto"/>
          <w:highlight w:val="none"/>
          <w:lang w:eastAsia="zh-CN"/>
        </w:rPr>
      </w:pP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w:t>
      </w: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建筑安装工程费（含税）：</w:t>
      </w:r>
    </w:p>
    <w:p w14:paraId="28600099">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w:t>
      </w:r>
      <w:r>
        <w:rPr>
          <w:rFonts w:hint="eastAsia" w:ascii="宋体" w:hAnsi="宋体" w:cs="宋体"/>
          <w:color w:val="auto"/>
          <w:highlight w:val="none"/>
          <w:lang w:eastAsia="zh-CN"/>
        </w:rPr>
        <w:t>¥</w:t>
      </w:r>
      <w:r>
        <w:rPr>
          <w:rFonts w:hint="eastAsia" w:ascii="仿宋" w:hAnsi="仿宋" w:eastAsia="仿宋" w:cs="仿宋"/>
          <w:color w:val="auto"/>
          <w:highlight w:val="none"/>
          <w:lang w:eastAsia="zh-CN"/>
        </w:rPr>
        <w:t>元），税率</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
          <w:woUserID w:val="1"/>
        </w:rPr>
        <w:t>9</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p>
    <w:p w14:paraId="0603B704">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建筑安装工程费中含有以下费用：</w:t>
      </w:r>
    </w:p>
    <w:p w14:paraId="5790C83A">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w:t>
      </w: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绿色施工安全防护措施费（不含税）：</w:t>
      </w:r>
    </w:p>
    <w:p w14:paraId="685E469D">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w:t>
      </w:r>
      <w:r>
        <w:rPr>
          <w:rFonts w:hint="eastAsia" w:ascii="宋体" w:hAnsi="宋体" w:cs="宋体"/>
          <w:color w:val="auto"/>
          <w:highlight w:val="none"/>
          <w:lang w:eastAsia="zh-CN"/>
        </w:rPr>
        <w:t>¥</w:t>
      </w:r>
      <w:r>
        <w:rPr>
          <w:rFonts w:hint="eastAsia" w:ascii="仿宋" w:hAnsi="仿宋" w:eastAsia="仿宋" w:cs="仿宋"/>
          <w:color w:val="auto"/>
          <w:highlight w:val="none"/>
          <w:lang w:eastAsia="zh-CN"/>
        </w:rPr>
        <w:t>元）；</w:t>
      </w:r>
    </w:p>
    <w:p w14:paraId="03C7E44F">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专业工程暂估价（不含税）：</w:t>
      </w:r>
    </w:p>
    <w:p w14:paraId="268E5410">
      <w:pPr>
        <w:spacing w:line="360" w:lineRule="auto"/>
        <w:ind w:firstLine="708" w:firstLineChars="295"/>
        <w:rPr>
          <w:rFonts w:hint="default" w:ascii="仿宋" w:hAnsi="仿宋" w:eastAsia="仿宋" w:cs="仿宋"/>
          <w:color w:val="auto"/>
          <w:highlight w:val="none"/>
          <w:lang w:val="en-US" w:eastAsia="zh-CN"/>
        </w:rPr>
      </w:pPr>
      <w:r>
        <w:rPr>
          <w:rFonts w:hint="eastAsia" w:ascii="仿宋" w:hAnsi="仿宋" w:eastAsia="仿宋" w:cs="仿宋"/>
          <w:color w:val="auto"/>
          <w:highlight w:val="none"/>
          <w:lang w:eastAsia="zh-CN"/>
        </w:rPr>
        <w:t>人民币（大写）（</w:t>
      </w:r>
      <w:r>
        <w:rPr>
          <w:rFonts w:hint="eastAsia" w:ascii="宋体" w:hAnsi="宋体" w:cs="宋体"/>
          <w:color w:val="auto"/>
          <w:highlight w:val="none"/>
          <w:lang w:eastAsia="zh-CN"/>
        </w:rPr>
        <w:t>¥</w:t>
      </w:r>
      <w:r>
        <w:rPr>
          <w:rFonts w:hint="eastAsia" w:ascii="仿宋" w:hAnsi="仿宋" w:eastAsia="仿宋" w:cs="仿宋"/>
          <w:color w:val="auto"/>
          <w:highlight w:val="none"/>
          <w:lang w:eastAsia="zh-CN"/>
        </w:rPr>
        <w:t>元）；</w:t>
      </w:r>
    </w:p>
    <w:p w14:paraId="3D3BA77B">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暂列金额（不含税）：</w:t>
      </w:r>
    </w:p>
    <w:p w14:paraId="3494DFF8">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r>
        <w:rPr>
          <w:rFonts w:hint="eastAsia" w:ascii="宋体" w:hAnsi="宋体" w:cs="宋体"/>
          <w:color w:val="auto"/>
          <w:highlight w:val="none"/>
          <w:lang w:eastAsia="zh-CN"/>
        </w:rPr>
        <w:t>¥</w:t>
      </w:r>
      <w:r>
        <w:rPr>
          <w:rFonts w:hint="eastAsia" w:ascii="宋体" w:hAnsi="宋体" w:cs="宋体"/>
          <w:color w:val="auto"/>
          <w:highlight w:val="none"/>
          <w:u w:val="single"/>
          <w:lang w:eastAsia="zh-CN"/>
        </w:rPr>
        <w:t xml:space="preserve">     </w:t>
      </w:r>
      <w:r>
        <w:rPr>
          <w:rFonts w:hint="eastAsia" w:ascii="仿宋" w:hAnsi="仿宋" w:eastAsia="仿宋" w:cs="仿宋"/>
          <w:color w:val="auto"/>
          <w:highlight w:val="none"/>
          <w:lang w:eastAsia="zh-CN"/>
        </w:rPr>
        <w:t>元）；</w:t>
      </w:r>
    </w:p>
    <w:p w14:paraId="4E60EF1B">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w:t>
      </w: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其他（含税，</w:t>
      </w:r>
      <w:r>
        <w:rPr>
          <w:rFonts w:hint="eastAsia" w:ascii="仿宋" w:hAnsi="仿宋" w:eastAsia="仿宋" w:cs="仿宋"/>
          <w:color w:val="auto"/>
          <w:highlight w:val="none"/>
          <w:u w:val="single"/>
          <w:lang w:eastAsia="zh-CN"/>
        </w:rPr>
        <w:t>工程优质费（国家级）</w:t>
      </w:r>
      <w:r>
        <w:rPr>
          <w:rFonts w:hint="eastAsia" w:ascii="仿宋" w:hAnsi="仿宋" w:eastAsia="仿宋" w:cs="仿宋"/>
          <w:color w:val="auto"/>
          <w:highlight w:val="none"/>
          <w:lang w:eastAsia="zh-CN"/>
        </w:rPr>
        <w:t>）：</w:t>
      </w:r>
    </w:p>
    <w:p w14:paraId="77C1B99E">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r>
        <w:rPr>
          <w:rFonts w:hint="eastAsia" w:ascii="宋体" w:hAnsi="宋体" w:cs="宋体"/>
          <w:color w:val="auto"/>
          <w:highlight w:val="none"/>
          <w:lang w:eastAsia="zh-CN"/>
        </w:rPr>
        <w:t>¥</w:t>
      </w:r>
      <w:r>
        <w:rPr>
          <w:rFonts w:hint="eastAsia" w:ascii="宋体" w:hAnsi="宋体" w:cs="宋体"/>
          <w:color w:val="auto"/>
          <w:highlight w:val="none"/>
          <w:u w:val="single"/>
          <w:lang w:eastAsia="zh-CN"/>
        </w:rPr>
        <w:t xml:space="preserve">     </w:t>
      </w:r>
      <w:r>
        <w:rPr>
          <w:rFonts w:hint="eastAsia" w:ascii="仿宋" w:hAnsi="仿宋" w:eastAsia="仿宋" w:cs="仿宋"/>
          <w:color w:val="auto"/>
          <w:highlight w:val="none"/>
          <w:lang w:eastAsia="zh-CN"/>
        </w:rPr>
        <w:t>元）。</w:t>
      </w:r>
    </w:p>
    <w:p w14:paraId="5DFAE84B">
      <w:pPr>
        <w:spacing w:line="360" w:lineRule="auto"/>
        <w:ind w:left="480"/>
        <w:rPr>
          <w:rFonts w:hint="eastAsia" w:ascii="宋体" w:hAnsi="宋体"/>
          <w:color w:val="auto"/>
          <w:highlight w:val="none"/>
          <w:lang w:eastAsia="zh-CN"/>
        </w:rPr>
      </w:pPr>
      <w:r>
        <w:rPr>
          <w:rFonts w:hint="eastAsia" w:ascii="仿宋" w:hAnsi="仿宋" w:eastAsia="仿宋" w:cs="仿宋"/>
          <w:color w:val="auto"/>
          <w:highlight w:val="none"/>
          <w:lang w:eastAsia="zh-CN"/>
        </w:rPr>
        <w:t>6、□其他费用：（含税）：</w:t>
      </w:r>
    </w:p>
    <w:p w14:paraId="7DAE75DC">
      <w:pPr>
        <w:spacing w:line="360" w:lineRule="auto"/>
        <w:ind w:firstLine="1200" w:firstLineChars="5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 / （</w:t>
      </w:r>
      <w:r>
        <w:rPr>
          <w:rFonts w:hint="eastAsia" w:ascii="宋体" w:hAnsi="宋体" w:cs="宋体"/>
          <w:color w:val="auto"/>
          <w:highlight w:val="none"/>
          <w:lang w:eastAsia="zh-CN"/>
        </w:rPr>
        <w:t>¥</w:t>
      </w:r>
      <w:r>
        <w:rPr>
          <w:rFonts w:hint="eastAsia" w:ascii="仿宋" w:hAnsi="仿宋" w:eastAsia="仿宋" w:cs="仿宋"/>
          <w:color w:val="auto"/>
          <w:highlight w:val="none"/>
          <w:lang w:eastAsia="zh-CN"/>
        </w:rPr>
        <w:t>元）</w:t>
      </w:r>
    </w:p>
    <w:p w14:paraId="28EC795A">
      <w:pPr>
        <w:widowControl w:val="0"/>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7、□联合体牵头人项目管理费（单列）：联合体牵头人对联合体各成员的组织、管理和协调产生的费用，在本合同价中不得增加计算本费用，从合同总价中提取后，在本协议书中单列供各方监督使用情况；</w:t>
      </w:r>
    </w:p>
    <w:p w14:paraId="12F83210">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 设计单位为联合体牵头人时项目管理费（含税）：</w:t>
      </w:r>
    </w:p>
    <w:p w14:paraId="56A54469">
      <w:pPr>
        <w:spacing w:line="360" w:lineRule="auto"/>
        <w:ind w:firstLine="1200" w:firstLineChars="5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w:t>
      </w:r>
      <w:r>
        <w:rPr>
          <w:rFonts w:hint="eastAsia" w:ascii="宋体" w:hAnsi="宋体" w:cs="宋体"/>
          <w:color w:val="auto"/>
          <w:highlight w:val="none"/>
          <w:lang w:eastAsia="zh-CN"/>
        </w:rPr>
        <w:t>¥</w:t>
      </w:r>
      <w:r>
        <w:rPr>
          <w:rFonts w:hint="eastAsia" w:ascii="仿宋" w:hAnsi="仿宋" w:eastAsia="仿宋" w:cs="仿宋"/>
          <w:color w:val="auto"/>
          <w:highlight w:val="none"/>
          <w:lang w:eastAsia="zh-CN"/>
        </w:rPr>
        <w:t>元）；</w:t>
      </w:r>
    </w:p>
    <w:p w14:paraId="1D3E5D9E">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 施工单位为联合体牵头人时项目管理费（含税）：</w:t>
      </w:r>
    </w:p>
    <w:p w14:paraId="7C9A3855">
      <w:pPr>
        <w:spacing w:line="360" w:lineRule="auto"/>
        <w:ind w:firstLine="1200" w:firstLineChars="5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人民币（大写）（</w:t>
      </w:r>
      <w:r>
        <w:rPr>
          <w:rFonts w:hint="eastAsia" w:ascii="宋体" w:hAnsi="宋体" w:cs="宋体"/>
          <w:color w:val="auto"/>
          <w:highlight w:val="none"/>
          <w:lang w:eastAsia="zh-CN"/>
        </w:rPr>
        <w:t xml:space="preserve">¥ / </w:t>
      </w:r>
      <w:r>
        <w:rPr>
          <w:rFonts w:hint="eastAsia" w:ascii="仿宋" w:hAnsi="仿宋" w:eastAsia="仿宋" w:cs="仿宋"/>
          <w:color w:val="auto"/>
          <w:highlight w:val="none"/>
          <w:u w:val="single"/>
          <w:lang w:eastAsia="zh-CN"/>
        </w:rPr>
        <w:t>元</w:t>
      </w:r>
      <w:r>
        <w:rPr>
          <w:rFonts w:hint="eastAsia" w:ascii="仿宋" w:hAnsi="仿宋" w:eastAsia="仿宋" w:cs="仿宋"/>
          <w:color w:val="auto"/>
          <w:highlight w:val="none"/>
          <w:lang w:eastAsia="zh-CN"/>
        </w:rPr>
        <w:t>）。</w:t>
      </w:r>
    </w:p>
    <w:p w14:paraId="43700F16">
      <w:pPr>
        <w:widowControl w:val="0"/>
        <w:spacing w:line="360" w:lineRule="auto"/>
        <w:ind w:left="480" w:left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8、本合同中不含税价格不因国家税率变化而变化,若在合同履行期间,遇国家税率调整的,则价税合计相应调整,以开具发票的时间为准。</w:t>
      </w:r>
    </w:p>
    <w:p w14:paraId="3CFFA2B9">
      <w:pPr>
        <w:pStyle w:val="76"/>
        <w:ind w:firstLine="241"/>
        <w:jc w:val="center"/>
        <w:rPr>
          <w:rFonts w:hint="eastAsia" w:ascii="仿宋" w:hAnsi="仿宋" w:eastAsia="仿宋" w:cs="仿宋"/>
          <w:b/>
          <w:color w:val="auto"/>
          <w:highlight w:val="none"/>
          <w:lang w:eastAsia="zh-CN"/>
        </w:rPr>
      </w:pPr>
      <w:r>
        <w:rPr>
          <w:rFonts w:hint="eastAsia" w:ascii="仿宋" w:hAnsi="仿宋" w:eastAsia="仿宋" w:cs="仿宋"/>
          <w:b/>
          <w:color w:val="auto"/>
          <w:highlight w:val="none"/>
          <w:lang w:eastAsia="zh-CN"/>
        </w:rPr>
        <w:t>联合体各方合同金额和工作分工</w:t>
      </w:r>
    </w:p>
    <w:tbl>
      <w:tblPr>
        <w:tblStyle w:val="7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4"/>
        <w:gridCol w:w="4249"/>
        <w:gridCol w:w="2747"/>
      </w:tblGrid>
      <w:tr w14:paraId="2B8CD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1424" w:type="dxa"/>
            <w:vAlign w:val="center"/>
          </w:tcPr>
          <w:p w14:paraId="361263FB">
            <w:pPr>
              <w:keepNext w:val="0"/>
              <w:keepLines w:val="0"/>
              <w:widowControl w:val="0"/>
              <w:suppressLineNumbers w:val="0"/>
              <w:spacing w:before="0" w:beforeAutospacing="0" w:after="0" w:afterAutospacing="0" w:line="360" w:lineRule="auto"/>
              <w:ind w:left="0" w:right="0"/>
              <w:jc w:val="center"/>
              <w:rPr>
                <w:rFonts w:hint="eastAsia" w:ascii="仿宋" w:hAnsi="仿宋" w:eastAsia="仿宋" w:cs="仿宋"/>
                <w:b/>
                <w:bCs/>
                <w:color w:val="auto"/>
                <w:highlight w:val="none"/>
                <w:lang w:eastAsia="zh-CN"/>
              </w:rPr>
            </w:pPr>
            <w:bookmarkStart w:id="166" w:name="_Toc29672"/>
            <w:bookmarkStart w:id="167" w:name="_Toc8943"/>
            <w:bookmarkStart w:id="168" w:name="_Toc32200"/>
            <w:bookmarkStart w:id="169" w:name="_Toc149731420"/>
            <w:r>
              <w:rPr>
                <w:rFonts w:hint="eastAsia" w:ascii="仿宋" w:hAnsi="仿宋" w:eastAsia="仿宋" w:cs="仿宋"/>
                <w:b/>
                <w:bCs/>
                <w:color w:val="auto"/>
                <w:highlight w:val="none"/>
                <w:lang w:eastAsia="zh-CN"/>
              </w:rPr>
              <w:t>承包人名称</w:t>
            </w:r>
            <w:bookmarkEnd w:id="166"/>
            <w:bookmarkEnd w:id="167"/>
            <w:bookmarkEnd w:id="168"/>
          </w:p>
        </w:tc>
        <w:tc>
          <w:tcPr>
            <w:tcW w:w="4249" w:type="dxa"/>
            <w:vAlign w:val="center"/>
          </w:tcPr>
          <w:p w14:paraId="7A9266AD">
            <w:pPr>
              <w:keepNext w:val="0"/>
              <w:keepLines w:val="0"/>
              <w:widowControl w:val="0"/>
              <w:suppressLineNumbers w:val="0"/>
              <w:spacing w:before="0" w:beforeAutospacing="0" w:after="0" w:afterAutospacing="0" w:line="360" w:lineRule="auto"/>
              <w:ind w:left="480" w:leftChars="200" w:right="0"/>
              <w:jc w:val="center"/>
              <w:rPr>
                <w:rFonts w:hint="eastAsia" w:ascii="仿宋" w:hAnsi="仿宋" w:eastAsia="仿宋" w:cs="仿宋"/>
                <w:b/>
                <w:bCs/>
                <w:color w:val="auto"/>
                <w:highlight w:val="none"/>
                <w:lang w:eastAsia="zh-CN"/>
              </w:rPr>
            </w:pPr>
            <w:bookmarkStart w:id="170" w:name="_Toc24220"/>
            <w:bookmarkStart w:id="171" w:name="_Toc12593"/>
            <w:bookmarkStart w:id="172" w:name="_Toc7252"/>
            <w:r>
              <w:rPr>
                <w:rFonts w:hint="eastAsia" w:ascii="仿宋" w:hAnsi="仿宋" w:eastAsia="仿宋" w:cs="仿宋"/>
                <w:b/>
                <w:bCs/>
                <w:color w:val="auto"/>
                <w:highlight w:val="none"/>
                <w:lang w:eastAsia="zh-CN"/>
              </w:rPr>
              <w:t>工作范围</w:t>
            </w:r>
            <w:bookmarkEnd w:id="170"/>
            <w:bookmarkEnd w:id="171"/>
            <w:bookmarkEnd w:id="172"/>
          </w:p>
        </w:tc>
        <w:tc>
          <w:tcPr>
            <w:tcW w:w="2747" w:type="dxa"/>
            <w:vAlign w:val="center"/>
          </w:tcPr>
          <w:p w14:paraId="5D79FA86">
            <w:pPr>
              <w:keepNext w:val="0"/>
              <w:keepLines w:val="0"/>
              <w:widowControl w:val="0"/>
              <w:suppressLineNumbers w:val="0"/>
              <w:spacing w:before="0" w:beforeAutospacing="0" w:after="0" w:afterAutospacing="0" w:line="360" w:lineRule="auto"/>
              <w:ind w:left="480" w:leftChars="200" w:right="0"/>
              <w:jc w:val="center"/>
              <w:rPr>
                <w:rFonts w:hint="eastAsia" w:ascii="仿宋" w:hAnsi="仿宋" w:eastAsia="仿宋" w:cs="仿宋"/>
                <w:b/>
                <w:bCs/>
                <w:color w:val="auto"/>
                <w:highlight w:val="none"/>
                <w:lang w:eastAsia="zh-CN"/>
              </w:rPr>
            </w:pPr>
            <w:bookmarkStart w:id="173" w:name="_Toc23893"/>
            <w:bookmarkStart w:id="174" w:name="_Toc9607"/>
            <w:bookmarkStart w:id="175" w:name="_Toc4512"/>
            <w:r>
              <w:rPr>
                <w:rFonts w:hint="eastAsia" w:ascii="仿宋" w:hAnsi="仿宋" w:eastAsia="仿宋" w:cs="仿宋"/>
                <w:b/>
                <w:bCs/>
                <w:color w:val="auto"/>
                <w:highlight w:val="none"/>
                <w:lang w:eastAsia="zh-CN"/>
              </w:rPr>
              <w:t>各方合同金额（元）</w:t>
            </w:r>
            <w:bookmarkEnd w:id="173"/>
            <w:bookmarkEnd w:id="174"/>
            <w:bookmarkEnd w:id="175"/>
          </w:p>
        </w:tc>
      </w:tr>
      <w:tr w14:paraId="70B11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1424" w:type="dxa"/>
            <w:vAlign w:val="center"/>
          </w:tcPr>
          <w:p w14:paraId="54B95DD8">
            <w:pPr>
              <w:keepNext w:val="0"/>
              <w:keepLines w:val="0"/>
              <w:widowControl/>
              <w:suppressLineNumbers w:val="0"/>
              <w:spacing w:before="0" w:beforeAutospacing="0" w:after="0" w:afterAutospacing="0"/>
              <w:ind w:left="0" w:right="0"/>
              <w:jc w:val="center"/>
              <w:outlineLvl w:val="1"/>
              <w:rPr>
                <w:rFonts w:hint="eastAsia" w:ascii="仿宋" w:hAnsi="仿宋" w:eastAsia="仿宋" w:cs="仿宋"/>
                <w:color w:val="auto"/>
                <w:highlight w:val="none"/>
                <w:lang w:eastAsia="zh"/>
                <w:woUserID w:val="1"/>
              </w:rPr>
            </w:pPr>
          </w:p>
        </w:tc>
        <w:tc>
          <w:tcPr>
            <w:tcW w:w="4249" w:type="dxa"/>
            <w:vAlign w:val="center"/>
          </w:tcPr>
          <w:p w14:paraId="6652196F">
            <w:pPr>
              <w:keepNext w:val="0"/>
              <w:keepLines w:val="0"/>
              <w:widowControl w:val="0"/>
              <w:suppressLineNumbers w:val="0"/>
              <w:spacing w:before="0" w:beforeAutospacing="0" w:after="0" w:afterAutospacing="0"/>
              <w:ind w:left="0" w:right="0"/>
              <w:jc w:val="center"/>
              <w:outlineLvl w:val="1"/>
              <w:rPr>
                <w:rFonts w:hint="eastAsia" w:ascii="仿宋" w:hAnsi="仿宋" w:eastAsia="仿宋" w:cs="仿宋"/>
                <w:color w:val="auto"/>
                <w:highlight w:val="none"/>
                <w:lang w:eastAsia="zh"/>
                <w:woUserID w:val="1"/>
              </w:rPr>
            </w:pPr>
          </w:p>
        </w:tc>
        <w:tc>
          <w:tcPr>
            <w:tcW w:w="2747" w:type="dxa"/>
            <w:vAlign w:val="center"/>
          </w:tcPr>
          <w:p w14:paraId="76A69BBA">
            <w:pPr>
              <w:keepNext w:val="0"/>
              <w:keepLines w:val="0"/>
              <w:widowControl/>
              <w:suppressLineNumbers w:val="0"/>
              <w:spacing w:before="0" w:beforeAutospacing="0" w:after="0" w:afterAutospacing="0"/>
              <w:ind w:left="0" w:right="0"/>
              <w:jc w:val="center"/>
              <w:outlineLvl w:val="1"/>
              <w:rPr>
                <w:rFonts w:hint="eastAsia" w:ascii="仿宋" w:hAnsi="仿宋" w:eastAsia="仿宋" w:cs="仿宋"/>
                <w:color w:val="auto"/>
                <w:highlight w:val="none"/>
                <w:lang w:eastAsia="zh-CN"/>
              </w:rPr>
            </w:pPr>
          </w:p>
        </w:tc>
      </w:tr>
      <w:tr w14:paraId="2E9CC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7" w:hRule="atLeast"/>
          <w:jc w:val="center"/>
        </w:trPr>
        <w:tc>
          <w:tcPr>
            <w:tcW w:w="1424" w:type="dxa"/>
            <w:vAlign w:val="center"/>
          </w:tcPr>
          <w:p w14:paraId="54E6DB82">
            <w:pPr>
              <w:keepNext w:val="0"/>
              <w:keepLines w:val="0"/>
              <w:widowControl/>
              <w:suppressLineNumbers w:val="0"/>
              <w:spacing w:before="0" w:beforeAutospacing="0" w:after="0" w:afterAutospacing="0" w:line="360" w:lineRule="auto"/>
              <w:ind w:left="0" w:right="0"/>
              <w:jc w:val="center"/>
              <w:outlineLvl w:val="1"/>
              <w:rPr>
                <w:rFonts w:hint="eastAsia" w:ascii="仿宋" w:hAnsi="仿宋" w:eastAsia="仿宋" w:cs="仿宋"/>
                <w:color w:val="auto"/>
                <w:highlight w:val="none"/>
                <w:lang w:eastAsia="zh-CN"/>
              </w:rPr>
            </w:pPr>
          </w:p>
        </w:tc>
        <w:tc>
          <w:tcPr>
            <w:tcW w:w="4249" w:type="dxa"/>
            <w:vAlign w:val="center"/>
          </w:tcPr>
          <w:p w14:paraId="377FEDF5">
            <w:pPr>
              <w:keepNext w:val="0"/>
              <w:keepLines w:val="0"/>
              <w:widowControl/>
              <w:suppressLineNumbers w:val="0"/>
              <w:spacing w:before="0" w:beforeAutospacing="0" w:after="0" w:afterAutospacing="0" w:line="360" w:lineRule="auto"/>
              <w:ind w:left="0" w:right="0"/>
              <w:jc w:val="center"/>
              <w:outlineLvl w:val="1"/>
              <w:rPr>
                <w:rFonts w:hint="eastAsia" w:ascii="仿宋" w:hAnsi="仿宋" w:eastAsia="仿宋" w:cs="仿宋"/>
                <w:color w:val="auto"/>
                <w:highlight w:val="none"/>
                <w:lang w:eastAsia="zh"/>
                <w:woUserID w:val="6"/>
              </w:rPr>
            </w:pPr>
          </w:p>
        </w:tc>
        <w:tc>
          <w:tcPr>
            <w:tcW w:w="2747" w:type="dxa"/>
            <w:vAlign w:val="center"/>
          </w:tcPr>
          <w:p w14:paraId="41D8A0C7">
            <w:pPr>
              <w:keepNext w:val="0"/>
              <w:keepLines w:val="0"/>
              <w:widowControl/>
              <w:suppressLineNumbers w:val="0"/>
              <w:spacing w:before="0" w:beforeAutospacing="0" w:after="0" w:afterAutospacing="0" w:line="360" w:lineRule="auto"/>
              <w:ind w:left="0" w:right="0"/>
              <w:jc w:val="center"/>
              <w:outlineLvl w:val="1"/>
              <w:rPr>
                <w:rFonts w:hint="eastAsia" w:ascii="仿宋" w:hAnsi="仿宋" w:eastAsia="仿宋" w:cs="仿宋"/>
                <w:color w:val="auto"/>
                <w:highlight w:val="none"/>
                <w:lang w:eastAsia="zh"/>
                <w:woUserID w:val="5"/>
              </w:rPr>
            </w:pPr>
          </w:p>
        </w:tc>
      </w:tr>
      <w:tr w14:paraId="00263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atLeast"/>
          <w:jc w:val="center"/>
        </w:trPr>
        <w:tc>
          <w:tcPr>
            <w:tcW w:w="1424" w:type="dxa"/>
            <w:vAlign w:val="center"/>
          </w:tcPr>
          <w:p w14:paraId="4F3652B2">
            <w:pPr>
              <w:keepNext w:val="0"/>
              <w:keepLines w:val="0"/>
              <w:widowControl/>
              <w:suppressLineNumbers w:val="0"/>
              <w:spacing w:before="0" w:beforeAutospacing="0" w:after="0" w:afterAutospacing="0" w:line="360" w:lineRule="auto"/>
              <w:ind w:left="0" w:right="0"/>
              <w:jc w:val="center"/>
              <w:outlineLvl w:val="1"/>
              <w:rPr>
                <w:rFonts w:hint="eastAsia" w:ascii="仿宋" w:hAnsi="仿宋" w:eastAsia="仿宋" w:cs="仿宋"/>
                <w:color w:val="auto"/>
                <w:highlight w:val="none"/>
                <w:lang w:eastAsia="zh"/>
                <w:woUserID w:val="5"/>
              </w:rPr>
            </w:pPr>
          </w:p>
        </w:tc>
        <w:tc>
          <w:tcPr>
            <w:tcW w:w="4249" w:type="dxa"/>
            <w:vAlign w:val="center"/>
          </w:tcPr>
          <w:p w14:paraId="280C898F">
            <w:pPr>
              <w:keepNext w:val="0"/>
              <w:keepLines w:val="0"/>
              <w:widowControl/>
              <w:suppressLineNumbers w:val="0"/>
              <w:spacing w:before="0" w:beforeAutospacing="0" w:after="0" w:afterAutospacing="0" w:line="360" w:lineRule="auto"/>
              <w:ind w:left="0" w:right="0"/>
              <w:jc w:val="center"/>
              <w:outlineLvl w:val="1"/>
              <w:rPr>
                <w:rFonts w:hint="eastAsia" w:ascii="仿宋" w:hAnsi="仿宋" w:eastAsia="仿宋" w:cs="仿宋"/>
                <w:color w:val="auto"/>
                <w:highlight w:val="none"/>
                <w:lang w:eastAsia="zh"/>
                <w:woUserID w:val="5"/>
              </w:rPr>
            </w:pPr>
          </w:p>
        </w:tc>
        <w:tc>
          <w:tcPr>
            <w:tcW w:w="2747" w:type="dxa"/>
            <w:vAlign w:val="center"/>
          </w:tcPr>
          <w:p w14:paraId="53871464">
            <w:pPr>
              <w:keepNext w:val="0"/>
              <w:keepLines w:val="0"/>
              <w:widowControl/>
              <w:suppressLineNumbers w:val="0"/>
              <w:spacing w:before="0" w:beforeAutospacing="0" w:after="0" w:afterAutospacing="0" w:line="360" w:lineRule="auto"/>
              <w:ind w:left="0" w:right="0"/>
              <w:jc w:val="center"/>
              <w:outlineLvl w:val="1"/>
              <w:rPr>
                <w:rFonts w:hint="eastAsia" w:ascii="仿宋" w:hAnsi="仿宋" w:eastAsia="仿宋" w:cs="仿宋"/>
                <w:color w:val="auto"/>
                <w:highlight w:val="none"/>
                <w:lang w:eastAsia="zh"/>
                <w:woUserID w:val="5"/>
              </w:rPr>
            </w:pPr>
          </w:p>
        </w:tc>
      </w:tr>
      <w:tr w14:paraId="5C8F7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atLeast"/>
          <w:jc w:val="center"/>
        </w:trPr>
        <w:tc>
          <w:tcPr>
            <w:tcW w:w="1424" w:type="dxa"/>
            <w:vAlign w:val="center"/>
          </w:tcPr>
          <w:p w14:paraId="546A0B64">
            <w:pPr>
              <w:keepNext w:val="0"/>
              <w:keepLines w:val="0"/>
              <w:widowControl/>
              <w:suppressLineNumbers w:val="0"/>
              <w:spacing w:before="0" w:beforeAutospacing="0" w:after="0" w:afterAutospacing="0" w:line="360" w:lineRule="auto"/>
              <w:ind w:left="0" w:right="0"/>
              <w:jc w:val="center"/>
              <w:outlineLvl w:val="1"/>
              <w:rPr>
                <w:rFonts w:hint="eastAsia" w:ascii="仿宋" w:hAnsi="仿宋" w:eastAsia="仿宋" w:cs="仿宋"/>
                <w:color w:val="auto"/>
                <w:highlight w:val="none"/>
                <w:lang w:eastAsia="zh"/>
                <w:woUserID w:val="1"/>
              </w:rPr>
            </w:pPr>
          </w:p>
        </w:tc>
        <w:tc>
          <w:tcPr>
            <w:tcW w:w="4249" w:type="dxa"/>
            <w:vAlign w:val="center"/>
          </w:tcPr>
          <w:p w14:paraId="0343DC37">
            <w:pPr>
              <w:keepNext w:val="0"/>
              <w:keepLines w:val="0"/>
              <w:widowControl/>
              <w:suppressLineNumbers w:val="0"/>
              <w:spacing w:before="0" w:beforeAutospacing="0" w:after="0" w:afterAutospacing="0" w:line="360" w:lineRule="auto"/>
              <w:ind w:left="0" w:right="0"/>
              <w:jc w:val="center"/>
              <w:outlineLvl w:val="1"/>
              <w:rPr>
                <w:rFonts w:hint="eastAsia" w:ascii="仿宋" w:hAnsi="仿宋" w:eastAsia="仿宋" w:cs="仿宋"/>
                <w:color w:val="auto"/>
                <w:highlight w:val="none"/>
                <w:lang w:eastAsia="zh"/>
                <w:woUserID w:val="14"/>
              </w:rPr>
            </w:pPr>
          </w:p>
        </w:tc>
        <w:tc>
          <w:tcPr>
            <w:tcW w:w="2747" w:type="dxa"/>
            <w:vAlign w:val="center"/>
          </w:tcPr>
          <w:p w14:paraId="5D63E685">
            <w:pPr>
              <w:keepNext w:val="0"/>
              <w:keepLines w:val="0"/>
              <w:widowControl/>
              <w:suppressLineNumbers w:val="0"/>
              <w:spacing w:before="0" w:beforeAutospacing="0" w:after="0" w:afterAutospacing="0" w:line="360" w:lineRule="auto"/>
              <w:ind w:left="0" w:right="0"/>
              <w:jc w:val="center"/>
              <w:outlineLvl w:val="1"/>
              <w:rPr>
                <w:rFonts w:hint="eastAsia" w:ascii="仿宋" w:hAnsi="仿宋" w:eastAsia="仿宋" w:cs="仿宋"/>
                <w:color w:val="auto"/>
                <w:highlight w:val="none"/>
                <w:lang w:eastAsia="zh"/>
                <w:woUserID w:val="1"/>
              </w:rPr>
            </w:pPr>
          </w:p>
        </w:tc>
      </w:tr>
      <w:bookmarkEnd w:id="169"/>
    </w:tbl>
    <w:p w14:paraId="064FF284">
      <w:pPr>
        <w:pStyle w:val="76"/>
        <w:ind w:firstLine="240"/>
        <w:jc w:val="center"/>
        <w:rPr>
          <w:color w:val="auto"/>
          <w:highlight w:val="none"/>
          <w:lang w:eastAsia="zh-CN"/>
        </w:rPr>
      </w:pPr>
    </w:p>
    <w:p w14:paraId="331A0336">
      <w:pPr>
        <w:spacing w:line="360" w:lineRule="auto"/>
        <w:outlineLvl w:val="1"/>
        <w:rPr>
          <w:rFonts w:hint="eastAsia" w:ascii="仿宋" w:hAnsi="仿宋" w:eastAsia="仿宋" w:cs="仿宋"/>
          <w:b/>
          <w:bCs/>
          <w:color w:val="auto"/>
          <w:highlight w:val="none"/>
          <w:lang w:eastAsia="zh-CN"/>
        </w:rPr>
      </w:pPr>
      <w:bookmarkStart w:id="176" w:name="_Toc21001"/>
      <w:bookmarkStart w:id="177" w:name="_Toc32716"/>
      <w:bookmarkStart w:id="178" w:name="_Toc5965"/>
      <w:bookmarkStart w:id="179" w:name="_Toc26749"/>
      <w:bookmarkStart w:id="180" w:name="_Toc1715"/>
      <w:bookmarkStart w:id="181" w:name="_Toc25250"/>
      <w:bookmarkStart w:id="182" w:name="_Toc6400"/>
      <w:bookmarkStart w:id="183" w:name="_Toc13470"/>
      <w:bookmarkStart w:id="184" w:name="_Toc18695"/>
      <w:bookmarkStart w:id="185" w:name="_Toc24175"/>
      <w:bookmarkStart w:id="186" w:name="_Toc14552"/>
      <w:bookmarkStart w:id="187" w:name="_Toc23323"/>
      <w:bookmarkStart w:id="188" w:name="_Toc23195"/>
      <w:bookmarkStart w:id="189" w:name="_Toc149731423"/>
      <w:bookmarkStart w:id="190" w:name="_Toc9531"/>
      <w:bookmarkStart w:id="191" w:name="_Toc23080"/>
    </w:p>
    <w:p w14:paraId="441757B8">
      <w:pPr>
        <w:spacing w:line="360" w:lineRule="auto"/>
        <w:outlineLvl w:val="1"/>
        <w:rPr>
          <w:rFonts w:hint="eastAsia" w:ascii="仿宋" w:hAnsi="仿宋" w:eastAsia="仿宋" w:cs="仿宋"/>
          <w:b/>
          <w:bCs/>
          <w:color w:val="auto"/>
          <w:highlight w:val="none"/>
          <w:lang w:eastAsia="zh-CN"/>
        </w:rPr>
      </w:pPr>
      <w:bookmarkStart w:id="192" w:name="_Toc3315"/>
      <w:r>
        <w:rPr>
          <w:rFonts w:hint="eastAsia" w:ascii="仿宋" w:hAnsi="仿宋" w:eastAsia="仿宋" w:cs="仿宋"/>
          <w:b/>
          <w:bCs/>
          <w:color w:val="auto"/>
          <w:highlight w:val="none"/>
          <w:lang w:eastAsia="zh-CN"/>
        </w:rPr>
        <w:t>★九、工人工资支付分账</w:t>
      </w:r>
      <w:bookmarkEnd w:id="176"/>
      <w:r>
        <w:rPr>
          <w:rFonts w:hint="eastAsia" w:ascii="仿宋" w:hAnsi="仿宋" w:eastAsia="仿宋" w:cs="仿宋"/>
          <w:b/>
          <w:bCs/>
          <w:color w:val="auto"/>
          <w:highlight w:val="none"/>
          <w:lang w:eastAsia="zh-CN"/>
        </w:rPr>
        <w:t>、建筑安装工程费支付专户</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4E8CF64D">
      <w:pPr>
        <w:spacing w:line="360" w:lineRule="auto"/>
        <w:ind w:firstLine="480" w:firstLineChars="200"/>
        <w:rPr>
          <w:rFonts w:hint="eastAsia" w:ascii="仿宋" w:hAnsi="仿宋" w:eastAsia="仿宋"/>
          <w:b/>
          <w:bCs/>
          <w:color w:val="auto"/>
          <w:highlight w:val="none"/>
          <w:lang w:eastAsia="zh-CN"/>
        </w:rPr>
      </w:pPr>
      <w:r>
        <w:rPr>
          <w:rFonts w:hint="eastAsia" w:ascii="仿宋" w:hAnsi="仿宋" w:eastAsia="仿宋" w:cs="仿宋"/>
          <w:color w:val="auto"/>
          <w:highlight w:val="none"/>
          <w:lang w:eastAsia="zh-CN"/>
        </w:rPr>
        <w:t>工人工资款支付专用账户开设的约定内容：</w:t>
      </w:r>
      <w:r>
        <w:rPr>
          <w:rFonts w:hint="eastAsia" w:ascii="仿宋" w:hAnsi="仿宋" w:eastAsia="仿宋" w:cs="仿宋"/>
          <w:color w:val="auto"/>
          <w:highlight w:val="none"/>
          <w:u w:val="single"/>
          <w:lang w:eastAsia="zh-CN"/>
        </w:rPr>
        <w:t>工人工资支付专用账户的监管和管理按照《关于印发广州市建设领域工人工资支付分账管理实施细则的通知》（穗建规字〔2020〕37号）</w:t>
      </w:r>
      <w:r>
        <w:rPr>
          <w:rFonts w:hint="eastAsia" w:ascii="仿宋" w:hAnsi="仿宋" w:eastAsia="仿宋" w:cs="仿宋"/>
          <w:color w:val="auto"/>
          <w:highlight w:val="none"/>
          <w:lang w:eastAsia="zh-CN"/>
        </w:rPr>
        <w:t>。</w:t>
      </w:r>
    </w:p>
    <w:p w14:paraId="10D1B441">
      <w:pPr>
        <w:spacing w:line="360" w:lineRule="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承包人必须在开工日期前，在项目所在地设立工人工资支付专用账户，并在用工之日起15日内为每个工人办理工资个人账户，工资支付专用账户和其他款项支付账户详见下表，每期工程款中的工人工资支付至工资支付专用账户，且该账户内资金除发放工人工资外不得用于其他用途。</w:t>
      </w:r>
    </w:p>
    <w:p w14:paraId="57FCD1A4">
      <w:pPr>
        <w:spacing w:line="360" w:lineRule="auto"/>
        <w:ind w:firstLine="4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承包人工资支付专用账户和其他款项支付账户：</w:t>
      </w:r>
    </w:p>
    <w:tbl>
      <w:tblPr>
        <w:tblStyle w:val="78"/>
        <w:tblW w:w="82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29"/>
        <w:gridCol w:w="4245"/>
      </w:tblGrid>
      <w:tr w14:paraId="32D5F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vAlign w:val="center"/>
          </w:tcPr>
          <w:p w14:paraId="19036AFB">
            <w:pPr>
              <w:pStyle w:val="710"/>
              <w:keepNext w:val="0"/>
              <w:keepLines w:val="0"/>
              <w:widowControl/>
              <w:suppressLineNumbers w:val="0"/>
              <w:spacing w:before="0" w:beforeAutospacing="0" w:after="0" w:afterAutospacing="0"/>
              <w:ind w:left="0" w:right="0"/>
              <w:rPr>
                <w:rFonts w:hint="default"/>
                <w:color w:val="auto"/>
                <w:szCs w:val="18"/>
                <w:highlight w:val="none"/>
              </w:rPr>
            </w:pPr>
            <w:bookmarkStart w:id="193" w:name="_Toc4082371"/>
            <w:bookmarkStart w:id="194" w:name="_Toc10032447"/>
            <w:bookmarkStart w:id="195" w:name="_Toc530499513"/>
            <w:r>
              <w:rPr>
                <w:rFonts w:hint="eastAsia"/>
                <w:color w:val="auto"/>
                <w:szCs w:val="18"/>
                <w:highlight w:val="none"/>
              </w:rPr>
              <w:t>工资支付专用账户</w:t>
            </w:r>
            <w:bookmarkEnd w:id="193"/>
            <w:bookmarkEnd w:id="194"/>
            <w:bookmarkEnd w:id="195"/>
          </w:p>
        </w:tc>
        <w:tc>
          <w:tcPr>
            <w:tcW w:w="4245" w:type="dxa"/>
            <w:vAlign w:val="center"/>
          </w:tcPr>
          <w:p w14:paraId="332BCFF7">
            <w:pPr>
              <w:pStyle w:val="710"/>
              <w:keepNext w:val="0"/>
              <w:keepLines w:val="0"/>
              <w:widowControl/>
              <w:suppressLineNumbers w:val="0"/>
              <w:spacing w:before="0" w:beforeAutospacing="0" w:after="0" w:afterAutospacing="0"/>
              <w:ind w:left="0" w:right="0"/>
              <w:rPr>
                <w:rFonts w:hint="default"/>
                <w:b/>
                <w:color w:val="auto"/>
                <w:szCs w:val="18"/>
                <w:highlight w:val="none"/>
              </w:rPr>
            </w:pPr>
            <w:bookmarkStart w:id="196" w:name="_Toc530499514"/>
            <w:bookmarkStart w:id="197" w:name="_Toc4082372"/>
            <w:bookmarkStart w:id="198" w:name="_Toc10032448"/>
            <w:r>
              <w:rPr>
                <w:rFonts w:hint="eastAsia"/>
                <w:color w:val="auto"/>
                <w:szCs w:val="18"/>
                <w:highlight w:val="none"/>
              </w:rPr>
              <w:t>其他工程款支付账户</w:t>
            </w:r>
            <w:bookmarkEnd w:id="196"/>
            <w:bookmarkEnd w:id="197"/>
            <w:bookmarkEnd w:id="198"/>
          </w:p>
        </w:tc>
      </w:tr>
      <w:tr w14:paraId="1BDF0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vAlign w:val="center"/>
          </w:tcPr>
          <w:p w14:paraId="54F3D480">
            <w:pPr>
              <w:pStyle w:val="711"/>
              <w:keepNext w:val="0"/>
              <w:keepLines w:val="0"/>
              <w:widowControl/>
              <w:suppressLineNumbers w:val="0"/>
              <w:spacing w:before="120" w:beforeAutospacing="0" w:after="120" w:afterAutospacing="0"/>
              <w:ind w:left="0" w:right="0" w:firstLine="0" w:firstLineChars="0"/>
              <w:rPr>
                <w:rFonts w:hint="default"/>
                <w:color w:val="auto"/>
                <w:highlight w:val="none"/>
              </w:rPr>
            </w:pPr>
            <w:bookmarkStart w:id="199" w:name="_Toc4082373"/>
            <w:bookmarkStart w:id="200" w:name="_Toc10032449"/>
            <w:bookmarkStart w:id="201" w:name="_Toc530499515"/>
            <w:r>
              <w:rPr>
                <w:rFonts w:hint="eastAsia"/>
                <w:color w:val="auto"/>
                <w:sz w:val="18"/>
                <w:szCs w:val="18"/>
                <w:highlight w:val="none"/>
              </w:rPr>
              <w:t>开户行：</w:t>
            </w:r>
            <w:bookmarkEnd w:id="199"/>
            <w:bookmarkEnd w:id="200"/>
            <w:bookmarkEnd w:id="201"/>
            <w:r>
              <w:rPr>
                <w:rFonts w:hint="default"/>
                <w:color w:val="auto"/>
                <w:highlight w:val="none"/>
              </w:rPr>
              <w:t xml:space="preserve">                             </w:t>
            </w:r>
            <w:r>
              <w:rPr>
                <w:rFonts w:hint="eastAsia"/>
                <w:color w:val="auto"/>
                <w:highlight w:val="none"/>
              </w:rPr>
              <w:t xml:space="preserve"> </w:t>
            </w:r>
            <w:r>
              <w:rPr>
                <w:rFonts w:hint="default"/>
                <w:color w:val="auto"/>
                <w:highlight w:val="none"/>
              </w:rPr>
              <w:t xml:space="preserve">   </w:t>
            </w:r>
          </w:p>
        </w:tc>
        <w:tc>
          <w:tcPr>
            <w:tcW w:w="4245" w:type="dxa"/>
            <w:vAlign w:val="center"/>
          </w:tcPr>
          <w:p w14:paraId="292C199A">
            <w:pPr>
              <w:pStyle w:val="710"/>
              <w:keepNext w:val="0"/>
              <w:keepLines w:val="0"/>
              <w:widowControl/>
              <w:suppressLineNumbers w:val="0"/>
              <w:spacing w:before="0" w:beforeAutospacing="0" w:after="0" w:afterAutospacing="0"/>
              <w:ind w:left="0" w:right="0"/>
              <w:rPr>
                <w:rFonts w:hint="default"/>
                <w:b/>
                <w:color w:val="auto"/>
                <w:szCs w:val="18"/>
                <w:highlight w:val="none"/>
              </w:rPr>
            </w:pPr>
            <w:bookmarkStart w:id="202" w:name="_Toc10032450"/>
            <w:bookmarkStart w:id="203" w:name="_Toc530499516"/>
            <w:bookmarkStart w:id="204" w:name="_Toc4082374"/>
            <w:r>
              <w:rPr>
                <w:rFonts w:hint="eastAsia"/>
                <w:color w:val="auto"/>
                <w:szCs w:val="18"/>
                <w:highlight w:val="none"/>
              </w:rPr>
              <w:t>开户行</w:t>
            </w:r>
            <w:bookmarkEnd w:id="202"/>
            <w:bookmarkEnd w:id="203"/>
            <w:bookmarkEnd w:id="204"/>
            <w:r>
              <w:rPr>
                <w:rFonts w:hint="eastAsia"/>
                <w:color w:val="auto"/>
                <w:szCs w:val="18"/>
                <w:highlight w:val="none"/>
              </w:rPr>
              <w:t>：</w:t>
            </w:r>
            <w:r>
              <w:rPr>
                <w:rFonts w:hint="default"/>
                <w:color w:val="auto"/>
                <w:highlight w:val="none"/>
              </w:rPr>
              <w:t xml:space="preserve"> </w:t>
            </w:r>
            <w:r>
              <w:rPr>
                <w:rFonts w:hint="eastAsia"/>
                <w:color w:val="auto"/>
                <w:highlight w:val="none"/>
                <w:lang w:eastAsia="zh"/>
                <w:woUserID w:val="1"/>
              </w:rPr>
              <w:t xml:space="preserve"> </w:t>
            </w:r>
            <w:r>
              <w:rPr>
                <w:rFonts w:hint="default"/>
                <w:color w:val="auto"/>
                <w:highlight w:val="none"/>
              </w:rPr>
              <w:t xml:space="preserve">                             </w:t>
            </w:r>
            <w:r>
              <w:rPr>
                <w:rFonts w:hint="eastAsia"/>
                <w:color w:val="auto"/>
                <w:highlight w:val="none"/>
              </w:rPr>
              <w:t xml:space="preserve"> </w:t>
            </w:r>
            <w:r>
              <w:rPr>
                <w:rFonts w:hint="default"/>
                <w:color w:val="auto"/>
                <w:highlight w:val="none"/>
              </w:rPr>
              <w:t xml:space="preserve">   </w:t>
            </w:r>
          </w:p>
        </w:tc>
      </w:tr>
      <w:tr w14:paraId="69D64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vAlign w:val="center"/>
          </w:tcPr>
          <w:p w14:paraId="551EAED4">
            <w:pPr>
              <w:pStyle w:val="710"/>
              <w:keepNext w:val="0"/>
              <w:keepLines w:val="0"/>
              <w:widowControl/>
              <w:suppressLineNumbers w:val="0"/>
              <w:spacing w:before="0" w:beforeAutospacing="0" w:after="0" w:afterAutospacing="0"/>
              <w:ind w:left="0" w:right="0"/>
              <w:rPr>
                <w:rFonts w:hint="default"/>
                <w:color w:val="auto"/>
                <w:szCs w:val="18"/>
                <w:highlight w:val="none"/>
              </w:rPr>
            </w:pPr>
            <w:bookmarkStart w:id="205" w:name="_Toc530499517"/>
            <w:bookmarkStart w:id="206" w:name="_Toc10032451"/>
            <w:bookmarkStart w:id="207" w:name="_Toc4082375"/>
            <w:r>
              <w:rPr>
                <w:rFonts w:hint="eastAsia"/>
                <w:color w:val="auto"/>
                <w:szCs w:val="18"/>
                <w:highlight w:val="none"/>
              </w:rPr>
              <w:t>账号：</w:t>
            </w:r>
            <w:r>
              <w:rPr>
                <w:rFonts w:hint="default"/>
                <w:color w:val="auto"/>
                <w:highlight w:val="none"/>
              </w:rPr>
              <w:t xml:space="preserve">                                    </w:t>
            </w:r>
            <w:r>
              <w:rPr>
                <w:rFonts w:hint="eastAsia"/>
                <w:color w:val="auto"/>
                <w:highlight w:val="none"/>
              </w:rPr>
              <w:t xml:space="preserve"> </w:t>
            </w:r>
            <w:r>
              <w:rPr>
                <w:rFonts w:hint="default"/>
                <w:color w:val="auto"/>
                <w:highlight w:val="none"/>
              </w:rPr>
              <w:t xml:space="preserve">  </w:t>
            </w:r>
            <w:bookmarkEnd w:id="205"/>
            <w:bookmarkEnd w:id="206"/>
            <w:bookmarkEnd w:id="207"/>
          </w:p>
        </w:tc>
        <w:tc>
          <w:tcPr>
            <w:tcW w:w="4245" w:type="dxa"/>
            <w:vAlign w:val="center"/>
          </w:tcPr>
          <w:p w14:paraId="1525E531">
            <w:pPr>
              <w:pStyle w:val="710"/>
              <w:keepNext w:val="0"/>
              <w:keepLines w:val="0"/>
              <w:widowControl/>
              <w:suppressLineNumbers w:val="0"/>
              <w:spacing w:before="0" w:beforeAutospacing="0" w:after="0" w:afterAutospacing="0"/>
              <w:ind w:left="0" w:right="0"/>
              <w:rPr>
                <w:rFonts w:hint="default"/>
                <w:b/>
                <w:color w:val="auto"/>
                <w:szCs w:val="18"/>
                <w:highlight w:val="none"/>
              </w:rPr>
            </w:pPr>
            <w:bookmarkStart w:id="208" w:name="_Toc10032452"/>
            <w:bookmarkStart w:id="209" w:name="_Toc530499518"/>
            <w:bookmarkStart w:id="210" w:name="_Toc4082376"/>
            <w:r>
              <w:rPr>
                <w:rFonts w:hint="eastAsia"/>
                <w:color w:val="auto"/>
                <w:szCs w:val="18"/>
                <w:highlight w:val="none"/>
              </w:rPr>
              <w:t>账号：</w:t>
            </w:r>
            <w:r>
              <w:rPr>
                <w:rFonts w:hint="default"/>
                <w:color w:val="auto"/>
                <w:highlight w:val="none"/>
              </w:rPr>
              <w:t xml:space="preserve"> </w:t>
            </w:r>
            <w:r>
              <w:rPr>
                <w:rFonts w:hint="eastAsia"/>
                <w:color w:val="auto"/>
                <w:highlight w:val="none"/>
                <w:lang w:eastAsia="zh"/>
                <w:woUserID w:val="1"/>
              </w:rPr>
              <w:t xml:space="preserve"> </w:t>
            </w:r>
            <w:r>
              <w:rPr>
                <w:rFonts w:hint="default"/>
                <w:color w:val="auto"/>
                <w:highlight w:val="none"/>
              </w:rPr>
              <w:t xml:space="preserve">          </w:t>
            </w:r>
            <w:r>
              <w:rPr>
                <w:rFonts w:hint="eastAsia"/>
                <w:color w:val="auto"/>
                <w:highlight w:val="none"/>
              </w:rPr>
              <w:t xml:space="preserve"> </w:t>
            </w:r>
            <w:r>
              <w:rPr>
                <w:rFonts w:hint="default"/>
                <w:color w:val="auto"/>
                <w:highlight w:val="none"/>
              </w:rPr>
              <w:t xml:space="preserve">  </w:t>
            </w:r>
            <w:bookmarkEnd w:id="208"/>
            <w:bookmarkEnd w:id="209"/>
            <w:bookmarkEnd w:id="210"/>
          </w:p>
        </w:tc>
      </w:tr>
      <w:tr w14:paraId="52B29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vAlign w:val="center"/>
          </w:tcPr>
          <w:p w14:paraId="5D0987FC">
            <w:pPr>
              <w:pStyle w:val="710"/>
              <w:keepNext w:val="0"/>
              <w:keepLines w:val="0"/>
              <w:widowControl/>
              <w:suppressLineNumbers w:val="0"/>
              <w:spacing w:before="0" w:beforeAutospacing="0" w:after="0" w:afterAutospacing="0"/>
              <w:ind w:left="0" w:right="0"/>
              <w:rPr>
                <w:rFonts w:hint="default"/>
                <w:color w:val="auto"/>
                <w:szCs w:val="18"/>
                <w:highlight w:val="none"/>
              </w:rPr>
            </w:pPr>
            <w:bookmarkStart w:id="211" w:name="_Toc4082377"/>
            <w:bookmarkStart w:id="212" w:name="_Toc530499519"/>
            <w:bookmarkStart w:id="213" w:name="_Toc10032453"/>
            <w:r>
              <w:rPr>
                <w:rFonts w:hint="eastAsia"/>
                <w:color w:val="auto"/>
                <w:szCs w:val="18"/>
                <w:highlight w:val="none"/>
              </w:rPr>
              <w:t>账号名称</w:t>
            </w:r>
            <w:bookmarkEnd w:id="211"/>
            <w:bookmarkEnd w:id="212"/>
            <w:bookmarkEnd w:id="213"/>
            <w:r>
              <w:rPr>
                <w:rFonts w:hint="eastAsia"/>
                <w:color w:val="auto"/>
                <w:szCs w:val="18"/>
                <w:highlight w:val="none"/>
              </w:rPr>
              <w:t>：</w:t>
            </w:r>
            <w:r>
              <w:rPr>
                <w:rFonts w:hint="default"/>
                <w:color w:val="auto"/>
                <w:highlight w:val="none"/>
              </w:rPr>
              <w:t xml:space="preserve">                                </w:t>
            </w:r>
            <w:r>
              <w:rPr>
                <w:rFonts w:hint="eastAsia"/>
                <w:color w:val="auto"/>
                <w:highlight w:val="none"/>
              </w:rPr>
              <w:t xml:space="preserve"> </w:t>
            </w:r>
            <w:r>
              <w:rPr>
                <w:rFonts w:hint="default"/>
                <w:color w:val="auto"/>
                <w:highlight w:val="none"/>
              </w:rPr>
              <w:t xml:space="preserve">  </w:t>
            </w:r>
          </w:p>
        </w:tc>
        <w:tc>
          <w:tcPr>
            <w:tcW w:w="4245" w:type="dxa"/>
            <w:vAlign w:val="center"/>
          </w:tcPr>
          <w:p w14:paraId="51B2C814">
            <w:pPr>
              <w:pStyle w:val="710"/>
              <w:keepNext w:val="0"/>
              <w:keepLines w:val="0"/>
              <w:widowControl/>
              <w:suppressLineNumbers w:val="0"/>
              <w:spacing w:before="0" w:beforeAutospacing="0" w:after="0" w:afterAutospacing="0"/>
              <w:ind w:left="0" w:right="0"/>
              <w:rPr>
                <w:rFonts w:hint="default"/>
                <w:b/>
                <w:color w:val="auto"/>
                <w:szCs w:val="18"/>
                <w:highlight w:val="none"/>
              </w:rPr>
            </w:pPr>
            <w:bookmarkStart w:id="214" w:name="_Toc10032454"/>
            <w:bookmarkStart w:id="215" w:name="_Toc530499520"/>
            <w:bookmarkStart w:id="216" w:name="_Toc4082378"/>
            <w:r>
              <w:rPr>
                <w:rFonts w:hint="eastAsia"/>
                <w:color w:val="auto"/>
                <w:szCs w:val="18"/>
                <w:highlight w:val="none"/>
              </w:rPr>
              <w:t>账号名称</w:t>
            </w:r>
            <w:bookmarkEnd w:id="214"/>
            <w:bookmarkEnd w:id="215"/>
            <w:bookmarkEnd w:id="216"/>
            <w:r>
              <w:rPr>
                <w:rFonts w:hint="eastAsia"/>
                <w:color w:val="auto"/>
                <w:szCs w:val="18"/>
                <w:highlight w:val="none"/>
              </w:rPr>
              <w:t>：</w:t>
            </w:r>
            <w:r>
              <w:rPr>
                <w:rFonts w:hint="eastAsia"/>
                <w:color w:val="auto"/>
                <w:szCs w:val="18"/>
                <w:highlight w:val="none"/>
                <w:lang w:eastAsia="zh"/>
                <w:woUserID w:val="1"/>
              </w:rPr>
              <w:t xml:space="preserve"> </w:t>
            </w:r>
            <w:r>
              <w:rPr>
                <w:rFonts w:hint="default"/>
                <w:color w:val="auto"/>
                <w:highlight w:val="none"/>
              </w:rPr>
              <w:t xml:space="preserve">                  </w:t>
            </w:r>
            <w:r>
              <w:rPr>
                <w:rFonts w:hint="eastAsia"/>
                <w:color w:val="auto"/>
                <w:highlight w:val="none"/>
              </w:rPr>
              <w:t xml:space="preserve"> </w:t>
            </w:r>
            <w:r>
              <w:rPr>
                <w:rFonts w:hint="default"/>
                <w:color w:val="auto"/>
                <w:highlight w:val="none"/>
              </w:rPr>
              <w:t xml:space="preserve">  </w:t>
            </w:r>
          </w:p>
        </w:tc>
      </w:tr>
      <w:tr w14:paraId="2E937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029" w:type="dxa"/>
            <w:vAlign w:val="center"/>
          </w:tcPr>
          <w:p w14:paraId="28A1D15B">
            <w:pPr>
              <w:pStyle w:val="710"/>
              <w:keepNext w:val="0"/>
              <w:keepLines w:val="0"/>
              <w:widowControl/>
              <w:suppressLineNumbers w:val="0"/>
              <w:spacing w:before="0" w:beforeAutospacing="0" w:after="0" w:afterAutospacing="0"/>
              <w:ind w:left="0" w:right="0"/>
              <w:rPr>
                <w:rFonts w:hint="default"/>
                <w:color w:val="auto"/>
                <w:szCs w:val="18"/>
                <w:highlight w:val="none"/>
              </w:rPr>
            </w:pPr>
            <w:bookmarkStart w:id="217" w:name="_Toc4082379"/>
            <w:bookmarkStart w:id="218" w:name="_Toc10032455"/>
            <w:bookmarkStart w:id="219" w:name="_Toc530499521"/>
            <w:r>
              <w:rPr>
                <w:rFonts w:hint="eastAsia"/>
                <w:color w:val="auto"/>
                <w:szCs w:val="18"/>
                <w:highlight w:val="none"/>
              </w:rPr>
              <w:t>开户时间：</w:t>
            </w:r>
            <w:r>
              <w:rPr>
                <w:rFonts w:hint="default"/>
                <w:color w:val="auto"/>
                <w:highlight w:val="none"/>
              </w:rPr>
              <w:t xml:space="preserve">                       </w:t>
            </w:r>
            <w:r>
              <w:rPr>
                <w:rFonts w:hint="eastAsia"/>
                <w:color w:val="auto"/>
                <w:highlight w:val="none"/>
                <w:lang w:eastAsia="zh-CN"/>
              </w:rPr>
              <w:t xml:space="preserve">   </w:t>
            </w:r>
            <w:r>
              <w:rPr>
                <w:rFonts w:hint="default"/>
                <w:color w:val="auto"/>
                <w:highlight w:val="none"/>
              </w:rPr>
              <w:t xml:space="preserve">      </w:t>
            </w:r>
            <w:r>
              <w:rPr>
                <w:rFonts w:hint="eastAsia"/>
                <w:color w:val="auto"/>
                <w:highlight w:val="none"/>
              </w:rPr>
              <w:t xml:space="preserve"> </w:t>
            </w:r>
            <w:r>
              <w:rPr>
                <w:rFonts w:hint="default"/>
                <w:color w:val="auto"/>
                <w:highlight w:val="none"/>
              </w:rPr>
              <w:t xml:space="preserve">  </w:t>
            </w:r>
            <w:bookmarkEnd w:id="217"/>
            <w:bookmarkEnd w:id="218"/>
            <w:bookmarkEnd w:id="219"/>
          </w:p>
        </w:tc>
        <w:tc>
          <w:tcPr>
            <w:tcW w:w="4245" w:type="dxa"/>
            <w:vAlign w:val="center"/>
          </w:tcPr>
          <w:p w14:paraId="62E9634D">
            <w:pPr>
              <w:pStyle w:val="710"/>
              <w:keepNext w:val="0"/>
              <w:keepLines w:val="0"/>
              <w:widowControl/>
              <w:suppressLineNumbers w:val="0"/>
              <w:spacing w:before="0" w:beforeAutospacing="0" w:after="0" w:afterAutospacing="0"/>
              <w:ind w:left="0" w:right="0"/>
              <w:rPr>
                <w:rFonts w:hint="default"/>
                <w:b/>
                <w:color w:val="auto"/>
                <w:szCs w:val="18"/>
                <w:highlight w:val="none"/>
              </w:rPr>
            </w:pPr>
            <w:bookmarkStart w:id="220" w:name="_Toc10032456"/>
            <w:bookmarkStart w:id="221" w:name="_Toc4082380"/>
            <w:bookmarkStart w:id="222" w:name="_Toc530499522"/>
            <w:r>
              <w:rPr>
                <w:rFonts w:hint="eastAsia"/>
                <w:color w:val="auto"/>
                <w:szCs w:val="18"/>
                <w:highlight w:val="none"/>
              </w:rPr>
              <w:t>开户时间：</w:t>
            </w:r>
            <w:r>
              <w:rPr>
                <w:rFonts w:hint="default"/>
                <w:color w:val="auto"/>
                <w:highlight w:val="none"/>
              </w:rPr>
              <w:t xml:space="preserve">                             </w:t>
            </w:r>
            <w:r>
              <w:rPr>
                <w:rFonts w:hint="eastAsia"/>
                <w:color w:val="auto"/>
                <w:highlight w:val="none"/>
              </w:rPr>
              <w:t xml:space="preserve"> </w:t>
            </w:r>
            <w:r>
              <w:rPr>
                <w:rFonts w:hint="default"/>
                <w:color w:val="auto"/>
                <w:highlight w:val="none"/>
              </w:rPr>
              <w:t xml:space="preserve">  </w:t>
            </w:r>
            <w:bookmarkEnd w:id="220"/>
            <w:bookmarkEnd w:id="221"/>
            <w:bookmarkEnd w:id="222"/>
          </w:p>
        </w:tc>
      </w:tr>
    </w:tbl>
    <w:p w14:paraId="6AAD1A14">
      <w:pPr>
        <w:spacing w:line="360" w:lineRule="auto"/>
        <w:ind w:firstLine="495"/>
        <w:rPr>
          <w:rFonts w:hint="eastAsia" w:ascii="仿宋" w:hAnsi="仿宋" w:eastAsia="仿宋" w:cs="仿宋"/>
          <w:color w:val="auto"/>
          <w:highlight w:val="none"/>
        </w:rPr>
      </w:pPr>
    </w:p>
    <w:p w14:paraId="0DCE6B41">
      <w:pPr>
        <w:keepNext w:val="0"/>
        <w:keepLines w:val="0"/>
        <w:pageBreakBefore w:val="0"/>
        <w:widowControl/>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（2）工程款中的工人工资款比例：承包人申报每期工程款时应按进度款中的</w:t>
      </w:r>
      <w:r>
        <w:rPr>
          <w:rFonts w:hint="eastAsia" w:ascii="仿宋" w:hAnsi="仿宋" w:eastAsia="仿宋" w:cs="仿宋"/>
          <w:color w:val="auto"/>
          <w:highlight w:val="none"/>
          <w:lang w:val="en-US" w:eastAsia="zh-CN"/>
        </w:rPr>
        <w:t xml:space="preserve">   </w:t>
      </w:r>
      <w:r>
        <w:rPr>
          <w:rFonts w:hint="eastAsia" w:ascii="仿宋" w:hAnsi="仿宋" w:eastAsia="仿宋" w:cs="仿宋"/>
          <w:color w:val="auto"/>
          <w:highlight w:val="none"/>
          <w:lang w:eastAsia="zh-CN"/>
        </w:rPr>
        <w:t xml:space="preserve"> %（参照施工招标的《中选通知书》中单列的人工费金额除以自行施工部分的中标金额计算比例）计算工人工资，分列工人工资数额和其他款项数额，报发包人审核合格后，由发包人按照其审核通过后的金额在收到承包人合规发票后分别将工人工资和其他款项支付至对应账户。</w:t>
      </w:r>
    </w:p>
    <w:p w14:paraId="42F54500">
      <w:pPr>
        <w:ind w:firstLine="46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承包人已确认上述约定工程款中的工人工资款比例能满足本工程项目的工人工资支付。</w:t>
      </w:r>
    </w:p>
    <w:p w14:paraId="5664E72B">
      <w:pPr>
        <w:pStyle w:val="2"/>
        <w:tabs>
          <w:tab w:val="left" w:pos="1260"/>
        </w:tabs>
        <w:spacing w:line="360" w:lineRule="auto"/>
        <w:rPr>
          <w:rFonts w:hint="eastAsia" w:ascii="仿宋" w:hAnsi="仿宋" w:eastAsia="仿宋"/>
          <w:color w:val="auto"/>
          <w:sz w:val="24"/>
          <w:szCs w:val="24"/>
          <w:highlight w:val="none"/>
          <w:lang w:eastAsia="zh-CN"/>
        </w:rPr>
      </w:pPr>
      <w:bookmarkStart w:id="223" w:name="_Toc7309"/>
    </w:p>
    <w:p w14:paraId="7805321C">
      <w:pPr>
        <w:spacing w:line="360" w:lineRule="auto"/>
        <w:outlineLvl w:val="1"/>
        <w:rPr>
          <w:rFonts w:hint="eastAsia" w:ascii="仿宋" w:hAnsi="仿宋" w:eastAsia="仿宋" w:cs="仿宋"/>
          <w:b/>
          <w:bCs/>
          <w:color w:val="auto"/>
          <w:highlight w:val="none"/>
          <w:lang w:eastAsia="zh-CN"/>
        </w:rPr>
      </w:pPr>
      <w:bookmarkStart w:id="224" w:name="_Toc24281"/>
      <w:bookmarkStart w:id="225" w:name="_Toc27970"/>
      <w:bookmarkStart w:id="226" w:name="_Toc13389"/>
      <w:bookmarkStart w:id="227" w:name="_Toc13043"/>
      <w:bookmarkStart w:id="228" w:name="_Toc30978"/>
      <w:bookmarkStart w:id="229" w:name="_Toc6223"/>
      <w:bookmarkStart w:id="230" w:name="_Toc17554"/>
      <w:bookmarkStart w:id="231" w:name="_Toc149731424"/>
      <w:bookmarkStart w:id="232" w:name="_Toc30619"/>
      <w:bookmarkStart w:id="233" w:name="_Toc12432"/>
      <w:bookmarkStart w:id="234" w:name="_Toc9071"/>
      <w:bookmarkStart w:id="235" w:name="_Toc2011"/>
      <w:bookmarkStart w:id="236" w:name="_Toc32429"/>
      <w:bookmarkStart w:id="237" w:name="_Toc20003"/>
      <w:bookmarkStart w:id="238" w:name="_Toc31326"/>
      <w:bookmarkStart w:id="239" w:name="_Toc4946"/>
      <w:r>
        <w:rPr>
          <w:rFonts w:hint="eastAsia" w:ascii="仿宋" w:hAnsi="仿宋" w:eastAsia="仿宋" w:cs="仿宋"/>
          <w:b/>
          <w:bCs/>
          <w:color w:val="auto"/>
          <w:highlight w:val="none"/>
          <w:lang w:eastAsia="zh-CN"/>
        </w:rPr>
        <w:t>十、组成合同的文件</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A606609">
      <w:pPr>
        <w:pStyle w:val="2"/>
        <w:tabs>
          <w:tab w:val="left" w:pos="1260"/>
        </w:tabs>
        <w:spacing w:line="360" w:lineRule="auto"/>
        <w:ind w:firstLine="480" w:firstLineChars="200"/>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组成本合同的文件及其优先解释顺序与本合同第三部分《专用条款》第</w:t>
      </w:r>
      <w:r>
        <w:rPr>
          <w:rFonts w:ascii="仿宋" w:hAnsi="仿宋" w:eastAsia="仿宋" w:cs="仿宋"/>
          <w:color w:val="auto"/>
          <w:sz w:val="24"/>
          <w:szCs w:val="24"/>
          <w:highlight w:val="none"/>
          <w:lang w:eastAsia="zh-CN"/>
        </w:rPr>
        <w:t>2.2</w:t>
      </w:r>
      <w:r>
        <w:rPr>
          <w:rFonts w:hint="eastAsia" w:ascii="仿宋" w:hAnsi="仿宋" w:eastAsia="仿宋" w:cs="仿宋"/>
          <w:color w:val="auto"/>
          <w:sz w:val="24"/>
          <w:szCs w:val="24"/>
          <w:highlight w:val="none"/>
          <w:lang w:eastAsia="zh-CN"/>
        </w:rPr>
        <w:t>款赋予的约定一致。</w:t>
      </w:r>
    </w:p>
    <w:p w14:paraId="5F376FDD">
      <w:pPr>
        <w:pStyle w:val="2"/>
        <w:tabs>
          <w:tab w:val="left" w:pos="1260"/>
        </w:tabs>
        <w:spacing w:line="360" w:lineRule="auto"/>
        <w:ind w:firstLine="520" w:firstLineChars="217"/>
        <w:rPr>
          <w:rFonts w:hint="eastAsia" w:ascii="仿宋" w:hAnsi="仿宋" w:eastAsia="仿宋"/>
          <w:color w:val="auto"/>
          <w:sz w:val="24"/>
          <w:szCs w:val="24"/>
          <w:highlight w:val="none"/>
          <w:lang w:eastAsia="zh-CN"/>
        </w:rPr>
      </w:pPr>
    </w:p>
    <w:p w14:paraId="6CCB5038">
      <w:pPr>
        <w:spacing w:line="360" w:lineRule="auto"/>
        <w:outlineLvl w:val="1"/>
        <w:rPr>
          <w:rFonts w:hint="eastAsia" w:ascii="仿宋" w:hAnsi="仿宋" w:eastAsia="仿宋" w:cs="仿宋"/>
          <w:b/>
          <w:bCs/>
          <w:color w:val="auto"/>
          <w:highlight w:val="none"/>
          <w:lang w:eastAsia="zh-CN"/>
        </w:rPr>
      </w:pPr>
      <w:bookmarkStart w:id="240" w:name="_Toc6264"/>
      <w:bookmarkStart w:id="241" w:name="_Toc5989"/>
      <w:bookmarkStart w:id="242" w:name="_Toc5604"/>
      <w:bookmarkStart w:id="243" w:name="_Toc26734"/>
      <w:bookmarkStart w:id="244" w:name="_Toc28855"/>
      <w:bookmarkStart w:id="245" w:name="_Toc14592"/>
      <w:bookmarkStart w:id="246" w:name="_Toc24613"/>
      <w:bookmarkStart w:id="247" w:name="_Toc17034"/>
      <w:bookmarkStart w:id="248" w:name="_Toc149731425"/>
      <w:bookmarkStart w:id="249" w:name="_Toc32328"/>
      <w:bookmarkStart w:id="250" w:name="_Toc27905"/>
      <w:bookmarkStart w:id="251" w:name="_Toc28986"/>
      <w:bookmarkStart w:id="252" w:name="_Toc5389"/>
      <w:bookmarkStart w:id="253" w:name="_Toc8857"/>
      <w:bookmarkStart w:id="254" w:name="_Toc15985"/>
      <w:bookmarkStart w:id="255" w:name="_Toc20079"/>
      <w:bookmarkStart w:id="256" w:name="_Toc11897"/>
      <w:r>
        <w:rPr>
          <w:rFonts w:hint="eastAsia" w:ascii="仿宋" w:hAnsi="仿宋" w:eastAsia="仿宋" w:cs="仿宋"/>
          <w:b/>
          <w:bCs/>
          <w:color w:val="auto"/>
          <w:highlight w:val="none"/>
          <w:lang w:eastAsia="zh-CN"/>
        </w:rPr>
        <w:t>十一、词语含义</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4ED15381">
      <w:pPr>
        <w:pStyle w:val="32"/>
        <w:spacing w:line="360" w:lineRule="auto"/>
        <w:ind w:firstLine="480" w:firstLineChars="200"/>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本协议书中有关词语含义与本合同第二部分《通用条款》第</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条赋予它们的定义相同。</w:t>
      </w:r>
    </w:p>
    <w:p w14:paraId="4F7D49B7">
      <w:pPr>
        <w:pStyle w:val="32"/>
        <w:spacing w:line="360" w:lineRule="auto"/>
        <w:ind w:firstLine="480" w:firstLineChars="200"/>
        <w:rPr>
          <w:rFonts w:hint="eastAsia" w:ascii="仿宋" w:hAnsi="仿宋" w:eastAsia="仿宋"/>
          <w:color w:val="auto"/>
          <w:sz w:val="24"/>
          <w:szCs w:val="24"/>
          <w:highlight w:val="none"/>
          <w:lang w:eastAsia="zh-CN"/>
        </w:rPr>
      </w:pPr>
    </w:p>
    <w:p w14:paraId="1481C0C2">
      <w:pPr>
        <w:spacing w:line="360" w:lineRule="auto"/>
        <w:outlineLvl w:val="1"/>
        <w:rPr>
          <w:rFonts w:hint="eastAsia" w:ascii="仿宋" w:hAnsi="仿宋" w:eastAsia="仿宋" w:cs="仿宋"/>
          <w:b/>
          <w:bCs/>
          <w:color w:val="auto"/>
          <w:highlight w:val="none"/>
          <w:lang w:eastAsia="zh-CN"/>
        </w:rPr>
      </w:pPr>
      <w:bookmarkStart w:id="257" w:name="_Toc6359"/>
      <w:bookmarkStart w:id="258" w:name="_Toc149731426"/>
      <w:bookmarkStart w:id="259" w:name="_Toc3491"/>
      <w:bookmarkStart w:id="260" w:name="_Toc23335"/>
      <w:bookmarkStart w:id="261" w:name="_Toc30079"/>
      <w:bookmarkStart w:id="262" w:name="_Toc24916"/>
      <w:bookmarkStart w:id="263" w:name="_Toc1922"/>
      <w:bookmarkStart w:id="264" w:name="_Toc17383"/>
      <w:bookmarkStart w:id="265" w:name="_Toc19743"/>
      <w:bookmarkStart w:id="266" w:name="_Toc13671"/>
      <w:bookmarkStart w:id="267" w:name="_Toc28073"/>
      <w:bookmarkStart w:id="268" w:name="_Toc27517"/>
      <w:bookmarkStart w:id="269" w:name="_Toc499"/>
      <w:bookmarkStart w:id="270" w:name="_Toc32145"/>
      <w:bookmarkStart w:id="271" w:name="_Toc3093"/>
      <w:bookmarkStart w:id="272" w:name="_Toc16118"/>
      <w:bookmarkStart w:id="273" w:name="_Toc17616"/>
      <w:r>
        <w:rPr>
          <w:rFonts w:hint="eastAsia" w:ascii="仿宋" w:hAnsi="仿宋" w:eastAsia="仿宋" w:cs="仿宋"/>
          <w:b/>
          <w:bCs/>
          <w:color w:val="auto"/>
          <w:highlight w:val="none"/>
          <w:lang w:eastAsia="zh-CN"/>
        </w:rPr>
        <w:t>十二、承诺</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50CC8CB2">
      <w:pPr>
        <w:widowControl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发包人承诺已阅读、理解并接受本合同所有条款，按照法律规定履行项目审批或备案手续、筹集工程建设资金，按照本合同约定的时限和方法支付工程款及其他应当支付的款项，履行本合同所约定的全部义务。</w:t>
      </w:r>
    </w:p>
    <w:p w14:paraId="523E67AC">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承包人承诺已阅读、理解并接受本合同所有条款，按照法律规定及合同约定组织完成勘察、设计、采购、施工或设计、施工等阶段总承包内容，并对工程的质量、安全、工期和造价等全面负责，不进行转包及违法分包，并在缺陷责任期及保修期内承担相应的工程维修责任</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履行本合同所约定的全部义务。</w:t>
      </w:r>
    </w:p>
    <w:p w14:paraId="3F1C179D">
      <w:pPr>
        <w:spacing w:line="360" w:lineRule="auto"/>
        <w:ind w:firstLine="523" w:firstLineChars="218"/>
        <w:rPr>
          <w:rFonts w:hint="eastAsia" w:ascii="仿宋" w:hAnsi="仿宋" w:eastAsia="仿宋" w:cs="仿宋"/>
          <w:color w:val="auto"/>
          <w:highlight w:val="none"/>
          <w:lang w:eastAsia="zh-CN"/>
        </w:rPr>
      </w:pPr>
      <w:r>
        <w:rPr>
          <w:rFonts w:ascii="仿宋" w:hAnsi="仿宋" w:eastAsia="仿宋"/>
          <w:color w:val="auto"/>
          <w:highlight w:val="none"/>
          <w:lang w:eastAsia="zh-CN"/>
        </w:rPr>
        <w:t>3</w:t>
      </w:r>
      <w:r>
        <w:rPr>
          <w:rFonts w:hint="eastAsia" w:ascii="仿宋" w:hAnsi="仿宋" w:eastAsia="仿宋"/>
          <w:color w:val="auto"/>
          <w:highlight w:val="none"/>
          <w:lang w:eastAsia="zh-CN"/>
        </w:rPr>
        <w:t>、</w:t>
      </w:r>
      <w:r>
        <w:rPr>
          <w:rFonts w:hint="eastAsia" w:ascii="仿宋" w:hAnsi="仿宋" w:eastAsia="仿宋" w:cs="仿宋"/>
          <w:color w:val="auto"/>
          <w:highlight w:val="none"/>
          <w:lang w:eastAsia="zh-CN"/>
        </w:rPr>
        <w:t>承包人如为联合体，联合体牵头单位须对本合同项目的勘察、设计、施工进度、质量、安全、投资控制、管理等进行全面协调管理工作，具体详见合同通用条款及专用条款</w:t>
      </w:r>
      <w:r>
        <w:rPr>
          <w:rFonts w:ascii="仿宋" w:hAnsi="仿宋" w:eastAsia="仿宋" w:cs="仿宋"/>
          <w:color w:val="auto"/>
          <w:highlight w:val="none"/>
          <w:lang w:eastAsia="zh-CN"/>
        </w:rPr>
        <w:t>约定</w:t>
      </w:r>
      <w:r>
        <w:rPr>
          <w:rFonts w:hint="eastAsia" w:ascii="仿宋" w:hAnsi="仿宋" w:eastAsia="仿宋" w:cs="仿宋"/>
          <w:color w:val="auto"/>
          <w:highlight w:val="none"/>
          <w:lang w:eastAsia="zh-CN"/>
        </w:rPr>
        <w:t>。</w:t>
      </w:r>
    </w:p>
    <w:p w14:paraId="6FEC1087">
      <w:pPr>
        <w:pStyle w:val="2"/>
        <w:rPr>
          <w:rFonts w:hint="eastAsia" w:ascii="仿宋" w:hAnsi="仿宋" w:eastAsia="仿宋" w:cs="仿宋"/>
          <w:color w:val="auto"/>
          <w:highlight w:val="none"/>
          <w:lang w:eastAsia="zh-CN"/>
        </w:rPr>
      </w:pPr>
    </w:p>
    <w:p w14:paraId="602C707E">
      <w:pPr>
        <w:spacing w:line="360" w:lineRule="auto"/>
        <w:outlineLvl w:val="1"/>
        <w:rPr>
          <w:rFonts w:hint="eastAsia" w:ascii="仿宋" w:hAnsi="仿宋" w:eastAsia="仿宋" w:cs="仿宋"/>
          <w:b/>
          <w:bCs/>
          <w:color w:val="auto"/>
          <w:highlight w:val="none"/>
          <w:lang w:eastAsia="zh-CN"/>
        </w:rPr>
      </w:pPr>
      <w:bookmarkStart w:id="274" w:name="_Toc22321"/>
      <w:r>
        <w:rPr>
          <w:rFonts w:hint="eastAsia" w:ascii="仿宋" w:hAnsi="仿宋" w:eastAsia="仿宋" w:cs="仿宋"/>
          <w:b/>
          <w:bCs/>
          <w:color w:val="auto"/>
          <w:highlight w:val="none"/>
          <w:lang w:eastAsia="zh-CN"/>
        </w:rPr>
        <w:t>十三、合同生效</w:t>
      </w:r>
      <w:bookmarkEnd w:id="274"/>
    </w:p>
    <w:p w14:paraId="4DBA7F4E">
      <w:pPr>
        <w:spacing w:line="360" w:lineRule="auto"/>
        <w:ind w:left="525"/>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本合同订立时间：</w:t>
      </w:r>
      <w:r>
        <w:rPr>
          <w:rFonts w:hint="eastAsia" w:ascii="仿宋" w:hAnsi="仿宋" w:eastAsia="仿宋" w:cs="仿宋"/>
          <w:color w:val="auto"/>
          <w:highlight w:val="none"/>
          <w:u w:val="single"/>
          <w:lang w:eastAsia="zh-CN"/>
        </w:rPr>
        <w:t xml:space="preserve"> 2025 </w:t>
      </w:r>
      <w:r>
        <w:rPr>
          <w:rFonts w:hint="eastAsia" w:ascii="仿宋" w:hAnsi="仿宋" w:eastAsia="仿宋" w:cs="仿宋"/>
          <w:color w:val="auto"/>
          <w:highlight w:val="none"/>
          <w:lang w:eastAsia="zh-CN"/>
        </w:rPr>
        <w:t>年</w:t>
      </w:r>
      <w:r>
        <w:rPr>
          <w:rFonts w:hint="eastAsia" w:ascii="仿宋" w:hAnsi="仿宋" w:eastAsia="仿宋" w:cs="仿宋"/>
          <w:color w:val="auto"/>
          <w:highlight w:val="none"/>
          <w:u w:val="single"/>
          <w:lang w:val="en-US" w:eastAsia="zh-CN"/>
        </w:rPr>
        <w:t xml:space="preserve">   </w:t>
      </w:r>
      <w:r>
        <w:rPr>
          <w:rFonts w:hint="eastAsia" w:ascii="仿宋" w:hAnsi="仿宋" w:eastAsia="仿宋" w:cs="仿宋"/>
          <w:color w:val="auto"/>
          <w:highlight w:val="none"/>
          <w:lang w:eastAsia="zh-CN"/>
        </w:rPr>
        <w:t>月</w:t>
      </w:r>
      <w:r>
        <w:rPr>
          <w:rFonts w:hint="eastAsia" w:ascii="仿宋" w:hAnsi="仿宋" w:eastAsia="仿宋" w:cs="仿宋"/>
          <w:color w:val="auto"/>
          <w:highlight w:val="none"/>
          <w:u w:val="single"/>
          <w:lang w:val="en-US" w:eastAsia="zh-CN"/>
        </w:rPr>
        <w:t xml:space="preserve">   </w:t>
      </w:r>
      <w:r>
        <w:rPr>
          <w:rFonts w:hint="eastAsia" w:ascii="仿宋" w:hAnsi="仿宋" w:eastAsia="仿宋" w:cs="仿宋"/>
          <w:color w:val="auto"/>
          <w:highlight w:val="none"/>
          <w:lang w:eastAsia="zh-CN"/>
        </w:rPr>
        <w:t>日</w:t>
      </w:r>
    </w:p>
    <w:p w14:paraId="77142EC4">
      <w:pPr>
        <w:spacing w:line="360" w:lineRule="auto"/>
        <w:ind w:left="525"/>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本合同订立地点：</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
          <w:woUserID w:val="1"/>
        </w:rPr>
        <w:t>广州市从化区</w:t>
      </w:r>
      <w:r>
        <w:rPr>
          <w:rFonts w:hint="eastAsia" w:ascii="仿宋" w:hAnsi="仿宋" w:eastAsia="仿宋" w:cs="仿宋"/>
          <w:color w:val="auto"/>
          <w:highlight w:val="none"/>
          <w:u w:val="single"/>
          <w:lang w:eastAsia="zh-CN"/>
        </w:rPr>
        <w:t xml:space="preserve"> </w:t>
      </w:r>
    </w:p>
    <w:p w14:paraId="220C47BD">
      <w:pPr>
        <w:spacing w:line="360" w:lineRule="auto"/>
        <w:ind w:left="525"/>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合同双方当事人约定本合同自双方签字盖章后生效。</w:t>
      </w:r>
    </w:p>
    <w:p w14:paraId="4C6C2DD8">
      <w:pPr>
        <w:spacing w:line="360" w:lineRule="auto"/>
        <w:rPr>
          <w:rFonts w:hint="eastAsia" w:ascii="仿宋" w:hAnsi="仿宋" w:eastAsia="仿宋" w:cs="仿宋"/>
          <w:b/>
          <w:bCs/>
          <w:color w:val="auto"/>
          <w:highlight w:val="none"/>
          <w:lang w:eastAsia="zh-CN"/>
        </w:rPr>
      </w:pPr>
    </w:p>
    <w:p w14:paraId="59E02D03">
      <w:pPr>
        <w:spacing w:line="360" w:lineRule="auto"/>
        <w:outlineLvl w:val="1"/>
        <w:rPr>
          <w:rFonts w:hint="eastAsia" w:ascii="仿宋" w:hAnsi="仿宋" w:eastAsia="仿宋" w:cs="仿宋"/>
          <w:b/>
          <w:bCs/>
          <w:color w:val="auto"/>
          <w:highlight w:val="none"/>
          <w:lang w:eastAsia="zh-CN"/>
        </w:rPr>
      </w:pPr>
      <w:bookmarkStart w:id="275" w:name="_Toc30731"/>
      <w:r>
        <w:rPr>
          <w:rFonts w:hint="eastAsia" w:ascii="仿宋" w:hAnsi="仿宋" w:eastAsia="仿宋" w:cs="仿宋"/>
          <w:b/>
          <w:bCs/>
          <w:color w:val="auto"/>
          <w:highlight w:val="none"/>
          <w:lang w:eastAsia="zh-CN"/>
        </w:rPr>
        <w:t>十四、合同份数</w:t>
      </w:r>
      <w:bookmarkEnd w:id="275"/>
    </w:p>
    <w:p w14:paraId="7C0B331B">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bCs/>
          <w:snapToGrid w:val="0"/>
          <w:color w:val="auto"/>
          <w:highlight w:val="none"/>
          <w:lang w:eastAsia="zh-CN"/>
        </w:rPr>
        <w:t>本合同正本一式</w:t>
      </w:r>
      <w:r>
        <w:rPr>
          <w:rFonts w:hint="eastAsia" w:ascii="仿宋" w:hAnsi="仿宋" w:eastAsia="仿宋" w:cs="仿宋"/>
          <w:bCs/>
          <w:snapToGrid w:val="0"/>
          <w:color w:val="auto"/>
          <w:highlight w:val="none"/>
          <w:u w:val="single"/>
          <w:lang w:val="en-US" w:eastAsia="zh-CN"/>
        </w:rPr>
        <w:t>2</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lang w:eastAsia="zh-CN"/>
        </w:rPr>
        <w:t>份，各方执</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u w:val="single"/>
          <w:lang w:val="en-US" w:eastAsia="zh-CN"/>
          <w:woUserID w:val="1"/>
        </w:rPr>
        <w:t>1</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lang w:eastAsia="zh-CN"/>
        </w:rPr>
        <w:t>份；副本</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u w:val="single"/>
          <w:lang w:val="en-US" w:eastAsia="zh-CN"/>
          <w:woUserID w:val="1"/>
        </w:rPr>
        <w:t>6</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lang w:eastAsia="zh-CN"/>
        </w:rPr>
        <w:t>份，各方执</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u w:val="single"/>
          <w:lang w:val="en-US" w:eastAsia="zh-CN"/>
          <w:woUserID w:val="1"/>
        </w:rPr>
        <w:t>3</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lang w:eastAsia="zh-CN"/>
        </w:rPr>
        <w:t>份</w:t>
      </w:r>
      <w:r>
        <w:rPr>
          <w:rFonts w:hint="eastAsia" w:ascii="仿宋" w:hAnsi="仿宋" w:eastAsia="仿宋" w:cs="仿宋"/>
          <w:color w:val="auto"/>
          <w:highlight w:val="none"/>
          <w:lang w:eastAsia="zh-CN"/>
        </w:rPr>
        <w:t>。合同正、副本具有同等法律效力，若合同副本与正本的表述不一致时，以合同正本为准。</w:t>
      </w:r>
    </w:p>
    <w:p w14:paraId="161C43D4">
      <w:pPr>
        <w:rPr>
          <w:rFonts w:hint="eastAsia" w:ascii="仿宋" w:hAnsi="仿宋" w:eastAsia="仿宋" w:cs="宋体"/>
          <w:b/>
          <w:bCs/>
          <w:color w:val="auto"/>
          <w:highlight w:val="none"/>
          <w:lang w:eastAsia="zh-CN"/>
        </w:rPr>
      </w:pPr>
      <w:r>
        <w:rPr>
          <w:rFonts w:hint="eastAsia" w:ascii="仿宋" w:hAnsi="仿宋" w:eastAsia="仿宋" w:cs="宋体"/>
          <w:b/>
          <w:bCs/>
          <w:color w:val="auto"/>
          <w:highlight w:val="none"/>
          <w:lang w:eastAsia="zh-CN"/>
        </w:rPr>
        <w:br w:type="page"/>
      </w:r>
    </w:p>
    <w:p w14:paraId="7CA2E1A3">
      <w:pPr>
        <w:spacing w:after="120" w:line="276" w:lineRule="auto"/>
        <w:rPr>
          <w:rFonts w:hint="eastAsia" w:ascii="仿宋" w:hAnsi="仿宋" w:eastAsia="仿宋" w:cs="宋体"/>
          <w:b/>
          <w:bCs/>
          <w:color w:val="auto"/>
          <w:highlight w:val="none"/>
          <w:lang w:eastAsia="zh-CN"/>
        </w:rPr>
      </w:pPr>
      <w:r>
        <w:rPr>
          <w:rFonts w:hint="eastAsia" w:ascii="仿宋" w:hAnsi="仿宋" w:eastAsia="仿宋" w:cs="宋体"/>
          <w:b/>
          <w:bCs/>
          <w:color w:val="auto"/>
          <w:highlight w:val="none"/>
          <w:lang w:eastAsia="zh-CN"/>
        </w:rPr>
        <w:t>（此页无正文）</w:t>
      </w:r>
    </w:p>
    <w:tbl>
      <w:tblPr>
        <w:tblStyle w:val="78"/>
        <w:tblW w:w="9395" w:type="dxa"/>
        <w:jc w:val="center"/>
        <w:tblLayout w:type="fixed"/>
        <w:tblCellMar>
          <w:top w:w="0" w:type="dxa"/>
          <w:left w:w="108" w:type="dxa"/>
          <w:bottom w:w="0" w:type="dxa"/>
          <w:right w:w="108" w:type="dxa"/>
        </w:tblCellMar>
      </w:tblPr>
      <w:tblGrid>
        <w:gridCol w:w="4697"/>
        <w:gridCol w:w="4698"/>
      </w:tblGrid>
      <w:tr w14:paraId="0B18D63A">
        <w:tblPrEx>
          <w:tblCellMar>
            <w:top w:w="0" w:type="dxa"/>
            <w:left w:w="108" w:type="dxa"/>
            <w:bottom w:w="0" w:type="dxa"/>
            <w:right w:w="108" w:type="dxa"/>
          </w:tblCellMar>
        </w:tblPrEx>
        <w:trPr>
          <w:trHeight w:val="90" w:hRule="atLeast"/>
          <w:jc w:val="center"/>
        </w:trPr>
        <w:tc>
          <w:tcPr>
            <w:tcW w:w="4697" w:type="dxa"/>
            <w:noWrap/>
          </w:tcPr>
          <w:p w14:paraId="16B1E27F">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rPr>
            </w:pPr>
            <w:r>
              <w:rPr>
                <w:rFonts w:hint="eastAsia" w:ascii="仿宋" w:hAnsi="仿宋" w:eastAsia="仿宋" w:cs="仿宋"/>
                <w:bCs/>
                <w:snapToGrid w:val="0"/>
                <w:color w:val="auto"/>
                <w:kern w:val="0"/>
                <w:sz w:val="24"/>
                <w:highlight w:val="none"/>
              </w:rPr>
              <w:br w:type="page"/>
            </w:r>
            <w:r>
              <w:rPr>
                <w:rFonts w:hint="eastAsia" w:ascii="仿宋" w:hAnsi="仿宋" w:eastAsia="仿宋" w:cs="仿宋"/>
                <w:color w:val="auto"/>
                <w:sz w:val="24"/>
                <w:highlight w:val="none"/>
              </w:rPr>
              <w:t>发包人：（盖章）</w:t>
            </w:r>
          </w:p>
          <w:p w14:paraId="03D33C60">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广州从化城投商业发展有限公司</w:t>
            </w:r>
          </w:p>
          <w:p w14:paraId="7E3886D4">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lang w:eastAsia="zh"/>
                <w:woUserID w:val="1"/>
              </w:rPr>
            </w:pPr>
            <w:r>
              <w:rPr>
                <w:rFonts w:hint="eastAsia" w:ascii="仿宋" w:hAnsi="仿宋" w:eastAsia="仿宋" w:cs="仿宋"/>
                <w:color w:val="auto"/>
                <w:sz w:val="24"/>
                <w:highlight w:val="none"/>
              </w:rPr>
              <w:t>统一社会信用代码：</w:t>
            </w:r>
          </w:p>
          <w:p w14:paraId="4E654FA3">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rPr>
            </w:pPr>
            <w:r>
              <w:rPr>
                <w:rFonts w:hint="eastAsia" w:ascii="仿宋" w:hAnsi="仿宋" w:eastAsia="仿宋" w:cs="仿宋"/>
                <w:color w:val="auto"/>
                <w:sz w:val="24"/>
                <w:highlight w:val="none"/>
              </w:rPr>
              <w:t>法定代表人：</w:t>
            </w:r>
          </w:p>
          <w:p w14:paraId="5D1D5836">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rPr>
            </w:pPr>
            <w:r>
              <w:rPr>
                <w:rFonts w:hint="eastAsia" w:ascii="仿宋" w:hAnsi="仿宋" w:eastAsia="仿宋" w:cs="仿宋"/>
                <w:color w:val="auto"/>
                <w:sz w:val="24"/>
                <w:highlight w:val="none"/>
              </w:rPr>
              <w:t>授权代表：</w:t>
            </w:r>
          </w:p>
          <w:p w14:paraId="0EBBD6FF">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rPr>
            </w:pPr>
            <w:r>
              <w:rPr>
                <w:rFonts w:hint="eastAsia" w:ascii="仿宋" w:hAnsi="仿宋" w:eastAsia="仿宋" w:cs="仿宋"/>
                <w:color w:val="auto"/>
                <w:sz w:val="24"/>
                <w:highlight w:val="none"/>
              </w:rPr>
              <w:t>联系人：</w:t>
            </w:r>
          </w:p>
          <w:p w14:paraId="14015D77">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lang w:eastAsia="zh"/>
                <w:woUserID w:val="1"/>
              </w:rPr>
            </w:pPr>
            <w:r>
              <w:rPr>
                <w:rFonts w:hint="eastAsia" w:ascii="仿宋" w:hAnsi="仿宋" w:eastAsia="仿宋" w:cs="仿宋"/>
                <w:color w:val="auto"/>
                <w:sz w:val="24"/>
                <w:highlight w:val="none"/>
              </w:rPr>
              <w:t>电话：</w:t>
            </w:r>
          </w:p>
          <w:p w14:paraId="07BE8D3F">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lang w:eastAsia="zh"/>
                <w:woUserID w:val="1"/>
              </w:rPr>
            </w:pPr>
            <w:r>
              <w:rPr>
                <w:rFonts w:hint="eastAsia" w:ascii="仿宋" w:hAnsi="仿宋" w:eastAsia="仿宋" w:cs="仿宋"/>
                <w:color w:val="auto"/>
                <w:sz w:val="24"/>
                <w:highlight w:val="none"/>
              </w:rPr>
              <w:t>传真：</w:t>
            </w:r>
            <w:r>
              <w:rPr>
                <w:rFonts w:hint="eastAsia" w:ascii="仿宋" w:hAnsi="仿宋" w:eastAsia="仿宋" w:cs="仿宋"/>
                <w:color w:val="auto"/>
                <w:sz w:val="24"/>
                <w:highlight w:val="none"/>
                <w:lang w:eastAsia="zh"/>
                <w:woUserID w:val="1"/>
              </w:rPr>
              <w:t>/</w:t>
            </w:r>
          </w:p>
          <w:p w14:paraId="7044CB16">
            <w:pPr>
              <w:pStyle w:val="648"/>
              <w:keepNext w:val="0"/>
              <w:keepLines w:val="0"/>
              <w:suppressLineNumbers w:val="0"/>
              <w:spacing w:before="0" w:beforeAutospacing="0" w:after="0" w:afterAutospacing="0" w:line="360" w:lineRule="auto"/>
              <w:ind w:left="0" w:right="0"/>
              <w:rPr>
                <w:rFonts w:hint="eastAsia" w:ascii="仿宋" w:hAnsi="仿宋" w:eastAsia="仿宋" w:cs="仿宋"/>
                <w:color w:val="auto"/>
                <w:sz w:val="24"/>
                <w:szCs w:val="24"/>
                <w:highlight w:val="none"/>
                <w:lang w:eastAsia="zh"/>
                <w:woUserID w:val="1"/>
              </w:rPr>
            </w:pPr>
            <w:r>
              <w:rPr>
                <w:rFonts w:hint="eastAsia" w:ascii="仿宋" w:hAnsi="仿宋" w:eastAsia="仿宋" w:cs="仿宋"/>
                <w:color w:val="auto"/>
                <w:sz w:val="24"/>
                <w:szCs w:val="24"/>
                <w:highlight w:val="none"/>
              </w:rPr>
              <w:t>开户银行：</w:t>
            </w:r>
          </w:p>
          <w:p w14:paraId="224965CB">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lang w:eastAsia="zh"/>
                <w:woUserID w:val="1"/>
              </w:rPr>
            </w:pPr>
            <w:r>
              <w:rPr>
                <w:rFonts w:hint="eastAsia" w:ascii="仿宋" w:hAnsi="仿宋" w:eastAsia="仿宋" w:cs="仿宋"/>
                <w:color w:val="auto"/>
                <w:sz w:val="24"/>
                <w:highlight w:val="none"/>
              </w:rPr>
              <w:t>账号：</w:t>
            </w:r>
          </w:p>
          <w:p w14:paraId="537A1EB1">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lang w:eastAsia="zh"/>
                <w:woUserID w:val="1"/>
              </w:rPr>
            </w:pPr>
            <w:r>
              <w:rPr>
                <w:rFonts w:hint="eastAsia" w:ascii="仿宋" w:hAnsi="仿宋" w:eastAsia="仿宋" w:cs="仿宋"/>
                <w:color w:val="auto"/>
                <w:sz w:val="24"/>
                <w:highlight w:val="none"/>
              </w:rPr>
              <w:t>邮政编码：</w:t>
            </w:r>
          </w:p>
          <w:p w14:paraId="35E1B47B">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lang w:eastAsia="zh"/>
                <w:woUserID w:val="1"/>
              </w:rPr>
            </w:pPr>
            <w:r>
              <w:rPr>
                <w:rFonts w:hint="eastAsia" w:ascii="仿宋" w:hAnsi="仿宋" w:eastAsia="仿宋" w:cs="仿宋"/>
                <w:color w:val="auto"/>
                <w:sz w:val="24"/>
                <w:highlight w:val="none"/>
              </w:rPr>
              <w:t>电子邮箱：</w:t>
            </w:r>
          </w:p>
        </w:tc>
        <w:tc>
          <w:tcPr>
            <w:tcW w:w="4698" w:type="dxa"/>
            <w:noWrap/>
          </w:tcPr>
          <w:p w14:paraId="076864EB">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rPr>
            </w:pPr>
            <w:r>
              <w:rPr>
                <w:rFonts w:hint="eastAsia" w:ascii="仿宋" w:hAnsi="仿宋" w:eastAsia="仿宋" w:cs="仿宋"/>
                <w:color w:val="auto"/>
                <w:sz w:val="24"/>
                <w:highlight w:val="none"/>
              </w:rPr>
              <w:t>承包人（单一承包人或联合体牵头单位）：（盖章）</w:t>
            </w:r>
          </w:p>
          <w:p w14:paraId="7562F238">
            <w:pPr>
              <w:keepNext w:val="0"/>
              <w:keepLines w:val="0"/>
              <w:widowControl/>
              <w:suppressLineNumbers w:val="0"/>
              <w:tabs>
                <w:tab w:val="left" w:pos="3420"/>
                <w:tab w:val="left" w:pos="3600"/>
              </w:tabs>
              <w:spacing w:before="0" w:beforeAutospacing="0" w:after="0" w:afterAutospacing="0" w:line="360" w:lineRule="auto"/>
              <w:ind w:left="0" w:right="0"/>
              <w:jc w:val="left"/>
              <w:rPr>
                <w:rFonts w:hint="eastAsia" w:ascii="仿宋" w:hAnsi="仿宋" w:eastAsia="仿宋" w:cs="仿宋"/>
                <w:color w:val="auto"/>
                <w:sz w:val="24"/>
                <w:highlight w:val="none"/>
              </w:rPr>
            </w:pPr>
            <w:r>
              <w:rPr>
                <w:rFonts w:hint="eastAsia" w:ascii="仿宋" w:hAnsi="仿宋" w:eastAsia="仿宋" w:cs="仿宋"/>
                <w:color w:val="auto"/>
                <w:sz w:val="24"/>
                <w:highlight w:val="none"/>
              </w:rPr>
              <w:t>统一社会信用代码：</w:t>
            </w:r>
          </w:p>
          <w:p w14:paraId="744F7AB6">
            <w:pPr>
              <w:keepNext w:val="0"/>
              <w:keepLines w:val="0"/>
              <w:widowControl/>
              <w:suppressLineNumbers w:val="0"/>
              <w:tabs>
                <w:tab w:val="left" w:pos="3420"/>
                <w:tab w:val="left" w:pos="3600"/>
              </w:tabs>
              <w:spacing w:before="0" w:beforeAutospacing="0" w:after="0" w:afterAutospacing="0" w:line="360" w:lineRule="auto"/>
              <w:ind w:left="0" w:right="0"/>
              <w:jc w:val="left"/>
              <w:rPr>
                <w:rFonts w:hint="eastAsia" w:ascii="仿宋" w:hAnsi="仿宋" w:eastAsia="仿宋" w:cs="仿宋"/>
                <w:color w:val="auto"/>
                <w:sz w:val="24"/>
                <w:highlight w:val="none"/>
              </w:rPr>
            </w:pPr>
            <w:r>
              <w:rPr>
                <w:rFonts w:hint="eastAsia" w:ascii="仿宋" w:hAnsi="仿宋" w:eastAsia="仿宋" w:cs="仿宋"/>
                <w:color w:val="auto"/>
                <w:sz w:val="24"/>
                <w:highlight w:val="none"/>
              </w:rPr>
              <w:t>地址：</w:t>
            </w:r>
          </w:p>
          <w:p w14:paraId="34C736E9">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rPr>
            </w:pPr>
            <w:r>
              <w:rPr>
                <w:rFonts w:hint="eastAsia" w:ascii="仿宋" w:hAnsi="仿宋" w:eastAsia="仿宋" w:cs="仿宋"/>
                <w:color w:val="auto"/>
                <w:sz w:val="24"/>
                <w:highlight w:val="none"/>
              </w:rPr>
              <w:t>法定代表人：</w:t>
            </w:r>
          </w:p>
          <w:p w14:paraId="63C60EAE">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rPr>
            </w:pPr>
            <w:r>
              <w:rPr>
                <w:rFonts w:hint="eastAsia" w:ascii="仿宋" w:hAnsi="仿宋" w:eastAsia="仿宋" w:cs="仿宋"/>
                <w:color w:val="auto"/>
                <w:sz w:val="24"/>
                <w:highlight w:val="none"/>
              </w:rPr>
              <w:t>授权代表：</w:t>
            </w:r>
          </w:p>
          <w:p w14:paraId="3966943B">
            <w:pPr>
              <w:pStyle w:val="647"/>
              <w:keepNext w:val="0"/>
              <w:keepLines w:val="0"/>
              <w:suppressLineNumbers w:val="0"/>
              <w:tabs>
                <w:tab w:val="left" w:pos="3420"/>
                <w:tab w:val="left" w:pos="3600"/>
              </w:tabs>
              <w:spacing w:before="0" w:beforeAutospacing="0" w:after="0" w:afterAutospacing="0" w:line="360" w:lineRule="auto"/>
              <w:ind w:left="0" w:right="0"/>
              <w:rPr>
                <w:rFonts w:hint="eastAsia" w:ascii="仿宋" w:hAnsi="仿宋" w:eastAsia="仿宋" w:cs="仿宋"/>
                <w:color w:val="auto"/>
                <w:sz w:val="24"/>
                <w:highlight w:val="none"/>
              </w:rPr>
            </w:pPr>
            <w:r>
              <w:rPr>
                <w:rFonts w:hint="eastAsia" w:ascii="仿宋" w:hAnsi="仿宋" w:eastAsia="仿宋" w:cs="仿宋"/>
                <w:color w:val="auto"/>
                <w:sz w:val="24"/>
                <w:highlight w:val="none"/>
              </w:rPr>
              <w:t>联系人：</w:t>
            </w:r>
          </w:p>
          <w:p w14:paraId="4BF7273B">
            <w:pPr>
              <w:keepNext w:val="0"/>
              <w:keepLines w:val="0"/>
              <w:widowControl/>
              <w:suppressLineNumbers w:val="0"/>
              <w:tabs>
                <w:tab w:val="left" w:pos="3420"/>
                <w:tab w:val="left" w:pos="3600"/>
              </w:tabs>
              <w:spacing w:before="0" w:beforeAutospacing="0" w:after="0" w:afterAutospacing="0" w:line="360" w:lineRule="auto"/>
              <w:ind w:left="0" w:right="0"/>
              <w:jc w:val="left"/>
              <w:rPr>
                <w:rFonts w:hint="eastAsia" w:ascii="仿宋" w:hAnsi="仿宋" w:eastAsia="仿宋" w:cs="仿宋"/>
                <w:color w:val="auto"/>
                <w:sz w:val="24"/>
                <w:highlight w:val="none"/>
              </w:rPr>
            </w:pPr>
            <w:r>
              <w:rPr>
                <w:rFonts w:hint="eastAsia" w:ascii="仿宋" w:hAnsi="仿宋" w:eastAsia="仿宋" w:cs="仿宋"/>
                <w:color w:val="auto"/>
                <w:sz w:val="24"/>
                <w:highlight w:val="none"/>
              </w:rPr>
              <w:t>电话：</w:t>
            </w:r>
          </w:p>
          <w:p w14:paraId="2737AC57">
            <w:pPr>
              <w:keepNext w:val="0"/>
              <w:keepLines w:val="0"/>
              <w:widowControl/>
              <w:suppressLineNumbers w:val="0"/>
              <w:tabs>
                <w:tab w:val="left" w:pos="3420"/>
                <w:tab w:val="left" w:pos="3600"/>
              </w:tabs>
              <w:spacing w:before="0" w:beforeAutospacing="0" w:after="0" w:afterAutospacing="0" w:line="360" w:lineRule="auto"/>
              <w:ind w:left="0" w:right="0"/>
              <w:jc w:val="left"/>
              <w:rPr>
                <w:rFonts w:hint="eastAsia" w:ascii="仿宋" w:hAnsi="仿宋" w:eastAsia="仿宋" w:cs="仿宋"/>
                <w:color w:val="auto"/>
                <w:sz w:val="24"/>
                <w:highlight w:val="none"/>
              </w:rPr>
            </w:pPr>
            <w:r>
              <w:rPr>
                <w:rFonts w:hint="eastAsia" w:ascii="仿宋" w:hAnsi="仿宋" w:eastAsia="仿宋" w:cs="仿宋"/>
                <w:color w:val="auto"/>
                <w:sz w:val="24"/>
                <w:highlight w:val="none"/>
              </w:rPr>
              <w:t>传真：</w:t>
            </w:r>
          </w:p>
          <w:p w14:paraId="0E8CEDE9">
            <w:pPr>
              <w:keepNext w:val="0"/>
              <w:keepLines w:val="0"/>
              <w:widowControl/>
              <w:suppressLineNumbers w:val="0"/>
              <w:spacing w:before="0" w:beforeAutospacing="0" w:after="0" w:afterAutospacing="0" w:line="360" w:lineRule="auto"/>
              <w:ind w:left="0" w:right="0"/>
              <w:jc w:val="left"/>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开户银行：</w:t>
            </w:r>
          </w:p>
          <w:p w14:paraId="0310DDDA">
            <w:pPr>
              <w:keepNext w:val="0"/>
              <w:keepLines w:val="0"/>
              <w:widowControl/>
              <w:suppressLineNumbers w:val="0"/>
              <w:tabs>
                <w:tab w:val="left" w:pos="3420"/>
                <w:tab w:val="left" w:pos="3600"/>
              </w:tabs>
              <w:spacing w:before="0" w:beforeAutospacing="0" w:after="0" w:afterAutospacing="0" w:line="360" w:lineRule="auto"/>
              <w:ind w:left="0" w:right="0"/>
              <w:jc w:val="left"/>
              <w:rPr>
                <w:rFonts w:hint="eastAsia" w:ascii="仿宋" w:hAnsi="仿宋" w:eastAsia="仿宋" w:cs="仿宋"/>
                <w:color w:val="auto"/>
                <w:sz w:val="24"/>
                <w:highlight w:val="none"/>
              </w:rPr>
            </w:pPr>
            <w:r>
              <w:rPr>
                <w:rFonts w:hint="eastAsia" w:ascii="仿宋" w:hAnsi="仿宋" w:eastAsia="仿宋" w:cs="仿宋"/>
                <w:color w:val="auto"/>
                <w:sz w:val="24"/>
                <w:highlight w:val="none"/>
              </w:rPr>
              <w:t>账号：</w:t>
            </w:r>
          </w:p>
          <w:p w14:paraId="5510E5B3">
            <w:pPr>
              <w:keepNext w:val="0"/>
              <w:keepLines w:val="0"/>
              <w:widowControl/>
              <w:suppressLineNumbers w:val="0"/>
              <w:tabs>
                <w:tab w:val="left" w:pos="3420"/>
                <w:tab w:val="left" w:pos="3600"/>
              </w:tabs>
              <w:spacing w:before="0" w:beforeAutospacing="0" w:after="0" w:afterAutospacing="0" w:line="360" w:lineRule="auto"/>
              <w:ind w:left="0" w:right="0"/>
              <w:jc w:val="left"/>
              <w:rPr>
                <w:rFonts w:hint="eastAsia" w:ascii="仿宋" w:hAnsi="仿宋" w:eastAsia="仿宋" w:cs="仿宋"/>
                <w:color w:val="auto"/>
                <w:sz w:val="24"/>
                <w:highlight w:val="none"/>
              </w:rPr>
            </w:pPr>
            <w:r>
              <w:rPr>
                <w:rFonts w:hint="eastAsia" w:ascii="仿宋" w:hAnsi="仿宋" w:eastAsia="仿宋" w:cs="仿宋"/>
                <w:color w:val="auto"/>
                <w:sz w:val="24"/>
                <w:highlight w:val="none"/>
              </w:rPr>
              <w:t>邮政编码：</w:t>
            </w:r>
          </w:p>
          <w:p w14:paraId="1F1F54B3">
            <w:pPr>
              <w:keepNext w:val="0"/>
              <w:keepLines w:val="0"/>
              <w:widowControl/>
              <w:suppressLineNumbers w:val="0"/>
              <w:tabs>
                <w:tab w:val="left" w:pos="3420"/>
                <w:tab w:val="left" w:pos="3600"/>
              </w:tabs>
              <w:spacing w:before="0" w:beforeAutospacing="0" w:after="0" w:afterAutospacing="0" w:line="360" w:lineRule="auto"/>
              <w:ind w:left="0" w:right="0"/>
              <w:jc w:val="left"/>
              <w:rPr>
                <w:rFonts w:hint="eastAsia" w:ascii="仿宋" w:hAnsi="仿宋" w:eastAsia="仿宋" w:cs="仿宋"/>
                <w:color w:val="auto"/>
                <w:sz w:val="24"/>
                <w:highlight w:val="none"/>
              </w:rPr>
            </w:pPr>
            <w:r>
              <w:rPr>
                <w:rFonts w:hint="eastAsia" w:ascii="仿宋" w:hAnsi="仿宋" w:eastAsia="仿宋" w:cs="仿宋"/>
                <w:color w:val="auto"/>
                <w:sz w:val="24"/>
                <w:highlight w:val="none"/>
              </w:rPr>
              <w:t>电子邮箱：</w:t>
            </w:r>
          </w:p>
        </w:tc>
      </w:tr>
    </w:tbl>
    <w:p w14:paraId="49CB2A7D">
      <w:pPr>
        <w:rPr>
          <w:rFonts w:hint="eastAsia"/>
          <w:color w:val="auto"/>
          <w:highlight w:val="none"/>
          <w:lang w:eastAsia="zh-CN"/>
        </w:rPr>
      </w:pPr>
    </w:p>
    <w:p w14:paraId="33C2AB9E">
      <w:pPr>
        <w:spacing w:line="360" w:lineRule="auto"/>
        <w:ind w:firstLine="480" w:firstLineChars="200"/>
        <w:rPr>
          <w:rFonts w:hint="eastAsia" w:ascii="仿宋" w:hAnsi="仿宋" w:eastAsia="仿宋"/>
          <w:color w:val="auto"/>
          <w:highlight w:val="none"/>
          <w:lang w:eastAsia="zh-CN"/>
        </w:rPr>
      </w:pPr>
    </w:p>
    <w:p w14:paraId="27D1F215">
      <w:pPr>
        <w:spacing w:line="240" w:lineRule="auto"/>
        <w:jc w:val="left"/>
        <w:outlineLvl w:val="9"/>
        <w:rPr>
          <w:rFonts w:hint="eastAsia" w:ascii="宋体" w:hAnsi="宋体" w:cs="宋体"/>
          <w:b/>
          <w:bCs/>
          <w:color w:val="auto"/>
          <w:sz w:val="36"/>
          <w:szCs w:val="36"/>
          <w:highlight w:val="none"/>
          <w:lang w:eastAsia="zh-CN"/>
        </w:rPr>
      </w:pPr>
      <w:bookmarkStart w:id="276" w:name="_Toc16599"/>
      <w:bookmarkStart w:id="277" w:name="_Toc23421"/>
      <w:bookmarkStart w:id="278" w:name="_Toc8445"/>
      <w:bookmarkStart w:id="279" w:name="_Toc19250"/>
      <w:bookmarkStart w:id="280" w:name="_Toc2003"/>
      <w:bookmarkStart w:id="281" w:name="_Toc1198"/>
      <w:bookmarkStart w:id="282" w:name="_Toc27350"/>
      <w:bookmarkStart w:id="283" w:name="_Toc4212"/>
      <w:bookmarkStart w:id="284" w:name="_Toc149731427"/>
      <w:bookmarkStart w:id="285" w:name="_Toc674"/>
      <w:bookmarkStart w:id="286" w:name="_Toc3828"/>
      <w:bookmarkStart w:id="287" w:name="_Toc15926"/>
      <w:bookmarkStart w:id="288" w:name="_Toc10100"/>
      <w:bookmarkStart w:id="289" w:name="_Toc15013"/>
      <w:bookmarkStart w:id="290" w:name="_Toc4486"/>
      <w:bookmarkStart w:id="291" w:name="_Toc18217"/>
      <w:r>
        <w:rPr>
          <w:rFonts w:hint="eastAsia" w:ascii="宋体" w:hAnsi="宋体" w:cs="宋体"/>
          <w:b/>
          <w:bCs/>
          <w:color w:val="auto"/>
          <w:sz w:val="36"/>
          <w:szCs w:val="36"/>
          <w:highlight w:val="none"/>
          <w:lang w:eastAsia="zh-CN"/>
        </w:rPr>
        <w:br w:type="page"/>
      </w:r>
    </w:p>
    <w:p w14:paraId="09F4BA14">
      <w:pPr>
        <w:spacing w:line="360" w:lineRule="auto"/>
        <w:jc w:val="center"/>
        <w:outlineLvl w:val="0"/>
        <w:rPr>
          <w:rFonts w:hint="eastAsia" w:ascii="宋体" w:hAnsi="宋体" w:cs="宋体"/>
          <w:b/>
          <w:bCs/>
          <w:color w:val="auto"/>
          <w:sz w:val="36"/>
          <w:szCs w:val="36"/>
          <w:highlight w:val="none"/>
          <w:lang w:eastAsia="zh-CN"/>
        </w:rPr>
      </w:pPr>
      <w:bookmarkStart w:id="292" w:name="_Toc8597"/>
      <w:r>
        <w:rPr>
          <w:rFonts w:hint="eastAsia" w:ascii="宋体" w:hAnsi="宋体" w:cs="宋体"/>
          <w:b/>
          <w:bCs/>
          <w:color w:val="auto"/>
          <w:sz w:val="36"/>
          <w:szCs w:val="36"/>
          <w:highlight w:val="none"/>
          <w:lang w:eastAsia="zh-CN"/>
        </w:rPr>
        <w:t xml:space="preserve">第二部分 </w:t>
      </w:r>
      <w:r>
        <w:rPr>
          <w:rFonts w:ascii="宋体" w:hAnsi="宋体" w:cs="宋体"/>
          <w:b/>
          <w:bCs/>
          <w:color w:val="auto"/>
          <w:sz w:val="36"/>
          <w:szCs w:val="36"/>
          <w:highlight w:val="none"/>
          <w:lang w:eastAsia="zh-CN"/>
        </w:rPr>
        <w:t xml:space="preserve"> </w:t>
      </w:r>
      <w:r>
        <w:rPr>
          <w:rFonts w:hint="eastAsia" w:ascii="宋体" w:hAnsi="宋体" w:cs="宋体"/>
          <w:b/>
          <w:bCs/>
          <w:color w:val="auto"/>
          <w:sz w:val="36"/>
          <w:szCs w:val="36"/>
          <w:highlight w:val="none"/>
          <w:lang w:eastAsia="zh-CN"/>
        </w:rPr>
        <w:t>通用条款</w:t>
      </w:r>
      <w:bookmarkEnd w:id="292"/>
    </w:p>
    <w:p w14:paraId="4D2D9AD6">
      <w:pPr>
        <w:pStyle w:val="2"/>
        <w:adjustRightInd w:val="0"/>
        <w:snapToGrid w:val="0"/>
        <w:rPr>
          <w:rFonts w:hint="eastAsia" w:hAnsi="宋体"/>
          <w:color w:val="auto"/>
          <w:sz w:val="32"/>
          <w:szCs w:val="32"/>
          <w:highlight w:val="none"/>
          <w:lang w:eastAsia="zh-CN"/>
        </w:rPr>
      </w:pPr>
    </w:p>
    <w:p w14:paraId="5DA1F0B2">
      <w:pPr>
        <w:pStyle w:val="2"/>
        <w:adjustRightInd w:val="0"/>
        <w:snapToGrid w:val="0"/>
        <w:jc w:val="center"/>
        <w:outlineLvl w:val="1"/>
        <w:rPr>
          <w:rFonts w:hint="eastAsia" w:hAnsi="宋体"/>
          <w:b/>
          <w:bCs/>
          <w:color w:val="auto"/>
          <w:sz w:val="32"/>
          <w:szCs w:val="32"/>
          <w:highlight w:val="none"/>
          <w:lang w:eastAsia="zh-CN"/>
        </w:rPr>
      </w:pPr>
      <w:bookmarkStart w:id="293" w:name="_Toc30495"/>
      <w:r>
        <w:rPr>
          <w:rFonts w:hint="eastAsia" w:hAnsi="宋体"/>
          <w:b/>
          <w:bCs/>
          <w:color w:val="auto"/>
          <w:sz w:val="32"/>
          <w:szCs w:val="32"/>
          <w:highlight w:val="none"/>
          <w:lang w:eastAsia="zh-CN"/>
        </w:rPr>
        <w:t>一、总则</w:t>
      </w:r>
      <w:bookmarkEnd w:id="293"/>
    </w:p>
    <w:p w14:paraId="37C63D24">
      <w:pPr>
        <w:pStyle w:val="2"/>
        <w:adjustRightInd w:val="0"/>
        <w:snapToGrid w:val="0"/>
        <w:spacing w:line="360" w:lineRule="auto"/>
        <w:jc w:val="center"/>
        <w:rPr>
          <w:rFonts w:hint="eastAsia" w:hAnsi="宋体"/>
          <w:b/>
          <w:bCs/>
          <w:color w:val="auto"/>
          <w:sz w:val="32"/>
          <w:szCs w:val="32"/>
          <w:highlight w:val="none"/>
          <w:lang w:eastAsia="zh-CN"/>
        </w:rPr>
      </w:pPr>
    </w:p>
    <w:p w14:paraId="024F52DE">
      <w:pPr>
        <w:pStyle w:val="2"/>
        <w:widowControl w:val="0"/>
        <w:tabs>
          <w:tab w:val="left" w:pos="900"/>
          <w:tab w:val="left" w:pos="1080"/>
        </w:tabs>
        <w:spacing w:before="120" w:beforeLines="50" w:after="120" w:afterLines="50" w:line="360" w:lineRule="auto"/>
        <w:jc w:val="both"/>
        <w:outlineLvl w:val="2"/>
        <w:rPr>
          <w:rFonts w:hint="eastAsia" w:ascii="仿宋" w:hAnsi="仿宋" w:eastAsia="仿宋"/>
          <w:b/>
          <w:bCs/>
          <w:color w:val="auto"/>
          <w:sz w:val="24"/>
          <w:szCs w:val="24"/>
          <w:highlight w:val="none"/>
          <w:lang w:eastAsia="zh-CN"/>
        </w:rPr>
      </w:pPr>
      <w:bookmarkStart w:id="294" w:name="_Toc12982"/>
      <w:r>
        <w:rPr>
          <w:rFonts w:ascii="仿宋" w:hAnsi="仿宋" w:eastAsia="仿宋" w:cs="仿宋"/>
          <w:b/>
          <w:bCs/>
          <w:color w:val="auto"/>
          <w:sz w:val="24"/>
          <w:szCs w:val="24"/>
          <w:highlight w:val="none"/>
          <w:lang w:eastAsia="zh-CN"/>
        </w:rPr>
        <w:t xml:space="preserve">1 </w:t>
      </w:r>
      <w:r>
        <w:rPr>
          <w:rFonts w:hint="eastAsia" w:ascii="仿宋" w:hAnsi="仿宋" w:eastAsia="仿宋" w:cs="仿宋"/>
          <w:b/>
          <w:bCs/>
          <w:color w:val="auto"/>
          <w:sz w:val="24"/>
          <w:szCs w:val="24"/>
          <w:highlight w:val="none"/>
          <w:lang w:eastAsia="zh-CN"/>
        </w:rPr>
        <w:t>定义</w:t>
      </w:r>
      <w:bookmarkEnd w:id="294"/>
    </w:p>
    <w:p w14:paraId="0B2D493D">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下列词语或措辞，除非特别说明，在本合同中均具有以下赋予的含义：</w:t>
      </w:r>
    </w:p>
    <w:p w14:paraId="64E03773">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1.1 合同文件</w:t>
      </w:r>
    </w:p>
    <w:p w14:paraId="78477711">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u w:val="dotted"/>
          <w:lang w:eastAsia="zh-CN"/>
        </w:rPr>
      </w:pPr>
      <w:r>
        <w:rPr>
          <w:rFonts w:ascii="仿宋" w:hAnsi="仿宋" w:eastAsia="仿宋" w:cs="仿宋"/>
          <w:b/>
          <w:bCs/>
          <w:color w:val="auto"/>
          <w:sz w:val="24"/>
          <w:szCs w:val="24"/>
          <w:highlight w:val="none"/>
          <w:lang w:eastAsia="zh-CN"/>
        </w:rPr>
        <w:t>1.1</w:t>
      </w:r>
      <w:r>
        <w:rPr>
          <w:rFonts w:hint="eastAsia" w:ascii="仿宋" w:hAnsi="仿宋" w:eastAsia="仿宋" w:cs="仿宋"/>
          <w:b/>
          <w:bCs/>
          <w:color w:val="auto"/>
          <w:sz w:val="24"/>
          <w:szCs w:val="24"/>
          <w:highlight w:val="none"/>
          <w:lang w:eastAsia="zh-CN"/>
        </w:rPr>
        <w:t>.1合同：</w:t>
      </w:r>
      <w:r>
        <w:rPr>
          <w:rFonts w:hint="eastAsia" w:ascii="仿宋" w:hAnsi="仿宋" w:eastAsia="仿宋" w:cs="仿宋"/>
          <w:color w:val="auto"/>
          <w:sz w:val="24"/>
          <w:szCs w:val="24"/>
          <w:highlight w:val="none"/>
          <w:lang w:eastAsia="zh-CN"/>
        </w:rPr>
        <w:t>指合同双方当事人为实施、完成并保修合同工程所订立的全部合同文件。合同文件由第</w:t>
      </w:r>
      <w:r>
        <w:rPr>
          <w:rFonts w:ascii="仿宋" w:hAnsi="仿宋" w:eastAsia="仿宋" w:cs="仿宋"/>
          <w:color w:val="auto"/>
          <w:sz w:val="24"/>
          <w:szCs w:val="24"/>
          <w:highlight w:val="none"/>
          <w:lang w:eastAsia="zh-CN"/>
        </w:rPr>
        <w:t>2.2</w:t>
      </w:r>
      <w:r>
        <w:rPr>
          <w:rFonts w:hint="eastAsia" w:ascii="仿宋" w:hAnsi="仿宋" w:eastAsia="仿宋" w:cs="仿宋"/>
          <w:color w:val="auto"/>
          <w:sz w:val="24"/>
          <w:szCs w:val="24"/>
          <w:highlight w:val="none"/>
          <w:lang w:eastAsia="zh-CN"/>
        </w:rPr>
        <w:t>款所列的文件组成。</w:t>
      </w:r>
    </w:p>
    <w:p w14:paraId="7DDF600A">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w:t>
      </w:r>
      <w:r>
        <w:rPr>
          <w:rFonts w:ascii="仿宋" w:hAnsi="仿宋" w:eastAsia="仿宋" w:cs="仿宋"/>
          <w:b/>
          <w:bCs/>
          <w:color w:val="auto"/>
          <w:sz w:val="24"/>
          <w:szCs w:val="24"/>
          <w:highlight w:val="none"/>
          <w:lang w:eastAsia="zh-CN"/>
        </w:rPr>
        <w:t xml:space="preserve">2 </w:t>
      </w:r>
      <w:r>
        <w:rPr>
          <w:rFonts w:hint="eastAsia" w:ascii="仿宋" w:hAnsi="仿宋" w:eastAsia="仿宋" w:cs="仿宋"/>
          <w:b/>
          <w:bCs/>
          <w:color w:val="auto"/>
          <w:sz w:val="24"/>
          <w:szCs w:val="24"/>
          <w:highlight w:val="none"/>
          <w:lang w:eastAsia="zh-CN"/>
        </w:rPr>
        <w:t>协议书：</w:t>
      </w:r>
      <w:r>
        <w:rPr>
          <w:rFonts w:hint="eastAsia" w:ascii="仿宋" w:hAnsi="仿宋" w:eastAsia="仿宋" w:cs="仿宋"/>
          <w:color w:val="auto"/>
          <w:sz w:val="24"/>
          <w:szCs w:val="24"/>
          <w:highlight w:val="none"/>
          <w:lang w:eastAsia="zh-CN"/>
        </w:rPr>
        <w:t>是指构成合同的由发包人和承包人共同签署的称为“协议书”的书面文件。</w:t>
      </w:r>
    </w:p>
    <w:p w14:paraId="3AED0B36">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color w:val="auto"/>
          <w:sz w:val="24"/>
          <w:szCs w:val="24"/>
          <w:highlight w:val="none"/>
          <w:lang w:eastAsia="zh-CN"/>
        </w:rPr>
        <w:t>1.</w:t>
      </w:r>
      <w:r>
        <w:rPr>
          <w:rFonts w:hint="eastAsia" w:ascii="仿宋" w:hAnsi="仿宋" w:eastAsia="仿宋" w:cs="仿宋"/>
          <w:b/>
          <w:color w:val="auto"/>
          <w:sz w:val="24"/>
          <w:szCs w:val="24"/>
          <w:highlight w:val="none"/>
          <w:lang w:eastAsia="zh-CN"/>
        </w:rPr>
        <w:t>1.</w:t>
      </w:r>
      <w:r>
        <w:rPr>
          <w:rFonts w:ascii="仿宋" w:hAnsi="仿宋" w:eastAsia="仿宋" w:cs="仿宋"/>
          <w:b/>
          <w:color w:val="auto"/>
          <w:sz w:val="24"/>
          <w:szCs w:val="24"/>
          <w:highlight w:val="none"/>
          <w:lang w:eastAsia="zh-CN"/>
        </w:rPr>
        <w:t xml:space="preserve">3 </w:t>
      </w:r>
      <w:r>
        <w:rPr>
          <w:rFonts w:hint="eastAsia" w:ascii="仿宋" w:hAnsi="仿宋" w:eastAsia="仿宋" w:cs="仿宋"/>
          <w:b/>
          <w:color w:val="auto"/>
          <w:sz w:val="24"/>
          <w:szCs w:val="24"/>
          <w:highlight w:val="none"/>
          <w:lang w:eastAsia="zh-CN"/>
        </w:rPr>
        <w:t>通用条款：</w:t>
      </w:r>
      <w:r>
        <w:rPr>
          <w:rFonts w:hint="eastAsia" w:ascii="仿宋" w:hAnsi="仿宋" w:eastAsia="仿宋" w:cs="仿宋"/>
          <w:color w:val="auto"/>
          <w:sz w:val="24"/>
          <w:szCs w:val="24"/>
          <w:highlight w:val="none"/>
          <w:lang w:eastAsia="zh-CN"/>
        </w:rPr>
        <w:t>指根据法律、法规以及建设项目工程总承包管理的需要所订立的，是通用于建设工程设计、采购、施工或设计、施工等阶段总承包实施的基础性合同条款。</w:t>
      </w:r>
    </w:p>
    <w:p w14:paraId="1728E9A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1.1.4 专用条款：</w:t>
      </w:r>
      <w:r>
        <w:rPr>
          <w:rFonts w:hint="eastAsia" w:ascii="仿宋" w:hAnsi="仿宋" w:eastAsia="仿宋" w:cs="仿宋"/>
          <w:color w:val="auto"/>
          <w:sz w:val="24"/>
          <w:szCs w:val="24"/>
          <w:highlight w:val="none"/>
          <w:lang w:eastAsia="zh-CN"/>
        </w:rPr>
        <w:t>指合同双方当事人根据法律、法规，结合本合同工程实际情况，经协商达成一致意见的，专用于实施、完成本合同工程总承包范围与工程内容的条款。它是对通用条款的具体化，也是对通用条款的补充和完善。</w:t>
      </w:r>
    </w:p>
    <w:p w14:paraId="75438EC3">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1.5中标通知书：</w:t>
      </w:r>
      <w:r>
        <w:rPr>
          <w:rFonts w:hint="eastAsia" w:ascii="仿宋" w:hAnsi="仿宋" w:eastAsia="仿宋" w:cs="仿宋"/>
          <w:color w:val="auto"/>
          <w:sz w:val="24"/>
          <w:szCs w:val="24"/>
          <w:highlight w:val="none"/>
          <w:lang w:eastAsia="zh-CN"/>
        </w:rPr>
        <w:t>是指构成合同的由发包人通知承包人中标的书面文件。中标通知书随附的澄清、说明、补正事项纪要等，是中标通知书的组成部分。</w:t>
      </w:r>
    </w:p>
    <w:p w14:paraId="33FDF245">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1.2 技术文件</w:t>
      </w:r>
    </w:p>
    <w:p w14:paraId="7827926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2.1标准、规范：</w:t>
      </w:r>
      <w:r>
        <w:rPr>
          <w:rFonts w:hint="eastAsia" w:ascii="仿宋" w:hAnsi="仿宋" w:eastAsia="仿宋" w:cs="仿宋"/>
          <w:color w:val="auto"/>
          <w:sz w:val="24"/>
          <w:szCs w:val="24"/>
          <w:highlight w:val="none"/>
          <w:lang w:eastAsia="zh-CN"/>
        </w:rPr>
        <w:t>指承包人实施工程总承包过程中应依法遵守的国家、行业或地方性标准与规范，以及本合同约定的其它技术标准与规范，构成合同的组成部分。由双方在专用条款中明确约定。</w:t>
      </w:r>
    </w:p>
    <w:p w14:paraId="083816C9">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bCs/>
          <w:color w:val="auto"/>
          <w:sz w:val="24"/>
          <w:szCs w:val="24"/>
          <w:highlight w:val="none"/>
          <w:lang w:eastAsia="zh-CN"/>
        </w:rPr>
        <w:t>1.2.2 《发包人要求》：</w:t>
      </w:r>
      <w:r>
        <w:rPr>
          <w:rFonts w:hint="eastAsia" w:ascii="仿宋" w:hAnsi="仿宋" w:eastAsia="仿宋" w:cs="仿宋"/>
          <w:color w:val="auto"/>
          <w:sz w:val="24"/>
          <w:szCs w:val="24"/>
          <w:highlight w:val="none"/>
          <w:lang w:eastAsia="zh-CN"/>
        </w:rPr>
        <w:t>指发包人就工程总承包范围与工程内容提出相应要求的书面文件，包括勘察、设计、BIM技术应用、采购、施工等方面，构成合同的组成部分。由双方在专用条款中明确约定。</w:t>
      </w:r>
    </w:p>
    <w:p w14:paraId="0FA1D573">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color w:val="auto"/>
          <w:sz w:val="24"/>
          <w:szCs w:val="24"/>
          <w:highlight w:val="none"/>
          <w:lang w:eastAsia="zh-CN"/>
        </w:rPr>
        <w:t>1</w:t>
      </w:r>
      <w:r>
        <w:rPr>
          <w:rFonts w:hint="eastAsia" w:ascii="仿宋" w:hAnsi="仿宋" w:eastAsia="仿宋" w:cs="仿宋"/>
          <w:b/>
          <w:color w:val="auto"/>
          <w:sz w:val="24"/>
          <w:szCs w:val="24"/>
          <w:highlight w:val="none"/>
          <w:lang w:eastAsia="zh-CN"/>
        </w:rPr>
        <w:t>.2.3项目基础资料：</w:t>
      </w:r>
      <w:r>
        <w:rPr>
          <w:rFonts w:hint="eastAsia" w:ascii="仿宋" w:hAnsi="仿宋" w:eastAsia="仿宋" w:cs="仿宋"/>
          <w:color w:val="auto"/>
          <w:sz w:val="24"/>
          <w:szCs w:val="24"/>
          <w:highlight w:val="none"/>
          <w:lang w:eastAsia="zh-CN"/>
        </w:rPr>
        <w:t>指按合同约定由发包人提供给承包人实施、完成工程总承包范围与工程内容所需的工程资料，构成合同的组成部分。发包人应提供的项目基础资料由双方在专用条款中明确约定。</w:t>
      </w:r>
    </w:p>
    <w:p w14:paraId="7B42CDA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2.4技术标：</w:t>
      </w:r>
      <w:r>
        <w:rPr>
          <w:rFonts w:hint="eastAsia" w:ascii="仿宋" w:hAnsi="仿宋" w:eastAsia="仿宋" w:cs="仿宋"/>
          <w:color w:val="auto"/>
          <w:sz w:val="24"/>
          <w:szCs w:val="24"/>
          <w:highlight w:val="none"/>
          <w:lang w:eastAsia="zh-CN"/>
        </w:rPr>
        <w:t>指承包人根据招标文件要求编制、签署并被发包人所接受的投标文件中技术部分及有效的澄清文件。</w:t>
      </w:r>
    </w:p>
    <w:p w14:paraId="3E21F24E">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1.3 价格文件</w:t>
      </w:r>
    </w:p>
    <w:p w14:paraId="14DAC86A">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b/>
          <w:color w:val="auto"/>
          <w:sz w:val="24"/>
          <w:szCs w:val="24"/>
          <w:highlight w:val="none"/>
          <w:lang w:eastAsia="zh-CN"/>
        </w:rPr>
      </w:pPr>
      <w:r>
        <w:rPr>
          <w:rFonts w:hint="eastAsia" w:ascii="仿宋" w:hAnsi="仿宋" w:eastAsia="仿宋" w:cs="仿宋"/>
          <w:b/>
          <w:bCs/>
          <w:color w:val="auto"/>
          <w:sz w:val="24"/>
          <w:szCs w:val="24"/>
          <w:highlight w:val="none"/>
          <w:lang w:eastAsia="zh-CN"/>
        </w:rPr>
        <w:t>1.</w:t>
      </w:r>
      <w:r>
        <w:rPr>
          <w:rFonts w:hint="eastAsia" w:ascii="仿宋" w:hAnsi="仿宋" w:eastAsia="仿宋"/>
          <w:b/>
          <w:color w:val="auto"/>
          <w:sz w:val="24"/>
          <w:szCs w:val="24"/>
          <w:highlight w:val="none"/>
          <w:lang w:eastAsia="zh-CN"/>
        </w:rPr>
        <w:t>3.1 签约合同价：</w:t>
      </w:r>
      <w:r>
        <w:rPr>
          <w:rFonts w:hint="eastAsia" w:ascii="仿宋" w:hAnsi="仿宋" w:eastAsia="仿宋"/>
          <w:color w:val="auto"/>
          <w:sz w:val="24"/>
          <w:szCs w:val="24"/>
          <w:highlight w:val="none"/>
          <w:lang w:eastAsia="zh-CN"/>
        </w:rPr>
        <w:t>是指发包人和承包人在合同协议书中确定的总金额，包括暂估价及暂列金额等。</w:t>
      </w:r>
    </w:p>
    <w:p w14:paraId="3C158439">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bCs/>
          <w:color w:val="auto"/>
          <w:sz w:val="24"/>
          <w:szCs w:val="24"/>
          <w:highlight w:val="none"/>
          <w:lang w:eastAsia="zh-CN"/>
        </w:rPr>
        <w:t>1.</w:t>
      </w:r>
      <w:r>
        <w:rPr>
          <w:rFonts w:hint="eastAsia" w:ascii="仿宋" w:hAnsi="仿宋" w:eastAsia="仿宋"/>
          <w:b/>
          <w:color w:val="auto"/>
          <w:sz w:val="24"/>
          <w:szCs w:val="24"/>
          <w:highlight w:val="none"/>
          <w:lang w:eastAsia="zh-CN"/>
        </w:rPr>
        <w:t>3.2 合同价格：</w:t>
      </w:r>
      <w:r>
        <w:rPr>
          <w:rFonts w:hint="eastAsia" w:ascii="仿宋" w:hAnsi="仿宋" w:eastAsia="仿宋"/>
          <w:color w:val="auto"/>
          <w:sz w:val="24"/>
          <w:szCs w:val="24"/>
          <w:highlight w:val="none"/>
          <w:lang w:eastAsia="zh-CN"/>
        </w:rPr>
        <w:t>是指发包人用于支付承包人按照合同约定完成承包范围内全部工作的金额，包括合同履行过程中按合同约定</w:t>
      </w:r>
      <w:r>
        <w:rPr>
          <w:rFonts w:hint="eastAsia" w:ascii="仿宋" w:hAnsi="仿宋" w:eastAsia="仿宋" w:cs="仿宋"/>
          <w:color w:val="auto"/>
          <w:sz w:val="24"/>
          <w:szCs w:val="24"/>
          <w:highlight w:val="none"/>
          <w:lang w:eastAsia="zh-CN"/>
        </w:rPr>
        <w:t>发生</w:t>
      </w:r>
      <w:r>
        <w:rPr>
          <w:rFonts w:hint="eastAsia" w:ascii="仿宋" w:hAnsi="仿宋" w:eastAsia="仿宋"/>
          <w:color w:val="auto"/>
          <w:sz w:val="24"/>
          <w:szCs w:val="24"/>
          <w:highlight w:val="none"/>
          <w:lang w:eastAsia="zh-CN"/>
        </w:rPr>
        <w:t>的价格变化。</w:t>
      </w:r>
    </w:p>
    <w:p w14:paraId="18EB5BF9">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bCs/>
          <w:color w:val="auto"/>
          <w:sz w:val="24"/>
          <w:szCs w:val="24"/>
          <w:highlight w:val="none"/>
          <w:lang w:eastAsia="zh-CN"/>
        </w:rPr>
        <w:t>1.3.3 合同价格清单：</w:t>
      </w:r>
      <w:r>
        <w:rPr>
          <w:rFonts w:hint="eastAsia" w:ascii="仿宋" w:hAnsi="仿宋" w:eastAsia="仿宋" w:cs="仿宋"/>
          <w:color w:val="auto"/>
          <w:sz w:val="24"/>
          <w:szCs w:val="24"/>
          <w:highlight w:val="none"/>
          <w:lang w:eastAsia="zh-CN"/>
        </w:rPr>
        <w:t>指承包人按发包人规定的格式和要求填写、标明总承包范围内所有服务和（或）施工内容的项目名称、项目特征、数量及价格的清单项目及价格明细表，是双方进行合同价格结算的依据。价格清单包括工程勘察费（如果有）、工程设计费、BIM技术应用费、设备及工器具购置费（如果有）、建筑安装工程费等各项费用及明细。招标发包工程为中标通知书所接受的经济标以及有效的澄清文件。</w:t>
      </w:r>
    </w:p>
    <w:p w14:paraId="374D6571">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3.4中标价格：</w:t>
      </w:r>
      <w:r>
        <w:rPr>
          <w:rFonts w:hint="eastAsia" w:ascii="仿宋" w:hAnsi="仿宋" w:eastAsia="仿宋" w:cs="仿宋"/>
          <w:color w:val="auto"/>
          <w:sz w:val="24"/>
          <w:szCs w:val="24"/>
          <w:highlight w:val="none"/>
          <w:lang w:eastAsia="zh-CN"/>
        </w:rPr>
        <w:t>指中标通知书中列明的，发包人接受中标人（承包人）完成工程总承包范围及工程内容并保修合同工程的价格。</w:t>
      </w:r>
    </w:p>
    <w:p w14:paraId="1160736D">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3.5经济标或报价文件：</w:t>
      </w:r>
      <w:r>
        <w:rPr>
          <w:rFonts w:hint="eastAsia" w:ascii="仿宋" w:hAnsi="仿宋" w:eastAsia="仿宋" w:cs="仿宋"/>
          <w:color w:val="auto"/>
          <w:sz w:val="24"/>
          <w:szCs w:val="24"/>
          <w:highlight w:val="none"/>
          <w:lang w:eastAsia="zh-CN"/>
        </w:rPr>
        <w:t>指承包人根据招标文件要求编制、签署，并被发包人所接受的投标文件中的经济标及有效的澄清文件。</w:t>
      </w:r>
    </w:p>
    <w:p w14:paraId="3D31DC96">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3.6费用或成本：</w:t>
      </w:r>
      <w:r>
        <w:rPr>
          <w:rFonts w:hint="eastAsia" w:ascii="仿宋" w:hAnsi="仿宋" w:eastAsia="仿宋" w:cs="仿宋"/>
          <w:color w:val="auto"/>
          <w:sz w:val="24"/>
          <w:szCs w:val="24"/>
          <w:highlight w:val="none"/>
          <w:lang w:eastAsia="zh-CN"/>
        </w:rPr>
        <w:t>指承包人履行本工程总承包合同过程中所发生或将发生的所有合理开支，包括管理费用或其他性质的合理开支，除合同专用条款及合同价格清单另有约定外，不包括利润和税金。</w:t>
      </w:r>
    </w:p>
    <w:p w14:paraId="000B2FF0">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1.3.7 工程勘察费：</w:t>
      </w:r>
      <w:r>
        <w:rPr>
          <w:rFonts w:hint="eastAsia" w:ascii="仿宋" w:hAnsi="仿宋" w:eastAsia="仿宋" w:cs="仿宋"/>
          <w:color w:val="auto"/>
          <w:sz w:val="24"/>
          <w:szCs w:val="24"/>
          <w:highlight w:val="none"/>
          <w:lang w:eastAsia="zh-CN"/>
        </w:rPr>
        <w:t>指承包人完成合同约定的工程勘察工作向发包人收取的服务费。</w:t>
      </w:r>
    </w:p>
    <w:p w14:paraId="490BD568">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1.3.8 工程设计费：</w:t>
      </w:r>
      <w:r>
        <w:rPr>
          <w:rFonts w:hint="eastAsia" w:ascii="仿宋" w:hAnsi="仿宋" w:eastAsia="仿宋" w:cs="仿宋"/>
          <w:color w:val="auto"/>
          <w:sz w:val="24"/>
          <w:szCs w:val="24"/>
          <w:highlight w:val="none"/>
          <w:lang w:eastAsia="zh-CN"/>
        </w:rPr>
        <w:t>指承包人完成合同约定的设计工作向发包人收取的服务费。</w:t>
      </w:r>
    </w:p>
    <w:p w14:paraId="52B3751B">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1.3.9 BIM技术应用费：</w:t>
      </w:r>
      <w:r>
        <w:rPr>
          <w:rFonts w:hint="eastAsia" w:ascii="仿宋" w:hAnsi="仿宋" w:eastAsia="仿宋" w:cs="仿宋"/>
          <w:color w:val="auto"/>
          <w:sz w:val="24"/>
          <w:szCs w:val="24"/>
          <w:highlight w:val="none"/>
          <w:lang w:eastAsia="zh-CN"/>
        </w:rPr>
        <w:t>指承包人完成合同约定的BIM技术服务内容和（或）利用BIM技术进行正向设计与建模（或建模与出图同步完成）、施工实施、造价管理、运营维护等向发包人收取的费用。</w:t>
      </w:r>
    </w:p>
    <w:p w14:paraId="41C91E4F">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1.3.10 设备及工器具购置费：</w:t>
      </w:r>
      <w:r>
        <w:rPr>
          <w:rFonts w:hint="eastAsia" w:ascii="仿宋" w:hAnsi="仿宋" w:eastAsia="仿宋" w:cs="仿宋"/>
          <w:color w:val="auto"/>
          <w:sz w:val="24"/>
          <w:szCs w:val="24"/>
          <w:highlight w:val="none"/>
          <w:lang w:eastAsia="zh-CN"/>
        </w:rPr>
        <w:t>指合同约定由承包人负责为本项目提供发包人组织生产、运营、办公等所需设备及工器具的购置费用。</w:t>
      </w:r>
    </w:p>
    <w:p w14:paraId="571788C8">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3.11 建筑安装工程费：</w:t>
      </w:r>
      <w:r>
        <w:rPr>
          <w:rFonts w:hint="eastAsia" w:ascii="仿宋" w:hAnsi="仿宋" w:eastAsia="仿宋" w:cs="仿宋"/>
          <w:bCs/>
          <w:color w:val="auto"/>
          <w:sz w:val="24"/>
          <w:szCs w:val="24"/>
          <w:highlight w:val="none"/>
          <w:lang w:eastAsia="zh-CN"/>
        </w:rPr>
        <w:t>指</w:t>
      </w:r>
      <w:r>
        <w:rPr>
          <w:rFonts w:hint="eastAsia" w:ascii="仿宋" w:hAnsi="仿宋" w:eastAsia="仿宋" w:cs="仿宋"/>
          <w:color w:val="auto"/>
          <w:sz w:val="24"/>
          <w:szCs w:val="24"/>
          <w:highlight w:val="none"/>
          <w:lang w:eastAsia="zh-CN"/>
        </w:rPr>
        <w:t>承包人按合同约定实施、完成并保修合同工程</w:t>
      </w:r>
      <w:r>
        <w:rPr>
          <w:rFonts w:hint="eastAsia" w:ascii="仿宋" w:hAnsi="仿宋" w:eastAsia="仿宋" w:cs="仿宋"/>
          <w:bCs/>
          <w:color w:val="auto"/>
          <w:sz w:val="24"/>
          <w:szCs w:val="24"/>
          <w:highlight w:val="none"/>
          <w:lang w:eastAsia="zh-CN"/>
        </w:rPr>
        <w:t>的施工费用</w:t>
      </w:r>
      <w:r>
        <w:rPr>
          <w:rFonts w:hint="eastAsia" w:ascii="仿宋" w:hAnsi="仿宋" w:eastAsia="仿宋" w:cs="仿宋"/>
          <w:color w:val="auto"/>
          <w:sz w:val="24"/>
          <w:szCs w:val="24"/>
          <w:highlight w:val="none"/>
          <w:lang w:eastAsia="zh-CN"/>
        </w:rPr>
        <w:t>。其中包含的</w:t>
      </w:r>
      <w:r>
        <w:rPr>
          <w:rFonts w:hint="eastAsia" w:ascii="仿宋" w:hAnsi="仿宋" w:eastAsia="仿宋" w:cs="仿宋"/>
          <w:bCs/>
          <w:color w:val="auto"/>
          <w:sz w:val="24"/>
          <w:szCs w:val="24"/>
          <w:highlight w:val="none"/>
          <w:lang w:eastAsia="zh-CN"/>
        </w:rPr>
        <w:t>分部分项工程费、措施项目费、税金的定义分述如下：</w:t>
      </w:r>
    </w:p>
    <w:p w14:paraId="626A8954">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b/>
          <w:bCs/>
          <w:color w:val="auto"/>
          <w:sz w:val="24"/>
          <w:szCs w:val="24"/>
          <w:highlight w:val="none"/>
          <w:lang w:eastAsia="zh-CN"/>
        </w:rPr>
        <w:t>1.3.11.1分部分项工程费：</w:t>
      </w:r>
      <w:r>
        <w:rPr>
          <w:rFonts w:hint="eastAsia" w:ascii="仿宋" w:hAnsi="仿宋" w:eastAsia="仿宋" w:cs="仿宋"/>
          <w:color w:val="auto"/>
          <w:sz w:val="24"/>
          <w:szCs w:val="24"/>
          <w:highlight w:val="none"/>
          <w:lang w:eastAsia="zh-CN"/>
        </w:rPr>
        <w:t>指为实施、完成并保修合同工程，发生于永久工程实体项目所需的人工费、材料费、施工机具使用费、管理费、利润和风险费用。</w:t>
      </w:r>
    </w:p>
    <w:p w14:paraId="5A2FD6E4">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3.11.2措施项目费：</w:t>
      </w:r>
      <w:r>
        <w:rPr>
          <w:rFonts w:hint="eastAsia" w:ascii="仿宋" w:hAnsi="仿宋" w:eastAsia="仿宋" w:cs="仿宋"/>
          <w:color w:val="auto"/>
          <w:sz w:val="24"/>
          <w:szCs w:val="24"/>
          <w:highlight w:val="none"/>
          <w:lang w:eastAsia="zh-CN"/>
        </w:rPr>
        <w:t>指为实施、完成并保修合同工程，发生于合同工程施工准备和施工过程中的技术、生活、安全、</w:t>
      </w:r>
      <w:r>
        <w:rPr>
          <w:rFonts w:hint="eastAsia" w:ascii="仿宋" w:hAnsi="仿宋" w:eastAsia="仿宋"/>
          <w:color w:val="auto"/>
          <w:sz w:val="24"/>
          <w:szCs w:val="24"/>
          <w:highlight w:val="none"/>
          <w:lang w:eastAsia="zh-CN"/>
        </w:rPr>
        <w:t>环境保护等方面的非永久工程实体项目费用</w:t>
      </w:r>
      <w:r>
        <w:rPr>
          <w:rFonts w:hint="eastAsia" w:ascii="仿宋" w:hAnsi="仿宋" w:eastAsia="仿宋" w:cs="仿宋"/>
          <w:color w:val="auto"/>
          <w:sz w:val="24"/>
          <w:szCs w:val="24"/>
          <w:highlight w:val="none"/>
          <w:lang w:eastAsia="zh-CN"/>
        </w:rPr>
        <w:t>。</w:t>
      </w:r>
    </w:p>
    <w:p w14:paraId="673E3C86">
      <w:pPr>
        <w:pStyle w:val="2"/>
        <w:widowControl w:val="0"/>
        <w:tabs>
          <w:tab w:val="left" w:pos="1260"/>
          <w:tab w:val="left" w:pos="2160"/>
        </w:tabs>
        <w:adjustRightInd w:val="0"/>
        <w:spacing w:before="120" w:beforeLines="50" w:line="360" w:lineRule="auto"/>
        <w:ind w:left="1850" w:leftChars="771"/>
        <w:jc w:val="both"/>
        <w:rPr>
          <w:color w:val="auto"/>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3.11.3税金：</w:t>
      </w:r>
      <w:r>
        <w:rPr>
          <w:rFonts w:hint="eastAsia" w:ascii="仿宋" w:hAnsi="仿宋" w:eastAsia="仿宋" w:cs="仿宋"/>
          <w:color w:val="auto"/>
          <w:sz w:val="24"/>
          <w:szCs w:val="24"/>
          <w:highlight w:val="none"/>
          <w:lang w:eastAsia="zh-CN"/>
        </w:rPr>
        <w:t>指根据国家税法规定的应计入建筑安装工程造价内的增值税。</w:t>
      </w:r>
    </w:p>
    <w:p w14:paraId="754EFBF5">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.3.12 暂列金额：</w:t>
      </w:r>
      <w:r>
        <w:rPr>
          <w:rFonts w:hint="eastAsia" w:ascii="仿宋" w:hAnsi="仿宋" w:eastAsia="仿宋" w:cs="仿宋"/>
          <w:color w:val="auto"/>
          <w:sz w:val="24"/>
          <w:szCs w:val="24"/>
          <w:highlight w:val="none"/>
          <w:lang w:eastAsia="zh-CN"/>
        </w:rPr>
        <w:t>指发包人在工程量清单中暂定并包括在合同总价中的一笔金额（如果有）。用于在签订协议书时尚未确定或者不可预见的工程某一部分的施工；所需某一部分工程材料、工程设备、服务等的采购；</w:t>
      </w:r>
      <w:r>
        <w:rPr>
          <w:rFonts w:hint="eastAsia" w:ascii="仿宋" w:hAnsi="仿宋" w:eastAsia="仿宋"/>
          <w:color w:val="auto"/>
          <w:sz w:val="24"/>
          <w:szCs w:val="24"/>
          <w:highlight w:val="none"/>
          <w:lang w:eastAsia="zh-CN"/>
        </w:rPr>
        <w:t>合同约定的调整事项以及经确认的索赔</w:t>
      </w:r>
      <w:r>
        <w:rPr>
          <w:rFonts w:hint="eastAsia" w:ascii="仿宋" w:hAnsi="仿宋" w:eastAsia="仿宋" w:cs="仿宋"/>
          <w:color w:val="auto"/>
          <w:sz w:val="24"/>
          <w:szCs w:val="24"/>
          <w:highlight w:val="none"/>
          <w:lang w:eastAsia="zh-CN"/>
        </w:rPr>
        <w:t>、现场签证等的金额（包括以计日工方式支付的金额）。实际发生时按合同约定的计价方法计算调整，实际未发生不予计取。</w:t>
      </w:r>
    </w:p>
    <w:p w14:paraId="403336C0">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3.13暂估价：</w:t>
      </w:r>
      <w:r>
        <w:rPr>
          <w:rFonts w:hint="eastAsia" w:ascii="仿宋" w:hAnsi="仿宋" w:eastAsia="仿宋"/>
          <w:color w:val="auto"/>
          <w:sz w:val="24"/>
          <w:szCs w:val="24"/>
          <w:highlight w:val="none"/>
          <w:lang w:eastAsia="zh-CN"/>
        </w:rPr>
        <w:t>指发包人在工程量清单中暂定的，用于支付必然发生但签订合同前无法确定的部分工程材料</w:t>
      </w:r>
      <w:r>
        <w:rPr>
          <w:rFonts w:hint="eastAsia" w:ascii="仿宋" w:hAnsi="仿宋" w:eastAsia="仿宋" w:cs="仿宋"/>
          <w:color w:val="auto"/>
          <w:sz w:val="24"/>
          <w:szCs w:val="24"/>
          <w:highlight w:val="none"/>
          <w:lang w:eastAsia="zh-CN"/>
        </w:rPr>
        <w:t>、工程设备及专业工程的价格（如果有）。合同履行过程中，应视所涉及的采购金额或工程费用大小，遵守招投标政策法规组织采购或专业工程招标或双方根据市场行情协商确定，并按合同约定的调整方法调整合同价格。</w:t>
      </w:r>
    </w:p>
    <w:p w14:paraId="7587E569">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3.14计日工：</w:t>
      </w:r>
      <w:r>
        <w:rPr>
          <w:rFonts w:hint="eastAsia" w:ascii="仿宋" w:hAnsi="仿宋" w:eastAsia="仿宋" w:cs="仿宋"/>
          <w:color w:val="auto"/>
          <w:sz w:val="24"/>
          <w:szCs w:val="24"/>
          <w:highlight w:val="none"/>
          <w:lang w:eastAsia="zh-CN"/>
        </w:rPr>
        <w:t>指在合同履行过程中，承包人完成发包人提出的总承包范围以外的零星项目或工作，按照合同中约定计价付款。</w:t>
      </w:r>
    </w:p>
    <w:p w14:paraId="0B4C246F">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3.15质量保证金：</w:t>
      </w:r>
      <w:r>
        <w:rPr>
          <w:rFonts w:hint="eastAsia" w:ascii="仿宋" w:hAnsi="仿宋" w:eastAsia="仿宋" w:cs="仿宋"/>
          <w:color w:val="auto"/>
          <w:sz w:val="24"/>
          <w:szCs w:val="24"/>
          <w:highlight w:val="none"/>
          <w:lang w:eastAsia="zh-CN"/>
        </w:rPr>
        <w:t>指按照第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9条约定用于保证在缺陷责任期内履行缺陷修复义务的金额。</w:t>
      </w:r>
    </w:p>
    <w:p w14:paraId="6F874262">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1.3.1</w:t>
      </w:r>
      <w:r>
        <w:rPr>
          <w:rFonts w:ascii="仿宋" w:hAnsi="仿宋" w:eastAsia="仿宋" w:cs="仿宋"/>
          <w:b/>
          <w:bCs/>
          <w:color w:val="auto"/>
          <w:sz w:val="24"/>
          <w:szCs w:val="24"/>
          <w:highlight w:val="none"/>
          <w:lang w:eastAsia="zh-CN"/>
        </w:rPr>
        <w:t>6</w:t>
      </w:r>
      <w:r>
        <w:rPr>
          <w:rFonts w:hint="eastAsia" w:ascii="仿宋" w:hAnsi="仿宋" w:eastAsia="仿宋" w:cs="仿宋"/>
          <w:b/>
          <w:bCs/>
          <w:color w:val="auto"/>
          <w:sz w:val="24"/>
          <w:szCs w:val="24"/>
          <w:highlight w:val="none"/>
          <w:lang w:eastAsia="zh-CN"/>
        </w:rPr>
        <w:t xml:space="preserve"> 利润：</w:t>
      </w:r>
      <w:r>
        <w:rPr>
          <w:rFonts w:hint="eastAsia" w:ascii="仿宋" w:hAnsi="仿宋" w:eastAsia="仿宋" w:cs="仿宋"/>
          <w:bCs/>
          <w:color w:val="auto"/>
          <w:sz w:val="24"/>
          <w:szCs w:val="24"/>
          <w:highlight w:val="none"/>
          <w:lang w:eastAsia="zh-CN"/>
        </w:rPr>
        <w:t>系指合同专用条款中所列的适用的利润百分比（如未列出，则为百分之五（5%））。如承包人根据本合同的任何条款有权就成本加利润获得支付，则利润应以该部分成本作为基数计算。</w:t>
      </w:r>
    </w:p>
    <w:p w14:paraId="5BACE30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.3.1</w:t>
      </w:r>
      <w:r>
        <w:rPr>
          <w:rFonts w:ascii="仿宋" w:hAnsi="仿宋" w:eastAsia="仿宋" w:cs="仿宋"/>
          <w:b/>
          <w:bCs/>
          <w:color w:val="auto"/>
          <w:sz w:val="24"/>
          <w:szCs w:val="24"/>
          <w:highlight w:val="none"/>
          <w:lang w:eastAsia="zh-CN"/>
        </w:rPr>
        <w:t xml:space="preserve">7 </w:t>
      </w:r>
      <w:r>
        <w:rPr>
          <w:rFonts w:hint="eastAsia" w:ascii="仿宋" w:hAnsi="仿宋" w:eastAsia="仿宋" w:cs="仿宋"/>
          <w:b/>
          <w:bCs/>
          <w:color w:val="auto"/>
          <w:sz w:val="24"/>
          <w:szCs w:val="24"/>
          <w:highlight w:val="none"/>
          <w:lang w:eastAsia="zh-CN"/>
        </w:rPr>
        <w:t>工程款：</w:t>
      </w:r>
      <w:r>
        <w:rPr>
          <w:rFonts w:hint="eastAsia" w:ascii="仿宋" w:hAnsi="仿宋" w:eastAsia="仿宋" w:cs="仿宋"/>
          <w:color w:val="auto"/>
          <w:sz w:val="24"/>
          <w:szCs w:val="24"/>
          <w:highlight w:val="none"/>
          <w:lang w:eastAsia="zh-CN"/>
        </w:rPr>
        <w:t>指为实施、完成并保修合同工程，发包人支付或应当支付给承包人的各种价款，包括进度款、结算款等。</w:t>
      </w:r>
    </w:p>
    <w:p w14:paraId="496E9FEA">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1.3.1</w:t>
      </w:r>
      <w:r>
        <w:rPr>
          <w:rFonts w:ascii="仿宋" w:hAnsi="仿宋" w:eastAsia="仿宋" w:cs="仿宋"/>
          <w:b/>
          <w:color w:val="auto"/>
          <w:sz w:val="24"/>
          <w:szCs w:val="24"/>
          <w:highlight w:val="none"/>
          <w:lang w:eastAsia="zh-CN"/>
        </w:rPr>
        <w:t>8</w:t>
      </w:r>
      <w:r>
        <w:rPr>
          <w:rFonts w:hint="eastAsia" w:ascii="仿宋" w:hAnsi="仿宋" w:eastAsia="仿宋" w:cs="仿宋"/>
          <w:b/>
          <w:color w:val="auto"/>
          <w:sz w:val="24"/>
          <w:szCs w:val="24"/>
          <w:highlight w:val="none"/>
          <w:lang w:eastAsia="zh-CN"/>
        </w:rPr>
        <w:t xml:space="preserve"> 竣工结算书：</w:t>
      </w:r>
      <w:r>
        <w:rPr>
          <w:rFonts w:hint="eastAsia" w:ascii="仿宋" w:hAnsi="仿宋" w:eastAsia="仿宋" w:cs="仿宋"/>
          <w:color w:val="auto"/>
          <w:sz w:val="24"/>
          <w:szCs w:val="24"/>
          <w:highlight w:val="none"/>
          <w:lang w:eastAsia="zh-CN"/>
        </w:rPr>
        <w:t>指合同工程通过竣工验收交付使用后，承包人按合同约定编制并经发包人审定的合同价格报表。</w:t>
      </w:r>
    </w:p>
    <w:p w14:paraId="3D6304DF">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1.4 承包范围及工程内容</w:t>
      </w:r>
    </w:p>
    <w:p w14:paraId="4F827B38">
      <w:pPr>
        <w:pStyle w:val="2"/>
        <w:widowControl w:val="0"/>
        <w:tabs>
          <w:tab w:val="left" w:pos="1260"/>
          <w:tab w:val="left" w:pos="2160"/>
        </w:tabs>
        <w:adjustRightInd w:val="0"/>
        <w:spacing w:before="120" w:beforeLines="50" w:line="360" w:lineRule="auto"/>
        <w:ind w:left="1850" w:leftChars="771"/>
        <w:jc w:val="both"/>
        <w:rPr>
          <w:color w:val="auto"/>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4.1勘察：</w:t>
      </w:r>
      <w:r>
        <w:rPr>
          <w:rFonts w:hint="eastAsia" w:ascii="仿宋" w:hAnsi="仿宋" w:eastAsia="仿宋" w:cs="仿宋"/>
          <w:color w:val="auto"/>
          <w:sz w:val="24"/>
          <w:szCs w:val="24"/>
          <w:highlight w:val="none"/>
          <w:lang w:eastAsia="zh-CN"/>
        </w:rPr>
        <w:t>指发包人要求承包人提供本项目的工程地质勘察服务。具体承包范围及工程内容由双方在协议书中约定。</w:t>
      </w:r>
    </w:p>
    <w:p w14:paraId="50CB9016">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4.2 设计：</w:t>
      </w:r>
      <w:r>
        <w:rPr>
          <w:rFonts w:hint="eastAsia" w:ascii="仿宋" w:hAnsi="仿宋" w:eastAsia="仿宋" w:cs="仿宋"/>
          <w:color w:val="auto"/>
          <w:sz w:val="24"/>
          <w:szCs w:val="24"/>
          <w:highlight w:val="none"/>
          <w:lang w:eastAsia="zh-CN"/>
        </w:rPr>
        <w:t>指发包人要求承包人提供本项目的初步设计文件和（或）施工图设计文件及相关深化设计、后期配合等服务。具体承包范围及工程内容由双方在协议书中约定。</w:t>
      </w:r>
    </w:p>
    <w:p w14:paraId="68A27E63">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4.3  BIM技术应用：</w:t>
      </w:r>
      <w:r>
        <w:rPr>
          <w:rFonts w:hint="eastAsia" w:ascii="仿宋" w:hAnsi="仿宋" w:eastAsia="仿宋" w:cs="仿宋"/>
          <w:color w:val="auto"/>
          <w:sz w:val="24"/>
          <w:szCs w:val="24"/>
          <w:highlight w:val="none"/>
          <w:lang w:eastAsia="zh-CN"/>
        </w:rPr>
        <w:t>指发包人要求承包人于设计、施工、竣工验收或运维等阶段开展BIM技术应用或有关服务，提供本项目的建筑信息模型（BIM），利用BIM技术进行正向设计与建模（或建模与出图同步完成）、施工实施、造价管理及相关协调配合。具体承包范围及工程内容由双方在协议书中约定。</w:t>
      </w:r>
    </w:p>
    <w:p w14:paraId="0D41C513">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1.4.4 BIM正向设计：</w:t>
      </w:r>
      <w:r>
        <w:rPr>
          <w:rFonts w:hint="eastAsia" w:ascii="仿宋" w:hAnsi="仿宋" w:eastAsia="仿宋" w:cs="仿宋"/>
          <w:color w:val="auto"/>
          <w:sz w:val="24"/>
          <w:szCs w:val="24"/>
          <w:highlight w:val="none"/>
          <w:lang w:eastAsia="zh-CN"/>
        </w:rPr>
        <w:t>在三维环境下开展设计，将不同维度的相关信息进行集成统一形成建筑信息模型（BIM）的设计方式。</w:t>
      </w:r>
    </w:p>
    <w:p w14:paraId="69A8F3B7">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4.5设备及工器具购置：</w:t>
      </w:r>
      <w:r>
        <w:rPr>
          <w:rFonts w:hint="eastAsia" w:ascii="仿宋" w:hAnsi="仿宋" w:eastAsia="仿宋" w:cs="仿宋"/>
          <w:color w:val="auto"/>
          <w:sz w:val="24"/>
          <w:szCs w:val="24"/>
          <w:highlight w:val="none"/>
          <w:lang w:eastAsia="zh-CN"/>
        </w:rPr>
        <w:t>指发包人要求承包人提供本项目所需的、为达到生产能力应配备的设备及工器具（不含构成建筑安装工程实体的建筑材料、建筑设备、机电设备以及施工用机械设备）。具体承包范围及工程内容由双方在协议书中约定。</w:t>
      </w:r>
    </w:p>
    <w:p w14:paraId="4046F1D2">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4.6施工：</w:t>
      </w:r>
      <w:r>
        <w:rPr>
          <w:rFonts w:hint="eastAsia" w:ascii="仿宋" w:hAnsi="仿宋" w:eastAsia="仿宋" w:cs="仿宋"/>
          <w:color w:val="auto"/>
          <w:sz w:val="24"/>
          <w:szCs w:val="24"/>
          <w:highlight w:val="none"/>
          <w:lang w:eastAsia="zh-CN"/>
        </w:rPr>
        <w:t>指发包人要求承包人建造、完成并保修工程。具体承包范围及工程内容由双方在协议书中约定。</w:t>
      </w:r>
    </w:p>
    <w:p w14:paraId="6F0615AF">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1.5 施工现场</w:t>
      </w:r>
    </w:p>
    <w:p w14:paraId="533B3E37">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5.1施工现场：</w:t>
      </w:r>
      <w:r>
        <w:rPr>
          <w:rFonts w:hint="eastAsia" w:ascii="仿宋" w:hAnsi="仿宋" w:eastAsia="仿宋" w:cs="仿宋"/>
          <w:color w:val="auto"/>
          <w:sz w:val="24"/>
          <w:szCs w:val="24"/>
          <w:highlight w:val="none"/>
          <w:lang w:eastAsia="zh-CN"/>
        </w:rPr>
        <w:t>指由发包人提供的用于合同工程施工、工程材料与工程设备存放的场所，以及发包人在合同中具体指定的供施工使用的其他任何场所。</w:t>
      </w:r>
    </w:p>
    <w:p w14:paraId="30A24038">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b/>
          <w:color w:val="auto"/>
          <w:sz w:val="24"/>
          <w:szCs w:val="24"/>
          <w:highlight w:val="none"/>
          <w:lang w:eastAsia="zh-CN"/>
        </w:rPr>
      </w:pPr>
      <w:r>
        <w:rPr>
          <w:rFonts w:hint="eastAsia" w:ascii="仿宋" w:hAnsi="仿宋" w:eastAsia="仿宋"/>
          <w:b/>
          <w:color w:val="auto"/>
          <w:sz w:val="24"/>
          <w:szCs w:val="24"/>
          <w:highlight w:val="none"/>
          <w:lang w:eastAsia="zh-CN"/>
        </w:rPr>
        <w:t>1.5.2 现场进入权：</w:t>
      </w:r>
      <w:r>
        <w:rPr>
          <w:rFonts w:hint="eastAsia" w:ascii="仿宋" w:hAnsi="仿宋" w:eastAsia="仿宋"/>
          <w:color w:val="auto"/>
          <w:sz w:val="24"/>
          <w:szCs w:val="24"/>
          <w:highlight w:val="none"/>
          <w:lang w:eastAsia="zh-CN"/>
        </w:rPr>
        <w:t>指发包人允许承包人为实施勘察、设计、采购、施工、验收、试验、缺陷修复等合同约定的工作内容，进入和占用现场各部分的权利。具体进入现场的</w:t>
      </w:r>
      <w:r>
        <w:rPr>
          <w:rFonts w:hint="eastAsia" w:ascii="仿宋" w:hAnsi="仿宋" w:eastAsia="仿宋" w:cs="仿宋"/>
          <w:color w:val="auto"/>
          <w:sz w:val="24"/>
          <w:szCs w:val="24"/>
          <w:highlight w:val="none"/>
          <w:lang w:eastAsia="zh-CN"/>
        </w:rPr>
        <w:t>时间、占用各部分内容（建筑物、构筑物、生产设备等）及占用方式</w:t>
      </w:r>
      <w:r>
        <w:rPr>
          <w:rFonts w:hint="eastAsia" w:ascii="仿宋" w:hAnsi="仿宋" w:eastAsia="仿宋"/>
          <w:color w:val="auto"/>
          <w:sz w:val="24"/>
          <w:szCs w:val="24"/>
          <w:highlight w:val="none"/>
          <w:lang w:eastAsia="zh-CN"/>
        </w:rPr>
        <w:t>，由合同双方在专用条款中约定。</w:t>
      </w:r>
    </w:p>
    <w:p w14:paraId="77E7DC11">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1.6 合同当事人及相关方</w:t>
      </w:r>
    </w:p>
    <w:p w14:paraId="115AAF15">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highlight w:val="none"/>
          <w:lang w:eastAsia="zh-CN"/>
        </w:rPr>
      </w:pPr>
      <w:r>
        <w:rPr>
          <w:rFonts w:hint="eastAsia" w:ascii="仿宋" w:hAnsi="仿宋" w:eastAsia="仿宋" w:cs="仿宋"/>
          <w:b/>
          <w:bCs/>
          <w:color w:val="auto"/>
          <w:sz w:val="24"/>
          <w:szCs w:val="24"/>
          <w:highlight w:val="none"/>
          <w:lang w:eastAsia="zh-CN"/>
        </w:rPr>
        <w:t>1.6.1合同当事人：</w:t>
      </w:r>
      <w:r>
        <w:rPr>
          <w:rFonts w:hint="eastAsia" w:ascii="仿宋" w:hAnsi="仿宋" w:eastAsia="仿宋" w:cs="仿宋"/>
          <w:bCs/>
          <w:color w:val="auto"/>
          <w:sz w:val="24"/>
          <w:szCs w:val="24"/>
          <w:highlight w:val="none"/>
          <w:lang w:eastAsia="zh-CN"/>
        </w:rPr>
        <w:t>指发包人和（或）承包人。</w:t>
      </w:r>
    </w:p>
    <w:p w14:paraId="6F3ABF0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6.2发包人：</w:t>
      </w:r>
      <w:r>
        <w:rPr>
          <w:rFonts w:hint="eastAsia" w:ascii="仿宋" w:hAnsi="仿宋" w:eastAsia="仿宋" w:cs="仿宋"/>
          <w:color w:val="auto"/>
          <w:sz w:val="24"/>
          <w:szCs w:val="24"/>
          <w:highlight w:val="none"/>
          <w:lang w:eastAsia="zh-CN"/>
        </w:rPr>
        <w:t>指在协议书中约定，具有工程发包主体资格和支付工程款能力的当事人，以及取得该当事人资格的合法继受人。</w:t>
      </w:r>
    </w:p>
    <w:p w14:paraId="06457E8A">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6.3承包人：</w:t>
      </w:r>
      <w:r>
        <w:rPr>
          <w:rFonts w:hint="eastAsia" w:ascii="仿宋" w:hAnsi="仿宋" w:eastAsia="仿宋" w:cs="仿宋"/>
          <w:color w:val="auto"/>
          <w:sz w:val="24"/>
          <w:szCs w:val="24"/>
          <w:highlight w:val="none"/>
          <w:lang w:eastAsia="zh-CN"/>
        </w:rPr>
        <w:t>指在协议书中约定，被发包人接受且具有勘察、设计、采购、施工或设计、施工等阶段总承包主体资格的当事人，以及取得该当事人资格的合法继受人。</w:t>
      </w:r>
    </w:p>
    <w:p w14:paraId="76D4C8D7">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bCs/>
          <w:color w:val="auto"/>
          <w:sz w:val="24"/>
          <w:szCs w:val="24"/>
          <w:highlight w:val="none"/>
          <w:lang w:eastAsia="zh-CN"/>
        </w:rPr>
        <w:t>1.6.4 联合体：</w:t>
      </w:r>
      <w:r>
        <w:rPr>
          <w:rFonts w:hint="eastAsia" w:ascii="仿宋" w:hAnsi="仿宋" w:eastAsia="仿宋" w:cs="仿宋"/>
          <w:bCs/>
          <w:color w:val="auto"/>
          <w:sz w:val="24"/>
          <w:szCs w:val="24"/>
          <w:highlight w:val="none"/>
          <w:lang w:eastAsia="zh-CN"/>
        </w:rPr>
        <w:t>指经发包人同意由两个或两个以上法人或者其它组织组成的，</w:t>
      </w:r>
      <w:r>
        <w:rPr>
          <w:rFonts w:hint="eastAsia" w:ascii="仿宋" w:hAnsi="仿宋" w:eastAsia="仿宋" w:cs="仿宋"/>
          <w:color w:val="auto"/>
          <w:sz w:val="24"/>
          <w:szCs w:val="24"/>
          <w:highlight w:val="none"/>
          <w:lang w:eastAsia="zh-CN"/>
        </w:rPr>
        <w:t>作为承包人的临时机构，联合体各方向发包人承担连带责任。联合体各方应指定其中一方作为牵头人。</w:t>
      </w:r>
    </w:p>
    <w:p w14:paraId="38416DAE">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6.5分包人：</w:t>
      </w:r>
      <w:r>
        <w:rPr>
          <w:rFonts w:hint="eastAsia" w:ascii="仿宋" w:hAnsi="仿宋" w:eastAsia="仿宋" w:cs="仿宋"/>
          <w:color w:val="auto"/>
          <w:sz w:val="24"/>
          <w:szCs w:val="24"/>
          <w:highlight w:val="none"/>
          <w:lang w:eastAsia="zh-CN"/>
        </w:rPr>
        <w:t>指承包人对总承包范围内的部分工程、工程材料、工程设备或服务依法招标或直接分包，被发包人接受且具有相应资格，并与承包人签订了分包合同，接受承包人管理，依法开展施工、供货或服务的分包合同当事人，以及取得该分包合同当事人资格的合法继受人。</w:t>
      </w:r>
    </w:p>
    <w:p w14:paraId="32483965">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6.6相关方：</w:t>
      </w:r>
      <w:r>
        <w:rPr>
          <w:rFonts w:hint="eastAsia" w:ascii="仿宋" w:hAnsi="仿宋" w:eastAsia="仿宋" w:cs="仿宋"/>
          <w:color w:val="auto"/>
          <w:sz w:val="24"/>
          <w:szCs w:val="24"/>
          <w:highlight w:val="none"/>
          <w:lang w:eastAsia="zh-CN"/>
        </w:rPr>
        <w:t>除合同当事人</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含双方雇员及代表其工作的人员</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以外的任何自然人、法人或其它组织。</w:t>
      </w:r>
    </w:p>
    <w:p w14:paraId="45D234CF">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1.6.7 设计顾问人：</w:t>
      </w:r>
      <w:r>
        <w:rPr>
          <w:rFonts w:hint="eastAsia" w:ascii="仿宋" w:hAnsi="仿宋" w:eastAsia="仿宋" w:cs="仿宋"/>
          <w:color w:val="auto"/>
          <w:sz w:val="24"/>
          <w:szCs w:val="24"/>
          <w:highlight w:val="none"/>
          <w:lang w:eastAsia="zh-CN"/>
        </w:rPr>
        <w:t>指受发包人委托，在项目建设各阶段协助发包人监督管理承包人的工程设计活动、审核设计成果、提供设计优化建议、审核设计变更、参与相关设计评审会、参与竣工验收等的自然人、法人或其它组织。</w:t>
      </w:r>
    </w:p>
    <w:p w14:paraId="6769F75E">
      <w:pPr>
        <w:pStyle w:val="2"/>
        <w:widowControl w:val="0"/>
        <w:tabs>
          <w:tab w:val="left" w:pos="1260"/>
          <w:tab w:val="left" w:pos="2160"/>
        </w:tabs>
        <w:adjustRightInd w:val="0"/>
        <w:spacing w:before="120" w:beforeLines="50" w:line="360" w:lineRule="auto"/>
        <w:ind w:left="1850" w:leftChars="771"/>
        <w:jc w:val="both"/>
        <w:rPr>
          <w:color w:val="auto"/>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6.8</w:t>
      </w:r>
      <w:r>
        <w:rPr>
          <w:rFonts w:hint="eastAsia" w:ascii="仿宋" w:hAnsi="仿宋" w:eastAsia="仿宋" w:cs="仿宋"/>
          <w:b/>
          <w:color w:val="auto"/>
          <w:sz w:val="24"/>
          <w:szCs w:val="24"/>
          <w:highlight w:val="none"/>
          <w:lang w:eastAsia="zh-CN"/>
        </w:rPr>
        <w:t>监理人</w:t>
      </w:r>
      <w:r>
        <w:rPr>
          <w:rFonts w:hint="eastAsia" w:ascii="仿宋" w:hAnsi="仿宋" w:eastAsia="仿宋" w:cs="仿宋"/>
          <w:b/>
          <w:bCs/>
          <w:color w:val="auto"/>
          <w:sz w:val="24"/>
          <w:szCs w:val="24"/>
          <w:highlight w:val="none"/>
          <w:lang w:eastAsia="zh-CN"/>
        </w:rPr>
        <w:t>：</w:t>
      </w:r>
      <w:r>
        <w:rPr>
          <w:rFonts w:hint="eastAsia" w:ascii="仿宋" w:hAnsi="仿宋" w:eastAsia="仿宋" w:cs="仿宋"/>
          <w:color w:val="auto"/>
          <w:sz w:val="24"/>
          <w:szCs w:val="24"/>
          <w:highlight w:val="none"/>
          <w:lang w:eastAsia="zh-CN"/>
        </w:rPr>
        <w:t>指受发包人委托，负责合同工程的施工阶段及保修阶段监理且具有相应工程监理资质的法人或组织。</w:t>
      </w:r>
    </w:p>
    <w:p w14:paraId="213EE558">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6.9造价咨询人：</w:t>
      </w:r>
      <w:r>
        <w:rPr>
          <w:rFonts w:hint="eastAsia" w:ascii="仿宋" w:hAnsi="仿宋" w:eastAsia="仿宋" w:cs="仿宋"/>
          <w:color w:val="auto"/>
          <w:sz w:val="24"/>
          <w:szCs w:val="24"/>
          <w:highlight w:val="none"/>
          <w:lang w:eastAsia="zh-CN"/>
        </w:rPr>
        <w:t>指受发包人委托，负责合同工程的工程造价管理的法人或组织。</w:t>
      </w:r>
    </w:p>
    <w:p w14:paraId="1AEB3D1F">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6.10工程造价管理机构：</w:t>
      </w:r>
      <w:r>
        <w:rPr>
          <w:rFonts w:hint="eastAsia" w:ascii="仿宋" w:hAnsi="仿宋" w:eastAsia="仿宋" w:cs="仿宋"/>
          <w:color w:val="auto"/>
          <w:sz w:val="24"/>
          <w:szCs w:val="24"/>
          <w:highlight w:val="none"/>
          <w:lang w:eastAsia="zh-CN"/>
        </w:rPr>
        <w:t>指国务院有关部门、县级以上人民政府建设行政主管部门或受其委托的工程造价管理机构。</w:t>
      </w:r>
    </w:p>
    <w:p w14:paraId="371A7DA3">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6.11发包人代表：</w:t>
      </w:r>
      <w:r>
        <w:rPr>
          <w:rFonts w:hint="eastAsia" w:ascii="仿宋" w:hAnsi="仿宋" w:eastAsia="仿宋" w:cs="仿宋"/>
          <w:color w:val="auto"/>
          <w:sz w:val="24"/>
          <w:szCs w:val="24"/>
          <w:highlight w:val="none"/>
          <w:lang w:eastAsia="zh-CN"/>
        </w:rPr>
        <w:t>指发包人指定，代表发包人对合同工程进行管理的全权代表。发包人代表由发包人依据第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5</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款约定任命并书面通知承包人。</w:t>
      </w:r>
    </w:p>
    <w:p w14:paraId="7229F1E3">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6.12承包人代表及专业负责人：</w:t>
      </w:r>
      <w:r>
        <w:rPr>
          <w:rFonts w:hint="eastAsia" w:ascii="仿宋" w:hAnsi="仿宋" w:eastAsia="仿宋" w:cs="仿宋"/>
          <w:color w:val="auto"/>
          <w:sz w:val="24"/>
          <w:szCs w:val="24"/>
          <w:highlight w:val="none"/>
          <w:lang w:eastAsia="zh-CN"/>
        </w:rPr>
        <w:t>指承包人指定，代表承包人负责合同工程总承包管理的全权代表，以及负责合同工程的勘察、设计、BIM技术、采购、施工等各专业管理的负责人。承包人代表及专业负责人由承包人依据第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9</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款约定任命并书面通知发包人。其中：</w:t>
      </w:r>
    </w:p>
    <w:p w14:paraId="2F57C15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1.6.12.1 勘察负责人</w:t>
      </w:r>
      <w:r>
        <w:rPr>
          <w:rFonts w:hint="eastAsia" w:ascii="仿宋" w:hAnsi="仿宋" w:eastAsia="仿宋" w:cs="仿宋"/>
          <w:color w:val="auto"/>
          <w:sz w:val="24"/>
          <w:szCs w:val="24"/>
          <w:highlight w:val="none"/>
          <w:lang w:eastAsia="zh-CN"/>
        </w:rPr>
        <w:t>：指承包人指定负责开展勘察工作并具有相应资格的人员。</w:t>
      </w:r>
    </w:p>
    <w:p w14:paraId="6DCFAD53">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1.6.12.2 设计负责人：</w:t>
      </w:r>
      <w:r>
        <w:rPr>
          <w:rFonts w:hint="eastAsia" w:ascii="仿宋" w:hAnsi="仿宋" w:eastAsia="仿宋" w:cs="仿宋"/>
          <w:color w:val="auto"/>
          <w:sz w:val="24"/>
          <w:szCs w:val="24"/>
          <w:highlight w:val="none"/>
          <w:lang w:eastAsia="zh-CN"/>
        </w:rPr>
        <w:t>指承包人指定负责开展设计工作并具有相应资格的人员。</w:t>
      </w:r>
    </w:p>
    <w:p w14:paraId="7F871C10">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1.6.12.3  BIM负责人：</w:t>
      </w:r>
      <w:r>
        <w:rPr>
          <w:rFonts w:hint="eastAsia" w:ascii="仿宋" w:hAnsi="仿宋" w:eastAsia="仿宋" w:cs="仿宋"/>
          <w:color w:val="auto"/>
          <w:sz w:val="24"/>
          <w:szCs w:val="24"/>
          <w:highlight w:val="none"/>
          <w:lang w:eastAsia="zh-CN"/>
        </w:rPr>
        <w:t>指承包人指定负责开展BIM技术应用工作并具有相应资格的人员。</w:t>
      </w:r>
    </w:p>
    <w:p w14:paraId="1F7E2307">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1.6.12.4 采购负责人</w:t>
      </w:r>
      <w:r>
        <w:rPr>
          <w:rFonts w:hint="eastAsia" w:ascii="仿宋" w:hAnsi="仿宋" w:eastAsia="仿宋" w:cs="仿宋"/>
          <w:color w:val="auto"/>
          <w:sz w:val="24"/>
          <w:szCs w:val="24"/>
          <w:highlight w:val="none"/>
          <w:lang w:eastAsia="zh-CN"/>
        </w:rPr>
        <w:t>：指承包人指定负责开展工程材料、工程设备、装配式构件、设备及工器具等采购工作的人员。</w:t>
      </w:r>
    </w:p>
    <w:p w14:paraId="1B7A9CC8">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1.6.12.5 施工负责人：</w:t>
      </w:r>
      <w:r>
        <w:rPr>
          <w:rFonts w:hint="eastAsia" w:ascii="仿宋" w:hAnsi="仿宋" w:eastAsia="仿宋" w:cs="仿宋"/>
          <w:color w:val="auto"/>
          <w:sz w:val="24"/>
          <w:szCs w:val="24"/>
          <w:highlight w:val="none"/>
          <w:lang w:eastAsia="zh-CN"/>
        </w:rPr>
        <w:t>指承包人指定负责工程施工管理并具有相应资格的人员。</w:t>
      </w:r>
    </w:p>
    <w:p w14:paraId="57D089BE">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
          <w:color w:val="auto"/>
          <w:sz w:val="24"/>
          <w:szCs w:val="24"/>
          <w:highlight w:val="none"/>
          <w:lang w:eastAsia="zh-CN"/>
        </w:rPr>
        <w:t>1.6.12.6 其他工作负责人（如果有）：</w:t>
      </w:r>
      <w:r>
        <w:rPr>
          <w:rFonts w:hint="eastAsia" w:ascii="仿宋" w:hAnsi="仿宋" w:eastAsia="仿宋" w:cs="仿宋"/>
          <w:color w:val="auto"/>
          <w:sz w:val="24"/>
          <w:szCs w:val="24"/>
          <w:highlight w:val="none"/>
          <w:lang w:eastAsia="zh-CN"/>
        </w:rPr>
        <w:t>指承包人指定负责开展其他工作并具有相应资格（如果有</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的人员。</w:t>
      </w:r>
    </w:p>
    <w:p w14:paraId="45641DBF">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6.13 设计顾问工程师：</w:t>
      </w:r>
      <w:r>
        <w:rPr>
          <w:rFonts w:hint="eastAsia" w:ascii="仿宋" w:hAnsi="仿宋" w:eastAsia="仿宋" w:cs="仿宋"/>
          <w:color w:val="auto"/>
          <w:sz w:val="24"/>
          <w:szCs w:val="24"/>
          <w:highlight w:val="none"/>
          <w:lang w:eastAsia="zh-CN"/>
        </w:rPr>
        <w:t>指设计顾问人委派负责合同工程的设计专业技术咨询的专业人员。设计顾问工程师由设计顾问人提名，经发包人依据第26.1款约定任命并书面通知承包人。</w:t>
      </w:r>
    </w:p>
    <w:p w14:paraId="41918669">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6.14监理工程师：</w:t>
      </w:r>
      <w:r>
        <w:rPr>
          <w:rFonts w:hint="eastAsia" w:ascii="仿宋" w:hAnsi="仿宋" w:eastAsia="仿宋" w:cs="仿宋"/>
          <w:color w:val="auto"/>
          <w:sz w:val="24"/>
          <w:szCs w:val="24"/>
          <w:highlight w:val="none"/>
          <w:lang w:eastAsia="zh-CN"/>
        </w:rPr>
        <w:t>指监理人委派常驻施工现场负责合同工程的工程监理专业技术的专业人员。监理工程师由监理人提名，经发包人依据第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款约定任命并书面通知承包人。</w:t>
      </w:r>
    </w:p>
    <w:p w14:paraId="59FA7C37">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6.15造价工程师：</w:t>
      </w:r>
      <w:r>
        <w:rPr>
          <w:rFonts w:hint="eastAsia" w:ascii="仿宋" w:hAnsi="仿宋" w:eastAsia="仿宋" w:cs="仿宋"/>
          <w:color w:val="auto"/>
          <w:sz w:val="24"/>
          <w:szCs w:val="24"/>
          <w:highlight w:val="none"/>
          <w:lang w:eastAsia="zh-CN"/>
        </w:rPr>
        <w:t>指造价咨询人委派负责合同工程的工程造价专业技术与管理的专业人员。造价工程师由造价咨询人提名，经发包人依据第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8</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款约定任命并书面通知承包人。</w:t>
      </w:r>
    </w:p>
    <w:p w14:paraId="0CA5B3A5">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1.7 工期</w:t>
      </w:r>
    </w:p>
    <w:p w14:paraId="14A6B20B">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7.1合同工期：</w:t>
      </w:r>
      <w:r>
        <w:rPr>
          <w:rFonts w:hint="eastAsia" w:ascii="仿宋" w:hAnsi="仿宋" w:eastAsia="仿宋" w:cs="仿宋"/>
          <w:color w:val="auto"/>
          <w:sz w:val="24"/>
          <w:szCs w:val="24"/>
          <w:highlight w:val="none"/>
          <w:lang w:eastAsia="zh-CN"/>
        </w:rPr>
        <w:t>指合同双方当事人在协议书中约定，按照总日历天数（包括法定节假日）计算的从开始实施到完成合同工程的天数。包括勘察工期、设计工期、施工工期等。</w:t>
      </w:r>
    </w:p>
    <w:p w14:paraId="5B63C646">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.7.2开始工作日期与开工日期：</w:t>
      </w:r>
      <w:r>
        <w:rPr>
          <w:rFonts w:hint="eastAsia" w:ascii="仿宋" w:hAnsi="仿宋" w:eastAsia="仿宋" w:cs="仿宋"/>
          <w:bCs/>
          <w:color w:val="auto"/>
          <w:sz w:val="24"/>
          <w:szCs w:val="24"/>
          <w:highlight w:val="none"/>
          <w:lang w:eastAsia="zh-CN"/>
        </w:rPr>
        <w:t>开始工作日期</w:t>
      </w:r>
      <w:r>
        <w:rPr>
          <w:rFonts w:hint="eastAsia" w:ascii="仿宋" w:hAnsi="仿宋" w:eastAsia="仿宋" w:cs="仿宋"/>
          <w:color w:val="auto"/>
          <w:sz w:val="24"/>
          <w:szCs w:val="24"/>
          <w:highlight w:val="none"/>
          <w:lang w:eastAsia="zh-CN"/>
        </w:rPr>
        <w:t>指发包人代表发出的工作指令中写明的、承包人按照合同约定最迟在该日期开始工程的勘察、初步设计和（或）施工图设计、设备及工器具购置等某项工作的日期；开工日期指根据第41条约定，监理人在开工令中写明的、承包人按照合同约定最迟在该日期开始施工的日期。</w:t>
      </w:r>
    </w:p>
    <w:p w14:paraId="4C7F6BA9">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7.3完成工作日期：</w:t>
      </w:r>
      <w:r>
        <w:rPr>
          <w:rFonts w:hint="eastAsia" w:ascii="仿宋" w:hAnsi="仿宋" w:eastAsia="仿宋" w:cs="仿宋"/>
          <w:color w:val="auto"/>
          <w:sz w:val="24"/>
          <w:szCs w:val="24"/>
          <w:highlight w:val="none"/>
          <w:lang w:eastAsia="zh-CN"/>
        </w:rPr>
        <w:t>指承包人完成合同工程或某单项工程的勘察、初步设计和（或）施工图设计、设备及工器具购置等某项工作后，由发包人按照专用条款约定的发包人要求、标准、规范等，对其工作成果组织审查或验收并颁发审查批准或验收合格通知书的日期。</w:t>
      </w:r>
    </w:p>
    <w:p w14:paraId="3B6C5CB9">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7.4竣工日期：</w:t>
      </w:r>
      <w:r>
        <w:rPr>
          <w:rFonts w:hint="eastAsia" w:ascii="仿宋" w:hAnsi="仿宋" w:eastAsia="仿宋" w:cs="仿宋"/>
          <w:color w:val="auto"/>
          <w:sz w:val="24"/>
          <w:szCs w:val="24"/>
          <w:highlight w:val="none"/>
          <w:lang w:eastAsia="zh-CN"/>
        </w:rPr>
        <w:t>指承包人完成合同工程或某单项工程的施工后，由发包人按照第65条约定组织竣工验收、接收工程并颁发工程接收证书的日期。包括合同约定的工期与按合同约定允许调整的工期。</w:t>
      </w:r>
    </w:p>
    <w:p w14:paraId="0027B56A">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7.5绝对日期：</w:t>
      </w:r>
      <w:r>
        <w:rPr>
          <w:rFonts w:hint="eastAsia" w:ascii="仿宋" w:hAnsi="仿宋" w:eastAsia="仿宋" w:cs="仿宋"/>
          <w:color w:val="auto"/>
          <w:sz w:val="24"/>
          <w:szCs w:val="24"/>
          <w:highlight w:val="none"/>
          <w:lang w:eastAsia="zh-CN"/>
        </w:rPr>
        <w:t>指以公历年、月、日所表示的起止时间。</w:t>
      </w:r>
    </w:p>
    <w:p w14:paraId="452D865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7.6相对日期</w:t>
      </w:r>
      <w:r>
        <w:rPr>
          <w:rFonts w:hint="eastAsia"/>
          <w:b/>
          <w:bCs/>
          <w:color w:val="auto"/>
          <w:highlight w:val="none"/>
          <w:lang w:eastAsia="zh-CN"/>
        </w:rPr>
        <w:t>：</w:t>
      </w:r>
      <w:r>
        <w:rPr>
          <w:rFonts w:hint="eastAsia" w:ascii="仿宋" w:hAnsi="仿宋" w:eastAsia="仿宋" w:cs="仿宋"/>
          <w:color w:val="auto"/>
          <w:sz w:val="24"/>
          <w:szCs w:val="24"/>
          <w:highlight w:val="none"/>
          <w:lang w:eastAsia="zh-CN"/>
        </w:rPr>
        <w:t>指以日历天数表示两个绝对日期之间的时长，例如：合同签订日期后28天内开工。</w:t>
      </w:r>
    </w:p>
    <w:p w14:paraId="6357DD7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7.7基准日期：</w:t>
      </w:r>
      <w:r>
        <w:rPr>
          <w:rFonts w:hint="eastAsia" w:ascii="仿宋" w:hAnsi="仿宋" w:eastAsia="仿宋" w:cs="仿宋"/>
          <w:color w:val="auto"/>
          <w:sz w:val="24"/>
          <w:szCs w:val="24"/>
          <w:highlight w:val="none"/>
          <w:lang w:eastAsia="zh-CN"/>
        </w:rPr>
        <w:t>指招标发包工程递交投标文件截止日期前</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天的日期；直接发包工程订立合同前第</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天的日期。</w:t>
      </w:r>
    </w:p>
    <w:p w14:paraId="7E83978F">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7.8缺陷责任期：</w:t>
      </w:r>
      <w:r>
        <w:rPr>
          <w:rFonts w:hint="eastAsia" w:ascii="仿宋" w:hAnsi="仿宋" w:eastAsia="仿宋" w:cs="仿宋"/>
          <w:color w:val="auto"/>
          <w:sz w:val="24"/>
          <w:szCs w:val="24"/>
          <w:highlight w:val="none"/>
          <w:lang w:eastAsia="zh-CN"/>
        </w:rPr>
        <w:t>指履行第66</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3款约定的缺陷责任的期限。具体期限在专用条款中约定，包括第66</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款约定的延长期限。</w:t>
      </w:r>
    </w:p>
    <w:p w14:paraId="3E0B7013">
      <w:pPr>
        <w:pStyle w:val="2"/>
        <w:widowControl w:val="0"/>
        <w:tabs>
          <w:tab w:val="left" w:pos="1260"/>
          <w:tab w:val="left" w:pos="2160"/>
        </w:tabs>
        <w:adjustRightInd w:val="0"/>
        <w:spacing w:before="120" w:beforeLines="50" w:line="360" w:lineRule="auto"/>
        <w:ind w:left="1850" w:leftChars="771"/>
        <w:jc w:val="both"/>
        <w:rPr>
          <w:color w:val="auto"/>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7.9保修期：</w:t>
      </w:r>
      <w:r>
        <w:rPr>
          <w:rFonts w:hint="eastAsia" w:ascii="仿宋" w:hAnsi="仿宋" w:eastAsia="仿宋" w:cs="仿宋"/>
          <w:color w:val="auto"/>
          <w:sz w:val="24"/>
          <w:szCs w:val="24"/>
          <w:highlight w:val="none"/>
          <w:lang w:eastAsia="zh-CN"/>
        </w:rPr>
        <w:t>是指承包人按照合同约定和法律规定对工程质量缺陷责任承担保修责任的期限，该期限自缺陷责任期起算之日起计算。</w:t>
      </w:r>
    </w:p>
    <w:p w14:paraId="257D7E27">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7.10小时或天：</w:t>
      </w:r>
      <w:r>
        <w:rPr>
          <w:rFonts w:hint="eastAsia" w:ascii="仿宋" w:hAnsi="仿宋" w:eastAsia="仿宋" w:cs="仿宋"/>
          <w:color w:val="auto"/>
          <w:sz w:val="24"/>
          <w:szCs w:val="24"/>
          <w:highlight w:val="none"/>
          <w:lang w:eastAsia="zh-CN"/>
        </w:rPr>
        <w:t>除特别指明外，指时钟小时或日历天。合同中约定按照小时计算时间的，从发生事项有效时开始计算，不扣除休息时间；约定按照天计算时间的，开始当天不计入，从次日开始计算。时限的最后一天是休息日或其他法定节假日的，以节假日次日为时限，但竣工日期和完成工作日期除外。时限最后一天的截止时间为当天</w:t>
      </w:r>
      <w:r>
        <w:rPr>
          <w:rFonts w:ascii="仿宋" w:hAnsi="仿宋" w:eastAsia="仿宋" w:cs="仿宋"/>
          <w:color w:val="auto"/>
          <w:sz w:val="24"/>
          <w:szCs w:val="24"/>
          <w:highlight w:val="none"/>
          <w:lang w:eastAsia="zh-CN"/>
        </w:rPr>
        <w:t>24：00</w:t>
      </w:r>
      <w:r>
        <w:rPr>
          <w:rFonts w:hint="eastAsia" w:ascii="仿宋" w:hAnsi="仿宋" w:eastAsia="仿宋" w:cs="仿宋"/>
          <w:color w:val="auto"/>
          <w:sz w:val="24"/>
          <w:szCs w:val="24"/>
          <w:highlight w:val="none"/>
          <w:lang w:eastAsia="zh-CN"/>
        </w:rPr>
        <w:t>（即次日零点）。</w:t>
      </w:r>
    </w:p>
    <w:p w14:paraId="5B6460B8">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1.8 工程、工程材料与设备、装配式构件</w:t>
      </w:r>
    </w:p>
    <w:p w14:paraId="1BA0846D">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8.1合同工程：</w:t>
      </w:r>
      <w:r>
        <w:rPr>
          <w:rFonts w:hint="eastAsia" w:ascii="仿宋" w:hAnsi="仿宋" w:eastAsia="仿宋" w:cs="仿宋"/>
          <w:color w:val="auto"/>
          <w:sz w:val="24"/>
          <w:szCs w:val="24"/>
          <w:highlight w:val="none"/>
          <w:lang w:eastAsia="zh-CN"/>
        </w:rPr>
        <w:t>指合同双方当事人在协议书中约定的承包范围内的工程，包括永久工程和（或）临时工程。</w:t>
      </w:r>
    </w:p>
    <w:p w14:paraId="4568C464">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8.2永久工程：</w:t>
      </w:r>
      <w:r>
        <w:rPr>
          <w:rFonts w:hint="eastAsia" w:ascii="仿宋" w:hAnsi="仿宋" w:eastAsia="仿宋" w:cs="仿宋"/>
          <w:color w:val="auto"/>
          <w:sz w:val="24"/>
          <w:szCs w:val="24"/>
          <w:highlight w:val="none"/>
          <w:lang w:eastAsia="zh-CN"/>
        </w:rPr>
        <w:t>指按照合同约定承包人应当实施、完成并移交给发包人的永久性工程，包括工程设备。</w:t>
      </w:r>
    </w:p>
    <w:p w14:paraId="1224EAC5">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8.3临时工程：</w:t>
      </w:r>
      <w:r>
        <w:rPr>
          <w:rFonts w:hint="eastAsia" w:ascii="仿宋" w:hAnsi="仿宋" w:eastAsia="仿宋" w:cs="仿宋"/>
          <w:color w:val="auto"/>
          <w:sz w:val="24"/>
          <w:szCs w:val="24"/>
          <w:highlight w:val="none"/>
          <w:lang w:eastAsia="zh-CN"/>
        </w:rPr>
        <w:t>指实施、完成并保修永久工程过程中所需要的各类临时性工程，不包括施工设备。</w:t>
      </w:r>
    </w:p>
    <w:p w14:paraId="05D52CE5">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8.4分包：</w:t>
      </w:r>
      <w:r>
        <w:rPr>
          <w:rFonts w:hint="eastAsia" w:ascii="仿宋" w:hAnsi="仿宋" w:eastAsia="仿宋" w:cs="仿宋"/>
          <w:color w:val="auto"/>
          <w:sz w:val="24"/>
          <w:szCs w:val="24"/>
          <w:highlight w:val="none"/>
          <w:lang w:eastAsia="zh-CN"/>
        </w:rPr>
        <w:t>指合同工程中，由具有相应分包资质的分包人实施、完成的非主体、关键性工作。</w:t>
      </w:r>
    </w:p>
    <w:p w14:paraId="52F8EE65">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8.5</w:t>
      </w:r>
      <w:r>
        <w:rPr>
          <w:rFonts w:hint="eastAsia" w:ascii="仿宋" w:hAnsi="仿宋" w:eastAsia="仿宋" w:cs="仿宋"/>
          <w:b/>
          <w:bCs/>
          <w:color w:val="auto"/>
          <w:sz w:val="24"/>
          <w:szCs w:val="24"/>
          <w:highlight w:val="none"/>
          <w:shd w:val="clear" w:color="auto" w:fill="FFFFFF"/>
          <w:lang w:eastAsia="zh-CN"/>
        </w:rPr>
        <w:t>单项工程：</w:t>
      </w:r>
      <w:r>
        <w:rPr>
          <w:rFonts w:hint="eastAsia" w:ascii="仿宋" w:hAnsi="仿宋" w:eastAsia="仿宋" w:cs="仿宋"/>
          <w:color w:val="auto"/>
          <w:sz w:val="24"/>
          <w:szCs w:val="24"/>
          <w:highlight w:val="none"/>
          <w:lang w:eastAsia="zh-CN"/>
        </w:rPr>
        <w:t>指具有独立的设计文件，竣工后可以独立发挥生产能力和效益的永久工程。组成合同工程的单项工程名称、内容和范围等应在专用条款中明确。</w:t>
      </w:r>
    </w:p>
    <w:p w14:paraId="33254965">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highlight w:val="none"/>
          <w:lang w:eastAsia="zh-CN"/>
        </w:rPr>
      </w:pPr>
      <w:r>
        <w:rPr>
          <w:rFonts w:hint="eastAsia" w:ascii="仿宋" w:hAnsi="仿宋" w:eastAsia="仿宋" w:cs="仿宋"/>
          <w:b/>
          <w:bCs/>
          <w:color w:val="auto"/>
          <w:sz w:val="24"/>
          <w:szCs w:val="24"/>
          <w:highlight w:val="none"/>
          <w:lang w:eastAsia="zh-CN"/>
        </w:rPr>
        <w:t>1.8.6 工程材料：</w:t>
      </w:r>
      <w:r>
        <w:rPr>
          <w:rFonts w:hint="eastAsia" w:ascii="仿宋" w:hAnsi="仿宋" w:eastAsia="仿宋" w:cs="仿宋"/>
          <w:bCs/>
          <w:color w:val="auto"/>
          <w:sz w:val="24"/>
          <w:szCs w:val="24"/>
          <w:highlight w:val="none"/>
          <w:lang w:eastAsia="zh-CN"/>
        </w:rPr>
        <w:t>指构成永久工程实体的各类物品（工程设备、装配式构件除外），包括根据合同约定由承包人自主采购供应的物品、由承包人采购供应的发包人指定物品（如果有）或由发包人采购</w:t>
      </w:r>
      <w:r>
        <w:rPr>
          <w:rFonts w:hint="eastAsia" w:ascii="仿宋" w:hAnsi="仿宋" w:eastAsia="仿宋" w:cs="仿宋"/>
          <w:color w:val="auto"/>
          <w:sz w:val="24"/>
          <w:szCs w:val="24"/>
          <w:highlight w:val="none"/>
          <w:lang w:eastAsia="zh-CN"/>
        </w:rPr>
        <w:t>供应</w:t>
      </w:r>
      <w:r>
        <w:rPr>
          <w:rFonts w:hint="eastAsia" w:ascii="仿宋" w:hAnsi="仿宋" w:eastAsia="仿宋" w:cs="仿宋"/>
          <w:bCs/>
          <w:color w:val="auto"/>
          <w:sz w:val="24"/>
          <w:szCs w:val="24"/>
          <w:highlight w:val="none"/>
          <w:lang w:eastAsia="zh-CN"/>
        </w:rPr>
        <w:t>的物品（如果有）。</w:t>
      </w:r>
    </w:p>
    <w:p w14:paraId="311ADBF4">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highlight w:val="none"/>
          <w:lang w:eastAsia="zh-CN"/>
        </w:rPr>
      </w:pPr>
      <w:r>
        <w:rPr>
          <w:rFonts w:hint="eastAsia" w:ascii="仿宋" w:hAnsi="仿宋" w:eastAsia="仿宋" w:cs="仿宋"/>
          <w:b/>
          <w:bCs/>
          <w:color w:val="auto"/>
          <w:sz w:val="24"/>
          <w:szCs w:val="24"/>
          <w:highlight w:val="none"/>
          <w:lang w:eastAsia="zh-CN"/>
        </w:rPr>
        <w:t>1.8.7 装配式构件：</w:t>
      </w:r>
      <w:r>
        <w:rPr>
          <w:rFonts w:hint="eastAsia" w:ascii="仿宋" w:hAnsi="仿宋" w:eastAsia="仿宋" w:cs="仿宋"/>
          <w:bCs/>
          <w:color w:val="auto"/>
          <w:sz w:val="24"/>
          <w:szCs w:val="24"/>
          <w:highlight w:val="none"/>
          <w:lang w:eastAsia="zh-CN"/>
        </w:rPr>
        <w:t>指由承包人工厂自行预制或采购、运输到施工现场进行吊装、拼接后构成永久工程实体，且符合装配式结构技术标准与施工规范的主要结构及围护构件（梁、板、柱、墙板等），包括钢结构构件、预制钢筋混凝土构件等。</w:t>
      </w:r>
    </w:p>
    <w:p w14:paraId="2928AFD9">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8.8工程设备：</w:t>
      </w:r>
      <w:r>
        <w:rPr>
          <w:rFonts w:hint="eastAsia" w:ascii="仿宋" w:hAnsi="仿宋" w:eastAsia="仿宋" w:cs="仿宋"/>
          <w:color w:val="auto"/>
          <w:sz w:val="24"/>
          <w:szCs w:val="24"/>
          <w:highlight w:val="none"/>
          <w:lang w:eastAsia="zh-CN"/>
        </w:rPr>
        <w:t>指构成永久工程实体、能够发挥建筑安装工程功能的建筑设备、机电设备及其他配套设备和装置。</w:t>
      </w:r>
    </w:p>
    <w:p w14:paraId="7EB952AC">
      <w:pPr>
        <w:pStyle w:val="2"/>
        <w:widowControl w:val="0"/>
        <w:tabs>
          <w:tab w:val="left" w:pos="1260"/>
          <w:tab w:val="left" w:pos="2160"/>
        </w:tabs>
        <w:adjustRightInd w:val="0"/>
        <w:spacing w:before="120" w:beforeLines="50" w:line="360" w:lineRule="auto"/>
        <w:ind w:left="1850" w:leftChars="771"/>
        <w:jc w:val="both"/>
        <w:rPr>
          <w:color w:val="auto"/>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8.9设备及工器具：</w:t>
      </w:r>
      <w:r>
        <w:rPr>
          <w:rFonts w:hint="eastAsia" w:ascii="仿宋" w:hAnsi="仿宋" w:eastAsia="仿宋" w:cs="仿宋"/>
          <w:color w:val="auto"/>
          <w:sz w:val="24"/>
          <w:szCs w:val="24"/>
          <w:highlight w:val="none"/>
          <w:lang w:eastAsia="zh-CN"/>
        </w:rPr>
        <w:t>指独立于永久工程的实体之外、用于生产或运营的生产设备、办公设备及相关工具、仪器。</w:t>
      </w:r>
    </w:p>
    <w:p w14:paraId="53E0D494">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8.10施工设备：</w:t>
      </w:r>
      <w:r>
        <w:rPr>
          <w:rFonts w:hint="eastAsia" w:ascii="仿宋" w:hAnsi="仿宋" w:eastAsia="仿宋" w:cs="仿宋"/>
          <w:color w:val="auto"/>
          <w:sz w:val="24"/>
          <w:szCs w:val="24"/>
          <w:highlight w:val="none"/>
          <w:lang w:eastAsia="zh-CN"/>
        </w:rPr>
        <w:t>指为实施、完成并保修永久工程，由承包人临时带入工程现场的所有仪器、机械、运输工具或其他物品，但不包括业主设备（如果有）、用于生产或运营的设备及工器具（如果有）和其他不属于承包人的物品（如果有）。</w:t>
      </w:r>
    </w:p>
    <w:p w14:paraId="50D1F0CD">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1.9 缺陷及修复</w:t>
      </w:r>
    </w:p>
    <w:p w14:paraId="3FB20D22">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b/>
          <w:color w:val="auto"/>
          <w:sz w:val="24"/>
          <w:szCs w:val="24"/>
          <w:highlight w:val="none"/>
          <w:lang w:eastAsia="zh-CN"/>
        </w:rPr>
        <w:t>1.9.1</w:t>
      </w:r>
      <w:r>
        <w:rPr>
          <w:rFonts w:hint="eastAsia" w:ascii="仿宋" w:hAnsi="仿宋" w:eastAsia="仿宋" w:cs="仿宋"/>
          <w:b/>
          <w:bCs/>
          <w:color w:val="auto"/>
          <w:sz w:val="24"/>
          <w:szCs w:val="24"/>
          <w:highlight w:val="none"/>
          <w:lang w:eastAsia="zh-CN"/>
        </w:rPr>
        <w:t xml:space="preserve"> 勘察缺陷：</w:t>
      </w:r>
      <w:r>
        <w:rPr>
          <w:rFonts w:hint="eastAsia" w:ascii="仿宋" w:hAnsi="仿宋" w:eastAsia="仿宋" w:cs="仿宋"/>
          <w:bCs/>
          <w:color w:val="auto"/>
          <w:sz w:val="24"/>
          <w:szCs w:val="24"/>
          <w:highlight w:val="none"/>
          <w:lang w:eastAsia="zh-CN"/>
        </w:rPr>
        <w:t>指因承包人未按合同约定的要求进行工程勘察或勘察成果不符合合同约定的标准规范及发包人具体要求，勘察成果存在遗漏、错误，</w:t>
      </w:r>
      <w:r>
        <w:rPr>
          <w:rFonts w:hint="eastAsia" w:ascii="仿宋" w:hAnsi="仿宋" w:eastAsia="仿宋"/>
          <w:color w:val="auto"/>
          <w:sz w:val="24"/>
          <w:szCs w:val="24"/>
          <w:highlight w:val="none"/>
          <w:lang w:eastAsia="zh-CN"/>
        </w:rPr>
        <w:t>导致设计成果或已完</w:t>
      </w:r>
      <w:r>
        <w:rPr>
          <w:rFonts w:hint="eastAsia" w:ascii="仿宋" w:hAnsi="仿宋" w:eastAsia="仿宋" w:cs="仿宋"/>
          <w:bCs/>
          <w:color w:val="auto"/>
          <w:sz w:val="24"/>
          <w:szCs w:val="24"/>
          <w:highlight w:val="none"/>
          <w:lang w:eastAsia="zh-CN"/>
        </w:rPr>
        <w:t>工程存在重大缺陷或出现质量事故。</w:t>
      </w:r>
    </w:p>
    <w:p w14:paraId="31AD45C0">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highlight w:val="none"/>
          <w:lang w:eastAsia="zh-CN"/>
        </w:rPr>
      </w:pPr>
      <w:r>
        <w:rPr>
          <w:rFonts w:hint="eastAsia" w:ascii="仿宋" w:hAnsi="仿宋" w:eastAsia="仿宋"/>
          <w:b/>
          <w:color w:val="auto"/>
          <w:sz w:val="24"/>
          <w:szCs w:val="24"/>
          <w:highlight w:val="none"/>
          <w:lang w:eastAsia="zh-CN"/>
        </w:rPr>
        <w:t>1.9.2</w:t>
      </w:r>
      <w:r>
        <w:rPr>
          <w:rFonts w:hint="eastAsia" w:ascii="仿宋" w:hAnsi="仿宋" w:eastAsia="仿宋" w:cs="仿宋"/>
          <w:b/>
          <w:bCs/>
          <w:color w:val="auto"/>
          <w:sz w:val="24"/>
          <w:szCs w:val="24"/>
          <w:highlight w:val="none"/>
          <w:lang w:eastAsia="zh-CN"/>
        </w:rPr>
        <w:t xml:space="preserve"> 设计缺陷：</w:t>
      </w:r>
      <w:r>
        <w:rPr>
          <w:rFonts w:hint="eastAsia" w:ascii="仿宋" w:hAnsi="仿宋" w:eastAsia="仿宋" w:cs="仿宋"/>
          <w:bCs/>
          <w:color w:val="auto"/>
          <w:sz w:val="24"/>
          <w:szCs w:val="24"/>
          <w:highlight w:val="none"/>
          <w:lang w:eastAsia="zh-CN"/>
        </w:rPr>
        <w:t>指因承包人未按合同约定的要求进行工程设计或设计成果不符合合同约定的标准规范及发包人具体要求，</w:t>
      </w:r>
      <w:r>
        <w:rPr>
          <w:rFonts w:ascii="仿宋" w:hAnsi="仿宋" w:eastAsia="仿宋"/>
          <w:color w:val="auto"/>
          <w:sz w:val="24"/>
          <w:szCs w:val="24"/>
          <w:highlight w:val="none"/>
          <w:lang w:eastAsia="zh-CN"/>
        </w:rPr>
        <w:t>设计文件存在遗漏、错误</w:t>
      </w:r>
      <w:r>
        <w:rPr>
          <w:rFonts w:hint="eastAsia" w:ascii="仿宋" w:hAnsi="仿宋" w:eastAsia="仿宋"/>
          <w:color w:val="auto"/>
          <w:sz w:val="24"/>
          <w:szCs w:val="24"/>
          <w:highlight w:val="none"/>
          <w:lang w:eastAsia="zh-CN"/>
        </w:rPr>
        <w:t>或超过限额设计指标，导致已完</w:t>
      </w:r>
      <w:r>
        <w:rPr>
          <w:rFonts w:hint="eastAsia" w:ascii="仿宋" w:hAnsi="仿宋" w:eastAsia="仿宋" w:cs="仿宋"/>
          <w:bCs/>
          <w:color w:val="auto"/>
          <w:sz w:val="24"/>
          <w:szCs w:val="24"/>
          <w:highlight w:val="none"/>
          <w:lang w:eastAsia="zh-CN"/>
        </w:rPr>
        <w:t>工程存在重大缺陷、出现质量事故或增加工程费用。</w:t>
      </w:r>
    </w:p>
    <w:p w14:paraId="46D75A54">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highlight w:val="none"/>
          <w:lang w:eastAsia="zh-CN"/>
        </w:rPr>
      </w:pPr>
      <w:r>
        <w:rPr>
          <w:rFonts w:hint="eastAsia" w:ascii="仿宋" w:hAnsi="仿宋" w:eastAsia="仿宋"/>
          <w:b/>
          <w:color w:val="auto"/>
          <w:sz w:val="24"/>
          <w:szCs w:val="24"/>
          <w:highlight w:val="none"/>
          <w:lang w:eastAsia="zh-CN"/>
        </w:rPr>
        <w:t xml:space="preserve">1.9.3 </w:t>
      </w:r>
      <w:r>
        <w:rPr>
          <w:rFonts w:hint="eastAsia" w:ascii="仿宋" w:hAnsi="仿宋" w:eastAsia="仿宋" w:cs="仿宋"/>
          <w:b/>
          <w:bCs/>
          <w:color w:val="auto"/>
          <w:sz w:val="24"/>
          <w:szCs w:val="24"/>
          <w:highlight w:val="none"/>
          <w:lang w:eastAsia="zh-CN"/>
        </w:rPr>
        <w:t xml:space="preserve"> BIM技术应用缺陷：</w:t>
      </w:r>
      <w:r>
        <w:rPr>
          <w:rFonts w:hint="eastAsia" w:ascii="仿宋" w:hAnsi="仿宋" w:eastAsia="仿宋" w:cs="仿宋"/>
          <w:bCs/>
          <w:color w:val="auto"/>
          <w:sz w:val="24"/>
          <w:szCs w:val="24"/>
          <w:highlight w:val="none"/>
          <w:lang w:eastAsia="zh-CN"/>
        </w:rPr>
        <w:t>指因承包人提供的建筑信息模型（BIM）、信息服务平台及协调管理等服务内容不符合合同约定的标准规范及发包人具体要求，</w:t>
      </w:r>
      <w:r>
        <w:rPr>
          <w:rFonts w:hint="eastAsia" w:ascii="仿宋" w:hAnsi="仿宋" w:eastAsia="仿宋"/>
          <w:color w:val="auto"/>
          <w:sz w:val="24"/>
          <w:szCs w:val="24"/>
          <w:highlight w:val="none"/>
          <w:lang w:eastAsia="zh-CN"/>
        </w:rPr>
        <w:t>建筑信息模型（BIM）及相关工作</w:t>
      </w:r>
      <w:r>
        <w:rPr>
          <w:rFonts w:ascii="仿宋" w:hAnsi="仿宋" w:eastAsia="仿宋"/>
          <w:color w:val="auto"/>
          <w:sz w:val="24"/>
          <w:szCs w:val="24"/>
          <w:highlight w:val="none"/>
          <w:lang w:eastAsia="zh-CN"/>
        </w:rPr>
        <w:t>存在遗漏、错误</w:t>
      </w:r>
      <w:r>
        <w:rPr>
          <w:rFonts w:hint="eastAsia" w:ascii="仿宋" w:hAnsi="仿宋" w:eastAsia="仿宋"/>
          <w:color w:val="auto"/>
          <w:sz w:val="24"/>
          <w:szCs w:val="24"/>
          <w:highlight w:val="none"/>
          <w:lang w:eastAsia="zh-CN"/>
        </w:rPr>
        <w:t>，导致已完</w:t>
      </w:r>
      <w:r>
        <w:rPr>
          <w:rFonts w:hint="eastAsia" w:ascii="仿宋" w:hAnsi="仿宋" w:eastAsia="仿宋" w:cs="仿宋"/>
          <w:bCs/>
          <w:color w:val="auto"/>
          <w:sz w:val="24"/>
          <w:szCs w:val="24"/>
          <w:highlight w:val="none"/>
          <w:lang w:eastAsia="zh-CN"/>
        </w:rPr>
        <w:t>工程存在重大缺陷、出现质量事故或增加工程费用。</w:t>
      </w:r>
    </w:p>
    <w:p w14:paraId="60DB230F">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highlight w:val="none"/>
          <w:lang w:eastAsia="zh-CN"/>
        </w:rPr>
      </w:pPr>
      <w:r>
        <w:rPr>
          <w:rFonts w:hint="eastAsia" w:ascii="仿宋" w:hAnsi="仿宋" w:eastAsia="仿宋"/>
          <w:b/>
          <w:color w:val="auto"/>
          <w:sz w:val="24"/>
          <w:szCs w:val="24"/>
          <w:highlight w:val="none"/>
          <w:lang w:eastAsia="zh-CN"/>
        </w:rPr>
        <w:t>1.9.4</w:t>
      </w:r>
      <w:r>
        <w:rPr>
          <w:rFonts w:hint="eastAsia" w:ascii="仿宋" w:hAnsi="仿宋" w:eastAsia="仿宋" w:cs="仿宋"/>
          <w:b/>
          <w:bCs/>
          <w:color w:val="auto"/>
          <w:sz w:val="24"/>
          <w:szCs w:val="24"/>
          <w:highlight w:val="none"/>
          <w:lang w:eastAsia="zh-CN"/>
        </w:rPr>
        <w:t xml:space="preserve"> 设备及工器具购置缺陷：</w:t>
      </w:r>
      <w:r>
        <w:rPr>
          <w:rFonts w:hint="eastAsia" w:ascii="仿宋" w:hAnsi="仿宋" w:eastAsia="仿宋" w:cs="仿宋"/>
          <w:bCs/>
          <w:color w:val="auto"/>
          <w:sz w:val="24"/>
          <w:szCs w:val="24"/>
          <w:highlight w:val="none"/>
          <w:lang w:eastAsia="zh-CN"/>
        </w:rPr>
        <w:t>指因承包人未按合同约定的要求购置设备及工器具，或购置的设备及工器具质量与数量不符合合同约定的标准规范或发包人具体要求</w:t>
      </w:r>
      <w:r>
        <w:rPr>
          <w:rFonts w:hint="eastAsia" w:ascii="仿宋" w:hAnsi="仿宋" w:eastAsia="仿宋"/>
          <w:color w:val="auto"/>
          <w:sz w:val="24"/>
          <w:szCs w:val="24"/>
          <w:highlight w:val="none"/>
          <w:lang w:eastAsia="zh-CN"/>
        </w:rPr>
        <w:t>，导致建设项目无法</w:t>
      </w:r>
      <w:r>
        <w:rPr>
          <w:rFonts w:hint="eastAsia" w:ascii="仿宋" w:hAnsi="仿宋" w:eastAsia="仿宋" w:cs="仿宋"/>
          <w:bCs/>
          <w:color w:val="auto"/>
          <w:sz w:val="24"/>
          <w:szCs w:val="24"/>
          <w:highlight w:val="none"/>
          <w:lang w:eastAsia="zh-CN"/>
        </w:rPr>
        <w:t>达到生产或运营能力。</w:t>
      </w:r>
    </w:p>
    <w:p w14:paraId="6683763D">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Cs/>
          <w:color w:val="auto"/>
          <w:sz w:val="24"/>
          <w:szCs w:val="24"/>
          <w:highlight w:val="none"/>
          <w:lang w:eastAsia="zh-CN"/>
        </w:rPr>
      </w:pPr>
      <w:r>
        <w:rPr>
          <w:rFonts w:hint="eastAsia" w:ascii="仿宋" w:hAnsi="仿宋" w:eastAsia="仿宋"/>
          <w:b/>
          <w:color w:val="auto"/>
          <w:sz w:val="24"/>
          <w:szCs w:val="24"/>
          <w:highlight w:val="none"/>
          <w:lang w:eastAsia="zh-CN"/>
        </w:rPr>
        <w:t>1.9.5</w:t>
      </w:r>
      <w:r>
        <w:rPr>
          <w:rFonts w:hint="eastAsia" w:ascii="仿宋" w:hAnsi="仿宋" w:eastAsia="仿宋" w:cs="仿宋"/>
          <w:b/>
          <w:bCs/>
          <w:color w:val="auto"/>
          <w:sz w:val="24"/>
          <w:szCs w:val="24"/>
          <w:highlight w:val="none"/>
          <w:lang w:eastAsia="zh-CN"/>
        </w:rPr>
        <w:t xml:space="preserve"> 采购缺陷：</w:t>
      </w:r>
      <w:r>
        <w:rPr>
          <w:rFonts w:hint="eastAsia" w:ascii="仿宋" w:hAnsi="仿宋" w:eastAsia="仿宋" w:cs="仿宋"/>
          <w:bCs/>
          <w:color w:val="auto"/>
          <w:sz w:val="24"/>
          <w:szCs w:val="24"/>
          <w:highlight w:val="none"/>
          <w:lang w:eastAsia="zh-CN"/>
        </w:rPr>
        <w:t>指因承包人采购的构成工程实体的工程材料、工程设备及装配式构件等不符合产品合格标准或发包人要求，导致工程实体存在质量隐患、不良效果等缺陷。</w:t>
      </w:r>
    </w:p>
    <w:p w14:paraId="487085FD">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b/>
          <w:color w:val="auto"/>
          <w:sz w:val="24"/>
          <w:szCs w:val="24"/>
          <w:highlight w:val="none"/>
          <w:lang w:eastAsia="zh-CN"/>
        </w:rPr>
        <w:t>1.9.6</w:t>
      </w:r>
      <w:r>
        <w:rPr>
          <w:rFonts w:hint="eastAsia" w:ascii="仿宋" w:hAnsi="仿宋" w:eastAsia="仿宋" w:cs="仿宋"/>
          <w:b/>
          <w:bCs/>
          <w:color w:val="auto"/>
          <w:sz w:val="24"/>
          <w:szCs w:val="24"/>
          <w:highlight w:val="none"/>
          <w:lang w:eastAsia="zh-CN"/>
        </w:rPr>
        <w:t xml:space="preserve"> 工程质量缺陷：</w:t>
      </w:r>
      <w:r>
        <w:rPr>
          <w:rFonts w:hint="eastAsia" w:ascii="仿宋" w:hAnsi="仿宋" w:eastAsia="仿宋" w:cs="仿宋"/>
          <w:bCs/>
          <w:color w:val="auto"/>
          <w:sz w:val="24"/>
          <w:szCs w:val="24"/>
          <w:highlight w:val="none"/>
          <w:lang w:eastAsia="zh-CN"/>
        </w:rPr>
        <w:t>指因承包人未按合同约定的要求进行施工或施工质量不符合合同约定的标准规范或发包人具体要求，</w:t>
      </w:r>
      <w:r>
        <w:rPr>
          <w:rFonts w:hint="eastAsia" w:ascii="仿宋" w:hAnsi="仿宋" w:eastAsia="仿宋"/>
          <w:color w:val="auto"/>
          <w:sz w:val="24"/>
          <w:szCs w:val="24"/>
          <w:highlight w:val="none"/>
          <w:lang w:eastAsia="zh-CN"/>
        </w:rPr>
        <w:t>导致</w:t>
      </w:r>
      <w:r>
        <w:rPr>
          <w:rFonts w:hint="eastAsia" w:ascii="仿宋" w:hAnsi="仿宋" w:eastAsia="仿宋" w:cs="仿宋"/>
          <w:bCs/>
          <w:color w:val="auto"/>
          <w:sz w:val="24"/>
          <w:szCs w:val="24"/>
          <w:highlight w:val="none"/>
          <w:lang w:eastAsia="zh-CN"/>
        </w:rPr>
        <w:t>工程存在重大缺陷或出现质量事故。</w:t>
      </w:r>
    </w:p>
    <w:p w14:paraId="785C80E1">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b/>
          <w:color w:val="auto"/>
          <w:sz w:val="24"/>
          <w:szCs w:val="24"/>
          <w:highlight w:val="none"/>
          <w:lang w:eastAsia="zh-CN"/>
        </w:rPr>
        <w:t>1.9.7 其他服务缺陷：</w:t>
      </w:r>
      <w:r>
        <w:rPr>
          <w:rFonts w:hint="eastAsia" w:ascii="仿宋" w:hAnsi="仿宋" w:eastAsia="仿宋"/>
          <w:color w:val="auto"/>
          <w:sz w:val="24"/>
          <w:szCs w:val="24"/>
          <w:highlight w:val="none"/>
          <w:lang w:eastAsia="zh-CN"/>
        </w:rPr>
        <w:t>指承包人未按合同约定的要求开展其他服务或服务质量达不到合同约定的标准规范或发包人具体要求，导致发包人无法</w:t>
      </w:r>
      <w:r>
        <w:rPr>
          <w:rFonts w:hint="eastAsia" w:ascii="仿宋" w:hAnsi="仿宋" w:eastAsia="仿宋" w:cs="仿宋"/>
          <w:color w:val="auto"/>
          <w:sz w:val="24"/>
          <w:szCs w:val="24"/>
          <w:highlight w:val="none"/>
          <w:lang w:eastAsia="zh-CN"/>
        </w:rPr>
        <w:t>正常</w:t>
      </w:r>
      <w:r>
        <w:rPr>
          <w:rFonts w:hint="eastAsia" w:ascii="仿宋" w:hAnsi="仿宋" w:eastAsia="仿宋"/>
          <w:color w:val="auto"/>
          <w:sz w:val="24"/>
          <w:szCs w:val="24"/>
          <w:highlight w:val="none"/>
          <w:lang w:eastAsia="zh-CN"/>
        </w:rPr>
        <w:t>使用。</w:t>
      </w:r>
    </w:p>
    <w:p w14:paraId="2D3B6890">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1.10 变更、索赔、验收及其他</w:t>
      </w:r>
    </w:p>
    <w:p w14:paraId="5F2B5614">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10.1变更：</w:t>
      </w:r>
      <w:r>
        <w:rPr>
          <w:rFonts w:hint="eastAsia" w:ascii="仿宋" w:hAnsi="仿宋" w:eastAsia="仿宋" w:cs="仿宋"/>
          <w:color w:val="auto"/>
          <w:sz w:val="24"/>
          <w:szCs w:val="24"/>
          <w:highlight w:val="none"/>
          <w:lang w:eastAsia="zh-CN"/>
        </w:rPr>
        <w:t>变更分为可调价变更和不可调价变更。其中，不可调价变更是指采用总价合同形式的工程项目（子项目）且不符合第69.3款约定条件的变更，此类变更应参照第79条约定或本项目的预算编制规则确定变更预算，作为投资控制的依据，但不作为合同价格调整的依据；其他可调价变更应按照第79条约定确定变更的工程款，作为合同价格调整的依据。</w:t>
      </w:r>
    </w:p>
    <w:p w14:paraId="46D14A4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10.2索赔：</w:t>
      </w:r>
      <w:r>
        <w:rPr>
          <w:rFonts w:hint="eastAsia" w:ascii="仿宋" w:hAnsi="仿宋" w:eastAsia="仿宋" w:cs="仿宋"/>
          <w:color w:val="auto"/>
          <w:sz w:val="24"/>
          <w:szCs w:val="24"/>
          <w:highlight w:val="none"/>
          <w:lang w:eastAsia="zh-CN"/>
        </w:rPr>
        <w:t>指合同履行期间，对于非自己的过错而应由对方当事人承担责任的情况所造成的损失，并根据第43条和第80条约定向对方当事人提出费用补偿和（或）工期顺延的要求。</w:t>
      </w:r>
    </w:p>
    <w:p w14:paraId="34AFD31C">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10.3现场签证：</w:t>
      </w:r>
      <w:r>
        <w:rPr>
          <w:rFonts w:hint="eastAsia" w:ascii="仿宋" w:hAnsi="仿宋" w:eastAsia="仿宋" w:cs="仿宋"/>
          <w:color w:val="auto"/>
          <w:sz w:val="24"/>
          <w:szCs w:val="24"/>
          <w:highlight w:val="none"/>
          <w:lang w:eastAsia="zh-CN"/>
        </w:rPr>
        <w:t>指合同双方当事人按照第</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款约定的指定人选根据第81条约定就工程总承包实施过程中涉及的责任事项所作的签认证明。</w:t>
      </w:r>
    </w:p>
    <w:p w14:paraId="744771F1">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10.4工作成果验收：</w:t>
      </w:r>
      <w:r>
        <w:rPr>
          <w:rFonts w:hint="eastAsia" w:ascii="仿宋" w:hAnsi="仿宋" w:eastAsia="仿宋" w:cs="仿宋"/>
          <w:color w:val="auto"/>
          <w:sz w:val="24"/>
          <w:szCs w:val="24"/>
          <w:highlight w:val="none"/>
          <w:lang w:eastAsia="zh-CN"/>
        </w:rPr>
        <w:t>指承包人完成了勘察、设计、建筑信息模型（BIM）等合同约定的阶段性工作后，发包人按照合同约定对其完成的工作成效和（或）成果文件进行的验收或确认。</w:t>
      </w:r>
    </w:p>
    <w:p w14:paraId="7E6CF8D3">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10.5竣工验收：</w:t>
      </w:r>
      <w:r>
        <w:rPr>
          <w:rFonts w:hint="eastAsia" w:ascii="仿宋" w:hAnsi="仿宋" w:eastAsia="仿宋" w:cs="仿宋"/>
          <w:color w:val="auto"/>
          <w:sz w:val="24"/>
          <w:szCs w:val="24"/>
          <w:highlight w:val="none"/>
          <w:lang w:eastAsia="zh-CN"/>
        </w:rPr>
        <w:t>指承包人完成了全部合同工作后，发包人按照合同约定进行的验收。</w:t>
      </w:r>
    </w:p>
    <w:p w14:paraId="52B2C9AC">
      <w:pPr>
        <w:pStyle w:val="2"/>
        <w:widowControl w:val="0"/>
        <w:tabs>
          <w:tab w:val="left" w:pos="1260"/>
          <w:tab w:val="left" w:pos="2160"/>
        </w:tabs>
        <w:adjustRightInd w:val="0"/>
        <w:spacing w:before="120" w:beforeLines="50" w:line="360" w:lineRule="auto"/>
        <w:ind w:left="1850" w:leftChars="771"/>
        <w:jc w:val="both"/>
        <w:rPr>
          <w:color w:val="auto"/>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10.6国家验收：</w:t>
      </w:r>
      <w:r>
        <w:rPr>
          <w:rFonts w:hint="eastAsia" w:ascii="仿宋" w:hAnsi="仿宋" w:eastAsia="仿宋" w:cs="仿宋"/>
          <w:color w:val="auto"/>
          <w:sz w:val="24"/>
          <w:szCs w:val="24"/>
          <w:highlight w:val="none"/>
          <w:lang w:eastAsia="zh-CN"/>
        </w:rPr>
        <w:t>指政府部门根据法律和政策等有关规定，针对发包人全面组织实施的整个工程在正式交付投运前的验收。</w:t>
      </w:r>
    </w:p>
    <w:p w14:paraId="07CE861D">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10.7书面形式：</w:t>
      </w:r>
      <w:r>
        <w:rPr>
          <w:rFonts w:hint="eastAsia" w:ascii="仿宋" w:hAnsi="仿宋" w:eastAsia="仿宋" w:cs="仿宋"/>
          <w:color w:val="auto"/>
          <w:sz w:val="24"/>
          <w:szCs w:val="24"/>
          <w:highlight w:val="none"/>
          <w:lang w:eastAsia="zh-CN"/>
        </w:rPr>
        <w:t>指合同文件、信函、电报、电传、传真、电子数据交换文件、电子邮件、会议纪要等可以有形地表现所载内容的形式。合同双方当事人可在专用条款中注明所采用的书面形式。</w:t>
      </w:r>
    </w:p>
    <w:p w14:paraId="5147D934">
      <w:pPr>
        <w:pStyle w:val="2"/>
        <w:widowControl w:val="0"/>
        <w:tabs>
          <w:tab w:val="left" w:pos="1260"/>
          <w:tab w:val="left" w:pos="2160"/>
        </w:tabs>
        <w:adjustRightInd w:val="0"/>
        <w:spacing w:before="120" w:beforeLines="50"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10.8国家：</w:t>
      </w:r>
      <w:r>
        <w:rPr>
          <w:rFonts w:hint="eastAsia" w:ascii="仿宋" w:hAnsi="仿宋" w:eastAsia="仿宋" w:cs="仿宋"/>
          <w:color w:val="auto"/>
          <w:sz w:val="24"/>
          <w:szCs w:val="24"/>
          <w:highlight w:val="none"/>
          <w:lang w:eastAsia="zh-CN"/>
        </w:rPr>
        <w:t>指中华人民共和国。</w:t>
      </w:r>
    </w:p>
    <w:p w14:paraId="3B65F7E1">
      <w:pPr>
        <w:tabs>
          <w:tab w:val="left" w:pos="1620"/>
        </w:tabs>
        <w:spacing w:line="360" w:lineRule="auto"/>
        <w:rPr>
          <w:rFonts w:hint="eastAsia" w:ascii="仿宋" w:hAnsi="仿宋" w:eastAsia="仿宋"/>
          <w:b/>
          <w:bCs/>
          <w:color w:val="auto"/>
          <w:highlight w:val="none"/>
          <w:lang w:eastAsia="zh-CN"/>
        </w:rPr>
      </w:pPr>
    </w:p>
    <w:p w14:paraId="700EF3F0">
      <w:pPr>
        <w:pStyle w:val="6"/>
        <w:tabs>
          <w:tab w:val="left" w:pos="420"/>
        </w:tabs>
        <w:spacing w:before="120" w:beforeLines="50" w:after="120" w:afterLines="50" w:line="360" w:lineRule="auto"/>
        <w:rPr>
          <w:rFonts w:hint="eastAsia" w:ascii="仿宋" w:hAnsi="仿宋" w:eastAsia="仿宋"/>
          <w:bCs w:val="0"/>
          <w:color w:val="auto"/>
          <w:sz w:val="24"/>
          <w:szCs w:val="24"/>
          <w:highlight w:val="none"/>
          <w:lang w:eastAsia="zh-CN"/>
        </w:rPr>
      </w:pPr>
      <w:bookmarkStart w:id="295" w:name="_Toc21708"/>
      <w:r>
        <w:rPr>
          <w:rFonts w:ascii="仿宋" w:hAnsi="仿宋" w:eastAsia="仿宋" w:cs="仿宋"/>
          <w:bCs w:val="0"/>
          <w:color w:val="auto"/>
          <w:sz w:val="24"/>
          <w:szCs w:val="24"/>
          <w:highlight w:val="none"/>
          <w:lang w:eastAsia="zh-CN"/>
        </w:rPr>
        <w:t xml:space="preserve">2 </w:t>
      </w:r>
      <w:r>
        <w:rPr>
          <w:rFonts w:hint="eastAsia" w:ascii="仿宋" w:hAnsi="仿宋" w:eastAsia="仿宋" w:cs="仿宋"/>
          <w:bCs w:val="0"/>
          <w:color w:val="auto"/>
          <w:sz w:val="24"/>
          <w:szCs w:val="24"/>
          <w:highlight w:val="none"/>
          <w:lang w:eastAsia="zh-CN"/>
        </w:rPr>
        <w:t>合同文件及解释</w:t>
      </w:r>
      <w:bookmarkEnd w:id="295"/>
    </w:p>
    <w:p w14:paraId="29C1EB3C">
      <w:pPr>
        <w:pStyle w:val="2"/>
        <w:tabs>
          <w:tab w:val="left" w:pos="1202"/>
        </w:tabs>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62336" behindDoc="0" locked="0" layoutInCell="1" allowOverlap="1">
                <wp:simplePos x="0" y="0"/>
                <wp:positionH relativeFrom="column">
                  <wp:posOffset>-95250</wp:posOffset>
                </wp:positionH>
                <wp:positionV relativeFrom="paragraph">
                  <wp:posOffset>293370</wp:posOffset>
                </wp:positionV>
                <wp:extent cx="832485" cy="254000"/>
                <wp:effectExtent l="0" t="0" r="5715" b="5080"/>
                <wp:wrapNone/>
                <wp:docPr id="45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832485" cy="254000"/>
                        </a:xfrm>
                        <a:prstGeom prst="rect">
                          <a:avLst/>
                        </a:prstGeom>
                        <a:solidFill>
                          <a:srgbClr val="FFFFFF"/>
                        </a:solidFill>
                        <a:ln>
                          <a:noFill/>
                        </a:ln>
                        <a:effectLst/>
                      </wps:spPr>
                      <wps:txbx>
                        <w:txbxContent>
                          <w:p w14:paraId="0065841A">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标题和旁注</w:t>
                            </w:r>
                          </w:p>
                        </w:txbxContent>
                      </wps:txbx>
                      <wps:bodyPr rot="0" vert="horz" wrap="square" lIns="91440" tIns="45720" rIns="91440" bIns="45720" anchor="t" anchorCtr="0" upright="1">
                        <a:noAutofit/>
                      </wps:bodyPr>
                    </wps:wsp>
                  </a:graphicData>
                </a:graphic>
              </wp:anchor>
            </w:drawing>
          </mc:Choice>
          <mc:Fallback>
            <w:pict>
              <v:shape id="文本框 2" o:spid="_x0000_s1026" o:spt="202" type="#_x0000_t202" style="position:absolute;left:0pt;margin-left:-7.5pt;margin-top:23.1pt;height:20pt;width:65.55pt;z-index:251662336;mso-width-relative:page;mso-height-relative:page;" fillcolor="#FFFFFF" filled="t" stroked="f" coordsize="21600,21600" o:gfxdata="UEsDBAoAAAAAAIdO4kAAAAAAAAAAAAAAAAAEAAAAZHJzL1BLAwQUAAAACACHTuJAwcQZutcAAAAJ&#10;AQAADwAAAGRycy9kb3ducmV2LnhtbE2PzU7DMBCE70i8g7VIXFDrpGrTErKpBBKIa38eYBNvk4h4&#10;HcVu07497gmOszOa/abYXm2vLjz6zglCOk9AsdTOdNIgHA+fsw0oH0gM9U4Y4cYetuXjQ0G5cZPs&#10;+LIPjYol4nNCaEMYcq193bIlP3cDS/RObrQUohwbbUaaYrnt9SJJMm2pk/ihpYE/Wq5/9meLcPqe&#10;XlavU/UVjuvdMnunbl25G+LzU5q8gQp8DX9huONHdCgjU+XOYrzqEWbpKm4JCMtsAeoeSLMUVIWw&#10;iQddFvr/gvIXUEsDBBQAAAAIAIdO4kDgxrgYMgIAAE0EAAAOAAAAZHJzL2Uyb0RvYy54bWytVM2O&#10;0zAQviPxDpbvNG1plxI1XS2tipCWH2nhARzHSSwSjxm7TcoDwBtw4sKd59rnYOx0S1UueyAHy+MZ&#10;fzPfN+Msr/u2YXuFToPJ+GQ05kwZCYU2VcY/fdw+W3DmvDCFaMCojB+U49erp0+WnU3VFGpoCoWM&#10;QIxLO5vx2nubJomTtWqFG4FVhpwlYCs8mVglBYqO0NsmmY7HV0kHWFgEqZyj083g5EdEfAwglKWW&#10;agNy1yrjB1RUjfBEydXaOr6K1Zalkv59WTrlWZNxYurjSklon4c1WS1FWqGwtZbHEsRjSrjg1Apt&#10;KOkJaiO8YDvU/0C1WiI4KP1IQpsMRKIixGIyvtDmrhZWRS4ktbMn0d3/g5Xv9h+Q6SLjs/kVZ0a0&#10;1PL7H9/vf/6+//WNTYNAnXUpxd1ZivT9K+hpbCJZZ29BfnbMwLoWplI3iNDVShRU4CTcTM6uDjgu&#10;gOTdWygoj9h5iEB9iW1Qj/RghE7NOZyao3rPJB0unk9nizlnklzT+Ww8js1LRPpw2aLzrxW0LGwy&#10;jtT7CC72t86HYkT6EBJyOWh0sdVNEw2s8nWDbC9oTrbxi/VfhDUmBBsI1wbE4UTFSTumCZwDzYGw&#10;7/P+qGEOxYHYIwxTSG+QNjXgV846msCMuy87gYqz5o0hBV9OZrMwstGYzV9MycBzT37uEUYSVMY9&#10;Z8N27Ycx31nUVU2Zhp4ZuCHVSx0VCaUOVR17RVMWhTq+iDDG53aM+vsXWP0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cQZutcAAAAJAQAADwAAAAAAAAABACAAAAAiAAAAZHJzL2Rvd25yZXYueG1s&#10;UEsBAhQAFAAAAAgAh07iQODGuBgyAgAATQQAAA4AAAAAAAAAAQAgAAAAJgEAAGRycy9lMm9Eb2Mu&#10;eG1sUEsFBgAAAAAGAAYAWQEAAMoFAAAAAA==&#10;">
                <v:fill on="t" focussize="0,0"/>
                <v:stroke on="f"/>
                <v:imagedata o:title=""/>
                <o:lock v:ext="edit" aspectratio="f"/>
                <v:textbox>
                  <w:txbxContent>
                    <w:p w14:paraId="0065841A">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标题和旁注</w:t>
                      </w:r>
                    </w:p>
                  </w:txbxContent>
                </v:textbox>
              </v:shape>
            </w:pict>
          </mc:Fallback>
        </mc:AlternateContent>
      </w:r>
      <w:r>
        <w:rPr>
          <w:rFonts w:ascii="仿宋" w:hAnsi="仿宋" w:eastAsia="仿宋" w:cs="仿宋"/>
          <w:b/>
          <w:bCs/>
          <w:color w:val="auto"/>
          <w:sz w:val="24"/>
          <w:szCs w:val="24"/>
          <w:highlight w:val="none"/>
          <w:lang w:eastAsia="zh-CN"/>
        </w:rPr>
        <w:t>2.1</w:t>
      </w:r>
    </w:p>
    <w:p w14:paraId="7FC5B486">
      <w:pPr>
        <w:pStyle w:val="2"/>
        <w:widowControl w:val="0"/>
        <w:tabs>
          <w:tab w:val="left" w:pos="1202"/>
          <w:tab w:val="left" w:pos="1620"/>
          <w:tab w:val="left" w:pos="1800"/>
          <w:tab w:val="left" w:pos="2160"/>
        </w:tabs>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本合同条款的标题和旁注不构成合同的组成部分。</w:t>
      </w:r>
    </w:p>
    <w:p w14:paraId="58A1F8BC">
      <w:pPr>
        <w:pStyle w:val="2"/>
        <w:tabs>
          <w:tab w:val="left" w:pos="1202"/>
        </w:tabs>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w:t>
      </w:r>
      <w:r>
        <w:rPr>
          <w:rFonts w:ascii="仿宋" w:hAnsi="仿宋" w:eastAsia="仿宋" w:cs="仿宋"/>
          <w:b/>
          <w:bCs/>
          <w:color w:val="auto"/>
          <w:sz w:val="24"/>
          <w:szCs w:val="24"/>
          <w:highlight w:val="none"/>
          <w:lang w:eastAsia="zh-CN"/>
        </w:rPr>
        <w:t xml:space="preserve">2.2  </w:t>
      </w:r>
    </w:p>
    <w:p w14:paraId="21579D64">
      <w:pPr>
        <w:pStyle w:val="2"/>
        <w:widowControl w:val="0"/>
        <w:tabs>
          <w:tab w:val="left" w:pos="1202"/>
          <w:tab w:val="left" w:pos="1620"/>
          <w:tab w:val="left" w:pos="1800"/>
          <w:tab w:val="left" w:pos="2160"/>
        </w:tabs>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63360" behindDoc="0" locked="0" layoutInCell="1" allowOverlap="1">
                <wp:simplePos x="0" y="0"/>
                <wp:positionH relativeFrom="column">
                  <wp:posOffset>-114300</wp:posOffset>
                </wp:positionH>
                <wp:positionV relativeFrom="paragraph">
                  <wp:posOffset>67310</wp:posOffset>
                </wp:positionV>
                <wp:extent cx="774065" cy="673735"/>
                <wp:effectExtent l="0" t="0" r="0" b="0"/>
                <wp:wrapNone/>
                <wp:docPr id="457" name="文本框 3"/>
                <wp:cNvGraphicFramePr/>
                <a:graphic xmlns:a="http://schemas.openxmlformats.org/drawingml/2006/main">
                  <a:graphicData uri="http://schemas.microsoft.com/office/word/2010/wordprocessingShape">
                    <wps:wsp>
                      <wps:cNvSpPr txBox="1">
                        <a:spLocks noChangeArrowheads="1"/>
                      </wps:cNvSpPr>
                      <wps:spPr bwMode="auto">
                        <a:xfrm>
                          <a:off x="0" y="0"/>
                          <a:ext cx="774065" cy="673735"/>
                        </a:xfrm>
                        <a:prstGeom prst="rect">
                          <a:avLst/>
                        </a:prstGeom>
                        <a:noFill/>
                        <a:ln>
                          <a:noFill/>
                        </a:ln>
                        <a:effectLst/>
                      </wps:spPr>
                      <wps:txbx>
                        <w:txbxContent>
                          <w:p w14:paraId="498F36BE">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合同文件组成及优先顺序</w:t>
                            </w:r>
                          </w:p>
                        </w:txbxContent>
                      </wps:txbx>
                      <wps:bodyPr rot="0" vert="horz" wrap="square" lIns="91440" tIns="45720" rIns="91440" bIns="45720" anchor="t" anchorCtr="0" upright="1">
                        <a:noAutofit/>
                      </wps:bodyPr>
                    </wps:wsp>
                  </a:graphicData>
                </a:graphic>
              </wp:anchor>
            </w:drawing>
          </mc:Choice>
          <mc:Fallback>
            <w:pict>
              <v:shape id="文本框 3" o:spid="_x0000_s1026" o:spt="202" type="#_x0000_t202" style="position:absolute;left:0pt;margin-left:-9pt;margin-top:5.3pt;height:53.05pt;width:60.95pt;z-index:251663360;mso-width-relative:page;mso-height-relative:page;" filled="f" stroked="f" coordsize="21600,21600" o:gfxdata="UEsDBAoAAAAAAIdO4kAAAAAAAAAAAAAAAAAEAAAAZHJzL1BLAwQUAAAACACHTuJAwCPT7NcAAAAK&#10;AQAADwAAAGRycy9kb3ducmV2LnhtbE2PS0/DMBCE70j8B2uRuLV2eIQ2xOkBxBVEeUjctvE2iYjX&#10;Uew24d+zPcFtRzOa/abczL5XRxpjF9hCtjSgiOvgOm4svL89LVagYkJ22AcmCz8UYVOdn5VYuDDx&#10;Kx23qVFSwrFAC21KQ6F1rFvyGJdhIBZvH0aPSeTYaDfiJOW+11fG5Npjx/KhxYEeWqq/twdv4eN5&#10;//V5Y16aR387TGE2mv1aW3t5kZl7UInm9BeGE76gQyVMu3BgF1VvYZGtZEsSw+SgTgFzvQa1kyPL&#10;70BXpf4/ofoFUEsDBBQAAAAIAIdO4kA27/FEHAIAACQEAAAOAAAAZHJzL2Uyb0RvYy54bWytU0tu&#10;2zAQ3RfoHQjua/nvVLAcpDFSFEg/QNoD0BRlEZU47JC25B6gvUFX3XSfc/kcHVKK66abLLohSM7w&#10;zbw3j8vLtq7YXqHTYDI+Ggw5U0ZCrs02458+3ry44Mx5YXJRgVEZPyjHL1fPny0bm6oxlFDlChmB&#10;GJc2NuOl9zZNEidLVQs3AKsMBQvAWng64jbJUTSEXlfJeDicJw1gbhGkco5u112Q94j4FEAoCi3V&#10;GuSuVsZ3qKgq4YmSK7V1fBW7LQol/fuicMqzKuPE1MeVitB+E9ZktRTpFoUttexbEE9p4RGnWmhD&#10;RU9Qa+EF26H+B6rWEsFB4QcS6qQjEhUhFqPhI23uSmFV5EJSO3sS3f0/WPlu/wGZzjM+nS04M6Km&#10;kR9/fD/+vD/++sYmQaDGupTy7ixl+vYVtGSbSNbZW5CfHTNwXQqzVVeI0JRK5NTgKLxMzp52OC6A&#10;bJq3kFMdsfMQgdoC66Ae6cEInYZzOA1HtZ5JulwspsP5jDNJoflispjMYgWRPjy26PxrBTULm4wj&#10;zT6Ci/2t86EZkT6khFoGbnRVxflX5q8LSuxuVDRQ/zpQCd13PHy7aXtpNpAfiBRCZy76WrQpAb9y&#10;1pCxMu6+7AQqzqo3hoR5OZpOgxPjgUQf0wHPI5vziDCSoDLuOeu2175z786i3pZUqRuFgSsSs9CR&#10;aGi166ofAZkn8u+NHtx5fo5Zfz73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AI9Ps1wAAAAoB&#10;AAAPAAAAAAAAAAEAIAAAACIAAABkcnMvZG93bnJldi54bWxQSwECFAAUAAAACACHTuJANu/xRBwC&#10;AAAkBAAADgAAAAAAAAABACAAAAAmAQAAZHJzL2Uyb0RvYy54bWxQSwUGAAAAAAYABgBZAQAAtAUA&#10;AAAA&#10;">
                <v:fill on="f" focussize="0,0"/>
                <v:stroke on="f"/>
                <v:imagedata o:title=""/>
                <o:lock v:ext="edit" aspectratio="f"/>
                <v:textbox>
                  <w:txbxContent>
                    <w:p w14:paraId="498F36BE">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合同文件组成及优先顺序</w:t>
                      </w:r>
                    </w:p>
                  </w:txbxContent>
                </v:textbox>
              </v:shape>
            </w:pict>
          </mc:Fallback>
        </mc:AlternateContent>
      </w:r>
      <w:r>
        <w:rPr>
          <w:rFonts w:hint="eastAsia" w:ascii="仿宋" w:hAnsi="仿宋" w:eastAsia="仿宋" w:cs="仿宋"/>
          <w:color w:val="auto"/>
          <w:sz w:val="24"/>
          <w:szCs w:val="24"/>
          <w:highlight w:val="none"/>
          <w:lang w:eastAsia="zh-CN"/>
        </w:rPr>
        <w:t>组成合同的各项文件应互相解释，互为说明。除专用条款另有约定外，解释合同文件的优先顺序如下：</w:t>
      </w:r>
    </w:p>
    <w:p w14:paraId="7EC82B09">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协议书；</w:t>
      </w:r>
    </w:p>
    <w:p w14:paraId="6654AB3F">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中标通知书（如果有）；</w:t>
      </w:r>
    </w:p>
    <w:p w14:paraId="38EFA3EC">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承包人投标文件及其附件（含评标期间的澄清文件和补充资料）（如果有）；</w:t>
      </w:r>
    </w:p>
    <w:p w14:paraId="39297FF3">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专用条款；</w:t>
      </w:r>
    </w:p>
    <w:p w14:paraId="7FBB359D">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通用条款；</w:t>
      </w:r>
    </w:p>
    <w:p w14:paraId="00B6DD84">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《发包人要求》；</w:t>
      </w:r>
    </w:p>
    <w:p w14:paraId="2E83F8E9">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标准、规范；</w:t>
      </w:r>
    </w:p>
    <w:p w14:paraId="40CB8B11">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项目基础资料；</w:t>
      </w:r>
    </w:p>
    <w:p w14:paraId="6141AF5E">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合同价格清单；</w:t>
      </w:r>
    </w:p>
    <w:p w14:paraId="5E1A0D43">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rPr>
        <w:t>招标文件（包括补充、修改、澄清的文件、答疑纪要）（如果有）；</w:t>
      </w:r>
    </w:p>
    <w:p w14:paraId="180128B7">
      <w:pPr>
        <w:widowControl w:val="0"/>
        <w:numPr>
          <w:ilvl w:val="0"/>
          <w:numId w:val="5"/>
        </w:numPr>
        <w:spacing w:line="360" w:lineRule="auto"/>
        <w:ind w:left="1850" w:leftChars="771"/>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双方约定的其他合同文件。</w:t>
      </w:r>
    </w:p>
    <w:p w14:paraId="2C91E137">
      <w:pPr>
        <w:keepNext w:val="0"/>
        <w:keepLines w:val="0"/>
        <w:pageBreakBefore w:val="0"/>
        <w:widowControl w:val="0"/>
        <w:kinsoku/>
        <w:wordWrap/>
        <w:overflowPunct/>
        <w:topLinePunct w:val="0"/>
        <w:autoSpaceDE/>
        <w:autoSpaceDN/>
        <w:bidi w:val="0"/>
        <w:adjustRightInd/>
        <w:snapToGrid/>
        <w:spacing w:line="360" w:lineRule="auto"/>
        <w:ind w:left="1850" w:leftChars="771" w:firstLine="0" w:firstLineChars="0"/>
        <w:textAlignment w:val="auto"/>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上述各项合同文件包括合同当事人就该项合同文件所作出的补充和修改，同类文件相应内容不一致的，应以最新签署的为准。</w:t>
      </w:r>
      <w:r>
        <w:rPr>
          <w:rFonts w:hint="eastAsia" w:ascii="仿宋" w:hAnsi="仿宋" w:eastAsia="仿宋" w:cs="仿宋"/>
          <w:color w:val="auto"/>
          <w:highlight w:val="none"/>
          <w:lang w:eastAsia="zh-CN"/>
        </w:rPr>
        <w:t>合同专用条款及其附件须经合同当事人签字并盖章。</w:t>
      </w:r>
    </w:p>
    <w:p w14:paraId="381A8C48">
      <w:pPr>
        <w:keepNext w:val="0"/>
        <w:keepLines w:val="0"/>
        <w:pageBreakBefore w:val="0"/>
        <w:widowControl w:val="0"/>
        <w:kinsoku/>
        <w:wordWrap/>
        <w:overflowPunct/>
        <w:topLinePunct w:val="0"/>
        <w:autoSpaceDE/>
        <w:autoSpaceDN/>
        <w:bidi w:val="0"/>
        <w:adjustRightInd/>
        <w:snapToGrid/>
        <w:spacing w:line="360" w:lineRule="auto"/>
        <w:ind w:left="1850" w:leftChars="771" w:firstLine="0" w:firstLineChars="0"/>
        <w:textAlignment w:val="auto"/>
        <w:rPr>
          <w:rFonts w:hint="eastAsia" w:ascii="仿宋" w:hAnsi="仿宋" w:eastAsia="仿宋" w:cs="仿宋"/>
          <w:color w:val="auto"/>
          <w:highlight w:val="none"/>
          <w:lang w:eastAsia="zh-CN" w:bidi="ar-SA"/>
        </w:rPr>
      </w:pPr>
      <w:r>
        <w:rPr>
          <w:rFonts w:hint="eastAsia" w:ascii="仿宋" w:hAnsi="仿宋" w:eastAsia="仿宋" w:cs="仿宋"/>
          <w:color w:val="auto"/>
          <w:highlight w:val="none"/>
          <w:lang w:eastAsia="zh-CN" w:bidi="ar-SA"/>
        </w:rPr>
        <w:t>在合同订立及履行过程中形成的与合同有关的文件均构成合同文件组成部分，并根据其性质确定优先解释顺序。</w:t>
      </w:r>
    </w:p>
    <w:p w14:paraId="42040855">
      <w:pPr>
        <w:pStyle w:val="2"/>
        <w:tabs>
          <w:tab w:val="left" w:pos="1202"/>
        </w:tabs>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2.3</w:t>
      </w:r>
    </w:p>
    <w:p w14:paraId="5E3A0162">
      <w:pPr>
        <w:widowControl w:val="0"/>
        <w:spacing w:line="360" w:lineRule="auto"/>
        <w:ind w:left="1850" w:leftChars="771"/>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664384" behindDoc="0" locked="0" layoutInCell="1" allowOverlap="1">
                <wp:simplePos x="0" y="0"/>
                <wp:positionH relativeFrom="column">
                  <wp:posOffset>-114300</wp:posOffset>
                </wp:positionH>
                <wp:positionV relativeFrom="paragraph">
                  <wp:posOffset>0</wp:posOffset>
                </wp:positionV>
                <wp:extent cx="851535" cy="899160"/>
                <wp:effectExtent l="0" t="0" r="0" b="0"/>
                <wp:wrapNone/>
                <wp:docPr id="458" name="文本框 4"/>
                <wp:cNvGraphicFramePr/>
                <a:graphic xmlns:a="http://schemas.openxmlformats.org/drawingml/2006/main">
                  <a:graphicData uri="http://schemas.microsoft.com/office/word/2010/wordprocessingShape">
                    <wps:wsp>
                      <wps:cNvSpPr txBox="1">
                        <a:spLocks noChangeArrowheads="1"/>
                      </wps:cNvSpPr>
                      <wps:spPr bwMode="auto">
                        <a:xfrm>
                          <a:off x="0" y="0"/>
                          <a:ext cx="851535" cy="899160"/>
                        </a:xfrm>
                        <a:prstGeom prst="rect">
                          <a:avLst/>
                        </a:prstGeom>
                        <a:noFill/>
                        <a:ln>
                          <a:noFill/>
                        </a:ln>
                        <a:effectLst/>
                      </wps:spPr>
                      <wps:txbx>
                        <w:txbxContent>
                          <w:p w14:paraId="18CA1B76">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设计顾问人、监理人或造价咨询作人出解释</w:t>
                            </w:r>
                          </w:p>
                        </w:txbxContent>
                      </wps:txbx>
                      <wps:bodyPr rot="0" vert="horz" wrap="square" lIns="91440" tIns="45720" rIns="91440" bIns="45720" anchor="t" anchorCtr="0" upright="1">
                        <a:noAutofit/>
                      </wps:bodyPr>
                    </wps:wsp>
                  </a:graphicData>
                </a:graphic>
              </wp:anchor>
            </w:drawing>
          </mc:Choice>
          <mc:Fallback>
            <w:pict>
              <v:shape id="文本框 4" o:spid="_x0000_s1026" o:spt="202" type="#_x0000_t202" style="position:absolute;left:0pt;margin-left:-9pt;margin-top:0pt;height:70.8pt;width:67.05pt;z-index:251664384;mso-width-relative:page;mso-height-relative:page;" filled="f" stroked="f" coordsize="21600,21600" o:gfxdata="UEsDBAoAAAAAAIdO4kAAAAAAAAAAAAAAAAAEAAAAZHJzL1BLAwQUAAAACACHTuJAYFZLENYAAAAI&#10;AQAADwAAAGRycy9kb3ducmV2LnhtbE2PQU/DMAyF70j7D5GRuG1J0Ki2rukOQ1xBDJi0W9Z4bUXj&#10;VE22ln+Pd4KLZes9PX+v2E6+E1ccYhvIgF4oEEhVcC3VBj4/XuYrEDFZcrYLhAZ+MMK2nN0VNndh&#10;pHe87lMtOIRibg00KfW5lLFq0Nu4CD0Sa+cweJv4HGrpBjtyuO/ko1KZ9LYl/tDYHncNVt/7izfw&#10;9Xo+HpbqrX72T/0YJiXJr6UxD/dabUAknNKfGW74jA4lM53ChVwUnYG5XnGXZIDnTdaZBnHiZakz&#10;kGUh/xcofwFQSwMEFAAAAAgAh07iQEDly9YeAgAAJAQAAA4AAABkcnMvZTJvRG9jLnhtbK1TzY7T&#10;MBC+I/EOlu80TWmXNmq6WrZahLT8SAsP4DpOY5F4zNhtUh4A3oATF+48V5+DsZMtZbnsgYtle8bf&#10;zPd94+Vl19Rsr9BpMDlPR2POlJFQaLPN+ccPN8/mnDkvTCFqMCrnB+X45erpk2VrMzWBCupCISMQ&#10;47LW5rzy3mZJ4mSlGuFGYJWhYAnYCE9H3CYFipbQmzqZjMcXSQtYWASpnKPbdR/kAyI+BhDKUku1&#10;BrlrlPE9KqpaeKLkKm0dX8Vuy1JJ/64snfKszjkx9XGlIrTfhDVZLUW2RWErLYcWxGNaeMCpEdpQ&#10;0RPUWnjBdqj/gWq0RHBQ+pGEJumJREWIRTp+oM1dJayKXEhqZ0+iu/8HK9/u3yPTRc6nMzLeiIYs&#10;P37/dvzx6/jzK5sGgVrrMsq7s5Tpu5fQ0dhEss7egvzkmIHrSpitukKEtlKioAbT8DI5e9rjuACy&#10;ad9AQXXEzkME6kpsgnqkByN0MudwMkd1nkm6nM/S2fMZZ5JC88UivYjmJSK7f2zR+VcKGhY2OUfy&#10;PoKL/a3zoRmR3aeEWgZudF1H/2vz1wUl9jcqDtDwOlAJ3fc8fLfpBmk2UByIFEI/XPS1aFMBfuGs&#10;pcHKufu8E6g4q18bEmaRTqdhEuNhOnsxoQOeRzbnEWEkQeXcc9Zvr30/vTuLeltRpd4KA1ckZqkj&#10;0dBq39VgAQ1P5D8MepjO83PM+vO5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FZLENYAAAAI&#10;AQAADwAAAAAAAAABACAAAAAiAAAAZHJzL2Rvd25yZXYueG1sUEsBAhQAFAAAAAgAh07iQEDly9Ye&#10;AgAAJAQAAA4AAAAAAAAAAQAgAAAAJQEAAGRycy9lMm9Eb2MueG1sUEsFBgAAAAAGAAYAWQEAALUF&#10;AAAAAA==&#10;">
                <v:fill on="f" focussize="0,0"/>
                <v:stroke on="f"/>
                <v:imagedata o:title=""/>
                <o:lock v:ext="edit" aspectratio="f"/>
                <v:textbox>
                  <w:txbxContent>
                    <w:p w14:paraId="18CA1B76">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设计顾问人、监理人或造价咨询作人出解释</w:t>
                      </w:r>
                    </w:p>
                  </w:txbxContent>
                </v:textbox>
              </v:shape>
            </w:pict>
          </mc:Fallback>
        </mc:AlternateContent>
      </w:r>
      <w:r>
        <w:rPr>
          <w:rFonts w:hint="eastAsia" w:ascii="仿宋" w:hAnsi="仿宋" w:eastAsia="仿宋" w:cs="仿宋"/>
          <w:color w:val="auto"/>
          <w:highlight w:val="none"/>
          <w:lang w:eastAsia="zh-CN"/>
        </w:rPr>
        <w:t>当合同文件内容出现含糊不清或不一致时，由合同双方当事人在不影响合同工程正常实施的情况下协商解决。协商不成的，由设计顾问人、监理人、造价咨询人分别按照第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6</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7</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8</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款约定职权作出解释。如合同任何一方当事人不同意设计顾问人、监理人或造价咨询人作出的解释，按照第91条约定处理。</w:t>
      </w:r>
    </w:p>
    <w:p w14:paraId="55DE4927">
      <w:pPr>
        <w:spacing w:line="360" w:lineRule="auto"/>
        <w:rPr>
          <w:rFonts w:hint="eastAsia" w:ascii="仿宋" w:hAnsi="仿宋" w:eastAsia="仿宋"/>
          <w:b/>
          <w:bCs/>
          <w:color w:val="auto"/>
          <w:highlight w:val="none"/>
          <w:u w:val="single"/>
          <w:lang w:eastAsia="zh-CN"/>
        </w:rPr>
      </w:pPr>
    </w:p>
    <w:p w14:paraId="73489147">
      <w:pPr>
        <w:pStyle w:val="6"/>
        <w:tabs>
          <w:tab w:val="left" w:pos="420"/>
        </w:tabs>
        <w:spacing w:before="120" w:beforeLines="50" w:after="120" w:afterLines="50" w:line="360" w:lineRule="auto"/>
        <w:rPr>
          <w:rFonts w:hint="eastAsia" w:ascii="仿宋" w:hAnsi="仿宋" w:eastAsia="仿宋"/>
          <w:bCs w:val="0"/>
          <w:color w:val="auto"/>
          <w:sz w:val="24"/>
          <w:szCs w:val="24"/>
          <w:highlight w:val="none"/>
          <w:lang w:eastAsia="zh-CN"/>
        </w:rPr>
      </w:pPr>
      <w:bookmarkStart w:id="296" w:name="_Toc431"/>
      <w:r>
        <w:rPr>
          <w:rFonts w:ascii="仿宋" w:hAnsi="仿宋" w:eastAsia="仿宋" w:cs="仿宋"/>
          <w:bCs w:val="0"/>
          <w:color w:val="auto"/>
          <w:sz w:val="24"/>
          <w:szCs w:val="24"/>
          <w:highlight w:val="none"/>
          <w:lang w:eastAsia="zh-CN"/>
        </w:rPr>
        <w:t xml:space="preserve">3 </w:t>
      </w:r>
      <w:r>
        <w:rPr>
          <w:rFonts w:hint="eastAsia" w:ascii="仿宋" w:hAnsi="仿宋" w:eastAsia="仿宋" w:cs="仿宋"/>
          <w:bCs w:val="0"/>
          <w:color w:val="auto"/>
          <w:sz w:val="24"/>
          <w:szCs w:val="24"/>
          <w:highlight w:val="none"/>
          <w:lang w:eastAsia="zh-CN"/>
        </w:rPr>
        <w:t>阅读、理解与接受</w:t>
      </w:r>
      <w:bookmarkEnd w:id="296"/>
    </w:p>
    <w:p w14:paraId="52AD595D">
      <w:pPr>
        <w:tabs>
          <w:tab w:val="left" w:pos="1260"/>
        </w:tabs>
        <w:spacing w:before="240" w:beforeLines="100"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3.1</w:t>
      </w:r>
    </w:p>
    <w:p w14:paraId="65977CE5">
      <w:pPr>
        <w:pStyle w:val="2"/>
        <w:widowControl w:val="0"/>
        <w:spacing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665408" behindDoc="0" locked="0" layoutInCell="1" allowOverlap="1">
                <wp:simplePos x="0" y="0"/>
                <wp:positionH relativeFrom="column">
                  <wp:posOffset>-114300</wp:posOffset>
                </wp:positionH>
                <wp:positionV relativeFrom="paragraph">
                  <wp:posOffset>0</wp:posOffset>
                </wp:positionV>
                <wp:extent cx="775970" cy="527050"/>
                <wp:effectExtent l="0" t="0" r="0" b="0"/>
                <wp:wrapNone/>
                <wp:docPr id="459" name="文本框 5"/>
                <wp:cNvGraphicFramePr/>
                <a:graphic xmlns:a="http://schemas.openxmlformats.org/drawingml/2006/main">
                  <a:graphicData uri="http://schemas.microsoft.com/office/word/2010/wordprocessingShape">
                    <wps:wsp>
                      <wps:cNvSpPr txBox="1">
                        <a:spLocks noChangeArrowheads="1"/>
                      </wps:cNvSpPr>
                      <wps:spPr bwMode="auto">
                        <a:xfrm>
                          <a:off x="0" y="0"/>
                          <a:ext cx="775970" cy="527050"/>
                        </a:xfrm>
                        <a:prstGeom prst="rect">
                          <a:avLst/>
                        </a:prstGeom>
                        <a:noFill/>
                        <a:ln>
                          <a:noFill/>
                        </a:ln>
                        <a:effectLst/>
                      </wps:spPr>
                      <wps:txbx>
                        <w:txbxContent>
                          <w:p w14:paraId="2A208CAC">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阅读、理解与接受</w:t>
                            </w:r>
                          </w:p>
                        </w:txbxContent>
                      </wps:txbx>
                      <wps:bodyPr rot="0" vert="horz" wrap="square" lIns="91440" tIns="45720" rIns="91440" bIns="45720" anchor="t" anchorCtr="0" upright="1">
                        <a:noAutofit/>
                      </wps:bodyPr>
                    </wps:wsp>
                  </a:graphicData>
                </a:graphic>
              </wp:anchor>
            </w:drawing>
          </mc:Choice>
          <mc:Fallback>
            <w:pict>
              <v:shape id="文本框 5" o:spid="_x0000_s1026" o:spt="202" type="#_x0000_t202" style="position:absolute;left:0pt;margin-left:-9pt;margin-top:0pt;height:41.5pt;width:61.1pt;z-index:251665408;mso-width-relative:page;mso-height-relative:page;" filled="f" stroked="f" coordsize="21600,21600" o:gfxdata="UEsDBAoAAAAAAIdO4kAAAAAAAAAAAAAAAAAEAAAAZHJzL1BLAwQUAAAACACHTuJANtGTKNUAAAAH&#10;AQAADwAAAGRycy9kb3ducmV2LnhtbE2PwU7DMBBE70j8g7VI3Fo7paAQsukBxBVEC0jctvE2iYjX&#10;Uew24e9xT3BZaTSjmbflZna9OvEYOi8I2dKAYqm97aRBeN89L3JQIZJY6r0wwg8H2FSXFyUV1k/y&#10;xqdtbFQqkVAQQhvjUGgd6pYdhaUfWJJ38KOjmOTYaDvSlMpdr1fG3GlHnaSFlgZ+bLn+3h4dwsfL&#10;4etzbV6bJ3c7TH42Wty9Rry+yswDqMhz/AvDGT+hQ5WY9v4oNqgeYZHl6ZeIkO7ZNusVqD1CfmNA&#10;V6X+z1/9AlBLAwQUAAAACACHTuJAzyk0lR0CAAAkBAAADgAAAGRycy9lMm9Eb2MueG1srVPNjtMw&#10;EL4j8Q6W7zRt1VAaNV0tWy1CWn6kXR7AdZzGIvGYsdukPAC8AScu3HmuPseOnWwpy2UPXCzbM/5m&#10;vm8+Ly+6pmZ7hU6DyflkNOZMGQmFNtucf7q7fvGKM+eFKUQNRuX8oBy/WD1/tmxtpqZQQV0oZARi&#10;XNbanFfe2yxJnKxUI9wIrDIULAEb4emI26RA0RJ6UyfT8fhl0gIWFkEq5+h23Qf5gIhPAYSy1FKt&#10;Qe4aZXyPiqoWnii5SlvHV7HbslTSfyhLpzyrc05MfVypCO03YU1WS5FtUdhKy6EF8ZQWHnFqhDZU&#10;9AS1Fl6wHep/oBotERyUfiShSXoiURFiMRk/0ua2ElZFLiS1syfR3f+Dle/3H5HpIuezdMGZEQ2N&#10;/Pjj+/Hn7+OvbywNArXWZZR3aynTd6+hI9tEss7egPzsmIGrSpitukSEtlKioAYn4WVy9rTHcQFk&#10;076DguqInYcI1JXYBPVID0boNJzDaTiq80zS5XyeLuYUkRRKp/NxGoeXiOzhsUXn3yhoWNjkHGn2&#10;EVzsb5wPzYjsISXUMnCt6zrOvzZ/XVBif6OigYbXgUrovufhu003SLOB4kCkEHpz0deiTQX4lbOW&#10;jJVz92UnUHFWvzUkzGIymwUnxsMsnU/pgOeRzXlEGElQOfec9dsr37t3Z1FvK6rUj8LAJYlZ6kg0&#10;tNp3NYyAzBP5D0YP7jw/x6w/n3t1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bRkyjVAAAABwEA&#10;AA8AAAAAAAAAAQAgAAAAIgAAAGRycy9kb3ducmV2LnhtbFBLAQIUABQAAAAIAIdO4kDPKTSVHQIA&#10;ACQEAAAOAAAAAAAAAAEAIAAAACQBAABkcnMvZTJvRG9jLnhtbFBLBQYAAAAABgAGAFkBAACzBQAA&#10;AAA=&#10;">
                <v:fill on="f" focussize="0,0"/>
                <v:stroke on="f"/>
                <v:imagedata o:title=""/>
                <o:lock v:ext="edit" aspectratio="f"/>
                <v:textbox>
                  <w:txbxContent>
                    <w:p w14:paraId="2A208CAC">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阅读、理解与接受</w:t>
                      </w:r>
                    </w:p>
                  </w:txbxContent>
                </v:textbox>
              </v:shape>
            </w:pict>
          </mc:Fallback>
        </mc:AlternateContent>
      </w:r>
      <w:r>
        <w:rPr>
          <w:rFonts w:hint="eastAsia" w:ascii="仿宋" w:hAnsi="仿宋" w:eastAsia="仿宋" w:cs="仿宋"/>
          <w:color w:val="auto"/>
          <w:sz w:val="24"/>
          <w:szCs w:val="24"/>
          <w:highlight w:val="none"/>
          <w:lang w:eastAsia="zh-CN"/>
        </w:rPr>
        <w:t>合同双方当事人应认真阅读和理解本合同的全部内容。除合同双方当事人同意修改外，本合同一旦订立，视为合同双方当事人已全面接受本合同的所有条款。</w:t>
      </w:r>
    </w:p>
    <w:p w14:paraId="4F80885E">
      <w:pPr>
        <w:tabs>
          <w:tab w:val="left" w:pos="1260"/>
        </w:tabs>
        <w:spacing w:before="240" w:beforeLines="100" w:line="360" w:lineRule="auto"/>
        <w:rPr>
          <w:rFonts w:hint="eastAsia" w:ascii="仿宋" w:hAnsi="仿宋" w:eastAsia="仿宋" w:cs="仿宋"/>
          <w:b/>
          <w:bCs/>
          <w:color w:val="auto"/>
          <w:highlight w:val="none"/>
          <w:u w:val="dotted"/>
          <w:lang w:eastAsia="zh-CN"/>
        </w:rPr>
      </w:pPr>
      <w:r>
        <w:rPr>
          <w:rFonts w:ascii="仿宋" w:hAnsi="仿宋" w:eastAsia="仿宋" w:cs="仿宋"/>
          <w:b/>
          <w:bCs/>
          <w:color w:val="auto"/>
          <w:highlight w:val="none"/>
          <w:lang w:eastAsia="zh-CN"/>
        </w:rPr>
        <w:t>3.2</w:t>
      </w:r>
    </w:p>
    <w:p w14:paraId="62D7FD45">
      <w:pPr>
        <w:pStyle w:val="2"/>
        <w:widowControl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66432" behindDoc="0" locked="0" layoutInCell="1" allowOverlap="1">
                <wp:simplePos x="0" y="0"/>
                <wp:positionH relativeFrom="column">
                  <wp:posOffset>-114300</wp:posOffset>
                </wp:positionH>
                <wp:positionV relativeFrom="paragraph">
                  <wp:posOffset>126365</wp:posOffset>
                </wp:positionV>
                <wp:extent cx="847725" cy="517525"/>
                <wp:effectExtent l="0" t="0" r="0" b="0"/>
                <wp:wrapNone/>
                <wp:docPr id="460" name="文本框 6"/>
                <wp:cNvGraphicFramePr/>
                <a:graphic xmlns:a="http://schemas.openxmlformats.org/drawingml/2006/main">
                  <a:graphicData uri="http://schemas.microsoft.com/office/word/2010/wordprocessingShape">
                    <wps:wsp>
                      <wps:cNvSpPr txBox="1">
                        <a:spLocks noChangeArrowheads="1"/>
                      </wps:cNvSpPr>
                      <wps:spPr bwMode="auto">
                        <a:xfrm>
                          <a:off x="0" y="0"/>
                          <a:ext cx="847725" cy="517525"/>
                        </a:xfrm>
                        <a:prstGeom prst="rect">
                          <a:avLst/>
                        </a:prstGeom>
                        <a:noFill/>
                        <a:ln>
                          <a:noFill/>
                        </a:ln>
                        <a:effectLst/>
                      </wps:spPr>
                      <wps:txbx>
                        <w:txbxContent>
                          <w:p w14:paraId="54BC6A37">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修改合同条款的限制</w:t>
                            </w:r>
                          </w:p>
                        </w:txbxContent>
                      </wps:txbx>
                      <wps:bodyPr rot="0" vert="horz" wrap="square" lIns="91440" tIns="45720" rIns="91440" bIns="45720" anchor="t" anchorCtr="0" upright="1">
                        <a:noAutofit/>
                      </wps:bodyPr>
                    </wps:wsp>
                  </a:graphicData>
                </a:graphic>
              </wp:anchor>
            </w:drawing>
          </mc:Choice>
          <mc:Fallback>
            <w:pict>
              <v:shape id="文本框 6" o:spid="_x0000_s1026" o:spt="202" type="#_x0000_t202" style="position:absolute;left:0pt;margin-left:-9pt;margin-top:9.95pt;height:40.75pt;width:66.75pt;z-index:251666432;mso-width-relative:page;mso-height-relative:page;" filled="f" stroked="f" coordsize="21600,21600" o:gfxdata="UEsDBAoAAAAAAIdO4kAAAAAAAAAAAAAAAAAEAAAAZHJzL1BLAwQUAAAACACHTuJAvGwfRdYAAAAK&#10;AQAADwAAAGRycy9kb3ducmV2LnhtbE2PwU7DMBBE70j8g7WVuLW2UYOaEKcHEFcQpSBxc+NtEjVe&#10;R7HbhL9ne4LbjmY0+6bczr4XFxxjF8iAXikQSHVwHTUG9h8vyw2ImCw52wdCAz8YYVvd3pS2cGGi&#10;d7zsUiO4hGJhDbQpDYWUsW7R27gKAxJ7xzB6m1iOjXSjnbjc9/JeqQfpbUf8obUDPrVYn3Znb+Dz&#10;9fj9tVZvzbPPhinMSpLPpTF3C60eQSSc018YrviMDhUzHcKZXBS9gaXe8JbERp6DuAZ0loE48KH0&#10;GmRVyv8Tql9QSwMEFAAAAAgAh07iQP0PvY0bAgAAJAQAAA4AAABkcnMvZTJvRG9jLnhtbK1TS27b&#10;MBDdF+gdCO5r2YY/qWA5SGOkKJB+gLQHoCnKIipx2CFtyT1Ae4Ouuum+5/I5OiQdx003WXQjDOfz&#10;Zt6b0eKybxu2U+g0mIKPBkPOlJFQarMp+KePNy8uOHNemFI0YFTB98rxy+XzZ4vO5moMNTSlQkYg&#10;xuWdLXjtvc2zzMlatcINwCpDwQqwFZ6euMlKFB2ht002Hg5nWQdYWgSpnCPvKgX5ERGfAghVpaVa&#10;gdy2yviEiqoRnii5WlvHl3HaqlLSv68qpzxrCk5MffxSE7LX4ZstFyLfoLC1lscRxFNGeMSpFdpQ&#10;0xPUSnjBtqj/gWq1RHBQ+YGENktEoiLEYjR8pM1dLayKXEhqZ0+iu/8HK9/tPiDTZcEnM9LEiJZW&#10;fvjx/fDz9+HXNzYLAnXW5ZR3ZynT96+gp7OJZJ29BfnZMQPXtTAbdYUIXa1ESQOOQmV2VppwXABZ&#10;d2+hpD5i6yEC9RW2QT3SgxE6DbI/LUf1nklyXkzm8/GUM0mh6Wg+JTt0EPl9sUXnXytoWTAKjrT7&#10;CC52t86n1PuU0MvAjW4a8ou8MX85CDN5VDygY3WgEqZPPHy/7qk2ONdQ7okUQjou+rXIqAG/ctbR&#10;YRXcfdkKVJw1bwwJ83I0mYRLjI/JdD6mB55H1ucRYSRBFdxzlsxrn653a1FvauqUVmHgisSsdCT6&#10;MNVxBXQ8UarjoYfrPH/HrIefe/k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vGwfRdYAAAAKAQAA&#10;DwAAAAAAAAABACAAAAAiAAAAZHJzL2Rvd25yZXYueG1sUEsBAhQAFAAAAAgAh07iQP0PvY0bAgAA&#10;JAQAAA4AAAAAAAAAAQAgAAAAJQEAAGRycy9lMm9Eb2MueG1sUEsFBgAAAAAGAAYAWQEAALIFAAAA&#10;AA==&#10;">
                <v:fill on="f" focussize="0,0"/>
                <v:stroke on="f"/>
                <v:imagedata o:title=""/>
                <o:lock v:ext="edit" aspectratio="f"/>
                <v:textbox>
                  <w:txbxContent>
                    <w:p w14:paraId="54BC6A37">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修改合同条款的限制</w:t>
                      </w:r>
                    </w:p>
                  </w:txbxContent>
                </v:textbox>
              </v:shape>
            </w:pict>
          </mc:Fallback>
        </mc:AlternateContent>
      </w:r>
      <w:r>
        <w:rPr>
          <w:rFonts w:hint="eastAsia" w:ascii="仿宋" w:hAnsi="仿宋" w:eastAsia="仿宋" w:cs="仿宋"/>
          <w:color w:val="auto"/>
          <w:sz w:val="24"/>
          <w:szCs w:val="24"/>
          <w:highlight w:val="none"/>
          <w:lang w:eastAsia="zh-CN"/>
        </w:rPr>
        <w:t>合同一方当事人违背本合同的承诺，要求另一方当事人接受对合同不公平修改,另一方当事人不接受的，应及时提出修正意见。经再次催告修正无效的情况下，不利一方当事人有权拒绝订立或单方解除本合同；给对方当事人造成损失的，责任方应予赔偿。</w:t>
      </w:r>
    </w:p>
    <w:p w14:paraId="7DEFEC2B">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12C9A7FB">
      <w:pPr>
        <w:pStyle w:val="6"/>
        <w:widowControl w:val="0"/>
        <w:tabs>
          <w:tab w:val="left" w:pos="420"/>
        </w:tabs>
        <w:spacing w:before="120" w:beforeLines="50" w:after="120" w:afterLines="50" w:line="360" w:lineRule="auto"/>
        <w:rPr>
          <w:rFonts w:hint="eastAsia" w:ascii="仿宋" w:hAnsi="仿宋" w:eastAsia="仿宋"/>
          <w:bCs w:val="0"/>
          <w:color w:val="auto"/>
          <w:sz w:val="24"/>
          <w:szCs w:val="24"/>
          <w:highlight w:val="none"/>
          <w:lang w:eastAsia="zh-CN"/>
        </w:rPr>
      </w:pPr>
      <w:bookmarkStart w:id="297" w:name="_Toc19587"/>
      <w:r>
        <w:rPr>
          <w:rFonts w:ascii="仿宋" w:hAnsi="仿宋" w:eastAsia="仿宋" w:cs="仿宋"/>
          <w:bCs w:val="0"/>
          <w:color w:val="auto"/>
          <w:sz w:val="24"/>
          <w:szCs w:val="24"/>
          <w:highlight w:val="none"/>
          <w:lang w:eastAsia="zh-CN"/>
        </w:rPr>
        <w:t xml:space="preserve">4 </w:t>
      </w:r>
      <w:r>
        <w:rPr>
          <w:rFonts w:hint="eastAsia" w:ascii="仿宋" w:hAnsi="仿宋" w:eastAsia="仿宋" w:cs="仿宋"/>
          <w:bCs w:val="0"/>
          <w:color w:val="auto"/>
          <w:sz w:val="24"/>
          <w:szCs w:val="24"/>
          <w:highlight w:val="none"/>
          <w:lang w:eastAsia="zh-CN"/>
        </w:rPr>
        <w:t>语言及适用的法律、标准与规范</w:t>
      </w:r>
      <w:bookmarkEnd w:id="297"/>
    </w:p>
    <w:p w14:paraId="794B92A8">
      <w:pPr>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4.1</w:t>
      </w:r>
    </w:p>
    <w:p w14:paraId="1E85A58D">
      <w:pPr>
        <w:pStyle w:val="2"/>
        <w:widowControl w:val="0"/>
        <w:spacing w:line="360" w:lineRule="auto"/>
        <w:ind w:left="1850" w:leftChars="771"/>
        <w:jc w:val="both"/>
        <w:rPr>
          <w:rFonts w:hint="eastAsia" w:ascii="仿宋" w:hAnsi="仿宋" w:eastAsia="仿宋" w:cs="仿宋"/>
          <w:color w:val="auto"/>
          <w:sz w:val="24"/>
          <w:szCs w:val="24"/>
          <w:highlight w:val="none"/>
          <w:lang w:eastAsia="zh-CN" w:bidi="en-US"/>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669504" behindDoc="0" locked="0" layoutInCell="1" allowOverlap="1">
                <wp:simplePos x="0" y="0"/>
                <wp:positionH relativeFrom="column">
                  <wp:posOffset>-133350</wp:posOffset>
                </wp:positionH>
                <wp:positionV relativeFrom="paragraph">
                  <wp:posOffset>63500</wp:posOffset>
                </wp:positionV>
                <wp:extent cx="647700" cy="287655"/>
                <wp:effectExtent l="0" t="0" r="0" b="0"/>
                <wp:wrapNone/>
                <wp:docPr id="461" name="文本框 416"/>
                <wp:cNvGraphicFramePr/>
                <a:graphic xmlns:a="http://schemas.openxmlformats.org/drawingml/2006/main">
                  <a:graphicData uri="http://schemas.microsoft.com/office/word/2010/wordprocessingShape">
                    <wps:wsp>
                      <wps:cNvSpPr txBox="1">
                        <a:spLocks noChangeArrowheads="1"/>
                      </wps:cNvSpPr>
                      <wps:spPr bwMode="auto">
                        <a:xfrm>
                          <a:off x="0" y="0"/>
                          <a:ext cx="647700" cy="287655"/>
                        </a:xfrm>
                        <a:prstGeom prst="rect">
                          <a:avLst/>
                        </a:prstGeom>
                        <a:noFill/>
                        <a:ln>
                          <a:noFill/>
                        </a:ln>
                      </wps:spPr>
                      <wps:txbx>
                        <w:txbxContent>
                          <w:p w14:paraId="041ADBB7">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语言文字</w:t>
                            </w:r>
                          </w:p>
                        </w:txbxContent>
                      </wps:txbx>
                      <wps:bodyPr rot="0" vert="horz" wrap="square" lIns="91440" tIns="45720" rIns="91440" bIns="45720" anchor="t" anchorCtr="0" upright="1">
                        <a:noAutofit/>
                      </wps:bodyPr>
                    </wps:wsp>
                  </a:graphicData>
                </a:graphic>
              </wp:anchor>
            </w:drawing>
          </mc:Choice>
          <mc:Fallback>
            <w:pict>
              <v:shape id="文本框 416" o:spid="_x0000_s1026" o:spt="202" type="#_x0000_t202" style="position:absolute;left:0pt;margin-left:-10.5pt;margin-top:5pt;height:22.65pt;width:51pt;z-index:251669504;mso-width-relative:page;mso-height-relative:page;" filled="f" stroked="f" coordsize="21600,21600" o:gfxdata="UEsDBAoAAAAAAIdO4kAAAAAAAAAAAAAAAAAEAAAAZHJzL1BLAwQUAAAACACHTuJAm+PYm9QAAAAI&#10;AQAADwAAAGRycy9kb3ducmV2LnhtbE2PwU7DMBBE70j8g7VI3Fo7haAS4vQA4gqiBSRu23ibRMTr&#10;KHab8PdsT3BajWY0+6bczL5XJxpjF9hCtjSgiOvgOm4svO+eF2tQMSE77AOThR+KsKkuL0osXJj4&#10;jU7b1Cgp4VighTalodA61i15jMswEIt3CKPHJHJstBtxknLf65Uxd9pjx/KhxYEeW6q/t0dv4ePl&#10;8PV5a16bJ58PU5iNZn+vrb2+yswDqERz+gvDGV/QoRKmfTiyi6q3sFhlsiWJYeRKYH3Wewt5fgO6&#10;KvX/AdUvUEsDBBQAAAAIAIdO4kAWoaY+GgIAABgEAAAOAAAAZHJzL2Uyb0RvYy54bWytU0tu2zAQ&#10;3RfoHQjua1mGbKeC5SCNkaJA+gHSHoCmKIuoxGGHtCX3AO0Nsuqm+57L5+iQclw33WTRjUByhm/e&#10;e3xaXPZtw3YKnQZT8HQ05kwZCaU2m4J/+njz4oIz54UpRQNGFXyvHL9cPn+26GyuJlBDUypkBGJc&#10;3tmC197bPEmcrFUr3AisMlSsAFvhaYubpETREXrbJJPxeJZ0gKVFkMo5Ol0NRX5ExKcAQlVpqVYg&#10;t60yfkBF1QhPklytrePLyLaqlPTvq8opz5qCk1IfvzSE1uvwTZYLkW9Q2FrLIwXxFAqPNLVCGxp6&#10;gloJL9gW9T9QrZYIDio/ktAmg5DoCKlIx4+8uauFVVELWe3syXT3/2Dlu90HZLoseDZLOTOipSc/&#10;3H8//Ph1+PmNZeksWNRZl1PnnaVe37+CnoIT5Tp7C/KzYwaua2E26goRulqJkiim4WZydnXAcQFk&#10;3b2FkiaJrYcI1FfYBv/IEUbo9Dz70/Oo3jNJh7NsPh9TRVJpcjGfTadxgsgfLlt0/rWCloVFwZFe&#10;P4KL3a3zgYzIH1rCLAM3umliAhrz1wE1hpNIPvAdmPt+3R/NWEO5JxkIQ6Dod6JFDfiVs47CVHD3&#10;ZStQcda8MWTFyzTLQvriJpvOJ7TB88r6vCKMJKiCe86G5bUfEru1qDc1TRrMN3BF9lU6Sgs+D6yO&#10;vCkwUfEx3CGR5/vY9eeHXv4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m+PYm9QAAAAIAQAADwAA&#10;AAAAAAABACAAAAAiAAAAZHJzL2Rvd25yZXYueG1sUEsBAhQAFAAAAAgAh07iQBahpj4aAgAAGAQA&#10;AA4AAAAAAAAAAQAgAAAAIwEAAGRycy9lMm9Eb2MueG1sUEsFBgAAAAAGAAYAWQEAAK8FAAAAAA==&#10;">
                <v:fill on="f" focussize="0,0"/>
                <v:stroke on="f"/>
                <v:imagedata o:title=""/>
                <o:lock v:ext="edit" aspectratio="f"/>
                <v:textbox>
                  <w:txbxContent>
                    <w:p w14:paraId="041ADBB7">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语言文字</w:t>
                      </w:r>
                    </w:p>
                  </w:txbxContent>
                </v:textbox>
              </v:shape>
            </w:pict>
          </mc:Fallback>
        </mc:AlternateContent>
      </w:r>
      <w:r>
        <w:rPr>
          <w:rFonts w:hint="eastAsia" w:ascii="仿宋" w:hAnsi="仿宋" w:eastAsia="仿宋" w:cs="仿宋"/>
          <w:color w:val="auto"/>
          <w:sz w:val="24"/>
          <w:szCs w:val="24"/>
          <w:highlight w:val="none"/>
          <w:lang w:eastAsia="zh-CN" w:bidi="en-US"/>
        </w:rPr>
        <w:t>合同文件以中国的汉语简体语言文字编写、解释和说明。专用术语使用外文的，应附有中文注释。合同当事人在约定使用两种及以上语言时，汉语为优先解释和说明合同的语言。</w:t>
      </w:r>
    </w:p>
    <w:p w14:paraId="08517B56">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与合同有关的联络应使用约定的语言。如没有约定，则应使用中国的汉语简体语言文字。</w:t>
      </w:r>
    </w:p>
    <w:p w14:paraId="15FA1A81">
      <w:pPr>
        <w:spacing w:line="360" w:lineRule="auto"/>
        <w:rPr>
          <w:rFonts w:hint="eastAsia" w:ascii="仿宋" w:hAnsi="仿宋" w:eastAsia="仿宋" w:cs="仿宋"/>
          <w:b/>
          <w:bCs/>
          <w:color w:val="auto"/>
          <w:highlight w:val="none"/>
          <w:lang w:eastAsia="zh-CN"/>
        </w:rPr>
      </w:pPr>
      <w:r>
        <w:rPr>
          <w:rFonts w:ascii="仿宋" w:hAnsi="仿宋" w:eastAsia="仿宋" w:cs="仿宋"/>
          <w:b/>
          <w:bCs/>
          <w:color w:val="auto"/>
          <w:highlight w:val="none"/>
          <w:lang w:eastAsia="zh-CN"/>
        </w:rPr>
        <w:t>4.2</w:t>
      </w:r>
    </w:p>
    <w:p w14:paraId="1128A8BE">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667456" behindDoc="0" locked="0" layoutInCell="1" allowOverlap="1">
                <wp:simplePos x="0" y="0"/>
                <wp:positionH relativeFrom="column">
                  <wp:posOffset>-114300</wp:posOffset>
                </wp:positionH>
                <wp:positionV relativeFrom="paragraph">
                  <wp:posOffset>38100</wp:posOffset>
                </wp:positionV>
                <wp:extent cx="647700" cy="287655"/>
                <wp:effectExtent l="0" t="0" r="0" b="0"/>
                <wp:wrapNone/>
                <wp:docPr id="462" name="文本框 7"/>
                <wp:cNvGraphicFramePr/>
                <a:graphic xmlns:a="http://schemas.openxmlformats.org/drawingml/2006/main">
                  <a:graphicData uri="http://schemas.microsoft.com/office/word/2010/wordprocessingShape">
                    <wps:wsp>
                      <wps:cNvSpPr txBox="1">
                        <a:spLocks noChangeArrowheads="1"/>
                      </wps:cNvSpPr>
                      <wps:spPr bwMode="auto">
                        <a:xfrm>
                          <a:off x="0" y="0"/>
                          <a:ext cx="647700" cy="287655"/>
                        </a:xfrm>
                        <a:prstGeom prst="rect">
                          <a:avLst/>
                        </a:prstGeom>
                        <a:noFill/>
                        <a:ln>
                          <a:noFill/>
                        </a:ln>
                      </wps:spPr>
                      <wps:txbx>
                        <w:txbxContent>
                          <w:p w14:paraId="319F6B7D">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适用法律</w:t>
                            </w:r>
                          </w:p>
                        </w:txbxContent>
                      </wps:txbx>
                      <wps:bodyPr rot="0" vert="horz" wrap="square" lIns="91440" tIns="45720" rIns="91440" bIns="45720" anchor="t" anchorCtr="0" upright="1">
                        <a:noAutofit/>
                      </wps:bodyPr>
                    </wps:wsp>
                  </a:graphicData>
                </a:graphic>
              </wp:anchor>
            </w:drawing>
          </mc:Choice>
          <mc:Fallback>
            <w:pict>
              <v:shape id="文本框 7" o:spid="_x0000_s1026" o:spt="202" type="#_x0000_t202" style="position:absolute;left:0pt;margin-left:-9pt;margin-top:3pt;height:22.65pt;width:51pt;z-index:251667456;mso-width-relative:page;mso-height-relative:page;" filled="f" stroked="f" coordsize="21600,21600" o:gfxdata="UEsDBAoAAAAAAIdO4kAAAAAAAAAAAAAAAAAEAAAAZHJzL1BLAwQUAAAACACHTuJApJHS39QAAAAH&#10;AQAADwAAAGRycy9kb3ducmV2LnhtbE2PwU7DMBBE70j8g7VI3Fo70FYhZNMDiCuIFpC4ufE2iYjX&#10;Uew24e9ZTnAarWY186bczr5XZxpjFxghWxpQxHVwHTcIb/unRQ4qJsvO9oEJ4ZsibKvLi9IWLkz8&#10;SuddapSEcCwsQpvSUGgd65a8jcswEIt3DKO3Sc6x0W60k4T7Xt8Ys9HediwNrR3ooaX6a3fyCO/P&#10;x8+PlXlpHv16mMJsNPs7jXh9lZl7UInm9PcMv/iCDpUwHcKJXVQ9wiLLZUtC2IiIn69EDwjr7BZ0&#10;Ver//NUPUEsDBBQAAAAIAIdO4kAa//6ZGAIAABYEAAAOAAAAZHJzL2Uyb0RvYy54bWytU0uOEzEQ&#10;3SNxB8t70kmUz9BKZzRMNAhp+EgDB3Dc7rRF22XKTrrDAeAGs2LDnnPlHJTdmRCGzSzYWLar/Oq9&#10;V+XFZWcatlPoNdiCjwZDzpSVUGq7KfinjzcvLjjzQdhSNGBVwffK88vl82eL1uVqDDU0pUJGINbn&#10;rSt4HYLLs8zLWhnhB+CUpWAFaESgI26yEkVL6KbJxsPhLGsBS4cglfd0u+qD/IiITwGEqtJSrUBu&#10;jbKhR0XViECSfK2d58vEtqqUDO+ryqvAmoKT0pBWKkL7dVyz5ULkGxSu1vJIQTyFwiNNRmhLRU9Q&#10;KxEE26L+B8poieChCgMJJuuFJEdIxWj4yJu7WjiVtJDV3p1M9/8PVr7bfUCmy4JPZmPOrDDU8sP9&#10;98OPX4ef39g8GtQ6n1PenaPM0L2CjsYmifXuFuRnzyxc18Ju1BUitLUSJREcxZfZ2dMex0eQdfsW&#10;SqojtgESUFehie6RH4zQqTn7U3NUF5iky9lkPh9SRFJofDGfTaepgsgfHjv04bUCw+Km4Ei9T+Bi&#10;d+tDJCPyh5RYy8KNbprU/8b+dUGJ8SaRj3x75qFbd0cz1lDuSQZCP070mWhTA37lrKVRKrj/shWo&#10;OGveWLLi5WgyibOXDpPpfEwHPI+szyPCSoIqeOCs316Hfl63DvWmpkq9+RauyL5KJ2nR557VkTeN&#10;S1J8HO04j+fnlPXnOy9/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SR0t/UAAAABwEAAA8AAAAA&#10;AAAAAQAgAAAAIgAAAGRycy9kb3ducmV2LnhtbFBLAQIUABQAAAAIAIdO4kAa//6ZGAIAABYEAAAO&#10;AAAAAAAAAAEAIAAAACMBAABkcnMvZTJvRG9jLnhtbFBLBQYAAAAABgAGAFkBAACtBQAAAAA=&#10;">
                <v:fill on="f" focussize="0,0"/>
                <v:stroke on="f"/>
                <v:imagedata o:title=""/>
                <o:lock v:ext="edit" aspectratio="f"/>
                <v:textbox>
                  <w:txbxContent>
                    <w:p w14:paraId="319F6B7D">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适用法律</w:t>
                      </w:r>
                    </w:p>
                  </w:txbxContent>
                </v:textbox>
              </v:shape>
            </w:pict>
          </mc:Fallback>
        </mc:AlternateContent>
      </w:r>
      <w:r>
        <w:rPr>
          <w:rFonts w:hint="eastAsia" w:ascii="仿宋" w:hAnsi="仿宋" w:eastAsia="仿宋" w:cs="仿宋"/>
          <w:color w:val="auto"/>
          <w:highlight w:val="none"/>
          <w:lang w:eastAsia="zh-CN"/>
        </w:rPr>
        <w:t>本合同适用的法律为中华人民共和国的现行法律、行政法规、部门规章和合同工程所在地的地方性法规、地方政府规章、行政规范性文件。</w:t>
      </w:r>
    </w:p>
    <w:p w14:paraId="414B0E26">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合同当事人可以在合同专用条款中约定合同适用的其他规范性文件。</w:t>
      </w:r>
    </w:p>
    <w:p w14:paraId="13071ABF">
      <w:pPr>
        <w:spacing w:line="360" w:lineRule="auto"/>
        <w:rPr>
          <w:rFonts w:hint="eastAsia" w:ascii="仿宋" w:hAnsi="仿宋" w:eastAsia="仿宋" w:cs="仿宋"/>
          <w:b/>
          <w:bCs/>
          <w:color w:val="auto"/>
          <w:highlight w:val="none"/>
          <w:lang w:eastAsia="zh-CN"/>
        </w:rPr>
      </w:pPr>
      <w:r>
        <w:rPr>
          <w:rFonts w:ascii="仿宋" w:hAnsi="仿宋" w:eastAsia="仿宋" w:cs="仿宋"/>
          <w:b/>
          <w:bCs/>
          <w:color w:val="auto"/>
          <w:highlight w:val="none"/>
          <w:lang w:eastAsia="zh-CN"/>
        </w:rPr>
        <w:t>4.3</w:t>
      </w:r>
    </w:p>
    <w:p w14:paraId="56FB299C">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668480" behindDoc="0" locked="0" layoutInCell="1" allowOverlap="1">
                <wp:simplePos x="0" y="0"/>
                <wp:positionH relativeFrom="column">
                  <wp:posOffset>-114300</wp:posOffset>
                </wp:positionH>
                <wp:positionV relativeFrom="paragraph">
                  <wp:posOffset>0</wp:posOffset>
                </wp:positionV>
                <wp:extent cx="828040" cy="382270"/>
                <wp:effectExtent l="0" t="0" r="0" b="0"/>
                <wp:wrapNone/>
                <wp:docPr id="463" name="文本框 8"/>
                <wp:cNvGraphicFramePr/>
                <a:graphic xmlns:a="http://schemas.openxmlformats.org/drawingml/2006/main">
                  <a:graphicData uri="http://schemas.microsoft.com/office/word/2010/wordprocessingShape">
                    <wps:wsp>
                      <wps:cNvSpPr txBox="1">
                        <a:spLocks noChangeArrowheads="1"/>
                      </wps:cNvSpPr>
                      <wps:spPr bwMode="auto">
                        <a:xfrm>
                          <a:off x="0" y="0"/>
                          <a:ext cx="828040" cy="382270"/>
                        </a:xfrm>
                        <a:prstGeom prst="rect">
                          <a:avLst/>
                        </a:prstGeom>
                        <a:noFill/>
                        <a:ln>
                          <a:noFill/>
                        </a:ln>
                        <a:effectLst/>
                      </wps:spPr>
                      <wps:txbx>
                        <w:txbxContent>
                          <w:p w14:paraId="13F94049">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适用标准与规范</w:t>
                            </w:r>
                          </w:p>
                        </w:txbxContent>
                      </wps:txbx>
                      <wps:bodyPr rot="0" vert="horz" wrap="square" lIns="91440" tIns="45720" rIns="91440" bIns="45720" anchor="t" anchorCtr="0" upright="1">
                        <a:noAutofit/>
                      </wps:bodyPr>
                    </wps:wsp>
                  </a:graphicData>
                </a:graphic>
              </wp:anchor>
            </w:drawing>
          </mc:Choice>
          <mc:Fallback>
            <w:pict>
              <v:shape id="文本框 8" o:spid="_x0000_s1026" o:spt="202" type="#_x0000_t202" style="position:absolute;left:0pt;margin-left:-9pt;margin-top:0pt;height:30.1pt;width:65.2pt;z-index:251668480;mso-width-relative:page;mso-height-relative:page;" filled="f" stroked="f" coordsize="21600,21600" o:gfxdata="UEsDBAoAAAAAAIdO4kAAAAAAAAAAAAAAAAAEAAAAZHJzL1BLAwQUAAAACACHTuJAEByj+tUAAAAH&#10;AQAADwAAAGRycy9kb3ducmV2LnhtbE2PwU7DMBBE70j8g7VI3Np1olKVkE0PIK4gSkHi5sbbJCJe&#10;R7HbhL/HPcFlpdGMZt6W29n16sxj6LwQZEsNiqX2tpOGYP/+vNiACtGINb0XJvjhANvq+qo0hfWT&#10;vPF5FxuVSiQUhqCNcSgQQ92yM2HpB5bkHf3oTExybNCOZkrlrsdc6zU600laaM3Ajy3X37uTI/h4&#10;OX59rvRr8+TuhsnPGsXdI9HtTaYfQEWe418YLvgJHarEdPAnsUH1BItsk36JBOle7CxfgToQrHUO&#10;WJX4n7/6BVBLAwQUAAAACACHTuJAr5DQyx0CAAAkBAAADgAAAGRycy9lMm9Eb2MueG1srVPNjtMw&#10;EL4j8Q6W7zRptuyWqOlq2WoR0vIjLTyA6ziNReIxY7dJeQB4A05cuPNcfQ7GTraU5bIHLpbHM/PN&#10;fN+MF5d927CdQqfBFHw6STlTRkKpzabgHz/cPJtz5rwwpWjAqILvleOXy6dPFp3NVQY1NKVCRiDG&#10;5Z0teO29zZPEyVq1wk3AKkPOCrAVnkzcJCWKjtDbJsnS9DzpAEuLIJVz9LoanHxExMcAQlVpqVYg&#10;t60yfkBF1QhPlFytrePL2G1VKenfVZVTnjUFJ6Y+nlSE7utwJsuFyDcobK3l2IJ4TAsPOLVCGyp6&#10;hFoJL9gW9T9QrZYIDio/kdAmA5GoCLGYpg+0uauFVZELSe3sUXT3/2Dl2917ZLos+Oz8jDMjWhr5&#10;4fu3w49fh59f2TwI1FmXU9ydpUjfv4Se1iaSdfYW5CfHDFzXwmzUFSJ0tRIlNTgNmclJ6oDjAsi6&#10;ewMl1RFbDxGor7AN6pEejNBpOPvjcFTvmaTHeTZPZ+SR5DqbZ9lFHF4i8vtki86/UtCycCk40uwj&#10;uNjdOh+aEfl9SKhl4EY3TZx/Y/56oMDhRcUFGrMDldD9wMP3636UZg3lnkghDMtFX4suNeAXzjpa&#10;rIK7z1uBirPmtSFhXkxngYaPxuz5RUYGnnrWpx5hJEEV3HM2XK/9sL1bi3pTU6VhFAauSMxKR6Kh&#10;1aGrcQS0PJH/uOhhO0/tGPXncy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Aco/rVAAAABwEA&#10;AA8AAAAAAAAAAQAgAAAAIgAAAGRycy9kb3ducmV2LnhtbFBLAQIUABQAAAAIAIdO4kCvkNDLHQIA&#10;ACQEAAAOAAAAAAAAAAEAIAAAACQBAABkcnMvZTJvRG9jLnhtbFBLBQYAAAAABgAGAFkBAACzBQAA&#10;AAA=&#10;">
                <v:fill on="f" focussize="0,0"/>
                <v:stroke on="f"/>
                <v:imagedata o:title=""/>
                <o:lock v:ext="edit" aspectratio="f"/>
                <v:textbox>
                  <w:txbxContent>
                    <w:p w14:paraId="13F94049">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适用标准与规范</w:t>
                      </w:r>
                    </w:p>
                  </w:txbxContent>
                </v:textbox>
              </v:shape>
            </w:pict>
          </mc:Fallback>
        </mc:AlternateContent>
      </w:r>
      <w:r>
        <w:rPr>
          <w:rFonts w:hint="eastAsia" w:ascii="仿宋" w:hAnsi="仿宋" w:eastAsia="仿宋" w:cs="仿宋"/>
          <w:color w:val="auto"/>
          <w:highlight w:val="none"/>
          <w:lang w:eastAsia="zh-CN"/>
        </w:rPr>
        <w:t>4.3.1 本合同适用的标准与规范为国家、行业和广东省的标准与规范或规程，以及发包人在合同中要求使用的标准与规范。</w:t>
      </w:r>
    </w:p>
    <w:p w14:paraId="79A5F6F0">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4.3.2  合同双方当事人在专用条款中约定适用的国家标准、规范名称；国家没有但行业有的，约定适用的行业标准、规范名称；国家和行业没有但广东省有的，约定适用的广东省地方标准、规范名称。</w:t>
      </w:r>
    </w:p>
    <w:p w14:paraId="703677C8">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4.3.3 国内没有适用的标准、规范的，由发包人在招标文件中或在承包人投标报价前提出技术要求，承包人在自主报价时按照要求提供具体的技术标准或施工工艺，经发包人确认后执行。发包人要求使用国外标准、规范的，应负责提供中文译本；有异议时，以中文译本为准。</w:t>
      </w:r>
    </w:p>
    <w:p w14:paraId="085B2229">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4.3.4  在基准日期之后，因国家颁布新的强制性标准、规范导致承包人的费用增加的，应由发包人与承包人协商合理增加合同价格；导致关键路径工期延误的，应由发包人与承包人协商合理延长工期。</w:t>
      </w:r>
    </w:p>
    <w:p w14:paraId="1115A4A1">
      <w:pPr>
        <w:spacing w:line="360" w:lineRule="auto"/>
        <w:rPr>
          <w:rFonts w:hint="eastAsia" w:ascii="仿宋" w:hAnsi="仿宋" w:eastAsia="仿宋" w:cs="仿宋"/>
          <w:b/>
          <w:bCs/>
          <w:color w:val="auto"/>
          <w:highlight w:val="none"/>
          <w:u w:val="single"/>
          <w:lang w:eastAsia="zh-CN"/>
        </w:rPr>
      </w:pPr>
    </w:p>
    <w:p w14:paraId="53E39908">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298" w:name="_Toc5821"/>
      <w:r>
        <w:rPr>
          <w:rFonts w:hint="eastAsia" w:ascii="仿宋" w:hAnsi="仿宋" w:eastAsia="仿宋" w:cs="仿宋"/>
          <w:bCs w:val="0"/>
          <w:color w:val="auto"/>
          <w:sz w:val="24"/>
          <w:szCs w:val="24"/>
          <w:highlight w:val="none"/>
          <w:lang w:eastAsia="zh-CN"/>
        </w:rPr>
        <w:t>5 发包人要求</w:t>
      </w:r>
      <w:bookmarkEnd w:id="298"/>
    </w:p>
    <w:p w14:paraId="437AC70C">
      <w:pPr>
        <w:rPr>
          <w:rFonts w:hint="eastAsia" w:ascii="仿宋" w:hAnsi="仿宋" w:eastAsia="仿宋"/>
          <w:b/>
          <w:color w:val="auto"/>
          <w:highlight w:val="none"/>
          <w:lang w:eastAsia="zh-CN"/>
        </w:rPr>
      </w:pPr>
      <w:r>
        <w:rPr>
          <w:rFonts w:hint="eastAsia" w:ascii="仿宋" w:hAnsi="仿宋" w:eastAsia="仿宋"/>
          <w:b/>
          <w:color w:val="auto"/>
          <w:highlight w:val="none"/>
          <w:lang w:eastAsia="zh-CN"/>
        </w:rPr>
        <w:t>5.1</w:t>
      </w:r>
    </w:p>
    <w:p w14:paraId="200949E5">
      <w:pPr>
        <w:widowControl w:val="0"/>
        <w:tabs>
          <w:tab w:val="left" w:pos="4970"/>
        </w:tabs>
        <w:spacing w:line="360" w:lineRule="auto"/>
        <w:ind w:left="1850" w:leftChars="771"/>
        <w:jc w:val="both"/>
        <w:rPr>
          <w:rFonts w:hint="eastAsia" w:ascii="仿宋" w:hAnsi="仿宋" w:eastAsia="仿宋" w:cs="仿宋"/>
          <w:color w:val="auto"/>
          <w:highlight w:val="none"/>
          <w:lang w:eastAsia="zh-CN" w:bidi="ar-SA"/>
        </w:rPr>
      </w:pPr>
      <w:r>
        <w:rPr>
          <w:rFonts w:ascii="仿宋" w:hAnsi="仿宋" w:eastAsia="仿宋" w:cs="仿宋"/>
          <w:color w:val="auto"/>
          <w:highlight w:val="none"/>
          <w:lang w:eastAsia="zh-CN" w:bidi="ar-SA"/>
        </w:rPr>
        <mc:AlternateContent>
          <mc:Choice Requires="wps">
            <w:drawing>
              <wp:anchor distT="0" distB="0" distL="114300" distR="114300" simplePos="0" relativeHeight="252085248" behindDoc="0" locked="0" layoutInCell="1" allowOverlap="1">
                <wp:simplePos x="0" y="0"/>
                <wp:positionH relativeFrom="column">
                  <wp:posOffset>-114300</wp:posOffset>
                </wp:positionH>
                <wp:positionV relativeFrom="paragraph">
                  <wp:posOffset>20320</wp:posOffset>
                </wp:positionV>
                <wp:extent cx="756920" cy="587375"/>
                <wp:effectExtent l="0" t="0" r="0" b="0"/>
                <wp:wrapNone/>
                <wp:docPr id="464"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56920" cy="587375"/>
                        </a:xfrm>
                        <a:prstGeom prst="rect">
                          <a:avLst/>
                        </a:prstGeom>
                        <a:noFill/>
                        <a:ln>
                          <a:noFill/>
                        </a:ln>
                        <a:effectLst/>
                      </wps:spPr>
                      <wps:txbx>
                        <w:txbxContent>
                          <w:p w14:paraId="4B4FB314">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发包人要求的提供</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1.6pt;height:46.25pt;width:59.6pt;z-index:252085248;mso-width-relative:page;mso-height-relative:page;" filled="f" stroked="f" coordsize="21600,21600" o:gfxdata="UEsDBAoAAAAAAIdO4kAAAAAAAAAAAAAAAAAEAAAAZHJzL1BLAwQUAAAACACHTuJAHi6hDtYAAAAI&#10;AQAADwAAAGRycy9kb3ducmV2LnhtbE2PzU7DMBCE70i8g7VI3Fo7hUIbsukBxBVE+ZG4beNtEhGv&#10;o9htwtvjnuhtVrOa+abYTK5TRx5C6wUhmxtQLJW3rdQIH+/PsxWoEEksdV4Y4ZcDbMrLi4Jy60d5&#10;4+M21iqFSMgJoYmxz7UOVcOOwtz3LMnb+8FRTOdQazvQmMJdpxfG3GlHraSGhnp+bLj62R4cwufL&#10;/vvr1rzWT27Zj34yWtxaI15fZeYBVOQp/j/DCT+hQ5mYdv4gNqgOYZat0paIcLMAdfJNlsQOYb28&#10;B10W+nxA+QdQSwMEFAAAAAgAh07iQCRfTkwdAgAAJAQAAA4AAABkcnMvZTJvRG9jLnhtbK1TS27b&#10;MBDdF+gdCO5r2a4/sWA5SGOkKJB+gLQHoCnKIipx2CFtyT1Ac4Ouuum+5/I5OqQU1003WXRDkJzh&#10;m3lvHpeXbV2xvUKnwWR8NBhypoyEXJttxj99vHlxwZnzwuSiAqMyflCOX66eP1s2NlVjKKHKFTIC&#10;MS5tbMZL722aJE6WqhZuAFYZChaAtfB0xG2So2gIva6S8XA4SxrA3CJI5Rzdrrsg7xHxKYBQFFqq&#10;NchdrYzvUFFVwhMlV2rr+Cp2WxRK+vdF4ZRnVcaJqY8rFaH9JqzJainSLQpbatm3IJ7SwiNOtdCG&#10;ip6g1sILtkP9D1StJYKDwg8k1ElHJCpCLEbDR9rclcKqyIWkdvYkuvt/sPLd/gMynWd8MptwZkRN&#10;Iz9+vz/++HX8+Y0tgkCNdSnl3VnK9O0raMk2kayztyA/O2bguhRmq64QoSmVyKnBUXiZnD3tcFwA&#10;2TRvIac6YuchArUF1kE90oMROg3ncBqOaj2TdDmfzhZjikgKTS/mL+fTWEGkD48tOv9aQc3CJuNI&#10;s4/gYn/rfGhGpA8poZaBG11Vcf6V+euCErsbFQ3Uvw5UQvcdD99u2l6aDeQHIoXQmYu+Fm1KwK+c&#10;NWSsjLsvO4GKs+qNIWEWo8kkODEeJtN54ITnkc15RBhJUBn3nHXba9+5d2dRb0uq1I3CwBWJWehI&#10;NLTaddWPgMwT+fdGD+48P8esP597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eLqEO1gAAAAgB&#10;AAAPAAAAAAAAAAEAIAAAACIAAABkcnMvZG93bnJldi54bWxQSwECFAAUAAAACACHTuJAJF9OTB0C&#10;AAAkBAAADgAAAAAAAAABACAAAAAlAQAAZHJzL2Uyb0RvYy54bWxQSwUGAAAAAAYABgBZAQAAtAUA&#10;AAAA&#10;">
                <v:fill on="f" focussize="0,0"/>
                <v:stroke on="f"/>
                <v:imagedata o:title=""/>
                <o:lock v:ext="edit" aspectratio="f"/>
                <v:textbox>
                  <w:txbxContent>
                    <w:p w14:paraId="4B4FB314">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发包人要求的提供</w:t>
                      </w:r>
                    </w:p>
                  </w:txbxContent>
                </v:textbox>
              </v:shape>
            </w:pict>
          </mc:Fallback>
        </mc:AlternateContent>
      </w:r>
      <w:r>
        <w:rPr>
          <w:rFonts w:hint="eastAsia" w:ascii="仿宋" w:hAnsi="仿宋" w:eastAsia="仿宋" w:cs="仿宋"/>
          <w:color w:val="auto"/>
          <w:highlight w:val="none"/>
          <w:lang w:eastAsia="zh-CN"/>
        </w:rPr>
        <w:t>发包人</w:t>
      </w:r>
      <w:r>
        <w:rPr>
          <w:rFonts w:hint="eastAsia" w:ascii="仿宋" w:hAnsi="仿宋" w:eastAsia="仿宋" w:cs="仿宋"/>
          <w:color w:val="auto"/>
          <w:highlight w:val="none"/>
          <w:lang w:eastAsia="zh-CN" w:bidi="ar-SA"/>
        </w:rPr>
        <w:t>（或其委托设计顾问人）应按</w:t>
      </w:r>
      <w:r>
        <w:rPr>
          <w:rFonts w:hint="eastAsia" w:ascii="仿宋" w:hAnsi="仿宋" w:eastAsia="仿宋" w:cs="仿宋"/>
          <w:color w:val="auto"/>
          <w:highlight w:val="none"/>
          <w:lang w:eastAsia="zh-CN"/>
        </w:rPr>
        <w:t>专用条款约定的时间提供书面文件，分别明确勘察、设计、BIM技术应用、采购、施工等合同约定工作的范围、内容、标准、规范及具体要求。因发包人未按时提供该书面文件，承包人无法按时开展总承包各阶段工作造成合同总工期延误及费用增加，由发包人</w:t>
      </w:r>
      <w:r>
        <w:rPr>
          <w:rFonts w:hint="eastAsia" w:ascii="仿宋" w:hAnsi="仿宋" w:eastAsia="仿宋" w:cs="仿宋"/>
          <w:color w:val="auto"/>
          <w:highlight w:val="none"/>
          <w:lang w:eastAsia="zh-CN" w:bidi="ar-SA"/>
        </w:rPr>
        <w:t>承担责任，按第43.3款约定处理。</w:t>
      </w:r>
    </w:p>
    <w:p w14:paraId="16511773">
      <w:pPr>
        <w:spacing w:line="360" w:lineRule="auto"/>
        <w:rPr>
          <w:rFonts w:hint="eastAsia" w:ascii="仿宋" w:hAnsi="仿宋" w:eastAsia="仿宋"/>
          <w:b/>
          <w:color w:val="auto"/>
          <w:highlight w:val="none"/>
          <w:lang w:eastAsia="zh-CN"/>
        </w:rPr>
      </w:pPr>
      <w:r>
        <w:rPr>
          <w:rFonts w:hint="eastAsia" w:ascii="仿宋" w:hAnsi="仿宋" w:eastAsia="仿宋"/>
          <w:b/>
          <w:color w:val="auto"/>
          <w:highlight w:val="none"/>
          <w:lang w:eastAsia="zh-CN"/>
        </w:rPr>
        <w:t>5.2</w:t>
      </w:r>
    </w:p>
    <w:p w14:paraId="05147EB4">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ascii="仿宋" w:hAnsi="仿宋" w:eastAsia="仿宋"/>
          <w:color w:val="auto"/>
          <w:highlight w:val="none"/>
          <w:lang w:eastAsia="zh-CN" w:bidi="ar-SA"/>
        </w:rPr>
        <mc:AlternateContent>
          <mc:Choice Requires="wps">
            <w:drawing>
              <wp:anchor distT="0" distB="0" distL="114300" distR="114300" simplePos="0" relativeHeight="252086272" behindDoc="0" locked="0" layoutInCell="1" allowOverlap="1">
                <wp:simplePos x="0" y="0"/>
                <wp:positionH relativeFrom="column">
                  <wp:posOffset>-132715</wp:posOffset>
                </wp:positionH>
                <wp:positionV relativeFrom="paragraph">
                  <wp:posOffset>49530</wp:posOffset>
                </wp:positionV>
                <wp:extent cx="765810" cy="511810"/>
                <wp:effectExtent l="0" t="0" r="0" b="0"/>
                <wp:wrapNone/>
                <wp:docPr id="465"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65810" cy="511810"/>
                        </a:xfrm>
                        <a:prstGeom prst="rect">
                          <a:avLst/>
                        </a:prstGeom>
                        <a:noFill/>
                        <a:ln>
                          <a:noFill/>
                        </a:ln>
                        <a:effectLst/>
                      </wps:spPr>
                      <wps:txbx>
                        <w:txbxContent>
                          <w:p w14:paraId="732563F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勘察的一般要求</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10.45pt;margin-top:3.9pt;height:40.3pt;width:60.3pt;z-index:252086272;mso-width-relative:page;mso-height-relative:page;" filled="f" stroked="f" coordsize="21600,21600" o:gfxdata="UEsDBAoAAAAAAIdO4kAAAAAAAAAAAAAAAAAEAAAAZHJzL1BLAwQUAAAACACHTuJAHzd9otUAAAAH&#10;AQAADwAAAGRycy9kb3ducmV2LnhtbE2PzU7DMBCE70i8g7VI3Fq7VaFJyKYHEFcQ5Ufi5sbbJCJe&#10;R7HbhLdnOcFxNKOZb8rd7Ht1pjF2gRFWSwOKuA6u4wbh7fVxkYGKybKzfWBC+KYIu+ryorSFCxO/&#10;0HmfGiUlHAuL0KY0FFrHuiVv4zIMxOIdw+htEjk22o12knLf67Uxt9rbjmWhtQPdt1R/7U8e4f3p&#10;+PmxMc/Ng78ZpjAbzT7XiNdXK3MHKtGc/sLwiy/oUAnTIZzYRdUjLNYmlyjCVh6In+dbUAeELNuA&#10;rkr9n7/6AVBLAwQUAAAACACHTuJA1kxUZBoCAAAkBAAADgAAAGRycy9lMm9Eb2MueG1srVNLbtsw&#10;EN0X6B0I7mtZhu0kguUgjZGiQPoB0h6ApiiLqMRhh7Ql9wDtDbLqpvuey+fokFIcN91k0Y0wnM+b&#10;eW9Gi8uuqdlOodNgcp6OxpwpI6HQZpPzz59uXp1z5rwwhajBqJzvleOXy5cvFq3N1AQqqAuFjECM&#10;y1qb88p7myWJk5VqhBuBVYaCJWAjPD1xkxQoWkJv6mQyHs+TFrCwCFI5R95VH+QDIj4HEMpSS7UC&#10;uW2U8T0qqlp4ouQqbR1fxmnLUkn/oSyd8qzOOTH18UtNyF6Hb7JciGyDwlZaDiOI54zwhFMjtKGm&#10;R6iV8IJtUf8D1WiJ4KD0IwlN0hOJihCLdPxEm7tKWBW5kNTOHkV3/w9Wvt99RKaLnE/nM86MaGjl&#10;h/sfh5+/D7++s4sgUGtdRnl3ljJ99xo6OptI1tlbkF8cM3BdCbNRV4jQVkoUNGAaKpOT0h7HBZB1&#10;+w4K6iO2HiJQV2IT1CM9GKHTcvbH5ajOM0nOs/nsPKWIpNAsTYMdOojsodii828UNCwYOUfafQQX&#10;u1vn+9SHlNDLwI2ua/KLrDZ/OQiz96h4QEN1oBKm73n4bt1RbXCuodgTKYT+uOjXIqMC/MZZS4eV&#10;c/d1K1BxVr81JMxFOp2GS4yP6exsQg88jaxPI8JIgsq556w3r31/vVuLelNRp34VBq5IzFJHoo9T&#10;DSug44lSDYcervP0HbMef+7l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83faLVAAAABwEAAA8A&#10;AAAAAAAAAQAgAAAAIgAAAGRycy9kb3ducmV2LnhtbFBLAQIUABQAAAAIAIdO4kDWTFRkGgIAACQE&#10;AAAOAAAAAAAAAAEAIAAAACQBAABkcnMvZTJvRG9jLnhtbFBLBQYAAAAABgAGAFkBAACwBQAAAAA=&#10;">
                <v:fill on="f" focussize="0,0"/>
                <v:stroke on="f"/>
                <v:imagedata o:title=""/>
                <o:lock v:ext="edit" aspectratio="f"/>
                <v:textbox>
                  <w:txbxContent>
                    <w:p w14:paraId="732563F2">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勘察的一般要求</w:t>
                      </w:r>
                    </w:p>
                  </w:txbxContent>
                </v:textbox>
              </v:shape>
            </w:pict>
          </mc:Fallback>
        </mc:AlternateContent>
      </w:r>
      <w:r>
        <w:rPr>
          <w:rFonts w:hint="eastAsia" w:ascii="仿宋" w:hAnsi="仿宋" w:eastAsia="仿宋"/>
          <w:color w:val="auto"/>
          <w:highlight w:val="none"/>
          <w:lang w:eastAsia="zh-CN"/>
        </w:rPr>
        <w:t>5.2.1 承包人应被视为其已于基准日期前仔细审阅了发包人的勘察要求（包括标准、规范和相关数据，如果有），承包人应对发包人的勘察要求进行核实，并对发包人勘察要求的正确性和（或）完整性负责。但下述情况的正确性和（或）完整性，应由发包人负责：</w:t>
      </w:r>
    </w:p>
    <w:p w14:paraId="51EDF64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（1）承包人不能或无法核实的部分要求、数据和（或）资料；</w:t>
      </w:r>
    </w:p>
    <w:p w14:paraId="2DD6A2D4">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（2）专用条款约定不可变更的部分要求、数据和（或）资料。</w:t>
      </w:r>
    </w:p>
    <w:p w14:paraId="76B15160">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5.2.2因承包人勘察工作缺陷影响后续设计或施工的，承包人应及时完善勘察工作及成果，因此对勘察及后续设计和（或）施工等阶段工作造成的工期延误及费用增加由承包人承担。</w:t>
      </w:r>
    </w:p>
    <w:p w14:paraId="749A9ADF">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5.2.3 因承包人自身原因造成的勘察及后续设计和（或）施工等阶段工期延误及费用增加，由承包人承担。</w:t>
      </w:r>
    </w:p>
    <w:p w14:paraId="7113EEB8">
      <w:pPr>
        <w:spacing w:line="360" w:lineRule="auto"/>
        <w:rPr>
          <w:color w:val="auto"/>
          <w:highlight w:val="none"/>
          <w:lang w:eastAsia="zh-CN"/>
        </w:rPr>
      </w:pPr>
      <w:r>
        <w:rPr>
          <w:rFonts w:hint="eastAsia" w:ascii="仿宋" w:hAnsi="仿宋" w:eastAsia="仿宋"/>
          <w:b/>
          <w:color w:val="auto"/>
          <w:highlight w:val="none"/>
          <w:lang w:eastAsia="zh-CN"/>
        </w:rPr>
        <w:t>5.3</w:t>
      </w:r>
    </w:p>
    <w:p w14:paraId="5E45C07D">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ascii="仿宋" w:hAnsi="仿宋" w:eastAsia="仿宋"/>
          <w:color w:val="auto"/>
          <w:highlight w:val="none"/>
          <w:lang w:eastAsia="zh-CN" w:bidi="ar-SA"/>
        </w:rPr>
        <mc:AlternateContent>
          <mc:Choice Requires="wps">
            <w:drawing>
              <wp:anchor distT="0" distB="0" distL="114300" distR="114300" simplePos="0" relativeHeight="251670528" behindDoc="0" locked="0" layoutInCell="1" allowOverlap="1">
                <wp:simplePos x="0" y="0"/>
                <wp:positionH relativeFrom="column">
                  <wp:posOffset>-66675</wp:posOffset>
                </wp:positionH>
                <wp:positionV relativeFrom="paragraph">
                  <wp:posOffset>19685</wp:posOffset>
                </wp:positionV>
                <wp:extent cx="772795" cy="390525"/>
                <wp:effectExtent l="0" t="0" r="0" b="0"/>
                <wp:wrapNone/>
                <wp:docPr id="466"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72795" cy="390525"/>
                        </a:xfrm>
                        <a:prstGeom prst="rect">
                          <a:avLst/>
                        </a:prstGeom>
                        <a:noFill/>
                        <a:ln>
                          <a:noFill/>
                        </a:ln>
                        <a:effectLst/>
                      </wps:spPr>
                      <wps:txbx>
                        <w:txbxContent>
                          <w:p w14:paraId="22C1D9E4">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设计的一般要求</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5.25pt;margin-top:1.55pt;height:30.75pt;width:60.85pt;z-index:251670528;mso-width-relative:page;mso-height-relative:page;" filled="f" stroked="f" coordsize="21600,21600" o:gfxdata="UEsDBAoAAAAAAIdO4kAAAAAAAAAAAAAAAAAEAAAAZHJzL1BLAwQUAAAACACHTuJA81bL/dUAAAAI&#10;AQAADwAAAGRycy9kb3ducmV2LnhtbE2PwU7DMBBE70j9B2uRuLW2SxtByKaHIq4gCq3EzY23SUS8&#10;jmK3CX+Pe4LjaEYzb4rN5DpxoSG0nhH0QoEgrrxtuUb4/HiZP4AI0bA1nWdC+KEAm3J2U5jc+pHf&#10;6bKLtUglHHKD0MTY51KGqiFnwsL3xMk7+cGZmORQSzuYMZW7Ti6VyqQzLaeFxvS0baj63p0dwv71&#10;9HVYqbf62a370U9KsnuUiHe3Wj2BiDTFvzBc8RM6lInp6M9sg+gQ5lqtUxThXoO4+lovQRwRslUG&#10;sizk/wPlL1BLAwQUAAAACACHTuJAWjS9yB4CAAAlBAAADgAAAGRycy9lMm9Eb2MueG1srVNLjhMx&#10;EN0jcQfLe9JJyIe00hkNEw1CGj7SwAEctztt0e0yZSfdwwHgBqzYsOdcOQdlOxPCsJkFm5bLVX5V&#10;79Xr5UXfNmyv0GkwBR8NhpwpI6HUZlvwjx+un73gzHlhStGAUQW/U45frJ4+WXY2V2OooSkVMgIx&#10;Lu9swWvvbZ5lTtaqFW4AVhlKVoCt8BTiNitRdITeNtl4OJxlHWBpEaRyjm7XKcmPiPgYQKgqLdUa&#10;5K5VxidUVI3wRMnV2jq+itNWlZL+XVU55VlTcGLq45ea0HkTvtlqKfItCltreRxBPGaEB5xaoQ01&#10;PUGthRdsh/ofqFZLBAeVH0hos0QkKkIsRsMH2tzWwqrIhaR29iS6+3+w8u3+PTJdFnwym3FmREsr&#10;P3z/dvjx6/DzKxuNgkKddTkV3loq9f1L6Mk3ka2zNyA/OWbgqhZmqy4RoauVKGnC+DI7e5pwXADZ&#10;dG+gpEZi5yEC9RW2QT4ShBE6befutB3Veybpcj4fzxdTziSlni+G0/E0zJaJ/P6xRedfKWhZOBQc&#10;afkRXOxvnE+l9yWhl4Fr3TTRAI3564Iw042KDjq+DlTC9ImH7zf9UZoNlHdECiG5i/4tOtSAXzjr&#10;yFkFd593AhVnzWtDwixGk0mwYgwm0/mYAjzPbM4zwkiCKrjnLB2vfLLvzqLe1tQprcLAJYlZ6Ug0&#10;jJqmIoFCQO6JUh2dHux5HseqP3/3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zVsv91QAAAAgB&#10;AAAPAAAAAAAAAAEAIAAAACIAAABkcnMvZG93bnJldi54bWxQSwECFAAUAAAACACHTuJAWjS9yB4C&#10;AAAlBAAADgAAAAAAAAABACAAAAAkAQAAZHJzL2Uyb0RvYy54bWxQSwUGAAAAAAYABgBZAQAAtAUA&#10;AAAA&#10;">
                <v:fill on="f" focussize="0,0"/>
                <v:stroke on="f"/>
                <v:imagedata o:title=""/>
                <o:lock v:ext="edit" aspectratio="f"/>
                <v:textbox>
                  <w:txbxContent>
                    <w:p w14:paraId="22C1D9E4">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设计的一般要求</w:t>
                      </w:r>
                    </w:p>
                  </w:txbxContent>
                </v:textbox>
              </v:shape>
            </w:pict>
          </mc:Fallback>
        </mc:AlternateContent>
      </w:r>
      <w:r>
        <w:rPr>
          <w:rFonts w:hint="eastAsia" w:ascii="仿宋" w:hAnsi="仿宋" w:eastAsia="仿宋"/>
          <w:color w:val="auto"/>
          <w:highlight w:val="none"/>
          <w:lang w:eastAsia="zh-CN"/>
        </w:rPr>
        <w:t>5.3.1承包人应被视为其已于基准日期前仔细审阅了发包人的设计要求（包括标准、规范和限额设计指标等相关数据，如果有），承包人应对发包人的设计要求进行核实，并对发包人设计要求的正确性和（或）完整性负责。但下述情况的正确性和（或）完整性，应由发包人负责：</w:t>
      </w:r>
    </w:p>
    <w:p w14:paraId="76090C7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（1）有关合同工程或其任何部分的功能、用途等预期目的的说明；</w:t>
      </w:r>
    </w:p>
    <w:p w14:paraId="7EDAEE90">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（2）有关合同工程的试车、试验和（或）性能标准；</w:t>
      </w:r>
    </w:p>
    <w:p w14:paraId="6E4C960A">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（3）承包人不能或无法核实的部分要求、数据和（或）资料；</w:t>
      </w:r>
    </w:p>
    <w:p w14:paraId="75665322">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（4）专用条款约定不可变更的部分要求、数据和资料。</w:t>
      </w:r>
    </w:p>
    <w:p w14:paraId="123A88C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5.3.2因承包人原因造成设计文件存在遗漏、错误、缺陷和不足的，承包人应及时修复、弥补、纠正和完善。因此对设计及后续设计和（或）施工等阶段工作造成的工期延误及费用增加由承包人承担。</w:t>
      </w:r>
    </w:p>
    <w:p w14:paraId="7A391E92">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5.3.3 因承包人自身原因造成的设计及后续设计和（或）施工等阶段工期延误及费用增加，由承包人承担。</w:t>
      </w:r>
    </w:p>
    <w:p w14:paraId="231CD818">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5.3.4 承包人应遵守国家法律、强制性标准规范及《发包人要求》进行设计，提倡采用BIM技术进行正向设计</w:t>
      </w:r>
      <w:r>
        <w:rPr>
          <w:rFonts w:hint="eastAsia" w:ascii="仿宋" w:hAnsi="仿宋" w:eastAsia="仿宋" w:cs="仿宋"/>
          <w:color w:val="auto"/>
          <w:highlight w:val="none"/>
          <w:lang w:eastAsia="zh-CN"/>
        </w:rPr>
        <w:t>或建模与出图同步完成的设计方式</w:t>
      </w:r>
      <w:r>
        <w:rPr>
          <w:rFonts w:hint="eastAsia" w:ascii="仿宋" w:hAnsi="仿宋" w:eastAsia="仿宋"/>
          <w:color w:val="auto"/>
          <w:highlight w:val="none"/>
          <w:lang w:eastAsia="zh-CN"/>
        </w:rPr>
        <w:t>，且设计文件不得超过发包人要求中的合理限额设计指标。由于承包人违规设计或设计文件超过合理限额设计指标的，承包人应当承担相应的违约责任。</w:t>
      </w:r>
    </w:p>
    <w:p w14:paraId="65A35841">
      <w:pPr>
        <w:spacing w:line="360" w:lineRule="auto"/>
        <w:rPr>
          <w:rFonts w:hint="eastAsia" w:ascii="仿宋" w:hAnsi="仿宋" w:eastAsia="仿宋"/>
          <w:color w:val="auto"/>
          <w:highlight w:val="none"/>
          <w:lang w:eastAsia="zh-CN"/>
        </w:rPr>
      </w:pPr>
      <w:r>
        <w:rPr>
          <w:rFonts w:hint="eastAsia" w:ascii="仿宋" w:hAnsi="仿宋" w:eastAsia="仿宋"/>
          <w:b/>
          <w:color w:val="auto"/>
          <w:highlight w:val="none"/>
          <w:lang w:eastAsia="zh-CN"/>
        </w:rPr>
        <w:t>5.4</w:t>
      </w:r>
    </w:p>
    <w:p w14:paraId="77BF239A">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ascii="仿宋" w:hAnsi="仿宋" w:eastAsia="仿宋"/>
          <w:color w:val="auto"/>
          <w:highlight w:val="none"/>
          <w:lang w:eastAsia="zh-CN" w:bidi="ar-SA"/>
        </w:rPr>
        <mc:AlternateContent>
          <mc:Choice Requires="wps">
            <w:drawing>
              <wp:anchor distT="0" distB="0" distL="114300" distR="114300" simplePos="0" relativeHeight="252083200" behindDoc="0" locked="0" layoutInCell="1" allowOverlap="1">
                <wp:simplePos x="0" y="0"/>
                <wp:positionH relativeFrom="column">
                  <wp:posOffset>-66675</wp:posOffset>
                </wp:positionH>
                <wp:positionV relativeFrom="paragraph">
                  <wp:posOffset>19685</wp:posOffset>
                </wp:positionV>
                <wp:extent cx="810260" cy="523240"/>
                <wp:effectExtent l="0" t="0" r="0" b="0"/>
                <wp:wrapNone/>
                <wp:docPr id="467"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10260" cy="523240"/>
                        </a:xfrm>
                        <a:prstGeom prst="rect">
                          <a:avLst/>
                        </a:prstGeom>
                        <a:noFill/>
                        <a:ln>
                          <a:noFill/>
                        </a:ln>
                        <a:effectLst/>
                      </wps:spPr>
                      <wps:txbx>
                        <w:txbxContent>
                          <w:p w14:paraId="14AF6477">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BIM技术应用的一般要求</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5.25pt;margin-top:1.55pt;height:41.2pt;width:63.8pt;z-index:252083200;mso-width-relative:page;mso-height-relative:page;" filled="f" stroked="f" coordsize="21600,21600" o:gfxdata="UEsDBAoAAAAAAIdO4kAAAAAAAAAAAAAAAAAEAAAAZHJzL1BLAwQUAAAACACHTuJAIcQdXtYAAAAI&#10;AQAADwAAAGRycy9kb3ducmV2LnhtbE2PzU7DMBCE70h9B2srcWttA4GSZtMDiCuI8iNxc+NtEjVe&#10;R7HbhLfHPdHbrGY0822xmVwnTjSE1jOCXioQxJW3LdcInx8vixWIEA1b03kmhF8KsClnV4XJrR/5&#10;nU7bWItUwiE3CE2MfS5lqBpyJix9T5y8vR+ciekcamkHM6Zy18kbpe6lMy2nhcb09NRQddgeHcLX&#10;6/7n+0691c8u60c/KcnuUSJez7Vag4g0xf8wnPETOpSJaeePbIPoEBZaZSmKcKtBnH39kMQOYZVl&#10;IMtCXj5Q/gFQSwMEFAAAAAgAh07iQHwwujEeAgAAJQQAAA4AAABkcnMvZTJvRG9jLnhtbK1TzY7T&#10;MBC+I/EOlu80P3S7S9R0tWy1CGn5kRYewHWcxiLxmLHbpDwAvAEnLtx5rj4HY6dbynLZA5fI4xl/&#10;M983X+aXQ9eyrUKnwZQ8m6ScKSOh0mZd8o8fbp5dcOa8MJVowaiS75Tjl4unT+a9LVQODbSVQkYg&#10;xhW9LXnjvS2SxMlGdcJNwCpDyRqwE55CXCcVip7QuzbJ03SW9ICVRZDKObpdjkl+QMTHAEJda6mW&#10;IDedMn5ERdUKT5Rco63jizhtXSvp39W1U561JSemPn6pCZ1X4Zss5qJYo7CNlocRxGNGeMCpE9pQ&#10;0yPUUnjBNqj/geq0RHBQ+4mELhmJREWIRZY+0OauEVZFLiS1s0fR3f+DlW+375HpquTT2TlnRnS0&#10;8v33b/sfv/Y/v7IsCwr11hVUeGep1A8vYSDfRLbO3oL85JiB60aYtbpChL5RoqIJ48vk5OmI4wLI&#10;qn8DFTUSGw8RaKixC/KRIIzQaTu743bU4Jmky4sszWeUkZQ6y5/n07i9RBT3jy06/0pBx8Kh5EjL&#10;j+Bie+s80aDS+5LQy8CNbttogNb8dUGF442KDjq8DlTC9CMPP6yGgzQrqHZECmF0F/1bdGgAv3DW&#10;k7NK7j5vBCrO2teGhHmRTWl05mMwPTvPKcDTzOo0I4wkqJJ7zsbjtR/tu7Go1w11Gldh4IrErHUk&#10;GkYdpyLWISD3RP4Hpwd7nsax6s/fvfg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IcQdXtYAAAAI&#10;AQAADwAAAAAAAAABACAAAAAiAAAAZHJzL2Rvd25yZXYueG1sUEsBAhQAFAAAAAgAh07iQHwwujEe&#10;AgAAJQQAAA4AAAAAAAAAAQAgAAAAJQEAAGRycy9lMm9Eb2MueG1sUEsFBgAAAAAGAAYAWQEAALUF&#10;AAAAAA==&#10;">
                <v:fill on="f" focussize="0,0"/>
                <v:stroke on="f"/>
                <v:imagedata o:title=""/>
                <o:lock v:ext="edit" aspectratio="f"/>
                <v:textbox>
                  <w:txbxContent>
                    <w:p w14:paraId="14AF6477">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BIM技术应用的一般要求</w:t>
                      </w:r>
                    </w:p>
                  </w:txbxContent>
                </v:textbox>
              </v:shape>
            </w:pict>
          </mc:Fallback>
        </mc:AlternateContent>
      </w:r>
      <w:r>
        <w:rPr>
          <w:rFonts w:hint="eastAsia" w:ascii="仿宋" w:hAnsi="仿宋" w:eastAsia="仿宋"/>
          <w:color w:val="auto"/>
          <w:highlight w:val="none"/>
          <w:lang w:eastAsia="zh-CN"/>
        </w:rPr>
        <w:t>5.4.1承包人应被视为其已于基准日期前仔细审阅了发包人的BIM技术应用要求（包括标准、规范和相关数据，如果有），承包人应对发包人的设计要求进行核实，并对发包人BIM技术应用要求的正确性和（或）完整性负责。但下述情况的正确性和（或）完整性，应由发包人负责：</w:t>
      </w:r>
    </w:p>
    <w:p w14:paraId="57A5EE9B">
      <w:pPr>
        <w:tabs>
          <w:tab w:val="left" w:pos="4970"/>
        </w:tabs>
        <w:spacing w:line="360" w:lineRule="auto"/>
        <w:ind w:left="1850" w:leftChars="771"/>
        <w:rPr>
          <w:rFonts w:hint="eastAsia" w:ascii="仿宋" w:hAnsi="仿宋" w:eastAsia="仿宋"/>
          <w:color w:val="auto"/>
          <w:highlight w:val="none"/>
          <w:lang w:eastAsia="zh-CN"/>
        </w:rPr>
      </w:pPr>
      <w:r>
        <w:rPr>
          <w:rFonts w:hint="eastAsia" w:ascii="仿宋" w:hAnsi="仿宋" w:eastAsia="仿宋"/>
          <w:color w:val="auto"/>
          <w:highlight w:val="none"/>
          <w:lang w:eastAsia="zh-CN"/>
        </w:rPr>
        <w:t>（1）有关合同工程或其任何部分的功能、用途等预期目的的说明；</w:t>
      </w:r>
    </w:p>
    <w:p w14:paraId="363F8FA0">
      <w:pPr>
        <w:tabs>
          <w:tab w:val="left" w:pos="4970"/>
        </w:tabs>
        <w:spacing w:line="360" w:lineRule="auto"/>
        <w:ind w:left="1850" w:leftChars="771"/>
        <w:rPr>
          <w:rFonts w:hint="eastAsia" w:ascii="仿宋" w:hAnsi="仿宋" w:eastAsia="仿宋"/>
          <w:color w:val="auto"/>
          <w:highlight w:val="none"/>
          <w:lang w:eastAsia="zh-CN"/>
        </w:rPr>
      </w:pPr>
      <w:r>
        <w:rPr>
          <w:rFonts w:hint="eastAsia" w:ascii="仿宋" w:hAnsi="仿宋" w:eastAsia="仿宋"/>
          <w:color w:val="auto"/>
          <w:highlight w:val="none"/>
          <w:lang w:eastAsia="zh-CN"/>
        </w:rPr>
        <w:t>（2）有关合同工程的试车、试验和（或）性能标准；</w:t>
      </w:r>
    </w:p>
    <w:p w14:paraId="0E0BD8A8">
      <w:pPr>
        <w:tabs>
          <w:tab w:val="left" w:pos="4970"/>
        </w:tabs>
        <w:spacing w:line="360" w:lineRule="auto"/>
        <w:ind w:left="1850" w:leftChars="771"/>
        <w:rPr>
          <w:rFonts w:hint="eastAsia" w:ascii="仿宋" w:hAnsi="仿宋" w:eastAsia="仿宋"/>
          <w:color w:val="auto"/>
          <w:highlight w:val="none"/>
          <w:lang w:eastAsia="zh-CN"/>
        </w:rPr>
      </w:pPr>
      <w:r>
        <w:rPr>
          <w:rFonts w:hint="eastAsia" w:ascii="仿宋" w:hAnsi="仿宋" w:eastAsia="仿宋"/>
          <w:color w:val="auto"/>
          <w:highlight w:val="none"/>
          <w:lang w:eastAsia="zh-CN"/>
        </w:rPr>
        <w:t>（3）承包人不能或无法核实的部分要求、数据和（或）资料；</w:t>
      </w:r>
    </w:p>
    <w:p w14:paraId="77B5C7EA">
      <w:pPr>
        <w:tabs>
          <w:tab w:val="left" w:pos="4970"/>
        </w:tabs>
        <w:spacing w:line="360" w:lineRule="auto"/>
        <w:ind w:left="1850" w:leftChars="771"/>
        <w:rPr>
          <w:rFonts w:hint="eastAsia" w:ascii="仿宋" w:hAnsi="仿宋" w:eastAsia="仿宋"/>
          <w:color w:val="auto"/>
          <w:highlight w:val="none"/>
          <w:lang w:eastAsia="zh-CN"/>
        </w:rPr>
      </w:pPr>
      <w:r>
        <w:rPr>
          <w:rFonts w:hint="eastAsia" w:ascii="仿宋" w:hAnsi="仿宋" w:eastAsia="仿宋"/>
          <w:color w:val="auto"/>
          <w:highlight w:val="none"/>
          <w:lang w:eastAsia="zh-CN"/>
        </w:rPr>
        <w:t>（4）专用条款约定不可变更的部分要求、数据和资料。</w:t>
      </w:r>
    </w:p>
    <w:p w14:paraId="1ABBB968">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5.4.2承包人提供的建筑信息模型（BIM）、协调管理平台及应用点等相关服务存在遗漏、错误、缺陷和不足的，承包人应及时修复、弥补、纠正和完善。因此对设计、采购、施工、造价管理等工作造成的工期延误及费用增加由承包人承担。</w:t>
      </w:r>
    </w:p>
    <w:p w14:paraId="440AA8F7">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5.4.3 因承包人自身原因造成的设计和（或）施工等阶段工期延误及费用增加，由承包人承担。</w:t>
      </w:r>
    </w:p>
    <w:p w14:paraId="4704D9D6">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5.4.4 承包人应遵守国家法律、强制性标准规范及《发包人要求》，采用BIM技术进行正向设计出图或建模和出图同步完成，并协助发包人及相关方等正确使用。由于承包人违规建模或应用造成质量缺陷、安全事故、工期延误、费用增加的，承包人应当承担相应的违约责任。</w:t>
      </w:r>
    </w:p>
    <w:p w14:paraId="56B84539">
      <w:pPr>
        <w:spacing w:line="360" w:lineRule="auto"/>
        <w:rPr>
          <w:rFonts w:hint="eastAsia" w:ascii="仿宋" w:hAnsi="仿宋" w:eastAsia="仿宋"/>
          <w:b/>
          <w:color w:val="auto"/>
          <w:highlight w:val="none"/>
          <w:lang w:eastAsia="zh-CN"/>
        </w:rPr>
      </w:pPr>
      <w:r>
        <w:rPr>
          <w:color w:val="auto"/>
          <w:highlight w:val="none"/>
          <w:lang w:eastAsia="zh-CN" w:bidi="ar-SA"/>
        </w:rPr>
        <mc:AlternateContent>
          <mc:Choice Requires="wps">
            <w:drawing>
              <wp:anchor distT="0" distB="0" distL="114300" distR="114300" simplePos="0" relativeHeight="251968512" behindDoc="0" locked="0" layoutInCell="1" allowOverlap="1">
                <wp:simplePos x="0" y="0"/>
                <wp:positionH relativeFrom="column">
                  <wp:posOffset>-76200</wp:posOffset>
                </wp:positionH>
                <wp:positionV relativeFrom="paragraph">
                  <wp:posOffset>242570</wp:posOffset>
                </wp:positionV>
                <wp:extent cx="766445" cy="701040"/>
                <wp:effectExtent l="0" t="0" r="0" b="0"/>
                <wp:wrapNone/>
                <wp:docPr id="468"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66445" cy="701040"/>
                        </a:xfrm>
                        <a:prstGeom prst="rect">
                          <a:avLst/>
                        </a:prstGeom>
                        <a:noFill/>
                        <a:ln>
                          <a:noFill/>
                        </a:ln>
                        <a:effectLst/>
                      </wps:spPr>
                      <wps:txbx>
                        <w:txbxContent>
                          <w:p w14:paraId="5992F662">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设备及工器具购置的一般要求（如果有）</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6pt;margin-top:19.1pt;height:55.2pt;width:60.35pt;z-index:251968512;mso-width-relative:page;mso-height-relative:page;" filled="f" stroked="f" coordsize="21600,21600" o:gfxdata="UEsDBAoAAAAAAIdO4kAAAAAAAAAAAAAAAAAEAAAAZHJzL1BLAwQUAAAACACHTuJA9XswX9gAAAAK&#10;AQAADwAAAGRycy9kb3ducmV2LnhtbE2PzU7DMBCE70h9B2uRuLV2QikhZNNDEVdQy4/EzY23SUS8&#10;jmK3CW+Pe2pvs5rR7DfFerKdONHgW8cIyUKBIK6cablG+Px4nWcgfNBsdOeYEP7Iw7qc3RQ6N27k&#10;LZ12oRaxhH2uEZoQ+lxKXzVktV+4njh6BzdYHeI51NIMeozltpOpUitpdcvxQ6N72jRU/e6OFuHr&#10;7fDzvVTv9Yt96Ec3Kcn2SSLe3SbqGUSgKVzCcMaP6FBGpr07svGiQ5gnadwSEO6zFMQ5oLJHEPso&#10;ltkKZFnI6wnlP1BLAwQUAAAACACHTuJAVER+pRwCAAAkBAAADgAAAGRycy9lMm9Eb2MueG1srVPB&#10;bhMxEL0j8Q+W72STaJvQVTZVaVSEVKBS4QMcrzdrsesxYye74QPgD3riwp3vynd07N2GUC49cLFs&#10;z/jNvPfGi4uuqdlOodNgcj4ZjTlTRkKhzSbnnz9dv3rNmfPCFKIGo3K+V45fLF++WLQ2U1OooC4U&#10;MgIxLmttzivvbZYkTlaqEW4EVhkKloCN8HTETVKgaAm9qZPpeDxLWsDCIkjlHN2u+iAfEPE5gFCW&#10;WqoVyG2jjO9RUdXCEyVXaev4MnZblkr6j2XplGd1zompjysVof06rMlyIbINCltpObQgntPCE06N&#10;0IaKHqFWwgu2Rf0PVKMlgoPSjyQ0SU8kKkIsJuMn2txVwqrIhaR29ii6+3+w8sPuFpkucp7OyHgj&#10;GrL8cP/j8PP34dd3dh4Eaq3LKO/OUqbv3kBHYxPJOnsD8otjBq4qYTbqEhHaSomCGpyEl8nJ0x7H&#10;BZB1+x4KqiO2HiJQV2IT1CM9GKGTOfujOarzTNLlfDZL0zPOJIXmpFUazUtE9vjYovNvFTQsbHKO&#10;5H0EF7sb50MzIntMCbUMXOu6jv7X5q8LSuxvVByg4XWgErrvefhu3Q3SrKHYEymEfrjoa9GmAvzG&#10;WUuDlXP3dStQcVa/MyTM+SSl1pmPh/RsPqUDnkbWpxFhJEHl3HPWb698P71bi3pTUaXeCgOXJGap&#10;I9HQat/VYAENT+Q/DHqYztNzzPrzuZc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9XswX9gAAAAK&#10;AQAADwAAAAAAAAABACAAAAAiAAAAZHJzL2Rvd25yZXYueG1sUEsBAhQAFAAAAAgAh07iQFREfqUc&#10;AgAAJAQAAA4AAAAAAAAAAQAgAAAAJwEAAGRycy9lMm9Eb2MueG1sUEsFBgAAAAAGAAYAWQEAALUF&#10;AAAAAA==&#10;">
                <v:fill on="f" focussize="0,0"/>
                <v:stroke on="f"/>
                <v:imagedata o:title=""/>
                <o:lock v:ext="edit" aspectratio="f"/>
                <v:textbox>
                  <w:txbxContent>
                    <w:p w14:paraId="5992F662">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设备及工器具购置的一般要求（如果有）</w:t>
                      </w:r>
                    </w:p>
                  </w:txbxContent>
                </v:textbox>
              </v:shape>
            </w:pict>
          </mc:Fallback>
        </mc:AlternateContent>
      </w:r>
      <w:r>
        <w:rPr>
          <w:rFonts w:hint="eastAsia" w:ascii="仿宋" w:hAnsi="仿宋" w:eastAsia="仿宋"/>
          <w:b/>
          <w:color w:val="auto"/>
          <w:highlight w:val="none"/>
          <w:lang w:eastAsia="zh-CN"/>
        </w:rPr>
        <w:t>5.5</w:t>
      </w:r>
    </w:p>
    <w:p w14:paraId="06740DAF">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olor w:val="auto"/>
          <w:highlight w:val="none"/>
          <w:lang w:eastAsia="zh-CN"/>
        </w:rPr>
        <w:t>5.5.1</w:t>
      </w:r>
      <w:r>
        <w:rPr>
          <w:rFonts w:hint="eastAsia" w:ascii="仿宋" w:hAnsi="仿宋" w:eastAsia="仿宋" w:cs="仿宋"/>
          <w:color w:val="auto"/>
          <w:highlight w:val="none"/>
          <w:lang w:eastAsia="zh-CN"/>
        </w:rPr>
        <w:t>承包人被视为其已于基准日期前仔细审阅了发包人的设备及工器具购置要求和购置工程量清单（包括标准、规范和相关数据，如果有），承包人应对发包人的购置要求及购置工程量清单进行核实，并对发包人购置要求和购置工程量清单的正确性和（或）完整性负责。但下述情况的正确性和（或）完整性，应由发包人负责：</w:t>
      </w:r>
    </w:p>
    <w:p w14:paraId="567FB945">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（1）有关设备及工器具的预期目的的说明；</w:t>
      </w:r>
    </w:p>
    <w:p w14:paraId="644327D4">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（2）有关设备及工器具的试车、试验、工艺流程、组装图纸、性能标准和（或）产品合格标准；</w:t>
      </w:r>
    </w:p>
    <w:p w14:paraId="08E2316C">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（3）承包人不能或无法核实的部分要求、数据和（或）资料；</w:t>
      </w:r>
    </w:p>
    <w:p w14:paraId="05B25ECC">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（4）专用条款约定不可变更的部分要求、数据和资料。</w:t>
      </w:r>
    </w:p>
    <w:p w14:paraId="23207F2B">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5.5.2因承包人购置的设备及工器具不合格或不符合发包人要求，承包人应及时更换或修复。因此对设计和（或）施工等阶段工作造成的工期延误及费用增加由承包人承担。</w:t>
      </w:r>
    </w:p>
    <w:p w14:paraId="543BA411">
      <w:pPr>
        <w:spacing w:line="360" w:lineRule="auto"/>
        <w:rPr>
          <w:rFonts w:hint="eastAsia" w:ascii="仿宋" w:hAnsi="仿宋" w:eastAsia="仿宋"/>
          <w:b/>
          <w:color w:val="auto"/>
          <w:highlight w:val="none"/>
          <w:lang w:eastAsia="zh-CN"/>
        </w:rPr>
      </w:pPr>
      <w:r>
        <w:rPr>
          <w:rFonts w:hint="eastAsia" w:ascii="仿宋" w:hAnsi="仿宋" w:eastAsia="仿宋"/>
          <w:b/>
          <w:color w:val="auto"/>
          <w:highlight w:val="none"/>
          <w:lang w:eastAsia="zh-CN"/>
        </w:rPr>
        <w:t>5.6</w:t>
      </w:r>
    </w:p>
    <w:p w14:paraId="05B01177">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2084224" behindDoc="0" locked="0" layoutInCell="1" allowOverlap="1">
                <wp:simplePos x="0" y="0"/>
                <wp:positionH relativeFrom="column">
                  <wp:posOffset>-66675</wp:posOffset>
                </wp:positionH>
                <wp:positionV relativeFrom="paragraph">
                  <wp:posOffset>3175</wp:posOffset>
                </wp:positionV>
                <wp:extent cx="756920" cy="975360"/>
                <wp:effectExtent l="0" t="0" r="0" b="0"/>
                <wp:wrapNone/>
                <wp:docPr id="469"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56920" cy="975360"/>
                        </a:xfrm>
                        <a:prstGeom prst="rect">
                          <a:avLst/>
                        </a:prstGeom>
                        <a:noFill/>
                        <a:ln>
                          <a:noFill/>
                        </a:ln>
                        <a:effectLst/>
                      </wps:spPr>
                      <wps:txbx>
                        <w:txbxContent>
                          <w:p w14:paraId="7F1E0490">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工程材料与工程设备、装配式构件采购的一般要求（如果有）</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5.25pt;margin-top:0.25pt;height:76.8pt;width:59.6pt;z-index:252084224;mso-width-relative:page;mso-height-relative:page;" filled="f" stroked="f" coordsize="21600,21600" o:gfxdata="UEsDBAoAAAAAAIdO4kAAAAAAAAAAAAAAAAAEAAAAZHJzL1BLAwQUAAAACACHTuJAcNn6DNUAAAAI&#10;AQAADwAAAGRycy9kb3ducmV2LnhtbE2PQU/DMAyF70j8h8hI3LakaIVRmu4A4gpiAyRuXuO1FY1T&#10;Ndla/j3eCS6Wrff0/L1yM/tenWiMXWAL2dKAIq6D67ix8L57XqxBxYTssA9MFn4owqa6vCixcGHi&#10;NzptU6MkhGOBFtqUhkLrWLfkMS7DQCzaIYwek5xjo92Ik4T7Xt8Yc6s9diwfWhzosaX6e3v0Fj5e&#10;Dl+fK/PaPPl8mMJsNPt7be31VWYeQCWa058ZzviCDpUw7cORXVS9hUVmcrFakHmWzfoO1F6WfJWB&#10;rkr9v0D1C1BLAwQUAAAACACHTuJApFJgcR0CAAAkBAAADgAAAGRycy9lMm9Eb2MueG1srVNLbtsw&#10;EN0X6B0I7mvZrj+xYDlIY6QokH6AtAegKcoiKnHYIW3JPUB7g6666T7n8jk6pBTXTTdZdEOQnOGb&#10;eW8el5dtXbG9QqfBZHw0GHKmjIRcm23GP328eXHBmfPC5KICozJ+UI5frp4/WzY2VWMoocoVMgIx&#10;Lm1sxkvvbZokTpaqFm4AVhkKFoC18HTEbZKjaAi9rpLxcDhLGsDcIkjlHN2uuyDvEfEpgFAUWqo1&#10;yF2tjO9QUVXCEyVXauv4KnZbFEr690XhlGdVxompjysVof0mrMlqKdItCltq2bcgntLCI0610IaK&#10;nqDWwgu2Q/0PVK0lgoPCDyTUSUckKkIsRsNH2tyVwqrIhaR29iS6+3+w8t3+AzKdZ3wyW3BmRE0j&#10;P/74fvx5f/z1jS2CQI11KeXdWcr07StoyTaRrLO3ID87ZuC6FGarrhChKZXIqcFReJmcPe1wXADZ&#10;NG8hpzpi5yECtQXWQT3SgxE6DedwGo5qPZN0OZ/OFmOKSAot5tOXszi8RKQPjy06/1pBzcIm40iz&#10;j+Bif+t8aEakDymhloEbXVVx/pX564ISuxsVDdS/DlRC9x0P327aXpoN5AcihdCZi74WbUrAr5w1&#10;ZKyMuy87gYqz6o0hYRajySQ4MR4m03nghOeRzXlEGElQGfecddtr37l3Z1FvS6rUjcLAFYlZ6Eg0&#10;tNp11Y+AzBP590YP7jw/x6w/n3v1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DZ+gzVAAAACAEA&#10;AA8AAAAAAAAAAQAgAAAAIgAAAGRycy9kb3ducmV2LnhtbFBLAQIUABQAAAAIAIdO4kCkUmBxHQIA&#10;ACQEAAAOAAAAAAAAAAEAIAAAACQBAABkcnMvZTJvRG9jLnhtbFBLBQYAAAAABgAGAFkBAACzBQAA&#10;AAA=&#10;">
                <v:fill on="f" focussize="0,0"/>
                <v:stroke on="f"/>
                <v:imagedata o:title=""/>
                <o:lock v:ext="edit" aspectratio="f"/>
                <v:textbox>
                  <w:txbxContent>
                    <w:p w14:paraId="7F1E0490">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工程材料与工程设备、装配式构件采购的一般要求（如果有）</w:t>
                      </w:r>
                    </w:p>
                  </w:txbxContent>
                </v:textbox>
              </v:shape>
            </w:pict>
          </mc:Fallback>
        </mc:AlternateContent>
      </w:r>
      <w:r>
        <w:rPr>
          <w:rFonts w:hint="eastAsia" w:ascii="仿宋" w:hAnsi="仿宋" w:eastAsia="仿宋"/>
          <w:color w:val="auto"/>
          <w:highlight w:val="none"/>
          <w:lang w:eastAsia="zh-CN"/>
        </w:rPr>
        <w:t>5.6.1</w:t>
      </w:r>
      <w:r>
        <w:rPr>
          <w:rFonts w:hint="eastAsia" w:ascii="仿宋" w:hAnsi="仿宋" w:eastAsia="仿宋" w:cs="仿宋"/>
          <w:color w:val="auto"/>
          <w:highlight w:val="none"/>
          <w:lang w:eastAsia="zh-CN"/>
        </w:rPr>
        <w:t>承包人被视为其已于基准日期前仔细审阅了发包人基于保证工程质量和功能用途对主要工程材料、工程设备的采购要求（包括标准、规范、品质、档次、生产厂家、运输方式、堆放场地、拼装工艺和相关数据等，如果有），承包人应对发包人的采购要求进行核实，并对发包人要求的正确性和（或）完整性负责。</w:t>
      </w:r>
      <w:r>
        <w:rPr>
          <w:rFonts w:hint="eastAsia" w:ascii="仿宋" w:hAnsi="仿宋" w:eastAsia="仿宋"/>
          <w:color w:val="auto"/>
          <w:highlight w:val="none"/>
          <w:lang w:eastAsia="zh-CN"/>
        </w:rPr>
        <w:t>但下述情况的正确性和（或）完整性，应由发包人负责：</w:t>
      </w:r>
    </w:p>
    <w:p w14:paraId="682F195B">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olor w:val="auto"/>
          <w:highlight w:val="none"/>
          <w:lang w:eastAsia="zh-CN"/>
        </w:rPr>
        <w:t>（1）有关采购的预期目</w:t>
      </w:r>
      <w:r>
        <w:rPr>
          <w:rFonts w:hint="eastAsia" w:ascii="仿宋" w:hAnsi="仿宋" w:eastAsia="仿宋" w:cs="仿宋"/>
          <w:color w:val="auto"/>
          <w:highlight w:val="none"/>
          <w:lang w:eastAsia="zh-CN"/>
        </w:rPr>
        <w:t>的的说明；</w:t>
      </w:r>
    </w:p>
    <w:p w14:paraId="03337B74">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（2）有关工程设备或装配式构件的试车、试验、工艺流程、组装图纸、性能标准和（或）产品合格标准；</w:t>
      </w:r>
    </w:p>
    <w:p w14:paraId="416D5303">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（3）承包人不能或无法核实的部分要求、数据和（或）资料；</w:t>
      </w:r>
    </w:p>
    <w:p w14:paraId="4F2AE426">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（4）专用条款约定不可变</w:t>
      </w:r>
      <w:r>
        <w:rPr>
          <w:rFonts w:hint="eastAsia" w:ascii="仿宋" w:hAnsi="仿宋" w:eastAsia="仿宋"/>
          <w:color w:val="auto"/>
          <w:highlight w:val="none"/>
          <w:lang w:eastAsia="zh-CN"/>
        </w:rPr>
        <w:t>更的部分要求、数据和资料。</w:t>
      </w:r>
    </w:p>
    <w:p w14:paraId="3F2C164D">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5.6.2因承包人采购的工程材料、工程设备、装配式构件等不合格或不符合发包人要求，承包人应及时更换或修复。因此对设计和（或）施工等阶段工作造成的工期延误及费用增加由承包人承担。</w:t>
      </w:r>
    </w:p>
    <w:p w14:paraId="02AA6D39">
      <w:pPr>
        <w:tabs>
          <w:tab w:val="left" w:pos="4970"/>
        </w:tabs>
        <w:spacing w:line="360" w:lineRule="auto"/>
        <w:rPr>
          <w:rFonts w:hint="eastAsia" w:ascii="仿宋" w:hAnsi="仿宋" w:eastAsia="仿宋"/>
          <w:color w:val="auto"/>
          <w:highlight w:val="none"/>
          <w:lang w:eastAsia="zh-CN"/>
        </w:rPr>
      </w:pPr>
    </w:p>
    <w:p w14:paraId="3AE60658">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299" w:name="_Toc6751"/>
      <w:r>
        <w:rPr>
          <w:rFonts w:hint="eastAsia" w:ascii="仿宋" w:hAnsi="仿宋" w:eastAsia="仿宋" w:cs="仿宋"/>
          <w:bCs w:val="0"/>
          <w:color w:val="auto"/>
          <w:sz w:val="24"/>
          <w:szCs w:val="24"/>
          <w:highlight w:val="none"/>
          <w:lang w:eastAsia="zh-CN"/>
        </w:rPr>
        <w:t>6 项目基础资料</w:t>
      </w:r>
      <w:bookmarkEnd w:id="299"/>
    </w:p>
    <w:p w14:paraId="79D6AD9F">
      <w:pPr>
        <w:spacing w:line="360" w:lineRule="auto"/>
        <w:rPr>
          <w:rFonts w:hint="eastAsia" w:ascii="仿宋" w:hAnsi="仿宋" w:eastAsia="仿宋"/>
          <w:b/>
          <w:color w:val="auto"/>
          <w:highlight w:val="none"/>
          <w:lang w:eastAsia="zh-CN"/>
        </w:rPr>
      </w:pPr>
      <w:r>
        <w:rPr>
          <w:rFonts w:hint="eastAsia" w:ascii="仿宋" w:hAnsi="仿宋" w:eastAsia="仿宋"/>
          <w:b/>
          <w:color w:val="auto"/>
          <w:highlight w:val="none"/>
          <w:lang w:eastAsia="zh-CN"/>
        </w:rPr>
        <w:t>6.1</w:t>
      </w:r>
    </w:p>
    <w:p w14:paraId="2655B9D2">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969536" behindDoc="0" locked="0" layoutInCell="1" allowOverlap="1">
                <wp:simplePos x="0" y="0"/>
                <wp:positionH relativeFrom="column">
                  <wp:posOffset>-47625</wp:posOffset>
                </wp:positionH>
                <wp:positionV relativeFrom="paragraph">
                  <wp:posOffset>24765</wp:posOffset>
                </wp:positionV>
                <wp:extent cx="803910" cy="462915"/>
                <wp:effectExtent l="0" t="0" r="0" b="0"/>
                <wp:wrapNone/>
                <wp:docPr id="470"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03910" cy="462915"/>
                        </a:xfrm>
                        <a:prstGeom prst="rect">
                          <a:avLst/>
                        </a:prstGeom>
                        <a:noFill/>
                        <a:ln>
                          <a:noFill/>
                        </a:ln>
                        <a:effectLst/>
                      </wps:spPr>
                      <wps:txbx>
                        <w:txbxContent>
                          <w:p w14:paraId="598BD05B">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项目基础资料的提供</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3.75pt;margin-top:1.95pt;height:36.45pt;width:63.3pt;z-index:251969536;mso-width-relative:page;mso-height-relative:page;" filled="f" stroked="f" coordsize="21600,21600" o:gfxdata="UEsDBAoAAAAAAIdO4kAAAAAAAAAAAAAAAAAEAAAAZHJzL1BLAwQUAAAACACHTuJA+rlP/9UAAAAH&#10;AQAADwAAAGRycy9kb3ducmV2LnhtbE2Oy27CMBBF95X4B2uQugM7tDySZsKCqttWpQ+pOxMPSdR4&#10;HMWGhL/HrNrl1b069+Tb0bbiTL1vHCMkcwWCuHSm4Qrh8+NltgHhg2ajW8eEcCEP22Jyl+vMuIHf&#10;6bwPlYgQ9plGqEPoMil9WZPVfu464tgdXW91iLGvpOn1EOG2lQulVtLqhuNDrTva1VT+7k8W4ev1&#10;+PP9qN6qZ7vsBjcqyTaViPfTRD2BCDSGvzHc9KM6FNHp4E5svGgRZutlXCI8pCBudZImIA4I69UG&#10;ZJHL//7FFVBLAwQUAAAACACHTuJAZ0Z2sR0CAAAkBAAADgAAAGRycy9lMm9Eb2MueG1srVNLbtsw&#10;EN0X6B0I7mtZrvOxYDlIY6QokDYF0h6ApiiLqMRhh7Ql9wDNDbrqpvucy+fokFJcN91k0Q1BcoZv&#10;3nsznF90Tc22Cp0Gk/N0NOZMGQmFNuucf/50/eqcM+eFKUQNRuV8pxy/WLx8MW9tpiZQQV0oZARi&#10;XNbanFfe2yxJnKxUI9wIrDIULAEb4emI66RA0RJ6UyeT8fg0aQELiyCVc3S77IN8QMTnAEJZaqmW&#10;IDeNMr5HRVULT5Jcpa3ji8i2LJX0t2XplGd1zkmpjysVof0qrMliLrI1CltpOVAQz6HwRFMjtKGi&#10;B6il8IJtUP8D1WiJ4KD0IwlN0guJjpCKdPzEm7tKWBW1kNXOHkx3/w9Wfth+RKaLnE/PyBMjGmr5&#10;/sf9/ufD/td3NgsGtdZllHdnKdN3b6CjsYlinb0B+cUxA1eVMGt1iQhtpURBBNPwMjl62uO4ALJq&#10;30NBdcTGQwTqSmyCe+QHI3Qisjs0R3WeSbo8H7+epRSRFJqeTmbpSawgssfHFp1/q6BhYZNzpN5H&#10;cLG9cT6QEdljSqhl4FrXdex/bf66oMT+RsUBGl4HKYF9r8N3q26wZgXFjkQh9MNFX4s2FeA3zloa&#10;rJy7rxuBirP6nSFjZul0SjJ8PExPziZ0wOPI6jgijCSonHvO+u2V76d3Y1GvK6rUt8LAJZlZ6ig0&#10;UO1ZDS2g4Yn6h0EP03l8jll/Pvfi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q5T//VAAAABwEA&#10;AA8AAAAAAAAAAQAgAAAAIgAAAGRycy9kb3ducmV2LnhtbFBLAQIUABQAAAAIAIdO4kBnRnaxHQIA&#10;ACQEAAAOAAAAAAAAAAEAIAAAACQBAABkcnMvZTJvRG9jLnhtbFBLBQYAAAAABgAGAFkBAACzBQAA&#10;AAA=&#10;">
                <v:fill on="f" focussize="0,0"/>
                <v:stroke on="f"/>
                <v:imagedata o:title=""/>
                <o:lock v:ext="edit" aspectratio="f"/>
                <v:textbox>
                  <w:txbxContent>
                    <w:p w14:paraId="598BD05B">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项目基础资料的提供</w:t>
                      </w:r>
                    </w:p>
                  </w:txbxContent>
                </v:textbox>
              </v:shape>
            </w:pict>
          </mc:Fallback>
        </mc:AlternateContent>
      </w:r>
      <w:r>
        <w:rPr>
          <w:rFonts w:hint="eastAsia" w:ascii="仿宋" w:hAnsi="仿宋" w:eastAsia="仿宋"/>
          <w:color w:val="auto"/>
          <w:highlight w:val="none"/>
          <w:lang w:eastAsia="zh-CN"/>
        </w:rPr>
        <w:t>6.1.1 发包人</w:t>
      </w:r>
      <w:r>
        <w:rPr>
          <w:rFonts w:hint="eastAsia" w:ascii="仿宋" w:hAnsi="仿宋" w:eastAsia="仿宋" w:cs="仿宋"/>
          <w:color w:val="auto"/>
          <w:highlight w:val="none"/>
          <w:lang w:eastAsia="zh-CN"/>
        </w:rPr>
        <w:t>（或其委托设计顾问人）应按专用条款约定的时间和份数提供书面文件，</w:t>
      </w:r>
      <w:r>
        <w:rPr>
          <w:rFonts w:hint="eastAsia" w:ascii="仿宋" w:hAnsi="仿宋" w:eastAsia="仿宋"/>
          <w:color w:val="auto"/>
          <w:highlight w:val="none"/>
          <w:lang w:eastAsia="zh-CN"/>
        </w:rPr>
        <w:t>向承包人提供已知悉的工程现场情况、工程地质勘察报告（如果有）、图纸（如果有）、项目建议书、已批准或备案的可行性研究报告、建设方案、工艺流程、初步设计文件（如果有）等相关资料，并为承包人收集其他有关资料提供必要的协助。</w:t>
      </w:r>
      <w:r>
        <w:rPr>
          <w:rFonts w:hint="eastAsia" w:ascii="仿宋" w:hAnsi="仿宋" w:eastAsia="仿宋" w:cs="仿宋"/>
          <w:color w:val="auto"/>
          <w:highlight w:val="none"/>
          <w:lang w:eastAsia="zh-CN"/>
        </w:rPr>
        <w:t>如发包人未按时提供项目基础资料，承包人无法按时开展总承包各阶段工作造成合同总工期延误及费用增加，由发包人承担责任，按第43.3款约定处理。</w:t>
      </w:r>
    </w:p>
    <w:p w14:paraId="7C47A09C">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 xml:space="preserve">6.1.2 </w:t>
      </w:r>
      <w:r>
        <w:rPr>
          <w:rFonts w:ascii="仿宋" w:hAnsi="仿宋" w:eastAsia="仿宋"/>
          <w:color w:val="auto"/>
          <w:highlight w:val="none"/>
          <w:lang w:eastAsia="zh-CN"/>
        </w:rPr>
        <w:t>发包人提供的项目基础资料中有专利</w:t>
      </w:r>
      <w:r>
        <w:rPr>
          <w:rFonts w:hint="eastAsia" w:ascii="仿宋" w:hAnsi="仿宋" w:eastAsia="仿宋"/>
          <w:color w:val="auto"/>
          <w:highlight w:val="none"/>
          <w:lang w:eastAsia="zh-CN"/>
        </w:rPr>
        <w:t>人或制造商</w:t>
      </w:r>
      <w:r>
        <w:rPr>
          <w:rFonts w:ascii="仿宋" w:hAnsi="仿宋" w:eastAsia="仿宋"/>
          <w:color w:val="auto"/>
          <w:highlight w:val="none"/>
          <w:lang w:eastAsia="zh-CN"/>
        </w:rPr>
        <w:t>提供的技术或工艺包，或是第三方设计单位提供的建筑造型等，发包人应组织专利</w:t>
      </w:r>
      <w:r>
        <w:rPr>
          <w:rFonts w:hint="eastAsia" w:ascii="仿宋" w:hAnsi="仿宋" w:eastAsia="仿宋"/>
          <w:color w:val="auto"/>
          <w:highlight w:val="none"/>
          <w:lang w:eastAsia="zh-CN"/>
        </w:rPr>
        <w:t>人、制造商</w:t>
      </w:r>
      <w:r>
        <w:rPr>
          <w:rFonts w:ascii="仿宋" w:hAnsi="仿宋" w:eastAsia="仿宋"/>
          <w:color w:val="auto"/>
          <w:highlight w:val="none"/>
          <w:lang w:eastAsia="zh-CN"/>
        </w:rPr>
        <w:t>或第三方设计单位与承包人进行数据、条件和资料的交换、协调和交接。</w:t>
      </w:r>
    </w:p>
    <w:p w14:paraId="01047BA3">
      <w:pPr>
        <w:spacing w:line="360" w:lineRule="auto"/>
        <w:rPr>
          <w:rFonts w:hint="eastAsia" w:ascii="仿宋" w:hAnsi="仿宋" w:eastAsia="仿宋"/>
          <w:b/>
          <w:color w:val="auto"/>
          <w:highlight w:val="none"/>
          <w:lang w:eastAsia="zh-CN"/>
        </w:rPr>
      </w:pPr>
      <w:r>
        <w:rPr>
          <w:rFonts w:hint="eastAsia" w:ascii="仿宋" w:hAnsi="仿宋" w:eastAsia="仿宋"/>
          <w:b/>
          <w:color w:val="auto"/>
          <w:highlight w:val="none"/>
          <w:lang w:eastAsia="zh-CN"/>
        </w:rPr>
        <w:t>6.2</w:t>
      </w:r>
    </w:p>
    <w:p w14:paraId="3F62157B">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ascii="仿宋" w:hAnsi="仿宋" w:eastAsia="仿宋"/>
          <w:color w:val="auto"/>
          <w:highlight w:val="none"/>
          <w:lang w:eastAsia="zh-CN" w:bidi="ar-SA"/>
        </w:rPr>
        <mc:AlternateContent>
          <mc:Choice Requires="wps">
            <w:drawing>
              <wp:anchor distT="0" distB="0" distL="114300" distR="114300" simplePos="0" relativeHeight="252087296" behindDoc="0" locked="0" layoutInCell="1" allowOverlap="1">
                <wp:simplePos x="0" y="0"/>
                <wp:positionH relativeFrom="column">
                  <wp:posOffset>-207010</wp:posOffset>
                </wp:positionH>
                <wp:positionV relativeFrom="paragraph">
                  <wp:posOffset>156845</wp:posOffset>
                </wp:positionV>
                <wp:extent cx="813435" cy="520700"/>
                <wp:effectExtent l="0" t="0" r="0" b="0"/>
                <wp:wrapNone/>
                <wp:docPr id="471"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13435" cy="520700"/>
                        </a:xfrm>
                        <a:prstGeom prst="rect">
                          <a:avLst/>
                        </a:prstGeom>
                        <a:noFill/>
                        <a:ln>
                          <a:noFill/>
                        </a:ln>
                        <a:effectLst/>
                      </wps:spPr>
                      <wps:txbx>
                        <w:txbxContent>
                          <w:p w14:paraId="38D8F6B8">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项目基础资料的正确性和完整性</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16.3pt;margin-top:12.35pt;height:41pt;width:64.05pt;z-index:252087296;mso-width-relative:page;mso-height-relative:page;" filled="f" stroked="f" coordsize="21600,21600" o:gfxdata="UEsDBAoAAAAAAIdO4kAAAAAAAAAAAAAAAAAEAAAAZHJzL1BLAwQUAAAACACHTuJAl6a6YNcAAAAJ&#10;AQAADwAAAGRycy9kb3ducmV2LnhtbE2Py07DMBBF90j9B2uQ2LV2Q5PSEKeLIrZFlIfEzo2nSUQ8&#10;jmK3Sf+eYQXL0T2690yxnVwnLjiE1pOG5UKBQKq8banW8P72PH8AEaIhazpPqOGKAbbl7KYwufUj&#10;veLlEGvBJRRyo6GJsc+lDFWDzoSF75E4O/nBmcjnUEs7mJHLXScTpTLpTEu80Jgedw1W34ez0/Cx&#10;P319rtRL/eTSfvSTkuQ2Uuu726V6BBFxin8w/OqzOpTsdPRnskF0Gub3ScaohmS1BsHAJk1BHBlU&#10;2RpkWcj/H5Q/UEsDBBQAAAAIAIdO4kCbFPrHHgIAACQEAAAOAAAAZHJzL2Uyb0RvYy54bWytU0tu&#10;2zAQ3RfoHQjua1mOXSeC5SCNkaJA+gHSHoCmKIuoxGGHtCX3AM0Nuuqm+57L5+iQUlw33WTRDUFy&#10;hm/mvXlcXHZNzXYKnQaT83Q05kwZCYU2m5x/+njz4pwz54UpRA1G5XyvHL9cPn+2aG2mJlBBXShk&#10;BGJc1tqcV97bLEmcrFQj3AisMhQsARvh6YibpEDREnpTJ5Px+GXSAhYWQSrn6HbVB/mAiE8BhLLU&#10;Uq1AbhtlfI+KqhaeKLlKW8eXsduyVNK/L0unPKtzTkx9XKkI7ddhTZYLkW1Q2ErLoQXxlBYecWqE&#10;NlT0CLUSXrAt6n+gGi0RHJR+JKFJeiJREWKRjh9pc1cJqyIXktrZo+ju/8HKd7sPyHSR8+k85cyI&#10;hkZ++H5/+PHr8PMbuwgCtdZllHdnKdN3r6Aj20Syzt6C/OyYgetKmI26QoS2UqKgBtPwMjl52uO4&#10;ALJu30JBdcTWQwTqSmyCeqQHI3Qazv44HNV5JunyPD2bns04kxSaTcbzcRxeIrKHxxadf62gYWGT&#10;c6TZR3Cxu3U+NCOyh5RQy8CNrus4/9r8dUGJ/Y2KBhpeByqh+56H79bdIM0aij2RQujNRV+LNhXg&#10;V85aMlbO3ZetQMVZ/caQMBfpdBqcGA/T2XxCBzyNrE8jwkiCyrnnrN9e+969W4t6U1GlfhQGrkjM&#10;UkeiodW+q2EEZJ7IfzB6cOfpOWb9+dzL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emumDXAAAA&#10;CQEAAA8AAAAAAAAAAQAgAAAAIgAAAGRycy9kb3ducmV2LnhtbFBLAQIUABQAAAAIAIdO4kCbFPrH&#10;HgIAACQEAAAOAAAAAAAAAAEAIAAAACYBAABkcnMvZTJvRG9jLnhtbFBLBQYAAAAABgAGAFkBAAC2&#10;BQAAAAA=&#10;">
                <v:fill on="f" focussize="0,0"/>
                <v:stroke on="f"/>
                <v:imagedata o:title=""/>
                <o:lock v:ext="edit" aspectratio="f"/>
                <v:textbox>
                  <w:txbxContent>
                    <w:p w14:paraId="38D8F6B8">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项目基础资料的正确性和完整性</w:t>
                      </w:r>
                    </w:p>
                  </w:txbxContent>
                </v:textbox>
              </v:shape>
            </w:pict>
          </mc:Fallback>
        </mc:AlternateContent>
      </w:r>
      <w:r>
        <w:rPr>
          <w:rFonts w:hint="eastAsia" w:ascii="仿宋" w:hAnsi="仿宋" w:eastAsia="仿宋"/>
          <w:color w:val="auto"/>
          <w:highlight w:val="none"/>
          <w:lang w:eastAsia="zh-CN"/>
        </w:rPr>
        <w:t>承包人被视为其已于基准日期前仔细审阅了发包人提供的项目基础资料，</w:t>
      </w:r>
      <w:r>
        <w:rPr>
          <w:rFonts w:hint="eastAsia" w:ascii="仿宋" w:hAnsi="仿宋" w:eastAsia="仿宋" w:cs="仿宋"/>
          <w:color w:val="auto"/>
          <w:highlight w:val="none"/>
          <w:lang w:eastAsia="zh-CN"/>
        </w:rPr>
        <w:t>承包人应对发包人提供的资料进行核实，</w:t>
      </w:r>
      <w:r>
        <w:rPr>
          <w:rFonts w:hint="eastAsia" w:ascii="仿宋" w:hAnsi="仿宋" w:eastAsia="仿宋"/>
          <w:color w:val="auto"/>
          <w:highlight w:val="none"/>
          <w:lang w:eastAsia="zh-CN"/>
        </w:rPr>
        <w:t>并对发包人提供资料的正确性和（或）完整性负责。承包人从发包人或其他方面得到的任何数据或资料，不免除承包人应承担的责任。但下述情况的正确性和（或）完整性，应由发包人负责：</w:t>
      </w:r>
    </w:p>
    <w:p w14:paraId="7773729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（1）有关合同工程或其任何部分的功能、用途等预期目的的说明；</w:t>
      </w:r>
    </w:p>
    <w:p w14:paraId="4DCB7A15">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（2）有关合同工程的试车、试验、工艺流程和（或）性能标准；</w:t>
      </w:r>
    </w:p>
    <w:p w14:paraId="5F2B7726">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（3）承包人不能或无法核实的数据和（或）资料；</w:t>
      </w:r>
    </w:p>
    <w:p w14:paraId="69388FAD">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（4）工程现场发生的不利物质条件，包括不能预见的自然物质条件、非自然物质障碍和污染物；</w:t>
      </w:r>
    </w:p>
    <w:p w14:paraId="78FDF11F">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（5）专用条款约定不可变更的数据和资料。</w:t>
      </w:r>
    </w:p>
    <w:p w14:paraId="2A4E8E21">
      <w:pPr>
        <w:widowControl w:val="0"/>
        <w:tabs>
          <w:tab w:val="left" w:pos="4970"/>
        </w:tabs>
        <w:spacing w:line="360" w:lineRule="auto"/>
        <w:rPr>
          <w:rFonts w:hint="eastAsia" w:ascii="仿宋" w:hAnsi="仿宋" w:eastAsia="仿宋"/>
          <w:color w:val="auto"/>
          <w:highlight w:val="none"/>
          <w:lang w:eastAsia="zh-CN"/>
        </w:rPr>
      </w:pPr>
    </w:p>
    <w:p w14:paraId="5F2C7C46">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00" w:name="_Toc318"/>
      <w:r>
        <w:rPr>
          <w:rFonts w:hint="eastAsia" w:ascii="仿宋" w:hAnsi="仿宋" w:eastAsia="仿宋" w:cs="仿宋"/>
          <w:bCs w:val="0"/>
          <w:color w:val="auto"/>
          <w:sz w:val="24"/>
          <w:szCs w:val="24"/>
          <w:highlight w:val="none"/>
          <w:lang w:eastAsia="zh-CN"/>
        </w:rPr>
        <w:t>7 勘察报告、设计文件、建筑信息模型（BIM）</w:t>
      </w:r>
      <w:bookmarkEnd w:id="300"/>
    </w:p>
    <w:p w14:paraId="513317EF">
      <w:pPr>
        <w:spacing w:line="360" w:lineRule="auto"/>
        <w:rPr>
          <w:rFonts w:hint="eastAsia" w:ascii="仿宋" w:hAnsi="仿宋" w:eastAsia="仿宋"/>
          <w:b/>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088320" behindDoc="0" locked="0" layoutInCell="1" allowOverlap="1">
                <wp:simplePos x="0" y="0"/>
                <wp:positionH relativeFrom="column">
                  <wp:posOffset>-114300</wp:posOffset>
                </wp:positionH>
                <wp:positionV relativeFrom="paragraph">
                  <wp:posOffset>316865</wp:posOffset>
                </wp:positionV>
                <wp:extent cx="841375" cy="690880"/>
                <wp:effectExtent l="0" t="0" r="0" b="0"/>
                <wp:wrapNone/>
                <wp:docPr id="472"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41375" cy="690880"/>
                        </a:xfrm>
                        <a:prstGeom prst="rect">
                          <a:avLst/>
                        </a:prstGeom>
                        <a:noFill/>
                        <a:ln>
                          <a:noFill/>
                        </a:ln>
                        <a:effectLst/>
                      </wps:spPr>
                      <wps:txbx>
                        <w:txbxContent>
                          <w:p w14:paraId="4E5530D3">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勘察报告的提供及一般要求</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24.95pt;height:54.4pt;width:66.25pt;z-index:252088320;mso-width-relative:page;mso-height-relative:page;" filled="f" stroked="f" coordsize="21600,21600" o:gfxdata="UEsDBAoAAAAAAIdO4kAAAAAAAAAAAAAAAAAEAAAAZHJzL1BLAwQUAAAACACHTuJArHoNX9gAAAAK&#10;AQAADwAAAGRycy9kb3ducmV2LnhtbE2PzU7DMBCE70i8g7VI3Fo7KIEkzaYHEFcQ5Ufi5sbbJGq8&#10;jmK3CW+Pe4LbrGY0+021XewgzjT53jFCslYgiBtnem4RPt6fVzkIHzQbPTgmhB/ysK2vrypdGjfz&#10;G513oRWxhH2pEboQxlJK33RktV+7kTh6BzdZHeI5tdJMeo7ldpB3St1Lq3uOHzo90mNHzXF3sgif&#10;L4fvr1S9tk82G2e3KMm2kIi3N4nagAi0hL8wXPAjOtSRae9ObLwYEFZJHrcEhLQoQFwCSZqB2EeR&#10;5Q8g60r+n1D/AlBLAwQUAAAACACHTuJAirL38R4CAAAkBAAADgAAAGRycy9lMm9Eb2MueG1srVPB&#10;bhMxEL0j8Q+W72STkDbJKpuqNCpCKhSp8AGO15u12PWYsZPd8AH0Dzhx4d7vyncw9m5DKJceuFi2&#10;Z/xm3pvnxUVbV2yn0GkwGR8NhpwpIyHXZpPxz5+uX804c16YXFRgVMb3yvGL5csXi8amagwlVLlC&#10;RiDGpY3NeOm9TZPEyVLVwg3AKkPBArAWno64SXIUDaHXVTIeDs+TBjC3CFI5R7erLsh7RHwOIBSF&#10;lmoFclsr4ztUVJXwRMmV2jq+jN0WhZL+tiic8qzKODH1caUitF+HNVkuRLpBYUst+xbEc1p4wqkW&#10;2lDRI9RKeMG2qP+BqrVEcFD4gYQ66YhERYjFaPhEm7tSWBW5kNTOHkV3/w9Wfth9RKbzjE+mY86M&#10;qGnkhx/3h58Ph1/f2TwI1FiXUt6dpUzfvoGWbBPJOnsD8otjBq5KYTbqEhGaUomcGhyFl8nJ0w7H&#10;BZB18x5yqiO2HiJQW2Ad1CM9GKHTcPbH4ajWM0mXs8no9fSMM0mh8/lwNovDS0T6+Nii828V1Cxs&#10;Mo40+wgudjfOh2ZE+pgSahm41lUV51+Zvy4osbtR0UD960AldN/x8O267aVZQ74nUgiduehr0aYE&#10;/MZZQ8bKuPu6Fag4q94ZEmY+mkyCE+NhcjYd0wFPI+vTiDCSoDLuOeu2V75z79ai3pRUqRuFgUsS&#10;s9CRaGi166ofAZkn8u+NHtx5eo5Zfz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seg1f2AAA&#10;AAoBAAAPAAAAAAAAAAEAIAAAACIAAABkcnMvZG93bnJldi54bWxQSwECFAAUAAAACACHTuJAirL3&#10;8R4CAAAkBAAADgAAAAAAAAABACAAAAAnAQAAZHJzL2Uyb0RvYy54bWxQSwUGAAAAAAYABgBZAQAA&#10;twUAAAAA&#10;">
                <v:fill on="f" focussize="0,0"/>
                <v:stroke on="f"/>
                <v:imagedata o:title=""/>
                <o:lock v:ext="edit" aspectratio="f"/>
                <v:textbox>
                  <w:txbxContent>
                    <w:p w14:paraId="4E5530D3">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勘察报告的提供及一般要求</w:t>
                      </w:r>
                    </w:p>
                  </w:txbxContent>
                </v:textbox>
              </v:shape>
            </w:pict>
          </mc:Fallback>
        </mc:AlternateContent>
      </w:r>
      <w:r>
        <w:rPr>
          <w:rFonts w:ascii="仿宋" w:hAnsi="仿宋" w:eastAsia="仿宋"/>
          <w:b/>
          <w:color w:val="auto"/>
          <w:highlight w:val="none"/>
          <w:lang w:eastAsia="zh-CN"/>
        </w:rPr>
        <w:t>7.1</w:t>
      </w:r>
    </w:p>
    <w:p w14:paraId="04B1C1E3">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7.1.1 合同约定由承包人负责工程勘察的，承包人应按合同约定提供勘察报告，按约定的时间和份数报送发包人、设计顾问人。承包人应按审查意见修改完善勘察报告。如承包人未按时提供勘察报告并通过审查，导致后续设计和（或）施工工期延误及费用增加，由承包人承担责任，按第43.8款约定处理。</w:t>
      </w:r>
    </w:p>
    <w:p w14:paraId="4BBB27BE">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7.1.2 工程勘察报告的完备性、正确性由承包人负责，若勘察报告存在缺陷，承包人应及时完善、修正或补充勘察，由此造成的工程质量缺陷、工期延误及费用增加，责任由承包人承担。</w:t>
      </w:r>
    </w:p>
    <w:p w14:paraId="1E0AD9F0">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7.1.3 承包人不得将其承包的勘察工作或将其肢解后以分包的名义转包给第三方。因承包人不具备勘察资质，承包人应经发包人同意后方可将勘察工作分包给具有相应资质的勘察单位，但不免除承包人的相关责任。</w:t>
      </w:r>
    </w:p>
    <w:p w14:paraId="30361943">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7.1.4 承包人应按约定向发包人及设计顾问人、监理人、造价咨询人等相关方报送成果文件，配合审查、审批或备案，确认工作完成时间和成果。</w:t>
      </w:r>
    </w:p>
    <w:p w14:paraId="0209DA11">
      <w:pPr>
        <w:spacing w:line="360" w:lineRule="auto"/>
        <w:rPr>
          <w:rFonts w:hint="eastAsia" w:ascii="仿宋" w:hAnsi="仿宋" w:eastAsia="仿宋"/>
          <w:b/>
          <w:color w:val="auto"/>
          <w:highlight w:val="none"/>
          <w:lang w:eastAsia="zh-CN"/>
        </w:rPr>
      </w:pPr>
      <w:r>
        <w:rPr>
          <w:rFonts w:hint="eastAsia" w:ascii="仿宋" w:hAnsi="仿宋" w:eastAsia="仿宋"/>
          <w:b/>
          <w:color w:val="auto"/>
          <w:highlight w:val="none"/>
          <w:lang w:eastAsia="zh-CN"/>
        </w:rPr>
        <w:t>7.2</w:t>
      </w:r>
    </w:p>
    <w:p w14:paraId="6961CEC9">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970560" behindDoc="0" locked="0" layoutInCell="1" allowOverlap="1">
                <wp:simplePos x="0" y="0"/>
                <wp:positionH relativeFrom="column">
                  <wp:posOffset>-114300</wp:posOffset>
                </wp:positionH>
                <wp:positionV relativeFrom="paragraph">
                  <wp:posOffset>20320</wp:posOffset>
                </wp:positionV>
                <wp:extent cx="852170" cy="615315"/>
                <wp:effectExtent l="0" t="0" r="0" b="0"/>
                <wp:wrapNone/>
                <wp:docPr id="473"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52170" cy="615315"/>
                        </a:xfrm>
                        <a:prstGeom prst="rect">
                          <a:avLst/>
                        </a:prstGeom>
                        <a:noFill/>
                        <a:ln>
                          <a:noFill/>
                        </a:ln>
                        <a:effectLst/>
                      </wps:spPr>
                      <wps:txbx>
                        <w:txbxContent>
                          <w:p w14:paraId="6F91DD9D">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设计文件的提供及一般要求</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1.6pt;height:48.45pt;width:67.1pt;z-index:251970560;mso-width-relative:page;mso-height-relative:page;" filled="f" stroked="f" coordsize="21600,21600" o:gfxdata="UEsDBAoAAAAAAIdO4kAAAAAAAAAAAAAAAAAEAAAAZHJzL1BLAwQUAAAACACHTuJAlAOeLtYAAAAJ&#10;AQAADwAAAGRycy9kb3ducmV2LnhtbE2PwW7CMBBE75X4B2sr9Qa2aYsgxOFA1WsroK3Um4mXJGq8&#10;jmJD0r9nObW3Wc1o9k2+GX0rLtjHJpABPVMgkMrgGqoMfBxep0sQMVlytg2EBn4xwqaY3OU2c2Gg&#10;HV72qRJcQjGzBuqUukzKWNbobZyFDom9U+i9TXz2lXS9Hbjct3Ku1EJ62xB/qG2H2xrLn/3ZG/h8&#10;O31/Pan36sU/d0MYlSS/ksY83Gu1BpFwTH9huOEzOhTMdAxnclG0BqZ6yVuSgcc5iJuvFyyOLJTS&#10;IItc/l9QXAFQSwMEFAAAAAgAh07iQLiP8SweAgAAJAQAAA4AAABkcnMvZTJvRG9jLnhtbK1TS27b&#10;MBDdF+gdCO5rWY4dJ4LlII2RokD6AdIegKYoi6jEYYe0JfcA7Q266qb7nsvn6JBSXDfdZNENQXKG&#10;b+a9eVxcdU3NdgqdBpPzdDTmTBkJhTabnH/8cPvigjPnhSlEDUblfK8cv1o+f7ZobaYmUEFdKGQE&#10;YlzW2pxX3tssSZysVCPcCKwyFCwBG+HpiJukQNESelMnk/H4PGkBC4sglXN0u+qDfEDEpwBCWWqp&#10;ViC3jTK+R0VVC0+UXKWt48vYbVkq6d+VpVOe1Tknpj6uVIT267Amy4XINihspeXQgnhKC484NUIb&#10;KnqEWgkv2Bb1P1CNlggOSj+S0CQ9kagIsUjHj7S5r4RVkQtJ7exRdPf/YOXb3Xtkusj5dH7GmREN&#10;jfzw/dvhx6/Dz6/sMgjUWpdR3r2lTN+9hI5sE8k6ewfyk2MGbiphNuoaEdpKiYIaTMPL5ORpj+MC&#10;yLp9AwXVEVsPEagrsQnqkR6M0Gk4++NwVOeZpMuL2SSdU0RS6DydnaWzWEFkD48tOv9KQcPCJudI&#10;s4/gYnfnfGhGZA8poZaBW13Xcf61+euCEvsbFQ00vA5UQvc9D9+tu0GaNRR7IoXQm4u+Fm0qwC+c&#10;tWSsnLvPW4GKs/q1IWEu0+k0ODEeprP5hA54GlmfRoSRBJVzz1m/vfG9e7cW9aaiSv0oDFyTmKWO&#10;REOrfVfDCMg8kf9g9ODO03PM+vO5l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lAOeLtYAAAAJ&#10;AQAADwAAAAAAAAABACAAAAAiAAAAZHJzL2Rvd25yZXYueG1sUEsBAhQAFAAAAAgAh07iQLiP8Swe&#10;AgAAJAQAAA4AAAAAAAAAAQAgAAAAJQEAAGRycy9lMm9Eb2MueG1sUEsFBgAAAAAGAAYAWQEAALUF&#10;AAAAAA==&#10;">
                <v:fill on="f" focussize="0,0"/>
                <v:stroke on="f"/>
                <v:imagedata o:title=""/>
                <o:lock v:ext="edit" aspectratio="f"/>
                <v:textbox>
                  <w:txbxContent>
                    <w:p w14:paraId="6F91DD9D">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设计文件的提供及一般要求</w:t>
                      </w:r>
                    </w:p>
                  </w:txbxContent>
                </v:textbox>
              </v:shape>
            </w:pict>
          </mc:Fallback>
        </mc:AlternateContent>
      </w:r>
      <w:r>
        <w:rPr>
          <w:rFonts w:hint="eastAsia" w:ascii="仿宋" w:hAnsi="仿宋" w:eastAsia="仿宋" w:cs="仿宋"/>
          <w:color w:val="auto"/>
          <w:highlight w:val="none"/>
          <w:lang w:eastAsia="zh-CN"/>
        </w:rPr>
        <w:t>7.2.1合同约定由承包人负责初步设计文件编制的，承包人应按合同约定提供包括初步设计图纸与设计概算的完整设计文件，按约定的时间和份数报送发包人及设计顾问人。承包人应按审查意见修改完善初步设计图纸及设计概算，直到审查批准或备案。</w:t>
      </w:r>
    </w:p>
    <w:p w14:paraId="4F2C7F1F">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初步设计图纸及设计概算审查合格后，承包人应配合发包人完成审批或备案程序，并按审批或备案的初步设计文件进行施工图设计和投资控制。如承包人未按合理时间完成初步设计图纸及设计概算的编制，导致后续设计或施工工期延误及费用增加，由承包人承担责任，按第43.8款约定处理。</w:t>
      </w:r>
    </w:p>
    <w:p w14:paraId="5EDD57F3">
      <w:pPr>
        <w:widowControl w:val="0"/>
        <w:spacing w:line="360" w:lineRule="auto"/>
        <w:ind w:left="1850" w:leftChars="771"/>
        <w:jc w:val="both"/>
        <w:rPr>
          <w:rFonts w:hint="eastAsia" w:ascii="仿宋" w:hAnsi="仿宋" w:eastAsia="仿宋" w:cs="仿宋"/>
          <w:strike/>
          <w:color w:val="auto"/>
          <w:highlight w:val="none"/>
          <w:lang w:eastAsia="zh-CN"/>
        </w:rPr>
      </w:pPr>
      <w:r>
        <w:rPr>
          <w:rFonts w:hint="eastAsia" w:ascii="仿宋" w:hAnsi="仿宋" w:eastAsia="仿宋" w:cs="仿宋"/>
          <w:color w:val="auto"/>
          <w:highlight w:val="none"/>
          <w:lang w:eastAsia="zh-CN"/>
        </w:rPr>
        <w:t>7.2.2 承包人应按合同约定提供包括施工图及施工图预算的完整设计文件，按约定的时间和份数报送发包人及设计顾问人。承包人应按审查意见修改完善施工图。</w:t>
      </w:r>
    </w:p>
    <w:p w14:paraId="331DD884">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承包人应配合发包人完成审批或备案程序以及发放工作，并按图施工。如承包人未按合理时间完成施工图设计及施工图预算编制，导致施工工期延误及费用增加，责任由承包人承担，按第43.8款约定处理。</w:t>
      </w:r>
    </w:p>
    <w:p w14:paraId="318945ED">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7.2.3初步设计文件和（或）施工图设计文件的完备性、正确性由承包人负责，若初步设计文件和（或）施工图设计文件等存在缺陷，承包人应及时修正，其造成的工程质量缺陷、工期延误及费用增加，责任由承包人承担。</w:t>
      </w:r>
    </w:p>
    <w:p w14:paraId="3E065C4B">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7.2.4 承包人不得将其承包的全部设计工作或将其肢解后以分包的名义转包给第三方，也不得将建设工程主体部分的设计工作分包给第三方。因承包人不具备部分专项设计资质（如人防、幕墙、园林景观、装修等专业工程），承包人应经发包人同意后方可将部分工作分包给具有相应资质的专项设计单位，但不免除承包人的相关责任。</w:t>
      </w:r>
    </w:p>
    <w:p w14:paraId="166CC9F6">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7.2.5 承包人应及时组织勘察、设计、BIM技术应用、采购、施工等专业负责人对设计文件进行技术交底和审核，协调内部专业分工及责任划分，对设计文件的深度和质量进行完善和修正。</w:t>
      </w:r>
    </w:p>
    <w:p w14:paraId="3DC40076">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7.2.6 承包人应按约定向发包人及设计顾问人、监理人、造价咨询人等相关方报送设计文件，配合审查、审批或备案，确认工作完成时间和成果。但发包人及相关方的审查、审批或确认通过与否，发包人及相关方均不承担责任，设计文件的质量责任由承包人承担。</w:t>
      </w:r>
    </w:p>
    <w:p w14:paraId="7F9100EA">
      <w:pPr>
        <w:spacing w:line="360" w:lineRule="auto"/>
        <w:rPr>
          <w:rFonts w:hint="eastAsia" w:ascii="仿宋" w:hAnsi="仿宋" w:eastAsia="仿宋"/>
          <w:b/>
          <w:color w:val="auto"/>
          <w:highlight w:val="none"/>
          <w:lang w:eastAsia="zh-CN"/>
        </w:rPr>
      </w:pPr>
      <w:r>
        <w:rPr>
          <w:rFonts w:hint="eastAsia" w:ascii="仿宋" w:hAnsi="仿宋" w:eastAsia="仿宋"/>
          <w:b/>
          <w:color w:val="auto"/>
          <w:highlight w:val="none"/>
          <w:lang w:eastAsia="zh-CN"/>
        </w:rPr>
        <w:t>7.3</w:t>
      </w:r>
    </w:p>
    <w:p w14:paraId="7B801263">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973632" behindDoc="0" locked="0" layoutInCell="1" allowOverlap="1">
                <wp:simplePos x="0" y="0"/>
                <wp:positionH relativeFrom="column">
                  <wp:posOffset>-114300</wp:posOffset>
                </wp:positionH>
                <wp:positionV relativeFrom="paragraph">
                  <wp:posOffset>20320</wp:posOffset>
                </wp:positionV>
                <wp:extent cx="765810" cy="606425"/>
                <wp:effectExtent l="0" t="0" r="0" b="0"/>
                <wp:wrapNone/>
                <wp:docPr id="474"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65810" cy="606425"/>
                        </a:xfrm>
                        <a:prstGeom prst="rect">
                          <a:avLst/>
                        </a:prstGeom>
                        <a:noFill/>
                        <a:ln>
                          <a:noFill/>
                        </a:ln>
                        <a:effectLst/>
                      </wps:spPr>
                      <wps:txbx>
                        <w:txbxContent>
                          <w:p w14:paraId="3FE1865E">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BIM信息模型的提供及一般要求</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1.6pt;height:47.75pt;width:60.3pt;z-index:251973632;mso-width-relative:page;mso-height-relative:page;" filled="f" stroked="f" coordsize="21600,21600" o:gfxdata="UEsDBAoAAAAAAIdO4kAAAAAAAAAAAAAAAAAEAAAAZHJzL1BLAwQUAAAACACHTuJA0URv29YAAAAI&#10;AQAADwAAAGRycy9kb3ducmV2LnhtbE2PzU7DMBCE70h9B2srcWvtBChpyKaHVlxBlB+Jmxtvk4h4&#10;HcVuE94e90SPoxnNfFNsJtuJMw2+dYyQLBUI4sqZlmuEj/fnRQbCB81Gd44J4Zc8bMrZTaFz40Z+&#10;o/M+1CKWsM81QhNCn0vpq4as9kvXE0fv6AarQ5RDLc2gx1huO5kqtZJWtxwXGt3TtqHqZ3+yCJ8v&#10;x++ve/Va7+xDP7pJSbZriXg7T9QTiEBT+A/DBT+iQxmZDu7ExosOYZFk8UtAuEtBXHyVrkAcENbZ&#10;I8iykNcHyj9QSwMEFAAAAAgAh07iQBRmZuAdAgAAJAQAAA4AAABkcnMvZTJvRG9jLnhtbK1TzY7T&#10;MBC+I/EOlu80bZW2u1HT1bLVIqTlR1p4ANdxGovEY8Zuk/IA8AacuHDnufocjJ1sKctlD1ws2zP+&#10;Zr5vPi+vuqZme4VOg8n5ZDTmTBkJhTbbnH/8cPvigjPnhSlEDUbl/KAcv1o9f7ZsbaamUEFdKGQE&#10;YlzW2pxX3tssSZysVCPcCKwyFCwBG+HpiNukQNESelMn0/F4nrSAhUWQyjm6XfdBPiDiUwChLLVU&#10;a5C7Rhnfo6KqhSdKrtLW8VXstiyV9O/K0inP6pwTUx9XKkL7TViT1VJkWxS20nJoQTylhUecGqEN&#10;FT1BrYUXbIf6H6hGSwQHpR9JaJKeSFSEWEzGj7S5r4RVkQtJ7exJdPf/YOXb/Xtkush5ukg5M6Kh&#10;kR+/fzv++HX8+ZVdBoFa6zLKu7eU6buX0JFtIlln70B+cszATSXMVl0jQlspUVCDk/AyOXva47gA&#10;smnfQEF1xM5DBOpKbIJ6pAcjdBrO4TQc1Xkm6XIxn11MKCIpNB/P0+ksVhDZw2OLzr9S0LCwyTnS&#10;7CO42N85H5oR2UNKqGXgVtd1nH9t/rqgxP5GRQMNrwOV0H3Pw3ebbpBmA8WBSCH05qKvRZsK8Atn&#10;LRkr5+7zTqDirH5tSJjLSZoGJ8ZDOltM6YDnkc15RBhJUDn3nPXbG9+7d2dRbyuq1I/CwDWJWepI&#10;NLTadzWMgMwT+Q9GD+48P8esP597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RRG/b1gAAAAgB&#10;AAAPAAAAAAAAAAEAIAAAACIAAABkcnMvZG93bnJldi54bWxQSwECFAAUAAAACACHTuJAFGZm4B0C&#10;AAAkBAAADgAAAAAAAAABACAAAAAlAQAAZHJzL2Uyb0RvYy54bWxQSwUGAAAAAAYABgBZAQAAtAUA&#10;AAAA&#10;">
                <v:fill on="f" focussize="0,0"/>
                <v:stroke on="f"/>
                <v:imagedata o:title=""/>
                <o:lock v:ext="edit" aspectratio="f"/>
                <v:textbox>
                  <w:txbxContent>
                    <w:p w14:paraId="3FE1865E">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BIM信息模型的提供及一般要求</w:t>
                      </w:r>
                    </w:p>
                  </w:txbxContent>
                </v:textbox>
              </v:shape>
            </w:pict>
          </mc:Fallback>
        </mc:AlternateContent>
      </w:r>
      <w:r>
        <w:rPr>
          <w:rFonts w:hint="eastAsia" w:ascii="仿宋" w:hAnsi="仿宋" w:eastAsia="仿宋" w:cs="仿宋"/>
          <w:color w:val="auto"/>
          <w:highlight w:val="none"/>
          <w:lang w:eastAsia="zh-CN"/>
        </w:rPr>
        <w:t>合同约定由承包人负责提供本项目设计、施工、竣工验收、运维（如果有）等阶段的建筑信息模型（BIM）及有关应用的，承包人应按合同约定的应用节点和时间提供BIM模型及有关成果，同时协助发包人及设计顾问人、监理人、造价咨询人等相关方正确使用。如承包人未按要求提供建筑信息模型（BIM）及有关应用成果，导致设计和（或）施工工期延误及费用增加，责任由承包人承担，按第44.8款约定处理。</w:t>
      </w:r>
    </w:p>
    <w:p w14:paraId="78A7121F">
      <w:pPr>
        <w:widowControl w:val="0"/>
        <w:numPr>
          <w:ilvl w:val="0"/>
          <w:numId w:val="6"/>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建筑信息模型（BIM）及有关应用成果的完备性、正确性由承包人负责，若存在缺陷，承包人应及时修正，其造成的工程质量缺陷、工期延误及费用增加，责任由承包人承担。</w:t>
      </w:r>
    </w:p>
    <w:p w14:paraId="6F192B15">
      <w:pPr>
        <w:widowControl w:val="0"/>
        <w:numPr>
          <w:ilvl w:val="0"/>
          <w:numId w:val="6"/>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承包人应及时组织勘察、设计、BIM技术应用、采购、施工等专业负责人对建筑信息模型（BIM）及有关应用成果进行技术交底和审核，协调内部专业分工及责任划分，对建模的深度和质量进行完善和修正。</w:t>
      </w:r>
    </w:p>
    <w:p w14:paraId="6CD8EECA">
      <w:pPr>
        <w:widowControl w:val="0"/>
        <w:numPr>
          <w:ilvl w:val="0"/>
          <w:numId w:val="6"/>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承包人应按约定向发包人及设计顾问人、监理人、造价咨询人等相关方报送建筑信息模型（BIM）及有关应用成果，配合审查、审批或备案，确认工作完成时间和成果。但发包人及相关方的审查、审批或确认通过与否，发包人及相关方均不承担责任，建筑信息模型（BIM）及有关应用成果的质量责任由承包人承担。</w:t>
      </w:r>
    </w:p>
    <w:p w14:paraId="73A784F5">
      <w:pPr>
        <w:widowControl w:val="0"/>
        <w:numPr>
          <w:ilvl w:val="0"/>
          <w:numId w:val="6"/>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承包人应在发包人有建立BIM协同管理平台需求时协助发包人建立BIM协同管理平台，指导设计顾问人、监理人、造价咨询人等参建各方正确使用建筑信息模型（BIM）及有关应用成果，实现项目建设各阶段BIM应用的信息传递和共享。具体服务内容和要求在专用条款中约定。</w:t>
      </w:r>
    </w:p>
    <w:p w14:paraId="249B7F26">
      <w:pPr>
        <w:spacing w:line="360" w:lineRule="auto"/>
        <w:rPr>
          <w:rFonts w:hint="eastAsia" w:ascii="仿宋" w:hAnsi="仿宋" w:eastAsia="仿宋" w:cs="仿宋"/>
          <w:color w:val="auto"/>
          <w:highlight w:val="none"/>
          <w:lang w:eastAsia="zh-CN"/>
        </w:rPr>
      </w:pPr>
    </w:p>
    <w:p w14:paraId="048BD6FB">
      <w:pPr>
        <w:pStyle w:val="6"/>
        <w:tabs>
          <w:tab w:val="left" w:pos="360"/>
          <w:tab w:val="left" w:pos="420"/>
        </w:tabs>
        <w:spacing w:before="120" w:beforeLines="50" w:after="120" w:afterLines="50" w:line="360" w:lineRule="auto"/>
        <w:rPr>
          <w:rFonts w:hint="eastAsia" w:ascii="仿宋" w:hAnsi="仿宋" w:eastAsia="仿宋" w:cs="仿宋"/>
          <w:bCs w:val="0"/>
          <w:color w:val="auto"/>
          <w:sz w:val="24"/>
          <w:szCs w:val="24"/>
          <w:highlight w:val="none"/>
        </w:rPr>
      </w:pPr>
      <w:bookmarkStart w:id="301" w:name="_Toc9600"/>
      <w:r>
        <w:rPr>
          <w:rFonts w:hint="eastAsia" w:ascii="仿宋" w:hAnsi="仿宋" w:eastAsia="仿宋" w:cs="仿宋"/>
          <w:bCs w:val="0"/>
          <w:color w:val="auto"/>
          <w:sz w:val="24"/>
          <w:szCs w:val="24"/>
          <w:highlight w:val="none"/>
        </w:rPr>
        <w:t>8 合同价格的控制原则</w:t>
      </w:r>
      <w:bookmarkEnd w:id="301"/>
    </w:p>
    <w:p w14:paraId="5699B587">
      <w:pPr>
        <w:spacing w:line="360" w:lineRule="auto"/>
        <w:rPr>
          <w:rFonts w:hint="eastAsia" w:ascii="仿宋" w:hAnsi="仿宋" w:eastAsia="仿宋" w:cs="仿宋"/>
          <w:b/>
          <w:color w:val="auto"/>
          <w:highlight w:val="none"/>
          <w:lang w:eastAsia="zh-CN"/>
        </w:rPr>
      </w:pPr>
      <w:r>
        <w:rPr>
          <w:rFonts w:hint="eastAsia" w:ascii="仿宋" w:hAnsi="仿宋" w:eastAsia="仿宋" w:cs="仿宋"/>
          <w:b/>
          <w:color w:val="auto"/>
          <w:highlight w:val="none"/>
          <w:lang w:eastAsia="zh-CN"/>
        </w:rPr>
        <w:t>8.1</w:t>
      </w:r>
    </w:p>
    <w:p w14:paraId="4DC27E57">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089344" behindDoc="0" locked="0" layoutInCell="1" allowOverlap="1">
                <wp:simplePos x="0" y="0"/>
                <wp:positionH relativeFrom="column">
                  <wp:posOffset>-171450</wp:posOffset>
                </wp:positionH>
                <wp:positionV relativeFrom="paragraph">
                  <wp:posOffset>78105</wp:posOffset>
                </wp:positionV>
                <wp:extent cx="795655" cy="396240"/>
                <wp:effectExtent l="0" t="0" r="0" b="0"/>
                <wp:wrapNone/>
                <wp:docPr id="475"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95655" cy="396240"/>
                        </a:xfrm>
                        <a:prstGeom prst="rect">
                          <a:avLst/>
                        </a:prstGeom>
                        <a:noFill/>
                        <a:ln>
                          <a:noFill/>
                        </a:ln>
                        <a:effectLst/>
                      </wps:spPr>
                      <wps:txbx>
                        <w:txbxContent>
                          <w:p w14:paraId="5C63A2EB">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合同总价的控制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13.5pt;margin-top:6.15pt;height:31.2pt;width:62.65pt;z-index:252089344;mso-width-relative:page;mso-height-relative:page;" filled="f" stroked="f" coordsize="21600,21600" o:gfxdata="UEsDBAoAAAAAAIdO4kAAAAAAAAAAAAAAAAAEAAAAZHJzL1BLAwQUAAAACACHTuJAbjUpqdcAAAAI&#10;AQAADwAAAGRycy9kb3ducmV2LnhtbE2PwW7CMBBE75X4B2uRegOblDaQxuEA6rVVaYvEzcRLEjVe&#10;R7Eh6d93eyqn1WhGs2/yzehaccU+NJ40LOYKBFLpbUOVhs+Pl9kKRIiGrGk9oYYfDLApJne5yawf&#10;6B2v+1gJLqGQGQ11jF0mZShrdCbMfYfE3tn3zkSWfSVtbwYud61MlHqSzjTEH2rT4bbG8nt/cRq+&#10;Xs/Hw1K9VTv32A1+VJLcWmp9P12oZxARx/gfhj98RoeCmU7+QjaIVsMsSXlLZCN5AMGB9YrvSUO6&#10;TEEWubwdUPwCUEsDBBQAAAAIAIdO4kBGC53FHgIAACQEAAAOAAAAZHJzL2Uyb0RvYy54bWytU0tu&#10;2zAQ3RfoHQjua9muP7FgOUhjpCiQfoC0B6ApyiIqcdghbck9QHuDrrrpPufyOTqkFNdNN1l0Q5Cc&#10;4Zv33gyXl21dsb1Cp8FkfDQYcqaMhFybbcY/fbx5ccGZ88LkogKjMn5Qjl+unj9bNjZVYyihyhUy&#10;AjEubWzGS+9tmiROlqoWbgBWGQoWgLXwdMRtkqNoCL2ukvFwOEsawNwiSOUc3a67IO8R8SmAUBRa&#10;qjXIXa2M71BRVcKTJFdq6/gqsi0KJf37onDKsyrjpNTHlYrQfhPWZLUU6RaFLbXsKYinUHikqRba&#10;UNET1Fp4wXao/4GqtURwUPiBhDrphERHSMVo+Mibu1JYFbWQ1c6eTHf/D1a+239ApvOMT+ZTzoyo&#10;qeXHH9+PP++Pv76xRTCosS6lvDtLmb59BS2NTRTr7C3Iz44ZuC6F2aorRGhKJXIiOAovk7OnHY4L&#10;IJvmLeRUR+w8RKC2wDq4R34wQqfmHE7NUa1nki7ni+lsShQlhV4uZuNJbF4i0ofHFp1/raBmYZNx&#10;pN5HcLG/dT6QEelDSqhl4EZXVex/Zf66oMTuRsUB6l8HKYF9p8O3m7a3ZgP5gUQhdMNFX4s2JeBX&#10;zhoarIy7LzuBirPqjSFjFqMJUWc+HibT+ZgOeB7ZnEeEkQSVcc9Zt7323fTuLOptSZW6Vhi4IjML&#10;HYUGqh2rvgU0PFF/P+hhOs/PMevP5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41KanXAAAA&#10;CAEAAA8AAAAAAAAAAQAgAAAAIgAAAGRycy9kb3ducmV2LnhtbFBLAQIUABQAAAAIAIdO4kBGC53F&#10;HgIAACQEAAAOAAAAAAAAAAEAIAAAACYBAABkcnMvZTJvRG9jLnhtbFBLBQYAAAAABgAGAFkBAAC2&#10;BQAAAAA=&#10;">
                <v:fill on="f" focussize="0,0"/>
                <v:stroke on="f"/>
                <v:imagedata o:title=""/>
                <o:lock v:ext="edit" aspectratio="f"/>
                <v:textbox>
                  <w:txbxContent>
                    <w:p w14:paraId="5C63A2EB">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合同总价的控制</w:t>
                      </w:r>
                    </w:p>
                  </w:txbxContent>
                </v:textbox>
              </v:shape>
            </w:pict>
          </mc:Fallback>
        </mc:AlternateContent>
      </w:r>
      <w:r>
        <w:rPr>
          <w:rFonts w:hint="eastAsia" w:ascii="仿宋" w:hAnsi="仿宋" w:eastAsia="仿宋" w:cs="仿宋"/>
          <w:color w:val="auto"/>
          <w:highlight w:val="none"/>
          <w:lang w:eastAsia="zh-CN"/>
        </w:rPr>
        <w:t>8.1.1 对于立项后发包的，总承包范围内的工程勘察费、工程设计费、BIM技术应用费、设备及工器具购置费、建筑安装工程费等各项费用的概算金额及汇总金额，不得超过已批准立项的投资估算中相应各项费用金额及汇总金额（经发包人批准的符合第69.3款约定的允许调整事项除外）。对于招标发包工程，以承包人的中标价签订合同总价，承包人的中标价不得超过发包人招标文件规定的招标最高限价（经发包人批准的符合第69.3款约定的允许调整事项除外）。</w:t>
      </w:r>
    </w:p>
    <w:p w14:paraId="23BA48A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8.1.2  对于初步设计批准或备案后发包的，总承包范围内的工程勘察费、工程设计费、BIM技术应用费、设备及工器具购置费、建筑安装工程费等各项费用及汇总金额，不得超过已批准的初步设计概算中相应各项费用的概算金额及汇总金额（经发包人批准的符合第69.3款约定的允许调整事项除外）。对于招标发包工程，以承包人的中标价签订合同总价，承包人的中标价不得超过发包人招标文件规定的招标最高限价（经发包人批准的符合第69.3款约定的允许调整事项除外）。</w:t>
      </w:r>
    </w:p>
    <w:p w14:paraId="020674F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8.1.3 已批准或备案的投资估算或初步设计概算中，工程勘察费、工程设计费、BIM技术应用费中没有初步勘察费、详细勘察费、初步设计费、施工图设计费、设计建模、施工建模等项目建设各阶段相应费用明细列项的，发包人应对工程勘察费、工程设计费、BIM技术应用费等分别按其各阶段工作合理比例进行划分，作为总承包范围内工程勘察费、工程设计费、BIM技术应用费的控制指标。</w:t>
      </w:r>
    </w:p>
    <w:p w14:paraId="059A519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8.1.4 按合同约定的计价方法及允许调整事项进行竣工结算，工程勘察费、工程设计费、BIM技术应用费、设备及工器具购置费、建筑安装工程费等结算金额及汇总金额不得超过协议书约定的相应合同价格、合同总价及允许调整金额。</w:t>
      </w:r>
    </w:p>
    <w:p w14:paraId="4465C27A">
      <w:pPr>
        <w:spacing w:line="360" w:lineRule="auto"/>
        <w:rPr>
          <w:rFonts w:hint="eastAsia" w:ascii="仿宋" w:hAnsi="仿宋" w:eastAsia="仿宋" w:cs="仿宋"/>
          <w:b/>
          <w:color w:val="auto"/>
          <w:highlight w:val="none"/>
          <w:lang w:eastAsia="zh-CN"/>
        </w:rPr>
      </w:pPr>
      <w:r>
        <w:rPr>
          <w:rFonts w:hint="eastAsia" w:ascii="仿宋" w:hAnsi="仿宋" w:eastAsia="仿宋" w:cs="仿宋"/>
          <w:b/>
          <w:color w:val="auto"/>
          <w:highlight w:val="none"/>
          <w:lang w:eastAsia="zh-CN"/>
        </w:rPr>
        <w:t>8.2</w:t>
      </w:r>
    </w:p>
    <w:p w14:paraId="4C92CAB7">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079104" behindDoc="0" locked="0" layoutInCell="1" allowOverlap="1">
                <wp:simplePos x="0" y="0"/>
                <wp:positionH relativeFrom="column">
                  <wp:posOffset>-114300</wp:posOffset>
                </wp:positionH>
                <wp:positionV relativeFrom="paragraph">
                  <wp:posOffset>55880</wp:posOffset>
                </wp:positionV>
                <wp:extent cx="803910" cy="436245"/>
                <wp:effectExtent l="0" t="0" r="0" b="0"/>
                <wp:wrapNone/>
                <wp:docPr id="476"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03910" cy="436245"/>
                        </a:xfrm>
                        <a:prstGeom prst="rect">
                          <a:avLst/>
                        </a:prstGeom>
                        <a:noFill/>
                        <a:ln>
                          <a:noFill/>
                        </a:ln>
                        <a:effectLst/>
                      </wps:spPr>
                      <wps:txbx>
                        <w:txbxContent>
                          <w:p w14:paraId="59EB5B16">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4.4pt;height:34.35pt;width:63.3pt;z-index:252079104;mso-width-relative:page;mso-height-relative:page;" filled="f" stroked="f" coordsize="21600,21600" o:gfxdata="UEsDBAoAAAAAAIdO4kAAAAAAAAAAAAAAAAAEAAAAZHJzL1BLAwQUAAAACACHTuJAOKC4CdUAAAAI&#10;AQAADwAAAGRycy9kb3ducmV2LnhtbE2Py07DMBBF90j8gzVI7Fo7iLYhZNIFiC2I8pDYTeNpEhGP&#10;o9htwt/jrmA5uqN7zym3s+vVicfQeUHIlgYUS+1tJw3C+9vTIgcVIoml3gsj/HCAbXV5UVJh/SSv&#10;fNrFRqUSCQUhtDEOhdahbtlRWPqBJWUHPzqK6RwbbUeaUrnr9Y0xa+2ok7TQ0sAPLdffu6ND+Hg+&#10;fH3empfm0a2Gyc9Gi7vTiNdXmbkHFXmOf89wxk/oUCWmvT+KDapHWGR5cokIeTI45yZfg9ojbDYr&#10;0FWp/wtUv1BLAwQUAAAACACHTuJATSnlTx4CAAAkBAAADgAAAGRycy9lMm9Eb2MueG1srVNLbtsw&#10;EN0X6B0I7mvZjuLEguUgjZGiQPoB0h6ApiiLqMRhh7Ql9wDtDbrqpvuey+fokFJcN91k0Q1BcoZv&#10;5r15XFx1Tc12Cp0Gk/PJaMyZMhIKbTY5//jh9sUlZ84LU4gajMr5Xjl+tXz+bNHaTE2hgrpQyAjE&#10;uKy1Oa+8t1mSOFmpRrgRWGUoWAI2wtMRN0mBoiX0pk6m4/EsaQELiyCVc3S76oN8QMSnAEJZaqlW&#10;ILeNMr5HRVULT5Rcpa3jy9htWSrp35WlU57VOSemPq5UhPbrsCbLhcg2KGyl5dCCeEoLjzg1Qhsq&#10;eoRaCS/YFvU/UI2WCA5KP5LQJD2RqAixmIwfaXNfCasiF5La2aPo7v/Byre798h0kfP0YsaZEQ2N&#10;/PD92+HHr8PPr2weBGqtyyjv3lKm715CR7aJZJ29A/nJMQM3lTAbdY0IbaVEQQ1Owsvk5GmP4wLI&#10;un0DBdURWw8RqCuxCeqRHozQaTj743BU55mky8vx2XxCEUmh9Gw2Tc9jBZE9PLbo/CsFDQubnCPN&#10;PoKL3Z3zoRmRPaSEWgZudV3H+dfmrwtK7G9UNNDwOlAJ3fc8fLfuBmnWUOyJFEJvLvpatKkAv3DW&#10;krFy7j5vBSrO6teGhJlP0jQ4MR7S84spHfA0sj6NCCMJKuees35743v3bi3qTUWV+lEYuCYxSx2J&#10;hlb7roYRkHki/8HowZ2n55j153Mvf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4oLgJ1QAAAAgB&#10;AAAPAAAAAAAAAAEAIAAAACIAAABkcnMvZG93bnJldi54bWxQSwECFAAUAAAACACHTuJATSnlTx4C&#10;AAAkBAAADgAAAAAAAAABACAAAAAkAQAAZHJzL2Uyb0RvYy54bWxQSwUGAAAAAAYABgBZAQAAtAUA&#10;AAAA&#10;">
                <v:fill on="f" focussize="0,0"/>
                <v:stroke on="f"/>
                <v:imagedata o:title=""/>
                <o:lock v:ext="edit" aspectratio="f"/>
                <v:textbox>
                  <w:txbxContent>
                    <w:p w14:paraId="59EB5B16">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勘察费的控制</w:t>
                      </w:r>
                    </w:p>
                  </w:txbxContent>
                </v:textbox>
              </v:shape>
            </w:pict>
          </mc:Fallback>
        </mc:AlternateContent>
      </w:r>
      <w:r>
        <w:rPr>
          <w:rFonts w:hint="eastAsia" w:ascii="仿宋" w:hAnsi="仿宋" w:eastAsia="仿宋" w:cs="仿宋"/>
          <w:color w:val="auto"/>
          <w:highlight w:val="none"/>
          <w:lang w:eastAsia="zh-CN"/>
        </w:rPr>
        <w:t>8.2.1对于立项后发包、合同约定由承包人提供勘察服务的，承包人应按专用条款约定的计价方式和允许调整事项编制初步设计概算，工程勘察费概算金额不得超过协议书中约定的相应合同价格及允许调整金额。</w:t>
      </w:r>
    </w:p>
    <w:p w14:paraId="7E3E3808">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8.2.2对于初步设计批准或备案后发包、合同约定由承包人提供详细勘察服务的，承包人应按专用条款约定的计价方式和允许调整事项计算，工程勘察费金额不得超过协议书中约定的相应合同价格及允许调整金额。</w:t>
      </w:r>
    </w:p>
    <w:p w14:paraId="687E7EE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8.2.3按合同约定的计价方法及允许调整事项进行工程勘察费结算，其结算金额不得超过协议书约定的工程勘察费合同价格及允许调整金额。</w:t>
      </w:r>
    </w:p>
    <w:p w14:paraId="31D6B212">
      <w:pPr>
        <w:spacing w:line="360" w:lineRule="auto"/>
        <w:rPr>
          <w:rFonts w:hint="eastAsia" w:ascii="仿宋" w:hAnsi="仿宋" w:eastAsia="仿宋" w:cs="仿宋"/>
          <w:b/>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090368" behindDoc="0" locked="0" layoutInCell="1" allowOverlap="1">
                <wp:simplePos x="0" y="0"/>
                <wp:positionH relativeFrom="column">
                  <wp:posOffset>-114300</wp:posOffset>
                </wp:positionH>
                <wp:positionV relativeFrom="paragraph">
                  <wp:posOffset>292100</wp:posOffset>
                </wp:positionV>
                <wp:extent cx="813435" cy="417195"/>
                <wp:effectExtent l="0" t="0" r="0" b="0"/>
                <wp:wrapNone/>
                <wp:docPr id="477"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13435" cy="417195"/>
                        </a:xfrm>
                        <a:prstGeom prst="rect">
                          <a:avLst/>
                        </a:prstGeom>
                        <a:noFill/>
                        <a:ln>
                          <a:noFill/>
                        </a:ln>
                        <a:effectLst/>
                      </wps:spPr>
                      <wps:txbx>
                        <w:txbxContent>
                          <w:p w14:paraId="2D7A4CC6">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23pt;height:32.85pt;width:64.05pt;z-index:252090368;mso-width-relative:page;mso-height-relative:page;" filled="f" stroked="f" coordsize="21600,21600" o:gfxdata="UEsDBAoAAAAAAIdO4kAAAAAAAAAAAAAAAAAEAAAAZHJzL1BLAwQUAAAACACHTuJAnbieGdYAAAAK&#10;AQAADwAAAGRycy9kb3ducmV2LnhtbE2PQU/DMAyF70j8h8hI3LYk09hGqbvDEFcQ20DiljVeW9E4&#10;VZOt5d+TnuBkW+/p+Xv5dnStuFIfGs8Ieq5AEJfeNlwhHA8vsw2IEA1b03omhB8KsC1ub3KTWT/w&#10;O133sRIphENmEOoYu0zKUNbkTJj7jjhpZ987E9PZV9L2ZkjhrpULpVbSmYbTh9p0tKup/N5fHMLH&#10;6/nrc6neqmf30A1+VJLdo0S8v9PqCUSkMf6ZYcJP6FAkppO/sA2iRZjpTeoSEZarNCeDVhrEaVr0&#10;GmSRy/8Vil9QSwMEFAAAAAgAh07iQJQdj+geAgAAJAQAAA4AAABkcnMvZTJvRG9jLnhtbK1TS27b&#10;MBDdF+gdCO5rWY5dx4LlII2RokD6AdIegKYoi6jEYYe0pfQAzQ266qb7nsvn6JBSXDfdZNENQXKG&#10;b+a9eVxedE3N9gqdBpPzdDTmTBkJhTbbnH/6eP3inDPnhSlEDUbl/E45frF6/mzZ2kxNoIK6UMgI&#10;xListTmvvLdZkjhZqUa4EVhlKFgCNsLTEbdJgaIl9KZOJuPxy6QFLCyCVM7R7boP8gERnwIIZaml&#10;WoPcNcr4HhVVLTxRcpW2jq9it2WppH9flk55VuecmPq4UhHab8KarJYi26KwlZZDC+IpLTzi1Aht&#10;qOgRai28YDvU/0A1WiI4KP1IQpP0RKIixCIdP9LmthJWRS4ktbNH0d3/g5Xv9h+Q6SLn0/mcMyMa&#10;Gvnh+/3hx6/Dz29sEQRqrcso79ZSpu9eQUe2iWSdvQH52TEDV5UwW3WJCG2lREENpuFlcvK0x3EB&#10;ZNO+hYLqiJ2HCNSV2AT1SA9G6DScu+NwVOeZpMvz9Gx6NuNMUmiaztPFLFYQ2cNji86/VtCwsMk5&#10;0uwjuNjfOB+aEdlDSqhl4FrXdZx/bf66oMT+RkUDDa8DldB9z8N3m26QZgPFHZFC6M1FX4s2FeBX&#10;zloyVs7dl51AxVn9xpAwi3Q6DU6Mh+lsPqEDnkY2pxFhJEHl3HPWb698796dRb2tqFI/CgOXJGap&#10;I9HQat/VMAIyT+Q/GD248/Qcs/587t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bieGdYAAAAK&#10;AQAADwAAAAAAAAABACAAAAAiAAAAZHJzL2Rvd25yZXYueG1sUEsBAhQAFAAAAAgAh07iQJQdj+ge&#10;AgAAJAQAAA4AAAAAAAAAAQAgAAAAJQEAAGRycy9lMm9Eb2MueG1sUEsFBgAAAAAGAAYAWQEAALUF&#10;AAAAAA==&#10;">
                <v:fill on="f" focussize="0,0"/>
                <v:stroke on="f"/>
                <v:imagedata o:title=""/>
                <o:lock v:ext="edit" aspectratio="f"/>
                <v:textbox>
                  <w:txbxContent>
                    <w:p w14:paraId="2D7A4CC6">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设计费的控制</w:t>
                      </w:r>
                    </w:p>
                  </w:txbxContent>
                </v:textbox>
              </v:shape>
            </w:pict>
          </mc:Fallback>
        </mc:AlternateContent>
      </w:r>
      <w:r>
        <w:rPr>
          <w:rFonts w:hint="eastAsia" w:ascii="仿宋" w:hAnsi="仿宋" w:eastAsia="仿宋" w:cs="仿宋"/>
          <w:b/>
          <w:color w:val="auto"/>
          <w:highlight w:val="none"/>
          <w:lang w:eastAsia="zh-CN"/>
        </w:rPr>
        <w:t>8.3</w:t>
      </w:r>
    </w:p>
    <w:p w14:paraId="36DC70C9">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8.3.1对于立项后发包的、合同约定由承包人提供初步设计、施工图设计等服务的，承包人应按专用条款约定的计价方式和允许调整事项编制初步设计概算，初步设计费、施工图设计费等概算金额不得超过协议书中约定的相应合同价格及允许调整金额。</w:t>
      </w:r>
    </w:p>
    <w:p w14:paraId="726DD729">
      <w:pPr>
        <w:widowControl w:val="0"/>
        <w:spacing w:line="360" w:lineRule="auto"/>
        <w:ind w:left="1850" w:leftChars="771"/>
        <w:jc w:val="both"/>
        <w:rPr>
          <w:rFonts w:hint="eastAsia" w:ascii="仿宋" w:hAnsi="仿宋" w:eastAsia="仿宋" w:cs="仿宋"/>
          <w:strike/>
          <w:color w:val="auto"/>
          <w:highlight w:val="none"/>
          <w:lang w:eastAsia="zh-CN"/>
        </w:rPr>
      </w:pPr>
      <w:r>
        <w:rPr>
          <w:rFonts w:hint="eastAsia" w:ascii="仿宋" w:hAnsi="仿宋" w:eastAsia="仿宋" w:cs="仿宋"/>
          <w:color w:val="auto"/>
          <w:highlight w:val="none"/>
          <w:lang w:eastAsia="zh-CN"/>
        </w:rPr>
        <w:t>8.3.2对于初步设计批准或备案后发包的、合同约定由承包人提供施工图设计服务的，承包人应按专用条款约定的计价方式和允许调整事项计算，施工图设计费金额不得超过协议书中约定的相应合同价格及允许调整金额。</w:t>
      </w:r>
    </w:p>
    <w:p w14:paraId="6F9C6520">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8.3.3  按合同约定的计价方法及允许调整事项进行工程设计费结算，其结算金额不得超过协议书约定的相应合同价格及允许调整金额。</w:t>
      </w:r>
    </w:p>
    <w:p w14:paraId="025997CC">
      <w:pPr>
        <w:spacing w:line="360" w:lineRule="auto"/>
        <w:rPr>
          <w:rFonts w:hint="eastAsia" w:ascii="仿宋" w:hAnsi="仿宋" w:eastAsia="仿宋" w:cs="仿宋"/>
          <w:b/>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092416" behindDoc="0" locked="0" layoutInCell="1" allowOverlap="1">
                <wp:simplePos x="0" y="0"/>
                <wp:positionH relativeFrom="column">
                  <wp:posOffset>-114300</wp:posOffset>
                </wp:positionH>
                <wp:positionV relativeFrom="paragraph">
                  <wp:posOffset>269875</wp:posOffset>
                </wp:positionV>
                <wp:extent cx="803910" cy="473710"/>
                <wp:effectExtent l="0" t="0" r="0" b="0"/>
                <wp:wrapNone/>
                <wp:docPr id="478"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03910" cy="473710"/>
                        </a:xfrm>
                        <a:prstGeom prst="rect">
                          <a:avLst/>
                        </a:prstGeom>
                        <a:noFill/>
                        <a:ln>
                          <a:noFill/>
                        </a:ln>
                        <a:effectLst/>
                      </wps:spPr>
                      <wps:txbx>
                        <w:txbxContent>
                          <w:p w14:paraId="1D638617">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BIM技术应用费的控制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21.25pt;height:37.3pt;width:63.3pt;z-index:252092416;mso-width-relative:page;mso-height-relative:page;" filled="f" stroked="f" coordsize="21600,21600" o:gfxdata="UEsDBAoAAAAAAIdO4kAAAAAAAAAAAAAAAAAEAAAAZHJzL1BLAwQUAAAACACHTuJASUfHI9cAAAAK&#10;AQAADwAAAGRycy9kb3ducmV2LnhtbE2PwU7DMBBE70j8g7VI3FrbVVvSEKcHEFcQLSD1to23SUS8&#10;jmK3CX+Pe4LbrGY0+6bYTq4TFxpC69mAnisQxJW3LdcGPvYvswxEiMgWO89k4IcCbMvbmwJz60d+&#10;p8su1iKVcMjRQBNjn0sZqoYchrnviZN38oPDmM6hlnbAMZW7Ti6UWkuHLacPDfb01FD1vTs7A5+v&#10;p8PXUr3Vz27Vj35Skt1GGnN/p9UjiEhT/AvDFT+hQ5mYjv7MNojOwExnaUs0sFysQFwDKluDOCah&#10;HzTIspD/J5S/UEsDBBQAAAAIAIdO4kD2FWtYGwIAACQEAAAOAAAAZHJzL2Uyb0RvYy54bWytU0tu&#10;2zAQ3RfoHQjua9mOW8eC5SCNkaJA+gHSHoCmKIuoyGGHtCX3AM0Nuuqm+57L5+iQchw33WTRjTCc&#10;z5t5b0bzi840bKvQa7AFHw2GnCkrodR2XfDPn65fnHPmg7ClaMCqgu+U5xeL58/mrcvVGGpoSoWM&#10;QKzPW1fwOgSXZ5mXtTLCD8ApS8EK0IhAT1xnJYqW0E2TjYfDV1kLWDoEqbwn77IP8gMiPgUQqkpL&#10;tQS5McqGHhVVIwJR8rV2ni/StFWlZPhQVV4F1hScmIb0pSZkr+I3W8xFvkbhai0PI4injPCIkxHa&#10;UtMj1FIEwTao/4EyWiJ4qMJAgsl6IkkRYjEaPtLmthZOJS4ktXdH0f3/g5Xvtx+R6bLgkykt3gpD&#10;K9//uNv//L3/9Z3NokCt8znl3TrKDN1r6OhsElnvbkB+8czCVS3sWl0iQlsrUdKAo1iZnZT2OD6C&#10;rNp3UFIfsQmQgLoKTVSP9GCETsvZHZejusAkOc+HZ7MRRSSFJtOzKdmxg8jvix368EaBYdEoONLu&#10;E7jY3vjQp96nxF4WrnXTkF/kjf3LQZi9R6UDOlRHKnH6nkfoVh3VRucKyh2RQuiPi34tMmrAb5y1&#10;dFgF9183AhVnzVtLwsxGk0m8xPSYvJyO6YGnkdVpRFhJUAUPnPXmVeivd+NQr2vq1K/CwiWJWelE&#10;9GGqwwroeJJUh0OP13n6TlkPP/fi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ElHxyPXAAAACgEA&#10;AA8AAAAAAAAAAQAgAAAAIgAAAGRycy9kb3ducmV2LnhtbFBLAQIUABQAAAAIAIdO4kD2FWtYGwIA&#10;ACQEAAAOAAAAAAAAAAEAIAAAACYBAABkcnMvZTJvRG9jLnhtbFBLBQYAAAAABgAGAFkBAACzBQAA&#10;AAA=&#10;">
                <v:fill on="f" focussize="0,0"/>
                <v:stroke on="f"/>
                <v:imagedata o:title=""/>
                <o:lock v:ext="edit" aspectratio="f"/>
                <v:textbox>
                  <w:txbxContent>
                    <w:p w14:paraId="1D638617">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BIM技术应用费的控制</w:t>
                      </w:r>
                    </w:p>
                  </w:txbxContent>
                </v:textbox>
              </v:shape>
            </w:pict>
          </mc:Fallback>
        </mc:AlternateContent>
      </w:r>
      <w:r>
        <w:rPr>
          <w:rFonts w:hint="eastAsia" w:ascii="仿宋" w:hAnsi="仿宋" w:eastAsia="仿宋" w:cs="仿宋"/>
          <w:b/>
          <w:color w:val="auto"/>
          <w:highlight w:val="none"/>
          <w:lang w:eastAsia="zh-CN"/>
        </w:rPr>
        <w:t>8.4</w:t>
      </w:r>
    </w:p>
    <w:p w14:paraId="74B6FAC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8.4.1对于可行性研究批准立项或备案后发包的、合同约定由承包人提供初步设计、施工图设计、施工、竣工验收、运维（如果有）等阶段BIM技术应用的，承包人应按专用条款约定的计价方式和允许调整事项编制初步设计概算，BIM技术应用费的概算金额不得超过已批准立项的投资估算中相应费用的金额。</w:t>
      </w:r>
    </w:p>
    <w:p w14:paraId="4F707652">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8.4.2对于初步设计批准或备案后发包的、合同约定由承包人提供施工图设计、施工、竣工验收、运维（如果有）等阶段BIM技术应用的，承包人应按专用条款约定的计价方式和允许调整事项计算，BIM技术应用费金额不得超过协议书中约定的相应合同价格及允许调整金额。</w:t>
      </w:r>
    </w:p>
    <w:p w14:paraId="0125FBF2">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8.4.3  按合同约定的计价方法及允许调整事项进行BIM技术应用费结算，其结算金额不得超过协议书约定的相应合同价格及允许调整金额。</w:t>
      </w:r>
    </w:p>
    <w:p w14:paraId="076B2F1E">
      <w:pPr>
        <w:spacing w:line="360" w:lineRule="auto"/>
        <w:rPr>
          <w:rFonts w:hint="eastAsia" w:ascii="仿宋" w:hAnsi="仿宋" w:eastAsia="仿宋" w:cs="仿宋"/>
          <w:b/>
          <w:color w:val="auto"/>
          <w:highlight w:val="none"/>
          <w:lang w:eastAsia="zh-CN"/>
        </w:rPr>
      </w:pPr>
      <w:r>
        <w:rPr>
          <w:rFonts w:hint="eastAsia" w:ascii="仿宋" w:hAnsi="仿宋" w:eastAsia="仿宋" w:cs="仿宋"/>
          <w:b/>
          <w:color w:val="auto"/>
          <w:highlight w:val="none"/>
          <w:lang w:eastAsia="zh-CN"/>
        </w:rPr>
        <w:t>8.5</w:t>
      </w:r>
    </w:p>
    <w:p w14:paraId="37DB3B4C">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b/>
          <w:color w:val="auto"/>
          <w:highlight w:val="none"/>
          <w:lang w:eastAsia="zh-CN" w:bidi="ar-SA"/>
        </w:rPr>
        <mc:AlternateContent>
          <mc:Choice Requires="wps">
            <w:drawing>
              <wp:anchor distT="0" distB="0" distL="114300" distR="114300" simplePos="0" relativeHeight="252091392" behindDoc="0" locked="0" layoutInCell="1" allowOverlap="1">
                <wp:simplePos x="0" y="0"/>
                <wp:positionH relativeFrom="column">
                  <wp:posOffset>-114300</wp:posOffset>
                </wp:positionH>
                <wp:positionV relativeFrom="paragraph">
                  <wp:posOffset>50800</wp:posOffset>
                </wp:positionV>
                <wp:extent cx="803910" cy="378460"/>
                <wp:effectExtent l="0" t="0" r="0" b="0"/>
                <wp:wrapNone/>
                <wp:docPr id="479" name="文本框 9"/>
                <wp:cNvGraphicFramePr/>
                <a:graphic xmlns:a="http://schemas.openxmlformats.org/drawingml/2006/main">
                  <a:graphicData uri="http://schemas.microsoft.com/office/word/2010/wordprocessingShape">
                    <wps:wsp>
                      <wps:cNvSpPr txBox="1">
                        <a:spLocks noChangeArrowheads="1"/>
                      </wps:cNvSpPr>
                      <wps:spPr bwMode="auto">
                        <a:xfrm>
                          <a:off x="0" y="0"/>
                          <a:ext cx="803910" cy="378460"/>
                        </a:xfrm>
                        <a:prstGeom prst="rect">
                          <a:avLst/>
                        </a:prstGeom>
                        <a:noFill/>
                        <a:ln>
                          <a:noFill/>
                        </a:ln>
                        <a:effectLst/>
                      </wps:spPr>
                      <wps:txbx>
                        <w:txbxContent>
                          <w:p w14:paraId="57AF753A">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建筑安装工程费的控制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4pt;height:29.8pt;width:63.3pt;z-index:252091392;mso-width-relative:page;mso-height-relative:page;" filled="f" stroked="f" coordsize="21600,21600" o:gfxdata="UEsDBAoAAAAAAIdO4kAAAAAAAAAAAAAAAAAEAAAAZHJzL1BLAwQUAAAACACHTuJAIRSURdUAAAAI&#10;AQAADwAAAGRycy9kb3ducmV2LnhtbE2PwU7DMBBE70j9B2uRuLV2EKRpmk0PRVxBFIrEzY23SUS8&#10;jmK3CX+Pc4LTaDWrmTfFbrKduNLgW8cIyUqBIK6cablG+Hh/XmYgfNBsdOeYEH7Iw65c3BQ6N27k&#10;N7oeQi1iCPtcIzQh9LmUvmrIar9yPXH0zm6wOsRzqKUZ9BjDbSfvlUql1S3Hhkb3tG+o+j5cLMLx&#10;5fz1+aBe6yf72I9uUpLtRiLe3SZqCyLQFP6eYcaP6FBGppO7sPGiQ1gmWdwSEGaZfZWlIE4I6ToF&#10;WRby/4DyF1BLAwQUAAAACACHTuJAV9xmeB0CAAAkBAAADgAAAGRycy9lMm9Eb2MueG1srVPBbhMx&#10;EL0j8Q+W72STNDTJKpuqNCpCKhSp8AGO15u12PWYsZPd8AH0Dzhx4d7vyncw9m5DKJceuFi2Z/xm&#10;3pvnxUVbV2yn0GkwGR8NhpwpIyHXZpPxz5+uX804c16YXFRgVMb3yvGL5csXi8amagwlVLlCRiDG&#10;pY3NeOm9TZPEyVLVwg3AKkPBArAWno64SXIUDaHXVTIeDs+TBjC3CFI5R7erLsh7RHwOIBSFlmoF&#10;clsr4ztUVJXwRMmV2jq+jN0WhZL+tiic8qzKODH1caUitF+HNVkuRLpBYUst+xbEc1p4wqkW2lDR&#10;I9RKeMG2qP+BqrVEcFD4gYQ66YhERYjFaPhEm7tSWBW5kNTOHkV3/w9Wfth9RKbzjE+mc86MqGnk&#10;hx/3h58Ph1/f2TwI1FiXUt6dpUzfvoGWbBPJOnsD8otjBq5KYTbqEhGaUomcGhyFl8nJ0w7HBZB1&#10;8x5yqiO2HiJQW2Ad1CM9GKHTcPbH4ajWM0mXs+HZfEQRSaGz6WxyHoeXiPTxsUXn3yqoWdhkHGn2&#10;EVzsbpwPzYj0MSXUMnCtqyrOvzJ/XVBid6OigfrXgUrovuPh23XbS7OGfE+kEDpz0deiTQn4jbOG&#10;jJVx93UrUHFWvTMkzHw0mQQnxsPk9XRMBzyNrE8jwkiCyrjnrNte+c69W4t6U1KlbhQGLknMQkei&#10;odWuq34EZJ7Ivzd6cOfpOWb9+dzL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CEUlEXVAAAACAEA&#10;AA8AAAAAAAAAAQAgAAAAIgAAAGRycy9kb3ducmV2LnhtbFBLAQIUABQAAAAIAIdO4kBX3GZ4HQIA&#10;ACQEAAAOAAAAAAAAAAEAIAAAACQBAABkcnMvZTJvRG9jLnhtbFBLBQYAAAAABgAGAFkBAACzBQAA&#10;AAA=&#10;">
                <v:fill on="f" focussize="0,0"/>
                <v:stroke on="f"/>
                <v:imagedata o:title=""/>
                <o:lock v:ext="edit" aspectratio="f"/>
                <v:textbox>
                  <w:txbxContent>
                    <w:p w14:paraId="57AF753A">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建筑安装工程费的控制</w:t>
                      </w:r>
                    </w:p>
                  </w:txbxContent>
                </v:textbox>
              </v:shape>
            </w:pict>
          </mc:Fallback>
        </mc:AlternateContent>
      </w:r>
      <w:r>
        <w:rPr>
          <w:rFonts w:hint="eastAsia" w:ascii="仿宋" w:hAnsi="仿宋" w:eastAsia="仿宋" w:cs="仿宋"/>
          <w:color w:val="auto"/>
          <w:highlight w:val="none"/>
          <w:lang w:eastAsia="zh-CN"/>
        </w:rPr>
        <w:t>8.5.1建筑安装工程费严格实行限额设计，承包人提供的初步设计文件（如果有）、施工图设计文件、变更设计文件（如果有）均不得高于专用条款约定的相应投资限额（包括总额限额及专业分解限额指标）。承包人的设计应当依据分解限额控制标准和规模，确保项目投资得到充分利用，层层控制，但不得突破。确需局部突破的，必须获得发包人批准并应重新分配专业分解指标，确保总额不突破相应限额及合同约定允许调整金额，否则超出部分由承包人自行承担。</w:t>
      </w:r>
    </w:p>
    <w:p w14:paraId="1BA6BB46">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8.5.2对于立项后发包的，在初步设计符合承包范围、工程内容、功能、规模、标准等要求的前提下，承包人应按专用条款约定的计价方式和允许调整事项编制初步设计概算，建筑安装工程费金额不得超过协议书约定的相应合同价格及允许调整金额。否则，承包人应在不降低承包范围、工程内容、功能、规模、标准等要求的前提下组织优化设计并修编初步设计概算。</w:t>
      </w:r>
    </w:p>
    <w:p w14:paraId="7FFB7F70">
      <w:pPr>
        <w:widowControl w:val="0"/>
        <w:spacing w:line="360" w:lineRule="auto"/>
        <w:ind w:left="1850" w:leftChars="771"/>
        <w:jc w:val="both"/>
        <w:rPr>
          <w:rFonts w:hint="eastAsia" w:ascii="仿宋" w:hAnsi="仿宋" w:eastAsia="仿宋" w:cs="仿宋"/>
          <w:strike/>
          <w:color w:val="auto"/>
          <w:highlight w:val="none"/>
          <w:lang w:eastAsia="zh-CN"/>
        </w:rPr>
      </w:pPr>
      <w:r>
        <w:rPr>
          <w:rFonts w:hint="eastAsia" w:ascii="仿宋" w:hAnsi="仿宋" w:eastAsia="仿宋" w:cs="仿宋"/>
          <w:color w:val="auto"/>
          <w:highlight w:val="none"/>
          <w:lang w:eastAsia="zh-CN"/>
        </w:rPr>
        <w:t>8.5.3 对于初步设计批准或备案后发包的，在施工图符合承包范围、工程内容、功能、规模、标准等要求的前提下，应按专用条款约定的计价方式和允许调整事项编制施工图预算，其施工图预算金额不得超过协议书约定的相应合同价格及允许调整金额。否则，承包人应在不降低承包范围、工程内容、功能、规模、标准等要求的前提下组织优化设计并修编施工图预算。</w:t>
      </w:r>
    </w:p>
    <w:p w14:paraId="6661211E">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8.5.4 按合同约定的计价方法及允许调整事项进行建筑安装工程费结算，其结算金额不得超过协议书约定的相应合同价格及允许调整金额。</w:t>
      </w:r>
    </w:p>
    <w:p w14:paraId="68BF8A5E">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8.5.5 若合同价格清单中存在暂列金额的，承包人应在初步设计、施工图设计及施工过程中及时报设计顾问人或监理人进行变更、现场签证等确认，并编制变更预算、现场签证费报造价咨询人审核确认，及时对比累计变更、签证金额与暂列金额的差值。合同工程竣工后，除合同双方当事人另有约定外，累计变更、签证金额不得突破合同约定的暂列金额。</w:t>
      </w:r>
    </w:p>
    <w:p w14:paraId="714D8A86">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8.5.6 若合同价格清单中存在专业工程或工程材料、工程设备暂估价，承包人应及时取得发包人的明确要求完成设计、采购或施工，也可遵守法律、政策规定通过招标或直接分包委托分包人完成设计、采购或施工，按变更事项报发包人批准后实施，除合同双方当事人另有约定外，不得突破合同约定的相应暂估价。</w:t>
      </w:r>
    </w:p>
    <w:p w14:paraId="03C84FE1">
      <w:pPr>
        <w:spacing w:line="360" w:lineRule="auto"/>
        <w:rPr>
          <w:rFonts w:hint="eastAsia" w:ascii="仿宋" w:hAnsi="仿宋" w:eastAsia="仿宋" w:cs="仿宋"/>
          <w:b/>
          <w:color w:val="auto"/>
          <w:highlight w:val="none"/>
          <w:lang w:eastAsia="zh-CN"/>
        </w:rPr>
      </w:pPr>
      <w:r>
        <w:rPr>
          <w:rFonts w:hint="eastAsia" w:ascii="仿宋" w:hAnsi="仿宋" w:eastAsia="仿宋" w:cs="仿宋"/>
          <w:b/>
          <w:color w:val="auto"/>
          <w:highlight w:val="none"/>
          <w:lang w:eastAsia="zh-CN"/>
        </w:rPr>
        <w:t>8.6</w:t>
      </w:r>
    </w:p>
    <w:p w14:paraId="0EE72A55">
      <w:pPr>
        <w:widowControl w:val="0"/>
        <w:spacing w:line="360" w:lineRule="auto"/>
        <w:ind w:left="1850" w:leftChars="771"/>
        <w:rPr>
          <w:rFonts w:hint="eastAsia" w:ascii="仿宋" w:hAnsi="仿宋" w:eastAsia="仿宋" w:cs="仿宋"/>
          <w:color w:val="auto"/>
          <w:highlight w:val="none"/>
          <w:lang w:eastAsia="zh-CN"/>
        </w:rPr>
      </w:pPr>
      <w:r>
        <w:rPr>
          <w:rFonts w:ascii="仿宋" w:hAnsi="仿宋" w:eastAsia="仿宋" w:cs="仿宋"/>
          <w:b/>
          <w:color w:val="auto"/>
          <w:highlight w:val="none"/>
          <w:lang w:eastAsia="zh-CN" w:bidi="ar-SA"/>
        </w:rPr>
        <mc:AlternateContent>
          <mc:Choice Requires="wps">
            <w:drawing>
              <wp:anchor distT="0" distB="0" distL="114300" distR="114300" simplePos="0" relativeHeight="252093440" behindDoc="0" locked="0" layoutInCell="1" allowOverlap="1">
                <wp:simplePos x="0" y="0"/>
                <wp:positionH relativeFrom="column">
                  <wp:posOffset>-114300</wp:posOffset>
                </wp:positionH>
                <wp:positionV relativeFrom="paragraph">
                  <wp:posOffset>50800</wp:posOffset>
                </wp:positionV>
                <wp:extent cx="794385" cy="527685"/>
                <wp:effectExtent l="0" t="0" r="0" b="0"/>
                <wp:wrapNone/>
                <wp:docPr id="480"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94385" cy="527685"/>
                        </a:xfrm>
                        <a:prstGeom prst="rect">
                          <a:avLst/>
                        </a:prstGeom>
                        <a:noFill/>
                        <a:ln>
                          <a:noFill/>
                        </a:ln>
                        <a:effectLst/>
                      </wps:spPr>
                      <wps:txbx>
                        <w:txbxContent>
                          <w:p w14:paraId="3072796C">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设备及工器具购置费的控制</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4pt;height:41.55pt;width:62.55pt;z-index:252093440;mso-width-relative:page;mso-height-relative:page;" filled="f" stroked="f" coordsize="21600,21600" o:gfxdata="UEsDBAoAAAAAAIdO4kAAAAAAAAAAAAAAAAAEAAAAZHJzL1BLAwQUAAAACACHTuJArNDvHNUAAAAI&#10;AQAADwAAAGRycy9kb3ducmV2LnhtbE2PS2/CMBCE75X4D9Yi9Qa2UR8QsuFA1Wur0ofUm4mXJCJe&#10;R7Eh6b+vc2pPo9WsZr7Jd6NrxZX60HhG0EsFgrj0tuEK4eP9ebEGEaJha1rPhPBDAXbF7CY3mfUD&#10;v9H1ECuRQjhkBqGOscukDGVNzoSl74iTd/K9MzGdfSVtb4YU7lq5UupBOtNwaqhNR/uayvPh4hA+&#10;X07fX3fqtXpy993gRyXZbSTi7VyrLYhIY/x7hgk/oUORmI7+wjaIFmGh12lLRJhk8tWjBnFE2GgN&#10;ssjl/wHFL1BLAwQUAAAACACHTuJAAGQMxxwCAAAkBAAADgAAAGRycy9lMm9Eb2MueG1srVPNjtMw&#10;EL4j8Q6W7zRtabdt1HS1bLUIafmRFh7AdZzGIvGYsdukPAC8AScu3HmuPgdjJ9sty2UPXKLx/Hwz&#10;3zeT5WVbV2yv0GkwGR8NhpwpIyHXZpvxTx9vXsw5c16YXFRgVMYPyvHL1fNny8amagwlVLlCRiDG&#10;pY3NeOm9TZPEyVLVwg3AKkPBArAWnp64TXIUDaHXVTIeDi+SBjC3CFI5R951F+Q9Ij4FEIpCS7UG&#10;uauV8R0qqkp4ouRKbR1fxWmLQkn/viic8qzKODH18UtNyN6Eb7JainSLwpZa9iOIp4zwiFMttKGm&#10;J6i18ILtUP8DVWuJ4KDwAwl10hGJihCL0fCRNnelsCpyIamdPYnu/h+sfLf/gEznGZ/MSRMjalr5&#10;8cf348/fx1/f2CII1FiXUt6dpUzfvoKWziaSdfYW5GfHDFyXwmzVFSI0pRI5DTgKlclZaYfjAsim&#10;eQs59RE7DxGoLbAO6pEejNBpkMNpOar1TJJztpi8nE85kxSajmcXZIcOIr0vtuj8awU1C0bGkXYf&#10;wcX+1vku9T4l9DJwo6uK/CKtzF8Owuw8Kh5QXx2ohOk7Hr7dtFQbnBvID0QKoTsu+rXIKAG/ctbQ&#10;YWXcfdkJVJxVbwwJsxhNJuES42MynY3pgeeRzXlEGElQGfecdea17653Z1FvS+rUrcLAFYlZ6Ej0&#10;Yap+BXQ8Uar+0MN1nr9j1sPPvfo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rNDvHNUAAAAIAQAA&#10;DwAAAAAAAAABACAAAAAiAAAAZHJzL2Rvd25yZXYueG1sUEsBAhQAFAAAAAgAh07iQABkDMccAgAA&#10;JAQAAA4AAAAAAAAAAQAgAAAAJAEAAGRycy9lMm9Eb2MueG1sUEsFBgAAAAAGAAYAWQEAALIFAAAA&#10;AA==&#10;">
                <v:fill on="f" focussize="0,0"/>
                <v:stroke on="f"/>
                <v:imagedata o:title=""/>
                <o:lock v:ext="edit" aspectratio="f"/>
                <v:textbox>
                  <w:txbxContent>
                    <w:p w14:paraId="3072796C">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设备及工器具购置费的控制</w:t>
                      </w:r>
                    </w:p>
                  </w:txbxContent>
                </v:textbox>
              </v:shape>
            </w:pict>
          </mc:Fallback>
        </mc:AlternateContent>
      </w:r>
      <w:r>
        <w:rPr>
          <w:rFonts w:hint="eastAsia" w:ascii="仿宋" w:hAnsi="仿宋" w:eastAsia="仿宋" w:cs="仿宋"/>
          <w:color w:val="auto"/>
          <w:highlight w:val="none"/>
          <w:lang w:eastAsia="zh-CN"/>
        </w:rPr>
        <w:t>8.6.1 对于可行性研究批准立项或备案后发包的，在初步设计符合承包范围、工程内容、功能、规模、标准等要求的前提下，承包人应按专用条款约定的计价方式和允许调整事项编制初步设计概算，设备及工器具购置费概算金额不得超过协议书约定的相应合同价格及允许调整金额。</w:t>
      </w:r>
    </w:p>
    <w:p w14:paraId="7600016F">
      <w:pPr>
        <w:widowControl w:val="0"/>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8.6.2 对于初步设计批准或备案后发包的，在施工图符合承包范围、工程内容、功能、规模、标准等要求的前提下，承包人应按专用条款约定的计价方式和允许调整事项计算，设备及工器具购置费金额不得超过协议书约定的相应合同价格及允许调整金额。</w:t>
      </w:r>
    </w:p>
    <w:p w14:paraId="785A245D">
      <w:pPr>
        <w:widowControl w:val="0"/>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8.6.3 按合同约定的计价方法及允许调整事项进行设备及工器具购置费结算，其结算金额不得超过协议书约定的相应合同价格及允许调整金额。</w:t>
      </w:r>
    </w:p>
    <w:p w14:paraId="62D465CA">
      <w:pPr>
        <w:spacing w:line="360" w:lineRule="auto"/>
        <w:rPr>
          <w:rFonts w:hint="eastAsia" w:ascii="仿宋" w:hAnsi="仿宋" w:eastAsia="仿宋"/>
          <w:color w:val="auto"/>
          <w:highlight w:val="none"/>
          <w:lang w:eastAsia="zh-CN"/>
        </w:rPr>
      </w:pPr>
    </w:p>
    <w:p w14:paraId="02389390">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02" w:name="_Toc11605"/>
      <w:r>
        <w:rPr>
          <w:rFonts w:hint="eastAsia" w:ascii="仿宋" w:hAnsi="仿宋" w:eastAsia="仿宋" w:cs="仿宋"/>
          <w:color w:val="auto"/>
          <w:sz w:val="24"/>
          <w:szCs w:val="24"/>
          <w:highlight w:val="none"/>
          <w:lang w:eastAsia="zh-CN"/>
        </w:rPr>
        <w:t>9通讯联络</w:t>
      </w:r>
      <w:bookmarkEnd w:id="302"/>
    </w:p>
    <w:p w14:paraId="7DBCB397">
      <w:pPr>
        <w:pStyle w:val="2"/>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9</w:t>
      </w:r>
      <w:r>
        <w:rPr>
          <w:rFonts w:ascii="仿宋" w:hAnsi="仿宋" w:eastAsia="仿宋" w:cs="仿宋"/>
          <w:b/>
          <w:bCs/>
          <w:color w:val="auto"/>
          <w:sz w:val="24"/>
          <w:szCs w:val="24"/>
          <w:highlight w:val="none"/>
          <w:lang w:eastAsia="zh-CN"/>
        </w:rPr>
        <w:t>.1</w:t>
      </w:r>
    </w:p>
    <w:p w14:paraId="243D9BF6">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672576" behindDoc="0" locked="0" layoutInCell="1" allowOverlap="1">
                <wp:simplePos x="0" y="0"/>
                <wp:positionH relativeFrom="column">
                  <wp:posOffset>-95250</wp:posOffset>
                </wp:positionH>
                <wp:positionV relativeFrom="paragraph">
                  <wp:posOffset>53975</wp:posOffset>
                </wp:positionV>
                <wp:extent cx="699770" cy="436880"/>
                <wp:effectExtent l="0" t="0" r="0" b="0"/>
                <wp:wrapNone/>
                <wp:docPr id="481" name="文本框 454"/>
                <wp:cNvGraphicFramePr/>
                <a:graphic xmlns:a="http://schemas.openxmlformats.org/drawingml/2006/main">
                  <a:graphicData uri="http://schemas.microsoft.com/office/word/2010/wordprocessingShape">
                    <wps:wsp>
                      <wps:cNvSpPr txBox="1">
                        <a:spLocks noChangeArrowheads="1"/>
                      </wps:cNvSpPr>
                      <wps:spPr bwMode="auto">
                        <a:xfrm>
                          <a:off x="0" y="0"/>
                          <a:ext cx="699770" cy="436880"/>
                        </a:xfrm>
                        <a:prstGeom prst="rect">
                          <a:avLst/>
                        </a:prstGeom>
                        <a:noFill/>
                        <a:ln>
                          <a:noFill/>
                        </a:ln>
                        <a:effectLst/>
                      </wps:spPr>
                      <wps:txbx>
                        <w:txbxContent>
                          <w:p w14:paraId="46B166DE">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通讯形式</w:t>
                            </w:r>
                          </w:p>
                        </w:txbxContent>
                      </wps:txbx>
                      <wps:bodyPr rot="0" vert="horz" wrap="square" lIns="91440" tIns="45720" rIns="91440" bIns="45720" anchor="t" anchorCtr="0" upright="1">
                        <a:noAutofit/>
                      </wps:bodyPr>
                    </wps:wsp>
                  </a:graphicData>
                </a:graphic>
              </wp:anchor>
            </w:drawing>
          </mc:Choice>
          <mc:Fallback>
            <w:pict>
              <v:shape id="文本框 454" o:spid="_x0000_s1026" o:spt="202" type="#_x0000_t202" style="position:absolute;left:0pt;margin-left:-7.5pt;margin-top:4.25pt;height:34.4pt;width:55.1pt;z-index:251672576;mso-width-relative:page;mso-height-relative:page;" filled="f" stroked="f" coordsize="21600,21600" o:gfxdata="UEsDBAoAAAAAAIdO4kAAAAAAAAAAAAAAAAAEAAAAZHJzL1BLAwQUAAAACACHTuJAQovaK9YAAAAH&#10;AQAADwAAAGRycy9kb3ducmV2LnhtbE2PQU/CQBSE7yb8h80j8Qa7RStQ+8pB41UiKgm3pftoG7tv&#10;m+5C679nPclxMpOZb/LNaFtxod43jhGSuQJBXDrTcIXw9fk2W4HwQbPRrWNC+CUPm2Jyl+vMuIE/&#10;6LILlYgl7DONUIfQZVL6siar/dx1xNE7ud7qEGVfSdPrIZbbVi6UepJWNxwXat3RS03lz+5sEb7f&#10;T4f9o9pWrzbtBjcqyXYtEe+niXoGEWgM/2H4w4/oUESmozuz8aJFmCVp/BIQVimI6K/TBYgjwnL5&#10;ALLI5S1/cQVQSwMEFAAAAAgAh07iQJPonn8fAgAAJgQAAA4AAABkcnMvZTJvRG9jLnhtbK1TS27b&#10;MBDdF+gdCO5r2a7ij2A5SGOkKJB+gLQHoCnKIipx2CFtyT1Ac4Ouuum+5/I5OqQc1003WXRDkJzh&#10;m3lvHheXXVOznUKnweR8NBhypoyEQptNzj99vHkx48x5YQpRg1E53yvHL5fPny1am6kxVFAXChmB&#10;GJe1NueV9zZLEicr1Qg3AKsMBUvARng64iYpULSE3tTJeDicJC1gYRGkco5uV32QHxHxKYBQllqq&#10;Fchto4zvUVHVwhMlV2nr+DJ2W5ZK+vdl6ZRndc6JqY8rFaH9OqzJciGyDQpbaXlsQTylhUecGqEN&#10;FT1BrYQXbIv6H6hGSwQHpR9IaJKeSFSEWIyGj7S5q4RVkQtJ7exJdPf/YOW73Qdkush5OhtxZkRD&#10;Iz98vz/8+HX4+Y2lF2mQqLUuo8w7S7m+ewUdGSfSdfYW5GfHDFxXwmzUFSK0lRIFtTgKL5Ozpz2O&#10;CyDr9i0UVElsPUSgrsQm6EeKMEKn8exP41GdZ5IuJ/P5dEoRSaH05WQ2i+NLRPbw2KLzrxU0LGxy&#10;jjT9CC52t86HZkT2kBJqGbjRdR0dUJu/Liixv1HRQsfXgUrovufhu3V3lGYNxZ5IIfT2os9Fmwrw&#10;K2ctWSvn7stWoOKsfmNImPkoTYMX4yG9mI7pgOeR9XlEGElQOfec9dtr3/t3a1FvKqrUj8LAFYlZ&#10;6kg0tNp3dRwB2SfyP1o9+PP8HLP+fO/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KL2ivWAAAA&#10;BwEAAA8AAAAAAAAAAQAgAAAAIgAAAGRycy9kb3ducmV2LnhtbFBLAQIUABQAAAAIAIdO4kCT6J5/&#10;HwIAACYEAAAOAAAAAAAAAAEAIAAAACUBAABkcnMvZTJvRG9jLnhtbFBLBQYAAAAABgAGAFkBAAC2&#10;BQAAAAA=&#10;">
                <v:fill on="f" focussize="0,0"/>
                <v:stroke on="f"/>
                <v:imagedata o:title=""/>
                <o:lock v:ext="edit" aspectratio="f"/>
                <v:textbox>
                  <w:txbxContent>
                    <w:p w14:paraId="46B166DE">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通讯形式</w:t>
                      </w:r>
                    </w:p>
                  </w:txbxContent>
                </v:textbox>
              </v:shape>
            </w:pict>
          </mc:Fallback>
        </mc:AlternateContent>
      </w:r>
      <w:r>
        <w:rPr>
          <w:rFonts w:hint="eastAsia" w:ascii="仿宋" w:hAnsi="仿宋" w:eastAsia="仿宋" w:cs="仿宋"/>
          <w:color w:val="auto"/>
          <w:highlight w:val="none"/>
          <w:lang w:eastAsia="zh-CN"/>
        </w:rPr>
        <w:t>本合同中无论何处涉及到各方之间的申请、批准、确认、同意、决定、核实、通知、任命、指令、要求、意见、证明、证件或表示同意、否定等的通讯（含派人面交、邮寄、电子传输等），均应采用书面形式，且只有在按照合同约定送达对方当事人后方能生效。</w:t>
      </w:r>
    </w:p>
    <w:p w14:paraId="69527A37">
      <w:pPr>
        <w:pStyle w:val="2"/>
        <w:spacing w:line="360" w:lineRule="auto"/>
        <w:ind w:right="-238"/>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9</w:t>
      </w:r>
      <w:r>
        <w:rPr>
          <w:rFonts w:ascii="仿宋" w:hAnsi="仿宋" w:eastAsia="仿宋" w:cs="仿宋"/>
          <w:b/>
          <w:bCs/>
          <w:color w:val="auto"/>
          <w:sz w:val="24"/>
          <w:szCs w:val="24"/>
          <w:highlight w:val="none"/>
          <w:lang w:eastAsia="zh-CN"/>
        </w:rPr>
        <w:t>.2</w:t>
      </w:r>
    </w:p>
    <w:p w14:paraId="4C795FBF">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671552" behindDoc="0" locked="0" layoutInCell="1" allowOverlap="1">
                <wp:simplePos x="0" y="0"/>
                <wp:positionH relativeFrom="column">
                  <wp:posOffset>-95250</wp:posOffset>
                </wp:positionH>
                <wp:positionV relativeFrom="paragraph">
                  <wp:posOffset>90805</wp:posOffset>
                </wp:positionV>
                <wp:extent cx="769620" cy="508635"/>
                <wp:effectExtent l="0" t="0" r="0" b="0"/>
                <wp:wrapNone/>
                <wp:docPr id="482"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769620" cy="508635"/>
                        </a:xfrm>
                        <a:prstGeom prst="rect">
                          <a:avLst/>
                        </a:prstGeom>
                        <a:noFill/>
                        <a:ln>
                          <a:noFill/>
                        </a:ln>
                        <a:effectLst/>
                      </wps:spPr>
                      <wps:txbx>
                        <w:txbxContent>
                          <w:p w14:paraId="2FA8F7A1">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发送通讯</w:t>
                            </w:r>
                          </w:p>
                        </w:txbxContent>
                      </wps:txbx>
                      <wps:bodyPr rot="0" vert="horz" wrap="square" lIns="91440" tIns="45720" rIns="91440" bIns="45720" anchor="t" anchorCtr="0" upright="1">
                        <a:noAutofit/>
                      </wps:bodyPr>
                    </wps:wsp>
                  </a:graphicData>
                </a:graphic>
              </wp:anchor>
            </w:drawing>
          </mc:Choice>
          <mc:Fallback>
            <w:pict>
              <v:shape id="文本框 14" o:spid="_x0000_s1026" o:spt="202" type="#_x0000_t202" style="position:absolute;left:0pt;margin-left:-7.5pt;margin-top:7.15pt;height:40.05pt;width:60.6pt;z-index:251671552;mso-width-relative:page;mso-height-relative:page;" filled="f" stroked="f" coordsize="21600,21600" o:gfxdata="UEsDBAoAAAAAAIdO4kAAAAAAAAAAAAAAAAAEAAAAZHJzL1BLAwQUAAAACACHTuJAbzw6KtYAAAAJ&#10;AQAADwAAAGRycy9kb3ducmV2LnhtbE2PwW7CMBBE75X4B2sr9QZ2aEAQ4nCg6rVVoUXiZuIliRqv&#10;o9iQ9O+7nNrjaEYzb/Lt6Fpxwz40njQkMwUCqfS2oUrD5+F1ugIRoiFrWk+o4QcDbIvJQ24y6wf6&#10;wNs+VoJLKGRGQx1jl0kZyhqdCTPfIbF38b0zkWVfSdubgctdK+dKLaUzDfFCbTrc1Vh+769Ow9fb&#10;5XRM1Xv14hbd4Eclya2l1k+PidqAiDjGvzDc8RkdCmY6+yvZIFoN02TBXyIb6TOIe0At5yDOGtZp&#10;CrLI5f8HxS9QSwMEFAAAAAgAh07iQKhtQ2AeAgAAJQQAAA4AAABkcnMvZTJvRG9jLnhtbK1TwW4T&#10;MRC9I/EPlu9kk5Ck6SqbqjQqQioUqfABjtebtdj1mLGT3fAB9A84ceHe78p3MPZuQyiXHrhYtmf8&#10;Zt6b58VFW1dsp9BpMBkfDYacKSMh12aT8c+frl/NOXNemFxUYFTG98rxi+XLF4vGpmoMJVS5QkYg&#10;xqWNzXjpvU2TxMlS1cINwCpDwQKwFp6OuElyFA2h11UyHg5nSQOYWwSpnKPbVRfkPSI+BxCKQku1&#10;ArmtlfEdKqpKeKLkSm0dX8Zui0JJf1sUTnlWZZyY+rhSEdqvw5osFyLdoLClln0L4jktPOFUC22o&#10;6BFqJbxgW9T/QNVaIjgo/EBCnXREoiLEYjR8os1dKayKXEhqZ4+iu/8HKz/sPiLTecYn8zFnRtQ0&#10;8sOP+8PPh8Ov72w0CQo11qWUeGcp1bdvoCXfRLbO3oD84piBq1KYjbpEhKZUIqcOR+FlcvK0w3EB&#10;ZN28h5wKia2HCNQWWAf5SBBG6DSd/XE6qvVM0uXZ7Hw2poik0HQ4n72exgoifXxs0fm3CmoWNhlH&#10;Gn4EF7sb50MzIn1MCbUMXOuqigaozF8XlNjdqOig/nWgErrvePh23fbSrCHfEymEzl30t2hTAn7j&#10;rCFnZdx93QpUnFXvDAlzPppMghXjYTI9C5zwNLI+jQgjCSrjnrNue+U7+24t6k1JlbpRGLgkMQsd&#10;iYZWu676EZB7Iv/e6cGep+eY9ed3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zw6KtYAAAAJ&#10;AQAADwAAAAAAAAABACAAAAAiAAAAZHJzL2Rvd25yZXYueG1sUEsBAhQAFAAAAAgAh07iQKhtQ2Ae&#10;AgAAJQQAAA4AAAAAAAAAAQAgAAAAJQEAAGRycy9lMm9Eb2MueG1sUEsFBgAAAAAGAAYAWQEAALUF&#10;AAAAAA==&#10;">
                <v:fill on="f" focussize="0,0"/>
                <v:stroke on="f"/>
                <v:imagedata o:title=""/>
                <o:lock v:ext="edit" aspectratio="f"/>
                <v:textbox>
                  <w:txbxContent>
                    <w:p w14:paraId="2FA8F7A1">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发送通讯</w:t>
                      </w:r>
                    </w:p>
                  </w:txbxContent>
                </v:textbox>
              </v:shape>
            </w:pict>
          </mc:Fallback>
        </mc:AlternateContent>
      </w:r>
      <w:r>
        <w:rPr>
          <w:rFonts w:hint="eastAsia" w:ascii="仿宋" w:hAnsi="仿宋" w:eastAsia="仿宋" w:cs="仿宋"/>
          <w:color w:val="auto"/>
          <w:highlight w:val="none"/>
          <w:lang w:eastAsia="zh-CN"/>
        </w:rPr>
        <w:t>合同中无论何处涉及到各方之间的通讯都不应无理扣压或拖延。合同双方当事人应在专用条款中约定各方通讯地址和收件人，并按照约定期限内（如无约定，应在合理期限内）送达指定地点和接收人。任何一方合同当事人指定的通讯地址或收件人发生变更的，应提前3天以书面形式通知对方。</w:t>
      </w:r>
    </w:p>
    <w:p w14:paraId="757BA214">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收件人应在通讯回执上签署姓名和时间。一方当事人拒绝签收另一方当事人通讯，另一方当事人以特快专递、挂号信等专用条款约定的方式将通讯送至通讯地址的，视为送达。拒不签收的，由此增加的费用和（或）延误的工期由拒绝接收一方承担。</w:t>
      </w:r>
    </w:p>
    <w:p w14:paraId="1D6E1D54">
      <w:pPr>
        <w:pStyle w:val="2"/>
        <w:spacing w:line="360" w:lineRule="auto"/>
        <w:ind w:right="-238"/>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9</w:t>
      </w:r>
      <w:r>
        <w:rPr>
          <w:rFonts w:ascii="仿宋" w:hAnsi="仿宋" w:eastAsia="仿宋" w:cs="仿宋"/>
          <w:b/>
          <w:bCs/>
          <w:color w:val="auto"/>
          <w:sz w:val="24"/>
          <w:szCs w:val="24"/>
          <w:highlight w:val="none"/>
          <w:lang w:eastAsia="zh-CN"/>
        </w:rPr>
        <w:t>.</w:t>
      </w:r>
      <w:r>
        <w:rPr>
          <w:rFonts w:hint="eastAsia" w:ascii="仿宋" w:hAnsi="仿宋" w:eastAsia="仿宋" w:cs="仿宋"/>
          <w:b/>
          <w:bCs/>
          <w:color w:val="auto"/>
          <w:sz w:val="24"/>
          <w:szCs w:val="24"/>
          <w:highlight w:val="none"/>
          <w:lang w:eastAsia="zh-CN"/>
        </w:rPr>
        <w:t>3</w:t>
      </w:r>
    </w:p>
    <w:p w14:paraId="15A93ADF">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116992" behindDoc="0" locked="0" layoutInCell="1" allowOverlap="1">
                <wp:simplePos x="0" y="0"/>
                <wp:positionH relativeFrom="column">
                  <wp:posOffset>-95250</wp:posOffset>
                </wp:positionH>
                <wp:positionV relativeFrom="paragraph">
                  <wp:posOffset>90805</wp:posOffset>
                </wp:positionV>
                <wp:extent cx="843280" cy="735330"/>
                <wp:effectExtent l="0" t="0" r="0" b="0"/>
                <wp:wrapNone/>
                <wp:docPr id="483"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843280" cy="735330"/>
                        </a:xfrm>
                        <a:prstGeom prst="rect">
                          <a:avLst/>
                        </a:prstGeom>
                        <a:noFill/>
                        <a:ln>
                          <a:noFill/>
                        </a:ln>
                        <a:effectLst/>
                      </wps:spPr>
                      <wps:txbx>
                        <w:txbxContent>
                          <w:p w14:paraId="4316329E">
                            <w:pPr>
                              <w:rPr>
                                <w:rFonts w:hint="eastAsia" w:ascii="楷体_GB2312" w:hAnsi="宋体" w:eastAsia="楷体_GB2312" w:cs="楷体_GB2312"/>
                                <w:b/>
                                <w:bCs/>
                                <w:sz w:val="18"/>
                                <w:szCs w:val="18"/>
                                <w:lang w:eastAsia="zh-CN"/>
                              </w:rPr>
                            </w:pPr>
                            <w:r>
                              <w:rPr>
                                <w:rFonts w:hint="eastAsia" w:ascii="楷体_GB2312" w:hAnsi="宋体" w:eastAsia="楷体_GB2312" w:cs="楷体_GB2312"/>
                                <w:b/>
                                <w:bCs/>
                                <w:sz w:val="18"/>
                                <w:szCs w:val="18"/>
                              </w:rPr>
                              <w:t>通讯</w:t>
                            </w:r>
                            <w:r>
                              <w:rPr>
                                <w:rFonts w:hint="eastAsia" w:ascii="楷体_GB2312" w:hAnsi="宋体" w:eastAsia="楷体_GB2312" w:cs="楷体_GB2312"/>
                                <w:b/>
                                <w:bCs/>
                                <w:sz w:val="18"/>
                                <w:szCs w:val="18"/>
                                <w:lang w:eastAsia="zh-CN"/>
                              </w:rPr>
                              <w:t>联络的法律后果</w:t>
                            </w:r>
                          </w:p>
                        </w:txbxContent>
                      </wps:txbx>
                      <wps:bodyPr rot="0" vert="horz" wrap="square" lIns="91440" tIns="45720" rIns="91440" bIns="45720" anchor="t" anchorCtr="0" upright="1">
                        <a:noAutofit/>
                      </wps:bodyPr>
                    </wps:wsp>
                  </a:graphicData>
                </a:graphic>
              </wp:anchor>
            </w:drawing>
          </mc:Choice>
          <mc:Fallback>
            <w:pict>
              <v:shape id="文本框 14" o:spid="_x0000_s1026" o:spt="202" type="#_x0000_t202" style="position:absolute;left:0pt;margin-left:-7.5pt;margin-top:7.15pt;height:57.9pt;width:66.4pt;z-index:252116992;mso-width-relative:page;mso-height-relative:page;" filled="f" stroked="f" coordsize="21600,21600" o:gfxdata="UEsDBAoAAAAAAIdO4kAAAAAAAAAAAAAAAAAEAAAAZHJzL1BLAwQUAAAACACHTuJA0Fdw3dcAAAAK&#10;AQAADwAAAGRycy9kb3ducmV2LnhtbE2PzU7DMBCE70h9B2srcWtt0x8gxOkBxBVEKZV6c+NtEhGv&#10;o9htwtuzPcFtRzOanS/fjL4VF+xjE8iAnisQSGVwDVUGdp+vswcQMVlytg2EBn4wwqaY3OQ2c2Gg&#10;D7xsUyW4hGJmDdQpdZmUsazR2zgPHRJ7p9B7m1j2lXS9Hbjct/JOqbX0tiH+UNsOn2ssv7dnb+Dr&#10;7XTYL9V79eJX3RBGJck/SmNup1o9gUg4pr8wXOfzdCh40zGcyUXRGpjpFbMkNpYLENeAvmeWIx8L&#10;pUEWufyPUPwCUEsDBBQAAAAIAIdO4kAxIA80HgIAACUEAAAOAAAAZHJzL2Uyb0RvYy54bWytU82O&#10;0zAQviPxDpbvNP3JsiVqulq2WoS0wEoLD+A6TmOReMzYbVIeAN6AExfu+1x9DsZOtpTlsgculu0Z&#10;fzPfN58XF11Ts51Cp8HkfDIac6aMhEKbTc4/fbx+MefMeWEKUYNROd8rxy+Wz58tWpupKVRQFwoZ&#10;gRiXtTbnlfc2SxInK9UINwKrDAVLwEZ4OuImKVC0hN7UyXQ8fpm0gIVFkMo5ul31QT4g4lMAoSy1&#10;VCuQ20YZ36OiqoUnSq7S1vFl7LYslfQfytIpz+qcE1MfVypC+3VYk+VCZBsUttJyaEE8pYVHnBqh&#10;DRU9Qq2EF2yL+h+oRksEB6UfSWiSnkhUhFhMxo+0uauEVZELSe3sUXT3/2Dl+90tMl3kPJ3PODOi&#10;oZEffnw//Lw//PrGJmlQqLUuo8Q7S6m+ew0d+SaydfYG5GfHDFxVwmzUJSK0lRIFdTgJL5OTpz2O&#10;CyDr9h0UVEhsPUSgrsQmyEeCMEKn6eyP01GdZ5Iu5+lsOqeIpND57Gw2i9NLRPbw2KLzbxQ0LGxy&#10;jjT8CC52N86HZkT2kBJqGbjWdR0NUJu/Liixv1HRQcPrQCV03/Pw3bobpFlDsSdSCL276G/RpgL8&#10;yllLzsq5+7IVqDir3xoS5tUkTYMV4yE9O5/SAU8j69OIMJKgcu4567dXvrfv1qLeVFSpH4WBSxKz&#10;1JFoaLXvahgBuSfyH5we7Hl6jll/fvf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BXcN3XAAAA&#10;CgEAAA8AAAAAAAAAAQAgAAAAIgAAAGRycy9kb3ducmV2LnhtbFBLAQIUABQAAAAIAIdO4kAxIA80&#10;HgIAACUEAAAOAAAAAAAAAAEAIAAAACYBAABkcnMvZTJvRG9jLnhtbFBLBQYAAAAABgAGAFkBAAC2&#10;BQAAAAA=&#10;">
                <v:fill on="f" focussize="0,0"/>
                <v:stroke on="f"/>
                <v:imagedata o:title=""/>
                <o:lock v:ext="edit" aspectratio="f"/>
                <v:textbox>
                  <w:txbxContent>
                    <w:p w14:paraId="4316329E">
                      <w:pPr>
                        <w:rPr>
                          <w:rFonts w:hint="eastAsia" w:ascii="楷体_GB2312" w:hAnsi="宋体" w:eastAsia="楷体_GB2312" w:cs="楷体_GB2312"/>
                          <w:b/>
                          <w:bCs/>
                          <w:sz w:val="18"/>
                          <w:szCs w:val="18"/>
                          <w:lang w:eastAsia="zh-CN"/>
                        </w:rPr>
                      </w:pPr>
                      <w:r>
                        <w:rPr>
                          <w:rFonts w:hint="eastAsia" w:ascii="楷体_GB2312" w:hAnsi="宋体" w:eastAsia="楷体_GB2312" w:cs="楷体_GB2312"/>
                          <w:b/>
                          <w:bCs/>
                          <w:sz w:val="18"/>
                          <w:szCs w:val="18"/>
                        </w:rPr>
                        <w:t>通讯</w:t>
                      </w:r>
                      <w:r>
                        <w:rPr>
                          <w:rFonts w:hint="eastAsia" w:ascii="楷体_GB2312" w:hAnsi="宋体" w:eastAsia="楷体_GB2312" w:cs="楷体_GB2312"/>
                          <w:b/>
                          <w:bCs/>
                          <w:sz w:val="18"/>
                          <w:szCs w:val="18"/>
                          <w:lang w:eastAsia="zh-CN"/>
                        </w:rPr>
                        <w:t>联络的法律后果</w:t>
                      </w:r>
                    </w:p>
                  </w:txbxContent>
                </v:textbox>
              </v:shape>
            </w:pict>
          </mc:Fallback>
        </mc:AlternateContent>
      </w:r>
      <w:r>
        <w:rPr>
          <w:rFonts w:hint="eastAsia" w:ascii="仿宋" w:hAnsi="仿宋" w:eastAsia="仿宋" w:cs="仿宋"/>
          <w:color w:val="auto"/>
          <w:highlight w:val="none"/>
          <w:lang w:eastAsia="zh-CN"/>
        </w:rPr>
        <w:t>合同当事人约定的通讯形式，亦适用于在诉讼阶段当事人接收人民法院的各类诉讼材料（包括起诉状、证据材料、开庭传票、各类通知书、裁判文书等），由当事人填写其送达地址、电话号码、收件人、电子邮箱等信息并签名、盖章确认。</w:t>
      </w:r>
    </w:p>
    <w:p w14:paraId="3CE50474">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合同一方当事人如需变更约定通讯地址或收件人，应按合同约定方式将变更后的通讯地址或收件人通知对方当事人。未按约定方式通知变更的，原约定的通讯地址和收件人仍为有效通讯地址和收件人。</w:t>
      </w:r>
    </w:p>
    <w:p w14:paraId="0764950A">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按照约定地址和收件人送达文件并被签收的，视为当事人签收。因当事人提供或者确认的通讯地址不准确、通讯地址变更后未及时依程序告知对方当事人和法院、当事人或指定的收件人拒绝签收等原因，导致诉讼材料等未能被当事人实际接收的，邮寄送达的，以文件退回之日视为送达之日；直接送达的，以送达文件留在该地址之日为送达之日。</w:t>
      </w:r>
    </w:p>
    <w:p w14:paraId="26B912B3">
      <w:pPr>
        <w:rPr>
          <w:color w:val="auto"/>
          <w:highlight w:val="none"/>
          <w:lang w:eastAsia="zh-CN"/>
        </w:rPr>
      </w:pPr>
    </w:p>
    <w:p w14:paraId="0D2BEDF5">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03" w:name="_Toc21464"/>
      <w:r>
        <w:rPr>
          <w:rFonts w:hint="eastAsia" w:ascii="仿宋" w:hAnsi="仿宋" w:eastAsia="仿宋" w:cs="仿宋"/>
          <w:color w:val="auto"/>
          <w:sz w:val="24"/>
          <w:szCs w:val="24"/>
          <w:highlight w:val="none"/>
          <w:lang w:eastAsia="zh-CN"/>
        </w:rPr>
        <w:t>10分包</w:t>
      </w:r>
      <w:bookmarkEnd w:id="303"/>
    </w:p>
    <w:p w14:paraId="663E7893">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1673600" behindDoc="0" locked="0" layoutInCell="1" allowOverlap="1">
                <wp:simplePos x="0" y="0"/>
                <wp:positionH relativeFrom="column">
                  <wp:posOffset>-114300</wp:posOffset>
                </wp:positionH>
                <wp:positionV relativeFrom="paragraph">
                  <wp:posOffset>294640</wp:posOffset>
                </wp:positionV>
                <wp:extent cx="876300" cy="340360"/>
                <wp:effectExtent l="0" t="0" r="0" b="0"/>
                <wp:wrapNone/>
                <wp:docPr id="484" name="文本框 706"/>
                <wp:cNvGraphicFramePr/>
                <a:graphic xmlns:a="http://schemas.openxmlformats.org/drawingml/2006/main">
                  <a:graphicData uri="http://schemas.microsoft.com/office/word/2010/wordprocessingShape">
                    <wps:wsp>
                      <wps:cNvSpPr txBox="1">
                        <a:spLocks noChangeArrowheads="1"/>
                      </wps:cNvSpPr>
                      <wps:spPr bwMode="auto">
                        <a:xfrm>
                          <a:off x="0" y="0"/>
                          <a:ext cx="876300" cy="340360"/>
                        </a:xfrm>
                        <a:prstGeom prst="rect">
                          <a:avLst/>
                        </a:prstGeom>
                        <a:noFill/>
                        <a:ln>
                          <a:noFill/>
                        </a:ln>
                        <a:effectLst/>
                      </wps:spPr>
                      <wps:txbx>
                        <w:txbxContent>
                          <w:p w14:paraId="791C28EE">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分包的要求</w:t>
                            </w:r>
                          </w:p>
                        </w:txbxContent>
                      </wps:txbx>
                      <wps:bodyPr rot="0" vert="horz" wrap="square" lIns="91440" tIns="45720" rIns="91440" bIns="45720" anchor="t" anchorCtr="0" upright="1">
                        <a:noAutofit/>
                      </wps:bodyPr>
                    </wps:wsp>
                  </a:graphicData>
                </a:graphic>
              </wp:anchor>
            </w:drawing>
          </mc:Choice>
          <mc:Fallback>
            <w:pict>
              <v:shape id="文本框 706" o:spid="_x0000_s1026" o:spt="202" type="#_x0000_t202" style="position:absolute;left:0pt;margin-left:-9pt;margin-top:23.2pt;height:26.8pt;width:69pt;z-index:251673600;mso-width-relative:page;mso-height-relative:page;" filled="f" stroked="f" coordsize="21600,21600" o:gfxdata="UEsDBAoAAAAAAIdO4kAAAAAAAAAAAAAAAAAEAAAAZHJzL1BLAwQUAAAACACHTuJAtAVagtUAAAAK&#10;AQAADwAAAGRycy9kb3ducmV2LnhtbE2PzU7DMBCE70i8g7VI3Fo7KFRtmk0PIK4gyo/EzY23SUS8&#10;jmK3CW/P9gS3We1o5ptyN/tenWmMXWCEbGlAEdfBddwgvL89LdagYrLsbB+YEH4owq66vipt4cLE&#10;r3Tep0ZJCMfCIrQpDYXWsW7J27gMA7H8jmH0Nsk5NtqNdpJw3+s7Y1ba246lobUDPbRUf+9PHuHj&#10;+fj1mZuX5tHfD1OYjWa/0Yi3N5nZgko0pz8zXPAFHSphOoQTu6h6hEW2li0JIV/loC4G6QN1EGFE&#10;6KrU/ydUv1BLAwQUAAAACACHTuJAr5KPxh8CAAAmBAAADgAAAGRycy9lMm9Eb2MueG1srVPNjtMw&#10;EL4j8Q6W7zTpD22Jmq6WrRYhLT/SwgO4jtNYJB4zdpuUB4A34MSFO8+1z8HYyZayXPbAxbI942/m&#10;++bz6qJranZQ6DSYnI9HKWfKSCi02eX844frZ0vOnBemEDUYlfOjcvxi/fTJqrWZmkAFdaGQEYhx&#10;WWtzXnlvsyRxslKNcCOwylCwBGyEpyPukgJFS+hNnUzSdJ60gIVFkMo5ut30QT4g4mMAoSy1VBuQ&#10;+0YZ36OiqoUnSq7S1vF17LYslfTvytIpz+qcE1MfVypC+21Yk/VKZDsUttJyaEE8poUHnBqhDRU9&#10;QW2EF2yP+h+oRksEB6UfSWiSnkhUhFiM0wfa3FbCqsiFpHb2JLr7f7Dy7eE9Ml3kfLaccWZEQyO/&#10;+/7t7sevu59f2SKdB4la6zLKvLWU67uX0JFxIl1nb0B+cszAVSXMTl0iQlspUVCL4/AyOXva47gA&#10;sm3fQEGVxN5DBOpKbIJ+pAgjdBrP8TQe1Xkm6XK5mE9TikgKTWfpdB7Hl4js/rFF518paFjY5Bxp&#10;+hFcHG6cD82I7D4l1DJwres6OqA2f11QYn+jooWG14FK6L7n4bttN0izheJIpBB6e9Hnok0F+IWz&#10;lqyVc/d5L1BxVr82JMyL8WwWvBgPs+eLCR3wPLI9jwgjCSrnnrN+e+V7/+4t6l1FlfpRGLgkMUsd&#10;iYZW+66GEZB9Iv/B6sGf5+eY9ed7r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AVagtUAAAAK&#10;AQAADwAAAAAAAAABACAAAAAiAAAAZHJzL2Rvd25yZXYueG1sUEsBAhQAFAAAAAgAh07iQK+Sj8Yf&#10;AgAAJgQAAA4AAAAAAAAAAQAgAAAAJAEAAGRycy9lMm9Eb2MueG1sUEsFBgAAAAAGAAYAWQEAALUF&#10;AAAAAA==&#10;">
                <v:fill on="f" focussize="0,0"/>
                <v:stroke on="f"/>
                <v:imagedata o:title=""/>
                <o:lock v:ext="edit" aspectratio="f"/>
                <v:textbox>
                  <w:txbxContent>
                    <w:p w14:paraId="791C28EE">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分包的要求</w:t>
                      </w:r>
                    </w:p>
                  </w:txbxContent>
                </v:textbox>
              </v:shape>
            </w:pict>
          </mc:Fallback>
        </mc:AlternateContent>
      </w:r>
      <w:r>
        <w:rPr>
          <w:rFonts w:hint="eastAsia" w:ascii="仿宋" w:hAnsi="仿宋" w:eastAsia="仿宋" w:cs="仿宋"/>
          <w:b/>
          <w:bCs/>
          <w:color w:val="auto"/>
          <w:sz w:val="24"/>
          <w:szCs w:val="24"/>
          <w:highlight w:val="none"/>
          <w:lang w:eastAsia="zh-CN"/>
        </w:rPr>
        <w:t>10</w:t>
      </w:r>
      <w:r>
        <w:rPr>
          <w:rFonts w:ascii="仿宋" w:hAnsi="仿宋" w:eastAsia="仿宋" w:cs="仿宋"/>
          <w:b/>
          <w:bCs/>
          <w:color w:val="auto"/>
          <w:sz w:val="24"/>
          <w:szCs w:val="24"/>
          <w:highlight w:val="none"/>
          <w:lang w:eastAsia="zh-CN"/>
        </w:rPr>
        <w:t>.1</w:t>
      </w:r>
    </w:p>
    <w:p w14:paraId="664490DF">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应自己实施、完成合同工程的主体结构。承包人不得将其承包的全部工程或将其肢解后以分包的名义转包给第三方，也不得将合同工程主体结构、关键性工作分包给第三方。承包人对合同工程进行分包，应当遵守《房屋建筑和市政基础设施工程施工分包管理办法》的相关规定。</w:t>
      </w:r>
    </w:p>
    <w:p w14:paraId="29005CA3">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10</w:t>
      </w:r>
      <w:r>
        <w:rPr>
          <w:rFonts w:ascii="仿宋" w:hAnsi="仿宋" w:eastAsia="仿宋" w:cs="仿宋"/>
          <w:b/>
          <w:bCs/>
          <w:color w:val="auto"/>
          <w:sz w:val="24"/>
          <w:szCs w:val="24"/>
          <w:highlight w:val="none"/>
          <w:lang w:eastAsia="zh-CN"/>
        </w:rPr>
        <w:t>.2</w:t>
      </w:r>
    </w:p>
    <w:p w14:paraId="71AB18AA">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承包人可以采用直接发包的方式进行分包。但以暂估价形式包括在总承包范围内的工程、工程材料、工程设备、服务分包时，属于依法必须进行招标的项目范围且达到国家规定规模标准的，应当依法招标。</w:t>
      </w:r>
      <w:r>
        <w:rPr>
          <w:color w:val="auto"/>
          <w:highlight w:val="none"/>
          <w:lang w:eastAsia="zh-CN" w:bidi="ar-SA"/>
        </w:rPr>
        <mc:AlternateContent>
          <mc:Choice Requires="wps">
            <w:drawing>
              <wp:anchor distT="0" distB="0" distL="114300" distR="114300" simplePos="0" relativeHeight="251674624" behindDoc="0" locked="0" layoutInCell="1" allowOverlap="1">
                <wp:simplePos x="0" y="0"/>
                <wp:positionH relativeFrom="column">
                  <wp:posOffset>-114300</wp:posOffset>
                </wp:positionH>
                <wp:positionV relativeFrom="paragraph">
                  <wp:posOffset>31750</wp:posOffset>
                </wp:positionV>
                <wp:extent cx="847090" cy="419100"/>
                <wp:effectExtent l="0" t="0" r="0" b="0"/>
                <wp:wrapNone/>
                <wp:docPr id="485" name="文本框 707"/>
                <wp:cNvGraphicFramePr/>
                <a:graphic xmlns:a="http://schemas.openxmlformats.org/drawingml/2006/main">
                  <a:graphicData uri="http://schemas.microsoft.com/office/word/2010/wordprocessingShape">
                    <wps:wsp>
                      <wps:cNvSpPr txBox="1">
                        <a:spLocks noChangeArrowheads="1"/>
                      </wps:cNvSpPr>
                      <wps:spPr bwMode="auto">
                        <a:xfrm>
                          <a:off x="0" y="0"/>
                          <a:ext cx="847090" cy="419100"/>
                        </a:xfrm>
                        <a:prstGeom prst="rect">
                          <a:avLst/>
                        </a:prstGeom>
                        <a:noFill/>
                        <a:ln>
                          <a:noFill/>
                        </a:ln>
                        <a:effectLst/>
                      </wps:spPr>
                      <wps:txbx>
                        <w:txbxContent>
                          <w:p w14:paraId="68669FDA">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分包的批准</w:t>
                            </w:r>
                          </w:p>
                        </w:txbxContent>
                      </wps:txbx>
                      <wps:bodyPr rot="0" vert="horz" wrap="square" lIns="91440" tIns="45720" rIns="91440" bIns="45720" anchor="t" anchorCtr="0" upright="1">
                        <a:noAutofit/>
                      </wps:bodyPr>
                    </wps:wsp>
                  </a:graphicData>
                </a:graphic>
              </wp:anchor>
            </w:drawing>
          </mc:Choice>
          <mc:Fallback>
            <w:pict>
              <v:shape id="文本框 707" o:spid="_x0000_s1026" o:spt="202" type="#_x0000_t202" style="position:absolute;left:0pt;margin-left:-9pt;margin-top:2.5pt;height:33pt;width:66.7pt;z-index:251674624;mso-width-relative:page;mso-height-relative:page;" filled="f" stroked="f" coordsize="21600,21600" o:gfxdata="UEsDBAoAAAAAAIdO4kAAAAAAAAAAAAAAAAAEAAAAZHJzL1BLAwQUAAAACACHTuJAgONmRdYAAAAI&#10;AQAADwAAAGRycy9kb3ducmV2LnhtbE2PwU7DMBBE70j9B2srcWttVw2UkE0PRVxBtIDEzY23SUS8&#10;jmK3CX+Pe4LTaDWrmTfFdnKduNAQWs8IeqlAEFfetlwjvB+eFxsQIRq2pvNMCD8UYFvObgqTWz/y&#10;G132sRYphENuEJoY+1zKUDXkTFj6njh5Jz84E9M51NIOZkzhrpMrpe6kMy2nhsb0tGuo+t6fHcLH&#10;y+nrc61e6yeX9aOflGT3IBFv51o9gog0xb9nuOIndCgT09Gf2QbRISz0Jm2JCFmSq6+zNYgjwr1W&#10;IMtC/h9Q/gJQSwMEFAAAAAgAh07iQG3/HkAfAgAAJgQAAA4AAABkcnMvZTJvRG9jLnhtbK1TzY7T&#10;MBC+I/EOlu80SZWlbdR0tWy1CGn5kRYewHWcxiL2GNttUh4A3mBPXLjzXH0Oxk62lOWyBy6W7Rl/&#10;M983n5eXvWrJXlgnQZc0m6SUCM2hknpb0k8fb17MKXGe6Yq1oEVJD8LRy9XzZ8vOFGIKDbSVsARB&#10;tCs6U9LGe1MkieONUMxNwAiNwRqsYh6PdptUlnWIrtpkmqYvkw5sZSxw4RzerocgHRHtUwChriUX&#10;a+A7JbQfUK1omUdKrpHG0VXstq4F9+/r2glP2pIiUx9XLIL7TViT1ZIVW8tMI/nYAntKC484KSY1&#10;Fj1BrZlnZGflP1BKcgsOaj/hoJKBSFQEWWTpI23uGmZE5IJSO3MS3f0/WP5u/8ESWZU0n19QopnC&#10;kR/vvx9//Dr+/EZm6SxI1BlXYOadwVzfv4IejRPpOnML/LMjGq4bprfiylroGsEqbDELL5OzpwOO&#10;CyCb7i1UWIntPESgvrYq6IeKEETH8RxO4xG9Jxwv5/ksXWCEYyjPFlkax5ew4uGxsc6/FqBI2JTU&#10;4vQjONvfOh+aYcVDSqil4Ua2bXRAq/+6wMThRkQLja8DldD9wMP3m36UZgPVAUlZGOyFnws3Ddiv&#10;lHRorZK6LztmBSXtG43CLLI8D16Mh/xiNsWDPY9sziNMc4Qqqadk2F77wb87Y+W2wUrDKDRcoZi1&#10;jERDq0NX4wjQPpH/aPXgz/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DjZkXWAAAA&#10;CAEAAA8AAAAAAAAAAQAgAAAAIgAAAGRycy9kb3ducmV2LnhtbFBLAQIUABQAAAAIAIdO4kBt/x5A&#10;HwIAACYEAAAOAAAAAAAAAAEAIAAAACUBAABkcnMvZTJvRG9jLnhtbFBLBQYAAAAABgAGAFkBAAC2&#10;BQAAAAA=&#10;">
                <v:fill on="f" focussize="0,0"/>
                <v:stroke on="f"/>
                <v:imagedata o:title=""/>
                <o:lock v:ext="edit" aspectratio="f"/>
                <v:textbox>
                  <w:txbxContent>
                    <w:p w14:paraId="68669FDA">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分包的批准</w:t>
                      </w:r>
                    </w:p>
                  </w:txbxContent>
                </v:textbox>
              </v:shape>
            </w:pict>
          </mc:Fallback>
        </mc:AlternateContent>
      </w:r>
      <w:r>
        <w:rPr>
          <w:rFonts w:hint="eastAsia" w:ascii="仿宋" w:hAnsi="仿宋" w:eastAsia="仿宋" w:cs="仿宋"/>
          <w:color w:val="auto"/>
          <w:highlight w:val="none"/>
          <w:lang w:eastAsia="zh-CN"/>
        </w:rPr>
        <w:t>承包人可依法将部分工作事项（含勘察、设计、采购、劳务分包）分包给具有相应分包资质的分包人，但未经发包人同意，承包人不得将总承包工作事项的任何部分或任何工作分包给第三方。下列情况则属例外：</w:t>
      </w:r>
    </w:p>
    <w:p w14:paraId="0046B495">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（1）施工及勘察劳务作业分包；</w:t>
      </w:r>
    </w:p>
    <w:p w14:paraId="7751D14D">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（2）按照合同约定的标准购买工程材料和工程设备；</w:t>
      </w:r>
    </w:p>
    <w:p w14:paraId="6AE96F6E">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（3）合同中已指定的分包事项。</w:t>
      </w:r>
    </w:p>
    <w:p w14:paraId="424A3C07">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10</w:t>
      </w:r>
      <w:r>
        <w:rPr>
          <w:rFonts w:ascii="仿宋" w:hAnsi="仿宋" w:eastAsia="仿宋" w:cs="仿宋"/>
          <w:b/>
          <w:bCs/>
          <w:color w:val="auto"/>
          <w:sz w:val="24"/>
          <w:szCs w:val="24"/>
          <w:highlight w:val="none"/>
          <w:lang w:eastAsia="zh-CN"/>
        </w:rPr>
        <w:t xml:space="preserve">.3  </w:t>
      </w:r>
    </w:p>
    <w:p w14:paraId="4F8F8CDF">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675648" behindDoc="0" locked="0" layoutInCell="1" allowOverlap="1">
                <wp:simplePos x="0" y="0"/>
                <wp:positionH relativeFrom="column">
                  <wp:posOffset>-114300</wp:posOffset>
                </wp:positionH>
                <wp:positionV relativeFrom="paragraph">
                  <wp:posOffset>0</wp:posOffset>
                </wp:positionV>
                <wp:extent cx="790575" cy="363220"/>
                <wp:effectExtent l="0" t="0" r="0" b="0"/>
                <wp:wrapNone/>
                <wp:docPr id="486" name="文本框 708"/>
                <wp:cNvGraphicFramePr/>
                <a:graphic xmlns:a="http://schemas.openxmlformats.org/drawingml/2006/main">
                  <a:graphicData uri="http://schemas.microsoft.com/office/word/2010/wordprocessingShape">
                    <wps:wsp>
                      <wps:cNvSpPr txBox="1">
                        <a:spLocks noChangeArrowheads="1"/>
                      </wps:cNvSpPr>
                      <wps:spPr bwMode="auto">
                        <a:xfrm>
                          <a:off x="0" y="0"/>
                          <a:ext cx="790575" cy="363220"/>
                        </a:xfrm>
                        <a:prstGeom prst="rect">
                          <a:avLst/>
                        </a:prstGeom>
                        <a:noFill/>
                        <a:ln>
                          <a:noFill/>
                        </a:ln>
                        <a:effectLst/>
                      </wps:spPr>
                      <wps:txbx>
                        <w:txbxContent>
                          <w:p w14:paraId="2383BD8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签订分包合同</w:t>
                            </w:r>
                          </w:p>
                        </w:txbxContent>
                      </wps:txbx>
                      <wps:bodyPr rot="0" vert="horz" wrap="square" lIns="91440" tIns="45720" rIns="91440" bIns="45720" anchor="t" anchorCtr="0" upright="1">
                        <a:noAutofit/>
                      </wps:bodyPr>
                    </wps:wsp>
                  </a:graphicData>
                </a:graphic>
              </wp:anchor>
            </w:drawing>
          </mc:Choice>
          <mc:Fallback>
            <w:pict>
              <v:shape id="文本框 708" o:spid="_x0000_s1026" o:spt="202" type="#_x0000_t202" style="position:absolute;left:0pt;margin-left:-9pt;margin-top:0pt;height:28.6pt;width:62.25pt;z-index:251675648;mso-width-relative:page;mso-height-relative:page;" filled="f" stroked="f" coordsize="21600,21600" o:gfxdata="UEsDBAoAAAAAAIdO4kAAAAAAAAAAAAAAAAAEAAAAZHJzL1BLAwQUAAAACACHTuJAcQ6la9UAAAAH&#10;AQAADwAAAGRycy9kb3ducmV2LnhtbE2PzU7DMBCE70i8g7VI3Fo7FSklZNMDiCuI8iNxc+NtEhGv&#10;o9htwtuzPcFlpdGMZr4tt7Pv1YnG2AVGyJYGFHEdXMcNwvvb02IDKibLzvaBCeGHImyry4vSFi5M&#10;/EqnXWqUlHAsLEKb0lBoHeuWvI3LMBCLdwijt0nk2Gg32knKfa9Xxqy1tx3LQmsHemip/t4dPcLH&#10;8+Hr88a8NI8+H6YwG83+TiNeX2XmHlSiOf2F4Ywv6FAJ0z4c2UXVIyyyjfySEOSebbPOQe0R8tsV&#10;6KrU//mrX1BLAwQUAAAACACHTuJABVBAuyACAAAmBAAADgAAAGRycy9lMm9Eb2MueG1srVNLbtsw&#10;EN0X6B0I7mvJjn8RLAdpjBQF0g+Q9gA0RVlEJQ47pC25B2hv0FU33fdcPkeHlOO66SaLbgiSM3wz&#10;783j4qprarZT6DSYnA8HKWfKSCi02eT844fbF3POnBemEDUYlfO9cvxq+fzZorWZGkEFdaGQEYhx&#10;WWtzXnlvsyRxslKNcAOwylCwBGyEpyNukgJFS+hNnYzSdJq0gIVFkMo5ul31QX5ExKcAQllqqVYg&#10;t40yvkdFVQtPlFylrePL2G1ZKunflaVTntU5J6Y+rlSE9uuwJsuFyDYobKXlsQXxlBYecWqENlT0&#10;BLUSXrAt6n+gGi0RHJR+IKFJeiJREWIxTB9pc18JqyIXktrZk+ju/8HKt7v3yHSR8/F8ypkRDY38&#10;8P3b4cevw8+vbJbOg0StdRll3lvK9d1L6Mg4ka6zdyA/OWbgphJmo64Roa2UKKjFYXiZnD3tcVwA&#10;WbdvoKBKYushAnUlNkE/UoQROo1nfxqP6jyTdDm7TCezCWeSQhfTi9Eoji8R2cNji86/UtCwsMk5&#10;0vQjuNjdOR+aEdlDSqhl4FbXdXRAbf66oMT+RkULHV8HKqH7nofv1t1RmjUUeyKF0NuLPhdtKsAv&#10;nLVkrZy7z1uBirP6tSFhLofjcfBiPIwnM+LB8DyyPo8IIwkq556zfnvje/9uLepNRZX6URi4JjFL&#10;HYmGVvuujiMg+0T+R6sHf56fY9af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EOpWvVAAAA&#10;BwEAAA8AAAAAAAAAAQAgAAAAIgAAAGRycy9kb3ducmV2LnhtbFBLAQIUABQAAAAIAIdO4kAFUEC7&#10;IAIAACYEAAAOAAAAAAAAAAEAIAAAACQBAABkcnMvZTJvRG9jLnhtbFBLBQYAAAAABgAGAFkBAAC2&#10;BQAAAAA=&#10;">
                <v:fill on="f" focussize="0,0"/>
                <v:stroke on="f"/>
                <v:imagedata o:title=""/>
                <o:lock v:ext="edit" aspectratio="f"/>
                <v:textbox>
                  <w:txbxContent>
                    <w:p w14:paraId="2383BD8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签订分包合同</w:t>
                      </w:r>
                    </w:p>
                  </w:txbxContent>
                </v:textbox>
              </v:shape>
            </w:pict>
          </mc:Fallback>
        </mc:AlternateContent>
      </w:r>
      <w:r>
        <w:rPr>
          <w:rFonts w:hint="eastAsia" w:ascii="仿宋" w:hAnsi="仿宋" w:eastAsia="仿宋" w:cs="仿宋"/>
          <w:color w:val="auto"/>
          <w:highlight w:val="none"/>
          <w:lang w:eastAsia="zh-CN"/>
        </w:rPr>
        <w:t>承包人分包工作事项的，应与分包人签订分包合同，并在分包合同签订后的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天内向发包人和设计顾问人或监理人、造价咨询人各提交一份分包合同。承包人有权利禁止分包人将分包事项再次分包。</w:t>
      </w:r>
    </w:p>
    <w:p w14:paraId="4EE88921">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10</w:t>
      </w:r>
      <w:r>
        <w:rPr>
          <w:rFonts w:ascii="仿宋" w:hAnsi="仿宋" w:eastAsia="仿宋" w:cs="仿宋"/>
          <w:b/>
          <w:bCs/>
          <w:color w:val="auto"/>
          <w:sz w:val="24"/>
          <w:szCs w:val="24"/>
          <w:highlight w:val="none"/>
          <w:lang w:eastAsia="zh-CN"/>
        </w:rPr>
        <w:t xml:space="preserve">.4  </w:t>
      </w:r>
    </w:p>
    <w:p w14:paraId="1C956FA7">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676672" behindDoc="0" locked="0" layoutInCell="1" allowOverlap="1">
                <wp:simplePos x="0" y="0"/>
                <wp:positionH relativeFrom="column">
                  <wp:posOffset>-114300</wp:posOffset>
                </wp:positionH>
                <wp:positionV relativeFrom="paragraph">
                  <wp:posOffset>12065</wp:posOffset>
                </wp:positionV>
                <wp:extent cx="851535" cy="511175"/>
                <wp:effectExtent l="0" t="0" r="0" b="0"/>
                <wp:wrapNone/>
                <wp:docPr id="487" name="文本框 709"/>
                <wp:cNvGraphicFramePr/>
                <a:graphic xmlns:a="http://schemas.openxmlformats.org/drawingml/2006/main">
                  <a:graphicData uri="http://schemas.microsoft.com/office/word/2010/wordprocessingShape">
                    <wps:wsp>
                      <wps:cNvSpPr txBox="1">
                        <a:spLocks noChangeArrowheads="1"/>
                      </wps:cNvSpPr>
                      <wps:spPr bwMode="auto">
                        <a:xfrm>
                          <a:off x="0" y="0"/>
                          <a:ext cx="851535" cy="511175"/>
                        </a:xfrm>
                        <a:prstGeom prst="rect">
                          <a:avLst/>
                        </a:prstGeom>
                        <a:noFill/>
                        <a:ln>
                          <a:noFill/>
                        </a:ln>
                        <a:effectLst/>
                      </wps:spPr>
                      <wps:txbx>
                        <w:txbxContent>
                          <w:p w14:paraId="7F669FDA">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分包工程款结算与支付</w:t>
                            </w:r>
                          </w:p>
                        </w:txbxContent>
                      </wps:txbx>
                      <wps:bodyPr rot="0" vert="horz" wrap="square" lIns="91440" tIns="45720" rIns="91440" bIns="45720" anchor="t" anchorCtr="0" upright="1">
                        <a:noAutofit/>
                      </wps:bodyPr>
                    </wps:wsp>
                  </a:graphicData>
                </a:graphic>
              </wp:anchor>
            </w:drawing>
          </mc:Choice>
          <mc:Fallback>
            <w:pict>
              <v:shape id="文本框 709" o:spid="_x0000_s1026" o:spt="202" type="#_x0000_t202" style="position:absolute;left:0pt;margin-left:-9pt;margin-top:0.95pt;height:40.25pt;width:67.05pt;z-index:251676672;mso-width-relative:page;mso-height-relative:page;" filled="f" stroked="f" coordsize="21600,21600" o:gfxdata="UEsDBAoAAAAAAIdO4kAAAAAAAAAAAAAAAAAEAAAAZHJzL1BLAwQUAAAACACHTuJAoWgiydUAAAAI&#10;AQAADwAAAGRycy9kb3ducmV2LnhtbE2PwU7DMBBE70j8g7VI3Nq1q1KlIU4PrbiCKFCpNzfeJhHx&#10;OordJvw97gmOq7eaeVNsJteJKw2h9axBzSUI4srblmsNnx8vswxEiIat6TyThh8KsCnv7wqTWz/y&#10;O133sRYphENuNDQx9jliqBpyJsx9T5zY2Q/OxHQONdrBjCncdbiQcoXOtJwaGtPTtqHqe39xGr5e&#10;z8fDUr7VO/fUj36SyG6NWj8+KPkMItIU/57hpp/UoUxOJ39hG0SnYaaytCUmsAZx42qlQJw0ZIsl&#10;YFng/wHlL1BLAwQUAAAACACHTuJAPI3fUB8CAAAmBAAADgAAAGRycy9lMm9Eb2MueG1srVPNjtMw&#10;EL4j8Q6W7zRNaWk3arpatlqEtPxICw/gOk5jkXjM2G1SHgDegBMX7jxXn4Oxky1lueyBi2V7xt/M&#10;983n5WXX1Gyv0GkwOU9HY86UkVBos835xw83zxacOS9MIWowKucH5fjl6umTZWszNYEK6kIhIxDj&#10;stbmvPLeZkniZKUa4UZglaFgCdgIT0fcJgWKltCbOpmMxy+SFrCwCFI5R7frPsgHRHwMIJSllmoN&#10;ctco43tUVLXwRMlV2jq+it2WpZL+XVk65Vmdc2Lq40pFaL8Ja7JaimyLwlZaDi2Ix7TwgFMjtKGi&#10;J6i18ILtUP8D1WiJ4KD0IwlN0hOJihCLdPxAm7tKWBW5kNTOnkR3/w9Wvt2/R6aLnE8Xc86MaGjk&#10;x+/fjj9+HX9+ZfPxRZCotS6jzDtLub57CR0ZJ9J19hbkJ8cMXFfCbNUVIrSVEgW1mIaXydnTHscF&#10;kE37BgqqJHYeIlBXYhP0I0UYodN4DqfxqM4zSZeLWTp7PuNMUmiWpul8FiuI7P6xRedfKWhY2OQc&#10;afoRXOxvnQ/NiOw+JdQycKPrOjqgNn9dUGJ/o6KFhteBSui+5+G7TTdIs4HiQKQQenvR56JNBfiF&#10;s5aslXP3eSdQcVa/NiTMRTqdBi/Gw3Q2n9ABzyOb84gwkqBy7jnrt9e+9+/Oot5WVKkfhYErErPU&#10;kWhote9qGAHZJ/IfrB78eX6OWX++9+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WgiydUAAAAI&#10;AQAADwAAAAAAAAABACAAAAAiAAAAZHJzL2Rvd25yZXYueG1sUEsBAhQAFAAAAAgAh07iQDyN31Af&#10;AgAAJgQAAA4AAAAAAAAAAQAgAAAAJAEAAGRycy9lMm9Eb2MueG1sUEsFBgAAAAAGAAYAWQEAALUF&#10;AAAAAA==&#10;">
                <v:fill on="f" focussize="0,0"/>
                <v:stroke on="f"/>
                <v:imagedata o:title=""/>
                <o:lock v:ext="edit" aspectratio="f"/>
                <v:textbox>
                  <w:txbxContent>
                    <w:p w14:paraId="7F669FDA">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分包工程款结算与支付</w:t>
                      </w:r>
                    </w:p>
                  </w:txbxContent>
                </v:textbox>
              </v:shape>
            </w:pict>
          </mc:Fallback>
        </mc:AlternateContent>
      </w:r>
      <w:r>
        <w:rPr>
          <w:rFonts w:hint="eastAsia" w:ascii="仿宋" w:hAnsi="仿宋" w:eastAsia="仿宋" w:cs="仿宋"/>
          <w:color w:val="auto"/>
          <w:highlight w:val="none"/>
          <w:lang w:eastAsia="zh-CN"/>
        </w:rPr>
        <w:t>分包合同价款由承包人与分包人结算。除合同另有约定或取得承包人的同意外，发包人应将分包合同价款按专用条款约定的支付方式全部支付给承包人，禁止发包人直接向分包人支付任何分包合同价款。</w:t>
      </w:r>
    </w:p>
    <w:p w14:paraId="13D832BE">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如发包人有要求时，承包人应提供能证明自己已向分包人支付其分包合同价款等证明资料。否则，发包人有权直接向分包人支付承包人应支付而未支付的分包合同价款，并在承包人得到的合同价款中扣除。</w:t>
      </w:r>
    </w:p>
    <w:p w14:paraId="42B30378">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1677696" behindDoc="0" locked="0" layoutInCell="1" allowOverlap="1">
                <wp:simplePos x="0" y="0"/>
                <wp:positionH relativeFrom="column">
                  <wp:posOffset>-114300</wp:posOffset>
                </wp:positionH>
                <wp:positionV relativeFrom="paragraph">
                  <wp:posOffset>287655</wp:posOffset>
                </wp:positionV>
                <wp:extent cx="803275" cy="483235"/>
                <wp:effectExtent l="0" t="0" r="0" b="0"/>
                <wp:wrapNone/>
                <wp:docPr id="488" name="文本框 710"/>
                <wp:cNvGraphicFramePr/>
                <a:graphic xmlns:a="http://schemas.openxmlformats.org/drawingml/2006/main">
                  <a:graphicData uri="http://schemas.microsoft.com/office/word/2010/wordprocessingShape">
                    <wps:wsp>
                      <wps:cNvSpPr txBox="1">
                        <a:spLocks noChangeArrowheads="1"/>
                      </wps:cNvSpPr>
                      <wps:spPr bwMode="auto">
                        <a:xfrm>
                          <a:off x="0" y="0"/>
                          <a:ext cx="803275" cy="483235"/>
                        </a:xfrm>
                        <a:prstGeom prst="rect">
                          <a:avLst/>
                        </a:prstGeom>
                        <a:noFill/>
                        <a:ln>
                          <a:noFill/>
                        </a:ln>
                        <a:effectLst/>
                      </wps:spPr>
                      <wps:txbx>
                        <w:txbxContent>
                          <w:p w14:paraId="062A4803">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分包责任和义务</w:t>
                            </w:r>
                          </w:p>
                        </w:txbxContent>
                      </wps:txbx>
                      <wps:bodyPr rot="0" vert="horz" wrap="square" lIns="91440" tIns="45720" rIns="91440" bIns="45720" anchor="t" anchorCtr="0" upright="1">
                        <a:noAutofit/>
                      </wps:bodyPr>
                    </wps:wsp>
                  </a:graphicData>
                </a:graphic>
              </wp:anchor>
            </w:drawing>
          </mc:Choice>
          <mc:Fallback>
            <w:pict>
              <v:shape id="文本框 710" o:spid="_x0000_s1026" o:spt="202" type="#_x0000_t202" style="position:absolute;left:0pt;margin-left:-9pt;margin-top:22.65pt;height:38.05pt;width:63.25pt;z-index:251677696;mso-width-relative:page;mso-height-relative:page;" filled="f" stroked="f" coordsize="21600,21600" o:gfxdata="UEsDBAoAAAAAAIdO4kAAAAAAAAAAAAAAAAAEAAAAZHJzL1BLAwQUAAAACACHTuJADlE0QtcAAAAK&#10;AQAADwAAAGRycy9kb3ducmV2LnhtbE2PwU7DMBBE70j9B2uRuLV2SlKFEKeHIq4gCkXito23SUS8&#10;jmK3CX+Pe4LbrGY0+6bczrYXFxp951hDslIgiGtnOm40fLw/L3MQPiAb7B2Thh/ysK0WNyUWxk38&#10;Rpd9aEQsYV+ghjaEoZDS1y1Z9Cs3EEfv5EaLIZ5jI82IUyy3vVwrtZEWO44fWhxo11L9vT9bDYeX&#10;09dnql6bJ5sNk5uVZPsgtb67TdQjiEBz+AvDFT+iQxWZju7MxotewzLJ45agIc3uQVwDKs9AHKNY&#10;JynIqpT/J1S/UEsDBBQAAAAIAIdO4kDaIvwGHgIAACYEAAAOAAAAZHJzL2Uyb0RvYy54bWytU82O&#10;0zAQviPxDpbvNP2lJWq6WrZahLSwSAsP4DpOY5F4zNhtUh6AfQNOXLjvc/U5GDtttyyXPXCJ7Jnx&#10;N/N982V+0dYV2yp0GkzGB70+Z8pIyLVZZ/zL5+tXM86cFyYXFRiV8Z1y/GLx8sW8sakaQglVrpAR&#10;iHFpYzNeem/TJHGyVLVwPbDKULIArIWnK66THEVD6HWVDPv910kDmFsEqZyj6LJL8gMiPgcQikJL&#10;tQS5qZXxHSqqSnii5EptHV/EaYtCSX9bFE55VmWcmPr4pSZ0XoVvspiLdI3ClloeRhDPGeEJp1po&#10;Q01PUEvhBdug/geq1hLBQeF7EuqkIxIVIRaD/hNt7kphVeRCUjt7Et39P1j5cfsJmc4zPp7R4o2o&#10;aeX7n/f7Xw/73z/YdBAlaqxLqfLOUq1v30JLxol0nb0B+dUxA1elMGt1iQhNqUROIw6CuMnZ07AU&#10;l7oAsmo+QE6dxMZDBGoLrIN+pAgjdFrP7rQe1XomKTjrj4bTCWeSUuPZaDiaxA4iPT626Pw7BTUL&#10;h4wjbT+Ci+2N82EYkR5LQi8D17qqogMq81eACruIihY6vD5O3/Hw7aqltyG4gnxHpBA6e9HPRYcS&#10;8DtnDVkr4+7bRqDirHpvSJg3g/E4eDFexpPpkC54nlmdZ4SRBJVxz1l3vPKdfzcW9bqkTt0qDFyS&#10;mIWORB+nOqyA7BP5H6we/Hl+j1WPv/fi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5RNELXAAAA&#10;CgEAAA8AAAAAAAAAAQAgAAAAIgAAAGRycy9kb3ducmV2LnhtbFBLAQIUABQAAAAIAIdO4kDaIvwG&#10;HgIAACYEAAAOAAAAAAAAAAEAIAAAACYBAABkcnMvZTJvRG9jLnhtbFBLBQYAAAAABgAGAFkBAAC2&#10;BQAAAAA=&#10;">
                <v:fill on="f" focussize="0,0"/>
                <v:stroke on="f"/>
                <v:imagedata o:title=""/>
                <o:lock v:ext="edit" aspectratio="f"/>
                <v:textbox>
                  <w:txbxContent>
                    <w:p w14:paraId="062A4803">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分包责任和义务</w:t>
                      </w:r>
                    </w:p>
                  </w:txbxContent>
                </v:textbox>
              </v:shape>
            </w:pict>
          </mc:Fallback>
        </mc:AlternateContent>
      </w:r>
      <w:r>
        <w:rPr>
          <w:rFonts w:hint="eastAsia" w:ascii="仿宋" w:hAnsi="仿宋" w:eastAsia="仿宋" w:cs="仿宋"/>
          <w:b/>
          <w:bCs/>
          <w:color w:val="auto"/>
          <w:sz w:val="24"/>
          <w:szCs w:val="24"/>
          <w:highlight w:val="none"/>
          <w:lang w:eastAsia="zh-CN"/>
        </w:rPr>
        <w:t>10</w:t>
      </w:r>
      <w:r>
        <w:rPr>
          <w:rFonts w:ascii="仿宋" w:hAnsi="仿宋" w:eastAsia="仿宋" w:cs="仿宋"/>
          <w:b/>
          <w:bCs/>
          <w:color w:val="auto"/>
          <w:sz w:val="24"/>
          <w:szCs w:val="24"/>
          <w:highlight w:val="none"/>
          <w:lang w:eastAsia="zh-CN"/>
        </w:rPr>
        <w:t xml:space="preserve">.5 </w:t>
      </w:r>
    </w:p>
    <w:p w14:paraId="0AE2056D">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分包不能免除承包人应承担的任何责任和应履行的任何义务。承包人应在分包场地派驻相应管理人员保证本合同的履行。</w:t>
      </w:r>
    </w:p>
    <w:p w14:paraId="0206105F">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分包人应对分包事项负责。分包人的任何违约行为或疏忽导致工程损坏、损害或给发包人造成损失的，承包人应承担连带责任。</w:t>
      </w:r>
    </w:p>
    <w:p w14:paraId="67143A80">
      <w:pPr>
        <w:pStyle w:val="2"/>
        <w:adjustRightInd w:val="0"/>
        <w:snapToGrid w:val="0"/>
        <w:spacing w:line="360" w:lineRule="auto"/>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78720" behindDoc="0" locked="0" layoutInCell="1" allowOverlap="1">
                <wp:simplePos x="0" y="0"/>
                <wp:positionH relativeFrom="column">
                  <wp:posOffset>-114300</wp:posOffset>
                </wp:positionH>
                <wp:positionV relativeFrom="paragraph">
                  <wp:posOffset>285750</wp:posOffset>
                </wp:positionV>
                <wp:extent cx="767080" cy="517525"/>
                <wp:effectExtent l="0" t="0" r="0" b="0"/>
                <wp:wrapNone/>
                <wp:docPr id="489" name="文本框 711"/>
                <wp:cNvGraphicFramePr/>
                <a:graphic xmlns:a="http://schemas.openxmlformats.org/drawingml/2006/main">
                  <a:graphicData uri="http://schemas.microsoft.com/office/word/2010/wordprocessingShape">
                    <wps:wsp>
                      <wps:cNvSpPr txBox="1">
                        <a:spLocks noChangeArrowheads="1"/>
                      </wps:cNvSpPr>
                      <wps:spPr bwMode="auto">
                        <a:xfrm>
                          <a:off x="0" y="0"/>
                          <a:ext cx="767080" cy="517525"/>
                        </a:xfrm>
                        <a:prstGeom prst="rect">
                          <a:avLst/>
                        </a:prstGeom>
                        <a:noFill/>
                        <a:ln>
                          <a:noFill/>
                        </a:ln>
                        <a:effectLst/>
                      </wps:spPr>
                      <wps:txbx>
                        <w:txbxContent>
                          <w:p w14:paraId="339F605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分包合同终止</w:t>
                            </w:r>
                          </w:p>
                        </w:txbxContent>
                      </wps:txbx>
                      <wps:bodyPr rot="0" vert="horz" wrap="square" lIns="91440" tIns="45720" rIns="91440" bIns="45720" anchor="t" anchorCtr="0" upright="1">
                        <a:noAutofit/>
                      </wps:bodyPr>
                    </wps:wsp>
                  </a:graphicData>
                </a:graphic>
              </wp:anchor>
            </w:drawing>
          </mc:Choice>
          <mc:Fallback>
            <w:pict>
              <v:shape id="文本框 711" o:spid="_x0000_s1026" o:spt="202" type="#_x0000_t202" style="position:absolute;left:0pt;margin-left:-9pt;margin-top:22.5pt;height:40.75pt;width:60.4pt;z-index:251678720;mso-width-relative:page;mso-height-relative:page;" filled="f" stroked="f" coordsize="21600,21600" o:gfxdata="UEsDBAoAAAAAAIdO4kAAAAAAAAAAAAAAAAAEAAAAZHJzL1BLAwQUAAAACACHTuJAzt7tTNcAAAAK&#10;AQAADwAAAGRycy9kb3ducmV2LnhtbE2PzW7CMBCE75X6DtZW4gZ2IoJoGodDq15BpT9SbyZekqjx&#10;OooNCW/f5QSn3dWMZr8pNpPrxBmH0HrSkCwUCKTK25ZqDV+f7/M1iBANWdN5Qg0XDLApHx8Kk1s/&#10;0gee97EWHEIhNxqaGPtcylA16ExY+B6JtaMfnIl8DrW0gxk53HUyVWolnWmJPzSmx9cGq7/9yWn4&#10;3h5/f5ZqV7+5rB/9pCS5Z6n17ClRLyAiTvFmhis+o0PJTAd/IhtEp2GerLlL1LDMeF4NKuUuB17S&#10;VQayLOR9hfIfUEsDBBQAAAAIAIdO4kAlFZOMHgIAACYEAAAOAAAAZHJzL2Uyb0RvYy54bWytU82O&#10;0zAQviPxDpbvNG3VbrtR09Wy1SKk5UdaeADXcRqLxGPGbpPyAPAGnLhw57n6HIztbinLZQ9cIo9n&#10;/M1833xZXPVtw3YKnQZT8NFgyJkyEkptNgX/+OH2xZwz54UpRQNGFXyvHL9aPn+26GyuxlBDUypk&#10;BGJc3tmC197bPMucrFUr3ACsMpSsAFvhKcRNVqLoCL1tsvFweJF1gKVFkMo5ul2lJD8i4lMAoaq0&#10;VCuQ21YZn1BRNcITJVdr6/gyTltVSvp3VeWUZ03BiamPX2pC53X4ZsuFyDcobK3lcQTxlBEecWqF&#10;NtT0BLUSXrAt6n+gWi0RHFR+IKHNEpGoCLEYDR9pc18LqyIXktrZk+ju/8HKt7v3yHRZ8Mn8kjMj&#10;Wlr54fu3w49fh59f2Ww0ChJ11uVUeW+p1vcvoSfjRLrO3oH85JiBm1qYjbpGhK5WoqQR48vs7GnC&#10;cQFk3b2BkjqJrYcI1FfYBv1IEUbotJ79aT2q90zS5exiNpxTRlJqOppNx9MwWybyh8cWnX+loGXh&#10;UHCk7UdwsbtzPpU+lIReBm5100QHNOavC8JMNypa6Pg6UAnTJx6+X/dHadZQ7okUQrIX/Vx0qAG/&#10;cNaRtQruPm8FKs6a14aEuRxNJsGLMZhMZ2MK8DyzPs8IIwmq4J6zdLzxyb9bi3pTU6e0CgPXJGal&#10;I9EwapqKBAoB2SdKdbR68Od5HKv+/N7L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7e7UzXAAAA&#10;CgEAAA8AAAAAAAAAAQAgAAAAIgAAAGRycy9kb3ducmV2LnhtbFBLAQIUABQAAAAIAIdO4kAlFZOM&#10;HgIAACYEAAAOAAAAAAAAAAEAIAAAACYBAABkcnMvZTJvRG9jLnhtbFBLBQYAAAAABgAGAFkBAAC2&#10;BQAAAAA=&#10;">
                <v:fill on="f" focussize="0,0"/>
                <v:stroke on="f"/>
                <v:imagedata o:title=""/>
                <o:lock v:ext="edit" aspectratio="f"/>
                <v:textbox>
                  <w:txbxContent>
                    <w:p w14:paraId="339F605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分包合同终止</w:t>
                      </w:r>
                    </w:p>
                  </w:txbxContent>
                </v:textbox>
              </v:shape>
            </w:pict>
          </mc:Fallback>
        </mc:AlternateContent>
      </w:r>
      <w:r>
        <w:rPr>
          <w:rFonts w:hint="eastAsia" w:ascii="仿宋" w:hAnsi="仿宋" w:eastAsia="仿宋" w:cs="仿宋"/>
          <w:b/>
          <w:bCs/>
          <w:color w:val="auto"/>
          <w:sz w:val="24"/>
          <w:szCs w:val="24"/>
          <w:highlight w:val="none"/>
          <w:lang w:eastAsia="zh-CN"/>
        </w:rPr>
        <w:t>10</w:t>
      </w:r>
      <w:r>
        <w:rPr>
          <w:rFonts w:ascii="仿宋" w:hAnsi="仿宋" w:eastAsia="仿宋" w:cs="仿宋"/>
          <w:b/>
          <w:bCs/>
          <w:color w:val="auto"/>
          <w:sz w:val="24"/>
          <w:szCs w:val="24"/>
          <w:highlight w:val="none"/>
          <w:lang w:eastAsia="zh-CN"/>
        </w:rPr>
        <w:t xml:space="preserve">.6 </w:t>
      </w:r>
    </w:p>
    <w:p w14:paraId="080FD41E">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无论何种原因，当本合同终止时，承包人应与分包人解除分包合同。承包人应在本合同终止前向分包人支付分包人应得款项。</w:t>
      </w:r>
    </w:p>
    <w:p w14:paraId="5D077212">
      <w:pPr>
        <w:pStyle w:val="2"/>
        <w:adjustRightInd w:val="0"/>
        <w:snapToGrid w:val="0"/>
        <w:spacing w:line="360" w:lineRule="auto"/>
        <w:rPr>
          <w:rFonts w:hint="eastAsia" w:ascii="仿宋" w:hAnsi="仿宋" w:eastAsia="仿宋"/>
          <w:color w:val="auto"/>
          <w:sz w:val="24"/>
          <w:szCs w:val="24"/>
          <w:highlight w:val="none"/>
          <w:lang w:eastAsia="zh-CN"/>
        </w:rPr>
      </w:pPr>
      <w:r>
        <w:rPr>
          <w:rFonts w:hint="eastAsia" w:ascii="仿宋" w:hAnsi="仿宋" w:eastAsia="仿宋" w:cs="仿宋"/>
          <w:b/>
          <w:bCs/>
          <w:color w:val="auto"/>
          <w:sz w:val="24"/>
          <w:szCs w:val="24"/>
          <w:highlight w:val="none"/>
          <w:lang w:eastAsia="zh-CN"/>
        </w:rPr>
        <w:t>10</w:t>
      </w:r>
      <w:r>
        <w:rPr>
          <w:rFonts w:ascii="仿宋" w:hAnsi="仿宋" w:eastAsia="仿宋" w:cs="仿宋"/>
          <w:b/>
          <w:bCs/>
          <w:color w:val="auto"/>
          <w:sz w:val="24"/>
          <w:szCs w:val="24"/>
          <w:highlight w:val="none"/>
          <w:lang w:eastAsia="zh-CN"/>
        </w:rPr>
        <w:t>.</w:t>
      </w:r>
      <w:r>
        <w:rPr>
          <w:rFonts w:hint="eastAsia" w:ascii="仿宋" w:hAnsi="仿宋" w:eastAsia="仿宋" w:cs="仿宋"/>
          <w:b/>
          <w:bCs/>
          <w:color w:val="auto"/>
          <w:sz w:val="24"/>
          <w:szCs w:val="24"/>
          <w:highlight w:val="none"/>
          <w:lang w:eastAsia="zh-CN"/>
        </w:rPr>
        <w:t>7</w:t>
      </w:r>
    </w:p>
    <w:p w14:paraId="52397AA0">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977728" behindDoc="0" locked="0" layoutInCell="1" allowOverlap="1">
                <wp:simplePos x="0" y="0"/>
                <wp:positionH relativeFrom="column">
                  <wp:posOffset>-114300</wp:posOffset>
                </wp:positionH>
                <wp:positionV relativeFrom="paragraph">
                  <wp:posOffset>-1270</wp:posOffset>
                </wp:positionV>
                <wp:extent cx="765810" cy="543560"/>
                <wp:effectExtent l="0" t="0" r="0" b="0"/>
                <wp:wrapNone/>
                <wp:docPr id="490" name="文本框 711"/>
                <wp:cNvGraphicFramePr/>
                <a:graphic xmlns:a="http://schemas.openxmlformats.org/drawingml/2006/main">
                  <a:graphicData uri="http://schemas.microsoft.com/office/word/2010/wordprocessingShape">
                    <wps:wsp>
                      <wps:cNvSpPr txBox="1">
                        <a:spLocks noChangeArrowheads="1"/>
                      </wps:cNvSpPr>
                      <wps:spPr bwMode="auto">
                        <a:xfrm>
                          <a:off x="0" y="0"/>
                          <a:ext cx="765810" cy="543560"/>
                        </a:xfrm>
                        <a:prstGeom prst="rect">
                          <a:avLst/>
                        </a:prstGeom>
                        <a:noFill/>
                        <a:ln>
                          <a:noFill/>
                        </a:ln>
                        <a:effectLst/>
                      </wps:spPr>
                      <wps:txbx>
                        <w:txbxContent>
                          <w:p w14:paraId="45074F58">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发包人强制分包</w:t>
                            </w:r>
                          </w:p>
                        </w:txbxContent>
                      </wps:txbx>
                      <wps:bodyPr rot="0" vert="horz" wrap="square" lIns="91440" tIns="45720" rIns="91440" bIns="45720" anchor="t" anchorCtr="0" upright="1">
                        <a:noAutofit/>
                      </wps:bodyPr>
                    </wps:wsp>
                  </a:graphicData>
                </a:graphic>
              </wp:anchor>
            </w:drawing>
          </mc:Choice>
          <mc:Fallback>
            <w:pict>
              <v:shape id="文本框 711" o:spid="_x0000_s1026" o:spt="202" type="#_x0000_t202" style="position:absolute;left:0pt;margin-left:-9pt;margin-top:-0.1pt;height:42.8pt;width:60.3pt;z-index:251977728;mso-width-relative:page;mso-height-relative:page;" filled="f" stroked="f" coordsize="21600,21600" o:gfxdata="UEsDBAoAAAAAAIdO4kAAAAAAAAAAAAAAAAAEAAAAZHJzL1BLAwQUAAAACACHTuJASMjqW9YAAAAI&#10;AQAADwAAAGRycy9kb3ducmV2LnhtbE2PzW7CMBCE75V4B2srcYN1IkBpGocDVa+g0h+pNxMvSdR4&#10;HcWGhLevObW3Wc1q5ptiO9lOXGnwrWMFyVKCIK6cablW8PH+ushA+KDZ6M4xKbiRh205eyh0btzI&#10;b3Q9hlrEEPa5VtCE0OeIvmrIar90PXH0zm6wOsRzqNEMeozhtsNUyg1a3XJsaHRPu4aqn+PFKvjc&#10;n7+/VvJQv9h1P7pJItsnVGr+mMhnEIGm8PcMd/yIDmVkOrkLGy86BYski1tCFCmIuy/TDYiTgmy9&#10;AiwL/D+g/AVQSwMEFAAAAAgAh07iQM9IkTgfAgAAJgQAAA4AAABkcnMvZTJvRG9jLnhtbK1TS27b&#10;MBDdF+gdCO5rWa4/iWA5SGOkKJA2BdIegKYoi6jEYYe0JfcAzQ266qb7nMvn6JByXDfdZNGNwOEM&#10;38x78zS/6JqabRU6DSbn6WDImTISCm3WOf/86frVGWfOC1OIGozK+U45frF4+WLe2kyNoIK6UMgI&#10;xListTmvvLdZkjhZqUa4AVhlKFkCNsJTiOukQNESelMno+FwmrSAhUWQyjm6XfZJfkDE5wBCWWqp&#10;liA3jTK+R0VVC0+UXKWt44s4bVkq6W/L0inP6pwTUx+/1ITOq/BNFnORrVHYSsvDCOI5Izzh1Aht&#10;qOkRaim8YBvU/0A1WiI4KP1AQpP0RKIixCIdPtHmrhJWRS4ktbNH0d3/g5Ufth+R6SLn43PSxIiG&#10;Vr7/cb//+bD/9Z3N0jRI1FqXUeWdpVrfvYGOjBPpOnsD8otjBq4qYdbqEhHaSomCRowvk5OnPY4L&#10;IKv2PRTUSWw8RKCuxCboR4owQqdRdsf1qM4zSZez6eQspYyk1GT8ejKN60tE9vjYovNvFTQsHHKO&#10;tP0ILrY3zhMNKn0sCb0MXOu6jg6ozV8XVNjfqGihw+tAJUzf8/DdqjtIs4JiR6QQenvRz0WHCvAb&#10;Zy1ZK+fu60ag4qx+Z0iY83Q8Jho+BuPJbEQBnmZWpxlhJEHl3HPWH69879+NRb2uqFO/CgOXJGap&#10;I9Ewaj8VsQ4B2SfyP1g9+PM0jlV/fu/F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jI6lvWAAAA&#10;CAEAAA8AAAAAAAAAAQAgAAAAIgAAAGRycy9kb3ducmV2LnhtbFBLAQIUABQAAAAIAIdO4kDPSJE4&#10;HwIAACYEAAAOAAAAAAAAAAEAIAAAACUBAABkcnMvZTJvRG9jLnhtbFBLBQYAAAAABgAGAFkBAAC2&#10;BQAAAAA=&#10;">
                <v:fill on="f" focussize="0,0"/>
                <v:stroke on="f"/>
                <v:imagedata o:title=""/>
                <o:lock v:ext="edit" aspectratio="f"/>
                <v:textbox>
                  <w:txbxContent>
                    <w:p w14:paraId="45074F58">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发包人强制分包</w:t>
                      </w:r>
                    </w:p>
                  </w:txbxContent>
                </v:textbox>
              </v:shape>
            </w:pict>
          </mc:Fallback>
        </mc:AlternateContent>
      </w:r>
      <w:r>
        <w:rPr>
          <w:rFonts w:hint="eastAsia" w:ascii="仿宋" w:hAnsi="仿宋" w:eastAsia="仿宋" w:cs="仿宋"/>
          <w:color w:val="auto"/>
          <w:highlight w:val="none"/>
          <w:lang w:eastAsia="zh-CN"/>
        </w:rPr>
        <w:t>因承包人违约或发生重大的质量、安全事故以及出现进度严重滞后的情况或工程专业化施工等的需要，发包人有权对承包人部分工作事项进行切割，做分包处理，因此而增加的一切费用由承包人承担。</w:t>
      </w:r>
    </w:p>
    <w:p w14:paraId="44FFEE2F">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当发包人决定采取分包时，承包人应无条件接受并全力配合发包人开展相关工作，并无条件提供已有的临时设施供分包人使用，且不得为此要求增加或支付任何费用，否则视承包人违约。发包人委托造价咨询人按合同价格清单、分包工程量及相关违约条款计算该分包工程造价，并按以下原则从承包人的合同总价中扣除相应价款：</w:t>
      </w:r>
    </w:p>
    <w:p w14:paraId="63A95F3F">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（1）若计算结果等于或高于发包人与分包人就该分包事项协商确定的合同总价，则按造价咨询人计算结果扣除。</w:t>
      </w:r>
    </w:p>
    <w:p w14:paraId="3091A4FA">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（2）若计算结果低于发包人与分包人就该分包事项协商确定的合同总价，按发包人与分包人协商确定的该分包事项合同总价扣除。</w:t>
      </w:r>
    </w:p>
    <w:p w14:paraId="35ADBDF8">
      <w:pPr>
        <w:spacing w:line="360" w:lineRule="auto"/>
        <w:rPr>
          <w:color w:val="auto"/>
          <w:highlight w:val="none"/>
          <w:lang w:eastAsia="zh-CN"/>
        </w:rPr>
      </w:pPr>
    </w:p>
    <w:p w14:paraId="5BAD3368">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04" w:name="_Toc30528"/>
      <w:r>
        <w:rPr>
          <w:rFonts w:hint="eastAsia" w:ascii="仿宋" w:hAnsi="仿宋" w:eastAsia="仿宋" w:cs="仿宋"/>
          <w:color w:val="auto"/>
          <w:sz w:val="24"/>
          <w:szCs w:val="24"/>
          <w:highlight w:val="none"/>
          <w:lang w:eastAsia="zh-CN"/>
        </w:rPr>
        <w:t>11现场查勘</w:t>
      </w:r>
      <w:bookmarkEnd w:id="304"/>
    </w:p>
    <w:p w14:paraId="6E943DA8">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1679744" behindDoc="0" locked="0" layoutInCell="1" allowOverlap="1">
                <wp:simplePos x="0" y="0"/>
                <wp:positionH relativeFrom="column">
                  <wp:posOffset>-114300</wp:posOffset>
                </wp:positionH>
                <wp:positionV relativeFrom="paragraph">
                  <wp:posOffset>236855</wp:posOffset>
                </wp:positionV>
                <wp:extent cx="765810" cy="359410"/>
                <wp:effectExtent l="0" t="0" r="0" b="0"/>
                <wp:wrapNone/>
                <wp:docPr id="491" name="文本框 712"/>
                <wp:cNvGraphicFramePr/>
                <a:graphic xmlns:a="http://schemas.openxmlformats.org/drawingml/2006/main">
                  <a:graphicData uri="http://schemas.microsoft.com/office/word/2010/wordprocessingShape">
                    <wps:wsp>
                      <wps:cNvSpPr txBox="1">
                        <a:spLocks noChangeArrowheads="1"/>
                      </wps:cNvSpPr>
                      <wps:spPr bwMode="auto">
                        <a:xfrm>
                          <a:off x="0" y="0"/>
                          <a:ext cx="765810" cy="359410"/>
                        </a:xfrm>
                        <a:prstGeom prst="rect">
                          <a:avLst/>
                        </a:prstGeom>
                        <a:noFill/>
                        <a:ln>
                          <a:noFill/>
                        </a:ln>
                        <a:effectLst/>
                      </wps:spPr>
                      <wps:txbx>
                        <w:txbxContent>
                          <w:p w14:paraId="7462EEFF">
                            <w:pPr>
                              <w:spacing w:line="20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发包人提供资料的责任</w:t>
                            </w:r>
                          </w:p>
                        </w:txbxContent>
                      </wps:txbx>
                      <wps:bodyPr rot="0" vert="horz" wrap="square" lIns="91440" tIns="45720" rIns="91440" bIns="45720" anchor="t" anchorCtr="0" upright="1">
                        <a:noAutofit/>
                      </wps:bodyPr>
                    </wps:wsp>
                  </a:graphicData>
                </a:graphic>
              </wp:anchor>
            </w:drawing>
          </mc:Choice>
          <mc:Fallback>
            <w:pict>
              <v:shape id="文本框 712" o:spid="_x0000_s1026" o:spt="202" type="#_x0000_t202" style="position:absolute;left:0pt;margin-left:-9pt;margin-top:18.65pt;height:28.3pt;width:60.3pt;z-index:251679744;mso-width-relative:page;mso-height-relative:page;" filled="f" stroked="f" coordsize="21600,21600" o:gfxdata="UEsDBAoAAAAAAIdO4kAAAAAAAAAAAAAAAAAEAAAAZHJzL1BLAwQUAAAACACHTuJAD4V5XdcAAAAJ&#10;AQAADwAAAGRycy9kb3ducmV2LnhtbE2PzU7DMBCE70h9B2srcWvtNFCakE0PRVxBlB+Jmxtvk6jx&#10;OordJrw97gmOoxnNfFNsJ9uJCw2+dYyQLBUI4sqZlmuEj/fnxQaED5qN7hwTwg952Jazm0Lnxo38&#10;Rpd9qEUsYZ9rhCaEPpfSVw1Z7ZeuJ47e0Q1WhyiHWppBj7HcdnKl1Fpa3XJcaHRPu4aq0/5sET5f&#10;jt9fd+q1frL3/egmJdlmEvF2nqhHEIGm8BeGK35EhzIyHdyZjRcdwiLZxC8BIX1IQVwDarUGcUDI&#10;0gxkWcj/D8pfUEsDBBQAAAAIAIdO4kDBwgv/HQIAACYEAAAOAAAAZHJzL2Uyb0RvYy54bWytU81u&#10;00AQviPxDqu9E8chaRorTlUaFSEVqFR4gM16Ha+wd5bZTezwAPAGnLhw73PlOZhdp2kolx64WLPz&#10;881834znF11Ts61Cp8HkPB0MOVNGQqHNOuefP12/OufMeWEKUYNROd8pxy8WL1/MW5upEVRQFwoZ&#10;gRiXtTbnlfc2SxInK9UINwCrDAVLwEZ4euI6KVC0hN7UyWg4PEtawMIiSOUceZd9kB8Q8TmAUJZa&#10;qiXITaOM71FR1cITJVdp6/giTluWSvqPZemUZ3XOiamPX2pC9ip8k8VcZGsUttLyMIJ4zghPODVC&#10;G2p6hFoKL9gG9T9QjZYIDko/kNAkPZGoCLFIh0+0uauEVZELSe3sUXT3/2Dlh+0tMl3kfDxLOTOi&#10;oZXvf/7Y/7rf//7OpukoSNRal1HmnaVc372Bjg4n0nX2BuQXxwxcVcKs1SUitJUSBY2YhsrkpLTH&#10;cQFk1b6HgjqJjYcI1JXYBP1IEUbotJ7dcT2q80ySc3o2OU8pIin0ejIbkx06iOyh2KLzbxU0LBg5&#10;R9p+BBfbG+f71IeU0MvAta5r8ousNn85CLP3qHhCh+pAJUzf8/DdqqPa4FxBsSNSCP150c9FRgX4&#10;jbOWTivn7utGoOKsfmdImFk6HodbjI/xZDqiB55GVqcRYSRB5dxz1ptXvr/fjUW9rqhTvwoDlyRm&#10;qSPRx6kOK6DziVIdTj3c5+k7Zj3+3os/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D4V5XdcAAAAJ&#10;AQAADwAAAAAAAAABACAAAAAiAAAAZHJzL2Rvd25yZXYueG1sUEsBAhQAFAAAAAgAh07iQMHCC/8d&#10;AgAAJgQAAA4AAAAAAAAAAQAgAAAAJgEAAGRycy9lMm9Eb2MueG1sUEsFBgAAAAAGAAYAWQEAALUF&#10;AAAAAA==&#10;">
                <v:fill on="f" focussize="0,0"/>
                <v:stroke on="f"/>
                <v:imagedata o:title=""/>
                <o:lock v:ext="edit" aspectratio="f"/>
                <v:textbox>
                  <w:txbxContent>
                    <w:p w14:paraId="7462EEFF">
                      <w:pPr>
                        <w:spacing w:line="20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发包人提供资料的责任</w:t>
                      </w:r>
                    </w:p>
                  </w:txbxContent>
                </v:textbox>
              </v:shape>
            </w:pict>
          </mc:Fallback>
        </mc:AlternateContent>
      </w:r>
      <w:r>
        <w:rPr>
          <w:rFonts w:hint="eastAsia" w:ascii="仿宋" w:hAnsi="仿宋" w:eastAsia="仿宋" w:cs="仿宋"/>
          <w:b/>
          <w:bCs/>
          <w:color w:val="auto"/>
          <w:sz w:val="24"/>
          <w:szCs w:val="24"/>
          <w:highlight w:val="none"/>
          <w:lang w:eastAsia="zh-CN"/>
        </w:rPr>
        <w:t>11</w:t>
      </w:r>
      <w:r>
        <w:rPr>
          <w:rFonts w:ascii="仿宋" w:hAnsi="仿宋" w:eastAsia="仿宋" w:cs="仿宋"/>
          <w:b/>
          <w:bCs/>
          <w:color w:val="auto"/>
          <w:sz w:val="24"/>
          <w:szCs w:val="24"/>
          <w:highlight w:val="none"/>
          <w:lang w:eastAsia="zh-CN"/>
        </w:rPr>
        <w:t>.1</w:t>
      </w:r>
    </w:p>
    <w:p w14:paraId="246AE04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发包人应按照第6条和第22</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款第（1）点约定向承包人提供《发包人要求》和项目基础资料。</w:t>
      </w:r>
    </w:p>
    <w:p w14:paraId="032DFE0A">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11</w:t>
      </w:r>
      <w:r>
        <w:rPr>
          <w:rFonts w:ascii="仿宋" w:hAnsi="仿宋" w:eastAsia="仿宋" w:cs="仿宋"/>
          <w:b/>
          <w:bCs/>
          <w:color w:val="auto"/>
          <w:sz w:val="24"/>
          <w:szCs w:val="24"/>
          <w:highlight w:val="none"/>
          <w:lang w:eastAsia="zh-CN"/>
        </w:rPr>
        <w:t xml:space="preserve">.2  </w:t>
      </w:r>
    </w:p>
    <w:p w14:paraId="2CE7D4E1">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80768" behindDoc="0" locked="0" layoutInCell="1" allowOverlap="1">
                <wp:simplePos x="0" y="0"/>
                <wp:positionH relativeFrom="column">
                  <wp:posOffset>-114300</wp:posOffset>
                </wp:positionH>
                <wp:positionV relativeFrom="paragraph">
                  <wp:posOffset>0</wp:posOffset>
                </wp:positionV>
                <wp:extent cx="850900" cy="494665"/>
                <wp:effectExtent l="0" t="0" r="0" b="0"/>
                <wp:wrapNone/>
                <wp:docPr id="492" name="文本框 713"/>
                <wp:cNvGraphicFramePr/>
                <a:graphic xmlns:a="http://schemas.openxmlformats.org/drawingml/2006/main">
                  <a:graphicData uri="http://schemas.microsoft.com/office/word/2010/wordprocessingShape">
                    <wps:wsp>
                      <wps:cNvSpPr txBox="1">
                        <a:spLocks noChangeArrowheads="1"/>
                      </wps:cNvSpPr>
                      <wps:spPr bwMode="auto">
                        <a:xfrm>
                          <a:off x="0" y="0"/>
                          <a:ext cx="850900" cy="494665"/>
                        </a:xfrm>
                        <a:prstGeom prst="rect">
                          <a:avLst/>
                        </a:prstGeom>
                        <a:noFill/>
                        <a:ln>
                          <a:noFill/>
                        </a:ln>
                        <a:effectLst/>
                      </wps:spPr>
                      <wps:txbx>
                        <w:txbxContent>
                          <w:p w14:paraId="1C6BBFFF">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承包人现场查勘</w:t>
                            </w:r>
                          </w:p>
                        </w:txbxContent>
                      </wps:txbx>
                      <wps:bodyPr rot="0" vert="horz" wrap="square" lIns="91440" tIns="45720" rIns="91440" bIns="45720" anchor="t" anchorCtr="0" upright="1">
                        <a:noAutofit/>
                      </wps:bodyPr>
                    </wps:wsp>
                  </a:graphicData>
                </a:graphic>
              </wp:anchor>
            </w:drawing>
          </mc:Choice>
          <mc:Fallback>
            <w:pict>
              <v:shape id="文本框 713" o:spid="_x0000_s1026" o:spt="202" type="#_x0000_t202" style="position:absolute;left:0pt;margin-left:-9pt;margin-top:0pt;height:38.95pt;width:67pt;z-index:251680768;mso-width-relative:page;mso-height-relative:page;" filled="f" stroked="f" coordsize="21600,21600" o:gfxdata="UEsDBAoAAAAAAIdO4kAAAAAAAAAAAAAAAAAEAAAAZHJzL1BLAwQUAAAACACHTuJAAD1cSdUAAAAH&#10;AQAADwAAAGRycy9kb3ducmV2LnhtbE2PS0/DMBCE70j8B2uRuLV2EPSRZtMDiCuI8pB6c+NtEhGv&#10;o9htwr9ne4LLalazmvm22E6+U2caYhsYIZsbUMRVcC3XCB/vz7MVqJgsO9sFJoQfirAtr68Km7sw&#10;8hudd6lWEsIxtwhNSn2udawa8jbOQ08s3jEM3iZZh1q7wY4S7jt9Z8xCe9uyNDS2p8eGqu/dySN8&#10;vhz3X/fmtX7yD/0YJqPZrzXi7U1mNqASTenvGC74gg6lMB3CiV1UHcIsW8kvCUHmxc4WIg4Iy+Ua&#10;dFno//zlL1BLAwQUAAAACACHTuJAqWaJTR8CAAAmBAAADgAAAGRycy9lMm9Eb2MueG1srVNLbtsw&#10;EN0X6B0I7mvJru3EguUgjZGiQPoB0h6ApiiLqMRhh7Sl9ADNDbrqpvuey+fokFJcN91k0Q1BcoZv&#10;5r15XF50Tc32Cp0Gk/PxKOVMGQmFNtucf/p4/eKcM+eFKUQNRuX8Tjl+sXr+bNnaTE2ggrpQyAjE&#10;uKy1Oa+8t1mSOFmpRrgRWGUoWAI2wtMRt0mBoiX0pk4maTpPWsDCIkjlHN2u+yAfEPEpgFCWWqo1&#10;yF2jjO9RUdXCEyVXaev4KnZblkr692XplGd1zompjysVof0mrMlqKbItCltpObQgntLCI06N0IaK&#10;HqHWwgu2Q/0PVKMlgoPSjyQ0SU8kKkIsxukjbW4rYVXkQlI7exTd/T9Y+W7/AZkucj5dTDgzoqGR&#10;H77fH378Ovz8xs7GL4NErXUZZd5ayvXdK+jIOJGuszcgPztm4KoSZqsuEaGtlCioxXF4mZw87XFc&#10;ANm0b6GgSmLnIQJ1JTZBP1KEETqN5+44HtV5JunyfJYuUopICk0X0/l8FiuI7OGxRedfK2hY2OQc&#10;afoRXOxvnA/NiOwhJdQycK3rOjqgNn9dUGJ/o6KFhteBSui+5+G7TTdIs4Hijkgh9Paiz0WbCvAr&#10;Zy1ZK+fuy06g4qx+Y0iYxXg6DV6Mh+nsbEIHPI1sTiPCSILKuees31753r87i3pbUaV+FAYuScxS&#10;R6Kh1b6rYQRkn8h/sHrw5+k5Zv353q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D1cSdUAAAAH&#10;AQAADwAAAAAAAAABACAAAAAiAAAAZHJzL2Rvd25yZXYueG1sUEsBAhQAFAAAAAgAh07iQKlmiU0f&#10;AgAAJgQAAA4AAAAAAAAAAQAgAAAAJAEAAGRycy9lMm9Eb2MueG1sUEsFBgAAAAAGAAYAWQEAALUF&#10;AAAAAA==&#10;">
                <v:fill on="f" focussize="0,0"/>
                <v:stroke on="f"/>
                <v:imagedata o:title=""/>
                <o:lock v:ext="edit" aspectratio="f"/>
                <v:textbox>
                  <w:txbxContent>
                    <w:p w14:paraId="1C6BBFFF">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承包人现场查勘</w:t>
                      </w:r>
                    </w:p>
                  </w:txbxContent>
                </v:textbox>
              </v:shape>
            </w:pict>
          </mc:Fallback>
        </mc:AlternateContent>
      </w:r>
      <w:r>
        <w:rPr>
          <w:rFonts w:hint="eastAsia" w:ascii="仿宋" w:hAnsi="仿宋" w:eastAsia="仿宋" w:cs="仿宋"/>
          <w:color w:val="auto"/>
          <w:sz w:val="24"/>
          <w:szCs w:val="24"/>
          <w:highlight w:val="none"/>
          <w:lang w:eastAsia="zh-CN"/>
        </w:rPr>
        <w:t>承包人已依据发包人提供的项目基础资料和自己对现场查勘来编制投标文件或报价文件，应对发包人提供项目基础资料的理解、推断和应用负责。</w:t>
      </w:r>
      <w:r>
        <w:rPr>
          <w:rFonts w:ascii="仿宋" w:hAnsi="仿宋" w:eastAsia="仿宋" w:cs="仿宋"/>
          <w:color w:val="auto"/>
          <w:sz w:val="24"/>
          <w:szCs w:val="24"/>
          <w:highlight w:val="none"/>
          <w:lang w:eastAsia="zh-CN"/>
        </w:rPr>
        <w:t>因承包人未能充分查勘、了解</w:t>
      </w:r>
      <w:r>
        <w:rPr>
          <w:rFonts w:hint="eastAsia" w:ascii="仿宋" w:hAnsi="仿宋" w:eastAsia="仿宋" w:cs="仿宋"/>
          <w:color w:val="auto"/>
          <w:sz w:val="24"/>
          <w:szCs w:val="24"/>
          <w:highlight w:val="none"/>
          <w:lang w:eastAsia="zh-CN"/>
        </w:rPr>
        <w:t>以下</w:t>
      </w:r>
      <w:r>
        <w:rPr>
          <w:rFonts w:ascii="仿宋" w:hAnsi="仿宋" w:eastAsia="仿宋" w:cs="仿宋"/>
          <w:color w:val="auto"/>
          <w:sz w:val="24"/>
          <w:szCs w:val="24"/>
          <w:highlight w:val="none"/>
          <w:lang w:eastAsia="zh-CN"/>
        </w:rPr>
        <w:t>情况或未能充分估计</w:t>
      </w:r>
      <w:r>
        <w:rPr>
          <w:rFonts w:hint="eastAsia" w:ascii="仿宋" w:hAnsi="仿宋" w:eastAsia="仿宋" w:cs="仿宋"/>
          <w:color w:val="auto"/>
          <w:sz w:val="24"/>
          <w:szCs w:val="24"/>
          <w:highlight w:val="none"/>
          <w:lang w:eastAsia="zh-CN"/>
        </w:rPr>
        <w:t>以下</w:t>
      </w:r>
      <w:r>
        <w:rPr>
          <w:rFonts w:ascii="仿宋" w:hAnsi="仿宋" w:eastAsia="仿宋" w:cs="仿宋"/>
          <w:color w:val="auto"/>
          <w:sz w:val="24"/>
          <w:szCs w:val="24"/>
          <w:highlight w:val="none"/>
          <w:lang w:eastAsia="zh-CN"/>
        </w:rPr>
        <w:t>情况所可能产生后果的，承包人承担由此增加的费用和（或）延误的工期。</w:t>
      </w:r>
      <w:r>
        <w:rPr>
          <w:rFonts w:hint="eastAsia" w:ascii="仿宋" w:hAnsi="仿宋" w:eastAsia="仿宋" w:cs="仿宋"/>
          <w:color w:val="auto"/>
          <w:sz w:val="24"/>
          <w:szCs w:val="24"/>
          <w:highlight w:val="none"/>
          <w:lang w:eastAsia="zh-CN"/>
        </w:rPr>
        <w:t>承包人的投标文件或报价文件应被认为已经考虑了工程现场及其周围环境的影响，包括但不限于以下内容：</w:t>
      </w:r>
    </w:p>
    <w:p w14:paraId="430C619A">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）现场地质情况及地形地貌特征；</w:t>
      </w:r>
    </w:p>
    <w:p w14:paraId="71E52E29">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（2）水文和气候条件；</w:t>
      </w:r>
    </w:p>
    <w:p w14:paraId="61FEE7B4">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（3）为实施、完成并保修合同工程所需的临时工程和措施项目；</w:t>
      </w:r>
    </w:p>
    <w:p w14:paraId="30B06888">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（4）为实施、完成并保修合同工程所需的工程材料采购和加工、工程设备的采购，及所需的施工设备、周转性材料、人员和管理等；</w:t>
      </w:r>
    </w:p>
    <w:p w14:paraId="0B76612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（5）场地内外的交通情况及水、电、食宿供应条件；</w:t>
      </w:r>
    </w:p>
    <w:p w14:paraId="3370C6D9">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（6）可能对投标或报价有影响或起作用的其他情况。</w:t>
      </w:r>
    </w:p>
    <w:p w14:paraId="3C32B8AA">
      <w:pPr>
        <w:pStyle w:val="2"/>
        <w:adjustRightInd w:val="0"/>
        <w:snapToGrid w:val="0"/>
        <w:spacing w:line="360" w:lineRule="auto"/>
        <w:rPr>
          <w:rFonts w:hint="eastAsia" w:ascii="仿宋" w:hAnsi="仿宋" w:eastAsia="仿宋"/>
          <w:color w:val="auto"/>
          <w:sz w:val="24"/>
          <w:szCs w:val="24"/>
          <w:highlight w:val="none"/>
          <w:u w:val="single"/>
          <w:lang w:eastAsia="zh-CN"/>
        </w:rPr>
      </w:pPr>
    </w:p>
    <w:p w14:paraId="46CF3C3B">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05" w:name="_Toc5474"/>
      <w:r>
        <w:rPr>
          <w:rFonts w:hint="eastAsia" w:ascii="仿宋" w:hAnsi="仿宋" w:eastAsia="仿宋" w:cs="仿宋"/>
          <w:color w:val="auto"/>
          <w:sz w:val="24"/>
          <w:szCs w:val="24"/>
          <w:highlight w:val="none"/>
          <w:lang w:eastAsia="zh-CN"/>
        </w:rPr>
        <w:t>12招标错失的修正</w:t>
      </w:r>
      <w:bookmarkEnd w:id="305"/>
    </w:p>
    <w:p w14:paraId="582DC1C0">
      <w:pPr>
        <w:pStyle w:val="2"/>
        <w:adjustRightInd w:val="0"/>
        <w:snapToGrid w:val="0"/>
        <w:spacing w:before="240" w:beforeLines="100"/>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81792" behindDoc="0" locked="0" layoutInCell="1" allowOverlap="1">
                <wp:simplePos x="0" y="0"/>
                <wp:positionH relativeFrom="column">
                  <wp:posOffset>-60960</wp:posOffset>
                </wp:positionH>
                <wp:positionV relativeFrom="paragraph">
                  <wp:posOffset>241300</wp:posOffset>
                </wp:positionV>
                <wp:extent cx="824230" cy="783590"/>
                <wp:effectExtent l="0" t="0" r="0" b="0"/>
                <wp:wrapNone/>
                <wp:docPr id="493" name="文本框 714"/>
                <wp:cNvGraphicFramePr/>
                <a:graphic xmlns:a="http://schemas.openxmlformats.org/drawingml/2006/main">
                  <a:graphicData uri="http://schemas.microsoft.com/office/word/2010/wordprocessingShape">
                    <wps:wsp>
                      <wps:cNvSpPr txBox="1">
                        <a:spLocks noChangeArrowheads="1"/>
                      </wps:cNvSpPr>
                      <wps:spPr bwMode="auto">
                        <a:xfrm>
                          <a:off x="0" y="0"/>
                          <a:ext cx="824230" cy="783590"/>
                        </a:xfrm>
                        <a:prstGeom prst="rect">
                          <a:avLst/>
                        </a:prstGeom>
                        <a:noFill/>
                        <a:ln>
                          <a:noFill/>
                        </a:ln>
                        <a:effectLst/>
                      </wps:spPr>
                      <wps:txbx>
                        <w:txbxContent>
                          <w:p w14:paraId="77B86D42">
                            <w:pPr>
                              <w:pStyle w:val="2"/>
                              <w:tabs>
                                <w:tab w:val="left" w:pos="2160"/>
                              </w:tabs>
                              <w:spacing w:before="192" w:beforeLines="80"/>
                              <w:rPr>
                                <w:lang w:eastAsia="zh-CN"/>
                              </w:rPr>
                            </w:pPr>
                            <w:r>
                              <w:rPr>
                                <w:rFonts w:hint="eastAsia" w:ascii="楷体_GB2312" w:hAnsi="宋体" w:eastAsia="楷体_GB2312" w:cs="楷体_GB2312"/>
                                <w:b/>
                                <w:bCs/>
                                <w:color w:val="000000"/>
                                <w:sz w:val="18"/>
                                <w:szCs w:val="18"/>
                                <w:lang w:eastAsia="zh-CN"/>
                              </w:rPr>
                              <w:t>合同条款及格式完备性和义务</w:t>
                            </w:r>
                          </w:p>
                        </w:txbxContent>
                      </wps:txbx>
                      <wps:bodyPr rot="0" vert="horz" wrap="square" lIns="91440" tIns="45720" rIns="91440" bIns="45720" anchor="t" anchorCtr="0" upright="1">
                        <a:noAutofit/>
                      </wps:bodyPr>
                    </wps:wsp>
                  </a:graphicData>
                </a:graphic>
              </wp:anchor>
            </w:drawing>
          </mc:Choice>
          <mc:Fallback>
            <w:pict>
              <v:shape id="文本框 714" o:spid="_x0000_s1026" o:spt="202" type="#_x0000_t202" style="position:absolute;left:0pt;margin-left:-4.8pt;margin-top:19pt;height:61.7pt;width:64.9pt;z-index:251681792;mso-width-relative:page;mso-height-relative:page;" filled="f" stroked="f" coordsize="21600,21600" o:gfxdata="UEsDBAoAAAAAAIdO4kAAAAAAAAAAAAAAAAAEAAAAZHJzL1BLAwQUAAAACACHTuJALxD5gtcAAAAJ&#10;AQAADwAAAGRycy9kb3ducmV2LnhtbE2PzU7DMBCE70i8g7VI3Fo7oURtiNNDK64g+oPEzY23SUS8&#10;jmK3CW/P9gS3Hc1o9ptiPblOXHEIrScNyVyBQKq8banWcNi/zpYgQjRkTecJNfxggHV5f1eY3PqR&#10;PvC6i7XgEgq50dDE2OdShqpBZ8Lc90jsnf3gTGQ51NIOZuRy18lUqUw60xJ/aEyPmwar793FaTi+&#10;nb8+F+q93rrnfvSTkuRWUuvHh0S9gIg4xb8w3PAZHUpmOvkL2SA6DbNVxkkNT0uedPNTlYI48ZEl&#10;C5BlIf8vKH8BUEsDBBQAAAAIAIdO4kDUg30wHwIAACYEAAAOAAAAZHJzL2Uyb0RvYy54bWytU0tu&#10;2zAQ3RfoHQjua/mX2hYsB2mMFAXSD5D2ADRFWUQlDjukLbkHaG7QVTfd91w+R4eU4rrpJotuCJIz&#10;fDPvzePysq0rtlfoNJiMjwZDzpSRkGuzzfinjzcv5pw5L0wuKjAq4wfl+OXq+bNlY1M1hhKqXCEj&#10;EOPSxma89N6mSeJkqWrhBmCVoWABWAtPR9wmOYqG0OsqGQ+HL5MGMLcIUjlHt+suyHtEfAogFIWW&#10;ag1yVyvjO1RUlfBEyZXaOr6K3RaFkv59UTjlWZVxYurjSkVovwlrslqKdIvCllr2LYintPCIUy20&#10;oaInqLXwgu1Q/wNVa4ngoPADCXXSEYmKEIvR8JE2d6WwKnIhqZ09ie7+H6x8t/+ATOcZny4mnBlR&#10;08iP3++PP34df35js9E0SNRYl1LmnaVc376ClowT6Tp7C/KzYwauS2G26goRmlKJnFochZfJ2dMO&#10;xwWQTfMWcqokdh4iUFtgHfQjRRih03gOp/Go1jNJl/PxdDyhiKTQbD65WMTxJSJ9eGzR+dcKahY2&#10;GUeafgQX+1vnQzMifUgJtQzc6KqKDqjMXxeU2N2oaKH+daASuu94+HbT9tJsID8QKYTOXvS5aFMC&#10;fuWsIWtl3H3ZCVScVW8MCbMYTafBi/EwvZiN6YDnkc15RBhJUBn3nHXba9/5d2dRb0uq1I3CwBWJ&#10;WehINLTaddWPgOwT+fdWD/48P8esP9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vEPmC1wAA&#10;AAkBAAAPAAAAAAAAAAEAIAAAACIAAABkcnMvZG93bnJldi54bWxQSwECFAAUAAAACACHTuJA1IN9&#10;MB8CAAAmBAAADgAAAAAAAAABACAAAAAmAQAAZHJzL2Uyb0RvYy54bWxQSwUGAAAAAAYABgBZAQAA&#10;twUAAAAA&#10;">
                <v:fill on="f" focussize="0,0"/>
                <v:stroke on="f"/>
                <v:imagedata o:title=""/>
                <o:lock v:ext="edit" aspectratio="f"/>
                <v:textbox>
                  <w:txbxContent>
                    <w:p w14:paraId="77B86D42">
                      <w:pPr>
                        <w:pStyle w:val="2"/>
                        <w:tabs>
                          <w:tab w:val="left" w:pos="2160"/>
                        </w:tabs>
                        <w:spacing w:before="192" w:beforeLines="80"/>
                        <w:rPr>
                          <w:lang w:eastAsia="zh-CN"/>
                        </w:rPr>
                      </w:pPr>
                      <w:r>
                        <w:rPr>
                          <w:rFonts w:hint="eastAsia" w:ascii="楷体_GB2312" w:hAnsi="宋体" w:eastAsia="楷体_GB2312" w:cs="楷体_GB2312"/>
                          <w:b/>
                          <w:bCs/>
                          <w:color w:val="000000"/>
                          <w:sz w:val="18"/>
                          <w:szCs w:val="18"/>
                          <w:lang w:eastAsia="zh-CN"/>
                        </w:rPr>
                        <w:t>合同条款及格式完备性和义务</w:t>
                      </w:r>
                    </w:p>
                  </w:txbxContent>
                </v:textbox>
              </v:shape>
            </w:pict>
          </mc:Fallback>
        </mc:AlternateContent>
      </w:r>
      <w:r>
        <w:rPr>
          <w:rFonts w:hint="eastAsia" w:ascii="仿宋" w:hAnsi="仿宋" w:eastAsia="仿宋" w:cs="仿宋"/>
          <w:b/>
          <w:bCs/>
          <w:color w:val="auto"/>
          <w:sz w:val="24"/>
          <w:szCs w:val="24"/>
          <w:highlight w:val="none"/>
          <w:lang w:eastAsia="zh-CN"/>
        </w:rPr>
        <w:t>12</w:t>
      </w:r>
      <w:r>
        <w:rPr>
          <w:rFonts w:ascii="仿宋" w:hAnsi="仿宋" w:eastAsia="仿宋" w:cs="仿宋"/>
          <w:b/>
          <w:bCs/>
          <w:color w:val="auto"/>
          <w:sz w:val="24"/>
          <w:szCs w:val="24"/>
          <w:highlight w:val="none"/>
          <w:lang w:eastAsia="zh-CN"/>
        </w:rPr>
        <w:t>.1</w:t>
      </w:r>
    </w:p>
    <w:p w14:paraId="2413E4A7">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发包人招标文件中的合同条款及格式，被认为是正确的和公平的，并已包括了发包人履行本合同的全部义务，包括但不限于以下内容：</w:t>
      </w:r>
    </w:p>
    <w:p w14:paraId="49F9FEA3">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）支付工程款及其他应付款项的义务；</w:t>
      </w:r>
    </w:p>
    <w:p w14:paraId="16BC3785">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）完成本合同第22</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款约定工作的义务；</w:t>
      </w:r>
    </w:p>
    <w:p w14:paraId="7F402AC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）修正不正确合同条款及格式的义务；</w:t>
      </w:r>
    </w:p>
    <w:p w14:paraId="0FCFC929">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）澄清并改正被认定有失公平的合同条款的义务；</w:t>
      </w:r>
    </w:p>
    <w:p w14:paraId="5751925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5</w:t>
      </w:r>
      <w:r>
        <w:rPr>
          <w:rFonts w:hint="eastAsia" w:ascii="仿宋" w:hAnsi="仿宋" w:eastAsia="仿宋" w:cs="仿宋"/>
          <w:color w:val="auto"/>
          <w:sz w:val="24"/>
          <w:szCs w:val="24"/>
          <w:highlight w:val="none"/>
          <w:lang w:eastAsia="zh-CN"/>
        </w:rPr>
        <w:t>）协助承包人实施、完成并保修合同工程的义务。</w:t>
      </w:r>
    </w:p>
    <w:p w14:paraId="2BD4A267">
      <w:pPr>
        <w:pStyle w:val="2"/>
        <w:tabs>
          <w:tab w:val="left" w:pos="2160"/>
        </w:tabs>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12</w:t>
      </w:r>
      <w:r>
        <w:rPr>
          <w:rFonts w:ascii="仿宋" w:hAnsi="仿宋" w:eastAsia="仿宋" w:cs="仿宋"/>
          <w:b/>
          <w:bCs/>
          <w:color w:val="auto"/>
          <w:sz w:val="24"/>
          <w:szCs w:val="24"/>
          <w:highlight w:val="none"/>
          <w:lang w:eastAsia="zh-CN"/>
        </w:rPr>
        <w:t xml:space="preserve">.2  </w:t>
      </w:r>
    </w:p>
    <w:p w14:paraId="2795EDE6">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82816" behindDoc="0" locked="0" layoutInCell="1" allowOverlap="1">
                <wp:simplePos x="0" y="0"/>
                <wp:positionH relativeFrom="column">
                  <wp:posOffset>-1270</wp:posOffset>
                </wp:positionH>
                <wp:positionV relativeFrom="paragraph">
                  <wp:posOffset>9525</wp:posOffset>
                </wp:positionV>
                <wp:extent cx="851535" cy="1025525"/>
                <wp:effectExtent l="0" t="0" r="0" b="0"/>
                <wp:wrapNone/>
                <wp:docPr id="494" name="文本框 715"/>
                <wp:cNvGraphicFramePr/>
                <a:graphic xmlns:a="http://schemas.openxmlformats.org/drawingml/2006/main">
                  <a:graphicData uri="http://schemas.microsoft.com/office/word/2010/wordprocessingShape">
                    <wps:wsp>
                      <wps:cNvSpPr txBox="1">
                        <a:spLocks noChangeArrowheads="1"/>
                      </wps:cNvSpPr>
                      <wps:spPr bwMode="auto">
                        <a:xfrm>
                          <a:off x="0" y="0"/>
                          <a:ext cx="851535" cy="1025525"/>
                        </a:xfrm>
                        <a:prstGeom prst="rect">
                          <a:avLst/>
                        </a:prstGeom>
                        <a:noFill/>
                        <a:ln>
                          <a:noFill/>
                        </a:ln>
                        <a:effectLst/>
                      </wps:spPr>
                      <wps:txbx>
                        <w:txbxContent>
                          <w:p w14:paraId="07634B9E">
                            <w:pPr>
                              <w:pStyle w:val="2"/>
                              <w:tabs>
                                <w:tab w:val="left" w:pos="2160"/>
                              </w:tabs>
                              <w:spacing w:before="192" w:beforeLines="80"/>
                              <w:rPr>
                                <w:lang w:eastAsia="zh-CN"/>
                              </w:rPr>
                            </w:pPr>
                            <w:r>
                              <w:rPr>
                                <w:rFonts w:hint="eastAsia" w:ascii="楷体_GB2312" w:hAnsi="宋体" w:eastAsia="楷体_GB2312" w:cs="楷体_GB2312"/>
                                <w:b/>
                                <w:bCs/>
                                <w:color w:val="000000"/>
                                <w:sz w:val="18"/>
                                <w:szCs w:val="18"/>
                                <w:lang w:eastAsia="zh-CN"/>
                              </w:rPr>
                              <w:t>工程量清单或报价格式的准确性和修正</w:t>
                            </w:r>
                          </w:p>
                        </w:txbxContent>
                      </wps:txbx>
                      <wps:bodyPr rot="0" vert="horz" wrap="square" lIns="91440" tIns="45720" rIns="91440" bIns="45720" anchor="t" anchorCtr="0" upright="1">
                        <a:noAutofit/>
                      </wps:bodyPr>
                    </wps:wsp>
                  </a:graphicData>
                </a:graphic>
              </wp:anchor>
            </w:drawing>
          </mc:Choice>
          <mc:Fallback>
            <w:pict>
              <v:shape id="文本框 715" o:spid="_x0000_s1026" o:spt="202" type="#_x0000_t202" style="position:absolute;left:0pt;margin-left:-0.1pt;margin-top:0.75pt;height:80.75pt;width:67.05pt;z-index:251682816;mso-width-relative:page;mso-height-relative:page;" filled="f" stroked="f" coordsize="21600,21600" o:gfxdata="UEsDBAoAAAAAAIdO4kAAAAAAAAAAAAAAAAAEAAAAZHJzL1BLAwQUAAAACACHTuJANb2DGNQAAAAH&#10;AQAADwAAAGRycy9kb3ducmV2LnhtbE2OwU7DMBBE70j8g7VI3Np1G1rREKcHEFcQLSBxc+NtEhGv&#10;o9htwt+zPcFtdmY0+4rt5Dt1piG2gQ0s5hoUcRVcy7WB9/3z7B5UTJad7QKTgR+KsC2vrwqbuzDy&#10;G513qVYywjG3BpqU+hwxVg15G+ehJ5bsGAZvk5xDjW6wo4z7Dpdar9HbluVDY3t6bKj63p28gY+X&#10;49fnnX6tn/yqH8Okkf0Gjbm9WegHUImm9FeGC76gQylMh3BiF1VnYLaUotgrUJc0yzagDiLWmQYs&#10;C/zPX/4CUEsDBBQAAAAIAIdO4kDKvUHGIAIAACcEAAAOAAAAZHJzL2Uyb0RvYy54bWytU82O0zAQ&#10;viPxDpbvNE1p2N2o6WrZahHS8iMtPIDrOI1F4jFjt0l5AHgDTly481x9DsZOtpTlsgculu0ZfzPf&#10;N58Xl33bsJ1Cp8EUPJ1MOVNGQqnNpuAfP9w8O+fMeWFK0YBRBd8rxy+XT58sOpurGdTQlAoZgRiX&#10;d7bgtfc2TxIna9UKNwGrDAUrwFZ4OuImKVF0hN42yWw6fZF0gKVFkMo5ul0NQT4i4mMAoaq0VCuQ&#10;21YZP6CiaoQnSq7W1vFl7LaqlPTvqsopz5qCE1MfVypC+3VYk+VC5BsUttZybEE8poUHnFqhDRU9&#10;Qq2EF2yL+h+oVksEB5WfSGiTgUhUhFik0wfa3NXCqsiFpHb2KLr7f7Dy7e49Ml0WfH4x58yIlkZ+&#10;+P7t8OPX4edXdpZmQaLOupwy7yzl+v4l9GScSNfZW5CfHDNwXQuzUVeI0NVKlNRiGl4mJ08HHBdA&#10;1t0bKKmS2HqIQH2FbdCPFGGETuPZH8ejes8kXZ5nafY840xSKJ3OsmwWm0tEfv/aovOvFLQsbAqO&#10;NP6ILna3zoduRH6fEooZuNFNEy3QmL8uKHG4UdFD4+vAJbQ/EPH9uh+1WUO5J1YIg7/od9GmBvzC&#10;WUfeKrj7vBWoOGteG1LmIp3PgxnjYZ6dzeiAp5H1aUQYSVAF95wN22s/GHhrUW9qqjTMwsAVqVnp&#10;SDS0OnQ1zoD8E/mPXg8GPT3HrD//e/k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b2DGNQAAAAH&#10;AQAADwAAAAAAAAABACAAAAAiAAAAZHJzL2Rvd25yZXYueG1sUEsBAhQAFAAAAAgAh07iQMq9QcYg&#10;AgAAJwQAAA4AAAAAAAAAAQAgAAAAIwEAAGRycy9lMm9Eb2MueG1sUEsFBgAAAAAGAAYAWQEAALUF&#10;AAAAAA==&#10;">
                <v:fill on="f" focussize="0,0"/>
                <v:stroke on="f"/>
                <v:imagedata o:title=""/>
                <o:lock v:ext="edit" aspectratio="f"/>
                <v:textbox>
                  <w:txbxContent>
                    <w:p w14:paraId="07634B9E">
                      <w:pPr>
                        <w:pStyle w:val="2"/>
                        <w:tabs>
                          <w:tab w:val="left" w:pos="2160"/>
                        </w:tabs>
                        <w:spacing w:before="192" w:beforeLines="80"/>
                        <w:rPr>
                          <w:lang w:eastAsia="zh-CN"/>
                        </w:rPr>
                      </w:pPr>
                      <w:r>
                        <w:rPr>
                          <w:rFonts w:hint="eastAsia" w:ascii="楷体_GB2312" w:hAnsi="宋体" w:eastAsia="楷体_GB2312" w:cs="楷体_GB2312"/>
                          <w:b/>
                          <w:bCs/>
                          <w:color w:val="000000"/>
                          <w:sz w:val="18"/>
                          <w:szCs w:val="18"/>
                          <w:lang w:eastAsia="zh-CN"/>
                        </w:rPr>
                        <w:t>工程量清单或报价格式的准确性和修正</w:t>
                      </w:r>
                    </w:p>
                  </w:txbxContent>
                </v:textbox>
              </v:shape>
            </w:pict>
          </mc:Fallback>
        </mc:AlternateContent>
      </w:r>
      <w:r>
        <w:rPr>
          <w:rFonts w:hint="eastAsia" w:ascii="仿宋" w:hAnsi="仿宋" w:eastAsia="仿宋" w:cs="仿宋"/>
          <w:color w:val="auto"/>
          <w:sz w:val="24"/>
          <w:szCs w:val="24"/>
          <w:highlight w:val="none"/>
          <w:lang w:eastAsia="zh-CN"/>
        </w:rPr>
        <w:t>发包人招标文件提供的工程量清单或报价格式及其投资估算、设计概算等资料仅供参考，投标人已根据招标人提供的项目基础资料及现场查勘进行核实修正，并按发包人招标文件提供的报价格式自主报价。当出现下列情形之一的，发包人应及时予以修正，并相应调整合同价格：</w:t>
      </w:r>
    </w:p>
    <w:p w14:paraId="7F51F77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）发包人提供的可行性研究报告或初步设计发生实质性变化的；</w:t>
      </w:r>
    </w:p>
    <w:p w14:paraId="442639F2">
      <w:pPr>
        <w:pStyle w:val="2"/>
        <w:widowControl w:val="0"/>
        <w:adjustRightInd w:val="0"/>
        <w:snapToGrid w:val="0"/>
        <w:spacing w:line="360" w:lineRule="auto"/>
        <w:ind w:left="1850" w:leftChars="771"/>
        <w:jc w:val="both"/>
        <w:rPr>
          <w:color w:val="auto"/>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）出现第69</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3款约定调整合同价格事项的。</w:t>
      </w:r>
    </w:p>
    <w:p w14:paraId="4F9D2CF7">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41892EEB">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06" w:name="_Toc31321"/>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3投标文件的完备性</w:t>
      </w:r>
      <w:bookmarkEnd w:id="306"/>
    </w:p>
    <w:p w14:paraId="77171134">
      <w:pPr>
        <w:rPr>
          <w:rFonts w:hint="eastAsia" w:ascii="仿宋" w:hAnsi="仿宋" w:eastAsia="仿宋" w:cs="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683840" behindDoc="0" locked="0" layoutInCell="1" allowOverlap="1">
                <wp:simplePos x="0" y="0"/>
                <wp:positionH relativeFrom="column">
                  <wp:posOffset>-114300</wp:posOffset>
                </wp:positionH>
                <wp:positionV relativeFrom="paragraph">
                  <wp:posOffset>166370</wp:posOffset>
                </wp:positionV>
                <wp:extent cx="814705" cy="711200"/>
                <wp:effectExtent l="0" t="0" r="0" b="0"/>
                <wp:wrapNone/>
                <wp:docPr id="495" name="文本框 716"/>
                <wp:cNvGraphicFramePr/>
                <a:graphic xmlns:a="http://schemas.openxmlformats.org/drawingml/2006/main">
                  <a:graphicData uri="http://schemas.microsoft.com/office/word/2010/wordprocessingShape">
                    <wps:wsp>
                      <wps:cNvSpPr txBox="1">
                        <a:spLocks noChangeArrowheads="1"/>
                      </wps:cNvSpPr>
                      <wps:spPr bwMode="auto">
                        <a:xfrm>
                          <a:off x="0" y="0"/>
                          <a:ext cx="814705" cy="711200"/>
                        </a:xfrm>
                        <a:prstGeom prst="rect">
                          <a:avLst/>
                        </a:prstGeom>
                        <a:noFill/>
                        <a:ln>
                          <a:noFill/>
                        </a:ln>
                        <a:effectLst/>
                      </wps:spPr>
                      <wps:txbx>
                        <w:txbxContent>
                          <w:p w14:paraId="7A4C68BB">
                            <w:pPr>
                              <w:pStyle w:val="2"/>
                              <w:tabs>
                                <w:tab w:val="left" w:pos="2160"/>
                              </w:tabs>
                              <w:spacing w:before="192" w:beforeLines="80"/>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投标文件完备性和义务</w:t>
                            </w:r>
                          </w:p>
                        </w:txbxContent>
                      </wps:txbx>
                      <wps:bodyPr rot="0" vert="horz" wrap="square" lIns="91440" tIns="45720" rIns="91440" bIns="45720" anchor="t" anchorCtr="0" upright="1">
                        <a:noAutofit/>
                      </wps:bodyPr>
                    </wps:wsp>
                  </a:graphicData>
                </a:graphic>
              </wp:anchor>
            </w:drawing>
          </mc:Choice>
          <mc:Fallback>
            <w:pict>
              <v:shape id="文本框 716" o:spid="_x0000_s1026" o:spt="202" type="#_x0000_t202" style="position:absolute;left:0pt;margin-left:-9pt;margin-top:13.1pt;height:56pt;width:64.15pt;z-index:251683840;mso-width-relative:page;mso-height-relative:page;" filled="f" stroked="f" coordsize="21600,21600" o:gfxdata="UEsDBAoAAAAAAIdO4kAAAAAAAAAAAAAAAAAEAAAAZHJzL1BLAwQUAAAACACHTuJAXDTRntgAAAAK&#10;AQAADwAAAGRycy9kb3ducmV2LnhtbE2PzW7CMBCE75V4B2uRegM7oUVpGocDqFeq0h+pNxMvSdR4&#10;HcWGhLfvcmpvs5rR7DfFZnKduOAQWk8akqUCgVR521Kt4eP9ZZGBCNGQNZ0n1HDFAJtydleY3PqR&#10;3vByiLXgEgq50dDE2OdShqpBZ8LS90jsnfzgTORzqKUdzMjlrpOpUmvpTEv8oTE9bhusfg5np+Fz&#10;f/r+elCv9c499qOflCT3JLW+nyfqGUTEKf6F4YbP6FAy09GfyQbRaVgkGW+JGtJ1CuIWSNQKxJHF&#10;KktBloX8P6H8BVBLAwQUAAAACACHTuJA0OP1AB4CAAAmBAAADgAAAGRycy9lMm9Eb2MueG1srVNL&#10;btswEN0X6B0I7mtZhhMnguUgjZGiQPoB0h6AoiiLqMRhh7Ql9wDtDbrqpvuey+fokFJcN91k0Q1B&#10;coZv5r15XF71bcN2Cp0Gk/N0MuVMGQmlNpucf/xw++KCM+eFKUUDRuV8rxy/Wj1/tuxspmZQQ1Mq&#10;ZARiXNbZnNfe2yxJnKxVK9wErDIUrABb4emIm6RE0RF62ySz6fQ86QBLiyCVc3S7HoJ8RMSnAEJV&#10;aanWILetMn5ARdUIT5Rcra3jq9htVSnp31WVU541OSemPq5UhPZFWJPVUmQbFLbWcmxBPKWFR5xa&#10;oQ0VPUKthRdsi/ofqFZLBAeVn0hok4FIVIRYpNNH2tzXwqrIhaR29ii6+3+w8u3uPTJd5nx+ecaZ&#10;ES2N/PD92+HHr8PPr2yRngeJOusyyry3lOv7l9CTcSJdZ+9AfnLMwE0tzEZdI0JXK1FSi2l4mZw8&#10;HXBcACm6N1BSJbH1EIH6CtugHynCCJ3Gsz+OR/WeSbq8SOeLKTUpKbRIUzJTrCCyh8cWnX+loGVh&#10;k3Ok6UdwsbtzPjQjsoeUUMvArW6a6IDG/HVBicONihYaXwcqofuBh++LfpSmgHJPpBAGe9Hnok0N&#10;+IWzjqyVc/d5K1Bx1rw2JMxlOp8HL8bD/GwxowOeRorTiDCSoHLuORu2N37w79ai3tRUaRiFgWsS&#10;s9KRaGh16GocAdkn8h+tHvx5eo5Zf7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cNNGe2AAA&#10;AAoBAAAPAAAAAAAAAAEAIAAAACIAAABkcnMvZG93bnJldi54bWxQSwECFAAUAAAACACHTuJA0OP1&#10;AB4CAAAmBAAADgAAAAAAAAABACAAAAAnAQAAZHJzL2Uyb0RvYy54bWxQSwUGAAAAAAYABgBZAQAA&#10;twUAAAAA&#10;">
                <v:fill on="f" focussize="0,0"/>
                <v:stroke on="f"/>
                <v:imagedata o:title=""/>
                <o:lock v:ext="edit" aspectratio="f"/>
                <v:textbox>
                  <w:txbxContent>
                    <w:p w14:paraId="7A4C68BB">
                      <w:pPr>
                        <w:pStyle w:val="2"/>
                        <w:tabs>
                          <w:tab w:val="left" w:pos="2160"/>
                        </w:tabs>
                        <w:spacing w:before="192" w:beforeLines="80"/>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投标文件完备性和义务</w:t>
                      </w:r>
                    </w:p>
                  </w:txbxContent>
                </v:textbox>
              </v:shape>
            </w:pict>
          </mc:Fallback>
        </mc:AlternateContent>
      </w:r>
      <w:r>
        <w:rPr>
          <w:rFonts w:ascii="仿宋" w:hAnsi="仿宋" w:eastAsia="仿宋" w:cs="仿宋"/>
          <w:b/>
          <w:bCs/>
          <w:color w:val="auto"/>
          <w:highlight w:val="none"/>
          <w:lang w:eastAsia="zh-CN"/>
        </w:rPr>
        <w:t>1</w:t>
      </w:r>
      <w:r>
        <w:rPr>
          <w:rFonts w:hint="eastAsia" w:ascii="仿宋" w:hAnsi="仿宋" w:eastAsia="仿宋" w:cs="仿宋"/>
          <w:b/>
          <w:bCs/>
          <w:color w:val="auto"/>
          <w:highlight w:val="none"/>
          <w:lang w:eastAsia="zh-CN"/>
        </w:rPr>
        <w:t>3</w:t>
      </w:r>
      <w:r>
        <w:rPr>
          <w:rFonts w:ascii="仿宋" w:hAnsi="仿宋" w:eastAsia="仿宋" w:cs="仿宋"/>
          <w:b/>
          <w:bCs/>
          <w:color w:val="auto"/>
          <w:highlight w:val="none"/>
          <w:lang w:eastAsia="zh-CN"/>
        </w:rPr>
        <w:t>.1</w:t>
      </w:r>
    </w:p>
    <w:p w14:paraId="35CD13CE">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承包人投标文件中的工程量清单及所填单价和合价，被认为是正确的和完备的，</w:t>
      </w:r>
      <w:r>
        <w:rPr>
          <w:rFonts w:hint="eastAsia" w:ascii="仿宋" w:hAnsi="仿宋" w:eastAsia="仿宋"/>
          <w:color w:val="auto"/>
          <w:sz w:val="24"/>
          <w:szCs w:val="24"/>
          <w:highlight w:val="none"/>
          <w:lang w:eastAsia="zh-CN"/>
        </w:rPr>
        <w:t>并已包括了承包人履行本合同的全部义务</w:t>
      </w:r>
      <w:r>
        <w:rPr>
          <w:rFonts w:hint="eastAsia" w:ascii="仿宋" w:hAnsi="仿宋" w:eastAsia="仿宋" w:cs="仿宋"/>
          <w:color w:val="auto"/>
          <w:sz w:val="24"/>
          <w:szCs w:val="24"/>
          <w:highlight w:val="none"/>
          <w:lang w:eastAsia="zh-CN"/>
        </w:rPr>
        <w:t>，包括但不限于以下内容：</w:t>
      </w:r>
    </w:p>
    <w:p w14:paraId="72534E8E">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）完成总承包范围内容及处理意外事项的义务；</w:t>
      </w:r>
    </w:p>
    <w:p w14:paraId="3AB2F68C">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（2）修复工作缺陷及完成工程质量保修义务。</w:t>
      </w:r>
    </w:p>
    <w:p w14:paraId="7A42DF27">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w:t>
      </w:r>
      <w:r>
        <w:rPr>
          <w:rFonts w:ascii="仿宋" w:hAnsi="仿宋" w:eastAsia="仿宋" w:cs="仿宋"/>
          <w:b/>
          <w:bCs/>
          <w:color w:val="auto"/>
          <w:sz w:val="24"/>
          <w:szCs w:val="24"/>
          <w:highlight w:val="none"/>
          <w:lang w:eastAsia="zh-CN"/>
        </w:rPr>
        <w:t xml:space="preserve">.2  </w:t>
      </w:r>
    </w:p>
    <w:p w14:paraId="231FA026">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84864" behindDoc="0" locked="0" layoutInCell="1" allowOverlap="1">
                <wp:simplePos x="0" y="0"/>
                <wp:positionH relativeFrom="column">
                  <wp:posOffset>-114300</wp:posOffset>
                </wp:positionH>
                <wp:positionV relativeFrom="paragraph">
                  <wp:posOffset>8255</wp:posOffset>
                </wp:positionV>
                <wp:extent cx="832485" cy="561975"/>
                <wp:effectExtent l="0" t="0" r="0" b="0"/>
                <wp:wrapNone/>
                <wp:docPr id="496" name="文本框 717"/>
                <wp:cNvGraphicFramePr/>
                <a:graphic xmlns:a="http://schemas.openxmlformats.org/drawingml/2006/main">
                  <a:graphicData uri="http://schemas.microsoft.com/office/word/2010/wordprocessingShape">
                    <wps:wsp>
                      <wps:cNvSpPr txBox="1">
                        <a:spLocks noChangeArrowheads="1"/>
                      </wps:cNvSpPr>
                      <wps:spPr bwMode="auto">
                        <a:xfrm>
                          <a:off x="0" y="0"/>
                          <a:ext cx="832485" cy="561975"/>
                        </a:xfrm>
                        <a:prstGeom prst="rect">
                          <a:avLst/>
                        </a:prstGeom>
                        <a:noFill/>
                        <a:ln>
                          <a:noFill/>
                        </a:ln>
                        <a:effectLst/>
                      </wps:spPr>
                      <wps:txbx>
                        <w:txbxContent>
                          <w:p w14:paraId="3883D228">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承包人报价的限制</w:t>
                            </w:r>
                          </w:p>
                        </w:txbxContent>
                      </wps:txbx>
                      <wps:bodyPr rot="0" vert="horz" wrap="square" lIns="91440" tIns="45720" rIns="91440" bIns="45720" anchor="t" anchorCtr="0" upright="1">
                        <a:noAutofit/>
                      </wps:bodyPr>
                    </wps:wsp>
                  </a:graphicData>
                </a:graphic>
              </wp:anchor>
            </w:drawing>
          </mc:Choice>
          <mc:Fallback>
            <w:pict>
              <v:shape id="文本框 717" o:spid="_x0000_s1026" o:spt="202" type="#_x0000_t202" style="position:absolute;left:0pt;margin-left:-9pt;margin-top:0.65pt;height:44.25pt;width:65.55pt;z-index:251684864;mso-width-relative:page;mso-height-relative:page;" filled="f" stroked="f" coordsize="21600,21600" o:gfxdata="UEsDBAoAAAAAAIdO4kAAAAAAAAAAAAAAAAAEAAAAZHJzL1BLAwQUAAAACACHTuJAkvTLndUAAAAI&#10;AQAADwAAAGRycy9kb3ducmV2LnhtbE2Py07DMBBF90j8gzVI7FrbFKo0ZNIFiC2oD5DYufE0iYjH&#10;Uew24e/rrmA5OqN7zy3Wk+vEmYbQekbQcwWCuPK25Rphv3ubZSBCNGxN55kQfinAury9KUxu/cgb&#10;Om9jLVIIh9wgNDH2uZShasiZMPc9cWJHPzgT0znU0g5mTOGukw9KLaUzLaeGxvT00lD1sz05hM/3&#10;4/fXo/qoX91TP/pJSXYriXh/p9UziEhT/HuGq35ShzI5HfyJbRAdwkxnaUtMYAHiyvVCgzggZKsM&#10;ZFnI/wPKC1BLAwQUAAAACACHTuJA08lpJx8CAAAmBAAADgAAAGRycy9lMm9Eb2MueG1srVNLbtsw&#10;EN0X6B0I7mvZrr+C5SCNkaJA+gHSHoCmKIuoxGGHtKX0AM0Nuuqm+57L5+iQUlw33WTRDUFyhm/m&#10;vXlcXbR1xQ4KnQaT8dFgyJkyEnJtdhn/9PH6xYIz54XJRQVGZfxOOX6xfv5s1dhUjaGEKlfICMS4&#10;tLEZL723aZI4WapauAFYZShYANbC0xF3SY6iIfS6SsbD4SxpAHOLIJVzdLvpgrxHxKcAQlFoqTYg&#10;97UyvkNFVQlPlFyprePr2G1RKOnfF4VTnlUZJ6Y+rlSE9tuwJuuVSHcobKll34J4SguPONVCGyp6&#10;gtoIL9ge9T9QtZYIDgo/kFAnHZGoCLEYDR9pc1sKqyIXktrZk+ju/8HKd4cPyHSe8clyxpkRNY38&#10;+P3++OPX8ec3Nh/Ng0SNdSll3lrK9e0raMk4ka6zNyA/O2bgqhRmpy4RoSmVyKnFUXiZnD3tcFwA&#10;2TZvIadKYu8hArUF1kE/UoQROo3n7jQe1Xom6XLxcjxZTDmTFJrORsv5NFYQ6cNji86/VlCzsMk4&#10;0vQjuDjcOB+aEelDSqhl4FpXVXRAZf66oMTuRkUL9a8DldB9x8O327aXZgv5HZFC6OxFn4s2JeBX&#10;zhqyVsbdl71AxVn1xpAwy9FkErwYD5PpfEwHPI9szyPCSILKuOes2175zr97i3pXUqVuFAYuScxC&#10;R6Kh1a6rfgRkn8i/t3rw5/k5Zv353u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kvTLndUAAAAI&#10;AQAADwAAAAAAAAABACAAAAAiAAAAZHJzL2Rvd25yZXYueG1sUEsBAhQAFAAAAAgAh07iQNPJaScf&#10;AgAAJgQAAA4AAAAAAAAAAQAgAAAAJAEAAGRycy9lMm9Eb2MueG1sUEsFBgAAAAAGAAYAWQEAALUF&#10;AAAAAA==&#10;">
                <v:fill on="f" focussize="0,0"/>
                <v:stroke on="f"/>
                <v:imagedata o:title=""/>
                <o:lock v:ext="edit" aspectratio="f"/>
                <v:textbox>
                  <w:txbxContent>
                    <w:p w14:paraId="3883D228">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承包人报价的限制</w:t>
                      </w:r>
                    </w:p>
                  </w:txbxContent>
                </v:textbox>
              </v:shape>
            </w:pict>
          </mc:Fallback>
        </mc:AlternateContent>
      </w:r>
      <w:r>
        <w:rPr>
          <w:rFonts w:hint="eastAsia" w:ascii="仿宋" w:hAnsi="仿宋" w:eastAsia="仿宋" w:cs="仿宋"/>
          <w:color w:val="auto"/>
          <w:sz w:val="24"/>
          <w:szCs w:val="24"/>
          <w:highlight w:val="none"/>
          <w:lang w:eastAsia="zh-CN"/>
        </w:rPr>
        <w:t>发包人已提供项目基础资料、发包人要求及相关澄清文件，承包人投标文件中的工程量清单中漏项、少报工程量或工作量、漏报单价与合价，应认为该项目价款已包含在工程量清单的其他项目的单价或合价中，发包人将不另行支付。发包人提供的可行性研究报告或初步设计变更、发包人允许的合理化建议等合同允许调整事项除外。</w:t>
      </w:r>
    </w:p>
    <w:p w14:paraId="0DFB68A0">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3</w:t>
      </w:r>
      <w:r>
        <w:rPr>
          <w:rFonts w:ascii="仿宋" w:hAnsi="仿宋" w:eastAsia="仿宋" w:cs="仿宋"/>
          <w:b/>
          <w:bCs/>
          <w:color w:val="auto"/>
          <w:sz w:val="24"/>
          <w:szCs w:val="24"/>
          <w:highlight w:val="none"/>
          <w:lang w:eastAsia="zh-CN"/>
        </w:rPr>
        <w:t xml:space="preserve">.3  </w:t>
      </w:r>
    </w:p>
    <w:p w14:paraId="1722EC9C">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85888" behindDoc="0" locked="0" layoutInCell="1" allowOverlap="1">
                <wp:simplePos x="0" y="0"/>
                <wp:positionH relativeFrom="column">
                  <wp:posOffset>-114300</wp:posOffset>
                </wp:positionH>
                <wp:positionV relativeFrom="paragraph">
                  <wp:posOffset>8255</wp:posOffset>
                </wp:positionV>
                <wp:extent cx="814070" cy="562610"/>
                <wp:effectExtent l="0" t="0" r="0" b="0"/>
                <wp:wrapNone/>
                <wp:docPr id="497" name="文本框 718"/>
                <wp:cNvGraphicFramePr/>
                <a:graphic xmlns:a="http://schemas.openxmlformats.org/drawingml/2006/main">
                  <a:graphicData uri="http://schemas.microsoft.com/office/word/2010/wordprocessingShape">
                    <wps:wsp>
                      <wps:cNvSpPr txBox="1">
                        <a:spLocks noChangeArrowheads="1"/>
                      </wps:cNvSpPr>
                      <wps:spPr bwMode="auto">
                        <a:xfrm>
                          <a:off x="0" y="0"/>
                          <a:ext cx="814070" cy="562610"/>
                        </a:xfrm>
                        <a:prstGeom prst="rect">
                          <a:avLst/>
                        </a:prstGeom>
                        <a:noFill/>
                        <a:ln>
                          <a:noFill/>
                        </a:ln>
                        <a:effectLst/>
                      </wps:spPr>
                      <wps:txbx>
                        <w:txbxContent>
                          <w:p w14:paraId="62D7F50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算术性错误的调整</w:t>
                            </w:r>
                          </w:p>
                        </w:txbxContent>
                      </wps:txbx>
                      <wps:bodyPr rot="0" vert="horz" wrap="square" lIns="91440" tIns="45720" rIns="91440" bIns="45720" anchor="t" anchorCtr="0" upright="1">
                        <a:noAutofit/>
                      </wps:bodyPr>
                    </wps:wsp>
                  </a:graphicData>
                </a:graphic>
              </wp:anchor>
            </w:drawing>
          </mc:Choice>
          <mc:Fallback>
            <w:pict>
              <v:shape id="文本框 718" o:spid="_x0000_s1026" o:spt="202" type="#_x0000_t202" style="position:absolute;left:0pt;margin-left:-9pt;margin-top:0.65pt;height:44.3pt;width:64.1pt;z-index:251685888;mso-width-relative:page;mso-height-relative:page;" filled="f" stroked="f" coordsize="21600,21600" o:gfxdata="UEsDBAoAAAAAAIdO4kAAAAAAAAAAAAAAAAAEAAAAZHJzL1BLAwQUAAAACACHTuJALl5j+9YAAAAI&#10;AQAADwAAAGRycy9kb3ducmV2LnhtbE2Py27CMBBF95X4B2sqdQd26ENJiMOCqttWQFuJnYmHJGo8&#10;jmJD0r9nWLXL0Rnde26xnlwnLjiE1pOGZKFAIFXetlRr+Ny/zVMQIRqypvOEGn4xwLqc3RUmt36k&#10;LV52sRYcQiE3GpoY+1zKUDXoTFj4HonZyQ/ORD6HWtrBjBzuOrlU6kU60xI3NKbHTYPVz+7sNHy9&#10;nw7fT+qjfnXP/egnJcllUuuH+0StQESc4t8z3PRZHUp2Ovoz2SA6DfMk5S2RwSOIG0/UEsRRQ5pl&#10;IMtC/h9QXgFQSwMEFAAAAAgAh07iQEzcwwkfAgAAJgQAAA4AAABkcnMvZTJvRG9jLnhtbK1TzY7T&#10;MBC+I/EOlu80TdVtu1HT1bLVIqTlR1p4ANdxGovEY8Zuk/IA8AacuHDnufocjJ1sKctlD1ws2zP+&#10;Zr5vPi+vuqZme4VOg8l5OhpzpoyEQpttzj9+uH2x4Mx5YQpRg1E5PyjHr1bPny1bm6kJVFAXChmB&#10;GJe1NueV9zZLEicr1Qg3AqsMBUvARng64jYpULSE3tTJZDyeJS1gYRGkco5u132QD4j4FEAoSy3V&#10;GuSuUcb3qKhq4YmSq7R1fBW7LUsl/buydMqzOufE1MeVitB+E9ZktRTZFoWttBxaEE9p4RGnRmhD&#10;RU9Qa+EF26H+B6rREsFB6UcSmqQnEhUhFun4kTb3lbAqciGpnT2J7v4frHy7f49MFzmfXs45M6Kh&#10;kR+/fzv++HX8+ZXN00WQqLUuo8x7S7m+ewkdGSfSdfYO5CfHDNxUwmzVNSK0lRIFtZiGl8nZ0x7H&#10;BZBN+wYKqiR2HiJQV2IT9CNFGKHTeA6n8ajOM0mXi3Q6nlNEUuhiNpmlcXyJyB4eW3T+lYKGhU3O&#10;kaYfwcX+zvnQjMgeUkItA7e6rqMDavPXBSX2NypaaHgdqITuex6+23SDNBsoDkQKobcXfS7aVIBf&#10;OGvJWjl3n3cCFWf1a0PCXKbTafBiPEwv5hM64Hlkcx4RRhJUzj1n/fbG9/7dWdTbiir1ozBwTWKW&#10;OhINrfZdDSMg+0T+g9WDP8/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5eY/vWAAAA&#10;CAEAAA8AAAAAAAAAAQAgAAAAIgAAAGRycy9kb3ducmV2LnhtbFBLAQIUABQAAAAIAIdO4kBM3MMJ&#10;HwIAACYEAAAOAAAAAAAAAAEAIAAAACUBAABkcnMvZTJvRG9jLnhtbFBLBQYAAAAABgAGAFkBAAC2&#10;BQAAAAA=&#10;">
                <v:fill on="f" focussize="0,0"/>
                <v:stroke on="f"/>
                <v:imagedata o:title=""/>
                <o:lock v:ext="edit" aspectratio="f"/>
                <v:textbox>
                  <w:txbxContent>
                    <w:p w14:paraId="62D7F50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算术性错误的调整</w:t>
                      </w:r>
                    </w:p>
                  </w:txbxContent>
                </v:textbox>
              </v:shape>
            </w:pict>
          </mc:Fallback>
        </mc:AlternateContent>
      </w:r>
      <w:r>
        <w:rPr>
          <w:rFonts w:hint="eastAsia" w:ascii="仿宋" w:hAnsi="仿宋" w:eastAsia="仿宋" w:cs="仿宋"/>
          <w:color w:val="auto"/>
          <w:sz w:val="24"/>
          <w:szCs w:val="24"/>
          <w:highlight w:val="none"/>
          <w:lang w:eastAsia="zh-CN"/>
        </w:rPr>
        <w:t>承包人投标文件中出现算术性错误，导致其算术修正后的实际总价与报价总金额不一致时，合同双方当事人可按照国家、省有关规定予以修正，并相应调整合同价格，调整后的合同价格原则上不得超过已批准或备案的投资估算（立项后招标发包工程）或设计概算（适用于初步设计批准或备案后招标发包工程）中相应价格。</w:t>
      </w:r>
    </w:p>
    <w:p w14:paraId="0FD95ABC">
      <w:pPr>
        <w:pStyle w:val="2"/>
        <w:adjustRightInd w:val="0"/>
        <w:snapToGrid w:val="0"/>
        <w:spacing w:line="360" w:lineRule="auto"/>
        <w:rPr>
          <w:rFonts w:hint="eastAsia" w:ascii="仿宋" w:hAnsi="仿宋" w:eastAsia="仿宋"/>
          <w:b/>
          <w:bCs/>
          <w:color w:val="auto"/>
          <w:sz w:val="24"/>
          <w:szCs w:val="24"/>
          <w:highlight w:val="none"/>
          <w:lang w:eastAsia="zh-CN"/>
        </w:rPr>
      </w:pPr>
    </w:p>
    <w:p w14:paraId="0907E1DC">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07" w:name="_Toc17420"/>
      <w:r>
        <w:rPr>
          <w:rFonts w:ascii="仿宋" w:hAnsi="仿宋" w:eastAsia="仿宋" w:cs="仿宋"/>
          <w:bCs w:val="0"/>
          <w:color w:val="auto"/>
          <w:sz w:val="24"/>
          <w:szCs w:val="24"/>
          <w:highlight w:val="none"/>
          <w:lang w:eastAsia="zh-CN"/>
        </w:rPr>
        <w:t>1</w:t>
      </w:r>
      <w:r>
        <w:rPr>
          <w:rFonts w:hint="eastAsia" w:ascii="仿宋" w:hAnsi="仿宋" w:eastAsia="仿宋" w:cs="仿宋"/>
          <w:bCs w:val="0"/>
          <w:color w:val="auto"/>
          <w:sz w:val="24"/>
          <w:szCs w:val="24"/>
          <w:highlight w:val="none"/>
          <w:lang w:eastAsia="zh-CN"/>
        </w:rPr>
        <w:t>4文物和地下障碍物</w:t>
      </w:r>
      <w:bookmarkEnd w:id="307"/>
    </w:p>
    <w:p w14:paraId="22DD314D">
      <w:pPr>
        <w:pStyle w:val="2"/>
        <w:adjustRightInd w:val="0"/>
        <w:snapToGrid w:val="0"/>
        <w:spacing w:line="360" w:lineRule="auto"/>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4</w:t>
      </w:r>
      <w:r>
        <w:rPr>
          <w:rFonts w:ascii="仿宋" w:hAnsi="仿宋" w:eastAsia="仿宋" w:cs="仿宋"/>
          <w:b/>
          <w:bCs/>
          <w:color w:val="auto"/>
          <w:sz w:val="24"/>
          <w:szCs w:val="24"/>
          <w:highlight w:val="none"/>
          <w:lang w:eastAsia="zh-CN"/>
        </w:rPr>
        <w:t>.1</w:t>
      </w:r>
    </w:p>
    <w:p w14:paraId="386371B7">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86912" behindDoc="0" locked="0" layoutInCell="1" allowOverlap="1">
                <wp:simplePos x="0" y="0"/>
                <wp:positionH relativeFrom="column">
                  <wp:posOffset>-114300</wp:posOffset>
                </wp:positionH>
                <wp:positionV relativeFrom="paragraph">
                  <wp:posOffset>-7620</wp:posOffset>
                </wp:positionV>
                <wp:extent cx="861060" cy="511175"/>
                <wp:effectExtent l="0" t="0" r="0" b="0"/>
                <wp:wrapNone/>
                <wp:docPr id="498" name="文本框 719"/>
                <wp:cNvGraphicFramePr/>
                <a:graphic xmlns:a="http://schemas.openxmlformats.org/drawingml/2006/main">
                  <a:graphicData uri="http://schemas.microsoft.com/office/word/2010/wordprocessingShape">
                    <wps:wsp>
                      <wps:cNvSpPr txBox="1">
                        <a:spLocks noChangeArrowheads="1"/>
                      </wps:cNvSpPr>
                      <wps:spPr bwMode="auto">
                        <a:xfrm>
                          <a:off x="0" y="0"/>
                          <a:ext cx="861060" cy="511175"/>
                        </a:xfrm>
                        <a:prstGeom prst="rect">
                          <a:avLst/>
                        </a:prstGeom>
                        <a:noFill/>
                        <a:ln>
                          <a:noFill/>
                        </a:ln>
                        <a:effectLst/>
                      </wps:spPr>
                      <wps:txbx>
                        <w:txbxContent>
                          <w:p w14:paraId="334929A9">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文物化石等物品保护</w:t>
                            </w:r>
                          </w:p>
                        </w:txbxContent>
                      </wps:txbx>
                      <wps:bodyPr rot="0" vert="horz" wrap="square" lIns="91440" tIns="45720" rIns="91440" bIns="45720" anchor="t" anchorCtr="0" upright="1">
                        <a:noAutofit/>
                      </wps:bodyPr>
                    </wps:wsp>
                  </a:graphicData>
                </a:graphic>
              </wp:anchor>
            </w:drawing>
          </mc:Choice>
          <mc:Fallback>
            <w:pict>
              <v:shape id="文本框 719" o:spid="_x0000_s1026" o:spt="202" type="#_x0000_t202" style="position:absolute;left:0pt;margin-left:-9pt;margin-top:-0.6pt;height:40.25pt;width:67.8pt;z-index:251686912;mso-width-relative:page;mso-height-relative:page;" filled="f" stroked="f" coordsize="21600,21600" o:gfxdata="UEsDBAoAAAAAAIdO4kAAAAAAAAAAAAAAAAAEAAAAZHJzL1BLAwQUAAAACACHTuJA2EFieNcAAAAJ&#10;AQAADwAAAGRycy9kb3ducmV2LnhtbE2PzU7DMBCE70i8g7VIvbV2WuhPyKaHVlxBFKjUmxtvk4h4&#10;HcVuE94e5wS3Wc1o9ptsO9hG3KjztWOEZKZAEBfO1FwifH68TNcgfNBsdOOYEH7Iwza/v8t0alzP&#10;73Q7hFLEEvapRqhCaFMpfVGR1X7mWuLoXVxndYhnV0rT6T6W20bOlVpKq2uOHyrd0q6i4vtwtQhf&#10;r5fT8VG9lXv71PZuUJLtRiJOHhL1DCLQEP7CMOJHdMgj09ld2XjRIEyTddwSRjEHMQaS1RLEGWG1&#10;WYDMM/l/Qf4LUEsDBBQAAAAIAIdO4kAS4lgNHgIAACYEAAAOAAAAZHJzL2Uyb0RvYy54bWytU0tu&#10;2zAQ3RfoHQjua1mGP7FgOUhjpCiQfoC0B6ApyiIqcdghbSk9QHuDrrrpvufyOTqkFNdNN1l0Q5Cc&#10;4Zt5bx5Xl11Ts4NCp8HkPB2NOVNGQqHNLucfP9y8uODMeWEKUYNROb9Xjl+unz9btTZTE6igLhQy&#10;AjEua23OK+9tliROVqoRbgRWGQqWgI3wdMRdUqBoCb2pk8l4PE9awMIiSOUc3W76IB8Q8SmAUJZa&#10;qg3IfaOM71FR1cITJVdp6/g6dluWSvp3ZemUZ3XOiamPKxWh/TasyXolsh0KW2k5tCCe0sIjTo3Q&#10;hoqeoDbCC7ZH/Q9UoyWCg9KPJDRJTyQqQizS8SNt7iphVeRCUjt7Et39P1j59vAemS5yPl3S4I1o&#10;aOTH79+OP34df35li3QZJGqtyyjzzlKu715CR8aJdJ29BfnJMQPXlTA7dYUIbaVEQS2m4WVy9rTH&#10;cQFk276BgiqJvYcI1JXYBP1IEUboNJ7703hU55mky4t5Op5TRFJolqbpYhYriOzhsUXnXyloWNjk&#10;HGn6EVwcbp0PzYjsISXUMnCj6zo6oDZ/XVBif6OihYbXgUrovufhu203SLOF4p5IIfT2os9Fmwrw&#10;C2ctWSvn7vNeoOKsfm1ImGU6nQYvxsN0tpjQAc8j2/OIMJKgcu4567fXvvfv3qLeVVSpH4WBKxKz&#10;1JFoaLXvahgB2SfyH6we/Hl+jll/vvf6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hBYnjXAAAA&#10;CQEAAA8AAAAAAAAAAQAgAAAAIgAAAGRycy9kb3ducmV2LnhtbFBLAQIUABQAAAAIAIdO4kAS4lgN&#10;HgIAACYEAAAOAAAAAAAAAAEAIAAAACYBAABkcnMvZTJvRG9jLnhtbFBLBQYAAAAABgAGAFkBAAC2&#10;BQAAAAA=&#10;">
                <v:fill on="f" focussize="0,0"/>
                <v:stroke on="f"/>
                <v:imagedata o:title=""/>
                <o:lock v:ext="edit" aspectratio="f"/>
                <v:textbox>
                  <w:txbxContent>
                    <w:p w14:paraId="334929A9">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文物化石等物品保护</w:t>
                      </w:r>
                    </w:p>
                  </w:txbxContent>
                </v:textbox>
              </v:shape>
            </w:pict>
          </mc:Fallback>
        </mc:AlternateContent>
      </w:r>
      <w:r>
        <w:rPr>
          <w:rFonts w:hint="eastAsia" w:ascii="仿宋" w:hAnsi="仿宋" w:eastAsia="仿宋" w:cs="仿宋"/>
          <w:color w:val="auto"/>
          <w:sz w:val="24"/>
          <w:szCs w:val="24"/>
          <w:highlight w:val="none"/>
          <w:lang w:eastAsia="zh-CN"/>
        </w:rPr>
        <w:t>在施工现场发现的古墓、古建筑遗址等文物、古迹以及其他具有考古、地质研究等价值的遗迹、化石、钱币或物品，属于国家所有。一旦发现上述文物，承包人应立即保护好现场，防止任何人员移动或损坏上述文物，并于</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小时内以书面形式通知监理人和发包人。监理人应在收到通知后立即指令承包人继续保护好现场，并在收到通知后</w:t>
      </w:r>
      <w:r>
        <w:rPr>
          <w:rFonts w:ascii="仿宋" w:hAnsi="仿宋" w:eastAsia="仿宋" w:cs="仿宋"/>
          <w:color w:val="auto"/>
          <w:sz w:val="24"/>
          <w:szCs w:val="24"/>
          <w:highlight w:val="none"/>
          <w:lang w:eastAsia="zh-CN"/>
        </w:rPr>
        <w:t>24</w:t>
      </w:r>
      <w:r>
        <w:rPr>
          <w:rFonts w:hint="eastAsia" w:ascii="仿宋" w:hAnsi="仿宋" w:eastAsia="仿宋" w:cs="仿宋"/>
          <w:color w:val="auto"/>
          <w:sz w:val="24"/>
          <w:szCs w:val="24"/>
          <w:highlight w:val="none"/>
          <w:lang w:eastAsia="zh-CN"/>
        </w:rPr>
        <w:t>小时内报告当地文物管理部门，合同双方当事人应按照文物管理部门的要求采取妥善保护措施。发包人承担由此增加的费用和（或）工期延误，并向承包人支付合理利润。</w:t>
      </w:r>
    </w:p>
    <w:p w14:paraId="16E6B7DB">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如发现文物后隐瞒不报或报告不及时，导致上述文物丢失或遭受破坏的，由责任方赔偿损失，并承担相应的法律责任。</w:t>
      </w:r>
    </w:p>
    <w:p w14:paraId="43F495CF">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4</w:t>
      </w:r>
      <w:r>
        <w:rPr>
          <w:rFonts w:ascii="仿宋" w:hAnsi="仿宋" w:eastAsia="仿宋" w:cs="仿宋"/>
          <w:b/>
          <w:bCs/>
          <w:color w:val="auto"/>
          <w:sz w:val="24"/>
          <w:szCs w:val="24"/>
          <w:highlight w:val="none"/>
          <w:lang w:eastAsia="zh-CN"/>
        </w:rPr>
        <w:t xml:space="preserve">.2  </w:t>
      </w:r>
    </w:p>
    <w:p w14:paraId="36D27B0B">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87936" behindDoc="0" locked="0" layoutInCell="1" allowOverlap="1">
                <wp:simplePos x="0" y="0"/>
                <wp:positionH relativeFrom="column">
                  <wp:posOffset>-114300</wp:posOffset>
                </wp:positionH>
                <wp:positionV relativeFrom="paragraph">
                  <wp:posOffset>-1270</wp:posOffset>
                </wp:positionV>
                <wp:extent cx="870585" cy="577850"/>
                <wp:effectExtent l="0" t="0" r="0" b="0"/>
                <wp:wrapNone/>
                <wp:docPr id="499" name="文本框 720"/>
                <wp:cNvGraphicFramePr/>
                <a:graphic xmlns:a="http://schemas.openxmlformats.org/drawingml/2006/main">
                  <a:graphicData uri="http://schemas.microsoft.com/office/word/2010/wordprocessingShape">
                    <wps:wsp>
                      <wps:cNvSpPr txBox="1">
                        <a:spLocks noChangeArrowheads="1"/>
                      </wps:cNvSpPr>
                      <wps:spPr bwMode="auto">
                        <a:xfrm>
                          <a:off x="0" y="0"/>
                          <a:ext cx="870585" cy="577850"/>
                        </a:xfrm>
                        <a:prstGeom prst="rect">
                          <a:avLst/>
                        </a:prstGeom>
                        <a:noFill/>
                        <a:ln>
                          <a:noFill/>
                        </a:ln>
                        <a:effectLst/>
                      </wps:spPr>
                      <wps:txbx>
                        <w:txbxContent>
                          <w:p w14:paraId="3A13E656">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地下障碍物处置</w:t>
                            </w:r>
                          </w:p>
                        </w:txbxContent>
                      </wps:txbx>
                      <wps:bodyPr rot="0" vert="horz" wrap="square" lIns="91440" tIns="45720" rIns="91440" bIns="45720" anchor="t" anchorCtr="0" upright="1">
                        <a:noAutofit/>
                      </wps:bodyPr>
                    </wps:wsp>
                  </a:graphicData>
                </a:graphic>
              </wp:anchor>
            </w:drawing>
          </mc:Choice>
          <mc:Fallback>
            <w:pict>
              <v:shape id="文本框 720" o:spid="_x0000_s1026" o:spt="202" type="#_x0000_t202" style="position:absolute;left:0pt;margin-left:-9pt;margin-top:-0.1pt;height:45.5pt;width:68.55pt;z-index:251687936;mso-width-relative:page;mso-height-relative:page;" filled="f" stroked="f" coordsize="21600,21600" o:gfxdata="UEsDBAoAAAAAAIdO4kAAAAAAAAAAAAAAAAAEAAAAZHJzL1BLAwQUAAAACACHTuJAw/vQsdYAAAAI&#10;AQAADwAAAGRycy9kb3ducmV2LnhtbE2PzU7DMBCE70i8g7VIvbW2q4KSEKcHEFcqyo/EbRtvk4h4&#10;HcVuk7497glus5rVzDfldna9ONMYOs8G9EqBIK697bgx8PH+ssxAhIhssfdMBi4UYFvd3pRYWD/x&#10;G533sREphEOBBtoYh0LKULfkMKz8QJy8ox8dxnSOjbQjTinc9XKt1IN02HFqaHGgp5bqn/3JGfh8&#10;PX5/bdSueXb3w+RnJdnl0pjFnVaPICLN8e8ZrvgJHarEdPAntkH0BpY6S1tiEmsQV1/nGsTBQK4y&#10;kFUp/w+ofgFQSwMEFAAAAAgAh07iQBZDjq8eAgAAJgQAAA4AAABkcnMvZTJvRG9jLnhtbK1TzY7T&#10;MBC+I/EOlu80bdXSNmq6WrZahLT8SAsP4DpOY5F4zNhpUh4A3oATF+48V5+DsdN2y3LZA5fInhl/&#10;M983X5ZXXV2xnUKnwWR8NBhypoyEXJttxj99vH0x58x5YXJRgVEZ3yvHr1bPny1bm6oxlFDlChmB&#10;GJe2NuOl9zZNEidLVQs3AKsMJQvAWni64jbJUbSEXlfJeDh8mbSAuUWQyjmKrvskPyLiUwChKLRU&#10;a5BNrYzvUVFVwhMlV2rr+CpOWxRK+vdF4ZRnVcaJqY9fakLnTfgmq6VItyhsqeVxBPGUER5xqoU2&#10;1PQMtRZesAb1P1C1lggOCj+QUCc9kagIsRgNH2lzXwqrIheS2tmz6O7/wcp3uw/IdJ7xyWLBmRE1&#10;rfzw4/vh5+/Dr29sNo4StdalVHlvqdZ3r6Aj40S6zt6B/OyYgZtSmK26RoS2VCKnEUdB3OTiaViK&#10;S10A2bRvIadOovEQgboC66AfKcIIndazP69HdZ5JCs5nw+l8ypmk1HQ2m0/jbIlIT48tOv9aQc3C&#10;IeNI24/gYnfnfBhGpKeS0MvAra6q6IDK/BWgwj6iooWOr0/T9zx8t+nobQhuIN8TKYTeXvRz0aEE&#10;/MpZS9bKuPvSCFScVW8MCbMYTSbBi/EymQaNGV5mNpcZYSRBZdxz1h9vfO/fxqLeltSpX4WBaxKz&#10;0JHow1THFZB9Iv+j1YM/L++x6uH3Xv0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vQsdYAAAAI&#10;AQAADwAAAAAAAAABACAAAAAiAAAAZHJzL2Rvd25yZXYueG1sUEsBAhQAFAAAAAgAh07iQBZDjq8e&#10;AgAAJgQAAA4AAAAAAAAAAQAgAAAAJQEAAGRycy9lMm9Eb2MueG1sUEsFBgAAAAAGAAYAWQEAALUF&#10;AAAAAA==&#10;">
                <v:fill on="f" focussize="0,0"/>
                <v:stroke on="f"/>
                <v:imagedata o:title=""/>
                <o:lock v:ext="edit" aspectratio="f"/>
                <v:textbox>
                  <w:txbxContent>
                    <w:p w14:paraId="3A13E656">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地下障碍物处置</w:t>
                      </w:r>
                    </w:p>
                  </w:txbxContent>
                </v:textbox>
              </v:shape>
            </w:pict>
          </mc:Fallback>
        </mc:AlternateContent>
      </w:r>
      <w:r>
        <w:rPr>
          <w:rFonts w:hint="eastAsia" w:ascii="仿宋" w:hAnsi="仿宋" w:eastAsia="仿宋" w:cs="仿宋"/>
          <w:color w:val="auto"/>
          <w:sz w:val="24"/>
          <w:szCs w:val="24"/>
          <w:highlight w:val="none"/>
          <w:lang w:eastAsia="zh-CN"/>
        </w:rPr>
        <w:t>本合同已明确指出的地下障碍物（发包人招标文件提供的工程量清单有列明或提供的地质资料已明确反映的），应视为承包人在投标报价时已预见其对施工的影响，并已在合同价格中考虑。</w:t>
      </w:r>
    </w:p>
    <w:p w14:paraId="0000BF9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本合同未有明确指出的地下障碍物（发包人招标文件提供的工程量清单没列明或提供的地质资料不能明确反映的），在施工过程遇到时，承包人应于</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小时内以书面形式通知监理人和发包人，并提出处置方案。监理人在收到处置方案后</w:t>
      </w:r>
      <w:r>
        <w:rPr>
          <w:rFonts w:ascii="仿宋" w:hAnsi="仿宋" w:eastAsia="仿宋" w:cs="仿宋"/>
          <w:color w:val="auto"/>
          <w:sz w:val="24"/>
          <w:szCs w:val="24"/>
          <w:highlight w:val="none"/>
          <w:lang w:eastAsia="zh-CN"/>
        </w:rPr>
        <w:t>24</w:t>
      </w:r>
      <w:r>
        <w:rPr>
          <w:rFonts w:hint="eastAsia" w:ascii="仿宋" w:hAnsi="仿宋" w:eastAsia="仿宋" w:cs="仿宋"/>
          <w:color w:val="auto"/>
          <w:sz w:val="24"/>
          <w:szCs w:val="24"/>
          <w:highlight w:val="none"/>
          <w:lang w:eastAsia="zh-CN"/>
        </w:rPr>
        <w:t>小时内予以确认或提出修正方案，并发出施工指令。承包人应按照监理人指令进行施工。发包人应承担由此增加的费用和（或）延误的工期，并向承包人支付合理利润。</w:t>
      </w:r>
    </w:p>
    <w:p w14:paraId="12403EC7">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42C3E328">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08" w:name="_Toc28557"/>
      <w:r>
        <w:rPr>
          <w:rFonts w:ascii="仿宋" w:hAnsi="仿宋" w:eastAsia="仿宋" w:cs="仿宋"/>
          <w:bCs w:val="0"/>
          <w:color w:val="auto"/>
          <w:sz w:val="24"/>
          <w:szCs w:val="24"/>
          <w:highlight w:val="none"/>
          <w:lang w:eastAsia="zh-CN"/>
        </w:rPr>
        <w:t>1</w:t>
      </w:r>
      <w:r>
        <w:rPr>
          <w:rFonts w:hint="eastAsia" w:ascii="仿宋" w:hAnsi="仿宋" w:eastAsia="仿宋" w:cs="仿宋"/>
          <w:bCs w:val="0"/>
          <w:color w:val="auto"/>
          <w:sz w:val="24"/>
          <w:szCs w:val="24"/>
          <w:highlight w:val="none"/>
          <w:lang w:eastAsia="zh-CN"/>
        </w:rPr>
        <w:t>5事故处理</w:t>
      </w:r>
      <w:bookmarkEnd w:id="308"/>
    </w:p>
    <w:p w14:paraId="51DF474D">
      <w:pPr>
        <w:pStyle w:val="2"/>
        <w:adjustRightInd w:val="0"/>
        <w:snapToGrid w:val="0"/>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88960" behindDoc="0" locked="0" layoutInCell="1" allowOverlap="1">
                <wp:simplePos x="0" y="0"/>
                <wp:positionH relativeFrom="column">
                  <wp:posOffset>-104775</wp:posOffset>
                </wp:positionH>
                <wp:positionV relativeFrom="paragraph">
                  <wp:posOffset>175895</wp:posOffset>
                </wp:positionV>
                <wp:extent cx="847725" cy="462280"/>
                <wp:effectExtent l="0" t="0" r="0" b="0"/>
                <wp:wrapNone/>
                <wp:docPr id="500" name="文本框 721"/>
                <wp:cNvGraphicFramePr/>
                <a:graphic xmlns:a="http://schemas.openxmlformats.org/drawingml/2006/main">
                  <a:graphicData uri="http://schemas.microsoft.com/office/word/2010/wordprocessingShape">
                    <wps:wsp>
                      <wps:cNvSpPr txBox="1">
                        <a:spLocks noChangeArrowheads="1"/>
                      </wps:cNvSpPr>
                      <wps:spPr bwMode="auto">
                        <a:xfrm>
                          <a:off x="0" y="0"/>
                          <a:ext cx="847725" cy="462280"/>
                        </a:xfrm>
                        <a:prstGeom prst="rect">
                          <a:avLst/>
                        </a:prstGeom>
                        <a:noFill/>
                        <a:ln>
                          <a:noFill/>
                        </a:ln>
                        <a:effectLst/>
                      </wps:spPr>
                      <wps:txbx>
                        <w:txbxContent>
                          <w:p w14:paraId="375FBCC0">
                            <w:pPr>
                              <w:rPr>
                                <w:color w:val="000000"/>
                                <w:sz w:val="18"/>
                                <w:szCs w:val="18"/>
                              </w:rPr>
                            </w:pPr>
                            <w:r>
                              <w:rPr>
                                <w:rFonts w:hint="eastAsia" w:ascii="楷体_GB2312" w:hAnsi="宋体" w:eastAsia="楷体_GB2312" w:cs="楷体_GB2312"/>
                                <w:b/>
                                <w:bCs/>
                                <w:color w:val="000000"/>
                                <w:sz w:val="18"/>
                                <w:szCs w:val="18"/>
                              </w:rPr>
                              <w:t>发生事故的通知</w:t>
                            </w:r>
                          </w:p>
                        </w:txbxContent>
                      </wps:txbx>
                      <wps:bodyPr rot="0" vert="horz" wrap="square" lIns="91440" tIns="45720" rIns="91440" bIns="45720" anchor="t" anchorCtr="0" upright="1">
                        <a:noAutofit/>
                      </wps:bodyPr>
                    </wps:wsp>
                  </a:graphicData>
                </a:graphic>
              </wp:anchor>
            </w:drawing>
          </mc:Choice>
          <mc:Fallback>
            <w:pict>
              <v:shape id="文本框 721" o:spid="_x0000_s1026" o:spt="202" type="#_x0000_t202" style="position:absolute;left:0pt;margin-left:-8.25pt;margin-top:13.85pt;height:36.4pt;width:66.75pt;z-index:251688960;mso-width-relative:page;mso-height-relative:page;" filled="f" stroked="f" coordsize="21600,21600" o:gfxdata="UEsDBAoAAAAAAIdO4kAAAAAAAAAAAAAAAAAEAAAAZHJzL1BLAwQUAAAACACHTuJAEFWOctcAAAAK&#10;AQAADwAAAGRycy9kb3ducmV2LnhtbE2PwU7DMAyG70i8Q+RJ3LakE11HaboDiCuIwSbtljVeW61x&#10;qiZby9vjneBmy59+f3+xmVwnrjiE1pOGZKFAIFXetlRr+P56m69BhGjIms4TavjBAJvy/q4wufUj&#10;feJ1G2vBIRRyo6GJsc+lDFWDzoSF75H4dvKDM5HXoZZ2MCOHu04ulVpJZ1riD43p8aXB6ry9OA27&#10;99Nh/6g+6leX9qOflCT3JLV+mCXqGUTEKf7BcNNndSjZ6egvZIPoNMyTVcqohmWWgbgBScbljjwo&#10;lYIsC/m/QvkLUEsDBBQAAAAIAIdO4kBdTh3dHwIAACYEAAAOAAAAZHJzL2Uyb0RvYy54bWytU82O&#10;0zAQviPxDpbvNG3UbkvUdLVstQhp+ZEWHsB1nMYi8Zix26Q8ALzBnrhw57n6HIydbCnLZQ9cIo9n&#10;/M1833xZXnZNzfYKnQaT88lozJkyEgpttjn/9PHmxYIz54UpRA1G5fygHL9cPX+2bG2mUqigLhQy&#10;AjEua23OK+9tliROVqoRbgRWGUqWgI3wFOI2KVC0hN7USToeXyQtYGERpHKObtd9kg+I+BRAKEst&#10;1RrkrlHG96ioauGJkqu0dXwVpy1LJf37snTKszrnxNTHLzWh8yZ8k9VSZFsUttJyGEE8ZYRHnBqh&#10;DTU9Qa2FF2yH+h+oRksEB6UfSWiSnkhUhFhMxo+0uauEVZELSe3sSXT3/2Dlu/0HZLrI+WxMmhjR&#10;0MqP99+PP34df35j83QSJGqty6jyzlKt715BR8aJdJ29BfnZMQPXlTBbdYUIbaVEQSPGl8nZ0x7H&#10;BZBN+xYK6iR2HiJQV2IT9CNFGKHTKIfTelTnmaTLxXQ+T2ecSUpNL9J0EdeXiOzhsUXnXytoWDjk&#10;HGn7EVzsb50nGlT6UBJ6GbjRdR0dUJu/Lqiwv1HRQsPrQCVM3/Pw3aYbpNlAcSBSCL296OeiQwX4&#10;lbOWrJVz92UnUHFWvzEkzMvJdBq8GIPpbJ5SgOeZzXlGGElQOfec9cdr3/t3Z1FvK+rUr8LAFYlZ&#10;6kg0jNpPRaxDQPaJ/AerB3+ex7Hqz++9+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QVY5y1wAA&#10;AAoBAAAPAAAAAAAAAAEAIAAAACIAAABkcnMvZG93bnJldi54bWxQSwECFAAUAAAACACHTuJAXU4d&#10;3R8CAAAmBAAADgAAAAAAAAABACAAAAAmAQAAZHJzL2Uyb0RvYy54bWxQSwUGAAAAAAYABgBZAQAA&#10;twUAAAAA&#10;">
                <v:fill on="f" focussize="0,0"/>
                <v:stroke on="f"/>
                <v:imagedata o:title=""/>
                <o:lock v:ext="edit" aspectratio="f"/>
                <v:textbox>
                  <w:txbxContent>
                    <w:p w14:paraId="375FBCC0">
                      <w:pPr>
                        <w:rPr>
                          <w:color w:val="000000"/>
                          <w:sz w:val="18"/>
                          <w:szCs w:val="18"/>
                        </w:rPr>
                      </w:pPr>
                      <w:r>
                        <w:rPr>
                          <w:rFonts w:hint="eastAsia" w:ascii="楷体_GB2312" w:hAnsi="宋体" w:eastAsia="楷体_GB2312" w:cs="楷体_GB2312"/>
                          <w:b/>
                          <w:bCs/>
                          <w:color w:val="000000"/>
                          <w:sz w:val="18"/>
                          <w:szCs w:val="18"/>
                        </w:rPr>
                        <w:t>发生事故的通知</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5</w:t>
      </w:r>
      <w:r>
        <w:rPr>
          <w:rFonts w:ascii="仿宋" w:hAnsi="仿宋" w:eastAsia="仿宋" w:cs="仿宋"/>
          <w:b/>
          <w:bCs/>
          <w:color w:val="auto"/>
          <w:sz w:val="24"/>
          <w:szCs w:val="24"/>
          <w:highlight w:val="none"/>
          <w:lang w:eastAsia="zh-CN"/>
        </w:rPr>
        <w:t>.1</w:t>
      </w:r>
    </w:p>
    <w:p w14:paraId="2D542D1B">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合同履行期间，合同工程发生质量与安全事故，承包人立即通知监理人和发包人。</w:t>
      </w:r>
    </w:p>
    <w:p w14:paraId="3E5FA951">
      <w:pPr>
        <w:pStyle w:val="2"/>
        <w:adjustRightInd w:val="0"/>
        <w:snapToGrid w:val="0"/>
        <w:spacing w:line="480" w:lineRule="auto"/>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89984" behindDoc="0" locked="0" layoutInCell="1" allowOverlap="1">
                <wp:simplePos x="0" y="0"/>
                <wp:positionH relativeFrom="column">
                  <wp:posOffset>-85725</wp:posOffset>
                </wp:positionH>
                <wp:positionV relativeFrom="paragraph">
                  <wp:posOffset>348615</wp:posOffset>
                </wp:positionV>
                <wp:extent cx="771525" cy="490855"/>
                <wp:effectExtent l="0" t="0" r="0" b="0"/>
                <wp:wrapNone/>
                <wp:docPr id="501" name="文本框 722"/>
                <wp:cNvGraphicFramePr/>
                <a:graphic xmlns:a="http://schemas.openxmlformats.org/drawingml/2006/main">
                  <a:graphicData uri="http://schemas.microsoft.com/office/word/2010/wordprocessingShape">
                    <wps:wsp>
                      <wps:cNvSpPr txBox="1">
                        <a:spLocks noChangeArrowheads="1"/>
                      </wps:cNvSpPr>
                      <wps:spPr bwMode="auto">
                        <a:xfrm>
                          <a:off x="0" y="0"/>
                          <a:ext cx="771525" cy="490855"/>
                        </a:xfrm>
                        <a:prstGeom prst="rect">
                          <a:avLst/>
                        </a:prstGeom>
                        <a:noFill/>
                        <a:ln>
                          <a:noFill/>
                        </a:ln>
                        <a:effectLst/>
                      </wps:spPr>
                      <wps:txbx>
                        <w:txbxContent>
                          <w:p w14:paraId="6351F61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事故的处理</w:t>
                            </w:r>
                          </w:p>
                        </w:txbxContent>
                      </wps:txbx>
                      <wps:bodyPr rot="0" vert="horz" wrap="square" lIns="91440" tIns="45720" rIns="91440" bIns="45720" anchor="t" anchorCtr="0" upright="1">
                        <a:noAutofit/>
                      </wps:bodyPr>
                    </wps:wsp>
                  </a:graphicData>
                </a:graphic>
              </wp:anchor>
            </w:drawing>
          </mc:Choice>
          <mc:Fallback>
            <w:pict>
              <v:shape id="文本框 722" o:spid="_x0000_s1026" o:spt="202" type="#_x0000_t202" style="position:absolute;left:0pt;margin-left:-6.75pt;margin-top:27.45pt;height:38.65pt;width:60.75pt;z-index:251689984;mso-width-relative:page;mso-height-relative:page;" filled="f" stroked="f" coordsize="21600,21600" o:gfxdata="UEsDBAoAAAAAAIdO4kAAAAAAAAAAAAAAAAAEAAAAZHJzL1BLAwQUAAAACACHTuJAehFmpdcAAAAK&#10;AQAADwAAAGRycy9kb3ducmV2LnhtbE2PwU7DMAyG70h7h8iTuG1Ju3XaStMdQFxBDIbELWu8tqJx&#10;qiZby9vjneBmy59+f3+xn1wnrjiE1pOGZKlAIFXetlRr+Hh/XmxBhGjIms4TavjBAPtydleY3PqR&#10;3vB6iLXgEAq50dDE2OdShqpBZ8LS90h8O/vBmcjrUEs7mJHDXSdTpTbSmZb4Q2N6fGyw+j5cnIbj&#10;y/nrc61e6yeX9aOflCS3k1rfzxP1ACLiFP9guOmzOpTsdPIXskF0GhbJKmNUQ7begbgBasvlTjys&#10;0hRkWcj/FcpfUEsDBBQAAAAIAIdO4kAU6aCHHwIAACYEAAAOAAAAZHJzL2Uyb0RvYy54bWytU0tu&#10;2zAQ3RfoHQjua31g1YlgOUhjpCiQfoC0B6ApyiIqcliStpQeoL1BVt1033P5HB1Siuummyy6IUjO&#10;8M28N4/Li0F1ZC+sk6Arms1SSoTmUEu9reinj9cvzihxnumadaBFRe+Eoxer58+WvSlFDi10tbAE&#10;QbQre1PR1ntTJonjrVDMzcAIjcEGrGIej3ab1Jb1iK66JE/Tl0kPtjYWuHAOb9djkE6I9imA0DSS&#10;izXwnRLaj6hWdMwjJddK4+gqdts0gvv3TeOEJ11FkamPKxbB/SasyWrJyq1lppV8aoE9pYVHnBST&#10;GoseodbMM7Kz8h8oJbkFB42fcVDJSCQqgiyy9JE2ty0zInJBqZ05iu7+Hyx/t/9giawrWqQZJZop&#10;HPnh/vvhx6/Dz29kkedBot64EjNvDeb64RUMaJxI15kb4J8d0XDVMr0Vl9ZC3wpWY4tZeJmcPB1x&#10;XADZ9G+hxkps5yECDY1VQT9UhCA6jufuOB4xeMLxcrHIiryghGNofp6eFUWswMqHx8Y6/1qAImFT&#10;UYvTj+Bsf+N8aIaVDymhloZr2XXRAZ3+6wITxxsRLTS9DlRC9yMPP2yGSZoN1HdIysJoL/xcuGnB&#10;fqWkR2tV1H3ZMSso6d5oFOY8m8+DF+NhXixyPNjTyOY0wjRHqIp6SsbtlR/9uzNWblusNI5CwyWK&#10;2chINLQ6djWNAO0T+U9WD/48PcesP9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6EWal1wAA&#10;AAoBAAAPAAAAAAAAAAEAIAAAACIAAABkcnMvZG93bnJldi54bWxQSwECFAAUAAAACACHTuJAFOmg&#10;hx8CAAAmBAAADgAAAAAAAAABACAAAAAmAQAAZHJzL2Uyb0RvYy54bWxQSwUGAAAAAAYABgBZAQAA&#10;twUAAAAA&#10;">
                <v:fill on="f" focussize="0,0"/>
                <v:stroke on="f"/>
                <v:imagedata o:title=""/>
                <o:lock v:ext="edit" aspectratio="f"/>
                <v:textbox>
                  <w:txbxContent>
                    <w:p w14:paraId="6351F61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事故的处理</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5</w:t>
      </w:r>
      <w:r>
        <w:rPr>
          <w:rFonts w:ascii="仿宋" w:hAnsi="仿宋" w:eastAsia="仿宋" w:cs="仿宋"/>
          <w:b/>
          <w:bCs/>
          <w:color w:val="auto"/>
          <w:sz w:val="24"/>
          <w:szCs w:val="24"/>
          <w:highlight w:val="none"/>
          <w:lang w:eastAsia="zh-CN"/>
        </w:rPr>
        <w:t xml:space="preserve">.2 </w:t>
      </w:r>
    </w:p>
    <w:p w14:paraId="3BCDC576">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接到事故通知后，合同双方当事人应立即组织人员和设备进行紧急抢救和抢修，减少人员伤亡和财产损失，防止事故扩大，并保护事故现场。需移动现场物品时，应做好标记和书面记录，妥善保护有关证据。</w:t>
      </w:r>
    </w:p>
    <w:p w14:paraId="2D053FFA">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合同双方当事人应按照国家规定时限如实上报政府有关部门，配合政府有关部门的调查和处理，由此发生的费用和（或）延误的工期由事故责任方承担。</w:t>
      </w:r>
    </w:p>
    <w:p w14:paraId="7B8BB0E1">
      <w:pPr>
        <w:pStyle w:val="2"/>
        <w:adjustRightInd w:val="0"/>
        <w:snapToGrid w:val="0"/>
        <w:spacing w:line="48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91008" behindDoc="0" locked="0" layoutInCell="1" allowOverlap="1">
                <wp:simplePos x="0" y="0"/>
                <wp:positionH relativeFrom="column">
                  <wp:posOffset>-76200</wp:posOffset>
                </wp:positionH>
                <wp:positionV relativeFrom="paragraph">
                  <wp:posOffset>278130</wp:posOffset>
                </wp:positionV>
                <wp:extent cx="762000" cy="404495"/>
                <wp:effectExtent l="0" t="0" r="0" b="0"/>
                <wp:wrapNone/>
                <wp:docPr id="502" name="文本框 723"/>
                <wp:cNvGraphicFramePr/>
                <a:graphic xmlns:a="http://schemas.openxmlformats.org/drawingml/2006/main">
                  <a:graphicData uri="http://schemas.microsoft.com/office/word/2010/wordprocessingShape">
                    <wps:wsp>
                      <wps:cNvSpPr txBox="1">
                        <a:spLocks noChangeArrowheads="1"/>
                      </wps:cNvSpPr>
                      <wps:spPr bwMode="auto">
                        <a:xfrm>
                          <a:off x="0" y="0"/>
                          <a:ext cx="762000" cy="404495"/>
                        </a:xfrm>
                        <a:prstGeom prst="rect">
                          <a:avLst/>
                        </a:prstGeom>
                        <a:noFill/>
                        <a:ln>
                          <a:noFill/>
                        </a:ln>
                        <a:effectLst/>
                      </wps:spPr>
                      <wps:txbx>
                        <w:txbxContent>
                          <w:p w14:paraId="6E12108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事故争议认定</w:t>
                            </w:r>
                          </w:p>
                        </w:txbxContent>
                      </wps:txbx>
                      <wps:bodyPr rot="0" vert="horz" wrap="square" lIns="91440" tIns="45720" rIns="91440" bIns="45720" anchor="t" anchorCtr="0" upright="1">
                        <a:noAutofit/>
                      </wps:bodyPr>
                    </wps:wsp>
                  </a:graphicData>
                </a:graphic>
              </wp:anchor>
            </w:drawing>
          </mc:Choice>
          <mc:Fallback>
            <w:pict>
              <v:shape id="文本框 723" o:spid="_x0000_s1026" o:spt="202" type="#_x0000_t202" style="position:absolute;left:0pt;margin-left:-6pt;margin-top:21.9pt;height:31.85pt;width:60pt;z-index:251691008;mso-width-relative:page;mso-height-relative:page;" filled="f" stroked="f" coordsize="21600,21600" o:gfxdata="UEsDBAoAAAAAAIdO4kAAAAAAAAAAAAAAAAAEAAAAZHJzL1BLAwQUAAAACACHTuJAezF5WNcAAAAK&#10;AQAADwAAAGRycy9kb3ducmV2LnhtbE2PQW/CMAyF75P2HyJP2g2SMhisNOWwaddNY4C0W2hMW9E4&#10;VRNo9+/nnsbN9nt6/l62GVwjrtiF2pOGZKpAIBXe1lRq2H2/T1YgQjRkTeMJNfxigE1+f5eZ1Pqe&#10;vvC6jaXgEAqp0VDF2KZShqJCZ8LUt0isnXznTOS1K6XtTM/hrpEzpZ6lMzXxh8q0+Fphcd5enIb9&#10;x+nnMFef5ZtbtL0flCT3IrV+fEjUGkTEIf6bYcRndMiZ6egvZINoNEySGXeJGuZPXGE0qBUfjuOw&#10;XIDMM3lbIf8DUEsDBBQAAAAIAIdO4kAp8Cu6HgIAACYEAAAOAAAAZHJzL2Uyb0RvYy54bWytU82O&#10;0zAQviPxDpbvNGlJd9mo6WrZahHS8iMtPIDrOI1F4jFjt0l5AHgDTly481x9DsZOtpTlsgculu0Z&#10;fzPfN58Xl33bsJ1Cp8EUfDpJOVNGQqnNpuAfP9w8e8GZ88KUogGjCr5Xjl8unz5ZdDZXM6ihKRUy&#10;AjEu72zBa+9tniRO1qoVbgJWGQpWgK3wdMRNUqLoCL1tklmaniUdYGkRpHKObldDkI+I+BhAqCot&#10;1QrktlXGD6ioGuGJkqu1dXwZu60qJf27qnLKs6bgxNTHlYrQfh3WZLkQ+QaFrbUcWxCPaeEBp1Zo&#10;Q0WPUCvhBdui/geq1RLBQeUnEtpkIBIVIRbT9IE2d7WwKnIhqZ09iu7+H6x8u3uPTJcFn6czzoxo&#10;aeSH798OP34dfn5l57PnQaLOupwy7yzl+v4l9GScSNfZW5CfHDNwXQuzUVeI0NVKlNTiNLxMTp4O&#10;OC6ArLs3UFIlsfUQgfoK26AfKcIIncazP45H9Z5Jujw/I/9QRFIoS7PsYh4riPz+sUXnXyloWdgU&#10;HGn6EVzsbp0PzYj8PiXUMnCjmyY6oDF/XVDicKOihcbXgUrofuDh+3U/SrOGck+kEAZ70eeiTQ34&#10;hbOOrFVw93krUHHWvDYkzMU0y4IX4yGbn8/ogKeR9WlEGElQBfecDdtrP/h3a1Fvaqo0jMLAFYlZ&#10;6Ug0tDp0NY6A7BP5j1YP/jw9x6w/33v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sxeVjXAAAA&#10;CgEAAA8AAAAAAAAAAQAgAAAAIgAAAGRycy9kb3ducmV2LnhtbFBLAQIUABQAAAAIAIdO4kAp8Cu6&#10;HgIAACYEAAAOAAAAAAAAAAEAIAAAACYBAABkcnMvZTJvRG9jLnhtbFBLBQYAAAAABgAGAFkBAAC2&#10;BQAAAAA=&#10;">
                <v:fill on="f" focussize="0,0"/>
                <v:stroke on="f"/>
                <v:imagedata o:title=""/>
                <o:lock v:ext="edit" aspectratio="f"/>
                <v:textbox>
                  <w:txbxContent>
                    <w:p w14:paraId="6E121089">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事故争议认定</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5</w:t>
      </w:r>
      <w:r>
        <w:rPr>
          <w:rFonts w:ascii="仿宋" w:hAnsi="仿宋" w:eastAsia="仿宋" w:cs="仿宋"/>
          <w:b/>
          <w:bCs/>
          <w:color w:val="auto"/>
          <w:sz w:val="24"/>
          <w:szCs w:val="24"/>
          <w:highlight w:val="none"/>
          <w:lang w:eastAsia="zh-CN"/>
        </w:rPr>
        <w:t xml:space="preserve">.3  </w:t>
      </w:r>
    </w:p>
    <w:p w14:paraId="6D4571D6">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合同双方当事人对事故责任有争议时，应按照政府有关部门的认定处理。</w:t>
      </w:r>
    </w:p>
    <w:p w14:paraId="76E78C23">
      <w:pPr>
        <w:pStyle w:val="2"/>
        <w:adjustRightInd w:val="0"/>
        <w:snapToGrid w:val="0"/>
        <w:spacing w:line="360" w:lineRule="auto"/>
        <w:rPr>
          <w:rFonts w:hint="eastAsia" w:ascii="仿宋" w:hAnsi="仿宋" w:eastAsia="仿宋"/>
          <w:color w:val="auto"/>
          <w:sz w:val="24"/>
          <w:szCs w:val="24"/>
          <w:highlight w:val="none"/>
          <w:lang w:eastAsia="zh-CN"/>
        </w:rPr>
      </w:pPr>
    </w:p>
    <w:p w14:paraId="72590974">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09" w:name="_Toc26301"/>
      <w:r>
        <w:rPr>
          <w:rFonts w:ascii="仿宋" w:hAnsi="仿宋" w:eastAsia="仿宋" w:cs="仿宋"/>
          <w:bCs w:val="0"/>
          <w:color w:val="auto"/>
          <w:sz w:val="24"/>
          <w:szCs w:val="24"/>
          <w:highlight w:val="none"/>
          <w:lang w:eastAsia="zh-CN"/>
        </w:rPr>
        <w:t>1</w:t>
      </w:r>
      <w:r>
        <w:rPr>
          <w:rFonts w:hint="eastAsia" w:ascii="仿宋" w:hAnsi="仿宋" w:eastAsia="仿宋" w:cs="仿宋"/>
          <w:bCs w:val="0"/>
          <w:color w:val="auto"/>
          <w:sz w:val="24"/>
          <w:szCs w:val="24"/>
          <w:highlight w:val="none"/>
          <w:lang w:eastAsia="zh-CN"/>
        </w:rPr>
        <w:t>6交通运输</w:t>
      </w:r>
      <w:bookmarkEnd w:id="309"/>
    </w:p>
    <w:p w14:paraId="2CD7EED3">
      <w:pPr>
        <w:pStyle w:val="2"/>
        <w:adjustRightInd w:val="0"/>
        <w:snapToGrid w:val="0"/>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92032" behindDoc="0" locked="0" layoutInCell="1" allowOverlap="1">
                <wp:simplePos x="0" y="0"/>
                <wp:positionH relativeFrom="column">
                  <wp:posOffset>-114300</wp:posOffset>
                </wp:positionH>
                <wp:positionV relativeFrom="paragraph">
                  <wp:posOffset>286385</wp:posOffset>
                </wp:positionV>
                <wp:extent cx="809625" cy="557530"/>
                <wp:effectExtent l="0" t="0" r="0" b="0"/>
                <wp:wrapNone/>
                <wp:docPr id="503" name="文本框 724"/>
                <wp:cNvGraphicFramePr/>
                <a:graphic xmlns:a="http://schemas.openxmlformats.org/drawingml/2006/main">
                  <a:graphicData uri="http://schemas.microsoft.com/office/word/2010/wordprocessingShape">
                    <wps:wsp>
                      <wps:cNvSpPr txBox="1">
                        <a:spLocks noChangeArrowheads="1"/>
                      </wps:cNvSpPr>
                      <wps:spPr bwMode="auto">
                        <a:xfrm>
                          <a:off x="0" y="0"/>
                          <a:ext cx="809625" cy="557530"/>
                        </a:xfrm>
                        <a:prstGeom prst="rect">
                          <a:avLst/>
                        </a:prstGeom>
                        <a:noFill/>
                        <a:ln>
                          <a:noFill/>
                        </a:ln>
                        <a:effectLst/>
                      </wps:spPr>
                      <wps:txbx>
                        <w:txbxContent>
                          <w:p w14:paraId="4B05A9FE">
                            <w:pPr>
                              <w:rPr>
                                <w:sz w:val="18"/>
                                <w:szCs w:val="18"/>
                              </w:rPr>
                            </w:pPr>
                            <w:r>
                              <w:rPr>
                                <w:rFonts w:hint="eastAsia" w:ascii="楷体_GB2312" w:hAnsi="宋体" w:eastAsia="楷体_GB2312" w:cs="楷体_GB2312"/>
                                <w:b/>
                                <w:bCs/>
                                <w:color w:val="000000"/>
                                <w:sz w:val="18"/>
                                <w:szCs w:val="18"/>
                              </w:rPr>
                              <w:t>道路通行权和场外设施</w:t>
                            </w:r>
                          </w:p>
                        </w:txbxContent>
                      </wps:txbx>
                      <wps:bodyPr rot="0" vert="horz" wrap="square" lIns="91440" tIns="45720" rIns="91440" bIns="45720" anchor="t" anchorCtr="0" upright="1">
                        <a:noAutofit/>
                      </wps:bodyPr>
                    </wps:wsp>
                  </a:graphicData>
                </a:graphic>
              </wp:anchor>
            </w:drawing>
          </mc:Choice>
          <mc:Fallback>
            <w:pict>
              <v:shape id="文本框 724" o:spid="_x0000_s1026" o:spt="202" type="#_x0000_t202" style="position:absolute;left:0pt;margin-left:-9pt;margin-top:22.55pt;height:43.9pt;width:63.75pt;z-index:251692032;mso-width-relative:page;mso-height-relative:page;" filled="f" stroked="f" coordsize="21600,21600" o:gfxdata="UEsDBAoAAAAAAIdO4kAAAAAAAAAAAAAAAAAEAAAAZHJzL1BLAwQUAAAACACHTuJAPv76/NgAAAAK&#10;AQAADwAAAGRycy9kb3ducmV2LnhtbE2PwU7DMBBE70j8g7VIvbV22gY1IU4PIK5FtIDEzY23SUS8&#10;jmK3Sf+e7Qlus5rR7JtiO7lOXHAIrScNyUKBQKq8banW8HF4nW9AhGjIms4TarhigG15f1eY3PqR&#10;3vGyj7XgEgq50dDE2OdShqpBZ8LC90jsnfzgTORzqKUdzMjlrpNLpR6lMy3xh8b0+Nxg9bM/Ow2f&#10;u9P311q91S8u7Uc/KUkuk1rPHhL1BCLiFP/CcMNndCiZ6ejPZIPoNMyTDW+JGtZpAuIWUFkK4shi&#10;tcxAloX8P6H8BVBLAwQUAAAACACHTuJAbgm3VSACAAAmBAAADgAAAGRycy9lMm9Eb2MueG1srVNL&#10;btswEN0X6B0I7mvJjh0nguUgjZGiQPoB0h6ApiiLqMRhh7Ql9wDtDbrqpvuey+fokFJcN91k0Q1B&#10;coZv5r15XFx1Tc12Cp0Gk/PxKOVMGQmFNpucf/xw++KCM+eFKUQNRuV8rxy/Wj5/tmhtpiZQQV0o&#10;ZARiXNbanFfe2yxJnKxUI9wIrDIULAEb4emIm6RA0RJ6UyeTND1PWsDCIkjlHN2u+iAfEPEpgFCW&#10;WqoVyG2jjO9RUdXCEyVXaev4MnZblkr6d2XplGd1zompjysVof06rMlyIbINCltpObQgntLCI06N&#10;0IaKHqFWwgu2Rf0PVKMlgoPSjyQ0SU8kKkIsxukjbe4rYVXkQlI7exTd/T9Y+Xb3Hpkucj5Lzzgz&#10;oqGRH75/O/z4dfj5lc0n0yBRa11GmfeWcn33EjoyTqTr7B3IT44ZuKmE2ahrRGgrJQpqcRxeJidP&#10;exwXQNbtGyiokth6iEBdiU3QjxRhhE7j2R/HozrPJF1epJfnkxlnkkKz2Xx2FseXiOzhsUXnXylo&#10;WNjkHGn6EVzs7pwPzYjsISXUMnCr6zo6oDZ/XVBif6OihYbXgUrovufhu3U3SLOGYk+kEHp70eei&#10;TQX4hbOWrJVz93krUHFWvzYkzOV4Og1ejIfpbD6hA55G1qcRYSRB5dxz1m9vfO/frUW9qahSPwoD&#10;1yRmqSPR0Grf1TACsk/kP1g9+PP0HLP+fO/l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7++vzY&#10;AAAACgEAAA8AAAAAAAAAAQAgAAAAIgAAAGRycy9kb3ducmV2LnhtbFBLAQIUABQAAAAIAIdO4kBu&#10;CbdVIAIAACYEAAAOAAAAAAAAAAEAIAAAACcBAABkcnMvZTJvRG9jLnhtbFBLBQYAAAAABgAGAFkB&#10;AAC5BQAAAAA=&#10;">
                <v:fill on="f" focussize="0,0"/>
                <v:stroke on="f"/>
                <v:imagedata o:title=""/>
                <o:lock v:ext="edit" aspectratio="f"/>
                <v:textbox>
                  <w:txbxContent>
                    <w:p w14:paraId="4B05A9FE">
                      <w:pPr>
                        <w:rPr>
                          <w:sz w:val="18"/>
                          <w:szCs w:val="18"/>
                        </w:rPr>
                      </w:pPr>
                      <w:r>
                        <w:rPr>
                          <w:rFonts w:hint="eastAsia" w:ascii="楷体_GB2312" w:hAnsi="宋体" w:eastAsia="楷体_GB2312" w:cs="楷体_GB2312"/>
                          <w:b/>
                          <w:bCs/>
                          <w:color w:val="000000"/>
                          <w:sz w:val="18"/>
                          <w:szCs w:val="18"/>
                        </w:rPr>
                        <w:t>道路通行权和场外设施</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.1</w:t>
      </w:r>
    </w:p>
    <w:p w14:paraId="05FE5E18">
      <w:pPr>
        <w:pStyle w:val="2"/>
        <w:widowControl w:val="0"/>
        <w:tabs>
          <w:tab w:val="left" w:pos="1202"/>
        </w:tabs>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除专用条款另有约定外，发包人应根据实施合同工程的需要，负责办理取得出入施工场地的专用和临时道路的通行权，以及取得为实施合同工程所需修建场外设施的权利，并承担有关费用。承包人应协助发包人办理上述手续。</w:t>
      </w:r>
    </w:p>
    <w:p w14:paraId="7E3BB1C6">
      <w:pPr>
        <w:pStyle w:val="2"/>
        <w:widowControl w:val="0"/>
        <w:tabs>
          <w:tab w:val="left" w:pos="1202"/>
        </w:tabs>
        <w:adjustRightInd w:val="0"/>
        <w:snapToGrid w:val="0"/>
        <w:spacing w:line="360" w:lineRule="auto"/>
        <w:ind w:left="1850" w:leftChars="771"/>
        <w:jc w:val="both"/>
        <w:rPr>
          <w:color w:val="auto"/>
          <w:highlight w:val="none"/>
          <w:lang w:eastAsia="zh-CN"/>
        </w:rPr>
      </w:pPr>
      <w:r>
        <w:rPr>
          <w:rFonts w:ascii="仿宋" w:hAnsi="仿宋" w:eastAsia="仿宋" w:cs="仿宋"/>
          <w:color w:val="auto"/>
          <w:sz w:val="24"/>
          <w:szCs w:val="24"/>
          <w:highlight w:val="none"/>
          <w:lang w:eastAsia="zh-CN"/>
        </w:rPr>
        <w:t>承包人应在订立合同前查勘施工现场，并根据工程规模及技术参数合理预见工程施工所需的进出施工现场的方式、手段、路径等。因承包人未合理预见所增加的费用和（或）延误的工期由承包人承担。</w:t>
      </w:r>
    </w:p>
    <w:p w14:paraId="4E1C266B">
      <w:pPr>
        <w:pStyle w:val="2"/>
        <w:tabs>
          <w:tab w:val="left" w:pos="1202"/>
        </w:tabs>
        <w:adjustRightInd w:val="0"/>
        <w:snapToGrid w:val="0"/>
        <w:spacing w:line="360" w:lineRule="auto"/>
        <w:ind w:left="1350" w:leftChars="1" w:hanging="1348" w:hangingChars="674"/>
        <w:rPr>
          <w:rFonts w:hint="eastAsia" w:ascii="仿宋" w:hAnsi="仿宋" w:eastAsia="仿宋" w:cs="仿宋"/>
          <w:color w:val="auto"/>
          <w:sz w:val="24"/>
          <w:szCs w:val="24"/>
          <w:highlight w:val="none"/>
          <w:u w:val="dotted"/>
          <w:lang w:eastAsia="zh-CN"/>
        </w:rPr>
      </w:pPr>
      <w:r>
        <w:rPr>
          <w:color w:val="auto"/>
          <w:highlight w:val="none"/>
          <w:lang w:eastAsia="zh-CN"/>
        </w:rPr>
        <mc:AlternateContent>
          <mc:Choice Requires="wps">
            <w:drawing>
              <wp:anchor distT="0" distB="0" distL="114300" distR="114300" simplePos="0" relativeHeight="251693056" behindDoc="0" locked="0" layoutInCell="1" allowOverlap="1">
                <wp:simplePos x="0" y="0"/>
                <wp:positionH relativeFrom="column">
                  <wp:posOffset>-114300</wp:posOffset>
                </wp:positionH>
                <wp:positionV relativeFrom="paragraph">
                  <wp:posOffset>333375</wp:posOffset>
                </wp:positionV>
                <wp:extent cx="800100" cy="576580"/>
                <wp:effectExtent l="0" t="0" r="0" b="0"/>
                <wp:wrapNone/>
                <wp:docPr id="504" name="文本框 725"/>
                <wp:cNvGraphicFramePr/>
                <a:graphic xmlns:a="http://schemas.openxmlformats.org/drawingml/2006/main">
                  <a:graphicData uri="http://schemas.microsoft.com/office/word/2010/wordprocessingShape">
                    <wps:wsp>
                      <wps:cNvSpPr txBox="1">
                        <a:spLocks noChangeArrowheads="1"/>
                      </wps:cNvSpPr>
                      <wps:spPr bwMode="auto">
                        <a:xfrm>
                          <a:off x="0" y="0"/>
                          <a:ext cx="800100" cy="576580"/>
                        </a:xfrm>
                        <a:prstGeom prst="rect">
                          <a:avLst/>
                        </a:prstGeom>
                        <a:noFill/>
                        <a:ln>
                          <a:noFill/>
                        </a:ln>
                        <a:effectLst/>
                      </wps:spPr>
                      <wps:txbx>
                        <w:txbxContent>
                          <w:p w14:paraId="7BAD7B79">
                            <w:pPr>
                              <w:rPr>
                                <w:sz w:val="18"/>
                                <w:szCs w:val="18"/>
                                <w:lang w:eastAsia="zh-CN"/>
                              </w:rPr>
                            </w:pPr>
                            <w:r>
                              <w:rPr>
                                <w:rFonts w:hint="eastAsia" w:ascii="楷体_GB2312" w:hAnsi="宋体" w:eastAsia="楷体_GB2312" w:cs="楷体_GB2312"/>
                                <w:b/>
                                <w:bCs/>
                                <w:color w:val="000000"/>
                                <w:sz w:val="18"/>
                                <w:szCs w:val="18"/>
                                <w:lang w:eastAsia="zh-CN"/>
                              </w:rPr>
                              <w:t>场内临时道路和交通设施</w:t>
                            </w:r>
                          </w:p>
                        </w:txbxContent>
                      </wps:txbx>
                      <wps:bodyPr rot="0" vert="horz" wrap="square" lIns="91440" tIns="45720" rIns="91440" bIns="45720" anchor="t" anchorCtr="0" upright="1">
                        <a:noAutofit/>
                      </wps:bodyPr>
                    </wps:wsp>
                  </a:graphicData>
                </a:graphic>
              </wp:anchor>
            </w:drawing>
          </mc:Choice>
          <mc:Fallback>
            <w:pict>
              <v:shape id="文本框 725" o:spid="_x0000_s1026" o:spt="202" type="#_x0000_t202" style="position:absolute;left:0pt;margin-left:-9pt;margin-top:26.25pt;height:45.4pt;width:63pt;z-index:251693056;mso-width-relative:page;mso-height-relative:page;" filled="f" stroked="f" coordsize="21600,21600" o:gfxdata="UEsDBAoAAAAAAIdO4kAAAAAAAAAAAAAAAAAEAAAAZHJzL1BLAwQUAAAACACHTuJAIyiI39cAAAAK&#10;AQAADwAAAGRycy9kb3ducmV2LnhtbE2PQU/DMAyF70j8h8hI3Lak2zqN0nSHTVxBbAOJW9Z4bUXj&#10;VE22ln+Pe4Kb7ff0/L18O7pW3LAPjScNyVyBQCq9bajScDq+zDYgQjRkTesJNfxggG1xf5ebzPqB&#10;3vF2iJXgEAqZ0VDH2GVShrJGZ8Lcd0isXXzvTOS1r6TtzcDhrpULpdbSmYb4Q2063NVYfh+uTsPH&#10;6+Xrc6Xeqr1Lu8GPSpJ7klo/PiTqGUTEMf6ZYcJndCiY6eyvZINoNcySDXeJGtJFCmIyqOlw5mG1&#10;XIIscvm/QvELUEsDBBQAAAAIAIdO4kAu9f7CHgIAACYEAAAOAAAAZHJzL2Uyb0RvYy54bWytU82O&#10;0zAQviPxDpbvNGnVbkvUdLVstQhp+ZEWHsB1nMYi8Zix26Q8ALzBnrhw57n6HIydbCnLZQ9cLNsz&#10;/ma+bz4vL7umZnuFToPJ+XiUcqaMhEKbbc4/fbx5seDMeWEKUYNROT8oxy9Xz58tW5upCVRQFwoZ&#10;gRiXtTbnlfc2SxInK9UINwKrDAVLwEZ4OuI2KVC0hN7UySRNL5IWsLAIUjlHt+s+yAdEfAoglKWW&#10;ag1y1yjje1RUtfBEyVXaOr6K3Zalkv59WTrlWZ1zYurjSkVovwlrslqKbIvCVloOLYintPCIUyO0&#10;oaInqLXwgu1Q/wPVaIngoPQjCU3SE4mKEItx+kibu0pYFbmQ1M6eRHf/D1a+239Apoucz9IpZ0Y0&#10;NPLj/ffjj1/Hn9/YfDILErXWZZR5ZynXd6+gI+NEus7egvzsmIHrSpitukKEtlKioBbH4WVy9rTH&#10;cQFk076FgiqJnYcI1JXYBP1IEUboNJ7DaTyq80zS5SIliSgiKTSbX8wWcXyJyB4eW3T+tYKGhU3O&#10;kaYfwcX+1vnQjMgeUkItAze6rqMDavPXBSX2NypaaHgdqITuex6+23SDNBsoDkQKobcXfS7aVIBf&#10;OWvJWjl3X3YCFWf1G0PCvBxPp8GL8TCdzSd0wPPI5jwijCSonHvO+u217/27s6i3FVXqR2HgisQs&#10;dSQaWu27GkZA9on8B6sHf56f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MoiN/XAAAA&#10;CgEAAA8AAAAAAAAAAQAgAAAAIgAAAGRycy9kb3ducmV2LnhtbFBLAQIUABQAAAAIAIdO4kAu9f7C&#10;HgIAACYEAAAOAAAAAAAAAAEAIAAAACYBAABkcnMvZTJvRG9jLnhtbFBLBQYAAAAABgAGAFkBAAC2&#10;BQAAAAA=&#10;">
                <v:fill on="f" focussize="0,0"/>
                <v:stroke on="f"/>
                <v:imagedata o:title=""/>
                <o:lock v:ext="edit" aspectratio="f"/>
                <v:textbox>
                  <w:txbxContent>
                    <w:p w14:paraId="7BAD7B79">
                      <w:pPr>
                        <w:rPr>
                          <w:sz w:val="18"/>
                          <w:szCs w:val="18"/>
                          <w:lang w:eastAsia="zh-CN"/>
                        </w:rPr>
                      </w:pPr>
                      <w:r>
                        <w:rPr>
                          <w:rFonts w:hint="eastAsia" w:ascii="楷体_GB2312" w:hAnsi="宋体" w:eastAsia="楷体_GB2312" w:cs="楷体_GB2312"/>
                          <w:b/>
                          <w:bCs/>
                          <w:color w:val="000000"/>
                          <w:sz w:val="18"/>
                          <w:szCs w:val="18"/>
                          <w:lang w:eastAsia="zh-CN"/>
                        </w:rPr>
                        <w:t>场内临时道路和交通设施</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.2</w:t>
      </w:r>
    </w:p>
    <w:p w14:paraId="14AF15F9">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除专用条款另有约定外，承包人应负责修建、维修、养护和管理施工场地内所需的临时道路和交通设施，包括维修、养护和管理发包人提供的道路和交通设施，并承担相应费用。</w:t>
      </w:r>
    </w:p>
    <w:p w14:paraId="6F34655B">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承包人修建的临时道路和交通设施应免费提供发包人使用。</w:t>
      </w:r>
    </w:p>
    <w:p w14:paraId="2C2C71C0">
      <w:pPr>
        <w:pStyle w:val="2"/>
        <w:adjustRightInd w:val="0"/>
        <w:snapToGrid w:val="0"/>
        <w:spacing w:line="36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94080" behindDoc="0" locked="0" layoutInCell="1" allowOverlap="1">
                <wp:simplePos x="0" y="0"/>
                <wp:positionH relativeFrom="column">
                  <wp:posOffset>-114300</wp:posOffset>
                </wp:positionH>
                <wp:positionV relativeFrom="paragraph">
                  <wp:posOffset>224790</wp:posOffset>
                </wp:positionV>
                <wp:extent cx="771525" cy="471805"/>
                <wp:effectExtent l="0" t="0" r="0" b="0"/>
                <wp:wrapNone/>
                <wp:docPr id="505" name="文本框 726"/>
                <wp:cNvGraphicFramePr/>
                <a:graphic xmlns:a="http://schemas.openxmlformats.org/drawingml/2006/main">
                  <a:graphicData uri="http://schemas.microsoft.com/office/word/2010/wordprocessingShape">
                    <wps:wsp>
                      <wps:cNvSpPr txBox="1">
                        <a:spLocks noChangeArrowheads="1"/>
                      </wps:cNvSpPr>
                      <wps:spPr bwMode="auto">
                        <a:xfrm>
                          <a:off x="0" y="0"/>
                          <a:ext cx="771525" cy="471805"/>
                        </a:xfrm>
                        <a:prstGeom prst="rect">
                          <a:avLst/>
                        </a:prstGeom>
                        <a:noFill/>
                        <a:ln>
                          <a:noFill/>
                        </a:ln>
                        <a:effectLst/>
                      </wps:spPr>
                      <wps:txbx>
                        <w:txbxContent>
                          <w:p w14:paraId="17CAA17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场外交通</w:t>
                            </w:r>
                          </w:p>
                        </w:txbxContent>
                      </wps:txbx>
                      <wps:bodyPr rot="0" vert="horz" wrap="square" lIns="91440" tIns="45720" rIns="91440" bIns="45720" anchor="t" anchorCtr="0" upright="1">
                        <a:noAutofit/>
                      </wps:bodyPr>
                    </wps:wsp>
                  </a:graphicData>
                </a:graphic>
              </wp:anchor>
            </w:drawing>
          </mc:Choice>
          <mc:Fallback>
            <w:pict>
              <v:shape id="文本框 726" o:spid="_x0000_s1026" o:spt="202" type="#_x0000_t202" style="position:absolute;left:0pt;margin-left:-9pt;margin-top:17.7pt;height:37.15pt;width:60.75pt;z-index:251694080;mso-width-relative:page;mso-height-relative:page;" filled="f" stroked="f" coordsize="21600,21600" o:gfxdata="UEsDBAoAAAAAAIdO4kAAAAAAAAAAAAAAAAAEAAAAZHJzL1BLAwQUAAAACACHTuJAZ/NVldcAAAAK&#10;AQAADwAAAGRycy9kb3ducmV2LnhtbE2PwU7DMBBE70j9B2srcWvt0Ka0IU4PIK4gSkHito23SUS8&#10;jmK3CX+Pc4LbrGY0+ybfj7YVV+p941hDslQgiEtnGq40HN+fF1sQPiAbbB2Thh/ysC9mNzlmxg38&#10;RtdDqEQsYZ+hhjqELpPSlzVZ9EvXEUfv7HqLIZ59JU2PQyy3rbxTaiMtNhw/1NjRY03l9+FiNXy8&#10;nL8+1+q1erJpN7hRSbY7qfXtPFEPIAKN4S8ME35EhyIyndyFjRethkWyjVuChlW6BjEF1CoFcZrE&#10;7h5kkcv/E4pfUEsDBBQAAAAIAIdO4kA9lD7nHQIAACYEAAAOAAAAZHJzL2Uyb0RvYy54bWytU81u&#10;EzEQviPxDpbvZLNR0pRVNlVpVIRUfqTCAzheb9Zi7TFjJ7vlAeANOHHhznPlORh70zSUSw9cLHt+&#10;vpnvm/Hiojct2yn0GmzJ89GYM2UlVNpuSv7p4/WLc858ELYSLVhV8jvl+cXy+bNF5wo1gQbaSiEj&#10;EOuLzpW8CcEVWeZlo4zwI3DKkrMGNCLQEzdZhaIjdNNmk/H4LOsAK4cglfdkXQ1OfkDEpwBCXWup&#10;ViC3RtkwoKJqRSBKvtHO82Xqtq6VDO/r2qvA2pIT05BOKkL3dTyz5UIUGxSu0fLQgnhKC484GaEt&#10;FT1CrUQQbIv6HyijJYKHOowkmGwgkhQhFvn4kTa3jXAqcSGpvTuK7v8frHy3+4BMVyWfjWecWWFo&#10;5Psf3/c/f+9/fWPzyVmUqHO+oMhbR7GhfwU9LU6i690NyM+eWbhqhN2oS0ToGiUqajGPmdlJ6oDj&#10;I8i6ewsVVRLbAAmor9FE/UgRRug0nrvjeFQfmCTjfJ7PJtSkJNd0np9Tw7GCKO6THfrwWoFh8VJy&#10;pOkncLG78WEIvQ+JtSxc67Yluyha+5eBMAeLSit0yI5UYvcDj9Cve8qNxjVUd0QKYVgv+lx0aQC/&#10;ctbRapXcf9kKVJy1bywJ8zKfTuMupsd0Np/QA08961OPsJKgSh44G65XYdjfrUO9aajSMAoLlyRm&#10;rRPRh64OI6D1SVIdVj3u5+k7RT187+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Z/NVldcAAAAK&#10;AQAADwAAAAAAAAABACAAAAAiAAAAZHJzL2Rvd25yZXYueG1sUEsBAhQAFAAAAAgAh07iQD2UPucd&#10;AgAAJgQAAA4AAAAAAAAAAQAgAAAAJgEAAGRycy9lMm9Eb2MueG1sUEsFBgAAAAAGAAYAWQEAALUF&#10;AAAAAA==&#10;">
                <v:fill on="f" focussize="0,0"/>
                <v:stroke on="f"/>
                <v:imagedata o:title=""/>
                <o:lock v:ext="edit" aspectratio="f"/>
                <v:textbox>
                  <w:txbxContent>
                    <w:p w14:paraId="17CAA17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场外交通</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 xml:space="preserve">.3  </w:t>
      </w:r>
    </w:p>
    <w:p w14:paraId="082EA4BF">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承包人应遵守有关交通法规，严格按照道路和桥梁的限制荷重安全行驶，并服从交通管理部门的检查和监督。承包人车辆外出行驶所需的场外公共道路的通行费、养路费和税款等，由承包人承担。</w:t>
      </w:r>
    </w:p>
    <w:p w14:paraId="01C4FD38">
      <w:pPr>
        <w:pStyle w:val="2"/>
        <w:adjustRightInd w:val="0"/>
        <w:snapToGrid w:val="0"/>
        <w:spacing w:line="36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95104" behindDoc="0" locked="0" layoutInCell="1" allowOverlap="1">
                <wp:simplePos x="0" y="0"/>
                <wp:positionH relativeFrom="column">
                  <wp:posOffset>-114300</wp:posOffset>
                </wp:positionH>
                <wp:positionV relativeFrom="paragraph">
                  <wp:posOffset>224790</wp:posOffset>
                </wp:positionV>
                <wp:extent cx="781050" cy="512445"/>
                <wp:effectExtent l="0" t="0" r="0" b="0"/>
                <wp:wrapNone/>
                <wp:docPr id="506" name="文本框 727"/>
                <wp:cNvGraphicFramePr/>
                <a:graphic xmlns:a="http://schemas.openxmlformats.org/drawingml/2006/main">
                  <a:graphicData uri="http://schemas.microsoft.com/office/word/2010/wordprocessingShape">
                    <wps:wsp>
                      <wps:cNvSpPr txBox="1">
                        <a:spLocks noChangeArrowheads="1"/>
                      </wps:cNvSpPr>
                      <wps:spPr bwMode="auto">
                        <a:xfrm>
                          <a:off x="0" y="0"/>
                          <a:ext cx="781050" cy="512445"/>
                        </a:xfrm>
                        <a:prstGeom prst="rect">
                          <a:avLst/>
                        </a:prstGeom>
                        <a:noFill/>
                        <a:ln>
                          <a:noFill/>
                        </a:ln>
                        <a:effectLst/>
                      </wps:spPr>
                      <wps:txbx>
                        <w:txbxContent>
                          <w:p w14:paraId="27142D5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超大件和超重件的运输</w:t>
                            </w:r>
                          </w:p>
                        </w:txbxContent>
                      </wps:txbx>
                      <wps:bodyPr rot="0" vert="horz" wrap="square" lIns="91440" tIns="45720" rIns="91440" bIns="45720" anchor="t" anchorCtr="0" upright="1">
                        <a:noAutofit/>
                      </wps:bodyPr>
                    </wps:wsp>
                  </a:graphicData>
                </a:graphic>
              </wp:anchor>
            </w:drawing>
          </mc:Choice>
          <mc:Fallback>
            <w:pict>
              <v:shape id="文本框 727" o:spid="_x0000_s1026" o:spt="202" type="#_x0000_t202" style="position:absolute;left:0pt;margin-left:-9pt;margin-top:17.7pt;height:40.35pt;width:61.5pt;z-index:251695104;mso-width-relative:page;mso-height-relative:page;" filled="f" stroked="f" coordsize="21600,21600" o:gfxdata="UEsDBAoAAAAAAIdO4kAAAAAAAAAAAAAAAAAEAAAAZHJzL1BLAwQUAAAACACHTuJAO9LPfdcAAAAK&#10;AQAADwAAAGRycy9kb3ducmV2LnhtbE2PzU7DMBCE70h9B2srcWttl6YqIU4PRVxBlB+Jmxtvk4h4&#10;HcVuE96e7Qluuzuj2W+K3eQ7ccEhtoEM6KUCgVQF11Jt4P3tabEFEZMlZ7tAaOAHI+zK2U1hcxdG&#10;esXLIdWCQyjm1kCTUp9LGasGvY3L0COxdgqDt4nXoZZusCOH+06ulNpIb1viD43tcd9g9X04ewMf&#10;z6evz7V6qR991o9hUpL8vTTmdq7VA4iEU/ozwxWf0aFkpmM4k4uiM7DQW+6SDNxlaxBXg8r4cORB&#10;bzTIspD/K5S/UEsDBBQAAAAIAIdO4kCxPk7MHwIAACYEAAAOAAAAZHJzL2Uyb0RvYy54bWytU0tu&#10;2zAQ3RfoHQjua0mGHaeC5SCNkaJA+gHSHoCmKIuoxGGHtKX0AO0Nsuqm+57L5+iQUlw33WTRDUFy&#10;hm/mvXlcXvRtw/YKnQZT8GyScqaMhFKbbcE/fbx+cc6Z88KUogGjCn6nHL9YPX+27GyuplBDUypk&#10;BGJc3tmC197bPEmcrFUr3ASsMhSsAFvh6YjbpETREXrbJNM0PUs6wNIiSOUc3a6HIB8R8SmAUFVa&#10;qjXIXauMH1BRNcITJVdr6/gqdltVSvr3VeWUZ03BiamPKxWh/SasyWop8i0KW2s5tiCe0sIjTq3Q&#10;hooeodbCC7ZD/Q9UqyWCg8pPJLTJQCQqQiyy9JE2t7WwKnIhqZ09iu7+H6x8t/+ATJcFn6dnnBnR&#10;0sgP998PP34dfn5ji+kiSNRZl1PmraVc37+CnowT6Tp7A/KzYwauamG26hIRulqJklrMwsvk5OmA&#10;4wLIpnsLJVUSOw8RqK+wDfqRIozQaTx3x/Go3jNJl4vzLJ1TRFJonk1ns3msIPKHxxadf62gZWFT&#10;cKTpR3Cxv3E+NCPyh5RQy8C1bprogMb8dUGJw42KFhpfByqh+4GH7zf9KM0GyjsihTDYiz4XbWrA&#10;r5x1ZK2Cuy87gYqz5o0hYV5ms1nwYjzM5ospHfA0sjmNCCMJquCes2F75Qf/7izqbU2VhlEYuCQx&#10;Kx2JhlaHrsYRkH0i/9HqwZ+n55j153u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70s991wAA&#10;AAoBAAAPAAAAAAAAAAEAIAAAACIAAABkcnMvZG93bnJldi54bWxQSwECFAAUAAAACACHTuJAsT5O&#10;zB8CAAAmBAAADgAAAAAAAAABACAAAAAmAQAAZHJzL2Uyb0RvYy54bWxQSwUGAAAAAAYABgBZAQAA&#10;twUAAAAA&#10;">
                <v:fill on="f" focussize="0,0"/>
                <v:stroke on="f"/>
                <v:imagedata o:title=""/>
                <o:lock v:ext="edit" aspectratio="f"/>
                <v:textbox>
                  <w:txbxContent>
                    <w:p w14:paraId="27142D5C">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超大件和超重件的运输</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 xml:space="preserve">.4  </w:t>
      </w:r>
    </w:p>
    <w:p w14:paraId="3D8C183F">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应负责向交通管理部门办理运输超大件或超重件的申请手续，发包人应协助承包人办理上述手续。除专用条款另有约定外，运输超大件或超重件所需的道路和桥梁临时加固改造费用和其他有关费用，由承包人承担。</w:t>
      </w:r>
    </w:p>
    <w:p w14:paraId="49430B6A">
      <w:pPr>
        <w:pStyle w:val="2"/>
        <w:adjustRightInd w:val="0"/>
        <w:snapToGrid w:val="0"/>
        <w:spacing w:line="36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96128" behindDoc="0" locked="0" layoutInCell="1" allowOverlap="1">
                <wp:simplePos x="0" y="0"/>
                <wp:positionH relativeFrom="column">
                  <wp:posOffset>-114300</wp:posOffset>
                </wp:positionH>
                <wp:positionV relativeFrom="paragraph">
                  <wp:posOffset>224790</wp:posOffset>
                </wp:positionV>
                <wp:extent cx="789940" cy="463550"/>
                <wp:effectExtent l="0" t="0" r="0" b="0"/>
                <wp:wrapNone/>
                <wp:docPr id="507" name="文本框 728"/>
                <wp:cNvGraphicFramePr/>
                <a:graphic xmlns:a="http://schemas.openxmlformats.org/drawingml/2006/main">
                  <a:graphicData uri="http://schemas.microsoft.com/office/word/2010/wordprocessingShape">
                    <wps:wsp>
                      <wps:cNvSpPr txBox="1">
                        <a:spLocks noChangeArrowheads="1"/>
                      </wps:cNvSpPr>
                      <wps:spPr bwMode="auto">
                        <a:xfrm>
                          <a:off x="0" y="0"/>
                          <a:ext cx="789940" cy="463550"/>
                        </a:xfrm>
                        <a:prstGeom prst="rect">
                          <a:avLst/>
                        </a:prstGeom>
                        <a:noFill/>
                        <a:ln>
                          <a:noFill/>
                        </a:ln>
                        <a:effectLst/>
                      </wps:spPr>
                      <wps:txbx>
                        <w:txbxContent>
                          <w:p w14:paraId="3B4BA19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道路和桥梁的损坏责任</w:t>
                            </w:r>
                          </w:p>
                        </w:txbxContent>
                      </wps:txbx>
                      <wps:bodyPr rot="0" vert="horz" wrap="square" lIns="91440" tIns="45720" rIns="91440" bIns="45720" anchor="t" anchorCtr="0" upright="1">
                        <a:noAutofit/>
                      </wps:bodyPr>
                    </wps:wsp>
                  </a:graphicData>
                </a:graphic>
              </wp:anchor>
            </w:drawing>
          </mc:Choice>
          <mc:Fallback>
            <w:pict>
              <v:shape id="文本框 728" o:spid="_x0000_s1026" o:spt="202" type="#_x0000_t202" style="position:absolute;left:0pt;margin-left:-9pt;margin-top:17.7pt;height:36.5pt;width:62.2pt;z-index:251696128;mso-width-relative:page;mso-height-relative:page;" filled="f" stroked="f" coordsize="21600,21600" o:gfxdata="UEsDBAoAAAAAAIdO4kAAAAAAAAAAAAAAAAAEAAAAZHJzL1BLAwQUAAAACACHTuJAYAi4ZtcAAAAK&#10;AQAADwAAAGRycy9kb3ducmV2LnhtbE2PzU7DMBCE70i8g7VIvbV22rQKIU4PRVxBlB+J2zbeJhHx&#10;OordJrw9zgluM9rR7DfFfrKduNLgW8cakpUCQVw503Kt4f3taZmB8AHZYOeYNPyQh315e1NgbtzI&#10;r3Q9hlrEEvY5amhC6HMpfdWQRb9yPXG8nd1gMUQ71NIMOMZy28m1UjtpseX4ocGeDg1V38eL1fDx&#10;fP76TNVL/Wi3/egmJdneS60Xd4l6ABFoCn9hmPEjOpSR6eQubLzoNCyTLG4JGjbbFMQcULsoTrPI&#10;UpBlIf9PKH8BUEsDBBQAAAAIAIdO4kCgLjqnHwIAACYEAAAOAAAAZHJzL2Uyb0RvYy54bWytU82O&#10;0zAQviPxDpbvNG1pt23UdLVstQhp+ZEWHsB1nMYi8Zix26Q8APsGnLhw57n6HIydbCnLZQ9cLNsz&#10;/ma+bz4vL9u6YnuFToPJ+Ggw5EwZCbk224x/+njzYs6Z88LkogKjMn5Qjl+unj9bNjZVYyihyhUy&#10;AjEubWzGS+9tmiROlqoWbgBWGQoWgLXwdMRtkqNoCL2ukvFweJE0gLlFkMo5ul13Qd4j4lMAoSi0&#10;VGuQu1oZ36GiqoQnSq7U1vFV7LYolPTvi8Ipz6qME1MfVypC+01Yk9VSpFsUttSyb0E8pYVHnGqh&#10;DRU9Qa2FF2yH+h+oWksEB4UfSKiTjkhUhFiMho+0uSuFVZELSe3sSXT3/2Dlu/0HZDrP+HQ448yI&#10;mkZ+/H5//PHr+PMbm43nQaLGupQy7yzl+vYVtGScSNfZW5CfHTNwXQqzVVeI0JRK5NTiKLxMzp52&#10;OC6AbJq3kFMlsfMQgdoC66AfKcIIncZzOI1HtZ5JupzNF4sJRSSFJhcvp9M4vkSkD48tOv9aQc3C&#10;JuNI04/gYn/rfGhGpA8poZaBG11V0QGV+euCErsbFS3Uvw5UQvcdD99u2l6aDeQHIoXQ2Ys+F21K&#10;wK+cNWStjLsvO4GKs+qNIWEWo0mg4eNhMp2N6YDnkc15RBhJUBn3nHXba9/5d2dRb0uq1I3CwBWJ&#10;WehINLTaddWPgOwT+fdWD/48P8esP9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gCLhm1wAA&#10;AAoBAAAPAAAAAAAAAAEAIAAAACIAAABkcnMvZG93bnJldi54bWxQSwECFAAUAAAACACHTuJAoC46&#10;px8CAAAmBAAADgAAAAAAAAABACAAAAAmAQAAZHJzL2Uyb0RvYy54bWxQSwUGAAAAAAYABgBZAQAA&#10;twUAAAAA&#10;">
                <v:fill on="f" focussize="0,0"/>
                <v:stroke on="f"/>
                <v:imagedata o:title=""/>
                <o:lock v:ext="edit" aspectratio="f"/>
                <v:textbox>
                  <w:txbxContent>
                    <w:p w14:paraId="3B4BA19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道路和桥梁的损坏责任</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 xml:space="preserve">.5  </w:t>
      </w:r>
    </w:p>
    <w:p w14:paraId="74D376B9">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因承包人运输造成施工场地内外公共道路和桥梁损坏的，由承包人承担修复损坏的全部费用和可能引起的赔偿。</w:t>
      </w:r>
    </w:p>
    <w:p w14:paraId="449FDF46">
      <w:pPr>
        <w:pStyle w:val="2"/>
        <w:adjustRightInd w:val="0"/>
        <w:snapToGrid w:val="0"/>
        <w:spacing w:line="36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97152" behindDoc="0" locked="0" layoutInCell="1" allowOverlap="1">
                <wp:simplePos x="0" y="0"/>
                <wp:positionH relativeFrom="column">
                  <wp:posOffset>-114300</wp:posOffset>
                </wp:positionH>
                <wp:positionV relativeFrom="paragraph">
                  <wp:posOffset>224790</wp:posOffset>
                </wp:positionV>
                <wp:extent cx="781050" cy="477520"/>
                <wp:effectExtent l="0" t="0" r="0" b="0"/>
                <wp:wrapNone/>
                <wp:docPr id="508" name="文本框 729"/>
                <wp:cNvGraphicFramePr/>
                <a:graphic xmlns:a="http://schemas.openxmlformats.org/drawingml/2006/main">
                  <a:graphicData uri="http://schemas.microsoft.com/office/word/2010/wordprocessingShape">
                    <wps:wsp>
                      <wps:cNvSpPr txBox="1">
                        <a:spLocks noChangeArrowheads="1"/>
                      </wps:cNvSpPr>
                      <wps:spPr bwMode="auto">
                        <a:xfrm>
                          <a:off x="0" y="0"/>
                          <a:ext cx="781050" cy="477520"/>
                        </a:xfrm>
                        <a:prstGeom prst="rect">
                          <a:avLst/>
                        </a:prstGeom>
                        <a:noFill/>
                        <a:ln>
                          <a:noFill/>
                        </a:ln>
                        <a:effectLst/>
                      </wps:spPr>
                      <wps:txbx>
                        <w:txbxContent>
                          <w:p w14:paraId="18012A08">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水路和航空运输</w:t>
                            </w:r>
                          </w:p>
                        </w:txbxContent>
                      </wps:txbx>
                      <wps:bodyPr rot="0" vert="horz" wrap="square" lIns="91440" tIns="45720" rIns="91440" bIns="45720" anchor="t" anchorCtr="0" upright="1">
                        <a:noAutofit/>
                      </wps:bodyPr>
                    </wps:wsp>
                  </a:graphicData>
                </a:graphic>
              </wp:anchor>
            </w:drawing>
          </mc:Choice>
          <mc:Fallback>
            <w:pict>
              <v:shape id="文本框 729" o:spid="_x0000_s1026" o:spt="202" type="#_x0000_t202" style="position:absolute;left:0pt;margin-left:-9pt;margin-top:17.7pt;height:37.6pt;width:61.5pt;z-index:251697152;mso-width-relative:page;mso-height-relative:page;" filled="f" stroked="f" coordsize="21600,21600" o:gfxdata="UEsDBAoAAAAAAIdO4kAAAAAAAAAAAAAAAAAEAAAAZHJzL1BLAwQUAAAACACHTuJApcTSs9cAAAAK&#10;AQAADwAAAGRycy9kb3ducmV2LnhtbE2PT0/DMAzF70h8h8hI3LaksE6jNN0BxBXE+CNx8xqvrWic&#10;qsnW8u3xTnCz/Z6ef6/czr5XJxpjF9hCtjSgiOvgOm4svL89LTagYkJ22AcmCz8UYVtdXpRYuDDx&#10;K512qVESwrFAC21KQ6F1rFvyGJdhIBbtEEaPSdax0W7EScJ9r2+MWWuPHcuHFgd6aKn+3h29hY/n&#10;w9fnyrw0jz4fpjAbzf5OW3t9lZl7UInm9GeGM76gQyVM+3BkF1VvYZFtpEuycJuvQJ0NJpfDXobM&#10;rEFXpf5fofoFUEsDBBQAAAAIAIdO4kDKna5THgIAACYEAAAOAAAAZHJzL2Uyb0RvYy54bWytU8Fu&#10;EzEQvSPxD5bvZDdRQtpVNlVpVIRUoFLhAxyvN2ux6zFjJ7vhA+APeuLCne/Kd3Ts3YZQLj1wsWzP&#10;+M28N8+Li66p2U6h02ByPh6lnCkjodBmk/PPn65fnXHmvDCFqMGonO+V4xfLly8Wrc3UBCqoC4WM&#10;QIzLWpvzynubJYmTlWqEG4FVhoIlYCM8HXGTFChaQm/qZJKmr5MWsLAIUjlHt6s+yAdEfA4glKWW&#10;agVy2yjje1RUtfBEyVXaOr6M3Zalkv5jWTrlWZ1zYurjSkVovw5rslyIbIPCVloOLYjntPCEUyO0&#10;oaJHqJXwgm1R/wPVaIngoPQjCU3SE4mKEItx+kSbu0pYFbmQ1M4eRXf/D1Z+2N0i00XOZykN3oiG&#10;Rn64/3H4+fvw6zubT86DRK11GWXeWcr13RvoyDiRrrM3IL84ZuCqEmajLhGhrZQoqMVxeJmcPO1x&#10;XABZt++hoEpi6yECdSU2QT9ShBE6jWd/HI/qPJN0OT8bpzOKSApN5/PZJI4vEdnjY4vOv1XQsLDJ&#10;OdL0I7jY3TgfmhHZY0qoZeBa13V0QG3+uqDE/kZFCw2vA5XQfc/Dd+tukGYNxZ5IIfT2os9Fmwrw&#10;G2ctWSvn7utWoOKsfmdImPPxdBq8GA/T2Zx4MDyNrE8jwkiCyrnnrN9e+d6/W4t6U1GlfhQGLknM&#10;UkeiodW+q2EEZJ/If7B68OfpOWb9+d7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XE0rPXAAAA&#10;CgEAAA8AAAAAAAAAAQAgAAAAIgAAAGRycy9kb3ducmV2LnhtbFBLAQIUABQAAAAIAIdO4kDKna5T&#10;HgIAACYEAAAOAAAAAAAAAAEAIAAAACYBAABkcnMvZTJvRG9jLnhtbFBLBQYAAAAABgAGAFkBAAC2&#10;BQAAAAA=&#10;">
                <v:fill on="f" focussize="0,0"/>
                <v:stroke on="f"/>
                <v:imagedata o:title=""/>
                <o:lock v:ext="edit" aspectratio="f"/>
                <v:textbox>
                  <w:txbxContent>
                    <w:p w14:paraId="18012A08">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水路和航空运输</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 xml:space="preserve">.6 </w:t>
      </w:r>
    </w:p>
    <w:p w14:paraId="1AE4F078">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本条内容适用于水路运输和航空运输，其中“道路”包括河道、航线、船闸、机场、码头、堤防以及水路或航空运输中其他相似结构物；“车辆”包括船舶和飞机等。</w:t>
      </w:r>
    </w:p>
    <w:p w14:paraId="36B9C1A1">
      <w:pPr>
        <w:pStyle w:val="2"/>
        <w:tabs>
          <w:tab w:val="left" w:pos="1202"/>
        </w:tabs>
        <w:adjustRightInd w:val="0"/>
        <w:snapToGrid w:val="0"/>
        <w:spacing w:line="360" w:lineRule="auto"/>
        <w:rPr>
          <w:rFonts w:hint="eastAsia" w:ascii="仿宋" w:hAnsi="仿宋" w:eastAsia="仿宋" w:cs="仿宋"/>
          <w:b/>
          <w:bCs/>
          <w:color w:val="auto"/>
          <w:sz w:val="24"/>
          <w:szCs w:val="24"/>
          <w:highlight w:val="none"/>
          <w:lang w:eastAsia="zh-CN"/>
        </w:rPr>
      </w:pPr>
    </w:p>
    <w:p w14:paraId="23C26CDA">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10" w:name="_Toc24436"/>
      <w:r>
        <w:rPr>
          <w:rFonts w:ascii="仿宋" w:hAnsi="仿宋" w:eastAsia="仿宋" w:cs="仿宋"/>
          <w:bCs w:val="0"/>
          <w:color w:val="auto"/>
          <w:sz w:val="24"/>
          <w:szCs w:val="24"/>
          <w:highlight w:val="none"/>
          <w:lang w:eastAsia="zh-CN"/>
        </w:rPr>
        <w:t>1</w:t>
      </w:r>
      <w:r>
        <w:rPr>
          <w:rFonts w:hint="eastAsia" w:ascii="仿宋" w:hAnsi="仿宋" w:eastAsia="仿宋" w:cs="仿宋"/>
          <w:bCs w:val="0"/>
          <w:color w:val="auto"/>
          <w:sz w:val="24"/>
          <w:szCs w:val="24"/>
          <w:highlight w:val="none"/>
          <w:lang w:eastAsia="zh-CN"/>
        </w:rPr>
        <w:t>7专项批准事项的签认</w:t>
      </w:r>
      <w:bookmarkEnd w:id="310"/>
    </w:p>
    <w:p w14:paraId="68813B4B">
      <w:pPr>
        <w:pStyle w:val="2"/>
        <w:tabs>
          <w:tab w:val="left" w:pos="1202"/>
        </w:tabs>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w:t>
      </w:r>
      <w:r>
        <w:rPr>
          <w:rFonts w:ascii="仿宋" w:hAnsi="仿宋" w:eastAsia="仿宋" w:cs="仿宋"/>
          <w:b/>
          <w:bCs/>
          <w:color w:val="auto"/>
          <w:sz w:val="24"/>
          <w:szCs w:val="24"/>
          <w:highlight w:val="none"/>
          <w:lang w:eastAsia="zh-CN"/>
        </w:rPr>
        <w:t>.1</w:t>
      </w:r>
    </w:p>
    <w:p w14:paraId="7048E0B7">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98176" behindDoc="0" locked="0" layoutInCell="1" allowOverlap="1">
                <wp:simplePos x="0" y="0"/>
                <wp:positionH relativeFrom="column">
                  <wp:posOffset>-85725</wp:posOffset>
                </wp:positionH>
                <wp:positionV relativeFrom="paragraph">
                  <wp:posOffset>106680</wp:posOffset>
                </wp:positionV>
                <wp:extent cx="804545" cy="713105"/>
                <wp:effectExtent l="0" t="0" r="0" b="0"/>
                <wp:wrapNone/>
                <wp:docPr id="509" name="文本框 730"/>
                <wp:cNvGraphicFramePr/>
                <a:graphic xmlns:a="http://schemas.openxmlformats.org/drawingml/2006/main">
                  <a:graphicData uri="http://schemas.microsoft.com/office/word/2010/wordprocessingShape">
                    <wps:wsp>
                      <wps:cNvSpPr txBox="1">
                        <a:spLocks noChangeArrowheads="1"/>
                      </wps:cNvSpPr>
                      <wps:spPr bwMode="auto">
                        <a:xfrm>
                          <a:off x="0" y="0"/>
                          <a:ext cx="804545" cy="713105"/>
                        </a:xfrm>
                        <a:prstGeom prst="rect">
                          <a:avLst/>
                        </a:prstGeom>
                        <a:noFill/>
                        <a:ln>
                          <a:noFill/>
                        </a:ln>
                        <a:effectLst/>
                      </wps:spPr>
                      <wps:txbx>
                        <w:txbxContent>
                          <w:p w14:paraId="514C0743">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专项批准事项的签认</w:t>
                            </w:r>
                          </w:p>
                        </w:txbxContent>
                      </wps:txbx>
                      <wps:bodyPr rot="0" vert="horz" wrap="square" lIns="91440" tIns="45720" rIns="91440" bIns="45720" anchor="t" anchorCtr="0" upright="1">
                        <a:noAutofit/>
                      </wps:bodyPr>
                    </wps:wsp>
                  </a:graphicData>
                </a:graphic>
              </wp:anchor>
            </w:drawing>
          </mc:Choice>
          <mc:Fallback>
            <w:pict>
              <v:shape id="文本框 730" o:spid="_x0000_s1026" o:spt="202" type="#_x0000_t202" style="position:absolute;left:0pt;margin-left:-6.75pt;margin-top:8.4pt;height:56.15pt;width:63.35pt;z-index:251698176;mso-width-relative:page;mso-height-relative:page;" filled="f" stroked="f" coordsize="21600,21600" o:gfxdata="UEsDBAoAAAAAAIdO4kAAAAAAAAAAAAAAAAAEAAAAZHJzL1BLAwQUAAAACACHTuJAtvqCPtcAAAAK&#10;AQAADwAAAGRycy9kb3ducmV2LnhtbE2PwU7DMBBE70j8g7VI3FrbKa1oGqcHEFcQLSD15sbbJCJe&#10;R7HbhL9ne4LbjuZpdqbYTr4TFxxiG8iAnisQSFVwLdUGPvYvs0cQMVlytguEBn4wwra8vSls7sJI&#10;73jZpVpwCMXcGmhS6nMpY9Wgt3EeeiT2TmHwNrEcaukGO3K472Sm1Ep62xJ/aGyPTw1W37uzN/D5&#10;ejp8Pai3+tkv+zFMSpJfS2Pu77TagEg4pT8YrvW5OpTc6RjO5KLoDMz0YskoGyuecAX0IgNx5CNb&#10;a5BlIf9PKH8BUEsDBBQAAAAIAIdO4kDTp7OyHwIAACYEAAAOAAAAZHJzL2Uyb0RvYy54bWytU0tu&#10;2zAQ3RfoHQjua0mO3SSC5SCNkaJA+gHSHoCmKIuoyGGHtCX3AO0Nuuqm+57L5+iIsh033WTRjUDO&#10;DN/Me/M0u+pMwzYKvQZb8GyUcqashFLbVcE/fbx9ccGZD8KWogGrCr5Vnl/Nnz+btS5XY6ihKRUy&#10;ArE+b13B6xBcniRe1soIPwKnLCUrQCMCXXGVlChaQjdNMk7Tl0kLWDoEqbyn6GJI8j0iPgUQqkpL&#10;tQC5NsqGARVVIwJR8rV2ns/jtFWlZHhfVV4F1hScmIb4pSZ0XvbfZD4T+QqFq7XcjyCeMsIjTkZo&#10;S02PUAsRBFuj/gfKaIngoQojCSYZiERFiEWWPtLmvhZORS4ktXdH0f3/g5XvNh+Q6bLg0/SSMysM&#10;rXz34/vu5+/dr2/s/CxK1DqfU+W9o9rQvYKOjBPpencH8rNnFm5qYVfqGhHaWomSRsx6cZOTp/1S&#10;fO57kGX7FkrqJNYBIlBXoen1I0UYodN6tsf1qC4wScGLdDKdTDmTlDrPzrJ0GjuI/PDYoQ+vFRjW&#10;HwqOtP0ILjZ3PvTDiPxQ0veycKubJjqgsX8FqHCIqGih/evD9AOP0C07etsHl1BuiRTCYC/6uehQ&#10;A37lrCVrFdx/WQtUnDVvLAlzmU0mvRfjZTI9H9MFTzPL04ywkqAKHjgbjjdh8O/aoV7V1GlYhYVr&#10;ErPSkejDVPsVkH0i/73Ve3+e3mPVw+89/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2+oI+1wAA&#10;AAoBAAAPAAAAAAAAAAEAIAAAACIAAABkcnMvZG93bnJldi54bWxQSwECFAAUAAAACACHTuJA06ez&#10;sh8CAAAmBAAADgAAAAAAAAABACAAAAAmAQAAZHJzL2Uyb0RvYy54bWxQSwUGAAAAAAYABgBZAQAA&#10;twUAAAAA&#10;">
                <v:fill on="f" focussize="0,0"/>
                <v:stroke on="f"/>
                <v:imagedata o:title=""/>
                <o:lock v:ext="edit" aspectratio="f"/>
                <v:textbox>
                  <w:txbxContent>
                    <w:p w14:paraId="514C0743">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专项批准事项的签认</w:t>
                      </w:r>
                    </w:p>
                  </w:txbxContent>
                </v:textbox>
              </v:shape>
            </w:pict>
          </mc:Fallback>
        </mc:AlternateContent>
      </w:r>
      <w:r>
        <w:rPr>
          <w:rFonts w:hint="eastAsia" w:ascii="仿宋" w:hAnsi="仿宋" w:eastAsia="仿宋" w:cs="仿宋"/>
          <w:color w:val="auto"/>
          <w:sz w:val="24"/>
          <w:szCs w:val="24"/>
          <w:highlight w:val="none"/>
          <w:lang w:eastAsia="zh-CN"/>
        </w:rPr>
        <w:t>合同履行期间，合同工程发生第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8</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专项批准事项的，发包人批准后应通知设计顾问人、监理人和（或）造价咨询人按照合同约定以书面形式向承包人发出工作指令，提供所需的相关资料。承包人在收到设计顾问人、监理人和（或）造价咨询人发出的工作指令后，应按照合同约定实施发生事项的相关工作。</w:t>
      </w:r>
    </w:p>
    <w:p w14:paraId="31D6A38F">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合同双方当事人应按照第</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款约定对发生的专项批准事项予以签认，并及时将发生事项的相关资料整理、归档，同时按第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8</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款约定职权将其中一份送设计顾问人、监理人和（或）造价咨询人留存。</w:t>
      </w:r>
    </w:p>
    <w:p w14:paraId="4DAB4DB9">
      <w:pPr>
        <w:pStyle w:val="2"/>
        <w:tabs>
          <w:tab w:val="left" w:pos="2160"/>
        </w:tabs>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7</w:t>
      </w:r>
      <w:r>
        <w:rPr>
          <w:rFonts w:ascii="仿宋" w:hAnsi="仿宋" w:eastAsia="仿宋" w:cs="仿宋"/>
          <w:b/>
          <w:bCs/>
          <w:color w:val="auto"/>
          <w:sz w:val="24"/>
          <w:szCs w:val="24"/>
          <w:highlight w:val="none"/>
          <w:lang w:eastAsia="zh-CN"/>
        </w:rPr>
        <w:t xml:space="preserve">.2  </w:t>
      </w:r>
    </w:p>
    <w:p w14:paraId="39B6F863">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699200" behindDoc="0" locked="0" layoutInCell="1" allowOverlap="1">
                <wp:simplePos x="0" y="0"/>
                <wp:positionH relativeFrom="column">
                  <wp:posOffset>-95250</wp:posOffset>
                </wp:positionH>
                <wp:positionV relativeFrom="paragraph">
                  <wp:posOffset>29845</wp:posOffset>
                </wp:positionV>
                <wp:extent cx="757555" cy="618490"/>
                <wp:effectExtent l="0" t="0" r="0" b="0"/>
                <wp:wrapNone/>
                <wp:docPr id="510" name="文本框 731"/>
                <wp:cNvGraphicFramePr/>
                <a:graphic xmlns:a="http://schemas.openxmlformats.org/drawingml/2006/main">
                  <a:graphicData uri="http://schemas.microsoft.com/office/word/2010/wordprocessingShape">
                    <wps:wsp>
                      <wps:cNvSpPr txBox="1">
                        <a:spLocks noChangeArrowheads="1"/>
                      </wps:cNvSpPr>
                      <wps:spPr bwMode="auto">
                        <a:xfrm>
                          <a:off x="0" y="0"/>
                          <a:ext cx="757555" cy="618490"/>
                        </a:xfrm>
                        <a:prstGeom prst="rect">
                          <a:avLst/>
                        </a:prstGeom>
                        <a:noFill/>
                        <a:ln>
                          <a:noFill/>
                        </a:ln>
                        <a:effectLst/>
                      </wps:spPr>
                      <wps:txbx>
                        <w:txbxContent>
                          <w:p w14:paraId="2C0535E0">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专项批准事项签认人的要求</w:t>
                            </w:r>
                          </w:p>
                        </w:txbxContent>
                      </wps:txbx>
                      <wps:bodyPr rot="0" vert="horz" wrap="square" lIns="91440" tIns="45720" rIns="91440" bIns="45720" anchor="t" anchorCtr="0" upright="1">
                        <a:noAutofit/>
                      </wps:bodyPr>
                    </wps:wsp>
                  </a:graphicData>
                </a:graphic>
              </wp:anchor>
            </w:drawing>
          </mc:Choice>
          <mc:Fallback>
            <w:pict>
              <v:shape id="文本框 731" o:spid="_x0000_s1026" o:spt="202" type="#_x0000_t202" style="position:absolute;left:0pt;margin-left:-7.5pt;margin-top:2.35pt;height:48.7pt;width:59.65pt;z-index:251699200;mso-width-relative:page;mso-height-relative:page;" filled="f" stroked="f" coordsize="21600,21600" o:gfxdata="UEsDBAoAAAAAAIdO4kAAAAAAAAAAAAAAAAAEAAAAZHJzL1BLAwQUAAAACACHTuJA0bfKu9YAAAAJ&#10;AQAADwAAAGRycy9kb3ducmV2LnhtbE2PwU7DMBBE70j9B2srcWvtlLRAyKYHEFcQpVTqzY23SUS8&#10;jmK3CX+Pc4LbrGY18ybfjrYVV+p94xghWSoQxKUzDVcI+8/XxQMIHzQb3TomhB/ysC1mN7nOjBv4&#10;g667UIkYwj7TCHUIXSalL2uy2i9dRxy9s+utDvHsK2l6PcRw28qVUhtpdcOxodYdPddUfu8uFuHr&#10;7Xw8pOq9erHrbnCjkmwfJeLtPFFPIAKN4e8ZJvyIDkVkOrkLGy9ahEWyjlsCQnoPYvJVegfiNIlV&#10;ArLI5f8FxS9QSwMEFAAAAAgAh07iQK+WF+kgAgAAJgQAAA4AAABkcnMvZTJvRG9jLnhtbK1TS27b&#10;MBDdF+gdCO5rWa4VJ4LlII2RokD6AdIegKYoi6jEYYe0JfcAzQ266qb7nsvn6JByXDfdZNGNwOEM&#10;38x78zS/7NuGbRU6Dabg6WjMmTISSm3WBf/08ebFOWfOC1OKBowq+E45frl4/mze2VxNoIamVMgI&#10;xLi8swWvvbd5kjhZq1a4EVhlKFkBtsJTiOukRNERetskk/H4LOkAS4sglXN0uxyS/ICITwGEqtJS&#10;LUFuWmX8gIqqEZ4ouVpbxxdx2qpS0r+vKqc8awpOTH38UhM6r8I3WcxFvkZhay0PI4injPCIUyu0&#10;oaZHqKXwgm1Q/wPVaongoPIjCW0yEImKEIt0/Eibu1pYFbmQ1M4eRXf/D1a+235ApsuCZylpYkRL&#10;K99/v9//+LX/+Y3NXqZBos66nCrvLNX6/hX0ZJxI19lbkJ8dM3BdC7NWV4jQ1UqUNGJ8mZw8HXBc&#10;AFl1b6GkTmLjIQL1FbZBP1KEETqNsjuuR/WeSbqcZbMsyziTlDpLz6cXcX2JyB8eW3T+tYKWhUPB&#10;kbYfwcX21nmiQaUPJaGXgRvdNNEBjfnrggqHGxUtdHgdqITpBx6+X/UHaVZQ7ogUwmAv+rnoUAN+&#10;5awjaxXcfdkIVJw1bwwJc5FOp8GLMZhmswkFeJpZnWaEkQRVcM/ZcLz2g383FvW6pk7DKgxckZiV&#10;jkTDqMNUxDoEZJ/I/2D14M/TOFb9+b0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Rt8q71gAA&#10;AAkBAAAPAAAAAAAAAAEAIAAAACIAAABkcnMvZG93bnJldi54bWxQSwECFAAUAAAACACHTuJAr5YX&#10;6SACAAAmBAAADgAAAAAAAAABACAAAAAlAQAAZHJzL2Uyb0RvYy54bWxQSwUGAAAAAAYABgBZAQAA&#10;twUAAAAA&#10;">
                <v:fill on="f" focussize="0,0"/>
                <v:stroke on="f"/>
                <v:imagedata o:title=""/>
                <o:lock v:ext="edit" aspectratio="f"/>
                <v:textbox>
                  <w:txbxContent>
                    <w:p w14:paraId="2C0535E0">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专项批准事项签认人的要求</w:t>
                      </w:r>
                    </w:p>
                  </w:txbxContent>
                </v:textbox>
              </v:shape>
            </w:pict>
          </mc:Fallback>
        </mc:AlternateContent>
      </w:r>
      <w:r>
        <w:rPr>
          <w:rFonts w:hint="eastAsia" w:ascii="仿宋" w:hAnsi="仿宋" w:eastAsia="仿宋" w:cs="仿宋"/>
          <w:color w:val="auto"/>
          <w:sz w:val="24"/>
          <w:szCs w:val="24"/>
          <w:highlight w:val="none"/>
          <w:lang w:eastAsia="zh-CN"/>
        </w:rPr>
        <w:t>合同双方当事人应按照第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8</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款和第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9</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分别在专用条款中写明负责专项批准事项签认的设计顾问人代表、监理人代表、造价咨询人代表和承包人代表具体人选，授予其负责专项批准事项签认的权力，并提供该人选的印章、签字式样，作为本合同的附件。当专项批准事项发生时，该人选应在其职权范围内，按照本合同约定的程序、时限、生效条件等要求，对发生事项的内容、数量和单价等办理签认手续，并加盖所在单位的法人公章或其授权的施工现场管理机构章。</w:t>
      </w:r>
    </w:p>
    <w:p w14:paraId="4F1BDF96">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4BAE41AF">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11" w:name="_Toc12644"/>
      <w:r>
        <w:rPr>
          <w:rFonts w:ascii="仿宋" w:hAnsi="仿宋" w:eastAsia="仿宋" w:cs="仿宋"/>
          <w:bCs w:val="0"/>
          <w:color w:val="auto"/>
          <w:sz w:val="24"/>
          <w:szCs w:val="24"/>
          <w:highlight w:val="none"/>
          <w:lang w:eastAsia="zh-CN"/>
        </w:rPr>
        <w:t>1</w:t>
      </w:r>
      <w:r>
        <w:rPr>
          <w:rFonts w:hint="eastAsia" w:ascii="仿宋" w:hAnsi="仿宋" w:eastAsia="仿宋" w:cs="仿宋"/>
          <w:bCs w:val="0"/>
          <w:color w:val="auto"/>
          <w:sz w:val="24"/>
          <w:szCs w:val="24"/>
          <w:highlight w:val="none"/>
          <w:lang w:eastAsia="zh-CN"/>
        </w:rPr>
        <w:t>8专利技术和知识产权</w:t>
      </w:r>
      <w:bookmarkEnd w:id="311"/>
    </w:p>
    <w:p w14:paraId="452896F4">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w:t>
      </w:r>
      <w:r>
        <w:rPr>
          <w:rFonts w:ascii="仿宋" w:hAnsi="仿宋" w:eastAsia="仿宋" w:cs="仿宋"/>
          <w:b/>
          <w:bCs/>
          <w:color w:val="auto"/>
          <w:sz w:val="24"/>
          <w:szCs w:val="24"/>
          <w:highlight w:val="none"/>
          <w:lang w:eastAsia="zh-CN"/>
        </w:rPr>
        <w:t>.1</w:t>
      </w:r>
    </w:p>
    <w:p w14:paraId="0D17CBD5">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00224" behindDoc="0" locked="0" layoutInCell="1" allowOverlap="1">
                <wp:simplePos x="0" y="0"/>
                <wp:positionH relativeFrom="column">
                  <wp:posOffset>-114300</wp:posOffset>
                </wp:positionH>
                <wp:positionV relativeFrom="paragraph">
                  <wp:posOffset>22860</wp:posOffset>
                </wp:positionV>
                <wp:extent cx="785495" cy="525780"/>
                <wp:effectExtent l="0" t="0" r="0" b="0"/>
                <wp:wrapNone/>
                <wp:docPr id="511" name="文本框 732"/>
                <wp:cNvGraphicFramePr/>
                <a:graphic xmlns:a="http://schemas.openxmlformats.org/drawingml/2006/main">
                  <a:graphicData uri="http://schemas.microsoft.com/office/word/2010/wordprocessingShape">
                    <wps:wsp>
                      <wps:cNvSpPr txBox="1">
                        <a:spLocks noChangeArrowheads="1"/>
                      </wps:cNvSpPr>
                      <wps:spPr bwMode="auto">
                        <a:xfrm>
                          <a:off x="0" y="0"/>
                          <a:ext cx="785495" cy="525780"/>
                        </a:xfrm>
                        <a:prstGeom prst="rect">
                          <a:avLst/>
                        </a:prstGeom>
                        <a:noFill/>
                        <a:ln>
                          <a:noFill/>
                        </a:ln>
                        <a:effectLst/>
                      </wps:spPr>
                      <wps:txbx>
                        <w:txbxContent>
                          <w:p w14:paraId="01C9374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侵犯专利技术责任</w:t>
                            </w:r>
                          </w:p>
                        </w:txbxContent>
                      </wps:txbx>
                      <wps:bodyPr rot="0" vert="horz" wrap="square" lIns="91440" tIns="45720" rIns="91440" bIns="45720" anchor="t" anchorCtr="0" upright="1">
                        <a:noAutofit/>
                      </wps:bodyPr>
                    </wps:wsp>
                  </a:graphicData>
                </a:graphic>
              </wp:anchor>
            </w:drawing>
          </mc:Choice>
          <mc:Fallback>
            <w:pict>
              <v:shape id="文本框 732" o:spid="_x0000_s1026" o:spt="202" type="#_x0000_t202" style="position:absolute;left:0pt;margin-left:-9pt;margin-top:1.8pt;height:41.4pt;width:61.85pt;z-index:251700224;mso-width-relative:page;mso-height-relative:page;" filled="f" stroked="f" coordsize="21600,21600" o:gfxdata="UEsDBAoAAAAAAIdO4kAAAAAAAAAAAAAAAAAEAAAAZHJzL1BLAwQUAAAACACHTuJABLrOrNYAAAAI&#10;AQAADwAAAGRycy9kb3ducmV2LnhtbE2PzU7DMBCE70h9B2uRuLV2ShtCyKYHEFcqyo/EzY23SUS8&#10;jmK3CW+Pe2qPoxnNfFNsJtuJEw2+dYyQLBQI4sqZlmuEz4/XeQbCB81Gd44J4Y88bMrZTaFz40Z+&#10;p9Mu1CKWsM81QhNCn0vpq4as9gvXE0fv4AarQ5RDLc2gx1huO7lUKpVWtxwXGt3Tc0PV7+5oEb7e&#10;Dj/fK7WtX+y6H92kJNtHiXh3m6gnEIGmcAnDGT+iQxmZ9u7IxosOYZ5k8UtAuE9BnH21fgCxR8jS&#10;FciykNcHyn9QSwMEFAAAAAgAh07iQGm6j/ggAgAAJgQAAA4AAABkcnMvZTJvRG9jLnhtbK1TzY7T&#10;MBC+I/EOlu80TWlpN2q6WrZahLT8SAsP4DpOY5F4zNhtUh4A3oATF+48V5+DsZMtZbnsgYtle8bf&#10;zPfN5+Vl19Rsr9BpMDlPR2POlJFQaLPN+ccPN88WnDkvTCFqMCrnB+X45erpk2VrMzWBCupCISMQ&#10;47LW5rzy3mZJ4mSlGuFGYJWhYAnYCE9H3CYFipbQmzqZjMcvkhawsAhSOUe36z7IB0R8DCCUpZZq&#10;DXLXKON7VFS18ETJVdo6vordlqWS/l1ZOuVZnXNi6uNKRWi/CWuyWopsi8JWWg4tiMe08IBTI7Sh&#10;oieotfCC7VD/A9VoieCg9CMJTdITiYoQi3T8QJu7SlgVuZDUzp5Ed/8PVr7dv0emi5zP0pQzIxoa&#10;+fH7t+OPX8efX9n8+SRI1FqXUeadpVzfvYSOjBPpOnsL8pNjBq4rYbbqChHaSomCWkzDy+TsaY/j&#10;AsimfQMFVRI7DxGoK7EJ+pEijNBpPIfTeFTnmaTL+WI2vZhxJik0m8zmizi+RGT3jy06/0pBw8Im&#10;50jTj+Bif+t8aEZk9ymhloEbXdfRAbX564IS+xsVLTS8DlRC9z0P3226QZoNFAcihdDbiz4XbSrA&#10;L5y1ZK2cu887gYqz+rUhYS7S6TR4MR6ms/mEDnge2ZxHhJEElXPPWb+99r1/dxb1tqJK/SgMXJGY&#10;pY5EQ6t9V8MIyD6R/2D14M/z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Eus6s1gAA&#10;AAgBAAAPAAAAAAAAAAEAIAAAACIAAABkcnMvZG93bnJldi54bWxQSwECFAAUAAAACACHTuJAabqP&#10;+CACAAAmBAAADgAAAAAAAAABACAAAAAlAQAAZHJzL2Uyb0RvYy54bWxQSwUGAAAAAAYABgBZAQAA&#10;twUAAAAA&#10;">
                <v:fill on="f" focussize="0,0"/>
                <v:stroke on="f"/>
                <v:imagedata o:title=""/>
                <o:lock v:ext="edit" aspectratio="f"/>
                <v:textbox>
                  <w:txbxContent>
                    <w:p w14:paraId="01C9374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侵犯专利技术责任</w:t>
                      </w:r>
                    </w:p>
                  </w:txbxContent>
                </v:textbox>
              </v:shape>
            </w:pict>
          </mc:Fallback>
        </mc:AlternateContent>
      </w:r>
      <w:r>
        <w:rPr>
          <w:rFonts w:hint="eastAsia" w:ascii="仿宋" w:hAnsi="仿宋" w:eastAsia="仿宋" w:cs="仿宋"/>
          <w:color w:val="auto"/>
          <w:sz w:val="24"/>
          <w:szCs w:val="24"/>
          <w:highlight w:val="none"/>
          <w:lang w:eastAsia="zh-CN"/>
        </w:rPr>
        <w:t>承包人在勘察、设计、施工并保修合同工程过程中，如因采用勘察设计方法、施工工艺或使用施工设备及自身供应的工程材料和工程设备，而发生侵犯他人设计图纸、商标、图案、工艺、工程材料、工程设备专利权或知识产权的行为，并引起索赔或诉讼，则一切与此有关的损失、赔偿、诉讼等责任，均由承包人承担。但由于遵守发包人提供的项目基础资料、标准与规范、技术说明和发包人要求而造成的侵权，则属例外。</w:t>
      </w:r>
    </w:p>
    <w:p w14:paraId="1E2CA67C">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w:t>
      </w:r>
      <w:r>
        <w:rPr>
          <w:rFonts w:ascii="仿宋" w:hAnsi="仿宋" w:eastAsia="仿宋" w:cs="仿宋"/>
          <w:b/>
          <w:bCs/>
          <w:color w:val="auto"/>
          <w:sz w:val="24"/>
          <w:szCs w:val="24"/>
          <w:highlight w:val="none"/>
          <w:lang w:eastAsia="zh-CN"/>
        </w:rPr>
        <w:t>.2</w:t>
      </w:r>
    </w:p>
    <w:p w14:paraId="6566AA86">
      <w:pPr>
        <w:pStyle w:val="2"/>
        <w:widowControl w:val="0"/>
        <w:tabs>
          <w:tab w:val="left" w:pos="1202"/>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01248" behindDoc="0" locked="0" layoutInCell="1" allowOverlap="1">
                <wp:simplePos x="0" y="0"/>
                <wp:positionH relativeFrom="column">
                  <wp:posOffset>-114300</wp:posOffset>
                </wp:positionH>
                <wp:positionV relativeFrom="paragraph">
                  <wp:posOffset>22860</wp:posOffset>
                </wp:positionV>
                <wp:extent cx="765810" cy="449580"/>
                <wp:effectExtent l="0" t="0" r="0" b="0"/>
                <wp:wrapNone/>
                <wp:docPr id="512" name="文本框 733"/>
                <wp:cNvGraphicFramePr/>
                <a:graphic xmlns:a="http://schemas.openxmlformats.org/drawingml/2006/main">
                  <a:graphicData uri="http://schemas.microsoft.com/office/word/2010/wordprocessingShape">
                    <wps:wsp>
                      <wps:cNvSpPr txBox="1">
                        <a:spLocks noChangeArrowheads="1"/>
                      </wps:cNvSpPr>
                      <wps:spPr bwMode="auto">
                        <a:xfrm>
                          <a:off x="0" y="0"/>
                          <a:ext cx="765810" cy="449580"/>
                        </a:xfrm>
                        <a:prstGeom prst="rect">
                          <a:avLst/>
                        </a:prstGeom>
                        <a:noFill/>
                        <a:ln>
                          <a:noFill/>
                        </a:ln>
                        <a:effectLst/>
                      </wps:spPr>
                      <wps:txbx>
                        <w:txbxContent>
                          <w:p w14:paraId="4CC197B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专利技术的使用</w:t>
                            </w:r>
                          </w:p>
                        </w:txbxContent>
                      </wps:txbx>
                      <wps:bodyPr rot="0" vert="horz" wrap="square" lIns="91440" tIns="45720" rIns="91440" bIns="45720" anchor="t" anchorCtr="0" upright="1">
                        <a:noAutofit/>
                      </wps:bodyPr>
                    </wps:wsp>
                  </a:graphicData>
                </a:graphic>
              </wp:anchor>
            </w:drawing>
          </mc:Choice>
          <mc:Fallback>
            <w:pict>
              <v:shape id="文本框 733" o:spid="_x0000_s1026" o:spt="202" type="#_x0000_t202" style="position:absolute;left:0pt;margin-left:-9pt;margin-top:1.8pt;height:35.4pt;width:60.3pt;z-index:251701248;mso-width-relative:page;mso-height-relative:page;" filled="f" stroked="f" coordsize="21600,21600" o:gfxdata="UEsDBAoAAAAAAIdO4kAAAAAAAAAAAAAAAAAEAAAAZHJzL1BLAwQUAAAACACHTuJAtKuQQNYAAAAI&#10;AQAADwAAAGRycy9kb3ducmV2LnhtbE2PwW7CMBBE75X6D9Yi9QZ2aAo0zYZDq15blRYkbiZekoh4&#10;HcWGpH9fcyq3Wc1q5k2+Hm0rLtT7xjFCMlMgiEtnGq4Qfr7fpysQPmg2unVMCL/kYV3c3+U6M27g&#10;L7psQiViCPtMI9QhdJmUvqzJaj9zHXH0jq63OsSzr6Tp9RDDbSvnSi2k1Q3Hhlp39FpTedqcLcL2&#10;47jfpeqzerNP3eBGJdk+S8SHSaJeQAQaw/8zXPEjOhSR6eDObLxoEabJKm4JCI8LEFdfzaM4ICzT&#10;FGSRy9sBxR9QSwMEFAAAAAgAh07iQM0o1SEgAgAAJgQAAA4AAABkcnMvZTJvRG9jLnhtbK1TS27b&#10;MBDdF+gdCO5rWY6dOILlII2RokD6AdIegKYoi6jEYYe0JfcA7Q266qb7nsvn6JBSXDfdZNENQXKG&#10;b+a9eVxcdU3NdgqdBpPzdDTmTBkJhTabnH/8cPtizpnzwhSiBqNyvleOXy2fP1u0NlMTqKAuFDIC&#10;MS5rbc4r722WJE5WqhFuBFYZCpaAjfB0xE1SoGgJvamTyXh8nrSAhUWQyjm6XfVBPiDiUwChLLVU&#10;K5DbRhnfo6KqhSdKrtLW8WXstiyV9O/K0inP6pwTUx9XKkL7dViT5UJkGxS20nJoQTylhUecGqEN&#10;FT1CrYQXbIv6H6hGSwQHpR9JaJKeSFSEWKTjR9rcV8KqyIWkdvYouvt/sPLt7j0yXeR8lk44M6Kh&#10;kR++fzv8+HX4+ZVdnJ0FiVrrMsq8t5Tru5fQkXEiXWfvQH5yzMBNJcxGXSNCWylRUItpeJmcPO1x&#10;XABZt2+goEpi6yECdSU2QT9ShBE6jWd/HI/qPJN0eXE+m6cUkRSaTi9n8zi+RGQPjy06/0pBw8Im&#10;50jTj+Bid+d8aEZkDymhloFbXdfRAbX564IS+xsVLTS8DlRC9z0P3627QZo1FHsihdDbiz4XbSrA&#10;L5y1ZK2cu89bgYqz+rUhYS7T6TR4MR6ms4sJHfA0sj6NCCMJKuees35743v/bi3qTUWV+lEYuCYx&#10;Sx2Jhlb7roYRkH0i/8HqwZ+n55j153sv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0q5BA1gAA&#10;AAgBAAAPAAAAAAAAAAEAIAAAACIAAABkcnMvZG93bnJldi54bWxQSwECFAAUAAAACACHTuJAzSjV&#10;ISACAAAmBAAADgAAAAAAAAABACAAAAAlAQAAZHJzL2Uyb0RvYy54bWxQSwUGAAAAAAYABgBZAQAA&#10;twUAAAAA&#10;">
                <v:fill on="f" focussize="0,0"/>
                <v:stroke on="f"/>
                <v:imagedata o:title=""/>
                <o:lock v:ext="edit" aspectratio="f"/>
                <v:textbox>
                  <w:txbxContent>
                    <w:p w14:paraId="4CC197B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专利技术的使用</w:t>
                      </w:r>
                    </w:p>
                  </w:txbxContent>
                </v:textbox>
              </v:shape>
            </w:pict>
          </mc:Fallback>
        </mc:AlternateContent>
      </w:r>
      <w:r>
        <w:rPr>
          <w:rFonts w:hint="eastAsia" w:ascii="仿宋" w:hAnsi="仿宋" w:eastAsia="仿宋" w:cs="仿宋"/>
          <w:color w:val="auto"/>
          <w:sz w:val="24"/>
          <w:szCs w:val="24"/>
          <w:highlight w:val="none"/>
          <w:lang w:eastAsia="zh-CN"/>
        </w:rPr>
        <w:t>承包人在投标或报价文件中采用专利技术的，其发生的费用已包含在投标报价内。承包人的技术秘密和第99条约定的保密信息、资料等，发包人应严格按照第99条约定不得为合同以外的目的泄露给第三方。</w:t>
      </w:r>
    </w:p>
    <w:p w14:paraId="1A3B0E7F">
      <w:pPr>
        <w:pStyle w:val="2"/>
        <w:adjustRightInd w:val="0"/>
        <w:snapToGrid w:val="0"/>
        <w:spacing w:line="360" w:lineRule="auto"/>
        <w:rPr>
          <w:rFonts w:hint="eastAsia" w:ascii="仿宋" w:hAnsi="仿宋" w:eastAsia="仿宋"/>
          <w:color w:val="auto"/>
          <w:sz w:val="24"/>
          <w:szCs w:val="24"/>
          <w:highlight w:val="none"/>
          <w:lang w:eastAsia="zh-CN"/>
        </w:rPr>
      </w:pPr>
      <w:r>
        <w:rPr>
          <w:b/>
          <w:bCs/>
          <w:color w:val="auto"/>
          <w:sz w:val="24"/>
          <w:szCs w:val="24"/>
          <w:highlight w:val="none"/>
          <w:lang w:eastAsia="zh-CN"/>
        </w:rPr>
        <mc:AlternateContent>
          <mc:Choice Requires="wps">
            <w:drawing>
              <wp:anchor distT="0" distB="0" distL="114300" distR="114300" simplePos="0" relativeHeight="251702272" behindDoc="0" locked="0" layoutInCell="1" allowOverlap="1">
                <wp:simplePos x="0" y="0"/>
                <wp:positionH relativeFrom="column">
                  <wp:posOffset>-114300</wp:posOffset>
                </wp:positionH>
                <wp:positionV relativeFrom="paragraph">
                  <wp:posOffset>241300</wp:posOffset>
                </wp:positionV>
                <wp:extent cx="805815" cy="456565"/>
                <wp:effectExtent l="0" t="0" r="0" b="0"/>
                <wp:wrapNone/>
                <wp:docPr id="513" name="文本框 734"/>
                <wp:cNvGraphicFramePr/>
                <a:graphic xmlns:a="http://schemas.openxmlformats.org/drawingml/2006/main">
                  <a:graphicData uri="http://schemas.microsoft.com/office/word/2010/wordprocessingShape">
                    <wps:wsp>
                      <wps:cNvSpPr txBox="1">
                        <a:spLocks noChangeArrowheads="1"/>
                      </wps:cNvSpPr>
                      <wps:spPr bwMode="auto">
                        <a:xfrm>
                          <a:off x="0" y="0"/>
                          <a:ext cx="805815" cy="456565"/>
                        </a:xfrm>
                        <a:prstGeom prst="rect">
                          <a:avLst/>
                        </a:prstGeom>
                        <a:noFill/>
                        <a:ln>
                          <a:noFill/>
                        </a:ln>
                        <a:effectLst/>
                      </wps:spPr>
                      <wps:txbx>
                        <w:txbxContent>
                          <w:p w14:paraId="23354ECE">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版权和知识产权</w:t>
                            </w:r>
                          </w:p>
                        </w:txbxContent>
                      </wps:txbx>
                      <wps:bodyPr rot="0" vert="horz" wrap="square" lIns="91440" tIns="45720" rIns="91440" bIns="45720" anchor="t" anchorCtr="0" upright="1">
                        <a:noAutofit/>
                      </wps:bodyPr>
                    </wps:wsp>
                  </a:graphicData>
                </a:graphic>
              </wp:anchor>
            </w:drawing>
          </mc:Choice>
          <mc:Fallback>
            <w:pict>
              <v:shape id="文本框 734" o:spid="_x0000_s1026" o:spt="202" type="#_x0000_t202" style="position:absolute;left:0pt;margin-left:-9pt;margin-top:19pt;height:35.95pt;width:63.45pt;z-index:251702272;mso-width-relative:page;mso-height-relative:page;" filled="f" stroked="f" coordsize="21600,21600" o:gfxdata="UEsDBAoAAAAAAIdO4kAAAAAAAAAAAAAAAAAEAAAAZHJzL1BLAwQUAAAACACHTuJAI/uODtYAAAAK&#10;AQAADwAAAGRycy9kb3ducmV2LnhtbE2PS2+DMBCE75XyH6yN1FuyJn0ICCaHVL22avqQenPwBlDw&#10;GmEn0H9fc2pPu6sZzX5T7CbbiSsNvnWsIFlLEMSVMy3XCj7en1cpCB80G905JgU/5GFXLm4KnRs3&#10;8htdD6EWMYR9rhU0IfQ5oq8astqvXU8ctZMbrA7xHGo0gx5juO1wI+UjWt1y/NDonvYNVefDxSr4&#10;fDl9f93L1/rJPvSjmySyzVCp22UityACTeHPDDN+RIcyMh3dhY0XnYJVksYuQcHdPGeDTDMQx3nJ&#10;MsCywP8Vyl9QSwMEFAAAAAgAh07iQIEXfgUgAgAAJgQAAA4AAABkcnMvZTJvRG9jLnhtbK1TS27b&#10;MBDdF+gdCO5rWY6duILlII2RokD6AdIegKYoi6jEYYe0JfcAzQ266qb7nsvn6JBSXDfdZFEIEEjO&#10;8M28N4+Ly66p2U6h02Byno7GnCkjodBmk/NPH29ezDlzXphC1GBUzvfK8cvl82eL1mZqAhXUhUJG&#10;IMZlrc155b3NksTJSjXCjcAqQ8ESsBGetrhJChQtoTd1MhmPz5MWsLAIUjlHp6s+yAdEfAoglKWW&#10;agVy2yjje1RUtfBEyVXaOr6M3Zalkv59WTrlWZ1zYurjn4rQeh3+yXIhsg0KW2k5tCCe0sIjTo3Q&#10;hooeoVbCC7ZF/Q9UoyWCg9KPJDRJTyQqQizS8SNt7iphVeRCUjt7FN39P1j5bvcBmS5yPkvPODOi&#10;oZEfvt8ffvw6/PzGLs6mQaLWuowy7yzl+u4VdGScSNfZW5CfHTNwXQmzUVeI0FZKFNRiGm4mJ1d7&#10;HBdA1u1bKKiS2HqIQF2JTdCPFGGETuPZH8ejOs8kHc7Hs3k640xSaDo7py9WENnDZYvOv1bQsLDI&#10;OdL0I7jY3TofmhHZQ0qoZeBG13V0QG3+OqDE/kRFCw23A5XQfc/Dd+tukGYNxZ5IIfT2osdFiwrw&#10;K2ctWSvn7stWoOKsfmNImJfpdBq8GDfT2cWENngaWZ9GhJEElXPPWb+89r1/txb1pqJK/SgMXJGY&#10;pY5EQ6t9V8MIyD6R/2D14M/Tfcz687y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j+44O1gAA&#10;AAoBAAAPAAAAAAAAAAEAIAAAACIAAABkcnMvZG93bnJldi54bWxQSwECFAAUAAAACACHTuJAgRd+&#10;BSACAAAmBAAADgAAAAAAAAABACAAAAAlAQAAZHJzL2Uyb0RvYy54bWxQSwUGAAAAAAYABgBZAQAA&#10;twUAAAAA&#10;">
                <v:fill on="f" focussize="0,0"/>
                <v:stroke on="f"/>
                <v:imagedata o:title=""/>
                <o:lock v:ext="edit" aspectratio="f"/>
                <v:textbox>
                  <w:txbxContent>
                    <w:p w14:paraId="23354ECE">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版权和知识产权</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8</w:t>
      </w:r>
      <w:r>
        <w:rPr>
          <w:rFonts w:ascii="仿宋" w:hAnsi="仿宋" w:eastAsia="仿宋" w:cs="仿宋"/>
          <w:b/>
          <w:bCs/>
          <w:color w:val="auto"/>
          <w:sz w:val="24"/>
          <w:szCs w:val="24"/>
          <w:highlight w:val="none"/>
          <w:lang w:eastAsia="zh-CN"/>
        </w:rPr>
        <w:t>.3</w:t>
      </w:r>
    </w:p>
    <w:p w14:paraId="303475A0">
      <w:pPr>
        <w:pStyle w:val="2"/>
        <w:widowControl w:val="0"/>
        <w:tabs>
          <w:tab w:val="left" w:pos="1202"/>
        </w:tabs>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18.3.1 除合同专用条款另有约定外，由发包人（或以发包人名义）为实施工程自行编制或委托编制的技术规范以及反映发包人要求的或其他类似性质的文件的著作权属于发包人，承包人可以为实现合同目的而复制、使用此类文件，但不能用于与合同无关的其他事项。未经发包人书面同意，承包人不得为了合同以外的目的而复制、使用上述文件或将之提供给任何第三方。</w:t>
      </w:r>
    </w:p>
    <w:p w14:paraId="1B22816E">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 xml:space="preserve">18.3.2 </w:t>
      </w:r>
      <w:r>
        <w:rPr>
          <w:rFonts w:hint="eastAsia" w:ascii="仿宋" w:hAnsi="仿宋" w:eastAsia="仿宋" w:cs="仿宋"/>
          <w:color w:val="auto"/>
          <w:sz w:val="24"/>
          <w:szCs w:val="24"/>
          <w:highlight w:val="none"/>
          <w:lang w:eastAsia="zh-CN"/>
        </w:rPr>
        <w:tab/>
      </w:r>
      <w:r>
        <w:rPr>
          <w:rFonts w:hint="eastAsia" w:ascii="仿宋" w:hAnsi="仿宋" w:eastAsia="仿宋" w:cs="仿宋"/>
          <w:color w:val="auto"/>
          <w:sz w:val="24"/>
          <w:szCs w:val="24"/>
          <w:highlight w:val="none"/>
          <w:lang w:eastAsia="zh-CN"/>
        </w:rPr>
        <w:t>除合同专用条款另有约定外，由承包人（或以承包人名义）为实施工程所编制的文件、承包人完成的设计工作成果和建造完成的建筑物，就合同当事人之间而言，其著作权和其他知识产权应归承包人享有。发包人可因实施工程的运行、调试、维修、改造等目的而复制、使用此类文件，但不能用于与合同无关的其他事项。未经承包人书面同意，发包人不得为了合同以外的目的而复制、使用上述文件或将之提供给任何第三方。</w:t>
      </w:r>
    </w:p>
    <w:p w14:paraId="78A2587E">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18.3.3 合同当事人保证在履行合同过程中不侵犯对方及第三方的知识产权。承包人在使用工程材料、工程设备、施工设备或采用施工工艺时，因侵犯他人的专利权或其他知识产权所引起的责任，由承包人承担；因发包人提供的工程材料、工程设备、施工设备或施工工艺导致侵权的，由发包人承担责任。</w:t>
      </w:r>
    </w:p>
    <w:p w14:paraId="4431274D">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18.3.4合同双方当事人均有权在不损害对方利益和保密约定的前提下，在自己宣传用的印刷品或其他出版物上，或申报奖项时等情形下公布有关项目的文字和图片材料。</w:t>
      </w:r>
    </w:p>
    <w:p w14:paraId="719D6A08">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12" w:name="_Toc17029"/>
      <w:r>
        <w:rPr>
          <w:rFonts w:ascii="仿宋" w:hAnsi="仿宋" w:eastAsia="仿宋" w:cs="仿宋"/>
          <w:bCs w:val="0"/>
          <w:color w:val="auto"/>
          <w:sz w:val="24"/>
          <w:szCs w:val="24"/>
          <w:highlight w:val="none"/>
          <w:lang w:eastAsia="zh-CN"/>
        </w:rPr>
        <w:t>1</w:t>
      </w:r>
      <w:r>
        <w:rPr>
          <w:rFonts w:hint="eastAsia" w:ascii="仿宋" w:hAnsi="仿宋" w:eastAsia="仿宋" w:cs="仿宋"/>
          <w:bCs w:val="0"/>
          <w:color w:val="auto"/>
          <w:sz w:val="24"/>
          <w:szCs w:val="24"/>
          <w:highlight w:val="none"/>
          <w:lang w:eastAsia="zh-CN"/>
        </w:rPr>
        <w:t>9 联合体</w:t>
      </w:r>
      <w:bookmarkEnd w:id="312"/>
    </w:p>
    <w:p w14:paraId="773A92D3">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9</w:t>
      </w:r>
      <w:r>
        <w:rPr>
          <w:rFonts w:ascii="仿宋" w:hAnsi="仿宋" w:eastAsia="仿宋" w:cs="仿宋"/>
          <w:b/>
          <w:bCs/>
          <w:color w:val="auto"/>
          <w:sz w:val="24"/>
          <w:szCs w:val="24"/>
          <w:highlight w:val="none"/>
          <w:lang w:eastAsia="zh-CN"/>
        </w:rPr>
        <w:t>.1</w:t>
      </w: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1976704" behindDoc="0" locked="0" layoutInCell="1" allowOverlap="1">
                <wp:simplePos x="0" y="0"/>
                <wp:positionH relativeFrom="column">
                  <wp:posOffset>-114300</wp:posOffset>
                </wp:positionH>
                <wp:positionV relativeFrom="paragraph">
                  <wp:posOffset>263525</wp:posOffset>
                </wp:positionV>
                <wp:extent cx="833120" cy="551815"/>
                <wp:effectExtent l="0" t="0" r="0" b="0"/>
                <wp:wrapNone/>
                <wp:docPr id="514" name="文本框 734"/>
                <wp:cNvGraphicFramePr/>
                <a:graphic xmlns:a="http://schemas.openxmlformats.org/drawingml/2006/main">
                  <a:graphicData uri="http://schemas.microsoft.com/office/word/2010/wordprocessingShape">
                    <wps:wsp>
                      <wps:cNvSpPr txBox="1">
                        <a:spLocks noChangeArrowheads="1"/>
                      </wps:cNvSpPr>
                      <wps:spPr bwMode="auto">
                        <a:xfrm>
                          <a:off x="0" y="0"/>
                          <a:ext cx="833120" cy="551815"/>
                        </a:xfrm>
                        <a:prstGeom prst="rect">
                          <a:avLst/>
                        </a:prstGeom>
                        <a:noFill/>
                        <a:ln>
                          <a:noFill/>
                        </a:ln>
                        <a:effectLst/>
                      </wps:spPr>
                      <wps:txbx>
                        <w:txbxContent>
                          <w:p w14:paraId="6716DB27">
                            <w:pPr>
                              <w:rPr>
                                <w:rFonts w:hint="eastAsia" w:ascii="楷体_GB2312" w:hAnsi="宋体" w:eastAsia="楷体_GB2312"/>
                                <w:b/>
                                <w:bCs/>
                                <w:color w:val="000000"/>
                                <w:sz w:val="18"/>
                                <w:szCs w:val="18"/>
                              </w:rPr>
                            </w:pPr>
                            <w:r>
                              <w:rPr>
                                <w:rFonts w:hint="eastAsia" w:ascii="楷体_GB2312" w:hAnsi="宋体" w:eastAsia="楷体_GB2312"/>
                                <w:b/>
                                <w:bCs/>
                                <w:color w:val="000000"/>
                                <w:sz w:val="18"/>
                                <w:szCs w:val="18"/>
                              </w:rPr>
                              <w:t>联合体的组成及责任</w:t>
                            </w:r>
                          </w:p>
                        </w:txbxContent>
                      </wps:txbx>
                      <wps:bodyPr rot="0" vert="horz" wrap="square" lIns="91440" tIns="45720" rIns="91440" bIns="45720" anchor="t" anchorCtr="0" upright="1">
                        <a:noAutofit/>
                      </wps:bodyPr>
                    </wps:wsp>
                  </a:graphicData>
                </a:graphic>
              </wp:anchor>
            </w:drawing>
          </mc:Choice>
          <mc:Fallback>
            <w:pict>
              <v:shape id="文本框 734" o:spid="_x0000_s1026" o:spt="202" type="#_x0000_t202" style="position:absolute;left:0pt;margin-left:-9pt;margin-top:20.75pt;height:43.45pt;width:65.6pt;z-index:251976704;mso-width-relative:page;mso-height-relative:page;" filled="f" stroked="f" coordsize="21600,21600" o:gfxdata="UEsDBAoAAAAAAIdO4kAAAAAAAAAAAAAAAAAEAAAAZHJzL1BLAwQUAAAACACHTuJA5IFHZtcAAAAK&#10;AQAADwAAAGRycy9kb3ducmV2LnhtbE2PzU7DMBCE70i8g7VI3FrbIUUhxOkBxBVE+ZG4ufE2iYjX&#10;Uew24e3ZnuA2qxnNflNtFz+IE06xD2RArxUIpCa4nloD729PqwJETJacHQKhgR+MsK0vLypbujDT&#10;K552qRVcQrG0BrqUxlLK2HTobVyHEYm9Q5i8TXxOrXSTnbncDzJT6lZ62xN/6OyIDx0237ujN/Dx&#10;fPj6zNVL++g34xwWJcnfSWOur7S6B5FwSX9hOOMzOtTMtA9HclEMBla64C3JQK43IM4BfZOB2LPI&#10;ihxkXcn/E+pfUEsDBBQAAAAIAIdO4kDhZYjYHgIAACYEAAAOAAAAZHJzL2Uyb0RvYy54bWytU82O&#10;0zAQviPxDpbvNE1/2BI1XS1bLUJafqSFB3Adp7FIPGbsNikPAG/AiQt3nqvPwdjJlrJc9sDFsj3j&#10;b+b75vPysmtqtlfoNJicp6MxZ8pIKLTZ5vzjh5tnC86cF6YQNRiV84Ny/HL19MmytZmaQAV1oZAR&#10;iHFZa3NeeW+zJHGyUo1wI7DKULAEbISnI26TAkVL6E2dTMbj50kLWFgEqZyj23Uf5AMiPgYQylJL&#10;tQa5a5TxPSqqWnii5CptHV/FbstSSf+uLJ3yrM45MfVxpSK034Q1WS1FtkVhKy2HFsRjWnjAqRHa&#10;UNET1Fp4wXao/4FqtERwUPqRhCbpiURFiEU6fqDNXSWsilxIamdPorv/Byvf7t8j00XO5+mMMyMa&#10;Gvnx+7fjj1/Hn1/ZxXQWJGqtyyjzzlKu715CR8aJdJ29BfnJMQPXlTBbdYUIbaVEQS2m4WVy9rTH&#10;cQFk076BgiqJnYcI1JXYBP1IEUboNJ7DaTyq80zS5WI6TScUkRSaz9NFOo8VRHb/2KLzrxQ0LGxy&#10;jjT9CC72t86HZkR2nxJqGbjRdR0dUJu/Liixv1HRQsPrQCV03/Pw3aYbpNlAcSBSCL296HPRpgL8&#10;wllL1sq5+7wTqDirXxsS5kU6mwUvxsNsfhE44Xlkcx4RRhJUzj1n/fba9/7dWdTbiir1ozBwRWKW&#10;OhINrfZdDSMg+0T+g9WDP8/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SBR2bXAAAA&#10;CgEAAA8AAAAAAAAAAQAgAAAAIgAAAGRycy9kb3ducmV2LnhtbFBLAQIUABQAAAAIAIdO4kDhZYjY&#10;HgIAACYEAAAOAAAAAAAAAAEAIAAAACYBAABkcnMvZTJvRG9jLnhtbFBLBQYAAAAABgAGAFkBAAC2&#10;BQAAAAA=&#10;">
                <v:fill on="f" focussize="0,0"/>
                <v:stroke on="f"/>
                <v:imagedata o:title=""/>
                <o:lock v:ext="edit" aspectratio="f"/>
                <v:textbox>
                  <w:txbxContent>
                    <w:p w14:paraId="6716DB27">
                      <w:pPr>
                        <w:rPr>
                          <w:rFonts w:hint="eastAsia" w:ascii="楷体_GB2312" w:hAnsi="宋体" w:eastAsia="楷体_GB2312"/>
                          <w:b/>
                          <w:bCs/>
                          <w:color w:val="000000"/>
                          <w:sz w:val="18"/>
                          <w:szCs w:val="18"/>
                        </w:rPr>
                      </w:pPr>
                      <w:r>
                        <w:rPr>
                          <w:rFonts w:hint="eastAsia" w:ascii="楷体_GB2312" w:hAnsi="宋体" w:eastAsia="楷体_GB2312"/>
                          <w:b/>
                          <w:bCs/>
                          <w:color w:val="000000"/>
                          <w:sz w:val="18"/>
                          <w:szCs w:val="18"/>
                        </w:rPr>
                        <w:t>联合体的组成及责任</w:t>
                      </w:r>
                    </w:p>
                  </w:txbxContent>
                </v:textbox>
              </v:shape>
            </w:pict>
          </mc:Fallback>
        </mc:AlternateContent>
      </w:r>
    </w:p>
    <w:p w14:paraId="01AC9099">
      <w:pPr>
        <w:pStyle w:val="2"/>
        <w:widowControl w:val="0"/>
        <w:adjustRightInd w:val="0"/>
        <w:snapToGrid w:val="0"/>
        <w:spacing w:line="360" w:lineRule="auto"/>
        <w:ind w:left="1850" w:leftChars="771"/>
        <w:jc w:val="both"/>
        <w:rPr>
          <w:rFonts w:hint="eastAsia" w:ascii="仿宋" w:hAnsi="仿宋" w:eastAsia="仿宋" w:cs="仿宋"/>
          <w:bCs/>
          <w:color w:val="auto"/>
          <w:sz w:val="24"/>
          <w:szCs w:val="24"/>
          <w:highlight w:val="none"/>
          <w:lang w:eastAsia="zh-CN"/>
        </w:rPr>
      </w:pPr>
      <w:r>
        <w:rPr>
          <w:rFonts w:hint="eastAsia" w:ascii="仿宋" w:hAnsi="仿宋" w:eastAsia="仿宋" w:cs="仿宋"/>
          <w:bCs/>
          <w:color w:val="auto"/>
          <w:sz w:val="24"/>
          <w:szCs w:val="24"/>
          <w:highlight w:val="none"/>
          <w:lang w:eastAsia="zh-CN"/>
        </w:rPr>
        <w:t xml:space="preserve">19.1.1 </w:t>
      </w:r>
      <w:r>
        <w:rPr>
          <w:rFonts w:hint="eastAsia" w:ascii="仿宋" w:hAnsi="仿宋" w:eastAsia="仿宋" w:cs="仿宋"/>
          <w:color w:val="auto"/>
          <w:sz w:val="24"/>
          <w:szCs w:val="24"/>
          <w:highlight w:val="none"/>
          <w:lang w:eastAsia="zh-CN"/>
        </w:rPr>
        <w:t>如果承包人是联合体，联合体成员视为具有符合本合同工程建设规模要求的工程建设类设计、施工等资质、资信和履约能力的法人组成。</w:t>
      </w:r>
    </w:p>
    <w:p w14:paraId="61A120B2">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19.1.2 联合体牵头人须由联合体成员中具有符合项目规模要求的工程设计资质或施工资质一方担任。专用条款中应明确以设计单位或施工单位为牵头人时各方的管理责任。</w:t>
      </w:r>
    </w:p>
    <w:p w14:paraId="662378AA">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Cs/>
          <w:color w:val="auto"/>
          <w:sz w:val="24"/>
          <w:szCs w:val="24"/>
          <w:highlight w:val="none"/>
          <w:lang w:eastAsia="zh-CN"/>
        </w:rPr>
        <w:t xml:space="preserve">19.1.3 </w:t>
      </w:r>
      <w:r>
        <w:rPr>
          <w:rFonts w:hint="eastAsia" w:ascii="仿宋" w:hAnsi="仿宋" w:eastAsia="仿宋" w:cs="仿宋"/>
          <w:color w:val="auto"/>
          <w:sz w:val="24"/>
          <w:szCs w:val="24"/>
          <w:highlight w:val="none"/>
          <w:lang w:eastAsia="zh-CN"/>
        </w:rPr>
        <w:t>在合同协议书签订时，视为联合体成员已签订联合体协议书，明确牵头人及各成员在本合同履行期间对发包人负有共同的和各自的责任，作为本合同的附件。招标发包工程，联合体成员应于投标前签订联合体协议，作为投标文件的组成部分。</w:t>
      </w:r>
    </w:p>
    <w:p w14:paraId="5E01EB1B">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bCs/>
          <w:color w:val="auto"/>
          <w:sz w:val="24"/>
          <w:szCs w:val="24"/>
          <w:highlight w:val="none"/>
          <w:lang w:eastAsia="zh-CN"/>
        </w:rPr>
        <w:t xml:space="preserve">19.1.4 </w:t>
      </w:r>
      <w:r>
        <w:rPr>
          <w:rFonts w:hint="eastAsia" w:ascii="仿宋" w:hAnsi="仿宋" w:eastAsia="仿宋" w:cs="仿宋"/>
          <w:color w:val="auto"/>
          <w:sz w:val="24"/>
          <w:szCs w:val="24"/>
          <w:highlight w:val="none"/>
          <w:lang w:eastAsia="zh-CN"/>
        </w:rPr>
        <w:t>联合体成员应共同与发包人签订合同协议书。联合体成员都应认真履行其共同的和各自的责任，在合同约定的时间内完成本合同工程总承包范围内的全部工作。</w:t>
      </w:r>
    </w:p>
    <w:p w14:paraId="334D190A">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19.1.5 联合体作为本合同的当事人，联合体牵头人及成员应作为一个整体享有本合同赋予的承包人权利、履行承包人责任和义务，共同承担本合同工程的实施风险，牵头人或其任一成员的过错或违约行为均不免除其他成员单位的连带责任。联合体牵头人负责组建项目部，由项目部负责与发包人、设计顾问人、监理人和造价咨询人联系，并接受指示，负责组织联合体各成员全面履行合同。</w:t>
      </w:r>
    </w:p>
    <w:p w14:paraId="748F021E">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19.1.6 联合体牵头人应对本合同工程总承包范围内全部工作的组织、管理、实施和协调承担主要责任，保障本合同工程的进度、质量、安全和成本符合本合同的约定；勘察设计单位应对本合同工程的勘察、设计、BIM技术应用及施工配合、设备及工器具购置配合等承担相应责任；施工单位应对本合同工程的施工组织、施工管理、施工技术、BIM技术应用及勘察设计配合、设备及工器具购置配合等承担相应责任。</w:t>
      </w:r>
    </w:p>
    <w:p w14:paraId="781C29C0">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19.1.7 联合体牵头人对本合同工程的进度、质量、安全、成本、管理、协调等负总责。在本合同履行期间，联合体牵头人代表联合体接受指令或发出书面文件，其任何作为或不作为，其效力均及于联合体成员；发包人对联合体牵头人的作为或不作为，其效力均及于承包人联合体成员。</w:t>
      </w:r>
    </w:p>
    <w:p w14:paraId="31467882">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19.1.8 联合体牵头人应加强对联合体各成员的组织、管理和协调，其产生的管理费用由联合体成员协商确定，作为牵头人项目管理费在本合同协议书中明确。合同履行期间，若牵头人及其授权的承包人代表不作为或存在过错，发包人有权扣除部分或全部牵头人项目管理费，并追究相关责任。牵头人项目管理费的扣除，不免除联合体牵头人及各成员作为承包人应承担的所有责任。</w:t>
      </w:r>
    </w:p>
    <w:p w14:paraId="42E351D0">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19.1.9 承包人代表及专业负责人的任命与授权，应符合第29.1款的约定，具体人选应在专用条款中约定。</w:t>
      </w:r>
    </w:p>
    <w:p w14:paraId="5C786F7A">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19.1.10 未经发包人事先书面同意，联合体的组成、结构和联合体协议书不得随意变动。</w:t>
      </w:r>
    </w:p>
    <w:p w14:paraId="50BEC258">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19.1.11 联合体牵头人及成员组成联合体，应团结合作，全面履行本合同赋予的权利和义务，实现共同利益，但不得推诿扯皮或合伙欺骗、损害发包人及社会公众利益。</w:t>
      </w:r>
    </w:p>
    <w:p w14:paraId="1290DC68">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19.1.12 联合体牵头人及各成员之间的任何法律和经济纠纷属于承包人一方的内部纠纷，不属于本合同双方当事人之间的纠纷，发包人均不承担任何责任和义务。</w:t>
      </w:r>
    </w:p>
    <w:p w14:paraId="64561BE9">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9</w:t>
      </w:r>
      <w:r>
        <w:rPr>
          <w:rFonts w:ascii="仿宋" w:hAnsi="仿宋" w:eastAsia="仿宋" w:cs="仿宋"/>
          <w:b/>
          <w:bCs/>
          <w:color w:val="auto"/>
          <w:sz w:val="24"/>
          <w:szCs w:val="24"/>
          <w:highlight w:val="none"/>
          <w:lang w:eastAsia="zh-CN"/>
        </w:rPr>
        <w:t xml:space="preserve">.2  </w:t>
      </w:r>
    </w:p>
    <w:p w14:paraId="1F6F014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77056" behindDoc="0" locked="0" layoutInCell="1" allowOverlap="1">
                <wp:simplePos x="0" y="0"/>
                <wp:positionH relativeFrom="column">
                  <wp:posOffset>-9525</wp:posOffset>
                </wp:positionH>
                <wp:positionV relativeFrom="paragraph">
                  <wp:posOffset>40640</wp:posOffset>
                </wp:positionV>
                <wp:extent cx="804545" cy="415925"/>
                <wp:effectExtent l="0" t="0" r="0" b="0"/>
                <wp:wrapNone/>
                <wp:docPr id="515" name="文本框 1262"/>
                <wp:cNvGraphicFramePr/>
                <a:graphic xmlns:a="http://schemas.openxmlformats.org/drawingml/2006/main">
                  <a:graphicData uri="http://schemas.microsoft.com/office/word/2010/wordprocessingShape">
                    <wps:wsp>
                      <wps:cNvSpPr txBox="1">
                        <a:spLocks noChangeArrowheads="1"/>
                      </wps:cNvSpPr>
                      <wps:spPr bwMode="auto">
                        <a:xfrm>
                          <a:off x="0" y="0"/>
                          <a:ext cx="804545" cy="415925"/>
                        </a:xfrm>
                        <a:prstGeom prst="rect">
                          <a:avLst/>
                        </a:prstGeom>
                        <a:noFill/>
                        <a:ln>
                          <a:noFill/>
                        </a:ln>
                        <a:effectLst/>
                      </wps:spPr>
                      <wps:txbx>
                        <w:txbxContent>
                          <w:p w14:paraId="72E9754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联合体文件签暑</w:t>
                            </w:r>
                          </w:p>
                        </w:txbxContent>
                      </wps:txbx>
                      <wps:bodyPr rot="0" vert="horz" wrap="square" lIns="91440" tIns="45720" rIns="91440" bIns="45720" anchor="t" anchorCtr="0" upright="1">
                        <a:noAutofit/>
                      </wps:bodyPr>
                    </wps:wsp>
                  </a:graphicData>
                </a:graphic>
              </wp:anchor>
            </w:drawing>
          </mc:Choice>
          <mc:Fallback>
            <w:pict>
              <v:shape id="文本框 1262" o:spid="_x0000_s1026" o:spt="202" type="#_x0000_t202" style="position:absolute;left:0pt;margin-left:-0.75pt;margin-top:3.2pt;height:32.75pt;width:63.35pt;z-index:252077056;mso-width-relative:page;mso-height-relative:page;" filled="f" stroked="f" coordsize="21600,21600" o:gfxdata="UEsDBAoAAAAAAIdO4kAAAAAAAAAAAAAAAAAEAAAAZHJzL1BLAwQUAAAACACHTuJAwijeG9QAAAAH&#10;AQAADwAAAGRycy9kb3ducmV2LnhtbE2OwU7DMBBE70j9B2srcWvtRE2hIZseQFxBtLQSNzfeJhHx&#10;OordJvw97gmOoxm9ecV2sp240uBbxwjJUoEgrpxpuUb43L8uHkH4oNnozjEh/JCHbTm7K3Ru3Mgf&#10;dN2FWkQI+1wjNCH0uZS+ashqv3Q9cezObrA6xDjU0gx6jHDbyVSptbS65fjQ6J6eG6q+dxeLcHg7&#10;fx1X6r1+sVk/uklJthuJeD9P1BOIQFP4G8NNP6pDGZ1O7sLGiw5hkWRxibBegbjVaZaCOCE8JBuQ&#10;ZSH/+5e/UEsDBBQAAAAIAIdO4kBmNEOyIAIAACcEAAAOAAAAZHJzL2Uyb0RvYy54bWytU0tu2zAQ&#10;3RfoHQjua1mClCaC5SCNkaJA+gHSHoCmKIuoyGFJ2pJ7gPYGWXXTfc/lc3RIKa6bbrLohiA5wzfz&#10;3jwuLgfVkZ2wToKuaDqbUyI0h1rqTUU/fbx5cU6J80zXrAMtKroXjl4unz9b9KYUGbTQ1cISBNGu&#10;7E1FW+9NmSSOt0IxNwMjNAYbsIp5PNpNUlvWI7rqkmw+P0t6sLWxwIVzeLsag3RCtE8BhKaRXKyA&#10;b5XQfkS1omMeKblWGkeXsdumEdy/bxonPOkqikx9XLEI7tdhTZYLVm4sM63kUwvsKS084qSY1Fj0&#10;CLVinpGtlf9AKcktOGj8jINKRiJREWSRzh9pc9cyIyIXlNqZo+ju/8Hyd7sPlsi6okVaUKKZwpEf&#10;7r8ffvw6/PxG0uwsCxr1xpWYemcw2Q+vYEDnRL7O3AL/7IiG65bpjbiyFvpWsBp7TMPL5OTpiOMC&#10;yLp/CzWWYlsPEWhorAoCoiQE0XE+++N8xOAJx8vzeV7k2CXHUJ4WF1kRK7Dy4bGxzr8WoEjYVNTi&#10;+CM42906H5ph5UNKqKXhRnZdtECn/7rAxPFGRA9NrwOV0P3Iww/rYZJmDfUeSVkY/YW/Czct2K+U&#10;9OitirovW2YFJd0bjcJcpHkezBgPefEyw4M9jaxPI0xzhKqop2TcXvvRwFtj5abFSuMoNFyhmI2M&#10;REOrY1fTCNA/kf/k9WDQ03PM+vO/l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ijeG9QAAAAH&#10;AQAADwAAAAAAAAABACAAAAAiAAAAZHJzL2Rvd25yZXYueG1sUEsBAhQAFAAAAAgAh07iQGY0Q7Ig&#10;AgAAJwQAAA4AAAAAAAAAAQAgAAAAIwEAAGRycy9lMm9Eb2MueG1sUEsFBgAAAAAGAAYAWQEAALUF&#10;AAAAAA==&#10;">
                <v:fill on="f" focussize="0,0"/>
                <v:stroke on="f"/>
                <v:imagedata o:title=""/>
                <o:lock v:ext="edit" aspectratio="f"/>
                <v:textbox>
                  <w:txbxContent>
                    <w:p w14:paraId="72E97544">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联合体文件签暑</w:t>
                      </w:r>
                    </w:p>
                  </w:txbxContent>
                </v:textbox>
              </v:shape>
            </w:pict>
          </mc:Fallback>
        </mc:AlternateContent>
      </w:r>
      <w:r>
        <w:rPr>
          <w:rFonts w:hint="eastAsia" w:ascii="仿宋" w:hAnsi="仿宋" w:eastAsia="仿宋" w:cs="仿宋"/>
          <w:color w:val="auto"/>
          <w:sz w:val="24"/>
          <w:szCs w:val="24"/>
          <w:highlight w:val="none"/>
          <w:lang w:eastAsia="zh-CN"/>
        </w:rPr>
        <w:t>联合体作为承包人，均由联合体牵头人及其授权的承包人代表负责组织联合体各成员全面履行合同，负责与发包人及监理人、造价咨询人、设计顾问人（如果有）等相关方之间的工作联系和文件往来，履行合同的有关文件由承包人代表签署。未经发包人事先书面同意，承包人代表不得随意变动。</w:t>
      </w:r>
    </w:p>
    <w:p w14:paraId="51545046">
      <w:pPr>
        <w:pStyle w:val="2"/>
        <w:adjustRightInd w:val="0"/>
        <w:snapToGrid w:val="0"/>
        <w:spacing w:line="360" w:lineRule="auto"/>
        <w:rPr>
          <w:rFonts w:hint="eastAsia" w:ascii="仿宋" w:hAnsi="仿宋" w:eastAsia="仿宋"/>
          <w:b/>
          <w:bCs/>
          <w:color w:val="auto"/>
          <w:sz w:val="24"/>
          <w:szCs w:val="24"/>
          <w:highlight w:val="none"/>
          <w:lang w:eastAsia="zh-CN"/>
        </w:rPr>
      </w:pPr>
      <w:r>
        <w:rPr>
          <w:color w:val="auto"/>
          <w:sz w:val="24"/>
          <w:szCs w:val="24"/>
          <w:highlight w:val="none"/>
          <w:lang w:eastAsia="zh-CN"/>
        </w:rPr>
        <mc:AlternateContent>
          <mc:Choice Requires="wps">
            <w:drawing>
              <wp:anchor distT="0" distB="0" distL="114300" distR="114300" simplePos="0" relativeHeight="252078080" behindDoc="0" locked="0" layoutInCell="1" allowOverlap="1">
                <wp:simplePos x="0" y="0"/>
                <wp:positionH relativeFrom="column">
                  <wp:posOffset>-114300</wp:posOffset>
                </wp:positionH>
                <wp:positionV relativeFrom="paragraph">
                  <wp:posOffset>245745</wp:posOffset>
                </wp:positionV>
                <wp:extent cx="756920" cy="445135"/>
                <wp:effectExtent l="0" t="0" r="0" b="0"/>
                <wp:wrapNone/>
                <wp:docPr id="516" name="文本框 1263"/>
                <wp:cNvGraphicFramePr/>
                <a:graphic xmlns:a="http://schemas.openxmlformats.org/drawingml/2006/main">
                  <a:graphicData uri="http://schemas.microsoft.com/office/word/2010/wordprocessingShape">
                    <wps:wsp>
                      <wps:cNvSpPr txBox="1">
                        <a:spLocks noChangeArrowheads="1"/>
                      </wps:cNvSpPr>
                      <wps:spPr bwMode="auto">
                        <a:xfrm>
                          <a:off x="0" y="0"/>
                          <a:ext cx="756920" cy="445135"/>
                        </a:xfrm>
                        <a:prstGeom prst="rect">
                          <a:avLst/>
                        </a:prstGeom>
                        <a:noFill/>
                        <a:ln>
                          <a:noFill/>
                        </a:ln>
                        <a:effectLst/>
                      </wps:spPr>
                      <wps:txbx>
                        <w:txbxContent>
                          <w:p w14:paraId="2EBFFA9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联合体的内部管理</w:t>
                            </w:r>
                          </w:p>
                        </w:txbxContent>
                      </wps:txbx>
                      <wps:bodyPr rot="0" vert="horz" wrap="square" lIns="91440" tIns="45720" rIns="91440" bIns="45720" anchor="t" anchorCtr="0" upright="1">
                        <a:noAutofit/>
                      </wps:bodyPr>
                    </wps:wsp>
                  </a:graphicData>
                </a:graphic>
              </wp:anchor>
            </w:drawing>
          </mc:Choice>
          <mc:Fallback>
            <w:pict>
              <v:shape id="文本框 1263" o:spid="_x0000_s1026" o:spt="202" type="#_x0000_t202" style="position:absolute;left:0pt;margin-left:-9pt;margin-top:19.35pt;height:35.05pt;width:59.6pt;z-index:252078080;mso-width-relative:page;mso-height-relative:page;" filled="f" stroked="f" coordsize="21600,21600" o:gfxdata="UEsDBAoAAAAAAIdO4kAAAAAAAAAAAAAAAAAEAAAAZHJzL1BLAwQUAAAACACHTuJAq9qTStcAAAAK&#10;AQAADwAAAGRycy9kb3ducmV2LnhtbE2PzU7DMBCE70i8g7VI3Np1yk9NiNMDiCuIApW4ufE2iYjX&#10;Uew24e1xTvQ2qxnNflNsJteJEw2h9awhW0oQxJW3LdcaPj9eFgpEiIat6TyThl8KsCkvLwqTWz/y&#10;O522sRaphENuNDQx9jliqBpyJix9T5y8gx+ciekcarSDGVO563Al5T0603L60JienhqqfrZHp+Hr&#10;9fC9u5Vv9bO760c/SWT3gFpfX2XyEUSkKf6HYcZP6FAmpr0/sg2i07DIVNoSNdyoNYg5ILMViP0s&#10;lAIsCzyfUP4BUEsDBBQAAAAIAIdO4kCBo166IAIAACcEAAAOAAAAZHJzL2Uyb0RvYy54bWytU0tu&#10;2zAQ3RfoHQjua1mO7TSC5SCNkaJA+gHSHoCmKIuoxGGHtCX3AM0Nuuqm+57L5+iQUlw33WTRDUFy&#10;hm/mvXlcXHZNzXYKnQaT83Q05kwZCYU2m5x/+njz4iVnzgtTiBqMyvleOX65fP5s0dpMTaCCulDI&#10;CMS4rLU5r7y3WZI4WalGuBFYZShYAjbC0xE3SYGiJfSmTibj8TxpAQuLIJVzdLvqg3xAxKcAQllq&#10;qVYgt40yvkdFVQtPlFylrePL2G1ZKunfl6VTntU5J6Y+rlSE9uuwJsuFyDYobKXl0IJ4SguPODVC&#10;Gyp6hFoJL9gW9T9QjZYIDko/ktAkPZGoCLFIx4+0uauEVZELSe3sUXT3/2Dlu90HZLrI+Sydc2ZE&#10;QyM/fL8//Ph1+PmNpZP5WdCotS6j1DtLyb57BR05J/J19hbkZ8cMXFfCbNQVIrSVEgX1mIaXycnT&#10;HscFkHX7FgoqJbYeIlBXYhMEJEkYodN89sf5qM4zSZfns/nFhCKSQtPpLD2bxQoie3hs0fnXChoW&#10;NjlHGn8EF7tb50MzIntICbUM3Oi6jhaozV8XlNjfqOih4XWgErrvefhu3Q3SrKHYEymE3l/0u2hT&#10;AX7lrCVv5dx92QpUnNVvDAlzkU6nwYzxMJ2dB054GlmfRoSRBJVzz1m/vfa9gbcW9aaiSv0oDFyR&#10;mKWOREOrfVfDCMg/kf/g9WDQ03PM+vO/l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q9qTStcA&#10;AAAKAQAADwAAAAAAAAABACAAAAAiAAAAZHJzL2Rvd25yZXYueG1sUEsBAhQAFAAAAAgAh07iQIGj&#10;XrogAgAAJwQAAA4AAAAAAAAAAQAgAAAAJgEAAGRycy9lMm9Eb2MueG1sUEsFBgAAAAAGAAYAWQEA&#10;ALgFAAAAAA==&#10;">
                <v:fill on="f" focussize="0,0"/>
                <v:stroke on="f"/>
                <v:imagedata o:title=""/>
                <o:lock v:ext="edit" aspectratio="f"/>
                <v:textbox>
                  <w:txbxContent>
                    <w:p w14:paraId="2EBFFA9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联合体的内部管理</w:t>
                      </w:r>
                    </w:p>
                  </w:txbxContent>
                </v:textbox>
              </v:shape>
            </w:pict>
          </mc:Fallback>
        </mc:AlternateConten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eastAsia="zh-CN"/>
        </w:rPr>
        <w:t>9</w:t>
      </w:r>
      <w:r>
        <w:rPr>
          <w:rFonts w:ascii="仿宋" w:hAnsi="仿宋" w:eastAsia="仿宋" w:cs="仿宋"/>
          <w:b/>
          <w:bCs/>
          <w:color w:val="auto"/>
          <w:sz w:val="24"/>
          <w:szCs w:val="24"/>
          <w:highlight w:val="none"/>
          <w:lang w:eastAsia="zh-CN"/>
        </w:rPr>
        <w:t>.</w:t>
      </w:r>
      <w:r>
        <w:rPr>
          <w:rFonts w:hint="eastAsia" w:ascii="仿宋" w:hAnsi="仿宋" w:eastAsia="仿宋" w:cs="仿宋"/>
          <w:b/>
          <w:bCs/>
          <w:color w:val="auto"/>
          <w:sz w:val="24"/>
          <w:szCs w:val="24"/>
          <w:highlight w:val="none"/>
          <w:lang w:eastAsia="zh-CN"/>
        </w:rPr>
        <w:t>3</w:t>
      </w:r>
    </w:p>
    <w:p w14:paraId="44198AF3">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19.3.1 本合同协议书签订后28天内，联合体牵头人应组织成员单位内部协商，根据发包人制定的项目管理制度，结合本合同工程实际，共同编制联合体内部管理制度，明确勘察、设计、BIM技术应用、施工、设备及工器具购置等工作之间的内部分工、工作界面、责任划分、进度安排、安全防范、质量控制、风险预控、风险分担、利益分配、协调机制、会议制度、决策机制、内部流程、保障措施等内容，形成书面文件，共同签署、共同遵守，并报发包人备案。</w:t>
      </w:r>
    </w:p>
    <w:p w14:paraId="03A190A4">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19.3.2 本合同协议书签订后28天内，联合体牵头人应组织成员单位内部协商，根据本合同约定的相关处罚规定，建立联合体内部奖惩管理制度，共同签署共同遵守，并报发包人备案。履行合同期间，违约受到经济处罚、出现索赔事件、发生不可抗力事件、合理化建议被采纳获得发包人经济奖励等，联合体牵头人应秉公处理，及时组织外部索赔或内部奖罚，赏罚分明，以避免推诿扯皮或杜绝合伙欺骗，保证联合体内部团结合作，维护承包人、发包人及公众利益。</w:t>
      </w:r>
    </w:p>
    <w:p w14:paraId="6AFE1FF4">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19.3.3 联合体牵头人及授权的承包人代表应及时组织各成员单位认真履行合同，遵守联合体内部管理制度，按时签署、报送各类工作计划、工作成果、进度报表、支付申请等各类资料及合理化建议。</w:t>
      </w:r>
    </w:p>
    <w:p w14:paraId="1244021C">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19.3.4牵头人收到发包人及监理人、设计顾问人、造价咨询人等相关方的各类书面文件，应在收到后24小时内抄送联合体所有成员；收到的各类口头指令，应按合同相关约定及时组织进行书面确认。</w:t>
      </w:r>
    </w:p>
    <w:p w14:paraId="7306FD8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19.3.5 联合体各成员需要报送发包人及监理人、设计顾问人、造价咨询人等相关方的各类书面文件（包括勘察设计类、BIM技术应用类、施工类、设备及工器具购置类等），必须得到联合体牵头人及授权的承包人代表认可签署，并由牵头人报送。</w:t>
      </w:r>
    </w:p>
    <w:p w14:paraId="3BA9122F">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19.3.6 若联合体任一成员提出可能有益于发包人或公众的优化设计方案或合理化建议，无论联合体成员是否达成统一意见，牵头人必须及时报送发包人，不得瞒报迟报，意见提出者也可直接报送发包人。若收到的优化设计方案或合理化建议得到采纳产生预期经济效益或节约投资，发包人将按合同约定给予适当的经济奖励或补偿。因牵头人反对而不上报，发包人有权对牵头人进行一定的经济处罚。奖励或处罚金额或比例，由当事人在专用条款中约定。</w:t>
      </w:r>
    </w:p>
    <w:p w14:paraId="0AAC554A">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19.3.7 除联合体牵头人或成员报送的优化设计方案或合理化建议外，发包人及各相关方收到牵头人及授权的承包人代表签署报送的各类文件，无论联合体内部意见是否统一，均视为联合体内部成员之间已得到认可。</w:t>
      </w:r>
    </w:p>
    <w:p w14:paraId="62796FB7">
      <w:pPr>
        <w:tabs>
          <w:tab w:val="left" w:pos="1620"/>
        </w:tabs>
        <w:spacing w:line="360" w:lineRule="auto"/>
        <w:rPr>
          <w:rFonts w:hint="eastAsia" w:ascii="仿宋" w:hAnsi="仿宋" w:eastAsia="仿宋"/>
          <w:b/>
          <w:bCs/>
          <w:color w:val="auto"/>
          <w:highlight w:val="none"/>
          <w:u w:val="single"/>
          <w:lang w:eastAsia="zh-CN"/>
        </w:rPr>
      </w:pPr>
    </w:p>
    <w:p w14:paraId="07B3777F">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13" w:name="_Toc2240"/>
      <w:r>
        <w:rPr>
          <w:rFonts w:hint="eastAsia" w:ascii="仿宋" w:hAnsi="仿宋" w:eastAsia="仿宋" w:cs="仿宋"/>
          <w:bCs w:val="0"/>
          <w:color w:val="auto"/>
          <w:sz w:val="24"/>
          <w:szCs w:val="24"/>
          <w:highlight w:val="none"/>
          <w:lang w:eastAsia="zh-CN"/>
        </w:rPr>
        <w:t>20保障</w:t>
      </w:r>
      <w:bookmarkEnd w:id="313"/>
    </w:p>
    <w:p w14:paraId="3ED14A9C">
      <w:pPr>
        <w:pStyle w:val="2"/>
        <w:tabs>
          <w:tab w:val="left" w:pos="1202"/>
        </w:tabs>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20</w:t>
      </w:r>
      <w:r>
        <w:rPr>
          <w:rFonts w:ascii="仿宋" w:hAnsi="仿宋" w:eastAsia="仿宋" w:cs="仿宋"/>
          <w:b/>
          <w:bCs/>
          <w:color w:val="auto"/>
          <w:sz w:val="24"/>
          <w:szCs w:val="24"/>
          <w:highlight w:val="none"/>
          <w:lang w:eastAsia="zh-CN"/>
        </w:rPr>
        <w:t>.1</w:t>
      </w:r>
    </w:p>
    <w:p w14:paraId="25456D82">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03296" behindDoc="0" locked="0" layoutInCell="1" allowOverlap="1">
                <wp:simplePos x="0" y="0"/>
                <wp:positionH relativeFrom="column">
                  <wp:posOffset>-66040</wp:posOffset>
                </wp:positionH>
                <wp:positionV relativeFrom="paragraph">
                  <wp:posOffset>8890</wp:posOffset>
                </wp:positionV>
                <wp:extent cx="822960" cy="440055"/>
                <wp:effectExtent l="0" t="0" r="0" b="0"/>
                <wp:wrapNone/>
                <wp:docPr id="517" name="文本框 737"/>
                <wp:cNvGraphicFramePr/>
                <a:graphic xmlns:a="http://schemas.openxmlformats.org/drawingml/2006/main">
                  <a:graphicData uri="http://schemas.microsoft.com/office/word/2010/wordprocessingShape">
                    <wps:wsp>
                      <wps:cNvSpPr txBox="1">
                        <a:spLocks noChangeArrowheads="1"/>
                      </wps:cNvSpPr>
                      <wps:spPr bwMode="auto">
                        <a:xfrm>
                          <a:off x="0" y="0"/>
                          <a:ext cx="822960" cy="440055"/>
                        </a:xfrm>
                        <a:prstGeom prst="rect">
                          <a:avLst/>
                        </a:prstGeom>
                        <a:noFill/>
                        <a:ln>
                          <a:noFill/>
                        </a:ln>
                        <a:effectLst/>
                      </wps:spPr>
                      <wps:txbx>
                        <w:txbxContent>
                          <w:p w14:paraId="12B513B8">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合同双方相互保障</w:t>
                            </w:r>
                          </w:p>
                        </w:txbxContent>
                      </wps:txbx>
                      <wps:bodyPr rot="0" vert="horz" wrap="square" lIns="91440" tIns="45720" rIns="91440" bIns="45720" anchor="t" anchorCtr="0" upright="1">
                        <a:noAutofit/>
                      </wps:bodyPr>
                    </wps:wsp>
                  </a:graphicData>
                </a:graphic>
              </wp:anchor>
            </w:drawing>
          </mc:Choice>
          <mc:Fallback>
            <w:pict>
              <v:shape id="文本框 737" o:spid="_x0000_s1026" o:spt="202" type="#_x0000_t202" style="position:absolute;left:0pt;margin-left:-5.2pt;margin-top:0.7pt;height:34.65pt;width:64.8pt;z-index:251703296;mso-width-relative:page;mso-height-relative:page;" filled="f" stroked="f" coordsize="21600,21600" o:gfxdata="UEsDBAoAAAAAAIdO4kAAAAAAAAAAAAAAAAAEAAAAZHJzL1BLAwQUAAAACACHTuJAAgQTxtUAAAAI&#10;AQAADwAAAGRycy9kb3ducmV2LnhtbE2PTU/DMAyG70j8h8hI3Dan02CsNN0BxHWI8SFxyxqvrWic&#10;qsnW7t/jneBkWc+r14+LzeQ7daIhtoENZHMNirgKruXawMf7y+wBVEyWne0Ck4EzRdiU11eFzV0Y&#10;+Y1Ou1QrKeGYWwNNSn2OGKuGvI3z0BMLO4TB2yTrUKMb7CjlvsOF1vfobctyobE9PTVU/eyO3sDn&#10;9vD9tdSv9bO/68cwaWS/RmNubzL9CCrRlP7CcNEXdSjFaR+O7KLqDMwyvZSoABkXnq0XoPYGVnoF&#10;WBb4/4HyF1BLAwQUAAAACACHTuJA7WeUih8CAAAmBAAADgAAAGRycy9lMm9Eb2MueG1srVNLbtsw&#10;EN0X6B0I7mvJrh0nguUgjZGiQPoB0h6ApiiLqMRhh7Ql9wDNDbrqpvuey+fokFJcN91k0Q1BcoZv&#10;5r15XFx2Tc12Cp0Gk/PxKOVMGQmFNpucf/p48+KcM+eFKUQNRuV8rxy/XD5/tmhtpiZQQV0oZARi&#10;XNbanFfe2yxJnKxUI9wIrDIULAEb4emIm6RA0RJ6UyeTND1LWsDCIkjlHN2u+iAfEPEpgFCWWqoV&#10;yG2jjO9RUdXCEyVXaev4MnZblkr692XplGd1zompjysVof06rMlyIbINCltpObQgntLCI06N0IaK&#10;HqFWwgu2Rf0PVKMlgoPSjyQ0SU8kKkIsxukjbe4qYVXkQlI7exTd/T9Y+W73AZkucj4bzzkzoqGR&#10;H77fH378Ovz8xuYv50Gi1rqMMu8s5fruFXRknEjX2VuQnx0zcF0Js1FXiNBWShTU4ji8TE6e9jgu&#10;gKzbt1BQJbH1EIG6EpugHynCCJ3Gsz+OR3WeSbo8n0wuzigiKTSdpulsFiuI7OGxRedfK2hY2OQc&#10;afoRXOxunQ/NiOwhJdQycKPrOjqgNn9dUGJ/o6KFhteBSui+5+G7dTdIs4ZiT6QQenvR56JNBfiV&#10;s5aslXP3ZStQcVa/MSTMxZi6Jy/Gw3Q2n9ABTyPr04gwkqBy7jnrt9e+9+/Wot5UVKkfhYErErPU&#10;kWhote9qGAHZJ/IfrB78eXqOWX++9/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gQTxtUAAAAI&#10;AQAADwAAAAAAAAABACAAAAAiAAAAZHJzL2Rvd25yZXYueG1sUEsBAhQAFAAAAAgAh07iQO1nlIof&#10;AgAAJgQAAA4AAAAAAAAAAQAgAAAAJAEAAGRycy9lMm9Eb2MueG1sUEsFBgAAAAAGAAYAWQEAALUF&#10;AAAAAA==&#10;">
                <v:fill on="f" focussize="0,0"/>
                <v:stroke on="f"/>
                <v:imagedata o:title=""/>
                <o:lock v:ext="edit" aspectratio="f"/>
                <v:textbox>
                  <w:txbxContent>
                    <w:p w14:paraId="12B513B8">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合同双方相互保障</w:t>
                      </w:r>
                    </w:p>
                  </w:txbxContent>
                </v:textbox>
              </v:shape>
            </w:pict>
          </mc:Fallback>
        </mc:AlternateContent>
      </w:r>
      <w:r>
        <w:rPr>
          <w:rFonts w:hint="eastAsia" w:ascii="仿宋" w:hAnsi="仿宋" w:eastAsia="仿宋" w:cs="仿宋"/>
          <w:color w:val="auto"/>
          <w:sz w:val="24"/>
          <w:szCs w:val="24"/>
          <w:highlight w:val="none"/>
          <w:lang w:eastAsia="zh-CN"/>
        </w:rPr>
        <w:t>合同一方当事人应负责和保障不因其自身的行为或疏忽而引起另一方当事人一切损害、损失和赔偿。但受保障的一方当事人应积极采取合理措施减少可能发生的损失或损害。受保障的一方当事人因未采取合理措施而导致损失扩大，则损失扩大部分由其自身承担。</w:t>
      </w:r>
    </w:p>
    <w:p w14:paraId="2B0B9E12">
      <w:pPr>
        <w:pStyle w:val="2"/>
        <w:tabs>
          <w:tab w:val="left" w:pos="1202"/>
        </w:tabs>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1704320" behindDoc="0" locked="0" layoutInCell="1" allowOverlap="1">
                <wp:simplePos x="0" y="0"/>
                <wp:positionH relativeFrom="column">
                  <wp:posOffset>-114300</wp:posOffset>
                </wp:positionH>
                <wp:positionV relativeFrom="paragraph">
                  <wp:posOffset>240665</wp:posOffset>
                </wp:positionV>
                <wp:extent cx="785495" cy="508000"/>
                <wp:effectExtent l="0" t="0" r="0" b="0"/>
                <wp:wrapNone/>
                <wp:docPr id="518" name="文本框 738"/>
                <wp:cNvGraphicFramePr/>
                <a:graphic xmlns:a="http://schemas.openxmlformats.org/drawingml/2006/main">
                  <a:graphicData uri="http://schemas.microsoft.com/office/word/2010/wordprocessingShape">
                    <wps:wsp>
                      <wps:cNvSpPr txBox="1">
                        <a:spLocks noChangeArrowheads="1"/>
                      </wps:cNvSpPr>
                      <wps:spPr bwMode="auto">
                        <a:xfrm>
                          <a:off x="0" y="0"/>
                          <a:ext cx="785495" cy="508000"/>
                        </a:xfrm>
                        <a:prstGeom prst="rect">
                          <a:avLst/>
                        </a:prstGeom>
                        <a:noFill/>
                        <a:ln>
                          <a:noFill/>
                        </a:ln>
                        <a:effectLst/>
                      </wps:spPr>
                      <wps:txbx>
                        <w:txbxContent>
                          <w:p w14:paraId="4DB07CA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承包人对发包人的保障</w:t>
                            </w:r>
                          </w:p>
                        </w:txbxContent>
                      </wps:txbx>
                      <wps:bodyPr rot="0" vert="horz" wrap="square" lIns="91440" tIns="45720" rIns="91440" bIns="45720" anchor="t" anchorCtr="0" upright="1">
                        <a:noAutofit/>
                      </wps:bodyPr>
                    </wps:wsp>
                  </a:graphicData>
                </a:graphic>
              </wp:anchor>
            </w:drawing>
          </mc:Choice>
          <mc:Fallback>
            <w:pict>
              <v:shape id="文本框 738" o:spid="_x0000_s1026" o:spt="202" type="#_x0000_t202" style="position:absolute;left:0pt;margin-left:-9pt;margin-top:18.95pt;height:40pt;width:61.85pt;z-index:251704320;mso-width-relative:page;mso-height-relative:page;" filled="f" stroked="f" coordsize="21600,21600" o:gfxdata="UEsDBAoAAAAAAIdO4kAAAAAAAAAAAAAAAAAEAAAAZHJzL1BLAwQUAAAACACHTuJA8BZl59cAAAAK&#10;AQAADwAAAGRycy9kb3ducmV2LnhtbE2PT0/DMAzF70h8h8hI3LakwNhWmu4A4gpi/JG4eY3XVjRO&#10;1WRr+fZ4J3az/Z6ef6/YTL5TRxpiG9hCNjegiKvgWq4tfLw/z1agYkJ22AUmC78UYVNeXhSYuzDy&#10;Gx23qVYSwjFHC01Kfa51rBryGOehJxZtHwaPSdah1m7AUcJ9p2+MudceW5YPDfb02FD1sz14C58v&#10;+++vO/NaP/lFP4bJaPZrbe31VWYeQCWa0r8ZTviCDqUw7cKBXVSdhVm2ki7Jwu1yDepkMIslqJ0M&#10;mVx0WejzCuUfUEsDBBQAAAAIAIdO4kBKa2jaHwIAACYEAAAOAAAAZHJzL2Uyb0RvYy54bWytU82O&#10;0zAQviPxDpbvNGlpaTdqulq2WoS0/EgLD+A6TmOReMzYbVIeAN6AExfuPFefg7GTLWW57IGLZXvG&#10;38z3zeflZdfUbK/QaTA5H49SzpSRUGizzfnHDzfPFpw5L0whajAq5wfl+OXq6ZNlazM1gQrqQiEj&#10;EOOy1ua88t5mSeJkpRrhRmCVoWAJ2AhPR9wmBYqW0Js6maTpi6QFLCyCVM7R7boP8gERHwMIZaml&#10;WoPcNcr4HhVVLTxRcpW2jq9it2WppH9Xlk55VuecmPq4UhHab8KarJYi26KwlZZDC+IxLTzg1Aht&#10;qOgJai28YDvU/0A1WiI4KP1IQpP0RKIixGKcPtDmrhJWRS4ktbMn0d3/g5Vv9++R6SLnszEN3oiG&#10;Rn78/u3449fx51c2f74IErXWZZR5ZynXdy+hI+NEus7egvzkmIHrSpitukKEtlKioBbH4WVy9rTH&#10;cQFk076BgiqJnYcI1JXYBP1IEUboNJ7DaTyq80zS5Xwxm17MOJMUmqWLNI3jS0R2/9ii868UNCxs&#10;co40/Qgu9rfOh2ZEdp8Sahm40XUdHVCbvy4osb9R0ULD60AldN/z8N2mG6TZQHEgUgi9vehz0aYC&#10;/MJZS9bKufu8E6g4q18bEuZiPJ0GL8bDdDaf0AHPI5vziDCSoHLuOeu31773786i3lZUqR+FgSsS&#10;s9SRaGi172oYAdkn8h+sHvx5fo5Zf7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wFmXn1wAA&#10;AAoBAAAPAAAAAAAAAAEAIAAAACIAAABkcnMvZG93bnJldi54bWxQSwECFAAUAAAACACHTuJASmto&#10;2h8CAAAmBAAADgAAAAAAAAABACAAAAAmAQAAZHJzL2Uyb0RvYy54bWxQSwUGAAAAAAYABgBZAQAA&#10;twUAAAAA&#10;">
                <v:fill on="f" focussize="0,0"/>
                <v:stroke on="f"/>
                <v:imagedata o:title=""/>
                <o:lock v:ext="edit" aspectratio="f"/>
                <v:textbox>
                  <w:txbxContent>
                    <w:p w14:paraId="4DB07CA6">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承包人对发包人的保障</w:t>
                      </w:r>
                    </w:p>
                  </w:txbxContent>
                </v:textbox>
              </v:shape>
            </w:pict>
          </mc:Fallback>
        </mc:AlternateContent>
      </w:r>
      <w:r>
        <w:rPr>
          <w:rFonts w:hint="eastAsia" w:ascii="仿宋" w:hAnsi="仿宋" w:eastAsia="仿宋" w:cs="仿宋"/>
          <w:b/>
          <w:bCs/>
          <w:color w:val="auto"/>
          <w:sz w:val="24"/>
          <w:szCs w:val="24"/>
          <w:highlight w:val="none"/>
          <w:lang w:eastAsia="zh-CN"/>
        </w:rPr>
        <w:t>20</w:t>
      </w:r>
      <w:r>
        <w:rPr>
          <w:rFonts w:ascii="仿宋" w:hAnsi="仿宋" w:eastAsia="仿宋" w:cs="仿宋"/>
          <w:b/>
          <w:bCs/>
          <w:color w:val="auto"/>
          <w:sz w:val="24"/>
          <w:szCs w:val="24"/>
          <w:highlight w:val="none"/>
          <w:lang w:eastAsia="zh-CN"/>
        </w:rPr>
        <w:t xml:space="preserve">.2   </w:t>
      </w:r>
    </w:p>
    <w:p w14:paraId="6BA4586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承包人应保障发包人不承担因承包人移动或使用施工场地外的施工设备和临时设施所造成的损害而引起的赔偿。</w:t>
      </w:r>
    </w:p>
    <w:p w14:paraId="6C30C663">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5BA2BC5B">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14" w:name="_Toc24041"/>
      <w:r>
        <w:rPr>
          <w:rFonts w:hint="eastAsia" w:ascii="仿宋" w:hAnsi="仿宋" w:eastAsia="仿宋" w:cs="仿宋"/>
          <w:bCs w:val="0"/>
          <w:color w:val="auto"/>
          <w:sz w:val="24"/>
          <w:szCs w:val="24"/>
          <w:highlight w:val="none"/>
          <w:lang w:eastAsia="zh-CN"/>
        </w:rPr>
        <w:t>21财产</w:t>
      </w:r>
      <w:bookmarkEnd w:id="314"/>
    </w:p>
    <w:p w14:paraId="0C6FEF0C">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21</w:t>
      </w:r>
      <w:r>
        <w:rPr>
          <w:rFonts w:ascii="仿宋" w:hAnsi="仿宋" w:eastAsia="仿宋" w:cs="仿宋"/>
          <w:b/>
          <w:bCs/>
          <w:color w:val="auto"/>
          <w:highlight w:val="none"/>
          <w:lang w:eastAsia="zh-CN"/>
        </w:rPr>
        <w:t>.1</w:t>
      </w:r>
    </w:p>
    <w:p w14:paraId="1ACF599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sz w:val="24"/>
          <w:szCs w:val="24"/>
          <w:highlight w:val="none"/>
          <w:lang w:eastAsia="zh-CN"/>
        </w:rPr>
        <mc:AlternateContent>
          <mc:Choice Requires="wps">
            <w:drawing>
              <wp:anchor distT="0" distB="0" distL="114300" distR="114300" simplePos="0" relativeHeight="251705344" behindDoc="0" locked="0" layoutInCell="1" allowOverlap="1">
                <wp:simplePos x="0" y="0"/>
                <wp:positionH relativeFrom="column">
                  <wp:posOffset>-114300</wp:posOffset>
                </wp:positionH>
                <wp:positionV relativeFrom="paragraph">
                  <wp:posOffset>0</wp:posOffset>
                </wp:positionV>
                <wp:extent cx="794385" cy="875030"/>
                <wp:effectExtent l="0" t="0" r="0" b="0"/>
                <wp:wrapNone/>
                <wp:docPr id="519" name="文本框 739"/>
                <wp:cNvGraphicFramePr/>
                <a:graphic xmlns:a="http://schemas.openxmlformats.org/drawingml/2006/main">
                  <a:graphicData uri="http://schemas.microsoft.com/office/word/2010/wordprocessingShape">
                    <wps:wsp>
                      <wps:cNvSpPr txBox="1">
                        <a:spLocks noChangeArrowheads="1"/>
                      </wps:cNvSpPr>
                      <wps:spPr bwMode="auto">
                        <a:xfrm>
                          <a:off x="0" y="0"/>
                          <a:ext cx="794385" cy="875030"/>
                        </a:xfrm>
                        <a:prstGeom prst="rect">
                          <a:avLst/>
                        </a:prstGeom>
                        <a:noFill/>
                        <a:ln>
                          <a:noFill/>
                        </a:ln>
                        <a:effectLst/>
                      </wps:spPr>
                      <wps:txbx>
                        <w:txbxContent>
                          <w:p w14:paraId="1B49F43B">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用于工程材料、工程设备和施工设备的财产</w:t>
                            </w:r>
                          </w:p>
                        </w:txbxContent>
                      </wps:txbx>
                      <wps:bodyPr rot="0" vert="horz" wrap="square" lIns="91440" tIns="45720" rIns="91440" bIns="45720" anchor="t" anchorCtr="0" upright="1">
                        <a:noAutofit/>
                      </wps:bodyPr>
                    </wps:wsp>
                  </a:graphicData>
                </a:graphic>
              </wp:anchor>
            </w:drawing>
          </mc:Choice>
          <mc:Fallback>
            <w:pict>
              <v:shape id="文本框 739" o:spid="_x0000_s1026" o:spt="202" type="#_x0000_t202" style="position:absolute;left:0pt;margin-left:-9pt;margin-top:0pt;height:68.9pt;width:62.55pt;z-index:251705344;mso-width-relative:page;mso-height-relative:page;" filled="f" stroked="f" coordsize="21600,21600" o:gfxdata="UEsDBAoAAAAAAIdO4kAAAAAAAAAAAAAAAAAEAAAAZHJzL1BLAwQUAAAACACHTuJAV2GVNtYAAAAI&#10;AQAADwAAAGRycy9kb3ducmV2LnhtbE2PS0/DMBCE70j8B2uRuLXr8GoIcXoAcQVRHhI3N94mEfE6&#10;it0m/Hu2J3pZ7WpGs9+U69n36kBj7AIbyJYaFHEdXMeNgY/350UOKibLzvaBycAvRVhX52elLVyY&#10;+I0Om9QoCeFYWANtSkOBGOuWvI3LMBCLtgujt0nOsUE32knCfY9XWt+htx3Lh9YO9NhS/bPZewOf&#10;L7vvrxv92jz522EKs0b292jM5UWmH0AlmtO/GY74gg6VMG3Dnl1UvYFFlkuXZEDmUdarDNRWlutV&#10;DliVeFqg+gNQSwMEFAAAAAgAh07iQGARjYEgAgAAJgQAAA4AAABkcnMvZTJvRG9jLnhtbK1TS27b&#10;MBDdF+gdCO5r+VvbguUgjZGiQPoB0h6ApiiLqMRhh7Sl9ADNDbrqpvuey+fokFJcN91k0Q1BcoZv&#10;5r15XF20dcUOCp0Gk/HRYMiZMhJybXYZ//Tx+sWCM+eFyUUFRmX8Tjl+sX7+bNXYVI2hhCpXyAjE&#10;uLSxGS+9t2mSOFmqWrgBWGUoWADWwtMRd0mOoiH0ukrGw+HLpAHMLYJUztHtpgvyHhGfAghFoaXa&#10;gNzXyvgOFVUlPFFypbaOr2O3RaGkf18UTnlWZZyY+rhSEdpvw5qsVyLdobClln0L4iktPOJUC22o&#10;6AlqI7xge9T/QNVaIjgo/EBCnXREoiLEYjR8pM1tKayKXEhqZ0+iu/8HK98dPiDTecZnoyVnRtQ0&#10;8uP3++OPX8ef39h8sgwSNdallHlrKde3r6Al40S6zt6A/OyYgatSmJ26RISmVCKnFkfhZXL2tMNx&#10;AWTbvIWcKom9hwjUFlgH/UgRRug0nrvTeFTrmaTL+XI6Wcw4kxRazGfDSRxfItKHxxadf62gZmGT&#10;caTpR3BxuHE+NCPSh5RQy8C1rqrogMr8dUGJ3Y2KFupfByqh+46Hb7dtL80W8jsihdDZiz4XbUrA&#10;r5w1ZK2Muy97gYqz6o0hYZaj6TR4MR6ms/mYDnge2Z5HhJEElXHPWbe98p1/9xb1rqRK3SgMXJKY&#10;hY5EQ6tdV/0IyD6Rf2/14M/zc8z6873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XYZU21gAA&#10;AAgBAAAPAAAAAAAAAAEAIAAAACIAAABkcnMvZG93bnJldi54bWxQSwECFAAUAAAACACHTuJAYBGN&#10;gSACAAAmBAAADgAAAAAAAAABACAAAAAlAQAAZHJzL2Uyb0RvYy54bWxQSwUGAAAAAAYABgBZAQAA&#10;twUAAAAA&#10;">
                <v:fill on="f" focussize="0,0"/>
                <v:stroke on="f"/>
                <v:imagedata o:title=""/>
                <o:lock v:ext="edit" aspectratio="f"/>
                <v:textbox>
                  <w:txbxContent>
                    <w:p w14:paraId="1B49F43B">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用于工程材料、工程设备和施工设备的财产</w:t>
                      </w:r>
                    </w:p>
                  </w:txbxContent>
                </v:textbox>
              </v:shape>
            </w:pict>
          </mc:Fallback>
        </mc:AlternateContent>
      </w:r>
      <w:r>
        <w:rPr>
          <w:rFonts w:hint="eastAsia" w:ascii="仿宋" w:hAnsi="仿宋" w:eastAsia="仿宋" w:cs="仿宋"/>
          <w:color w:val="auto"/>
          <w:sz w:val="24"/>
          <w:szCs w:val="24"/>
          <w:highlight w:val="none"/>
          <w:lang w:eastAsia="zh-CN"/>
        </w:rPr>
        <w:t>合同工程所需的工程材料、工程设备（包括备品备件、安装专用工器具与随机资料）和承包人的施工设备一经运至施工现场，即成为实施合同工程的财产。没有经监理人同意并由其报发包人批准，承包人不得使用合同工程的财产，也不得将实施合同工程的财产运出施工现场，但用于运送工程材料和工程设备、施工设备和雇员的运输工具除外。</w:t>
      </w:r>
    </w:p>
    <w:p w14:paraId="0CBF698A">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1706368" behindDoc="0" locked="0" layoutInCell="1" allowOverlap="1">
                <wp:simplePos x="0" y="0"/>
                <wp:positionH relativeFrom="column">
                  <wp:posOffset>-114300</wp:posOffset>
                </wp:positionH>
                <wp:positionV relativeFrom="paragraph">
                  <wp:posOffset>282575</wp:posOffset>
                </wp:positionV>
                <wp:extent cx="823595" cy="470535"/>
                <wp:effectExtent l="0" t="0" r="0" b="0"/>
                <wp:wrapNone/>
                <wp:docPr id="520" name="文本框 740"/>
                <wp:cNvGraphicFramePr/>
                <a:graphic xmlns:a="http://schemas.openxmlformats.org/drawingml/2006/main">
                  <a:graphicData uri="http://schemas.microsoft.com/office/word/2010/wordprocessingShape">
                    <wps:wsp>
                      <wps:cNvSpPr txBox="1">
                        <a:spLocks noChangeArrowheads="1"/>
                      </wps:cNvSpPr>
                      <wps:spPr bwMode="auto">
                        <a:xfrm>
                          <a:off x="0" y="0"/>
                          <a:ext cx="823595" cy="470535"/>
                        </a:xfrm>
                        <a:prstGeom prst="rect">
                          <a:avLst/>
                        </a:prstGeom>
                        <a:noFill/>
                        <a:ln>
                          <a:noFill/>
                        </a:ln>
                        <a:effectLst/>
                      </wps:spPr>
                      <wps:txbx>
                        <w:txbxContent>
                          <w:p w14:paraId="1B22C00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发包人财产及其使用</w:t>
                            </w:r>
                          </w:p>
                        </w:txbxContent>
                      </wps:txbx>
                      <wps:bodyPr rot="0" vert="horz" wrap="square" lIns="91440" tIns="45720" rIns="91440" bIns="45720" anchor="t" anchorCtr="0" upright="1">
                        <a:noAutofit/>
                      </wps:bodyPr>
                    </wps:wsp>
                  </a:graphicData>
                </a:graphic>
              </wp:anchor>
            </w:drawing>
          </mc:Choice>
          <mc:Fallback>
            <w:pict>
              <v:shape id="文本框 740" o:spid="_x0000_s1026" o:spt="202" type="#_x0000_t202" style="position:absolute;left:0pt;margin-left:-9pt;margin-top:22.25pt;height:37.05pt;width:64.85pt;z-index:251706368;mso-width-relative:page;mso-height-relative:page;" filled="f" stroked="f" coordsize="21600,21600" o:gfxdata="UEsDBAoAAAAAAIdO4kAAAAAAAAAAAAAAAAAEAAAAZHJzL1BLAwQUAAAACACHTuJAfr64ftcAAAAK&#10;AQAADwAAAGRycy9kb3ducmV2LnhtbE2PzU7DMBCE70i8g7VI3Nq1UVpCiNMDiCuI8iNxc+NtEhGv&#10;o9htwtvjnOA2qxnNflPuZteLM42h86xBrSUI4trbjhsN729PqxxEiIat6T2Thh8KsKsuL0pTWD/x&#10;K533sRGphENhNLQxDgViqFtyJqz9QJy8ox+diekcG7SjmVK56/FGyi0603H60JqBHlqqv/cnp+Hj&#10;+fj1mcmX5tFthsnPEtndodbXV0reg4g0x78wLPgJHarEdPAntkH0GlYqT1uihizbgFgCSt2COCwi&#10;3wJWJf6fUP0CUEsDBBQAAAAIAIdO4kDw4m4wHgIAACYEAAAOAAAAZHJzL2Uyb0RvYy54bWytU8Fy&#10;0zAQvTPDP2h0J07SmLSeOJ3STBlmCnSm8AGKLMcabK1YKbHDB8AfcOLCvd+V72AlJ2kolx64eKTd&#10;1dt9b59nl11Ts41Cp8HkfDQYcqaMhEKbVc4/f7p5dc6Z88IUogajcr5Vjl/OX76YtTZTY6igLhQy&#10;AjEua23OK+9tliROVqoRbgBWGUqWgI3wdMVVUqBoCb2pk/Fw+DppAQuLIJVzFF30Sb5HxOcAQllq&#10;qRYg140yvkdFVQtPlFylrePzOG1ZKuk/lqVTntU5J6Y+fqkJnZfhm8xnIluhsJWW+xHEc0Z4wqkR&#10;2lDTI9RCeMHWqP+BarREcFD6gYQm6YlERYjFaPhEm/tKWBW5kNTOHkV3/w9WftjcIdNFztMxaWJE&#10;Qyvf/fyx+/Ww+/2dTSdRota6jCrvLdX67g10ZJxI19lbkF8cM3BdCbNSV4jQVkoUNOIoiJucPA1L&#10;cZkLIMv2PRTUSaw9RKCuxCboR4owQqdRtsf1qM4zScHz8Vl6kXImKTWZDtOzNHYQ2eGxReffKmhY&#10;OOQcafsRXGxunQ/DiOxQEnoZuNF1HR1Qm78CVNhHVLTQ/vVh+p6H75YdvQ3BJRRbIoXQ24t+LjpU&#10;gN84a8laOXdf1wIVZ/U7Q8JcjCYkK/PxMkmnQXg8zSxPM8JIgsq556w/Xvvev2uLelVRp34VBq5I&#10;zFJHoo9T7VdA9on891YP/jy9x6rH33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6+uH7XAAAA&#10;CgEAAA8AAAAAAAAAAQAgAAAAIgAAAGRycy9kb3ducmV2LnhtbFBLAQIUABQAAAAIAIdO4kDw4m4w&#10;HgIAACYEAAAOAAAAAAAAAAEAIAAAACYBAABkcnMvZTJvRG9jLnhtbFBLBQYAAAAABgAGAFkBAAC2&#10;BQAAAAA=&#10;">
                <v:fill on="f" focussize="0,0"/>
                <v:stroke on="f"/>
                <v:imagedata o:title=""/>
                <o:lock v:ext="edit" aspectratio="f"/>
                <v:textbox>
                  <w:txbxContent>
                    <w:p w14:paraId="1B22C00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发包人财产及其使用</w:t>
                      </w:r>
                    </w:p>
                  </w:txbxContent>
                </v:textbox>
              </v:shape>
            </w:pict>
          </mc:Fallback>
        </mc:AlternateContent>
      </w:r>
      <w:r>
        <w:rPr>
          <w:rFonts w:hint="eastAsia" w:ascii="仿宋" w:hAnsi="仿宋" w:eastAsia="仿宋" w:cs="仿宋"/>
          <w:b/>
          <w:bCs/>
          <w:color w:val="auto"/>
          <w:highlight w:val="none"/>
          <w:lang w:eastAsia="zh-CN"/>
        </w:rPr>
        <w:t>21</w:t>
      </w:r>
      <w:r>
        <w:rPr>
          <w:rFonts w:ascii="仿宋" w:hAnsi="仿宋" w:eastAsia="仿宋" w:cs="仿宋"/>
          <w:b/>
          <w:bCs/>
          <w:color w:val="auto"/>
          <w:highlight w:val="none"/>
          <w:lang w:eastAsia="zh-CN"/>
        </w:rPr>
        <w:t xml:space="preserve">.2  </w:t>
      </w:r>
    </w:p>
    <w:p w14:paraId="3138E192">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如果发包人依据第92</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款约定的情形解除合同，则合同工程和临时工程，应认为是发包人的财产。</w:t>
      </w:r>
    </w:p>
    <w:p w14:paraId="5A542273">
      <w:pPr>
        <w:spacing w:line="48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1707392" behindDoc="0" locked="0" layoutInCell="1" allowOverlap="1">
                <wp:simplePos x="0" y="0"/>
                <wp:positionH relativeFrom="column">
                  <wp:posOffset>-114300</wp:posOffset>
                </wp:positionH>
                <wp:positionV relativeFrom="paragraph">
                  <wp:posOffset>282575</wp:posOffset>
                </wp:positionV>
                <wp:extent cx="842645" cy="636905"/>
                <wp:effectExtent l="0" t="0" r="0" b="0"/>
                <wp:wrapNone/>
                <wp:docPr id="521" name="文本框 741"/>
                <wp:cNvGraphicFramePr/>
                <a:graphic xmlns:a="http://schemas.openxmlformats.org/drawingml/2006/main">
                  <a:graphicData uri="http://schemas.microsoft.com/office/word/2010/wordprocessingShape">
                    <wps:wsp>
                      <wps:cNvSpPr txBox="1">
                        <a:spLocks noChangeArrowheads="1"/>
                      </wps:cNvSpPr>
                      <wps:spPr bwMode="auto">
                        <a:xfrm>
                          <a:off x="0" y="0"/>
                          <a:ext cx="842645" cy="636905"/>
                        </a:xfrm>
                        <a:prstGeom prst="rect">
                          <a:avLst/>
                        </a:prstGeom>
                        <a:noFill/>
                        <a:ln>
                          <a:noFill/>
                        </a:ln>
                        <a:effectLst/>
                      </wps:spPr>
                      <wps:txbx>
                        <w:txbxContent>
                          <w:p w14:paraId="2E5CFBA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承包人财产及其使用</w:t>
                            </w:r>
                          </w:p>
                        </w:txbxContent>
                      </wps:txbx>
                      <wps:bodyPr rot="0" vert="horz" wrap="square" lIns="91440" tIns="45720" rIns="91440" bIns="45720" anchor="t" anchorCtr="0" upright="1">
                        <a:noAutofit/>
                      </wps:bodyPr>
                    </wps:wsp>
                  </a:graphicData>
                </a:graphic>
              </wp:anchor>
            </w:drawing>
          </mc:Choice>
          <mc:Fallback>
            <w:pict>
              <v:shape id="文本框 741" o:spid="_x0000_s1026" o:spt="202" type="#_x0000_t202" style="position:absolute;left:0pt;margin-left:-9pt;margin-top:22.25pt;height:50.15pt;width:66.35pt;z-index:251707392;mso-width-relative:page;mso-height-relative:page;" filled="f" stroked="f" coordsize="21600,21600" o:gfxdata="UEsDBAoAAAAAAIdO4kAAAAAAAAAAAAAAAAAEAAAAZHJzL1BLAwQUAAAACACHTuJA06m5gNcAAAAK&#10;AQAADwAAAGRycy9kb3ducmV2LnhtbE2PwU7DMBBE70j8g7VI3Fo7yIU0xOkBxBVEC0i9ufE2iYjX&#10;Uew24e/ZnuA2qxnNvik3s+/FGcfYBTKQLRUIpDq4jhoDH7uXRQ4iJkvO9oHQwA9G2FTXV6UtXJjo&#10;Hc/b1AguoVhYA21KQyFlrFv0Ni7DgMTeMYzeJj7HRrrRTlzue3mn1L30tiP+0NoBn1qsv7cnb+Dz&#10;9bj/0uqtefarYQqzkuTX0pjbm0w9gkg4p78wXPAZHSpmOoQTuSh6A4ss5y3JgNYrEJdAph9AHFho&#10;nYOsSvl/QvULUEsDBBQAAAAIAIdO4kAjerhpIAIAACYEAAAOAAAAZHJzL2Uyb0RvYy54bWytU0tu&#10;2zAQ3RfoHQjua9mu7SSC5SCNkaJA+gHSHoCmKIuoxGGHtCX3AM0Nuuqm+57L5+iQdFw33WTRjcDh&#10;DN/Me/M0v+zbhm0VOg2m4KPBkDNlJJTarAv+6ePNi3POnBemFA0YVfCdcvxy8fzZvLO5GkMNTamQ&#10;EYhxeWcLXntv8yxzslatcAOwylCyAmyFpxDXWYmiI/S2ycbD4SzrAEuLIJVzdLtMSX5AxKcAQlVp&#10;qZYgN60yPqGiaoQnSq7W1vFFnLaqlPTvq8opz5qCE1Mfv9SEzqvwzRZzka9R2FrLwwjiKSM84tQK&#10;bajpEWopvGAb1P9AtVoiOKj8QEKbJSJREWIxGj7S5q4WVkUuJLWzR9Hd/4OV77YfkOmy4NPxiDMj&#10;Wlr5/vv9/sev/c9v7GwyChJ11uVUeWep1vevoCfjRLrO3oL87JiB61qYtbpChK5WoqQR48vs5GnC&#10;cQFk1b2FkjqJjYcI1FfYBv1IEUbotJ7dcT2q90zS5flkPJtMOZOUmr2cXQynYbZM5A+PLTr/WkHL&#10;wqHgSNuP4GJ763wqfSgJvQzc6KaJDmjMXxeEmW5UtNDhdaASpk88fL/qD9KsoNwRKYRkL/q56FAD&#10;fuWsI2sV3H3ZCFScNW8MCXMxmkyCF2MwmZ6NKcDTzOo0I4wkqIJ7ztLx2if/bizqdU2d0ioMXJGY&#10;lY5Ew6hpKhIoBGSfKNXB6sGfp3Gs+vN7L3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06m5gNcA&#10;AAAKAQAADwAAAAAAAAABACAAAAAiAAAAZHJzL2Rvd25yZXYueG1sUEsBAhQAFAAAAAgAh07iQCN6&#10;uGkgAgAAJgQAAA4AAAAAAAAAAQAgAAAAJgEAAGRycy9lMm9Eb2MueG1sUEsFBgAAAAAGAAYAWQEA&#10;ALgFAAAAAA==&#10;">
                <v:fill on="f" focussize="0,0"/>
                <v:stroke on="f"/>
                <v:imagedata o:title=""/>
                <o:lock v:ext="edit" aspectratio="f"/>
                <v:textbox>
                  <w:txbxContent>
                    <w:p w14:paraId="2E5CFBA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承包人财产及其使用</w:t>
                      </w:r>
                    </w:p>
                  </w:txbxContent>
                </v:textbox>
              </v:shape>
            </w:pict>
          </mc:Fallback>
        </mc:AlternateContent>
      </w:r>
      <w:r>
        <w:rPr>
          <w:rFonts w:hint="eastAsia" w:ascii="仿宋" w:hAnsi="仿宋" w:eastAsia="仿宋" w:cs="仿宋"/>
          <w:b/>
          <w:bCs/>
          <w:color w:val="auto"/>
          <w:highlight w:val="none"/>
          <w:lang w:eastAsia="zh-CN"/>
        </w:rPr>
        <w:t>21</w:t>
      </w:r>
      <w:r>
        <w:rPr>
          <w:rFonts w:ascii="仿宋" w:hAnsi="仿宋" w:eastAsia="仿宋" w:cs="仿宋"/>
          <w:b/>
          <w:bCs/>
          <w:color w:val="auto"/>
          <w:highlight w:val="none"/>
          <w:lang w:eastAsia="zh-CN"/>
        </w:rPr>
        <w:t>.3</w:t>
      </w:r>
    </w:p>
    <w:p w14:paraId="23B47823">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如果承包人依据第92</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的情形解除合同，则承包人有权要求发包人支付已完工程款，并赔偿因此造成的损失。发包人应为承包人撤出现场提供便利和协助。如发包人未付完相关款项，承包人有权留置施工现场，直到发包人付完款项为止。</w:t>
      </w:r>
    </w:p>
    <w:p w14:paraId="70C48FF9">
      <w:pPr>
        <w:pStyle w:val="2"/>
        <w:adjustRightInd w:val="0"/>
        <w:snapToGrid w:val="0"/>
        <w:spacing w:line="360" w:lineRule="auto"/>
        <w:rPr>
          <w:rFonts w:hint="eastAsia" w:ascii="仿宋" w:hAnsi="仿宋" w:eastAsia="仿宋"/>
          <w:b/>
          <w:bCs/>
          <w:color w:val="auto"/>
          <w:kern w:val="2"/>
          <w:sz w:val="24"/>
          <w:szCs w:val="24"/>
          <w:highlight w:val="none"/>
          <w:lang w:eastAsia="zh-CN"/>
        </w:rPr>
      </w:pPr>
    </w:p>
    <w:p w14:paraId="726C509B">
      <w:pPr>
        <w:spacing w:line="360" w:lineRule="auto"/>
        <w:jc w:val="center"/>
        <w:outlineLvl w:val="1"/>
        <w:rPr>
          <w:rFonts w:hint="eastAsia" w:ascii="仿宋" w:hAnsi="仿宋" w:eastAsia="仿宋"/>
          <w:b/>
          <w:bCs/>
          <w:color w:val="auto"/>
          <w:highlight w:val="none"/>
          <w:lang w:eastAsia="zh-CN"/>
        </w:rPr>
      </w:pPr>
      <w:bookmarkStart w:id="315" w:name="_Toc26838"/>
      <w:r>
        <w:rPr>
          <w:rFonts w:hint="eastAsia" w:ascii="仿宋" w:hAnsi="仿宋" w:eastAsia="仿宋" w:cs="仿宋"/>
          <w:b/>
          <w:bCs/>
          <w:color w:val="auto"/>
          <w:highlight w:val="none"/>
          <w:lang w:eastAsia="zh-CN"/>
        </w:rPr>
        <w:t>二、合同主体</w:t>
      </w:r>
      <w:bookmarkEnd w:id="315"/>
    </w:p>
    <w:p w14:paraId="4E237600">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16" w:name="_Toc25347"/>
      <w:r>
        <w:rPr>
          <w:rFonts w:hint="eastAsia" w:ascii="仿宋" w:hAnsi="仿宋" w:eastAsia="仿宋" w:cs="仿宋"/>
          <w:color w:val="auto"/>
          <w:sz w:val="24"/>
          <w:szCs w:val="24"/>
          <w:highlight w:val="none"/>
          <w:lang w:eastAsia="zh-CN"/>
        </w:rPr>
        <w:t>22发包人</w:t>
      </w:r>
      <w:bookmarkEnd w:id="316"/>
    </w:p>
    <w:p w14:paraId="2A83B73A">
      <w:pPr>
        <w:tabs>
          <w:tab w:val="left" w:pos="1620"/>
        </w:tabs>
        <w:ind w:left="-2" w:leftChars="-1" w:firstLine="1"/>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22</w:t>
      </w:r>
      <w:r>
        <w:rPr>
          <w:rFonts w:ascii="仿宋" w:hAnsi="仿宋" w:eastAsia="仿宋" w:cs="仿宋"/>
          <w:b/>
          <w:bCs/>
          <w:color w:val="auto"/>
          <w:highlight w:val="none"/>
          <w:lang w:eastAsia="zh-CN"/>
        </w:rPr>
        <w:t>.1</w:t>
      </w:r>
    </w:p>
    <w:p w14:paraId="5D53C93C">
      <w:pPr>
        <w:widowControl w:val="0"/>
        <w:tabs>
          <w:tab w:val="left" w:pos="162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08416" behindDoc="0" locked="0" layoutInCell="1" allowOverlap="1">
                <wp:simplePos x="0" y="0"/>
                <wp:positionH relativeFrom="column">
                  <wp:posOffset>-114300</wp:posOffset>
                </wp:positionH>
                <wp:positionV relativeFrom="paragraph">
                  <wp:posOffset>4445</wp:posOffset>
                </wp:positionV>
                <wp:extent cx="871855" cy="451485"/>
                <wp:effectExtent l="0" t="0" r="0" b="0"/>
                <wp:wrapNone/>
                <wp:docPr id="522" name="文本框 742"/>
                <wp:cNvGraphicFramePr/>
                <a:graphic xmlns:a="http://schemas.openxmlformats.org/drawingml/2006/main">
                  <a:graphicData uri="http://schemas.microsoft.com/office/word/2010/wordprocessingShape">
                    <wps:wsp>
                      <wps:cNvSpPr txBox="1">
                        <a:spLocks noChangeArrowheads="1"/>
                      </wps:cNvSpPr>
                      <wps:spPr bwMode="auto">
                        <a:xfrm>
                          <a:off x="0" y="0"/>
                          <a:ext cx="871855" cy="451485"/>
                        </a:xfrm>
                        <a:prstGeom prst="rect">
                          <a:avLst/>
                        </a:prstGeom>
                        <a:noFill/>
                        <a:ln>
                          <a:noFill/>
                        </a:ln>
                        <a:effectLst/>
                      </wps:spPr>
                      <wps:txbx>
                        <w:txbxContent>
                          <w:p w14:paraId="631754A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遵守法律</w:t>
                            </w:r>
                          </w:p>
                        </w:txbxContent>
                      </wps:txbx>
                      <wps:bodyPr rot="0" vert="horz" wrap="square" lIns="91440" tIns="45720" rIns="91440" bIns="45720" anchor="t" anchorCtr="0" upright="1">
                        <a:noAutofit/>
                      </wps:bodyPr>
                    </wps:wsp>
                  </a:graphicData>
                </a:graphic>
              </wp:anchor>
            </w:drawing>
          </mc:Choice>
          <mc:Fallback>
            <w:pict>
              <v:shape id="文本框 742" o:spid="_x0000_s1026" o:spt="202" type="#_x0000_t202" style="position:absolute;left:0pt;margin-left:-9pt;margin-top:0.35pt;height:35.55pt;width:68.65pt;z-index:251708416;mso-width-relative:page;mso-height-relative:page;" filled="f" stroked="f" coordsize="21600,21600" o:gfxdata="UEsDBAoAAAAAAIdO4kAAAAAAAAAAAAAAAAAEAAAAZHJzL1BLAwQUAAAACACHTuJAnDUf/NQAAAAH&#10;AQAADwAAAGRycy9kb3ducmV2LnhtbE2PS0/DMBCE70j9D9YicWttl1ca4vQA4kpFeUjctvE2iYjX&#10;Uew24d/XPdHjaEYz3xTryXXiSENoPRvQCwWCuPK25drA58frPAMRIrLFzjMZ+KMA63J2VWBu/cjv&#10;dNzGWqQSDjkaaGLscylD1ZDDsPA9cfL2fnAYkxxqaQccU7nr5FKpB+mw5bTQYE/PDVW/24Mz8PW2&#10;//m+U5v6xd33o5+UZLeSxtxca/UEItIU/8Nwxk/oUCamnT+wDaIzMNdZ+hINPII423p1C2KXpM5A&#10;loW85C9PUEsDBBQAAAAIAIdO4kBVcEauHwIAACYEAAAOAAAAZHJzL2Uyb0RvYy54bWytU82O0zAQ&#10;viPxDpbvNE2U0BI1XS1bLUJafqSFB3Adp7FIPMZ2mywPAG/AiQt3nqvPwdjOlrJc9sDFsj3jb+b7&#10;5vPqYuw7chDGSlAVTWdzSoTiUEu1q+jHD9fPlpRYx1TNOlCionfC0ov10yerQZcigxa6WhiCIMqW&#10;g65o65wuk8TyVvTMzkALhcEGTM8cHs0uqQ0bEL3vkmw+f54MYGptgAtr8XYTg3RCNI8BhKaRXGyA&#10;73uhXEQ1omMOKdlWakvXodumEdy9axorHOkqikxdWLEI7rd+TdYrVu4M063kUwvsMS084NQzqbDo&#10;CWrDHCN7I/+B6iU3YKFxMw59EokERZBFOn+gzW3LtAhcUGqrT6Lb/wfL3x7eGyLrihZZRoliPY78&#10;+P3b8cev48+vZJFnXqJB2xIzbzXmuvEljGicQNfqG+CfLFFw1TK1E5fGwNAKVmOLqX+ZnD2NONaD&#10;bIc3UGMltncQgMbG9F4/VIQgOo7n7jQeMTrC8XK5SJdFQQnHUF6k+bIIFVh5/1gb614J6InfVNTg&#10;9AM4O9xY55th5X2Kr6XgWnZdcECn/rrAxHgjgoWm156K7z7ycON2nKTZQn2HpAxEe+Hnwk0L5gsl&#10;A1qrovbznhlBSfdaoTAv0jz3XgyHvFhkeDDnke15hCmOUBV1lMTtlYv+3Wsjdy1WiqNQcIliNjIQ&#10;9a3GrqYRoH0C/8nq3p/n55D153uvf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cNR/81AAAAAcB&#10;AAAPAAAAAAAAAAEAIAAAACIAAABkcnMvZG93bnJldi54bWxQSwECFAAUAAAACACHTuJAVXBGrh8C&#10;AAAmBAAADgAAAAAAAAABACAAAAAjAQAAZHJzL2Uyb0RvYy54bWxQSwUGAAAAAAYABgBZAQAAtAUA&#10;AAAA&#10;">
                <v:fill on="f" focussize="0,0"/>
                <v:stroke on="f"/>
                <v:imagedata o:title=""/>
                <o:lock v:ext="edit" aspectratio="f"/>
                <v:textbox>
                  <w:txbxContent>
                    <w:p w14:paraId="631754A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遵守法律</w:t>
                      </w:r>
                    </w:p>
                  </w:txbxContent>
                </v:textbox>
              </v:shape>
            </w:pict>
          </mc:Fallback>
        </mc:AlternateContent>
      </w:r>
      <w:r>
        <w:rPr>
          <w:rFonts w:hint="eastAsia" w:ascii="仿宋" w:hAnsi="仿宋" w:eastAsia="仿宋" w:cs="仿宋"/>
          <w:color w:val="auto"/>
          <w:highlight w:val="none"/>
          <w:lang w:eastAsia="zh-CN"/>
        </w:rPr>
        <w:t>发包人在履行合同期间应遵守法律，并保证承包人免于承担因发包人违反法律而引起的任何责任；遵守国家、省、市有关社会信用体系建设工作的法律、行政法规、规章、规范性文件，严格执行信用承诺制度，违背信用承诺约定时，承担违约责任，并依法承担相应法律责任。</w:t>
      </w:r>
    </w:p>
    <w:p w14:paraId="0A172486">
      <w:pPr>
        <w:spacing w:line="360" w:lineRule="auto"/>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22</w:t>
      </w:r>
      <w:r>
        <w:rPr>
          <w:rFonts w:ascii="仿宋" w:hAnsi="仿宋" w:eastAsia="仿宋" w:cs="仿宋"/>
          <w:b/>
          <w:bCs/>
          <w:color w:val="auto"/>
          <w:highlight w:val="none"/>
          <w:lang w:eastAsia="zh-CN"/>
        </w:rPr>
        <w:t xml:space="preserve">.2 </w:t>
      </w:r>
    </w:p>
    <w:p w14:paraId="2FBC60FE">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09440" behindDoc="0" locked="0" layoutInCell="1" allowOverlap="1">
                <wp:simplePos x="0" y="0"/>
                <wp:positionH relativeFrom="column">
                  <wp:posOffset>-114300</wp:posOffset>
                </wp:positionH>
                <wp:positionV relativeFrom="paragraph">
                  <wp:posOffset>4445</wp:posOffset>
                </wp:positionV>
                <wp:extent cx="880110" cy="470535"/>
                <wp:effectExtent l="0" t="0" r="0" b="0"/>
                <wp:wrapNone/>
                <wp:docPr id="523" name="文本框 743"/>
                <wp:cNvGraphicFramePr/>
                <a:graphic xmlns:a="http://schemas.openxmlformats.org/drawingml/2006/main">
                  <a:graphicData uri="http://schemas.microsoft.com/office/word/2010/wordprocessingShape">
                    <wps:wsp>
                      <wps:cNvSpPr txBox="1">
                        <a:spLocks noChangeArrowheads="1"/>
                      </wps:cNvSpPr>
                      <wps:spPr bwMode="auto">
                        <a:xfrm>
                          <a:off x="0" y="0"/>
                          <a:ext cx="880110" cy="470535"/>
                        </a:xfrm>
                        <a:prstGeom prst="rect">
                          <a:avLst/>
                        </a:prstGeom>
                        <a:noFill/>
                        <a:ln>
                          <a:noFill/>
                        </a:ln>
                        <a:effectLst/>
                      </wps:spPr>
                      <wps:txbx>
                        <w:txbxContent>
                          <w:p w14:paraId="46C7033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发包人工作</w:t>
                            </w:r>
                          </w:p>
                        </w:txbxContent>
                      </wps:txbx>
                      <wps:bodyPr rot="0" vert="horz" wrap="square" lIns="91440" tIns="45720" rIns="91440" bIns="45720" anchor="t" anchorCtr="0" upright="1">
                        <a:noAutofit/>
                      </wps:bodyPr>
                    </wps:wsp>
                  </a:graphicData>
                </a:graphic>
              </wp:anchor>
            </w:drawing>
          </mc:Choice>
          <mc:Fallback>
            <w:pict>
              <v:shape id="文本框 743" o:spid="_x0000_s1026" o:spt="202" type="#_x0000_t202" style="position:absolute;left:0pt;margin-left:-9pt;margin-top:0.35pt;height:37.05pt;width:69.3pt;z-index:251709440;mso-width-relative:page;mso-height-relative:page;" filled="f" stroked="f" coordsize="21600,21600" o:gfxdata="UEsDBAoAAAAAAIdO4kAAAAAAAAAAAAAAAAAEAAAAZHJzL1BLAwQUAAAACACHTuJAHutKcdQAAAAH&#10;AQAADwAAAGRycy9kb3ducmV2LnhtbE2PzU7DMBCE70i8g7VI3Fo7VSkhZNMDiCuI8iNxc+NtEhGv&#10;o9htwtuzPcFxNKOZb8rt7Ht1ojF2gRGypQFFXAfXcYPw/va0yEHFZNnZPjAh/FCEbXV5UdrChYlf&#10;6bRLjZISjoVFaFMaCq1j3ZK3cRkGYvEOYfQ2iRwb7UY7Sbnv9cqYjfa2Y1lo7UAPLdXfu6NH+Hg+&#10;fH2uzUvz6G+GKcxGs7/TiNdXmbkHlWhOf2E44ws6VMK0D0d2UfUIiyyXLwnhFtTZXpkNqL3IdQ66&#10;KvV//uoXUEsDBBQAAAAIAIdO4kChQCMVHgIAACYEAAAOAAAAZHJzL2Uyb0RvYy54bWytU82O0zAQ&#10;viPxDpbvNOkfW6Kmq2WrRUjLj7TwAK7jNBaJx4zdJuUB4A04ceHOc/U5GDvZUpbLHrhYtmf8zXzf&#10;fF5edk3N9gqdBpPz8SjlTBkJhTbbnH/8cPNswZnzwhSiBqNyflCOX66ePlm2NlMTqKAuFDICMS5r&#10;bc4r722WJE5WqhFuBFYZCpaAjfB0xG1SoGgJvamTSZo+T1rAwiJI5RzdrvsgHxDxMYBQllqqNchd&#10;o4zvUVHVwhMlV2nr+Cp2W5ZK+ndl6ZRndc6JqY8rFaH9JqzJaimyLQpbaTm0IB7TwgNOjdCGip6g&#10;1sILtkP9D1SjJYKD0o8kNElPJCpCLMbpA23uKmFV5EJSO3sS3f0/WPl2/x6ZLnI+n0w5M6KhkR+/&#10;fzv++HX8+ZVdzKZBota6jDLvLOX67iV0ZJxI19lbkJ8cM3BdCbNVV4jQVkoU1OI4vEzOnvY4LoBs&#10;2jdQUCWx8xCBuhKboB8pwgidxnM4jUd1nkm6XCzS8ZgikkKzi3Q+nccKIrt/bNH5VwoaFjY5R5p+&#10;BBf7W+dDMyK7Twm1DNzouo4OqM1fF5TY36hooeF1oBK673n4btMN0mygOBAphN5e9LloUwF+4awl&#10;a+Xcfd4JVJzVrw0J82I8mwUvxsNsfjGhA55HNucRYSRB5dxz1m+vfe/fnUW9rahSPwoDVyRmqSPR&#10;0Grf1TACsk/kP1g9+PP8HLP+fO/V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7rSnHUAAAABwEA&#10;AA8AAAAAAAAAAQAgAAAAIgAAAGRycy9kb3ducmV2LnhtbFBLAQIUABQAAAAIAIdO4kChQCMVHgIA&#10;ACYEAAAOAAAAAAAAAAEAIAAAACMBAABkcnMvZTJvRG9jLnhtbFBLBQYAAAAABgAGAFkBAACzBQAA&#10;AAA=&#10;">
                <v:fill on="f" focussize="0,0"/>
                <v:stroke on="f"/>
                <v:imagedata o:title=""/>
                <o:lock v:ext="edit" aspectratio="f"/>
                <v:textbox>
                  <w:txbxContent>
                    <w:p w14:paraId="46C7033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发包人工作</w:t>
                      </w:r>
                    </w:p>
                  </w:txbxContent>
                </v:textbox>
              </v:shape>
            </w:pict>
          </mc:Fallback>
        </mc:AlternateContent>
      </w:r>
      <w:r>
        <w:rPr>
          <w:rFonts w:hint="eastAsia" w:ascii="仿宋" w:hAnsi="仿宋" w:eastAsia="仿宋" w:cs="仿宋"/>
          <w:color w:val="auto"/>
          <w:highlight w:val="none"/>
          <w:lang w:eastAsia="zh-CN"/>
        </w:rPr>
        <w:t>发包人应按照合同约定完成下列工作：</w:t>
      </w:r>
    </w:p>
    <w:p w14:paraId="798F1332">
      <w:pPr>
        <w:widowControl w:val="0"/>
        <w:numPr>
          <w:ilvl w:val="0"/>
          <w:numId w:val="7"/>
        </w:numPr>
        <w:tabs>
          <w:tab w:val="clear" w:pos="111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发包人应按第6条约定向承包人提供《发包人要求》和项目基础资料，并为承包人收集其他有关资料提供必要的协助；</w:t>
      </w:r>
    </w:p>
    <w:p w14:paraId="37D46F7C">
      <w:pPr>
        <w:widowControl w:val="0"/>
        <w:numPr>
          <w:ilvl w:val="0"/>
          <w:numId w:val="7"/>
        </w:numPr>
        <w:tabs>
          <w:tab w:val="clear" w:pos="111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及时接收承包人提交的勘察报告、设计文件、建筑信息模型（BIM）等成果资料和合理化建议；及时组织对承包人提交的勘察报告、设计文件、建筑信息模型（BIM）、合理化建议等进行审查，并反馈审查意见；需要政府、行业主管部门或施工图审查机构审查的设计文件，及时送审；</w:t>
      </w:r>
    </w:p>
    <w:p w14:paraId="434FA079">
      <w:pPr>
        <w:widowControl w:val="0"/>
        <w:numPr>
          <w:ilvl w:val="0"/>
          <w:numId w:val="7"/>
        </w:numPr>
        <w:tabs>
          <w:tab w:val="clear" w:pos="111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按照专用条款约定的时间向承包人提供一式两份约定的标准与规范（国家、省及地方颁布的标准规范除外）；</w:t>
      </w:r>
    </w:p>
    <w:p w14:paraId="025A96E5">
      <w:pPr>
        <w:widowControl w:val="0"/>
        <w:numPr>
          <w:ilvl w:val="0"/>
          <w:numId w:val="7"/>
        </w:numPr>
        <w:tabs>
          <w:tab w:val="clear" w:pos="111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办理土地征用、拆迁等工作，使施工场地（含勘察施工场地）具备施工条件，并在开工后继续负责解决上述工作遗留的问题；</w:t>
      </w:r>
    </w:p>
    <w:p w14:paraId="769317DD">
      <w:pPr>
        <w:widowControl w:val="0"/>
        <w:numPr>
          <w:ilvl w:val="0"/>
          <w:numId w:val="7"/>
        </w:numPr>
        <w:tabs>
          <w:tab w:val="clear" w:pos="111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将施工所需水、电、通讯线路从施工场地（含勘察施工场地）外部接驳至专用条款约定的地点，保证施工期间的需要；</w:t>
      </w:r>
    </w:p>
    <w:p w14:paraId="2035FC56">
      <w:pPr>
        <w:widowControl w:val="0"/>
        <w:numPr>
          <w:ilvl w:val="0"/>
          <w:numId w:val="7"/>
        </w:numPr>
        <w:tabs>
          <w:tab w:val="clear" w:pos="111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开通施工场地与城乡公共道路间的通道，满足第</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6条交通运输的需要；</w:t>
      </w:r>
    </w:p>
    <w:p w14:paraId="2C94839E">
      <w:pPr>
        <w:widowControl w:val="0"/>
        <w:numPr>
          <w:ilvl w:val="0"/>
          <w:numId w:val="7"/>
        </w:numPr>
        <w:tabs>
          <w:tab w:val="clear" w:pos="111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办理施工许可及其他所需证件、批准文件和办理临时用地、停水、停电、中断道路交通、爆破作业等的申请批准手续（承包人自身施工资质的证件除外）；</w:t>
      </w:r>
    </w:p>
    <w:p w14:paraId="74091127">
      <w:pPr>
        <w:widowControl w:val="0"/>
        <w:numPr>
          <w:ilvl w:val="0"/>
          <w:numId w:val="7"/>
        </w:numPr>
        <w:tabs>
          <w:tab w:val="clear" w:pos="111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确定水准点与坐标控制点，组织现场交验并以书面形式移交给承包人；</w:t>
      </w:r>
    </w:p>
    <w:p w14:paraId="28CDC69F">
      <w:pPr>
        <w:widowControl w:val="0"/>
        <w:numPr>
          <w:ilvl w:val="0"/>
          <w:numId w:val="7"/>
        </w:numPr>
        <w:tabs>
          <w:tab w:val="left" w:pos="1470"/>
          <w:tab w:val="left" w:pos="1980"/>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协调处理施工场地周围地形关系问题和做好邻近建筑物、构筑物（包括文物保护建筑）、古树名木等的保护工作；</w:t>
      </w:r>
    </w:p>
    <w:p w14:paraId="108228AD">
      <w:pPr>
        <w:widowControl w:val="0"/>
        <w:numPr>
          <w:ilvl w:val="0"/>
          <w:numId w:val="7"/>
        </w:numPr>
        <w:tabs>
          <w:tab w:val="left" w:pos="1470"/>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及时接收已完工程，并按照合同约定及时支付工程款及其他各种款项。</w:t>
      </w:r>
    </w:p>
    <w:p w14:paraId="73AB9EEC">
      <w:pPr>
        <w:widowControl w:val="0"/>
        <w:numPr>
          <w:ilvl w:val="0"/>
          <w:numId w:val="7"/>
        </w:numPr>
        <w:tabs>
          <w:tab w:val="left" w:pos="1470"/>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其它。</w:t>
      </w:r>
    </w:p>
    <w:p w14:paraId="29BF0379">
      <w:pPr>
        <w:pStyle w:val="45"/>
        <w:widowControl w:val="0"/>
        <w:tabs>
          <w:tab w:val="left" w:pos="1980"/>
        </w:tabs>
        <w:ind w:left="1850" w:leftChars="771" w:firstLine="0" w:firstLineChars="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发包人可将其中部分工作委托给承包人办理，具体由合同双方当事人在专用条款中约定。除合同价格已包括外，由发包人承担所需费用，并向承包人支付合理利润。</w:t>
      </w:r>
    </w:p>
    <w:p w14:paraId="532DEE03">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22</w:t>
      </w:r>
      <w:r>
        <w:rPr>
          <w:rFonts w:ascii="仿宋" w:hAnsi="仿宋" w:eastAsia="仿宋" w:cs="仿宋"/>
          <w:b/>
          <w:bCs/>
          <w:color w:val="auto"/>
          <w:highlight w:val="none"/>
          <w:lang w:eastAsia="zh-CN"/>
        </w:rPr>
        <w:t>.3</w:t>
      </w:r>
    </w:p>
    <w:p w14:paraId="3381A70A">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10464" behindDoc="0" locked="0" layoutInCell="1" allowOverlap="1">
                <wp:simplePos x="0" y="0"/>
                <wp:positionH relativeFrom="column">
                  <wp:posOffset>-114300</wp:posOffset>
                </wp:positionH>
                <wp:positionV relativeFrom="paragraph">
                  <wp:posOffset>0</wp:posOffset>
                </wp:positionV>
                <wp:extent cx="784860" cy="473710"/>
                <wp:effectExtent l="0" t="0" r="0" b="0"/>
                <wp:wrapNone/>
                <wp:docPr id="524" name="文本框 744"/>
                <wp:cNvGraphicFramePr/>
                <a:graphic xmlns:a="http://schemas.openxmlformats.org/drawingml/2006/main">
                  <a:graphicData uri="http://schemas.microsoft.com/office/word/2010/wordprocessingShape">
                    <wps:wsp>
                      <wps:cNvSpPr txBox="1">
                        <a:spLocks noChangeArrowheads="1"/>
                      </wps:cNvSpPr>
                      <wps:spPr bwMode="auto">
                        <a:xfrm>
                          <a:off x="0" y="0"/>
                          <a:ext cx="784860" cy="473710"/>
                        </a:xfrm>
                        <a:prstGeom prst="rect">
                          <a:avLst/>
                        </a:prstGeom>
                        <a:noFill/>
                        <a:ln>
                          <a:noFill/>
                        </a:ln>
                        <a:effectLst/>
                      </wps:spPr>
                      <wps:txbx>
                        <w:txbxContent>
                          <w:p w14:paraId="6E19E987">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发包人提供施工场地</w:t>
                            </w:r>
                          </w:p>
                        </w:txbxContent>
                      </wps:txbx>
                      <wps:bodyPr rot="0" vert="horz" wrap="square" lIns="91440" tIns="45720" rIns="91440" bIns="45720" anchor="t" anchorCtr="0" upright="1">
                        <a:noAutofit/>
                      </wps:bodyPr>
                    </wps:wsp>
                  </a:graphicData>
                </a:graphic>
              </wp:anchor>
            </w:drawing>
          </mc:Choice>
          <mc:Fallback>
            <w:pict>
              <v:shape id="文本框 744" o:spid="_x0000_s1026" o:spt="202" type="#_x0000_t202" style="position:absolute;left:0pt;margin-left:-9pt;margin-top:0pt;height:37.3pt;width:61.8pt;z-index:251710464;mso-width-relative:page;mso-height-relative:page;" filled="f" stroked="f" coordsize="21600,21600" o:gfxdata="UEsDBAoAAAAAAIdO4kAAAAAAAAAAAAAAAAAEAAAAZHJzL1BLAwQUAAAACACHTuJAwGXqeNUAAAAH&#10;AQAADwAAAGRycy9kb3ducmV2LnhtbE2PzU7DMBCE70i8g7VI3Fo7qA0lZNMDiCuI8iNx28bbJCJe&#10;R7HbhLfHPcFlpdGMZr4tt7Pr1YnH0HlByJYGFEvtbScNwvvb02IDKkQSS70XRvjhANvq8qKkwvpJ&#10;Xvm0i41KJRIKQmhjHAqtQ92yo7D0A0vyDn50FJMcG21HmlK56/WNMbl21ElaaGngh5br793RIXw8&#10;H74+V+aleXTrYfKz0eLuNOL1VWbuQUWe418YzvgJHarEtPdHsUH1CItsk36JCOmebbPOQe0Rblc5&#10;6KrU//mrX1BLAwQUAAAACACHTuJAvLYz9B4CAAAmBAAADgAAAGRycy9lMm9Eb2MueG1srVPBjtMw&#10;EL0j8Q+W7zRtyW5L1HS1bLUIaYGVFj7AdZzGIvGYsdukfAD8AScu3Pe7+h2MnWwpy2UPXCzbM34z&#10;783z4qJrarZT6DSYnE9GY86UkVBos8n5p4/XL+acOS9MIWowKud75fjF8vmzRWszNYUK6kIhIxDj&#10;stbmvPLeZkniZKUa4UZglaFgCdgIT0fcJAWKltCbOpmOx+dJC1hYBKmco9tVH+QDIj4FEMpSS7UC&#10;uW2U8T0qqlp4ouQqbR1fxm7LUkn/oSyd8qzOOTH1caUitF+HNVkuRLZBYSsthxbEU1p4xKkR2lDR&#10;I9RKeMG2qP+BarREcFD6kYQm6YlERYjFZPxIm7tKWBW5kNTOHkV3/w9Wvt/dItNFzs+mKWdGNDTy&#10;w4/vh5/3h1/f2CxNg0StdRll3lnK9d1r6Mg4ka6zNyA/O2bgqhJmoy4Roa2UKKjFSXiZnDztcVwA&#10;WbfvoKBKYushAnUlNkE/UoQROo1nfxyP6jyTdDmbp/NzikgKpbOXs0kcXyKyh8cWnX+joGFhk3Ok&#10;6UdwsbtxPjQjsoeUUMvAta7r6IDa/HVBif2NihYaXgcqofueh+/W3SDNGoo9kULo7UWfizYV4FfO&#10;WrJWzt2XrUDFWf3WkDCvJmkavBgP6dlsSgc8jaxPI8JIgsq556zfXvnev1uLelNRpX4UBi5JzFJH&#10;oqHVvqthBGSfyH+wevDn6Tlm/fne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AZep41QAAAAcB&#10;AAAPAAAAAAAAAAEAIAAAACIAAABkcnMvZG93bnJldi54bWxQSwECFAAUAAAACACHTuJAvLYz9B4C&#10;AAAmBAAADgAAAAAAAAABACAAAAAkAQAAZHJzL2Uyb0RvYy54bWxQSwUGAAAAAAYABgBZAQAAtAUA&#10;AAAA&#10;">
                <v:fill on="f" focussize="0,0"/>
                <v:stroke on="f"/>
                <v:imagedata o:title=""/>
                <o:lock v:ext="edit" aspectratio="f"/>
                <v:textbox>
                  <w:txbxContent>
                    <w:p w14:paraId="6E19E987">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发包人提供施工场地</w:t>
                      </w:r>
                    </w:p>
                  </w:txbxContent>
                </v:textbox>
              </v:shape>
            </w:pict>
          </mc:Fallback>
        </mc:AlternateContent>
      </w:r>
      <w:r>
        <w:rPr>
          <w:rFonts w:hint="eastAsia" w:ascii="仿宋" w:hAnsi="仿宋" w:eastAsia="仿宋" w:cs="仿宋"/>
          <w:color w:val="auto"/>
          <w:highlight w:val="none"/>
          <w:lang w:eastAsia="zh-CN"/>
        </w:rPr>
        <w:t>发包人应按照专用条款约定的时间提供施工场地（含勘察施工场地），并在确保承包人按照计划进度顺利开工的时间内给予承包人进入和使用施工场地的权利。</w:t>
      </w:r>
    </w:p>
    <w:p w14:paraId="02AD1110">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发包人保留其工作人员和相关政府执法人员进入和使用施工场地的权利。</w:t>
      </w:r>
    </w:p>
    <w:p w14:paraId="4D87EBEF">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711488" behindDoc="0" locked="0" layoutInCell="1" allowOverlap="1">
                <wp:simplePos x="0" y="0"/>
                <wp:positionH relativeFrom="column">
                  <wp:posOffset>-114300</wp:posOffset>
                </wp:positionH>
                <wp:positionV relativeFrom="paragraph">
                  <wp:posOffset>220980</wp:posOffset>
                </wp:positionV>
                <wp:extent cx="794385" cy="252730"/>
                <wp:effectExtent l="0" t="0" r="0" b="0"/>
                <wp:wrapNone/>
                <wp:docPr id="525" name="文本框 745"/>
                <wp:cNvGraphicFramePr/>
                <a:graphic xmlns:a="http://schemas.openxmlformats.org/drawingml/2006/main">
                  <a:graphicData uri="http://schemas.microsoft.com/office/word/2010/wordprocessingShape">
                    <wps:wsp>
                      <wps:cNvSpPr txBox="1">
                        <a:spLocks noChangeArrowheads="1"/>
                      </wps:cNvSpPr>
                      <wps:spPr bwMode="auto">
                        <a:xfrm>
                          <a:off x="0" y="0"/>
                          <a:ext cx="794385" cy="252730"/>
                        </a:xfrm>
                        <a:prstGeom prst="rect">
                          <a:avLst/>
                        </a:prstGeom>
                        <a:noFill/>
                        <a:ln>
                          <a:noFill/>
                        </a:ln>
                        <a:effectLst/>
                      </wps:spPr>
                      <wps:txbx>
                        <w:txbxContent>
                          <w:p w14:paraId="6C58A7C2">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发包人支付款项</w:t>
                            </w:r>
                          </w:p>
                        </w:txbxContent>
                      </wps:txbx>
                      <wps:bodyPr rot="0" vert="horz" wrap="square" lIns="91440" tIns="45720" rIns="91440" bIns="45720" anchor="t" anchorCtr="0" upright="1">
                        <a:noAutofit/>
                      </wps:bodyPr>
                    </wps:wsp>
                  </a:graphicData>
                </a:graphic>
              </wp:anchor>
            </w:drawing>
          </mc:Choice>
          <mc:Fallback>
            <w:pict>
              <v:shape id="文本框 745" o:spid="_x0000_s1026" o:spt="202" type="#_x0000_t202" style="position:absolute;left:0pt;margin-left:-9pt;margin-top:17.4pt;height:19.9pt;width:62.55pt;z-index:251711488;mso-width-relative:page;mso-height-relative:page;" filled="f" stroked="f" coordsize="21600,21600" o:gfxdata="UEsDBAoAAAAAAIdO4kAAAAAAAAAAAAAAAAAEAAAAZHJzL1BLAwQUAAAACACHTuJAvQP7t9cAAAAJ&#10;AQAADwAAAGRycy9kb3ducmV2LnhtbE2Py27CMBBF95X6D9ZU6g7stCmPkAmLVt22gj4kdiYekoh4&#10;HMWGpH9fs4LlaK7uPSdfj7YVZ+p94xghmSoQxKUzDVcI31/vkwUIHzQb3TomhD/ysC7u73KdGTfw&#10;hs7bUIlYwj7TCHUIXSalL2uy2k9dRxx/B9dbHeLZV9L0eojltpVPSs2k1Q3HhVp39FpTedyeLMLP&#10;x2H3m6rP6s2+dIMblWS7lIiPD4lagQg0hmsYLvgRHYrItHcnNl60CJNkEV0CwnMaFS4BNU9A7BHm&#10;6Qxkkctbg+IfUEsDBBQAAAAIAIdO4kDTSAEtIAIAACYEAAAOAAAAZHJzL2Uyb0RvYy54bWytU0tu&#10;2zAQ3RfoHQjua9mKXSeC5SCNkaJA+gHSHoCmKIuoxGGHtCX3AM0Nuuqm+57L5+iQUlw33WTRDUFy&#10;hm/mvXlcXHZNzXYKnQaT88lozJkyEgptNjn/9PHmxTlnzgtTiBqMyvleOX65fP5s0dpMpVBBXShk&#10;BGJc1tqcV97bLEmcrFQj3AisMhQsARvh6YibpEDREnpTJ+l4/DJpAQuLIJVzdLvqg3xAxKcAQllq&#10;qVYgt40yvkdFVQtPlFylrePL2G1ZKunfl6VTntU5J6Y+rlSE9uuwJsuFyDYobKXl0IJ4SguPODVC&#10;Gyp6hFoJL9gW9T9QjZYIDko/ktAkPZGoCLGYjB9pc1cJqyIXktrZo+ju/8HKd7sPyHSR81k648yI&#10;hkZ++H5/+PHr8PMbm09nQaLWuowy7yzl+u4VdGScSNfZW5CfHTNwXQmzUVeI0FZKFNTiJLxMTp72&#10;OC6ArNu3UFAlsfUQgboSm6AfKcIIncazP45HdZ5JupxfTM/OqUlJoXSWzs/i+BKRPTy26PxrBQ0L&#10;m5wjTT+Ci92t86EZkT2khFoGbnRdRwfU5q8LSuxvVLTQ8DpQCd33PHy37gZp1lDsiRRCby/6XLSp&#10;AL9y1pK1cu6+bAUqzuo3hoS5mEynwYvxMJ3NUzrgaWR9GhFGElTOPWf99tr3/t1a1JuKKvWjMHBF&#10;YpY6Eg2t9l0NIyD7RP6D1YM/T88x68/3Xv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QP7t9cA&#10;AAAJAQAADwAAAAAAAAABACAAAAAiAAAAZHJzL2Rvd25yZXYueG1sUEsBAhQAFAAAAAgAh07iQNNI&#10;AS0gAgAAJgQAAA4AAAAAAAAAAQAgAAAAJgEAAGRycy9lMm9Eb2MueG1sUEsFBgAAAAAGAAYAWQEA&#10;ALgFAAAAAA==&#10;">
                <v:fill on="f" focussize="0,0"/>
                <v:stroke on="f"/>
                <v:imagedata o:title=""/>
                <o:lock v:ext="edit" aspectratio="f"/>
                <v:textbox>
                  <w:txbxContent>
                    <w:p w14:paraId="6C58A7C2">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发包人支付款项</w:t>
                      </w:r>
                    </w:p>
                  </w:txbxContent>
                </v:textbox>
              </v:shape>
            </w:pict>
          </mc:Fallback>
        </mc:AlternateContent>
      </w:r>
      <w:r>
        <w:rPr>
          <w:rFonts w:hint="eastAsia" w:ascii="仿宋" w:hAnsi="仿宋" w:eastAsia="仿宋" w:cs="仿宋"/>
          <w:b/>
          <w:bCs/>
          <w:color w:val="auto"/>
          <w:highlight w:val="none"/>
          <w:lang w:eastAsia="zh-CN"/>
        </w:rPr>
        <w:t>22</w:t>
      </w:r>
      <w:r>
        <w:rPr>
          <w:rFonts w:ascii="仿宋" w:hAnsi="仿宋" w:eastAsia="仿宋" w:cs="仿宋"/>
          <w:b/>
          <w:bCs/>
          <w:color w:val="auto"/>
          <w:highlight w:val="none"/>
          <w:lang w:eastAsia="zh-CN"/>
        </w:rPr>
        <w:t>.4</w:t>
      </w:r>
    </w:p>
    <w:p w14:paraId="22D4F9EE">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发包人应按照合同约定的期限和方式向承包人支付工程款及其他应支付的款项。</w:t>
      </w:r>
    </w:p>
    <w:p w14:paraId="65F0684A">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22</w:t>
      </w:r>
      <w:r>
        <w:rPr>
          <w:rFonts w:ascii="仿宋" w:hAnsi="仿宋" w:eastAsia="仿宋" w:cs="仿宋"/>
          <w:b/>
          <w:bCs/>
          <w:color w:val="auto"/>
          <w:highlight w:val="none"/>
          <w:lang w:eastAsia="zh-CN"/>
        </w:rPr>
        <w:t>.5</w:t>
      </w:r>
    </w:p>
    <w:p w14:paraId="1F0C26D3">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12512" behindDoc="0" locked="0" layoutInCell="1" allowOverlap="1">
                <wp:simplePos x="0" y="0"/>
                <wp:positionH relativeFrom="column">
                  <wp:posOffset>-114300</wp:posOffset>
                </wp:positionH>
                <wp:positionV relativeFrom="paragraph">
                  <wp:posOffset>15240</wp:posOffset>
                </wp:positionV>
                <wp:extent cx="794385" cy="507365"/>
                <wp:effectExtent l="0" t="0" r="0" b="0"/>
                <wp:wrapNone/>
                <wp:docPr id="526" name="文本框 746"/>
                <wp:cNvGraphicFramePr/>
                <a:graphic xmlns:a="http://schemas.openxmlformats.org/drawingml/2006/main">
                  <a:graphicData uri="http://schemas.microsoft.com/office/word/2010/wordprocessingShape">
                    <wps:wsp>
                      <wps:cNvSpPr txBox="1">
                        <a:spLocks noChangeArrowheads="1"/>
                      </wps:cNvSpPr>
                      <wps:spPr bwMode="auto">
                        <a:xfrm>
                          <a:off x="0" y="0"/>
                          <a:ext cx="794385" cy="507365"/>
                        </a:xfrm>
                        <a:prstGeom prst="rect">
                          <a:avLst/>
                        </a:prstGeom>
                        <a:noFill/>
                        <a:ln>
                          <a:noFill/>
                        </a:ln>
                        <a:effectLst/>
                      </wps:spPr>
                      <wps:txbx>
                        <w:txbxContent>
                          <w:p w14:paraId="19450BC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发包人组织竣工验收</w:t>
                            </w:r>
                          </w:p>
                        </w:txbxContent>
                      </wps:txbx>
                      <wps:bodyPr rot="0" vert="horz" wrap="square" lIns="91440" tIns="45720" rIns="91440" bIns="45720" anchor="t" anchorCtr="0" upright="1">
                        <a:noAutofit/>
                      </wps:bodyPr>
                    </wps:wsp>
                  </a:graphicData>
                </a:graphic>
              </wp:anchor>
            </w:drawing>
          </mc:Choice>
          <mc:Fallback>
            <w:pict>
              <v:shape id="文本框 746" o:spid="_x0000_s1026" o:spt="202" type="#_x0000_t202" style="position:absolute;left:0pt;margin-left:-9pt;margin-top:1.2pt;height:39.95pt;width:62.55pt;z-index:251712512;mso-width-relative:page;mso-height-relative:page;" filled="f" stroked="f" coordsize="21600,21600" o:gfxdata="UEsDBAoAAAAAAIdO4kAAAAAAAAAAAAAAAAAEAAAAZHJzL1BLAwQUAAAACACHTuJAn8VPZtYAAAAI&#10;AQAADwAAAGRycy9kb3ducmV2LnhtbE2PwU7DMBBE70j9B2uRuLV2QikhZNNDEVcQpVTqzY23SUS8&#10;jmK3CX+Pe4LjaEYzb4r1ZDtxocG3jhGShQJBXDnTco2w+3ydZyB80Gx055gQfsjDupzdFDo3buQP&#10;umxDLWIJ+1wjNCH0uZS+ashqv3A9cfRObrA6RDnU0gx6jOW2k6lSK2l1y3Gh0T1tGqq+t2eL8PV2&#10;OuyX6r1+sQ/96CYl2T5JxLvbRD2DCDSFvzBc8SM6lJHp6M5svOgQ5kkWvwSEdAni6qvHBMQRIUvv&#10;QZaF/H+g/AVQSwMEFAAAAAgAh07iQIZrM9sgAgAAJgQAAA4AAABkcnMvZTJvRG9jLnhtbK1TzW4T&#10;MRC+I/EOlu9kkzQ/7SqbqjQqQipQqfAAjtebtdj1mLGT3fAA8AacuHDvc+U5GHu3IZRLD1ws2zP+&#10;Zr5vPi8u27piO4VOg8n4aDDkTBkJuTabjH/6ePPqnDPnhclFBUZlfK8cv1y+fLFobKrGUEKVK2QE&#10;Ylza2IyX3ts0SZwsVS3cAKwyFCwAa+HpiJskR9EQel0l4+FwljSAuUWQyjm6XXVB3iPicwChKLRU&#10;K5DbWhnfoaKqhCdKrtTW8WXstiiU9B+KwinPqowTUx9XKkL7dViT5UKkGxS21LJvQTynhSecaqEN&#10;FT1CrYQXbIv6H6haSwQHhR9IqJOOSFSEWIyGT7S5L4VVkQtJ7exRdPf/YOX73R0ynWd8Op5xZkRN&#10;Iz/8+H74+XD49Y3NJ7MgUWNdSpn3lnJ9+xpaMk6k6+wtyM+OGbguhdmoK0RoSiVyanEUXiYnTzsc&#10;F0DWzTvIqZLYeohAbYF10I8UYYRO49kfx6NazyRdzi8mZ+dTziSFpsP52WwaK4j08bFF598oqFnY&#10;ZBxp+hFc7G6dD82I9DEl1DJwo6sqOqAyf11QYnejooX614FK6L7j4dt120uzhnxPpBA6e9Hnok0J&#10;+JWzhqyVcfdlK1BxVr01JMzFaDIJXoyHyXQ+pgOeRtanEWEkQWXcc9Ztr33n361FvSmpUjcKA1ck&#10;ZqEj0dBq11U/ArJP5N9bPfjz9Byz/nzv5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fxU9m1gAA&#10;AAgBAAAPAAAAAAAAAAEAIAAAACIAAABkcnMvZG93bnJldi54bWxQSwECFAAUAAAACACHTuJAhmsz&#10;2yACAAAmBAAADgAAAAAAAAABACAAAAAlAQAAZHJzL2Uyb0RvYy54bWxQSwUGAAAAAAYABgBZAQAA&#10;twUAAAAA&#10;">
                <v:fill on="f" focussize="0,0"/>
                <v:stroke on="f"/>
                <v:imagedata o:title=""/>
                <o:lock v:ext="edit" aspectratio="f"/>
                <v:textbox>
                  <w:txbxContent>
                    <w:p w14:paraId="19450BC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发包人组织竣工验收</w:t>
                      </w:r>
                    </w:p>
                  </w:txbxContent>
                </v:textbox>
              </v:shape>
            </w:pict>
          </mc:Fallback>
        </mc:AlternateContent>
      </w:r>
      <w:r>
        <w:rPr>
          <w:rFonts w:hint="eastAsia" w:ascii="仿宋" w:hAnsi="仿宋" w:eastAsia="仿宋" w:cs="仿宋"/>
          <w:color w:val="auto"/>
          <w:highlight w:val="none"/>
          <w:lang w:eastAsia="zh-CN"/>
        </w:rPr>
        <w:t>发包人应按照第65条约定组织承包人、设计顾问人、监理人和造价咨询人等进行竣工验收。</w:t>
      </w:r>
    </w:p>
    <w:p w14:paraId="1FF6AF73">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713536" behindDoc="0" locked="0" layoutInCell="1" allowOverlap="1">
                <wp:simplePos x="0" y="0"/>
                <wp:positionH relativeFrom="column">
                  <wp:posOffset>-114300</wp:posOffset>
                </wp:positionH>
                <wp:positionV relativeFrom="paragraph">
                  <wp:posOffset>273050</wp:posOffset>
                </wp:positionV>
                <wp:extent cx="803275" cy="681990"/>
                <wp:effectExtent l="0" t="0" r="0" b="0"/>
                <wp:wrapNone/>
                <wp:docPr id="527" name="文本框 747"/>
                <wp:cNvGraphicFramePr/>
                <a:graphic xmlns:a="http://schemas.openxmlformats.org/drawingml/2006/main">
                  <a:graphicData uri="http://schemas.microsoft.com/office/word/2010/wordprocessingShape">
                    <wps:wsp>
                      <wps:cNvSpPr txBox="1">
                        <a:spLocks noChangeArrowheads="1"/>
                      </wps:cNvSpPr>
                      <wps:spPr bwMode="auto">
                        <a:xfrm>
                          <a:off x="0" y="0"/>
                          <a:ext cx="803275" cy="681990"/>
                        </a:xfrm>
                        <a:prstGeom prst="rect">
                          <a:avLst/>
                        </a:prstGeom>
                        <a:noFill/>
                        <a:ln>
                          <a:noFill/>
                        </a:ln>
                        <a:effectLst/>
                      </wps:spPr>
                      <wps:txbx>
                        <w:txbxContent>
                          <w:p w14:paraId="272F66E9">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发包人供应工程材料和工程设备要求</w:t>
                            </w:r>
                          </w:p>
                        </w:txbxContent>
                      </wps:txbx>
                      <wps:bodyPr rot="0" vert="horz" wrap="square" lIns="91440" tIns="45720" rIns="91440" bIns="45720" anchor="t" anchorCtr="0" upright="1">
                        <a:noAutofit/>
                      </wps:bodyPr>
                    </wps:wsp>
                  </a:graphicData>
                </a:graphic>
              </wp:anchor>
            </w:drawing>
          </mc:Choice>
          <mc:Fallback>
            <w:pict>
              <v:shape id="文本框 747" o:spid="_x0000_s1026" o:spt="202" type="#_x0000_t202" style="position:absolute;left:0pt;margin-left:-9pt;margin-top:21.5pt;height:53.7pt;width:63.25pt;z-index:251713536;mso-width-relative:page;mso-height-relative:page;" filled="f" stroked="f" coordsize="21600,21600" o:gfxdata="UEsDBAoAAAAAAIdO4kAAAAAAAAAAAAAAAAAEAAAAZHJzL1BLAwQUAAAACACHTuJAvtMFj9cAAAAK&#10;AQAADwAAAGRycy9kb3ducmV2LnhtbE2PQU/DMAyF70j7D5EncduSjhaV0nSHIa4gNkDiljVeW9E4&#10;VZOt5d/jneBkW+/p+Xvldna9uOAYOk8akrUCgVR721Gj4f3wvMpBhGjImt4TavjBANtqcVOawvqJ&#10;3vCyj43gEAqF0dDGOBRShrpFZ8LaD0isnfzoTORzbKQdzcThrpcbpe6lMx3xh9YMuGux/t6fnYaP&#10;l9PXZ6pemyeXDZOflST3ILW+XSbqEUTEOf6Z4YrP6FAx09GfyQbRa1glOXeJGtI7nleDyjMQR14y&#10;lYKsSvm/QvULUEsDBBQAAAAIAIdO4kBN6iJyIAIAACYEAAAOAAAAZHJzL2Uyb0RvYy54bWytU82O&#10;0zAQviPxDpbvNG1pt23UdLVstQhp+ZEWHsB1nMYi8Zix26Q8APsGnLhw57n6HIydbCnLZQ9cLNsz&#10;/ma+bz4vL9u6YnuFToPJ+Ggw5EwZCbk224x/+njzYs6Z88LkogKjMn5Qjl+unj9bNjZVYyihyhUy&#10;AjEubWzGS+9tmiROlqoWbgBWGQoWgLXwdMRtkqNoCL2ukvFweJE0gLlFkMo5ul13Qd4j4lMAoSi0&#10;VGuQu1oZ36GiqoQnSq7U1vFV7LYolPTvi8Ipz6qME1MfVypC+01Yk9VSpFsUttSyb0E8pYVHnGqh&#10;DRU9Qa2FF2yH+h+oWksEB4UfSKiTjkhUhFiMho+0uSuFVZELSe3sSXT3/2Dlu/0HZDrP+HQ848yI&#10;mkZ+/H5//PHr+PMbm01mQaLGupQy7yzl+vYVtGScSNfZW5CfHTNwXQqzVVeI0JRK5NTiKLxMzp52&#10;OC6AbJq3kFMlsfMQgdoC66AfKcIIncZzOI1HtZ5JupwPX45nU84khS7mo8Uiji8R6cNji86/VlCz&#10;sMk40vQjuNjfOh+aEelDSqhl4EZXVXRAZf66oMTuRkUL9a8DldB9x8O3m7aXZgP5gUghdPaiz0Wb&#10;EvArZw1ZK+Puy06g4qx6Y0iYxWgyCV6Mh8l0NqYDnkc25xFhJEFl3HPWba9959+dRb0tqVI3CgNX&#10;JGahI9HQatdVPwKyT+TfWz348/wcs/5879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tMFj9cA&#10;AAAKAQAADwAAAAAAAAABACAAAAAiAAAAZHJzL2Rvd25yZXYueG1sUEsBAhQAFAAAAAgAh07iQE3q&#10;InIgAgAAJgQAAA4AAAAAAAAAAQAgAAAAJgEAAGRycy9lMm9Eb2MueG1sUEsFBgAAAAAGAAYAWQEA&#10;ALgFAAAAAA==&#10;">
                <v:fill on="f" focussize="0,0"/>
                <v:stroke on="f"/>
                <v:imagedata o:title=""/>
                <o:lock v:ext="edit" aspectratio="f"/>
                <v:textbox>
                  <w:txbxContent>
                    <w:p w14:paraId="272F66E9">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发包人供应工程材料和工程设备要求</w:t>
                      </w:r>
                    </w:p>
                  </w:txbxContent>
                </v:textbox>
              </v:shape>
            </w:pict>
          </mc:Fallback>
        </mc:AlternateContent>
      </w:r>
      <w:r>
        <w:rPr>
          <w:rFonts w:hint="eastAsia" w:ascii="仿宋" w:hAnsi="仿宋" w:eastAsia="仿宋" w:cs="仿宋"/>
          <w:b/>
          <w:bCs/>
          <w:color w:val="auto"/>
          <w:highlight w:val="none"/>
          <w:lang w:eastAsia="zh-CN"/>
        </w:rPr>
        <w:t>22</w:t>
      </w:r>
      <w:r>
        <w:rPr>
          <w:rFonts w:ascii="仿宋" w:hAnsi="仿宋" w:eastAsia="仿宋" w:cs="仿宋"/>
          <w:b/>
          <w:bCs/>
          <w:color w:val="auto"/>
          <w:highlight w:val="none"/>
          <w:lang w:eastAsia="zh-CN"/>
        </w:rPr>
        <w:t>.6</w:t>
      </w:r>
    </w:p>
    <w:p w14:paraId="0F3A9600">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发包人供应工程材料和工程设备的，发包人应按照第55条约定向承包人提供工程材料和工程设备。</w:t>
      </w:r>
    </w:p>
    <w:p w14:paraId="7D1B95BC">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22</w:t>
      </w:r>
      <w:r>
        <w:rPr>
          <w:rFonts w:ascii="仿宋" w:hAnsi="仿宋" w:eastAsia="仿宋" w:cs="仿宋"/>
          <w:b/>
          <w:bCs/>
          <w:color w:val="auto"/>
          <w:highlight w:val="none"/>
          <w:lang w:eastAsia="zh-CN"/>
        </w:rPr>
        <w:t>.7</w:t>
      </w:r>
    </w:p>
    <w:p w14:paraId="54ADC9FF">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14560" behindDoc="0" locked="0" layoutInCell="1" allowOverlap="1">
                <wp:simplePos x="0" y="0"/>
                <wp:positionH relativeFrom="column">
                  <wp:posOffset>-114300</wp:posOffset>
                </wp:positionH>
                <wp:positionV relativeFrom="paragraph">
                  <wp:posOffset>0</wp:posOffset>
                </wp:positionV>
                <wp:extent cx="842645" cy="425450"/>
                <wp:effectExtent l="0" t="0" r="0" b="0"/>
                <wp:wrapNone/>
                <wp:docPr id="528" name="文本框 748"/>
                <wp:cNvGraphicFramePr/>
                <a:graphic xmlns:a="http://schemas.openxmlformats.org/drawingml/2006/main">
                  <a:graphicData uri="http://schemas.microsoft.com/office/word/2010/wordprocessingShape">
                    <wps:wsp>
                      <wps:cNvSpPr txBox="1">
                        <a:spLocks noChangeArrowheads="1"/>
                      </wps:cNvSpPr>
                      <wps:spPr bwMode="auto">
                        <a:xfrm>
                          <a:off x="0" y="0"/>
                          <a:ext cx="842645" cy="425450"/>
                        </a:xfrm>
                        <a:prstGeom prst="rect">
                          <a:avLst/>
                        </a:prstGeom>
                        <a:noFill/>
                        <a:ln>
                          <a:noFill/>
                        </a:ln>
                        <a:effectLst/>
                      </wps:spPr>
                      <wps:txbx>
                        <w:txbxContent>
                          <w:p w14:paraId="0D82EA90">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发包人未尽义务的责任</w:t>
                            </w:r>
                          </w:p>
                        </w:txbxContent>
                      </wps:txbx>
                      <wps:bodyPr rot="0" vert="horz" wrap="square" lIns="91440" tIns="45720" rIns="91440" bIns="45720" anchor="t" anchorCtr="0" upright="1">
                        <a:noAutofit/>
                      </wps:bodyPr>
                    </wps:wsp>
                  </a:graphicData>
                </a:graphic>
              </wp:anchor>
            </w:drawing>
          </mc:Choice>
          <mc:Fallback>
            <w:pict>
              <v:shape id="文本框 748" o:spid="_x0000_s1026" o:spt="202" type="#_x0000_t202" style="position:absolute;left:0pt;margin-left:-9pt;margin-top:0pt;height:33.5pt;width:66.35pt;z-index:251714560;mso-width-relative:page;mso-height-relative:page;" filled="f" stroked="f" coordsize="21600,21600" o:gfxdata="UEsDBAoAAAAAAIdO4kAAAAAAAAAAAAAAAAAEAAAAZHJzL1BLAwQUAAAACACHTuJA/5972dUAAAAH&#10;AQAADwAAAGRycy9kb3ducmV2LnhtbE2PS0/DMBCE70j8B2uRuLXroNJHyKYHEFcQ5SH15sbbJCJe&#10;R7HbhH+Pe4LLSqMZzXxbbCfXqTMPofVCkM01KJbK21Zqgo/359kaVIhGrOm8MMEPB9iW11eFya0f&#10;5Y3Pu1irVCIhNwRNjH2OGKqGnQlz37Mk7+gHZ2KSQ412MGMqdx3eab1EZ1pJC43p+bHh6nt3cgSf&#10;L8f910K/1k/uvh/9pFHcBolubzL9ACryFP/CcMFP6FAmpoM/iQ2qI5hl6/RLJEj3YmeLFagDwXKl&#10;AcsC//OXv1BLAwQUAAAACACHTuJA4rW0mB8CAAAmBAAADgAAAGRycy9lMm9Eb2MueG1srVNLbtsw&#10;EN0X6B0I7mvZgpykguUgjZGiQPoB0h6ApiiLqMRhh7Ql9wDtDbLqpvuey+fokFJcN91k0Q1BcoZv&#10;5r15XFz2bcN2Cp0GU/DZZMqZMhJKbTYF//Tx5sUFZ84LU4oGjCr4Xjl+uXz+bNHZXKVQQ1MqZARi&#10;XN7Zgtfe2zxJnKxVK9wErDIUrABb4emIm6RE0RF62yTpdHqWdIClRZDKObpdDUE+IuJTAKGqtFQr&#10;kNtWGT+gomqEJ0qu1tbxZey2qpT076vKKc+aghNTH1cqQvt1WJPlQuQbFLbWcmxBPKWFR5xaoQ0V&#10;PUKthBdsi/ofqFZLBAeVn0hok4FIVIRYzKaPtLmrhVWRC0nt7FF09/9g5bvdB2S6LPg8pcEb0dLI&#10;D/ffDz9+HX5+Y+fZRZCosy6nzDtLub5/BT0ZJ9J19hbkZ8cMXNfCbNQVInS1EiW1OAsvk5OnA44L&#10;IOvuLZRUSWw9RKC+wjboR4owQqfx7I/jUb1nki4vsvQsm3MmKZSl82wex5eI/OGxRedfK2hZ2BQc&#10;afoRXOxunQ/NiPwhJdQycKObJjqgMX9dUOJwo6KFxteBSuh+4OH7dT9Ks4ZyT6QQBnvR56JNDfiV&#10;s46sVXD3ZStQcda8MSTMy1mWBS/GQzY/T+mAp5H1aUQYSVAF95wN22s/+HdrUW9qqjSMwsAViVnp&#10;SDS0OnQ1joDsE/mPVg/+PD3HrD/fe/k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5972dUAAAAH&#10;AQAADwAAAAAAAAABACAAAAAiAAAAZHJzL2Rvd25yZXYueG1sUEsBAhQAFAAAAAgAh07iQOK1tJgf&#10;AgAAJgQAAA4AAAAAAAAAAQAgAAAAJAEAAGRycy9lMm9Eb2MueG1sUEsFBgAAAAAGAAYAWQEAALUF&#10;AAAAAA==&#10;">
                <v:fill on="f" focussize="0,0"/>
                <v:stroke on="f"/>
                <v:imagedata o:title=""/>
                <o:lock v:ext="edit" aspectratio="f"/>
                <v:textbox>
                  <w:txbxContent>
                    <w:p w14:paraId="0D82EA90">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发包人未尽义务的责任</w:t>
                      </w:r>
                    </w:p>
                  </w:txbxContent>
                </v:textbox>
              </v:shape>
            </w:pict>
          </mc:Fallback>
        </mc:AlternateContent>
      </w:r>
      <w:r>
        <w:rPr>
          <w:rFonts w:hint="eastAsia" w:ascii="仿宋" w:hAnsi="仿宋" w:eastAsia="仿宋" w:cs="仿宋"/>
          <w:color w:val="auto"/>
          <w:highlight w:val="none"/>
          <w:lang w:eastAsia="zh-CN"/>
        </w:rPr>
        <w:t>发包人未能正确完成本合同约定的全部义务，导致费用的增加和（或）延误的工期，由发包人承担；给承包人造成损失的，发包人应予赔偿。</w:t>
      </w:r>
    </w:p>
    <w:p w14:paraId="510FC910">
      <w:pPr>
        <w:spacing w:line="360" w:lineRule="auto"/>
        <w:rPr>
          <w:rFonts w:hint="eastAsia" w:ascii="仿宋" w:hAnsi="仿宋" w:eastAsia="仿宋" w:cs="仿宋"/>
          <w:b/>
          <w:bCs/>
          <w:color w:val="auto"/>
          <w:highlight w:val="none"/>
          <w:u w:val="single"/>
          <w:lang w:eastAsia="zh-CN"/>
        </w:rPr>
      </w:pPr>
    </w:p>
    <w:p w14:paraId="03F4FF8A">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17" w:name="_Toc13580"/>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3承包人</w:t>
      </w:r>
      <w:bookmarkEnd w:id="317"/>
    </w:p>
    <w:p w14:paraId="32694934">
      <w:pPr>
        <w:tabs>
          <w:tab w:val="left" w:pos="1620"/>
        </w:tabs>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3</w:t>
      </w:r>
      <w:r>
        <w:rPr>
          <w:rFonts w:ascii="仿宋" w:hAnsi="仿宋" w:eastAsia="仿宋" w:cs="仿宋"/>
          <w:b/>
          <w:bCs/>
          <w:color w:val="auto"/>
          <w:highlight w:val="none"/>
          <w:lang w:eastAsia="zh-CN"/>
        </w:rPr>
        <w:t>.1</w:t>
      </w:r>
    </w:p>
    <w:p w14:paraId="40E966A0">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15584" behindDoc="0" locked="0" layoutInCell="1" allowOverlap="1">
                <wp:simplePos x="0" y="0"/>
                <wp:positionH relativeFrom="column">
                  <wp:posOffset>-114300</wp:posOffset>
                </wp:positionH>
                <wp:positionV relativeFrom="paragraph">
                  <wp:posOffset>4445</wp:posOffset>
                </wp:positionV>
                <wp:extent cx="718820" cy="356235"/>
                <wp:effectExtent l="0" t="0" r="0" b="0"/>
                <wp:wrapNone/>
                <wp:docPr id="529" name="文本框 749"/>
                <wp:cNvGraphicFramePr/>
                <a:graphic xmlns:a="http://schemas.openxmlformats.org/drawingml/2006/main">
                  <a:graphicData uri="http://schemas.microsoft.com/office/word/2010/wordprocessingShape">
                    <wps:wsp>
                      <wps:cNvSpPr txBox="1">
                        <a:spLocks noChangeArrowheads="1"/>
                      </wps:cNvSpPr>
                      <wps:spPr bwMode="auto">
                        <a:xfrm>
                          <a:off x="0" y="0"/>
                          <a:ext cx="718820" cy="356235"/>
                        </a:xfrm>
                        <a:prstGeom prst="rect">
                          <a:avLst/>
                        </a:prstGeom>
                        <a:noFill/>
                        <a:ln>
                          <a:noFill/>
                        </a:ln>
                        <a:effectLst/>
                      </wps:spPr>
                      <wps:txbx>
                        <w:txbxContent>
                          <w:p w14:paraId="4ED1CE4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遵守法律</w:t>
                            </w:r>
                          </w:p>
                        </w:txbxContent>
                      </wps:txbx>
                      <wps:bodyPr rot="0" vert="horz" wrap="square" lIns="91440" tIns="45720" rIns="91440" bIns="45720" anchor="t" anchorCtr="0" upright="1">
                        <a:noAutofit/>
                      </wps:bodyPr>
                    </wps:wsp>
                  </a:graphicData>
                </a:graphic>
              </wp:anchor>
            </w:drawing>
          </mc:Choice>
          <mc:Fallback>
            <w:pict>
              <v:shape id="文本框 749" o:spid="_x0000_s1026" o:spt="202" type="#_x0000_t202" style="position:absolute;left:0pt;margin-left:-9pt;margin-top:0.35pt;height:28.05pt;width:56.6pt;z-index:251715584;mso-width-relative:page;mso-height-relative:page;" filled="f" stroked="f" coordsize="21600,21600" o:gfxdata="UEsDBAoAAAAAAIdO4kAAAAAAAAAAAAAAAAAEAAAAZHJzL1BLAwQUAAAACACHTuJAzbh4PNUAAAAG&#10;AQAADwAAAGRycy9kb3ducmV2LnhtbE2PzW7CMBCE75X6DtZW4gZ2EKEhzYZDK66g0h+pNxMvSdR4&#10;HcWGhLeve2qPoxnNfFNsJ9uJKw2+dYyQLBQI4sqZlmuE97fdPAPhg2ajO8eEcCMP2/L+rtC5cSO/&#10;0vUYahFL2OcaoQmhz6X0VUNW+4XriaN3doPVIcqhlmbQYyy3nVwqtZZWtxwXGt3Tc0PV9/FiET72&#10;56/PlTrULzbtRzcpyXYjEWcPiXoCEWgKf2H4xY/oUEamk7uw8aJDmCdZ/BIQHkFEe5MuQZwQ0nUG&#10;sizkf/zyB1BLAwQUAAAACACHTuJAKaKAkh8CAAAmBAAADgAAAGRycy9lMm9Eb2MueG1srVPNjtMw&#10;EL4j8Q6W7zRtt922UdPVstUipOVHWngA13Eai8Rjxm6T8gDwBpy4cOe5+hyMnWwpy2UPXCzbM/5m&#10;vm8+L6/aumJ7hU6DyfhoMORMGQm5NtuMf/xw+2LOmfPC5KICozJ+UI5frZ4/WzY2VWMoocoVMgIx&#10;Lm1sxkvvbZokTpaqFm4AVhkKFoC18HTEbZKjaAi9rpLxcHiZNIC5RZDKObpdd0HeI+JTAKEotFRr&#10;kLtaGd+hoqqEJ0qu1NbxVey2KJT074rCKc+qjBNTH1cqQvtNWJPVUqRbFLbUsm9BPKWFR5xqoQ0V&#10;PUGthRdsh/ofqFpLBAeFH0iok45IVIRYjIaPtLkvhVWRC0nt7El09/9g5dv9e2Q6z/h0vODMiJpG&#10;fvz+7fjj1/HnVzabLIJEjXUpZd5byvXtS2jJOJGus3cgPzlm4KYUZquuEaEplcipxVF4mZw97XBc&#10;ANk0byCnSmLnIQK1BdZBP1KEETqN53Aaj2o9k3Q5G83nY4pICl1ML8cX01hBpA+PLTr/SkHNwibj&#10;SNOP4GJ/53xoRqQPKaGWgVtdVdEBlfnrghK7GxUt1L8OVEL3HQ/fbtpemg3kByKF0NmLPhdtSsAv&#10;nDVkrYy7zzuBirPqtSFhFqPJJHgxHibTWeCE55HNeUQYSVAZ95x12xvf+XdnUW9LqtSNwsA1iVno&#10;SDS02nXVj4DsE/n3Vg/+PD/HrD/fe/U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zbh4PNUAAAAG&#10;AQAADwAAAAAAAAABACAAAAAiAAAAZHJzL2Rvd25yZXYueG1sUEsBAhQAFAAAAAgAh07iQCmigJIf&#10;AgAAJgQAAA4AAAAAAAAAAQAgAAAAJAEAAGRycy9lMm9Eb2MueG1sUEsFBgAAAAAGAAYAWQEAALUF&#10;AAAAAA==&#10;">
                <v:fill on="f" focussize="0,0"/>
                <v:stroke on="f"/>
                <v:imagedata o:title=""/>
                <o:lock v:ext="edit" aspectratio="f"/>
                <v:textbox>
                  <w:txbxContent>
                    <w:p w14:paraId="4ED1CE4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遵守法律</w:t>
                      </w:r>
                    </w:p>
                  </w:txbxContent>
                </v:textbox>
              </v:shape>
            </w:pict>
          </mc:Fallback>
        </mc:AlternateContent>
      </w:r>
      <w:r>
        <w:rPr>
          <w:rFonts w:hint="eastAsia" w:ascii="仿宋" w:hAnsi="仿宋" w:eastAsia="仿宋" w:cs="仿宋"/>
          <w:color w:val="auto"/>
          <w:highlight w:val="none"/>
          <w:lang w:eastAsia="zh-CN"/>
        </w:rPr>
        <w:t>承包人在履行合同期间应遵守法律，并保证发包人免于承担因承包人违反法律而引起的任何责任。遵守国家、省、市有关社会信用体系建设工作的法律、行政法规、部门规章，严格执行信用承诺制度，违背信用承诺约定时，承担违约责任，并依法承担相应法律责任。</w:t>
      </w:r>
    </w:p>
    <w:p w14:paraId="29408FA4">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承包人在本项目中存在下列行为的，将被拒绝参与发包人后续工程投标。拒绝投标时限由发包人（招标人）视严重程度确定，并在专用条款中约定。</w:t>
      </w:r>
    </w:p>
    <w:p w14:paraId="39064F97">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（1）将中标工程转包或者违法分包的；</w:t>
      </w:r>
    </w:p>
    <w:p w14:paraId="3B481DFA">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（2）在中标工程中不执行质量、安全生产相关规定的，造成质量或安全事故的；</w:t>
      </w:r>
    </w:p>
    <w:p w14:paraId="0CB68B33">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（3）存在围标或串标情形的；</w:t>
      </w:r>
    </w:p>
    <w:p w14:paraId="59AD9E0D">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（4）存在弄虚作假骗取中标情形的；</w:t>
      </w:r>
    </w:p>
    <w:p w14:paraId="292D145F">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（5）存在因过错行为被生效法律文书认定承担违约或侵权责任的。</w:t>
      </w:r>
    </w:p>
    <w:p w14:paraId="33ADF0F1">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3</w:t>
      </w:r>
      <w:r>
        <w:rPr>
          <w:rFonts w:ascii="仿宋" w:hAnsi="仿宋" w:eastAsia="仿宋" w:cs="仿宋"/>
          <w:b/>
          <w:bCs/>
          <w:color w:val="auto"/>
          <w:highlight w:val="none"/>
          <w:lang w:eastAsia="zh-CN"/>
        </w:rPr>
        <w:t>.2</w:t>
      </w:r>
    </w:p>
    <w:p w14:paraId="36F5F1D0">
      <w:pPr>
        <w:widowControl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716608" behindDoc="0" locked="0" layoutInCell="1" allowOverlap="1">
                <wp:simplePos x="0" y="0"/>
                <wp:positionH relativeFrom="column">
                  <wp:posOffset>-114300</wp:posOffset>
                </wp:positionH>
                <wp:positionV relativeFrom="paragraph">
                  <wp:posOffset>0</wp:posOffset>
                </wp:positionV>
                <wp:extent cx="795020" cy="424815"/>
                <wp:effectExtent l="0" t="0" r="0" b="0"/>
                <wp:wrapNone/>
                <wp:docPr id="530" name="文本框 750"/>
                <wp:cNvGraphicFramePr/>
                <a:graphic xmlns:a="http://schemas.openxmlformats.org/drawingml/2006/main">
                  <a:graphicData uri="http://schemas.microsoft.com/office/word/2010/wordprocessingShape">
                    <wps:wsp>
                      <wps:cNvSpPr txBox="1">
                        <a:spLocks noChangeArrowheads="1"/>
                      </wps:cNvSpPr>
                      <wps:spPr bwMode="auto">
                        <a:xfrm>
                          <a:off x="0" y="0"/>
                          <a:ext cx="795020" cy="424815"/>
                        </a:xfrm>
                        <a:prstGeom prst="rect">
                          <a:avLst/>
                        </a:prstGeom>
                        <a:noFill/>
                        <a:ln>
                          <a:noFill/>
                        </a:ln>
                        <a:effectLst/>
                      </wps:spPr>
                      <wps:txbx>
                        <w:txbxContent>
                          <w:p w14:paraId="68123797">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承包人工作</w:t>
                            </w:r>
                          </w:p>
                        </w:txbxContent>
                      </wps:txbx>
                      <wps:bodyPr rot="0" vert="horz" wrap="square" lIns="91440" tIns="45720" rIns="91440" bIns="45720" anchor="t" anchorCtr="0" upright="1">
                        <a:noAutofit/>
                      </wps:bodyPr>
                    </wps:wsp>
                  </a:graphicData>
                </a:graphic>
              </wp:anchor>
            </w:drawing>
          </mc:Choice>
          <mc:Fallback>
            <w:pict>
              <v:shape id="文本框 750" o:spid="_x0000_s1026" o:spt="202" type="#_x0000_t202" style="position:absolute;left:0pt;margin-left:-9pt;margin-top:0pt;height:33.45pt;width:62.6pt;z-index:251716608;mso-width-relative:page;mso-height-relative:page;" filled="f" stroked="f" coordsize="21600,21600" o:gfxdata="UEsDBAoAAAAAAIdO4kAAAAAAAAAAAAAAAAAEAAAAZHJzL1BLAwQUAAAACACHTuJAY5dLDNUAAAAH&#10;AQAADwAAAGRycy9kb3ducmV2LnhtbE2PzU7DMBCE70i8g7VI3Fo7FYQ2ZNMDiCuI8iNxc+NtEhGv&#10;o9htwtuzPcFlpdGMZr4tt7Pv1YnG2AVGyJYGFHEdXMcNwvvb02INKibLzvaBCeGHImyry4vSFi5M&#10;/EqnXWqUlHAsLEKb0lBoHeuWvI3LMBCLdwijt0nk2Gg32knKfa9XxuTa245lobUDPbRUf++OHuHj&#10;+fD1eWNemkd/O0xhNpr9RiNeX2XmHlSiOf2F4Ywv6FAJ0z4c2UXVIyyytfySEOSebXO3ArVHyPMN&#10;6KrU//mrX1BLAwQUAAAACACHTuJAYiNw9R4CAAAmBAAADgAAAGRycy9lMm9Eb2MueG1srVNLbtsw&#10;EN0X6B0I7mvZrt0kguUgjZGiQPoB0h6ApiiLqMhhh7Ql9wDNDbrqpvuey+fokLIdN91k0Y1Azgzf&#10;zHvzNLvsTMM2Cr0GW/DRYMiZshJKbVcF//zp5sU5Zz4IW4oGrCr4Vnl+OX/+bNa6XI2hhqZUyAjE&#10;+rx1Ba9DcHmWeVkrI/wAnLKUrACNCHTFVVaiaAndNNl4OHyVtYClQ5DKe4ou+iTfI+JTAKGqtFQL&#10;kGujbOhRUTUiECVfa+f5PE1bVUqGD1XlVWBNwYlpSF9qQudl/GbzmchXKFyt5X4E8ZQRHnEyQltq&#10;eoRaiCDYGvU/UEZLBA9VGEgwWU8kKUIsRsNH2tzVwqnEhaT27ii6/3+w8v3mIzJdFnz6kjSxwtDK&#10;dz/udz9/7359Z2fTJFHrfE6Vd45qQ/caOjJOouvdLcgvnlm4roVdqStEaGslShpxFMXNTp7Gpfjc&#10;R5Bl+w5K6iTWARJQV6GJ+pEijNBplO1xPaoLTFLw7GI6HFNGUmoynpyPpqmDyA+PHfrwRoFh8VBw&#10;pO0ncLG59SEOI/JDSexl4UY3TXJAY/8KUGEfUclC+9eH6XseoVt29DYGl1BuiRRCby/6uehQA37j&#10;rCVrFdx/XQtUnDVvLQlzMZpMiEZIl8n0LHLC08zyNCOsJKiCB87643Xo/bt2qFc1depXYeGKxKx0&#10;Ivow1X4FZJ/Ef2/16M/Te6p6+L3n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jl0sM1QAAAAcB&#10;AAAPAAAAAAAAAAEAIAAAACIAAABkcnMvZG93bnJldi54bWxQSwECFAAUAAAACACHTuJAYiNw9R4C&#10;AAAmBAAADgAAAAAAAAABACAAAAAkAQAAZHJzL2Uyb0RvYy54bWxQSwUGAAAAAAYABgBZAQAAtAUA&#10;AAAA&#10;">
                <v:fill on="f" focussize="0,0"/>
                <v:stroke on="f"/>
                <v:imagedata o:title=""/>
                <o:lock v:ext="edit" aspectratio="f"/>
                <v:textbox>
                  <w:txbxContent>
                    <w:p w14:paraId="68123797">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承包人工作</w:t>
                      </w:r>
                    </w:p>
                  </w:txbxContent>
                </v:textbox>
              </v:shape>
            </w:pict>
          </mc:Fallback>
        </mc:AlternateContent>
      </w:r>
      <w:r>
        <w:rPr>
          <w:rFonts w:hint="eastAsia" w:ascii="仿宋" w:hAnsi="仿宋" w:eastAsia="仿宋" w:cs="仿宋"/>
          <w:color w:val="auto"/>
          <w:highlight w:val="none"/>
          <w:lang w:eastAsia="zh-CN"/>
        </w:rPr>
        <w:t>承包人应按照合同约定完成下列工作，包括但不限于：</w:t>
      </w:r>
    </w:p>
    <w:p w14:paraId="329ACE68">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办理法律规定由承包人办理的许可和批准，将办理结果书面报送发包人留存，并承担因承包人违反法律或合同约定给发包人造成的任何费用和损失；</w:t>
      </w:r>
    </w:p>
    <w:p w14:paraId="09F0513A">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对</w:t>
      </w:r>
      <w:r>
        <w:rPr>
          <w:rFonts w:ascii="仿宋" w:hAnsi="仿宋" w:eastAsia="仿宋"/>
          <w:color w:val="auto"/>
          <w:highlight w:val="none"/>
          <w:lang w:eastAsia="zh-CN"/>
        </w:rPr>
        <w:t>发包人提供的</w:t>
      </w:r>
      <w:r>
        <w:rPr>
          <w:rFonts w:hint="eastAsia" w:ascii="仿宋" w:hAnsi="仿宋" w:eastAsia="仿宋"/>
          <w:color w:val="auto"/>
          <w:highlight w:val="none"/>
          <w:lang w:eastAsia="zh-CN"/>
        </w:rPr>
        <w:t>《发包人要求》和项目基础</w:t>
      </w:r>
      <w:r>
        <w:rPr>
          <w:rFonts w:ascii="仿宋" w:hAnsi="仿宋" w:eastAsia="仿宋"/>
          <w:color w:val="auto"/>
          <w:highlight w:val="none"/>
          <w:lang w:eastAsia="zh-CN"/>
        </w:rPr>
        <w:t>资料进行核实确认，并按照相关法律法规开展后续工作</w:t>
      </w:r>
      <w:r>
        <w:rPr>
          <w:rFonts w:hint="eastAsia" w:ascii="仿宋" w:hAnsi="仿宋" w:eastAsia="仿宋"/>
          <w:color w:val="auto"/>
          <w:highlight w:val="none"/>
          <w:lang w:eastAsia="zh-CN"/>
        </w:rPr>
        <w:t>；</w:t>
      </w:r>
    </w:p>
    <w:p w14:paraId="50F04402">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按合同约定的时间完成勘察、设计等阶段的工作，及时提交发包人审查，完善设计成果；</w:t>
      </w:r>
    </w:p>
    <w:p w14:paraId="02107675">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提供建筑信息模型（BIM）及相关技术应用，并协助发包人及相关方正确使用；</w:t>
      </w:r>
    </w:p>
    <w:p w14:paraId="10414607">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按照审查批准的设计文件、合同约定和监理人的指令实施、完成并保修合同工程；</w:t>
      </w:r>
    </w:p>
    <w:p w14:paraId="21FC0B10">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按照合同约定和设计顾问人、监理人的要求提交勘察、设计、施工等进度报告和进度计划；</w:t>
      </w:r>
    </w:p>
    <w:p w14:paraId="0465A574">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按照合同约定和造价</w:t>
      </w:r>
      <w:r>
        <w:rPr>
          <w:rFonts w:hint="eastAsia" w:ascii="仿宋" w:hAnsi="仿宋" w:eastAsia="仿宋"/>
          <w:color w:val="auto"/>
          <w:highlight w:val="none"/>
          <w:lang w:eastAsia="zh-CN"/>
        </w:rPr>
        <w:t>咨询</w:t>
      </w:r>
      <w:r>
        <w:rPr>
          <w:rFonts w:hint="eastAsia" w:ascii="仿宋" w:hAnsi="仿宋" w:eastAsia="仿宋" w:cs="仿宋"/>
          <w:color w:val="auto"/>
          <w:highlight w:val="none"/>
          <w:lang w:eastAsia="zh-CN"/>
        </w:rPr>
        <w:t>人的要求提交支付申请和服务费、工程款报告，包括绿色施工安全防护费、进度款、结算款和调整合同价格等；</w:t>
      </w:r>
    </w:p>
    <w:p w14:paraId="45BE33D2">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负责施工场地安全</w:t>
      </w:r>
      <w:r>
        <w:rPr>
          <w:rFonts w:hint="eastAsia" w:ascii="仿宋" w:hAnsi="仿宋" w:eastAsia="仿宋"/>
          <w:color w:val="auto"/>
          <w:highlight w:val="none"/>
          <w:lang w:eastAsia="zh-CN"/>
        </w:rPr>
        <w:t>保卫</w:t>
      </w:r>
      <w:r>
        <w:rPr>
          <w:rFonts w:hint="eastAsia" w:ascii="仿宋" w:hAnsi="仿宋" w:eastAsia="仿宋" w:cs="仿宋"/>
          <w:color w:val="auto"/>
          <w:highlight w:val="none"/>
          <w:lang w:eastAsia="zh-CN"/>
        </w:rPr>
        <w:t>工作，防止因工程施工造成的人身伤害和财产损失，提供和维修施工使用的照明、围栏设施等安全标志；</w:t>
      </w:r>
    </w:p>
    <w:p w14:paraId="3E674998">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按照专用条款约定的数量和要求，向发包人提供施工场地办公和生活的房屋及设施，并在施工现场保留本合同、约定的标准与规范、变更资料等各一份，供监理人、造价咨询人需要时使用；</w:t>
      </w:r>
    </w:p>
    <w:p w14:paraId="1EB00B26">
      <w:pPr>
        <w:widowControl w:val="0"/>
        <w:numPr>
          <w:ilvl w:val="0"/>
          <w:numId w:val="8"/>
        </w:numPr>
        <w:tabs>
          <w:tab w:val="left" w:pos="1980"/>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遵守政府部门有关</w:t>
      </w:r>
      <w:r>
        <w:rPr>
          <w:rFonts w:hint="eastAsia" w:ascii="仿宋" w:hAnsi="仿宋" w:eastAsia="仿宋"/>
          <w:color w:val="auto"/>
          <w:highlight w:val="none"/>
          <w:lang w:eastAsia="zh-CN"/>
        </w:rPr>
        <w:t>施工</w:t>
      </w:r>
      <w:r>
        <w:rPr>
          <w:rFonts w:hint="eastAsia" w:ascii="仿宋" w:hAnsi="仿宋" w:eastAsia="仿宋" w:cs="仿宋"/>
          <w:color w:val="auto"/>
          <w:highlight w:val="none"/>
          <w:lang w:eastAsia="zh-CN"/>
        </w:rPr>
        <w:t>场地交通、环境保护、施工噪声、绿色施工安全防护等的管理规定，办理有关手续，并以书面形式通知发包人，费用按政府有关部门相关文件规定由发（承）包人各自承担；</w:t>
      </w:r>
    </w:p>
    <w:p w14:paraId="57D5623E">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在合同工程或其某</w:t>
      </w:r>
      <w:r>
        <w:rPr>
          <w:rFonts w:hint="eastAsia" w:ascii="仿宋" w:hAnsi="仿宋" w:eastAsia="仿宋"/>
          <w:color w:val="auto"/>
          <w:highlight w:val="none"/>
          <w:lang w:eastAsia="zh-CN"/>
        </w:rPr>
        <w:t>单项工程</w:t>
      </w:r>
      <w:r>
        <w:rPr>
          <w:rFonts w:hint="eastAsia" w:ascii="仿宋" w:hAnsi="仿宋" w:eastAsia="仿宋" w:cs="仿宋"/>
          <w:color w:val="auto"/>
          <w:highlight w:val="none"/>
          <w:lang w:eastAsia="zh-CN"/>
        </w:rPr>
        <w:t>已竣工未移交给发包人之前，负责已完工程的照管工作。工程接收证书颁发时尚有部分未竣工工程的，还应负责该未竣工工程的照管工作，直至竣工后移交给发包人为止。照管期间发生损坏的，应予以修复并承担费用；发包人要求采取特殊保护措施的，由发包人承担相应费用；做好施工场地地下管线和邻近建筑物、构筑物（包括文物保护建筑）、古树名木的保护工作；</w:t>
      </w:r>
    </w:p>
    <w:p w14:paraId="2CA445A6">
      <w:pPr>
        <w:widowControl w:val="0"/>
        <w:numPr>
          <w:ilvl w:val="0"/>
          <w:numId w:val="8"/>
        </w:numPr>
        <w:tabs>
          <w:tab w:val="left" w:pos="1980"/>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遵守政府部门有关</w:t>
      </w:r>
      <w:r>
        <w:rPr>
          <w:rFonts w:hint="eastAsia" w:ascii="仿宋" w:hAnsi="仿宋" w:eastAsia="仿宋"/>
          <w:color w:val="auto"/>
          <w:highlight w:val="none"/>
          <w:lang w:eastAsia="zh-CN"/>
        </w:rPr>
        <w:t>环境卫生</w:t>
      </w:r>
      <w:r>
        <w:rPr>
          <w:rFonts w:hint="eastAsia" w:ascii="仿宋" w:hAnsi="仿宋" w:eastAsia="仿宋" w:cs="仿宋"/>
          <w:color w:val="auto"/>
          <w:highlight w:val="none"/>
          <w:lang w:eastAsia="zh-CN"/>
        </w:rPr>
        <w:t>的管理规定，保证施工场地的清洁和做好工程移交前施工现场的清理工作，并承担因自身责任造成的损失和罚款；</w:t>
      </w:r>
    </w:p>
    <w:p w14:paraId="6E2654CC">
      <w:pPr>
        <w:widowControl w:val="0"/>
        <w:numPr>
          <w:ilvl w:val="0"/>
          <w:numId w:val="8"/>
        </w:numPr>
        <w:tabs>
          <w:tab w:val="left" w:pos="1980"/>
        </w:tabs>
        <w:spacing w:line="360" w:lineRule="auto"/>
        <w:ind w:left="1850" w:leftChars="771"/>
        <w:jc w:val="both"/>
        <w:rPr>
          <w:color w:val="auto"/>
          <w:highlight w:val="none"/>
          <w:lang w:eastAsia="zh-CN"/>
        </w:rPr>
      </w:pPr>
      <w:r>
        <w:rPr>
          <w:rFonts w:hint="eastAsia" w:ascii="仿宋" w:hAnsi="仿宋" w:eastAsia="仿宋" w:cs="仿宋"/>
          <w:color w:val="auto"/>
          <w:highlight w:val="none"/>
          <w:lang w:eastAsia="zh-CN"/>
        </w:rPr>
        <w:t>工程完工后，应按照合同约定提交竣工验收申请报告和竣工结算文件；</w:t>
      </w:r>
    </w:p>
    <w:p w14:paraId="1F6333DD">
      <w:pPr>
        <w:widowControl w:val="0"/>
        <w:numPr>
          <w:ilvl w:val="0"/>
          <w:numId w:val="8"/>
        </w:numPr>
        <w:tabs>
          <w:tab w:val="left" w:pos="198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将发包人按合同支付的各项价款专用于合同工程且应及时支付其雇佣人</w:t>
      </w:r>
    </w:p>
    <w:p w14:paraId="387586E3">
      <w:pPr>
        <w:widowControl w:val="0"/>
        <w:tabs>
          <w:tab w:val="left" w:pos="198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员（包括建筑工人）工资，并及时向分包人支付合同价款。</w:t>
      </w:r>
    </w:p>
    <w:p w14:paraId="173DEA4F">
      <w:pPr>
        <w:widowControl w:val="0"/>
        <w:tabs>
          <w:tab w:val="left" w:pos="1440"/>
          <w:tab w:val="left" w:pos="1980"/>
        </w:tabs>
        <w:spacing w:line="360" w:lineRule="auto"/>
        <w:ind w:left="1850" w:leftChars="771"/>
        <w:jc w:val="both"/>
        <w:rPr>
          <w:rFonts w:hint="eastAsia" w:ascii="仿宋" w:hAnsi="仿宋" w:eastAsia="仿宋"/>
          <w:color w:val="auto"/>
          <w:highlight w:val="none"/>
          <w:lang w:eastAsia="zh-CN"/>
        </w:rPr>
      </w:pPr>
    </w:p>
    <w:p w14:paraId="448A648E">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3</w:t>
      </w:r>
      <w:r>
        <w:rPr>
          <w:rFonts w:ascii="仿宋" w:hAnsi="仿宋" w:eastAsia="仿宋" w:cs="仿宋"/>
          <w:b/>
          <w:bCs/>
          <w:color w:val="auto"/>
          <w:highlight w:val="none"/>
          <w:lang w:eastAsia="zh-CN"/>
        </w:rPr>
        <w:t>.3</w:t>
      </w:r>
    </w:p>
    <w:p w14:paraId="73068C60">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17632" behindDoc="0" locked="0" layoutInCell="1" allowOverlap="1">
                <wp:simplePos x="0" y="0"/>
                <wp:positionH relativeFrom="column">
                  <wp:posOffset>-114300</wp:posOffset>
                </wp:positionH>
                <wp:positionV relativeFrom="paragraph">
                  <wp:posOffset>0</wp:posOffset>
                </wp:positionV>
                <wp:extent cx="756920" cy="563880"/>
                <wp:effectExtent l="0" t="0" r="0" b="0"/>
                <wp:wrapNone/>
                <wp:docPr id="531" name="文本框 751"/>
                <wp:cNvGraphicFramePr/>
                <a:graphic xmlns:a="http://schemas.openxmlformats.org/drawingml/2006/main">
                  <a:graphicData uri="http://schemas.microsoft.com/office/word/2010/wordprocessingShape">
                    <wps:wsp>
                      <wps:cNvSpPr txBox="1">
                        <a:spLocks noChangeArrowheads="1"/>
                      </wps:cNvSpPr>
                      <wps:spPr bwMode="auto">
                        <a:xfrm>
                          <a:off x="0" y="0"/>
                          <a:ext cx="756920" cy="563880"/>
                        </a:xfrm>
                        <a:prstGeom prst="rect">
                          <a:avLst/>
                        </a:prstGeom>
                        <a:noFill/>
                        <a:ln>
                          <a:noFill/>
                        </a:ln>
                        <a:effectLst/>
                      </wps:spPr>
                      <wps:txbx>
                        <w:txbxContent>
                          <w:p w14:paraId="79DEB9B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承包人实施工程</w:t>
                            </w:r>
                          </w:p>
                        </w:txbxContent>
                      </wps:txbx>
                      <wps:bodyPr rot="0" vert="horz" wrap="square" lIns="91440" tIns="45720" rIns="91440" bIns="45720" anchor="t" anchorCtr="0" upright="1">
                        <a:noAutofit/>
                      </wps:bodyPr>
                    </wps:wsp>
                  </a:graphicData>
                </a:graphic>
              </wp:anchor>
            </w:drawing>
          </mc:Choice>
          <mc:Fallback>
            <w:pict>
              <v:shape id="文本框 751" o:spid="_x0000_s1026" o:spt="202" type="#_x0000_t202" style="position:absolute;left:0pt;margin-left:-9pt;margin-top:0pt;height:44.4pt;width:59.6pt;z-index:251717632;mso-width-relative:page;mso-height-relative:page;" filled="f" stroked="f" coordsize="21600,21600" o:gfxdata="UEsDBAoAAAAAAIdO4kAAAAAAAAAAAAAAAAAEAAAAZHJzL1BLAwQUAAAACACHTuJAol4iFNUAAAAH&#10;AQAADwAAAGRycy9kb3ducmV2LnhtbE2PwU7DMBBE70j8g7VI3Fo7FSCTZtNDK64gSluJmxtvk6jx&#10;OordJvw97gkuK41mNPO2WE2uE1caQusZIZsrEMSVty3XCLuvt5kGEaJhazrPhPBDAVbl/V1hcutH&#10;/qTrNtYilXDIDUITY59LGaqGnAlz3xMn7+QHZ2KSQy3tYMZU7jq5UOpFOtNyWmhMT+uGqvP24hD2&#10;76fvw5P6qDfuuR/9pCS7V4n4+JCpJYhIU/wLww0/oUOZmI7+wjaIDmGW6fRLREj3ZqtsAeKIoLUG&#10;WRbyP3/5C1BLAwQUAAAACACHTuJAyWMAVh8CAAAmBAAADgAAAGRycy9lMm9Eb2MueG1srVNLbtsw&#10;EN0X6B0I7mvZjn8RLAdpjBQF0g+Q9gA0RVlEJQ47pC25B2hv0FU33fdcPkeHlOK66SaLbgiSM3wz&#10;783j8qqtK7ZX6DSYjI8GQ86UkZBrs834xw+3LxacOS9MLiowKuMH5fjV6vmzZWNTNYYSqlwhIxDj&#10;0sZmvPTepkniZKlq4QZglaFgAVgLT0fcJjmKhtDrKhkPh7OkAcwtglTO0e26C/IeEZ8CCEWhpVqD&#10;3NXK+A4VVSU8UXKlto6vYrdFoaR/VxROeVZlnJj6uFIR2m/CmqyWIt2isKWWfQviKS084lQLbajo&#10;CWotvGA71P9A1VoiOCj8QEKddESiIsRiNHykzX0prIpcSGpnT6K7/wcr3+7fI9N5xqcXI86MqGnk&#10;x+/fjj9+HX9+ZfPpKEjUWJdS5r2lXN++hJaME+k6ewfyk2MGbkphtuoaEZpSiZxajC+Ts6cdjgsg&#10;m+YN5FRJ7DxEoLbAOuhHijBCp/EcTuNRrWeSLufT2eWYIpJC09nFYhHHl4j04bFF518pqFnYZBxp&#10;+hFc7O+cJxqU+pASahm41VUVHVCZvy4osbtR0UL960AldN/x8O2m7aXZQH4gUgidvehz0aYE/MJZ&#10;Q9bKuPu8E6g4q14bEuZyNJkEL8bDZDoPnPA8sjmPCCMJKuOes2574zv/7izqbUmVulEYuCYxCx2J&#10;hla7roh1OJB9Iv/e6sGf5+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l4iFNUAAAAH&#10;AQAADwAAAAAAAAABACAAAAAiAAAAZHJzL2Rvd25yZXYueG1sUEsBAhQAFAAAAAgAh07iQMljAFYf&#10;AgAAJgQAAA4AAAAAAAAAAQAgAAAAJAEAAGRycy9lMm9Eb2MueG1sUEsFBgAAAAAGAAYAWQEAALUF&#10;AAAAAA==&#10;">
                <v:fill on="f" focussize="0,0"/>
                <v:stroke on="f"/>
                <v:imagedata o:title=""/>
                <o:lock v:ext="edit" aspectratio="f"/>
                <v:textbox>
                  <w:txbxContent>
                    <w:p w14:paraId="79DEB9BD">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承包人实施工程</w:t>
                      </w:r>
                    </w:p>
                  </w:txbxContent>
                </v:textbox>
              </v:shape>
            </w:pict>
          </mc:Fallback>
        </mc:AlternateContent>
      </w:r>
      <w:r>
        <w:rPr>
          <w:rFonts w:hint="eastAsia" w:ascii="仿宋" w:hAnsi="仿宋" w:eastAsia="仿宋" w:cs="仿宋"/>
          <w:color w:val="auto"/>
          <w:highlight w:val="none"/>
          <w:lang w:eastAsia="zh-CN"/>
        </w:rPr>
        <w:t>承包人应按照合同约定和监理人指令实施、完成并保修合同工程。除专用条款另有约定外，承包人应提供为完成合同工程所需的勘察资料、设计文件、建筑信息模型（BIM）、劳务、工程材料、工程设备、施工设备和其他物品。如果承包人不按照合同约定或监理人依据合同发出的指令组织施工，且在监理人书面要求改正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仍未采取补救措施的，则发包人可自行或委托第三方进行补救，由此发生的费用和造成的损失由承包人承担。该笔款项经造价咨询人核实后，由发包人从应支付或将支付给承包人的工程进度款或结算款中扣除。</w:t>
      </w:r>
    </w:p>
    <w:p w14:paraId="03FB5088">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3</w:t>
      </w:r>
      <w:r>
        <w:rPr>
          <w:rFonts w:ascii="仿宋" w:hAnsi="仿宋" w:eastAsia="仿宋" w:cs="仿宋"/>
          <w:b/>
          <w:bCs/>
          <w:color w:val="auto"/>
          <w:highlight w:val="none"/>
          <w:lang w:eastAsia="zh-CN"/>
        </w:rPr>
        <w:t>.4</w:t>
      </w:r>
    </w:p>
    <w:p w14:paraId="2BA7B87B">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18656" behindDoc="0" locked="0" layoutInCell="1" allowOverlap="1">
                <wp:simplePos x="0" y="0"/>
                <wp:positionH relativeFrom="column">
                  <wp:posOffset>-114300</wp:posOffset>
                </wp:positionH>
                <wp:positionV relativeFrom="paragraph">
                  <wp:posOffset>22860</wp:posOffset>
                </wp:positionV>
                <wp:extent cx="823595" cy="708660"/>
                <wp:effectExtent l="0" t="0" r="0" b="0"/>
                <wp:wrapNone/>
                <wp:docPr id="532" name="文本框 752"/>
                <wp:cNvGraphicFramePr/>
                <a:graphic xmlns:a="http://schemas.openxmlformats.org/drawingml/2006/main">
                  <a:graphicData uri="http://schemas.microsoft.com/office/word/2010/wordprocessingShape">
                    <wps:wsp>
                      <wps:cNvSpPr txBox="1">
                        <a:spLocks noChangeArrowheads="1"/>
                      </wps:cNvSpPr>
                      <wps:spPr bwMode="auto">
                        <a:xfrm>
                          <a:off x="0" y="0"/>
                          <a:ext cx="823595" cy="708660"/>
                        </a:xfrm>
                        <a:prstGeom prst="rect">
                          <a:avLst/>
                        </a:prstGeom>
                        <a:noFill/>
                        <a:ln>
                          <a:noFill/>
                        </a:ln>
                        <a:effectLst/>
                      </wps:spPr>
                      <wps:txbx>
                        <w:txbxContent>
                          <w:p w14:paraId="3F797CD7">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承包人实施勘察、设计、施工等工作安排</w:t>
                            </w:r>
                          </w:p>
                        </w:txbxContent>
                      </wps:txbx>
                      <wps:bodyPr rot="0" vert="horz" wrap="square" lIns="91440" tIns="45720" rIns="91440" bIns="45720" anchor="t" anchorCtr="0" upright="1">
                        <a:noAutofit/>
                      </wps:bodyPr>
                    </wps:wsp>
                  </a:graphicData>
                </a:graphic>
              </wp:anchor>
            </w:drawing>
          </mc:Choice>
          <mc:Fallback>
            <w:pict>
              <v:shape id="文本框 752" o:spid="_x0000_s1026" o:spt="202" type="#_x0000_t202" style="position:absolute;left:0pt;margin-left:-9pt;margin-top:1.8pt;height:55.8pt;width:64.85pt;z-index:251718656;mso-width-relative:page;mso-height-relative:page;" filled="f" stroked="f" coordsize="21600,21600" o:gfxdata="UEsDBAoAAAAAAIdO4kAAAAAAAAAAAAAAAAAEAAAAZHJzL1BLAwQUAAAACACHTuJA14DPotYAAAAJ&#10;AQAADwAAAGRycy9kb3ducmV2LnhtbE2PwU7DMBBE70j8g7VI3FrbhZYS4vQA4gqiQKXetvE2iYjX&#10;Uew24e9xTvQ2q1nNvMk3o2vFmfrQeDag5woEceltw5WBr8/X2RpEiMgWW89k4JcCbIrrqxwz6wf+&#10;oPM2ViKFcMjQQB1jl0kZypochrnviJN39L3DmM6+krbHIYW7Vi6UWkmHDaeGGjt6rqn82Z6cge+3&#10;4353r96rF7fsBj8qye5RGnN7o9UTiEhj/H+GCT+hQ5GYDv7ENojWwEyv05Zo4G4FYvK1fgBxmMRy&#10;AbLI5eWC4g9QSwMEFAAAAAgAh07iQI+i9eggAgAAJgQAAA4AAABkcnMvZTJvRG9jLnhtbK1TS27b&#10;MBDdF+gdCO5r2Y5/ESwHaYwUBdIPkPYANEVZRCUOO6QtuQdob9BVN933XD5Hh5Tiuukmi24IkjN8&#10;M+/N4/KqrSu2V+g0mIyPBkPOlJGQa7PN+McPty8WnDkvTC4qMCrjB+X41er5s2VjUzWGEqpcISMQ&#10;49LGZrz03qZJ4mSpauEGYJWhYAFYC09H3CY5iobQ6yoZD4ezpAHMLYJUztHtugvyHhGfAghFoaVa&#10;g9zVyvgOFVUlPFFypbaOr2K3RaGkf1cUTnlWZZyY+rhSEdpvwpqsliLdorClln0L4iktPOJUC22o&#10;6AlqLbxgO9T/QNVaIjgo/EBCnXREoiLEYjR8pM19KayKXEhqZ0+iu/8HK9/u3yPTecanF2POjKhp&#10;5Mfv344/fh1/fmXz6ThI1FiXUua9pVzfvoSWjBPpOnsH8pNjBm5KYbbqGhGaUomcWhyFl8nZ0w7H&#10;BZBN8wZyqiR2HiJQW2Ad9CNFGKHTeA6n8ajWM0mXi/HF9HLKmaTQfLiYzeL4EpE+PLbo/CsFNQub&#10;jCNNP4KL/Z3zoRmRPqSEWgZudVVFB1TmrwtK7G5UtFD/OlAJ3Xc8fLtpe2k2kB+IFEJnL/pctCkB&#10;v3DWkLUy7j7vBCrOqteGhLkcTSbBi/Ewmc7HdMDzyOY8IowkqIx7zrrtje/8u7OotyVV6kZh4JrE&#10;LHQkGlrtuupHQPaJ/HurB3+en2PWn++9+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XgM+i1gAA&#10;AAkBAAAPAAAAAAAAAAEAIAAAACIAAABkcnMvZG93bnJldi54bWxQSwECFAAUAAAACACHTuJAj6L1&#10;6CACAAAmBAAADgAAAAAAAAABACAAAAAlAQAAZHJzL2Uyb0RvYy54bWxQSwUGAAAAAAYABgBZAQAA&#10;twUAAAAA&#10;">
                <v:fill on="f" focussize="0,0"/>
                <v:stroke on="f"/>
                <v:imagedata o:title=""/>
                <o:lock v:ext="edit" aspectratio="f"/>
                <v:textbox>
                  <w:txbxContent>
                    <w:p w14:paraId="3F797CD7">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承包人实施勘察、设计、施工等工作安排</w:t>
                      </w:r>
                    </w:p>
                  </w:txbxContent>
                </v:textbox>
              </v:shape>
            </w:pict>
          </mc:Fallback>
        </mc:AlternateContent>
      </w:r>
      <w:r>
        <w:rPr>
          <w:rFonts w:hint="eastAsia" w:ascii="仿宋" w:hAnsi="仿宋" w:eastAsia="仿宋" w:cs="仿宋"/>
          <w:color w:val="auto"/>
          <w:highlight w:val="none"/>
          <w:lang w:eastAsia="zh-CN"/>
        </w:rPr>
        <w:t>承包人对所有勘察报告、设计文件、建筑信息模型（BIM）、现场作业和施工方法的完备性、稳定性和安全性负责，并应按照合同约定的工作内容和进度要求，向发包人代表或监理人代表提交合同工程拟采用的勘察工作方案、设计工作方案、BIM技术应用方案、施工组织设计、设备及工器具购置方案（如果有）等的详细说明。如承包人对勘察工作方案、设计工作方案、BIM技术应用方案、施工组织设计、设备及工器具购置方案（如果有）等作出重大修改，应事先征得发包人代表、设计顾问人或监理人代表同意。</w:t>
      </w:r>
    </w:p>
    <w:p w14:paraId="2D2C9E38">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3</w:t>
      </w:r>
      <w:r>
        <w:rPr>
          <w:rFonts w:ascii="仿宋" w:hAnsi="仿宋" w:eastAsia="仿宋" w:cs="仿宋"/>
          <w:b/>
          <w:bCs/>
          <w:color w:val="auto"/>
          <w:highlight w:val="none"/>
          <w:lang w:eastAsia="zh-CN"/>
        </w:rPr>
        <w:t>.5</w:t>
      </w:r>
    </w:p>
    <w:p w14:paraId="3ED5231A">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19680" behindDoc="0" locked="0" layoutInCell="1" allowOverlap="1">
                <wp:simplePos x="0" y="0"/>
                <wp:positionH relativeFrom="column">
                  <wp:posOffset>-114300</wp:posOffset>
                </wp:positionH>
                <wp:positionV relativeFrom="paragraph">
                  <wp:posOffset>15240</wp:posOffset>
                </wp:positionV>
                <wp:extent cx="833120" cy="650875"/>
                <wp:effectExtent l="0" t="0" r="0" b="0"/>
                <wp:wrapNone/>
                <wp:docPr id="533" name="文本框 753"/>
                <wp:cNvGraphicFramePr/>
                <a:graphic xmlns:a="http://schemas.openxmlformats.org/drawingml/2006/main">
                  <a:graphicData uri="http://schemas.microsoft.com/office/word/2010/wordprocessingShape">
                    <wps:wsp>
                      <wps:cNvSpPr txBox="1">
                        <a:spLocks noChangeArrowheads="1"/>
                      </wps:cNvSpPr>
                      <wps:spPr bwMode="auto">
                        <a:xfrm>
                          <a:off x="0" y="0"/>
                          <a:ext cx="833120" cy="650875"/>
                        </a:xfrm>
                        <a:prstGeom prst="rect">
                          <a:avLst/>
                        </a:prstGeom>
                        <a:noFill/>
                        <a:ln>
                          <a:noFill/>
                        </a:ln>
                        <a:effectLst/>
                      </wps:spPr>
                      <wps:txbx>
                        <w:txbxContent>
                          <w:p w14:paraId="348FAD76">
                            <w:pPr>
                              <w:spacing w:line="240" w:lineRule="exact"/>
                              <w:rPr>
                                <w:rFonts w:hint="eastAsia" w:ascii="楷体_GB2312" w:hAnsi="宋体" w:eastAsia="楷体_GB2312"/>
                                <w:sz w:val="18"/>
                                <w:szCs w:val="18"/>
                                <w:lang w:eastAsia="zh-CN"/>
                              </w:rPr>
                            </w:pPr>
                            <w:r>
                              <w:rPr>
                                <w:rFonts w:hint="eastAsia" w:ascii="楷体_GB2312" w:eastAsia="楷体_GB2312" w:cs="楷体_GB2312"/>
                                <w:b/>
                                <w:bCs/>
                                <w:color w:val="000000"/>
                                <w:sz w:val="18"/>
                                <w:szCs w:val="18"/>
                                <w:lang w:eastAsia="zh-CN"/>
                              </w:rPr>
                              <w:t>承包人为发包人的人员提供配合</w:t>
                            </w:r>
                          </w:p>
                        </w:txbxContent>
                      </wps:txbx>
                      <wps:bodyPr rot="0" vert="horz" wrap="square" lIns="91440" tIns="45720" rIns="91440" bIns="45720" anchor="t" anchorCtr="0" upright="1">
                        <a:noAutofit/>
                      </wps:bodyPr>
                    </wps:wsp>
                  </a:graphicData>
                </a:graphic>
              </wp:anchor>
            </w:drawing>
          </mc:Choice>
          <mc:Fallback>
            <w:pict>
              <v:shape id="文本框 753" o:spid="_x0000_s1026" o:spt="202" type="#_x0000_t202" style="position:absolute;left:0pt;margin-left:-9pt;margin-top:1.2pt;height:51.25pt;width:65.6pt;z-index:251719680;mso-width-relative:page;mso-height-relative:page;" filled="f" stroked="f" coordsize="21600,21600" o:gfxdata="UEsDBAoAAAAAAIdO4kAAAAAAAAAAAAAAAAAEAAAAZHJzL1BLAwQUAAAACACHTuJAn83xZNcAAAAJ&#10;AQAADwAAAGRycy9kb3ducmV2LnhtbE2PzW7CMBCE75V4B2uRegM7aVpBmg0HUK9FpT9SbyZekqjx&#10;OooNCW9fc2pvs5rVzDfFZrKduNDgW8cIyVKBIK6cablG+Hh/WaxA+KDZ6M4xIVzJw6ac3RU6N27k&#10;N7ocQi1iCPtcIzQh9LmUvmrIar90PXH0Tm6wOsRzqKUZ9BjDbSdTpZ6k1S3Hhkb3tG2o+jmcLcLn&#10;6+n7K1P7emcf+9FNSrJdS8T7eaKeQQSawt8z3PAjOpSR6ejObLzoEBbJKm4JCGkG4uYnDymIYxQq&#10;W4MsC/l/QfkLUEsDBBQAAAAIAIdO4kB2LQa4HgIAACYEAAAOAAAAZHJzL2Uyb0RvYy54bWytU0tu&#10;2zAQ3RfoHQjua/kbu4LlII2RokD6AdIegKYoi6jEYYe0JfcAzQ266qb7nsvn6JBSXDfdZNENQXKG&#10;b+a9eVxetnXF9gqdBpPx0WDImTIScm22Gf/08ebFgjPnhclFBUZl/KAcv1w9f7ZsbKrGUEKVK2QE&#10;Ylza2IyX3ts0SZwsVS3cAKwyFCwAa+HpiNskR9EQel0l4+HwImkAc4sglXN0u+6CvEfEpwBCUWip&#10;1iB3tTK+Q0VVCU+UXKmt46vYbVEo6d8XhVOeVRknpj6uVIT2m7Amq6VItyhsqWXfgnhKC4841UIb&#10;KnqCWgsv2A71P1C1lggOCj+QUCcdkagIsRgNH2lzVwqrIheS2tmT6O7/wcp3+w/IdJ7x2WTCmRE1&#10;jfz4/f7449fx5zc2n02CRI11KWXeWcr17StoyTiRrrO3ID87ZuC6FGarrhChKZXIqcVReJmcPe1w&#10;XADZNG8hp0pi5yECtQXWQT9ShBE6jedwGo9qPZN0uZhMRmOKSApdzIaL+SxWEOnDY4vOv1ZQs7DJ&#10;ONL0I7jY3zofmhHpQ0qoZeBGV1V0QGX+uqDE7kZFC/WvA5XQfcfDt5u2l2YD+YFIIXT2os9FmxLw&#10;K2cNWSvj7stOoOKsemNImJej6TR4MR6ms3nghOeRzXlEGElQGfecddtr3/l3Z1FvS6rUjcLAFYlZ&#10;6Eg0tNp11Y+A7BP591YP/j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N8WTXAAAA&#10;CQEAAA8AAAAAAAAAAQAgAAAAIgAAAGRycy9kb3ducmV2LnhtbFBLAQIUABQAAAAIAIdO4kB2LQa4&#10;HgIAACYEAAAOAAAAAAAAAAEAIAAAACYBAABkcnMvZTJvRG9jLnhtbFBLBQYAAAAABgAGAFkBAAC2&#10;BQAAAAA=&#10;">
                <v:fill on="f" focussize="0,0"/>
                <v:stroke on="f"/>
                <v:imagedata o:title=""/>
                <o:lock v:ext="edit" aspectratio="f"/>
                <v:textbox>
                  <w:txbxContent>
                    <w:p w14:paraId="348FAD76">
                      <w:pPr>
                        <w:spacing w:line="240" w:lineRule="exact"/>
                        <w:rPr>
                          <w:rFonts w:hint="eastAsia" w:ascii="楷体_GB2312" w:hAnsi="宋体" w:eastAsia="楷体_GB2312"/>
                          <w:sz w:val="18"/>
                          <w:szCs w:val="18"/>
                          <w:lang w:eastAsia="zh-CN"/>
                        </w:rPr>
                      </w:pPr>
                      <w:r>
                        <w:rPr>
                          <w:rFonts w:hint="eastAsia" w:ascii="楷体_GB2312" w:eastAsia="楷体_GB2312" w:cs="楷体_GB2312"/>
                          <w:b/>
                          <w:bCs/>
                          <w:color w:val="000000"/>
                          <w:sz w:val="18"/>
                          <w:szCs w:val="18"/>
                          <w:lang w:eastAsia="zh-CN"/>
                        </w:rPr>
                        <w:t>承包人为发包人的人员提供配合</w:t>
                      </w:r>
                    </w:p>
                  </w:txbxContent>
                </v:textbox>
              </v:shape>
            </w:pict>
          </mc:Fallback>
        </mc:AlternateContent>
      </w:r>
      <w:r>
        <w:rPr>
          <w:rFonts w:hint="eastAsia" w:ascii="仿宋" w:hAnsi="仿宋" w:eastAsia="仿宋" w:cs="仿宋"/>
          <w:color w:val="auto"/>
          <w:highlight w:val="none"/>
          <w:lang w:eastAsia="zh-CN"/>
        </w:rPr>
        <w:t>承包人应按照合同约定、发包人代表或监理人代表的指令，配合和协助下述人员在施工场地及其附近实施与合同工程有关的各项工作：</w:t>
      </w:r>
    </w:p>
    <w:p w14:paraId="72A176A5">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）发包人的工作人员；</w:t>
      </w:r>
    </w:p>
    <w:p w14:paraId="4FE345C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）发包人的雇员；</w:t>
      </w:r>
    </w:p>
    <w:p w14:paraId="27C311C7">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）任何监督管理机构的执法人员。</w:t>
      </w:r>
    </w:p>
    <w:p w14:paraId="125C67BF">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此类指令造成承包人的工作或支出，包括使用了承包人的施工设备、临时工程或通行道路等，视为已包含在合同价格内，除非合同专用条款另有约定。</w:t>
      </w:r>
    </w:p>
    <w:p w14:paraId="2B032F7B">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3</w:t>
      </w:r>
      <w:r>
        <w:rPr>
          <w:rFonts w:ascii="仿宋" w:hAnsi="仿宋" w:eastAsia="仿宋" w:cs="仿宋"/>
          <w:b/>
          <w:bCs/>
          <w:color w:val="auto"/>
          <w:highlight w:val="none"/>
          <w:lang w:eastAsia="zh-CN"/>
        </w:rPr>
        <w:t>.6</w:t>
      </w:r>
    </w:p>
    <w:p w14:paraId="362CF471">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20704" behindDoc="0" locked="0" layoutInCell="1" allowOverlap="1">
                <wp:simplePos x="0" y="0"/>
                <wp:positionH relativeFrom="column">
                  <wp:posOffset>-114300</wp:posOffset>
                </wp:positionH>
                <wp:positionV relativeFrom="paragraph">
                  <wp:posOffset>0</wp:posOffset>
                </wp:positionV>
                <wp:extent cx="803910" cy="612140"/>
                <wp:effectExtent l="0" t="0" r="0" b="0"/>
                <wp:wrapNone/>
                <wp:docPr id="534" name="文本框 754"/>
                <wp:cNvGraphicFramePr/>
                <a:graphic xmlns:a="http://schemas.openxmlformats.org/drawingml/2006/main">
                  <a:graphicData uri="http://schemas.microsoft.com/office/word/2010/wordprocessingShape">
                    <wps:wsp>
                      <wps:cNvSpPr txBox="1">
                        <a:spLocks noChangeArrowheads="1"/>
                      </wps:cNvSpPr>
                      <wps:spPr bwMode="auto">
                        <a:xfrm>
                          <a:off x="0" y="0"/>
                          <a:ext cx="803910" cy="612140"/>
                        </a:xfrm>
                        <a:prstGeom prst="rect">
                          <a:avLst/>
                        </a:prstGeom>
                        <a:noFill/>
                        <a:ln>
                          <a:noFill/>
                        </a:ln>
                        <a:effectLst/>
                      </wps:spPr>
                      <wps:txbx>
                        <w:txbxContent>
                          <w:p w14:paraId="464383C1">
                            <w:pPr>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承包人避免施工损害他人利益</w:t>
                            </w:r>
                          </w:p>
                        </w:txbxContent>
                      </wps:txbx>
                      <wps:bodyPr rot="0" vert="horz" wrap="square" lIns="91440" tIns="45720" rIns="91440" bIns="45720" anchor="t" anchorCtr="0" upright="1">
                        <a:noAutofit/>
                      </wps:bodyPr>
                    </wps:wsp>
                  </a:graphicData>
                </a:graphic>
              </wp:anchor>
            </w:drawing>
          </mc:Choice>
          <mc:Fallback>
            <w:pict>
              <v:shape id="文本框 754" o:spid="_x0000_s1026" o:spt="202" type="#_x0000_t202" style="position:absolute;left:0pt;margin-left:-9pt;margin-top:0pt;height:48.2pt;width:63.3pt;z-index:251720704;mso-width-relative:page;mso-height-relative:page;" filled="f" stroked="f" coordsize="21600,21600" o:gfxdata="UEsDBAoAAAAAAIdO4kAAAAAAAAAAAAAAAAAEAAAAZHJzL1BLAwQUAAAACACHTuJAjPiSH9UAAAAH&#10;AQAADwAAAGRycy9kb3ducmV2LnhtbE2PwW7CMBBE75X4B2uRegM7FY1Cmg0Hql5blQJSbyZekoh4&#10;HcWGpH9fc2ovK41mNPO22Ey2EzcafOsYIVkqEMSVMy3XCPuvt0UGwgfNRneOCeGHPGzK2UOhc+NG&#10;/qTbLtQilrDPNUITQp9L6auGrPZL1xNH7+wGq0OUQy3NoMdYbjv5pFQqrW45LjS6p21D1WV3tQiH&#10;9/P3caU+6lf73I9uUpLtWiI+zhP1AiLQFP7CcMeP6FBGppO7svGiQ1gkWfwlIMR7t1WWgjghrNMV&#10;yLKQ//nLX1BLAwQUAAAACACHTuJA8omTsyACAAAmBAAADgAAAGRycy9lMm9Eb2MueG1srVNLbtsw&#10;EN0X6B0I7mtZjp2PYDlIY6QokLYB0h6ApiiLqMRhh7Ql9wDtDbrqpvucy+fokFJcN91k0Q1BcoZv&#10;3nsznF92Tc22Cp0Gk/N0NOZMGQmFNuucf/p48+qcM+eFKUQNRuV8pxy/XLx8MW9tpiZQQV0oZARi&#10;XNbanFfe2yxJnKxUI9wIrDIULAEb4emI66RA0RJ6UyeT8fg0aQELiyCVc3S77IN8QMTnAEJZaqmW&#10;IDeNMr5HRVULT5Jcpa3ji8i2LJX0H8rSKc/qnJNSH1cqQvtVWJPFXGRrFLbScqAgnkPhiaZGaENF&#10;D1BL4QXboP4HqtESwUHpRxKapBcSHSEV6fiJN/eVsCpqIaudPZju/h+sfL+9Q6aLnM9OppwZ0VDL&#10;9z++738+7H99Y2ezabCotS6jzHtLub57DR0NTpTr7C3Iz44ZuK6EWasrRGgrJQqimIaXydHTHscF&#10;kFX7DgqqJDYeIlBXYhP8I0cYoVN7dof2qM4zSZfn45OLlCKSQqfpJJ3G9iUie3xs0fk3ChoWNjlH&#10;6n4EF9tb5wMZkT2mhFoGbnRdxwmozV8XlNjfqDhCw+sgJbDvdfhu1Q3WrKDYkSiEfrzoc9GmAvzK&#10;WUujlXP3ZSNQcVa/NWTMRTol6szHw3R2NqEDHkdWxxFhJEHl3HPWb699P78bi3pdUaW+FQauyMxS&#10;R6GBas9qaAGNT9Q/jHqYz+NzzPrzvR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z4kh/VAAAA&#10;BwEAAA8AAAAAAAAAAQAgAAAAIgAAAGRycy9kb3ducmV2LnhtbFBLAQIUABQAAAAIAIdO4kDyiZOz&#10;IAIAACYEAAAOAAAAAAAAAAEAIAAAACQBAABkcnMvZTJvRG9jLnhtbFBLBQYAAAAABgAGAFkBAAC2&#10;BQAAAAA=&#10;">
                <v:fill on="f" focussize="0,0"/>
                <v:stroke on="f"/>
                <v:imagedata o:title=""/>
                <o:lock v:ext="edit" aspectratio="f"/>
                <v:textbox>
                  <w:txbxContent>
                    <w:p w14:paraId="464383C1">
                      <w:pPr>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承包人避免施工损害他人利益</w:t>
                      </w:r>
                    </w:p>
                  </w:txbxContent>
                </v:textbox>
              </v:shape>
            </w:pict>
          </mc:Fallback>
        </mc:AlternateContent>
      </w:r>
      <w:r>
        <w:rPr>
          <w:rFonts w:hint="eastAsia" w:ascii="仿宋" w:hAnsi="仿宋" w:eastAsia="仿宋" w:cs="仿宋"/>
          <w:color w:val="auto"/>
          <w:highlight w:val="none"/>
          <w:lang w:eastAsia="zh-CN"/>
        </w:rPr>
        <w:t>承包人在施工过程中，不得侵害发包人与他人使用公用道路、水源、市政管网等公共设施的权利，避免对邻近的公共设施产生干扰。承包人占用或使用他人的施工场地，影响他人作业或生活的，应承担相应责任。</w:t>
      </w:r>
    </w:p>
    <w:p w14:paraId="3DB8D39C">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3</w:t>
      </w:r>
      <w:r>
        <w:rPr>
          <w:rFonts w:ascii="仿宋" w:hAnsi="仿宋" w:eastAsia="仿宋" w:cs="仿宋"/>
          <w:b/>
          <w:bCs/>
          <w:color w:val="auto"/>
          <w:highlight w:val="none"/>
          <w:lang w:eastAsia="zh-CN"/>
        </w:rPr>
        <w:t>.7</w:t>
      </w:r>
    </w:p>
    <w:p w14:paraId="4210ADCA">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21728" behindDoc="0" locked="0" layoutInCell="1" allowOverlap="1">
                <wp:simplePos x="0" y="0"/>
                <wp:positionH relativeFrom="column">
                  <wp:posOffset>-114300</wp:posOffset>
                </wp:positionH>
                <wp:positionV relativeFrom="paragraph">
                  <wp:posOffset>0</wp:posOffset>
                </wp:positionV>
                <wp:extent cx="775970" cy="473075"/>
                <wp:effectExtent l="0" t="0" r="0" b="0"/>
                <wp:wrapNone/>
                <wp:docPr id="535" name="文本框 755"/>
                <wp:cNvGraphicFramePr/>
                <a:graphic xmlns:a="http://schemas.openxmlformats.org/drawingml/2006/main">
                  <a:graphicData uri="http://schemas.microsoft.com/office/word/2010/wordprocessingShape">
                    <wps:wsp>
                      <wps:cNvSpPr txBox="1">
                        <a:spLocks noChangeArrowheads="1"/>
                      </wps:cNvSpPr>
                      <wps:spPr bwMode="auto">
                        <a:xfrm>
                          <a:off x="0" y="0"/>
                          <a:ext cx="775970" cy="473075"/>
                        </a:xfrm>
                        <a:prstGeom prst="rect">
                          <a:avLst/>
                        </a:prstGeom>
                        <a:noFill/>
                        <a:ln>
                          <a:noFill/>
                        </a:ln>
                        <a:effectLst/>
                      </wps:spPr>
                      <wps:txbx>
                        <w:txbxContent>
                          <w:p w14:paraId="2248D5E9">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承包人未尽义务的责任</w:t>
                            </w:r>
                          </w:p>
                        </w:txbxContent>
                      </wps:txbx>
                      <wps:bodyPr rot="0" vert="horz" wrap="square" lIns="91440" tIns="45720" rIns="91440" bIns="45720" anchor="t" anchorCtr="0" upright="1">
                        <a:noAutofit/>
                      </wps:bodyPr>
                    </wps:wsp>
                  </a:graphicData>
                </a:graphic>
              </wp:anchor>
            </w:drawing>
          </mc:Choice>
          <mc:Fallback>
            <w:pict>
              <v:shape id="文本框 755" o:spid="_x0000_s1026" o:spt="202" type="#_x0000_t202" style="position:absolute;left:0pt;margin-left:-9pt;margin-top:0pt;height:37.25pt;width:61.1pt;z-index:251721728;mso-width-relative:page;mso-height-relative:page;" filled="f" stroked="f" coordsize="21600,21600" o:gfxdata="UEsDBAoAAAAAAIdO4kAAAAAAAAAAAAAAAAAEAAAAZHJzL1BLAwQUAAAACACHTuJAMXVIu9UAAAAH&#10;AQAADwAAAGRycy9kb3ducmV2LnhtbE2PzU7DMBCE70i8g7VI3Np1qhRKyKYHEFcQ5Ufi5sbbJCJe&#10;R7HbhLfHPcFlpdGMZr4tt7Pr1YnH0HkhyJYaFEvtbScNwfvb02IDKkQj1vRemOCHA2yry4vSFNZP&#10;8sqnXWxUKpFQGII2xqFADHXLzoSlH1iSd/CjMzHJsUE7mimVux5XWt+gM52khdYM/NBy/b07OoKP&#10;58PXZ65fmke3HiY/axR3h0TXV5m+BxV5jn9hOOMndKgS094fxQbVEyyyTfolEqR7tnW+ArUnuM3X&#10;gFWJ//mrX1BLAwQUAAAACACHTuJASevSqR8CAAAmBAAADgAAAGRycy9lMm9Eb2MueG1srVPNjtMw&#10;EL4j8Q6W7zRttyFs1HS1bLUIafmRFh7AdZzGIvGYsdtkeQB4A05cuPNcfQ7GTraU5bIHLpbtGX8z&#10;3zeflxd927C9QqfBFHw2mXKmjIRSm23BP364fvaCM+eFKUUDRhX8Tjl+sXr6ZNnZXM2hhqZUyAjE&#10;uLyzBa+9t3mSOFmrVrgJWGUoWAG2wtMRt0mJoiP0tknm0+nzpAMsLYJUztHtegjyEREfAwhVpaVa&#10;g9y1yvgBFVUjPFFytbaOr2K3VaWkf1dVTnnWFJyY+rhSEdpvwpqsliLforC1lmML4jEtPODUCm2o&#10;6BFqLbxgO9T/QLVaIjio/ERCmwxEoiLEYjZ9oM1tLayKXEhqZ4+iu/8HK9/u3yPTZcHTs5QzI1oa&#10;+eH7t8OPX4efX1mWpkGizrqcMm8t5fr+JfRknEjX2RuQnxwzcFULs1WXiNDVSpTU4iy8TE6eDjgu&#10;gGy6N1BSJbHzEIH6CtugHynCCJ3Gc3ccj+o9k3SZZel5RhFJoUV2Ns1ib4nI7x9bdP6VgpaFTcGR&#10;ph/Bxf7G+dCMyO9TQi0D17ppogMa89cFJQ43KlpofB2ohO4HHr7f9KM0GyjviBTCYC/6XLSpAb9w&#10;1pG1Cu4+7wQqzprXhoQ5ny0WwYvxsEizOR3wNLI5jQgjCargnrNhe+UH/+4s6m1NlYZRGLgkMSsd&#10;iYZWh67GEZB9Iv/R6sGfp+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MXVIu9UAAAAH&#10;AQAADwAAAAAAAAABACAAAAAiAAAAZHJzL2Rvd25yZXYueG1sUEsBAhQAFAAAAAgAh07iQEnr0qkf&#10;AgAAJgQAAA4AAAAAAAAAAQAgAAAAJAEAAGRycy9lMm9Eb2MueG1sUEsFBgAAAAAGAAYAWQEAALUF&#10;AAAAAA==&#10;">
                <v:fill on="f" focussize="0,0"/>
                <v:stroke on="f"/>
                <v:imagedata o:title=""/>
                <o:lock v:ext="edit" aspectratio="f"/>
                <v:textbox>
                  <w:txbxContent>
                    <w:p w14:paraId="2248D5E9">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承包人未尽义务的责任</w:t>
                      </w:r>
                    </w:p>
                  </w:txbxContent>
                </v:textbox>
              </v:shape>
            </w:pict>
          </mc:Fallback>
        </mc:AlternateContent>
      </w:r>
      <w:r>
        <w:rPr>
          <w:rFonts w:hint="eastAsia" w:ascii="仿宋" w:hAnsi="仿宋" w:eastAsia="仿宋" w:cs="仿宋"/>
          <w:color w:val="auto"/>
          <w:highlight w:val="none"/>
          <w:lang w:eastAsia="zh-CN"/>
        </w:rPr>
        <w:t>承包人未能正确履行本合同约定的全部义务，导致费用的增加和（或）延误的工期，由承包人承担；给发包人造成损失的，承包人应予赔偿。</w:t>
      </w:r>
    </w:p>
    <w:p w14:paraId="63DB0F14">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77C4460C">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18" w:name="_Toc2291"/>
      <w:r>
        <w:rPr>
          <w:rFonts w:ascii="仿宋" w:hAnsi="仿宋" w:eastAsia="仿宋" w:cs="仿宋"/>
          <w:bCs w:val="0"/>
          <w:color w:val="auto"/>
          <w:sz w:val="24"/>
          <w:szCs w:val="24"/>
          <w:highlight w:val="none"/>
          <w:lang w:eastAsia="zh-CN"/>
        </w:rPr>
        <w:t>2</w:t>
      </w:r>
      <w:r>
        <w:rPr>
          <w:rFonts w:hint="eastAsia" w:ascii="仿宋" w:hAnsi="仿宋" w:eastAsia="仿宋" w:cs="仿宋"/>
          <w:bCs w:val="0"/>
          <w:color w:val="auto"/>
          <w:sz w:val="24"/>
          <w:szCs w:val="24"/>
          <w:highlight w:val="none"/>
          <w:lang w:eastAsia="zh-CN"/>
        </w:rPr>
        <w:t>4现场管理人员任命和更换</w:t>
      </w:r>
      <w:bookmarkEnd w:id="318"/>
    </w:p>
    <w:p w14:paraId="4A628F0A">
      <w:pPr>
        <w:pStyle w:val="2"/>
        <w:tabs>
          <w:tab w:val="left" w:pos="1320"/>
        </w:tabs>
        <w:adjustRightInd w:val="0"/>
        <w:snapToGrid w:val="0"/>
        <w:spacing w:line="360" w:lineRule="auto"/>
        <w:ind w:right="-240"/>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2</w:t>
      </w:r>
      <w:r>
        <w:rPr>
          <w:rFonts w:hint="eastAsia" w:ascii="仿宋" w:hAnsi="仿宋" w:eastAsia="仿宋" w:cs="仿宋"/>
          <w:b/>
          <w:bCs/>
          <w:color w:val="auto"/>
          <w:sz w:val="24"/>
          <w:szCs w:val="24"/>
          <w:highlight w:val="none"/>
          <w:lang w:eastAsia="zh-CN"/>
        </w:rPr>
        <w:t>4</w:t>
      </w:r>
      <w:r>
        <w:rPr>
          <w:rFonts w:ascii="仿宋" w:hAnsi="仿宋" w:eastAsia="仿宋" w:cs="仿宋"/>
          <w:b/>
          <w:bCs/>
          <w:color w:val="auto"/>
          <w:sz w:val="24"/>
          <w:szCs w:val="24"/>
          <w:highlight w:val="none"/>
          <w:lang w:eastAsia="zh-CN"/>
        </w:rPr>
        <w:t>.1</w:t>
      </w:r>
    </w:p>
    <w:p w14:paraId="26440F70">
      <w:pPr>
        <w:widowControl w:val="0"/>
        <w:tabs>
          <w:tab w:val="left" w:pos="4970"/>
        </w:tabs>
        <w:spacing w:line="360" w:lineRule="auto"/>
        <w:ind w:left="1850" w:leftChars="771"/>
        <w:jc w:val="both"/>
        <w:rPr>
          <w:color w:val="auto"/>
          <w:highlight w:val="none"/>
          <w:lang w:eastAsia="zh-CN"/>
        </w:rPr>
      </w:pPr>
      <w:r>
        <w:rPr>
          <w:color w:val="auto"/>
          <w:highlight w:val="none"/>
          <w:lang w:eastAsia="zh-CN" w:bidi="ar-SA"/>
        </w:rPr>
        <mc:AlternateContent>
          <mc:Choice Requires="wps">
            <w:drawing>
              <wp:anchor distT="0" distB="0" distL="114300" distR="114300" simplePos="0" relativeHeight="251722752" behindDoc="0" locked="0" layoutInCell="1" allowOverlap="1">
                <wp:simplePos x="0" y="0"/>
                <wp:positionH relativeFrom="column">
                  <wp:posOffset>-114300</wp:posOffset>
                </wp:positionH>
                <wp:positionV relativeFrom="paragraph">
                  <wp:posOffset>7620</wp:posOffset>
                </wp:positionV>
                <wp:extent cx="851535" cy="530860"/>
                <wp:effectExtent l="0" t="0" r="0" b="0"/>
                <wp:wrapNone/>
                <wp:docPr id="536" name="文本框 756"/>
                <wp:cNvGraphicFramePr/>
                <a:graphic xmlns:a="http://schemas.openxmlformats.org/drawingml/2006/main">
                  <a:graphicData uri="http://schemas.microsoft.com/office/word/2010/wordprocessingShape">
                    <wps:wsp>
                      <wps:cNvSpPr txBox="1">
                        <a:spLocks noChangeArrowheads="1"/>
                      </wps:cNvSpPr>
                      <wps:spPr bwMode="auto">
                        <a:xfrm>
                          <a:off x="0" y="0"/>
                          <a:ext cx="851535" cy="530860"/>
                        </a:xfrm>
                        <a:prstGeom prst="rect">
                          <a:avLst/>
                        </a:prstGeom>
                        <a:noFill/>
                        <a:ln>
                          <a:noFill/>
                        </a:ln>
                        <a:effectLst/>
                      </wps:spPr>
                      <wps:txbx>
                        <w:txbxContent>
                          <w:p w14:paraId="1173BD72">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发包人现场管理人员任命和更换</w:t>
                            </w:r>
                          </w:p>
                        </w:txbxContent>
                      </wps:txbx>
                      <wps:bodyPr rot="0" vert="horz" wrap="square" lIns="91440" tIns="45720" rIns="91440" bIns="45720" anchor="t" anchorCtr="0" upright="1">
                        <a:noAutofit/>
                      </wps:bodyPr>
                    </wps:wsp>
                  </a:graphicData>
                </a:graphic>
              </wp:anchor>
            </w:drawing>
          </mc:Choice>
          <mc:Fallback>
            <w:pict>
              <v:shape id="文本框 756" o:spid="_x0000_s1026" o:spt="202" type="#_x0000_t202" style="position:absolute;left:0pt;margin-left:-9pt;margin-top:0.6pt;height:41.8pt;width:67.05pt;z-index:251722752;mso-width-relative:page;mso-height-relative:page;" filled="f" stroked="f" coordsize="21600,21600" o:gfxdata="UEsDBAoAAAAAAIdO4kAAAAAAAAAAAAAAAAAEAAAAZHJzL1BLAwQUAAAACACHTuJAwy+IudUAAAAI&#10;AQAADwAAAGRycy9kb3ducmV2LnhtbE2PwU7DMBBE70j8g7VI3FrbVanSEKcHEFcQpa3U2zbeJhHx&#10;OordJvw97gmOq7eaeVNsJteJKw2h9WxAzxUI4srblmsDu6+3WQYiRGSLnWcy8EMBNuX9XYG59SN/&#10;0nUba5FCOORooImxz6UMVUMOw9z3xImd/eAwpnOopR1wTOGukwulVtJhy6mhwZ5eGqq+txdnYP9+&#10;Ph6W6qN+dU/96Ccl2a2lMY8PWj2DiDTFv2e46Sd1KJPTyV/YBtEZmOksbYkJLEDcuF5pECcD2TID&#10;WRby/4DyF1BLAwQUAAAACACHTuJAjeNkeiACAAAmBAAADgAAAGRycy9lMm9Eb2MueG1srVNLbtsw&#10;EN0X6B0I7mv5J8cVLAdpjBQF0g+Q9gA0RVlEJQ47pC25B2hu0FU33fdcPkeHlOO66SaLbgiSM3wz&#10;783j4rJrarZT6DSYnI8GQ86UkVBos8n5p483L+acOS9MIWowKud75fjl8vmzRWszNYYK6kIhIxDj&#10;stbmvPLeZkniZKUa4QZglaFgCdgIT0fcJAWKltCbOhkPh7OkBSwsglTO0e2qD/IjIj4FEMpSS7UC&#10;uW2U8T0qqlp4ouQqbR1fxm7LUkn/viyd8qzOOTH1caUitF+HNVkuRLZBYSstjy2Ip7TwiFMjtKGi&#10;J6iV8IJtUf8D1WiJ4KD0AwlN0hOJihCL0fCRNneVsCpyIamdPYnu/h+sfLf7gEwXOU8nM86MaGjk&#10;h+/3hx+/Dj+/sYt0FiRqrcso885Sru9eQUfGiXSdvQX52TED15UwG3WFCG2lREEtjsLL5Oxpj+MC&#10;yLp9CwVVElsPEagrsQn6kSKM0Gk8+9N4VOeZpMt5OkonKWeSQulkOJ/F8SUie3hs0fnXChoWNjlH&#10;mn4EF7tb50MzIntICbUM3Oi6jg6ozV8XlNjfqGih4+tAJXTf8/DdujtKs4ZiT6QQenvR56JNBfiV&#10;s5aslXP3ZStQcVa/MSTMy9F0GrwYD9P0YkwHPI+szyPCSILKuees31773r9bi3pTUaV+FAauSMxS&#10;R6Kh1b6r4wjIPpH/0erBn+fnmPXney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MviLnVAAAA&#10;CAEAAA8AAAAAAAAAAQAgAAAAIgAAAGRycy9kb3ducmV2LnhtbFBLAQIUABQAAAAIAIdO4kCN42R6&#10;IAIAACYEAAAOAAAAAAAAAAEAIAAAACQBAABkcnMvZTJvRG9jLnhtbFBLBQYAAAAABgAGAFkBAAC2&#10;BQAAAAA=&#10;">
                <v:fill on="f" focussize="0,0"/>
                <v:stroke on="f"/>
                <v:imagedata o:title=""/>
                <o:lock v:ext="edit" aspectratio="f"/>
                <v:textbox>
                  <w:txbxContent>
                    <w:p w14:paraId="1173BD72">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发包人现场管理人员任命和更换</w:t>
                      </w:r>
                    </w:p>
                  </w:txbxContent>
                </v:textbox>
              </v:shape>
            </w:pict>
          </mc:Fallback>
        </mc:AlternateContent>
      </w:r>
      <w:r>
        <w:rPr>
          <w:rFonts w:hint="eastAsia" w:ascii="仿宋" w:hAnsi="仿宋" w:eastAsia="仿宋" w:cs="仿宋"/>
          <w:color w:val="auto"/>
          <w:highlight w:val="none"/>
          <w:lang w:eastAsia="zh-CN"/>
        </w:rPr>
        <w:t>发包人应任命代表发包人工作的现场管理人员，并在开工前以书面形式通知承包人。该类管理人员可包括发包人代表、</w:t>
      </w:r>
      <w:r>
        <w:rPr>
          <w:rFonts w:hint="eastAsia"/>
          <w:color w:val="auto"/>
          <w:highlight w:val="none"/>
          <w:lang w:eastAsia="zh-CN"/>
        </w:rPr>
        <w:t>设计</w:t>
      </w:r>
      <w:r>
        <w:rPr>
          <w:rFonts w:hint="eastAsia" w:ascii="仿宋" w:hAnsi="仿宋" w:eastAsia="仿宋" w:cs="仿宋"/>
          <w:color w:val="auto"/>
          <w:highlight w:val="none"/>
          <w:lang w:eastAsia="zh-CN"/>
        </w:rPr>
        <w:t>顾问人代表、监理人代表、造价咨询人代表等。国家、省规定发包人可不委托监理人、造价咨询人和（或）设计顾问人，发包人因而没有任命监理人代表、造价咨询人代表和（或）设计顾问人代表的，本合同约定的监理人、造价咨询人和（或）设计顾问人及其委派现场或授权人员的工作，由发包人授权发包人代表和（或）其他管理人员担任。</w:t>
      </w:r>
    </w:p>
    <w:p w14:paraId="7D5B368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发包人如需更换现场管理人员，应至少提前</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天以书面形式通知承包人，否则该项更换无效。承包人应在收到通知后</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天内予以回复，否则视为已收到通知。后任现场管理人员应继续行使合同约定的前任现场管理人员的职权和履行相应的义务。</w:t>
      </w:r>
    </w:p>
    <w:p w14:paraId="0F401C39">
      <w:pPr>
        <w:pStyle w:val="2"/>
        <w:tabs>
          <w:tab w:val="left" w:pos="1320"/>
          <w:tab w:val="left" w:pos="1620"/>
        </w:tabs>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2</w:t>
      </w:r>
      <w:r>
        <w:rPr>
          <w:rFonts w:hint="eastAsia" w:ascii="仿宋" w:hAnsi="仿宋" w:eastAsia="仿宋" w:cs="仿宋"/>
          <w:b/>
          <w:bCs/>
          <w:color w:val="auto"/>
          <w:sz w:val="24"/>
          <w:szCs w:val="24"/>
          <w:highlight w:val="none"/>
          <w:lang w:eastAsia="zh-CN"/>
        </w:rPr>
        <w:t>4</w:t>
      </w:r>
      <w:r>
        <w:rPr>
          <w:rFonts w:ascii="仿宋" w:hAnsi="仿宋" w:eastAsia="仿宋" w:cs="仿宋"/>
          <w:b/>
          <w:bCs/>
          <w:color w:val="auto"/>
          <w:sz w:val="24"/>
          <w:szCs w:val="24"/>
          <w:highlight w:val="none"/>
          <w:lang w:eastAsia="zh-CN"/>
        </w:rPr>
        <w:t>.2</w:t>
      </w:r>
    </w:p>
    <w:p w14:paraId="617A1E30">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23776" behindDoc="0" locked="0" layoutInCell="1" allowOverlap="1">
                <wp:simplePos x="0" y="0"/>
                <wp:positionH relativeFrom="column">
                  <wp:posOffset>-114300</wp:posOffset>
                </wp:positionH>
                <wp:positionV relativeFrom="paragraph">
                  <wp:posOffset>84455</wp:posOffset>
                </wp:positionV>
                <wp:extent cx="783590" cy="711200"/>
                <wp:effectExtent l="0" t="0" r="0" b="0"/>
                <wp:wrapNone/>
                <wp:docPr id="537" name="文本框 757"/>
                <wp:cNvGraphicFramePr/>
                <a:graphic xmlns:a="http://schemas.openxmlformats.org/drawingml/2006/main">
                  <a:graphicData uri="http://schemas.microsoft.com/office/word/2010/wordprocessingShape">
                    <wps:wsp>
                      <wps:cNvSpPr txBox="1">
                        <a:spLocks noChangeArrowheads="1"/>
                      </wps:cNvSpPr>
                      <wps:spPr bwMode="auto">
                        <a:xfrm>
                          <a:off x="0" y="0"/>
                          <a:ext cx="783590" cy="711200"/>
                        </a:xfrm>
                        <a:prstGeom prst="rect">
                          <a:avLst/>
                        </a:prstGeom>
                        <a:noFill/>
                        <a:ln>
                          <a:noFill/>
                        </a:ln>
                        <a:effectLst/>
                      </wps:spPr>
                      <wps:txbx>
                        <w:txbxContent>
                          <w:p w14:paraId="19BE66A9">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承包人代表及专业负责人任命和更换</w:t>
                            </w:r>
                          </w:p>
                        </w:txbxContent>
                      </wps:txbx>
                      <wps:bodyPr rot="0" vert="horz" wrap="square" lIns="91440" tIns="45720" rIns="91440" bIns="45720" anchor="t" anchorCtr="0" upright="1">
                        <a:noAutofit/>
                      </wps:bodyPr>
                    </wps:wsp>
                  </a:graphicData>
                </a:graphic>
              </wp:anchor>
            </w:drawing>
          </mc:Choice>
          <mc:Fallback>
            <w:pict>
              <v:shape id="文本框 757" o:spid="_x0000_s1026" o:spt="202" type="#_x0000_t202" style="position:absolute;left:0pt;margin-left:-9pt;margin-top:6.65pt;height:56pt;width:61.7pt;z-index:251723776;mso-width-relative:page;mso-height-relative:page;" filled="f" stroked="f" coordsize="21600,21600" o:gfxdata="UEsDBAoAAAAAAIdO4kAAAAAAAAAAAAAAAAAEAAAAZHJzL1BLAwQUAAAACACHTuJA1JHr6dcAAAAK&#10;AQAADwAAAGRycy9kb3ducmV2LnhtbE2PwU7DMBBE70j8g7VI3Fo7TVOVEKcHENci2oLEzY23SUS8&#10;jmK3Sf+e7QluO5rR7JtiM7lOXHAIrScNyVyBQKq8banWcNi/zdYgQjRkTecJNVwxwKa8vytMbv1I&#10;H3jZxVpwCYXcaGhi7HMpQ9WgM2HueyT2Tn5wJrIcamkHM3K56+RCqZV0piX+0JgeXxqsfnZnp+Fz&#10;e/r+Wqr3+tVl/egnJck9Sa0fHxL1DCLiFP/CcMNndCiZ6ejPZIPoNMySNW+JbKQpiFtAZUsQRz4W&#10;WQqyLOT/CeUvUEsDBBQAAAAIAIdO4kB7AwjGHwIAACYEAAAOAAAAZHJzL2Uyb0RvYy54bWytU0tu&#10;2zAQ3RfoHQjua1mOXSeC5SCNkaJA+gHSHoCmKIuoxGGHtCX3AM0Nuuqm+57L5+iQUlw33WTRDUFy&#10;hm/mvXlcXHZNzXYKnQaT83Q05kwZCYU2m5x/+njz4pwz54UpRA1G5XyvHL9cPn+2aG2mJlBBXShk&#10;BGJc1tqcV97bLEmcrFQj3AisMhQsARvh6YibpEDREnpTJ5Px+GXSAhYWQSrn6HbVB/mAiE8BhLLU&#10;Uq1AbhtlfI+KqhaeKLlKW8eXsduyVNK/L0unPKtzTkx9XKkI7ddhTZYLkW1Q2ErLoQXxlBYecWqE&#10;NlT0CLUSXrAt6n+gGi0RHJR+JKFJeiJREWKRjh9pc1cJqyIXktrZo+ju/8HKd7sPyHSR89nZnDMj&#10;Ghr54fv94cevw89vbD6bB4la6zLKvLOU67tX0JFxIl1nb0F+dszAdSXMRl0hQlspUVCLaXiZnDzt&#10;cVwAWbdvoaBKYushAnUlNkE/UoQROo1nfxyP6jyTdDk/P5tdUERSaJ6mZKZYQWQPjy06/1pBw8Im&#10;50jTj+Bid+t8aEZkDymhloEbXdfRAbX564IS+xsVLTS8DlRC9z0P3627QZo1FHsihdDbiz4XbSrA&#10;r5y1ZK2cuy9bgYqz+o0hYS7S6TR4MR6ms/mEDngaWZ9GhJEElXPPWb+99r1/txb1pqJK/SgMXJGY&#10;pY5EQ6t9V8MIyD6R/2D14M/Tc8z6872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Ukevp1wAA&#10;AAoBAAAPAAAAAAAAAAEAIAAAACIAAABkcnMvZG93bnJldi54bWxQSwECFAAUAAAACACHTuJAewMI&#10;xh8CAAAmBAAADgAAAAAAAAABACAAAAAmAQAAZHJzL2Uyb0RvYy54bWxQSwUGAAAAAAYABgBZAQAA&#10;twUAAAAA&#10;">
                <v:fill on="f" focussize="0,0"/>
                <v:stroke on="f"/>
                <v:imagedata o:title=""/>
                <o:lock v:ext="edit" aspectratio="f"/>
                <v:textbox>
                  <w:txbxContent>
                    <w:p w14:paraId="19BE66A9">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承包人代表及专业负责人任命和更换</w:t>
                      </w:r>
                    </w:p>
                  </w:txbxContent>
                </v:textbox>
              </v:shape>
            </w:pict>
          </mc:Fallback>
        </mc:AlternateContent>
      </w:r>
      <w:r>
        <w:rPr>
          <w:rFonts w:hint="eastAsia" w:ascii="仿宋" w:hAnsi="仿宋" w:eastAsia="仿宋" w:cs="仿宋"/>
          <w:color w:val="auto"/>
          <w:highlight w:val="none"/>
          <w:lang w:eastAsia="zh-CN"/>
        </w:rPr>
        <w:t>承包人应任命代表承包人工作的承包人代表及负责勘察、设计、BIM技术应用、采购、施工等工作的专业负责人，承包人代表或专业负责人的人选应取得工程建设类相应执业资格并在本单位注册，或未实施执业资格制度的专业负责人应取得相关高级专业技术职称，已由承包人在合同签订前依法向发包人提出，经发包人同意后在专用条款中写明。国家法律或建设行政主管部门有规定的，应遵守其规定；招标发包工程的承包人代表及专业负责人，应为投标文件所载明的人选。</w:t>
      </w:r>
    </w:p>
    <w:p w14:paraId="06A670D7">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承包人如需更换承包人代表或专业负责人，应遵守国家法律或建设行政主管部门的规定并取得发包人的同意，至少提前</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天以书面形式通知发包人，否则该项更换无效。发包人应在收到通知后的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天内予以答复，否则视为同意。后任承包人代表或专业负责人应继续行使合同约定的前任承包人代表或专业负责人的职权和履行相应的义务。</w:t>
      </w:r>
    </w:p>
    <w:p w14:paraId="298D780C">
      <w:pPr>
        <w:widowControl w:val="0"/>
        <w:tabs>
          <w:tab w:val="left" w:pos="4970"/>
        </w:tabs>
        <w:spacing w:line="360" w:lineRule="auto"/>
        <w:ind w:left="1850" w:leftChars="771"/>
        <w:jc w:val="both"/>
        <w:rPr>
          <w:color w:val="auto"/>
          <w:highlight w:val="none"/>
          <w:lang w:eastAsia="zh-CN"/>
        </w:rPr>
      </w:pPr>
      <w:r>
        <w:rPr>
          <w:rFonts w:hint="eastAsia" w:ascii="仿宋" w:hAnsi="仿宋" w:eastAsia="仿宋" w:cs="仿宋"/>
          <w:color w:val="auto"/>
          <w:highlight w:val="none"/>
          <w:lang w:eastAsia="zh-CN"/>
        </w:rPr>
        <w:t>承包人为联合体的，承包人代表必须由牵头单位内部符合要求的相应工程建设类注册执业人员担任，专业负责人必须由成员单位内部符合要求的注册执业人员担任；承包人代表及专业负责人的任命及更换，必须由牵头单位及各成员单位共同签署书面文件。</w:t>
      </w:r>
    </w:p>
    <w:p w14:paraId="2DEE3E67">
      <w:pPr>
        <w:pStyle w:val="2"/>
        <w:tabs>
          <w:tab w:val="left" w:pos="1320"/>
        </w:tabs>
        <w:adjustRightInd w:val="0"/>
        <w:snapToGrid w:val="0"/>
        <w:spacing w:line="360" w:lineRule="auto"/>
        <w:ind w:right="-238"/>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2</w:t>
      </w:r>
      <w:r>
        <w:rPr>
          <w:rFonts w:hint="eastAsia" w:ascii="仿宋" w:hAnsi="仿宋" w:eastAsia="仿宋" w:cs="仿宋"/>
          <w:b/>
          <w:bCs/>
          <w:color w:val="auto"/>
          <w:sz w:val="24"/>
          <w:szCs w:val="24"/>
          <w:highlight w:val="none"/>
          <w:lang w:eastAsia="zh-CN"/>
        </w:rPr>
        <w:t>4</w:t>
      </w:r>
      <w:r>
        <w:rPr>
          <w:rFonts w:ascii="仿宋" w:hAnsi="仿宋" w:eastAsia="仿宋" w:cs="仿宋"/>
          <w:b/>
          <w:bCs/>
          <w:color w:val="auto"/>
          <w:sz w:val="24"/>
          <w:szCs w:val="24"/>
          <w:highlight w:val="none"/>
          <w:lang w:eastAsia="zh-CN"/>
        </w:rPr>
        <w:t>.3</w:t>
      </w:r>
    </w:p>
    <w:p w14:paraId="0EA132A7">
      <w:pPr>
        <w:widowControl w:val="0"/>
        <w:tabs>
          <w:tab w:val="left" w:pos="4970"/>
        </w:tabs>
        <w:spacing w:line="360" w:lineRule="auto"/>
        <w:ind w:left="1850" w:leftChars="771"/>
        <w:jc w:val="both"/>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724800" behindDoc="0" locked="0" layoutInCell="1" allowOverlap="1">
                <wp:simplePos x="0" y="0"/>
                <wp:positionH relativeFrom="column">
                  <wp:posOffset>-83820</wp:posOffset>
                </wp:positionH>
                <wp:positionV relativeFrom="paragraph">
                  <wp:posOffset>46355</wp:posOffset>
                </wp:positionV>
                <wp:extent cx="824865" cy="922655"/>
                <wp:effectExtent l="0" t="0" r="0" b="0"/>
                <wp:wrapNone/>
                <wp:docPr id="538" name="文本框 758"/>
                <wp:cNvGraphicFramePr/>
                <a:graphic xmlns:a="http://schemas.openxmlformats.org/drawingml/2006/main">
                  <a:graphicData uri="http://schemas.microsoft.com/office/word/2010/wordprocessingShape">
                    <wps:wsp>
                      <wps:cNvSpPr txBox="1">
                        <a:spLocks noChangeArrowheads="1"/>
                      </wps:cNvSpPr>
                      <wps:spPr bwMode="auto">
                        <a:xfrm>
                          <a:off x="0" y="0"/>
                          <a:ext cx="824865" cy="922655"/>
                        </a:xfrm>
                        <a:prstGeom prst="rect">
                          <a:avLst/>
                        </a:prstGeom>
                        <a:noFill/>
                        <a:ln>
                          <a:noFill/>
                        </a:ln>
                        <a:effectLst/>
                      </wps:spPr>
                      <wps:txbx>
                        <w:txbxContent>
                          <w:p w14:paraId="496F038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监理人代表、造价咨询人代表、设计顾问代表任命和撤回</w:t>
                            </w:r>
                          </w:p>
                        </w:txbxContent>
                      </wps:txbx>
                      <wps:bodyPr rot="0" vert="horz" wrap="square" lIns="91440" tIns="45720" rIns="91440" bIns="45720" anchor="t" anchorCtr="0" upright="1">
                        <a:noAutofit/>
                      </wps:bodyPr>
                    </wps:wsp>
                  </a:graphicData>
                </a:graphic>
              </wp:anchor>
            </w:drawing>
          </mc:Choice>
          <mc:Fallback>
            <w:pict>
              <v:shape id="文本框 758" o:spid="_x0000_s1026" o:spt="202" type="#_x0000_t202" style="position:absolute;left:0pt;margin-left:-6.6pt;margin-top:3.65pt;height:72.65pt;width:64.95pt;z-index:251724800;mso-width-relative:page;mso-height-relative:page;" filled="f" stroked="f" coordsize="21600,21600" o:gfxdata="UEsDBAoAAAAAAIdO4kAAAAAAAAAAAAAAAAAEAAAAZHJzL1BLAwQUAAAACACHTuJAvcUSiNcAAAAJ&#10;AQAADwAAAGRycy9kb3ducmV2LnhtbE2PwU7DMBBE75X4B2uRuLV2UppCiNMDiCuopUXito23SUS8&#10;jmK3CX+Pe4LbrGY087bYTLYTFxp861hDslAgiCtnWq417D9e5w8gfEA22DkmDT/kYVPezArMjRt5&#10;S5ddqEUsYZ+jhiaEPpfSVw1Z9AvXE0fv5AaLIZ5DLc2AYyy3nUyVyqTFluNCgz09N1R9785Ww+Ht&#10;9PV5r97rF7vqRzcpyfZRan13m6gnEIGm8BeGK35EhzIyHd2ZjRedhnmyTGNUw3oJ4uon2RrEMYpV&#10;moEsC/n/g/IXUEsDBBQAAAAIAIdO4kDidGLLIAIAACYEAAAOAAAAZHJzL2Uyb0RvYy54bWytU0tu&#10;2zAQ3RfoHQjua9mq7TiC5SCNkaJA+gHSHoCmKIuoxGGHtKX0AM0Nuuqm+57L5+iQUlw33WTRDUFy&#10;hm/mvXlcXnRNzfYKnQaT88lozJkyEgpttjn/9PH6xYIz54UpRA1G5fxOOX6xev5s2dpMpVBBXShk&#10;BGJc1tqcV97bLEmcrFQj3AisMhQsARvh6YjbpEDREnpTJ+l4PE9awMIiSOUc3a77IB8Q8SmAUJZa&#10;qjXIXaOM71FR1cITJVdp6/gqdluWSvr3ZemUZ3XOiamPKxWh/SasyWopsi0KW2k5tCCe0sIjTo3Q&#10;hooeodbCC7ZD/Q9UoyWCg9KPJDRJTyQqQiwm40fa3FbCqsiFpHb2KLr7f7Dy3f4DMl3kfPaSBm9E&#10;QyM/fL8//Ph1+PmNnc0WQaLWuowyby3l+u4VdGScSNfZG5CfHTNwVQmzVZeI0FZKFNTiJLxMTp72&#10;OC6AbNq3UFAlsfMQgboSm6AfKcIIncZzdxyP6jyTdLlIp4v5jDNJofM0nc9msYLIHh5bdP61goaF&#10;Tc6Rph/Bxf7G+dCMyB5SQi0D17quowNq89cFJfY3KlpoeB2ohO57Hr7bdIM0GyjuiBRCby/6XLSp&#10;AL9y1pK1cu6+7AQqzuo3hoQ5n0ynwYvxMJ2dpXTA08jmNCKMJKice8767ZXv/buzqLcVVepHYeCS&#10;xCx1JBpa7bsaRkD2ifwHqwd/np5j1p/vvf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cUSiNcA&#10;AAAJAQAADwAAAAAAAAABACAAAAAiAAAAZHJzL2Rvd25yZXYueG1sUEsBAhQAFAAAAAgAh07iQOJ0&#10;YssgAgAAJgQAAA4AAAAAAAAAAQAgAAAAJgEAAGRycy9lMm9Eb2MueG1sUEsFBgAAAAAGAAYAWQEA&#10;ALgFAAAAAA==&#10;">
                <v:fill on="f" focussize="0,0"/>
                <v:stroke on="f"/>
                <v:imagedata o:title=""/>
                <o:lock v:ext="edit" aspectratio="f"/>
                <v:textbox>
                  <w:txbxContent>
                    <w:p w14:paraId="496F038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监理人代表、造价咨询人代表、设计顾问代表任命和撤回</w:t>
                      </w:r>
                    </w:p>
                  </w:txbxContent>
                </v:textbox>
              </v:shape>
            </w:pict>
          </mc:Fallback>
        </mc:AlternateContent>
      </w:r>
      <w:r>
        <w:rPr>
          <w:rFonts w:hint="eastAsia" w:ascii="仿宋" w:hAnsi="仿宋" w:eastAsia="仿宋" w:cs="仿宋"/>
          <w:color w:val="auto"/>
          <w:highlight w:val="none"/>
          <w:lang w:eastAsia="zh-CN"/>
        </w:rPr>
        <w:t>除合同约定或依法应由监理人、造价咨询人、设计顾问人行使的职权外，监理人、造价咨询人、设计顾问人可将其职权以书面形式授予其任命的监理人代表、造价咨询人代表、设计顾问人代表，亦可将其授权撤回。任何此类任命或撤回，至少提前</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天以书面形式通知发包人和承包人。未将有关文件送交发包人和承包人之前，任何此类任命或撤回均为无效。</w:t>
      </w:r>
    </w:p>
    <w:p w14:paraId="1978229F">
      <w:pPr>
        <w:spacing w:line="360" w:lineRule="auto"/>
        <w:rPr>
          <w:rFonts w:hint="eastAsia" w:ascii="仿宋" w:hAnsi="仿宋" w:eastAsia="仿宋"/>
          <w:b/>
          <w:bCs/>
          <w:color w:val="auto"/>
          <w:highlight w:val="none"/>
          <w:u w:val="single"/>
          <w:lang w:eastAsia="zh-CN"/>
        </w:rPr>
      </w:pPr>
    </w:p>
    <w:p w14:paraId="66097FAE">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19" w:name="_Toc19495"/>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5发包人代表</w:t>
      </w:r>
      <w:bookmarkEnd w:id="319"/>
    </w:p>
    <w:p w14:paraId="67B37644">
      <w:pPr>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5</w:t>
      </w:r>
      <w:r>
        <w:rPr>
          <w:rFonts w:ascii="仿宋" w:hAnsi="仿宋" w:eastAsia="仿宋" w:cs="仿宋"/>
          <w:b/>
          <w:bCs/>
          <w:color w:val="auto"/>
          <w:highlight w:val="none"/>
          <w:lang w:eastAsia="zh-CN"/>
        </w:rPr>
        <w:t>.1</w:t>
      </w:r>
    </w:p>
    <w:p w14:paraId="21312B26">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25824" behindDoc="0" locked="0" layoutInCell="1" allowOverlap="1">
                <wp:simplePos x="0" y="0"/>
                <wp:positionH relativeFrom="column">
                  <wp:posOffset>-114300</wp:posOffset>
                </wp:positionH>
                <wp:positionV relativeFrom="paragraph">
                  <wp:posOffset>53340</wp:posOffset>
                </wp:positionV>
                <wp:extent cx="851535" cy="459105"/>
                <wp:effectExtent l="0" t="0" r="0" b="0"/>
                <wp:wrapNone/>
                <wp:docPr id="539" name="文本框 760"/>
                <wp:cNvGraphicFramePr/>
                <a:graphic xmlns:a="http://schemas.openxmlformats.org/drawingml/2006/main">
                  <a:graphicData uri="http://schemas.microsoft.com/office/word/2010/wordprocessingShape">
                    <wps:wsp>
                      <wps:cNvSpPr txBox="1">
                        <a:spLocks noChangeArrowheads="1"/>
                      </wps:cNvSpPr>
                      <wps:spPr bwMode="auto">
                        <a:xfrm>
                          <a:off x="0" y="0"/>
                          <a:ext cx="851535" cy="459105"/>
                        </a:xfrm>
                        <a:prstGeom prst="rect">
                          <a:avLst/>
                        </a:prstGeom>
                        <a:noFill/>
                        <a:ln>
                          <a:noFill/>
                        </a:ln>
                        <a:effectLst/>
                      </wps:spPr>
                      <wps:txbx>
                        <w:txbxContent>
                          <w:p w14:paraId="5CA3F3EE">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发包人对其代表授权</w:t>
                            </w:r>
                          </w:p>
                        </w:txbxContent>
                      </wps:txbx>
                      <wps:bodyPr rot="0" vert="horz" wrap="square" lIns="91440" tIns="45720" rIns="91440" bIns="45720" anchor="t" anchorCtr="0" upright="1">
                        <a:noAutofit/>
                      </wps:bodyPr>
                    </wps:wsp>
                  </a:graphicData>
                </a:graphic>
              </wp:anchor>
            </w:drawing>
          </mc:Choice>
          <mc:Fallback>
            <w:pict>
              <v:shape id="文本框 760" o:spid="_x0000_s1026" o:spt="202" type="#_x0000_t202" style="position:absolute;left:0pt;margin-left:-9pt;margin-top:4.2pt;height:36.15pt;width:67.05pt;z-index:251725824;mso-width-relative:page;mso-height-relative:page;" filled="f" stroked="f" coordsize="21600,21600" o:gfxdata="UEsDBAoAAAAAAIdO4kAAAAAAAAAAAAAAAAAEAAAAZHJzL1BLAwQUAAAACACHTuJAyR9sIdUAAAAI&#10;AQAADwAAAGRycy9kb3ducmV2LnhtbE2PwU7DMBBE70j9B2srcWttV6WEEKeHIq4gWkDi5sbbJCJe&#10;R7HbhL9ne4LjaEYzb4rt5DtxwSG2gQzopQKBVAXXUm3g/fC8yEDEZMnZLhAa+MEI23J2U9jchZHe&#10;8LJPteASirk10KTU51LGqkFv4zL0SOydwuBtYjnU0g125HLfyZVSG+ltS7zQ2B53DVbf+7M38PFy&#10;+vpcq9f6yd/1Y5iUJP8gjbmda/UIIuGU/sJwxWd0KJnpGM7kougMLHTGX5KBbA3i6uuNBnFkre5B&#10;loX8f6D8BVBLAwQUAAAACACHTuJAnvmRmx8CAAAmBAAADgAAAGRycy9lMm9Eb2MueG1srVNLbtsw&#10;EN0X6B0I7mtZjpXEguUgjZGiQPoB0h6ApiiLqMRhh7Ql9wDNDbrqpvuey+foiJIdN91k0Y1Azgzf&#10;zHvzNL9q64ptFToNJuPxaMyZMhJybdYZ//zp9tUlZ84Lk4sKjMr4Tjl+tXj5Yt7YVE2ghCpXyAjE&#10;uLSxGS+9t2kUOVmqWrgRWGUoWQDWwtMV11GOoiH0uoom4/F51ADmFkEq5yi67JN8QMTnAEJRaKmW&#10;IDe1Mr5HRVUJT5Rcqa3jizBtUSjpPxSFU55VGSemPnypCZ1X3TdazEW6RmFLLYcRxHNGeMKpFtpQ&#10;0yPUUnjBNqj/gaq1RHBQ+JGEOuqJBEWIRTx+os19KawKXEhqZ4+iu/8HK99vPyLTecaTsxlnRtS0&#10;8v2Ph/3P3/tf39nFeZCosS6lyntLtb59DS0ZJ9B19g7kF8cM3JTCrNU1IjSlEjmNGHfiRidPu6W4&#10;1HUgq+Yd5NRJbDwEoLbAutOPFGGETuvZHdejWs8kBS+TODlLOJOUmiazeJyEDiI9PLbo/BsFNesO&#10;GUfafgAX2zvnu2FEeijpehm41VUVHFCZvwJU2EdUsNDw+jB9z8O3q5bedsEV5DsihdDbi34uOpSA&#10;3zhryFoZd183AhVn1VtDwszi6bTzYrhMk4sJXfA0szrNCCMJKuOes/5443v/bizqdUmd+lUYuCYx&#10;Cx2IPk41rIDsE/gPVu/8eXoPVY+/9+I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R9sIdUAAAAI&#10;AQAADwAAAAAAAAABACAAAAAiAAAAZHJzL2Rvd25yZXYueG1sUEsBAhQAFAAAAAgAh07iQJ75kZsf&#10;AgAAJgQAAA4AAAAAAAAAAQAgAAAAJAEAAGRycy9lMm9Eb2MueG1sUEsFBgAAAAAGAAYAWQEAALUF&#10;AAAAAA==&#10;">
                <v:fill on="f" focussize="0,0"/>
                <v:stroke on="f"/>
                <v:imagedata o:title=""/>
                <o:lock v:ext="edit" aspectratio="f"/>
                <v:textbox>
                  <w:txbxContent>
                    <w:p w14:paraId="5CA3F3EE">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发包人对其代表授权</w:t>
                      </w:r>
                    </w:p>
                  </w:txbxContent>
                </v:textbox>
              </v:shape>
            </w:pict>
          </mc:Fallback>
        </mc:AlternateContent>
      </w:r>
      <w:r>
        <w:rPr>
          <w:rFonts w:hint="eastAsia" w:ascii="仿宋" w:hAnsi="仿宋" w:eastAsia="仿宋" w:cs="仿宋"/>
          <w:color w:val="auto"/>
          <w:highlight w:val="none"/>
          <w:lang w:eastAsia="zh-CN"/>
        </w:rPr>
        <w:t>发包人应在专用条款中写明发包人代表具体人选，并在开工前将发包人代表任命书以书面形式通知承包人，授予其代表发包人履行合同约定职责所需的一切权力。除专用条款另有约定外，发包人不应对发包人代表的权力另有限制。</w:t>
      </w:r>
    </w:p>
    <w:p w14:paraId="19708A86">
      <w:pPr>
        <w:pStyle w:val="2"/>
        <w:tabs>
          <w:tab w:val="left" w:pos="1320"/>
          <w:tab w:val="left" w:pos="1620"/>
        </w:tabs>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2</w:t>
      </w:r>
      <w:r>
        <w:rPr>
          <w:rFonts w:hint="eastAsia" w:ascii="仿宋" w:hAnsi="仿宋" w:eastAsia="仿宋" w:cs="仿宋"/>
          <w:b/>
          <w:bCs/>
          <w:color w:val="auto"/>
          <w:sz w:val="24"/>
          <w:szCs w:val="24"/>
          <w:highlight w:val="none"/>
          <w:lang w:eastAsia="zh-CN"/>
        </w:rPr>
        <w:t>5</w:t>
      </w:r>
      <w:r>
        <w:rPr>
          <w:rFonts w:ascii="仿宋" w:hAnsi="仿宋" w:eastAsia="仿宋" w:cs="仿宋"/>
          <w:b/>
          <w:bCs/>
          <w:color w:val="auto"/>
          <w:sz w:val="24"/>
          <w:szCs w:val="24"/>
          <w:highlight w:val="none"/>
          <w:lang w:eastAsia="zh-CN"/>
        </w:rPr>
        <w:t>.2</w:t>
      </w:r>
    </w:p>
    <w:p w14:paraId="7187FE91">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726848" behindDoc="0" locked="0" layoutInCell="1" allowOverlap="1">
                <wp:simplePos x="0" y="0"/>
                <wp:positionH relativeFrom="column">
                  <wp:posOffset>-114300</wp:posOffset>
                </wp:positionH>
                <wp:positionV relativeFrom="paragraph">
                  <wp:posOffset>76200</wp:posOffset>
                </wp:positionV>
                <wp:extent cx="823595" cy="506730"/>
                <wp:effectExtent l="0" t="0" r="0" b="0"/>
                <wp:wrapNone/>
                <wp:docPr id="540" name="文本框 761"/>
                <wp:cNvGraphicFramePr/>
                <a:graphic xmlns:a="http://schemas.openxmlformats.org/drawingml/2006/main">
                  <a:graphicData uri="http://schemas.microsoft.com/office/word/2010/wordprocessingShape">
                    <wps:wsp>
                      <wps:cNvSpPr txBox="1">
                        <a:spLocks noChangeArrowheads="1"/>
                      </wps:cNvSpPr>
                      <wps:spPr bwMode="auto">
                        <a:xfrm>
                          <a:off x="0" y="0"/>
                          <a:ext cx="823595" cy="506730"/>
                        </a:xfrm>
                        <a:prstGeom prst="rect">
                          <a:avLst/>
                        </a:prstGeom>
                        <a:noFill/>
                        <a:ln>
                          <a:noFill/>
                        </a:ln>
                        <a:effectLst/>
                      </wps:spPr>
                      <wps:txbx>
                        <w:txbxContent>
                          <w:p w14:paraId="30CBE50C">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发包人代表职权</w:t>
                            </w:r>
                          </w:p>
                        </w:txbxContent>
                      </wps:txbx>
                      <wps:bodyPr rot="0" vert="horz" wrap="square" lIns="91440" tIns="45720" rIns="91440" bIns="45720" anchor="t" anchorCtr="0" upright="1">
                        <a:noAutofit/>
                      </wps:bodyPr>
                    </wps:wsp>
                  </a:graphicData>
                </a:graphic>
              </wp:anchor>
            </w:drawing>
          </mc:Choice>
          <mc:Fallback>
            <w:pict>
              <v:shape id="文本框 761" o:spid="_x0000_s1026" o:spt="202" type="#_x0000_t202" style="position:absolute;left:0pt;margin-left:-9pt;margin-top:6pt;height:39.9pt;width:64.85pt;z-index:251726848;mso-width-relative:page;mso-height-relative:page;" filled="f" stroked="f" coordsize="21600,21600" o:gfxdata="UEsDBAoAAAAAAIdO4kAAAAAAAAAAAAAAAAAEAAAAZHJzL1BLAwQUAAAACACHTuJAQnEjBdYAAAAJ&#10;AQAADwAAAGRycy9kb3ducmV2LnhtbE2PzU7DMBCE70i8g7VI3FrbFdA0xOkBxBXUH5C4ufE2iYjX&#10;Uew24e27PcFpNZrR7DfFevKdOOMQ20AG9FyBQKqCa6k2sN+9zTIQMVlytguEBn4xwrq8vSls7sJI&#10;GzxvUy24hGJuDTQp9bmUsWrQ2zgPPRJ7xzB4m1gOtXSDHbncd3Kh1JP0tiX+0NgeXxqsfrYnb+Dz&#10;/fj99aA+6lf/2I9hUpL8Shpzf6fVM4iEU/oLwxWf0aFkpkM4kYuiMzDTGW9JbCz4XgNaL0EcDKx0&#10;BrIs5P8F5QVQSwMEFAAAAAgAh07iQOI7pSsgAgAAJgQAAA4AAABkcnMvZTJvRG9jLnhtbK1TS27b&#10;MBDdF+gdCO5r2Y7tJILlII2RokD6AdIegKYoi6jEYYe0JfcA7Q266qb7nsvn6JB0XDfdZNGNwOEM&#10;38x78zS/6tuGbRU6Dabgo8GQM2UklNqsC/7xw+2LC86cF6YUDRhV8J1y/Grx/Nm8s7kaQw1NqZAR&#10;iHF5Zwtee2/zLHOyVq1wA7DKULICbIWnENdZiaIj9LbJxsPhLOsAS4sglXN0u0xJfkDEpwBCVWmp&#10;liA3rTI+oaJqhCdKrtbW8UWctqqU9O+qyinPmoITUx+/1ITOq/DNFnORr1HYWsvDCOIpIzzi1Apt&#10;qOkRaim8YBvU/0C1WiI4qPxAQpslIlERYjEaPtLmvhZWRS4ktbNH0d3/g5Vvt++R6bLg0wlpYkRL&#10;K99//7b/8Wv/8ys7n42CRJ11OVXeW6r1/UvoyTiRrrN3ID85ZuCmFmatrhGhq5UoacT4Mjt5mnBc&#10;AFl1b6CkTmLjIQL1FbZBP1KEETqNsjuuR/WeSbq8GJ9NL6ecSUpNh7Pzs7i+TOQPjy06/0pBy8Kh&#10;4Ejbj+Bie+c80aDSh5LQy8CtbprogMb8dUGF6UZFCx1eByph+sTD96v+IM0Kyh2RQkj2op+LDjXg&#10;F846slbB3eeNQMVZ89qQMJejSdDax2AyPR9TgKeZ1WlGGElQBfecpeONT/7dWNTrmjqlVRi4JjEr&#10;HYmGUdNUxDoEZJ/I/2D14M/TOFb9+b0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CcSMF1gAA&#10;AAkBAAAPAAAAAAAAAAEAIAAAACIAAABkcnMvZG93bnJldi54bWxQSwECFAAUAAAACACHTuJA4jul&#10;KyACAAAmBAAADgAAAAAAAAABACAAAAAlAQAAZHJzL2Uyb0RvYy54bWxQSwUGAAAAAAYABgBZAQAA&#10;twUAAAAA&#10;">
                <v:fill on="f" focussize="0,0"/>
                <v:stroke on="f"/>
                <v:imagedata o:title=""/>
                <o:lock v:ext="edit" aspectratio="f"/>
                <v:textbox>
                  <w:txbxContent>
                    <w:p w14:paraId="30CBE50C">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发包人代表职权</w:t>
                      </w:r>
                    </w:p>
                  </w:txbxContent>
                </v:textbox>
              </v:shape>
            </w:pict>
          </mc:Fallback>
        </mc:AlternateContent>
      </w:r>
      <w:r>
        <w:rPr>
          <w:rFonts w:hint="eastAsia" w:ascii="仿宋" w:hAnsi="仿宋" w:eastAsia="仿宋" w:cs="仿宋"/>
          <w:color w:val="auto"/>
          <w:highlight w:val="none"/>
          <w:lang w:eastAsia="zh-CN"/>
        </w:rPr>
        <w:t>发包人代表应代表发包人履行合同约定的职责、行使合同明文约定和必然隐含的权力，对发包人负责。发包人代表在发包人授予职权范围内工作，发包人应予认可。</w:t>
      </w:r>
    </w:p>
    <w:p w14:paraId="10353E90">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发包人代表应在发包人的授权范围内，负责处理合同履行过程中与发包人有关的具体事宜。发包人代表在授权范围内的行为由发包人承担法律责任。</w:t>
      </w:r>
    </w:p>
    <w:p w14:paraId="38E2A544">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p>
    <w:p w14:paraId="5155B585">
      <w:pPr>
        <w:spacing w:line="360" w:lineRule="auto"/>
        <w:rPr>
          <w:rFonts w:hint="eastAsia" w:ascii="仿宋" w:hAnsi="仿宋" w:eastAsia="仿宋" w:cs="仿宋"/>
          <w:b/>
          <w:bCs/>
          <w:color w:val="auto"/>
          <w:highlight w:val="none"/>
          <w:u w:val="single"/>
          <w:lang w:eastAsia="zh-CN"/>
        </w:rPr>
      </w:pPr>
    </w:p>
    <w:p w14:paraId="1D3D1B94">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20" w:name="_Toc12032"/>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6设计顾问人</w:t>
      </w:r>
      <w:bookmarkEnd w:id="320"/>
    </w:p>
    <w:p w14:paraId="77761EC7">
      <w:pPr>
        <w:tabs>
          <w:tab w:val="left" w:pos="1260"/>
        </w:tabs>
        <w:spacing w:line="400" w:lineRule="exact"/>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6</w:t>
      </w:r>
      <w:r>
        <w:rPr>
          <w:rFonts w:ascii="仿宋" w:hAnsi="仿宋" w:eastAsia="仿宋" w:cs="仿宋"/>
          <w:b/>
          <w:bCs/>
          <w:color w:val="auto"/>
          <w:highlight w:val="none"/>
          <w:lang w:eastAsia="zh-CN"/>
        </w:rPr>
        <w:t>.1</w:t>
      </w:r>
    </w:p>
    <w:p w14:paraId="1A012565">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78752" behindDoc="0" locked="0" layoutInCell="1" allowOverlap="1">
                <wp:simplePos x="0" y="0"/>
                <wp:positionH relativeFrom="column">
                  <wp:posOffset>-114300</wp:posOffset>
                </wp:positionH>
                <wp:positionV relativeFrom="paragraph">
                  <wp:posOffset>45720</wp:posOffset>
                </wp:positionV>
                <wp:extent cx="850900" cy="607060"/>
                <wp:effectExtent l="0" t="0" r="0" b="0"/>
                <wp:wrapNone/>
                <wp:docPr id="541" name="文本框 769"/>
                <wp:cNvGraphicFramePr/>
                <a:graphic xmlns:a="http://schemas.openxmlformats.org/drawingml/2006/main">
                  <a:graphicData uri="http://schemas.microsoft.com/office/word/2010/wordprocessingShape">
                    <wps:wsp>
                      <wps:cNvSpPr txBox="1">
                        <a:spLocks noChangeArrowheads="1"/>
                      </wps:cNvSpPr>
                      <wps:spPr bwMode="auto">
                        <a:xfrm>
                          <a:off x="0" y="0"/>
                          <a:ext cx="850900" cy="607060"/>
                        </a:xfrm>
                        <a:prstGeom prst="rect">
                          <a:avLst/>
                        </a:prstGeom>
                        <a:noFill/>
                        <a:ln>
                          <a:noFill/>
                        </a:ln>
                        <a:effectLst/>
                      </wps:spPr>
                      <wps:txbx>
                        <w:txbxContent>
                          <w:p w14:paraId="1CBD326B">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发包人对设计顾问人授权</w:t>
                            </w:r>
                          </w:p>
                        </w:txbxContent>
                      </wps:txbx>
                      <wps:bodyPr rot="0" vert="horz" wrap="square" lIns="91440" tIns="45720" rIns="91440" bIns="45720" anchor="t" anchorCtr="0" upright="1">
                        <a:noAutofit/>
                      </wps:bodyPr>
                    </wps:wsp>
                  </a:graphicData>
                </a:graphic>
              </wp:anchor>
            </w:drawing>
          </mc:Choice>
          <mc:Fallback>
            <w:pict>
              <v:shape id="文本框 769" o:spid="_x0000_s1026" o:spt="202" type="#_x0000_t202" style="position:absolute;left:0pt;margin-left:-9pt;margin-top:3.6pt;height:47.8pt;width:67pt;z-index:251978752;mso-width-relative:page;mso-height-relative:page;" filled="f" stroked="f" coordsize="21600,21600" o:gfxdata="UEsDBAoAAAAAAIdO4kAAAAAAAAAAAAAAAAAEAAAAZHJzL1BLAwQUAAAACACHTuJAtO/IYtYAAAAJ&#10;AQAADwAAAGRycy9kb3ducmV2LnhtbE2PwU7DMBBE70j9B2srcWvtRFDSEKeHVlxBtIDUmxtvk4h4&#10;HcVuE/6e7QluO5rR7JtiM7lOXHEIrScNyVKBQKq8banW8HF4WWQgQjRkTecJNfxggE05uytMbv1I&#10;73jdx1pwCYXcaGhi7HMpQ9WgM2HpeyT2zn5wJrIcamkHM3K562Sq1Eo60xJ/aEyP2war7/3Fafh8&#10;PR+/HtRbvXOP/egnJcmtpdb380Q9g4g4xb8w3PAZHUpmOvkL2SA6DYsk4y1Rw1MK4uYnK9YnPlSa&#10;gSwL+X9B+QtQSwMEFAAAAAgAh07iQKAWZv0fAgAAJgQAAA4AAABkcnMvZTJvRG9jLnhtbK1TS27b&#10;MBDdF+gdCO5ryYY/sWA5SGOkKJB+gLQHoCnKIipx2CFtKT1Ae4Ouuum+5/I5OqQU1003WXRDkJzh&#10;m3lvHleXXVOzg0KnweR8PEo5U0ZCoc0u5x8/3Ly44Mx5YQpRg1E5v1eOX66fP1u1NlMTqKAuFDIC&#10;MS5rbc4r722WJE5WqhFuBFYZCpaAjfB0xF1SoGgJvamTSZrOkxawsAhSOUe3mz7IB0R8CiCUpZZq&#10;A3LfKON7VFS18ETJVdo6vo7dlqWS/l1ZOuVZnXNi6uNKRWi/DWuyXolsh8JWWg4tiKe08IhTI7Sh&#10;oieojfCC7VH/A9VoieCg9CMJTdITiYoQi3H6SJu7SlgVuZDUzp5Ed/8PVr49vEemi5zPpmPOjGho&#10;5Mfv344/fh1/fmWL+TJI1FqXUeadpVzfvYSOjBPpOnsL8pNjBq4rYXbqChHaSomCWhyHl8nZ0x7H&#10;BZBt+wYKqiT2HiJQV2IT9CNFGKHTeO5P41GdZ5IuL2bpMqWIpNA8XaTzOL5EZA+PLTr/SkHDwibn&#10;SNOP4OJw63xoRmQPKaGWgRtd19EBtfnrghL7GxUtNLwOVEL3PQ/fbbtBmi0U90QKobcXfS7aVIBf&#10;OGvJWjl3n/cCFWf1a0PCLMfTafBiPExniwkd8DyyPY8IIwkq556zfnvte//uLepdRZX6URi4IjFL&#10;HYmGVvuuhhGQfSL/w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TvyGLWAAAA&#10;CQEAAA8AAAAAAAAAAQAgAAAAIgAAAGRycy9kb3ducmV2LnhtbFBLAQIUABQAAAAIAIdO4kCgFmb9&#10;HwIAACYEAAAOAAAAAAAAAAEAIAAAACUBAABkcnMvZTJvRG9jLnhtbFBLBQYAAAAABgAGAFkBAAC2&#10;BQAAAAA=&#10;">
                <v:fill on="f" focussize="0,0"/>
                <v:stroke on="f"/>
                <v:imagedata o:title=""/>
                <o:lock v:ext="edit" aspectratio="f"/>
                <v:textbox>
                  <w:txbxContent>
                    <w:p w14:paraId="1CBD326B">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发包人对设计顾问人授权</w:t>
                      </w:r>
                    </w:p>
                  </w:txbxContent>
                </v:textbox>
              </v:shape>
            </w:pict>
          </mc:Fallback>
        </mc:AlternateContent>
      </w:r>
      <w:r>
        <w:rPr>
          <w:rFonts w:hint="eastAsia" w:ascii="仿宋" w:hAnsi="仿宋" w:eastAsia="仿宋" w:cs="仿宋"/>
          <w:color w:val="auto"/>
          <w:highlight w:val="none"/>
          <w:lang w:eastAsia="zh-CN"/>
        </w:rPr>
        <w:t>发包人应在专用条款中写明协助其对工程勘察设计活动进行监督管理的设计顾问人名称及设计顾问人代表，并在开始工作前将设计顾问人及设计顾问人代表以书面形式通知承包人，授予其代表发包人履行合同约定职责所需的权力。</w:t>
      </w:r>
    </w:p>
    <w:p w14:paraId="6F034B8E">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6</w:t>
      </w:r>
      <w:r>
        <w:rPr>
          <w:rFonts w:ascii="仿宋" w:hAnsi="仿宋" w:eastAsia="仿宋" w:cs="仿宋"/>
          <w:b/>
          <w:bCs/>
          <w:color w:val="auto"/>
          <w:highlight w:val="none"/>
          <w:lang w:eastAsia="zh-CN"/>
        </w:rPr>
        <w:t>.2</w:t>
      </w:r>
    </w:p>
    <w:p w14:paraId="5594B1DD">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979776" behindDoc="0" locked="0" layoutInCell="1" allowOverlap="1">
                <wp:simplePos x="0" y="0"/>
                <wp:positionH relativeFrom="column">
                  <wp:posOffset>-114300</wp:posOffset>
                </wp:positionH>
                <wp:positionV relativeFrom="paragraph">
                  <wp:posOffset>-1270</wp:posOffset>
                </wp:positionV>
                <wp:extent cx="762635" cy="459740"/>
                <wp:effectExtent l="0" t="0" r="0" b="0"/>
                <wp:wrapNone/>
                <wp:docPr id="542" name="文本框 770"/>
                <wp:cNvGraphicFramePr/>
                <a:graphic xmlns:a="http://schemas.openxmlformats.org/drawingml/2006/main">
                  <a:graphicData uri="http://schemas.microsoft.com/office/word/2010/wordprocessingShape">
                    <wps:wsp>
                      <wps:cNvSpPr txBox="1">
                        <a:spLocks noChangeArrowheads="1"/>
                      </wps:cNvSpPr>
                      <wps:spPr bwMode="auto">
                        <a:xfrm>
                          <a:off x="0" y="0"/>
                          <a:ext cx="762635" cy="459740"/>
                        </a:xfrm>
                        <a:prstGeom prst="rect">
                          <a:avLst/>
                        </a:prstGeom>
                        <a:noFill/>
                        <a:ln>
                          <a:noFill/>
                        </a:ln>
                        <a:effectLst/>
                      </wps:spPr>
                      <wps:txbx>
                        <w:txbxContent>
                          <w:p w14:paraId="646B646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设计顾问人职权</w:t>
                            </w:r>
                          </w:p>
                        </w:txbxContent>
                      </wps:txbx>
                      <wps:bodyPr rot="0" vert="horz" wrap="square" lIns="91440" tIns="45720" rIns="91440" bIns="45720" anchor="t" anchorCtr="0" upright="1">
                        <a:noAutofit/>
                      </wps:bodyPr>
                    </wps:wsp>
                  </a:graphicData>
                </a:graphic>
              </wp:anchor>
            </w:drawing>
          </mc:Choice>
          <mc:Fallback>
            <w:pict>
              <v:shape id="文本框 770" o:spid="_x0000_s1026" o:spt="202" type="#_x0000_t202" style="position:absolute;left:0pt;margin-left:-9pt;margin-top:-0.1pt;height:36.2pt;width:60.05pt;z-index:251979776;mso-width-relative:page;mso-height-relative:page;" filled="f" stroked="f" coordsize="21600,21600" o:gfxdata="UEsDBAoAAAAAAIdO4kAAAAAAAAAAAAAAAAAEAAAAZHJzL1BLAwQUAAAACACHTuJAYKyyudUAAAAI&#10;AQAADwAAAGRycy9kb3ducmV2LnhtbE2PwU7DMBBE70j9B2uRuLV2LKBtGqeHIq4gCkXito23SUS8&#10;jmK3CX+Pe4LbrGY186bYTq4TFxpC69lAtlAgiCtvW64NfLw/z1cgQkS22HkmAz8UYFvObgrMrR/5&#10;jS77WIsUwiFHA02MfS5lqBpyGBa+J07eyQ8OYzqHWtoBxxTuOqmVepQOW04NDfa0a6j63p+dgcPL&#10;6evzXr3WT+6hH/2kJLu1NObuNlMbEJGm+PcMV/yEDmViOvoz2yA6A/NslbbEJDSIq690BuJoYKk1&#10;yLKQ/weUv1BLAwQUAAAACACHTuJAvasE2B8CAAAmBAAADgAAAGRycy9lMm9Eb2MueG1srVNLbtsw&#10;EN0X6B0I7mvZrj+NYDlIY6QokH6AtAegKcoiKnLYIW3JPUBzg6666b7n8jk6omTHTTdZdCOQM8M3&#10;770ZLS4bU7GdQq/BZnw0GHKmrIRc203GP3+6efGKMx+EzUUFVmV8rzy/XD5/tqhdqsZQQpUrZARi&#10;fVq7jJchuDRJvCyVEX4ATllKFoBGBLriJslR1IRuqmQ8HM6SGjB3CFJ5T9FVl+Q9Ij4FEIpCS7UC&#10;uTXKhg4VVSUCSfKldp4vI9uiUDJ8KAqvAqsyTkpD/FITOq/bb7JciHSDwpVa9hTEUyg80mSEttT0&#10;BLUSQbAt6n+gjJYIHoowkGCSTkh0hFSMho+8uSuFU1ELWe3dyXT//2Dl+91HZDrP+HQy5swKQyM/&#10;/Lg//Px9+PWdzefRotr5lCrvHNWG5jU0tDhRrne3IL94ZuG6FHajrhChLpXIieKoNTc5e9oOxae+&#10;BVnX7yCnTmIbIAI1BZrWP3KEETqNZ38aj2oCkxScz8azl1POJKUm04v5JHJLRHp87NCHNwoMaw8Z&#10;R5p+BBe7Wx9aMiI9lrS9LNzoqoobUNm/AlTYRVRcof71kX2nIzTrht62wTXkexKF0K0X/Vx0KAG/&#10;cVbTamXcf90KVJxVby0ZczGaEHUW4mUynY/pgueZ9XlGWElQGQ+cdcfr0O3v1qHelNSpG4WFKzKz&#10;0FHoA6t+BLQ+UX+/6u1+nt9j1cPvvfw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KyyudUAAAAI&#10;AQAADwAAAAAAAAABACAAAAAiAAAAZHJzL2Rvd25yZXYueG1sUEsBAhQAFAAAAAgAh07iQL2rBNgf&#10;AgAAJgQAAA4AAAAAAAAAAQAgAAAAJAEAAGRycy9lMm9Eb2MueG1sUEsFBgAAAAAGAAYAWQEAALUF&#10;AAAAAA==&#10;">
                <v:fill on="f" focussize="0,0"/>
                <v:stroke on="f"/>
                <v:imagedata o:title=""/>
                <o:lock v:ext="edit" aspectratio="f"/>
                <v:textbox>
                  <w:txbxContent>
                    <w:p w14:paraId="646B646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设计顾问人职权</w:t>
                      </w:r>
                    </w:p>
                  </w:txbxContent>
                </v:textbox>
              </v:shape>
            </w:pict>
          </mc:Fallback>
        </mc:AlternateContent>
      </w:r>
      <w:r>
        <w:rPr>
          <w:rFonts w:hint="eastAsia" w:ascii="仿宋" w:hAnsi="仿宋" w:eastAsia="仿宋" w:cs="仿宋"/>
          <w:color w:val="auto"/>
          <w:highlight w:val="none"/>
          <w:lang w:eastAsia="zh-CN"/>
        </w:rPr>
        <w:t>设计顾问人行使合同明文约定和必然隐含的职权，协助发包人负责建设方案优化调整、设计要求编写、工程材料比选、工程设备比选、限额设计管理、勘察设计进度检查、初步设计审核、施工图审核、专业工程设计图审核、设计文件深度检查、建筑信息模型（BIM）审核、设计</w:t>
      </w:r>
      <w:r>
        <w:rPr>
          <w:rFonts w:hint="eastAsia" w:ascii="仿宋" w:hAnsi="仿宋" w:eastAsia="仿宋"/>
          <w:color w:val="auto"/>
          <w:highlight w:val="none"/>
          <w:lang w:eastAsia="zh-CN"/>
        </w:rPr>
        <w:t>优化建议、设计变更审核、参与设计评审、参与竣工验收，</w:t>
      </w:r>
      <w:r>
        <w:rPr>
          <w:rFonts w:hint="eastAsia" w:ascii="仿宋" w:hAnsi="仿宋" w:eastAsia="仿宋" w:cs="仿宋"/>
          <w:color w:val="auto"/>
          <w:highlight w:val="none"/>
          <w:lang w:eastAsia="zh-CN"/>
        </w:rPr>
        <w:t>并及时向承包人提供勘察设计工作方面所需的批准、确认和通知等指令，保障工程勘察设计的进度、安全、质量与经济合理。设计顾问人无权免除或变更合同约定的合同任何一方当事人在合同履行期间的权利和义务。设计顾问人的具体咨询工作内容和工作权限，由合同当事人在专用条款中约定。</w:t>
      </w:r>
    </w:p>
    <w:p w14:paraId="5121AF91">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6</w:t>
      </w:r>
      <w:r>
        <w:rPr>
          <w:rFonts w:ascii="仿宋" w:hAnsi="仿宋" w:eastAsia="仿宋" w:cs="仿宋"/>
          <w:b/>
          <w:bCs/>
          <w:color w:val="auto"/>
          <w:highlight w:val="none"/>
          <w:lang w:eastAsia="zh-CN"/>
        </w:rPr>
        <w:t>.3</w:t>
      </w:r>
    </w:p>
    <w:p w14:paraId="39946C8E">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980800" behindDoc="0" locked="0" layoutInCell="1" allowOverlap="1">
                <wp:simplePos x="0" y="0"/>
                <wp:positionH relativeFrom="column">
                  <wp:posOffset>-114300</wp:posOffset>
                </wp:positionH>
                <wp:positionV relativeFrom="paragraph">
                  <wp:posOffset>0</wp:posOffset>
                </wp:positionV>
                <wp:extent cx="798830" cy="615950"/>
                <wp:effectExtent l="0" t="0" r="0" b="0"/>
                <wp:wrapNone/>
                <wp:docPr id="543" name="文本框 771"/>
                <wp:cNvGraphicFramePr/>
                <a:graphic xmlns:a="http://schemas.openxmlformats.org/drawingml/2006/main">
                  <a:graphicData uri="http://schemas.microsoft.com/office/word/2010/wordprocessingShape">
                    <wps:wsp>
                      <wps:cNvSpPr txBox="1">
                        <a:spLocks noChangeArrowheads="1"/>
                      </wps:cNvSpPr>
                      <wps:spPr bwMode="auto">
                        <a:xfrm>
                          <a:off x="0" y="0"/>
                          <a:ext cx="798830" cy="615950"/>
                        </a:xfrm>
                        <a:prstGeom prst="rect">
                          <a:avLst/>
                        </a:prstGeom>
                        <a:noFill/>
                        <a:ln>
                          <a:noFill/>
                        </a:ln>
                        <a:effectLst/>
                      </wps:spPr>
                      <wps:txbx>
                        <w:txbxContent>
                          <w:p w14:paraId="4B14E5C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设计顾问人职权限制</w:t>
                            </w:r>
                          </w:p>
                        </w:txbxContent>
                      </wps:txbx>
                      <wps:bodyPr rot="0" vert="horz" wrap="square" lIns="91440" tIns="45720" rIns="91440" bIns="45720" anchor="t" anchorCtr="0" upright="1">
                        <a:noAutofit/>
                      </wps:bodyPr>
                    </wps:wsp>
                  </a:graphicData>
                </a:graphic>
              </wp:anchor>
            </w:drawing>
          </mc:Choice>
          <mc:Fallback>
            <w:pict>
              <v:shape id="文本框 771" o:spid="_x0000_s1026" o:spt="202" type="#_x0000_t202" style="position:absolute;left:0pt;margin-left:-9pt;margin-top:0pt;height:48.5pt;width:62.9pt;z-index:251980800;mso-width-relative:page;mso-height-relative:page;" filled="f" stroked="f" coordsize="21600,21600" o:gfxdata="UEsDBAoAAAAAAIdO4kAAAAAAAAAAAAAAAAAEAAAAZHJzL1BLAwQUAAAACACHTuJA3l7g5NUAAAAH&#10;AQAADwAAAGRycy9kb3ducmV2LnhtbE2PwU7DMBBE70j8g7VI3Fo7CGibZtMDiCuIFpC4ufE2iRqv&#10;o9htwt+zPcFlpNWsZt4Um8l36kxDbAMjZHMDirgKruUa4WP3MluCismys11gQvihCJvy+qqwuQsj&#10;v9N5m2olIRxzi9Ck1Odax6ohb+M89MTiHcLgbZJzqLUb7CjhvtN3xjxqb1uWhsb29NRQddyePMLn&#10;6+H769681c/+oR/DZDT7lUa8vcnMGlSiKf09wwVf0KEUpn04sYuqQ5hlS9mSEEQvtlnIkj3CamFA&#10;l4X+z1/+AlBLAwQUAAAACACHTuJA/oXD5iACAAAmBAAADgAAAGRycy9lMm9Eb2MueG1srVPNjtMw&#10;EL4j8Q6W7zRtt922UdPVstUipOVHWngA13Eai8Rjxm6T8gDwBpy4cOe5+hyMnWwpy2UPXCKPZ/zN&#10;fN98WV61dcX2Cp0Gk/HRYMiZMhJybbYZ//jh9sWcM+eFyUUFRmX8oBy/Wj1/tmxsqsZQQpUrZARi&#10;XNrYjJfe2zRJnCxVLdwArDKULABr4SnEbZKjaAi9rpLxcHiZNIC5RZDKObpdd0neI+JTAKEotFRr&#10;kLtaGd+hoqqEJ0qu1NbxVZy2KJT074rCKc+qjBNTH7/UhM6b8E1WS5FuUdhSy34E8ZQRHnGqhTbU&#10;9AS1Fl6wHep/oGotERwUfiChTjoiURFiMRo+0ua+FFZFLiS1syfR3f+DlW/375HpPOPTyQVnRtS0&#10;8uP3b8cfv44/v7LZbBQkaqxLqfLeUq1vX0JLxol0nb0D+ckxAzelMFt1jQhNqUROI8aXydnTDscF&#10;kE3zBnLqJHYeIlBbYB30I0UYodN6Dqf1qNYzSZezxXx+QRlJqcvRdDGN60tE+vDYovOvFNQsHDKO&#10;tP0ILvZ3zhMNKn0oCb0M3Oqqig6ozF8XVNjdqGih/nWgEqbvePh20/bSbCA/ECmEzl70c9GhBPzC&#10;WUPWyrj7vBOoOKteGxJmMZpMghdjMJnOxhTgeWZznhFGElTGPWfd8cZ3/t1Z1NuSOnWrMHBNYhY6&#10;Eg2jdlMR6xCQfSL/3urBn+dxrPrz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5e4OTVAAAA&#10;BwEAAA8AAAAAAAAAAQAgAAAAIgAAAGRycy9kb3ducmV2LnhtbFBLAQIUABQAAAAIAIdO4kD+hcPm&#10;IAIAACYEAAAOAAAAAAAAAAEAIAAAACQBAABkcnMvZTJvRG9jLnhtbFBLBQYAAAAABgAGAFkBAAC2&#10;BQAAAAA=&#10;">
                <v:fill on="f" focussize="0,0"/>
                <v:stroke on="f"/>
                <v:imagedata o:title=""/>
                <o:lock v:ext="edit" aspectratio="f"/>
                <v:textbox>
                  <w:txbxContent>
                    <w:p w14:paraId="4B14E5C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设计顾问人职权限制</w:t>
                      </w:r>
                    </w:p>
                  </w:txbxContent>
                </v:textbox>
              </v:shape>
            </w:pict>
          </mc:Fallback>
        </mc:AlternateContent>
      </w:r>
      <w:r>
        <w:rPr>
          <w:rFonts w:hint="eastAsia" w:ascii="仿宋" w:hAnsi="仿宋" w:eastAsia="仿宋" w:cs="仿宋"/>
          <w:color w:val="auto"/>
          <w:highlight w:val="none"/>
          <w:lang w:eastAsia="zh-CN"/>
        </w:rPr>
        <w:t>除属于第91条约定的争议外，设计顾问人在职权范围内的工作，发包人应予认可，但下列事项应事先取得发包人的专项批准：</w:t>
      </w:r>
    </w:p>
    <w:p w14:paraId="214B298D">
      <w:pPr>
        <w:widowControl w:val="0"/>
        <w:tabs>
          <w:tab w:val="left" w:pos="126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（1）批准承包人提供的配合施工的大样图、加工图等施工设计图纸；</w:t>
      </w:r>
    </w:p>
    <w:p w14:paraId="4EBFDC93">
      <w:pPr>
        <w:widowControl w:val="0"/>
        <w:tabs>
          <w:tab w:val="left" w:pos="12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（2）根据第5.1款约定发出的发包人要求（包括限额设计指标）；</w:t>
      </w:r>
    </w:p>
    <w:p w14:paraId="325DC0E4">
      <w:pPr>
        <w:widowControl w:val="0"/>
        <w:tabs>
          <w:tab w:val="left" w:pos="126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（3）根据第6.1款约定发出的项目基础资料；</w:t>
      </w:r>
    </w:p>
    <w:p w14:paraId="61173923">
      <w:pPr>
        <w:widowControl w:val="0"/>
        <w:tabs>
          <w:tab w:val="left" w:pos="126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（4）根据第37条、38条约定批准或发出关于勘察、设计文件的指令；</w:t>
      </w:r>
    </w:p>
    <w:p w14:paraId="1A3CEE7B">
      <w:pPr>
        <w:widowControl w:val="0"/>
        <w:tabs>
          <w:tab w:val="left" w:pos="12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（5）根据第41</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款约定批准或发出关于勘察、设计方面开始工作的指令；</w:t>
      </w:r>
    </w:p>
    <w:p w14:paraId="56F4592D">
      <w:pPr>
        <w:widowControl w:val="0"/>
        <w:tabs>
          <w:tab w:val="left" w:pos="12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（6）根据第44</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款约定批准或发出关于勘察、设计方面工作进度的变更指令；</w:t>
      </w:r>
    </w:p>
    <w:p w14:paraId="3A310BE9">
      <w:pPr>
        <w:widowControl w:val="0"/>
        <w:tabs>
          <w:tab w:val="left" w:pos="12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（7）根据第63条约定批准或发出关于工程变更技术审核方面的指令；</w:t>
      </w:r>
    </w:p>
    <w:p w14:paraId="221B164B">
      <w:pPr>
        <w:widowControl w:val="0"/>
        <w:tabs>
          <w:tab w:val="left" w:pos="12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（8）专用条款约定关于勘察设计方面需要发包人确认或批准的其他事项。</w:t>
      </w:r>
    </w:p>
    <w:p w14:paraId="071059F6">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6</w:t>
      </w:r>
      <w:r>
        <w:rPr>
          <w:rFonts w:ascii="仿宋" w:hAnsi="仿宋" w:eastAsia="仿宋" w:cs="仿宋"/>
          <w:b/>
          <w:bCs/>
          <w:color w:val="auto"/>
          <w:highlight w:val="none"/>
          <w:lang w:eastAsia="zh-CN"/>
        </w:rPr>
        <w:t>.4</w:t>
      </w:r>
    </w:p>
    <w:p w14:paraId="7788710D">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81824" behindDoc="0" locked="0" layoutInCell="1" allowOverlap="1">
                <wp:simplePos x="0" y="0"/>
                <wp:positionH relativeFrom="column">
                  <wp:posOffset>-114300</wp:posOffset>
                </wp:positionH>
                <wp:positionV relativeFrom="paragraph">
                  <wp:posOffset>0</wp:posOffset>
                </wp:positionV>
                <wp:extent cx="878205" cy="444500"/>
                <wp:effectExtent l="0" t="0" r="0" b="0"/>
                <wp:wrapNone/>
                <wp:docPr id="544" name="文本框 772"/>
                <wp:cNvGraphicFramePr/>
                <a:graphic xmlns:a="http://schemas.openxmlformats.org/drawingml/2006/main">
                  <a:graphicData uri="http://schemas.microsoft.com/office/word/2010/wordprocessingShape">
                    <wps:wsp>
                      <wps:cNvSpPr txBox="1">
                        <a:spLocks noChangeArrowheads="1"/>
                      </wps:cNvSpPr>
                      <wps:spPr bwMode="auto">
                        <a:xfrm>
                          <a:off x="0" y="0"/>
                          <a:ext cx="878205" cy="444500"/>
                        </a:xfrm>
                        <a:prstGeom prst="rect">
                          <a:avLst/>
                        </a:prstGeom>
                        <a:noFill/>
                        <a:ln>
                          <a:noFill/>
                        </a:ln>
                        <a:effectLst/>
                      </wps:spPr>
                      <wps:txbx>
                        <w:txbxContent>
                          <w:p w14:paraId="27BDD56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设计顾问人指令</w:t>
                            </w:r>
                          </w:p>
                        </w:txbxContent>
                      </wps:txbx>
                      <wps:bodyPr rot="0" vert="horz" wrap="square" lIns="91440" tIns="45720" rIns="91440" bIns="45720" anchor="t" anchorCtr="0" upright="1">
                        <a:noAutofit/>
                      </wps:bodyPr>
                    </wps:wsp>
                  </a:graphicData>
                </a:graphic>
              </wp:anchor>
            </w:drawing>
          </mc:Choice>
          <mc:Fallback>
            <w:pict>
              <v:shape id="文本框 772" o:spid="_x0000_s1026" o:spt="202" type="#_x0000_t202" style="position:absolute;left:0pt;margin-left:-9pt;margin-top:0pt;height:35pt;width:69.15pt;z-index:251981824;mso-width-relative:page;mso-height-relative:page;" filled="f" stroked="f" coordsize="21600,21600" o:gfxdata="UEsDBAoAAAAAAIdO4kAAAAAAAAAAAAAAAAAEAAAAZHJzL1BLAwQUAAAACACHTuJAr057ZdUAAAAH&#10;AQAADwAAAGRycy9kb3ducmV2LnhtbE2PzU7DMBCE70i8g7VI3Fpvyk9LyKYHEFcQBSpxc+NtEhGv&#10;o9htwtvjnuhlpdGMZr4t1pPr1JGH0HohyOYIiqXytpWa4PPjZbYCFaIRazovTPDLAdbl5UVhcutH&#10;eefjJtYqlUjIDUETY59rHaqGnQlz37Mkb+8HZ2KSQ63tYMZU7jq9QLzXzrSSFhrT81PD1c/m4Ai+&#10;Xvff21t8q5/dXT/6CbW4B010fZXhI6jIU/wPwwk/oUOZmHb+IDaojmCWrdIvkSDdk73AG1A7giUi&#10;6LLQ5/zlH1BLAwQUAAAACACHTuJA4l+oHx8CAAAmBAAADgAAAGRycy9lMm9Eb2MueG1srVPNjtMw&#10;EL4j8Q6W7zRpldIlarpatlqEtPxICw/gOk5jkXjM2G1SHgDegBMX7jxXn4Oxky1lueyBi2V7xt/M&#10;983n5WXfNmyv0GkwBZ9OUs6UkVBqsy34xw83zy44c16YUjRgVMEPyvHL1dMny87magY1NKVCRiDG&#10;5Z0teO29zZPEyVq1wk3AKkPBCrAVno64TUoUHaG3TTJL0+dJB1haBKmco9v1EOQjIj4GEKpKS7UG&#10;uWuV8QMqqkZ4ouRqbR1fxW6rSkn/rqqc8qwpODH1caUitN+ENVktRb5FYWstxxbEY1p4wKkV2lDR&#10;E9RaeMF2qP+BarVEcFD5iYQ2GYhERYjFNH2gzV0trIpcSGpnT6K7/wcr3+7fI9NlwedZxpkRLY38&#10;+P3b8cev48+vbLGYBYk663LKvLOU6/uX0JNxIl1nb0F+cszAdS3MVl0hQlcrUVKL0/AyOXs64LgA&#10;suneQEmVxM5DBOorbIN+pAgjdBrP4TQe1Xsm6fJicTFL55xJCmVZNk/j+BKR3z+26PwrBS0Lm4Ij&#10;TT+Ci/2t86EZkd+nhFoGbnTTRAc05q8LShxuVLTQ+DpQCd0PPHy/6UdpNlAeiBTCYC/6XLSpAb9w&#10;1pG1Cu4+7wQqzprXhoR5Mc2y4MV4yOaLGR3wPLI5jwgjCargnrNhe+0H/+4s6m1NlYZRGLgiMSsd&#10;iYZWh67GEZB9Iv/R6sGf5+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r057ZdUAAAAH&#10;AQAADwAAAAAAAAABACAAAAAiAAAAZHJzL2Rvd25yZXYueG1sUEsBAhQAFAAAAAgAh07iQOJfqB8f&#10;AgAAJgQAAA4AAAAAAAAAAQAgAAAAJAEAAGRycy9lMm9Eb2MueG1sUEsFBgAAAAAGAAYAWQEAALUF&#10;AAAAAA==&#10;">
                <v:fill on="f" focussize="0,0"/>
                <v:stroke on="f"/>
                <v:imagedata o:title=""/>
                <o:lock v:ext="edit" aspectratio="f"/>
                <v:textbox>
                  <w:txbxContent>
                    <w:p w14:paraId="27BDD56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设计顾问人指令</w:t>
                      </w:r>
                    </w:p>
                  </w:txbxContent>
                </v:textbox>
              </v:shape>
            </w:pict>
          </mc:Fallback>
        </mc:AlternateContent>
      </w:r>
      <w:r>
        <w:rPr>
          <w:rFonts w:hint="eastAsia" w:ascii="仿宋" w:hAnsi="仿宋" w:eastAsia="仿宋" w:cs="仿宋"/>
          <w:color w:val="auto"/>
          <w:highlight w:val="none"/>
          <w:lang w:eastAsia="zh-CN"/>
        </w:rPr>
        <w:t>设计顾问人应按照合同约定时间向承包人提供实施合同工程的勘察、设计、BIM技术应用、竣工验收等工作所需的核实、调整和通知等指令。</w:t>
      </w:r>
    </w:p>
    <w:p w14:paraId="6E2FBC75">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设计顾问人提供的指令，首先应通过发包人批准，并采用书面形式。在紧急情况下，设计顾问工程师可发出口头指令，但应在</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小时内给予书面确认。对设计顾问工程师的口头指令，承包人应予执行。如果承包人在设计顾问工程师发出的口头指令</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小时后未收到书面确认，则应在接到口头指令后的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天内向设计顾问人发出书面确认函。设计顾问咨询人应在承包人发出书面确认函后</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小时内给予答复；逾期未予答复的，视为承包人的书面确认函已被认可。</w:t>
      </w:r>
    </w:p>
    <w:p w14:paraId="31DF9C78">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6</w:t>
      </w:r>
      <w:r>
        <w:rPr>
          <w:rFonts w:ascii="仿宋" w:hAnsi="仿宋" w:eastAsia="仿宋" w:cs="仿宋"/>
          <w:b/>
          <w:bCs/>
          <w:color w:val="auto"/>
          <w:highlight w:val="none"/>
          <w:lang w:eastAsia="zh-CN"/>
        </w:rPr>
        <w:t>.5</w:t>
      </w:r>
    </w:p>
    <w:p w14:paraId="7ECABEC8">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82848" behindDoc="0" locked="0" layoutInCell="1" allowOverlap="1">
                <wp:simplePos x="0" y="0"/>
                <wp:positionH relativeFrom="column">
                  <wp:posOffset>-114300</wp:posOffset>
                </wp:positionH>
                <wp:positionV relativeFrom="paragraph">
                  <wp:posOffset>15240</wp:posOffset>
                </wp:positionV>
                <wp:extent cx="786130" cy="583565"/>
                <wp:effectExtent l="0" t="0" r="0" b="0"/>
                <wp:wrapNone/>
                <wp:docPr id="545" name="文本框 773"/>
                <wp:cNvGraphicFramePr/>
                <a:graphic xmlns:a="http://schemas.openxmlformats.org/drawingml/2006/main">
                  <a:graphicData uri="http://schemas.microsoft.com/office/word/2010/wordprocessingShape">
                    <wps:wsp>
                      <wps:cNvSpPr txBox="1">
                        <a:spLocks noChangeArrowheads="1"/>
                      </wps:cNvSpPr>
                      <wps:spPr bwMode="auto">
                        <a:xfrm>
                          <a:off x="0" y="0"/>
                          <a:ext cx="786130" cy="583565"/>
                        </a:xfrm>
                        <a:prstGeom prst="rect">
                          <a:avLst/>
                        </a:prstGeom>
                        <a:noFill/>
                        <a:ln>
                          <a:noFill/>
                        </a:ln>
                        <a:effectLst/>
                      </wps:spPr>
                      <wps:txbx>
                        <w:txbxContent>
                          <w:p w14:paraId="5E0D9E7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承包人执行设计顾问人指令</w:t>
                            </w:r>
                          </w:p>
                        </w:txbxContent>
                      </wps:txbx>
                      <wps:bodyPr rot="0" vert="horz" wrap="square" lIns="91440" tIns="45720" rIns="91440" bIns="45720" anchor="t" anchorCtr="0" upright="1">
                        <a:noAutofit/>
                      </wps:bodyPr>
                    </wps:wsp>
                  </a:graphicData>
                </a:graphic>
              </wp:anchor>
            </w:drawing>
          </mc:Choice>
          <mc:Fallback>
            <w:pict>
              <v:shape id="文本框 773" o:spid="_x0000_s1026" o:spt="202" type="#_x0000_t202" style="position:absolute;left:0pt;margin-left:-9pt;margin-top:1.2pt;height:45.95pt;width:61.9pt;z-index:251982848;mso-width-relative:page;mso-height-relative:page;" filled="f" stroked="f" coordsize="21600,21600" o:gfxdata="UEsDBAoAAAAAAIdO4kAAAAAAAAAAAAAAAAAEAAAAZHJzL1BLAwQUAAAACACHTuJAJezT0tYAAAAI&#10;AQAADwAAAGRycy9kb3ducmV2LnhtbE2PwW7CMBBE75X6D9ZW4gZ2ICAI2XBo1WurAq3EzcRLEjVe&#10;R7Eh6d/XnNrjalYz7+W70bbiRr1vHCMkMwWCuHSm4QrheHidrkH4oNno1jEh/JCHXfH4kOvMuIE/&#10;6LYPlYgl7DONUIfQZVL6siar/cx1xDG7uN7qEM++kqbXQyy3rZwrtZJWNxwXat3Rc03l9/5qET7f&#10;LqevVL1XL3bZDW5Uku1GIk6eErUFEWgMf89wx4/oUESms7uy8aJFmCbr6BIQ5imIe66WUeWMsEkX&#10;IItc/hcofgFQSwMEFAAAAAgAh07iQDyQFvseAgAAJgQAAA4AAABkcnMvZTJvRG9jLnhtbK1TS27b&#10;MBDdF+gdCO5r+W9XsBykMVIUSD9A2gPQFGURlTjskLaUHqC5QVfddN9z+RwdUorrppssuiFIzvDN&#10;vDePq4u2rthBodNgMj4aDDlTRkKuzS7jnz5ev1hy5rwwuajAqIzfKccv1s+frRqbqjGUUOUKGYEY&#10;lzY246X3Nk0SJ0tVCzcAqwwFC8BaeDriLslRNIReV8l4OJwnDWBuEaRyjm43XZD3iPgUQCgKLdUG&#10;5L5WxneoqCrhiZIrtXV8HbstCiX9+6JwyrMq48TUx5WK0H4b1mS9EukOhS217FsQT2nhEadaaENF&#10;T1Ab4QXbo/4HqtYSwUHhBxLqpCMSFSEWo+EjbW5LYVXkQlI7exLd/T9Y+e7wAZnOMz6bzjgzoqaR&#10;H7/fH3/8Ov78xhaLSZCosS6lzFtLub59BS0ZJ9J19gbkZ8cMXJXC7NQlIjSlEjm1OAovk7OnHY4L&#10;INvmLeRUSew9RKC2wDroR4owQqfx3J3Go1rPJF0ulvPRhCKSQrPlZDafxQoifXhs0fnXCmoWNhlH&#10;mn4EF4cb50MzIn1ICbUMXOuqig6ozF8XlNjdqGih/nWgErrvePh22/bSbCG/I1IInb3oc9GmBPzK&#10;WUPWyrj7sheoOKveGBLm5Wg6DV6Mh+lsMaYDnke25xFhJEFl3HPWba9859+9Rb0rqVI3CgOXJGah&#10;I9HQatdVPwKyT+TfWz348/wcs/587/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JezT0tYAAAAI&#10;AQAADwAAAAAAAAABACAAAAAiAAAAZHJzL2Rvd25yZXYueG1sUEsBAhQAFAAAAAgAh07iQDyQFvse&#10;AgAAJgQAAA4AAAAAAAAAAQAgAAAAJQEAAGRycy9lMm9Eb2MueG1sUEsFBgAAAAAGAAYAWQEAALUF&#10;AAAAAA==&#10;">
                <v:fill on="f" focussize="0,0"/>
                <v:stroke on="f"/>
                <v:imagedata o:title=""/>
                <o:lock v:ext="edit" aspectratio="f"/>
                <v:textbox>
                  <w:txbxContent>
                    <w:p w14:paraId="5E0D9E70">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承包人执行设计顾问人指令</w:t>
                      </w:r>
                    </w:p>
                  </w:txbxContent>
                </v:textbox>
              </v:shape>
            </w:pict>
          </mc:Fallback>
        </mc:AlternateContent>
      </w:r>
      <w:r>
        <w:rPr>
          <w:rFonts w:hint="eastAsia" w:ascii="仿宋" w:hAnsi="仿宋" w:eastAsia="仿宋" w:cs="仿宋"/>
          <w:color w:val="auto"/>
          <w:highlight w:val="none"/>
          <w:lang w:eastAsia="zh-CN"/>
        </w:rPr>
        <w:t>如果承包人认为设计顾问人的指令不合理，应在收到指令后</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小时内向设计顾问人提出书面报告，设计顾问人应在收到承包人报告后</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小时内做出修改指令或继续执行原指令的决定，报经发包人批准后书面通知承包人。逾期不做出决定的，承包人可不执行设计顾问人的指令。</w:t>
      </w:r>
    </w:p>
    <w:p w14:paraId="035EFE75">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6</w:t>
      </w:r>
      <w:r>
        <w:rPr>
          <w:rFonts w:ascii="仿宋" w:hAnsi="仿宋" w:eastAsia="仿宋" w:cs="仿宋"/>
          <w:b/>
          <w:bCs/>
          <w:color w:val="auto"/>
          <w:highlight w:val="none"/>
          <w:lang w:eastAsia="zh-CN"/>
        </w:rPr>
        <w:t>.6</w:t>
      </w:r>
    </w:p>
    <w:p w14:paraId="6210A14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83872" behindDoc="0" locked="0" layoutInCell="1" allowOverlap="1">
                <wp:simplePos x="0" y="0"/>
                <wp:positionH relativeFrom="column">
                  <wp:posOffset>-114300</wp:posOffset>
                </wp:positionH>
                <wp:positionV relativeFrom="paragraph">
                  <wp:posOffset>0</wp:posOffset>
                </wp:positionV>
                <wp:extent cx="794385" cy="507365"/>
                <wp:effectExtent l="0" t="0" r="0" b="0"/>
                <wp:wrapNone/>
                <wp:docPr id="546" name="文本框 774"/>
                <wp:cNvGraphicFramePr/>
                <a:graphic xmlns:a="http://schemas.openxmlformats.org/drawingml/2006/main">
                  <a:graphicData uri="http://schemas.microsoft.com/office/word/2010/wordprocessingShape">
                    <wps:wsp>
                      <wps:cNvSpPr txBox="1">
                        <a:spLocks noChangeArrowheads="1"/>
                      </wps:cNvSpPr>
                      <wps:spPr bwMode="auto">
                        <a:xfrm>
                          <a:off x="0" y="0"/>
                          <a:ext cx="794385" cy="507365"/>
                        </a:xfrm>
                        <a:prstGeom prst="rect">
                          <a:avLst/>
                        </a:prstGeom>
                        <a:noFill/>
                        <a:ln>
                          <a:noFill/>
                        </a:ln>
                        <a:effectLst/>
                      </wps:spPr>
                      <wps:txbx>
                        <w:txbxContent>
                          <w:p w14:paraId="4BDB3B2B">
                            <w:pPr>
                              <w:spacing w:line="240" w:lineRule="exact"/>
                              <w:rPr>
                                <w:rFonts w:ascii="宋体"/>
                                <w:sz w:val="18"/>
                                <w:szCs w:val="18"/>
                              </w:rPr>
                            </w:pPr>
                            <w:r>
                              <w:rPr>
                                <w:rFonts w:hint="eastAsia" w:ascii="楷体_GB2312" w:hAnsi="宋体" w:eastAsia="楷体_GB2312" w:cs="楷体_GB2312"/>
                                <w:b/>
                                <w:bCs/>
                                <w:color w:val="000000"/>
                                <w:sz w:val="18"/>
                                <w:szCs w:val="18"/>
                              </w:rPr>
                              <w:t>设计顾问人职权委托</w:t>
                            </w:r>
                          </w:p>
                        </w:txbxContent>
                      </wps:txbx>
                      <wps:bodyPr rot="0" vert="horz" wrap="square" lIns="91440" tIns="45720" rIns="91440" bIns="45720" anchor="t" anchorCtr="0" upright="1">
                        <a:noAutofit/>
                      </wps:bodyPr>
                    </wps:wsp>
                  </a:graphicData>
                </a:graphic>
              </wp:anchor>
            </w:drawing>
          </mc:Choice>
          <mc:Fallback>
            <w:pict>
              <v:shape id="文本框 774" o:spid="_x0000_s1026" o:spt="202" type="#_x0000_t202" style="position:absolute;left:0pt;margin-left:-9pt;margin-top:0pt;height:39.95pt;width:62.55pt;z-index:251983872;mso-width-relative:page;mso-height-relative:page;" filled="f" stroked="f" coordsize="21600,21600" o:gfxdata="UEsDBAoAAAAAAIdO4kAAAAAAAAAAAAAAAAAEAAAAZHJzL1BLAwQUAAAACACHTuJAH0maXNUAAAAH&#10;AQAADwAAAGRycy9kb3ducmV2LnhtbE2PwU7DMBBE70j8g7VI3Np1ENAmZNMDiCuIFpC4ufE2iYjX&#10;Uew24e9xT3BZaTSjmbflZna9OvEYOi8E2VKDYqm97aQheN89L9agQjRiTe+FCX44wKa6vChNYf0k&#10;b3zaxkalEgmFIWhjHArEULfsTFj6gSV5Bz86E5McG7SjmVK56/FG63t0ppO00JqBH1uuv7dHR/Dx&#10;cvj6vNWvzZO7GyY/axSXI9H1VaYfQEWe418YzvgJHarEtPdHsUH1BItsnX6JBOmebb3KQO0JVnkO&#10;WJX4n7/6BVBLAwQUAAAACACHTuJAlcRvQyACAAAmBAAADgAAAGRycy9lMm9Eb2MueG1srVNLbtsw&#10;EN0X6B0I7mvZjmwnguUgjZGiQPoB0h6ApiiLqMRhh7Sl9ADtDbrqpvuey+fokFJcN91k0Q1BcoZv&#10;5r15XF52Tc32Cp0Gk/PJaMyZMhIKbbY5//jh5sU5Z84LU4gajMr5vXL8cvX82bK1mZpCBXWhkBGI&#10;cVlrc155b7MkcbJSjXAjsMpQsARshKcjbpMCRUvoTZ1Mx+N50gIWFkEq5+h23Qf5gIhPAYSy1FKt&#10;Qe4aZXyPiqoWnii5SlvHV7HbslTSvytLpzyrc05MfVypCO03YU1WS5FtUdhKy6EF8ZQWHnFqhDZU&#10;9Ai1Fl6wHep/oBotERyUfiShSXoiURFiMRk/0uauElZFLiS1s0fR3f+DlW/375HpIuezdM6ZEQ2N&#10;/PD92+HHr8PPr2yxSINErXUZZd5ZyvXdS+jIOJGus7cgPzlm4LoSZquuEKGtlCioxUl4mZw87XFc&#10;ANm0b6CgSmLnIQJ1JTZBP1KEETqN5/44HtV5JulycZGenc84kxSajRdn81msILKHxxadf6WgYWGT&#10;c6TpR3Cxv3U+NCOyh5RQy8CNruvogNr8dUGJ/Y2KFhpeByqh+56H7zbdIM0GinsihdDbiz4XbSrA&#10;L5y1ZK2cu887gYqz+rUhYS4maRq8GA/pbDGlA55GNqcRYSRB5dxz1m+vfe/fnUW9rahSPwoDVyRm&#10;qSPR0Grf1TACsk/kP1g9+PP0HLP+fO/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9JmlzVAAAA&#10;BwEAAA8AAAAAAAAAAQAgAAAAIgAAAGRycy9kb3ducmV2LnhtbFBLAQIUABQAAAAIAIdO4kCVxG9D&#10;IAIAACYEAAAOAAAAAAAAAAEAIAAAACQBAABkcnMvZTJvRG9jLnhtbFBLBQYAAAAABgAGAFkBAAC2&#10;BQAAAAA=&#10;">
                <v:fill on="f" focussize="0,0"/>
                <v:stroke on="f"/>
                <v:imagedata o:title=""/>
                <o:lock v:ext="edit" aspectratio="f"/>
                <v:textbox>
                  <w:txbxContent>
                    <w:p w14:paraId="4BDB3B2B">
                      <w:pPr>
                        <w:spacing w:line="240" w:lineRule="exact"/>
                        <w:rPr>
                          <w:rFonts w:ascii="宋体"/>
                          <w:sz w:val="18"/>
                          <w:szCs w:val="18"/>
                        </w:rPr>
                      </w:pPr>
                      <w:r>
                        <w:rPr>
                          <w:rFonts w:hint="eastAsia" w:ascii="楷体_GB2312" w:hAnsi="宋体" w:eastAsia="楷体_GB2312" w:cs="楷体_GB2312"/>
                          <w:b/>
                          <w:bCs/>
                          <w:color w:val="000000"/>
                          <w:sz w:val="18"/>
                          <w:szCs w:val="18"/>
                        </w:rPr>
                        <w:t>设计顾问人职权委托</w:t>
                      </w:r>
                    </w:p>
                  </w:txbxContent>
                </v:textbox>
              </v:shape>
            </w:pict>
          </mc:Fallback>
        </mc:AlternateContent>
      </w:r>
      <w:r>
        <w:rPr>
          <w:rFonts w:hint="eastAsia" w:ascii="仿宋" w:hAnsi="仿宋" w:eastAsia="仿宋" w:cs="仿宋"/>
          <w:color w:val="auto"/>
          <w:highlight w:val="none"/>
          <w:lang w:eastAsia="zh-CN"/>
        </w:rPr>
        <w:t>设计顾问人可按照第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4</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约定授权给其任命的设计顾问人代表，亦可将其授权撤回，设计顾问人代表行使设计顾问人授予的职权，对设计顾问人负责。设计顾问人代表在设计顾问人授予职权范围内工作，设计顾问人应予认可，但设计顾问人保留因设计顾问人代表未反对合同工程的勘察、设计、建筑信息模型（BIM）、竣工验收等方面的错误而否定该工作，并发出纠正指令的权力。</w:t>
      </w:r>
    </w:p>
    <w:p w14:paraId="6CA5539E">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6</w:t>
      </w:r>
      <w:r>
        <w:rPr>
          <w:rFonts w:ascii="仿宋" w:hAnsi="仿宋" w:eastAsia="仿宋" w:cs="仿宋"/>
          <w:b/>
          <w:bCs/>
          <w:color w:val="auto"/>
          <w:highlight w:val="none"/>
          <w:lang w:eastAsia="zh-CN"/>
        </w:rPr>
        <w:t>.7</w:t>
      </w:r>
    </w:p>
    <w:p w14:paraId="4A3455A2">
      <w:pPr>
        <w:widowControl w:val="0"/>
        <w:tabs>
          <w:tab w:val="left" w:pos="497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84896" behindDoc="0" locked="0" layoutInCell="1" allowOverlap="1">
                <wp:simplePos x="0" y="0"/>
                <wp:positionH relativeFrom="column">
                  <wp:posOffset>-114300</wp:posOffset>
                </wp:positionH>
                <wp:positionV relativeFrom="paragraph">
                  <wp:posOffset>0</wp:posOffset>
                </wp:positionV>
                <wp:extent cx="833120" cy="810260"/>
                <wp:effectExtent l="0" t="0" r="0" b="0"/>
                <wp:wrapNone/>
                <wp:docPr id="547" name="文本框 775"/>
                <wp:cNvGraphicFramePr/>
                <a:graphic xmlns:a="http://schemas.openxmlformats.org/drawingml/2006/main">
                  <a:graphicData uri="http://schemas.microsoft.com/office/word/2010/wordprocessingShape">
                    <wps:wsp>
                      <wps:cNvSpPr txBox="1">
                        <a:spLocks noChangeArrowheads="1"/>
                      </wps:cNvSpPr>
                      <wps:spPr bwMode="auto">
                        <a:xfrm>
                          <a:off x="0" y="0"/>
                          <a:ext cx="833120" cy="810260"/>
                        </a:xfrm>
                        <a:prstGeom prst="rect">
                          <a:avLst/>
                        </a:prstGeom>
                        <a:noFill/>
                        <a:ln>
                          <a:noFill/>
                        </a:ln>
                        <a:effectLst/>
                      </wps:spPr>
                      <wps:txbx>
                        <w:txbxContent>
                          <w:p w14:paraId="6FA6D236">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设计顾问人未尽义务或失误的责任</w:t>
                            </w:r>
                          </w:p>
                        </w:txbxContent>
                      </wps:txbx>
                      <wps:bodyPr rot="0" vert="horz" wrap="square" lIns="91440" tIns="45720" rIns="91440" bIns="45720" anchor="t" anchorCtr="0" upright="1">
                        <a:noAutofit/>
                      </wps:bodyPr>
                    </wps:wsp>
                  </a:graphicData>
                </a:graphic>
              </wp:anchor>
            </w:drawing>
          </mc:Choice>
          <mc:Fallback>
            <w:pict>
              <v:shape id="文本框 775" o:spid="_x0000_s1026" o:spt="202" type="#_x0000_t202" style="position:absolute;left:0pt;margin-left:-9pt;margin-top:0pt;height:63.8pt;width:65.6pt;z-index:251984896;mso-width-relative:page;mso-height-relative:page;" filled="f" stroked="f" coordsize="21600,21600" o:gfxdata="UEsDBAoAAAAAAIdO4kAAAAAAAAAAAAAAAAAEAAAAZHJzL1BLAwQUAAAACACHTuJAoXLiVNYAAAAI&#10;AQAADwAAAGRycy9kb3ducmV2LnhtbE2PT0/DMAzF70h8h8hI3DanBcYoTXcAcQUx/kjcssZrKxqn&#10;arK1fHu8E1wsW+/p+ffKzex7daQxdoENZEsNirgOruPGwPvb02INKibLzvaBycAPRdhU52elLVyY&#10;+JWO29QoCeFYWANtSkOBGOuWvI3LMBCLtg+jt0nOsUE32knCfY+51iv0tmP50NqBHlqqv7cHb+Dj&#10;ef/1ea1fmkd/M0xh1sj+Do25vMj0PahEc/ozwwlf0KESpl04sIuqN7DI1tIlGZB5krOrHNROlvx2&#10;BViV+L9A9QtQSwMEFAAAAAgAh07iQK9CY7ofAgAAJgQAAA4AAABkcnMvZTJvRG9jLnhtbK1TS27b&#10;MBDdF+gdCO5rWY4du4LlII2RokD6AdIegKYoi6jEYYe0pfQAzQ266qb7nsvn6JBSXDfdZNENQXKG&#10;b+a9eVxedE3N9gqdBpPzdDTmTBkJhTbbnH/6eP1iwZnzwhSiBqNyfqccv1g9f7ZsbaYmUEFdKGQE&#10;YlzW2pxX3tssSZysVCPcCKwyFCwBG+HpiNukQNESelMnk/H4PGkBC4sglXN0u+6DfEDEpwBCWWqp&#10;1iB3jTK+R0VVC0+UXKWt46vYbVkq6d+XpVOe1Tknpj6uVIT2m7Amq6XItihspeXQgnhKC484NUIb&#10;KnqEWgsv2A71P1CNlggOSj+S0CQ9kagIsUjHj7S5rYRVkQtJ7exRdPf/YOW7/Qdkusj5bDrnzIiG&#10;Rn74fn/48evw8xubz2dBota6jDJvLeX67hV0ZJxI19kbkJ8dM3BVCbNVl4jQVkoU1GIaXiYnT3sc&#10;F0A27VsoqJLYeYhAXYlN0I8UYYRO47k7jkd1nkm6XJydpROKSAot0vHkPI4vEdnDY4vOv1bQsLDJ&#10;OdL0I7jY3zgfmhHZQ0qoZeBa13V0QG3+uqDE/kZFCw2vA5XQfc/Dd5tukGYDxR2RQujtRZ+LNhXg&#10;V85aslbO3ZedQMVZ/caQMC/T6TR4MR6ms3nghKeRzWlEGElQOfec9dsr3/t3Z1FvK6rUj8LAJYlZ&#10;6kg0tNp3NYyA7BP5D1YP/jw9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Fy4lTWAAAA&#10;CAEAAA8AAAAAAAAAAQAgAAAAIgAAAGRycy9kb3ducmV2LnhtbFBLAQIUABQAAAAIAIdO4kCvQmO6&#10;HwIAACYEAAAOAAAAAAAAAAEAIAAAACUBAABkcnMvZTJvRG9jLnhtbFBLBQYAAAAABgAGAFkBAAC2&#10;BQAAAAA=&#10;">
                <v:fill on="f" focussize="0,0"/>
                <v:stroke on="f"/>
                <v:imagedata o:title=""/>
                <o:lock v:ext="edit" aspectratio="f"/>
                <v:textbox>
                  <w:txbxContent>
                    <w:p w14:paraId="6FA6D236">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设计顾问人未尽义务或失误的责任</w:t>
                      </w:r>
                    </w:p>
                  </w:txbxContent>
                </v:textbox>
              </v:shape>
            </w:pict>
          </mc:Fallback>
        </mc:AlternateContent>
      </w:r>
      <w:r>
        <w:rPr>
          <w:rFonts w:hint="eastAsia" w:ascii="仿宋" w:hAnsi="仿宋" w:eastAsia="仿宋" w:cs="仿宋"/>
          <w:color w:val="auto"/>
          <w:highlight w:val="none"/>
          <w:lang w:eastAsia="zh-CN"/>
        </w:rPr>
        <w:t>设计顾问人（含其代表）未能正确完成本合同约定的全部义务，或工作出现失误，导致费用的增加和（或）延误的工期，由发包人承担；给承包人造成损失的，发包人应予赔偿。</w:t>
      </w:r>
    </w:p>
    <w:p w14:paraId="2E4D713C">
      <w:pPr>
        <w:spacing w:line="360" w:lineRule="auto"/>
        <w:rPr>
          <w:color w:val="auto"/>
          <w:highlight w:val="none"/>
          <w:lang w:eastAsia="zh-CN"/>
        </w:rPr>
      </w:pPr>
    </w:p>
    <w:p w14:paraId="734C9E7E">
      <w:pPr>
        <w:pStyle w:val="6"/>
        <w:tabs>
          <w:tab w:val="left" w:pos="420"/>
        </w:tabs>
        <w:spacing w:before="120" w:beforeLines="50" w:after="120" w:afterLines="50" w:line="360" w:lineRule="auto"/>
        <w:rPr>
          <w:rFonts w:hint="eastAsia" w:ascii="仿宋" w:hAnsi="仿宋" w:eastAsia="仿宋"/>
          <w:bCs w:val="0"/>
          <w:color w:val="auto"/>
          <w:sz w:val="24"/>
          <w:szCs w:val="24"/>
          <w:highlight w:val="none"/>
          <w:lang w:eastAsia="zh-CN"/>
        </w:rPr>
      </w:pPr>
      <w:bookmarkStart w:id="321" w:name="_Toc1411"/>
      <w:r>
        <w:rPr>
          <w:rFonts w:ascii="仿宋" w:hAnsi="仿宋" w:eastAsia="仿宋" w:cs="仿宋"/>
          <w:bCs w:val="0"/>
          <w:color w:val="auto"/>
          <w:sz w:val="24"/>
          <w:szCs w:val="24"/>
          <w:highlight w:val="none"/>
          <w:lang w:eastAsia="zh-CN"/>
        </w:rPr>
        <w:t>2</w:t>
      </w:r>
      <w:r>
        <w:rPr>
          <w:rFonts w:hint="eastAsia" w:ascii="仿宋" w:hAnsi="仿宋" w:eastAsia="仿宋" w:cs="仿宋"/>
          <w:bCs w:val="0"/>
          <w:color w:val="auto"/>
          <w:sz w:val="24"/>
          <w:szCs w:val="24"/>
          <w:highlight w:val="none"/>
          <w:lang w:eastAsia="zh-CN"/>
        </w:rPr>
        <w:t>7监理人</w:t>
      </w:r>
      <w:bookmarkEnd w:id="321"/>
    </w:p>
    <w:p w14:paraId="47090FC4">
      <w:pPr>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.1</w:t>
      </w:r>
    </w:p>
    <w:p w14:paraId="0019E5D4">
      <w:pPr>
        <w:pStyle w:val="62"/>
        <w:widowControl w:val="0"/>
        <w:ind w:left="1850" w:leftChars="771"/>
        <w:jc w:val="both"/>
        <w:rPr>
          <w:rFonts w:hint="eastAsia" w:ascii="仿宋" w:hAnsi="仿宋" w:eastAsia="仿宋"/>
          <w:color w:val="auto"/>
          <w:highlight w:val="none"/>
          <w:lang w:eastAsia="zh-CN"/>
        </w:rPr>
      </w:pPr>
      <w:r>
        <w:rPr>
          <w:color w:val="auto"/>
          <w:highlight w:val="none"/>
          <w:lang w:eastAsia="zh-CN"/>
        </w:rPr>
        <mc:AlternateContent>
          <mc:Choice Requires="wps">
            <w:drawing>
              <wp:anchor distT="0" distB="0" distL="114300" distR="114300" simplePos="0" relativeHeight="251727872" behindDoc="0" locked="0" layoutInCell="1" allowOverlap="1">
                <wp:simplePos x="0" y="0"/>
                <wp:positionH relativeFrom="column">
                  <wp:posOffset>-114300</wp:posOffset>
                </wp:positionH>
                <wp:positionV relativeFrom="paragraph">
                  <wp:posOffset>53340</wp:posOffset>
                </wp:positionV>
                <wp:extent cx="823595" cy="454660"/>
                <wp:effectExtent l="0" t="0" r="0" b="0"/>
                <wp:wrapNone/>
                <wp:docPr id="548" name="文本框 762"/>
                <wp:cNvGraphicFramePr/>
                <a:graphic xmlns:a="http://schemas.openxmlformats.org/drawingml/2006/main">
                  <a:graphicData uri="http://schemas.microsoft.com/office/word/2010/wordprocessingShape">
                    <wps:wsp>
                      <wps:cNvSpPr txBox="1">
                        <a:spLocks noChangeArrowheads="1"/>
                      </wps:cNvSpPr>
                      <wps:spPr bwMode="auto">
                        <a:xfrm>
                          <a:off x="0" y="0"/>
                          <a:ext cx="823595" cy="454660"/>
                        </a:xfrm>
                        <a:prstGeom prst="rect">
                          <a:avLst/>
                        </a:prstGeom>
                        <a:noFill/>
                        <a:ln>
                          <a:noFill/>
                        </a:ln>
                        <a:effectLst/>
                      </wps:spPr>
                      <wps:txbx>
                        <w:txbxContent>
                          <w:p w14:paraId="33F1108F">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发包人对监理人授权</w:t>
                            </w:r>
                          </w:p>
                        </w:txbxContent>
                      </wps:txbx>
                      <wps:bodyPr rot="0" vert="horz" wrap="square" lIns="91440" tIns="45720" rIns="91440" bIns="45720" anchor="t" anchorCtr="0" upright="1">
                        <a:noAutofit/>
                      </wps:bodyPr>
                    </wps:wsp>
                  </a:graphicData>
                </a:graphic>
              </wp:anchor>
            </w:drawing>
          </mc:Choice>
          <mc:Fallback>
            <w:pict>
              <v:shape id="文本框 762" o:spid="_x0000_s1026" o:spt="202" type="#_x0000_t202" style="position:absolute;left:0pt;margin-left:-9pt;margin-top:4.2pt;height:35.8pt;width:64.85pt;z-index:251727872;mso-width-relative:page;mso-height-relative:page;" filled="f" stroked="f" coordsize="21600,21600" o:gfxdata="UEsDBAoAAAAAAIdO4kAAAAAAAAAAAAAAAAAEAAAAZHJzL1BLAwQUAAAACACHTuJAFjoC09UAAAAI&#10;AQAADwAAAGRycy9kb3ducmV2LnhtbE2PwU7DMBBE70j9B2uRuLW2UaFpGqeHIq4gCkXito23SUS8&#10;jmK3CX+Pe4LjaEYzb4rt5DpxoSG0ng3ohQJBXHnbcm3g4/15noEIEdli55kM/FCAbTm7KTC3fuQ3&#10;uuxjLVIJhxwNNDH2uZShashhWPieOHknPziMSQ61tAOOqdx18l6pR+mw5bTQYE+7hqrv/dkZOLyc&#10;vj6X6rV+cg/96Ccl2a2lMXe3Wm1ARJriXxiu+AkdysR09Ge2QXQG5jpLX6KBbAni6mu9AnFMWimQ&#10;ZSH/Hyh/AVBLAwQUAAAACACHTuJA2WWLoiACAAAmBAAADgAAAGRycy9lMm9Eb2MueG1srVNLbtsw&#10;EN0X6B0I7mvZruwkguUgjZGiQPoB0h6ApiiLqMRhh7Ql9wDNDbrqpvuey+fokFJcN91k0Q1BcoZv&#10;5r15XFx2Tc12Cp0Gk/PJaMyZMhIKbTY5//Tx5sU5Z84LU4gajMr5Xjl+uXz+bNHaTE2hgrpQyAjE&#10;uKy1Oa+8t1mSOFmpRrgRWGUoWAI2wtMRN0mBoiX0pk6m4/E8aQELiyCVc3S76oN8QMSnAEJZaqlW&#10;ILeNMr5HRVULT5Rcpa3jy9htWSrp35elU57VOSemPq5UhPbrsCbLhcg2KGyl5dCCeEoLjzg1Qhsq&#10;eoRaCS/YFvU/UI2WCA5KP5LQJD2RqAixmIwfaXNXCasiF5La2aPo7v/Byne7D8h0kfNZSoM3oqGR&#10;H77fH378Ovz8xs7m0yBRa11GmXeWcn33CjoyTqTr7C3Iz44ZuK6E2agrRGgrJQpqcRJeJidPexwX&#10;QNbtWyiokth6iEBdiU3QjxRhhE7j2R/HozrPJF2eT1/OLmacSQqls3Q+j+NLRPbw2KLzrxU0LGxy&#10;jjT9CC52t86HZkT2kBJqGbjRdR0dUJu/Liixv1HRQsPrQCV03/Pw3bobpFlDsSdSCL296HPRpgL8&#10;yllL1sq5+7IVqDir3xgS5mKSpsGL8ZDOzqZ0wNPI+jQijCSonHvO+u217/27tag3FVXqR2HgisQs&#10;dSQaWu27GkZA9on8B6sHf56eY9af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Y6AtPVAAAA&#10;CAEAAA8AAAAAAAAAAQAgAAAAIgAAAGRycy9kb3ducmV2LnhtbFBLAQIUABQAAAAIAIdO4kDZZYui&#10;IAIAACYEAAAOAAAAAAAAAAEAIAAAACQBAABkcnMvZTJvRG9jLnhtbFBLBQYAAAAABgAGAFkBAAC2&#10;BQAAAAA=&#10;">
                <v:fill on="f" focussize="0,0"/>
                <v:stroke on="f"/>
                <v:imagedata o:title=""/>
                <o:lock v:ext="edit" aspectratio="f"/>
                <v:textbox>
                  <w:txbxContent>
                    <w:p w14:paraId="33F1108F">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发包人对监理人授权</w:t>
                      </w:r>
                    </w:p>
                  </w:txbxContent>
                </v:textbox>
              </v:shape>
            </w:pict>
          </mc:Fallback>
        </mc:AlternateContent>
      </w:r>
      <w:r>
        <w:rPr>
          <w:rFonts w:hint="eastAsia" w:ascii="仿宋" w:hAnsi="仿宋" w:eastAsia="仿宋" w:cs="仿宋"/>
          <w:color w:val="auto"/>
          <w:highlight w:val="none"/>
          <w:lang w:eastAsia="zh-CN"/>
        </w:rPr>
        <w:t>发包人应在专用条款中写明负责合同工程监理的监理人名称和监理人代表，并在开工前将监理人及监理人代表以书面形式通知承包人，授予其代表发包人履行合同约定职责所需的权力。</w:t>
      </w:r>
    </w:p>
    <w:p w14:paraId="512224E8">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.2</w:t>
      </w:r>
    </w:p>
    <w:p w14:paraId="593D98B2">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28896" behindDoc="0" locked="0" layoutInCell="1" allowOverlap="1">
                <wp:simplePos x="0" y="0"/>
                <wp:positionH relativeFrom="column">
                  <wp:posOffset>-114300</wp:posOffset>
                </wp:positionH>
                <wp:positionV relativeFrom="paragraph">
                  <wp:posOffset>38100</wp:posOffset>
                </wp:positionV>
                <wp:extent cx="813435" cy="504825"/>
                <wp:effectExtent l="0" t="0" r="0" b="0"/>
                <wp:wrapNone/>
                <wp:docPr id="549" name="文本框 763"/>
                <wp:cNvGraphicFramePr/>
                <a:graphic xmlns:a="http://schemas.openxmlformats.org/drawingml/2006/main">
                  <a:graphicData uri="http://schemas.microsoft.com/office/word/2010/wordprocessingShape">
                    <wps:wsp>
                      <wps:cNvSpPr txBox="1">
                        <a:spLocks noChangeArrowheads="1"/>
                      </wps:cNvSpPr>
                      <wps:spPr bwMode="auto">
                        <a:xfrm>
                          <a:off x="0" y="0"/>
                          <a:ext cx="813435" cy="504825"/>
                        </a:xfrm>
                        <a:prstGeom prst="rect">
                          <a:avLst/>
                        </a:prstGeom>
                        <a:noFill/>
                        <a:ln>
                          <a:noFill/>
                        </a:ln>
                        <a:effectLst/>
                      </wps:spPr>
                      <wps:txbx>
                        <w:txbxContent>
                          <w:p w14:paraId="5515F56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w:t>
                            </w:r>
                          </w:p>
                        </w:txbxContent>
                      </wps:txbx>
                      <wps:bodyPr rot="0" vert="horz" wrap="square" lIns="91440" tIns="45720" rIns="91440" bIns="45720" anchor="t" anchorCtr="0" upright="1">
                        <a:noAutofit/>
                      </wps:bodyPr>
                    </wps:wsp>
                  </a:graphicData>
                </a:graphic>
              </wp:anchor>
            </w:drawing>
          </mc:Choice>
          <mc:Fallback>
            <w:pict>
              <v:shape id="文本框 763" o:spid="_x0000_s1026" o:spt="202" type="#_x0000_t202" style="position:absolute;left:0pt;margin-left:-9pt;margin-top:3pt;height:39.75pt;width:64.05pt;z-index:251728896;mso-width-relative:page;mso-height-relative:page;" filled="f" stroked="f" coordsize="21600,21600" o:gfxdata="UEsDBAoAAAAAAIdO4kAAAAAAAAAAAAAAAAAEAAAAZHJzL1BLAwQUAAAACACHTuJAQEzaK9YAAAAI&#10;AQAADwAAAGRycy9kb3ducmV2LnhtbE2PzU7DMBCE70i8g7VIvbW2UVOFkE0PoF6LKD8SNzfeJhHx&#10;OordJrw97glOo9WsZr4pt7PrxYXG0HlG0CsFgrj2tuMG4f1tt8xBhGjYmt4zIfxQgG11e1OawvqJ&#10;X+lyiI1IIRwKg9DGOBRShrolZ8LKD8TJO/nRmZjOsZF2NFMKd728V2ojnek4NbRmoKeW6u/D2SF8&#10;7E9fn2v10jy7bJj8rCS7B4m4uNPqEUSkOf49wxU/oUOVmI7+zDaIHmGp87QlImySXH2tNIgjQp5l&#10;IKtS/h9Q/QJQSwMEFAAAAAgAh07iQIpsqWQgAgAAJgQAAA4AAABkcnMvZTJvRG9jLnhtbK1TS27b&#10;MBDdF+gdCO5r+SMnjmA5SGOkKJB+gLQHoCnKIipx2CFtKT1Ae4Ouuum+5/I5OqQU1003WXRDkJzh&#10;m3lvHpeXXVOzvUKnweR8MhpzpoyEQpttzj9+uHmx4Mx5YQpRg1E5v1eOX66eP1u2NlNTqKAuFDIC&#10;MS5rbc4r722WJE5WqhFuBFYZCpaAjfB0xG1SoGgJvamT6Xh8lrSAhUWQyjm6XfdBPiDiUwChLLVU&#10;a5C7Rhnfo6KqhSdKrtLW8VXstiyV9O/K0inP6pwTUx9XKkL7TViT1VJkWxS20nJoQTylhUecGqEN&#10;FT1CrYUXbIf6H6hGSwQHpR9JaJKeSFSEWEzGj7S5q4RVkQtJ7exRdPf/YOXb/Xtkusj5PL3gzIiG&#10;Rn74/u3w49fh51d2fjYLErXWZZR5ZynXdy+hI+NEus7egvzkmIHrSpitukKEtlKioBYn4WVy8rTH&#10;cQFk076BgiqJnYcI1JXYBP1IEUboNJ7743hU55mky8Vkls7mnEkKzcfpYjqPFUT28Nii868UNCxs&#10;co40/Qgu9rfOh2ZE9pASahm40XUdHVCbvy4osb9R0ULD60AldN/z8N2mG6TZQHFPpBB6e9Hnok0F&#10;+IWzlqyVc/d5J1BxVr82JMzFJE2DF+MhnZ9P6YCnkc1pRBhJUDn3nPXba9/7d2dRbyuq1I/CwBWJ&#10;WepINLTadzWMgOwT+Q9WD/48PcesP9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ATNor1gAA&#10;AAgBAAAPAAAAAAAAAAEAIAAAACIAAABkcnMvZG93bnJldi54bWxQSwECFAAUAAAACACHTuJAimyp&#10;ZCACAAAmBAAADgAAAAAAAAABACAAAAAlAQAAZHJzL2Uyb0RvYy54bWxQSwUGAAAAAAYABgBZAQAA&#10;twUAAAAA&#10;">
                <v:fill on="f" focussize="0,0"/>
                <v:stroke on="f"/>
                <v:imagedata o:title=""/>
                <o:lock v:ext="edit" aspectratio="f"/>
                <v:textbox>
                  <w:txbxContent>
                    <w:p w14:paraId="5515F56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w:t>
                      </w:r>
                    </w:p>
                  </w:txbxContent>
                </v:textbox>
              </v:shape>
            </w:pict>
          </mc:Fallback>
        </mc:AlternateContent>
      </w:r>
      <w:r>
        <w:rPr>
          <w:rFonts w:hint="eastAsia" w:ascii="仿宋" w:hAnsi="仿宋" w:eastAsia="仿宋" w:cs="仿宋"/>
          <w:color w:val="auto"/>
          <w:highlight w:val="none"/>
          <w:lang w:eastAsia="zh-CN"/>
        </w:rPr>
        <w:t>监理人行使合同明文约定和必然隐含的职权，代表发包人负责监督、检查合同工程的施工进度、质量、投资（造价）和安全，试验和检验承包人使用的与合同工程有关的工程材料、工程设备、施工设备和施工工艺，及时向承包人提供工作所需的批准、确认和通知等指令。监理人无权免除或变更合同约定的合同任何一方当事人在合同履行期间的权利和义务。</w:t>
      </w:r>
    </w:p>
    <w:p w14:paraId="3913A338">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.3</w:t>
      </w:r>
    </w:p>
    <w:p w14:paraId="5F487F00">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29920" behindDoc="0" locked="0" layoutInCell="1" allowOverlap="1">
                <wp:simplePos x="0" y="0"/>
                <wp:positionH relativeFrom="column">
                  <wp:posOffset>-114300</wp:posOffset>
                </wp:positionH>
                <wp:positionV relativeFrom="paragraph">
                  <wp:posOffset>68580</wp:posOffset>
                </wp:positionV>
                <wp:extent cx="775970" cy="448310"/>
                <wp:effectExtent l="0" t="0" r="0" b="0"/>
                <wp:wrapNone/>
                <wp:docPr id="550" name="文本框 764"/>
                <wp:cNvGraphicFramePr/>
                <a:graphic xmlns:a="http://schemas.openxmlformats.org/drawingml/2006/main">
                  <a:graphicData uri="http://schemas.microsoft.com/office/word/2010/wordprocessingShape">
                    <wps:wsp>
                      <wps:cNvSpPr txBox="1">
                        <a:spLocks noChangeArrowheads="1"/>
                      </wps:cNvSpPr>
                      <wps:spPr bwMode="auto">
                        <a:xfrm>
                          <a:off x="0" y="0"/>
                          <a:ext cx="775970" cy="448310"/>
                        </a:xfrm>
                        <a:prstGeom prst="rect">
                          <a:avLst/>
                        </a:prstGeom>
                        <a:noFill/>
                        <a:ln>
                          <a:noFill/>
                        </a:ln>
                        <a:effectLst/>
                      </wps:spPr>
                      <wps:txbx>
                        <w:txbxContent>
                          <w:p w14:paraId="0359680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监理人职权限制</w:t>
                            </w:r>
                          </w:p>
                        </w:txbxContent>
                      </wps:txbx>
                      <wps:bodyPr rot="0" vert="horz" wrap="square" lIns="91440" tIns="45720" rIns="91440" bIns="45720" anchor="t" anchorCtr="0" upright="1">
                        <a:noAutofit/>
                      </wps:bodyPr>
                    </wps:wsp>
                  </a:graphicData>
                </a:graphic>
              </wp:anchor>
            </w:drawing>
          </mc:Choice>
          <mc:Fallback>
            <w:pict>
              <v:shape id="文本框 764" o:spid="_x0000_s1026" o:spt="202" type="#_x0000_t202" style="position:absolute;left:0pt;margin-left:-9pt;margin-top:5.4pt;height:35.3pt;width:61.1pt;z-index:251729920;mso-width-relative:page;mso-height-relative:page;" filled="f" stroked="f" coordsize="21600,21600" o:gfxdata="UEsDBAoAAAAAAIdO4kAAAAAAAAAAAAAAAAAEAAAAZHJzL1BLAwQUAAAACACHTuJAo9upu9UAAAAJ&#10;AQAADwAAAGRycy9kb3ducmV2LnhtbE2Py07DMBBF90j8gzVI7Fo7VUAhZNIFiC2I8pDYufE0iYjH&#10;Uew24e+ZrmA5uld3zqm2ix/UiabYB0bI1gYUcRNczy3C+9vTqgAVk2Vnh8CE8EMRtvXlRWVLF2Z+&#10;pdMutUpGOJYWoUtpLLWOTUfexnUYiSU7hMnbJOfUajfZWcb9oDfG3Gpve5YPnR3poaPme3f0CB/P&#10;h6/P3Ly0j/5mnMNiNPs7jXh9lZl7UImW9FeGM76gQy1M+3BkF9WAsMoKcUkSGFE4F0y+AbVHKLIc&#10;dF3p/wb1L1BLAwQUAAAACACHTuJAPD5LWB8CAAAmBAAADgAAAGRycy9lMm9Eb2MueG1srVNLbtsw&#10;EN0X6B0I7mvZrhwnguUgjZGiQPoB0h6ApiiLqMRhh7Ql9wDNDbrqpvuey+fokFJcN91k0Q1BcoZv&#10;3nszXFx2Tc12Cp0Gk/PJaMyZMhIKbTY5//Tx5sU5Z84LU4gajMr5Xjl+uXz+bNHaTE2hgrpQyAjE&#10;uKy1Oa+8t1mSOFmpRrgRWGUoWAI2wtMRN0mBoiX0pk6m4/FZ0gIWFkEq5+h21Qf5gIhPAYSy1FKt&#10;QG4bZXyPiqoWniS5SlvHl5FtWSrp35elU57VOSelPq5UhPbrsCbLhcg2KGyl5UBBPIXCI02N0IaK&#10;HqFWwgu2Rf0PVKMlgoPSjyQ0SS8kOkIqJuNH3txVwqqohax29mi6+3+w8t3uAzJd5Hw2I0+MaKjl&#10;h+/3hx+/Dj+/sflZGixqrcso885Sru9eQUeDE+U6ewvys2MGrithNuoKEdpKiYIoTsLL5ORpj+MC&#10;yLp9CwVVElsPEagrsQn+kSOM0InK/tge1Xkm6XI+n13MKSIplKbnLyexfYnIHh5bdP61goaFTc6R&#10;uh/Bxe7W+UBGZA8poZaBG13XcQJq89cFJfY3Ko7Q8DpICex7Hb5bd4M1ayj2JAqhHy/6XLSpAL9y&#10;1tJo5dx92QpUnNVvDBlzMUlTkuHjIZ3Np3TA08j6NCKMJKice8767bXv53drUW8qqtS3wsAVmVnq&#10;KDRQ7VkNLaDxifqHUQ/zeXqOWX++9/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9upu9UAAAAJ&#10;AQAADwAAAAAAAAABACAAAAAiAAAAZHJzL2Rvd25yZXYueG1sUEsBAhQAFAAAAAgAh07iQDw+S1gf&#10;AgAAJgQAAA4AAAAAAAAAAQAgAAAAJAEAAGRycy9lMm9Eb2MueG1sUEsFBgAAAAAGAAYAWQEAALUF&#10;AAAAAA==&#10;">
                <v:fill on="f" focussize="0,0"/>
                <v:stroke on="f"/>
                <v:imagedata o:title=""/>
                <o:lock v:ext="edit" aspectratio="f"/>
                <v:textbox>
                  <w:txbxContent>
                    <w:p w14:paraId="0359680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监理人职权限制</w:t>
                      </w:r>
                    </w:p>
                  </w:txbxContent>
                </v:textbox>
              </v:shape>
            </w:pict>
          </mc:Fallback>
        </mc:AlternateContent>
      </w:r>
      <w:r>
        <w:rPr>
          <w:rFonts w:hint="eastAsia" w:ascii="仿宋" w:hAnsi="仿宋" w:eastAsia="仿宋" w:cs="仿宋"/>
          <w:color w:val="auto"/>
          <w:highlight w:val="none"/>
          <w:lang w:eastAsia="zh-CN"/>
        </w:rPr>
        <w:t>除属于第91条约定的争议外，监理人在职权范围内的工作，发包人应予认可，但下列事项应事先取得发包人的专项批准：</w:t>
      </w:r>
    </w:p>
    <w:p w14:paraId="620A88CD">
      <w:pPr>
        <w:widowControl w:val="0"/>
        <w:numPr>
          <w:ilvl w:val="0"/>
          <w:numId w:val="9"/>
        </w:numPr>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根据第10</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款约定同意承包人分包工程；</w:t>
      </w:r>
    </w:p>
    <w:p w14:paraId="3FC5A980">
      <w:pPr>
        <w:widowControl w:val="0"/>
        <w:numPr>
          <w:ilvl w:val="0"/>
          <w:numId w:val="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根据第21</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款约定批准承包人将工程材料和工程设备、施工设备移出施工场地；</w:t>
      </w:r>
    </w:p>
    <w:p w14:paraId="56733477">
      <w:pPr>
        <w:widowControl w:val="0"/>
        <w:numPr>
          <w:ilvl w:val="0"/>
          <w:numId w:val="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根据第40条约定批准承包人的设备及工器具购置方案、施工组织设计和工程进度计划；</w:t>
      </w:r>
    </w:p>
    <w:p w14:paraId="7320BB03">
      <w:pPr>
        <w:widowControl w:val="0"/>
        <w:numPr>
          <w:ilvl w:val="0"/>
          <w:numId w:val="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根据第41</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款约定发出的工程开工令；</w:t>
      </w:r>
    </w:p>
    <w:p w14:paraId="0D4951C0">
      <w:pPr>
        <w:widowControl w:val="0"/>
        <w:numPr>
          <w:ilvl w:val="0"/>
          <w:numId w:val="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根据第44</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款约定发出加快进度的变更指令；</w:t>
      </w:r>
    </w:p>
    <w:p w14:paraId="2E255E29">
      <w:pPr>
        <w:widowControl w:val="0"/>
        <w:numPr>
          <w:ilvl w:val="0"/>
          <w:numId w:val="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根据第56.7款约定使用替换工程材料；</w:t>
      </w:r>
    </w:p>
    <w:p w14:paraId="63393C54">
      <w:pPr>
        <w:widowControl w:val="0"/>
        <w:numPr>
          <w:ilvl w:val="0"/>
          <w:numId w:val="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根据第73条约定发出使用暂列金额的工作指令；</w:t>
      </w:r>
    </w:p>
    <w:p w14:paraId="192E901D">
      <w:pPr>
        <w:widowControl w:val="0"/>
        <w:numPr>
          <w:ilvl w:val="0"/>
          <w:numId w:val="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根据第74条约定发出使用计日工的工作指令；</w:t>
      </w:r>
    </w:p>
    <w:p w14:paraId="59490DB2">
      <w:pPr>
        <w:widowControl w:val="0"/>
        <w:numPr>
          <w:ilvl w:val="0"/>
          <w:numId w:val="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根据第63条约定指令或批准的工程变更；</w:t>
      </w:r>
    </w:p>
    <w:p w14:paraId="6EFFC3D2">
      <w:pPr>
        <w:widowControl w:val="0"/>
        <w:numPr>
          <w:ilvl w:val="0"/>
          <w:numId w:val="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根据第81条约定指令或确认的现场签证；</w:t>
      </w:r>
    </w:p>
    <w:p w14:paraId="15DF6651">
      <w:pPr>
        <w:widowControl w:val="0"/>
        <w:numPr>
          <w:ilvl w:val="0"/>
          <w:numId w:val="9"/>
        </w:numPr>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专用条款约定需要发包人批准的其他事项。</w:t>
      </w:r>
    </w:p>
    <w:p w14:paraId="49FD7A73">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985920" behindDoc="0" locked="0" layoutInCell="1" allowOverlap="1">
                <wp:simplePos x="0" y="0"/>
                <wp:positionH relativeFrom="column">
                  <wp:posOffset>-114300</wp:posOffset>
                </wp:positionH>
                <wp:positionV relativeFrom="paragraph">
                  <wp:posOffset>278130</wp:posOffset>
                </wp:positionV>
                <wp:extent cx="914400" cy="430530"/>
                <wp:effectExtent l="0" t="0" r="0" b="0"/>
                <wp:wrapNone/>
                <wp:docPr id="551" name="文本框 765"/>
                <wp:cNvGraphicFramePr/>
                <a:graphic xmlns:a="http://schemas.openxmlformats.org/drawingml/2006/main">
                  <a:graphicData uri="http://schemas.microsoft.com/office/word/2010/wordprocessingShape">
                    <wps:wsp>
                      <wps:cNvSpPr txBox="1">
                        <a:spLocks noChangeArrowheads="1"/>
                      </wps:cNvSpPr>
                      <wps:spPr bwMode="auto">
                        <a:xfrm>
                          <a:off x="0" y="0"/>
                          <a:ext cx="914400" cy="430530"/>
                        </a:xfrm>
                        <a:prstGeom prst="rect">
                          <a:avLst/>
                        </a:prstGeom>
                        <a:noFill/>
                        <a:ln>
                          <a:noFill/>
                        </a:ln>
                        <a:effectLst/>
                      </wps:spPr>
                      <wps:txbx>
                        <w:txbxContent>
                          <w:p w14:paraId="449A2D78">
                            <w:pPr>
                              <w:spacing w:line="240" w:lineRule="exact"/>
                              <w:rPr>
                                <w:rFonts w:ascii="宋体"/>
                                <w:sz w:val="18"/>
                                <w:szCs w:val="18"/>
                              </w:rPr>
                            </w:pPr>
                            <w:r>
                              <w:rPr>
                                <w:rFonts w:hint="eastAsia" w:ascii="楷体_GB2312" w:hAnsi="宋体" w:eastAsia="楷体_GB2312" w:cs="楷体_GB2312"/>
                                <w:b/>
                                <w:bCs/>
                                <w:color w:val="000000"/>
                                <w:sz w:val="18"/>
                                <w:szCs w:val="18"/>
                              </w:rPr>
                              <w:t>监理人指令</w:t>
                            </w:r>
                          </w:p>
                        </w:txbxContent>
                      </wps:txbx>
                      <wps:bodyPr rot="0" vert="horz" wrap="square" lIns="91440" tIns="45720" rIns="91440" bIns="45720" anchor="t" anchorCtr="0" upright="1">
                        <a:noAutofit/>
                      </wps:bodyPr>
                    </wps:wsp>
                  </a:graphicData>
                </a:graphic>
              </wp:anchor>
            </w:drawing>
          </mc:Choice>
          <mc:Fallback>
            <w:pict>
              <v:shape id="文本框 765" o:spid="_x0000_s1026" o:spt="202" type="#_x0000_t202" style="position:absolute;left:0pt;margin-left:-9pt;margin-top:21.9pt;height:33.9pt;width:72pt;z-index:251985920;mso-width-relative:page;mso-height-relative:page;" filled="f" stroked="f" coordsize="21600,21600" o:gfxdata="UEsDBAoAAAAAAIdO4kAAAAAAAAAAAAAAAAAEAAAAZHJzL1BLAwQUAAAACACHTuJAjp2XENcAAAAK&#10;AQAADwAAAGRycy9kb3ducmV2LnhtbE2PzU7DMBCE70h9B2srcWttlxKVEKeHVlxBlB+Jmxtvk4h4&#10;HcVuE96e7Qluuzuj2W+K7eQ7ccEhtoEM6KUCgVQF11Jt4P3tabEBEZMlZ7tAaOAHI2zL2U1hcxdG&#10;esXLIdWCQyjm1kCTUp9LGasGvY3L0COxdgqDt4nXoZZusCOH+06ulMqkty3xh8b2uGuw+j6cvYGP&#10;59PX51q91Ht/349hUpL8gzTmdq7VI4iEU/ozwxWf0aFkpmM4k4uiM7DQG+6SDKzvuMLVsMr4cORB&#10;6wxkWcj/FcpfUEsDBBQAAAAIAIdO4kDZUkT+HQIAACYEAAAOAAAAZHJzL2Uyb0RvYy54bWytU82O&#10;0zAQviPxDpbvNGm33YWo6WrZahHS8iMtPIDjOI1F4jFjt0l5AHgDTly481x9DsZOtpTlsgculu0Z&#10;fzPfN5+Xl33bsJ1Cp8HkfDpJOVNGQqnNJucfP9w8e86Z88KUogGjcr5Xjl+unj5ZdjZTM6ihKRUy&#10;AjEu62zOa+9tliRO1qoVbgJWGQpWgK3wdMRNUqLoCL1tklmanicdYGkRpHKObtdDkI+I+BhAqCot&#10;1RrktlXGD6ioGuGJkqu1dXwVu60qJf27qnLKsybnxNTHlYrQvghrslqKbIPC1lqOLYjHtPCAUyu0&#10;oaJHqLXwgm1R/wPVaongoPITCW0yEImKEItp+kCbu1pYFbmQ1M4eRXf/D1a+3b1HpsucLxZTzoxo&#10;aeSH798OP34dfn5lF+eLIFFnXUaZd5Zyff8SejJOpOvsLchPjhm4roXZqCtE6GolSmpxGl4mJ08H&#10;HBdAiu4NlFRJbD1EoL7CNuhHijBCp/Hsj+NRvWeSLl9M5/OUIpJC87N0cRbHl4js/rFF518paFnY&#10;5Bxp+hFc7G6dD82I7D4l1DJwo5smOqAxf11Q4nCjooXG14FK6H7g4fuiH6UpoNwTKYTBXvS5aFMD&#10;fuGsI2vl3H3eClScNa8NCRN5kBfjYb64mBEnPI0UpxFhJEHl3HM2bK/94N+tRb2pqdIwCgNXJGal&#10;I9HQ6tDVOAKyT+Q/Wj348/Qcs/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jp2XENcAAAAK&#10;AQAADwAAAAAAAAABACAAAAAiAAAAZHJzL2Rvd25yZXYueG1sUEsBAhQAFAAAAAgAh07iQNlSRP4d&#10;AgAAJgQAAA4AAAAAAAAAAQAgAAAAJgEAAGRycy9lMm9Eb2MueG1sUEsFBgAAAAAGAAYAWQEAALUF&#10;AAAAAA==&#10;">
                <v:fill on="f" focussize="0,0"/>
                <v:stroke on="f"/>
                <v:imagedata o:title=""/>
                <o:lock v:ext="edit" aspectratio="f"/>
                <v:textbox>
                  <w:txbxContent>
                    <w:p w14:paraId="449A2D78">
                      <w:pPr>
                        <w:spacing w:line="240" w:lineRule="exact"/>
                        <w:rPr>
                          <w:rFonts w:ascii="宋体"/>
                          <w:sz w:val="18"/>
                          <w:szCs w:val="18"/>
                        </w:rPr>
                      </w:pPr>
                      <w:r>
                        <w:rPr>
                          <w:rFonts w:hint="eastAsia" w:ascii="楷体_GB2312" w:hAnsi="宋体" w:eastAsia="楷体_GB2312" w:cs="楷体_GB2312"/>
                          <w:b/>
                          <w:bCs/>
                          <w:color w:val="000000"/>
                          <w:sz w:val="18"/>
                          <w:szCs w:val="18"/>
                        </w:rPr>
                        <w:t>监理人指令</w:t>
                      </w:r>
                    </w:p>
                  </w:txbxContent>
                </v:textbox>
              </v:shape>
            </w:pict>
          </mc:Fallback>
        </mc:AlternateContent>
      </w: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.4</w:t>
      </w:r>
    </w:p>
    <w:p w14:paraId="03E04E9D">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监理人应按照合同约定时间向承包人提供实施合同工程的进度、质量和安全工作所需的批准、确认和通知等指令。</w:t>
      </w:r>
    </w:p>
    <w:p w14:paraId="5E7AD038">
      <w:pPr>
        <w:widowControl w:val="0"/>
        <w:tabs>
          <w:tab w:val="left" w:pos="1260"/>
        </w:tabs>
        <w:spacing w:line="360" w:lineRule="auto"/>
        <w:ind w:left="1850" w:leftChars="771"/>
        <w:jc w:val="both"/>
        <w:rPr>
          <w:rFonts w:hint="eastAsia" w:ascii="仿宋" w:hAnsi="仿宋" w:eastAsia="仿宋"/>
          <w:b/>
          <w:bCs/>
          <w:color w:val="auto"/>
          <w:highlight w:val="none"/>
          <w:lang w:eastAsia="zh-CN"/>
        </w:rPr>
      </w:pPr>
      <w:r>
        <w:rPr>
          <w:rFonts w:hint="eastAsia" w:ascii="仿宋" w:hAnsi="仿宋" w:eastAsia="仿宋" w:cs="仿宋"/>
          <w:color w:val="auto"/>
          <w:highlight w:val="none"/>
          <w:lang w:eastAsia="zh-CN"/>
        </w:rPr>
        <w:t>监理人提供的指令，均应采用书面形式。在紧急情况下，监理工程师可发出口头指令，但应在</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小时内给予书面确认。对监理工程师的口头指令，承包人应予执行。如果承包人在监理工程师发出口头指令</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小时后未收到书面确认，则应在接到口头指令后的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天内向监理人发出书面确认函。监理人应在承包人收到书面确认函后</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小时内给予答复；逾期未予答复的，视为承包人的书面确认函已被认可。</w:t>
      </w:r>
    </w:p>
    <w:p w14:paraId="69365779">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.5</w:t>
      </w:r>
    </w:p>
    <w:p w14:paraId="550905E7">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30944" behindDoc="0" locked="0" layoutInCell="1" allowOverlap="1">
                <wp:simplePos x="0" y="0"/>
                <wp:positionH relativeFrom="column">
                  <wp:posOffset>-114300</wp:posOffset>
                </wp:positionH>
                <wp:positionV relativeFrom="paragraph">
                  <wp:posOffset>49530</wp:posOffset>
                </wp:positionV>
                <wp:extent cx="785495" cy="480060"/>
                <wp:effectExtent l="0" t="0" r="0" b="0"/>
                <wp:wrapNone/>
                <wp:docPr id="552" name="文本框 766"/>
                <wp:cNvGraphicFramePr/>
                <a:graphic xmlns:a="http://schemas.openxmlformats.org/drawingml/2006/main">
                  <a:graphicData uri="http://schemas.microsoft.com/office/word/2010/wordprocessingShape">
                    <wps:wsp>
                      <wps:cNvSpPr txBox="1">
                        <a:spLocks noChangeArrowheads="1"/>
                      </wps:cNvSpPr>
                      <wps:spPr bwMode="auto">
                        <a:xfrm>
                          <a:off x="0" y="0"/>
                          <a:ext cx="785495" cy="480060"/>
                        </a:xfrm>
                        <a:prstGeom prst="rect">
                          <a:avLst/>
                        </a:prstGeom>
                        <a:noFill/>
                        <a:ln>
                          <a:noFill/>
                        </a:ln>
                        <a:effectLst/>
                      </wps:spPr>
                      <wps:txbx>
                        <w:txbxContent>
                          <w:p w14:paraId="4F66BE9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承包人执行监理人指令</w:t>
                            </w:r>
                          </w:p>
                        </w:txbxContent>
                      </wps:txbx>
                      <wps:bodyPr rot="0" vert="horz" wrap="square" lIns="91440" tIns="45720" rIns="91440" bIns="45720" anchor="t" anchorCtr="0" upright="1">
                        <a:noAutofit/>
                      </wps:bodyPr>
                    </wps:wsp>
                  </a:graphicData>
                </a:graphic>
              </wp:anchor>
            </w:drawing>
          </mc:Choice>
          <mc:Fallback>
            <w:pict>
              <v:shape id="文本框 766" o:spid="_x0000_s1026" o:spt="202" type="#_x0000_t202" style="position:absolute;left:0pt;margin-left:-9pt;margin-top:3.9pt;height:37.8pt;width:61.85pt;z-index:251730944;mso-width-relative:page;mso-height-relative:page;" filled="f" stroked="f" coordsize="21600,21600" o:gfxdata="UEsDBAoAAAAAAIdO4kAAAAAAAAAAAAAAAAAEAAAAZHJzL1BLAwQUAAAACACHTuJAdnp3UNYAAAAI&#10;AQAADwAAAGRycy9kb3ducmV2LnhtbE2PQU/CQBCF7yb+h82QeIPdKkitnXLQeJWISsJt6Q5tQ3e2&#10;6S60/nuXExwnb/Le9+Wr0bbiTL1vHCMkMwWCuHSm4Qrh5/tjmoLwQbPRrWNC+CMPq+L+LteZcQN/&#10;0XkTKhFL2GcaoQ6hy6T0ZU1W+5nriGN2cL3VIZ59JU2vh1huW/mo1LO0uuG4UOuO3moqj5uTRfj9&#10;POy2c7Wu3u2iG9yoJNsXifgwSdQriEBjuD7DBT+iQxGZ9u7ExosWYZqk0SUgLKPBJVeLJYg9Qvo0&#10;B1nk8lag+AdQSwMEFAAAAAgAh07iQGA4ZfwfAgAAJgQAAA4AAABkcnMvZTJvRG9jLnhtbK1TS27b&#10;MBDdF+gdCO5r2YZ/ESwHaYwUBdIPkPQANEVZRCUOO6QtuQdob9BVN933XD5HhpTiuukmi24IkjN8&#10;M+/N4/KyrSu2V+g0mIyPBkPOlJGQa7PN+Kf7m1cLzpwXJhcVGJXxg3L8cvXyxbKxqRpDCVWukBGI&#10;cWljM156b9MkcbJUtXADsMpQsACshacjbpMcRUPodZWMh8NZ0gDmFkEq5+h23QV5j4jPAYSi0FKt&#10;Qe5qZXyHiqoSnii5UlvHV7HbolDSfygKpzyrMk5MfVypCO03YU1WS5FuUdhSy74F8ZwWnnCqhTZU&#10;9AS1Fl6wHep/oGotERwUfiChTjoiURFiMRo+0eauFFZFLiS1syfR3f+Dle/3H5HpPOPT6ZgzI2oa&#10;+fHH9+PP38df39h8NgsSNdallHlnKde3r6El40S6zt6C/OyYgetSmK26QoSmVCKnFkfhZXL2tMNx&#10;AWTTvIOcKomdhwjUFlgH/UgRRug0nsNpPKr1TNLlfDGdXEw5kxSaLMhKcXyJSB8fW3T+jYKahU3G&#10;kaYfwcX+1vnQjEgfU0ItAze6qqIDKvPXBSV2NypaqH8dqITuOx6+3bS9NBvID0QKobMXfS7alIBf&#10;OWvIWhl3X3YCFWfVW0PCXIwmk+DFeJhM52M64Hlkcx4RRhJUxj1n3fbad/7dWdTbkip1ozBwRWIW&#10;OhINrXZd9SMg+0T+vdWDP8/PMevP9149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Z6d1DWAAAA&#10;CAEAAA8AAAAAAAAAAQAgAAAAIgAAAGRycy9kb3ducmV2LnhtbFBLAQIUABQAAAAIAIdO4kBgOGX8&#10;HwIAACYEAAAOAAAAAAAAAAEAIAAAACUBAABkcnMvZTJvRG9jLnhtbFBLBQYAAAAABgAGAFkBAAC2&#10;BQAAAAA=&#10;">
                <v:fill on="f" focussize="0,0"/>
                <v:stroke on="f"/>
                <v:imagedata o:title=""/>
                <o:lock v:ext="edit" aspectratio="f"/>
                <v:textbox>
                  <w:txbxContent>
                    <w:p w14:paraId="4F66BE9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承包人执行监理人指令</w:t>
                      </w:r>
                    </w:p>
                  </w:txbxContent>
                </v:textbox>
              </v:shape>
            </w:pict>
          </mc:Fallback>
        </mc:AlternateContent>
      </w:r>
      <w:r>
        <w:rPr>
          <w:rFonts w:hint="eastAsia" w:ascii="仿宋" w:hAnsi="仿宋" w:eastAsia="仿宋" w:cs="仿宋"/>
          <w:color w:val="auto"/>
          <w:highlight w:val="none"/>
          <w:lang w:eastAsia="zh-CN"/>
        </w:rPr>
        <w:t>如果承包人认为监理人的指令不合理，应在收到指令后</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小时内向监理人提出书面报告，监理人应在收到承包人报告后</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小时内做出修改指令或继续执行原指令的决定，并书面通知承包人。逾期不做出决定的，承包人可不执行监理人的指令。</w:t>
      </w:r>
    </w:p>
    <w:p w14:paraId="7E5E8116">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.6</w:t>
      </w:r>
    </w:p>
    <w:p w14:paraId="7A3B06DD">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31968" behindDoc="0" locked="0" layoutInCell="1" allowOverlap="1">
                <wp:simplePos x="0" y="0"/>
                <wp:positionH relativeFrom="column">
                  <wp:posOffset>-114300</wp:posOffset>
                </wp:positionH>
                <wp:positionV relativeFrom="paragraph">
                  <wp:posOffset>12065</wp:posOffset>
                </wp:positionV>
                <wp:extent cx="775970" cy="497840"/>
                <wp:effectExtent l="0" t="0" r="0" b="0"/>
                <wp:wrapNone/>
                <wp:docPr id="553" name="文本框 767"/>
                <wp:cNvGraphicFramePr/>
                <a:graphic xmlns:a="http://schemas.openxmlformats.org/drawingml/2006/main">
                  <a:graphicData uri="http://schemas.microsoft.com/office/word/2010/wordprocessingShape">
                    <wps:wsp>
                      <wps:cNvSpPr txBox="1">
                        <a:spLocks noChangeArrowheads="1"/>
                      </wps:cNvSpPr>
                      <wps:spPr bwMode="auto">
                        <a:xfrm>
                          <a:off x="0" y="0"/>
                          <a:ext cx="775970" cy="497840"/>
                        </a:xfrm>
                        <a:prstGeom prst="rect">
                          <a:avLst/>
                        </a:prstGeom>
                        <a:noFill/>
                        <a:ln>
                          <a:noFill/>
                        </a:ln>
                        <a:effectLst/>
                      </wps:spPr>
                      <wps:txbx>
                        <w:txbxContent>
                          <w:p w14:paraId="16E4299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监理人职权委托</w:t>
                            </w:r>
                          </w:p>
                        </w:txbxContent>
                      </wps:txbx>
                      <wps:bodyPr rot="0" vert="horz" wrap="square" lIns="91440" tIns="45720" rIns="91440" bIns="45720" anchor="t" anchorCtr="0" upright="1">
                        <a:noAutofit/>
                      </wps:bodyPr>
                    </wps:wsp>
                  </a:graphicData>
                </a:graphic>
              </wp:anchor>
            </w:drawing>
          </mc:Choice>
          <mc:Fallback>
            <w:pict>
              <v:shape id="文本框 767" o:spid="_x0000_s1026" o:spt="202" type="#_x0000_t202" style="position:absolute;left:0pt;margin-left:-9pt;margin-top:0.95pt;height:39.2pt;width:61.1pt;z-index:251731968;mso-width-relative:page;mso-height-relative:page;" filled="f" stroked="f" coordsize="21600,21600" o:gfxdata="UEsDBAoAAAAAAIdO4kAAAAAAAAAAAAAAAAAEAAAAZHJzL1BLAwQUAAAACACHTuJAu5sqmtUAAAAI&#10;AQAADwAAAGRycy9kb3ducmV2LnhtbE2Py07DMBBF90j8gzVI7Fo7paA0xOkCxBZEeUjspvE0iYjH&#10;Uew24e+ZrmA5OqN7zy23s+/VicbYBbaQLQ0o4jq4jhsL729PixxUTMgO+8Bk4YcibKvLixILFyZ+&#10;pdMuNUpCOBZooU1pKLSOdUse4zIMxMIOYfSY5Bwb7UacJNz3emXMnfbYsTS0ONBDS/X37ugtfDwf&#10;vj7X5qV59LfDFGaj2W+0tddXmbkHlWhOf89w1hd1qMRpH47souotLLJctiQBG1BnbtYrUHsLubkB&#10;XZX6/4DqF1BLAwQUAAAACACHTuJAMxjnKyACAAAmBAAADgAAAGRycy9lMm9Eb2MueG1srVNLbtsw&#10;EN0X6B0I7mvZrh3FguUgjZGiQPoB0h6ApiiLqMRhh7Sl9ADNDbrqpvuey+fokFJcN91k0Q1BcoZv&#10;3nszXF50Tc32Cp0Gk/PJaMyZMhIKbbY5//Tx+sU5Z84LU4gajMr5nXL8YvX82bK1mZpCBXWhkBGI&#10;cVlrc155b7MkcbJSjXAjsMpQsARshKcjbpMCRUvoTZ1Mx+OzpAUsLIJUztHtug/yARGfAghlqaVa&#10;g9w1yvgeFVUtPElylbaOryLbslTSvy9Lpzyrc05KfVypCO03YU1WS5FtUdhKy4GCeAqFR5oaoQ0V&#10;PUKthRdsh/ofqEZLBAelH0lokl5IdIRUTMaPvLmthFVRC1nt7NF09/9g5bv9B2S6yPl8/pIzIxpq&#10;+eH7/eHHr8PPbyw9S4NFrXUZZd5ayvXdK+hocKJcZ29AfnbMwFUlzFZdIkJbKVEQxUl4mZw87XFc&#10;ANm0b6GgSmLnIQJ1JTbBP3KEETq15+7YHtV5JukyTeeLlCKSQrNFej6L7UtE9vDYovOvFTQsbHKO&#10;1P0ILvY3zgcyIntICbUMXOu6jhNQm78uKLG/UXGEhtdBSmDf6/Ddphus2UBxR6IQ+vGiz0WbCvAr&#10;Zy2NVs7dl51AxVn9xpAxi8mMqDMfD7N5OqUDnkY2pxFhJEHl3HPWb698P787i3pbUaW+FQYuycxS&#10;R6GBas9qaAGNT9Q/jHqYz9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ubKprVAAAA&#10;CAEAAA8AAAAAAAAAAQAgAAAAIgAAAGRycy9kb3ducmV2LnhtbFBLAQIUABQAAAAIAIdO4kAzGOcr&#10;IAIAACYEAAAOAAAAAAAAAAEAIAAAACQBAABkcnMvZTJvRG9jLnhtbFBLBQYAAAAABgAGAFkBAAC2&#10;BQAAAAA=&#10;">
                <v:fill on="f" focussize="0,0"/>
                <v:stroke on="f"/>
                <v:imagedata o:title=""/>
                <o:lock v:ext="edit" aspectratio="f"/>
                <v:textbox>
                  <w:txbxContent>
                    <w:p w14:paraId="16E4299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监理人职权委托</w:t>
                      </w:r>
                    </w:p>
                  </w:txbxContent>
                </v:textbox>
              </v:shape>
            </w:pict>
          </mc:Fallback>
        </mc:AlternateContent>
      </w:r>
      <w:r>
        <w:rPr>
          <w:rFonts w:hint="eastAsia" w:ascii="仿宋" w:hAnsi="仿宋" w:eastAsia="仿宋" w:cs="仿宋"/>
          <w:color w:val="auto"/>
          <w:highlight w:val="none"/>
          <w:lang w:eastAsia="zh-CN"/>
        </w:rPr>
        <w:t>监理人可按照第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4</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约定授权给其任命的监理人代表，亦可将其授权撤回。监理人代表行使监理人授予的职权，对监理人负责。监理人代表在监理人授予职权范围内工作，监理人应予认可，但监理人保留发出指令以纠正监理人代表工作失误的权力。</w:t>
      </w:r>
    </w:p>
    <w:p w14:paraId="70F8E549">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.7</w:t>
      </w:r>
    </w:p>
    <w:p w14:paraId="7724BFCA">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32992" behindDoc="0" locked="0" layoutInCell="1" allowOverlap="1">
                <wp:simplePos x="0" y="0"/>
                <wp:positionH relativeFrom="column">
                  <wp:posOffset>-114300</wp:posOffset>
                </wp:positionH>
                <wp:positionV relativeFrom="paragraph">
                  <wp:posOffset>29210</wp:posOffset>
                </wp:positionV>
                <wp:extent cx="851535" cy="546100"/>
                <wp:effectExtent l="0" t="0" r="0" b="0"/>
                <wp:wrapNone/>
                <wp:docPr id="554" name="文本框 768"/>
                <wp:cNvGraphicFramePr/>
                <a:graphic xmlns:a="http://schemas.openxmlformats.org/drawingml/2006/main">
                  <a:graphicData uri="http://schemas.microsoft.com/office/word/2010/wordprocessingShape">
                    <wps:wsp>
                      <wps:cNvSpPr txBox="1">
                        <a:spLocks noChangeArrowheads="1"/>
                      </wps:cNvSpPr>
                      <wps:spPr bwMode="auto">
                        <a:xfrm>
                          <a:off x="0" y="0"/>
                          <a:ext cx="851535" cy="546100"/>
                        </a:xfrm>
                        <a:prstGeom prst="rect">
                          <a:avLst/>
                        </a:prstGeom>
                        <a:noFill/>
                        <a:ln>
                          <a:noFill/>
                        </a:ln>
                        <a:effectLst/>
                      </wps:spPr>
                      <wps:txbx>
                        <w:txbxContent>
                          <w:p w14:paraId="4EBDC5C4">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监理人未尽义务或失误的责任</w:t>
                            </w:r>
                          </w:p>
                        </w:txbxContent>
                      </wps:txbx>
                      <wps:bodyPr rot="0" vert="horz" wrap="square" lIns="91440" tIns="45720" rIns="91440" bIns="45720" anchor="t" anchorCtr="0" upright="1">
                        <a:noAutofit/>
                      </wps:bodyPr>
                    </wps:wsp>
                  </a:graphicData>
                </a:graphic>
              </wp:anchor>
            </w:drawing>
          </mc:Choice>
          <mc:Fallback>
            <w:pict>
              <v:shape id="文本框 768" o:spid="_x0000_s1026" o:spt="202" type="#_x0000_t202" style="position:absolute;left:0pt;margin-left:-9pt;margin-top:2.3pt;height:43pt;width:67.05pt;z-index:251732992;mso-width-relative:page;mso-height-relative:page;" filled="f" stroked="f" coordsize="21600,21600" o:gfxdata="UEsDBAoAAAAAAIdO4kAAAAAAAAAAAAAAAAAEAAAAZHJzL1BLAwQUAAAACACHTuJApUgxKtUAAAAI&#10;AQAADwAAAGRycy9kb3ducmV2LnhtbE2PwU7DMBBE70j9B2uRemttoxK1IZseirhSUQoSNzfeJhHx&#10;OordJvw97gmOoxnNvCm2k+vElYbQekbQSwWCuPK25Rrh+P6yWIMI0bA1nWdC+KEA23J2V5jc+pHf&#10;6HqItUglHHKD0MTY51KGqiFnwtL3xMk7+8GZmORQSzuYMZW7Tj4olUlnWk4Ljelp11D1fbg4hI/X&#10;89fnSu3rZ/fYj35Skt1GIs7vtXoCEWmKf2G44Sd0KBPTyV/YBtEhLPQ6fYkIqwzEzdeZBnFC2KgM&#10;ZFnI/wfKX1BLAwQUAAAACACHTuJAmkcNlB8CAAAmBAAADgAAAGRycy9lMm9Eb2MueG1srVPNjtMw&#10;EL4j8Q6W7zRtabolarpatlqEtPxICw/gOk5jkXjM2G1SHgDegBMX7jxXn4Oxky1lueyBi2V7xt/M&#10;983n5WXX1Gyv0GkwOZ+MxpwpI6HQZpvzjx9uni04c16YQtRgVM4PyvHL1dMny9ZmagoV1IVCRiDG&#10;Za3NeeW9zZLEyUo1wo3AKkPBErARno64TQoULaE3dTIdj+dJC1hYBKmco9t1H+QDIj4GEMpSS7UG&#10;uWuU8T0qqlp4ouQqbR1fxW7LUkn/riyd8qzOOTH1caUitN+ENVktRbZFYSsthxbEY1p4wKkR2lDR&#10;E9RaeMF2qP+BarREcFD6kYQm6YlERYjFZPxAm7tKWBW5kNTOnkR3/w9Wvt2/R6aLnKfpjDMjGhr5&#10;8fu3449fx59f2cV8ESRqrcso885Sru9eQkfGiXSdvQX5yTED15UwW3WFCG2lREEtTsLL5Oxpj+MC&#10;yKZ9AwVVEjsPEagrsQn6kSKM0Gk8h9N4VOeZpMtFOkmfp5xJCqWz+WQcx5eI7P6xRedfKWhY2OQc&#10;afoRXOxvnQ/NiOw+JdQycKPrOjqgNn9dUGJ/o6KFhteBSui+5+G7TTdIs4HiQKQQenvR56JNBfiF&#10;s5aslXP3eSdQcVa/NiTMi8lsFrwYD7P0YkoHPI9sziPCSILKuees31773r87i3pbUaV+FAauSMxS&#10;R6Kh1b6rYQRkn8h/sHrw5/k5Zv353q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UgxKtUAAAAI&#10;AQAADwAAAAAAAAABACAAAAAiAAAAZHJzL2Rvd25yZXYueG1sUEsBAhQAFAAAAAgAh07iQJpHDZQf&#10;AgAAJgQAAA4AAAAAAAAAAQAgAAAAJAEAAGRycy9lMm9Eb2MueG1sUEsFBgAAAAAGAAYAWQEAALUF&#10;AAAAAA==&#10;">
                <v:fill on="f" focussize="0,0"/>
                <v:stroke on="f"/>
                <v:imagedata o:title=""/>
                <o:lock v:ext="edit" aspectratio="f"/>
                <v:textbox>
                  <w:txbxContent>
                    <w:p w14:paraId="4EBDC5C4">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监理人未尽义务或失误的责任</w:t>
                      </w:r>
                    </w:p>
                  </w:txbxContent>
                </v:textbox>
              </v:shape>
            </w:pict>
          </mc:Fallback>
        </mc:AlternateContent>
      </w:r>
      <w:r>
        <w:rPr>
          <w:rFonts w:hint="eastAsia" w:ascii="仿宋" w:hAnsi="仿宋" w:eastAsia="仿宋" w:cs="仿宋"/>
          <w:color w:val="auto"/>
          <w:highlight w:val="none"/>
          <w:lang w:eastAsia="zh-CN"/>
        </w:rPr>
        <w:t>监理人未能正确履行本合同约定的全部义务，或工作出现失误，导致费用的增加和（或）延误的工期，由发包人承担；给承包人造成损失的，发包人应予赔偿。</w:t>
      </w:r>
    </w:p>
    <w:p w14:paraId="19188171">
      <w:pPr>
        <w:tabs>
          <w:tab w:val="left" w:pos="1260"/>
        </w:tabs>
        <w:spacing w:line="360" w:lineRule="auto"/>
        <w:rPr>
          <w:rFonts w:hint="eastAsia" w:ascii="仿宋" w:hAnsi="仿宋" w:eastAsia="仿宋" w:cs="仿宋"/>
          <w:b/>
          <w:bCs/>
          <w:color w:val="auto"/>
          <w:highlight w:val="none"/>
          <w:u w:val="single"/>
          <w:lang w:eastAsia="zh-CN"/>
        </w:rPr>
      </w:pPr>
    </w:p>
    <w:p w14:paraId="62A19F7D">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22" w:name="_Toc14211"/>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8造价咨询人</w:t>
      </w:r>
      <w:bookmarkEnd w:id="322"/>
    </w:p>
    <w:p w14:paraId="664BCD13">
      <w:pPr>
        <w:tabs>
          <w:tab w:val="left" w:pos="1260"/>
        </w:tabs>
        <w:spacing w:line="400" w:lineRule="exact"/>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.1</w:t>
      </w:r>
    </w:p>
    <w:p w14:paraId="5F036F75">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34016" behindDoc="0" locked="0" layoutInCell="1" allowOverlap="1">
                <wp:simplePos x="0" y="0"/>
                <wp:positionH relativeFrom="column">
                  <wp:posOffset>-114300</wp:posOffset>
                </wp:positionH>
                <wp:positionV relativeFrom="paragraph">
                  <wp:posOffset>45720</wp:posOffset>
                </wp:positionV>
                <wp:extent cx="775335" cy="634365"/>
                <wp:effectExtent l="0" t="0" r="0" b="0"/>
                <wp:wrapNone/>
                <wp:docPr id="555" name="文本框 769"/>
                <wp:cNvGraphicFramePr/>
                <a:graphic xmlns:a="http://schemas.openxmlformats.org/drawingml/2006/main">
                  <a:graphicData uri="http://schemas.microsoft.com/office/word/2010/wordprocessingShape">
                    <wps:wsp>
                      <wps:cNvSpPr txBox="1">
                        <a:spLocks noChangeArrowheads="1"/>
                      </wps:cNvSpPr>
                      <wps:spPr bwMode="auto">
                        <a:xfrm>
                          <a:off x="0" y="0"/>
                          <a:ext cx="775335" cy="634365"/>
                        </a:xfrm>
                        <a:prstGeom prst="rect">
                          <a:avLst/>
                        </a:prstGeom>
                        <a:noFill/>
                        <a:ln>
                          <a:noFill/>
                        </a:ln>
                        <a:effectLst/>
                      </wps:spPr>
                      <wps:txbx>
                        <w:txbxContent>
                          <w:p w14:paraId="01CB29FE">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发包人对造价咨询人授权</w:t>
                            </w:r>
                          </w:p>
                        </w:txbxContent>
                      </wps:txbx>
                      <wps:bodyPr rot="0" vert="horz" wrap="square" lIns="91440" tIns="45720" rIns="91440" bIns="45720" anchor="t" anchorCtr="0" upright="1">
                        <a:noAutofit/>
                      </wps:bodyPr>
                    </wps:wsp>
                  </a:graphicData>
                </a:graphic>
              </wp:anchor>
            </w:drawing>
          </mc:Choice>
          <mc:Fallback>
            <w:pict>
              <v:shape id="文本框 769" o:spid="_x0000_s1026" o:spt="202" type="#_x0000_t202" style="position:absolute;left:0pt;margin-left:-9pt;margin-top:3.6pt;height:49.95pt;width:61.05pt;z-index:251734016;mso-width-relative:page;mso-height-relative:page;" filled="f" stroked="f" coordsize="21600,21600" o:gfxdata="UEsDBAoAAAAAAIdO4kAAAAAAAAAAAAAAAAAEAAAAZHJzL1BLAwQUAAAACACHTuJAKw7bbNYAAAAJ&#10;AQAADwAAAGRycy9kb3ducmV2LnhtbE2PzU7DMBCE70h9B2srcWttV4WWEKeHVlxBlB+J2zbeJhHx&#10;OordJrw9zglus5rVzDf5bnStuFIfGs8G9FKBIC69bbgy8P72tNiCCBHZYuuZDPxQgF0xu8kxs37g&#10;V7oeYyVSCIcMDdQxdpmUoazJYVj6jjh5Z987jOnsK2l7HFK4a+VKqXvpsOHUUGNH+5rK7+PFGfh4&#10;Pn99rtVLdXB33eBHJdk9SGNu51o9gog0xr9nmPATOhSJ6eQvbINoDSz0Nm2JBjYrEJOv1hrEaRIb&#10;DbLI5f8FxS9QSwMEFAAAAAgAh07iQLHyQdwfAgAAJgQAAA4AAABkcnMvZTJvRG9jLnhtbK1TS27b&#10;MBDdF+gdCO5r+e9GsBykMVIUSD9A2gPQFGURlTjskLbkHqC5QVfddN9z+RwdUorrppssuiFIzvDN&#10;vDePy8u2rtheodNgMj4aDDlTRkKuzTbjnz7evHjJmfPC5KICozJ+UI5frp4/WzY2VWMoocoVMgIx&#10;Lm1sxkvvbZokTpaqFm4AVhkKFoC18HTEbZKjaAi9rpLxcDhPGsDcIkjlHN2uuyDvEfEpgFAUWqo1&#10;yF2tjO9QUVXCEyVXauv4KnZbFEr690XhlGdVxompjysVof0mrMlqKdItCltq2bcgntLCI0610IaK&#10;nqDWwgu2Q/0PVK0lgoPCDyTUSUckKkIsRsNH2tyVwqrIhaR29iS6+3+w8t3+AzKdZ3w2m3FmRE0j&#10;P36/P/74dfz5jS3mF0GixrqUMu8s5fr2FbRknEjX2VuQnx0zcF0Ks1VXiNCUSuTU4ii8TM6edjgu&#10;gGyat5BTJbHzEIHaAuugHynCCJ3GcziNR7WeSbpcLGaTCTUpKTSfTCfzWawg0ofHFp1/raBmYZNx&#10;pOlHcLG/dT40I9KHlFDLwI2uquiAyvx1QYndjYoW6l8HKqH7jodvN20vzQbyA5FC6OxFn4s2JeBX&#10;zhqyVsbdl51AxVn1xpAwF6PpNHgxHqazxZgOeB7ZnEeEkQSVcc9Zt732nX93FvW2pErdKAxckZiF&#10;jkRDq11X/QjIPpF/b/Xgz/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sO22zWAAAA&#10;CQEAAA8AAAAAAAAAAQAgAAAAIgAAAGRycy9kb3ducmV2LnhtbFBLAQIUABQAAAAIAIdO4kCx8kHc&#10;HwIAACYEAAAOAAAAAAAAAAEAIAAAACUBAABkcnMvZTJvRG9jLnhtbFBLBQYAAAAABgAGAFkBAAC2&#10;BQAAAAA=&#10;">
                <v:fill on="f" focussize="0,0"/>
                <v:stroke on="f"/>
                <v:imagedata o:title=""/>
                <o:lock v:ext="edit" aspectratio="f"/>
                <v:textbox>
                  <w:txbxContent>
                    <w:p w14:paraId="01CB29FE">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发包人对造价咨询人授权</w:t>
                      </w:r>
                    </w:p>
                  </w:txbxContent>
                </v:textbox>
              </v:shape>
            </w:pict>
          </mc:Fallback>
        </mc:AlternateContent>
      </w:r>
      <w:r>
        <w:rPr>
          <w:rFonts w:hint="eastAsia" w:ascii="仿宋" w:hAnsi="仿宋" w:eastAsia="仿宋" w:cs="仿宋"/>
          <w:color w:val="auto"/>
          <w:highlight w:val="none"/>
          <w:lang w:eastAsia="zh-CN"/>
        </w:rPr>
        <w:t>发包人应在专用条款中写明负责合同工程造价管理的造价咨询人名称和造价咨询人代表，并在开始工作前将造价咨询人及造价咨询人代表以书面形式通知承包人，授予其代表发包人履行合同约定职责所需的权力。</w:t>
      </w:r>
    </w:p>
    <w:p w14:paraId="1CE30B6F">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.2</w:t>
      </w:r>
    </w:p>
    <w:p w14:paraId="6A52865C">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35040" behindDoc="0" locked="0" layoutInCell="1" allowOverlap="1">
                <wp:simplePos x="0" y="0"/>
                <wp:positionH relativeFrom="column">
                  <wp:posOffset>-114300</wp:posOffset>
                </wp:positionH>
                <wp:positionV relativeFrom="paragraph">
                  <wp:posOffset>-1270</wp:posOffset>
                </wp:positionV>
                <wp:extent cx="866775" cy="515620"/>
                <wp:effectExtent l="0" t="0" r="0" b="0"/>
                <wp:wrapNone/>
                <wp:docPr id="556" name="文本框 770"/>
                <wp:cNvGraphicFramePr/>
                <a:graphic xmlns:a="http://schemas.openxmlformats.org/drawingml/2006/main">
                  <a:graphicData uri="http://schemas.microsoft.com/office/word/2010/wordprocessingShape">
                    <wps:wsp>
                      <wps:cNvSpPr txBox="1">
                        <a:spLocks noChangeArrowheads="1"/>
                      </wps:cNvSpPr>
                      <wps:spPr bwMode="auto">
                        <a:xfrm>
                          <a:off x="0" y="0"/>
                          <a:ext cx="866775" cy="515620"/>
                        </a:xfrm>
                        <a:prstGeom prst="rect">
                          <a:avLst/>
                        </a:prstGeom>
                        <a:noFill/>
                        <a:ln>
                          <a:noFill/>
                        </a:ln>
                        <a:effectLst/>
                      </wps:spPr>
                      <wps:txbx>
                        <w:txbxContent>
                          <w:p w14:paraId="0990CEB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造价人职权</w:t>
                            </w:r>
                          </w:p>
                        </w:txbxContent>
                      </wps:txbx>
                      <wps:bodyPr rot="0" vert="horz" wrap="square" lIns="91440" tIns="45720" rIns="91440" bIns="45720" anchor="t" anchorCtr="0" upright="1">
                        <a:noAutofit/>
                      </wps:bodyPr>
                    </wps:wsp>
                  </a:graphicData>
                </a:graphic>
              </wp:anchor>
            </w:drawing>
          </mc:Choice>
          <mc:Fallback>
            <w:pict>
              <v:shape id="文本框 770" o:spid="_x0000_s1026" o:spt="202" type="#_x0000_t202" style="position:absolute;left:0pt;margin-left:-9pt;margin-top:-0.1pt;height:40.6pt;width:68.25pt;z-index:251735040;mso-width-relative:page;mso-height-relative:page;" filled="f" stroked="f" coordsize="21600,21600" o:gfxdata="UEsDBAoAAAAAAIdO4kAAAAAAAAAAAAAAAAAEAAAAZHJzL1BLAwQUAAAACACHTuJAxsg4ItUAAAAI&#10;AQAADwAAAGRycy9kb3ducmV2LnhtbE2PwU7DMBBE70j8g7VIvbW2qxaFkE0PIK6taAGJmxtvk4h4&#10;HcVuE/4e90Rvs5rVzJtiM7lOXGgIrWcEvVAgiCtvW64RPg5v8wxEiIat6TwTwi8F2JT3d4XJrR/5&#10;nS77WIsUwiE3CE2MfS5lqBpyJix8T5y8kx+ciekcamkHM6Zw18mlUo/SmZZTQ2N6emmo+tmfHcLn&#10;9vT9tVK7+tWt+9FPSrJ7koizB62eQUSa4v8zXPETOpSJ6ejPbIPoEOY6S1tiEksQV19naxBHhEwr&#10;kGUhbweUf1BLAwQUAAAACACHTuJAScbZxB8CAAAmBAAADgAAAGRycy9lMm9Eb2MueG1srVNLbtsw&#10;EN0X6B0I7mvZhmUnguUgjZGiQPoB0h6ApiiLqMRhh7Ql9wDtDbrqpvuey+fIkLIdN91k0Y1Azgzf&#10;zHvzNL/qmpptFToNJuejwZAzZSQU2qxz/vnT7asLzpwXphA1GJXznXL8avHyxby1mRpDBXWhkBGI&#10;cVlrc155b7MkcbJSjXADsMpQsgRshKcrrpMCRUvoTZ2Mh8Np0gIWFkEq5yi67JP8gIjPAYSy1FIt&#10;QW4aZXyPiqoWnii5SlvHF3HaslTSfyhLpzyrc05MffxSEzqvwjdZzEW2RmErLQ8jiOeM8IRTI7Sh&#10;pieopfCCbVD/A9VoieCg9AMJTdITiYoQi9HwiTb3lbAqciGpnT2J7v4frHy//YhMFzlP0ylnRjS0&#10;8v3PH/tff/a/v7PZLErUWpdR5b2lWt+9ho6ME+k6ewfyi2MGbiph1uoaEdpKiYJGHAVxk7OnYSku&#10;cwFk1b6DgjqJjYcI1JXYBP1IEUbotJ7daT2q80xS8GI6nc1SziSl0lE6HcfZEpEdH1t0/o2ChoVD&#10;zpG2H8HF9s75MIzIjiWhl4FbXdfRAbX5K0CFfURFCx1eH6fvefhu1dHbEFxBsSNSCL296OeiQwX4&#10;jbOWrJVz93UjUHFWvzUkzOVoMglejJdJOiMeDM8zq/OMMJKgcu456483vvfvxqJeV9SpX4WBaxKz&#10;1JHo41SHFZB9Iv+D1YM/z++x6vH3Xjw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sg4ItUAAAAI&#10;AQAADwAAAAAAAAABACAAAAAiAAAAZHJzL2Rvd25yZXYueG1sUEsBAhQAFAAAAAgAh07iQEnG2cQf&#10;AgAAJgQAAA4AAAAAAAAAAQAgAAAAJAEAAGRycy9lMm9Eb2MueG1sUEsFBgAAAAAGAAYAWQEAALUF&#10;AAAAAA==&#10;">
                <v:fill on="f" focussize="0,0"/>
                <v:stroke on="f"/>
                <v:imagedata o:title=""/>
                <o:lock v:ext="edit" aspectratio="f"/>
                <v:textbox>
                  <w:txbxContent>
                    <w:p w14:paraId="0990CEB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造价人职权</w:t>
                      </w:r>
                    </w:p>
                  </w:txbxContent>
                </v:textbox>
              </v:shape>
            </w:pict>
          </mc:Fallback>
        </mc:AlternateContent>
      </w:r>
      <w:r>
        <w:rPr>
          <w:rFonts w:hint="eastAsia" w:ascii="仿宋" w:hAnsi="仿宋" w:eastAsia="仿宋" w:cs="仿宋"/>
          <w:color w:val="auto"/>
          <w:highlight w:val="none"/>
          <w:lang w:eastAsia="zh-CN"/>
        </w:rPr>
        <w:t>造价咨询人行使合同明文约定和必然隐含的职权，代表发包人负责工程计量和计价，合同价格的核实和调整，结算价款的编制或复核，签发支付证书，及时向承包人提供相关确认、调整和通知等指令。造价咨询人无权免除或变更合同约定的合同任何一方当事人在合同履行期间的权利和义务。</w:t>
      </w:r>
    </w:p>
    <w:p w14:paraId="61552A7C">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.3</w:t>
      </w:r>
    </w:p>
    <w:p w14:paraId="41E43FB6">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36064" behindDoc="0" locked="0" layoutInCell="1" allowOverlap="1">
                <wp:simplePos x="0" y="0"/>
                <wp:positionH relativeFrom="column">
                  <wp:posOffset>-114300</wp:posOffset>
                </wp:positionH>
                <wp:positionV relativeFrom="paragraph">
                  <wp:posOffset>0</wp:posOffset>
                </wp:positionV>
                <wp:extent cx="781050" cy="511175"/>
                <wp:effectExtent l="0" t="0" r="0" b="0"/>
                <wp:wrapNone/>
                <wp:docPr id="557" name="文本框 771"/>
                <wp:cNvGraphicFramePr/>
                <a:graphic xmlns:a="http://schemas.openxmlformats.org/drawingml/2006/main">
                  <a:graphicData uri="http://schemas.microsoft.com/office/word/2010/wordprocessingShape">
                    <wps:wsp>
                      <wps:cNvSpPr txBox="1">
                        <a:spLocks noChangeArrowheads="1"/>
                      </wps:cNvSpPr>
                      <wps:spPr bwMode="auto">
                        <a:xfrm>
                          <a:off x="0" y="0"/>
                          <a:ext cx="781050" cy="511175"/>
                        </a:xfrm>
                        <a:prstGeom prst="rect">
                          <a:avLst/>
                        </a:prstGeom>
                        <a:noFill/>
                        <a:ln>
                          <a:noFill/>
                        </a:ln>
                        <a:effectLst/>
                      </wps:spPr>
                      <wps:txbx>
                        <w:txbxContent>
                          <w:p w14:paraId="1A1B315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造价咨询人职权限制</w:t>
                            </w:r>
                          </w:p>
                        </w:txbxContent>
                      </wps:txbx>
                      <wps:bodyPr rot="0" vert="horz" wrap="square" lIns="91440" tIns="45720" rIns="91440" bIns="45720" anchor="t" anchorCtr="0" upright="1">
                        <a:noAutofit/>
                      </wps:bodyPr>
                    </wps:wsp>
                  </a:graphicData>
                </a:graphic>
              </wp:anchor>
            </w:drawing>
          </mc:Choice>
          <mc:Fallback>
            <w:pict>
              <v:shape id="文本框 771" o:spid="_x0000_s1026" o:spt="202" type="#_x0000_t202" style="position:absolute;left:0pt;margin-left:-9pt;margin-top:0pt;height:40.25pt;width:61.5pt;z-index:251736064;mso-width-relative:page;mso-height-relative:page;" filled="f" stroked="f" coordsize="21600,21600" o:gfxdata="UEsDBAoAAAAAAIdO4kAAAAAAAAAAAAAAAAAEAAAAZHJzL1BLAwQUAAAACACHTuJA2dodZdQAAAAH&#10;AQAADwAAAGRycy9kb3ducmV2LnhtbE2PQU/DMAyF70j8h8hI3LakiKJS6u4A4gpiDCRuWeO1FY1T&#10;Ndla/j3eCS7Ws5713udqs/hBnWiKfWCEbG1AETfB9dwi7N6fVwWomCw7OwQmhB+KsKkvLypbujDz&#10;G522qVUSwrG0CF1KY6l1bDryNq7DSCzeIUzeJlmnVrvJzhLuB31jzJ32tmdp6OxIjx0139ujR/h4&#10;OXx93prX9snn4xwWo9nfa8Trq8w8gEq0pL9jOOMLOtTCtA9HdlENCKuskF8SgsyzbXIRe4TC5KDr&#10;Sv/nr38BUEsDBBQAAAAIAIdO4kCJ2Y4bHQIAACYEAAAOAAAAZHJzL2Uyb0RvYy54bWytU82O0zAQ&#10;viPxDpbvNE3VkCVqulq2WoS0/EgLD+A6TmMRe4ztNikPAG/AiQt3nqvPwdjulrJc9sAl8njG38z3&#10;zZfF5ah6shPWSdA1zSdTSoTm0Ei9qenHDzfPLihxnumG9aBFTffC0cvl0yeLwVRiBh30jbAEQbSr&#10;BlPTzntTZZnjnVDMTcAIjckWrGIeQ7vJGssGRFd9NptOn2cD2MZY4MI5vF2lJD0i2scAQttKLlbA&#10;t0pon1Ct6JlHSq6TxtFlnLZtBffv2tYJT/qaIlMfv9gEz+vwzZYLVm0sM53kxxHYY0Z4wEkxqbHp&#10;CWrFPCNbK/+BUpJbcND6CQeVJSJREWSRTx9oc9cxIyIXlNqZk+ju/8Hyt7v3lsimpkVRUqKZwpUf&#10;vn87/Ph1+PmVlGUeJBqMq7DyzmCtH1/CiMaJdJ25Bf7JEQ3XHdMbcWUtDJ1gDY4YX2ZnTxOOCyDr&#10;4Q002IltPUSgsbUq6IeKEETH9exP6xGjJxwvy4t8WmCGY6rI87wswmwZq+4fG+v8KwGKhENNLW4/&#10;grPdrfOp9L4k9NJwI/s+OqDXf10gZroR0ULH14FKmD7x8ON6PEqzhmaPpCwke+HPhYcO7BdKBrRW&#10;Td3nLbOCkv61RmFe5PN58GIM5kU5w8CeZ9bnGaY5QtXUU5KO1z75d2us3HTYKa1CwxWK2cpINIya&#10;pkKBQoD2iVIdrR78eR7Hqj+/9/I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2dodZdQAAAAHAQAA&#10;DwAAAAAAAAABACAAAAAiAAAAZHJzL2Rvd25yZXYueG1sUEsBAhQAFAAAAAgAh07iQInZjhsdAgAA&#10;JgQAAA4AAAAAAAAAAQAgAAAAIwEAAGRycy9lMm9Eb2MueG1sUEsFBgAAAAAGAAYAWQEAALIFAAAA&#10;AA==&#10;">
                <v:fill on="f" focussize="0,0"/>
                <v:stroke on="f"/>
                <v:imagedata o:title=""/>
                <o:lock v:ext="edit" aspectratio="f"/>
                <v:textbox>
                  <w:txbxContent>
                    <w:p w14:paraId="1A1B315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造价咨询人职权限制</w:t>
                      </w:r>
                    </w:p>
                  </w:txbxContent>
                </v:textbox>
              </v:shape>
            </w:pict>
          </mc:Fallback>
        </mc:AlternateContent>
      </w:r>
      <w:r>
        <w:rPr>
          <w:rFonts w:hint="eastAsia" w:ascii="仿宋" w:hAnsi="仿宋" w:eastAsia="仿宋" w:cs="仿宋"/>
          <w:color w:val="auto"/>
          <w:highlight w:val="none"/>
          <w:lang w:eastAsia="zh-CN"/>
        </w:rPr>
        <w:t>除属于第91条约定的争议外，造价咨询人在职权范围内的工作，发包人应予认可，但下列事项应事先取得发包人的专项批准：</w:t>
      </w:r>
    </w:p>
    <w:p w14:paraId="4D19EE12">
      <w:pPr>
        <w:widowControl w:val="0"/>
        <w:numPr>
          <w:ilvl w:val="0"/>
          <w:numId w:val="10"/>
        </w:numPr>
        <w:tabs>
          <w:tab w:val="clear" w:pos="9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根据第73条约定使用暂列金额；</w:t>
      </w:r>
    </w:p>
    <w:p w14:paraId="60ED0AA4">
      <w:pPr>
        <w:widowControl w:val="0"/>
        <w:numPr>
          <w:ilvl w:val="0"/>
          <w:numId w:val="10"/>
        </w:numPr>
        <w:tabs>
          <w:tab w:val="clear" w:pos="9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根据第74条约定使用计日工；</w:t>
      </w:r>
    </w:p>
    <w:p w14:paraId="1208D4BD">
      <w:pPr>
        <w:widowControl w:val="0"/>
        <w:numPr>
          <w:ilvl w:val="0"/>
          <w:numId w:val="10"/>
        </w:numPr>
        <w:tabs>
          <w:tab w:val="clear" w:pos="9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根据第75条约定使用暂估价；</w:t>
      </w:r>
    </w:p>
    <w:p w14:paraId="13984690">
      <w:pPr>
        <w:widowControl w:val="0"/>
        <w:numPr>
          <w:ilvl w:val="0"/>
          <w:numId w:val="10"/>
        </w:numPr>
        <w:tabs>
          <w:tab w:val="clear" w:pos="9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根据第76条确定的提前竣工奖与误期赔偿费；</w:t>
      </w:r>
    </w:p>
    <w:p w14:paraId="50ABBEF4">
      <w:pPr>
        <w:widowControl w:val="0"/>
        <w:numPr>
          <w:ilvl w:val="0"/>
          <w:numId w:val="10"/>
        </w:numPr>
        <w:tabs>
          <w:tab w:val="clear" w:pos="9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根据第77条确定的优质优价费用；</w:t>
      </w:r>
    </w:p>
    <w:p w14:paraId="5E844B45">
      <w:pPr>
        <w:widowControl w:val="0"/>
        <w:numPr>
          <w:ilvl w:val="0"/>
          <w:numId w:val="10"/>
        </w:numPr>
        <w:tabs>
          <w:tab w:val="clear" w:pos="9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根据第69.3款约定事项调整的合同价格；</w:t>
      </w:r>
    </w:p>
    <w:p w14:paraId="42FEDA73">
      <w:pPr>
        <w:widowControl w:val="0"/>
        <w:numPr>
          <w:ilvl w:val="0"/>
          <w:numId w:val="10"/>
        </w:numPr>
        <w:tabs>
          <w:tab w:val="clear" w:pos="9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专用条款约定需要发包人批准的其他事项。</w:t>
      </w:r>
    </w:p>
    <w:p w14:paraId="00D2AF60">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.4</w:t>
      </w:r>
    </w:p>
    <w:p w14:paraId="27E1FA12">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37088" behindDoc="0" locked="0" layoutInCell="1" allowOverlap="1">
                <wp:simplePos x="0" y="0"/>
                <wp:positionH relativeFrom="column">
                  <wp:posOffset>-114300</wp:posOffset>
                </wp:positionH>
                <wp:positionV relativeFrom="paragraph">
                  <wp:posOffset>0</wp:posOffset>
                </wp:positionV>
                <wp:extent cx="800735" cy="462915"/>
                <wp:effectExtent l="0" t="0" r="0" b="0"/>
                <wp:wrapNone/>
                <wp:docPr id="558" name="文本框 772"/>
                <wp:cNvGraphicFramePr/>
                <a:graphic xmlns:a="http://schemas.openxmlformats.org/drawingml/2006/main">
                  <a:graphicData uri="http://schemas.microsoft.com/office/word/2010/wordprocessingShape">
                    <wps:wsp>
                      <wps:cNvSpPr txBox="1">
                        <a:spLocks noChangeArrowheads="1"/>
                      </wps:cNvSpPr>
                      <wps:spPr bwMode="auto">
                        <a:xfrm>
                          <a:off x="0" y="0"/>
                          <a:ext cx="800735" cy="462915"/>
                        </a:xfrm>
                        <a:prstGeom prst="rect">
                          <a:avLst/>
                        </a:prstGeom>
                        <a:noFill/>
                        <a:ln>
                          <a:noFill/>
                        </a:ln>
                        <a:effectLst/>
                      </wps:spPr>
                      <wps:txbx>
                        <w:txbxContent>
                          <w:p w14:paraId="0441BCC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造价咨询人指令</w:t>
                            </w:r>
                          </w:p>
                        </w:txbxContent>
                      </wps:txbx>
                      <wps:bodyPr rot="0" vert="horz" wrap="square" lIns="91440" tIns="45720" rIns="91440" bIns="45720" anchor="t" anchorCtr="0" upright="1">
                        <a:noAutofit/>
                      </wps:bodyPr>
                    </wps:wsp>
                  </a:graphicData>
                </a:graphic>
              </wp:anchor>
            </w:drawing>
          </mc:Choice>
          <mc:Fallback>
            <w:pict>
              <v:shape id="文本框 772" o:spid="_x0000_s1026" o:spt="202" type="#_x0000_t202" style="position:absolute;left:0pt;margin-left:-9pt;margin-top:0pt;height:36.45pt;width:63.05pt;z-index:251737088;mso-width-relative:page;mso-height-relative:page;" filled="f" stroked="f" coordsize="21600,21600" o:gfxdata="UEsDBAoAAAAAAIdO4kAAAAAAAAAAAAAAAAAEAAAAZHJzL1BLAwQUAAAACACHTuJA3MlOZ9UAAAAH&#10;AQAADwAAAGRycy9kb3ducmV2LnhtbE2PzU7DMBCE70i8g7VI3Fo7FT9pyKYHEFcQLSBx28bbJCJe&#10;R7HbhLfHPcFlpdGMZr4tN7Pr1YnH0HlByJYGFEvtbScNwvvueZGDCpHEUu+FEX44wKa6vCipsH6S&#10;Nz5tY6NSiYSCENoYh0LrULfsKCz9wJK8gx8dxSTHRtuRplTuer0y5k476iQttDTwY8v19/boED5e&#10;Dl+fN+a1eXK3w+Rno8WtNeL1VWYeQEWe418YzvgJHarEtPdHsUH1CIssT79EhHTPtskzUHuE+9Ua&#10;dFXq//zVL1BLAwQUAAAACACHTuJA1U3uDSACAAAmBAAADgAAAGRycy9lMm9Eb2MueG1srVNLbtsw&#10;EN0X6B0I7mvJrh0nguUgjZGiQPoB0h6ApiiLqMRhh7Ql9wDNDbrqpvuey+fokFJcN91k0Q1BcoZv&#10;5r15XFx2Tc12Cp0Gk/PxKOVMGQmFNpucf/p48+KcM+eFKUQNRuV8rxy/XD5/tmhtpiZQQV0oZARi&#10;XNbanFfe2yxJnKxUI9wIrDIULAEb4emIm6RA0RJ6UyeTND1LWsDCIkjlHN2u+iAfEPEpgFCWWqoV&#10;yG2jjO9RUdXCEyVXaev4MnZblkr692XplGd1zompjysVof06rMlyIbINCltpObQgntLCI06N0IaK&#10;HqFWwgu2Rf0PVKMlgoPSjyQ0SU8kKkIsxukjbe4qYVXkQlI7exTd/T9Y+W73AZkucj6b0eCNaGjk&#10;h+/3hx+/Dj+/sfl8EiRqrcso885Sru9eQUfGiXSdvQX52TED15UwG3WFCG2lREEtjsPL5ORpj+MC&#10;yLp9CwVVElsPEagrsQn6kSKM0Gk8++N4VOeZpMvzNJ2/nHEmKTQ9m1yMZ7GCyB4eW3T+tYKGhU3O&#10;kaYfwcXu1vnQjMgeUkItAze6rqMDavPXBSX2NypaaHgdqITuex6+W3eDNGso9kQKobcXfS7aVIBf&#10;OWvJWjl3X7YCFWf1G0PCXIyn0+DFeJjO5hM64GlkfRoRRhJUzj1n/fba9/7dWtSbiir1ozBwRWKW&#10;OhINrfZdDSMg+0T+g9WDP0/PMevP917+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zJTmfVAAAA&#10;BwEAAA8AAAAAAAAAAQAgAAAAIgAAAGRycy9kb3ducmV2LnhtbFBLAQIUABQAAAAIAIdO4kDVTe4N&#10;IAIAACYEAAAOAAAAAAAAAAEAIAAAACQBAABkcnMvZTJvRG9jLnhtbFBLBQYAAAAABgAGAFkBAAC2&#10;BQAAAAA=&#10;">
                <v:fill on="f" focussize="0,0"/>
                <v:stroke on="f"/>
                <v:imagedata o:title=""/>
                <o:lock v:ext="edit" aspectratio="f"/>
                <v:textbox>
                  <w:txbxContent>
                    <w:p w14:paraId="0441BCC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造价咨询人指令</w:t>
                      </w:r>
                    </w:p>
                  </w:txbxContent>
                </v:textbox>
              </v:shape>
            </w:pict>
          </mc:Fallback>
        </mc:AlternateContent>
      </w:r>
      <w:r>
        <w:rPr>
          <w:rFonts w:hint="eastAsia" w:ascii="仿宋" w:hAnsi="仿宋" w:eastAsia="仿宋" w:cs="仿宋"/>
          <w:color w:val="auto"/>
          <w:highlight w:val="none"/>
          <w:lang w:eastAsia="zh-CN"/>
        </w:rPr>
        <w:t>造价咨询人应按照合同约定时间向承包人提供实施合同工程的工程造价工作所需的核实、调整和通知等指令。</w:t>
      </w:r>
    </w:p>
    <w:p w14:paraId="23973B78">
      <w:pPr>
        <w:widowControl w:val="0"/>
        <w:tabs>
          <w:tab w:val="left" w:pos="126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造价咨询人提供的指令，均应采用书面形式。在紧急情况下，造价工程师可发出口头指令，但应在</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小时内给予书面确认。对造价工程师的口头指令，承包人应予执行。如果承包人在造价工程师发出的口头指令</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小时后未收到书面确认，则应在接到口头指令后的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天内向造价咨询人发出书面确认函。造价咨询人应在承包人收到书面确认函后</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小时内给予答复；逾期未予答复的，视为承包人的书面确认函已被认可。</w:t>
      </w:r>
    </w:p>
    <w:p w14:paraId="4E432703">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.5</w:t>
      </w:r>
    </w:p>
    <w:p w14:paraId="781CE320">
      <w:pPr>
        <w:widowControl w:val="0"/>
        <w:tabs>
          <w:tab w:val="left" w:pos="126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38112" behindDoc="0" locked="0" layoutInCell="1" allowOverlap="1">
                <wp:simplePos x="0" y="0"/>
                <wp:positionH relativeFrom="column">
                  <wp:posOffset>-114300</wp:posOffset>
                </wp:positionH>
                <wp:positionV relativeFrom="paragraph">
                  <wp:posOffset>15240</wp:posOffset>
                </wp:positionV>
                <wp:extent cx="861695" cy="561340"/>
                <wp:effectExtent l="0" t="0" r="0" b="0"/>
                <wp:wrapNone/>
                <wp:docPr id="559" name="文本框 773"/>
                <wp:cNvGraphicFramePr/>
                <a:graphic xmlns:a="http://schemas.openxmlformats.org/drawingml/2006/main">
                  <a:graphicData uri="http://schemas.microsoft.com/office/word/2010/wordprocessingShape">
                    <wps:wsp>
                      <wps:cNvSpPr txBox="1">
                        <a:spLocks noChangeArrowheads="1"/>
                      </wps:cNvSpPr>
                      <wps:spPr bwMode="auto">
                        <a:xfrm>
                          <a:off x="0" y="0"/>
                          <a:ext cx="861695" cy="561340"/>
                        </a:xfrm>
                        <a:prstGeom prst="rect">
                          <a:avLst/>
                        </a:prstGeom>
                        <a:noFill/>
                        <a:ln>
                          <a:noFill/>
                        </a:ln>
                        <a:effectLst/>
                      </wps:spPr>
                      <wps:txbx>
                        <w:txbxContent>
                          <w:p w14:paraId="0C79A027">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承包人执行造价咨询人指令</w:t>
                            </w:r>
                          </w:p>
                        </w:txbxContent>
                      </wps:txbx>
                      <wps:bodyPr rot="0" vert="horz" wrap="square" lIns="91440" tIns="45720" rIns="91440" bIns="45720" anchor="t" anchorCtr="0" upright="1">
                        <a:noAutofit/>
                      </wps:bodyPr>
                    </wps:wsp>
                  </a:graphicData>
                </a:graphic>
              </wp:anchor>
            </w:drawing>
          </mc:Choice>
          <mc:Fallback>
            <w:pict>
              <v:shape id="文本框 773" o:spid="_x0000_s1026" o:spt="202" type="#_x0000_t202" style="position:absolute;left:0pt;margin-left:-9pt;margin-top:1.2pt;height:44.2pt;width:67.85pt;z-index:251738112;mso-width-relative:page;mso-height-relative:page;" filled="f" stroked="f" coordsize="21600,21600" o:gfxdata="UEsDBAoAAAAAAIdO4kAAAAAAAAAAAAAAAAAEAAAAZHJzL1BLAwQUAAAACACHTuJAQi/yRtYAAAAI&#10;AQAADwAAAGRycy9kb3ducmV2LnhtbE2PzW7CMBCE75X6DtZW6g3sIFpCyIYDqNdW5adSbyZekoh4&#10;HcWGpG9fc2qPoxnNfJOvR9uKG/W+cYyQTBUI4tKZhiuEw/5tkoLwQbPRrWNC+CEP6+LxIdeZcQN/&#10;0m0XKhFL2GcaoQ6hy6T0ZU1W+6nriKN3dr3VIcq+kqbXQyy3rZwp9Sqtbjgu1LqjTU3lZXe1CMf3&#10;8/fXXH1UW/vSDW5Uku1SIj4/JWoFItAY/sJwx4/oUESmk7uy8aJFmCRp/BIQZnMQdz9ZLECcEJYq&#10;BVnk8v+B4hdQSwMEFAAAAAgAh07iQBhm5/IgAgAAJgQAAA4AAABkcnMvZTJvRG9jLnhtbK1TS27b&#10;MBDdF+gdCO5r2Y4/sWA5SGOkKJB+gLQHoCnKIipx2CFtyT1Ae4Ouuum+5/I5OqQU1003WXRDkJzh&#10;m/feDJdXbV2xvUKnwWR8NBhypoyEXJttxj9+uH1xyZnzwuSiAqMyflCOX62eP1s2NlVjKKHKFTIC&#10;MS5tbMZL722aJE6WqhZuAFYZChaAtfB0xG2So2gIva6S8XA4SxrA3CJI5Rzdrrsg7xHxKYBQFFqq&#10;NchdrYzvUFFVwpMkV2rr+CqyLQol/buicMqzKuOk1MeVitB+E9ZktRTpFoUttewpiKdQeKSpFtpQ&#10;0RPUWnjBdqj/gaq1RHBQ+IGEOumEREdIxWj4yJv7UlgVtZDVzp5Md/8PVr7dv0em84xPpwvOjKip&#10;5cfv344/fh1/fmXz+UWwqLEupcx7S7m+fQktDU6U6+wdyE+OGbgphdmqa0RoSiVyojgKL5Ozpx2O&#10;CyCb5g3kVEnsPESgtsA6+EeOMEKn9hxO7VGtZ5IuL2ej2WLKmaTQdDa6mMT2JSJ9eGzR+VcKahY2&#10;GUfqfgQX+zvnAxmRPqSEWgZudVXFCajMXxeU2N2oOEL96yAlsO90+HbT9tZsID+QKIRuvOhz0aYE&#10;/MJZQ6OVcfd5J1BxVr02ZMxiNCHqzMfDZDof0wHPI5vziDCSoDLuOeu2N76b351FvS2pUtcKA9dk&#10;ZqGj0EC1Y9W3gMYn6u9HPczn+Tlm/fne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CL/JG1gAA&#10;AAgBAAAPAAAAAAAAAAEAIAAAACIAAABkcnMvZG93bnJldi54bWxQSwECFAAUAAAACACHTuJAGGbn&#10;8iACAAAmBAAADgAAAAAAAAABACAAAAAlAQAAZHJzL2Uyb0RvYy54bWxQSwUGAAAAAAYABgBZAQAA&#10;twUAAAAA&#10;">
                <v:fill on="f" focussize="0,0"/>
                <v:stroke on="f"/>
                <v:imagedata o:title=""/>
                <o:lock v:ext="edit" aspectratio="f"/>
                <v:textbox>
                  <w:txbxContent>
                    <w:p w14:paraId="0C79A027">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承包人执行造价咨询人指令</w:t>
                      </w:r>
                    </w:p>
                  </w:txbxContent>
                </v:textbox>
              </v:shape>
            </w:pict>
          </mc:Fallback>
        </mc:AlternateContent>
      </w:r>
      <w:r>
        <w:rPr>
          <w:rFonts w:hint="eastAsia" w:ascii="仿宋" w:hAnsi="仿宋" w:eastAsia="仿宋" w:cs="仿宋"/>
          <w:color w:val="auto"/>
          <w:highlight w:val="none"/>
          <w:lang w:eastAsia="zh-CN"/>
        </w:rPr>
        <w:t>如果承包人认为造价咨询人的指令不合理，应在收到指令后</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小时内向造价咨询人提出书面报告，造价咨询人应在收到承包人报告后</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小时内做出修改指令或继续执行原指令的决定，并书面通知承包人。逾期不做出决定的，承包人可不执行造价咨询人的指令。</w:t>
      </w:r>
    </w:p>
    <w:p w14:paraId="21B5DD86">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.6</w:t>
      </w:r>
    </w:p>
    <w:p w14:paraId="770288DB">
      <w:pPr>
        <w:widowControl w:val="0"/>
        <w:tabs>
          <w:tab w:val="left" w:pos="1260"/>
        </w:tabs>
        <w:spacing w:line="360" w:lineRule="auto"/>
        <w:ind w:left="1850" w:leftChars="771"/>
        <w:jc w:val="both"/>
        <w:rPr>
          <w:rFonts w:hint="eastAsia" w:ascii="仿宋" w:hAnsi="仿宋" w:eastAsia="仿宋"/>
          <w:strike/>
          <w:color w:val="auto"/>
          <w:highlight w:val="none"/>
          <w:lang w:eastAsia="zh-CN"/>
        </w:rPr>
      </w:pPr>
      <w:r>
        <w:rPr>
          <w:color w:val="auto"/>
          <w:highlight w:val="none"/>
          <w:lang w:eastAsia="zh-CN" w:bidi="ar-SA"/>
        </w:rPr>
        <mc:AlternateContent>
          <mc:Choice Requires="wps">
            <w:drawing>
              <wp:anchor distT="0" distB="0" distL="114300" distR="114300" simplePos="0" relativeHeight="251739136" behindDoc="0" locked="0" layoutInCell="1" allowOverlap="1">
                <wp:simplePos x="0" y="0"/>
                <wp:positionH relativeFrom="column">
                  <wp:posOffset>-114300</wp:posOffset>
                </wp:positionH>
                <wp:positionV relativeFrom="paragraph">
                  <wp:posOffset>0</wp:posOffset>
                </wp:positionV>
                <wp:extent cx="794385" cy="440690"/>
                <wp:effectExtent l="0" t="0" r="0" b="0"/>
                <wp:wrapNone/>
                <wp:docPr id="560" name="文本框 774"/>
                <wp:cNvGraphicFramePr/>
                <a:graphic xmlns:a="http://schemas.openxmlformats.org/drawingml/2006/main">
                  <a:graphicData uri="http://schemas.microsoft.com/office/word/2010/wordprocessingShape">
                    <wps:wsp>
                      <wps:cNvSpPr txBox="1">
                        <a:spLocks noChangeArrowheads="1"/>
                      </wps:cNvSpPr>
                      <wps:spPr bwMode="auto">
                        <a:xfrm>
                          <a:off x="0" y="0"/>
                          <a:ext cx="794385" cy="440690"/>
                        </a:xfrm>
                        <a:prstGeom prst="rect">
                          <a:avLst/>
                        </a:prstGeom>
                        <a:noFill/>
                        <a:ln>
                          <a:noFill/>
                        </a:ln>
                        <a:effectLst/>
                      </wps:spPr>
                      <wps:txbx>
                        <w:txbxContent>
                          <w:p w14:paraId="0F84CB08">
                            <w:pPr>
                              <w:spacing w:line="240" w:lineRule="exact"/>
                              <w:rPr>
                                <w:rFonts w:ascii="宋体"/>
                                <w:sz w:val="18"/>
                                <w:szCs w:val="18"/>
                              </w:rPr>
                            </w:pPr>
                            <w:r>
                              <w:rPr>
                                <w:rFonts w:hint="eastAsia" w:ascii="楷体_GB2312" w:hAnsi="宋体" w:eastAsia="楷体_GB2312" w:cs="楷体_GB2312"/>
                                <w:b/>
                                <w:bCs/>
                                <w:color w:val="000000"/>
                                <w:sz w:val="18"/>
                                <w:szCs w:val="18"/>
                              </w:rPr>
                              <w:t>造价咨询人职权委托</w:t>
                            </w:r>
                          </w:p>
                        </w:txbxContent>
                      </wps:txbx>
                      <wps:bodyPr rot="0" vert="horz" wrap="square" lIns="91440" tIns="45720" rIns="91440" bIns="45720" anchor="t" anchorCtr="0" upright="1">
                        <a:noAutofit/>
                      </wps:bodyPr>
                    </wps:wsp>
                  </a:graphicData>
                </a:graphic>
              </wp:anchor>
            </w:drawing>
          </mc:Choice>
          <mc:Fallback>
            <w:pict>
              <v:shape id="文本框 774" o:spid="_x0000_s1026" o:spt="202" type="#_x0000_t202" style="position:absolute;left:0pt;margin-left:-9pt;margin-top:0pt;height:34.7pt;width:62.55pt;z-index:251739136;mso-width-relative:page;mso-height-relative:page;" filled="f" stroked="f" coordsize="21600,21600" o:gfxdata="UEsDBAoAAAAAAIdO4kAAAAAAAAAAAAAAAAAEAAAAZHJzL1BLAwQUAAAACACHTuJAvlpr9NYAAAAH&#10;AQAADwAAAGRycy9kb3ducmV2LnhtbE2PzU7DMBCE70i8g7VI3Fo7qJQ2zaYHEFcQ5Ufito23SdR4&#10;HcVuE94e9wSXlUYzmvm22E6uU2ceQusFIZsbUCyVt63UCB/vz7MVqBBJLHVeGOGHA2zL66uCcutH&#10;eePzLtYqlUjICaGJsc+1DlXDjsLc9yzJO/jBUUxyqLUdaEzlrtN3xiy1o1bSQkM9PzZcHXcnh/D5&#10;cvj+WpjX+snd96OfjBa31oi3N5nZgIo8xb8wXPATOpSJae9PYoPqEGbZKv0SEdK92OYhA7VHWK4X&#10;oMtC/+cvfwFQSwMEFAAAAAgAh07iQC2iPWUfAgAAJgQAAA4AAABkcnMvZTJvRG9jLnhtbK1TS27b&#10;MBDdF+gdCO5r2a4/sWA5SGOkKJB+gLQHoCnKIipx2CFtyT1Ac4Ouuum+5/I5OqQU1003WXQjkBzy&#10;zXtvnpaXbV2xvUKnwWR8NBhypoyEXJttxj99vHlxwZnzwuSiAqMyflCOX66eP1s2NlVjKKHKFTIC&#10;MS5tbMZL722aJE6WqhZuAFYZKhaAtfC0xW2So2gIva6S8XA4SxrA3CJI5Rydrrsi7xHxKYBQFFqq&#10;NchdrYzvUFFVwpMkV2rr+CqyLQol/fuicMqzKuOk1McvNaH1JnyT1VKkWxS21LKnIJ5C4ZGmWmhD&#10;TU9Qa+EF26H+B6rWEsFB4QcS6qQTEh0hFaPhI2/uSmFV1EJWO3sy3f0/WPlu/wGZzjM+nZEnRtQ0&#10;8uP3++OPX8ef39h8PgkWNdaldPPO0l3fvoKWghPlOnsL8rNjBq5LYbbqChGaUomcKI7Cy+TsaYfj&#10;AsimeQs5dRI7DxGoLbAO/pEjjNCJyuE0HtV6Julwvpi8vJhyJqk0mQxnizi+RKQPjy06/1pBzcIi&#10;40jTj+Bif+t8ICPShyuhl4EbXVUxAZX564AudicqRqh/HaQE9p0O327a3poN5AcShdDFi34uWpSA&#10;XzlrKFoZd192AhVn1RtDxixGxJ6yGDeT6XxMGzyvbM4rwkiCyrjnrFte+y6/O4t6W1KnbhQGrsjM&#10;QkehgWrHqh8BxSfq76Me8nm+j7f+/N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5aa/TWAAAA&#10;BwEAAA8AAAAAAAAAAQAgAAAAIgAAAGRycy9kb3ducmV2LnhtbFBLAQIUABQAAAAIAIdO4kAtoj1l&#10;HwIAACYEAAAOAAAAAAAAAAEAIAAAACUBAABkcnMvZTJvRG9jLnhtbFBLBQYAAAAABgAGAFkBAAC2&#10;BQAAAAA=&#10;">
                <v:fill on="f" focussize="0,0"/>
                <v:stroke on="f"/>
                <v:imagedata o:title=""/>
                <o:lock v:ext="edit" aspectratio="f"/>
                <v:textbox>
                  <w:txbxContent>
                    <w:p w14:paraId="0F84CB08">
                      <w:pPr>
                        <w:spacing w:line="240" w:lineRule="exact"/>
                        <w:rPr>
                          <w:rFonts w:ascii="宋体"/>
                          <w:sz w:val="18"/>
                          <w:szCs w:val="18"/>
                        </w:rPr>
                      </w:pPr>
                      <w:r>
                        <w:rPr>
                          <w:rFonts w:hint="eastAsia" w:ascii="楷体_GB2312" w:hAnsi="宋体" w:eastAsia="楷体_GB2312" w:cs="楷体_GB2312"/>
                          <w:b/>
                          <w:bCs/>
                          <w:color w:val="000000"/>
                          <w:sz w:val="18"/>
                          <w:szCs w:val="18"/>
                        </w:rPr>
                        <w:t>造价咨询人职权委托</w:t>
                      </w:r>
                    </w:p>
                  </w:txbxContent>
                </v:textbox>
              </v:shape>
            </w:pict>
          </mc:Fallback>
        </mc:AlternateContent>
      </w:r>
      <w:r>
        <w:rPr>
          <w:rFonts w:hint="eastAsia" w:ascii="仿宋" w:hAnsi="仿宋" w:eastAsia="仿宋" w:cs="仿宋"/>
          <w:color w:val="auto"/>
          <w:highlight w:val="none"/>
          <w:lang w:eastAsia="zh-CN"/>
        </w:rPr>
        <w:t>造价咨询人可按照第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4</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约定授权给其任命的造价咨询人代表，亦可将其授权撤回，造价咨询人代表行使造价咨询人授予的职权，对造价咨询人负责。造价咨询人代表在造价咨询人授予职权范围内工作，造价咨询人应予认可，但造价咨询人保留发出指令以纠正造价咨询人代表工作失误的权力。</w:t>
      </w:r>
    </w:p>
    <w:p w14:paraId="09D5F1FD">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.7</w:t>
      </w:r>
    </w:p>
    <w:p w14:paraId="11125B69">
      <w:pPr>
        <w:widowControl w:val="0"/>
        <w:tabs>
          <w:tab w:val="left" w:pos="126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40160" behindDoc="0" locked="0" layoutInCell="1" allowOverlap="1">
                <wp:simplePos x="0" y="0"/>
                <wp:positionH relativeFrom="column">
                  <wp:posOffset>-114300</wp:posOffset>
                </wp:positionH>
                <wp:positionV relativeFrom="paragraph">
                  <wp:posOffset>0</wp:posOffset>
                </wp:positionV>
                <wp:extent cx="804545" cy="592455"/>
                <wp:effectExtent l="0" t="0" r="0" b="0"/>
                <wp:wrapNone/>
                <wp:docPr id="561" name="文本框 775"/>
                <wp:cNvGraphicFramePr/>
                <a:graphic xmlns:a="http://schemas.openxmlformats.org/drawingml/2006/main">
                  <a:graphicData uri="http://schemas.microsoft.com/office/word/2010/wordprocessingShape">
                    <wps:wsp>
                      <wps:cNvSpPr txBox="1">
                        <a:spLocks noChangeArrowheads="1"/>
                      </wps:cNvSpPr>
                      <wps:spPr bwMode="auto">
                        <a:xfrm>
                          <a:off x="0" y="0"/>
                          <a:ext cx="804545" cy="592455"/>
                        </a:xfrm>
                        <a:prstGeom prst="rect">
                          <a:avLst/>
                        </a:prstGeom>
                        <a:noFill/>
                        <a:ln>
                          <a:noFill/>
                        </a:ln>
                        <a:effectLst/>
                      </wps:spPr>
                      <wps:txbx>
                        <w:txbxContent>
                          <w:p w14:paraId="08638A6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造价咨询人未尽义务或失误的责任</w:t>
                            </w:r>
                          </w:p>
                        </w:txbxContent>
                      </wps:txbx>
                      <wps:bodyPr rot="0" vert="horz" wrap="square" lIns="91440" tIns="45720" rIns="91440" bIns="45720" anchor="t" anchorCtr="0" upright="1">
                        <a:noAutofit/>
                      </wps:bodyPr>
                    </wps:wsp>
                  </a:graphicData>
                </a:graphic>
              </wp:anchor>
            </w:drawing>
          </mc:Choice>
          <mc:Fallback>
            <w:pict>
              <v:shape id="文本框 775" o:spid="_x0000_s1026" o:spt="202" type="#_x0000_t202" style="position:absolute;left:0pt;margin-left:-9pt;margin-top:0pt;height:46.65pt;width:63.35pt;z-index:251740160;mso-width-relative:page;mso-height-relative:page;" filled="f" stroked="f" coordsize="21600,21600" o:gfxdata="UEsDBAoAAAAAAIdO4kAAAAAAAAAAAAAAAAAEAAAAZHJzL1BLAwQUAAAACACHTuJAmbiqENYAAAAH&#10;AQAADwAAAGRycy9kb3ducmV2LnhtbE2PS0/DMBCE70j8B2uRuLV2KI80ZNMDiCuI8pC4ufE2iYjX&#10;Uew24d+zPcFlpdGMZr4tN7Pv1ZHG2AVGyJYGFHEdXMcNwvvb0yIHFZNlZ/vAhPBDETbV+VlpCxcm&#10;fqXjNjVKSjgWFqFNaSi0jnVL3sZlGIjF24fR2yRybLQb7STlvtdXxtxqbzuWhdYO9NBS/b09eISP&#10;5/3X57V5aR79zTCF2Wj2a414eZGZe1CJ5vQXhhO+oEMlTLtwYBdVj7DIcvklIcg92Sa/A7VDWK9W&#10;oKtS/+evfgFQSwMEFAAAAAgAh07iQNK5PdEfAgAAJgQAAA4AAABkcnMvZTJvRG9jLnhtbK1TS27b&#10;MBDdF+gdCO5r2YYUJ4LlII2RokD6AdIegKYoi6jEYYe0pfQA7Q266qb7nsvn6JBSXDfdZNENQXKG&#10;b+a9eVxe9m3D9gqdBlPw2WTKmTISSm22Bf/44ebFOWfOC1OKBowq+L1y/HL1/Nmys7maQw1NqZAR&#10;iHF5Zwtee2/zJHGyVq1wE7DKULACbIWnI26TEkVH6G2TzKfTs6QDLC2CVM7R7XoI8hERnwIIVaWl&#10;WoPctcr4ARVVIzxRcrW2jq9it1WlpH9XVU551hScmPq4UhHab8KarJYi36KwtZZjC+IpLTzi1Apt&#10;qOgRai28YDvU/0C1WiI4qPxEQpsMRKIixGI2faTNXS2silxIamePorv/Byvf7t8j02XBs7MZZ0a0&#10;NPLD92+HH78OP7+yxSILEnXW5ZR5ZynX9y+hJ+NEus7egvzkmIHrWpitukKErlaipBZn4WVy8nTA&#10;cQFk072BkiqJnYcI1FfYBv1IEUboNJ7743hU75mky/NpmqUZZ5JC2cU8zWJvicgfHlt0/pWCloVN&#10;wZGmH8HF/tb50IzIH1JCLQM3ummiAxrz1wUlDjcqWmh8HaiE7gcevt/0ozQbKO+JFMJgL/pctKkB&#10;v3DWkbUK7j7vBCrOmteGhLmYpWnwYjyk2WJOBzyNbE4jwkiCKrjnbNhe+8G/O4t6W1OlYRQGrkjM&#10;SkeiodWhq3EEZJ/If7R68Ofp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m4qhDWAAAA&#10;BwEAAA8AAAAAAAAAAQAgAAAAIgAAAGRycy9kb3ducmV2LnhtbFBLAQIUABQAAAAIAIdO4kDSuT3R&#10;HwIAACYEAAAOAAAAAAAAAAEAIAAAACUBAABkcnMvZTJvRG9jLnhtbFBLBQYAAAAABgAGAFkBAAC2&#10;BQAAAAA=&#10;">
                <v:fill on="f" focussize="0,0"/>
                <v:stroke on="f"/>
                <v:imagedata o:title=""/>
                <o:lock v:ext="edit" aspectratio="f"/>
                <v:textbox>
                  <w:txbxContent>
                    <w:p w14:paraId="08638A6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造价咨询人未尽义务或失误的责任</w:t>
                      </w:r>
                    </w:p>
                  </w:txbxContent>
                </v:textbox>
              </v:shape>
            </w:pict>
          </mc:Fallback>
        </mc:AlternateContent>
      </w:r>
      <w:r>
        <w:rPr>
          <w:rFonts w:hint="eastAsia" w:ascii="仿宋" w:hAnsi="仿宋" w:eastAsia="仿宋" w:cs="仿宋"/>
          <w:color w:val="auto"/>
          <w:highlight w:val="none"/>
          <w:lang w:eastAsia="zh-CN"/>
        </w:rPr>
        <w:t>造价咨询人（含其代表）未能正确履行本合同约定的全部义务，或工作出现失误，导致费用的增加和（或）延误的工期，由发包人承担；给承包人造成损失的，发包人应予赔偿。</w:t>
      </w:r>
    </w:p>
    <w:p w14:paraId="5288A916">
      <w:pPr>
        <w:tabs>
          <w:tab w:val="left" w:pos="540"/>
          <w:tab w:val="left" w:pos="720"/>
        </w:tabs>
        <w:spacing w:line="360" w:lineRule="auto"/>
        <w:rPr>
          <w:rFonts w:hint="eastAsia" w:ascii="仿宋" w:hAnsi="仿宋" w:eastAsia="仿宋" w:cs="仿宋"/>
          <w:b/>
          <w:bCs/>
          <w:color w:val="auto"/>
          <w:highlight w:val="none"/>
          <w:u w:val="single"/>
          <w:lang w:eastAsia="zh-CN"/>
        </w:rPr>
      </w:pPr>
    </w:p>
    <w:p w14:paraId="27631CCA">
      <w:pPr>
        <w:pStyle w:val="6"/>
        <w:tabs>
          <w:tab w:val="left" w:pos="420"/>
        </w:tabs>
        <w:spacing w:before="120" w:beforeLines="50" w:after="120" w:afterLines="50" w:line="360" w:lineRule="auto"/>
        <w:rPr>
          <w:rFonts w:hint="eastAsia" w:ascii="仿宋" w:hAnsi="仿宋" w:eastAsia="仿宋"/>
          <w:color w:val="auto"/>
          <w:sz w:val="24"/>
          <w:szCs w:val="24"/>
          <w:highlight w:val="none"/>
          <w:lang w:eastAsia="zh-CN"/>
        </w:rPr>
      </w:pPr>
      <w:bookmarkStart w:id="323" w:name="_Toc10455"/>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9承包人代表及其专业负责人</w:t>
      </w:r>
      <w:bookmarkEnd w:id="323"/>
    </w:p>
    <w:p w14:paraId="08C6B77C">
      <w:pPr>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9</w:t>
      </w:r>
      <w:r>
        <w:rPr>
          <w:rFonts w:ascii="仿宋" w:hAnsi="仿宋" w:eastAsia="仿宋" w:cs="仿宋"/>
          <w:b/>
          <w:bCs/>
          <w:color w:val="auto"/>
          <w:highlight w:val="none"/>
          <w:lang w:eastAsia="zh-CN"/>
        </w:rPr>
        <w:t>.1</w:t>
      </w:r>
      <w:r>
        <w:rPr>
          <w:rFonts w:hint="eastAsia" w:ascii="仿宋" w:hAnsi="仿宋" w:eastAsia="仿宋" w:cs="仿宋"/>
          <w:b/>
          <w:bCs/>
          <w:color w:val="auto"/>
          <w:highlight w:val="none"/>
          <w:lang w:eastAsia="zh-CN"/>
        </w:rPr>
        <w:tab/>
      </w:r>
    </w:p>
    <w:p w14:paraId="5FBD6A41">
      <w:pPr>
        <w:widowControl w:val="0"/>
        <w:tabs>
          <w:tab w:val="left" w:pos="126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41184" behindDoc="0" locked="0" layoutInCell="1" allowOverlap="1">
                <wp:simplePos x="0" y="0"/>
                <wp:positionH relativeFrom="column">
                  <wp:posOffset>-114300</wp:posOffset>
                </wp:positionH>
                <wp:positionV relativeFrom="paragraph">
                  <wp:posOffset>0</wp:posOffset>
                </wp:positionV>
                <wp:extent cx="832485" cy="481965"/>
                <wp:effectExtent l="0" t="0" r="0" b="0"/>
                <wp:wrapNone/>
                <wp:docPr id="562" name="文本框 776"/>
                <wp:cNvGraphicFramePr/>
                <a:graphic xmlns:a="http://schemas.openxmlformats.org/drawingml/2006/main">
                  <a:graphicData uri="http://schemas.microsoft.com/office/word/2010/wordprocessingShape">
                    <wps:wsp>
                      <wps:cNvSpPr txBox="1">
                        <a:spLocks noChangeArrowheads="1"/>
                      </wps:cNvSpPr>
                      <wps:spPr bwMode="auto">
                        <a:xfrm>
                          <a:off x="0" y="0"/>
                          <a:ext cx="832485" cy="481965"/>
                        </a:xfrm>
                        <a:prstGeom prst="rect">
                          <a:avLst/>
                        </a:prstGeom>
                        <a:noFill/>
                        <a:ln>
                          <a:noFill/>
                        </a:ln>
                        <a:effectLst/>
                      </wps:spPr>
                      <wps:txbx>
                        <w:txbxContent>
                          <w:p w14:paraId="1D62500F">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承包人对其代表授权</w:t>
                            </w:r>
                          </w:p>
                        </w:txbxContent>
                      </wps:txbx>
                      <wps:bodyPr rot="0" vert="horz" wrap="square" lIns="91440" tIns="45720" rIns="91440" bIns="45720" anchor="t" anchorCtr="0" upright="1">
                        <a:noAutofit/>
                      </wps:bodyPr>
                    </wps:wsp>
                  </a:graphicData>
                </a:graphic>
              </wp:anchor>
            </w:drawing>
          </mc:Choice>
          <mc:Fallback>
            <w:pict>
              <v:shape id="文本框 776" o:spid="_x0000_s1026" o:spt="202" type="#_x0000_t202" style="position:absolute;left:0pt;margin-left:-9pt;margin-top:0pt;height:37.95pt;width:65.55pt;z-index:251741184;mso-width-relative:page;mso-height-relative:page;" filled="f" stroked="f" coordsize="21600,21600" o:gfxdata="UEsDBAoAAAAAAIdO4kAAAAAAAAAAAAAAAAAEAAAAZHJzL1BLAwQUAAAACACHTuJApFl86tYAAAAH&#10;AQAADwAAAGRycy9kb3ducmV2LnhtbE2PwU7DMBBE70j9B2srcWttAy1tyKYHEFcQpVTqzY23SUS8&#10;jmK3CX+Pe4LLSqMZzbzNN6NrxYX60HhG0HMFgrj0tuEKYff5OluBCNGwNa1nQvihAJticpObzPqB&#10;P+iyjZVIJRwyg1DH2GVShrImZ8Lcd8TJO/nemZhkX0nbmyGVu1beKbWUzjScFmrT0XNN5ff27BC+&#10;3k6H/YN6r17cohv8qCS7tUS8nWr1BCLSGP/CcMVP6FAkpqM/sw2iRZjpVfolIqR7tfW9BnFEeFys&#10;QRa5/M9f/AJQSwMEFAAAAAgAh07iQGXG6OQgAgAAJgQAAA4AAABkcnMvZTJvRG9jLnhtbK1TS27b&#10;MBDdF+gdCO5r2a5/ESwHaYwUBdIPkPYANEVZRCUOO6QtuQdobtBVN933XD5Hh5Tiuukmi24IkjN8&#10;M+/N4/KyrSu2V+g0mIyPBkPOlJGQa7PN+KePNy8WnDkvTC4qMCrjB+X45er5s2VjUzWGEqpcISMQ&#10;49LGZrz03qZJ4mSpauEGYJWhYAFYC09H3CY5iobQ6yoZD4ezpAHMLYJUztHtugvyHhGfAghFoaVa&#10;g9zVyvgOFVUlPFFypbaOr2K3RaGkf18UTnlWZZyY+rhSEdpvwpqsliLdorClln0L4iktPOJUC22o&#10;6AlqLbxgO9T/QNVaIjgo/EBCnXREoiLEYjR8pM1dKayKXEhqZ0+iu/8HK9/tPyDTecanszFnRtQ0&#10;8uP3++OPX8ef39h8PgsSNdallHlnKde3r6Al40S6zt6C/OyYgetSmK26QoSmVCKnFkfhZXL2tMNx&#10;AWTTvIWcKomdhwjUFlgH/UgRRug0nsNpPKr1TNLl4uV4sphyJik0WYwuZtNYQaQPjy06/1pBzcIm&#10;40jTj+Bif+t8aEakDymhloEbXVXRAZX564ISuxsVLdS/DlRC9x0P327aXpoN5AcihdDZiz4XbUrA&#10;r5w1ZK2Muy87gYqz6o0hYS5Gk0nwYjxMpvMxHfA8sjmPCCMJKuOes2577Tv/7izqbUmVulEYuCIx&#10;Cx2Jhla7rvoRkH0i/97qwZ/n55j153u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kWXzq1gAA&#10;AAcBAAAPAAAAAAAAAAEAIAAAACIAAABkcnMvZG93bnJldi54bWxQSwECFAAUAAAACACHTuJAZcbo&#10;5CACAAAmBAAADgAAAAAAAAABACAAAAAlAQAAZHJzL2Uyb0RvYy54bWxQSwUGAAAAAAYABgBZAQAA&#10;twUAAAAA&#10;">
                <v:fill on="f" focussize="0,0"/>
                <v:stroke on="f"/>
                <v:imagedata o:title=""/>
                <o:lock v:ext="edit" aspectratio="f"/>
                <v:textbox>
                  <w:txbxContent>
                    <w:p w14:paraId="1D62500F">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承包人对其代表授权</w:t>
                      </w:r>
                    </w:p>
                  </w:txbxContent>
                </v:textbox>
              </v:shape>
            </w:pict>
          </mc:Fallback>
        </mc:AlternateContent>
      </w:r>
      <w:r>
        <w:rPr>
          <w:rFonts w:hint="eastAsia" w:ascii="仿宋" w:hAnsi="仿宋" w:eastAsia="仿宋" w:cs="仿宋"/>
          <w:color w:val="auto"/>
          <w:highlight w:val="none"/>
          <w:lang w:eastAsia="zh-CN"/>
        </w:rPr>
        <w:t>承包人应依据第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4</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在专用条款中写明承包人代表及其专业负责人具体人选，同时在开始工作前将承包人代表及其专业负责人以书面形式通知发包人，授予承包人代表代表承包人履行合同约定职责所需的一切权力，授予专业负责人履行合同约定本专业职责所需的一定权力。</w:t>
      </w:r>
    </w:p>
    <w:p w14:paraId="3A0CD6C4">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9</w:t>
      </w:r>
      <w:r>
        <w:rPr>
          <w:rFonts w:ascii="仿宋" w:hAnsi="仿宋" w:eastAsia="仿宋" w:cs="仿宋"/>
          <w:b/>
          <w:bCs/>
          <w:color w:val="auto"/>
          <w:highlight w:val="none"/>
          <w:lang w:eastAsia="zh-CN"/>
        </w:rPr>
        <w:t>.2</w:t>
      </w:r>
    </w:p>
    <w:p w14:paraId="7BE51212">
      <w:pPr>
        <w:widowControl w:val="0"/>
        <w:tabs>
          <w:tab w:val="left" w:pos="1260"/>
        </w:tabs>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42208" behindDoc="0" locked="0" layoutInCell="1" allowOverlap="1">
                <wp:simplePos x="0" y="0"/>
                <wp:positionH relativeFrom="column">
                  <wp:posOffset>-114300</wp:posOffset>
                </wp:positionH>
                <wp:positionV relativeFrom="paragraph">
                  <wp:posOffset>7620</wp:posOffset>
                </wp:positionV>
                <wp:extent cx="847090" cy="527050"/>
                <wp:effectExtent l="0" t="0" r="0" b="0"/>
                <wp:wrapNone/>
                <wp:docPr id="563" name="文本框 777"/>
                <wp:cNvGraphicFramePr/>
                <a:graphic xmlns:a="http://schemas.openxmlformats.org/drawingml/2006/main">
                  <a:graphicData uri="http://schemas.microsoft.com/office/word/2010/wordprocessingShape">
                    <wps:wsp>
                      <wps:cNvSpPr txBox="1">
                        <a:spLocks noChangeArrowheads="1"/>
                      </wps:cNvSpPr>
                      <wps:spPr bwMode="auto">
                        <a:xfrm>
                          <a:off x="0" y="0"/>
                          <a:ext cx="847090" cy="527050"/>
                        </a:xfrm>
                        <a:prstGeom prst="rect">
                          <a:avLst/>
                        </a:prstGeom>
                        <a:noFill/>
                        <a:ln>
                          <a:noFill/>
                        </a:ln>
                        <a:effectLst/>
                      </wps:spPr>
                      <wps:txbx>
                        <w:txbxContent>
                          <w:p w14:paraId="190A13C8">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承包人代表及其专业负责人职权</w:t>
                            </w:r>
                          </w:p>
                        </w:txbxContent>
                      </wps:txbx>
                      <wps:bodyPr rot="0" vert="horz" wrap="square" lIns="91440" tIns="45720" rIns="91440" bIns="45720" anchor="t" anchorCtr="0" upright="1">
                        <a:noAutofit/>
                      </wps:bodyPr>
                    </wps:wsp>
                  </a:graphicData>
                </a:graphic>
              </wp:anchor>
            </w:drawing>
          </mc:Choice>
          <mc:Fallback>
            <w:pict>
              <v:shape id="文本框 777" o:spid="_x0000_s1026" o:spt="202" type="#_x0000_t202" style="position:absolute;left:0pt;margin-left:-9pt;margin-top:0.6pt;height:41.5pt;width:66.7pt;z-index:251742208;mso-width-relative:page;mso-height-relative:page;" filled="f" stroked="f" coordsize="21600,21600" o:gfxdata="UEsDBAoAAAAAAIdO4kAAAAAAAAAAAAAAAAAEAAAAZHJzL1BLAwQUAAAACACHTuJAlEOOydUAAAAI&#10;AQAADwAAAGRycy9kb3ducmV2LnhtbE2PwU7DMBBE70j8g7VIvbV2ohSFEKcHEFcqSkHi5sbbJCJe&#10;R7HbpH/f7QmOq7eaeVNuZteLM46h86QhWSkQSLW3HTUa9p9vyxxEiIas6T2hhgsG2FT3d6UprJ/o&#10;A8+72AgOoVAYDW2MQyFlqFt0Jqz8gMTs6EdnIp9jI+1oJg53vUyVepTOdMQNrRnwpcX6d3dyGr7e&#10;jz/fmdo2r249TH5WktyT1HrxkKhnEBHn+PcMN31Wh4qdDv5ENohewzLJeUtkkIK48WSdgThoyLMU&#10;ZFXK/wOqK1BLAwQUAAAACACHTuJAwmI1Gx8CAAAmBAAADgAAAGRycy9lMm9Eb2MueG1srVNLbtsw&#10;EN0X6B0I7mvJrh0nguUgjZGiQPoB0h6ApiiLqMRhh7Ql9wDNDbrqpvuey+fokFJcN91k0Q1BcoZv&#10;5r15XFx2Tc12Cp0Gk/PxKOVMGQmFNpucf/p48+KcM+eFKUQNRuV8rxy/XD5/tmhtpiZQQV0oZARi&#10;XNbanFfe2yxJnKxUI9wIrDIULAEb4emIm6RA0RJ6UyeTND1LWsDCIkjlHN2u+iAfEPEpgFCWWqoV&#10;yG2jjO9RUdXCEyVXaev4MnZblkr692XplGd1zompjysVof06rMlyIbINCltpObQgntLCI06N0IaK&#10;HqFWwgu2Rf0PVKMlgoPSjyQ0SU8kKkIsxukjbe4qYVXkQlI7exTd/T9Y+W73AZkucj47e8mZEQ2N&#10;/PD9/vDj1+HnNzafz4NErXUZZd5ZyvXdK+jIOJGus7cgPztm4LoSZqOuEKGtlCioxXF4mZw87XFc&#10;AFm3b6GgSmLrIQJ1JTZBP1KEETqNZ38cj+o8k3R5Pp2nFxSRFJpN5uksji8R2cNji86/VtCwsMk5&#10;0vQjuNjdOh+aEdlDSqhl4EbXdXRAbf66oMT+RkULDa8DldB9z8N3626QZg3Fnkgh9Paiz0WbCvAr&#10;Zy1ZK+fuy1ag4qx+Y0iYi/F0GrwYD9PZfEIHPI2sTyPCSILKuees31773r9bi3pTUaV+FAauSMxS&#10;R6Kh1b6rYQRkn8h/sHrw5+k5Zv353s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lEOOydUAAAAI&#10;AQAADwAAAAAAAAABACAAAAAiAAAAZHJzL2Rvd25yZXYueG1sUEsBAhQAFAAAAAgAh07iQMJiNRsf&#10;AgAAJgQAAA4AAAAAAAAAAQAgAAAAJAEAAGRycy9lMm9Eb2MueG1sUEsFBgAAAAAGAAYAWQEAALUF&#10;AAAAAA==&#10;">
                <v:fill on="f" focussize="0,0"/>
                <v:stroke on="f"/>
                <v:imagedata o:title=""/>
                <o:lock v:ext="edit" aspectratio="f"/>
                <v:textbox>
                  <w:txbxContent>
                    <w:p w14:paraId="190A13C8">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承包人代表及其专业负责人职权</w:t>
                      </w:r>
                    </w:p>
                  </w:txbxContent>
                </v:textbox>
              </v:shape>
            </w:pict>
          </mc:Fallback>
        </mc:AlternateContent>
      </w:r>
      <w:r>
        <w:rPr>
          <w:rFonts w:hint="eastAsia" w:ascii="仿宋" w:hAnsi="仿宋" w:eastAsia="仿宋" w:cs="仿宋"/>
          <w:color w:val="auto"/>
          <w:highlight w:val="none"/>
          <w:lang w:eastAsia="zh-CN"/>
        </w:rPr>
        <w:t>承包人代表应代表承包人履行合同约定的职责、行使合同明文约定或必然隐含的权力，对承包人负责。承包人代表在承包人授予职权范围内的工作，承包人应予认可。专业负责人负责本专业相关技术和管理工作，对承包人及承包人代表负责。</w:t>
      </w:r>
    </w:p>
    <w:p w14:paraId="2D59B3E6">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9</w:t>
      </w:r>
      <w:r>
        <w:rPr>
          <w:rFonts w:ascii="仿宋" w:hAnsi="仿宋" w:eastAsia="仿宋" w:cs="仿宋"/>
          <w:b/>
          <w:bCs/>
          <w:color w:val="auto"/>
          <w:highlight w:val="none"/>
          <w:lang w:eastAsia="zh-CN"/>
        </w:rPr>
        <w:t>.3</w:t>
      </w:r>
    </w:p>
    <w:p w14:paraId="6F6CBB61">
      <w:pPr>
        <w:widowControl w:val="0"/>
        <w:tabs>
          <w:tab w:val="left" w:pos="1260"/>
        </w:tabs>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olor w:val="auto"/>
          <w:highlight w:val="none"/>
          <w:lang w:eastAsia="zh-CN" w:bidi="ar-SA"/>
        </w:rPr>
        <mc:AlternateContent>
          <mc:Choice Requires="wps">
            <w:drawing>
              <wp:anchor distT="0" distB="0" distL="114300" distR="114300" simplePos="0" relativeHeight="251743232" behindDoc="0" locked="0" layoutInCell="1" allowOverlap="1">
                <wp:simplePos x="0" y="0"/>
                <wp:positionH relativeFrom="column">
                  <wp:posOffset>-114300</wp:posOffset>
                </wp:positionH>
                <wp:positionV relativeFrom="paragraph">
                  <wp:posOffset>0</wp:posOffset>
                </wp:positionV>
                <wp:extent cx="870585" cy="621030"/>
                <wp:effectExtent l="0" t="0" r="0" b="0"/>
                <wp:wrapNone/>
                <wp:docPr id="564" name="文本框 778"/>
                <wp:cNvGraphicFramePr/>
                <a:graphic xmlns:a="http://schemas.openxmlformats.org/drawingml/2006/main">
                  <a:graphicData uri="http://schemas.microsoft.com/office/word/2010/wordprocessingShape">
                    <wps:wsp>
                      <wps:cNvSpPr txBox="1">
                        <a:spLocks noChangeArrowheads="1"/>
                      </wps:cNvSpPr>
                      <wps:spPr bwMode="auto">
                        <a:xfrm>
                          <a:off x="0" y="0"/>
                          <a:ext cx="870585" cy="621030"/>
                        </a:xfrm>
                        <a:prstGeom prst="rect">
                          <a:avLst/>
                        </a:prstGeom>
                        <a:noFill/>
                        <a:ln>
                          <a:noFill/>
                        </a:ln>
                        <a:effectLst/>
                      </wps:spPr>
                      <wps:txbx>
                        <w:txbxContent>
                          <w:p w14:paraId="325CD91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承包人代表临时任命人职权</w:t>
                            </w:r>
                          </w:p>
                        </w:txbxContent>
                      </wps:txbx>
                      <wps:bodyPr rot="0" vert="horz" wrap="square" lIns="91440" tIns="45720" rIns="91440" bIns="45720" anchor="t" anchorCtr="0" upright="1">
                        <a:noAutofit/>
                      </wps:bodyPr>
                    </wps:wsp>
                  </a:graphicData>
                </a:graphic>
              </wp:anchor>
            </w:drawing>
          </mc:Choice>
          <mc:Fallback>
            <w:pict>
              <v:shape id="文本框 778" o:spid="_x0000_s1026" o:spt="202" type="#_x0000_t202" style="position:absolute;left:0pt;margin-left:-9pt;margin-top:0pt;height:48.9pt;width:68.55pt;z-index:251743232;mso-width-relative:page;mso-height-relative:page;" filled="f" stroked="f" coordsize="21600,21600" o:gfxdata="UEsDBAoAAAAAAIdO4kAAAAAAAAAAAAAAAAAEAAAAZHJzL1BLAwQUAAAACACHTuJAErFbKtYAAAAH&#10;AQAADwAAAGRycy9kb3ducmV2LnhtbE2PS2vDMBCE74X8B7GB3hJJoQ/b9TqHlF5bmj6gN8Xa2KbW&#10;ylhK7P77Kqf2sjDMMPNtuZ1dL840hs4zgl4rEMS1tx03CO9vT6sMRIiGrek9E8IPBdhWi6vSFNZP&#10;/ErnfWxEKuFQGIQ2xqGQMtQtORPWfiBO3tGPzsQkx0ba0Uyp3PVyo9SddKbjtNCagXYt1d/7k0P4&#10;eD5+fd6ol+bR3Q6Tn5Vkl0vE66VWDyAizfEvDBf8hA5VYjr4E9sgeoSVztIvESHdi61zDeKAkN9n&#10;IKtS/uevfgFQSwMEFAAAAAgAh07iQGEVji8fAgAAJgQAAA4AAABkcnMvZTJvRG9jLnhtbK1TzY7T&#10;MBC+I/EOlu80aekfUdPVstUipOVHWngA13Eai8Rjxm6T8gDwBpy4cOe59jkYO9lSlsseuFi2Z/zN&#10;fN98Xl10Tc0OCp0Gk/PxKOVMGQmFNrucf/xw/WzJmfPCFKIGo3J+VI5frJ8+WbU2UxOooC4UMgIx&#10;LmttzivvbZYkTlaqEW4EVhkKloCN8HTEXVKgaAm9qZNJms6TFrCwCFI5R7ebPsgHRHwMIJSllmoD&#10;ct8o43tUVLXwRMlV2jq+jt2WpZL+XVk65Vmdc2Lq40pFaL8Na7JeiWyHwlZaDi2Ix7TwgFMjtKGi&#10;J6iN8ILtUf8D1WiJ4KD0IwlN0hOJihCLcfpAm9tKWBW5kNTOnkR3/w9Wvj28R6aLnM/mU86MaGjk&#10;d9+/3f34dffzK1sslkGi1rqMMm8t5fruJXRknEjX2RuQnxwzcFUJs1OXiNBWShTU4ji8TM6e9jgu&#10;gGzbN1BQJbH3EIG6EpugHynCCJ3GczyNR3WeSbpcLtLZcsaZpNB8Mk6fx/ElIrt/bNH5VwoaFjY5&#10;R5p+BBeHG+dDMyK7Twm1DFzruo4OqM1fF5TY36hooeF1oBK673n4btsN0myhOBIphN5e9LloUwF+&#10;4awla+Xcfd4LVJzVrw0J82I8nQYvxsN0tpjQAc8j2/OIMJKgcu4567dXvvfv3qLeVVSpH4WBSxKz&#10;1JFoaLXvahgB2SfyH6we/Hl+jll/vvf6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KxWyrWAAAA&#10;BwEAAA8AAAAAAAAAAQAgAAAAIgAAAGRycy9kb3ducmV2LnhtbFBLAQIUABQAAAAIAIdO4kBhFY4v&#10;HwIAACYEAAAOAAAAAAAAAAEAIAAAACUBAABkcnMvZTJvRG9jLnhtbFBLBQYAAAAABgAGAFkBAAC2&#10;BQAAAAA=&#10;">
                <v:fill on="f" focussize="0,0"/>
                <v:stroke on="f"/>
                <v:imagedata o:title=""/>
                <o:lock v:ext="edit" aspectratio="f"/>
                <v:textbox>
                  <w:txbxContent>
                    <w:p w14:paraId="325CD91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承包人代表临时任命人职权</w:t>
                      </w:r>
                    </w:p>
                  </w:txbxContent>
                </v:textbox>
              </v:shape>
            </w:pict>
          </mc:Fallback>
        </mc:AlternateContent>
      </w:r>
      <w:r>
        <w:rPr>
          <w:rFonts w:hint="eastAsia" w:ascii="仿宋" w:hAnsi="仿宋" w:eastAsia="仿宋" w:cs="仿宋"/>
          <w:color w:val="auto"/>
          <w:highlight w:val="none"/>
          <w:lang w:eastAsia="zh-CN"/>
        </w:rPr>
        <w:t>如果承包人代表在合同履行期间确需暂离现场，则应在监理人代表同意下，授权给其任命的合格人选，亦可将其授权撤回。任命的人选行使承包人代表授予的职权，对承包人代表负责。该人选在</w:t>
      </w:r>
      <w:r>
        <w:rPr>
          <w:rFonts w:hint="eastAsia" w:ascii="仿宋" w:hAnsi="仿宋" w:eastAsia="仿宋"/>
          <w:color w:val="auto"/>
          <w:highlight w:val="none"/>
          <w:lang w:eastAsia="zh-CN"/>
        </w:rPr>
        <w:t>承包人</w:t>
      </w:r>
      <w:r>
        <w:rPr>
          <w:rFonts w:hint="eastAsia" w:ascii="仿宋" w:hAnsi="仿宋" w:eastAsia="仿宋" w:cs="仿宋"/>
          <w:color w:val="auto"/>
          <w:highlight w:val="none"/>
          <w:lang w:eastAsia="zh-CN"/>
        </w:rPr>
        <w:t>代表授予职权范围内的工作，承包人代表应予认可，但承包人代表保留发出通知以纠正被授权人工作失误的权力。</w:t>
      </w:r>
    </w:p>
    <w:p w14:paraId="7FB73855">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2</w:t>
      </w:r>
      <w:r>
        <w:rPr>
          <w:rFonts w:hint="eastAsia" w:ascii="仿宋" w:hAnsi="仿宋" w:eastAsia="仿宋" w:cs="仿宋"/>
          <w:b/>
          <w:bCs/>
          <w:color w:val="auto"/>
          <w:highlight w:val="none"/>
          <w:lang w:eastAsia="zh-CN"/>
        </w:rPr>
        <w:t>9</w:t>
      </w:r>
      <w:r>
        <w:rPr>
          <w:rFonts w:ascii="仿宋" w:hAnsi="仿宋" w:eastAsia="仿宋" w:cs="仿宋"/>
          <w:b/>
          <w:bCs/>
          <w:color w:val="auto"/>
          <w:highlight w:val="none"/>
          <w:lang w:eastAsia="zh-CN"/>
        </w:rPr>
        <w:t>.4</w:t>
      </w:r>
    </w:p>
    <w:p w14:paraId="29DEBC8B">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44256" behindDoc="0" locked="0" layoutInCell="1" allowOverlap="1">
                <wp:simplePos x="0" y="0"/>
                <wp:positionH relativeFrom="column">
                  <wp:posOffset>-114300</wp:posOffset>
                </wp:positionH>
                <wp:positionV relativeFrom="paragraph">
                  <wp:posOffset>0</wp:posOffset>
                </wp:positionV>
                <wp:extent cx="756920" cy="993775"/>
                <wp:effectExtent l="0" t="0" r="0" b="0"/>
                <wp:wrapNone/>
                <wp:docPr id="565" name="文本框 779"/>
                <wp:cNvGraphicFramePr/>
                <a:graphic xmlns:a="http://schemas.openxmlformats.org/drawingml/2006/main">
                  <a:graphicData uri="http://schemas.microsoft.com/office/word/2010/wordprocessingShape">
                    <wps:wsp>
                      <wps:cNvSpPr txBox="1">
                        <a:spLocks noChangeArrowheads="1"/>
                      </wps:cNvSpPr>
                      <wps:spPr bwMode="auto">
                        <a:xfrm>
                          <a:off x="0" y="0"/>
                          <a:ext cx="756920" cy="993775"/>
                        </a:xfrm>
                        <a:prstGeom prst="rect">
                          <a:avLst/>
                        </a:prstGeom>
                        <a:noFill/>
                        <a:ln>
                          <a:noFill/>
                        </a:ln>
                        <a:effectLst/>
                      </wps:spPr>
                      <wps:txbx>
                        <w:txbxContent>
                          <w:p w14:paraId="26E3462B">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紧急情况时承包人代表采取措施及双方责任</w:t>
                            </w:r>
                          </w:p>
                        </w:txbxContent>
                      </wps:txbx>
                      <wps:bodyPr rot="0" vert="horz" wrap="square" lIns="91440" tIns="45720" rIns="91440" bIns="45720" anchor="t" anchorCtr="0" upright="1">
                        <a:noAutofit/>
                      </wps:bodyPr>
                    </wps:wsp>
                  </a:graphicData>
                </a:graphic>
              </wp:anchor>
            </w:drawing>
          </mc:Choice>
          <mc:Fallback>
            <w:pict>
              <v:shape id="文本框 779" o:spid="_x0000_s1026" o:spt="202" type="#_x0000_t202" style="position:absolute;left:0pt;margin-left:-9pt;margin-top:0pt;height:78.25pt;width:59.6pt;z-index:251744256;mso-width-relative:page;mso-height-relative:page;" filled="f" stroked="f" coordsize="21600,21600" o:gfxdata="UEsDBAoAAAAAAIdO4kAAAAAAAAAAAAAAAAAEAAAAZHJzL1BLAwQUAAAACACHTuJAVhhbAdUAAAAI&#10;AQAADwAAAGRycy9kb3ducmV2LnhtbE2PQU/DMAyF70j8h8hI3LakE51GqbsDiCuIMZC4ZY3XVjRO&#10;1WRr+fd4J7hYtt7T8/fK7ex7daYxdoERsqUBRVwH13GDsH9/XmxAxWTZ2T4wIfxQhG11fVXawoWJ&#10;3+i8S42SEI6FRWhTGgqtY92St3EZBmLRjmH0Nsk5NtqNdpJw3+uVMWvtbcfyobUDPbZUf+9OHuHj&#10;5fj1eWdemyefD1OYjWZ/rxFvbzLzACrRnP7McMEXdKiE6RBO7KLqERbZRrokBJkX2WQrUAdZ8nUO&#10;uir1/wLVL1BLAwQUAAAACACHTuJA+co1RB4CAAAmBAAADgAAAGRycy9lMm9Eb2MueG1srVPNjtMw&#10;EL4j8Q6W7zRtaRsaNV0tWy1CWn6khQdwHaexSDxm7DZZHgDegBMX7jxXn4Oxky1lueyBi2V7xt/M&#10;983n1UXX1Oyg0GkwOZ+MxpwpI6HQZpfzjx+un73gzHlhClGDUTm/U45frJ8+WbU2U1OooC4UMgIx&#10;LmttzivvbZYkTlaqEW4EVhkKloCN8HTEXVKgaAm9qZPpeLxIWsDCIkjlHN1u+iAfEPExgFCWWqoN&#10;yH2jjO9RUdXCEyVXaev4OnZblkr6d2XplGd1zompjysVof02rMl6JbIdCltpObQgHtPCA06N0IaK&#10;nqA2wgu2R/0PVKMlgoPSjyQ0SU8kKkIsJuMH2txWwqrIhaR29iS6+3+w8u3hPTJd5Hy+mHNmREMj&#10;P37/dvzx6/jzK0vTZZCotS6jzFtLub57CR0ZJ9J19gbkJ8cMXFXC7NQlIrSVEgW1OAkvk7OnPY4L&#10;INv2DRRUSew9RKCuxCboR4owQqfx3J3GozrPJF2m88VyShFJoeXyeZrOYwWR3T+26PwrBQ0Lm5wj&#10;TT+Ci8ON86EZkd2nhFoGrnVdRwfU5q8LSuxvVLTQ8DpQCd33PHy37QZptlDcESmE3l70uWhTAX7h&#10;rCVr5dx93gtUnNWvDQmznMxmwYvxMJungROeR7bnEWEkQeXcc9Zvr3zv371FvauoUj8KA5ckZqkj&#10;0dBq39UwArJP5D9YPfjz/Byz/nzv9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WGFsB1QAAAAgB&#10;AAAPAAAAAAAAAAEAIAAAACIAAABkcnMvZG93bnJldi54bWxQSwECFAAUAAAACACHTuJA+co1RB4C&#10;AAAmBAAADgAAAAAAAAABACAAAAAkAQAAZHJzL2Uyb0RvYy54bWxQSwUGAAAAAAYABgBZAQAAtAUA&#10;AAAA&#10;">
                <v:fill on="f" focussize="0,0"/>
                <v:stroke on="f"/>
                <v:imagedata o:title=""/>
                <o:lock v:ext="edit" aspectratio="f"/>
                <v:textbox>
                  <w:txbxContent>
                    <w:p w14:paraId="26E3462B">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紧急情况时承包人代表采取措施及双方责任</w:t>
                      </w:r>
                    </w:p>
                  </w:txbxContent>
                </v:textbox>
              </v:shape>
            </w:pict>
          </mc:Fallback>
        </mc:AlternateContent>
      </w:r>
      <w:r>
        <w:rPr>
          <w:rFonts w:hint="eastAsia" w:ascii="仿宋" w:hAnsi="仿宋" w:eastAsia="仿宋" w:cs="仿宋"/>
          <w:color w:val="auto"/>
          <w:highlight w:val="none"/>
          <w:lang w:eastAsia="zh-CN"/>
        </w:rPr>
        <w:t>承包人代表按照经发包人认可的施工组织设计和监理人发出的指令组织施工。在紧急情况下，且无法与监理人代表取得联系时，承包人代表应立即采取保证人员生命和工程、财产安全的有效措施，并在采取措施后</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内向监理人提交书面报告，通知发包人。属于发包人或第三方责任的，其发生的费用和（或）延误的工期由发包人承担，并支付承包人合理利润；属于承包人责任的，其发生的费用和（或）延误的工期由承包人承担。</w:t>
      </w:r>
    </w:p>
    <w:p w14:paraId="15FEABA5">
      <w:pPr>
        <w:pStyle w:val="2"/>
        <w:tabs>
          <w:tab w:val="left" w:pos="540"/>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11851FA4">
      <w:pPr>
        <w:pStyle w:val="6"/>
        <w:tabs>
          <w:tab w:val="left" w:pos="420"/>
        </w:tabs>
        <w:spacing w:before="120" w:beforeLines="50" w:after="120" w:afterLines="50" w:line="360" w:lineRule="auto"/>
        <w:rPr>
          <w:rFonts w:hint="eastAsia" w:ascii="仿宋" w:hAnsi="仿宋" w:eastAsia="仿宋"/>
          <w:bCs w:val="0"/>
          <w:color w:val="auto"/>
          <w:sz w:val="24"/>
          <w:szCs w:val="24"/>
          <w:highlight w:val="none"/>
          <w:lang w:eastAsia="zh-CN"/>
        </w:rPr>
      </w:pPr>
      <w:bookmarkStart w:id="324" w:name="_Toc1808"/>
      <w:r>
        <w:rPr>
          <w:rFonts w:hint="eastAsia" w:ascii="仿宋" w:hAnsi="仿宋" w:eastAsia="仿宋" w:cs="仿宋"/>
          <w:bCs w:val="0"/>
          <w:color w:val="auto"/>
          <w:sz w:val="24"/>
          <w:szCs w:val="24"/>
          <w:highlight w:val="none"/>
          <w:lang w:eastAsia="zh-CN"/>
        </w:rPr>
        <w:t>30指定分包人</w:t>
      </w:r>
      <w:bookmarkEnd w:id="324"/>
    </w:p>
    <w:p w14:paraId="42A9B473">
      <w:pPr>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30</w:t>
      </w:r>
      <w:r>
        <w:rPr>
          <w:rFonts w:ascii="仿宋" w:hAnsi="仿宋" w:eastAsia="仿宋" w:cs="仿宋"/>
          <w:b/>
          <w:bCs/>
          <w:color w:val="auto"/>
          <w:highlight w:val="none"/>
          <w:lang w:eastAsia="zh-CN"/>
        </w:rPr>
        <w:t>.1</w:t>
      </w:r>
    </w:p>
    <w:p w14:paraId="6A8BEEA4">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45280" behindDoc="0" locked="0" layoutInCell="1" allowOverlap="1">
                <wp:simplePos x="0" y="0"/>
                <wp:positionH relativeFrom="column">
                  <wp:posOffset>-114300</wp:posOffset>
                </wp:positionH>
                <wp:positionV relativeFrom="paragraph">
                  <wp:posOffset>60325</wp:posOffset>
                </wp:positionV>
                <wp:extent cx="822960" cy="483235"/>
                <wp:effectExtent l="0" t="0" r="0" b="0"/>
                <wp:wrapNone/>
                <wp:docPr id="566" name="文本框 780"/>
                <wp:cNvGraphicFramePr/>
                <a:graphic xmlns:a="http://schemas.openxmlformats.org/drawingml/2006/main">
                  <a:graphicData uri="http://schemas.microsoft.com/office/word/2010/wordprocessingShape">
                    <wps:wsp>
                      <wps:cNvSpPr txBox="1">
                        <a:spLocks noChangeArrowheads="1"/>
                      </wps:cNvSpPr>
                      <wps:spPr bwMode="auto">
                        <a:xfrm>
                          <a:off x="0" y="0"/>
                          <a:ext cx="822960" cy="483235"/>
                        </a:xfrm>
                        <a:prstGeom prst="rect">
                          <a:avLst/>
                        </a:prstGeom>
                        <a:noFill/>
                        <a:ln>
                          <a:noFill/>
                        </a:ln>
                        <a:effectLst/>
                      </wps:spPr>
                      <wps:txbx>
                        <w:txbxContent>
                          <w:p w14:paraId="4A5CED9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指定分包人工作</w:t>
                            </w:r>
                          </w:p>
                        </w:txbxContent>
                      </wps:txbx>
                      <wps:bodyPr rot="0" vert="horz" wrap="square" lIns="91440" tIns="45720" rIns="91440" bIns="45720" anchor="t" anchorCtr="0" upright="1">
                        <a:noAutofit/>
                      </wps:bodyPr>
                    </wps:wsp>
                  </a:graphicData>
                </a:graphic>
              </wp:anchor>
            </w:drawing>
          </mc:Choice>
          <mc:Fallback>
            <w:pict>
              <v:shape id="文本框 780" o:spid="_x0000_s1026" o:spt="202" type="#_x0000_t202" style="position:absolute;left:0pt;margin-left:-9pt;margin-top:4.75pt;height:38.05pt;width:64.8pt;z-index:251745280;mso-width-relative:page;mso-height-relative:page;" filled="f" stroked="f" coordsize="21600,21600" o:gfxdata="UEsDBAoAAAAAAIdO4kAAAAAAAAAAAAAAAAAEAAAAZHJzL1BLAwQUAAAACACHTuJA0TlYHtUAAAAI&#10;AQAADwAAAGRycy9kb3ducmV2LnhtbE2PwU7DMBBE70j8g7VI3FrbiERpyKYHEFcQpSBxc+NtEhGv&#10;o9htwt/jnuA4mtHMm2q7uEGcaQq9ZwS9ViCIG297bhH278+rAkSIhq0ZPBPCDwXY1tdXlSmtn/mN&#10;zrvYilTCoTQIXYxjKWVoOnImrP1InLyjn5yJSU6ttJOZU7kb5J1SuXSm57TQmZEeO2q+dyeH8PFy&#10;/Pq8V6/tk8vG2S9KsttIxNsbrR5ARFriXxgu+Akd6sR08Ce2QQwIK12kLxFhk4G4+FrnIA4IRZaD&#10;rCv5/0D9C1BLAwQUAAAACACHTuJAh9G5dx8CAAAmBAAADgAAAGRycy9lMm9Eb2MueG1srVNLbtsw&#10;EN0X6B0I7mvZiu04guUgjZGiQPoB0h6ApiiLqMRhh7Sl9ADNDbrqpvuey+fokLIdN91k0Y1Azgzf&#10;zHvzNL/smpptFToNJuejwZAzZSQU2qxz/vnTzasZZ84LU4gajMr5vXL8cvHyxby1mUqhgrpQyAjE&#10;uKy1Oa+8t1mSOFmpRrgBWGUoWQI2wtMV10mBoiX0pk7S4XCatICFRZDKOYou+yTfI+JzAKEstVRL&#10;kJtGGd+joqqFJ0qu0tbxRZy2LJX0H8rSKc/qnBNTH7/UhM6r8E0Wc5GtUdhKy/0I4jkjPOHUCG2o&#10;6RFqKbxgG9T/QDVaIjgo/UBCk/REoiLEYjR8os1dJayKXEhqZ4+iu/8HK99vPyLTRc4n0ylnRjS0&#10;8t2Ph93P37tf39n5LErUWpdR5Z2lWt+9ho6ME+k6ewvyi2MGrith1uoKEdpKiYJGHAVxk5OnYSku&#10;cwFk1b6DgjqJjYcI1JXYBP1IEUbotJ7743pU55mk4CxNL6aUkZQaz87Ss0nsILLDY4vOv1HQsHDI&#10;OdL2I7jY3jofhhHZoST0MnCj6zo6oDZ/Baiwj6hoof3rw/Q9D9+tOnobgiso7okUQm8v+rnoUAF+&#10;46wla+Xcfd0IVJzVbw0JczEaj4MX42U8OU/pgqeZ1WlGGElQOfec9cdr3/t3Y1GvK+rUr8LAFYlZ&#10;6kj0car9Csg+kf/e6sGfp/dY9fh7L/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0TlYHtUAAAAI&#10;AQAADwAAAAAAAAABACAAAAAiAAAAZHJzL2Rvd25yZXYueG1sUEsBAhQAFAAAAAgAh07iQIfRuXcf&#10;AgAAJgQAAA4AAAAAAAAAAQAgAAAAJAEAAGRycy9lMm9Eb2MueG1sUEsFBgAAAAAGAAYAWQEAALUF&#10;AAAAAA==&#10;">
                <v:fill on="f" focussize="0,0"/>
                <v:stroke on="f"/>
                <v:imagedata o:title=""/>
                <o:lock v:ext="edit" aspectratio="f"/>
                <v:textbox>
                  <w:txbxContent>
                    <w:p w14:paraId="4A5CED9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指定分包人工作</w:t>
                      </w:r>
                    </w:p>
                  </w:txbxContent>
                </v:textbox>
              </v:shape>
            </w:pict>
          </mc:Fallback>
        </mc:AlternateContent>
      </w:r>
      <w:r>
        <w:rPr>
          <w:rFonts w:hint="eastAsia" w:ascii="仿宋" w:hAnsi="仿宋" w:eastAsia="仿宋" w:cs="仿宋"/>
          <w:color w:val="auto"/>
          <w:highlight w:val="none"/>
          <w:lang w:eastAsia="zh-CN"/>
        </w:rPr>
        <w:t>指定分包人是指发包人事先指定的从事下列工作之一的分包人：</w:t>
      </w:r>
    </w:p>
    <w:p w14:paraId="360893B4">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）根据专用条款的约定，发包人依法事先指定的实施、完成部分永久工程的分包人；</w:t>
      </w:r>
    </w:p>
    <w:p w14:paraId="4ACD70CF">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）根据专用条款的约定，发包人选定的提供合同工程材料、工程设备和服务的分包人；</w:t>
      </w:r>
    </w:p>
    <w:p w14:paraId="2662F54B">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（3）根据专用条款的约定，发包人选定的提供部分专业服务的分包人。</w:t>
      </w:r>
    </w:p>
    <w:p w14:paraId="5ED27FC2">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30</w:t>
      </w:r>
      <w:r>
        <w:rPr>
          <w:rFonts w:ascii="仿宋" w:hAnsi="仿宋" w:eastAsia="仿宋" w:cs="仿宋"/>
          <w:b/>
          <w:bCs/>
          <w:color w:val="auto"/>
          <w:highlight w:val="none"/>
          <w:lang w:eastAsia="zh-CN"/>
        </w:rPr>
        <w:t>.2</w:t>
      </w:r>
    </w:p>
    <w:p w14:paraId="62CA1CB5">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46304" behindDoc="0" locked="0" layoutInCell="1" allowOverlap="1">
                <wp:simplePos x="0" y="0"/>
                <wp:positionH relativeFrom="column">
                  <wp:posOffset>-114300</wp:posOffset>
                </wp:positionH>
                <wp:positionV relativeFrom="paragraph">
                  <wp:posOffset>0</wp:posOffset>
                </wp:positionV>
                <wp:extent cx="866775" cy="556895"/>
                <wp:effectExtent l="0" t="0" r="0" b="0"/>
                <wp:wrapNone/>
                <wp:docPr id="567" name="文本框 781"/>
                <wp:cNvGraphicFramePr/>
                <a:graphic xmlns:a="http://schemas.openxmlformats.org/drawingml/2006/main">
                  <a:graphicData uri="http://schemas.microsoft.com/office/word/2010/wordprocessingShape">
                    <wps:wsp>
                      <wps:cNvSpPr txBox="1">
                        <a:spLocks noChangeArrowheads="1"/>
                      </wps:cNvSpPr>
                      <wps:spPr bwMode="auto">
                        <a:xfrm>
                          <a:off x="0" y="0"/>
                          <a:ext cx="866775" cy="556895"/>
                        </a:xfrm>
                        <a:prstGeom prst="rect">
                          <a:avLst/>
                        </a:prstGeom>
                        <a:noFill/>
                        <a:ln>
                          <a:noFill/>
                        </a:ln>
                        <a:effectLst/>
                      </wps:spPr>
                      <wps:txbx>
                        <w:txbxContent>
                          <w:p w14:paraId="0DBF78BF">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承包人对指定分包人的接受</w:t>
                            </w:r>
                          </w:p>
                        </w:txbxContent>
                      </wps:txbx>
                      <wps:bodyPr rot="0" vert="horz" wrap="square" lIns="91440" tIns="45720" rIns="91440" bIns="45720" anchor="t" anchorCtr="0" upright="1">
                        <a:noAutofit/>
                      </wps:bodyPr>
                    </wps:wsp>
                  </a:graphicData>
                </a:graphic>
              </wp:anchor>
            </w:drawing>
          </mc:Choice>
          <mc:Fallback>
            <w:pict>
              <v:shape id="文本框 781" o:spid="_x0000_s1026" o:spt="202" type="#_x0000_t202" style="position:absolute;left:0pt;margin-left:-9pt;margin-top:0pt;height:43.85pt;width:68.25pt;z-index:251746304;mso-width-relative:page;mso-height-relative:page;" filled="f" stroked="f" coordsize="21600,21600" o:gfxdata="UEsDBAoAAAAAAIdO4kAAAAAAAAAAAAAAAAAEAAAAZHJzL1BLAwQUAAAACACHTuJAGjLqltUAAAAH&#10;AQAADwAAAGRycy9kb3ducmV2LnhtbE2PwU7DMBBE70j8g7VI3Fo7iNIQsukBxBVEC0jctvE2iYjX&#10;Uew24e9xT3BZaTSjmbflZna9OvEYOi8I2dKAYqm97aRBeN89L3JQIZJY6r0wwg8H2FSXFyUV1k/y&#10;xqdtbFQqkVAQQhvjUGgd6pYdhaUfWJJ38KOjmOTYaDvSlMpdr2+MudOOOkkLLQ382HL9vT06hI+X&#10;w9fnrXltntxqmPxstLh7jXh9lZkHUJHn+BeGM35Chyox7f1RbFA9wiLL0y8RId2zneUrUHuEfL0G&#10;XZX6P3/1C1BLAwQUAAAACACHTuJAeOV5cB8CAAAmBAAADgAAAGRycy9lMm9Eb2MueG1srVNLbtsw&#10;EN0X6B0I7mvZhn8RLAdpjBQF0g+Q9gA0RVlEJQ47pC2lB2hv0FU33fdcPkeHpOO66SaLbgQOZ/hm&#10;3pun5WXfNmyv0GkwBR8NhpwpI6HUZlvwjx9uXiw4c16YUjRgVMHvleOXq+fPlp3N1RhqaEqFjECM&#10;yztb8Np7m2eZk7VqhRuAVYaSFWArPIW4zUoUHaG3TTYeDmdZB1haBKmco9t1SvIjIj4FEKpKS7UG&#10;uWuV8QkVVSM8UXK1to6v4rRVpaR/V1VOedYUnJj6+KUmdN6Eb7ZainyLwtZaHkcQTxnhEadWaENN&#10;T1Br4QXbof4HqtUSwUHlBxLaLBGJihCL0fCRNne1sCpyIamdPYnu/h+sfLt/j0yXBZ/O5pwZ0dLK&#10;D9+/HX78Ovz8yuaLUZCosy6nyjtLtb5/CT0ZJ9J19hbkJ8cMXNfCbNUVInS1EiWNGF9mZ08Tjgsg&#10;m+4NlNRJ7DxEoL7CNuhHijBCp/Xcn9ajes8kXS5ms/l8ypmk1HQ6W1xMw2yZyB8eW3T+lYKWhUPB&#10;kbYfwcX+1vlU+lASehm40U0THdCYvy4IM92oaKHj60AlTJ94+H7TH6XZQHlPpBCSvejnokMN+IWz&#10;jqxVcPd5J1Bx1rw2JMzFaDIJXozBZDofU4Dnmc15RhhJUAX3nKXjtU/+3VnU25o6pVUYuCIxKx2J&#10;hlHTVCRQCMg+Uaqj1YM/z+NY9ef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GjLqltUAAAAH&#10;AQAADwAAAAAAAAABACAAAAAiAAAAZHJzL2Rvd25yZXYueG1sUEsBAhQAFAAAAAgAh07iQHjleXAf&#10;AgAAJgQAAA4AAAAAAAAAAQAgAAAAJAEAAGRycy9lMm9Eb2MueG1sUEsFBgAAAAAGAAYAWQEAALUF&#10;AAAAAA==&#10;">
                <v:fill on="f" focussize="0,0"/>
                <v:stroke on="f"/>
                <v:imagedata o:title=""/>
                <o:lock v:ext="edit" aspectratio="f"/>
                <v:textbox>
                  <w:txbxContent>
                    <w:p w14:paraId="0DBF78BF">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承包人对指定分包人的接受</w:t>
                      </w:r>
                    </w:p>
                  </w:txbxContent>
                </v:textbox>
              </v:shape>
            </w:pict>
          </mc:Fallback>
        </mc:AlternateContent>
      </w:r>
      <w:r>
        <w:rPr>
          <w:rFonts w:hint="eastAsia" w:ascii="仿宋" w:hAnsi="仿宋" w:eastAsia="仿宋" w:cs="仿宋"/>
          <w:color w:val="auto"/>
          <w:highlight w:val="none"/>
          <w:lang w:eastAsia="zh-CN"/>
        </w:rPr>
        <w:t>指定分包人属于承包人的分包人，发包人不应要求承包人有义务接受承包人有理由反对的任何指定分包人。</w:t>
      </w:r>
    </w:p>
    <w:p w14:paraId="057B3156">
      <w:pPr>
        <w:spacing w:line="360" w:lineRule="auto"/>
        <w:rPr>
          <w:rFonts w:hint="eastAsia" w:ascii="仿宋" w:hAnsi="仿宋" w:eastAsia="仿宋"/>
          <w:b/>
          <w:bCs/>
          <w:color w:val="auto"/>
          <w:highlight w:val="none"/>
          <w:u w:val="dotted"/>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1986944" behindDoc="0" locked="0" layoutInCell="1" allowOverlap="1">
                <wp:simplePos x="0" y="0"/>
                <wp:positionH relativeFrom="column">
                  <wp:posOffset>-114300</wp:posOffset>
                </wp:positionH>
                <wp:positionV relativeFrom="paragraph">
                  <wp:posOffset>237490</wp:posOffset>
                </wp:positionV>
                <wp:extent cx="856615" cy="678180"/>
                <wp:effectExtent l="0" t="0" r="0" b="0"/>
                <wp:wrapNone/>
                <wp:docPr id="568" name="文本框 782"/>
                <wp:cNvGraphicFramePr/>
                <a:graphic xmlns:a="http://schemas.openxmlformats.org/drawingml/2006/main">
                  <a:graphicData uri="http://schemas.microsoft.com/office/word/2010/wordprocessingShape">
                    <wps:wsp>
                      <wps:cNvSpPr txBox="1">
                        <a:spLocks noChangeArrowheads="1"/>
                      </wps:cNvSpPr>
                      <wps:spPr bwMode="auto">
                        <a:xfrm>
                          <a:off x="0" y="0"/>
                          <a:ext cx="856615" cy="678180"/>
                        </a:xfrm>
                        <a:prstGeom prst="rect">
                          <a:avLst/>
                        </a:prstGeom>
                        <a:noFill/>
                        <a:ln>
                          <a:noFill/>
                        </a:ln>
                        <a:effectLst/>
                      </wps:spPr>
                      <wps:txbx>
                        <w:txbxContent>
                          <w:p w14:paraId="2D9B3CC4">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指定分包工程款结算与支付</w:t>
                            </w:r>
                          </w:p>
                        </w:txbxContent>
                      </wps:txbx>
                      <wps:bodyPr rot="0" vert="horz" wrap="square" lIns="91440" tIns="45720" rIns="91440" bIns="45720" anchor="t" anchorCtr="0" upright="1">
                        <a:noAutofit/>
                      </wps:bodyPr>
                    </wps:wsp>
                  </a:graphicData>
                </a:graphic>
              </wp:anchor>
            </w:drawing>
          </mc:Choice>
          <mc:Fallback>
            <w:pict>
              <v:shape id="文本框 782" o:spid="_x0000_s1026" o:spt="202" type="#_x0000_t202" style="position:absolute;left:0pt;margin-left:-9pt;margin-top:18.7pt;height:53.4pt;width:67.45pt;z-index:251986944;mso-width-relative:page;mso-height-relative:page;" filled="f" stroked="f" coordsize="21600,21600" o:gfxdata="UEsDBAoAAAAAAIdO4kAAAAAAAAAAAAAAAAAEAAAAZHJzL1BLAwQUAAAACACHTuJAL8VmzNgAAAAK&#10;AQAADwAAAGRycy9kb3ducmV2LnhtbE2PwW7CMBBE75X4B2sr9Qbr0JRCGocDVa9FpVCpNxMvSdR4&#10;HcWGpH+PObW3Wc1o9k2+Hm0rLtT7xrGCZCZBEJfONFwp2H++TZcgfNBsdOuYFPySh3Uxuct1ZtzA&#10;H3TZhUrEEvaZVlCH0GWIvqzJaj9zHXH0Tq63OsSzr9D0eojltsW5lAu0uuH4odYdbWoqf3Znq+Dw&#10;fvr+SuW2erVP3eBGiWxXqNTDfSJfQAQaw18YbvgRHYrIdHRnNl60CqbJMm4JCh6fUxC3QLJYgThG&#10;kaZzwCLH/xOKK1BLAwQUAAAACACHTuJADDBugx8CAAAmBAAADgAAAGRycy9lMm9Eb2MueG1srVNL&#10;btswEN0X6B0I7mtZhn8VLAdpjBQF0g+Q9gA0RVlEJQ47pC2lB2hvkFU33fdcPkeHlOK66SaLbgiS&#10;M3wz783j6qJranZQ6DSYnKejMWfKSCi02eX808frF0vOnBemEDUYlfM75fjF+vmzVWszNYEK6kIh&#10;IxDjstbmvPLeZkniZKUa4UZglaFgCdgIT0fcJQWKltCbOpmMx/OkBSwsglTO0e2mD/IBEZ8CCGWp&#10;pdqA3DfK+B4VVS08UXKVto6vY7dlqaR/X5ZOeVbnnJj6uFIR2m/DmqxXItuhsJWWQwviKS084tQI&#10;bajoCWojvGB71P9ANVoiOCj9SEKT9ESiIsQiHT/S5rYSVkUuJLWzJ9Hd/4OV7w4fkOki57M5Dd6I&#10;hkZ+vP9+/PHr+PMbWywnQaLWuowyby3l+u4VdGScSNfZG5CfHTNwVQmzU5eI0FZKFNRiGl4mZ097&#10;HBdAtu1bKKiS2HuIQF2JTdCPFGGETuO5O41HdZ5JulzO5vN0xpmk0HyxTJdxfInIHh5bdP61goaF&#10;Tc6Rph/BxeHG+dCMyB5SQi0D17quowNq89cFJfY3KlpoeB2ohO57Hr7bdoM0WyjuiBRCby/6XLSp&#10;AL9y1pK1cu6+7AUqzuo3hoR5mU6nwYvxMJ0tJnTA88j2PCKMJKice8767ZXv/bu3qHcVVepHYeCS&#10;xCx1JBpa7bsaRkD2ifwHqwd/np9j1p/vvf4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L8VmzNgA&#10;AAAKAQAADwAAAAAAAAABACAAAAAiAAAAZHJzL2Rvd25yZXYueG1sUEsBAhQAFAAAAAgAh07iQAww&#10;boMfAgAAJgQAAA4AAAAAAAAAAQAgAAAAJwEAAGRycy9lMm9Eb2MueG1sUEsFBgAAAAAGAAYAWQEA&#10;ALgFAAAAAA==&#10;">
                <v:fill on="f" focussize="0,0"/>
                <v:stroke on="f"/>
                <v:imagedata o:title=""/>
                <o:lock v:ext="edit" aspectratio="f"/>
                <v:textbox>
                  <w:txbxContent>
                    <w:p w14:paraId="2D9B3CC4">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指定分包工程款结算与支付</w:t>
                      </w:r>
                    </w:p>
                  </w:txbxContent>
                </v:textbox>
              </v:shape>
            </w:pict>
          </mc:Fallback>
        </mc:AlternateContent>
      </w:r>
      <w:r>
        <w:rPr>
          <w:rFonts w:hint="eastAsia" w:ascii="仿宋" w:hAnsi="仿宋" w:eastAsia="仿宋" w:cs="仿宋"/>
          <w:b/>
          <w:bCs/>
          <w:color w:val="auto"/>
          <w:highlight w:val="none"/>
          <w:lang w:eastAsia="zh-CN"/>
        </w:rPr>
        <w:t>30</w:t>
      </w:r>
      <w:r>
        <w:rPr>
          <w:rFonts w:ascii="仿宋" w:hAnsi="仿宋" w:eastAsia="仿宋" w:cs="仿宋"/>
          <w:b/>
          <w:bCs/>
          <w:color w:val="auto"/>
          <w:highlight w:val="none"/>
          <w:lang w:eastAsia="zh-CN"/>
        </w:rPr>
        <w:t>.3</w:t>
      </w:r>
    </w:p>
    <w:p w14:paraId="1EE9190D">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发包人应按照合同的约定向承包人支付指定分包人的分包工程配合费。指定分包工程款的结算与支付，按照第10</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款办理。</w:t>
      </w:r>
    </w:p>
    <w:p w14:paraId="63077943">
      <w:pPr>
        <w:spacing w:line="360" w:lineRule="auto"/>
        <w:rPr>
          <w:rFonts w:hint="eastAsia" w:ascii="仿宋" w:hAnsi="仿宋" w:eastAsia="仿宋"/>
          <w:b/>
          <w:bCs/>
          <w:color w:val="auto"/>
          <w:highlight w:val="none"/>
          <w:u w:val="dotted"/>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1987968" behindDoc="0" locked="0" layoutInCell="1" allowOverlap="1">
                <wp:simplePos x="0" y="0"/>
                <wp:positionH relativeFrom="column">
                  <wp:posOffset>-66675</wp:posOffset>
                </wp:positionH>
                <wp:positionV relativeFrom="paragraph">
                  <wp:posOffset>199390</wp:posOffset>
                </wp:positionV>
                <wp:extent cx="829310" cy="583565"/>
                <wp:effectExtent l="0" t="0" r="0" b="0"/>
                <wp:wrapNone/>
                <wp:docPr id="569" name="文本框 783"/>
                <wp:cNvGraphicFramePr/>
                <a:graphic xmlns:a="http://schemas.openxmlformats.org/drawingml/2006/main">
                  <a:graphicData uri="http://schemas.microsoft.com/office/word/2010/wordprocessingShape">
                    <wps:wsp>
                      <wps:cNvSpPr txBox="1">
                        <a:spLocks noChangeArrowheads="1"/>
                      </wps:cNvSpPr>
                      <wps:spPr bwMode="auto">
                        <a:xfrm>
                          <a:off x="0" y="0"/>
                          <a:ext cx="829310" cy="583565"/>
                        </a:xfrm>
                        <a:prstGeom prst="rect">
                          <a:avLst/>
                        </a:prstGeom>
                        <a:noFill/>
                        <a:ln>
                          <a:noFill/>
                        </a:ln>
                        <a:effectLst/>
                      </wps:spPr>
                      <wps:txbx>
                        <w:txbxContent>
                          <w:p w14:paraId="3DD043DE">
                            <w:pPr>
                              <w:rPr>
                                <w:lang w:eastAsia="zh-CN"/>
                              </w:rPr>
                            </w:pPr>
                            <w:r>
                              <w:rPr>
                                <w:rFonts w:hint="eastAsia" w:ascii="楷体_GB2312" w:hAnsi="宋体" w:eastAsia="楷体_GB2312" w:cs="楷体_GB2312"/>
                                <w:b/>
                                <w:bCs/>
                                <w:color w:val="000000"/>
                                <w:sz w:val="18"/>
                                <w:szCs w:val="18"/>
                                <w:lang w:eastAsia="zh-CN"/>
                              </w:rPr>
                              <w:t>承包人对指定分包工程的义务</w:t>
                            </w:r>
                          </w:p>
                        </w:txbxContent>
                      </wps:txbx>
                      <wps:bodyPr rot="0" vert="horz" wrap="square" lIns="91440" tIns="45720" rIns="91440" bIns="45720" anchor="t" anchorCtr="0" upright="1">
                        <a:noAutofit/>
                      </wps:bodyPr>
                    </wps:wsp>
                  </a:graphicData>
                </a:graphic>
              </wp:anchor>
            </w:drawing>
          </mc:Choice>
          <mc:Fallback>
            <w:pict>
              <v:shape id="文本框 783" o:spid="_x0000_s1026" o:spt="202" type="#_x0000_t202" style="position:absolute;left:0pt;margin-left:-5.25pt;margin-top:15.7pt;height:45.95pt;width:65.3pt;z-index:251987968;mso-width-relative:page;mso-height-relative:page;" filled="f" stroked="f" coordsize="21600,21600" o:gfxdata="UEsDBAoAAAAAAIdO4kAAAAAAAAAAAAAAAAAEAAAAZHJzL1BLAwQUAAAACACHTuJAIKixR9YAAAAK&#10;AQAADwAAAGRycy9kb3ducmV2LnhtbE2PTU/DMAyG70j8h8hI3LYk64ZYaboDiCuI8SHt5jVeW9E4&#10;VZOt5d+TnuBmy49eP2+xm1wnLjSE1rMBvVQgiCtvW64NfLw/L+5BhIhssfNMBn4owK68viowt37k&#10;N7rsYy1SCIccDTQx9rmUoWrIYVj6njjdTn5wGNM61NIOOKZw18mVUnfSYcvpQ4M9PTZUfe/PzsDn&#10;y+nwtVav9ZPb9KOflGS3lcbc3mj1ACLSFP9gmPWTOpTJ6ejPbIPoDCy02iTUQKbXIGZgpTSI4zxk&#10;GciykP8rlL9QSwMEFAAAAAgAh07iQLkReSseAgAAJgQAAA4AAABkcnMvZTJvRG9jLnhtbK1TS27b&#10;MBDdF+gdCO5r+R9bsBykMVIUSD9A2gPQFGURlTjskLaUHqC9QVfddN9z+RwdUorrppssuiFIzvDN&#10;vDePq8u2rthBodNgMj4aDDlTRkKuzS7jHz/cvFhw5rwwuajAqIzfK8cv18+frRqbqjGUUOUKGYEY&#10;lzY246X3Nk0SJ0tVCzcAqwwFC8BaeDriLslRNIReV8l4OJwnDWBuEaRyjm43XZD3iPgUQCgKLdUG&#10;5L5WxneoqCrhiZIrtXV8HbstCiX9u6JwyrMq48TUx5WK0H4b1mS9EukOhS217FsQT2nhEadaaENF&#10;T1Ab4QXbo/4HqtYSwUHhBxLqpCMSFSEWo+Ejbe5KYVXkQlI7exLd/T9Y+fbwHpnOMz6bLzkzoqaR&#10;H79/O/74dfz5lV0sJkGixrqUMu8s5fr2JbRknEjX2VuQnxwzcF0Ks1NXiNCUSuTU4ii8TM6edjgu&#10;gGybN5BTJbH3EIHaAuugHynCCJ3Gc38aj2o9k3S5GC8nI4pICs0Wk9l8FiuI9OGxRedfKahZ2GQc&#10;afoRXBxunQ/NiPQhJdQycKOrKjqgMn9dUGJ3o6KF+teBSui+4+HbbdtLs4X8nkghdPaiz0WbEvAL&#10;Zw1ZK+Pu816g4qx6bUiY5Wg6DV6Mh+nsYkwHPI9szyPCSILKuOes2177zr97i3pXUqVuFAauSMxC&#10;R6Kh1a6rfgRkn8i/t3rw5/k5Zv353u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IKixR9YAAAAK&#10;AQAADwAAAAAAAAABACAAAAAiAAAAZHJzL2Rvd25yZXYueG1sUEsBAhQAFAAAAAgAh07iQLkReSse&#10;AgAAJgQAAA4AAAAAAAAAAQAgAAAAJQEAAGRycy9lMm9Eb2MueG1sUEsFBgAAAAAGAAYAWQEAALUF&#10;AAAAAA==&#10;">
                <v:fill on="f" focussize="0,0"/>
                <v:stroke on="f"/>
                <v:imagedata o:title=""/>
                <o:lock v:ext="edit" aspectratio="f"/>
                <v:textbox>
                  <w:txbxContent>
                    <w:p w14:paraId="3DD043DE">
                      <w:pPr>
                        <w:rPr>
                          <w:lang w:eastAsia="zh-CN"/>
                        </w:rPr>
                      </w:pPr>
                      <w:r>
                        <w:rPr>
                          <w:rFonts w:hint="eastAsia" w:ascii="楷体_GB2312" w:hAnsi="宋体" w:eastAsia="楷体_GB2312" w:cs="楷体_GB2312"/>
                          <w:b/>
                          <w:bCs/>
                          <w:color w:val="000000"/>
                          <w:sz w:val="18"/>
                          <w:szCs w:val="18"/>
                          <w:lang w:eastAsia="zh-CN"/>
                        </w:rPr>
                        <w:t>承包人对指定分包工程的义务</w:t>
                      </w:r>
                    </w:p>
                  </w:txbxContent>
                </v:textbox>
              </v:shape>
            </w:pict>
          </mc:Fallback>
        </mc:AlternateContent>
      </w:r>
      <w:r>
        <w:rPr>
          <w:rFonts w:hint="eastAsia" w:ascii="仿宋" w:hAnsi="仿宋" w:eastAsia="仿宋" w:cs="仿宋"/>
          <w:b/>
          <w:bCs/>
          <w:color w:val="auto"/>
          <w:highlight w:val="none"/>
          <w:lang w:eastAsia="zh-CN"/>
        </w:rPr>
        <w:t>30</w:t>
      </w:r>
      <w:r>
        <w:rPr>
          <w:rFonts w:ascii="仿宋" w:hAnsi="仿宋" w:eastAsia="仿宋" w:cs="仿宋"/>
          <w:b/>
          <w:bCs/>
          <w:color w:val="auto"/>
          <w:highlight w:val="none"/>
          <w:lang w:eastAsia="zh-CN"/>
        </w:rPr>
        <w:t>.4</w:t>
      </w:r>
    </w:p>
    <w:p w14:paraId="24EF58DF">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指定分包人应按照分包合同的约定对承包人负责。承包人有义务协助、配合指定分包人实施分包工程。</w:t>
      </w:r>
    </w:p>
    <w:p w14:paraId="43592E19">
      <w:pPr>
        <w:spacing w:line="360" w:lineRule="auto"/>
        <w:rPr>
          <w:rFonts w:hint="eastAsia" w:ascii="仿宋" w:hAnsi="仿宋" w:eastAsia="仿宋"/>
          <w:b/>
          <w:bCs/>
          <w:color w:val="auto"/>
          <w:highlight w:val="none"/>
          <w:u w:val="single"/>
          <w:lang w:eastAsia="zh-CN"/>
        </w:rPr>
      </w:pPr>
    </w:p>
    <w:p w14:paraId="1E048B5C">
      <w:pPr>
        <w:pStyle w:val="6"/>
        <w:tabs>
          <w:tab w:val="left" w:pos="420"/>
        </w:tabs>
        <w:spacing w:before="120" w:beforeLines="50" w:after="120" w:afterLines="50" w:line="360" w:lineRule="auto"/>
        <w:rPr>
          <w:rFonts w:hint="eastAsia" w:ascii="仿宋" w:hAnsi="仿宋" w:eastAsia="仿宋"/>
          <w:bCs w:val="0"/>
          <w:color w:val="auto"/>
          <w:sz w:val="24"/>
          <w:szCs w:val="24"/>
          <w:highlight w:val="none"/>
          <w:lang w:eastAsia="zh-CN"/>
        </w:rPr>
      </w:pPr>
      <w:bookmarkStart w:id="325" w:name="_Toc15675"/>
      <w:r>
        <w:rPr>
          <w:rFonts w:hint="eastAsia" w:ascii="仿宋" w:hAnsi="仿宋" w:eastAsia="仿宋" w:cs="仿宋"/>
          <w:bCs w:val="0"/>
          <w:color w:val="auto"/>
          <w:sz w:val="24"/>
          <w:szCs w:val="24"/>
          <w:highlight w:val="none"/>
          <w:lang w:eastAsia="zh-CN"/>
        </w:rPr>
        <w:t>31 承包人劳务</w:t>
      </w:r>
      <w:bookmarkEnd w:id="325"/>
    </w:p>
    <w:p w14:paraId="6D24BABE">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31</w:t>
      </w:r>
      <w:r>
        <w:rPr>
          <w:rFonts w:ascii="仿宋" w:hAnsi="仿宋" w:eastAsia="仿宋" w:cs="仿宋"/>
          <w:b/>
          <w:bCs/>
          <w:color w:val="auto"/>
          <w:highlight w:val="none"/>
          <w:lang w:eastAsia="zh-CN"/>
        </w:rPr>
        <w:t>.1</w:t>
      </w:r>
    </w:p>
    <w:p w14:paraId="6BA1DBD6">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47328" behindDoc="0" locked="0" layoutInCell="1" allowOverlap="1">
                <wp:simplePos x="0" y="0"/>
                <wp:positionH relativeFrom="column">
                  <wp:posOffset>-114300</wp:posOffset>
                </wp:positionH>
                <wp:positionV relativeFrom="paragraph">
                  <wp:posOffset>8255</wp:posOffset>
                </wp:positionV>
                <wp:extent cx="794385" cy="577850"/>
                <wp:effectExtent l="0" t="0" r="0" b="0"/>
                <wp:wrapNone/>
                <wp:docPr id="570" name="文本框 784"/>
                <wp:cNvGraphicFramePr/>
                <a:graphic xmlns:a="http://schemas.openxmlformats.org/drawingml/2006/main">
                  <a:graphicData uri="http://schemas.microsoft.com/office/word/2010/wordprocessingShape">
                    <wps:wsp>
                      <wps:cNvSpPr txBox="1">
                        <a:spLocks noChangeArrowheads="1"/>
                      </wps:cNvSpPr>
                      <wps:spPr bwMode="auto">
                        <a:xfrm>
                          <a:off x="0" y="0"/>
                          <a:ext cx="794385" cy="577850"/>
                        </a:xfrm>
                        <a:prstGeom prst="rect">
                          <a:avLst/>
                        </a:prstGeom>
                        <a:noFill/>
                        <a:ln>
                          <a:noFill/>
                        </a:ln>
                        <a:effectLst/>
                      </wps:spPr>
                      <wps:txbx>
                        <w:txbxContent>
                          <w:p w14:paraId="1A3E4AE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承包人提交施工机构安排报告</w:t>
                            </w:r>
                          </w:p>
                        </w:txbxContent>
                      </wps:txbx>
                      <wps:bodyPr rot="0" vert="horz" wrap="square" lIns="91440" tIns="45720" rIns="91440" bIns="45720" anchor="t" anchorCtr="0" upright="1">
                        <a:noAutofit/>
                      </wps:bodyPr>
                    </wps:wsp>
                  </a:graphicData>
                </a:graphic>
              </wp:anchor>
            </w:drawing>
          </mc:Choice>
          <mc:Fallback>
            <w:pict>
              <v:shape id="文本框 784" o:spid="_x0000_s1026" o:spt="202" type="#_x0000_t202" style="position:absolute;left:0pt;margin-left:-9pt;margin-top:0.65pt;height:45.5pt;width:62.55pt;z-index:251747328;mso-width-relative:page;mso-height-relative:page;" filled="f" stroked="f" coordsize="21600,21600" o:gfxdata="UEsDBAoAAAAAAIdO4kAAAAAAAAAAAAAAAAAEAAAAZHJzL1BLAwQUAAAACACHTuJACFpE/9YAAAAI&#10;AQAADwAAAGRycy9kb3ducmV2LnhtbE2Py07DMBBF90j8gzVI7Fo7LY82ZNIFiC2I8pDYufE0iYjH&#10;Uew24e+ZruhydEb3nltsJt+pIw2xDYyQzQ0o4iq4lmuEj/fn2QpUTJad7QITwi9F2JSXF4XNXRj5&#10;jY7bVCsJ4ZhbhCalPtc6Vg15G+ehJxa2D4O3Sc6h1m6wo4T7Ti+MudPetiwNje3psaHqZ3vwCJ8v&#10;+++vG/NaP/nbfgyT0ezXGvH6KjMPoBJN6f8ZTvqiDqU47cKBXVQdwixbyZYkYAnqxM19BmqHsF4s&#10;QZeFPh9Q/gFQSwMEFAAAAAgAh07iQAMvnu4fAgAAJgQAAA4AAABkcnMvZTJvRG9jLnhtbK1TzY7T&#10;MBC+I/EOlu80bWlJN2q6WrZahLT8SAsP4DpOY5F4zNhtUh4A3oATF+48V5+DsZMtZbnsgYtle8bf&#10;zPfN5+Vl19Rsr9BpMDmfjMacKSOh0Gab848fbp4tOHNemELUYFTOD8rxy9XTJ8vWZmoKFdSFQkYg&#10;xmWtzXnlvc2SxMlKNcKNwCpDwRKwEZ6OuE0KFC2hN3UyHY9fJC1gYRGkco5u132QD4j4GEAoSy3V&#10;GuSuUcb3qKhq4YmSq7R1fBW7LUsl/buydMqzOufE1MeVitB+E9ZktRTZFoWttBxaEI9p4QGnRmhD&#10;RU9Qa+EF26H+B6rREsFB6UcSmqQnEhUhFpPxA23uKmFV5EJSO3sS3f0/WPl2/x6ZLnI+T0kTIxoa&#10;+fH7t+OPX8efX1m6mAWJWusyyryzlOu7l9CRcSJdZ29BfnLMwHUlzFZdIUJbKVFQi5PwMjl72uO4&#10;ALJp30BBlcTOQwTqSmyCfqQII3Rq5XAaj+o8k3SZXsyeL+acSQrN03Qxj+NLRHb/2KLzrxQ0LGxy&#10;jjT9CC72t86HZkR2nxJqGbjRdR0dUJu/Liixv1HRQsPrQCV03/Pw3aYbpNlAcSBSCL296HPRpgL8&#10;wllL1sq5+7wTqDirXxsS5mIymwUvxsNsnk7pgOeRzXlEGElQOfec9dtr3/t3Z1FvK6rUj8LAFYlZ&#10;6kg0tNp3NYyA7BP5D1YP/j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haRP/WAAAA&#10;CAEAAA8AAAAAAAAAAQAgAAAAIgAAAGRycy9kb3ducmV2LnhtbFBLAQIUABQAAAAIAIdO4kADL57u&#10;HwIAACYEAAAOAAAAAAAAAAEAIAAAACUBAABkcnMvZTJvRG9jLnhtbFBLBQYAAAAABgAGAFkBAAC2&#10;BQAAAAA=&#10;">
                <v:fill on="f" focussize="0,0"/>
                <v:stroke on="f"/>
                <v:imagedata o:title=""/>
                <o:lock v:ext="edit" aspectratio="f"/>
                <v:textbox>
                  <w:txbxContent>
                    <w:p w14:paraId="1A3E4AE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承包人提交施工机构安排报告</w:t>
                      </w:r>
                    </w:p>
                  </w:txbxContent>
                </v:textbox>
              </v:shape>
            </w:pict>
          </mc:Fallback>
        </mc:AlternateContent>
      </w:r>
      <w:r>
        <w:rPr>
          <w:rFonts w:hint="eastAsia" w:ascii="仿宋" w:hAnsi="仿宋" w:eastAsia="仿宋" w:cs="仿宋"/>
          <w:color w:val="auto"/>
          <w:highlight w:val="none"/>
          <w:lang w:eastAsia="zh-CN"/>
        </w:rPr>
        <w:t>承包人应在接到开工令后</w:t>
      </w:r>
      <w:r>
        <w:rPr>
          <w:rFonts w:ascii="仿宋" w:hAnsi="仿宋" w:eastAsia="仿宋" w:cs="仿宋"/>
          <w:color w:val="auto"/>
          <w:highlight w:val="none"/>
          <w:lang w:eastAsia="zh-CN"/>
        </w:rPr>
        <w:t>28</w:t>
      </w:r>
      <w:r>
        <w:rPr>
          <w:rFonts w:hint="eastAsia" w:ascii="仿宋" w:hAnsi="仿宋" w:eastAsia="仿宋" w:cs="仿宋"/>
          <w:color w:val="auto"/>
          <w:highlight w:val="none"/>
          <w:lang w:eastAsia="zh-CN"/>
        </w:rPr>
        <w:t>天内，向监理人提交承包人在施工场地的管理机构以及人员安排报告，并附上“主要人员一览表”。报告内容应包括管理机构的设置、各主要岗位的技术和管理人员名单及其资格，以及各工种技术工人的安排情况等。招标发包工程，“主要人员一览表”应与投标文件中的相应内容一致。</w:t>
      </w:r>
    </w:p>
    <w:p w14:paraId="304AED4B">
      <w:pPr>
        <w:spacing w:line="360" w:lineRule="auto"/>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31</w:t>
      </w:r>
      <w:r>
        <w:rPr>
          <w:rFonts w:ascii="仿宋" w:hAnsi="仿宋" w:eastAsia="仿宋" w:cs="仿宋"/>
          <w:b/>
          <w:bCs/>
          <w:color w:val="auto"/>
          <w:highlight w:val="none"/>
          <w:lang w:eastAsia="zh-CN"/>
        </w:rPr>
        <w:t>.2</w:t>
      </w:r>
    </w:p>
    <w:p w14:paraId="38121144">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48352" behindDoc="0" locked="0" layoutInCell="1" allowOverlap="1">
                <wp:simplePos x="0" y="0"/>
                <wp:positionH relativeFrom="column">
                  <wp:posOffset>-114300</wp:posOffset>
                </wp:positionH>
                <wp:positionV relativeFrom="paragraph">
                  <wp:posOffset>8255</wp:posOffset>
                </wp:positionV>
                <wp:extent cx="785495" cy="449580"/>
                <wp:effectExtent l="0" t="0" r="0" b="0"/>
                <wp:wrapNone/>
                <wp:docPr id="571" name="文本框 785"/>
                <wp:cNvGraphicFramePr/>
                <a:graphic xmlns:a="http://schemas.openxmlformats.org/drawingml/2006/main">
                  <a:graphicData uri="http://schemas.microsoft.com/office/word/2010/wordprocessingShape">
                    <wps:wsp>
                      <wps:cNvSpPr txBox="1">
                        <a:spLocks noChangeArrowheads="1"/>
                      </wps:cNvSpPr>
                      <wps:spPr bwMode="auto">
                        <a:xfrm>
                          <a:off x="0" y="0"/>
                          <a:ext cx="785495" cy="449580"/>
                        </a:xfrm>
                        <a:prstGeom prst="rect">
                          <a:avLst/>
                        </a:prstGeom>
                        <a:noFill/>
                        <a:ln>
                          <a:noFill/>
                        </a:ln>
                        <a:effectLst/>
                      </wps:spPr>
                      <wps:txbx>
                        <w:txbxContent>
                          <w:p w14:paraId="483FCF9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承包人人员的雇佣</w:t>
                            </w:r>
                          </w:p>
                        </w:txbxContent>
                      </wps:txbx>
                      <wps:bodyPr rot="0" vert="horz" wrap="square" lIns="91440" tIns="45720" rIns="91440" bIns="45720" anchor="t" anchorCtr="0" upright="1">
                        <a:noAutofit/>
                      </wps:bodyPr>
                    </wps:wsp>
                  </a:graphicData>
                </a:graphic>
              </wp:anchor>
            </w:drawing>
          </mc:Choice>
          <mc:Fallback>
            <w:pict>
              <v:shape id="文本框 785" o:spid="_x0000_s1026" o:spt="202" type="#_x0000_t202" style="position:absolute;left:0pt;margin-left:-9pt;margin-top:0.65pt;height:35.4pt;width:61.85pt;z-index:251748352;mso-width-relative:page;mso-height-relative:page;" filled="f" stroked="f" coordsize="21600,21600" o:gfxdata="UEsDBAoAAAAAAIdO4kAAAAAAAAAAAAAAAAAEAAAAZHJzL1BLAwQUAAAACACHTuJAtPcN59YAAAAI&#10;AQAADwAAAGRycy9kb3ducmV2LnhtbE2Py07DMBBF90j8gzVI7NpxCqUlxOkCxBZEeUjs3HiaRMTj&#10;KHab8PdMV3Q5OqN7zy02k+/UkYbYBjaQzTUo4iq4lmsDH+/PszWomCw72wUmA78UYVNeXhQ2d2Hk&#10;NzpuU60khGNuDTQp9TlirBryNs5DTyxsHwZvk5xDjW6wo4T7Dhda36G3LUtDY3t6bKj62R68gc+X&#10;/ffXrX6tn/yyH8Okkf09GnN9lekHUImm9P8MJ31Rh1KcduHALqrOwCxby5Yk4AbUievlCtTOwGqR&#10;AZYFng8o/wBQSwMEFAAAAAgAh07iQJQKcboeAgAAJgQAAA4AAABkcnMvZTJvRG9jLnhtbK1TzY7T&#10;MBC+I/EOlu80TdXSbtR0tWy1CGn5kRYewHWcxiLxmLHbpDwAvMGeuHDnufocjJ1sKctlD1yisWf8&#10;zXzffFledk3N9gqdBpPzdDTmTBkJhTbbnH/6ePNiwZnzwhSiBqNyflCOX66eP1u2NlMTqKAuFDIC&#10;MS5rbc4r722WJE5WqhFuBFYZSpaAjfB0xG1SoGgJvamTyXj8MmkBC4sglXN0u+6TfEDEpwBCWWqp&#10;1iB3jTK+R0VVC0+UXKWt46s4bVkq6d+XpVOe1Tknpj5+qQnFm/BNVkuRbVHYSsthBPGUER5xaoQ2&#10;1PQEtRZesB3qf6AaLREclH4koUl6IlERYpGOH2lzVwmrIheS2tmT6O7/wcp3+w/IdJHz2TzlzIiG&#10;Vn68/3788ev48xubL2ZBota6jCrvLNX67hV0ZJxI19lbkJ8dM3BdCbNVV4jQVkoUNGIaXiZnT3sc&#10;F0A27VsoqJPYeYhAXYlN0I8UYYRO6zmc1qM6zyRd0jDTixlnklJTihZxfYnIHh5bdP61goaFIOdI&#10;24/gYn/rfBhGZA8loZeBG13X0QG1+euCCvsbFS00vA5UwvQ9D99tukGaDRQHIoXQ24t+LgoqwK+c&#10;tWStnLsvO4GKs/qNIWEu0uk0eDEeprP5hA54ntmcZ4SRBJVzz1kfXvvevzuLeltRp34VBq5IzFJH&#10;omHUfqphBWSfyH+wevDn+TlW/fm9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PcN59YAAAAI&#10;AQAADwAAAAAAAAABACAAAAAiAAAAZHJzL2Rvd25yZXYueG1sUEsBAhQAFAAAAAgAh07iQJQKcboe&#10;AgAAJgQAAA4AAAAAAAAAAQAgAAAAJQEAAGRycy9lMm9Eb2MueG1sUEsFBgAAAAAGAAYAWQEAALUF&#10;AAAAAA==&#10;">
                <v:fill on="f" focussize="0,0"/>
                <v:stroke on="f"/>
                <v:imagedata o:title=""/>
                <o:lock v:ext="edit" aspectratio="f"/>
                <v:textbox>
                  <w:txbxContent>
                    <w:p w14:paraId="483FCF9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承包人人员的雇佣</w:t>
                      </w:r>
                    </w:p>
                  </w:txbxContent>
                </v:textbox>
              </v:shape>
            </w:pict>
          </mc:Fallback>
        </mc:AlternateContent>
      </w:r>
      <w:r>
        <w:rPr>
          <w:rFonts w:hint="eastAsia" w:ascii="仿宋" w:hAnsi="仿宋" w:eastAsia="仿宋" w:cs="仿宋"/>
          <w:color w:val="auto"/>
          <w:highlight w:val="none"/>
          <w:lang w:eastAsia="zh-CN"/>
        </w:rPr>
        <w:t>承包人除应雇佣投标文件中“主要人员一览表”中指明的人员外，也可以雇佣经监理人批准的其他人员，但不得从发包人或服务于发包人的人员中雇佣人员。</w:t>
      </w:r>
    </w:p>
    <w:p w14:paraId="0E9DE9C7">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31</w:t>
      </w:r>
      <w:r>
        <w:rPr>
          <w:rFonts w:ascii="仿宋" w:hAnsi="仿宋" w:eastAsia="仿宋" w:cs="仿宋"/>
          <w:b/>
          <w:bCs/>
          <w:color w:val="auto"/>
          <w:highlight w:val="none"/>
          <w:lang w:eastAsia="zh-CN"/>
        </w:rPr>
        <w:t>.3</w:t>
      </w:r>
    </w:p>
    <w:p w14:paraId="5A3E8CA5">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49376" behindDoc="0" locked="0" layoutInCell="1" allowOverlap="1">
                <wp:simplePos x="0" y="0"/>
                <wp:positionH relativeFrom="column">
                  <wp:posOffset>-114300</wp:posOffset>
                </wp:positionH>
                <wp:positionV relativeFrom="paragraph">
                  <wp:posOffset>59690</wp:posOffset>
                </wp:positionV>
                <wp:extent cx="833120" cy="806450"/>
                <wp:effectExtent l="0" t="0" r="0" b="0"/>
                <wp:wrapNone/>
                <wp:docPr id="572" name="文本框 786"/>
                <wp:cNvGraphicFramePr/>
                <a:graphic xmlns:a="http://schemas.openxmlformats.org/drawingml/2006/main">
                  <a:graphicData uri="http://schemas.microsoft.com/office/word/2010/wordprocessingShape">
                    <wps:wsp>
                      <wps:cNvSpPr txBox="1">
                        <a:spLocks noChangeArrowheads="1"/>
                      </wps:cNvSpPr>
                      <wps:spPr bwMode="auto">
                        <a:xfrm>
                          <a:off x="0" y="0"/>
                          <a:ext cx="833120" cy="806450"/>
                        </a:xfrm>
                        <a:prstGeom prst="rect">
                          <a:avLst/>
                        </a:prstGeom>
                        <a:noFill/>
                        <a:ln>
                          <a:noFill/>
                        </a:ln>
                        <a:effectLst/>
                      </wps:spPr>
                      <wps:txbx>
                        <w:txbxContent>
                          <w:p w14:paraId="074ADDEF">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承包人对雇员应做的工作</w:t>
                            </w:r>
                          </w:p>
                        </w:txbxContent>
                      </wps:txbx>
                      <wps:bodyPr rot="0" vert="horz" wrap="square" lIns="91440" tIns="45720" rIns="91440" bIns="45720" anchor="t" anchorCtr="0" upright="1">
                        <a:noAutofit/>
                      </wps:bodyPr>
                    </wps:wsp>
                  </a:graphicData>
                </a:graphic>
              </wp:anchor>
            </w:drawing>
          </mc:Choice>
          <mc:Fallback>
            <w:pict>
              <v:shape id="文本框 786" o:spid="_x0000_s1026" o:spt="202" type="#_x0000_t202" style="position:absolute;left:0pt;margin-left:-9pt;margin-top:4.7pt;height:63.5pt;width:65.6pt;z-index:251749376;mso-width-relative:page;mso-height-relative:page;" filled="f" stroked="f" coordsize="21600,21600" o:gfxdata="UEsDBAoAAAAAAIdO4kAAAAAAAAAAAAAAAAAEAAAAZHJzL1BLAwQUAAAACACHTuJAPlODGNcAAAAJ&#10;AQAADwAAAGRycy9kb3ducmV2LnhtbE2PwW7CMBBE75X4B2sr9QbrQIogjcOBqtdW0ILUm4mXJGq8&#10;jmJD0r/HnNrbrGY18ybfjLYVV+p941hBMpMgiEtnGq4UfH2+TVcgfNBsdOuYFPySh00xech1ZtzA&#10;O7ruQyViCPtMK6hD6DJEX9ZktZ+5jjh6Z9dbHeLZV2h6PcRw2+JcyiVa3XBsqHVH25rKn/3FKji8&#10;n7+PqfyoXu1zN7hRIts1KvX0mMgXEIHG8PcMd/yIDkVkOrkLGy9aBdNkFbcEBesUxN1PFnMQpygW&#10;yxSwyPH/guIGUEsDBBQAAAAIAIdO4kDXcI1oHwIAACYEAAAOAAAAZHJzL2Uyb0RvYy54bWytU0tu&#10;2zAQ3RfoHQjua8mO47iC5SCNkaJA+gHSHoCmKIuoxGGHtCX3AM0Nuuqm+57L5+iQUlw33WTRDUFy&#10;hm/mvXlcXHZNzXYKnQaT8/Eo5UwZCYU2m5x/+njzYs6Z88IUogajcr5Xjl8unz9btDZTE6igLhQy&#10;AjEua23OK+9tliROVqoRbgRWGQqWgI3wdMRNUqBoCb2pk0mazpIWsLAIUjlHt6s+yAdEfAoglKWW&#10;agVy2yjje1RUtfBEyVXaOr6M3Zalkv59WTrlWZ1zYurjSkVovw5rslyIbIPCVloOLYintPCIUyO0&#10;oaJHqJXwgm1R/wPVaIngoPQjCU3SE4mKEItx+kibu0pYFbmQ1M4eRXf/D1a+231Apoucn19MODOi&#10;oZEfvt8ffvw6/PzGLuazIFFrXUaZd5ZyffcKOjJOpOvsLcjPjhm4roTZqCtEaCslCmpxHF4mJ097&#10;HBdA1u1bKKiS2HqIQF2JTdCPFGGETuPZH8ejOs8kXc7PzsYTikgKzdPZ9DyOLxHZw2OLzr9W0LCw&#10;yTnS9CO42N06H5oR2UNKqGXgRtd1dEBt/rqgxP5GRQsNrwOV0H3Pw3frbpBmDcWeSCH09qLPRZsK&#10;8CtnLVkr5+7LVqDirH5jSJiX4+k0eDEepqQ7HfA0sj6NCCMJKuees3577Xv/bi3qTUWV+lEYuCIx&#10;Sx2Jhlb7roYRkH0i/8HqwZ+n55j153sv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U4MY1wAA&#10;AAkBAAAPAAAAAAAAAAEAIAAAACIAAABkcnMvZG93bnJldi54bWxQSwECFAAUAAAACACHTuJA13CN&#10;aB8CAAAmBAAADgAAAAAAAAABACAAAAAmAQAAZHJzL2Uyb0RvYy54bWxQSwUGAAAAAAYABgBZAQAA&#10;twUAAAAA&#10;">
                <v:fill on="f" focussize="0,0"/>
                <v:stroke on="f"/>
                <v:imagedata o:title=""/>
                <o:lock v:ext="edit" aspectratio="f"/>
                <v:textbox>
                  <w:txbxContent>
                    <w:p w14:paraId="074ADDEF">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承包人对雇员应做的工作</w:t>
                      </w:r>
                    </w:p>
                  </w:txbxContent>
                </v:textbox>
              </v:shape>
            </w:pict>
          </mc:Fallback>
        </mc:AlternateContent>
      </w:r>
      <w:r>
        <w:rPr>
          <w:rFonts w:hint="eastAsia" w:ascii="仿宋" w:hAnsi="仿宋" w:eastAsia="仿宋" w:cs="仿宋"/>
          <w:color w:val="auto"/>
          <w:highlight w:val="none"/>
          <w:lang w:eastAsia="zh-CN"/>
        </w:rPr>
        <w:t>承包人应完善雇员的劳务注册手续，并与雇员订立劳动合同，明确双方的权利和义务。雇佣期间，承包人应做好下列工作：</w:t>
      </w:r>
    </w:p>
    <w:p w14:paraId="0007303A">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负责为雇员提供必要的食宿及各种生活设施，采取合理的卫生、劳动保护和安全防护措施，保证雇员的健康和安全；</w:t>
      </w:r>
    </w:p>
    <w:p w14:paraId="650B4F17">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保障雇员的合法权利和人身安全，及时采取有效措施抢救和治疗施工中受伤害的雇员；</w:t>
      </w:r>
    </w:p>
    <w:p w14:paraId="4A581A07">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充分考虑和保障雇员的休息时间和法定节假日休假时间，尊重雇员的宗教信仰和风俗习惯；</w:t>
      </w:r>
    </w:p>
    <w:p w14:paraId="1F4A662D">
      <w:pPr>
        <w:widowControl w:val="0"/>
        <w:spacing w:line="360" w:lineRule="auto"/>
        <w:ind w:left="1850" w:leftChars="771"/>
        <w:jc w:val="both"/>
        <w:rPr>
          <w:rFonts w:hint="eastAsia" w:ascii="仿宋" w:hAnsi="仿宋" w:eastAsia="仿宋" w:cs="仿宋"/>
          <w:strike/>
          <w:color w:val="auto"/>
          <w:highlight w:val="none"/>
          <w:lang w:eastAsia="zh-CN"/>
        </w:rPr>
      </w:pP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在施工现场主要出入口处设榜公布雇员工资发放时间和投诉电话。</w:t>
      </w:r>
    </w:p>
    <w:p w14:paraId="3D2E4A7F">
      <w:pPr>
        <w:widowControl w:val="0"/>
        <w:spacing w:line="360" w:lineRule="auto"/>
        <w:ind w:left="1850" w:leftChars="771"/>
        <w:jc w:val="both"/>
        <w:rPr>
          <w:rFonts w:hint="eastAsia" w:ascii="仿宋" w:hAnsi="仿宋" w:eastAsia="仿宋"/>
          <w:color w:val="auto"/>
          <w:highlight w:val="none"/>
          <w:lang w:eastAsia="zh-CN"/>
        </w:rPr>
      </w:pP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5</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办理雇员的意外伤害等一切保险，处理雇员因工伤亡事故的善后事宜。</w:t>
      </w:r>
    </w:p>
    <w:p w14:paraId="6778EA64">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31</w:t>
      </w:r>
      <w:r>
        <w:rPr>
          <w:rFonts w:ascii="仿宋" w:hAnsi="仿宋" w:eastAsia="仿宋" w:cs="仿宋"/>
          <w:b/>
          <w:bCs/>
          <w:color w:val="auto"/>
          <w:highlight w:val="none"/>
          <w:lang w:eastAsia="zh-CN"/>
        </w:rPr>
        <w:t>.4</w:t>
      </w:r>
    </w:p>
    <w:p w14:paraId="5DA8FF13">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50400" behindDoc="0" locked="0" layoutInCell="1" allowOverlap="1">
                <wp:simplePos x="0" y="0"/>
                <wp:positionH relativeFrom="column">
                  <wp:posOffset>-114300</wp:posOffset>
                </wp:positionH>
                <wp:positionV relativeFrom="paragraph">
                  <wp:posOffset>0</wp:posOffset>
                </wp:positionV>
                <wp:extent cx="851535" cy="549275"/>
                <wp:effectExtent l="0" t="0" r="0" b="0"/>
                <wp:wrapNone/>
                <wp:docPr id="573" name="文本框 787"/>
                <wp:cNvGraphicFramePr/>
                <a:graphic xmlns:a="http://schemas.openxmlformats.org/drawingml/2006/main">
                  <a:graphicData uri="http://schemas.microsoft.com/office/word/2010/wordprocessingShape">
                    <wps:wsp>
                      <wps:cNvSpPr txBox="1">
                        <a:spLocks noChangeArrowheads="1"/>
                      </wps:cNvSpPr>
                      <wps:spPr bwMode="auto">
                        <a:xfrm>
                          <a:off x="0" y="0"/>
                          <a:ext cx="851535" cy="549275"/>
                        </a:xfrm>
                        <a:prstGeom prst="rect">
                          <a:avLst/>
                        </a:prstGeom>
                        <a:noFill/>
                        <a:ln>
                          <a:noFill/>
                        </a:ln>
                        <a:effectLst/>
                      </wps:spPr>
                      <wps:txbx>
                        <w:txbxContent>
                          <w:p w14:paraId="50BDCF32">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承包人特殊时间施工的批准</w:t>
                            </w:r>
                          </w:p>
                        </w:txbxContent>
                      </wps:txbx>
                      <wps:bodyPr rot="0" vert="horz" wrap="square" lIns="91440" tIns="45720" rIns="91440" bIns="45720" anchor="t" anchorCtr="0" upright="1">
                        <a:noAutofit/>
                      </wps:bodyPr>
                    </wps:wsp>
                  </a:graphicData>
                </a:graphic>
              </wp:anchor>
            </w:drawing>
          </mc:Choice>
          <mc:Fallback>
            <w:pict>
              <v:shape id="文本框 787" o:spid="_x0000_s1026" o:spt="202" type="#_x0000_t202" style="position:absolute;left:0pt;margin-left:-9pt;margin-top:0pt;height:43.25pt;width:67.05pt;z-index:251750400;mso-width-relative:page;mso-height-relative:page;" filled="f" stroked="f" coordsize="21600,21600" o:gfxdata="UEsDBAoAAAAAAIdO4kAAAAAAAAAAAAAAAAAEAAAAZHJzL1BLAwQUAAAACACHTuJAToJr7tUAAAAH&#10;AQAADwAAAGRycy9kb3ducmV2LnhtbE2PwU7DMBBE75X4B2uRemttozYKIZseQFxBtIDEzY23SUS8&#10;jmK3CX+Pe4LLSqMZzbwtd7PrxYXG0HlG0GsFgrj2tuMG4f3wvMpBhGjYmt4zIfxQgF11syhNYf3E&#10;b3TZx0akEg6FQWhjHAopQ92SM2HtB+LknfzoTExybKQdzZTKXS/vlMqkMx2nhdYM9NhS/b0/O4SP&#10;l9PX50a9Nk9uO0x+VpLdvURc3mr1ACLSHP/CcMVP6FAlpqM/sw2iR1jpPP0SEdK92jrTII4IebYF&#10;WZXyP3/1C1BLAwQUAAAACACHTuJA3fsg+yACAAAmBAAADgAAAGRycy9lMm9Eb2MueG1srVNLbtsw&#10;EN0X6B0I7mvZjlU7guUgjZGiQPoB0h6ApiiLqMRhh7Sl9ADNDbrqpvuey+fokFJcN91k0Q1BcoZv&#10;5r15XF50Tc32Cp0Gk/PJaMyZMhIKbbY5//Tx+sWCM+eFKUQNRuX8Tjl+sXr+bNnaTE2hgrpQyAjE&#10;uKy1Oa+8t1mSOFmpRrgRWGUoWAI2wtMRt0mBoiX0pk6m4/HLpAUsLIJUztHtug/yARGfAghlqaVa&#10;g9w1yvgeFVUtPFFylbaOr2K3Zamkf1+WTnlW55yY+rhSEdpvwpqsliLborCVlkML4iktPOLUCG2o&#10;6BFqLbxgO9T/QDVaIjgo/UhCk/REoiLEYjJ+pM1tJayKXEhqZ4+iu/8HK9/tPyDTRc7T+RlnRjQ0&#10;8sP3+8OPX4ef39h8MQ8StdZllHlrKdd3r6Aj40S6zt6A/OyYgatKmK26RIS2UqKgFifhZXLytMdx&#10;AWTTvoWCKomdhwjUldgE/UgRRug0nrvjeFTnmaTLRTpJz1LOJIXS2fl0nsYKInt4bNH51woaFjY5&#10;R5p+BBf7G+dDMyJ7SAm1DFzruo4OqM1fF5TY36hooeF1oBK673n4btMN0myguCNSCL296HPRpgL8&#10;yllL1sq5+7ITqDir3xgS5nwymwUvxsMsnU/pgKeRzWlEGElQOfec9dsr3/t3Z1FvK6rUj8LAJYlZ&#10;6kg0tNp3NYyA7BP5D1YP/jw9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6Ca+7VAAAA&#10;BwEAAA8AAAAAAAAAAQAgAAAAIgAAAGRycy9kb3ducmV2LnhtbFBLAQIUABQAAAAIAIdO4kDd+yD7&#10;IAIAACYEAAAOAAAAAAAAAAEAIAAAACQBAABkcnMvZTJvRG9jLnhtbFBLBQYAAAAABgAGAFkBAAC2&#10;BQAAAAA=&#10;">
                <v:fill on="f" focussize="0,0"/>
                <v:stroke on="f"/>
                <v:imagedata o:title=""/>
                <o:lock v:ext="edit" aspectratio="f"/>
                <v:textbox>
                  <w:txbxContent>
                    <w:p w14:paraId="50BDCF32">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承包人特殊时间施工的批准</w:t>
                      </w:r>
                    </w:p>
                  </w:txbxContent>
                </v:textbox>
              </v:shape>
            </w:pict>
          </mc:Fallback>
        </mc:AlternateContent>
      </w:r>
      <w:r>
        <w:rPr>
          <w:rFonts w:hint="eastAsia" w:ascii="仿宋" w:hAnsi="仿宋" w:eastAsia="仿宋" w:cs="仿宋"/>
          <w:color w:val="auto"/>
          <w:highlight w:val="none"/>
          <w:lang w:eastAsia="zh-CN"/>
        </w:rPr>
        <w:t>承包人如需在法定节假日施工，应经监理人同意；如需在夜间施工，除应经监理人同意外，还应经有关部门批准。此类情况，均不得超过法律规定的限度，并应按照法律规定给予雇员补休或付酬。如无特殊原因，只要在不影响工程质量、施工安全、周围环境的情况下，监理人应予同意。但为抢救生命、保护财产，或为工程安全、质量而不可避免的作业，则无需事先经监理人同意。</w:t>
      </w:r>
    </w:p>
    <w:p w14:paraId="0249F292">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31</w:t>
      </w:r>
      <w:r>
        <w:rPr>
          <w:rFonts w:ascii="仿宋" w:hAnsi="仿宋" w:eastAsia="仿宋" w:cs="仿宋"/>
          <w:b/>
          <w:bCs/>
          <w:color w:val="auto"/>
          <w:highlight w:val="none"/>
          <w:lang w:eastAsia="zh-CN"/>
        </w:rPr>
        <w:t>.5</w:t>
      </w:r>
    </w:p>
    <w:p w14:paraId="6F58C3B1">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51424" behindDoc="0" locked="0" layoutInCell="1" allowOverlap="1">
                <wp:simplePos x="0" y="0"/>
                <wp:positionH relativeFrom="column">
                  <wp:posOffset>-114300</wp:posOffset>
                </wp:positionH>
                <wp:positionV relativeFrom="paragraph">
                  <wp:posOffset>0</wp:posOffset>
                </wp:positionV>
                <wp:extent cx="871220" cy="624840"/>
                <wp:effectExtent l="0" t="0" r="0" b="0"/>
                <wp:wrapNone/>
                <wp:docPr id="574" name="文本框 788"/>
                <wp:cNvGraphicFramePr/>
                <a:graphic xmlns:a="http://schemas.openxmlformats.org/drawingml/2006/main">
                  <a:graphicData uri="http://schemas.microsoft.com/office/word/2010/wordprocessingShape">
                    <wps:wsp>
                      <wps:cNvSpPr txBox="1">
                        <a:spLocks noChangeArrowheads="1"/>
                      </wps:cNvSpPr>
                      <wps:spPr bwMode="auto">
                        <a:xfrm>
                          <a:off x="0" y="0"/>
                          <a:ext cx="871220" cy="624840"/>
                        </a:xfrm>
                        <a:prstGeom prst="rect">
                          <a:avLst/>
                        </a:prstGeom>
                        <a:noFill/>
                        <a:ln>
                          <a:noFill/>
                        </a:ln>
                        <a:effectLst/>
                      </wps:spPr>
                      <wps:txbx>
                        <w:txbxContent>
                          <w:p w14:paraId="581C3F39">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承包人向雇员支付劳务工资</w:t>
                            </w:r>
                          </w:p>
                        </w:txbxContent>
                      </wps:txbx>
                      <wps:bodyPr rot="0" vert="horz" wrap="square" lIns="91440" tIns="45720" rIns="91440" bIns="45720" anchor="t" anchorCtr="0" upright="1">
                        <a:noAutofit/>
                      </wps:bodyPr>
                    </wps:wsp>
                  </a:graphicData>
                </a:graphic>
              </wp:anchor>
            </w:drawing>
          </mc:Choice>
          <mc:Fallback>
            <w:pict>
              <v:shape id="文本框 788" o:spid="_x0000_s1026" o:spt="202" type="#_x0000_t202" style="position:absolute;left:0pt;margin-left:-9pt;margin-top:0pt;height:49.2pt;width:68.6pt;z-index:251751424;mso-width-relative:page;mso-height-relative:page;" filled="f" stroked="f" coordsize="21600,21600" o:gfxdata="UEsDBAoAAAAAAIdO4kAAAAAAAAAAAAAAAAAEAAAAZHJzL1BLAwQUAAAACACHTuJAl/yZBdUAAAAH&#10;AQAADwAAAGRycy9kb3ducmV2LnhtbE2PwW7CMBBE75X4B2uRegM7iFZJmg0Hql5blQJSbyZekoh4&#10;HcWGpH9fc2ovK41mNPO22Ey2EzcafOsYIVkqEMSVMy3XCPuvt0UKwgfNRneOCeGHPGzK2UOhc+NG&#10;/qTbLtQilrDPNUITQp9L6auGrPZL1xNH7+wGq0OUQy3NoMdYbju5UupZWt1yXGh0T9uGqsvuahEO&#10;7+fv41p91K/2qR/dpCTbTCI+zhP1AiLQFP7CcMeP6FBGppO7svGiQ1gkafwlIMR7t5NsBeKEkKVr&#10;kGUh//OXv1BLAwQUAAAACACHTuJAnjEk6x4CAAAmBAAADgAAAGRycy9lMm9Eb2MueG1srVPNbhMx&#10;EL4j8Q6W72STKG3CKpuqNCpCKj9S4QEcrzdrsfaYsZPd8ADwBj1x4c5z9TkYe7chlEsPXCzbM/7m&#10;+74ZLy8607C9Qq/BFnwyGnOmrIRS223BP328frHgzAdhS9GAVQU/KM8vVs+fLVuXqynU0JQKGYFY&#10;n7eu4HUILs8yL2tlhB+BU5aCFaARgY64zUoULaGbJpuOx+dZC1g6BKm8p9t1H+QDIj4FEKpKS7UG&#10;uTPKhh4VVSMCSfK1dp6vEtuqUjK8ryqvAmsKTkpDWqkI7TdxzVZLkW9RuFrLgYJ4CoVHmozQlooe&#10;odYiCLZD/Q+U0RLBQxVGEkzWC0mOkIrJ+JE3t7VwKmkhq707mu7/H6x8t/+ATJcFP5vPOLPCUMvv&#10;777f//h1//Mbmy8W0aLW+Zwybx3lhu4VdDQ4Sa53NyA/e2bhqhZ2qy4Roa2VKIniJL7MTp72OD6C&#10;bNq3UFIlsQuQgLoKTfSPHGGETu05HNujusAkXS7mk+mUIpJC59PZYpbal4n84bFDH14rMCxuCo7U&#10;/QQu9jc+RDIif0iJtSxc66ZJE9DYvy4osb9RaYSG11FKZN/rCN2mG6zZQHkgUQj9eNHnok0N+JWz&#10;lkar4P7LTqDirHljyZiXkxlRZyEdZmfzqAlPI5vTiLCSoAoeOOu3V6Gf351Dva2pUt8KC5dkZqWT&#10;0Ei1ZzW0gMYn6R9GPc7n6Tll/fneq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X/JkF1QAAAAcB&#10;AAAPAAAAAAAAAAEAIAAAACIAAABkcnMvZG93bnJldi54bWxQSwECFAAUAAAACACHTuJAnjEk6x4C&#10;AAAmBAAADgAAAAAAAAABACAAAAAkAQAAZHJzL2Uyb0RvYy54bWxQSwUGAAAAAAYABgBZAQAAtAUA&#10;AAAA&#10;">
                <v:fill on="f" focussize="0,0"/>
                <v:stroke on="f"/>
                <v:imagedata o:title=""/>
                <o:lock v:ext="edit" aspectratio="f"/>
                <v:textbox>
                  <w:txbxContent>
                    <w:p w14:paraId="581C3F39">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承包人向雇员支付劳务工资</w:t>
                      </w:r>
                    </w:p>
                  </w:txbxContent>
                </v:textbox>
              </v:shape>
            </w:pict>
          </mc:Fallback>
        </mc:AlternateContent>
      </w:r>
      <w:r>
        <w:rPr>
          <w:rFonts w:hint="eastAsia" w:ascii="仿宋" w:hAnsi="仿宋" w:eastAsia="仿宋" w:cs="仿宋"/>
          <w:color w:val="auto"/>
          <w:highlight w:val="none"/>
          <w:lang w:eastAsia="zh-CN"/>
        </w:rPr>
        <w:t>承包人应按时足额向雇员支付劳务工资，并不低于（含本数）当地最低工资标准。因承包人拖欠其雇员工资而造成群体性示威、游行等一切后果，由承包人承担。对发包人造成损失和（或）导致工期延误的，应赔偿发包人的损失，工期不予顺延。</w:t>
      </w:r>
    </w:p>
    <w:p w14:paraId="1C4439E6">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31</w:t>
      </w:r>
      <w:r>
        <w:rPr>
          <w:rFonts w:ascii="仿宋" w:hAnsi="仿宋" w:eastAsia="仿宋" w:cs="仿宋"/>
          <w:b/>
          <w:bCs/>
          <w:color w:val="auto"/>
          <w:highlight w:val="none"/>
          <w:lang w:eastAsia="zh-CN"/>
        </w:rPr>
        <w:t>.6</w:t>
      </w:r>
    </w:p>
    <w:p w14:paraId="0F4CC404">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52448" behindDoc="0" locked="0" layoutInCell="1" allowOverlap="1">
                <wp:simplePos x="0" y="0"/>
                <wp:positionH relativeFrom="column">
                  <wp:posOffset>-114300</wp:posOffset>
                </wp:positionH>
                <wp:positionV relativeFrom="paragraph">
                  <wp:posOffset>0</wp:posOffset>
                </wp:positionV>
                <wp:extent cx="775970" cy="722630"/>
                <wp:effectExtent l="0" t="0" r="0" b="0"/>
                <wp:wrapNone/>
                <wp:docPr id="575" name="文本框 789"/>
                <wp:cNvGraphicFramePr/>
                <a:graphic xmlns:a="http://schemas.openxmlformats.org/drawingml/2006/main">
                  <a:graphicData uri="http://schemas.microsoft.com/office/word/2010/wordprocessingShape">
                    <wps:wsp>
                      <wps:cNvSpPr txBox="1">
                        <a:spLocks noChangeArrowheads="1"/>
                      </wps:cNvSpPr>
                      <wps:spPr bwMode="auto">
                        <a:xfrm>
                          <a:off x="0" y="0"/>
                          <a:ext cx="775970" cy="722630"/>
                        </a:xfrm>
                        <a:prstGeom prst="rect">
                          <a:avLst/>
                        </a:prstGeom>
                        <a:noFill/>
                        <a:ln>
                          <a:noFill/>
                        </a:ln>
                        <a:effectLst/>
                      </wps:spPr>
                      <wps:txbx>
                        <w:txbxContent>
                          <w:p w14:paraId="62872EBB">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承包人向工地派遣雇员的要求</w:t>
                            </w:r>
                          </w:p>
                        </w:txbxContent>
                      </wps:txbx>
                      <wps:bodyPr rot="0" vert="horz" wrap="square" lIns="91440" tIns="45720" rIns="91440" bIns="45720" anchor="t" anchorCtr="0" upright="1">
                        <a:noAutofit/>
                      </wps:bodyPr>
                    </wps:wsp>
                  </a:graphicData>
                </a:graphic>
              </wp:anchor>
            </w:drawing>
          </mc:Choice>
          <mc:Fallback>
            <w:pict>
              <v:shape id="文本框 789" o:spid="_x0000_s1026" o:spt="202" type="#_x0000_t202" style="position:absolute;left:0pt;margin-left:-9pt;margin-top:0pt;height:56.9pt;width:61.1pt;z-index:251752448;mso-width-relative:page;mso-height-relative:page;" filled="f" stroked="f" coordsize="21600,21600" o:gfxdata="UEsDBAoAAAAAAIdO4kAAAAAAAAAAAAAAAAAEAAAAZHJzL1BLAwQUAAAACACHTuJAOOdqO9UAAAAI&#10;AQAADwAAAGRycy9kb3ducmV2LnhtbE2PQU/DMAyF70j8h8hI3LakY6BSmu4A4gpiAyRuXuO1FY1T&#10;Ndla/j3eCS6Wrff0/L1yM/tenWiMXWAL2dKAIq6D67ix8L57XuSgYkJ22AcmCz8UYVNdXpRYuDDx&#10;G522qVESwrFAC21KQ6F1rFvyGJdhIBbtEEaPSc6x0W7EScJ9r1fG3GmPHcuHFgd6bKn+3h69hY+X&#10;w9fn2rw2T/52mMJsNPt7be31VWYeQCWa058ZzviCDpUw7cORXVS9hUWWS5dkQeZZNusVqL0s2U0O&#10;uir1/wLVL1BLAwQUAAAACACHTuJAmf0r7B8CAAAmBAAADgAAAGRycy9lMm9Eb2MueG1srVNLbtsw&#10;EN0X6B0I7mvZrh3FguUgjZGiQPoB0h6ApiiLqMRhh7Sl9ADNDbrqpvuey+fokFJcN91k0Q1BcoZv&#10;5r15XF50Tc32Cp0Gk/PJaMyZMhIKbbY5//Tx+sU5Z84LU4gajMr5nXL8YvX82bK1mZpCBXWhkBGI&#10;cVlrc155b7MkcbJSjXAjsMpQsARshKcjbpMCRUvoTZ1Mx+OzpAUsLIJUztHtug/yARGfAghlqaVa&#10;g9w1yvgeFVUtPFFylbaOr2K3Zamkf1+WTnlW55yY+rhSEdpvwpqsliLborCVlkML4iktPOLUCG2o&#10;6BFqLbxgO9T/QDVaIjgo/UhCk/REoiLEYjJ+pM1tJayKXEhqZ4+iu/8HK9/tPyDTRc7n6ZwzIxoa&#10;+eH7/eHHr8PPbyw9XwSJWusyyry1lOu7V9CRcSJdZ29AfnbMwFUlzFZdIkJbKVFQi5PwMjl52uO4&#10;ALJp30JBlcTOQwTqSmyCfqQII3Qaz91xPKrzTNJlms4XKUUkhdLp9OxlHF8isofHFp1/raBhYZNz&#10;pOlHcLG/cT40I7KHlFDLwLWu6+iA2vx1QYn9jYoWGl4HKqH7nofvNt0gzQaKOyKF0NuLPhdtKsCv&#10;nLVkrZy7LzuBirP6jSFhFpPZLHgxHmbzdEoHPI1sTiPCSILKuees31753r87i3pbUaV+FAYuScxS&#10;R6Kh1b6rYQRkn8h/sHrw5+k5Zv353q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OdqO9UAAAAI&#10;AQAADwAAAAAAAAABACAAAAAiAAAAZHJzL2Rvd25yZXYueG1sUEsBAhQAFAAAAAgAh07iQJn9K+wf&#10;AgAAJgQAAA4AAAAAAAAAAQAgAAAAJAEAAGRycy9lMm9Eb2MueG1sUEsFBgAAAAAGAAYAWQEAALUF&#10;AAAAAA==&#10;">
                <v:fill on="f" focussize="0,0"/>
                <v:stroke on="f"/>
                <v:imagedata o:title=""/>
                <o:lock v:ext="edit" aspectratio="f"/>
                <v:textbox>
                  <w:txbxContent>
                    <w:p w14:paraId="62872EBB">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承包人向工地派遣雇员的要求</w:t>
                      </w:r>
                    </w:p>
                  </w:txbxContent>
                </v:textbox>
              </v:shape>
            </w:pict>
          </mc:Fallback>
        </mc:AlternateContent>
      </w:r>
      <w:r>
        <w:rPr>
          <w:rFonts w:hint="eastAsia" w:ascii="仿宋" w:hAnsi="仿宋" w:eastAsia="仿宋" w:cs="仿宋"/>
          <w:color w:val="auto"/>
          <w:highlight w:val="none"/>
          <w:lang w:eastAsia="zh-CN"/>
        </w:rPr>
        <w:t>承包人的雇员应是在行业或职业内具有相应资格、技能和经验的人员。承包人应向施工场地派遣足够数量的下列雇员：</w:t>
      </w:r>
    </w:p>
    <w:p w14:paraId="6684E3F8">
      <w:pPr>
        <w:widowControl w:val="0"/>
        <w:numPr>
          <w:ilvl w:val="1"/>
          <w:numId w:val="10"/>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具有相应资格的专业技工和合格的普工；</w:t>
      </w:r>
    </w:p>
    <w:p w14:paraId="5F0107D4">
      <w:pPr>
        <w:widowControl w:val="0"/>
        <w:numPr>
          <w:ilvl w:val="1"/>
          <w:numId w:val="10"/>
        </w:numPr>
        <w:tabs>
          <w:tab w:val="clear" w:pos="3285"/>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具有相应施工经验的技术人员；</w:t>
      </w:r>
    </w:p>
    <w:p w14:paraId="7A13C433">
      <w:pPr>
        <w:widowControl w:val="0"/>
        <w:numPr>
          <w:ilvl w:val="1"/>
          <w:numId w:val="10"/>
        </w:numPr>
        <w:tabs>
          <w:tab w:val="clear" w:pos="3285"/>
        </w:tabs>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具有相应岗位资格的各级管理人员。</w:t>
      </w:r>
    </w:p>
    <w:p w14:paraId="55B878CE">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31</w:t>
      </w:r>
      <w:r>
        <w:rPr>
          <w:rFonts w:ascii="仿宋" w:hAnsi="仿宋" w:eastAsia="仿宋" w:cs="仿宋"/>
          <w:b/>
          <w:bCs/>
          <w:color w:val="auto"/>
          <w:highlight w:val="none"/>
          <w:lang w:eastAsia="zh-CN"/>
        </w:rPr>
        <w:t xml:space="preserve">.7  </w:t>
      </w:r>
    </w:p>
    <w:p w14:paraId="53192A66">
      <w:pPr>
        <w:widowControl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753472" behindDoc="0" locked="0" layoutInCell="1" allowOverlap="1">
                <wp:simplePos x="0" y="0"/>
                <wp:positionH relativeFrom="column">
                  <wp:posOffset>-114300</wp:posOffset>
                </wp:positionH>
                <wp:positionV relativeFrom="paragraph">
                  <wp:posOffset>0</wp:posOffset>
                </wp:positionV>
                <wp:extent cx="756920" cy="541020"/>
                <wp:effectExtent l="0" t="0" r="0" b="0"/>
                <wp:wrapNone/>
                <wp:docPr id="576" name="文本框 790"/>
                <wp:cNvGraphicFramePr/>
                <a:graphic xmlns:a="http://schemas.openxmlformats.org/drawingml/2006/main">
                  <a:graphicData uri="http://schemas.microsoft.com/office/word/2010/wordprocessingShape">
                    <wps:wsp>
                      <wps:cNvSpPr txBox="1">
                        <a:spLocks noChangeArrowheads="1"/>
                      </wps:cNvSpPr>
                      <wps:spPr bwMode="auto">
                        <a:xfrm>
                          <a:off x="0" y="0"/>
                          <a:ext cx="756920" cy="541020"/>
                        </a:xfrm>
                        <a:prstGeom prst="rect">
                          <a:avLst/>
                        </a:prstGeom>
                        <a:noFill/>
                        <a:ln>
                          <a:noFill/>
                        </a:ln>
                        <a:effectLst/>
                      </wps:spPr>
                      <wps:txbx>
                        <w:txbxContent>
                          <w:p w14:paraId="224896C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承包人雇员安排和撤换</w:t>
                            </w:r>
                          </w:p>
                        </w:txbxContent>
                      </wps:txbx>
                      <wps:bodyPr rot="0" vert="horz" wrap="square" lIns="91440" tIns="45720" rIns="91440" bIns="45720" anchor="t" anchorCtr="0" upright="1">
                        <a:noAutofit/>
                      </wps:bodyPr>
                    </wps:wsp>
                  </a:graphicData>
                </a:graphic>
              </wp:anchor>
            </w:drawing>
          </mc:Choice>
          <mc:Fallback>
            <w:pict>
              <v:shape id="文本框 790" o:spid="_x0000_s1026" o:spt="202" type="#_x0000_t202" style="position:absolute;left:0pt;margin-left:-9pt;margin-top:0pt;height:42.6pt;width:59.6pt;z-index:251753472;mso-width-relative:page;mso-height-relative:page;" filled="f" stroked="f" coordsize="21600,21600" o:gfxdata="UEsDBAoAAAAAAIdO4kAAAAAAAAAAAAAAAAAEAAAAZHJzL1BLAwQUAAAACACHTuJAe0Nm39UAAAAH&#10;AQAADwAAAGRycy9kb3ducmV2LnhtbE2PzU7DMBCE70i8g7VI3Np1IopCyKYHEFcQ5Ufi5sbbJCJe&#10;R7HbhLfHPcFlpdGMZr6ttosb1Imn0HshyNYaFEvjbS8twfvb06oAFaIRawYvTPDDAbb15UVlSutn&#10;eeXTLrYqlUgoDUEX41gihqZjZ8LajyzJO/jJmZjk1KKdzJzK3YC51rfoTC9poTMjP3TcfO+OjuDj&#10;+fD1eaNf2ke3GWe/aBR3h0TXV5m+BxV5iX9hOOMndKgT094fxQY1EKyyIv0SCdI92zrLQe0Jik0O&#10;WFf4n7/+BVBLAwQUAAAACACHTuJAl8H5bxsCAAAmBAAADgAAAGRycy9lMm9Eb2MueG1srVPNjtMw&#10;EL4j8Q6W7zRt1R8aNV0tWy1CWn6khQdwHaexSDxm7DYpDwBvwIkLd56rz8HYSbtlueyBSzSesb+Z&#10;75svy6u2rtheodNgMj4aDDlTRkKuzTbjnz7evnjJmfPC5KICozJ+UI5frZ4/WzY2VWMoocoVMgIx&#10;Lm1sxkvvbZokTpaqFm4AVhkqFoC18HTEbZKjaAi9rpLxcDhLGsDcIkjlHGXXXZH3iPgUQCgKLdUa&#10;5K5WxneoqCrhiZIrtXV8FactCiX9+6JwyrMq48TUxy81oXgTvslqKdItCltq2Y8gnjLCI0610Iaa&#10;nqHWwgu2Q/0PVK0lgoPCDyTUSUckKkIsRsNH2tyXwqrIhaR29iy6+3+w8t3+AzKdZ3w6n3FmRE0r&#10;P/74fvz5+/jrG5svokSNdSndvLd017evoCXjRLrO3oH87JiBm1KYrbpGhKZUIqcRR0Hc5OJpWIpL&#10;XQDZNG8hp05i5yECtQXWQT9ShBE6redwXo9qPZOUnE9nizFVJJWmk9GQ4tBBpKfHFp1/raBmIcg4&#10;0vYjuNjfOd9dPV0JvQzc6qqKDqjMXwnC7DIqWqh/fZq+4+HbTUtvQ3ID+YFIIXT2op+LghLwK2cN&#10;WSvj7stOoOKsemNImMVoMglejIfJdB444WVlc1kRRhJUxj1nXXjjO//uLOptSZ26VRi4JjELHYk+&#10;TNWvgOwTpeqtHvx5eY63Hn7v1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7Q2bf1QAAAAcBAAAP&#10;AAAAAAAAAAEAIAAAACIAAABkcnMvZG93bnJldi54bWxQSwECFAAUAAAACACHTuJAl8H5bxsCAAAm&#10;BAAADgAAAAAAAAABACAAAAAkAQAAZHJzL2Uyb0RvYy54bWxQSwUGAAAAAAYABgBZAQAAsQUAAAAA&#10;">
                <v:fill on="f" focussize="0,0"/>
                <v:stroke on="f"/>
                <v:imagedata o:title=""/>
                <o:lock v:ext="edit" aspectratio="f"/>
                <v:textbox>
                  <w:txbxContent>
                    <w:p w14:paraId="224896C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承包人雇员安排和撤换</w:t>
                      </w:r>
                    </w:p>
                  </w:txbxContent>
                </v:textbox>
              </v:shape>
            </w:pict>
          </mc:Fallback>
        </mc:AlternateContent>
      </w:r>
      <w:r>
        <w:rPr>
          <w:rFonts w:hint="eastAsia" w:ascii="仿宋" w:hAnsi="仿宋" w:eastAsia="仿宋" w:cs="仿宋"/>
          <w:color w:val="auto"/>
          <w:highlight w:val="none"/>
          <w:lang w:eastAsia="zh-CN"/>
        </w:rPr>
        <w:t>承包人安排在施工场地的雇员应保持相对稳定，但有下列行为的任何承包人雇员，监理人可要求承包人将其撤换：</w:t>
      </w:r>
    </w:p>
    <w:p w14:paraId="08BCEF69">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（1）日常行为不当，或工作漫不经心；</w:t>
      </w:r>
    </w:p>
    <w:p w14:paraId="4D3401EA">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（2）</w:t>
      </w:r>
      <w:r>
        <w:rPr>
          <w:rFonts w:hint="eastAsia" w:ascii="仿宋" w:hAnsi="仿宋" w:eastAsia="仿宋" w:cs="仿宋"/>
          <w:color w:val="auto"/>
          <w:highlight w:val="none"/>
          <w:lang w:eastAsia="zh-CN"/>
        </w:rPr>
        <w:t>无能力履行义务或玩忽职守；</w:t>
      </w:r>
    </w:p>
    <w:p w14:paraId="2A439F9E">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w:t>
      </w:r>
      <w:r>
        <w:rPr>
          <w:rFonts w:hint="eastAsia" w:ascii="仿宋" w:hAnsi="仿宋" w:eastAsia="仿宋" w:cs="仿宋"/>
          <w:color w:val="auto"/>
          <w:highlight w:val="none"/>
          <w:lang w:eastAsia="zh-CN"/>
        </w:rPr>
        <w:t>不遵守合同的约定；</w:t>
      </w:r>
    </w:p>
    <w:p w14:paraId="67893E4E">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（4）</w:t>
      </w:r>
      <w:r>
        <w:rPr>
          <w:rFonts w:hint="eastAsia" w:ascii="仿宋" w:hAnsi="仿宋" w:eastAsia="仿宋" w:cs="仿宋"/>
          <w:color w:val="auto"/>
          <w:highlight w:val="none"/>
          <w:lang w:eastAsia="zh-CN"/>
        </w:rPr>
        <w:t>有损安全、健康和不利于环境保护的行为。</w:t>
      </w:r>
    </w:p>
    <w:p w14:paraId="089A21BB">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31</w:t>
      </w:r>
      <w:r>
        <w:rPr>
          <w:rFonts w:ascii="仿宋" w:hAnsi="仿宋" w:eastAsia="仿宋" w:cs="仿宋"/>
          <w:b/>
          <w:bCs/>
          <w:color w:val="auto"/>
          <w:highlight w:val="none"/>
          <w:lang w:eastAsia="zh-CN"/>
        </w:rPr>
        <w:t xml:space="preserve">.8  </w:t>
      </w:r>
    </w:p>
    <w:p w14:paraId="0AB62D6A">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54496" behindDoc="0" locked="0" layoutInCell="1" allowOverlap="1">
                <wp:simplePos x="0" y="0"/>
                <wp:positionH relativeFrom="column">
                  <wp:posOffset>-114300</wp:posOffset>
                </wp:positionH>
                <wp:positionV relativeFrom="paragraph">
                  <wp:posOffset>0</wp:posOffset>
                </wp:positionV>
                <wp:extent cx="822960" cy="463550"/>
                <wp:effectExtent l="0" t="0" r="0" b="0"/>
                <wp:wrapNone/>
                <wp:docPr id="577" name="文本框 791"/>
                <wp:cNvGraphicFramePr/>
                <a:graphic xmlns:a="http://schemas.openxmlformats.org/drawingml/2006/main">
                  <a:graphicData uri="http://schemas.microsoft.com/office/word/2010/wordprocessingShape">
                    <wps:wsp>
                      <wps:cNvSpPr txBox="1">
                        <a:spLocks noChangeArrowheads="1"/>
                      </wps:cNvSpPr>
                      <wps:spPr bwMode="auto">
                        <a:xfrm>
                          <a:off x="0" y="0"/>
                          <a:ext cx="822960" cy="463550"/>
                        </a:xfrm>
                        <a:prstGeom prst="rect">
                          <a:avLst/>
                        </a:prstGeom>
                        <a:noFill/>
                        <a:ln>
                          <a:noFill/>
                        </a:ln>
                        <a:effectLst/>
                      </wps:spPr>
                      <wps:txbx>
                        <w:txbxContent>
                          <w:p w14:paraId="2C3C79BE">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承包人对雇员的保护</w:t>
                            </w:r>
                          </w:p>
                        </w:txbxContent>
                      </wps:txbx>
                      <wps:bodyPr rot="0" vert="horz" wrap="square" lIns="91440" tIns="45720" rIns="91440" bIns="45720" anchor="t" anchorCtr="0" upright="1">
                        <a:noAutofit/>
                      </wps:bodyPr>
                    </wps:wsp>
                  </a:graphicData>
                </a:graphic>
              </wp:anchor>
            </w:drawing>
          </mc:Choice>
          <mc:Fallback>
            <w:pict>
              <v:shape id="文本框 791" o:spid="_x0000_s1026" o:spt="202" type="#_x0000_t202" style="position:absolute;left:0pt;margin-left:-9pt;margin-top:0pt;height:36.5pt;width:64.8pt;z-index:251754496;mso-width-relative:page;mso-height-relative:page;" filled="f" stroked="f" coordsize="21600,21600" o:gfxdata="UEsDBAoAAAAAAIdO4kAAAAAAAAAAAAAAAAAEAAAAZHJzL1BLAwQUAAAACACHTuJAEOWiYdUAAAAH&#10;AQAADwAAAGRycy9kb3ducmV2LnhtbE2PwU7DMBBE70j9B2srcWttFyglZNMDiCuIApV6c+NtEjVe&#10;R7HbhL/HPdHLSqMZzbzN16NrxZn60HhG0HMFgrj0tuEK4fvrbbYCEaJha1rPhPBLAdbF5CY3mfUD&#10;f9J5EyuRSjhkBqGOscukDGVNzoS574iTd/C9MzHJvpK2N0Mqd61cKLWUzjScFmrT0UtN5XFzcgg/&#10;74fd9l59VK/uoRv8qCS7J4l4O9XqGUSkMf6H4YKf0KFITHt/YhtEizDTq/RLREj3Ymu9BLFHeLxT&#10;IItcXvMXf1BLAwQUAAAACACHTuJArMhxYx8CAAAmBAAADgAAAGRycy9lMm9Eb2MueG1srVNLbtsw&#10;EN0X6B0I7mvZrj+xYDlIY6QokH6AtAegKcoiKnHYIW3JPUBzg6666b7n8jk6pBTXTTdZdCNwOMM3&#10;8948LS/bumJ7hU6DyfhoMORMGQm5NtuMf/p48+KCM+eFyUUFRmX8oBy/XD1/tmxsqsZQQpUrZARi&#10;XNrYjJfe2zRJnCxVLdwArDKULABr4SnEbZKjaAi9rpLxcDhLGsDcIkjlHN2uuyTvEfEpgFAUWqo1&#10;yF2tjO9QUVXCEyVXauv4Kk5bFEr690XhlGdVxompj19qQudN+CarpUi3KGypZT+CeMoIjzjVQhtq&#10;eoJaCy/YDvU/ULWWCA4KP5BQJx2RqAixGA0faXNXCqsiF5La2ZPo7v/Bynf7D8h0nvHpfM6ZETWt&#10;/Pj9/vjj1/HnNzZfjIJEjXUpVd5ZqvXtK2jJOJGus7cgPztm4LoUZquuEKEplchpxPgyOXva4bgA&#10;smneQk6dxM5DBGoLrIN+pAgjdFrP4bQe1Xom6fJiPF7MKCMpNZm9nE7j+hKRPjy26PxrBTULh4wj&#10;bT+Ci/2t80SDSh9KQi8DN7qqogMq89cFFXY3Klqofx2ohOk7Hr7dtL00G8gPRAqhsxf9XHQoAb9y&#10;1pC1Mu6+7AQqzqo3hoRZjCaT4MUYTKbzMQV4ntmcZ4SRBJVxz1l3vPadf3cW9bakTt0qDFyRmIWO&#10;RMOo3VTEOgRkn8i/t3rw53kcq/783q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EOWiYdUAAAAH&#10;AQAADwAAAAAAAAABACAAAAAiAAAAZHJzL2Rvd25yZXYueG1sUEsBAhQAFAAAAAgAh07iQKzIcWMf&#10;AgAAJgQAAA4AAAAAAAAAAQAgAAAAJAEAAGRycy9lMm9Eb2MueG1sUEsFBgAAAAAGAAYAWQEAALUF&#10;AAAAAA==&#10;">
                <v:fill on="f" focussize="0,0"/>
                <v:stroke on="f"/>
                <v:imagedata o:title=""/>
                <o:lock v:ext="edit" aspectratio="f"/>
                <v:textbox>
                  <w:txbxContent>
                    <w:p w14:paraId="2C3C79BE">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承包人对雇员的保护</w:t>
                      </w:r>
                    </w:p>
                  </w:txbxContent>
                </v:textbox>
              </v:shape>
            </w:pict>
          </mc:Fallback>
        </mc:AlternateContent>
      </w:r>
      <w:r>
        <w:rPr>
          <w:rFonts w:hint="eastAsia" w:ascii="仿宋" w:hAnsi="仿宋" w:eastAsia="仿宋" w:cs="仿宋"/>
          <w:color w:val="auto"/>
          <w:highlight w:val="none"/>
          <w:lang w:eastAsia="zh-CN"/>
        </w:rPr>
        <w:t>承包人应自始至终采取各种合理的预防措施，防止雇员内部发生打斗和任何无序、非法的不良行为，以确保现场安定和保护现场及邻近人员的生命、财产安全。</w:t>
      </w:r>
    </w:p>
    <w:p w14:paraId="27DB44F6">
      <w:pPr>
        <w:spacing w:line="360" w:lineRule="auto"/>
        <w:rPr>
          <w:color w:val="auto"/>
          <w:highlight w:val="none"/>
          <w:lang w:eastAsia="zh-CN"/>
        </w:rPr>
      </w:pPr>
    </w:p>
    <w:p w14:paraId="730B8A3D">
      <w:pPr>
        <w:pStyle w:val="2"/>
        <w:adjustRightInd w:val="0"/>
        <w:snapToGrid w:val="0"/>
        <w:spacing w:line="360" w:lineRule="auto"/>
        <w:jc w:val="center"/>
        <w:outlineLvl w:val="1"/>
        <w:rPr>
          <w:rFonts w:hint="eastAsia" w:ascii="仿宋" w:hAnsi="仿宋" w:eastAsia="仿宋"/>
          <w:b/>
          <w:bCs/>
          <w:color w:val="auto"/>
          <w:sz w:val="24"/>
          <w:szCs w:val="24"/>
          <w:highlight w:val="none"/>
          <w:lang w:eastAsia="zh-CN"/>
        </w:rPr>
      </w:pPr>
      <w:bookmarkStart w:id="326" w:name="_Toc12773"/>
      <w:r>
        <w:rPr>
          <w:rFonts w:hint="eastAsia" w:ascii="仿宋" w:hAnsi="仿宋" w:eastAsia="仿宋" w:cs="仿宋"/>
          <w:b/>
          <w:bCs/>
          <w:color w:val="auto"/>
          <w:sz w:val="24"/>
          <w:szCs w:val="24"/>
          <w:highlight w:val="none"/>
          <w:lang w:eastAsia="zh-CN"/>
        </w:rPr>
        <w:t>三、担保、保险与风险</w:t>
      </w:r>
      <w:bookmarkEnd w:id="326"/>
    </w:p>
    <w:p w14:paraId="2E1DE98C">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27" w:name="_Toc12628"/>
      <w:r>
        <w:rPr>
          <w:rFonts w:hint="eastAsia" w:ascii="仿宋" w:hAnsi="仿宋" w:eastAsia="仿宋" w:cs="仿宋"/>
          <w:bCs w:val="0"/>
          <w:color w:val="auto"/>
          <w:sz w:val="24"/>
          <w:szCs w:val="24"/>
          <w:highlight w:val="none"/>
          <w:lang w:eastAsia="zh-CN"/>
        </w:rPr>
        <w:t>32工程担保</w:t>
      </w:r>
      <w:bookmarkEnd w:id="327"/>
    </w:p>
    <w:p w14:paraId="7BFE4CB6">
      <w:pPr>
        <w:pStyle w:val="2"/>
        <w:tabs>
          <w:tab w:val="left" w:pos="1320"/>
        </w:tabs>
        <w:adjustRightInd w:val="0"/>
        <w:snapToGrid w:val="0"/>
        <w:spacing w:line="360" w:lineRule="auto"/>
        <w:ind w:right="-240"/>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32</w:t>
      </w:r>
      <w:r>
        <w:rPr>
          <w:rFonts w:ascii="仿宋" w:hAnsi="仿宋" w:eastAsia="仿宋" w:cs="仿宋"/>
          <w:b/>
          <w:bCs/>
          <w:color w:val="auto"/>
          <w:sz w:val="24"/>
          <w:szCs w:val="24"/>
          <w:highlight w:val="none"/>
          <w:lang w:eastAsia="zh-CN"/>
        </w:rPr>
        <w:t>.1</w:t>
      </w:r>
    </w:p>
    <w:p w14:paraId="1F02BC68">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55520" behindDoc="0" locked="0" layoutInCell="1" allowOverlap="1">
                <wp:simplePos x="0" y="0"/>
                <wp:positionH relativeFrom="column">
                  <wp:posOffset>-114300</wp:posOffset>
                </wp:positionH>
                <wp:positionV relativeFrom="paragraph">
                  <wp:posOffset>80645</wp:posOffset>
                </wp:positionV>
                <wp:extent cx="832485" cy="544830"/>
                <wp:effectExtent l="0" t="0" r="0" b="0"/>
                <wp:wrapNone/>
                <wp:docPr id="578" name="文本框 792"/>
                <wp:cNvGraphicFramePr/>
                <a:graphic xmlns:a="http://schemas.openxmlformats.org/drawingml/2006/main">
                  <a:graphicData uri="http://schemas.microsoft.com/office/word/2010/wordprocessingShape">
                    <wps:wsp>
                      <wps:cNvSpPr txBox="1">
                        <a:spLocks noChangeArrowheads="1"/>
                      </wps:cNvSpPr>
                      <wps:spPr bwMode="auto">
                        <a:xfrm>
                          <a:off x="0" y="0"/>
                          <a:ext cx="832485" cy="544830"/>
                        </a:xfrm>
                        <a:prstGeom prst="rect">
                          <a:avLst/>
                        </a:prstGeom>
                        <a:noFill/>
                        <a:ln>
                          <a:noFill/>
                        </a:ln>
                        <a:effectLst/>
                      </wps:spPr>
                      <wps:txbx>
                        <w:txbxContent>
                          <w:p w14:paraId="23B0B5B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承包人提供履约担保</w:t>
                            </w:r>
                          </w:p>
                        </w:txbxContent>
                      </wps:txbx>
                      <wps:bodyPr rot="0" vert="horz" wrap="square" lIns="91440" tIns="45720" rIns="91440" bIns="45720" anchor="t" anchorCtr="0" upright="1">
                        <a:noAutofit/>
                      </wps:bodyPr>
                    </wps:wsp>
                  </a:graphicData>
                </a:graphic>
              </wp:anchor>
            </w:drawing>
          </mc:Choice>
          <mc:Fallback>
            <w:pict>
              <v:shape id="文本框 792" o:spid="_x0000_s1026" o:spt="202" type="#_x0000_t202" style="position:absolute;left:0pt;margin-left:-9pt;margin-top:6.35pt;height:42.9pt;width:65.55pt;z-index:251755520;mso-width-relative:page;mso-height-relative:page;" filled="f" stroked="f" coordsize="21600,21600" o:gfxdata="UEsDBAoAAAAAAIdO4kAAAAAAAAAAAAAAAAAEAAAAZHJzL1BLAwQUAAAACACHTuJAHYg2KdYAAAAJ&#10;AQAADwAAAGRycy9kb3ducmV2LnhtbE2PwU7DMBBE70j8g7VI3Nq1C6VpiNMDiCuIApW4ufE2iYjX&#10;Uew24e9xT/Q4mtHMm2IzuU6caAitZw1qLkEQV962XGv4/HiZZSBCNGxN55k0/FKATXl9VZjc+pHf&#10;6bSNtUglHHKjoYmxzxFD1ZAzYe574uQd/OBMTHKo0Q5mTOWuw4WUD+hMy2mhMT09NVT9bI9Ow9fr&#10;4Xt3L9/qZ7fsRz9JZLdGrW9vlHwEEWmK/2E44yd0KBPT3h/ZBtFpmKksfYnJWKxAnAPqToHYa1hn&#10;S8CywMsH5R9QSwMEFAAAAAgAh07iQPhOMIEgAgAAJgQAAA4AAABkcnMvZTJvRG9jLnhtbK1TS27b&#10;MBDdF+gdCO5r2Y7cOILlII2RokD6AdIegKYoi6jEYYe0JfcAzQ266qb7nsvn6JBSXDfdZNENQXKG&#10;b+a9eVxcdk3NdgqdBpPzyWjMmTISCm02Of/08ebFnDPnhSlEDUblfK8cv1w+f7ZobaamUEFdKGQE&#10;YlzW2pxX3tssSZysVCPcCKwyFCwBG+HpiJukQNESelMn0/H4ZdICFhZBKufodtUH+YCITwGEstRS&#10;rUBuG2V8j4qqFp4ouUpbx5ex27JU0r8vS6c8q3NOTH1cqQjt12FNlguRbVDYSsuhBfGUFh5xaoQ2&#10;VPQItRJesC3qf6AaLREclH4koUl6IlERYjEZP9LmrhJWRS4ktbNH0d3/g5Xvdh+Q6SLns3MavBEN&#10;jfzw/f7w49fh5zd2fjENErXWZZR5ZynXd6+gI+NEus7egvzsmIHrSpiNukKEtlKioBYn4WVy8rTH&#10;cQFk3b6FgiqJrYcI1JXYBP1IEUboNJ79cTyq80zS5fxsms5nnEkKzdJ0fhbHl4js4bFF518raFjY&#10;5Bxp+hFc7G6dD82I7CEl1DJwo+s6OqA2f11QYn+jooWG14FK6L7n4bt1N0izhmJPpBB6e9Hnok0F&#10;+JWzlqyVc/dlK1BxVr8xJMzFJE2DF+MhnZ1P6YCnkfVpRBhJUDn3nPXba9/7d2tRbyqq1I/CwBWJ&#10;WepINLTadzWMgOwT+Q9WD/48PcesP997+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diDYp1gAA&#10;AAkBAAAPAAAAAAAAAAEAIAAAACIAAABkcnMvZG93bnJldi54bWxQSwECFAAUAAAACACHTuJA+E4w&#10;gSACAAAmBAAADgAAAAAAAAABACAAAAAlAQAAZHJzL2Uyb0RvYy54bWxQSwUGAAAAAAYABgBZAQAA&#10;twUAAAAA&#10;">
                <v:fill on="f" focussize="0,0"/>
                <v:stroke on="f"/>
                <v:imagedata o:title=""/>
                <o:lock v:ext="edit" aspectratio="f"/>
                <v:textbox>
                  <w:txbxContent>
                    <w:p w14:paraId="23B0B5B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承包人提供履约担保</w:t>
                      </w:r>
                    </w:p>
                  </w:txbxContent>
                </v:textbox>
              </v:shape>
            </w:pict>
          </mc:Fallback>
        </mc:AlternateContent>
      </w:r>
      <w:r>
        <w:rPr>
          <w:rFonts w:hint="eastAsia" w:ascii="仿宋" w:hAnsi="仿宋" w:eastAsia="仿宋" w:cs="仿宋"/>
          <w:color w:val="auto"/>
          <w:highlight w:val="none"/>
          <w:lang w:eastAsia="zh-CN"/>
        </w:rPr>
        <w:t>为正确履行本合同，发包人应在招标文件中或在签订合同前明确履约担保的有关要求，承包人应按照合同约定时间向发包人提供履约担保。履约担保采用银行保函、担保公司担保或</w:t>
      </w:r>
      <w:r>
        <w:rPr>
          <w:rFonts w:hint="eastAsia" w:ascii="仿宋" w:hAnsi="仿宋" w:eastAsia="仿宋" w:cs="仿宋"/>
          <w:color w:val="auto"/>
          <w:highlight w:val="none"/>
          <w:shd w:val="clear" w:color="auto" w:fill="FFFFFF"/>
          <w:lang w:eastAsia="zh-CN"/>
        </w:rPr>
        <w:t>履约保证保险</w:t>
      </w:r>
      <w:r>
        <w:rPr>
          <w:rFonts w:hint="eastAsia" w:ascii="仿宋" w:hAnsi="仿宋" w:eastAsia="仿宋" w:cs="仿宋"/>
          <w:color w:val="auto"/>
          <w:highlight w:val="none"/>
          <w:lang w:eastAsia="zh-CN"/>
        </w:rPr>
        <w:t>的形式，提供履约保函、担保公司担保、</w:t>
      </w:r>
      <w:r>
        <w:rPr>
          <w:rFonts w:hint="eastAsia" w:ascii="仿宋" w:hAnsi="仿宋" w:eastAsia="仿宋" w:cs="仿宋"/>
          <w:color w:val="auto"/>
          <w:highlight w:val="none"/>
          <w:shd w:val="clear" w:color="auto" w:fill="FFFFFF"/>
          <w:lang w:eastAsia="zh-CN"/>
        </w:rPr>
        <w:t>履约保证保险</w:t>
      </w:r>
      <w:r>
        <w:rPr>
          <w:rFonts w:hint="eastAsia" w:ascii="仿宋" w:hAnsi="仿宋" w:eastAsia="仿宋" w:cs="仿宋"/>
          <w:color w:val="auto"/>
          <w:highlight w:val="none"/>
          <w:lang w:eastAsia="zh-CN"/>
        </w:rPr>
        <w:t>所发生的费用由承包人承担。</w:t>
      </w:r>
    </w:p>
    <w:p w14:paraId="311D02DF">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756544" behindDoc="0" locked="0" layoutInCell="1" allowOverlap="1">
                <wp:simplePos x="0" y="0"/>
                <wp:positionH relativeFrom="column">
                  <wp:posOffset>-114300</wp:posOffset>
                </wp:positionH>
                <wp:positionV relativeFrom="paragraph">
                  <wp:posOffset>255905</wp:posOffset>
                </wp:positionV>
                <wp:extent cx="756920" cy="447675"/>
                <wp:effectExtent l="0" t="0" r="0" b="0"/>
                <wp:wrapNone/>
                <wp:docPr id="579" name="文本框 793"/>
                <wp:cNvGraphicFramePr/>
                <a:graphic xmlns:a="http://schemas.openxmlformats.org/drawingml/2006/main">
                  <a:graphicData uri="http://schemas.microsoft.com/office/word/2010/wordprocessingShape">
                    <wps:wsp>
                      <wps:cNvSpPr txBox="1">
                        <a:spLocks noChangeArrowheads="1"/>
                      </wps:cNvSpPr>
                      <wps:spPr bwMode="auto">
                        <a:xfrm>
                          <a:off x="0" y="0"/>
                          <a:ext cx="756920" cy="447675"/>
                        </a:xfrm>
                        <a:prstGeom prst="rect">
                          <a:avLst/>
                        </a:prstGeom>
                        <a:noFill/>
                        <a:ln>
                          <a:noFill/>
                        </a:ln>
                        <a:effectLst/>
                      </wps:spPr>
                      <wps:txbx>
                        <w:txbxContent>
                          <w:p w14:paraId="756AE7B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履约担保期限和退还</w:t>
                            </w:r>
                          </w:p>
                        </w:txbxContent>
                      </wps:txbx>
                      <wps:bodyPr rot="0" vert="horz" wrap="square" lIns="91440" tIns="45720" rIns="91440" bIns="45720" anchor="t" anchorCtr="0" upright="1">
                        <a:noAutofit/>
                      </wps:bodyPr>
                    </wps:wsp>
                  </a:graphicData>
                </a:graphic>
              </wp:anchor>
            </w:drawing>
          </mc:Choice>
          <mc:Fallback>
            <w:pict>
              <v:shape id="文本框 793" o:spid="_x0000_s1026" o:spt="202" type="#_x0000_t202" style="position:absolute;left:0pt;margin-left:-9pt;margin-top:20.15pt;height:35.25pt;width:59.6pt;z-index:251756544;mso-width-relative:page;mso-height-relative:page;" filled="f" stroked="f" coordsize="21600,21600" o:gfxdata="UEsDBAoAAAAAAIdO4kAAAAAAAAAAAAAAAAAEAAAAZHJzL1BLAwQUAAAACACHTuJAsBduo9cAAAAK&#10;AQAADwAAAGRycy9kb3ducmV2LnhtbE2PwU7DMBBE70j9B2srcWttl4JCiNNDK64gWkDi5sbbJCJe&#10;R7HbhL9ne4LbrGY0+6bYTL4TFxxiG8iAXioQSFVwLdUG3g/PiwxETJac7QKhgR+MsClnN4XNXRjp&#10;DS/7VAsuoZhbA01KfS5lrBr0Ni5Dj8TeKQzeJj6HWrrBjlzuO7lS6kF62xJ/aGyP2war7/3ZG/h4&#10;OX19rtVrvfP3/RgmJck/SmNu51o9gUg4pb8wXPEZHUpmOoYzuSg6Awud8ZZkYK3uQFwDSq9AHFlo&#10;lYEsC/l/QvkLUEsDBBQAAAAIAIdO4kDtRwMlHgIAACYEAAAOAAAAZHJzL2Uyb0RvYy54bWytU82O&#10;0zAQviPxDpbvNG1pGxo1XS1bLUJafqSFB3Adp7FIPGbsNlkeAN6AExfuPFefg7GTLWW57IGLZXvG&#10;38z3zefVRdfU7KDQaTA5n4zGnCkjodBml/OPH66fveDMeWEKUYNROb9Tjl+snz5ZtTZTU6igLhQy&#10;AjEua23OK+9tliROVqoRbgRWGQqWgI3wdMRdUqBoCb2pk+l4vEhawMIiSOUc3W76IB8Q8TGAUJZa&#10;qg3IfaOM71FR1cITJVdp6/g6dluWSvp3ZemUZ3XOiamPKxWh/TasyXolsh0KW2k5tCAe08IDTo3Q&#10;hoqeoDbCC7ZH/Q9UoyWCg9KPJDRJTyQqQiwm4wfa3FbCqsiFpHb2JLr7f7Dy7eE9Ml3kfJ4uOTOi&#10;oZEfv387/vh1/PmVpcvnQaLWuowyby3l+u4ldGScSNfZG5CfHDNwVQmzU5eI0FZKFNTiJLxMzp72&#10;OC6AbNs3UFAlsfcQgboSm6AfKcIIncZzdxqP6jyTdJnOF8spRSSFZrN0kc5jBZHdP7bo/CsFDQub&#10;nCNNP4KLw43zoRmR3aeEWgaudV1HB9TmrwtK7G9UtNDwOlAJ3fc8fLftBmm2UNwRKYTeXvS5aFMB&#10;fuGsJWvl3H3eC1Sc1a8NCbOczGbBi/Ewm6eBE55HtucRYSRB5dxz1m+vfO/fvUW9q6hSPwoDlyRm&#10;qSPR0Grf1TACsk/kP1g9+PP8HLP+fO/1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AXbqPXAAAA&#10;CgEAAA8AAAAAAAAAAQAgAAAAIgAAAGRycy9kb3ducmV2LnhtbFBLAQIUABQAAAAIAIdO4kDtRwMl&#10;HgIAACYEAAAOAAAAAAAAAAEAIAAAACYBAABkcnMvZTJvRG9jLnhtbFBLBQYAAAAABgAGAFkBAAC2&#10;BQAAAAA=&#10;">
                <v:fill on="f" focussize="0,0"/>
                <v:stroke on="f"/>
                <v:imagedata o:title=""/>
                <o:lock v:ext="edit" aspectratio="f"/>
                <v:textbox>
                  <w:txbxContent>
                    <w:p w14:paraId="756AE7B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履约担保期限和退还</w:t>
                      </w:r>
                    </w:p>
                  </w:txbxContent>
                </v:textbox>
              </v:shape>
            </w:pict>
          </mc:Fallback>
        </mc:AlternateContent>
      </w:r>
      <w:r>
        <w:rPr>
          <w:rFonts w:hint="eastAsia" w:ascii="仿宋" w:hAnsi="仿宋" w:eastAsia="仿宋" w:cs="仿宋"/>
          <w:b/>
          <w:bCs/>
          <w:color w:val="auto"/>
          <w:highlight w:val="none"/>
          <w:lang w:eastAsia="zh-CN"/>
        </w:rPr>
        <w:t>32</w:t>
      </w:r>
      <w:r>
        <w:rPr>
          <w:rFonts w:ascii="仿宋" w:hAnsi="仿宋" w:eastAsia="仿宋" w:cs="仿宋"/>
          <w:b/>
          <w:bCs/>
          <w:color w:val="auto"/>
          <w:highlight w:val="none"/>
          <w:lang w:eastAsia="zh-CN"/>
        </w:rPr>
        <w:t>.2</w:t>
      </w:r>
    </w:p>
    <w:p w14:paraId="4DB79A1E">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履约担保的有效期，是从提供履约担保之日起至合同工程竣工验收合格之日止。担保有效期满后，发包人应在收到承包人退保申请后的</w:t>
      </w:r>
      <w:r>
        <w:rPr>
          <w:rFonts w:ascii="仿宋" w:hAnsi="仿宋" w:eastAsia="仿宋" w:cs="仿宋"/>
          <w:color w:val="auto"/>
          <w:highlight w:val="none"/>
          <w:lang w:eastAsia="zh-CN"/>
        </w:rPr>
        <w:t xml:space="preserve">14 </w:t>
      </w:r>
      <w:r>
        <w:rPr>
          <w:rFonts w:hint="eastAsia" w:ascii="仿宋" w:hAnsi="仿宋" w:eastAsia="仿宋" w:cs="仿宋"/>
          <w:color w:val="auto"/>
          <w:highlight w:val="none"/>
          <w:lang w:eastAsia="zh-CN"/>
        </w:rPr>
        <w:t>天内将此担保退还给承包人。</w:t>
      </w:r>
    </w:p>
    <w:p w14:paraId="690BECD4">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757568" behindDoc="0" locked="0" layoutInCell="1" allowOverlap="1">
                <wp:simplePos x="0" y="0"/>
                <wp:positionH relativeFrom="column">
                  <wp:posOffset>-114300</wp:posOffset>
                </wp:positionH>
                <wp:positionV relativeFrom="paragraph">
                  <wp:posOffset>248920</wp:posOffset>
                </wp:positionV>
                <wp:extent cx="756920" cy="587375"/>
                <wp:effectExtent l="0" t="0" r="0" b="0"/>
                <wp:wrapNone/>
                <wp:docPr id="580" name="文本框 794"/>
                <wp:cNvGraphicFramePr/>
                <a:graphic xmlns:a="http://schemas.openxmlformats.org/drawingml/2006/main">
                  <a:graphicData uri="http://schemas.microsoft.com/office/word/2010/wordprocessingShape">
                    <wps:wsp>
                      <wps:cNvSpPr txBox="1">
                        <a:spLocks noChangeArrowheads="1"/>
                      </wps:cNvSpPr>
                      <wps:spPr bwMode="auto">
                        <a:xfrm>
                          <a:off x="0" y="0"/>
                          <a:ext cx="756920" cy="587375"/>
                        </a:xfrm>
                        <a:prstGeom prst="rect">
                          <a:avLst/>
                        </a:prstGeom>
                        <a:noFill/>
                        <a:ln>
                          <a:noFill/>
                        </a:ln>
                        <a:effectLst/>
                      </wps:spPr>
                      <wps:txbx>
                        <w:txbxContent>
                          <w:p w14:paraId="11DDA4A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向发包人支付索赔款项</w:t>
                            </w:r>
                          </w:p>
                        </w:txbxContent>
                      </wps:txbx>
                      <wps:bodyPr rot="0" vert="horz" wrap="square" lIns="91440" tIns="45720" rIns="91440" bIns="45720" anchor="t" anchorCtr="0" upright="1">
                        <a:noAutofit/>
                      </wps:bodyPr>
                    </wps:wsp>
                  </a:graphicData>
                </a:graphic>
              </wp:anchor>
            </w:drawing>
          </mc:Choice>
          <mc:Fallback>
            <w:pict>
              <v:shape id="文本框 794" o:spid="_x0000_s1026" o:spt="202" type="#_x0000_t202" style="position:absolute;left:0pt;margin-left:-9pt;margin-top:19.6pt;height:46.25pt;width:59.6pt;z-index:251757568;mso-width-relative:page;mso-height-relative:page;" filled="f" stroked="f" coordsize="21600,21600" o:gfxdata="UEsDBAoAAAAAAIdO4kAAAAAAAAAAAAAAAAAEAAAAZHJzL1BLAwQUAAAACACHTuJAMJ+F6dcAAAAK&#10;AQAADwAAAGRycy9kb3ducmV2LnhtbE2PS2/CMBCE75X4D9Yi9Qa2oQ9I43Cg6rVV6UPqzcRLEhGv&#10;o9iQ9N93OZXbjHY0+02+GX0rztjHJpABPVcgkMrgGqoMfH68zFYgYrLkbBsIDfxihE0xuclt5sJA&#10;73jepUpwCcXMGqhT6jIpY1mjt3EeOiS+HULvbWLbV9L1duBy38qFUg/S24b4Q2073NZYHncnb+Dr&#10;9fDzfafeqmd/3w1hVJL8WhpzO9XqCUTCMf2H4YLP6FAw0z6cyEXRGpjpFW9JBpbrBYhLQGkWexZL&#10;/QiyyOX1hOIPUEsDBBQAAAAIAIdO4kBIHOoJHwIAACYEAAAOAAAAZHJzL2Uyb0RvYy54bWytU82O&#10;0zAQviPxDpbvNG1pt23UdLVstQhp+ZEWHsB1nMYi8Zix26Q8APsGnLhw57n6HIydbCnLZQ9cLNsz&#10;/ub7vhkvL9u6YnuFToPJ+Ggw5EwZCbk224x/+njzYs6Z88LkogKjMn5Qjl+unj9bNjZVYyihyhUy&#10;AjEubWzGS+9tmiROlqoWbgBWGQoWgLXwdMRtkqNoCL2ukvFweJE0gLlFkMo5ul13Qd4j4lMAoSi0&#10;VGuQu1oZ36GiqoQnSa7U1vFVZFsUSvr3ReGUZ1XGSamPKxWh/SasyWop0i0KW2rZUxBPofBIUy20&#10;oaInqLXwgu1Q/wNVa4ngoPADCXXSCYmOkIrR8JE3d6WwKmohq509me7+H6x8t/+ATOcZn87JEyNq&#10;avnx+/3xx6/jz29stpgEixrrUsq8s5Tr21fQ0uBEuc7egvzsmIHrUpitukKEplQiJ4qj8DI5e9rh&#10;uACyad5CTpXEzkMEagusg3/kCCN0onI4tUe1nkm6nE0vFmOKSApN57OXs2msINKHxxadf62gZmGT&#10;caTuR3Cxv3U+kBHpQ0qoZeBGV1WcgMr8dUGJ3Y2KI9S/DlIC+06Hbzdtb80G8gOJQujGiz4XbUrA&#10;r5w1NFoZd192AhVn1RtDxixGkwnJ8PEwmc6CJjyPbM4jwkiCyrjnrNte+25+dxb1tqRKXSsMXJGZ&#10;hY5CA9WOVd8CGp+ovx/1MJ/n55j153u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wn4Xp1wAA&#10;AAoBAAAPAAAAAAAAAAEAIAAAACIAAABkcnMvZG93bnJldi54bWxQSwECFAAUAAAACACHTuJASBzq&#10;CR8CAAAmBAAADgAAAAAAAAABACAAAAAmAQAAZHJzL2Uyb0RvYy54bWxQSwUGAAAAAAYABgBZAQAA&#10;twUAAAAA&#10;">
                <v:fill on="f" focussize="0,0"/>
                <v:stroke on="f"/>
                <v:imagedata o:title=""/>
                <o:lock v:ext="edit" aspectratio="f"/>
                <v:textbox>
                  <w:txbxContent>
                    <w:p w14:paraId="11DDA4A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向发包人支付索赔款项</w:t>
                      </w:r>
                    </w:p>
                  </w:txbxContent>
                </v:textbox>
              </v:shape>
            </w:pict>
          </mc:Fallback>
        </mc:AlternateContent>
      </w:r>
      <w:r>
        <w:rPr>
          <w:rFonts w:hint="eastAsia" w:ascii="仿宋" w:hAnsi="仿宋" w:eastAsia="仿宋" w:cs="仿宋"/>
          <w:b/>
          <w:bCs/>
          <w:color w:val="auto"/>
          <w:highlight w:val="none"/>
          <w:lang w:eastAsia="zh-CN"/>
        </w:rPr>
        <w:t>32</w:t>
      </w:r>
      <w:r>
        <w:rPr>
          <w:rFonts w:ascii="仿宋" w:hAnsi="仿宋" w:eastAsia="仿宋" w:cs="仿宋"/>
          <w:b/>
          <w:bCs/>
          <w:color w:val="auto"/>
          <w:highlight w:val="none"/>
          <w:lang w:eastAsia="zh-CN"/>
        </w:rPr>
        <w:t>.3</w:t>
      </w:r>
    </w:p>
    <w:p w14:paraId="5DC64B04">
      <w:pPr>
        <w:widowControl w:val="0"/>
        <w:spacing w:line="360" w:lineRule="auto"/>
        <w:ind w:left="1850" w:leftChars="771"/>
        <w:jc w:val="both"/>
        <w:rPr>
          <w:rFonts w:hint="eastAsia" w:ascii="仿宋" w:hAnsi="仿宋" w:eastAsia="仿宋"/>
          <w:b/>
          <w:bCs/>
          <w:color w:val="auto"/>
          <w:highlight w:val="none"/>
          <w:lang w:eastAsia="zh-CN"/>
        </w:rPr>
      </w:pPr>
      <w:r>
        <w:rPr>
          <w:rFonts w:hint="eastAsia" w:ascii="仿宋" w:hAnsi="仿宋" w:eastAsia="仿宋" w:cs="仿宋"/>
          <w:color w:val="auto"/>
          <w:highlight w:val="none"/>
          <w:lang w:eastAsia="zh-CN"/>
        </w:rPr>
        <w:t>发包人在对履约担保提出索赔要求之前，应书面通知承包人，说明导致此项索赔的原因，并及时向担保人提出索赔文件。担保人根据担保合同的约定在担保范围内承担担保责任，并无须征得承包人的同意，直接向发包人支付索赔价款。</w:t>
      </w:r>
    </w:p>
    <w:p w14:paraId="7BDD87E4">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988992" behindDoc="0" locked="0" layoutInCell="1" allowOverlap="1">
                <wp:simplePos x="0" y="0"/>
                <wp:positionH relativeFrom="column">
                  <wp:posOffset>-114300</wp:posOffset>
                </wp:positionH>
                <wp:positionV relativeFrom="paragraph">
                  <wp:posOffset>251460</wp:posOffset>
                </wp:positionV>
                <wp:extent cx="794385" cy="481330"/>
                <wp:effectExtent l="0" t="0" r="0" b="0"/>
                <wp:wrapNone/>
                <wp:docPr id="581" name="文本框 795"/>
                <wp:cNvGraphicFramePr/>
                <a:graphic xmlns:a="http://schemas.openxmlformats.org/drawingml/2006/main">
                  <a:graphicData uri="http://schemas.microsoft.com/office/word/2010/wordprocessingShape">
                    <wps:wsp>
                      <wps:cNvSpPr txBox="1">
                        <a:spLocks noChangeArrowheads="1"/>
                      </wps:cNvSpPr>
                      <wps:spPr bwMode="auto">
                        <a:xfrm>
                          <a:off x="0" y="0"/>
                          <a:ext cx="794385" cy="481330"/>
                        </a:xfrm>
                        <a:prstGeom prst="rect">
                          <a:avLst/>
                        </a:prstGeom>
                        <a:noFill/>
                        <a:ln>
                          <a:noFill/>
                        </a:ln>
                        <a:effectLst/>
                      </wps:spPr>
                      <wps:txbx>
                        <w:txbxContent>
                          <w:p w14:paraId="2C24636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发包人提供支付担保</w:t>
                            </w:r>
                          </w:p>
                        </w:txbxContent>
                      </wps:txbx>
                      <wps:bodyPr rot="0" vert="horz" wrap="square" lIns="91440" tIns="45720" rIns="91440" bIns="45720" anchor="t" anchorCtr="0" upright="1">
                        <a:noAutofit/>
                      </wps:bodyPr>
                    </wps:wsp>
                  </a:graphicData>
                </a:graphic>
              </wp:anchor>
            </w:drawing>
          </mc:Choice>
          <mc:Fallback>
            <w:pict>
              <v:shape id="文本框 795" o:spid="_x0000_s1026" o:spt="202" type="#_x0000_t202" style="position:absolute;left:0pt;margin-left:-9pt;margin-top:19.8pt;height:37.9pt;width:62.55pt;z-index:251988992;mso-width-relative:page;mso-height-relative:page;" filled="f" stroked="f" coordsize="21600,21600" o:gfxdata="UEsDBAoAAAAAAIdO4kAAAAAAAAAAAAAAAAAEAAAAZHJzL1BLAwQUAAAACACHTuJAvHIWHdgAAAAK&#10;AQAADwAAAGRycy9kb3ducmV2LnhtbE2PzW7CMBCE75X6DtYi9Qa2W6AQsuHQqtdWpT8SNxMvSUS8&#10;jmJD0revObW3Wc1o9pt8O7pWXKgPjWcEPVMgiEtvG64QPj9episQIRq2pvVMCD8UYFvc3uQms37g&#10;d7rsYiVSCYfMINQxdpmUoazJmTDzHXHyjr53Jqazr6TtzZDKXSvvlVpKZxpOH2rT0VNN5Wl3dghf&#10;r8f991y9Vc9u0Q1+VJLdWiLeTbTagIg0xr8wXPETOhSJ6eDPbINoEaZ6lbZEhIf1EsQ1oB41iEMS&#10;ejEHWeTy/4TiF1BLAwQUAAAACACHTuJAyIEhMiACAAAmBAAADgAAAGRycy9lMm9Eb2MueG1srVNL&#10;btswEN0X6B0I7mv529iC5SCNkaJA+gHSHoCmKIuoxGGHtCX3AM0Nuuqm+57L5+iQUlw33WTRDUFy&#10;hm/mvXlcXrZ1xfYKnQaT8dFgyJkyEnJtthn/9PHmxZwz54XJRQVGZfygHL9cPX+2bGyqxlBClStk&#10;BGJc2tiMl97bNEmcLFUt3ACsMhQsAGvh6YjbJEfREHpdJePh8GXSAOYWQSrn6HbdBXmPiE8BhKLQ&#10;Uq1B7mplfIeKqhKeKLlSW8dXsduiUNK/LwqnPKsyTkx9XKkI7TdhTVZLkW5R2FLLvgXxlBYecaqF&#10;NlT0BLUWXrAd6n+gai0RHBR+IKFOOiJREWIxGj7S5q4UVkUuJLWzJ9Hd/4OV7/YfkOk847P5iDMj&#10;ahr58fv98cev489v7GIxCxI11qWUeWcp17evoCXjRLrO3oL87JiB61KYrbpChKZUIqcWR+Flcva0&#10;w3EBZNO8hZwqiZ2HCNQWWAf9SBFG6DSew2k8qvVM0uXFYjqZzziTFJrOR5NJHF8i0ofHFp1/raBm&#10;YZNxpOlHcLG/dT40I9KHlFDLwI2uquiAyvx1QYndjYoW6l8HKqH7jodvN20vzQbyA5FC6OxFn4s2&#10;JeBXzhqyVsbdl51AxVn1xpAwi9F0GrwYD9PZxZgOeB7ZnEeEkQSVcc9Zt732nX93FvW2pErdKAxc&#10;kZiFjkRDq11X/QjIPpF/b/Xgz/NzzPrzvV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LxyFh3Y&#10;AAAACgEAAA8AAAAAAAAAAQAgAAAAIgAAAGRycy9kb3ducmV2LnhtbFBLAQIUABQAAAAIAIdO4kDI&#10;gSEyIAIAACYEAAAOAAAAAAAAAAEAIAAAACcBAABkcnMvZTJvRG9jLnhtbFBLBQYAAAAABgAGAFkB&#10;AAC5BQAAAAA=&#10;">
                <v:fill on="f" focussize="0,0"/>
                <v:stroke on="f"/>
                <v:imagedata o:title=""/>
                <o:lock v:ext="edit" aspectratio="f"/>
                <v:textbox>
                  <w:txbxContent>
                    <w:p w14:paraId="2C24636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发包人提供支付担保</w:t>
                      </w:r>
                    </w:p>
                  </w:txbxContent>
                </v:textbox>
              </v:shape>
            </w:pict>
          </mc:Fallback>
        </mc:AlternateContent>
      </w:r>
      <w:r>
        <w:rPr>
          <w:rFonts w:hint="eastAsia" w:ascii="仿宋" w:hAnsi="仿宋" w:eastAsia="仿宋" w:cs="仿宋"/>
          <w:b/>
          <w:bCs/>
          <w:color w:val="auto"/>
          <w:highlight w:val="none"/>
          <w:lang w:eastAsia="zh-CN"/>
        </w:rPr>
        <w:t>32</w:t>
      </w:r>
      <w:r>
        <w:rPr>
          <w:rFonts w:ascii="仿宋" w:hAnsi="仿宋" w:eastAsia="仿宋" w:cs="仿宋"/>
          <w:b/>
          <w:bCs/>
          <w:color w:val="auto"/>
          <w:highlight w:val="none"/>
          <w:lang w:eastAsia="zh-CN"/>
        </w:rPr>
        <w:t>.4</w:t>
      </w:r>
    </w:p>
    <w:p w14:paraId="1AEA975C">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承包人按照第32</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款的要求提交了履约担保，发包人应按照合同约定时间向承包人提交与履约担保等值的支付担保；发、承包人也可约定由发包人向承包人提交预付款等值的支付担保。支付担保采用银行保函、担保公司担保或</w:t>
      </w:r>
      <w:r>
        <w:rPr>
          <w:rFonts w:hint="eastAsia" w:ascii="仿宋" w:hAnsi="仿宋" w:eastAsia="仿宋" w:cs="仿宋"/>
          <w:color w:val="auto"/>
          <w:highlight w:val="none"/>
          <w:shd w:val="clear" w:color="auto" w:fill="FFFFFF"/>
          <w:lang w:eastAsia="zh-CN"/>
        </w:rPr>
        <w:t>支付保证保险</w:t>
      </w:r>
      <w:r>
        <w:rPr>
          <w:rFonts w:hint="eastAsia" w:ascii="仿宋" w:hAnsi="仿宋" w:eastAsia="仿宋" w:cs="仿宋"/>
          <w:color w:val="auto"/>
          <w:highlight w:val="none"/>
          <w:lang w:eastAsia="zh-CN"/>
        </w:rPr>
        <w:t>的形式，提供支付保函、担保公司担保、</w:t>
      </w:r>
      <w:r>
        <w:rPr>
          <w:rFonts w:hint="eastAsia" w:ascii="仿宋" w:hAnsi="仿宋" w:eastAsia="仿宋" w:cs="仿宋"/>
          <w:color w:val="auto"/>
          <w:highlight w:val="none"/>
          <w:shd w:val="clear" w:color="auto" w:fill="FFFFFF"/>
          <w:lang w:eastAsia="zh-CN"/>
        </w:rPr>
        <w:t>支付保证保险</w:t>
      </w:r>
      <w:r>
        <w:rPr>
          <w:rFonts w:hint="eastAsia" w:ascii="仿宋" w:hAnsi="仿宋" w:eastAsia="仿宋" w:cs="仿宋"/>
          <w:color w:val="auto"/>
          <w:highlight w:val="none"/>
          <w:lang w:eastAsia="zh-CN"/>
        </w:rPr>
        <w:t>所发生的费用由发包人承担。</w:t>
      </w:r>
    </w:p>
    <w:p w14:paraId="6835029A">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990016" behindDoc="0" locked="0" layoutInCell="1" allowOverlap="1">
                <wp:simplePos x="0" y="0"/>
                <wp:positionH relativeFrom="column">
                  <wp:posOffset>-114300</wp:posOffset>
                </wp:positionH>
                <wp:positionV relativeFrom="paragraph">
                  <wp:posOffset>238125</wp:posOffset>
                </wp:positionV>
                <wp:extent cx="833120" cy="563880"/>
                <wp:effectExtent l="0" t="0" r="0" b="0"/>
                <wp:wrapNone/>
                <wp:docPr id="582" name="文本框 796"/>
                <wp:cNvGraphicFramePr/>
                <a:graphic xmlns:a="http://schemas.openxmlformats.org/drawingml/2006/main">
                  <a:graphicData uri="http://schemas.microsoft.com/office/word/2010/wordprocessingShape">
                    <wps:wsp>
                      <wps:cNvSpPr txBox="1">
                        <a:spLocks noChangeArrowheads="1"/>
                      </wps:cNvSpPr>
                      <wps:spPr bwMode="auto">
                        <a:xfrm>
                          <a:off x="0" y="0"/>
                          <a:ext cx="833120" cy="563880"/>
                        </a:xfrm>
                        <a:prstGeom prst="rect">
                          <a:avLst/>
                        </a:prstGeom>
                        <a:noFill/>
                        <a:ln>
                          <a:noFill/>
                        </a:ln>
                        <a:effectLst/>
                      </wps:spPr>
                      <wps:txbx>
                        <w:txbxContent>
                          <w:p w14:paraId="22983F4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支付担保期限和退还</w:t>
                            </w:r>
                          </w:p>
                        </w:txbxContent>
                      </wps:txbx>
                      <wps:bodyPr rot="0" vert="horz" wrap="square" lIns="91440" tIns="45720" rIns="91440" bIns="45720" anchor="t" anchorCtr="0" upright="1">
                        <a:noAutofit/>
                      </wps:bodyPr>
                    </wps:wsp>
                  </a:graphicData>
                </a:graphic>
              </wp:anchor>
            </w:drawing>
          </mc:Choice>
          <mc:Fallback>
            <w:pict>
              <v:shape id="文本框 796" o:spid="_x0000_s1026" o:spt="202" type="#_x0000_t202" style="position:absolute;left:0pt;margin-left:-9pt;margin-top:18.75pt;height:44.4pt;width:65.6pt;z-index:251990016;mso-width-relative:page;mso-height-relative:page;" filled="f" stroked="f" coordsize="21600,21600" o:gfxdata="UEsDBAoAAAAAAIdO4kAAAAAAAAAAAAAAAAAEAAAAZHJzL1BLAwQUAAAACACHTuJAGHWfnNgAAAAK&#10;AQAADwAAAGRycy9kb3ducmV2LnhtbE2PwU7DMBBE70j8g7VI3Fo7CS0lzaYHEFcQpUXi5sbbJGq8&#10;jmK3CX+Pe4LbrGY0+6bYTLYTFxp86xghmSsQxJUzLdcIu8/X2QqED5qN7hwTwg952JS3N4XOjRv5&#10;gy7bUItYwj7XCE0IfS6lrxqy2s9dTxy9oxusDvEcamkGPcZy28lUqaW0uuX4odE9PTdUnbZni7B/&#10;O35/Paj3+sUu+tFNSrJ9koj3d4lagwg0hb8wXPEjOpSR6eDObLzoEGbJKm4JCNnjAsQ1kGQpiEMU&#10;6TIDWRby/4TyF1BLAwQUAAAACACHTuJAiHKd5B4CAAAmBAAADgAAAGRycy9lMm9Eb2MueG1srVNL&#10;btswEN0X6B0I7mv5H0ewHKQxUhRIP0DaA9AUZRGVOOyQtuQeoL1BV91033P5HB1Siuummyy6IUjO&#10;8M28N4/Lq7au2F6h02AyPhoMOVNGQq7NNuMfP9y+WHDmvDC5qMCojB+U41er58+WjU3VGEqocoWM&#10;QIxLG5vx0nubJomTpaqFG4BVhoIFYC08HXGb5CgaQq+rZDwczpMGMLcIUjlHt+suyHtEfAogFIWW&#10;ag1yVyvjO1RUlfBEyZXaOr6K3RaFkv5dUTjlWZVxYurjSkVovwlrslqKdIvCllr2LYintPCIUy20&#10;oaInqLXwgu1Q/wNVa4ngoPADCXXSEYmKEIvR8JE296WwKnIhqZ09ie7+H6x8u3+PTOcZny3GnBlR&#10;08iP378df/w6/vzKLi7nQaLGupQy7y3l+vYltGScSNfZO5CfHDNwUwqzVdeI0JRK5NTiKLxMzp52&#10;OC6AbJo3kFMlsfMQgdoC66AfKcIIncZzOI1HtZ5JulxMJqMxRSSFZvPJYhHHl4j04bFF518pqFnY&#10;ZBxp+hFc7O+cD82I9CEl1DJwq6sqOqAyf11QYnejooX614FK6L7j4dtN20uzgfxApBA6e9Hnok0J&#10;+IWzhqyVcfd5J1BxVr02JMzlaDoNXoyH6ewicMLzyOY8IowkqIx7zrrtje/8u7OotyVV6kZh4JrE&#10;LHQkGlrtuupHQPaJ/HurB3+en2PWn++9+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YdZ+c2AAA&#10;AAoBAAAPAAAAAAAAAAEAIAAAACIAAABkcnMvZG93bnJldi54bWxQSwECFAAUAAAACACHTuJAiHKd&#10;5B4CAAAmBAAADgAAAAAAAAABACAAAAAnAQAAZHJzL2Uyb0RvYy54bWxQSwUGAAAAAAYABgBZAQAA&#10;twUAAAAA&#10;">
                <v:fill on="f" focussize="0,0"/>
                <v:stroke on="f"/>
                <v:imagedata o:title=""/>
                <o:lock v:ext="edit" aspectratio="f"/>
                <v:textbox>
                  <w:txbxContent>
                    <w:p w14:paraId="22983F4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支付担保期限和退还</w:t>
                      </w:r>
                    </w:p>
                  </w:txbxContent>
                </v:textbox>
              </v:shape>
            </w:pict>
          </mc:Fallback>
        </mc:AlternateContent>
      </w:r>
      <w:r>
        <w:rPr>
          <w:rFonts w:hint="eastAsia" w:ascii="仿宋" w:hAnsi="仿宋" w:eastAsia="仿宋" w:cs="仿宋"/>
          <w:b/>
          <w:bCs/>
          <w:color w:val="auto"/>
          <w:highlight w:val="none"/>
          <w:lang w:eastAsia="zh-CN"/>
        </w:rPr>
        <w:t>32</w:t>
      </w:r>
      <w:r>
        <w:rPr>
          <w:rFonts w:ascii="仿宋" w:hAnsi="仿宋" w:eastAsia="仿宋" w:cs="仿宋"/>
          <w:b/>
          <w:bCs/>
          <w:color w:val="auto"/>
          <w:highlight w:val="none"/>
          <w:lang w:eastAsia="zh-CN"/>
        </w:rPr>
        <w:t>.5</w:t>
      </w:r>
    </w:p>
    <w:p w14:paraId="268BEF9E">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支付担保的有效期，是从提供支付担保之日起至发包人根据本合同约定支付完除质量保证金以外的全部款项之日止。承包人应在担保有效期满后的</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天内将此担保退还给发包人。</w:t>
      </w:r>
    </w:p>
    <w:p w14:paraId="1BE6F5A4">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991040" behindDoc="0" locked="0" layoutInCell="1" allowOverlap="1">
                <wp:simplePos x="0" y="0"/>
                <wp:positionH relativeFrom="column">
                  <wp:posOffset>-114300</wp:posOffset>
                </wp:positionH>
                <wp:positionV relativeFrom="paragraph">
                  <wp:posOffset>247650</wp:posOffset>
                </wp:positionV>
                <wp:extent cx="842645" cy="562610"/>
                <wp:effectExtent l="0" t="0" r="0" b="0"/>
                <wp:wrapNone/>
                <wp:docPr id="583" name="文本框 797"/>
                <wp:cNvGraphicFramePr/>
                <a:graphic xmlns:a="http://schemas.openxmlformats.org/drawingml/2006/main">
                  <a:graphicData uri="http://schemas.microsoft.com/office/word/2010/wordprocessingShape">
                    <wps:wsp>
                      <wps:cNvSpPr txBox="1">
                        <a:spLocks noChangeArrowheads="1"/>
                      </wps:cNvSpPr>
                      <wps:spPr bwMode="auto">
                        <a:xfrm>
                          <a:off x="0" y="0"/>
                          <a:ext cx="842645" cy="562610"/>
                        </a:xfrm>
                        <a:prstGeom prst="rect">
                          <a:avLst/>
                        </a:prstGeom>
                        <a:noFill/>
                        <a:ln>
                          <a:noFill/>
                        </a:ln>
                        <a:effectLst/>
                      </wps:spPr>
                      <wps:txbx>
                        <w:txbxContent>
                          <w:p w14:paraId="5105A24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向承包人支付索赔款项</w:t>
                            </w:r>
                          </w:p>
                        </w:txbxContent>
                      </wps:txbx>
                      <wps:bodyPr rot="0" vert="horz" wrap="square" lIns="91440" tIns="45720" rIns="91440" bIns="45720" anchor="t" anchorCtr="0" upright="1">
                        <a:noAutofit/>
                      </wps:bodyPr>
                    </wps:wsp>
                  </a:graphicData>
                </a:graphic>
              </wp:anchor>
            </w:drawing>
          </mc:Choice>
          <mc:Fallback>
            <w:pict>
              <v:shape id="文本框 797" o:spid="_x0000_s1026" o:spt="202" type="#_x0000_t202" style="position:absolute;left:0pt;margin-left:-9pt;margin-top:19.5pt;height:44.3pt;width:66.35pt;z-index:251991040;mso-width-relative:page;mso-height-relative:page;" filled="f" stroked="f" coordsize="21600,21600" o:gfxdata="UEsDBAoAAAAAAIdO4kAAAAAAAAAAAAAAAAAEAAAAZHJzL1BLAwQUAAAACACHTuJAyHhk8NgAAAAK&#10;AQAADwAAAGRycy9kb3ducmV2LnhtbE2PS2/CMBCE75X4D9Yi9QZ2KOUR4nCg6rVV6UPiZuIliYjX&#10;UWxI+u+7nMppdzWj2W+y7eAaccUu1J40JFMFAqnwtqZSw9fn62QFIkRD1jSeUMMvBtjmo4fMpNb3&#10;9IHXfSwFh1BIjYYqxjaVMhQVOhOmvkVi7eQ7ZyKfXSltZ3oOd42cKbWQztTEHyrT4q7C4ry/OA3f&#10;b6fDz1y9ly/uue39oCS5tdT6cZyoDYiIQ/w3ww2f0SFnpqO/kA2i0TBJVtwlanha87wZkvkSxJGX&#10;2XIBMs/kfYX8D1BLAwQUAAAACACHTuJAu0XLySACAAAmBAAADgAAAGRycy9lMm9Eb2MueG1srVNL&#10;btswEN0X6B0I7mvZrn8RLAdpjBQF0g+Q9gA0RVlEJQ47pC25B2hu0FU33fdcPkeHlOK66SaLbgiS&#10;M3wz783j8rKtK7ZX6DSYjI8GQ86UkZBrs834p483LxacOS9MLiowKuMH5fjl6vmzZWNTNYYSqlwh&#10;IxDj0sZmvPTepkniZKlq4QZglaFgAVgLT0fcJjmKhtDrKhkPh7OkAcwtglTO0e26C/IeEZ8CCEWh&#10;pVqD3NXK+A4VVSU8UXKlto6vYrdFoaR/XxROeVZlnJj6uFIR2m/CmqyWIt2isKWWfQviKS084lQL&#10;bajoCWotvGA71P9A1VoiOCj8QEKddESiIsRiNHykzV0prIpcSGpnT6K7/wcr3+0/INN5xqeLl5wZ&#10;UdPIj9/vjz9+HX9+Y/OLeZCosS6lzDtLub59BS0ZJ9J19hbkZ8cMXJfCbNUVIjSlEjm1OAovk7On&#10;HY4LIJvmLeRUSew8RKC2wDroR4owQqfxHE7jUa1nki4Xk/FsMuVMUmg6G89GcXyJSB8eW3T+tYKa&#10;hU3GkaYfwcX+1vnQjEgfUkItAze6qqIDKvPXBSV2NypaqH8dqITuOx6+3bS9NBvID0QKobMXfS7a&#10;lIBfOWvIWhl3X3YCFWfVG0PCXIwmk+DFeJhM52M64Hlkcx4RRhJUxj1n3fbad/7dWdTbkip1ozBw&#10;RWIWOhINrXZd9SMg+0T+vdWDP8/PMevP9179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h4ZPDY&#10;AAAACgEAAA8AAAAAAAAAAQAgAAAAIgAAAGRycy9kb3ducmV2LnhtbFBLAQIUABQAAAAIAIdO4kC7&#10;RcvJIAIAACYEAAAOAAAAAAAAAAEAIAAAACcBAABkcnMvZTJvRG9jLnhtbFBLBQYAAAAABgAGAFkB&#10;AAC5BQAAAAA=&#10;">
                <v:fill on="f" focussize="0,0"/>
                <v:stroke on="f"/>
                <v:imagedata o:title=""/>
                <o:lock v:ext="edit" aspectratio="f"/>
                <v:textbox>
                  <w:txbxContent>
                    <w:p w14:paraId="5105A24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向承包人支付索赔款项</w:t>
                      </w:r>
                    </w:p>
                  </w:txbxContent>
                </v:textbox>
              </v:shape>
            </w:pict>
          </mc:Fallback>
        </mc:AlternateContent>
      </w:r>
      <w:r>
        <w:rPr>
          <w:rFonts w:hint="eastAsia" w:ascii="仿宋" w:hAnsi="仿宋" w:eastAsia="仿宋" w:cs="仿宋"/>
          <w:b/>
          <w:bCs/>
          <w:color w:val="auto"/>
          <w:highlight w:val="none"/>
          <w:lang w:eastAsia="zh-CN"/>
        </w:rPr>
        <w:t>32</w:t>
      </w:r>
      <w:r>
        <w:rPr>
          <w:rFonts w:ascii="仿宋" w:hAnsi="仿宋" w:eastAsia="仿宋" w:cs="仿宋"/>
          <w:b/>
          <w:bCs/>
          <w:color w:val="auto"/>
          <w:highlight w:val="none"/>
          <w:lang w:eastAsia="zh-CN"/>
        </w:rPr>
        <w:t>.6</w:t>
      </w:r>
    </w:p>
    <w:p w14:paraId="48DF935B">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在对支付担保提出索赔要求之前，应书面通知发包人和造价工程师，说明导致此项索赔的原因，并及时向担保人提出索赔文件。担保人根据担保合同的约定在担保范围内承担担保责任，并无须征得发包人的同意，直接向承包人支付索赔款额。</w:t>
      </w:r>
    </w:p>
    <w:p w14:paraId="3212A5D0">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992064" behindDoc="0" locked="0" layoutInCell="1" allowOverlap="1">
                <wp:simplePos x="0" y="0"/>
                <wp:positionH relativeFrom="column">
                  <wp:posOffset>-114300</wp:posOffset>
                </wp:positionH>
                <wp:positionV relativeFrom="paragraph">
                  <wp:posOffset>243205</wp:posOffset>
                </wp:positionV>
                <wp:extent cx="842010" cy="617855"/>
                <wp:effectExtent l="0" t="0" r="0" b="0"/>
                <wp:wrapNone/>
                <wp:docPr id="584" name="文本框 798"/>
                <wp:cNvGraphicFramePr/>
                <a:graphic xmlns:a="http://schemas.openxmlformats.org/drawingml/2006/main">
                  <a:graphicData uri="http://schemas.microsoft.com/office/word/2010/wordprocessingShape">
                    <wps:wsp>
                      <wps:cNvSpPr txBox="1">
                        <a:spLocks noChangeArrowheads="1"/>
                      </wps:cNvSpPr>
                      <wps:spPr bwMode="auto">
                        <a:xfrm>
                          <a:off x="0" y="0"/>
                          <a:ext cx="842010" cy="617855"/>
                        </a:xfrm>
                        <a:prstGeom prst="rect">
                          <a:avLst/>
                        </a:prstGeom>
                        <a:noFill/>
                        <a:ln>
                          <a:noFill/>
                        </a:ln>
                        <a:effectLst/>
                      </wps:spPr>
                      <wps:txbx>
                        <w:txbxContent>
                          <w:p w14:paraId="6C94A57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双方延长担保期限</w:t>
                            </w:r>
                          </w:p>
                        </w:txbxContent>
                      </wps:txbx>
                      <wps:bodyPr rot="0" vert="horz" wrap="square" lIns="91440" tIns="45720" rIns="91440" bIns="45720" anchor="t" anchorCtr="0" upright="1">
                        <a:noAutofit/>
                      </wps:bodyPr>
                    </wps:wsp>
                  </a:graphicData>
                </a:graphic>
              </wp:anchor>
            </w:drawing>
          </mc:Choice>
          <mc:Fallback>
            <w:pict>
              <v:shape id="文本框 798" o:spid="_x0000_s1026" o:spt="202" type="#_x0000_t202" style="position:absolute;left:0pt;margin-left:-9pt;margin-top:19.15pt;height:48.65pt;width:66.3pt;z-index:251992064;mso-width-relative:page;mso-height-relative:page;" filled="f" stroked="f" coordsize="21600,21600" o:gfxdata="UEsDBAoAAAAAAIdO4kAAAAAAAAAAAAAAAAAEAAAAZHJzL1BLAwQUAAAACACHTuJARbIsc9gAAAAK&#10;AQAADwAAAGRycy9kb3ducmV2LnhtbE2PwU7DMBBE70j8g7VI3Fo7pI3SNE4PIK4gWkDito23SUS8&#10;jmK3CX+Pe4LbrGY0+6bczbYXFxp951hDslQgiGtnOm40vB+eFzkIH5AN9o5Jww952FW3NyUWxk38&#10;Rpd9aEQsYV+ghjaEoZDS1y1Z9Es3EEfv5EaLIZ5jI82IUyy3vXxQKpMWO44fWhzosaX6e3+2Gj5e&#10;Tl+fK/XaPNn1MLlZSbYbqfX9XaK2IALN4S8MV/yIDlVkOrozGy96DYskj1uChjRPQVwDySoDcYwi&#10;XWcgq1L+n1D9AlBLAwQUAAAACACHTuJAzudDRB4CAAAmBAAADgAAAGRycy9lMm9Eb2MueG1srVPN&#10;jtMwEL4j8Q6W7zRN1W67UdPVstUipOVHWngA13Eai8Rjxm6T8gDwBpy4cOe5+hyMnWwpy2UPXCzb&#10;M/5mvm8+L6+6pmZ7hU6DyXk6GnOmjIRCm23OP364fbHgzHlhClGDUTk/KMevVs+fLVubqQlUUBcK&#10;GYEYl7U255X3NksSJyvVCDcCqwwFS8BGeDriNilQtITe1MlkPL5IWsDCIkjlHN2u+yAfEPEpgFCW&#10;Wqo1yF2jjO9RUdXCEyVXaev4KnZblkr6d2XplGd1zompjysVof0mrMlqKbItCltpObQgntLCI06N&#10;0IaKnqDWwgu2Q/0PVKMlgoPSjyQ0SU8kKkIs0vEjbe4rYVXkQlI7exLd/T9Y+Xb/Hpkucj5bTDkz&#10;oqGRH79/O/74dfz5lc0vF0Gi1rqMMu8t5fruJXRknEjX2TuQnxwzcFMJs1XXiNBWShTUYhpeJmdP&#10;exwXQDbtGyiokth5iEBdiU3QjxRhhE7jOZzGozrPJF0upkEjziSFLtL5YjaLFUT28Nii868UNCxs&#10;co40/Qgu9nfOh2ZE9pASahm41XUdHVCbvy4osb9R0ULD60AldN/z8N2mG6TZQHEgUgi9vehz0aYC&#10;/MJZS9bKufu8E6g4q18bEuYynU6DF+NhOptP6IDnkc15RBhJUDn3nPXbG9/7d2dRbyuq1I/CwDWJ&#10;WepINLTadzWMgOwT+Q9WD/48P8esP9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Fsixz2AAA&#10;AAoBAAAPAAAAAAAAAAEAIAAAACIAAABkcnMvZG93bnJldi54bWxQSwECFAAUAAAACACHTuJAzudD&#10;RB4CAAAmBAAADgAAAAAAAAABACAAAAAnAQAAZHJzL2Uyb0RvYy54bWxQSwUGAAAAAAYABgBZAQAA&#10;twUAAAAA&#10;">
                <v:fill on="f" focussize="0,0"/>
                <v:stroke on="f"/>
                <v:imagedata o:title=""/>
                <o:lock v:ext="edit" aspectratio="f"/>
                <v:textbox>
                  <w:txbxContent>
                    <w:p w14:paraId="6C94A57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双方延长担保期限</w:t>
                      </w:r>
                    </w:p>
                  </w:txbxContent>
                </v:textbox>
              </v:shape>
            </w:pict>
          </mc:Fallback>
        </mc:AlternateContent>
      </w:r>
      <w:r>
        <w:rPr>
          <w:rFonts w:hint="eastAsia" w:ascii="仿宋" w:hAnsi="仿宋" w:eastAsia="仿宋" w:cs="仿宋"/>
          <w:b/>
          <w:bCs/>
          <w:color w:val="auto"/>
          <w:highlight w:val="none"/>
          <w:lang w:eastAsia="zh-CN"/>
        </w:rPr>
        <w:t>32</w:t>
      </w:r>
      <w:r>
        <w:rPr>
          <w:rFonts w:ascii="仿宋" w:hAnsi="仿宋" w:eastAsia="仿宋" w:cs="仿宋"/>
          <w:b/>
          <w:bCs/>
          <w:color w:val="auto"/>
          <w:highlight w:val="none"/>
          <w:lang w:eastAsia="zh-CN"/>
        </w:rPr>
        <w:t>.7</w:t>
      </w:r>
    </w:p>
    <w:p w14:paraId="45CFBA01">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合同双方当事人均应确保合同工程担保有效期符合工期合理顺延的要求。若合同一方当事人未能保证延长担保有效期，另一方当事人可向其索赔担保的全部金额。</w:t>
      </w:r>
    </w:p>
    <w:p w14:paraId="1C5E27A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32</w:t>
      </w:r>
      <w:r>
        <w:rPr>
          <w:rFonts w:ascii="仿宋" w:hAnsi="仿宋" w:eastAsia="仿宋" w:cs="仿宋"/>
          <w:b/>
          <w:bCs/>
          <w:color w:val="auto"/>
          <w:highlight w:val="none"/>
          <w:lang w:eastAsia="zh-CN"/>
        </w:rPr>
        <w:t>.8</w:t>
      </w:r>
    </w:p>
    <w:p w14:paraId="37FB4D8C">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93088" behindDoc="0" locked="0" layoutInCell="1" allowOverlap="1">
                <wp:simplePos x="0" y="0"/>
                <wp:positionH relativeFrom="column">
                  <wp:posOffset>-114300</wp:posOffset>
                </wp:positionH>
                <wp:positionV relativeFrom="paragraph">
                  <wp:posOffset>41275</wp:posOffset>
                </wp:positionV>
                <wp:extent cx="756920" cy="460375"/>
                <wp:effectExtent l="0" t="0" r="0" b="0"/>
                <wp:wrapNone/>
                <wp:docPr id="585" name="文本框 799"/>
                <wp:cNvGraphicFramePr/>
                <a:graphic xmlns:a="http://schemas.openxmlformats.org/drawingml/2006/main">
                  <a:graphicData uri="http://schemas.microsoft.com/office/word/2010/wordprocessingShape">
                    <wps:wsp>
                      <wps:cNvSpPr txBox="1">
                        <a:spLocks noChangeArrowheads="1"/>
                      </wps:cNvSpPr>
                      <wps:spPr bwMode="auto">
                        <a:xfrm>
                          <a:off x="0" y="0"/>
                          <a:ext cx="756920" cy="460375"/>
                        </a:xfrm>
                        <a:prstGeom prst="rect">
                          <a:avLst/>
                        </a:prstGeom>
                        <a:noFill/>
                        <a:ln>
                          <a:noFill/>
                        </a:ln>
                        <a:effectLst/>
                      </wps:spPr>
                      <wps:txbx>
                        <w:txbxContent>
                          <w:p w14:paraId="621E670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约定担保事项</w:t>
                            </w:r>
                          </w:p>
                        </w:txbxContent>
                      </wps:txbx>
                      <wps:bodyPr rot="0" vert="horz" wrap="square" lIns="91440" tIns="45720" rIns="91440" bIns="45720" anchor="t" anchorCtr="0" upright="1">
                        <a:noAutofit/>
                      </wps:bodyPr>
                    </wps:wsp>
                  </a:graphicData>
                </a:graphic>
              </wp:anchor>
            </w:drawing>
          </mc:Choice>
          <mc:Fallback>
            <w:pict>
              <v:shape id="文本框 799" o:spid="_x0000_s1026" o:spt="202" type="#_x0000_t202" style="position:absolute;left:0pt;margin-left:-9pt;margin-top:3.25pt;height:36.25pt;width:59.6pt;z-index:251993088;mso-width-relative:page;mso-height-relative:page;" filled="f" stroked="f" coordsize="21600,21600" o:gfxdata="UEsDBAoAAAAAAIdO4kAAAAAAAAAAAAAAAAAEAAAAZHJzL1BLAwQUAAAACACHTuJAx/Z19tUAAAAI&#10;AQAADwAAAGRycy9kb3ducmV2LnhtbE2PwU7DMBBE70j8g7VI3Np1KlrakE0PIK4gWkDi5sbbJCJe&#10;R7HbhL/HPcFxNKOZN8V2cp068xBaLwTZXINiqbxtpSZ43z/P1qBCNGJN54UJfjjAtry+Kkxu/Shv&#10;fN7FWqUSCbkhaGLsc8RQNexMmPueJXlHPzgTkxxqtIMZU7nrcKH1Cp1pJS00pufHhqvv3ckRfLwc&#10;vz7v9Gv95Jb96CeN4jZIdHuT6QdQkaf4F4YLfkKHMjEd/ElsUB3BLFunL5FgtQR18XW2AHUguN9o&#10;wLLA/wfKX1BLAwQUAAAACACHTuJAl6vaQh8CAAAmBAAADgAAAGRycy9lMm9Eb2MueG1srVNLbtsw&#10;EN0X6B0I7mvZrj+xYDlIY6QokH6AtAegKcoiKnHYIW3JPUBzg6666b7n8jk6pBTXTTdZdEOQnOGb&#10;eW8el5dtXbG9QqfBZHw0GHKmjIRcm23GP328eXHBmfPC5KICozJ+UI5frp4/WzY2VWMoocoVMgIx&#10;Lm1sxkvvbZokTpaqFm4AVhkKFoC18HTEbZKjaAi9rpLxcDhLGsDcIkjlHN2uuyDvEfEpgFAUWqo1&#10;yF2tjO9QUVXCEyVXauv4KnZbFEr690XhlGdVxompjysVof0mrMlqKdItCltq2bcgntLCI0610IaK&#10;nqDWwgu2Q/0PVK0lgoPCDyTUSUckKkIsRsNH2tyVwqrIhaR29iS6+3+w8t3+AzKdZ3x6MeXMiJpG&#10;fvx+f/zx6/jzG5svFkGixrqUMu8s5fr2FbRknEjX2VuQnx0zcF0Ks1VXiNCUSuTU4ii8TM6edjgu&#10;gGyat5BTJbHzEIHaAuugHynCCJ3GcziNR7WeSbqcT2eLMUUkhSaz4cv5NFYQ6cNji86/VlCzsMk4&#10;0vQjuNjfOh+aEelDSqhl4EZXVXRAZf66oMTuRkUL9a8DldB9x8O3m7aXZgP5gUghdPaiz0WbEvAr&#10;Zw1ZK+Puy06g4qx6Y0iYxWgyCV6Mh8l0HjjheWRzHhFGElTGPWfd9tp3/t1Z1NuSKnWjMHBFYhY6&#10;Eg2tdl31IyD7RP691YM/z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Z19tUAAAAI&#10;AQAADwAAAAAAAAABACAAAAAiAAAAZHJzL2Rvd25yZXYueG1sUEsBAhQAFAAAAAgAh07iQJer2kIf&#10;AgAAJgQAAA4AAAAAAAAAAQAgAAAAJAEAAGRycy9lMm9Eb2MueG1sUEsFBgAAAAAGAAYAWQEAALUF&#10;AAAAAA==&#10;">
                <v:fill on="f" focussize="0,0"/>
                <v:stroke on="f"/>
                <v:imagedata o:title=""/>
                <o:lock v:ext="edit" aspectratio="f"/>
                <v:textbox>
                  <w:txbxContent>
                    <w:p w14:paraId="621E670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约定担保事项</w:t>
                      </w:r>
                    </w:p>
                  </w:txbxContent>
                </v:textbox>
              </v:shape>
            </w:pict>
          </mc:Fallback>
        </mc:AlternateContent>
      </w:r>
      <w:r>
        <w:rPr>
          <w:rFonts w:hint="eastAsia" w:ascii="仿宋" w:hAnsi="仿宋" w:eastAsia="仿宋" w:cs="仿宋"/>
          <w:color w:val="auto"/>
          <w:highlight w:val="none"/>
          <w:lang w:eastAsia="zh-CN"/>
        </w:rPr>
        <w:t>合同双方当事人在专用条款中约定担保内容、方式和责任等事项，并签订担保合同，作为本合同附件。</w:t>
      </w:r>
    </w:p>
    <w:p w14:paraId="453A0C37">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3B82E8B4">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28" w:name="_Toc29169"/>
      <w:r>
        <w:rPr>
          <w:rFonts w:hint="eastAsia" w:ascii="仿宋" w:hAnsi="仿宋" w:eastAsia="仿宋" w:cs="仿宋"/>
          <w:bCs w:val="0"/>
          <w:color w:val="auto"/>
          <w:sz w:val="24"/>
          <w:szCs w:val="24"/>
          <w:highlight w:val="none"/>
          <w:lang w:eastAsia="zh-CN"/>
        </w:rPr>
        <w:t>33发包人风险</w:t>
      </w:r>
      <w:bookmarkEnd w:id="328"/>
    </w:p>
    <w:p w14:paraId="47303528">
      <w:pPr>
        <w:pStyle w:val="2"/>
        <w:adjustRightInd w:val="0"/>
        <w:snapToGrid w:val="0"/>
        <w:spacing w:line="360" w:lineRule="auto"/>
        <w:ind w:right="-240"/>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94112" behindDoc="0" locked="0" layoutInCell="1" allowOverlap="1">
                <wp:simplePos x="0" y="0"/>
                <wp:positionH relativeFrom="column">
                  <wp:posOffset>-114300</wp:posOffset>
                </wp:positionH>
                <wp:positionV relativeFrom="paragraph">
                  <wp:posOffset>179070</wp:posOffset>
                </wp:positionV>
                <wp:extent cx="861695" cy="429260"/>
                <wp:effectExtent l="0" t="0" r="0" b="0"/>
                <wp:wrapNone/>
                <wp:docPr id="586" name="文本框 800"/>
                <wp:cNvGraphicFramePr/>
                <a:graphic xmlns:a="http://schemas.openxmlformats.org/drawingml/2006/main">
                  <a:graphicData uri="http://schemas.microsoft.com/office/word/2010/wordprocessingShape">
                    <wps:wsp>
                      <wps:cNvSpPr txBox="1">
                        <a:spLocks noChangeArrowheads="1"/>
                      </wps:cNvSpPr>
                      <wps:spPr bwMode="auto">
                        <a:xfrm>
                          <a:off x="0" y="0"/>
                          <a:ext cx="861695" cy="429260"/>
                        </a:xfrm>
                        <a:prstGeom prst="rect">
                          <a:avLst/>
                        </a:prstGeom>
                        <a:noFill/>
                        <a:ln>
                          <a:noFill/>
                        </a:ln>
                        <a:effectLst/>
                      </wps:spPr>
                      <wps:txbx>
                        <w:txbxContent>
                          <w:p w14:paraId="3BCF45B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发包人承担风险</w:t>
                            </w:r>
                          </w:p>
                        </w:txbxContent>
                      </wps:txbx>
                      <wps:bodyPr rot="0" vert="horz" wrap="square" lIns="91440" tIns="45720" rIns="91440" bIns="45720" anchor="t" anchorCtr="0" upright="1">
                        <a:noAutofit/>
                      </wps:bodyPr>
                    </wps:wsp>
                  </a:graphicData>
                </a:graphic>
              </wp:anchor>
            </w:drawing>
          </mc:Choice>
          <mc:Fallback>
            <w:pict>
              <v:shape id="文本框 800" o:spid="_x0000_s1026" o:spt="202" type="#_x0000_t202" style="position:absolute;left:0pt;margin-left:-9pt;margin-top:14.1pt;height:33.8pt;width:67.85pt;z-index:251994112;mso-width-relative:page;mso-height-relative:page;" filled="f" stroked="f" coordsize="21600,21600" o:gfxdata="UEsDBAoAAAAAAIdO4kAAAAAAAAAAAAAAAAAEAAAAZHJzL1BLAwQUAAAACACHTuJAWL499NcAAAAJ&#10;AQAADwAAAGRycy9kb3ducmV2LnhtbE2PzU7DMBCE70i8g7VI3Fo7EaVpyKaHVlxB9AeJmxtvk4h4&#10;HcVuE94e9wTH0YxmvinWk+3ElQbfOkZI5goEceVMyzXCYf86y0D4oNnozjEh/JCHdXl/V+jcuJE/&#10;6LoLtYgl7HON0ITQ51L6qiGr/dz1xNE7u8HqEOVQSzPoMZbbTqZKPUurW44Lje5p01D1vbtYhOPb&#10;+evzSb3XW7voRzcpyXYlER8fEvUCItAU/sJww4/oUEamk7uw8aJDmCVZ/BIQ0iwFcQskyyWIE8Jq&#10;kYEsC/n/QfkLUEsDBBQAAAAIAIdO4kCUP+dkHgIAACYEAAAOAAAAZHJzL2Uyb0RvYy54bWytU82O&#10;0zAQviPxDpbvNG3VljZqulq2WoS0/EgLD+A6TmMRe8zYbVIeAN6AExfuPFefg4mTdsty2QOXyJ4Z&#10;fzPfN1+WV42p2F6h12AzPhoMOVNWQq7tNuOfPt6+mHPmg7C5qMCqjB+U51er58+WtUvVGEqocoWM&#10;QKxPa5fxMgSXJomXpTLCD8ApS8kC0IhAV9wmOYqa0E2VjIfDWVID5g5BKu8puu6SvEfEpwBCUWip&#10;1iB3RtnQoaKqRCBKvtTO81WctiiUDO+LwqvAqowT0xC/1ITOm/abrJYi3aJwpZb9COIpIzziZIS2&#10;1PQMtRZBsB3qf6CMlggeijCQYJKOSFSEWIyGj7S5L4VTkQtJ7d1ZdP//YOW7/QdkOs/4dD7jzApD&#10;Kz/++H78+fv46xubD6NEtfMpVd47qg3NK2jIOJGud3cgP3tm4aYUdquuEaEulchpxFErbnLxtF2K&#10;T30LsqnfQk6dxC5ABGoKNK1+pAgjdFrP4bwe1QQmKTifjWaLKWeSUpPxYjyLsyUiPT126MNrBYa1&#10;h4wjbT+Ci/2dD+0wIj2VtL0s3Oqqig6o7F8BKuwiKlqof32avuMRmk1Db9vgBvIDkULo7EU/Fx1K&#10;wK+c1WStjPsvO4GKs+qNJWEWo8mk9WK8TKYvx3TBy8zmMiOsJKiMB866403o/LtzqLcldepWYeGa&#10;xCx0JPowVb8Csk/k31u99eflPVY9/N6r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i+PfTXAAAA&#10;CQEAAA8AAAAAAAAAAQAgAAAAIgAAAGRycy9kb3ducmV2LnhtbFBLAQIUABQAAAAIAIdO4kCUP+dk&#10;HgIAACYEAAAOAAAAAAAAAAEAIAAAACYBAABkcnMvZTJvRG9jLnhtbFBLBQYAAAAABgAGAFkBAAC2&#10;BQAAAAA=&#10;">
                <v:fill on="f" focussize="0,0"/>
                <v:stroke on="f"/>
                <v:imagedata o:title=""/>
                <o:lock v:ext="edit" aspectratio="f"/>
                <v:textbox>
                  <w:txbxContent>
                    <w:p w14:paraId="3BCF45B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发包人承担风险</w:t>
                      </w:r>
                    </w:p>
                  </w:txbxContent>
                </v:textbox>
              </v:shape>
            </w:pict>
          </mc:Fallback>
        </mc:AlternateContent>
      </w:r>
      <w:r>
        <w:rPr>
          <w:rFonts w:hint="eastAsia" w:ascii="仿宋" w:hAnsi="仿宋" w:eastAsia="仿宋" w:cs="仿宋"/>
          <w:b/>
          <w:bCs/>
          <w:color w:val="auto"/>
          <w:sz w:val="24"/>
          <w:szCs w:val="24"/>
          <w:highlight w:val="none"/>
          <w:lang w:eastAsia="zh-CN"/>
        </w:rPr>
        <w:t>33</w:t>
      </w:r>
      <w:r>
        <w:rPr>
          <w:rFonts w:ascii="仿宋" w:hAnsi="仿宋" w:eastAsia="仿宋" w:cs="仿宋"/>
          <w:b/>
          <w:bCs/>
          <w:color w:val="auto"/>
          <w:sz w:val="24"/>
          <w:szCs w:val="24"/>
          <w:highlight w:val="none"/>
          <w:lang w:eastAsia="zh-CN"/>
        </w:rPr>
        <w:t>.1</w:t>
      </w:r>
    </w:p>
    <w:p w14:paraId="58DFDEC2">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发包人应承担本合同中约定应由发包人承担的风险。</w:t>
      </w:r>
    </w:p>
    <w:p w14:paraId="6A11A200">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33</w:t>
      </w:r>
      <w:r>
        <w:rPr>
          <w:rFonts w:ascii="仿宋" w:hAnsi="仿宋" w:eastAsia="仿宋" w:cs="仿宋"/>
          <w:b/>
          <w:bCs/>
          <w:color w:val="auto"/>
          <w:sz w:val="24"/>
          <w:szCs w:val="24"/>
          <w:highlight w:val="none"/>
          <w:lang w:eastAsia="zh-CN"/>
        </w:rPr>
        <w:t xml:space="preserve">.2  </w:t>
      </w:r>
    </w:p>
    <w:p w14:paraId="411AB929">
      <w:pPr>
        <w:widowControl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758592" behindDoc="0" locked="0" layoutInCell="1" allowOverlap="1">
                <wp:simplePos x="0" y="0"/>
                <wp:positionH relativeFrom="column">
                  <wp:posOffset>-114300</wp:posOffset>
                </wp:positionH>
                <wp:positionV relativeFrom="paragraph">
                  <wp:posOffset>10795</wp:posOffset>
                </wp:positionV>
                <wp:extent cx="842645" cy="509905"/>
                <wp:effectExtent l="0" t="0" r="0" b="0"/>
                <wp:wrapNone/>
                <wp:docPr id="587" name="文本框 801"/>
                <wp:cNvGraphicFramePr/>
                <a:graphic xmlns:a="http://schemas.openxmlformats.org/drawingml/2006/main">
                  <a:graphicData uri="http://schemas.microsoft.com/office/word/2010/wordprocessingShape">
                    <wps:wsp>
                      <wps:cNvSpPr txBox="1">
                        <a:spLocks noChangeArrowheads="1"/>
                      </wps:cNvSpPr>
                      <wps:spPr bwMode="auto">
                        <a:xfrm>
                          <a:off x="0" y="0"/>
                          <a:ext cx="842645" cy="509905"/>
                        </a:xfrm>
                        <a:prstGeom prst="rect">
                          <a:avLst/>
                        </a:prstGeom>
                        <a:noFill/>
                        <a:ln>
                          <a:noFill/>
                        </a:ln>
                        <a:effectLst/>
                      </wps:spPr>
                      <wps:txbx>
                        <w:txbxContent>
                          <w:p w14:paraId="7ABFB97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发包人风险</w:t>
                            </w:r>
                          </w:p>
                        </w:txbxContent>
                      </wps:txbx>
                      <wps:bodyPr rot="0" vert="horz" wrap="square" lIns="91440" tIns="45720" rIns="91440" bIns="45720" anchor="t" anchorCtr="0" upright="1">
                        <a:noAutofit/>
                      </wps:bodyPr>
                    </wps:wsp>
                  </a:graphicData>
                </a:graphic>
              </wp:anchor>
            </w:drawing>
          </mc:Choice>
          <mc:Fallback>
            <w:pict>
              <v:shape id="文本框 801" o:spid="_x0000_s1026" o:spt="202" type="#_x0000_t202" style="position:absolute;left:0pt;margin-left:-9pt;margin-top:0.85pt;height:40.15pt;width:66.35pt;z-index:251758592;mso-width-relative:page;mso-height-relative:page;" filled="f" stroked="f" coordsize="21600,21600" o:gfxdata="UEsDBAoAAAAAAIdO4kAAAAAAAAAAAAAAAAAEAAAAZHJzL1BLAwQUAAAACACHTuJAbIQYJtQAAAAI&#10;AQAADwAAAGRycy9kb3ducmV2LnhtbE2PwU7DMAyG70i8Q2QkblvSaUApdXcAcQWxARK3rPHaisap&#10;mmwtb493gputz/r9/eVm9r060Ri7wAjZ0oAiroPruEF43z0vclAxWXa2D0wIPxRhU11elLZwYeI3&#10;Om1ToySEY2ER2pSGQutYt+RtXIaBWNghjN4mWcdGu9FOEu57vTLmVnvbsXxo7UCPLdXf26NH+Hg5&#10;fH2uzWvz5G+GKcxGs7/XiNdXmXkAlWhOf8dw1hd1qMRpH47souoRFlkuXZKAO1Bnnq1l2CPkKwO6&#10;KvX/AtUvUEsDBBQAAAAIAIdO4kAikjedHwIAACYEAAAOAAAAZHJzL2Uyb0RvYy54bWytU82O0zAQ&#10;viPxDpbvNGnV7rZV09Wy1SKk5UdaeADXcRqLxGPGbpPyAPAGnLhw57n6HIztbinLZQ9cIo9n/M18&#10;33xZXPVtw3YKnQZT8OEg50wZCaU2m4J//HD7YsqZ88KUogGjCr5Xjl8tnz9bdHauRlBDUypkBGLc&#10;vLMFr7238yxzslatcAOwylCyAmyFpxA3WYmiI/S2yUZ5fpF1gKVFkMo5ul2lJD8i4lMAoaq0VCuQ&#10;21YZn1BRNcITJVdr6/gyTltVSvp3VeWUZ03BiamPX2pC53X4ZsuFmG9Q2FrL4wjiKSM84tQKbajp&#10;CWolvGBb1P9AtVoiOKj8QEKbJSJREWIxzB9pc18LqyIXktrZk+ju/8HKt7v3yHRZ8Mn0kjMjWlr5&#10;4fu3w49fh59f2TQfBok66+ZUeW+p1vcvoSfjRLrO3oH85JiBm1qYjbpGhK5WoqQR48vs7GnCcQFk&#10;3b2BkjqJrYcI1FfYBv1IEUbotJ79aT2q90zS5XQ8uhhPOJOUmuSzWT4Js2Vi/vDYovOvFLQsHAqO&#10;tP0ILnZ3zqfSh5LQy8CtbprogMb8dUGY6UZFCx1fByph+sTD9+v+KM0ayj2RQkj2op+LDjXgF846&#10;slbB3eetQMVZ89qQMLPheBy8GIPx5HJEAZ5n1ucZYSRBFdxzlo43Pvl3a1FvauqUVmHgmsSsdCQa&#10;Rk1TkUAhIPtEqY5WD/48j2PVn997+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shBgm1AAAAAgB&#10;AAAPAAAAAAAAAAEAIAAAACIAAABkcnMvZG93bnJldi54bWxQSwECFAAUAAAACACHTuJAIpI3nR8C&#10;AAAmBAAADgAAAAAAAAABACAAAAAjAQAAZHJzL2Uyb0RvYy54bWxQSwUGAAAAAAYABgBZAQAAtAUA&#10;AAAA&#10;">
                <v:fill on="f" focussize="0,0"/>
                <v:stroke on="f"/>
                <v:imagedata o:title=""/>
                <o:lock v:ext="edit" aspectratio="f"/>
                <v:textbox>
                  <w:txbxContent>
                    <w:p w14:paraId="7ABFB97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发包人风险</w:t>
                      </w:r>
                    </w:p>
                  </w:txbxContent>
                </v:textbox>
              </v:shape>
            </w:pict>
          </mc:Fallback>
        </mc:AlternateContent>
      </w:r>
      <w:r>
        <w:rPr>
          <w:rFonts w:hint="eastAsia" w:ascii="仿宋" w:hAnsi="仿宋" w:eastAsia="仿宋" w:cs="仿宋"/>
          <w:color w:val="auto"/>
          <w:highlight w:val="none"/>
          <w:lang w:eastAsia="zh-CN"/>
        </w:rPr>
        <w:t>自本项目工程总承包范围首要工作（如勘察）开始工作之日起至颁发工程接收证书之日止，发包人风险包括：</w:t>
      </w:r>
    </w:p>
    <w:p w14:paraId="1ECE6F9B">
      <w:pPr>
        <w:pStyle w:val="2"/>
        <w:widowControl w:val="0"/>
        <w:numPr>
          <w:ilvl w:val="0"/>
          <w:numId w:val="11"/>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由非承</w:t>
      </w:r>
      <w:r>
        <w:rPr>
          <w:rFonts w:hint="eastAsia" w:ascii="仿宋" w:hAnsi="仿宋" w:eastAsia="仿宋"/>
          <w:color w:val="auto"/>
          <w:sz w:val="24"/>
          <w:szCs w:val="24"/>
          <w:highlight w:val="none"/>
          <w:lang w:eastAsia="zh-CN"/>
        </w:rPr>
        <w:t>包人原因导致的勘察、设计等工作延误、暂停或终止；</w:t>
      </w:r>
    </w:p>
    <w:p w14:paraId="13C483C8">
      <w:pPr>
        <w:pStyle w:val="2"/>
        <w:widowControl w:val="0"/>
        <w:numPr>
          <w:ilvl w:val="0"/>
          <w:numId w:val="11"/>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olor w:val="auto"/>
          <w:sz w:val="24"/>
          <w:szCs w:val="24"/>
          <w:highlight w:val="none"/>
          <w:lang w:eastAsia="zh-CN"/>
        </w:rPr>
        <w:t>由非承包人原因导致的勘察、设计等工作缺陷；</w:t>
      </w:r>
    </w:p>
    <w:p w14:paraId="6B6FB9E3">
      <w:pPr>
        <w:pStyle w:val="2"/>
        <w:widowControl w:val="0"/>
        <w:numPr>
          <w:ilvl w:val="0"/>
          <w:numId w:val="11"/>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由于永久工程本身或施工而不可避免造成的财产（除工程本身、工程材料、工程设备和施工设备外）损失或损坏；</w:t>
      </w:r>
    </w:p>
    <w:p w14:paraId="277654BE">
      <w:pPr>
        <w:pStyle w:val="2"/>
        <w:widowControl w:val="0"/>
        <w:numPr>
          <w:ilvl w:val="0"/>
          <w:numId w:val="11"/>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由于发包人工作人员及其相关人员（除承包人外）的疏忽或违规造成的人员伤亡、财产损失或损坏；</w:t>
      </w:r>
    </w:p>
    <w:p w14:paraId="4C86D8F4">
      <w:pPr>
        <w:pStyle w:val="2"/>
        <w:widowControl w:val="0"/>
        <w:numPr>
          <w:ilvl w:val="0"/>
          <w:numId w:val="11"/>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由于发包人提前使用或占用永久工程或其部分造成的损失或损坏；</w:t>
      </w:r>
    </w:p>
    <w:p w14:paraId="7E0150EB">
      <w:pPr>
        <w:pStyle w:val="2"/>
        <w:widowControl w:val="0"/>
        <w:numPr>
          <w:ilvl w:val="0"/>
          <w:numId w:val="11"/>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由于发包人提供或发包人负责的设计造成的对永久工程、工程材料、工程设备和施工设备的损失或损害；</w:t>
      </w:r>
    </w:p>
    <w:p w14:paraId="39C76020">
      <w:pPr>
        <w:pStyle w:val="2"/>
        <w:widowControl w:val="0"/>
        <w:numPr>
          <w:ilvl w:val="0"/>
          <w:numId w:val="11"/>
        </w:numPr>
        <w:adjustRightInd w:val="0"/>
        <w:snapToGrid w:val="0"/>
        <w:spacing w:line="360" w:lineRule="auto"/>
        <w:ind w:left="1850" w:leftChars="771" w:firstLine="0"/>
        <w:jc w:val="both"/>
        <w:rPr>
          <w:color w:val="auto"/>
          <w:highlight w:val="none"/>
          <w:lang w:eastAsia="zh-CN"/>
        </w:rPr>
      </w:pPr>
      <w:r>
        <w:rPr>
          <w:rFonts w:hint="eastAsia" w:ascii="仿宋" w:hAnsi="仿宋" w:eastAsia="仿宋" w:cs="仿宋"/>
          <w:color w:val="auto"/>
          <w:sz w:val="24"/>
          <w:szCs w:val="24"/>
          <w:highlight w:val="none"/>
          <w:lang w:eastAsia="zh-CN"/>
        </w:rPr>
        <w:t>由于地质、邻近建筑物、古树名木等发包人和第三方责任人原因造成施工过程中费用的增加；</w:t>
      </w:r>
    </w:p>
    <w:p w14:paraId="1306FDCA">
      <w:pPr>
        <w:pStyle w:val="2"/>
        <w:widowControl w:val="0"/>
        <w:numPr>
          <w:ilvl w:val="0"/>
          <w:numId w:val="11"/>
        </w:numPr>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专用条款约定由发包人承担的物价上涨等非承包人原因造成施工过程中费用的增加；</w:t>
      </w:r>
    </w:p>
    <w:p w14:paraId="7EEDDD87">
      <w:pPr>
        <w:pStyle w:val="2"/>
        <w:widowControl w:val="0"/>
        <w:numPr>
          <w:ilvl w:val="0"/>
          <w:numId w:val="11"/>
        </w:numPr>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其它风险。</w:t>
      </w:r>
    </w:p>
    <w:p w14:paraId="52184D41">
      <w:pPr>
        <w:pStyle w:val="2"/>
        <w:adjustRightInd w:val="0"/>
        <w:snapToGrid w:val="0"/>
        <w:spacing w:line="360" w:lineRule="auto"/>
        <w:rPr>
          <w:rFonts w:hint="eastAsia" w:ascii="仿宋" w:hAnsi="仿宋" w:eastAsia="仿宋" w:cs="仿宋"/>
          <w:color w:val="auto"/>
          <w:sz w:val="24"/>
          <w:szCs w:val="24"/>
          <w:highlight w:val="none"/>
          <w:u w:val="single"/>
          <w:lang w:eastAsia="zh-CN"/>
        </w:rPr>
      </w:pPr>
    </w:p>
    <w:p w14:paraId="098D3191">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rPr>
      </w:pPr>
      <w:bookmarkStart w:id="329" w:name="_Toc11719"/>
      <w:r>
        <w:rPr>
          <w:rFonts w:ascii="仿宋" w:hAnsi="仿宋" w:eastAsia="仿宋" w:cs="仿宋"/>
          <w:bCs w:val="0"/>
          <w:color w:val="auto"/>
          <w:sz w:val="24"/>
          <w:szCs w:val="24"/>
          <w:highlight w:val="none"/>
        </w:rPr>
        <w:t>3</w:t>
      </w:r>
      <w:r>
        <w:rPr>
          <w:rFonts w:hint="eastAsia" w:ascii="仿宋" w:hAnsi="仿宋" w:eastAsia="仿宋" w:cs="仿宋"/>
          <w:bCs w:val="0"/>
          <w:color w:val="auto"/>
          <w:sz w:val="24"/>
          <w:szCs w:val="24"/>
          <w:highlight w:val="none"/>
        </w:rPr>
        <w:t>4承包人风险</w:t>
      </w:r>
      <w:bookmarkEnd w:id="329"/>
    </w:p>
    <w:p w14:paraId="38330465">
      <w:pPr>
        <w:pStyle w:val="2"/>
        <w:tabs>
          <w:tab w:val="left" w:pos="1320"/>
          <w:tab w:val="left" w:pos="1440"/>
        </w:tabs>
        <w:adjustRightInd w:val="0"/>
        <w:snapToGrid w:val="0"/>
        <w:spacing w:line="36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95136" behindDoc="0" locked="0" layoutInCell="1" allowOverlap="1">
                <wp:simplePos x="0" y="0"/>
                <wp:positionH relativeFrom="column">
                  <wp:posOffset>-133350</wp:posOffset>
                </wp:positionH>
                <wp:positionV relativeFrom="paragraph">
                  <wp:posOffset>226060</wp:posOffset>
                </wp:positionV>
                <wp:extent cx="800100" cy="411480"/>
                <wp:effectExtent l="0" t="0" r="0" b="0"/>
                <wp:wrapNone/>
                <wp:docPr id="588" name="文本框 802"/>
                <wp:cNvGraphicFramePr/>
                <a:graphic xmlns:a="http://schemas.openxmlformats.org/drawingml/2006/main">
                  <a:graphicData uri="http://schemas.microsoft.com/office/word/2010/wordprocessingShape">
                    <wps:wsp>
                      <wps:cNvSpPr txBox="1">
                        <a:spLocks noChangeArrowheads="1"/>
                      </wps:cNvSpPr>
                      <wps:spPr bwMode="auto">
                        <a:xfrm>
                          <a:off x="0" y="0"/>
                          <a:ext cx="800100" cy="411480"/>
                        </a:xfrm>
                        <a:prstGeom prst="rect">
                          <a:avLst/>
                        </a:prstGeom>
                        <a:noFill/>
                        <a:ln>
                          <a:noFill/>
                        </a:ln>
                        <a:effectLst/>
                      </wps:spPr>
                      <wps:txbx>
                        <w:txbxContent>
                          <w:p w14:paraId="016B2AB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承包人承担风险</w:t>
                            </w:r>
                          </w:p>
                        </w:txbxContent>
                      </wps:txbx>
                      <wps:bodyPr rot="0" vert="horz" wrap="square" lIns="91440" tIns="45720" rIns="91440" bIns="45720" anchor="t" anchorCtr="0" upright="1">
                        <a:noAutofit/>
                      </wps:bodyPr>
                    </wps:wsp>
                  </a:graphicData>
                </a:graphic>
              </wp:anchor>
            </w:drawing>
          </mc:Choice>
          <mc:Fallback>
            <w:pict>
              <v:shape id="文本框 802" o:spid="_x0000_s1026" o:spt="202" type="#_x0000_t202" style="position:absolute;left:0pt;margin-left:-10.5pt;margin-top:17.8pt;height:32.4pt;width:63pt;z-index:251995136;mso-width-relative:page;mso-height-relative:page;" filled="f" stroked="f" coordsize="21600,21600" o:gfxdata="UEsDBAoAAAAAAIdO4kAAAAAAAAAAAAAAAAAEAAAAZHJzL1BLAwQUAAAACACHTuJAkz/BDtcAAAAK&#10;AQAADwAAAGRycy9kb3ducmV2LnhtbE2PQU/DMAyF70j8h8iTuG1JxzqN0nQHEFcQg03azWu8tlrj&#10;VE22ln9PeoKb7ff0/L18O9pW3Kj3jWMNyUKBIC6dabjS8P31Nt+A8AHZYOuYNPyQh21xf5djZtzA&#10;n3TbhUrEEPYZaqhD6DIpfVmTRb9wHXHUzq63GOLaV9L0OMRw28qlUmtpseH4ocaOXmoqL7ur1bB/&#10;Px8PK/VRvdq0G9yoJNsnqfXDLFHPIAKN4c8ME35EhyIyndyVjRethvkyiV2Chsd0DWIyqDQeTtOg&#10;ViCLXP6vUPwCUEsDBBQAAAAIAIdO4kBwqgIbHQIAACYEAAAOAAAAZHJzL2Uyb0RvYy54bWytU8GO&#10;0zAQvSPxD5bvNEnVhW7UdLVstQhpgZUWPsB1nMYi8Zix26R8APzBnrhw57v6HYydbCnLZQ9cLNsz&#10;fjPvzfPiom8btlPoNJiCZ5OUM2UklNpsCv7p4/WLOWfOC1OKBowq+F45frF8/mzR2VxNoYamVMgI&#10;xLi8swWvvbd5kjhZq1a4CVhlKFgBtsLTETdJiaIj9LZJpmn6MukAS4sglXN0uxqCfETEpwBCVWmp&#10;ViC3rTJ+QEXVCE+UXK2t48vYbVUp6T9UlVOeNQUnpj6uVIT267Amy4XINyhsreXYgnhKC484tUIb&#10;KnqEWgkv2Bb1P1CtlggOKj+R0CYDkagIscjSR9rc1cKqyIWkdvYouvt/sPL97haZLgt+NqfBG9HS&#10;yA/33w8/fh1+fmPzdBok6qzLKfPOUq7vX0NPxol0nb0B+dkxA1e1MBt1iQhdrURJLWbhZXLydMBx&#10;AWTdvYOSKomthwjUV9gG/UgRRug0nv1xPKr3TNLlPCWJKCIpNMuy2TyOLxH5w2OLzr9R0LKwKTjS&#10;9CO42N04H5oR+UNKqGXgWjdNdEBj/rqgxOFGRQuNrwOV0P3Aw/frfpRmDeWeSCEM9qLPRZsa8Ctn&#10;HVmr4O7LVqDirHlrSJjzbDYLXoyH2dmrKR3wNLI+jQgjCargnrNhe+UH/24t6k1NlYZRGLgkMSsd&#10;iYZWh67GEZB9Iv/R6sGfp+eY9ed7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kz/BDtcAAAAK&#10;AQAADwAAAAAAAAABACAAAAAiAAAAZHJzL2Rvd25yZXYueG1sUEsBAhQAFAAAAAgAh07iQHCqAhsd&#10;AgAAJgQAAA4AAAAAAAAAAQAgAAAAJgEAAGRycy9lMm9Eb2MueG1sUEsFBgAAAAAGAAYAWQEAALUF&#10;AAAAAA==&#10;">
                <v:fill on="f" focussize="0,0"/>
                <v:stroke on="f"/>
                <v:imagedata o:title=""/>
                <o:lock v:ext="edit" aspectratio="f"/>
                <v:textbox>
                  <w:txbxContent>
                    <w:p w14:paraId="016B2AB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承包人承担风险</w:t>
                      </w:r>
                    </w:p>
                  </w:txbxContent>
                </v:textbox>
              </v:shape>
            </w:pict>
          </mc:Fallback>
        </mc:AlternateContent>
      </w: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4</w:t>
      </w:r>
      <w:r>
        <w:rPr>
          <w:rFonts w:ascii="仿宋" w:hAnsi="仿宋" w:eastAsia="仿宋" w:cs="仿宋"/>
          <w:b/>
          <w:bCs/>
          <w:color w:val="auto"/>
          <w:sz w:val="24"/>
          <w:szCs w:val="24"/>
          <w:highlight w:val="none"/>
          <w:lang w:eastAsia="zh-CN"/>
        </w:rPr>
        <w:t>.1</w:t>
      </w:r>
    </w:p>
    <w:p w14:paraId="1F98BD42">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承包人应承担本合同中约定应由承包人承担的风险。</w:t>
      </w:r>
    </w:p>
    <w:p w14:paraId="07754DA3">
      <w:pPr>
        <w:pStyle w:val="2"/>
        <w:tabs>
          <w:tab w:val="left" w:pos="1320"/>
          <w:tab w:val="left" w:pos="1440"/>
        </w:tabs>
        <w:adjustRightInd w:val="0"/>
        <w:snapToGrid w:val="0"/>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96160" behindDoc="0" locked="0" layoutInCell="1" allowOverlap="1">
                <wp:simplePos x="0" y="0"/>
                <wp:positionH relativeFrom="column">
                  <wp:posOffset>-114300</wp:posOffset>
                </wp:positionH>
                <wp:positionV relativeFrom="paragraph">
                  <wp:posOffset>262255</wp:posOffset>
                </wp:positionV>
                <wp:extent cx="765810" cy="422275"/>
                <wp:effectExtent l="0" t="0" r="0" b="0"/>
                <wp:wrapNone/>
                <wp:docPr id="589" name="文本框 803"/>
                <wp:cNvGraphicFramePr/>
                <a:graphic xmlns:a="http://schemas.openxmlformats.org/drawingml/2006/main">
                  <a:graphicData uri="http://schemas.microsoft.com/office/word/2010/wordprocessingShape">
                    <wps:wsp>
                      <wps:cNvSpPr txBox="1">
                        <a:spLocks noChangeArrowheads="1"/>
                      </wps:cNvSpPr>
                      <wps:spPr bwMode="auto">
                        <a:xfrm>
                          <a:off x="0" y="0"/>
                          <a:ext cx="765810" cy="422275"/>
                        </a:xfrm>
                        <a:prstGeom prst="rect">
                          <a:avLst/>
                        </a:prstGeom>
                        <a:noFill/>
                        <a:ln>
                          <a:noFill/>
                        </a:ln>
                        <a:effectLst/>
                      </wps:spPr>
                      <wps:txbx>
                        <w:txbxContent>
                          <w:p w14:paraId="7098EC2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承包人风险</w:t>
                            </w:r>
                          </w:p>
                        </w:txbxContent>
                      </wps:txbx>
                      <wps:bodyPr rot="0" vert="horz" wrap="square" lIns="91440" tIns="45720" rIns="91440" bIns="45720" anchor="t" anchorCtr="0" upright="1">
                        <a:noAutofit/>
                      </wps:bodyPr>
                    </wps:wsp>
                  </a:graphicData>
                </a:graphic>
              </wp:anchor>
            </w:drawing>
          </mc:Choice>
          <mc:Fallback>
            <w:pict>
              <v:shape id="文本框 803" o:spid="_x0000_s1026" o:spt="202" type="#_x0000_t202" style="position:absolute;left:0pt;margin-left:-9pt;margin-top:20.65pt;height:33.25pt;width:60.3pt;z-index:251996160;mso-width-relative:page;mso-height-relative:page;" filled="f" stroked="f" coordsize="21600,21600" o:gfxdata="UEsDBAoAAAAAAIdO4kAAAAAAAAAAAAAAAAAEAAAAZHJzL1BLAwQUAAAACACHTuJAR1Cn89cAAAAK&#10;AQAADwAAAGRycy9kb3ducmV2LnhtbE2PwU7DMBBE70j9B2uRuLV2SikhZNNDEVcQbUHi5sbbJCJe&#10;R7HbhL/HOdHbrGY0+ybfjLYVF+p94xghWSgQxKUzDVcIh/3rPAXhg2ajW8eE8EseNsXsJteZcQN/&#10;0GUXKhFL2GcaoQ6hy6T0ZU1W+4XriKN3cr3VIZ59JU2vh1huW7lUai2tbjh+qHVH25rKn93ZIny+&#10;nb6/Vuq9erEP3eBGJdk+ScS720Q9gwg0hv8wTPgRHYrIdHRnNl60CPMkjVsCwiq5BzEF1HIN4jiJ&#10;xxRkkcvrCcUfUEsDBBQAAAAIAIdO4kDPAi18HwIAACYEAAAOAAAAZHJzL2Uyb0RvYy54bWytU0tu&#10;2zAQ3RfoHQjua9mqnTiC5SCNkaJA+gHSHoCmKIuoxGGHtCX3AM0Nuuqm+57L5+iQUlw33WTRDUFy&#10;hm/mvXlcXHZNzXYKnQaT88lozJkyEgptNjn/9PHmxZwz54UpRA1G5XyvHL9cPn+2aG2mUqigLhQy&#10;AjEua23OK+9tliROVqoRbgRWGQqWgI3wdMRNUqBoCb2pk3Q8PktawMIiSOUc3a76IB8Q8SmAUJZa&#10;qhXIbaOM71FR1cITJVdp6/gydluWSvr3ZemUZ3XOiamPKxWh/TqsyXIhsg0KW2k5tCCe0sIjTo3Q&#10;hooeoVbCC7ZF/Q9UoyWCg9KPJDRJTyQqQiwm40fa3FXCqsiFpHb2KLr7f7Dy3e4DMl3kfDa/4MyI&#10;hkZ++H5/+PHr8PMbm49fBola6zLKvLOU67tX0JFxIl1nb0F+dszAdSXMRl0hQlspUVCLk/AyOXna&#10;47gAsm7fQkGVxNZDBOpKbIJ+pAgjdBrP/jge1Xkm6fL8bDafUERSaJqm6fksVhDZw2OLzr9W0LCw&#10;yTnS9CO42N06H5oR2UNKqGXgRtd1dEBt/rqgxP5GRQsNrwOV0H3Pw3frbpBmDcWeSCH09qLPRZsK&#10;8CtnLVkr5+7LVqDirH5jSJiLyXQavBgP09l5Sgc8jaxPI8JIgsq556zfXvvev1uLelNRpX4UBq5I&#10;zFJHoqHVvqthBGSfyH+wevD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HUKfz1wAA&#10;AAoBAAAPAAAAAAAAAAEAIAAAACIAAABkcnMvZG93bnJldi54bWxQSwECFAAUAAAACACHTuJAzwIt&#10;fB8CAAAmBAAADgAAAAAAAAABACAAAAAmAQAAZHJzL2Uyb0RvYy54bWxQSwUGAAAAAAYABgBZAQAA&#10;twUAAAAA&#10;">
                <v:fill on="f" focussize="0,0"/>
                <v:stroke on="f"/>
                <v:imagedata o:title=""/>
                <o:lock v:ext="edit" aspectratio="f"/>
                <v:textbox>
                  <w:txbxContent>
                    <w:p w14:paraId="7098EC2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承包人风险</w:t>
                      </w:r>
                    </w:p>
                  </w:txbxContent>
                </v:textbox>
              </v:shape>
            </w:pict>
          </mc:Fallback>
        </mc:AlternateContent>
      </w: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4</w:t>
      </w:r>
      <w:r>
        <w:rPr>
          <w:rFonts w:ascii="仿宋" w:hAnsi="仿宋" w:eastAsia="仿宋" w:cs="仿宋"/>
          <w:b/>
          <w:bCs/>
          <w:color w:val="auto"/>
          <w:sz w:val="24"/>
          <w:szCs w:val="24"/>
          <w:highlight w:val="none"/>
          <w:lang w:eastAsia="zh-CN"/>
        </w:rPr>
        <w:t xml:space="preserve">.2  </w:t>
      </w:r>
    </w:p>
    <w:p w14:paraId="52DDD6CF">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自本项目工程总承包范围首要工作（如勘察）开始工作之日起直到颁发工程接收证书之日止，承包人风险为：除第33条和第</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5条以外的人员伤亡以及财产（包括但不限于合同工程、工程材料、工程设备和施工设备）的损失或损坏。</w:t>
      </w:r>
    </w:p>
    <w:p w14:paraId="36E30EFC">
      <w:pPr>
        <w:pStyle w:val="2"/>
        <w:adjustRightInd w:val="0"/>
        <w:snapToGrid w:val="0"/>
        <w:spacing w:line="360" w:lineRule="auto"/>
        <w:ind w:right="-240"/>
        <w:rPr>
          <w:rFonts w:hint="eastAsia" w:ascii="仿宋" w:hAnsi="仿宋" w:eastAsia="仿宋" w:cs="仿宋"/>
          <w:b/>
          <w:bCs/>
          <w:color w:val="auto"/>
          <w:sz w:val="24"/>
          <w:szCs w:val="24"/>
          <w:highlight w:val="none"/>
          <w:u w:val="single"/>
          <w:lang w:eastAsia="zh-CN"/>
        </w:rPr>
      </w:pPr>
    </w:p>
    <w:p w14:paraId="380B21A4">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30" w:name="_Toc4592"/>
      <w:r>
        <w:rPr>
          <w:rFonts w:ascii="仿宋" w:hAnsi="仿宋" w:eastAsia="仿宋" w:cs="仿宋"/>
          <w:bCs w:val="0"/>
          <w:color w:val="auto"/>
          <w:sz w:val="24"/>
          <w:szCs w:val="24"/>
          <w:highlight w:val="none"/>
          <w:lang w:eastAsia="zh-CN"/>
        </w:rPr>
        <w:t>3</w:t>
      </w:r>
      <w:r>
        <w:rPr>
          <w:rFonts w:hint="eastAsia" w:ascii="仿宋" w:hAnsi="仿宋" w:eastAsia="仿宋" w:cs="仿宋"/>
          <w:bCs w:val="0"/>
          <w:color w:val="auto"/>
          <w:sz w:val="24"/>
          <w:szCs w:val="24"/>
          <w:highlight w:val="none"/>
          <w:lang w:eastAsia="zh-CN"/>
        </w:rPr>
        <w:t>5不可抗力</w:t>
      </w:r>
      <w:bookmarkEnd w:id="330"/>
    </w:p>
    <w:p w14:paraId="34B7FD55">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5</w:t>
      </w:r>
      <w:r>
        <w:rPr>
          <w:rFonts w:ascii="仿宋" w:hAnsi="仿宋" w:eastAsia="仿宋" w:cs="仿宋"/>
          <w:b/>
          <w:bCs/>
          <w:color w:val="auto"/>
          <w:sz w:val="24"/>
          <w:szCs w:val="24"/>
          <w:highlight w:val="none"/>
          <w:lang w:eastAsia="zh-CN"/>
        </w:rPr>
        <w:t>.1</w:t>
      </w:r>
    </w:p>
    <w:p w14:paraId="57700396">
      <w:pPr>
        <w:widowControl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2118016" behindDoc="0" locked="0" layoutInCell="1" allowOverlap="1">
                <wp:simplePos x="0" y="0"/>
                <wp:positionH relativeFrom="column">
                  <wp:posOffset>-95250</wp:posOffset>
                </wp:positionH>
                <wp:positionV relativeFrom="paragraph">
                  <wp:posOffset>80645</wp:posOffset>
                </wp:positionV>
                <wp:extent cx="804545" cy="575945"/>
                <wp:effectExtent l="0" t="0" r="0" b="0"/>
                <wp:wrapNone/>
                <wp:docPr id="590" name="文本框 1342"/>
                <wp:cNvGraphicFramePr/>
                <a:graphic xmlns:a="http://schemas.openxmlformats.org/drawingml/2006/main">
                  <a:graphicData uri="http://schemas.microsoft.com/office/word/2010/wordprocessingShape">
                    <wps:wsp>
                      <wps:cNvSpPr txBox="1">
                        <a:spLocks noChangeArrowheads="1"/>
                      </wps:cNvSpPr>
                      <wps:spPr bwMode="auto">
                        <a:xfrm>
                          <a:off x="0" y="0"/>
                          <a:ext cx="804545" cy="575945"/>
                        </a:xfrm>
                        <a:prstGeom prst="rect">
                          <a:avLst/>
                        </a:prstGeom>
                        <a:noFill/>
                        <a:ln>
                          <a:noFill/>
                        </a:ln>
                        <a:effectLst/>
                      </wps:spPr>
                      <wps:txbx>
                        <w:txbxContent>
                          <w:p w14:paraId="767F7332">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rPr>
                              <w:t>不可抗力</w:t>
                            </w:r>
                            <w:r>
                              <w:rPr>
                                <w:rFonts w:hint="eastAsia" w:ascii="楷体_GB2312" w:hAnsi="宋体" w:eastAsia="楷体_GB2312" w:cs="楷体_GB2312"/>
                                <w:b/>
                                <w:bCs/>
                                <w:sz w:val="18"/>
                                <w:szCs w:val="18"/>
                                <w:lang w:eastAsia="zh-CN"/>
                              </w:rPr>
                              <w:t>的定义</w:t>
                            </w:r>
                          </w:p>
                        </w:txbxContent>
                      </wps:txbx>
                      <wps:bodyPr rot="0" vert="horz" wrap="square" lIns="91440" tIns="45720" rIns="91440" bIns="45720" anchor="t" anchorCtr="0" upright="1">
                        <a:noAutofit/>
                      </wps:bodyPr>
                    </wps:wsp>
                  </a:graphicData>
                </a:graphic>
              </wp:anchor>
            </w:drawing>
          </mc:Choice>
          <mc:Fallback>
            <w:pict>
              <v:shape id="文本框 1342" o:spid="_x0000_s1026" o:spt="202" type="#_x0000_t202" style="position:absolute;left:0pt;margin-left:-7.5pt;margin-top:6.35pt;height:45.35pt;width:63.35pt;z-index:252118016;mso-width-relative:page;mso-height-relative:page;" filled="f" stroked="f" coordsize="21600,21600" o:gfxdata="UEsDBAoAAAAAAIdO4kAAAAAAAAAAAAAAAAAEAAAAZHJzL1BLAwQUAAAACACHTuJAEIgJWtYAAAAK&#10;AQAADwAAAGRycy9kb3ducmV2LnhtbE2PwU7DMBBE70j9B2srcWttl7ZAiNMDiCuIUir15sbbJCJe&#10;R7HbhL9ne4LbrGY0+ybfjL4VF+xjE8iAnisQSGVwDVUGdp+vswcQMVlytg2EBn4wwqaY3OQ2c2Gg&#10;D7xsUyW4hGJmDdQpdZmUsazR2zgPHRJ7p9B7m/jsK+l6O3C5b+VCqbX0tiH+UNsOn2ssv7dnb+Dr&#10;7XTYL9V79eJX3RBGJck/SmNup1o9gUg4pr8wXPEZHQpmOoYzuShaAzO94i2JjcU9iGtAaxZHFupu&#10;CbLI5f8JxS9QSwMEFAAAAAgAh07iQGEZn20eAgAAJwQAAA4AAABkcnMvZTJvRG9jLnhtbK1TS27b&#10;MBDdF+gdCO5r2a7UxILlII2RokD6AdIegKYoi6jEYYe0JfcAzQ266qb7nsvn6JByHDfdZNGNMJzP&#10;m3lvRvOLvm3YVqHTYAo+GY05U0ZCqc264J8/Xb8458x5YUrRgFEF3ynHLxbPn807m6sp1NCUChmB&#10;GJd3tuC19zZPEidr1Qo3AqsMBSvAVnh64jopUXSE3jbJdDx+lXSApUWQyjnyLocgPyDiUwChqrRU&#10;S5CbVhk/oKJqhCdKrtbW8UWctqqU9B+qyinPmoITUx+/1ITsVfgmi7nI1yhsreVhBPGUER5xaoU2&#10;1PQItRResA3qf6BaLREcVH4koU0GIlERYjEZP9LmthZWRS4ktbNH0d3/g5Xvtx+R6bLg2Yw0MaKl&#10;le9/3O1//t7/+s4mL9Np0KizLqfUW0vJvn8NPV1O5OvsDcgvjhm4qoVZq0tE6GolSppxEiqTk9IB&#10;xwWQVfcOSmolNh4iUF9hGwQkSRih0yy7435U75kk5/k4zdKMM0mh7CybkR06iPy+2KLzbxS0LBgF&#10;R1p/BBfbG+eH1PuU0MvAtW4a8ou8MX85CHPwqHhDh+pAJUw/8PD9qqfa4FxBuSNSCMN90d9FRg34&#10;jbOObqvg7utGoOKseWtImNkkTcMxxkeanU3pgaeR1WlEGElQBfecDeaVHw54Y1Gva+o0rMLAJYlZ&#10;6Uj0YarDCuh+olSHWw8HevqOWQ//9+I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EIgJWtYAAAAK&#10;AQAADwAAAAAAAAABACAAAAAiAAAAZHJzL2Rvd25yZXYueG1sUEsBAhQAFAAAAAgAh07iQGEZn20e&#10;AgAAJwQAAA4AAAAAAAAAAQAgAAAAJQEAAGRycy9lMm9Eb2MueG1sUEsFBgAAAAAGAAYAWQEAALUF&#10;AAAAAA==&#10;">
                <v:fill on="f" focussize="0,0"/>
                <v:stroke on="f"/>
                <v:imagedata o:title=""/>
                <o:lock v:ext="edit" aspectratio="f"/>
                <v:textbox>
                  <w:txbxContent>
                    <w:p w14:paraId="767F7332">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rPr>
                        <w:t>不可抗力</w:t>
                      </w:r>
                      <w:r>
                        <w:rPr>
                          <w:rFonts w:hint="eastAsia" w:ascii="楷体_GB2312" w:hAnsi="宋体" w:eastAsia="楷体_GB2312" w:cs="楷体_GB2312"/>
                          <w:b/>
                          <w:bCs/>
                          <w:sz w:val="18"/>
                          <w:szCs w:val="18"/>
                          <w:lang w:eastAsia="zh-CN"/>
                        </w:rPr>
                        <w:t>的定义</w:t>
                      </w:r>
                    </w:p>
                  </w:txbxContent>
                </v:textbox>
              </v:shape>
            </w:pict>
          </mc:Fallback>
        </mc:AlternateContent>
      </w:r>
      <w:r>
        <w:rPr>
          <w:rFonts w:hint="eastAsia" w:ascii="仿宋" w:hAnsi="仿宋" w:eastAsia="仿宋" w:cs="仿宋"/>
          <w:color w:val="auto"/>
          <w:highlight w:val="none"/>
          <w:lang w:eastAsia="zh-CN"/>
        </w:rPr>
        <w:t>不可抗力是指合同当事人在订立合同时不可预见，在合同履行过程中不可避免、不能克服且不能提前防备的自然灾害和社会性突发事件，如地震、海啸、瘟疫、骚乱、戒严、暴动、战争和合同专用条款中约定的其他情形。</w:t>
      </w:r>
    </w:p>
    <w:p w14:paraId="7679E45C">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5</w:t>
      </w:r>
      <w:r>
        <w:rPr>
          <w:rFonts w:ascii="仿宋" w:hAnsi="仿宋" w:eastAsia="仿宋" w:cs="仿宋"/>
          <w:b/>
          <w:bCs/>
          <w:color w:val="auto"/>
          <w:sz w:val="24"/>
          <w:szCs w:val="24"/>
          <w:highlight w:val="none"/>
          <w:lang w:eastAsia="zh-CN"/>
        </w:rPr>
        <w:t xml:space="preserve">.2  </w:t>
      </w:r>
    </w:p>
    <w:p w14:paraId="66FB5366">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59616" behindDoc="0" locked="0" layoutInCell="1" allowOverlap="1">
                <wp:simplePos x="0" y="0"/>
                <wp:positionH relativeFrom="column">
                  <wp:posOffset>-114300</wp:posOffset>
                </wp:positionH>
                <wp:positionV relativeFrom="paragraph">
                  <wp:posOffset>7620</wp:posOffset>
                </wp:positionV>
                <wp:extent cx="822960" cy="585470"/>
                <wp:effectExtent l="0" t="0" r="0" b="0"/>
                <wp:wrapNone/>
                <wp:docPr id="591" name="文本框 804"/>
                <wp:cNvGraphicFramePr/>
                <a:graphic xmlns:a="http://schemas.openxmlformats.org/drawingml/2006/main">
                  <a:graphicData uri="http://schemas.microsoft.com/office/word/2010/wordprocessingShape">
                    <wps:wsp>
                      <wps:cNvSpPr txBox="1">
                        <a:spLocks noChangeArrowheads="1"/>
                      </wps:cNvSpPr>
                      <wps:spPr bwMode="auto">
                        <a:xfrm>
                          <a:off x="0" y="0"/>
                          <a:ext cx="822960" cy="585470"/>
                        </a:xfrm>
                        <a:prstGeom prst="rect">
                          <a:avLst/>
                        </a:prstGeom>
                        <a:noFill/>
                        <a:ln>
                          <a:noFill/>
                        </a:ln>
                        <a:effectLst/>
                      </wps:spPr>
                      <wps:txbx>
                        <w:txbxContent>
                          <w:p w14:paraId="40A1E53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不可抗力处理程序</w:t>
                            </w:r>
                          </w:p>
                        </w:txbxContent>
                      </wps:txbx>
                      <wps:bodyPr rot="0" vert="horz" wrap="square" lIns="91440" tIns="45720" rIns="91440" bIns="45720" anchor="t" anchorCtr="0" upright="1">
                        <a:noAutofit/>
                      </wps:bodyPr>
                    </wps:wsp>
                  </a:graphicData>
                </a:graphic>
              </wp:anchor>
            </w:drawing>
          </mc:Choice>
          <mc:Fallback>
            <w:pict>
              <v:shape id="文本框 804" o:spid="_x0000_s1026" o:spt="202" type="#_x0000_t202" style="position:absolute;left:0pt;margin-left:-9pt;margin-top:0.6pt;height:46.1pt;width:64.8pt;z-index:251759616;mso-width-relative:page;mso-height-relative:page;" filled="f" stroked="f" coordsize="21600,21600" o:gfxdata="UEsDBAoAAAAAAIdO4kAAAAAAAAAAAAAAAAAEAAAAZHJzL1BLAwQUAAAACACHTuJAfK8D8dYAAAAI&#10;AQAADwAAAGRycy9kb3ducmV2LnhtbE2Py07DMBBF90j8gzVI7NqxS6naEKeLVmxB9IHEzo2nSUQ8&#10;jmK3CX+Pu4Ll6IzuPTdfj64VV+pD41mDmkoQxKW3DVcaDvvXyRJEiIataT2Thh8KsC7u73KTWT/w&#10;B113sRIphENmNNQxdhliKGtyJkx9R5zY2ffOxHT2FdreDCnctTiTcoHONJwaatPRpqbye3dxGo5v&#10;56/PuXyvtu65G/wokd0KtX58UPIFRKQx/j3DTT+pQ5GcTv7CNohWw0Qt05aYwAzEjSu1AHHSsHqa&#10;AxY5/h9Q/AJQSwMEFAAAAAgAh07iQFIDGNwfAgAAJgQAAA4AAABkcnMvZTJvRG9jLnhtbK1TzY7T&#10;MBC+I/EOlu80TdXutlHT1bLVIqTlR1p4ANdxGovEY8Zuk/IA8AacuHDnufocjJ1sKctlD1ws2zP+&#10;Zr5vPi+vuqZme4VOg8l5OhpzpoyEQpttzj9+uH0x58x5YQpRg1E5PyjHr1bPny1bm6kJVFAXChmB&#10;GJe1NueV9zZLEicr1Qg3AqsMBUvARng64jYpULSE3tTJZDy+SFrAwiJI5RzdrvsgHxDxKYBQllqq&#10;Nchdo4zvUVHVwhMlV2nr+Cp2W5ZK+ndl6ZRndc6JqY8rFaH9JqzJaimyLQpbaTm0IJ7SwiNOjdCG&#10;ip6g1sILtkP9D1SjJYKD0o8kNElPJCpCLNLxI23uK2FV5EJSO3sS3f0/WPl2/x6ZLnI+W6ScGdHQ&#10;yI/fvx1//Dr+/Mrm42mQqLUuo8x7S7m+ewkdGSfSdfYO5CfHDNxUwmzVNSK0lRIFtZiGl8nZ0x7H&#10;BZBN+wYKqiR2HiJQV2IT9CNFGKHTeA6n8ajOM0mX88lkcUERSaHZfDa9jONLRPbw2KLzrxQ0LGxy&#10;jjT9CC72d86HZkT2kBJqGbjVdR0dUJu/Liixv1HRQsPrQCV03/Pw3aYbpNlAcSBSCL296HPRpgL8&#10;wllL1sq5+7wTqDirXxsSZpFOp8GL8TCdXU7ogOeRzXlEGElQOfec9dsb3/t3Z1FvK6rUj8LANYlZ&#10;6kg0tNp3NYyA7BP5D1YP/j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yvA/HWAAAA&#10;CAEAAA8AAAAAAAAAAQAgAAAAIgAAAGRycy9kb3ducmV2LnhtbFBLAQIUABQAAAAIAIdO4kBSAxjc&#10;HwIAACYEAAAOAAAAAAAAAAEAIAAAACUBAABkcnMvZTJvRG9jLnhtbFBLBQYAAAAABgAGAFkBAAC2&#10;BQAAAAA=&#10;">
                <v:fill on="f" focussize="0,0"/>
                <v:stroke on="f"/>
                <v:imagedata o:title=""/>
                <o:lock v:ext="edit" aspectratio="f"/>
                <v:textbox>
                  <w:txbxContent>
                    <w:p w14:paraId="40A1E53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不可抗力处理程序</w:t>
                      </w:r>
                    </w:p>
                  </w:txbxContent>
                </v:textbox>
              </v:shape>
            </w:pict>
          </mc:Fallback>
        </mc:AlternateContent>
      </w:r>
      <w:r>
        <w:rPr>
          <w:rFonts w:hint="eastAsia" w:ascii="仿宋" w:hAnsi="仿宋" w:eastAsia="仿宋" w:cs="仿宋"/>
          <w:color w:val="auto"/>
          <w:highlight w:val="none"/>
          <w:lang w:eastAsia="zh-CN"/>
        </w:rPr>
        <w:t>不可抗力事项发生后，承包人应立即书面通知发包人和监理人，并在力所能及的条件下迅速采取措施，尽力减少损失，发包人应协助承包人采取相应措施。监理人认为应当暂停施工的，承包人应暂停施工。不可抗力事项结束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天内，承包人向监理人通报受害情况和损失情况，并预计清理和修复的费用，抄送造价咨询人。不可抗力事项持续发生，承包人应每隔</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天向监理人和造价咨询人报告一次受害情况。不可抗力事项结束后的</w:t>
      </w:r>
      <w:r>
        <w:rPr>
          <w:rFonts w:ascii="仿宋" w:hAnsi="仿宋" w:eastAsia="仿宋" w:cs="仿宋"/>
          <w:color w:val="auto"/>
          <w:highlight w:val="none"/>
          <w:lang w:eastAsia="zh-CN"/>
        </w:rPr>
        <w:t>28</w:t>
      </w:r>
      <w:r>
        <w:rPr>
          <w:rFonts w:hint="eastAsia" w:ascii="仿宋" w:hAnsi="仿宋" w:eastAsia="仿宋" w:cs="仿宋"/>
          <w:color w:val="auto"/>
          <w:highlight w:val="none"/>
          <w:lang w:eastAsia="zh-CN"/>
        </w:rPr>
        <w:t>天内，承包人应分别按照第43条、第80条约定索赔工期、费用。</w:t>
      </w:r>
    </w:p>
    <w:p w14:paraId="099CACBC">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5</w:t>
      </w:r>
      <w:r>
        <w:rPr>
          <w:rFonts w:ascii="仿宋" w:hAnsi="仿宋" w:eastAsia="仿宋" w:cs="仿宋"/>
          <w:b/>
          <w:bCs/>
          <w:color w:val="auto"/>
          <w:sz w:val="24"/>
          <w:szCs w:val="24"/>
          <w:highlight w:val="none"/>
          <w:lang w:eastAsia="zh-CN"/>
        </w:rPr>
        <w:t xml:space="preserve">.3  </w:t>
      </w:r>
    </w:p>
    <w:p w14:paraId="186E35A3">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60640" behindDoc="0" locked="0" layoutInCell="1" allowOverlap="1">
                <wp:simplePos x="0" y="0"/>
                <wp:positionH relativeFrom="column">
                  <wp:posOffset>-114300</wp:posOffset>
                </wp:positionH>
                <wp:positionV relativeFrom="paragraph">
                  <wp:posOffset>22225</wp:posOffset>
                </wp:positionV>
                <wp:extent cx="775970" cy="664210"/>
                <wp:effectExtent l="0" t="0" r="0" b="0"/>
                <wp:wrapNone/>
                <wp:docPr id="592" name="文本框 805"/>
                <wp:cNvGraphicFramePr/>
                <a:graphic xmlns:a="http://schemas.openxmlformats.org/drawingml/2006/main">
                  <a:graphicData uri="http://schemas.microsoft.com/office/word/2010/wordprocessingShape">
                    <wps:wsp>
                      <wps:cNvSpPr txBox="1">
                        <a:spLocks noChangeArrowheads="1"/>
                      </wps:cNvSpPr>
                      <wps:spPr bwMode="auto">
                        <a:xfrm>
                          <a:off x="0" y="0"/>
                          <a:ext cx="775970" cy="664210"/>
                        </a:xfrm>
                        <a:prstGeom prst="rect">
                          <a:avLst/>
                        </a:prstGeom>
                        <a:noFill/>
                        <a:ln>
                          <a:noFill/>
                        </a:ln>
                        <a:effectLst/>
                      </wps:spPr>
                      <wps:txbx>
                        <w:txbxContent>
                          <w:p w14:paraId="39689706">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不可抗力引起费用的承担</w:t>
                            </w:r>
                          </w:p>
                        </w:txbxContent>
                      </wps:txbx>
                      <wps:bodyPr rot="0" vert="horz" wrap="square" lIns="91440" tIns="45720" rIns="91440" bIns="45720" anchor="t" anchorCtr="0" upright="1">
                        <a:noAutofit/>
                      </wps:bodyPr>
                    </wps:wsp>
                  </a:graphicData>
                </a:graphic>
              </wp:anchor>
            </w:drawing>
          </mc:Choice>
          <mc:Fallback>
            <w:pict>
              <v:shape id="文本框 805" o:spid="_x0000_s1026" o:spt="202" type="#_x0000_t202" style="position:absolute;left:0pt;margin-left:-9pt;margin-top:1.75pt;height:52.3pt;width:61.1pt;z-index:251760640;mso-width-relative:page;mso-height-relative:page;" filled="f" stroked="f" coordsize="21600,21600" o:gfxdata="UEsDBAoAAAAAAIdO4kAAAAAAAAAAAAAAAAAEAAAAZHJzL1BLAwQUAAAACACHTuJAue0YfdYAAAAJ&#10;AQAADwAAAGRycy9kb3ducmV2LnhtbE2PS0/DMBCE70j9D9Yi9dba6QOlaZweiriCKA+J2zbeJhHx&#10;OordJvx7nBPcZjWrmW/yw2hbcaPeN441JEsFgrh0puFKw/vb0yIF4QOywdYxafghD4didpdjZtzA&#10;r3Q7hUrEEPYZaqhD6DIpfVmTRb90HXH0Lq63GOLZV9L0OMRw28qVUg/SYsOxocaOjjWV36er1fDx&#10;fPn63KiX6tFuu8GNSrLdSa3n94nagwg0hr9nmPAjOhSR6eyubLxoNSySNG4JGtZbEJOvNisQ50mk&#10;Ccgil/8XFL9QSwMEFAAAAAgAh07iQJ6wZDYfAgAAJgQAAA4AAABkcnMvZTJvRG9jLnhtbK1TS27b&#10;MBDdF+gdCO5r2YY/sWA5SGOkKJB+gKQHoCnKIipx2CFtyT1Ae4Ouuum+5/I5MqQU1003WXRDkJzh&#10;m3lvHpeXbV2xvUKnwWR8NBhypoyEXJttxj/d37y64Mx5YXJRgVEZPyjHL1cvXywbm6oxlFDlChmB&#10;GJc2NuOl9zZNEidLVQs3AKsMBQvAWng64jbJUTSEXlfJeDicJQ1gbhGkco5u112Q94j4HEAoCi3V&#10;GuSuVsZ3qKgq4YmSK7V1fBW7LQol/YeicMqzKuPE1MeVitB+E9ZktRTpFoUttexbEM9p4QmnWmhD&#10;RU9Qa+EF26H+B6rWEsFB4QcS6qQjEhUhFqPhE23uSmFV5EJSO3sS3f0/WPl+/xGZzjM+XYw5M6Km&#10;kR9/fD/+/H389Y1dDKdBosa6lDLvLOX69jW0ZJxI19lbkJ8dM3BdCrNVV4jQlErk1OIovEzOnnY4&#10;LoBsmneQUyWx8xCB2gLroB8pwgidxnM4jUe1nkm6nM+nizlFJIVms8l4FMeXiPTxsUXn3yioWdhk&#10;HGn6EVzsb50PzYj0MSXUMnCjqyo6oDJ/XVBid6OihfrXgUrovuPh203bS7OB/ECkEDp70eeiTQn4&#10;lbOGrJVx92UnUHFWvTUkzGI0mQQvxsNkOh/TAc8jm/OIMJKgMu4567bXvvPvzqLellSpG4WBKxKz&#10;0JFoaLXrqh8B2Sfy760e/Hl+jll/vvfq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ntGH3WAAAA&#10;CQEAAA8AAAAAAAAAAQAgAAAAIgAAAGRycy9kb3ducmV2LnhtbFBLAQIUABQAAAAIAIdO4kCesGQ2&#10;HwIAACYEAAAOAAAAAAAAAAEAIAAAACUBAABkcnMvZTJvRG9jLnhtbFBLBQYAAAAABgAGAFkBAAC2&#10;BQAAAAA=&#10;">
                <v:fill on="f" focussize="0,0"/>
                <v:stroke on="f"/>
                <v:imagedata o:title=""/>
                <o:lock v:ext="edit" aspectratio="f"/>
                <v:textbox>
                  <w:txbxContent>
                    <w:p w14:paraId="39689706">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不可抗力引起费用的承担</w:t>
                      </w:r>
                    </w:p>
                  </w:txbxContent>
                </v:textbox>
              </v:shape>
            </w:pict>
          </mc:Fallback>
        </mc:AlternateContent>
      </w:r>
      <w:r>
        <w:rPr>
          <w:rFonts w:hint="eastAsia" w:ascii="仿宋" w:hAnsi="仿宋" w:eastAsia="仿宋" w:cs="仿宋"/>
          <w:color w:val="auto"/>
          <w:highlight w:val="none"/>
          <w:lang w:eastAsia="zh-CN"/>
        </w:rPr>
        <w:t>因不可抗力事项导致的费用，由合同双方当事人按照下列约定承担，并相应调整合同价格：</w:t>
      </w:r>
    </w:p>
    <w:p w14:paraId="7F7F8E73">
      <w:pPr>
        <w:pStyle w:val="2"/>
        <w:widowControl w:val="0"/>
        <w:numPr>
          <w:ilvl w:val="0"/>
          <w:numId w:val="12"/>
        </w:numPr>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永久工程本身的损害、已运至施工场地的工程材料和工程设备的损害，以及因工程损害导致第三者人员伤亡和财产损失，由发包人承担；</w:t>
      </w:r>
    </w:p>
    <w:p w14:paraId="2CF11678">
      <w:pPr>
        <w:pStyle w:val="2"/>
        <w:widowControl w:val="0"/>
        <w:numPr>
          <w:ilvl w:val="0"/>
          <w:numId w:val="12"/>
        </w:numPr>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承包人施工设备和用于合同工程的周转材料损坏以及停工损失，由承包人承担；发包人提供的施工设备损坏，由发包人承担；</w:t>
      </w:r>
    </w:p>
    <w:p w14:paraId="1A589456">
      <w:pPr>
        <w:pStyle w:val="2"/>
        <w:widowControl w:val="0"/>
        <w:numPr>
          <w:ilvl w:val="0"/>
          <w:numId w:val="12"/>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施工场地内的人员伤亡和本款第</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点、第</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点以外财产损失及其相关费用，由合同双方当事人各自承担；</w:t>
      </w:r>
    </w:p>
    <w:p w14:paraId="39856938">
      <w:pPr>
        <w:pStyle w:val="2"/>
        <w:widowControl w:val="0"/>
        <w:numPr>
          <w:ilvl w:val="0"/>
          <w:numId w:val="12"/>
        </w:numPr>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停工期间，承包人应监理工程师要求照管工程的费用，由发包人承担；</w:t>
      </w:r>
    </w:p>
    <w:p w14:paraId="2BFAB6D2">
      <w:pPr>
        <w:pStyle w:val="2"/>
        <w:widowControl w:val="0"/>
        <w:numPr>
          <w:ilvl w:val="0"/>
          <w:numId w:val="12"/>
        </w:numPr>
        <w:adjustRightInd w:val="0"/>
        <w:snapToGrid w:val="0"/>
        <w:spacing w:line="360" w:lineRule="auto"/>
        <w:ind w:left="2328" w:leftChars="772" w:hanging="475" w:hangingChars="198"/>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工程所需的清理、修复费用，由发包人承担。</w:t>
      </w:r>
    </w:p>
    <w:p w14:paraId="3B005A0D">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997184" behindDoc="0" locked="0" layoutInCell="1" allowOverlap="1">
                <wp:simplePos x="0" y="0"/>
                <wp:positionH relativeFrom="column">
                  <wp:posOffset>-114300</wp:posOffset>
                </wp:positionH>
                <wp:positionV relativeFrom="paragraph">
                  <wp:posOffset>247650</wp:posOffset>
                </wp:positionV>
                <wp:extent cx="813435" cy="725170"/>
                <wp:effectExtent l="0" t="0" r="0" b="0"/>
                <wp:wrapNone/>
                <wp:docPr id="593" name="文本框 806"/>
                <wp:cNvGraphicFramePr/>
                <a:graphic xmlns:a="http://schemas.openxmlformats.org/drawingml/2006/main">
                  <a:graphicData uri="http://schemas.microsoft.com/office/word/2010/wordprocessingShape">
                    <wps:wsp>
                      <wps:cNvSpPr txBox="1">
                        <a:spLocks noChangeArrowheads="1"/>
                      </wps:cNvSpPr>
                      <wps:spPr bwMode="auto">
                        <a:xfrm>
                          <a:off x="0" y="0"/>
                          <a:ext cx="813435" cy="725170"/>
                        </a:xfrm>
                        <a:prstGeom prst="rect">
                          <a:avLst/>
                        </a:prstGeom>
                        <a:noFill/>
                        <a:ln>
                          <a:noFill/>
                        </a:ln>
                        <a:effectLst/>
                      </wps:spPr>
                      <wps:txbx>
                        <w:txbxContent>
                          <w:p w14:paraId="17C263A4">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不可抗力引起工期的处理</w:t>
                            </w:r>
                          </w:p>
                        </w:txbxContent>
                      </wps:txbx>
                      <wps:bodyPr rot="0" vert="horz" wrap="square" lIns="91440" tIns="45720" rIns="91440" bIns="45720" anchor="t" anchorCtr="0" upright="1">
                        <a:noAutofit/>
                      </wps:bodyPr>
                    </wps:wsp>
                  </a:graphicData>
                </a:graphic>
              </wp:anchor>
            </w:drawing>
          </mc:Choice>
          <mc:Fallback>
            <w:pict>
              <v:shape id="文本框 806" o:spid="_x0000_s1026" o:spt="202" type="#_x0000_t202" style="position:absolute;left:0pt;margin-left:-9pt;margin-top:19.5pt;height:57.1pt;width:64.05pt;z-index:251997184;mso-width-relative:page;mso-height-relative:page;" filled="f" stroked="f" coordsize="21600,21600" o:gfxdata="UEsDBAoAAAAAAIdO4kAAAAAAAAAAAAAAAAAEAAAAZHJzL1BLAwQUAAAACACHTuJAtHTUbNcAAAAK&#10;AQAADwAAAGRycy9kb3ducmV2LnhtbE2PQW/CMAyF75P4D5En7QZJYCDomnJg2nXTgE3aLTSmrdY4&#10;VRNo9+9nTtvJtt7T8/fy7ehbccU+NoEM6JkCgVQG11Bl4Hh4ma5BxGTJ2TYQGvjBCNticpfbzIWB&#10;3vG6T5XgEIqZNVCn1GVSxrJGb+MsdEisnUPvbeKzr6Tr7cDhvpVzpVbS24b4Q2073NVYfu8v3sDH&#10;6/nr81G9Vc9+2Q1hVJL8RhrzcK/VE4iEY/ozww2f0aFgplO4kIuiNTDVa+6SDCw2PG8GrTSIEy/L&#10;xRxkkcv/FYpfUEsDBBQAAAAIAIdO4kCQ3bMXIAIAACYEAAAOAAAAZHJzL2Uyb0RvYy54bWytU0tu&#10;2zAQ3RfoHQjua/kbO4LlII2RokD6AdIegKYoi6jEYYe0JfcA7Q266qb7nsvn6JBSXDfdZNENQXKG&#10;b+a9eVxetXXF9gqdBpPx0WDImTIScm22Gf/44fbFgjPnhclFBUZl/KAcv1o9f7ZsbKrGUEKVK2QE&#10;Ylza2IyX3ts0SZwsVS3cAKwyFCwAa+HpiNskR9EQel0l4+HwImkAc4sglXN0u+6CvEfEpwBCUWip&#10;1iB3tTK+Q0VVCU+UXKmt46vYbVEo6d8VhVOeVRknpj6uVIT2m7Amq6VItyhsqWXfgnhKC4841UIb&#10;KnqCWgsv2A71P1C1lggOCj+QUCcdkagIsRgNH2lzXwqrIheS2tmT6O7/wcq3+/fIdJ7x2eWEMyNq&#10;Gvnx+7fjj1/Hn1/ZYngRJGqsSynz3lKub19CS8aJdJ29A/nJMQM3pTBbdY0ITalETi2Owsvk7GmH&#10;4wLIpnkDOVUSOw8RqC2wDvqRIozQaTyH03hU65mky8VoMp3MOJMUmo9no3kcXyLSh8cWnX+loGZh&#10;k3Gk6Udwsb9zPjQj0oeUUMvAra6q6IDK/HVBid2NihbqXwcqofuOh283bS/NBvIDkULo7EWfizYl&#10;4BfOGrJWxt3nnUDFWfXakDCXo+k0eDEeprP5mA54HtmcR4SRBJVxz1m3vfGdf3cW9bakSt0oDFyT&#10;mIWOREOrXVf9CMg+kX9v9eDP83PM+vO9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HTUbNcA&#10;AAAKAQAADwAAAAAAAAABACAAAAAiAAAAZHJzL2Rvd25yZXYueG1sUEsBAhQAFAAAAAgAh07iQJDd&#10;sxcgAgAAJgQAAA4AAAAAAAAAAQAgAAAAJgEAAGRycy9lMm9Eb2MueG1sUEsFBgAAAAAGAAYAWQEA&#10;ALgFAAAAAA==&#10;">
                <v:fill on="f" focussize="0,0"/>
                <v:stroke on="f"/>
                <v:imagedata o:title=""/>
                <o:lock v:ext="edit" aspectratio="f"/>
                <v:textbox>
                  <w:txbxContent>
                    <w:p w14:paraId="17C263A4">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不可抗力引起工期的处理</w:t>
                      </w:r>
                    </w:p>
                  </w:txbxContent>
                </v:textbox>
              </v:shape>
            </w:pict>
          </mc:Fallback>
        </mc:AlternateContent>
      </w:r>
      <w:r>
        <w:rPr>
          <w:rFonts w:ascii="仿宋" w:hAnsi="仿宋" w:eastAsia="仿宋" w:cs="仿宋"/>
          <w:b/>
          <w:bCs/>
          <w:color w:val="auto"/>
          <w:highlight w:val="none"/>
          <w:lang w:eastAsia="zh-CN"/>
        </w:rPr>
        <w:t>3</w:t>
      </w:r>
      <w:r>
        <w:rPr>
          <w:rFonts w:hint="eastAsia" w:ascii="仿宋" w:hAnsi="仿宋" w:eastAsia="仿宋" w:cs="仿宋"/>
          <w:b/>
          <w:bCs/>
          <w:color w:val="auto"/>
          <w:highlight w:val="none"/>
          <w:lang w:eastAsia="zh-CN"/>
        </w:rPr>
        <w:t>5</w:t>
      </w:r>
      <w:r>
        <w:rPr>
          <w:rFonts w:ascii="仿宋" w:hAnsi="仿宋" w:eastAsia="仿宋" w:cs="仿宋"/>
          <w:b/>
          <w:bCs/>
          <w:color w:val="auto"/>
          <w:highlight w:val="none"/>
          <w:lang w:eastAsia="zh-CN"/>
        </w:rPr>
        <w:t>.4</w:t>
      </w:r>
    </w:p>
    <w:p w14:paraId="3B6846A4">
      <w:pPr>
        <w:widowControl w:val="0"/>
        <w:spacing w:line="360" w:lineRule="auto"/>
        <w:ind w:left="1850" w:leftChars="771"/>
        <w:jc w:val="both"/>
        <w:rPr>
          <w:rFonts w:hint="eastAsia" w:ascii="仿宋" w:hAnsi="仿宋" w:eastAsia="仿宋"/>
          <w:dstrike/>
          <w:color w:val="auto"/>
          <w:highlight w:val="none"/>
          <w:lang w:eastAsia="zh-CN"/>
        </w:rPr>
      </w:pPr>
      <w:r>
        <w:rPr>
          <w:rFonts w:hint="eastAsia" w:ascii="仿宋" w:hAnsi="仿宋" w:eastAsia="仿宋" w:cs="仿宋"/>
          <w:color w:val="auto"/>
          <w:highlight w:val="none"/>
          <w:lang w:eastAsia="zh-CN"/>
        </w:rPr>
        <w:t>因发生不可抗力事项导致工期延误的，工期相应顺延；不能按期竣工的，承包人无需为此支付任何误期赔偿费。发包人要求赶工的，承包人应采取赶工措施，赶工费用由发包人支付。</w:t>
      </w:r>
    </w:p>
    <w:p w14:paraId="4BB27E3F">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998208" behindDoc="0" locked="0" layoutInCell="1" allowOverlap="1">
                <wp:simplePos x="0" y="0"/>
                <wp:positionH relativeFrom="column">
                  <wp:posOffset>-114300</wp:posOffset>
                </wp:positionH>
                <wp:positionV relativeFrom="paragraph">
                  <wp:posOffset>247650</wp:posOffset>
                </wp:positionV>
                <wp:extent cx="842645" cy="525145"/>
                <wp:effectExtent l="0" t="0" r="0" b="0"/>
                <wp:wrapNone/>
                <wp:docPr id="594" name="文本框 807"/>
                <wp:cNvGraphicFramePr/>
                <a:graphic xmlns:a="http://schemas.openxmlformats.org/drawingml/2006/main">
                  <a:graphicData uri="http://schemas.microsoft.com/office/word/2010/wordprocessingShape">
                    <wps:wsp>
                      <wps:cNvSpPr txBox="1">
                        <a:spLocks noChangeArrowheads="1"/>
                      </wps:cNvSpPr>
                      <wps:spPr bwMode="auto">
                        <a:xfrm>
                          <a:off x="0" y="0"/>
                          <a:ext cx="842645" cy="525145"/>
                        </a:xfrm>
                        <a:prstGeom prst="rect">
                          <a:avLst/>
                        </a:prstGeom>
                        <a:noFill/>
                        <a:ln>
                          <a:noFill/>
                        </a:ln>
                        <a:effectLst/>
                      </wps:spPr>
                      <wps:txbx>
                        <w:txbxContent>
                          <w:p w14:paraId="7F44272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延迟履约发生不可抗力的责任</w:t>
                            </w:r>
                          </w:p>
                        </w:txbxContent>
                      </wps:txbx>
                      <wps:bodyPr rot="0" vert="horz" wrap="square" lIns="91440" tIns="45720" rIns="91440" bIns="45720" anchor="t" anchorCtr="0" upright="1">
                        <a:noAutofit/>
                      </wps:bodyPr>
                    </wps:wsp>
                  </a:graphicData>
                </a:graphic>
              </wp:anchor>
            </w:drawing>
          </mc:Choice>
          <mc:Fallback>
            <w:pict>
              <v:shape id="文本框 807" o:spid="_x0000_s1026" o:spt="202" type="#_x0000_t202" style="position:absolute;left:0pt;margin-left:-9pt;margin-top:19.5pt;height:41.35pt;width:66.35pt;z-index:251998208;mso-width-relative:page;mso-height-relative:page;" filled="f" stroked="f" coordsize="21600,21600" o:gfxdata="UEsDBAoAAAAAAIdO4kAAAAAAAAAAAAAAAAAEAAAAZHJzL1BLAwQUAAAACACHTuJARWWlo9gAAAAK&#10;AQAADwAAAGRycy9kb3ducmV2LnhtbE2PzW7CMBCE75X6DtYi9Qa2KS2QxuHQqtdW0B+pNxMvSUS8&#10;jmJD0rfvcqKn3dWMZr/JN6NvxRn72AQyoGcKBFIZXEOVgc+P1+kKREyWnG0DoYFfjLApbm9ym7kw&#10;0BbPu1QJDqGYWQN1Sl0mZSxr9DbOQofE2iH03iY++0q63g4c7ls5V+pRetsQf6hth881lsfdyRv4&#10;ejv8fC/Ue/XiH7ohjEqSX0tj7iZaPYFIOKarGS74jA4FM+3DiVwUrYGpXnGXZOB+zfNi0IsliD0v&#10;c70EWeTyf4XiD1BLAwQUAAAACACHTuJA/lK80R4CAAAmBAAADgAAAGRycy9lMm9Eb2MueG1srVNL&#10;btswEN0X6B0I7mvZhpw4guUgjZGiQPoB0h6ApiiLqMRhh5Ql9wDtDbLqpvuey+fokHIcN91k0Y0w&#10;nM+beW9Gi8u+qdlWodNgcj4ZjTlTRkKhzSbnnz/dvJpz5rwwhajBqJzvlOOXy5cvFp3N1BQqqAuF&#10;jECMyzqb88p7myWJk5VqhBuBVYaCJWAjPD1xkxQoOkJv6mQ6Hp8lHWBhEaRyjryrIcgPiPgcQChL&#10;LdUKZNso4wdUVLXwRMlV2jq+jNOWpZL+Q1k65Vmdc2Lq45eakL0O32S5ENkGha20PIwgnjPCE06N&#10;0IaaHqFWwgvWov4HqtESwUHpRxKaZCASFSEWk/ETbe4qYVXkQlI7exTd/T9Y+X77EZkucj67SDkz&#10;oqGV7+9/7H/+3v/6zubj8yBRZ11GmXeWcn3/Gno6nEjX2VuQXxwzcF0Js1FXiNBVShQ04iRUJiel&#10;A44LIOvuHRTUSbQeIlBfYhP0I0UYodN6dsf1qN4zSc55Oj1LZ5xJCs2mswnZoYPIHootOv9GQcOC&#10;kXOk7Udwsb11fkh9SAm9DNzouia/yGrzl4MwB4+KJ3SoDlTC9AMP3697qg3ONRQ7IoUwnBf9XGRU&#10;gN846+i0cu6+tgIVZ/VbQ8JcTNI03GJ8pLPzKT3wNLI+jQgjCSrnnrPBvPbD/bYW9aaiTsMqDFyR&#10;mKWORB+nOqyAzidKdTj1cJ+n75j1+Hsv/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FZaWj2AAA&#10;AAoBAAAPAAAAAAAAAAEAIAAAACIAAABkcnMvZG93bnJldi54bWxQSwECFAAUAAAACACHTuJA/lK8&#10;0R4CAAAmBAAADgAAAAAAAAABACAAAAAnAQAAZHJzL2Uyb0RvYy54bWxQSwUGAAAAAAYABgBZAQAA&#10;twUAAAAA&#10;">
                <v:fill on="f" focussize="0,0"/>
                <v:stroke on="f"/>
                <v:imagedata o:title=""/>
                <o:lock v:ext="edit" aspectratio="f"/>
                <v:textbox>
                  <w:txbxContent>
                    <w:p w14:paraId="7F44272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延迟履约发生不可抗力的责任</w:t>
                      </w:r>
                    </w:p>
                  </w:txbxContent>
                </v:textbox>
              </v:shape>
            </w:pict>
          </mc:Fallback>
        </mc:AlternateContent>
      </w:r>
      <w:r>
        <w:rPr>
          <w:rFonts w:ascii="仿宋" w:hAnsi="仿宋" w:eastAsia="仿宋" w:cs="仿宋"/>
          <w:b/>
          <w:bCs/>
          <w:color w:val="auto"/>
          <w:highlight w:val="none"/>
          <w:lang w:eastAsia="zh-CN"/>
        </w:rPr>
        <w:t>3</w:t>
      </w:r>
      <w:r>
        <w:rPr>
          <w:rFonts w:hint="eastAsia" w:ascii="仿宋" w:hAnsi="仿宋" w:eastAsia="仿宋" w:cs="仿宋"/>
          <w:b/>
          <w:bCs/>
          <w:color w:val="auto"/>
          <w:highlight w:val="none"/>
          <w:lang w:eastAsia="zh-CN"/>
        </w:rPr>
        <w:t>5</w:t>
      </w:r>
      <w:r>
        <w:rPr>
          <w:rFonts w:ascii="仿宋" w:hAnsi="仿宋" w:eastAsia="仿宋" w:cs="仿宋"/>
          <w:b/>
          <w:bCs/>
          <w:color w:val="auto"/>
          <w:highlight w:val="none"/>
          <w:lang w:eastAsia="zh-CN"/>
        </w:rPr>
        <w:t>.5</w:t>
      </w:r>
    </w:p>
    <w:p w14:paraId="50678046">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合同任何一方当事人延迟履行合同后发生不可抗力事项的，不能免除其因不可抗力给另一方当事人造成损失的责任。</w:t>
      </w:r>
    </w:p>
    <w:p w14:paraId="1845C7F1">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3</w:t>
      </w:r>
      <w:r>
        <w:rPr>
          <w:rFonts w:hint="eastAsia" w:ascii="仿宋" w:hAnsi="仿宋" w:eastAsia="仿宋" w:cs="仿宋"/>
          <w:b/>
          <w:bCs/>
          <w:color w:val="auto"/>
          <w:highlight w:val="none"/>
          <w:lang w:eastAsia="zh-CN"/>
        </w:rPr>
        <w:t>5</w:t>
      </w:r>
      <w:r>
        <w:rPr>
          <w:rFonts w:ascii="仿宋" w:hAnsi="仿宋" w:eastAsia="仿宋" w:cs="仿宋"/>
          <w:b/>
          <w:bCs/>
          <w:color w:val="auto"/>
          <w:highlight w:val="none"/>
          <w:lang w:eastAsia="zh-CN"/>
        </w:rPr>
        <w:t>.6</w:t>
      </w:r>
    </w:p>
    <w:p w14:paraId="386329DA">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61664" behindDoc="0" locked="0" layoutInCell="1" allowOverlap="1">
                <wp:simplePos x="0" y="0"/>
                <wp:positionH relativeFrom="column">
                  <wp:posOffset>-114300</wp:posOffset>
                </wp:positionH>
                <wp:positionV relativeFrom="paragraph">
                  <wp:posOffset>34290</wp:posOffset>
                </wp:positionV>
                <wp:extent cx="804545" cy="525145"/>
                <wp:effectExtent l="0" t="0" r="0" b="0"/>
                <wp:wrapNone/>
                <wp:docPr id="595" name="文本框 808"/>
                <wp:cNvGraphicFramePr/>
                <a:graphic xmlns:a="http://schemas.openxmlformats.org/drawingml/2006/main">
                  <a:graphicData uri="http://schemas.microsoft.com/office/word/2010/wordprocessingShape">
                    <wps:wsp>
                      <wps:cNvSpPr txBox="1">
                        <a:spLocks noChangeArrowheads="1"/>
                      </wps:cNvSpPr>
                      <wps:spPr bwMode="auto">
                        <a:xfrm>
                          <a:off x="0" y="0"/>
                          <a:ext cx="804545" cy="525145"/>
                        </a:xfrm>
                        <a:prstGeom prst="rect">
                          <a:avLst/>
                        </a:prstGeom>
                        <a:noFill/>
                        <a:ln>
                          <a:noFill/>
                        </a:ln>
                        <a:effectLst/>
                      </wps:spPr>
                      <wps:txbx>
                        <w:txbxContent>
                          <w:p w14:paraId="313E95DA">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避免和减少不可抗力的损失</w:t>
                            </w:r>
                          </w:p>
                        </w:txbxContent>
                      </wps:txbx>
                      <wps:bodyPr rot="0" vert="horz" wrap="square" lIns="91440" tIns="45720" rIns="91440" bIns="45720" anchor="t" anchorCtr="0" upright="1">
                        <a:noAutofit/>
                      </wps:bodyPr>
                    </wps:wsp>
                  </a:graphicData>
                </a:graphic>
              </wp:anchor>
            </w:drawing>
          </mc:Choice>
          <mc:Fallback>
            <w:pict>
              <v:shape id="文本框 808" o:spid="_x0000_s1026" o:spt="202" type="#_x0000_t202" style="position:absolute;left:0pt;margin-left:-9pt;margin-top:2.7pt;height:41.35pt;width:63.35pt;z-index:251761664;mso-width-relative:page;mso-height-relative:page;" filled="f" stroked="f" coordsize="21600,21600" o:gfxdata="UEsDBAoAAAAAAIdO4kAAAAAAAAAAAAAAAAAEAAAAZHJzL1BLAwQUAAAACACHTuJA80wjxNUAAAAI&#10;AQAADwAAAGRycy9kb3ducmV2LnhtbE2PwU7DMBBE70j8g7VI3Fo7VUtNyKaHIq4g2oLEzY23SUS8&#10;jmK3CX+Pe4LjaEYzb4rN5DpxoSG0nhGyuQJBXHnbco1w2L/MNIgQDVvTeSaEHwqwKW9vCpNbP/I7&#10;XXaxFqmEQ24Qmhj7XMpQNeRMmPueOHknPzgTkxxqaQczpnLXyYVSD9KZltNCY3raNlR9784O4eP1&#10;9PW5VG/1s1v1o5+UZPcoEe/vMvUEItIU/8JwxU/oUCamoz+zDaJDmGU6fYkIqyWIq6/0GsQRQesM&#10;ZFnI/wfKX1BLAwQUAAAACACHTuJAabgIlB0CAAAmBAAADgAAAGRycy9lMm9Eb2MueG1srVPNbtNA&#10;EL4j8Q6rvRM7UQypFacqjYqQClQqPMBmvY5X2DvL7CZ2eAB4g564cOe58hydXadpKJceuFiz8/PN&#10;fN+M5+d927CtQqfBFHw8SjlTRkKpzbrgXz5fvZpx5rwwpWjAqILvlOPni5cv5p3N1QRqaEqFjECM&#10;yztb8Np7myeJk7VqhRuBVYaCFWArPD1xnZQoOkJvm2SSpq+TDrC0CFI5R97lEOQHRHwOIFSVlmoJ&#10;ctMq4wdUVI3wRMnV2jq+iNNWlZL+U1U55VlTcGLq45eakL0K32QxF/kaha21PIwgnjPCE06t0Iaa&#10;HqGWwgu2Qf0PVKslgoPKjyS0yUAkKkIsxukTbW5rYVXkQlI7exTd/T9Y+XF7g0yXBc/OMs6MaGnl&#10;+7uf+19/9r9/sFk6CxJ11uWUeWsp1/dvoafDiXSdvQb51TEDl7Uwa3WBCF2tREkjjkNlclI64LgA&#10;suo+QEmdxMZDBOorbIN+pAgjdFrP7rge1XsmyTlLp9mUhpQUyibZmOzQQeQPxRadf6egZcEoONL2&#10;I7jYXjs/pD6khF4GrnTTkF/kjfnLQZiDR8UTOlQHKmH6gYfvVz3VBucKyh2RQhjOi34uMmrA75x1&#10;dFoFd982AhVnzXtDwpyNp9Nwi/Exzd5M6IGnkdVpRBhJUAX3nA3mpR/ud2NRr2vqNKzCwAWJWelI&#10;9HGqwwrofKJUh1MP93n6jlmPv/fiH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NMI8TVAAAACAEA&#10;AA8AAAAAAAAAAQAgAAAAIgAAAGRycy9kb3ducmV2LnhtbFBLAQIUABQAAAAIAIdO4kBpuAiUHQIA&#10;ACYEAAAOAAAAAAAAAAEAIAAAACQBAABkcnMvZTJvRG9jLnhtbFBLBQYAAAAABgAGAFkBAACzBQAA&#10;AAA=&#10;">
                <v:fill on="f" focussize="0,0"/>
                <v:stroke on="f"/>
                <v:imagedata o:title=""/>
                <o:lock v:ext="edit" aspectratio="f"/>
                <v:textbox>
                  <w:txbxContent>
                    <w:p w14:paraId="313E95DA">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避免和减少不可抗力的损失</w:t>
                      </w:r>
                    </w:p>
                  </w:txbxContent>
                </v:textbox>
              </v:shape>
            </w:pict>
          </mc:Fallback>
        </mc:AlternateContent>
      </w:r>
      <w:r>
        <w:rPr>
          <w:rFonts w:hint="eastAsia" w:ascii="仿宋" w:hAnsi="仿宋" w:eastAsia="仿宋" w:cs="仿宋"/>
          <w:color w:val="auto"/>
          <w:sz w:val="24"/>
          <w:szCs w:val="24"/>
          <w:highlight w:val="none"/>
          <w:lang w:eastAsia="zh-CN"/>
        </w:rPr>
        <w:t>不可抗力事项发生后，合同双方当事人应采取措施尽量避免和减少由此发生的损失。因合同任何一方当事人没有采取有效措施而导致损失扩大的，则损失扩大部分由其自身承担。</w:t>
      </w:r>
    </w:p>
    <w:p w14:paraId="71A76008">
      <w:pPr>
        <w:spacing w:line="360" w:lineRule="auto"/>
        <w:ind w:left="1920" w:hanging="1920" w:hangingChars="800"/>
        <w:rPr>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119040" behindDoc="0" locked="0" layoutInCell="1" allowOverlap="1">
                <wp:simplePos x="0" y="0"/>
                <wp:positionH relativeFrom="column">
                  <wp:posOffset>-114300</wp:posOffset>
                </wp:positionH>
                <wp:positionV relativeFrom="paragraph">
                  <wp:posOffset>237490</wp:posOffset>
                </wp:positionV>
                <wp:extent cx="770890" cy="678180"/>
                <wp:effectExtent l="0" t="0" r="0" b="0"/>
                <wp:wrapNone/>
                <wp:docPr id="596" name="文本框 1345"/>
                <wp:cNvGraphicFramePr/>
                <a:graphic xmlns:a="http://schemas.openxmlformats.org/drawingml/2006/main">
                  <a:graphicData uri="http://schemas.microsoft.com/office/word/2010/wordprocessingShape">
                    <wps:wsp>
                      <wps:cNvSpPr txBox="1">
                        <a:spLocks noChangeArrowheads="1"/>
                      </wps:cNvSpPr>
                      <wps:spPr bwMode="auto">
                        <a:xfrm>
                          <a:off x="0" y="0"/>
                          <a:ext cx="770890" cy="678180"/>
                        </a:xfrm>
                        <a:prstGeom prst="rect">
                          <a:avLst/>
                        </a:prstGeom>
                        <a:noFill/>
                        <a:ln>
                          <a:noFill/>
                        </a:ln>
                        <a:effectLst/>
                      </wps:spPr>
                      <wps:txbx>
                        <w:txbxContent>
                          <w:p w14:paraId="019408A3">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不可抗力影响分包人</w:t>
                            </w:r>
                          </w:p>
                        </w:txbxContent>
                      </wps:txbx>
                      <wps:bodyPr rot="0" vert="horz" wrap="square" lIns="91440" tIns="45720" rIns="91440" bIns="45720" anchor="t" anchorCtr="0" upright="1">
                        <a:noAutofit/>
                      </wps:bodyPr>
                    </wps:wsp>
                  </a:graphicData>
                </a:graphic>
              </wp:anchor>
            </w:drawing>
          </mc:Choice>
          <mc:Fallback>
            <w:pict>
              <v:shape id="文本框 1345" o:spid="_x0000_s1026" o:spt="202" type="#_x0000_t202" style="position:absolute;left:0pt;margin-left:-9pt;margin-top:18.7pt;height:53.4pt;width:60.7pt;z-index:252119040;mso-width-relative:page;mso-height-relative:page;" filled="f" stroked="f" coordsize="21600,21600" o:gfxdata="UEsDBAoAAAAAAIdO4kAAAAAAAAAAAAAAAAAEAAAAZHJzL1BLAwQUAAAACACHTuJAU3yiztcAAAAK&#10;AQAADwAAAGRycy9kb3ducmV2LnhtbE2PwW7CMBBE75X4B2uRegM7kBYa4nBo1Wur0hapNxMvSUS8&#10;jmJD0r/vciq3Ge1o9k2+HV0rLtiHxpOGZK5AIJXeNlRp+Pp8na1BhGjImtYTavjFANticpebzPqB&#10;PvCyi5XgEgqZ0VDH2GVShrJGZ8Lcd0h8O/remci2r6TtzcDlrpULpR6lMw3xh9p0+FxjedqdnYbv&#10;t+PPPlXv1Yt76AY/KknuSWp9P03UBkTEMf6H4YrP6FAw08GfyQbRapgla94SNSxXKYhrQC1ZHFik&#10;6QJkkcvbCcUfUEsDBBQAAAAIAIdO4kDyoe4eIAIAACcEAAAOAAAAZHJzL2Uyb0RvYy54bWytU0tu&#10;2zAQ3RfoHQjua9muv4LlII2RokD6AdIegKYoi6jEYYe0pfQAzQ266qb7nsvn6JBSXDfdZNENQXKG&#10;b+a9eVxdtHXFDgqdBpPx0WDImTIScm12Gf/08frFgjPnhclFBUZl/E45frF+/mzV2FSNoYQqV8gI&#10;xLi0sRkvvbdpkjhZqlq4AVhlKFgA1sLTEXdJjqIh9LpKxsPhLGkAc4sglXN0u+mCvEfEpwBCUWip&#10;NiD3tTK+Q0VVCU+UXKmt4+vYbVEo6d8XhVOeVRknpj6uVIT227Am65VIdyhsqWXfgnhKC4841UIb&#10;KnqC2ggv2B71P1C1lggOCj+QUCcdkagIsRgNH2lzWwqrIheS2tmT6O7/wcp3hw/IdJ7x6XLGmRE1&#10;jfz4/f7449fx5zc2ejmZBo0a61JKvbWU7NtX0JJzIl9nb0B+dszAVSnMTl0iQlMqkVOPo/AyOXva&#10;4bgAsm3eQk6lxN5DBGoLrIOAJAkjdJrP3Wk+qvVM0uV8PlwsKSIpNJsvRos4v0SkD48tOv9aQc3C&#10;JuNI44/g4nDjfGhGpA8poZaBa11V0QKV+euCErsbFT3Uvw5UQvcdD99u216aLeR3RAqh8xf9LtqU&#10;gF85a8hbGXdf9gIVZ9UbQ8IsR5NJMGM8TKbzMR3wPLI9jwgjCSrjnrNue+U7A+8t6l1JlbpRGLgk&#10;MQsdiYZWu676EZB/Iv/e68Gg5+eY9ed/r3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U3yiztcA&#10;AAAKAQAADwAAAAAAAAABACAAAAAiAAAAZHJzL2Rvd25yZXYueG1sUEsBAhQAFAAAAAgAh07iQPKh&#10;7h4gAgAAJwQAAA4AAAAAAAAAAQAgAAAAJgEAAGRycy9lMm9Eb2MueG1sUEsFBgAAAAAGAAYAWQEA&#10;ALgFAAAAAA==&#10;">
                <v:fill on="f" focussize="0,0"/>
                <v:stroke on="f"/>
                <v:imagedata o:title=""/>
                <o:lock v:ext="edit" aspectratio="f"/>
                <v:textbox>
                  <w:txbxContent>
                    <w:p w14:paraId="019408A3">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不可抗力影响分包人</w:t>
                      </w:r>
                    </w:p>
                  </w:txbxContent>
                </v:textbox>
              </v:shape>
            </w:pict>
          </mc:Fallback>
        </mc:AlternateContent>
      </w:r>
      <w:r>
        <w:rPr>
          <w:rFonts w:ascii="仿宋" w:hAnsi="仿宋" w:eastAsia="仿宋" w:cs="仿宋"/>
          <w:b/>
          <w:bCs/>
          <w:color w:val="auto"/>
          <w:highlight w:val="none"/>
          <w:lang w:eastAsia="zh-CN"/>
        </w:rPr>
        <w:t>3</w:t>
      </w:r>
      <w:r>
        <w:rPr>
          <w:rFonts w:hint="eastAsia" w:ascii="仿宋" w:hAnsi="仿宋" w:eastAsia="仿宋" w:cs="仿宋"/>
          <w:b/>
          <w:bCs/>
          <w:color w:val="auto"/>
          <w:highlight w:val="none"/>
          <w:lang w:eastAsia="zh-CN"/>
        </w:rPr>
        <w:t>5</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7</w:t>
      </w:r>
      <w:r>
        <w:rPr>
          <w:rFonts w:hint="eastAsia" w:ascii="仿宋" w:hAnsi="仿宋" w:eastAsia="仿宋" w:cs="仿宋"/>
          <w:color w:val="auto"/>
          <w:highlight w:val="none"/>
          <w:lang w:eastAsia="zh-CN" w:bidi="ar-SA"/>
        </w:rPr>
        <w:t>分包人根据分包合同的约定，以更大范围的不可抗力而免除某些义务的，承包人不得以分包合同中不可抗力约定向发包人抗辩免除其义务。</w:t>
      </w:r>
    </w:p>
    <w:p w14:paraId="45912E51">
      <w:pPr>
        <w:pStyle w:val="2"/>
        <w:adjustRightInd w:val="0"/>
        <w:snapToGrid w:val="0"/>
        <w:spacing w:line="360" w:lineRule="auto"/>
        <w:rPr>
          <w:rFonts w:hint="eastAsia" w:ascii="仿宋" w:hAnsi="仿宋" w:eastAsia="仿宋" w:cs="仿宋"/>
          <w:color w:val="auto"/>
          <w:sz w:val="24"/>
          <w:szCs w:val="24"/>
          <w:highlight w:val="none"/>
          <w:u w:val="single"/>
          <w:lang w:eastAsia="zh-CN"/>
        </w:rPr>
      </w:pPr>
    </w:p>
    <w:p w14:paraId="7670826E">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31" w:name="_Toc11366"/>
      <w:r>
        <w:rPr>
          <w:rFonts w:ascii="仿宋" w:hAnsi="仿宋" w:eastAsia="仿宋" w:cs="仿宋"/>
          <w:bCs w:val="0"/>
          <w:color w:val="auto"/>
          <w:sz w:val="24"/>
          <w:szCs w:val="24"/>
          <w:highlight w:val="none"/>
          <w:lang w:eastAsia="zh-CN"/>
        </w:rPr>
        <w:t>3</w:t>
      </w:r>
      <w:r>
        <w:rPr>
          <w:rFonts w:hint="eastAsia" w:ascii="仿宋" w:hAnsi="仿宋" w:eastAsia="仿宋" w:cs="仿宋"/>
          <w:bCs w:val="0"/>
          <w:color w:val="auto"/>
          <w:sz w:val="24"/>
          <w:szCs w:val="24"/>
          <w:highlight w:val="none"/>
          <w:lang w:eastAsia="zh-CN"/>
        </w:rPr>
        <w:t>6保险</w:t>
      </w:r>
      <w:bookmarkEnd w:id="331"/>
    </w:p>
    <w:p w14:paraId="6849BDB1">
      <w:pPr>
        <w:pStyle w:val="2"/>
        <w:tabs>
          <w:tab w:val="left" w:pos="1320"/>
        </w:tabs>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.1</w:t>
      </w:r>
    </w:p>
    <w:p w14:paraId="72DE71A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62688" behindDoc="0" locked="0" layoutInCell="1" allowOverlap="1">
                <wp:simplePos x="0" y="0"/>
                <wp:positionH relativeFrom="column">
                  <wp:posOffset>-114300</wp:posOffset>
                </wp:positionH>
                <wp:positionV relativeFrom="paragraph">
                  <wp:posOffset>7620</wp:posOffset>
                </wp:positionV>
                <wp:extent cx="847090" cy="487680"/>
                <wp:effectExtent l="0" t="0" r="0" b="0"/>
                <wp:wrapNone/>
                <wp:docPr id="597" name="文本框 809"/>
                <wp:cNvGraphicFramePr/>
                <a:graphic xmlns:a="http://schemas.openxmlformats.org/drawingml/2006/main">
                  <a:graphicData uri="http://schemas.microsoft.com/office/word/2010/wordprocessingShape">
                    <wps:wsp>
                      <wps:cNvSpPr txBox="1">
                        <a:spLocks noChangeArrowheads="1"/>
                      </wps:cNvSpPr>
                      <wps:spPr bwMode="auto">
                        <a:xfrm>
                          <a:off x="0" y="0"/>
                          <a:ext cx="847090" cy="487680"/>
                        </a:xfrm>
                        <a:prstGeom prst="rect">
                          <a:avLst/>
                        </a:prstGeom>
                        <a:noFill/>
                        <a:ln>
                          <a:noFill/>
                        </a:ln>
                        <a:effectLst/>
                      </wps:spPr>
                      <wps:txbx>
                        <w:txbxContent>
                          <w:p w14:paraId="6630E6C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发包人办理保险</w:t>
                            </w:r>
                          </w:p>
                        </w:txbxContent>
                      </wps:txbx>
                      <wps:bodyPr rot="0" vert="horz" wrap="square" lIns="91440" tIns="45720" rIns="91440" bIns="45720" anchor="t" anchorCtr="0" upright="1">
                        <a:noAutofit/>
                      </wps:bodyPr>
                    </wps:wsp>
                  </a:graphicData>
                </a:graphic>
              </wp:anchor>
            </w:drawing>
          </mc:Choice>
          <mc:Fallback>
            <w:pict>
              <v:shape id="文本框 809" o:spid="_x0000_s1026" o:spt="202" type="#_x0000_t202" style="position:absolute;left:0pt;margin-left:-9pt;margin-top:0.6pt;height:38.4pt;width:66.7pt;z-index:251762688;mso-width-relative:page;mso-height-relative:page;" filled="f" stroked="f" coordsize="21600,21600" o:gfxdata="UEsDBAoAAAAAAIdO4kAAAAAAAAAAAAAAAAAEAAAAZHJzL1BLAwQUAAAACACHTuJAoPcZItUAAAAI&#10;AQAADwAAAGRycy9kb3ducmV2LnhtbE2PTU/DMAyG70j8h8hI3Lak0wZb13QHEFcQ40Pi5jVeW9E4&#10;VZOt5d/jneBoP9br5y12k+/UmYbYBraQzQ0o4iq4lmsL729PszWomJAddoHJwg9F2JXXVwXmLoz8&#10;Sud9qpWEcMzRQpNSn2sdq4Y8xnnoiYUdw+AxyTjU2g04Srjv9MKYO+2xZfnQYE8PDVXf+5O38PF8&#10;/Ppcmpf60a/6MUxGs99oa29vMrMFlWhKf8dw0Rd1KMXpEE7souoszLK1dEkCFqAuPFstQR0s3Mte&#10;l4X+X6D8BVBLAwQUAAAACACHTuJAV71PZx8CAAAmBAAADgAAAGRycy9lMm9Eb2MueG1srVPNjtMw&#10;EL4j8Q6W7zRp1d22UdPVstUipOVHWngA13Eai8Rjxm6T8gDwBpy4cOe5+hyMnWwpy2UPXCzbM/5m&#10;vm8+L6+6pmZ7hU6Dyfl4lHKmjIRCm23OP364fTHnzHlhClGDUTk/KMevVs+fLVubqQlUUBcKGYEY&#10;l7U255X3NksSJyvVCDcCqwwFS8BGeDriNilQtITe1MkkTS+TFrCwCFI5R7frPsgHRHwKIJSllmoN&#10;ctco43tUVLXwRMlV2jq+it2WpZL+XVk65Vmdc2Lq40pFaL8Ja7JaimyLwlZaDi2Ip7TwiFMjtKGi&#10;J6i18ILtUP8D1WiJ4KD0IwlN0hOJihCLcfpIm/tKWBW5kNTOnkR3/w9Wvt2/R6aLnF8sZpwZ0dDI&#10;j9+/HX/8Ov78yubpIkjUWpdR5r2lXN+9hI6ME+k6ewfyk2MGbiphtuoaEdpKiYJaHIeXydnTHscF&#10;kE37BgqqJHYeIlBXYhP0I0UYodN4DqfxqM4zSZfz6SxdUERSaDqfXc7j+BKRPTy26PwrBQ0Lm5wj&#10;TT+Ci/2d86EZkT2khFoGbnVdRwfU5q8LSuxvVLTQ8DpQCd33PHy36QZpNlAciBRCby/6XLSpAL9w&#10;1pK1cu4+7wQqzurXhoRZjKfT4MV4mF7MJnTA88jmPCKMJKice8767Y3v/buzqLcVVepHYeCaxCx1&#10;JBpa7bsaRkD2ifwHqwd/np9j1p/vvfo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PcZItUAAAAI&#10;AQAADwAAAAAAAAABACAAAAAiAAAAZHJzL2Rvd25yZXYueG1sUEsBAhQAFAAAAAgAh07iQFe9T2cf&#10;AgAAJgQAAA4AAAAAAAAAAQAgAAAAJAEAAGRycy9lMm9Eb2MueG1sUEsFBgAAAAAGAAYAWQEAALUF&#10;AAAAAA==&#10;">
                <v:fill on="f" focussize="0,0"/>
                <v:stroke on="f"/>
                <v:imagedata o:title=""/>
                <o:lock v:ext="edit" aspectratio="f"/>
                <v:textbox>
                  <w:txbxContent>
                    <w:p w14:paraId="6630E6C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发包人办理保险</w:t>
                      </w:r>
                    </w:p>
                  </w:txbxContent>
                </v:textbox>
              </v:shape>
            </w:pict>
          </mc:Fallback>
        </mc:AlternateContent>
      </w:r>
      <w:r>
        <w:rPr>
          <w:rFonts w:hint="eastAsia" w:ascii="仿宋" w:hAnsi="仿宋" w:eastAsia="仿宋" w:cs="仿宋"/>
          <w:color w:val="auto"/>
          <w:sz w:val="24"/>
          <w:szCs w:val="24"/>
          <w:highlight w:val="none"/>
          <w:lang w:eastAsia="zh-CN"/>
        </w:rPr>
        <w:t>发包人应按照下列约定办理保险，并支付保险费：</w:t>
      </w:r>
    </w:p>
    <w:p w14:paraId="6ED36718">
      <w:pPr>
        <w:pStyle w:val="2"/>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工程开工前，为合同工程办理建筑工程一切险、安装工程一切险；</w:t>
      </w:r>
    </w:p>
    <w:p w14:paraId="5CD1A130">
      <w:pPr>
        <w:pStyle w:val="2"/>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工程开工前，为施工场地内的自有人员（包括设计顾问工程师、监理工程师、造价工程师在内）办理意外伤害保险；</w:t>
      </w:r>
    </w:p>
    <w:p w14:paraId="0FE25264">
      <w:pPr>
        <w:pStyle w:val="2"/>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为第三者办理第三者责任险；</w:t>
      </w:r>
    </w:p>
    <w:p w14:paraId="556E7D39">
      <w:pPr>
        <w:pStyle w:val="2"/>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为运至施工场地内用于永久工程的工程材料和待安装工程设备办理保险。</w:t>
      </w:r>
    </w:p>
    <w:p w14:paraId="02B4751C">
      <w:pPr>
        <w:pStyle w:val="2"/>
        <w:tabs>
          <w:tab w:val="left" w:pos="1080"/>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上述保险的保险期从办理保险之日起至工程竣工验收合格之日止。</w:t>
      </w:r>
    </w:p>
    <w:p w14:paraId="720EC859">
      <w:pPr>
        <w:pStyle w:val="2"/>
        <w:widowControl w:val="0"/>
        <w:numPr>
          <w:ilvl w:val="0"/>
          <w:numId w:val="13"/>
        </w:numPr>
        <w:tabs>
          <w:tab w:val="left" w:pos="1980"/>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工程开工前，为合同工程办理工程质量保险或工程质量潜在缺陷保险，并由保险公司对工程质量、施工安全进行综合担保，以及聘请专业的团队进行工程建设全过程风险、质量控制。保险期限由发包人与保险公司具体约定。</w:t>
      </w:r>
    </w:p>
    <w:p w14:paraId="15FFA402">
      <w:pPr>
        <w:pStyle w:val="2"/>
        <w:tabs>
          <w:tab w:val="left" w:pos="1080"/>
        </w:tabs>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发包人可将其中部分事项委托给承包人办理，具体由合同双方当事人在专用条款中约定。除合同价格已包括外，由发包人承担所需保险费用，并向承包人支付合理利润。</w:t>
      </w:r>
    </w:p>
    <w:p w14:paraId="212BFF2B">
      <w:pPr>
        <w:pStyle w:val="2"/>
        <w:tabs>
          <w:tab w:val="left" w:pos="1320"/>
        </w:tabs>
        <w:adjustRightInd w:val="0"/>
        <w:snapToGrid w:val="0"/>
        <w:spacing w:line="480" w:lineRule="auto"/>
        <w:rPr>
          <w:rFonts w:hint="eastAsia" w:ascii="仿宋" w:hAnsi="仿宋" w:eastAsia="仿宋" w:cs="仿宋"/>
          <w:b/>
          <w:bCs/>
          <w:color w:val="auto"/>
          <w:sz w:val="24"/>
          <w:szCs w:val="24"/>
          <w:highlight w:val="none"/>
          <w:u w:val="dotted"/>
          <w:lang w:eastAsia="zh-CN"/>
        </w:rPr>
      </w:pP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 xml:space="preserve">.2  </w:t>
      </w:r>
    </w:p>
    <w:p w14:paraId="7317F53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63712" behindDoc="0" locked="0" layoutInCell="1" allowOverlap="1">
                <wp:simplePos x="0" y="0"/>
                <wp:positionH relativeFrom="column">
                  <wp:posOffset>-114300</wp:posOffset>
                </wp:positionH>
                <wp:positionV relativeFrom="paragraph">
                  <wp:posOffset>635</wp:posOffset>
                </wp:positionV>
                <wp:extent cx="816610" cy="501015"/>
                <wp:effectExtent l="0" t="0" r="0" b="0"/>
                <wp:wrapNone/>
                <wp:docPr id="598" name="文本框 810"/>
                <wp:cNvGraphicFramePr/>
                <a:graphic xmlns:a="http://schemas.openxmlformats.org/drawingml/2006/main">
                  <a:graphicData uri="http://schemas.microsoft.com/office/word/2010/wordprocessingShape">
                    <wps:wsp>
                      <wps:cNvSpPr txBox="1">
                        <a:spLocks noChangeArrowheads="1"/>
                      </wps:cNvSpPr>
                      <wps:spPr bwMode="auto">
                        <a:xfrm>
                          <a:off x="0" y="0"/>
                          <a:ext cx="816610" cy="501015"/>
                        </a:xfrm>
                        <a:prstGeom prst="rect">
                          <a:avLst/>
                        </a:prstGeom>
                        <a:noFill/>
                        <a:ln>
                          <a:noFill/>
                        </a:ln>
                        <a:effectLst/>
                      </wps:spPr>
                      <wps:txbx>
                        <w:txbxContent>
                          <w:p w14:paraId="4BB6062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承包人办理保险</w:t>
                            </w:r>
                          </w:p>
                        </w:txbxContent>
                      </wps:txbx>
                      <wps:bodyPr rot="0" vert="horz" wrap="square" lIns="91440" tIns="45720" rIns="91440" bIns="45720" anchor="t" anchorCtr="0" upright="1">
                        <a:noAutofit/>
                      </wps:bodyPr>
                    </wps:wsp>
                  </a:graphicData>
                </a:graphic>
              </wp:anchor>
            </w:drawing>
          </mc:Choice>
          <mc:Fallback>
            <w:pict>
              <v:shape id="文本框 810" o:spid="_x0000_s1026" o:spt="202" type="#_x0000_t202" style="position:absolute;left:0pt;margin-left:-9pt;margin-top:0.05pt;height:39.45pt;width:64.3pt;z-index:251763712;mso-width-relative:page;mso-height-relative:page;" filled="f" stroked="f" coordsize="21600,21600" o:gfxdata="UEsDBAoAAAAAAIdO4kAAAAAAAAAAAAAAAAAEAAAAZHJzL1BLAwQUAAAACACHTuJApmxyotMAAAAH&#10;AQAADwAAAGRycy9kb3ducmV2LnhtbE2PwU7DMBBE70j8g7VI3Np1EJQ2xOkBxBVEC0jctvE2iYjX&#10;Uew24e9xTnBcvdHM22I7uU6deQitFwPZUoNiqbxtpTbwvn9erEGFSGKp88IGfjjAtry8KCi3fpQ3&#10;Pu9irVKJhJwMNDH2OWKoGnYUlr5nSezoB0cxnUONdqAxlbsOb7ReoaNW0kJDPT82XH3vTs7Ax8vx&#10;6/NWv9ZP7q4f/aRR3AaNub7K9AOoyFP8C8Osn9ShTE4HfxIbVGdgka3TL3EGasaZXoE6GLjfaMCy&#10;wP/+5S9QSwMEFAAAAAgAh07iQM35VYQdAgAAJgQAAA4AAABkcnMvZTJvRG9jLnhtbK1TS27bMBDd&#10;F+gdCO5rWYbtOoLlII2RokD6AZIegKYoi6jEYYe0JfcA7Q266qb7nsvnyJCyHTfdZNGNQM4M38x7&#10;8zS/7JqabRU6DSbn6WDImTISCm3WOf98f/NqxpnzwhSiBqNyvlOOXy5evpi3NlMjqKAuFDICMS5r&#10;bc4r722WJE5WqhFuAFYZSpaAjfB0xXVSoGgJvamT0XA4TVrAwiJI5RxFl32SHxDxOYBQllqqJchN&#10;o4zvUVHVwhMlV2nr+CJOW5ZK+o9l6ZRndc6JqY9fakLnVfgmi7nI1ihspeVhBPGcEZ5waoQ21PQE&#10;tRResA3qf6AaLREclH4goUl6IlERYpEOn2hzVwmrIheS2tmT6O7/wcoP20/IdJHzyQUt3oiGVr7/&#10;+WP/68/+93c2S6NErXUZVd5ZqvXdG+jIOJGus7cgvzhm4LoSZq2uEKGtlChoxDSIm5w9DUtxmQsg&#10;q/Y9FNRJbDxEoK7EJuhHijBCp/XsTutRnWeSgrN0OqV5mKTUhNRKJ7GDyI6PLTr/VkHDwiHnSNuP&#10;4GJ763wYRmTHktDLwI2u6+iA2vwVoMI+oqKFDq+P0/c8fLfq6G0IrqDYESmE3l70c9GhAvzGWUvW&#10;yrn7uhGoOKvfGRLmIh2PgxfjZTx5PaILnmdW5xlhJEHl3HPWH69979+NRb2uqFO/CgNXJGapI9HH&#10;qQ4rIPtE/gerB3+e32PV4++9eA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mbHKi0wAAAAcBAAAP&#10;AAAAAAAAAAEAIAAAACIAAABkcnMvZG93bnJldi54bWxQSwECFAAUAAAACACHTuJAzflVhB0CAAAm&#10;BAAADgAAAAAAAAABACAAAAAiAQAAZHJzL2Uyb0RvYy54bWxQSwUGAAAAAAYABgBZAQAAsQUAAAAA&#10;">
                <v:fill on="f" focussize="0,0"/>
                <v:stroke on="f"/>
                <v:imagedata o:title=""/>
                <o:lock v:ext="edit" aspectratio="f"/>
                <v:textbox>
                  <w:txbxContent>
                    <w:p w14:paraId="4BB6062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承包人办理保险</w:t>
                      </w:r>
                    </w:p>
                  </w:txbxContent>
                </v:textbox>
              </v:shape>
            </w:pict>
          </mc:Fallback>
        </mc:AlternateContent>
      </w:r>
      <w:r>
        <w:rPr>
          <w:rFonts w:hint="eastAsia" w:ascii="仿宋" w:hAnsi="仿宋" w:eastAsia="仿宋" w:cs="仿宋"/>
          <w:color w:val="auto"/>
          <w:sz w:val="24"/>
          <w:szCs w:val="24"/>
          <w:highlight w:val="none"/>
          <w:lang w:eastAsia="zh-CN"/>
        </w:rPr>
        <w:t>承包人应按照下列约定办理保险，并支付保险费：</w:t>
      </w:r>
    </w:p>
    <w:p w14:paraId="61708001">
      <w:pPr>
        <w:pStyle w:val="2"/>
        <w:widowControl w:val="0"/>
        <w:numPr>
          <w:ilvl w:val="0"/>
          <w:numId w:val="14"/>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工程开工前，为施工场地内自有人员（包括分包人在内）办理意外伤害保险；</w:t>
      </w:r>
    </w:p>
    <w:p w14:paraId="5746AF4E">
      <w:pPr>
        <w:pStyle w:val="2"/>
        <w:widowControl w:val="0"/>
        <w:numPr>
          <w:ilvl w:val="0"/>
          <w:numId w:val="14"/>
        </w:numPr>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为施工场地内的自有施工设备、第</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项以外采购进场的工程材料和工程设备等办理保险。</w:t>
      </w:r>
    </w:p>
    <w:p w14:paraId="299DAD64">
      <w:pPr>
        <w:pStyle w:val="2"/>
        <w:tabs>
          <w:tab w:val="left" w:pos="1080"/>
        </w:tabs>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上述保险的保险期从开工之日起至工程竣工验收合格之日止。</w:t>
      </w:r>
    </w:p>
    <w:p w14:paraId="1B6E03EC">
      <w:pPr>
        <w:pStyle w:val="2"/>
        <w:widowControl w:val="0"/>
        <w:numPr>
          <w:ilvl w:val="0"/>
          <w:numId w:val="14"/>
        </w:numPr>
        <w:adjustRightInd w:val="0"/>
        <w:snapToGrid w:val="0"/>
        <w:spacing w:line="360" w:lineRule="auto"/>
        <w:ind w:left="1850" w:leftChars="771" w:firstLine="0"/>
        <w:jc w:val="both"/>
        <w:rPr>
          <w:color w:val="auto"/>
          <w:sz w:val="24"/>
          <w:szCs w:val="24"/>
          <w:highlight w:val="none"/>
          <w:lang w:eastAsia="zh-CN"/>
        </w:rPr>
      </w:pPr>
      <w:r>
        <w:rPr>
          <w:rFonts w:hint="eastAsia" w:ascii="仿宋" w:hAnsi="仿宋" w:eastAsia="仿宋" w:cs="仿宋"/>
          <w:color w:val="auto"/>
          <w:sz w:val="24"/>
          <w:szCs w:val="24"/>
          <w:highlight w:val="none"/>
          <w:lang w:eastAsia="zh-CN"/>
        </w:rPr>
        <w:t>工程开工前，为合同工程办理建设工程勘察设计责任保险，保险期限由承包人与保险公司具体约定。</w:t>
      </w:r>
    </w:p>
    <w:p w14:paraId="2807909F">
      <w:pPr>
        <w:pStyle w:val="2"/>
        <w:tabs>
          <w:tab w:val="left" w:pos="1080"/>
        </w:tabs>
        <w:adjustRightInd w:val="0"/>
        <w:snapToGrid w:val="0"/>
        <w:spacing w:line="360" w:lineRule="auto"/>
        <w:rPr>
          <w:rFonts w:hint="eastAsia" w:ascii="仿宋" w:hAnsi="仿宋" w:eastAsia="仿宋" w:cs="仿宋"/>
          <w:b/>
          <w:bCs/>
          <w:color w:val="auto"/>
          <w:sz w:val="24"/>
          <w:szCs w:val="24"/>
          <w:highlight w:val="none"/>
          <w:u w:val="dotted"/>
          <w:lang w:eastAsia="zh-CN"/>
        </w:rPr>
      </w:pPr>
      <w:r>
        <w:rPr>
          <w:color w:val="auto"/>
          <w:highlight w:val="none"/>
          <w:lang w:eastAsia="zh-CN"/>
        </w:rPr>
        <mc:AlternateContent>
          <mc:Choice Requires="wps">
            <w:drawing>
              <wp:anchor distT="0" distB="0" distL="114300" distR="114300" simplePos="0" relativeHeight="251999232" behindDoc="0" locked="0" layoutInCell="1" allowOverlap="1">
                <wp:simplePos x="0" y="0"/>
                <wp:positionH relativeFrom="column">
                  <wp:posOffset>-114300</wp:posOffset>
                </wp:positionH>
                <wp:positionV relativeFrom="paragraph">
                  <wp:posOffset>287020</wp:posOffset>
                </wp:positionV>
                <wp:extent cx="869950" cy="540385"/>
                <wp:effectExtent l="0" t="0" r="0" b="0"/>
                <wp:wrapNone/>
                <wp:docPr id="599" name="文本框 811"/>
                <wp:cNvGraphicFramePr/>
                <a:graphic xmlns:a="http://schemas.openxmlformats.org/drawingml/2006/main">
                  <a:graphicData uri="http://schemas.microsoft.com/office/word/2010/wordprocessingShape">
                    <wps:wsp>
                      <wps:cNvSpPr txBox="1">
                        <a:spLocks noChangeArrowheads="1"/>
                      </wps:cNvSpPr>
                      <wps:spPr bwMode="auto">
                        <a:xfrm>
                          <a:off x="0" y="0"/>
                          <a:ext cx="869950" cy="540385"/>
                        </a:xfrm>
                        <a:prstGeom prst="rect">
                          <a:avLst/>
                        </a:prstGeom>
                        <a:noFill/>
                        <a:ln>
                          <a:noFill/>
                        </a:ln>
                        <a:effectLst/>
                      </wps:spPr>
                      <wps:txbx>
                        <w:txbxContent>
                          <w:p w14:paraId="03B282C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双方提供保险单和凭证</w:t>
                            </w:r>
                          </w:p>
                        </w:txbxContent>
                      </wps:txbx>
                      <wps:bodyPr rot="0" vert="horz" wrap="square" lIns="91440" tIns="45720" rIns="91440" bIns="45720" anchor="t" anchorCtr="0" upright="1">
                        <a:noAutofit/>
                      </wps:bodyPr>
                    </wps:wsp>
                  </a:graphicData>
                </a:graphic>
              </wp:anchor>
            </w:drawing>
          </mc:Choice>
          <mc:Fallback>
            <w:pict>
              <v:shape id="文本框 811" o:spid="_x0000_s1026" o:spt="202" type="#_x0000_t202" style="position:absolute;left:0pt;margin-left:-9pt;margin-top:22.6pt;height:42.55pt;width:68.5pt;z-index:251999232;mso-width-relative:page;mso-height-relative:page;" filled="f" stroked="f" coordsize="21600,21600" o:gfxdata="UEsDBAoAAAAAAIdO4kAAAAAAAAAAAAAAAAAEAAAAZHJzL1BLAwQUAAAACACHTuJAx0ZCKtcAAAAK&#10;AQAADwAAAGRycy9kb3ducmV2LnhtbE2PS0/DMBCE70j8B2uRuLV2+kBtyKYHEFcQ5SFxc+NtEhGv&#10;o9htwr9ne4Lb7s5o9ptiN/lOnWmIbWCEbG5AEVfBtVwjvL89zTagYrLsbBeYEH4owq68vips7sLI&#10;r3Tep1pJCMfcIjQp9bnWsWrI2zgPPbFoxzB4m2Qdau0GO0q47/TCmDvtbcvyobE9PTRUfe9PHuHj&#10;+fj1uTIv9aNf92OYjGa/1Yi3N5m5B5VoSn9muOALOpTCdAgndlF1CLNsI10Swmq9AHUxZFs5HGRY&#10;miXostD/K5S/UEsDBBQAAAAIAIdO4kAtr40SHgIAACYEAAAOAAAAZHJzL2Uyb0RvYy54bWytU82O&#10;0zAQviPxDpbvNG1plzZqulq2WoS0/EgLD+A6TmOReMzYbVIeAN6AExfuPFefg7HdLWW57IFL5PGM&#10;v5nvmy+Ly75t2E6h02AKPhoMOVNGQqnNpuAfP9w8m3HmvDClaMCogu+V45fLp08Wnc3VGGpoSoWM&#10;QIzLO1vw2nubZ5mTtWqFG4BVhpIVYCs8hbjJShQdobdNNh4OL7IOsLQIUjlHt6uU5EdEfAwgVJWW&#10;agVy2yrjEyqqRnii5GptHV/GaatKSf+uqpzyrCk4MfXxS03ovA7fbLkQ+QaFrbU8jiAeM8IDTq3Q&#10;hpqeoFbCC7ZF/Q9UqyWCg8oPJLRZIhIVIRaj4QNt7mphVeRCUjt7Et39P1j5dvcemS4LPp3POTOi&#10;pZUfvn87/Ph1+PmVzUajIFFnXU6Vd5Zqff8SejJOpOvsLchPjhm4roXZqCtE6GolShoxvszOniYc&#10;F0DW3RsoqZPYeohAfYVt0I8UYYRO69mf1qN6zyRdzi7m8yllJKWmk+Hz2TTMlon8/rFF518paFk4&#10;FBxp+xFc7G6dT6X3JaGXgRvdNNEBjfnrgjDTjYoWOr4OVML0iYfv1/1RmjWUeyKFkOxFPxcdasAv&#10;nHVkrYK7z1uBirPmtSFh5qPJJHgxBpPpizEFeJ5Zn2eEkQRVcM9ZOl775N+tRb2pqVNahYErErPS&#10;kWgYNU1FAoWA7BOlOlo9+PM8jlV/fu/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dGQirXAAAA&#10;CgEAAA8AAAAAAAAAAQAgAAAAIgAAAGRycy9kb3ducmV2LnhtbFBLAQIUABQAAAAIAIdO4kAtr40S&#10;HgIAACYEAAAOAAAAAAAAAAEAIAAAACYBAABkcnMvZTJvRG9jLnhtbFBLBQYAAAAABgAGAFkBAAC2&#10;BQAAAAA=&#10;">
                <v:fill on="f" focussize="0,0"/>
                <v:stroke on="f"/>
                <v:imagedata o:title=""/>
                <o:lock v:ext="edit" aspectratio="f"/>
                <v:textbox>
                  <w:txbxContent>
                    <w:p w14:paraId="03B282C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双方提供保险单和凭证</w:t>
                      </w:r>
                    </w:p>
                  </w:txbxContent>
                </v:textbox>
              </v:shape>
            </w:pict>
          </mc:Fallback>
        </mc:AlternateContent>
      </w: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 xml:space="preserve">.3  </w:t>
      </w:r>
    </w:p>
    <w:p w14:paraId="03E47353">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合同一方当事人应按照本合同约定向另一方当事人提供有效的投保保险单和保险凭证。</w:t>
      </w:r>
    </w:p>
    <w:p w14:paraId="75F1F121">
      <w:pPr>
        <w:pStyle w:val="2"/>
        <w:tabs>
          <w:tab w:val="left" w:pos="1320"/>
        </w:tabs>
        <w:adjustRightInd w:val="0"/>
        <w:snapToGrid w:val="0"/>
        <w:spacing w:line="360" w:lineRule="auto"/>
        <w:rPr>
          <w:rFonts w:hint="eastAsia" w:ascii="仿宋" w:hAnsi="仿宋" w:eastAsia="仿宋" w:cs="仿宋"/>
          <w:b/>
          <w:bCs/>
          <w:color w:val="auto"/>
          <w:sz w:val="24"/>
          <w:szCs w:val="24"/>
          <w:highlight w:val="none"/>
          <w:u w:val="dotted"/>
          <w:lang w:eastAsia="zh-CN"/>
        </w:rPr>
      </w:pPr>
      <w:r>
        <w:rPr>
          <w:color w:val="auto"/>
          <w:highlight w:val="none"/>
          <w:lang w:eastAsia="zh-CN"/>
        </w:rPr>
        <mc:AlternateContent>
          <mc:Choice Requires="wps">
            <w:drawing>
              <wp:anchor distT="0" distB="0" distL="114300" distR="114300" simplePos="0" relativeHeight="252000256" behindDoc="0" locked="0" layoutInCell="1" allowOverlap="1">
                <wp:simplePos x="0" y="0"/>
                <wp:positionH relativeFrom="column">
                  <wp:posOffset>-123825</wp:posOffset>
                </wp:positionH>
                <wp:positionV relativeFrom="paragraph">
                  <wp:posOffset>236855</wp:posOffset>
                </wp:positionV>
                <wp:extent cx="803275" cy="525780"/>
                <wp:effectExtent l="0" t="0" r="0" b="0"/>
                <wp:wrapNone/>
                <wp:docPr id="600" name="文本框 812"/>
                <wp:cNvGraphicFramePr/>
                <a:graphic xmlns:a="http://schemas.openxmlformats.org/drawingml/2006/main">
                  <a:graphicData uri="http://schemas.microsoft.com/office/word/2010/wordprocessingShape">
                    <wps:wsp>
                      <wps:cNvSpPr txBox="1">
                        <a:spLocks noChangeArrowheads="1"/>
                      </wps:cNvSpPr>
                      <wps:spPr bwMode="auto">
                        <a:xfrm>
                          <a:off x="0" y="0"/>
                          <a:ext cx="803275" cy="525780"/>
                        </a:xfrm>
                        <a:prstGeom prst="rect">
                          <a:avLst/>
                        </a:prstGeom>
                        <a:noFill/>
                        <a:ln>
                          <a:noFill/>
                        </a:ln>
                        <a:effectLst/>
                      </wps:spPr>
                      <wps:txbx>
                        <w:txbxContent>
                          <w:p w14:paraId="47CC7E3E">
                            <w:pPr>
                              <w:spacing w:line="240" w:lineRule="exact"/>
                              <w:rPr>
                                <w:rFonts w:ascii="宋体"/>
                                <w:sz w:val="18"/>
                                <w:szCs w:val="18"/>
                              </w:rPr>
                            </w:pPr>
                            <w:r>
                              <w:rPr>
                                <w:rFonts w:hint="eastAsia" w:ascii="楷体_GB2312" w:hAnsi="宋体" w:eastAsia="楷体_GB2312" w:cs="楷体_GB2312"/>
                                <w:b/>
                                <w:bCs/>
                                <w:color w:val="000000"/>
                                <w:sz w:val="18"/>
                                <w:szCs w:val="18"/>
                              </w:rPr>
                              <w:t>未按</w:t>
                            </w:r>
                            <w:r>
                              <w:rPr>
                                <w:rFonts w:hint="eastAsia" w:ascii="楷体_GB2312" w:hAnsi="宋体" w:eastAsia="楷体_GB2312" w:cs="楷体_GB2312"/>
                                <w:b/>
                                <w:bCs/>
                                <w:color w:val="000000"/>
                                <w:sz w:val="18"/>
                                <w:szCs w:val="18"/>
                                <w:lang w:eastAsia="zh-CN"/>
                              </w:rPr>
                              <w:t>约定</w:t>
                            </w:r>
                            <w:r>
                              <w:rPr>
                                <w:rFonts w:hint="eastAsia" w:ascii="楷体_GB2312" w:hAnsi="宋体" w:eastAsia="楷体_GB2312" w:cs="楷体_GB2312"/>
                                <w:b/>
                                <w:bCs/>
                                <w:color w:val="000000"/>
                                <w:sz w:val="18"/>
                                <w:szCs w:val="18"/>
                              </w:rPr>
                              <w:t>投保的补救</w:t>
                            </w:r>
                          </w:p>
                        </w:txbxContent>
                      </wps:txbx>
                      <wps:bodyPr rot="0" vert="horz" wrap="square" lIns="91440" tIns="45720" rIns="91440" bIns="45720" anchor="t" anchorCtr="0" upright="1">
                        <a:noAutofit/>
                      </wps:bodyPr>
                    </wps:wsp>
                  </a:graphicData>
                </a:graphic>
              </wp:anchor>
            </w:drawing>
          </mc:Choice>
          <mc:Fallback>
            <w:pict>
              <v:shape id="文本框 812" o:spid="_x0000_s1026" o:spt="202" type="#_x0000_t202" style="position:absolute;left:0pt;margin-left:-9.75pt;margin-top:18.65pt;height:41.4pt;width:63.25pt;z-index:252000256;mso-width-relative:page;mso-height-relative:page;" filled="f" stroked="f" coordsize="21600,21600" o:gfxdata="UEsDBAoAAAAAAIdO4kAAAAAAAAAAAAAAAAAEAAAAZHJzL1BLAwQUAAAACACHTuJAM/M7j9cAAAAK&#10;AQAADwAAAGRycy9kb3ducmV2LnhtbE2PTU/DMAyG70j8h8hI3LakG2Os1N0BxBXE+JC4ZY3XVjRO&#10;1WRr+fd4J7jZ8qPXz1tsJ9+pEw2xDYyQzQ0o4iq4lmuE97en2R2omCw72wUmhB+KsC0vLwqbuzDy&#10;K512qVYSwjG3CE1Kfa51rBryNs5DTyy3Qxi8TbIOtXaDHSXcd3phzK32tmX50NieHhqqvndHj/Dx&#10;fPj6vDEv9aNf9WOYjGa/0YjXV5m5B5VoSn8wnPVFHUpx2ocju6g6hFm2WQmKsFwvQZ0Bs5ZyexkW&#10;JgNdFvp/hfIXUEsDBBQAAAAIAIdO4kDaiZ2OHwIAACYEAAAOAAAAZHJzL2Uyb0RvYy54bWytU82O&#10;0zAQviPxDpbvNGlptyVqulq2WoS0/EgLD+A6TmOReMzYbVIeAN6AExfuPFefg7GTLWW57IGLZXvG&#10;38z3zeflZdfUbK/QaTA5H49SzpSRUGizzfnHDzfPFpw5L0whajAq5wfl+OXq6ZNlazM1gQrqQiEj&#10;EOOy1ua88t5mSeJkpRrhRmCVoWAJ2AhPR9wmBYqW0Js6maTpRdICFhZBKufodt0H+YCIjwGEstRS&#10;rUHuGmV8j4qqFp4ouUpbx1ex27JU0r8rS6c8q3NOTH1cqQjtN2FNVkuRbVHYSsuhBfGYFh5waoQ2&#10;VPQEtRZesB3qf6AaLREclH4koUl6IlERYjFOH2hzVwmrIheS2tmT6O7/wcq3+/fIdJHzi5Q0MaKh&#10;kR+/fzv++HX8+ZUtxpMgUWtdRpl3lnJ99xI6Mk6k6+wtyE+OGbiuhNmqK0RoKyUKanEcXiZnT3sc&#10;F0A27RsoqJLYeYhAXYlN0I8UYYROrRxO41GdZ5IuF+nzyXzGmaTQbDKbL+L4EpHdP7bo/CsFDQub&#10;nCNNP4KL/a3zoRmR3aeEWgZudF1HB9TmrwtK7G9UtNDwOlAJ3fc8fLfpBmk2UByIFEJvL/pctKkA&#10;v3DWkrVy7j7vBCrO6teGhHkxnk6DF+NhOptP6IDnkc15RBhJUDn3nPXba9/7d2dRbyuq1I/CwBWJ&#10;WepINLTadzWMgOwT+Q9WD/48P8esP9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z8zuP1wAA&#10;AAoBAAAPAAAAAAAAAAEAIAAAACIAAABkcnMvZG93bnJldi54bWxQSwECFAAUAAAACACHTuJA2omd&#10;jh8CAAAmBAAADgAAAAAAAAABACAAAAAmAQAAZHJzL2Uyb0RvYy54bWxQSwUGAAAAAAYABgBZAQAA&#10;twUAAAAA&#10;">
                <v:fill on="f" focussize="0,0"/>
                <v:stroke on="f"/>
                <v:imagedata o:title=""/>
                <o:lock v:ext="edit" aspectratio="f"/>
                <v:textbox>
                  <w:txbxContent>
                    <w:p w14:paraId="47CC7E3E">
                      <w:pPr>
                        <w:spacing w:line="240" w:lineRule="exact"/>
                        <w:rPr>
                          <w:rFonts w:ascii="宋体"/>
                          <w:sz w:val="18"/>
                          <w:szCs w:val="18"/>
                        </w:rPr>
                      </w:pPr>
                      <w:r>
                        <w:rPr>
                          <w:rFonts w:hint="eastAsia" w:ascii="楷体_GB2312" w:hAnsi="宋体" w:eastAsia="楷体_GB2312" w:cs="楷体_GB2312"/>
                          <w:b/>
                          <w:bCs/>
                          <w:color w:val="000000"/>
                          <w:sz w:val="18"/>
                          <w:szCs w:val="18"/>
                        </w:rPr>
                        <w:t>未按</w:t>
                      </w:r>
                      <w:r>
                        <w:rPr>
                          <w:rFonts w:hint="eastAsia" w:ascii="楷体_GB2312" w:hAnsi="宋体" w:eastAsia="楷体_GB2312" w:cs="楷体_GB2312"/>
                          <w:b/>
                          <w:bCs/>
                          <w:color w:val="000000"/>
                          <w:sz w:val="18"/>
                          <w:szCs w:val="18"/>
                          <w:lang w:eastAsia="zh-CN"/>
                        </w:rPr>
                        <w:t>约定</w:t>
                      </w:r>
                      <w:r>
                        <w:rPr>
                          <w:rFonts w:hint="eastAsia" w:ascii="楷体_GB2312" w:hAnsi="宋体" w:eastAsia="楷体_GB2312" w:cs="楷体_GB2312"/>
                          <w:b/>
                          <w:bCs/>
                          <w:color w:val="000000"/>
                          <w:sz w:val="18"/>
                          <w:szCs w:val="18"/>
                        </w:rPr>
                        <w:t>投保的补救</w:t>
                      </w:r>
                    </w:p>
                  </w:txbxContent>
                </v:textbox>
              </v:shape>
            </w:pict>
          </mc:Fallback>
        </mc:AlternateContent>
      </w: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 xml:space="preserve">.4  </w:t>
      </w:r>
    </w:p>
    <w:p w14:paraId="70F8B23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合同双方当事人应遵守本条约定办理有关保险事项。如果未按约定投保的，应按下列约定补偿：</w:t>
      </w:r>
    </w:p>
    <w:p w14:paraId="0CA8E0A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（1）由于负有投保义务的合同一方当事人未按合同约定办理保险，或未能使保险持续有效的，则另一方当事人可代为办理，所需费用由对方当事人承担；</w:t>
      </w:r>
    </w:p>
    <w:p w14:paraId="2D3EB825">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（2）由于负有投保义务的合同一方当事人未按合同约定办理某项保险，导致受益人未能得到保险人的赔偿，则该项保险金应由负有投保义务的一方当事人支付。</w:t>
      </w:r>
    </w:p>
    <w:p w14:paraId="6E47B9D8">
      <w:pPr>
        <w:pStyle w:val="2"/>
        <w:adjustRightInd w:val="0"/>
        <w:snapToGrid w:val="0"/>
        <w:spacing w:line="360" w:lineRule="auto"/>
        <w:rPr>
          <w:rFonts w:hint="eastAsia" w:ascii="仿宋" w:hAnsi="仿宋" w:eastAsia="仿宋" w:cs="仿宋"/>
          <w:color w:val="auto"/>
          <w:sz w:val="24"/>
          <w:szCs w:val="24"/>
          <w:highlight w:val="none"/>
          <w:u w:val="dotted"/>
          <w:lang w:eastAsia="zh-CN"/>
        </w:rPr>
      </w:pPr>
      <w:r>
        <w:rPr>
          <w:color w:val="auto"/>
          <w:highlight w:val="none"/>
          <w:lang w:eastAsia="zh-CN"/>
        </w:rPr>
        <mc:AlternateContent>
          <mc:Choice Requires="wps">
            <w:drawing>
              <wp:anchor distT="0" distB="0" distL="114300" distR="114300" simplePos="0" relativeHeight="252001280" behindDoc="0" locked="0" layoutInCell="1" allowOverlap="1">
                <wp:simplePos x="0" y="0"/>
                <wp:positionH relativeFrom="column">
                  <wp:posOffset>-114300</wp:posOffset>
                </wp:positionH>
                <wp:positionV relativeFrom="paragraph">
                  <wp:posOffset>292100</wp:posOffset>
                </wp:positionV>
                <wp:extent cx="813435" cy="588010"/>
                <wp:effectExtent l="0" t="0" r="0" b="0"/>
                <wp:wrapNone/>
                <wp:docPr id="601" name="文本框 813"/>
                <wp:cNvGraphicFramePr/>
                <a:graphic xmlns:a="http://schemas.openxmlformats.org/drawingml/2006/main">
                  <a:graphicData uri="http://schemas.microsoft.com/office/word/2010/wordprocessingShape">
                    <wps:wsp>
                      <wps:cNvSpPr txBox="1">
                        <a:spLocks noChangeArrowheads="1"/>
                      </wps:cNvSpPr>
                      <wps:spPr bwMode="auto">
                        <a:xfrm>
                          <a:off x="0" y="0"/>
                          <a:ext cx="813435" cy="588010"/>
                        </a:xfrm>
                        <a:prstGeom prst="rect">
                          <a:avLst/>
                        </a:prstGeom>
                        <a:noFill/>
                        <a:ln>
                          <a:noFill/>
                        </a:ln>
                        <a:effectLst/>
                      </wps:spPr>
                      <wps:txbx>
                        <w:txbxContent>
                          <w:p w14:paraId="0B3F31A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发生保险事故双方应尽的责任</w:t>
                            </w:r>
                          </w:p>
                        </w:txbxContent>
                      </wps:txbx>
                      <wps:bodyPr rot="0" vert="horz" wrap="square" lIns="91440" tIns="45720" rIns="91440" bIns="45720" anchor="t" anchorCtr="0" upright="1">
                        <a:noAutofit/>
                      </wps:bodyPr>
                    </wps:wsp>
                  </a:graphicData>
                </a:graphic>
              </wp:anchor>
            </w:drawing>
          </mc:Choice>
          <mc:Fallback>
            <w:pict>
              <v:shape id="文本框 813" o:spid="_x0000_s1026" o:spt="202" type="#_x0000_t202" style="position:absolute;left:0pt;margin-left:-9pt;margin-top:23pt;height:46.3pt;width:64.05pt;z-index:252001280;mso-width-relative:page;mso-height-relative:page;" filled="f" stroked="f" coordsize="21600,21600" o:gfxdata="UEsDBAoAAAAAAIdO4kAAAAAAAAAAAAAAAAAEAAAAZHJzL1BLAwQUAAAACACHTuJATNQE0tcAAAAK&#10;AQAADwAAAGRycy9kb3ducmV2LnhtbE2PQU/DMAyF70j8h8hI3LYkMKqua7oDiCuIDZC4ZY3XVjRO&#10;1WRr+fd4JzjZ1nt6/l65nX0vzjjGLpABvVQgkOrgOmoMvO+fFzmImCw52wdCAz8YYVtdX5W2cGGi&#10;NzzvUiM4hGJhDbQpDYWUsW7R27gMAxJrxzB6m/gcG+lGO3G47+WdUpn0tiP+0NoBH1usv3cnb+Dj&#10;5fj1uVKvzZN/GKYwK0l+LY25vdFqAyLhnP7McMFndKiY6RBO5KLoDSx0zl2SgVXG82LQSoM48HKf&#10;ZyCrUv6vUP0CUEsDBBQAAAAIAIdO4kBobDRiHgIAACYEAAAOAAAAZHJzL2Uyb0RvYy54bWytU8GO&#10;0zAQvSPxD5bvNE23XUrUdLVstQhpgZUWPsB1nMYi8Zix26R8APwBJy7c97v6HYydbCnLZQ9cLNsz&#10;fjPvzfPiomtqtlPoNJicp6MxZ8pIKLTZ5PzTx+sXc86cF6YQNRiV871y/GL5/NmitZmaQAV1oZAR&#10;iHFZa3NeeW+zJHGyUo1wI7DKULAEbISnI26SAkVL6E2dTMbj86QFLCyCVM7R7aoP8gERnwIIZaml&#10;WoHcNsr4HhVVLTxRcpW2ji9jt2WppP9Qlk55VuecmPq4UhHar8OaLBci26CwlZZDC+IpLTzi1Aht&#10;qOgRaiW8YFvU/0A1WiI4KP1IQpP0RKIixCIdP9LmrhJWRS4ktbNH0d3/g5Xvd7fIdJHz83HKmREN&#10;jfzw4/vh5/3h1zc2T8+CRK11GWXeWcr13WvoyDiRrrM3ID87ZuCqEmajLhGhrZQoqMU0vExOnvY4&#10;LoCs23dQUCWx9RCBuhKboB8pwgidxrM/jkd1nkm6pGamZzPOJIVm8znpFSuI7OGxReffKGhY2OQc&#10;afoRXOxunA/NiOwhJdQycK3rOjqgNn9dUGJ/o6KFhteBSui+5+G7dTdIs4ZiT6QQenvR56JNBfiV&#10;s5aslXP3ZStQcVa/NSTMq3Q6DV6Mh+ns5YQOeBpZn0aEkQSVc89Zv73yvX+3FvWmokr9KAxckpil&#10;jkRDq31XwwjIPpH/YPXgz9NzzPrzvZ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zUBNLXAAAA&#10;CgEAAA8AAAAAAAAAAQAgAAAAIgAAAGRycy9kb3ducmV2LnhtbFBLAQIUABQAAAAIAIdO4kBobDRi&#10;HgIAACYEAAAOAAAAAAAAAAEAIAAAACYBAABkcnMvZTJvRG9jLnhtbFBLBQYAAAAABgAGAFkBAAC2&#10;BQAAAAA=&#10;">
                <v:fill on="f" focussize="0,0"/>
                <v:stroke on="f"/>
                <v:imagedata o:title=""/>
                <o:lock v:ext="edit" aspectratio="f"/>
                <v:textbox>
                  <w:txbxContent>
                    <w:p w14:paraId="0B3F31A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发生保险事故双方应尽的责任</w:t>
                      </w:r>
                    </w:p>
                  </w:txbxContent>
                </v:textbox>
              </v:shape>
            </w:pict>
          </mc:Fallback>
        </mc:AlternateContent>
      </w: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 xml:space="preserve">.5 </w:t>
      </w:r>
    </w:p>
    <w:p w14:paraId="753791B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当合同工程发生保险事故时</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投保人应及时通知保险人，并提供有关资料。合同双方当事人有责任采取合理有效措施防止或减少损失，并应相互协助做好向保险人的报告和理赔工作。</w:t>
      </w:r>
    </w:p>
    <w:p w14:paraId="6251E3DC">
      <w:pPr>
        <w:pStyle w:val="2"/>
        <w:tabs>
          <w:tab w:val="left" w:pos="1320"/>
          <w:tab w:val="left" w:pos="1620"/>
        </w:tabs>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ascii="仿宋" w:hAnsi="仿宋" w:eastAsia="仿宋" w:cs="仿宋"/>
          <w:b/>
          <w:bCs/>
          <w:color w:val="auto"/>
          <w:sz w:val="24"/>
          <w:szCs w:val="24"/>
          <w:highlight w:val="none"/>
          <w:lang w:eastAsia="zh-CN"/>
        </w:rPr>
        <w:t>3</w:t>
      </w:r>
      <w:r>
        <w:rPr>
          <w:rFonts w:hint="eastAsia" w:ascii="仿宋" w:hAnsi="仿宋" w:eastAsia="仿宋" w:cs="仿宋"/>
          <w:b/>
          <w:bCs/>
          <w:color w:val="auto"/>
          <w:sz w:val="24"/>
          <w:szCs w:val="24"/>
          <w:highlight w:val="none"/>
          <w:lang w:eastAsia="zh-CN"/>
        </w:rPr>
        <w:t>6</w:t>
      </w:r>
      <w:r>
        <w:rPr>
          <w:rFonts w:ascii="仿宋" w:hAnsi="仿宋" w:eastAsia="仿宋" w:cs="仿宋"/>
          <w:b/>
          <w:bCs/>
          <w:color w:val="auto"/>
          <w:sz w:val="24"/>
          <w:szCs w:val="24"/>
          <w:highlight w:val="none"/>
          <w:lang w:eastAsia="zh-CN"/>
        </w:rPr>
        <w:t xml:space="preserve">.6  </w:t>
      </w:r>
    </w:p>
    <w:p w14:paraId="49B2C75B">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64736" behindDoc="0" locked="0" layoutInCell="1" allowOverlap="1">
                <wp:simplePos x="0" y="0"/>
                <wp:positionH relativeFrom="column">
                  <wp:posOffset>-114300</wp:posOffset>
                </wp:positionH>
                <wp:positionV relativeFrom="paragraph">
                  <wp:posOffset>0</wp:posOffset>
                </wp:positionV>
                <wp:extent cx="785495" cy="614045"/>
                <wp:effectExtent l="0" t="0" r="0" b="0"/>
                <wp:wrapNone/>
                <wp:docPr id="602" name="文本框 814"/>
                <wp:cNvGraphicFramePr/>
                <a:graphic xmlns:a="http://schemas.openxmlformats.org/drawingml/2006/main">
                  <a:graphicData uri="http://schemas.microsoft.com/office/word/2010/wordprocessingShape">
                    <wps:wsp>
                      <wps:cNvSpPr txBox="1">
                        <a:spLocks noChangeArrowheads="1"/>
                      </wps:cNvSpPr>
                      <wps:spPr bwMode="auto">
                        <a:xfrm>
                          <a:off x="0" y="0"/>
                          <a:ext cx="785495" cy="614045"/>
                        </a:xfrm>
                        <a:prstGeom prst="rect">
                          <a:avLst/>
                        </a:prstGeom>
                        <a:noFill/>
                        <a:ln>
                          <a:noFill/>
                        </a:ln>
                        <a:effectLst/>
                      </wps:spPr>
                      <wps:txbx>
                        <w:txbxContent>
                          <w:p w14:paraId="134622D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工程变更被保险人应尽的责任</w:t>
                            </w:r>
                          </w:p>
                        </w:txbxContent>
                      </wps:txbx>
                      <wps:bodyPr rot="0" vert="horz" wrap="square" lIns="91440" tIns="45720" rIns="91440" bIns="45720" anchor="t" anchorCtr="0" upright="1">
                        <a:noAutofit/>
                      </wps:bodyPr>
                    </wps:wsp>
                  </a:graphicData>
                </a:graphic>
              </wp:anchor>
            </w:drawing>
          </mc:Choice>
          <mc:Fallback>
            <w:pict>
              <v:shape id="文本框 814" o:spid="_x0000_s1026" o:spt="202" type="#_x0000_t202" style="position:absolute;left:0pt;margin-left:-9pt;margin-top:0pt;height:48.35pt;width:61.85pt;z-index:251764736;mso-width-relative:page;mso-height-relative:page;" filled="f" stroked="f" coordsize="21600,21600" o:gfxdata="UEsDBAoAAAAAAIdO4kAAAAAAAAAAAAAAAAAEAAAAZHJzL1BLAwQUAAAACACHTuJA5YSF2NUAAAAH&#10;AQAADwAAAGRycy9kb3ducmV2LnhtbE2PzU7DMBCE70i8g7VI3Np1EP0L2fQA4gqiBSRubrxNIuJ1&#10;FLtNeHvcE1xWGs1o5ttiO7lOnXkIrReCbK5BsVTetlITvO+fZ2tQIRqxpvPCBD8cYFteXxUmt36U&#10;Nz7vYq1SiYTcEDQx9jliqBp2Jsx9z5K8ox+ciUkONdrBjKncdXin9RKdaSUtNKbnx4ar793JEXy8&#10;HL8+7/Vr/eQW/egnjeI2SHR7k+kHUJGn+BeGC35ChzIxHfxJbFAdwSxbp18iQboXWy9WoA4Em+UK&#10;sCzwP3/5C1BLAwQUAAAACACHTuJAyI/vlx8CAAAmBAAADgAAAGRycy9lMm9Eb2MueG1srVPNjtMw&#10;EL4j8Q6W7zRJlXa7UdPVstUipOVHWngA13Eai9hjbLdJeQB4A05cuPNcfQ7GTraU5bIHLpbtGX8z&#10;3zefl1e9asleWCdBlzSbpJQIzaGSelvSjx9uXywocZ7pirWgRUkPwtGr1fNny84UYgoNtJWwBEG0&#10;KzpT0sZ7UySJ441QzE3ACI3BGqxiHo92m1SWdYiu2mSapvOkA1sZC1w4h7frIUhHRPsUQKhrycUa&#10;+E4J7QdUK1rmkZJrpHF0Fbuta8H9u7p2wpO2pMjUxxWL4H4T1mS1ZMXWMtNIPrbAntLCI06KSY1F&#10;T1Br5hnZWfkPlJLcgoPaTzioZCASFUEWWfpIm/uGGRG5oNTOnER3/w+Wv92/t0RWJZ2nU0o0Uzjy&#10;4/dvxx+/jj+/kkWWB4k64wrMvDeY6/uX0KNxIl1n7oB/ckTDTcP0VlxbC10jWIUtZuFlcvZ0wHEB&#10;ZNO9gQorsZ2HCNTXVgX9UBGC6Diew2k8oveE4+XFYpZfzijhGJpneZrPYgVWPDw21vlXAhQJm5Ja&#10;nH4EZ/s750MzrHhICbU03Mq2jQ5o9V8XmDjciGih8XWgErofePh+04/SbKA6ICkLg73wc+GmAfuF&#10;kg6tVVL3ecesoKR9rVGYyyzPgxfjIZ9dTPFgzyOb8wjTHKFK6ikZtjd+8O/OWLltsNIwCg3XKGYt&#10;I9HQ6tDVOAK0T+Q/Wj348/wcs/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5YSF2NUAAAAH&#10;AQAADwAAAAAAAAABACAAAAAiAAAAZHJzL2Rvd25yZXYueG1sUEsBAhQAFAAAAAgAh07iQMiP75cf&#10;AgAAJgQAAA4AAAAAAAAAAQAgAAAAJAEAAGRycy9lMm9Eb2MueG1sUEsFBgAAAAAGAAYAWQEAALUF&#10;AAAAAA==&#10;">
                <v:fill on="f" focussize="0,0"/>
                <v:stroke on="f"/>
                <v:imagedata o:title=""/>
                <o:lock v:ext="edit" aspectratio="f"/>
                <v:textbox>
                  <w:txbxContent>
                    <w:p w14:paraId="134622D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工程变更被保险人应尽的责任</w:t>
                      </w:r>
                    </w:p>
                  </w:txbxContent>
                </v:textbox>
              </v:shape>
            </w:pict>
          </mc:Fallback>
        </mc:AlternateContent>
      </w:r>
      <w:r>
        <w:rPr>
          <w:rFonts w:hint="eastAsia" w:ascii="仿宋" w:hAnsi="仿宋" w:eastAsia="仿宋" w:cs="仿宋"/>
          <w:color w:val="auto"/>
          <w:sz w:val="24"/>
          <w:szCs w:val="24"/>
          <w:highlight w:val="none"/>
          <w:lang w:eastAsia="zh-CN"/>
        </w:rPr>
        <w:t>当合同工程的性质、规模或计划发生变更时，被保险人应及时通知保险人，并在合同履行期间按照本条约定保证足够的保险额，由此造成的费用由责任方承担。</w:t>
      </w:r>
    </w:p>
    <w:p w14:paraId="7E5E8E66">
      <w:pPr>
        <w:spacing w:line="360" w:lineRule="auto"/>
        <w:rPr>
          <w:rFonts w:hint="eastAsia" w:ascii="仿宋" w:hAnsi="仿宋" w:eastAsia="仿宋" w:cs="仿宋"/>
          <w:b/>
          <w:bCs/>
          <w:color w:val="auto"/>
          <w:highlight w:val="none"/>
          <w:u w:val="dotted"/>
          <w:lang w:eastAsia="zh-CN"/>
        </w:rPr>
      </w:pPr>
      <w:r>
        <w:rPr>
          <w:rFonts w:ascii="仿宋" w:hAnsi="仿宋" w:eastAsia="仿宋" w:cs="仿宋"/>
          <w:b/>
          <w:bCs/>
          <w:color w:val="auto"/>
          <w:highlight w:val="none"/>
          <w:lang w:eastAsia="zh-CN"/>
        </w:rPr>
        <w:t>3</w:t>
      </w:r>
      <w:r>
        <w:rPr>
          <w:rFonts w:hint="eastAsia" w:ascii="仿宋" w:hAnsi="仿宋" w:eastAsia="仿宋" w:cs="仿宋"/>
          <w:b/>
          <w:bCs/>
          <w:color w:val="auto"/>
          <w:highlight w:val="none"/>
          <w:lang w:eastAsia="zh-CN"/>
        </w:rPr>
        <w:t>6</w:t>
      </w:r>
      <w:r>
        <w:rPr>
          <w:rFonts w:ascii="仿宋" w:hAnsi="仿宋" w:eastAsia="仿宋" w:cs="仿宋"/>
          <w:b/>
          <w:bCs/>
          <w:color w:val="auto"/>
          <w:highlight w:val="none"/>
          <w:lang w:eastAsia="zh-CN"/>
        </w:rPr>
        <w:t xml:space="preserve">.7  </w:t>
      </w:r>
    </w:p>
    <w:p w14:paraId="4B707882">
      <w:pPr>
        <w:pStyle w:val="2"/>
        <w:widowControl w:val="0"/>
        <w:adjustRightInd w:val="0"/>
        <w:snapToGrid w:val="0"/>
        <w:spacing w:line="360" w:lineRule="auto"/>
        <w:ind w:left="1850" w:leftChars="771"/>
        <w:jc w:val="both"/>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65760" behindDoc="0" locked="0" layoutInCell="1" allowOverlap="1">
                <wp:simplePos x="0" y="0"/>
                <wp:positionH relativeFrom="column">
                  <wp:posOffset>-123825</wp:posOffset>
                </wp:positionH>
                <wp:positionV relativeFrom="paragraph">
                  <wp:posOffset>13970</wp:posOffset>
                </wp:positionV>
                <wp:extent cx="785495" cy="448310"/>
                <wp:effectExtent l="0" t="0" r="0" b="0"/>
                <wp:wrapNone/>
                <wp:docPr id="603" name="文本框 815"/>
                <wp:cNvGraphicFramePr/>
                <a:graphic xmlns:a="http://schemas.openxmlformats.org/drawingml/2006/main">
                  <a:graphicData uri="http://schemas.microsoft.com/office/word/2010/wordprocessingShape">
                    <wps:wsp>
                      <wps:cNvSpPr txBox="1">
                        <a:spLocks noChangeArrowheads="1"/>
                      </wps:cNvSpPr>
                      <wps:spPr bwMode="auto">
                        <a:xfrm>
                          <a:off x="0" y="0"/>
                          <a:ext cx="785495" cy="448310"/>
                        </a:xfrm>
                        <a:prstGeom prst="rect">
                          <a:avLst/>
                        </a:prstGeom>
                        <a:noFill/>
                        <a:ln>
                          <a:noFill/>
                        </a:ln>
                        <a:effectLst/>
                      </wps:spPr>
                      <wps:txbx>
                        <w:txbxContent>
                          <w:p w14:paraId="425BEAF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保险赔偿金的用途</w:t>
                            </w:r>
                          </w:p>
                        </w:txbxContent>
                      </wps:txbx>
                      <wps:bodyPr rot="0" vert="horz" wrap="square" lIns="91440" tIns="45720" rIns="91440" bIns="45720" anchor="t" anchorCtr="0" upright="1">
                        <a:noAutofit/>
                      </wps:bodyPr>
                    </wps:wsp>
                  </a:graphicData>
                </a:graphic>
              </wp:anchor>
            </w:drawing>
          </mc:Choice>
          <mc:Fallback>
            <w:pict>
              <v:shape id="文本框 815" o:spid="_x0000_s1026" o:spt="202" type="#_x0000_t202" style="position:absolute;left:0pt;margin-left:-9.75pt;margin-top:1.1pt;height:35.3pt;width:61.85pt;z-index:251765760;mso-width-relative:page;mso-height-relative:page;" filled="f" stroked="f" coordsize="21600,21600" o:gfxdata="UEsDBAoAAAAAAIdO4kAAAAAAAAAAAAAAAAAEAAAAZHJzL1BLAwQUAAAACACHTuJAsR8iUtYAAAAI&#10;AQAADwAAAGRycy9kb3ducmV2LnhtbE2PwW7CMBBE75X4B2sr9QZ2IigQsuFA1WurAq3EzcRLEjVe&#10;R7Eh6d/XnNrbrGY08zbfjrYVN+p94xghmSkQxKUzDVcIx8PrdAXCB81Gt44J4Yc8bIvJQ64z4wb+&#10;oNs+VCKWsM80Qh1Cl0npy5qs9jPXEUfv4nqrQzz7SppeD7HctjJV6lla3XBcqHVHu5rK7/3VIny+&#10;XU5fc/VevdhFN7hRSbZrifj0mKgNiEBj+AvDHT+iQxGZzu7KxosWYZqsFzGKkKYg7r6aR3FGWKYr&#10;kEUu/z9Q/AJQSwMEFAAAAAgAh07iQAObsLMgAgAAJgQAAA4AAABkcnMvZTJvRG9jLnhtbK1TS27b&#10;MBDdF+gdCO5rWY6dOILlII2RokD6AdIegKYoi6jEYYe0JfcA7Q266qb7nsvn6JBSXDfdZNENQXKG&#10;b+a9eVxcdU3NdgqdBpPzdDTmTBkJhTabnH/8cPtizpnzwhSiBqNyvleOXy2fP1u0NlMTqKAuFDIC&#10;MS5rbc4r722WJE5WqhFuBFYZCpaAjfB0xE1SoGgJvamTyXh8nrSAhUWQyjm6XfVBPiDiUwChLLVU&#10;K5DbRhnfo6KqhSdKrtLW8WXstiyV9O/K0inP6pwTUx9XKkL7dViT5UJkGxS20nJoQTylhUecGqEN&#10;FT1CrYQXbIv6H6hGSwQHpR9JaJKeSFSEWKTjR9rcV8KqyIWkdvYouvt/sPLt7j0yXeT8fHzGmREN&#10;jfzw/dvhx6/Dz69sns6CRK11GWXeW8r13UvoyDiRrrN3ID85ZuCmEmajrhGhrZQoqMU0vExOnvY4&#10;LoCs2zdQUCWx9RCBuhKboB8pwgidxrM/jkd1nkm6vJjPppczziSFptP5WRrHl4js4bFF518paFjY&#10;5Bxp+hFc7O6cD82I7CEl1DJwq+s6OqA2f11QYn+jooWG14FK6L7n4bt1N0izhmJPpBB6e9Hnok0F&#10;+IWzlqyVc/d5K1BxVr82JMxlOp0GL8bDdHYxoQOeRtanEWEkQeXcc9Zvb3zv361FvamoUj8KA9ck&#10;Zqkj0dBq39UwArJP5D9YPfjz9Byz/nzv5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xHyJS1gAA&#10;AAgBAAAPAAAAAAAAAAEAIAAAACIAAABkcnMvZG93bnJldi54bWxQSwECFAAUAAAACACHTuJAA5uw&#10;syACAAAmBAAADgAAAAAAAAABACAAAAAlAQAAZHJzL2Uyb0RvYy54bWxQSwUGAAAAAAYABgBZAQAA&#10;twUAAAAA&#10;">
                <v:fill on="f" focussize="0,0"/>
                <v:stroke on="f"/>
                <v:imagedata o:title=""/>
                <o:lock v:ext="edit" aspectratio="f"/>
                <v:textbox>
                  <w:txbxContent>
                    <w:p w14:paraId="425BEAF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保险赔偿金的用途</w:t>
                      </w:r>
                    </w:p>
                  </w:txbxContent>
                </v:textbox>
              </v:shape>
            </w:pict>
          </mc:Fallback>
        </mc:AlternateContent>
      </w:r>
      <w:r>
        <w:rPr>
          <w:rFonts w:hint="eastAsia" w:ascii="仿宋" w:hAnsi="仿宋" w:eastAsia="仿宋" w:cs="仿宋"/>
          <w:color w:val="auto"/>
          <w:sz w:val="24"/>
          <w:szCs w:val="24"/>
          <w:highlight w:val="none"/>
          <w:lang w:eastAsia="zh-CN"/>
        </w:rPr>
        <w:t>从保险人处收到的因合同工程本身损失或损坏的保险金</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应专项用于修复合同工程的损失或损坏，或作为对未能修复合同工程这些损失或损坏的补偿。</w:t>
      </w:r>
    </w:p>
    <w:p w14:paraId="385EB6B7">
      <w:pPr>
        <w:spacing w:line="360" w:lineRule="auto"/>
        <w:rPr>
          <w:rFonts w:hint="eastAsia" w:ascii="仿宋" w:hAnsi="仿宋" w:eastAsia="仿宋" w:cs="仿宋"/>
          <w:b/>
          <w:bCs/>
          <w:color w:val="auto"/>
          <w:highlight w:val="none"/>
          <w:u w:val="dotted"/>
          <w:lang w:eastAsia="zh-CN"/>
        </w:rPr>
      </w:pPr>
      <w:r>
        <w:rPr>
          <w:rFonts w:ascii="仿宋" w:hAnsi="仿宋" w:eastAsia="仿宋" w:cs="仿宋"/>
          <w:b/>
          <w:bCs/>
          <w:color w:val="auto"/>
          <w:highlight w:val="none"/>
          <w:lang w:eastAsia="zh-CN"/>
        </w:rPr>
        <w:t>3</w:t>
      </w:r>
      <w:r>
        <w:rPr>
          <w:rFonts w:hint="eastAsia" w:ascii="仿宋" w:hAnsi="仿宋" w:eastAsia="仿宋" w:cs="仿宋"/>
          <w:b/>
          <w:bCs/>
          <w:color w:val="auto"/>
          <w:highlight w:val="none"/>
          <w:lang w:eastAsia="zh-CN"/>
        </w:rPr>
        <w:t>6</w:t>
      </w:r>
      <w:r>
        <w:rPr>
          <w:rFonts w:ascii="仿宋" w:hAnsi="仿宋" w:eastAsia="仿宋" w:cs="仿宋"/>
          <w:b/>
          <w:bCs/>
          <w:color w:val="auto"/>
          <w:highlight w:val="none"/>
          <w:lang w:eastAsia="zh-CN"/>
        </w:rPr>
        <w:t xml:space="preserve">.8  </w:t>
      </w:r>
    </w:p>
    <w:p w14:paraId="59D78CB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02304" behindDoc="0" locked="0" layoutInCell="1" allowOverlap="1">
                <wp:simplePos x="0" y="0"/>
                <wp:positionH relativeFrom="column">
                  <wp:posOffset>0</wp:posOffset>
                </wp:positionH>
                <wp:positionV relativeFrom="paragraph">
                  <wp:posOffset>5080</wp:posOffset>
                </wp:positionV>
                <wp:extent cx="832485" cy="389255"/>
                <wp:effectExtent l="0" t="0" r="0" b="0"/>
                <wp:wrapNone/>
                <wp:docPr id="604" name="文本框 816"/>
                <wp:cNvGraphicFramePr/>
                <a:graphic xmlns:a="http://schemas.openxmlformats.org/drawingml/2006/main">
                  <a:graphicData uri="http://schemas.microsoft.com/office/word/2010/wordprocessingShape">
                    <wps:wsp>
                      <wps:cNvSpPr txBox="1">
                        <a:spLocks noChangeArrowheads="1"/>
                      </wps:cNvSpPr>
                      <wps:spPr bwMode="auto">
                        <a:xfrm>
                          <a:off x="0" y="0"/>
                          <a:ext cx="832485" cy="389255"/>
                        </a:xfrm>
                        <a:prstGeom prst="rect">
                          <a:avLst/>
                        </a:prstGeom>
                        <a:noFill/>
                        <a:ln>
                          <a:noFill/>
                        </a:ln>
                        <a:effectLst/>
                      </wps:spPr>
                      <wps:txbx>
                        <w:txbxContent>
                          <w:p w14:paraId="531F6A9D">
                            <w:pPr>
                              <w:spacing w:line="240" w:lineRule="exact"/>
                              <w:rPr>
                                <w:rFonts w:ascii="宋体"/>
                                <w:sz w:val="18"/>
                                <w:szCs w:val="18"/>
                              </w:rPr>
                            </w:pPr>
                            <w:r>
                              <w:rPr>
                                <w:rFonts w:hint="eastAsia" w:ascii="楷体_GB2312" w:hAnsi="宋体" w:eastAsia="楷体_GB2312" w:cs="楷体_GB2312"/>
                                <w:b/>
                                <w:bCs/>
                                <w:color w:val="000000"/>
                                <w:sz w:val="18"/>
                                <w:szCs w:val="18"/>
                              </w:rPr>
                              <w:t>约定投保事项</w:t>
                            </w:r>
                          </w:p>
                        </w:txbxContent>
                      </wps:txbx>
                      <wps:bodyPr rot="0" vert="horz" wrap="square" lIns="91440" tIns="45720" rIns="91440" bIns="45720" anchor="t" anchorCtr="0" upright="1">
                        <a:noAutofit/>
                      </wps:bodyPr>
                    </wps:wsp>
                  </a:graphicData>
                </a:graphic>
              </wp:anchor>
            </w:drawing>
          </mc:Choice>
          <mc:Fallback>
            <w:pict>
              <v:shape id="文本框 816" o:spid="_x0000_s1026" o:spt="202" type="#_x0000_t202" style="position:absolute;left:0pt;margin-left:0pt;margin-top:0.4pt;height:30.65pt;width:65.55pt;z-index:252002304;mso-width-relative:page;mso-height-relative:page;" filled="f" stroked="f" coordsize="21600,21600" o:gfxdata="UEsDBAoAAAAAAIdO4kAAAAAAAAAAAAAAAAAEAAAAZHJzL1BLAwQUAAAACACHTuJA+X6ZlNEAAAAE&#10;AQAADwAAAGRycy9kb3ducmV2LnhtbE3PwU7DMAwG4DsS7xAZiRtLMmCCUncHEFcQGyBxyxqvrWic&#10;qsnW8vZ4Jzhav/X7c7meQ6+ONKYuMoJdGFDEdfQdNwjv2+erO1ApO/auj0wIP5RgXZ2fla7wceI3&#10;Om5yo6SEU+EQ2pyHQutUtxRcWsSBWLJ9HIPLMo6N9qObpDz0emnMSgfXsVxo3UCPLdXfm0NA+HjZ&#10;f33emNfmKdwOU5yN5nCvES8vrHkAlWnOf8tw4gsdKjHt4oF9Uj2CPJIRRH/Krq0FtUNYLS3oqtT/&#10;8dUvUEsDBBQAAAAIAIdO4kBAQ/8pIAIAACYEAAAOAAAAZHJzL2Uyb0RvYy54bWytU8FuEzEQvSPx&#10;D5bvZJM0Cekqm6o0KkIqFKnwAY7Xm7XY9Zixk93wAfQPOHHh3u/KdzD2bkMolx64WLZn/Gbem+fF&#10;RVtXbKfQaTAZHw2GnCkjIddmk/HPn65fzTlzXphcVGBUxvfK8YvlyxeLxqZqDCVUuUJGIMaljc14&#10;6b1Nk8TJUtXCDcAqQ8ECsBaejrhJchQNoddVMh4OZ0kDmFsEqZyj21UX5D0iPgcQikJLtQK5rZXx&#10;HSqqSnii5EptHV/GbotCSX9bFE55VmWcmPq4UhHar8OaLBci3aCwpZZ9C+I5LTzhVAttqOgRaiW8&#10;YFvU/0DVWiI4KPxAQp10RKIixGI0fKLNXSmsilxIamePorv/Bys/7D4i03nGZ8MJZ0bUNPLDj/vD&#10;z4fDr+9sPpoFiRrrUsq8s5Tr2zfQknEiXWdvQH5xzMBVKcxGXSJCUyqRU4uj8DI5edrhuACybt5D&#10;TpXE1kMEagusg36kCCN0Gs/+OB7Veibpcn42nsynnEkKnc3Px9NprCDSx8cWnX+roGZhk3Gk6Udw&#10;sbtxPjQj0seUUMvAta6q6IDK/HVBid2NihbqXwcqofuOh2/XbS/NGvI9kULo7EWfizYl4DfOGrJW&#10;xt3XrUDFWfXOkDDno8kkeDEeJtPXYzrgaWR9GhFGElTGPWfd9sp3/t1a1JuSKnWjMHBJYhY6Eg2t&#10;dl31IyD7RP691YM/T88x68/3Xv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X6ZlNEAAAAEAQAA&#10;DwAAAAAAAAABACAAAAAiAAAAZHJzL2Rvd25yZXYueG1sUEsBAhQAFAAAAAgAh07iQEBD/ykgAgAA&#10;JgQAAA4AAAAAAAAAAQAgAAAAIAEAAGRycy9lMm9Eb2MueG1sUEsFBgAAAAAGAAYAWQEAALIFAAAA&#10;AA==&#10;">
                <v:fill on="f" focussize="0,0"/>
                <v:stroke on="f"/>
                <v:imagedata o:title=""/>
                <o:lock v:ext="edit" aspectratio="f"/>
                <v:textbox>
                  <w:txbxContent>
                    <w:p w14:paraId="531F6A9D">
                      <w:pPr>
                        <w:spacing w:line="240" w:lineRule="exact"/>
                        <w:rPr>
                          <w:rFonts w:ascii="宋体"/>
                          <w:sz w:val="18"/>
                          <w:szCs w:val="18"/>
                        </w:rPr>
                      </w:pPr>
                      <w:r>
                        <w:rPr>
                          <w:rFonts w:hint="eastAsia" w:ascii="楷体_GB2312" w:hAnsi="宋体" w:eastAsia="楷体_GB2312" w:cs="楷体_GB2312"/>
                          <w:b/>
                          <w:bCs/>
                          <w:color w:val="000000"/>
                          <w:sz w:val="18"/>
                          <w:szCs w:val="18"/>
                        </w:rPr>
                        <w:t>约定投保事项</w:t>
                      </w:r>
                    </w:p>
                  </w:txbxContent>
                </v:textbox>
              </v:shape>
            </w:pict>
          </mc:Fallback>
        </mc:AlternateContent>
      </w:r>
      <w:r>
        <w:rPr>
          <w:rFonts w:hint="eastAsia" w:ascii="仿宋" w:hAnsi="仿宋" w:eastAsia="仿宋" w:cs="仿宋"/>
          <w:color w:val="auto"/>
          <w:sz w:val="24"/>
          <w:szCs w:val="24"/>
          <w:highlight w:val="none"/>
          <w:lang w:eastAsia="zh-CN"/>
        </w:rPr>
        <w:t>具体投保内容、保险金、保险期限及相关责任等事项，合同双方当事人应在专用条款中约定。</w:t>
      </w:r>
    </w:p>
    <w:p w14:paraId="2948AB49">
      <w:pPr>
        <w:pStyle w:val="2"/>
        <w:adjustRightInd w:val="0"/>
        <w:snapToGrid w:val="0"/>
        <w:spacing w:line="360" w:lineRule="auto"/>
        <w:rPr>
          <w:rFonts w:hint="eastAsia" w:ascii="仿宋" w:hAnsi="仿宋" w:eastAsia="仿宋"/>
          <w:b/>
          <w:bCs/>
          <w:color w:val="auto"/>
          <w:sz w:val="24"/>
          <w:szCs w:val="24"/>
          <w:highlight w:val="none"/>
          <w:lang w:eastAsia="zh-CN"/>
        </w:rPr>
      </w:pPr>
    </w:p>
    <w:p w14:paraId="769CE0A5">
      <w:pPr>
        <w:spacing w:line="360" w:lineRule="auto"/>
        <w:jc w:val="center"/>
        <w:outlineLvl w:val="1"/>
        <w:rPr>
          <w:rFonts w:hint="eastAsia" w:ascii="仿宋" w:hAnsi="仿宋" w:eastAsia="仿宋" w:cs="仿宋"/>
          <w:b/>
          <w:bCs/>
          <w:color w:val="auto"/>
          <w:highlight w:val="none"/>
          <w:lang w:eastAsia="zh-CN"/>
        </w:rPr>
      </w:pPr>
      <w:bookmarkStart w:id="332" w:name="_Toc7780"/>
      <w:r>
        <w:rPr>
          <w:rFonts w:hint="eastAsia" w:ascii="仿宋" w:hAnsi="仿宋" w:eastAsia="仿宋" w:cs="仿宋"/>
          <w:b/>
          <w:bCs/>
          <w:color w:val="auto"/>
          <w:highlight w:val="none"/>
          <w:lang w:eastAsia="zh-CN"/>
        </w:rPr>
        <w:t>四、勘察、设计与BIM技术应用</w:t>
      </w:r>
      <w:bookmarkEnd w:id="332"/>
    </w:p>
    <w:p w14:paraId="4B6DD805">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33" w:name="_Toc441"/>
      <w:r>
        <w:rPr>
          <w:rFonts w:hint="eastAsia" w:ascii="仿宋" w:hAnsi="仿宋" w:eastAsia="仿宋" w:cs="仿宋"/>
          <w:bCs w:val="0"/>
          <w:color w:val="auto"/>
          <w:sz w:val="24"/>
          <w:szCs w:val="24"/>
          <w:highlight w:val="none"/>
          <w:lang w:eastAsia="zh-CN"/>
        </w:rPr>
        <w:t>37  工程勘察</w:t>
      </w:r>
      <w:bookmarkEnd w:id="333"/>
    </w:p>
    <w:p w14:paraId="0CEE231A">
      <w:pPr>
        <w:tabs>
          <w:tab w:val="left" w:pos="1320"/>
        </w:tabs>
        <w:spacing w:line="360" w:lineRule="auto"/>
        <w:ind w:right="-7"/>
        <w:rPr>
          <w:rFonts w:hint="eastAsia" w:ascii="仿宋" w:hAnsi="仿宋" w:eastAsia="仿宋" w:cs="仿宋"/>
          <w:b/>
          <w:color w:val="auto"/>
          <w:highlight w:val="none"/>
          <w:lang w:eastAsia="zh-CN"/>
        </w:rPr>
      </w:pPr>
      <w:r>
        <w:rPr>
          <w:rFonts w:hint="eastAsia" w:ascii="仿宋" w:hAnsi="仿宋" w:eastAsia="仿宋" w:cs="仿宋"/>
          <w:b/>
          <w:color w:val="auto"/>
          <w:highlight w:val="none"/>
          <w:lang w:eastAsia="zh-CN"/>
        </w:rPr>
        <w:t>37.1</w:t>
      </w:r>
    </w:p>
    <w:p w14:paraId="5FC1B4F6">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974656" behindDoc="0" locked="0" layoutInCell="1" allowOverlap="1">
                <wp:simplePos x="0" y="0"/>
                <wp:positionH relativeFrom="column">
                  <wp:posOffset>-85725</wp:posOffset>
                </wp:positionH>
                <wp:positionV relativeFrom="paragraph">
                  <wp:posOffset>62865</wp:posOffset>
                </wp:positionV>
                <wp:extent cx="794385" cy="798195"/>
                <wp:effectExtent l="0" t="0" r="0" b="0"/>
                <wp:wrapNone/>
                <wp:docPr id="605"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94385" cy="798195"/>
                        </a:xfrm>
                        <a:prstGeom prst="rect">
                          <a:avLst/>
                        </a:prstGeom>
                        <a:noFill/>
                        <a:ln>
                          <a:noFill/>
                        </a:ln>
                        <a:effectLst/>
                      </wps:spPr>
                      <wps:txbx>
                        <w:txbxContent>
                          <w:p w14:paraId="324208E5">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对发包人要求与项目基础资料的核实</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6.75pt;margin-top:4.95pt;height:62.85pt;width:62.55pt;z-index:251974656;mso-width-relative:page;mso-height-relative:page;" filled="f" stroked="f" coordsize="21600,21600" o:gfxdata="UEsDBAoAAAAAAIdO4kAAAAAAAAAAAAAAAAAEAAAAZHJzL1BLAwQUAAAACACHTuJAP0TmkNYAAAAJ&#10;AQAADwAAAGRycy9kb3ducmV2LnhtbE2PzU7DMBCE70i8g7VI3FrblEQkxOkBxBVE+ZG4beNtEhGv&#10;o9htwtvjnuA2qxnNfFttFzeIE02h92xArxUI4sbbnlsD729PqzsQISJbHDyTgR8KsK0vLyosrZ/5&#10;lU672IpUwqFEA12MYyllaDpyGNZ+JE7ewU8OYzqnVtoJ51TuBnmjVC4d9pwWOhzpoaPme3d0Bj6e&#10;D1+ft+qlfXTZOPtFSXaFNOb6Sqt7EJGW+BeGM35Chzox7f2RbRCDgZXeZClqoChAnH2tcxD7JDZZ&#10;DrKu5P8P6l9QSwMEFAAAAAgAh07iQO/om+0eAgAAJQQAAA4AAABkcnMvZTJvRG9jLnhtbK1TzY7T&#10;MBC+I/EOlu80TWm3bdR0tWy1CGn5kRYewHWcxiL2GNttUh6AfQNOXLjzXH0Oxna3lOWyBy6RxzP+&#10;Zr5vviwue9WSnbBOgi5pPhhSIjSHSupNST99vHkxo8R5pivWghYl3QtHL5fPny06U4gRNNBWwhIE&#10;0a7oTEkb702RZY43QjE3ACM0JmuwinkM7SarLOsQXbXZaDi8yDqwlbHAhXN4u0pJekS0TwGEupZc&#10;rIBvldA+oVrRMo+UXCONo8s4bV0L7t/XtROetCVFpj5+sQme1+GbLRes2FhmGsmPI7CnjPCIk2JS&#10;Y9MT1Ip5RrZW/gOlJLfgoPYDDipLRKIiyCIfPtLmrmFGRC4otTMn0d3/g+Xvdh8skVVJL4YTSjRT&#10;uPLD9/vDj1+Hn99IngeFOuMKLLwzWOr7V9CjbyJbZ26Bf3ZEw3XD9EZcWQtdI1iFE8aX2dnThOMC&#10;yLp7CxU2YlsPEaivrQryoSAE0XE7+9N2RO8Jx8vpfPxyhjNyTE3ns3w+CbNlrHh4bKzzrwUoEg4l&#10;tbj8CM52t86n0oeS0EvDjWzbaIBW/3WBmOlGRAcdXwcqYfrEw/fr/ijNGqo9krKQ3IX/Fh4asF8p&#10;6dBZJXVftswKSto3GoWZ5+NxsGIMxpPpCAN7nlmfZ5jmCFVST0k6Xvtk362xctNgp7QKDVcoZi0j&#10;0TBqmgoFCgG6J0p1dHqw53kcq/783c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0TmkNYAAAAJ&#10;AQAADwAAAAAAAAABACAAAAAiAAAAZHJzL2Rvd25yZXYueG1sUEsBAhQAFAAAAAgAh07iQO/om+0e&#10;AgAAJQQAAA4AAAAAAAAAAQAgAAAAJQEAAGRycy9lMm9Eb2MueG1sUEsFBgAAAAAGAAYAWQEAALUF&#10;AAAAAA==&#10;">
                <v:fill on="f" focussize="0,0"/>
                <v:stroke on="f"/>
                <v:imagedata o:title=""/>
                <o:lock v:ext="edit" aspectratio="f"/>
                <v:textbox>
                  <w:txbxContent>
                    <w:p w14:paraId="324208E5">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对发包人要求与项目基础资料的核实</w:t>
                      </w:r>
                    </w:p>
                  </w:txbxContent>
                </v:textbox>
              </v:shape>
            </w:pict>
          </mc:Fallback>
        </mc:AlternateContent>
      </w:r>
      <w:r>
        <w:rPr>
          <w:rFonts w:hint="eastAsia" w:ascii="仿宋" w:hAnsi="仿宋" w:eastAsia="仿宋" w:cs="仿宋"/>
          <w:color w:val="auto"/>
          <w:highlight w:val="none"/>
          <w:lang w:eastAsia="zh-CN"/>
        </w:rPr>
        <w:t>承包人在工程勘察工作开始日期前，应对发包人及设计顾问人的勘察要求和所提供的项目基础资料或其他途径得到的现场资料的完备性和正确性进行核实，发现错漏应及时提请发包人补充完善。因发包人要求和所提供的资料存在错漏，但发包人未按承包人要求补充完善，导致工程存在缺陷或事故，责任由发包人承担。</w:t>
      </w:r>
    </w:p>
    <w:p w14:paraId="60C76A70">
      <w:pPr>
        <w:tabs>
          <w:tab w:val="left" w:pos="1320"/>
        </w:tabs>
        <w:spacing w:line="360" w:lineRule="auto"/>
        <w:ind w:right="-7"/>
        <w:rPr>
          <w:rFonts w:hint="eastAsia" w:ascii="仿宋" w:hAnsi="仿宋" w:eastAsia="仿宋" w:cs="仿宋"/>
          <w:b/>
          <w:color w:val="auto"/>
          <w:highlight w:val="none"/>
          <w:lang w:eastAsia="zh-CN"/>
        </w:rPr>
      </w:pPr>
      <w:r>
        <w:rPr>
          <w:rFonts w:hint="eastAsia" w:ascii="仿宋" w:hAnsi="仿宋" w:eastAsia="仿宋" w:cs="仿宋"/>
          <w:b/>
          <w:color w:val="auto"/>
          <w:highlight w:val="none"/>
          <w:lang w:eastAsia="zh-CN"/>
        </w:rPr>
        <w:t>37.2</w:t>
      </w:r>
    </w:p>
    <w:p w14:paraId="11A514EE">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972608" behindDoc="0" locked="0" layoutInCell="1" allowOverlap="1">
                <wp:simplePos x="0" y="0"/>
                <wp:positionH relativeFrom="column">
                  <wp:posOffset>-95250</wp:posOffset>
                </wp:positionH>
                <wp:positionV relativeFrom="paragraph">
                  <wp:posOffset>62865</wp:posOffset>
                </wp:positionV>
                <wp:extent cx="765810" cy="683895"/>
                <wp:effectExtent l="0" t="0" r="0" b="0"/>
                <wp:wrapNone/>
                <wp:docPr id="606"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65810" cy="683895"/>
                        </a:xfrm>
                        <a:prstGeom prst="rect">
                          <a:avLst/>
                        </a:prstGeom>
                        <a:noFill/>
                        <a:ln>
                          <a:noFill/>
                        </a:ln>
                        <a:effectLst/>
                      </wps:spPr>
                      <wps:txbx>
                        <w:txbxContent>
                          <w:p w14:paraId="6D99BAFA">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勘察实施方案与应急预案</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7.5pt;margin-top:4.95pt;height:53.85pt;width:60.3pt;z-index:251972608;mso-width-relative:page;mso-height-relative:page;" filled="f" stroked="f" coordsize="21600,21600" o:gfxdata="UEsDBAoAAAAAAIdO4kAAAAAAAAAAAAAAAAAEAAAAZHJzL1BLAwQUAAAACACHTuJA15b8KNYAAAAJ&#10;AQAADwAAAGRycy9kb3ducmV2LnhtbE2PwU7DMBBE70j9B2srcWvXqUggIU4PRVxBtIDEzY23SUS8&#10;jmK3CX+Pe4LbrGY186bczrYXFxp951hBspYgiGtnOm4UvB+eVw8gfNBsdO+YFPyQh221uCl1YdzE&#10;b3TZh0bEEPaFVtCGMBSIvm7Jar92A3H0Tm60OsRzbNCMeorhtseNlBla3XFsaPVAu5bq7/3ZKvh4&#10;OX193snX5smmw+RmiWxzVOp2mchHEIHm8PcMV/yIDlVkOrozGy96BaskjVuCgjwHcfVlmoE4RpHc&#10;Z4BVif8XVL9QSwMEFAAAAAgAh07iQNmZ26seAgAAJQQAAA4AAABkcnMvZTJvRG9jLnhtbK1TS27b&#10;MBDdF+gdCO5rWa7tOIblII2RokD6AdIegKYoi6jEYYe0pfQAzQ266qb7nsvn6JB0XDfdZNGNwOEM&#10;38x787S46NuG7RQ6Dabg+WDImTISSm02Bf/08frFjDPnhSlFA0YV/E45frF8/mzR2bkaQQ1NqZAR&#10;iHHzzha89t7Os8zJWrXCDcAqQ8kKsBWeQtxkJYqO0NsmGw2H06wDLC2CVM7R7Sol+QERnwIIVaWl&#10;WoHctsr4hIqqEZ4ouVpbx5dx2qpS0r+vKqc8awpOTH38UhM6r8M3Wy7EfIPC1loeRhBPGeERp1Zo&#10;Q02PUCvhBdui/geq1RLBQeUHEtosEYmKEIt8+Eib21pYFbmQ1M4eRXf/D1a+231ApsuCT4dTzoxo&#10;aeX77/f7H7/2P7+xPA8KddbNqfDWUqnvX0FPvolsnb0B+dkxA1e1MBt1iQhdrURJE8aX2cnThOMC&#10;yLp7CyU1ElsPEaivsA3ykSCM0Gk7d8ftqN4zSZdn08ksp4yk1HT2cnY+CbNlYv7w2KLzrxW0LBwK&#10;jrT8CC52N86n0oeS0MvAtW6aaIDG/HVBmOlGRQcdXgcqYfrEw/fr/iDNGso7IoWQ3EX/Fh1qwK+c&#10;deSsgrsvW4GKs+aNIWHO8/E4WDEG48nZiAI8zaxPM8JIgiq45ywdr3yy79ai3tTUKa3CwCWJWelI&#10;NIyapiKBQkDuiVIdnB7seRrHqj9/9/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15b8KNYAAAAJ&#10;AQAADwAAAAAAAAABACAAAAAiAAAAZHJzL2Rvd25yZXYueG1sUEsBAhQAFAAAAAgAh07iQNmZ26se&#10;AgAAJQQAAA4AAAAAAAAAAQAgAAAAJQEAAGRycy9lMm9Eb2MueG1sUEsFBgAAAAAGAAYAWQEAALUF&#10;AAAAAA==&#10;">
                <v:fill on="f" focussize="0,0"/>
                <v:stroke on="f"/>
                <v:imagedata o:title=""/>
                <o:lock v:ext="edit" aspectratio="f"/>
                <v:textbox>
                  <w:txbxContent>
                    <w:p w14:paraId="6D99BAFA">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勘察实施方案与应急预案</w:t>
                      </w:r>
                    </w:p>
                  </w:txbxContent>
                </v:textbox>
              </v:shape>
            </w:pict>
          </mc:Fallback>
        </mc:AlternateContent>
      </w:r>
      <w:r>
        <w:rPr>
          <w:rFonts w:hint="eastAsia" w:ascii="仿宋" w:hAnsi="仿宋" w:eastAsia="仿宋" w:cs="仿宋"/>
          <w:color w:val="auto"/>
          <w:highlight w:val="none"/>
          <w:lang w:eastAsia="zh-CN"/>
        </w:rPr>
        <w:t>37.2.1承包人应在工程勘察工作开始日期前，编制勘察实施方案及应急预案，并按专用条款约定的时间和份数报发包人审查或备案。发包人在收到承包人勘察报告后，应通知设计顾问人对报告内容予以核实或审核，并在收到报告后的</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天内予以确定或提出修改意见，逾期不确认也不提出书面意见的，视为同意。</w:t>
      </w:r>
    </w:p>
    <w:p w14:paraId="11CDC7AD">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37.2.2勘察实施方案应包括项目基本情况、人员安排、工作进度、技术方法、工作量、质量保证体系以及需要发包人配合事项等，并制定环境保护的具体措施，在勘察期间合理保护作业现场环境。</w:t>
      </w:r>
    </w:p>
    <w:p w14:paraId="30C3A0E1">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37.2.3承包人在燃气管道、热力管道、动力设备、输水管道、输电线路、临街交通要道及城市轨道交通隧道、地下通道（地下隧道）附近等风险性较大的地点，以及在易燃易爆地段及放射、有毒环境中进行工程勘察作业时，应编制安全防护方案并制定应急预案报发包人审查或备案。发包人在收到承包人应急预案后，应通知设计顾问人对报告内容予以核实或审核，并在收到报告后的</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天内予以确定或提出修改意见，逾期不确认也不提出书面意见的，视为无异议。</w:t>
      </w:r>
    </w:p>
    <w:p w14:paraId="6D62A072">
      <w:pPr>
        <w:tabs>
          <w:tab w:val="left" w:pos="1320"/>
        </w:tabs>
        <w:spacing w:line="360" w:lineRule="auto"/>
        <w:rPr>
          <w:rFonts w:hint="eastAsia" w:ascii="仿宋" w:hAnsi="仿宋" w:eastAsia="仿宋" w:cs="仿宋"/>
          <w:b/>
          <w:color w:val="auto"/>
          <w:highlight w:val="none"/>
          <w:lang w:eastAsia="zh-CN"/>
        </w:rPr>
      </w:pPr>
      <w:r>
        <w:rPr>
          <w:rFonts w:ascii="仿宋" w:hAnsi="仿宋" w:eastAsia="仿宋" w:cs="仿宋"/>
          <w:b/>
          <w:color w:val="auto"/>
          <w:highlight w:val="none"/>
          <w:lang w:eastAsia="zh-CN" w:bidi="ar-SA"/>
        </w:rPr>
        <mc:AlternateContent>
          <mc:Choice Requires="wps">
            <w:drawing>
              <wp:anchor distT="0" distB="0" distL="114300" distR="114300" simplePos="0" relativeHeight="252003328" behindDoc="0" locked="0" layoutInCell="1" allowOverlap="1">
                <wp:simplePos x="0" y="0"/>
                <wp:positionH relativeFrom="column">
                  <wp:posOffset>-114300</wp:posOffset>
                </wp:positionH>
                <wp:positionV relativeFrom="paragraph">
                  <wp:posOffset>310515</wp:posOffset>
                </wp:positionV>
                <wp:extent cx="796925" cy="331470"/>
                <wp:effectExtent l="0" t="0" r="0" b="0"/>
                <wp:wrapNone/>
                <wp:docPr id="607"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96925" cy="331470"/>
                        </a:xfrm>
                        <a:prstGeom prst="rect">
                          <a:avLst/>
                        </a:prstGeom>
                        <a:noFill/>
                        <a:ln>
                          <a:noFill/>
                        </a:ln>
                        <a:effectLst/>
                      </wps:spPr>
                      <wps:txbx>
                        <w:txbxContent>
                          <w:p w14:paraId="757678F9">
                            <w:pPr>
                              <w:spacing w:line="240" w:lineRule="exact"/>
                              <w:rPr>
                                <w:rFonts w:ascii="宋体"/>
                                <w:sz w:val="18"/>
                                <w:szCs w:val="18"/>
                              </w:rPr>
                            </w:pPr>
                            <w:r>
                              <w:rPr>
                                <w:rFonts w:hint="eastAsia" w:ascii="楷体_GB2312" w:hAnsi="宋体" w:eastAsia="楷体_GB2312" w:cs="楷体_GB2312"/>
                                <w:b/>
                                <w:bCs/>
                                <w:color w:val="000000"/>
                                <w:sz w:val="18"/>
                                <w:szCs w:val="18"/>
                              </w:rPr>
                              <w:t>勘察实施</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9pt;margin-top:24.45pt;height:26.1pt;width:62.75pt;z-index:252003328;mso-width-relative:page;mso-height-relative:page;" filled="f" stroked="f" coordsize="21600,21600" o:gfxdata="UEsDBAoAAAAAAIdO4kAAAAAAAAAAAAAAAAAEAAAAZHJzL1BLAwQUAAAACACHTuJA6G6uo9cAAAAK&#10;AQAADwAAAGRycy9kb3ducmV2LnhtbE2PzU7DMBCE70i8g7VI3FrbqIU0zaYHEFcQ5Ufi5sbbJGq8&#10;jmK3CW+Pc4LbrGY0+02xm1wnLjSE1jOCXioQxJW3LdcIH+/PiwxEiIat6TwTwg8F2JXXV4XJrR/5&#10;jS77WItUwiE3CE2MfS5lqBpyJix9T5y8ox+ciekcamkHM6Zy18k7pe6lMy2nD43p6bGh6rQ/O4TP&#10;l+P310q91k9u3Y9+UpLdRiLe3mi1BRFpin9hmPETOpSJ6eDPbIPoEBY6S1siwirbgJgD6mEN4jAL&#10;rUGWhfw/ofwFUEsDBBQAAAAIAIdO4kDV3pRtHwIAACUEAAAOAAAAZHJzL2Uyb0RvYy54bWytU8Fy&#10;0zAQvTPDP2h0J47TNGk8cTqlmTLMFMpM4QMUWY412FqxUmKHD6B/wIkLd74r38FKTkMolx64eLTa&#10;1dt9b5/nl11Ts61Cp8HkPB0MOVNGQqHNOuefPt68uuDMeWEKUYNROd8pxy8XL1/MW5upEVRQFwoZ&#10;gRiXtTbnlfc2SxInK9UINwCrDCVLwEZ4CnGdFChaQm/qZDQcTpIWsLAIUjlHt8s+yQ+I+BxAKEst&#10;1RLkplHG96ioauGJkqu0dXwRpy1LJf1dWTrlWZ1zYurjl5rQeRW+yWIusjUKW2l5GEE8Z4QnnBqh&#10;DTU9Qi2FF2yD+h+oRksEB6UfSGiSnkhUhFikwyfa3FfCqsiFpHb2KLr7f7Dy/fYDMl3kfDKccmZE&#10;Qyvff3/Y//i1//mNpWlQqLUuo8J7S6W+ew0d+SaydfYW5GfHDFxXwqzVFSK0lRIFTRhfJidPexwX&#10;QFbtOyiokdh4iEBdiU2QjwRhhE7b2R23ozrPJF1OZ5PZ6JwzSamzs3Q8jdtLRPb42KLzbxQ0LBxy&#10;jrT8CC62t84TDSp9LAm9DNzouo4GqM1fF1TY36jooMPrQCVM3/Pw3ao7SLOCYkekEHp30b9Fhwrw&#10;K2ctOSvn7stGoOKsfmtImFk6HgcrxmB8Ph1RgKeZ1WlGGElQOfec9cdr39t3Y1GvK+rUr8LAFYlZ&#10;6kg0jNpPRaxDQO6J/A9OD/Y8jWPVn7978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obq6j1wAA&#10;AAoBAAAPAAAAAAAAAAEAIAAAACIAAABkcnMvZG93bnJldi54bWxQSwECFAAUAAAACACHTuJA1d6U&#10;bR8CAAAlBAAADgAAAAAAAAABACAAAAAmAQAAZHJzL2Uyb0RvYy54bWxQSwUGAAAAAAYABgBZAQAA&#10;twUAAAAA&#10;">
                <v:fill on="f" focussize="0,0"/>
                <v:stroke on="f"/>
                <v:imagedata o:title=""/>
                <o:lock v:ext="edit" aspectratio="f"/>
                <v:textbox>
                  <w:txbxContent>
                    <w:p w14:paraId="757678F9">
                      <w:pPr>
                        <w:spacing w:line="240" w:lineRule="exact"/>
                        <w:rPr>
                          <w:rFonts w:ascii="宋体"/>
                          <w:sz w:val="18"/>
                          <w:szCs w:val="18"/>
                        </w:rPr>
                      </w:pPr>
                      <w:r>
                        <w:rPr>
                          <w:rFonts w:hint="eastAsia" w:ascii="楷体_GB2312" w:hAnsi="宋体" w:eastAsia="楷体_GB2312" w:cs="楷体_GB2312"/>
                          <w:b/>
                          <w:bCs/>
                          <w:color w:val="000000"/>
                          <w:sz w:val="18"/>
                          <w:szCs w:val="18"/>
                        </w:rPr>
                        <w:t>勘察实施</w:t>
                      </w:r>
                    </w:p>
                  </w:txbxContent>
                </v:textbox>
              </v:shape>
            </w:pict>
          </mc:Fallback>
        </mc:AlternateContent>
      </w:r>
      <w:r>
        <w:rPr>
          <w:rFonts w:hint="eastAsia" w:ascii="仿宋" w:hAnsi="仿宋" w:eastAsia="仿宋" w:cs="仿宋"/>
          <w:b/>
          <w:color w:val="auto"/>
          <w:highlight w:val="none"/>
          <w:lang w:eastAsia="zh-CN"/>
        </w:rPr>
        <w:t>37.3</w:t>
      </w:r>
    </w:p>
    <w:p w14:paraId="0F99721D">
      <w:pPr>
        <w:widowControl w:val="0"/>
        <w:tabs>
          <w:tab w:val="left" w:pos="4970"/>
        </w:tabs>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37.3.1承包人应根据发包人审查批准或备案的勘察实施方案及应急预案、发包人及要求、设计顾问人指示并依据有关技术标准进行工程勘察工作。</w:t>
      </w:r>
    </w:p>
    <w:p w14:paraId="59BB39E1">
      <w:pPr>
        <w:tabs>
          <w:tab w:val="left" w:pos="4970"/>
        </w:tabs>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37.3.2 承包人应核查并在勘察报告及后续设计文件中明示工程项目工程场地范围内城市轨道交通隧道、给水管道、燃气管道等分布情况。</w:t>
      </w:r>
    </w:p>
    <w:p w14:paraId="4F8D321D">
      <w:pPr>
        <w:tabs>
          <w:tab w:val="left" w:pos="4970"/>
        </w:tabs>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37.3.3勘察现场遇到地下文物时，承包人应及时向发包人和文物主管部门报告并妥善保护。</w:t>
      </w:r>
    </w:p>
    <w:p w14:paraId="7D3C5127">
      <w:pPr>
        <w:tabs>
          <w:tab w:val="left" w:pos="4970"/>
        </w:tabs>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37.3.4发包人应为承包人进入勘察工作现场提供必要的条件和协助，因发包人不能按时提供勘察工作现场，导致的工期延误及费用增加，责任由发包人承担。</w:t>
      </w:r>
    </w:p>
    <w:p w14:paraId="4DDC2268">
      <w:pPr>
        <w:spacing w:line="360" w:lineRule="auto"/>
        <w:ind w:left="1687" w:hanging="1687" w:hangingChars="700"/>
        <w:rPr>
          <w:rFonts w:hint="eastAsia" w:ascii="仿宋" w:hAnsi="仿宋" w:eastAsia="仿宋" w:cs="仿宋"/>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94464" behindDoc="0" locked="0" layoutInCell="1" allowOverlap="1">
                <wp:simplePos x="0" y="0"/>
                <wp:positionH relativeFrom="column">
                  <wp:posOffset>-76200</wp:posOffset>
                </wp:positionH>
                <wp:positionV relativeFrom="paragraph">
                  <wp:posOffset>285750</wp:posOffset>
                </wp:positionV>
                <wp:extent cx="796925" cy="378460"/>
                <wp:effectExtent l="0" t="0" r="0" b="0"/>
                <wp:wrapNone/>
                <wp:docPr id="608"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96925" cy="378460"/>
                        </a:xfrm>
                        <a:prstGeom prst="rect">
                          <a:avLst/>
                        </a:prstGeom>
                        <a:noFill/>
                        <a:ln>
                          <a:noFill/>
                        </a:ln>
                        <a:effectLst/>
                      </wps:spPr>
                      <wps:txbx>
                        <w:txbxContent>
                          <w:p w14:paraId="359A2562">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勘察成果</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6pt;margin-top:22.5pt;height:29.8pt;width:62.75pt;z-index:252094464;mso-width-relative:page;mso-height-relative:page;" filled="f" stroked="f" coordsize="21600,21600" o:gfxdata="UEsDBAoAAAAAAIdO4kAAAAAAAAAAAAAAAAAEAAAAZHJzL1BLAwQUAAAACACHTuJABxMmI9cAAAAK&#10;AQAADwAAAGRycy9kb3ducmV2LnhtbE2PQU/DMAyF70j8h8iTuG1JRzuN0nQHEFcQg03aLWu8tlrj&#10;VE22ln+Pd4KTbb2n5+8Vm8l14opDaD1pSBYKBFLlbUu1hu+vt/kaRIiGrOk8oYYfDLAp7+8Kk1s/&#10;0idet7EWHEIhNxqaGPtcylA16ExY+B6JtZMfnIl8DrW0gxk53HVyqdRKOtMSf2hMjy8NVuftxWnY&#10;vZ8O+1R91K8u60c/KUnuSWr9MEvUM4iIU/wzww2f0aFkpqO/kA2i0zBPltwlakgznjdD8piBOPKi&#10;0hXIspD/K5S/UEsDBBQAAAAIAIdO4kARaw1VHwIAACUEAAAOAAAAZHJzL2Uyb0RvYy54bWytU0tu&#10;2zAQ3RfoHQjua9mu48SC5SCNkaJA+gHSHoCmKIuoxGGHtCX3AM0Nuuqm+57L5+iQdFw33WTRjcDh&#10;DN/Me/M0v+zbhm0VOg2m4KPBkDNlJJTarAv+6ePNiwvOnBemFA0YVfCdcvxy8fzZvLO5GkMNTamQ&#10;EYhxeWcLXntv8yxzslatcAOwylCyAmyFpxDXWYmiI/S2ycbD4TTrAEuLIJVzdLtMSX5AxKcAQlVp&#10;qZYgN60yPqGiaoQnSq7W1vFFnLaqlPTvq8opz5qCE1Mfv9SEzqvwzRZzka9R2FrLwwjiKSM84tQK&#10;bajpEWopvGAb1P9AtVoiOKj8QEKbJSJREWIxGj7S5q4WVkUuJLWzR9Hd/4OV77YfkOmy4NMhLd6I&#10;lla+/36///Fr//MbG42CQp11ORXeWSr1/SvoyTeRrbO3ID87ZuC6FmatrhChq5UoacL4Mjt5mnBc&#10;AFl1b6GkRmLjIQL1FbZBPhKEETptZ3fcjuo9k3R5PpvOxmecSUq9PL+YTOP2MpE/PLbo/GsFLQuH&#10;giMtP4KL7a3zRINKH0pCLwM3ummiARrz1wUVphsVHXR4HaiE6RMP36/6gzQrKHdECiG5i/4tOtSA&#10;XznryFkFd182AhVnzRtDwsxGk0mwYgwmZ+djCvA0szrNCCMJquCes3S89sm+G4t6XVOntAoDVyRm&#10;pSPRMGqailiHgNwT+R+cHux5GseqP3/34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HEyYj1wAA&#10;AAoBAAAPAAAAAAAAAAEAIAAAACIAAABkcnMvZG93bnJldi54bWxQSwECFAAUAAAACACHTuJAEWsN&#10;VR8CAAAlBAAADgAAAAAAAAABACAAAAAmAQAAZHJzL2Uyb0RvYy54bWxQSwUGAAAAAAYABgBZAQAA&#10;twUAAAAA&#10;">
                <v:fill on="f" focussize="0,0"/>
                <v:stroke on="f"/>
                <v:imagedata o:title=""/>
                <o:lock v:ext="edit" aspectratio="f"/>
                <v:textbox>
                  <w:txbxContent>
                    <w:p w14:paraId="359A2562">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勘察成果</w:t>
                      </w:r>
                    </w:p>
                  </w:txbxContent>
                </v:textbox>
              </v:shape>
            </w:pict>
          </mc:Fallback>
        </mc:AlternateContent>
      </w:r>
      <w:r>
        <w:rPr>
          <w:rFonts w:hint="eastAsia" w:ascii="仿宋" w:hAnsi="仿宋" w:eastAsia="仿宋" w:cs="仿宋"/>
          <w:b/>
          <w:bCs/>
          <w:color w:val="auto"/>
          <w:highlight w:val="none"/>
          <w:lang w:eastAsia="zh-CN"/>
        </w:rPr>
        <w:t>37.4</w:t>
      </w:r>
    </w:p>
    <w:p w14:paraId="229AF1CA">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37.4.1承包人向发包人提交合格的勘察报告的方式、数量和时间，由双方在专用条款中约定。发包人要求增加的勘察报告，费用由发包人承担；承包人内部使用的勘察报告，其费用由承包人自己承担。</w:t>
      </w:r>
    </w:p>
    <w:p w14:paraId="503A668E">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37.4.2承包人完成勘察工作并提交勘察报告后，发包人应及时组织设计顾问人、监理人和承包人进行验收。发包人应及时签收勘察报告、确认勘察工作完成时间，并按专用条款约定计付工程勘察费。</w:t>
      </w:r>
    </w:p>
    <w:p w14:paraId="674A6004">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37.4.3政府部门审查或</w:t>
      </w:r>
    </w:p>
    <w:p w14:paraId="233A4F1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37.4.3.1 承包人的勘察报告需政府有关部门或施工图审查机构审查或批准的，发包人应在审查同意后7天内，向政府有关部门或施工图审查机构报送勘察报告，承包人应</w:t>
      </w:r>
      <w:r>
        <w:rPr>
          <w:rFonts w:ascii="仿宋" w:hAnsi="仿宋" w:eastAsia="仿宋"/>
          <w:color w:val="auto"/>
          <w:highlight w:val="none"/>
          <w:lang w:eastAsia="zh-CN"/>
        </w:rPr>
        <w:t>予以</w:t>
      </w:r>
      <w:r>
        <w:rPr>
          <w:rFonts w:hint="eastAsia" w:ascii="仿宋" w:hAnsi="仿宋" w:eastAsia="仿宋"/>
          <w:color w:val="auto"/>
          <w:highlight w:val="none"/>
          <w:lang w:eastAsia="zh-CN"/>
        </w:rPr>
        <w:t>协助。</w:t>
      </w:r>
    </w:p>
    <w:p w14:paraId="25972BB4">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37.4.3.2</w:t>
      </w:r>
      <w:r>
        <w:rPr>
          <w:rFonts w:ascii="仿宋" w:hAnsi="仿宋" w:eastAsia="仿宋"/>
          <w:color w:val="auto"/>
          <w:highlight w:val="none"/>
          <w:lang w:eastAsia="zh-CN"/>
        </w:rPr>
        <w:t>发包人</w:t>
      </w:r>
      <w:r>
        <w:rPr>
          <w:rFonts w:hint="eastAsia" w:ascii="仿宋" w:hAnsi="仿宋" w:eastAsia="仿宋"/>
          <w:color w:val="auto"/>
          <w:highlight w:val="none"/>
          <w:lang w:eastAsia="zh-CN"/>
        </w:rPr>
        <w:t>应</w:t>
      </w:r>
      <w:r>
        <w:rPr>
          <w:rFonts w:ascii="仿宋" w:hAnsi="仿宋" w:eastAsia="仿宋"/>
          <w:color w:val="auto"/>
          <w:highlight w:val="none"/>
          <w:lang w:eastAsia="zh-CN"/>
        </w:rPr>
        <w:t>向承包人提供</w:t>
      </w:r>
      <w:r>
        <w:rPr>
          <w:rFonts w:hint="eastAsia" w:ascii="仿宋" w:hAnsi="仿宋" w:eastAsia="仿宋"/>
          <w:color w:val="auto"/>
          <w:highlight w:val="none"/>
          <w:lang w:eastAsia="zh-CN"/>
        </w:rPr>
        <w:t>政府有关部门或施工图审查机构</w:t>
      </w:r>
      <w:r>
        <w:rPr>
          <w:rFonts w:ascii="仿宋" w:hAnsi="仿宋" w:eastAsia="仿宋"/>
          <w:color w:val="auto"/>
          <w:highlight w:val="none"/>
          <w:lang w:eastAsia="zh-CN"/>
        </w:rPr>
        <w:t>的批准文件和</w:t>
      </w:r>
      <w:r>
        <w:rPr>
          <w:rFonts w:hint="eastAsia" w:ascii="仿宋" w:hAnsi="仿宋" w:eastAsia="仿宋"/>
          <w:color w:val="auto"/>
          <w:highlight w:val="none"/>
          <w:lang w:eastAsia="zh-CN"/>
        </w:rPr>
        <w:t>审查会议</w:t>
      </w:r>
      <w:r>
        <w:rPr>
          <w:rFonts w:ascii="仿宋" w:hAnsi="仿宋" w:eastAsia="仿宋"/>
          <w:color w:val="auto"/>
          <w:highlight w:val="none"/>
          <w:lang w:eastAsia="zh-CN"/>
        </w:rPr>
        <w:t>纪要</w:t>
      </w:r>
      <w:r>
        <w:rPr>
          <w:rFonts w:hint="eastAsia" w:ascii="仿宋" w:hAnsi="仿宋" w:eastAsia="仿宋"/>
          <w:color w:val="auto"/>
          <w:highlight w:val="none"/>
          <w:lang w:eastAsia="zh-CN"/>
        </w:rPr>
        <w:t>。</w:t>
      </w:r>
      <w:r>
        <w:rPr>
          <w:rFonts w:ascii="仿宋" w:hAnsi="仿宋" w:eastAsia="仿宋"/>
          <w:color w:val="auto"/>
          <w:highlight w:val="none"/>
          <w:lang w:eastAsia="zh-CN"/>
        </w:rPr>
        <w:t>承包人</w:t>
      </w:r>
      <w:r>
        <w:rPr>
          <w:rFonts w:hint="eastAsia" w:ascii="仿宋" w:hAnsi="仿宋" w:eastAsia="仿宋"/>
          <w:color w:val="auto"/>
          <w:highlight w:val="none"/>
          <w:lang w:eastAsia="zh-CN"/>
        </w:rPr>
        <w:t>应按照相关审查批准文件和纪要对勘察报告进行补充、修改和完善。</w:t>
      </w:r>
    </w:p>
    <w:p w14:paraId="6F69090B">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olor w:val="auto"/>
          <w:highlight w:val="none"/>
          <w:lang w:eastAsia="zh-CN"/>
        </w:rPr>
        <w:t>37.4.3.3经政府有关部门或</w:t>
      </w:r>
      <w:r>
        <w:rPr>
          <w:rFonts w:ascii="仿宋" w:hAnsi="仿宋" w:eastAsia="仿宋"/>
          <w:color w:val="auto"/>
          <w:highlight w:val="none"/>
          <w:lang w:eastAsia="zh-CN"/>
        </w:rPr>
        <w:t>施工图</w:t>
      </w:r>
      <w:r>
        <w:rPr>
          <w:rFonts w:hint="eastAsia" w:ascii="仿宋" w:hAnsi="仿宋" w:eastAsia="仿宋"/>
          <w:color w:val="auto"/>
          <w:highlight w:val="none"/>
          <w:lang w:eastAsia="zh-CN"/>
        </w:rPr>
        <w:t>审查机构审查，需要修改发包人要求的，发包人应重新提出发包人要求，通知承包人相应修改设计文件，并重新送审，承包人可根据第63条约定提出变更申请，由发包人承担增加的工程费或工程勘察费。</w:t>
      </w:r>
    </w:p>
    <w:p w14:paraId="0E0D520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 xml:space="preserve">37.4.4 </w:t>
      </w:r>
      <w:r>
        <w:rPr>
          <w:rFonts w:ascii="仿宋" w:hAnsi="仿宋" w:eastAsia="仿宋"/>
          <w:color w:val="auto"/>
          <w:highlight w:val="none"/>
          <w:lang w:eastAsia="zh-CN"/>
        </w:rPr>
        <w:t>因承包人原因造成</w:t>
      </w:r>
      <w:r>
        <w:rPr>
          <w:rFonts w:hint="eastAsia" w:ascii="仿宋" w:hAnsi="仿宋" w:eastAsia="仿宋"/>
          <w:color w:val="auto"/>
          <w:highlight w:val="none"/>
          <w:lang w:eastAsia="zh-CN"/>
        </w:rPr>
        <w:t>勘察报告</w:t>
      </w:r>
      <w:r>
        <w:rPr>
          <w:rFonts w:ascii="仿宋" w:hAnsi="仿宋" w:eastAsia="仿宋"/>
          <w:color w:val="auto"/>
          <w:highlight w:val="none"/>
          <w:lang w:eastAsia="zh-CN"/>
        </w:rPr>
        <w:t>存在遗漏、错误和不足的，承包人应</w:t>
      </w:r>
      <w:r>
        <w:rPr>
          <w:rFonts w:hint="eastAsia" w:ascii="仿宋" w:hAnsi="仿宋" w:eastAsia="仿宋"/>
          <w:color w:val="auto"/>
          <w:highlight w:val="none"/>
          <w:lang w:eastAsia="zh-CN"/>
        </w:rPr>
        <w:t>补充、</w:t>
      </w:r>
      <w:r>
        <w:rPr>
          <w:rFonts w:ascii="仿宋" w:hAnsi="仿宋" w:eastAsia="仿宋"/>
          <w:color w:val="auto"/>
          <w:highlight w:val="none"/>
          <w:lang w:eastAsia="zh-CN"/>
        </w:rPr>
        <w:t>修</w:t>
      </w:r>
      <w:r>
        <w:rPr>
          <w:rFonts w:hint="eastAsia" w:ascii="仿宋" w:hAnsi="仿宋" w:eastAsia="仿宋"/>
          <w:color w:val="auto"/>
          <w:highlight w:val="none"/>
          <w:lang w:eastAsia="zh-CN"/>
        </w:rPr>
        <w:t>正</w:t>
      </w:r>
      <w:r>
        <w:rPr>
          <w:rFonts w:ascii="仿宋" w:hAnsi="仿宋" w:eastAsia="仿宋"/>
          <w:color w:val="auto"/>
          <w:highlight w:val="none"/>
          <w:lang w:eastAsia="zh-CN"/>
        </w:rPr>
        <w:t>和完善</w:t>
      </w:r>
      <w:r>
        <w:rPr>
          <w:rFonts w:hint="eastAsia" w:ascii="仿宋" w:hAnsi="仿宋" w:eastAsia="仿宋"/>
          <w:color w:val="auto"/>
          <w:highlight w:val="none"/>
          <w:lang w:eastAsia="zh-CN"/>
        </w:rPr>
        <w:t>，由此产生的费用由承包人承担</w:t>
      </w:r>
      <w:r>
        <w:rPr>
          <w:rFonts w:ascii="仿宋" w:hAnsi="仿宋" w:eastAsia="仿宋"/>
          <w:color w:val="auto"/>
          <w:highlight w:val="none"/>
          <w:lang w:eastAsia="zh-CN"/>
        </w:rPr>
        <w:t>。</w:t>
      </w:r>
      <w:r>
        <w:rPr>
          <w:rFonts w:hint="eastAsia" w:ascii="仿宋" w:hAnsi="仿宋" w:eastAsia="仿宋"/>
          <w:color w:val="auto"/>
          <w:highlight w:val="none"/>
          <w:lang w:eastAsia="zh-CN"/>
        </w:rPr>
        <w:t>因此对后续设计、采购、施工等造成的工期延误及费用增加由承包人承担。</w:t>
      </w:r>
    </w:p>
    <w:p w14:paraId="65F10BDD">
      <w:pPr>
        <w:spacing w:line="360" w:lineRule="auto"/>
        <w:ind w:left="1687" w:hanging="1687" w:hangingChars="700"/>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37.5</w:t>
      </w:r>
    </w:p>
    <w:p w14:paraId="61DD3651">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04352" behindDoc="0" locked="0" layoutInCell="1" allowOverlap="1">
                <wp:simplePos x="0" y="0"/>
                <wp:positionH relativeFrom="column">
                  <wp:posOffset>-76200</wp:posOffset>
                </wp:positionH>
                <wp:positionV relativeFrom="paragraph">
                  <wp:posOffset>13970</wp:posOffset>
                </wp:positionV>
                <wp:extent cx="826135" cy="581025"/>
                <wp:effectExtent l="0" t="0" r="0" b="0"/>
                <wp:wrapNone/>
                <wp:docPr id="609"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26135" cy="581025"/>
                        </a:xfrm>
                        <a:prstGeom prst="rect">
                          <a:avLst/>
                        </a:prstGeom>
                        <a:noFill/>
                        <a:ln>
                          <a:noFill/>
                        </a:ln>
                        <a:effectLst/>
                      </wps:spPr>
                      <wps:txbx>
                        <w:txbxContent>
                          <w:p w14:paraId="1F53932E">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lang w:eastAsia="zh-CN"/>
                              </w:rPr>
                              <w:t>组织</w:t>
                            </w:r>
                            <w:r>
                              <w:rPr>
                                <w:rFonts w:hint="eastAsia" w:ascii="楷体_GB2312" w:hAnsi="宋体" w:eastAsia="楷体_GB2312" w:cs="楷体_GB2312"/>
                                <w:b/>
                                <w:bCs/>
                                <w:color w:val="000000"/>
                                <w:sz w:val="18"/>
                                <w:szCs w:val="18"/>
                              </w:rPr>
                              <w:t>设计与施工</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6pt;margin-top:1.1pt;height:45.75pt;width:65.05pt;z-index:252004352;mso-width-relative:page;mso-height-relative:page;" filled="f" stroked="f" coordsize="21600,21600" o:gfxdata="UEsDBAoAAAAAAIdO4kAAAAAAAAAAAAAAAAAEAAAAZHJzL1BLAwQUAAAACACHTuJAU/CbCNYAAAAI&#10;AQAADwAAAGRycy9kb3ducmV2LnhtbE2PwU7DMBBE70j9B2srcWttByhtyKYHEFcQpSBxc+NtEhGv&#10;o9htwt/jnuA4mtHMm2I7uU6caQitZwS9VCCIK29brhH278+LNYgQDVvTeSaEHwqwLWdXhcmtH/mN&#10;zrtYi1TCITcITYx9LmWoGnImLH1PnLyjH5yJSQ61tIMZU7nrZKbUSjrTclpoTE+PDVXfu5ND+Hg5&#10;fn3eqtf6yd31o5+UZLeRiNdzrR5ARJriXxgu+AkdysR08Ce2QXQIC52lLxEhy0BcfL3WIA4Im5t7&#10;kGUh/x8ofwFQSwMEFAAAAAgAh07iQGhyvaYeAgAAJQQAAA4AAABkcnMvZTJvRG9jLnhtbK1TzY7T&#10;MBC+I/EOlu80SWlLN2q6WrZahLT8SAsP4DpOYxF7jO02KQ8Ab8CJC3eeq8/B2O6Wslz2wCXyeMbf&#10;zPfNl8XloDqyE9ZJ0BUtRjklQnOopd5U9OOHm2dzSpxnumYdaFHRvXD0cvn0yaI3pRhDC10tLEEQ&#10;7creVLT13pRZ5ngrFHMjMEJjsgGrmMfQbrLash7RVZeN83yW9WBrY4EL5/B2lZL0iGgfAwhNI7lY&#10;Ad8qoX1CtaJjHim5VhpHl3HaphHcv2saJzzpKopMffxiEzyvwzdbLli5scy0kh9HYI8Z4QEnxaTG&#10;pieoFfOMbK38B0pJbsFB40ccVJaIREWQRZE/0OauZUZELii1MyfR3f+D5W937y2RdUVn+QUlmilc&#10;+eH7t8OPX4efX0lRBIV640osvDNY6oeXMKBvIltnboF/ckTDdcv0RlxZC30rWI0TxpfZ2dOE4wLI&#10;un8DNTZiWw8RaGisCvKhIATRcTv703bE4AnHy/l4VjyfUsIxNZ0X+XgaZstYef/YWOdfCVAkHCpq&#10;cfkRnO1unU+l9yWhl4Yb2XXRAJ3+6wIx042IDjq+DlTC9ImHH9bDUZo11HskZSG5C/8tPLRgv1DS&#10;o7Mq6j5vmRWUdK81CnNRTCbBijGYTF+MMbDnmfV5hmmOUBX1lKTjtU/23RorNy12SqvQcIViNjIS&#10;DaOmqVCgEKB7olRHpwd7nsex6s/fvf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U/CbCNYAAAAI&#10;AQAADwAAAAAAAAABACAAAAAiAAAAZHJzL2Rvd25yZXYueG1sUEsBAhQAFAAAAAgAh07iQGhyvaYe&#10;AgAAJQQAAA4AAAAAAAAAAQAgAAAAJQEAAGRycy9lMm9Eb2MueG1sUEsFBgAAAAAGAAYAWQEAALUF&#10;AAAAAA==&#10;">
                <v:fill on="f" focussize="0,0"/>
                <v:stroke on="f"/>
                <v:imagedata o:title=""/>
                <o:lock v:ext="edit" aspectratio="f"/>
                <v:textbox>
                  <w:txbxContent>
                    <w:p w14:paraId="1F53932E">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lang w:eastAsia="zh-CN"/>
                        </w:rPr>
                        <w:t>组织</w:t>
                      </w:r>
                      <w:r>
                        <w:rPr>
                          <w:rFonts w:hint="eastAsia" w:ascii="楷体_GB2312" w:hAnsi="宋体" w:eastAsia="楷体_GB2312" w:cs="楷体_GB2312"/>
                          <w:b/>
                          <w:bCs/>
                          <w:color w:val="000000"/>
                          <w:sz w:val="18"/>
                          <w:szCs w:val="18"/>
                        </w:rPr>
                        <w:t>设计与施工</w:t>
                      </w:r>
                    </w:p>
                  </w:txbxContent>
                </v:textbox>
              </v:shape>
            </w:pict>
          </mc:Fallback>
        </mc:AlternateContent>
      </w:r>
      <w:r>
        <w:rPr>
          <w:rFonts w:hint="eastAsia" w:ascii="仿宋" w:hAnsi="仿宋" w:eastAsia="仿宋" w:cs="仿宋"/>
          <w:color w:val="auto"/>
          <w:highlight w:val="none"/>
          <w:lang w:eastAsia="zh-CN"/>
        </w:rPr>
        <w:t>承包人完成勘察阶段的工作并提交勘察报告后，应组织设计人员及施工人员开展相关工作，解释相关数据，并根据后续设计及施工需要补充勘察或修正勘察成果，因此增加的费用由承包人自行承担。</w:t>
      </w:r>
    </w:p>
    <w:p w14:paraId="743DCAB9">
      <w:pPr>
        <w:spacing w:line="360" w:lineRule="auto"/>
        <w:rPr>
          <w:rFonts w:hint="eastAsia" w:ascii="仿宋" w:hAnsi="仿宋" w:eastAsia="仿宋" w:cs="仿宋"/>
          <w:color w:val="auto"/>
          <w:highlight w:val="none"/>
          <w:lang w:eastAsia="zh-CN"/>
        </w:rPr>
      </w:pPr>
    </w:p>
    <w:p w14:paraId="667CCBF2">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34" w:name="_Toc13258"/>
      <w:r>
        <w:rPr>
          <w:rFonts w:hint="eastAsia" w:ascii="仿宋" w:hAnsi="仿宋" w:eastAsia="仿宋" w:cs="仿宋"/>
          <w:bCs w:val="0"/>
          <w:color w:val="auto"/>
          <w:sz w:val="24"/>
          <w:szCs w:val="24"/>
          <w:highlight w:val="none"/>
          <w:lang w:eastAsia="zh-CN"/>
        </w:rPr>
        <w:t>38  工程设计</w:t>
      </w:r>
      <w:bookmarkEnd w:id="334"/>
    </w:p>
    <w:p w14:paraId="5173A3DF">
      <w:pPr>
        <w:tabs>
          <w:tab w:val="left" w:pos="4970"/>
        </w:tabs>
        <w:spacing w:line="360" w:lineRule="auto"/>
        <w:rPr>
          <w:rFonts w:hint="eastAsia" w:ascii="仿宋" w:hAnsi="仿宋" w:eastAsia="仿宋"/>
          <w:b/>
          <w:bCs/>
          <w:color w:val="auto"/>
          <w:highlight w:val="none"/>
          <w:lang w:eastAsia="zh-CN"/>
        </w:rPr>
      </w:pPr>
      <w:r>
        <w:rPr>
          <w:b/>
          <w:bCs/>
          <w:color w:val="auto"/>
          <w:highlight w:val="none"/>
          <w:lang w:eastAsia="zh-CN" w:bidi="ar-SA"/>
        </w:rPr>
        <mc:AlternateContent>
          <mc:Choice Requires="wps">
            <w:drawing>
              <wp:anchor distT="0" distB="0" distL="114300" distR="114300" simplePos="0" relativeHeight="252005376" behindDoc="0" locked="0" layoutInCell="1" allowOverlap="1">
                <wp:simplePos x="0" y="0"/>
                <wp:positionH relativeFrom="column">
                  <wp:posOffset>-121920</wp:posOffset>
                </wp:positionH>
                <wp:positionV relativeFrom="paragraph">
                  <wp:posOffset>281305</wp:posOffset>
                </wp:positionV>
                <wp:extent cx="842645" cy="465455"/>
                <wp:effectExtent l="0" t="0" r="0" b="0"/>
                <wp:wrapNone/>
                <wp:docPr id="610"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42645" cy="465455"/>
                        </a:xfrm>
                        <a:prstGeom prst="rect">
                          <a:avLst/>
                        </a:prstGeom>
                        <a:noFill/>
                        <a:ln>
                          <a:noFill/>
                        </a:ln>
                        <a:effectLst/>
                      </wps:spPr>
                      <wps:txbx>
                        <w:txbxContent>
                          <w:p w14:paraId="07F48C7D">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资料的核实</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9.6pt;margin-top:22.15pt;height:36.65pt;width:66.35pt;z-index:252005376;mso-width-relative:page;mso-height-relative:page;" filled="f" stroked="f" coordsize="21600,21600" o:gfxdata="UEsDBAoAAAAAAIdO4kAAAAAAAAAAAAAAAAAEAAAAZHJzL1BLAwQUAAAACACHTuJApzUVkNcAAAAK&#10;AQAADwAAAGRycy9kb3ducmV2LnhtbE2PwU7DMAyG70i8Q2QkblvSrRus1N0BxBXEgEm7ZY3XVjRO&#10;1WRreXvSE7vZ8qff359vR9uKC/W+cYyQzBUI4tKZhiuEr8/X2SMIHzQb3TomhF/ysC1ub3KdGTfw&#10;B112oRIxhH2mEeoQukxKX9ZktZ+7jjjeTq63OsS1r6Tp9RDDbSsXSq2l1Q3HD7Xu6Lmm8md3tgjf&#10;b6fDPlXv1YtddYMblWS7kYj3d4l6AhFoDP8wTPpRHYrodHRnNl60CLNks4goQpouQUxAslyBOE7D&#10;wxpkkcvrCsUfUEsDBBQAAAAIAIdO4kB1/gTuHQIAACUEAAAOAAAAZHJzL2Uyb0RvYy54bWytU0uO&#10;EzEQ3SNxB8t70umoE4YondEw0SCk4SMNHMBxu9MW3S5TdtIdDgA3YMWGPefKOSjbmRCGzSzYWC5X&#10;+VW95+fF5dC1bKfQaTAlz0djzpSRUGmzKfnHDzfPLjhzXphKtGBUyffK8cvl0yeL3s7VBBpoK4WM&#10;QIyb97bkjfd2nmVONqoTbgRWGUrWgJ3wFOImq1D0hN612WQ8nmU9YGURpHKOTlcpyY+I+BhAqGst&#10;1QrktlPGJ1RUrfBEyTXaOr6M09a1kv5dXTvlWVtyYurjSk1ovw5rtlyI+QaFbbQ8jiAeM8IDTp3Q&#10;hpqeoFbCC7ZF/Q9UpyWCg9qPJHRZIhIVIRb5+IE2d42wKnIhqZ09ie7+H6x8u3uPTFcln+WkiREd&#10;Pfnh+7fDj1+Hn19ZngeFeuvmVHhnqdQPL2Eg30S2zt6C/OSYgetGmI26QoS+UaKiCePN7OxqwnEB&#10;ZN2/gYoaia2HCDTU2AX5SBBG6DTJ/vQ6avBM0uFFMZkVU84kpYrZtJhOw2yZmN9ftuj8KwUdC5uS&#10;Iz1+BBe7W+dT6X1J6GXgRrdtNEBr/jogzHSiooOOtwOVMH3i4Yf1cJRmDdWeSCEkd9Hfok0D+IWz&#10;npxVcvd5K1Bx1r42JMyLvCiCFWNQTJ9PKMDzzPo8I4wkqJJ7ztL22if7bi3qTUOd0lMYuCIxax2J&#10;hlHTVCRQCMg9Uaqj04M9z+NY9ed3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zUVkNcAAAAK&#10;AQAADwAAAAAAAAABACAAAAAiAAAAZHJzL2Rvd25yZXYueG1sUEsBAhQAFAAAAAgAh07iQHX+BO4d&#10;AgAAJQQAAA4AAAAAAAAAAQAgAAAAJgEAAGRycy9lMm9Eb2MueG1sUEsFBgAAAAAGAAYAWQEAALUF&#10;AAAAAA==&#10;">
                <v:fill on="f" focussize="0,0"/>
                <v:stroke on="f"/>
                <v:imagedata o:title=""/>
                <o:lock v:ext="edit" aspectratio="f"/>
                <v:textbox>
                  <w:txbxContent>
                    <w:p w14:paraId="07F48C7D">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资料的核实</w:t>
                      </w:r>
                    </w:p>
                  </w:txbxContent>
                </v:textbox>
              </v:shape>
            </w:pict>
          </mc:Fallback>
        </mc:AlternateContent>
      </w:r>
      <w:r>
        <w:rPr>
          <w:rFonts w:hint="eastAsia" w:ascii="仿宋" w:hAnsi="仿宋" w:eastAsia="仿宋"/>
          <w:b/>
          <w:bCs/>
          <w:color w:val="auto"/>
          <w:highlight w:val="none"/>
          <w:lang w:eastAsia="zh-CN"/>
        </w:rPr>
        <w:t>38.1</w:t>
      </w:r>
    </w:p>
    <w:p w14:paraId="0C3F00F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在工程设计开始工作日期前，应对发包人的设计要求和所提供的项目基础资料、承包人自身完成的勘察报告或其他途径得到的现场资料的完备性和正确性进行核实，发现错漏应及时提请发包人补充完善。因发包人要求和所提供的资料存在错漏，但发包人未按承包人要求补充完善，导致工程存在缺陷或发生事故，责任由发包人承担。</w:t>
      </w:r>
    </w:p>
    <w:p w14:paraId="439FA75E">
      <w:pPr>
        <w:tabs>
          <w:tab w:val="left" w:pos="4970"/>
        </w:tabs>
        <w:spacing w:line="360" w:lineRule="auto"/>
        <w:rPr>
          <w:rFonts w:hint="eastAsia" w:ascii="仿宋" w:hAnsi="仿宋" w:eastAsia="仿宋"/>
          <w:color w:val="auto"/>
          <w:highlight w:val="none"/>
          <w:lang w:eastAsia="zh-CN"/>
        </w:rPr>
      </w:pPr>
      <w:r>
        <w:rPr>
          <w:rFonts w:hint="eastAsia" w:ascii="仿宋" w:hAnsi="仿宋" w:eastAsia="仿宋"/>
          <w:b/>
          <w:bCs/>
          <w:color w:val="auto"/>
          <w:highlight w:val="none"/>
          <w:lang w:eastAsia="zh-CN"/>
        </w:rPr>
        <w:t>38.2</w:t>
      </w:r>
    </w:p>
    <w:p w14:paraId="685BEC77">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971584" behindDoc="0" locked="0" layoutInCell="1" allowOverlap="1">
                <wp:simplePos x="0" y="0"/>
                <wp:positionH relativeFrom="column">
                  <wp:posOffset>-113665</wp:posOffset>
                </wp:positionH>
                <wp:positionV relativeFrom="paragraph">
                  <wp:posOffset>9525</wp:posOffset>
                </wp:positionV>
                <wp:extent cx="823595" cy="504825"/>
                <wp:effectExtent l="0" t="0" r="0" b="0"/>
                <wp:wrapNone/>
                <wp:docPr id="611"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23595" cy="504825"/>
                        </a:xfrm>
                        <a:prstGeom prst="rect">
                          <a:avLst/>
                        </a:prstGeom>
                        <a:noFill/>
                        <a:ln>
                          <a:noFill/>
                        </a:ln>
                        <a:effectLst/>
                      </wps:spPr>
                      <wps:txbx>
                        <w:txbxContent>
                          <w:p w14:paraId="6966961C">
                            <w:pPr>
                              <w:spacing w:line="240" w:lineRule="exact"/>
                              <w:rPr>
                                <w:rFonts w:ascii="宋体"/>
                                <w:sz w:val="18"/>
                                <w:szCs w:val="18"/>
                              </w:rPr>
                            </w:pPr>
                            <w:r>
                              <w:rPr>
                                <w:rFonts w:hint="eastAsia" w:ascii="楷体_GB2312" w:hAnsi="宋体" w:eastAsia="楷体_GB2312" w:cs="楷体_GB2312"/>
                                <w:b/>
                                <w:bCs/>
                                <w:color w:val="000000"/>
                                <w:sz w:val="18"/>
                                <w:szCs w:val="18"/>
                              </w:rPr>
                              <w:t>设计实施方案</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8.95pt;margin-top:0.75pt;height:39.75pt;width:64.85pt;z-index:251971584;mso-width-relative:page;mso-height-relative:page;" filled="f" stroked="f" coordsize="21600,21600" o:gfxdata="UEsDBAoAAAAAAIdO4kAAAAAAAAAAAAAAAAAEAAAAZHJzL1BLAwQUAAAACACHTuJAN9jjIdUAAAAI&#10;AQAADwAAAGRycy9kb3ducmV2LnhtbE2PwW7CMBBE75X4B2sr9Qa2q1IgxOFA1WurAq3EzcRLEjVe&#10;R7Eh6d93ObXH1RvNvsk3o2/FFfvYBDKgZwoEUhlcQ5WBw/51ugQRkyVn20Bo4AcjbIrJXW4zFwb6&#10;wOsuVYJLKGbWQJ1Sl0kZyxq9jbPQITE7h97bxGdfSdfbgct9Kx+VepbeNsQfatvhtsbye3fxBj7f&#10;zsevJ/Vevfh5N4RRSfIraczDvVZrEAnH9BeGmz6rQ8FOp3AhF0VrYKoXK44ymIO4ca15ysnAUiuQ&#10;RS7/Dyh+AVBLAwQUAAAACACHTuJAeyh9ch4CAAAlBAAADgAAAGRycy9lMm9Eb2MueG1srVNNbhMx&#10;FN4jcQfLezJJSEo6yqQqjYqQClQqHMDxeDIWM37m2clMOADcgBUb9j1XzsGznYZQNl2wGfn9+Hvv&#10;+/zN/KJvG7ZV6DSYgo8GQ86UkVBqsy74p4/XL2acOS9MKRowquA75fjF4vmzeWdzNYYamlIhIxDj&#10;8s4WvPbe5lnmZK1a4QZglaFiBdgKTyGusxJFR+htk42Hw7OsAywtglTOUXaZivyAiE8BhKrSUi1B&#10;blplfEJF1QhPlFytreOLuG1VKek/VJVTnjUFJ6Y+fmkInVfhmy3mIl+jsLWWhxXEU1Z4xKkV2tDQ&#10;I9RSeME2qP+BarVEcFD5gYQ2S0SiIsRiNHykzV0trIpcSGpnj6K7/wcr329vkemy4GejEWdGtPTk&#10;+x/f9z/v97++McqRQp11OTXeWWr1/WvoyTeRrbM3ID87ZuCqFmatLhGhq5UoacN4Mzu5mnBcAFl1&#10;76CkQWLjIQL1FbZBPhKEETq9zu74Oqr3TFJyNn45PZ9yJqk0HU5m42nYLRP5w2WLzr9R0LJwKDjS&#10;40dwsb1xPrU+tIRZBq5100QDNOavBGGmjIoOOtwOVML2iYfvV/1BmhWUOyKFkNxF/xYdasCvnHXk&#10;rIK7LxuBirPmrSFhzkeTSbBiDCbTV2MK8LSyOq0IIwmq4J6zdLzyyb4bi3pd06T0FAYuScxKR6Jh&#10;1bQVCRQCck+U6uD0YM/TOHb9+bs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32OMh1QAAAAgB&#10;AAAPAAAAAAAAAAEAIAAAACIAAABkcnMvZG93bnJldi54bWxQSwECFAAUAAAACACHTuJAeyh9ch4C&#10;AAAlBAAADgAAAAAAAAABACAAAAAkAQAAZHJzL2Uyb0RvYy54bWxQSwUGAAAAAAYABgBZAQAAtAUA&#10;AAAA&#10;">
                <v:fill on="f" focussize="0,0"/>
                <v:stroke on="f"/>
                <v:imagedata o:title=""/>
                <o:lock v:ext="edit" aspectratio="f"/>
                <v:textbox>
                  <w:txbxContent>
                    <w:p w14:paraId="6966961C">
                      <w:pPr>
                        <w:spacing w:line="240" w:lineRule="exact"/>
                        <w:rPr>
                          <w:rFonts w:ascii="宋体"/>
                          <w:sz w:val="18"/>
                          <w:szCs w:val="18"/>
                        </w:rPr>
                      </w:pPr>
                      <w:r>
                        <w:rPr>
                          <w:rFonts w:hint="eastAsia" w:ascii="楷体_GB2312" w:hAnsi="宋体" w:eastAsia="楷体_GB2312" w:cs="楷体_GB2312"/>
                          <w:b/>
                          <w:bCs/>
                          <w:color w:val="000000"/>
                          <w:sz w:val="18"/>
                          <w:szCs w:val="18"/>
                        </w:rPr>
                        <w:t>设计实施方案</w:t>
                      </w:r>
                    </w:p>
                  </w:txbxContent>
                </v:textbox>
              </v:shape>
            </w:pict>
          </mc:Fallback>
        </mc:AlternateContent>
      </w:r>
      <w:r>
        <w:rPr>
          <w:rFonts w:hint="eastAsia" w:ascii="仿宋" w:hAnsi="仿宋" w:eastAsia="仿宋" w:cs="仿宋"/>
          <w:color w:val="auto"/>
          <w:highlight w:val="none"/>
          <w:lang w:eastAsia="zh-CN"/>
        </w:rPr>
        <w:t>38.2.1承包人应在工程设计工作开始日期前，编制初步设计实施方案和（或）施工图设计实施方案，并按专用条款约定的方式、数量和时间报发包人审查或备案。发包人在收到承包人实施方案后，应通知设计顾问人对实施方案予以核实或审核，并在收到实施方案后的</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天内予以确定或提出修改意见，逾期不确认也不提出书面意见的，视为同意。</w:t>
      </w:r>
    </w:p>
    <w:p w14:paraId="7E1D66A8">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38.2.2设计实施方案应包括项目基本情况、人员安排、工作进度、技术标准、工作量、质量保证体系以及需要发包人配合事项等。</w:t>
      </w:r>
    </w:p>
    <w:p w14:paraId="7D883E36">
      <w:pPr>
        <w:tabs>
          <w:tab w:val="left" w:pos="4970"/>
        </w:tabs>
        <w:spacing w:line="360" w:lineRule="auto"/>
        <w:rPr>
          <w:rFonts w:hint="eastAsia" w:ascii="仿宋" w:hAnsi="仿宋" w:eastAsia="仿宋"/>
          <w:color w:val="auto"/>
          <w:highlight w:val="none"/>
          <w:lang w:eastAsia="zh-CN"/>
        </w:rPr>
      </w:pPr>
      <w:r>
        <w:rPr>
          <w:rFonts w:hint="eastAsia" w:ascii="仿宋" w:hAnsi="仿宋" w:eastAsia="仿宋"/>
          <w:b/>
          <w:bCs/>
          <w:color w:val="auto"/>
          <w:highlight w:val="none"/>
          <w:lang w:eastAsia="zh-CN"/>
        </w:rPr>
        <w:t>38.3</w:t>
      </w:r>
    </w:p>
    <w:p w14:paraId="7BFFCB6D">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olor w:val="auto"/>
          <w:highlight w:val="none"/>
          <w:lang w:eastAsia="zh-CN" w:bidi="ar-SA"/>
        </w:rPr>
        <mc:AlternateContent>
          <mc:Choice Requires="wps">
            <w:drawing>
              <wp:anchor distT="0" distB="0" distL="114300" distR="114300" simplePos="0" relativeHeight="252006400" behindDoc="0" locked="0" layoutInCell="1" allowOverlap="1">
                <wp:simplePos x="0" y="0"/>
                <wp:positionH relativeFrom="column">
                  <wp:posOffset>-101600</wp:posOffset>
                </wp:positionH>
                <wp:positionV relativeFrom="paragraph">
                  <wp:posOffset>18415</wp:posOffset>
                </wp:positionV>
                <wp:extent cx="765810" cy="541020"/>
                <wp:effectExtent l="0" t="0" r="0" b="0"/>
                <wp:wrapNone/>
                <wp:docPr id="612"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65810" cy="541020"/>
                        </a:xfrm>
                        <a:prstGeom prst="rect">
                          <a:avLst/>
                        </a:prstGeom>
                        <a:noFill/>
                        <a:ln>
                          <a:noFill/>
                        </a:ln>
                        <a:effectLst/>
                      </wps:spPr>
                      <wps:txbx>
                        <w:txbxContent>
                          <w:p w14:paraId="6111D6CA">
                            <w:pPr>
                              <w:spacing w:line="240" w:lineRule="exact"/>
                              <w:rPr>
                                <w:rFonts w:ascii="宋体"/>
                                <w:sz w:val="18"/>
                                <w:szCs w:val="18"/>
                              </w:rPr>
                            </w:pPr>
                            <w:r>
                              <w:rPr>
                                <w:rFonts w:hint="eastAsia" w:ascii="楷体_GB2312" w:hAnsi="宋体" w:eastAsia="楷体_GB2312" w:cs="楷体_GB2312"/>
                                <w:b/>
                                <w:bCs/>
                                <w:color w:val="000000"/>
                                <w:sz w:val="18"/>
                                <w:szCs w:val="18"/>
                              </w:rPr>
                              <w:t>设计实施</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8pt;margin-top:1.45pt;height:42.6pt;width:60.3pt;z-index:252006400;mso-width-relative:page;mso-height-relative:page;" filled="f" stroked="f" coordsize="21600,21600" o:gfxdata="UEsDBAoAAAAAAIdO4kAAAAAAAAAAAAAAAAAEAAAAZHJzL1BLAwQUAAAACACHTuJAwEulPtYAAAAI&#10;AQAADwAAAGRycy9kb3ducmV2LnhtbE2PwW7CMBBE70j9B2srcQM7iEYhzYYDqNeiQlupNxMvSdR4&#10;HcWGpH9fc2qPoxnNvCm2k+3EjQbfOkZIlgoEceVMyzXC++llkYHwQbPRnWNC+CEP2/JhVujcuJHf&#10;6HYMtYgl7HON0ITQ51L6qiGr/dL1xNG7uMHqEOVQSzPoMZbbTq6USqXVLceFRve0a6j6Pl4twsfr&#10;5etzrQ713j71o5uUZLuRiPPHRD2DCDSFvzDc8SM6lJHp7K5svOgQFkkavwSE1QbE3VfrFMQZIcsS&#10;kGUh/x8ofwFQSwMEFAAAAAgAh07iQLBI1QAeAgAAJQQAAA4AAABkcnMvZTJvRG9jLnhtbK1TzW4T&#10;MRC+I/EOlu9ks1GSllU2VWlUhFR+pMIDOF5v1mLXY8ZOdssDwBv0xIU7z5XnYGynIZRLD1ws2zP+&#10;Zr5vPi8uhq5lO4VOgyl5PhpzpoyESptNyT99vH5xzpnzwlSiBaNKfqccv1g+f7bobaEm0EBbKWQE&#10;YlzR25I33tsiy5xsVCfcCKwyFKwBO+HpiJusQtETetdmk/F4nvWAlUWQyjm6XaUgPyDiUwChrrVU&#10;K5DbThmfUFG1whMl12jr+DJ2W9dK+vd17ZRnbcmJqY8rFaH9OqzZciGKDQrbaHloQTylhUecOqEN&#10;FT1CrYQXbIv6H6hOSwQHtR9J6LJEJCpCLPLxI21uG2FV5EJSO3sU3f0/WPlu9wGZrko+zyecGdHR&#10;yPf33/c/fu1/fmN5HhTqrSso8dZSqh9ewUC+iWydvQH52TEDV40wG3WJCH2jREUdxpfZydOE4wLI&#10;un8LFRUSWw8RaKixC/KRIIzQaTp3x+mowTNJl2fz2XlOEUmh2TQfT+L0MlE8PLbo/GsFHQubkiMN&#10;P4KL3Y3zRINSH1JCLQPXum2jAVrz1wUlphsVHXR4HaiE7hMPP6yHgzRrqO6IFEJyF/0t2jSAXznr&#10;yVkld1+2AhVn7RtDwrzMp9NgxXiYzs6IB8PTyPo0IowkqJJ7ztL2yif7bi3qTUOV0igMXJKYtY5E&#10;Q6upK2IdDuSeyP/g9GDP03PM+vO7l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EulPtYAAAAI&#10;AQAADwAAAAAAAAABACAAAAAiAAAAZHJzL2Rvd25yZXYueG1sUEsBAhQAFAAAAAgAh07iQLBI1QAe&#10;AgAAJQQAAA4AAAAAAAAAAQAgAAAAJQEAAGRycy9lMm9Eb2MueG1sUEsFBgAAAAAGAAYAWQEAALUF&#10;AAAAAA==&#10;">
                <v:fill on="f" focussize="0,0"/>
                <v:stroke on="f"/>
                <v:imagedata o:title=""/>
                <o:lock v:ext="edit" aspectratio="f"/>
                <v:textbox>
                  <w:txbxContent>
                    <w:p w14:paraId="6111D6CA">
                      <w:pPr>
                        <w:spacing w:line="240" w:lineRule="exact"/>
                        <w:rPr>
                          <w:rFonts w:ascii="宋体"/>
                          <w:sz w:val="18"/>
                          <w:szCs w:val="18"/>
                        </w:rPr>
                      </w:pPr>
                      <w:r>
                        <w:rPr>
                          <w:rFonts w:hint="eastAsia" w:ascii="楷体_GB2312" w:hAnsi="宋体" w:eastAsia="楷体_GB2312" w:cs="楷体_GB2312"/>
                          <w:b/>
                          <w:bCs/>
                          <w:color w:val="000000"/>
                          <w:sz w:val="18"/>
                          <w:szCs w:val="18"/>
                        </w:rPr>
                        <w:t>设计实施</w:t>
                      </w:r>
                    </w:p>
                  </w:txbxContent>
                </v:textbox>
              </v:shape>
            </w:pict>
          </mc:Fallback>
        </mc:AlternateContent>
      </w:r>
      <w:r>
        <w:rPr>
          <w:rFonts w:hint="eastAsia" w:ascii="仿宋" w:hAnsi="仿宋" w:eastAsia="仿宋" w:cs="仿宋"/>
          <w:color w:val="auto"/>
          <w:highlight w:val="none"/>
          <w:lang w:eastAsia="zh-CN"/>
        </w:rPr>
        <w:t>38.3.1承包人应根据发包人审查批准或备案的设计实施方案、发包人要求、设计顾问人指示并遵守有关法律、技术标准进行初步设计和（或）施工图设计。</w:t>
      </w:r>
      <w:r>
        <w:rPr>
          <w:rFonts w:ascii="仿宋" w:hAnsi="仿宋" w:eastAsia="仿宋"/>
          <w:color w:val="auto"/>
          <w:highlight w:val="none"/>
          <w:lang w:eastAsia="zh-CN"/>
        </w:rPr>
        <w:t>适用于发包人按单</w:t>
      </w:r>
      <w:r>
        <w:rPr>
          <w:rFonts w:hint="eastAsia" w:ascii="仿宋" w:hAnsi="仿宋" w:eastAsia="仿宋"/>
          <w:color w:val="auto"/>
          <w:highlight w:val="none"/>
          <w:lang w:eastAsia="zh-CN"/>
        </w:rPr>
        <w:t>项</w:t>
      </w:r>
      <w:r>
        <w:rPr>
          <w:rFonts w:ascii="仿宋" w:hAnsi="仿宋" w:eastAsia="仿宋"/>
          <w:color w:val="auto"/>
          <w:highlight w:val="none"/>
          <w:lang w:eastAsia="zh-CN"/>
        </w:rPr>
        <w:t>工程接收和（或）整个工程接收</w:t>
      </w:r>
      <w:r>
        <w:rPr>
          <w:rFonts w:hint="eastAsia" w:ascii="仿宋" w:hAnsi="仿宋" w:eastAsia="仿宋"/>
          <w:color w:val="auto"/>
          <w:highlight w:val="none"/>
          <w:lang w:eastAsia="zh-CN"/>
        </w:rPr>
        <w:t>的标准和规范，由合同当事人在专用条款中约定</w:t>
      </w:r>
      <w:r>
        <w:rPr>
          <w:rFonts w:ascii="仿宋" w:hAnsi="仿宋" w:eastAsia="仿宋"/>
          <w:color w:val="auto"/>
          <w:highlight w:val="none"/>
          <w:lang w:eastAsia="zh-CN"/>
        </w:rPr>
        <w:t>。</w:t>
      </w:r>
    </w:p>
    <w:p w14:paraId="3AF29576">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38.3.2</w:t>
      </w:r>
      <w:r>
        <w:rPr>
          <w:rFonts w:hint="eastAsia" w:ascii="仿宋" w:hAnsi="仿宋" w:eastAsia="仿宋"/>
          <w:color w:val="auto"/>
          <w:highlight w:val="none"/>
          <w:lang w:eastAsia="zh-CN"/>
        </w:rPr>
        <w:t>承包人应按照现行有关工程建设标准规范中设计深度的规定，遵循限额设计原则开展工程设计。承包人的设计应做到功能合理、技术先进、质量可靠、施工安全、绿色环保、经济合理。</w:t>
      </w:r>
    </w:p>
    <w:p w14:paraId="4E223CA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38.3.3在</w:t>
      </w:r>
      <w:r>
        <w:rPr>
          <w:rFonts w:ascii="仿宋" w:hAnsi="仿宋" w:eastAsia="仿宋"/>
          <w:color w:val="auto"/>
          <w:highlight w:val="none"/>
          <w:lang w:eastAsia="zh-CN"/>
        </w:rPr>
        <w:t>合同实施过程中国家颁布了新的标准或规范时，承包人应向发包人提交有关新标准、新规范的建议书。对其中的强制性标准、规范，承包人应严格遵守，发包人作为变更处理；对于非强制性的标准、规范，</w:t>
      </w:r>
      <w:r>
        <w:rPr>
          <w:rFonts w:hint="eastAsia" w:ascii="仿宋" w:hAnsi="仿宋" w:eastAsia="仿宋"/>
          <w:color w:val="auto"/>
          <w:highlight w:val="none"/>
          <w:lang w:eastAsia="zh-CN"/>
        </w:rPr>
        <w:t>在结构超限审查、初步设计审查、施工图审查、工程验收等无风险的情况下，</w:t>
      </w:r>
      <w:r>
        <w:rPr>
          <w:rFonts w:ascii="仿宋" w:hAnsi="仿宋" w:eastAsia="仿宋"/>
          <w:color w:val="auto"/>
          <w:highlight w:val="none"/>
          <w:lang w:eastAsia="zh-CN"/>
        </w:rPr>
        <w:t>发包人可决定采用或不采用，决定采用时，作为变更处理。</w:t>
      </w:r>
    </w:p>
    <w:p w14:paraId="5CC6085B">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38.3.4 工程完工后需要购置设备及工器具以达到生产和运营能力的建筑物或构筑物，承包人的设计应满足其工艺流程、设备配置要求。需要</w:t>
      </w:r>
      <w:r>
        <w:rPr>
          <w:rFonts w:ascii="仿宋" w:hAnsi="仿宋" w:eastAsia="仿宋"/>
          <w:color w:val="auto"/>
          <w:highlight w:val="none"/>
          <w:lang w:eastAsia="zh-CN"/>
        </w:rPr>
        <w:t>专利</w:t>
      </w:r>
      <w:r>
        <w:rPr>
          <w:rFonts w:hint="eastAsia" w:ascii="仿宋" w:hAnsi="仿宋" w:eastAsia="仿宋"/>
          <w:color w:val="auto"/>
          <w:highlight w:val="none"/>
          <w:lang w:eastAsia="zh-CN"/>
        </w:rPr>
        <w:t>人、设备商</w:t>
      </w:r>
      <w:r>
        <w:rPr>
          <w:rFonts w:ascii="仿宋" w:hAnsi="仿宋" w:eastAsia="仿宋"/>
          <w:color w:val="auto"/>
          <w:highlight w:val="none"/>
          <w:lang w:eastAsia="zh-CN"/>
        </w:rPr>
        <w:t>或发包人</w:t>
      </w:r>
      <w:r>
        <w:rPr>
          <w:rFonts w:hint="eastAsia" w:ascii="仿宋" w:hAnsi="仿宋" w:eastAsia="仿宋"/>
          <w:color w:val="auto"/>
          <w:highlight w:val="none"/>
          <w:lang w:eastAsia="zh-CN"/>
        </w:rPr>
        <w:t>提供的相关资料，由双方在专用条款中约定。</w:t>
      </w:r>
    </w:p>
    <w:p w14:paraId="19904F8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38.3.5 承包人应充分利用BIM技术进行正向设计</w:t>
      </w:r>
      <w:r>
        <w:rPr>
          <w:rFonts w:hint="eastAsia" w:ascii="仿宋" w:hAnsi="仿宋" w:eastAsia="仿宋" w:cs="仿宋"/>
          <w:color w:val="auto"/>
          <w:highlight w:val="none"/>
          <w:lang w:eastAsia="zh-CN"/>
        </w:rPr>
        <w:t>或建模与出图同步完成的设计方式</w:t>
      </w:r>
      <w:r>
        <w:rPr>
          <w:rFonts w:hint="eastAsia" w:ascii="仿宋" w:hAnsi="仿宋" w:eastAsia="仿宋"/>
          <w:color w:val="auto"/>
          <w:highlight w:val="none"/>
          <w:lang w:eastAsia="zh-CN"/>
        </w:rPr>
        <w:t>，通过使用建筑信息模型（BIM），优化设计成果。</w:t>
      </w:r>
    </w:p>
    <w:p w14:paraId="47CF5CA1">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38.3.6 设计过程中，承包人发现发包人提供的已立项批准或备案可研报告中的建设方案、工艺流程和（或）初步设计存在重大缺陷或需要优化，承包人应及时以书面形式向发包人及设计顾问人提出合理化建议及对工程投资费用或效益的影响程度。若合理化建议被采用，发包人作变更处理，因节约投资或产生预期效益显著，承包人可获得适当的奖励，具体在专用条款中约定。</w:t>
      </w:r>
    </w:p>
    <w:p w14:paraId="72591BA4">
      <w:pPr>
        <w:tabs>
          <w:tab w:val="left" w:pos="4970"/>
        </w:tabs>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95488" behindDoc="0" locked="0" layoutInCell="1" allowOverlap="1">
                <wp:simplePos x="0" y="0"/>
                <wp:positionH relativeFrom="column">
                  <wp:posOffset>-102870</wp:posOffset>
                </wp:positionH>
                <wp:positionV relativeFrom="paragraph">
                  <wp:posOffset>278765</wp:posOffset>
                </wp:positionV>
                <wp:extent cx="813435" cy="617855"/>
                <wp:effectExtent l="0" t="0" r="0" b="0"/>
                <wp:wrapNone/>
                <wp:docPr id="613"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813435" cy="617855"/>
                        </a:xfrm>
                        <a:prstGeom prst="rect">
                          <a:avLst/>
                        </a:prstGeom>
                        <a:noFill/>
                        <a:ln>
                          <a:noFill/>
                        </a:ln>
                        <a:effectLst/>
                      </wps:spPr>
                      <wps:txbx>
                        <w:txbxContent>
                          <w:p w14:paraId="70514D30">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设计文件</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48.65pt;width:64.05pt;z-index:252095488;mso-width-relative:page;mso-height-relative:page;" filled="f" stroked="f" coordsize="21600,21600" o:gfxdata="UEsDBAoAAAAAAIdO4kAAAAAAAAAAAAAAAAAEAAAAZHJzL1BLAwQUAAAACACHTuJA7uDGQdYAAAAK&#10;AQAADwAAAGRycy9kb3ducmV2LnhtbE2PTU/DMAyG70j8h8hI3LYkpUysNN0BxJWJ8SFxyxqvrWic&#10;qsnW7t/jneD2Wn70+nG5mX0vTjjGLpABvVQgkOrgOmoMfLy/LB5AxGTJ2T4QGjhjhE11fVXawoWJ&#10;3vC0S43gEoqFNdCmNBRSxrpFb+MyDEi8O4TR28Tj2Eg32onLfS8zpVbS2474QmsHfGqx/tkdvYHP&#10;18P3V662zbO/H6YwK0l+LY25vdHqEUTCOf3BcNFndajYaR+O5KLoDSz0KmPUQH63BnEBtOaw55Dr&#10;DGRVyv8vVL9QSwMEFAAAAAgAh07iQFjhVUgfAgAAJQQAAA4AAABkcnMvZTJvRG9jLnhtbK1TS27b&#10;MBDdF+gdCO5rWf7FFSwHaYwUBdIPkPYANEVZRCUOO6QtuQdobtBVN933XD5Hh5Tjuukmi24IkjN8&#10;M+/N4+Kya2q2U+g0mJyngyFnykgotNnk/NPHmxdzzpwXphA1GJXzvXL8cvn82aK1mRpBBXWhkBGI&#10;cVlrc155b7MkcbJSjXADsMpQsARshKcjbpICRUvoTZ2MhsNZ0gIWFkEq5+h21Qf5ERGfAghlqaVa&#10;gdw2yvgeFVUtPFFylbaOL2O3Zamkf1+WTnlW55yY+rhSEdqvw5osFyLboLCVlscWxFNaeMSpEdpQ&#10;0RPUSnjBtqj/gWq0RHBQ+oGEJumJREWIRTp8pM1dJayKXEhqZ0+iu/8HK9/tPiDTRc5n6ZgzIxoa&#10;+eH7/eHHr8PPbywdBYVa6zJKvLOU6rtX0JFvIltnb0F+dszAdSXMRl0hQlspUVCHaXiZnD3tcVwA&#10;WbdvoaBCYushAnUlNkE+EoQROk1nf5qO6jyTdDlPx5PxlDNJoVl6MZ9OYwWRPTy26PxrBQ0Lm5wj&#10;DT+Ci92t86EZkT2khFoGbnRdRwPU5q8LSuxvVHTQ8XWgErrvefhu3R2lWUOxJ1IIvbvob9GmAvzK&#10;WUvOyrn7shWoOKvfGBLmZTqZBCvGw2R6MaIDnkfW5xFhJEHl3HPWb699b9+tRb2pqFI/CgNXJGap&#10;I9HQat/VcQTknsj/6PRgz/NzzPrzu5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7gxkHWAAAA&#10;CgEAAA8AAAAAAAAAAQAgAAAAIgAAAGRycy9kb3ducmV2LnhtbFBLAQIUABQAAAAIAIdO4kBY4VVI&#10;HwIAACUEAAAOAAAAAAAAAAEAIAAAACUBAABkcnMvZTJvRG9jLnhtbFBLBQYAAAAABgAGAFkBAAC2&#10;BQAAAAA=&#10;">
                <v:fill on="f" focussize="0,0"/>
                <v:stroke on="f"/>
                <v:imagedata o:title=""/>
                <o:lock v:ext="edit" aspectratio="f"/>
                <v:textbox>
                  <w:txbxContent>
                    <w:p w14:paraId="70514D30">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设计文件</w:t>
                      </w:r>
                    </w:p>
                  </w:txbxContent>
                </v:textbox>
              </v:shape>
            </w:pict>
          </mc:Fallback>
        </mc:AlternateContent>
      </w:r>
      <w:r>
        <w:rPr>
          <w:rFonts w:hint="eastAsia" w:ascii="仿宋" w:hAnsi="仿宋" w:eastAsia="仿宋" w:cs="仿宋"/>
          <w:b/>
          <w:bCs/>
          <w:color w:val="auto"/>
          <w:highlight w:val="none"/>
          <w:lang w:eastAsia="zh-CN"/>
        </w:rPr>
        <w:t>38.4</w:t>
      </w:r>
    </w:p>
    <w:p w14:paraId="0E1F20D8">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38.4.1承包人向发包人提交设计文件的方式、数量和时间，由双方在专用条款中约定。发包人要求增加的设计文件，费用由发包人承担；承包人内部使用的设计文件，其费用由承包人自己承担。</w:t>
      </w:r>
    </w:p>
    <w:p w14:paraId="640E5A00">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38.4.2承包人完成初步设计或施工图设计工作并提交设计文件后，发包人和设计顾问人应及时组织评审或审查。发包人和设计顾问人应及时签收初步设计或施工图设计文件、确认初步设计或施工图设计工作完成时间，并按专用条款约定支付工程设计费。</w:t>
      </w:r>
    </w:p>
    <w:p w14:paraId="2C525520">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 xml:space="preserve">38.4.3 </w:t>
      </w:r>
      <w:r>
        <w:rPr>
          <w:rFonts w:ascii="仿宋" w:hAnsi="仿宋" w:eastAsia="仿宋"/>
          <w:color w:val="auto"/>
          <w:highlight w:val="none"/>
          <w:lang w:eastAsia="zh-CN"/>
        </w:rPr>
        <w:t>因承包人原因，造成</w:t>
      </w:r>
      <w:r>
        <w:rPr>
          <w:rFonts w:hint="eastAsia" w:ascii="仿宋" w:hAnsi="仿宋" w:eastAsia="仿宋"/>
          <w:color w:val="auto"/>
          <w:highlight w:val="none"/>
          <w:lang w:eastAsia="zh-CN"/>
        </w:rPr>
        <w:t>初步</w:t>
      </w:r>
      <w:r>
        <w:rPr>
          <w:rFonts w:ascii="仿宋" w:hAnsi="仿宋" w:eastAsia="仿宋"/>
          <w:color w:val="auto"/>
          <w:highlight w:val="none"/>
          <w:lang w:eastAsia="zh-CN"/>
        </w:rPr>
        <w:t>设计文件</w:t>
      </w:r>
      <w:r>
        <w:rPr>
          <w:rFonts w:hint="eastAsia" w:ascii="仿宋" w:hAnsi="仿宋" w:eastAsia="仿宋"/>
          <w:color w:val="auto"/>
          <w:highlight w:val="none"/>
          <w:lang w:eastAsia="zh-CN"/>
        </w:rPr>
        <w:t>和（或）施工图</w:t>
      </w:r>
      <w:r>
        <w:rPr>
          <w:rFonts w:ascii="仿宋" w:hAnsi="仿宋" w:eastAsia="仿宋"/>
          <w:color w:val="auto"/>
          <w:highlight w:val="none"/>
          <w:lang w:eastAsia="zh-CN"/>
        </w:rPr>
        <w:t>存在遗漏、错误和不足的，承包人应</w:t>
      </w:r>
      <w:r>
        <w:rPr>
          <w:rFonts w:hint="eastAsia" w:ascii="仿宋" w:hAnsi="仿宋" w:eastAsia="仿宋"/>
          <w:color w:val="auto"/>
          <w:highlight w:val="none"/>
          <w:lang w:eastAsia="zh-CN"/>
        </w:rPr>
        <w:t>补充、</w:t>
      </w:r>
      <w:r>
        <w:rPr>
          <w:rFonts w:ascii="仿宋" w:hAnsi="仿宋" w:eastAsia="仿宋"/>
          <w:color w:val="auto"/>
          <w:highlight w:val="none"/>
          <w:lang w:eastAsia="zh-CN"/>
        </w:rPr>
        <w:t>修</w:t>
      </w:r>
      <w:r>
        <w:rPr>
          <w:rFonts w:hint="eastAsia" w:ascii="仿宋" w:hAnsi="仿宋" w:eastAsia="仿宋"/>
          <w:color w:val="auto"/>
          <w:highlight w:val="none"/>
          <w:lang w:eastAsia="zh-CN"/>
        </w:rPr>
        <w:t>正</w:t>
      </w:r>
      <w:r>
        <w:rPr>
          <w:rFonts w:ascii="仿宋" w:hAnsi="仿宋" w:eastAsia="仿宋"/>
          <w:color w:val="auto"/>
          <w:highlight w:val="none"/>
          <w:lang w:eastAsia="zh-CN"/>
        </w:rPr>
        <w:t>和完善</w:t>
      </w:r>
      <w:r>
        <w:rPr>
          <w:rFonts w:hint="eastAsia" w:ascii="仿宋" w:hAnsi="仿宋" w:eastAsia="仿宋"/>
          <w:color w:val="auto"/>
          <w:highlight w:val="none"/>
          <w:lang w:eastAsia="zh-CN"/>
        </w:rPr>
        <w:t>，由此产生的费用由承包人承担</w:t>
      </w:r>
      <w:r>
        <w:rPr>
          <w:rFonts w:ascii="仿宋" w:hAnsi="仿宋" w:eastAsia="仿宋"/>
          <w:color w:val="auto"/>
          <w:highlight w:val="none"/>
          <w:lang w:eastAsia="zh-CN"/>
        </w:rPr>
        <w:t>。</w:t>
      </w:r>
      <w:r>
        <w:rPr>
          <w:rFonts w:hint="eastAsia" w:ascii="仿宋" w:hAnsi="仿宋" w:eastAsia="仿宋"/>
          <w:color w:val="auto"/>
          <w:highlight w:val="none"/>
          <w:lang w:eastAsia="zh-CN"/>
        </w:rPr>
        <w:t>因此对后续设计、采购、施工等造成的工期延误及费用增加由承包人承担。</w:t>
      </w:r>
    </w:p>
    <w:p w14:paraId="7E42DCB1">
      <w:pPr>
        <w:tabs>
          <w:tab w:val="left" w:pos="4970"/>
        </w:tabs>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07424" behindDoc="0" locked="0" layoutInCell="1" allowOverlap="1">
                <wp:simplePos x="0" y="0"/>
                <wp:positionH relativeFrom="column">
                  <wp:posOffset>-102870</wp:posOffset>
                </wp:positionH>
                <wp:positionV relativeFrom="paragraph">
                  <wp:posOffset>278765</wp:posOffset>
                </wp:positionV>
                <wp:extent cx="871220" cy="828675"/>
                <wp:effectExtent l="0" t="0" r="0" b="0"/>
                <wp:wrapNone/>
                <wp:docPr id="614"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871220" cy="828675"/>
                        </a:xfrm>
                        <a:prstGeom prst="rect">
                          <a:avLst/>
                        </a:prstGeom>
                        <a:noFill/>
                        <a:ln>
                          <a:noFill/>
                        </a:ln>
                        <a:effectLst/>
                      </wps:spPr>
                      <wps:txbx>
                        <w:txbxContent>
                          <w:p w14:paraId="2C7FE26C">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 xml:space="preserve">装配式建筑设计的一般要求 </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65.25pt;width:68.6pt;z-index:252007424;mso-width-relative:page;mso-height-relative:page;" filled="f" stroked="f" coordsize="21600,21600" o:gfxdata="UEsDBAoAAAAAAIdO4kAAAAAAAAAAAAAAAAAEAAAAZHJzL1BLAwQUAAAACACHTuJA7Ik1xNcAAAAK&#10;AQAADwAAAGRycy9kb3ducmV2LnhtbE2PwU7DMAyG70i8Q2QkblvSUjZWmu4A4srEYEjcssZrKxqn&#10;arK1vP28E7vZ8qff31+sJ9eJEw6h9aQhmSsQSJW3LdUavj7fZk8gQjRkTecJNfxhgHV5e1OY3PqR&#10;PvC0jbXgEAq50dDE2OdShqpBZ8Lc90h8O/jBmcjrUEs7mJHDXSdTpRbSmZb4Q2N6fGmw+t0enYbd&#10;++HnO1Ob+tU99qOflCS3klrf3yXqGUTEKf7DcNFndSjZae+PZIPoNMySRcqohuxhBeICpAmX2/Ow&#10;zDKQZSGvK5RnUEsDBBQAAAAIAIdO4kAcUxknHQIAACUEAAAOAAAAZHJzL2Uyb0RvYy54bWytU82O&#10;0zAQviPxDpbvNE3VbUvUdLVstQhp+ZEWHsB1nMYi8Zix26Q8ALzBnrhw57n6HIydbCnLZQ9cLNsz&#10;/ma+bz4vL7umZnuFToPJeToac6aMhEKbbc4/fbx5seDMeWEKUYNROT8oxy9Xz58tW5upCVRQFwoZ&#10;gRiXtTbnlfc2SxInK9UINwKrDAVLwEZ4OuI2KVC0hN7UyWQ8niUtYGERpHKObtd9kA+I+BRAKEst&#10;1RrkrlHG96ioauGJkqu0dXwVuy1LJf37snTKszrnxNTHlYrQfhPWZLUU2RaFrbQcWhBPaeERp0Zo&#10;Q0VPUGvhBduh/geq0RLBQelHEpqkJxIVIRbp+JE2d5WwKnIhqZ09ie7+H6x8t/+ATBc5n6VTzoxo&#10;aOTH++/HH7+OP7+xdBIUaq3LKPHOUqrvXkFHvolsnb0F+dkxA9eVMFt1hQhtpURBHabhZXL2tMdx&#10;AWTTvoWCComdhwjUldgE+UgQRug0ncNpOqrzTNLlYp5OJhSRFFpMFrP5RawgsofHFp1/raBhYZNz&#10;pOFHcLG/dT40I7KHlFDLwI2u62iA2vx1QYn9jYoOGl4HKqH7nofvNt0gzQaKA5FC6N1Ff4s2FeBX&#10;zlpyVs7dl51AxVn9xpAwL9PpNFgxHqYX88AJzyOb84gwkqBy7jnrt9e+t+/Oot5WVKkfhYErErPU&#10;kWhote9qGAG5J/IfnB7seX6OWX9+9+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7Ik1xNcAAAAK&#10;AQAADwAAAAAAAAABACAAAAAiAAAAZHJzL2Rvd25yZXYueG1sUEsBAhQAFAAAAAgAh07iQBxTGScd&#10;AgAAJQQAAA4AAAAAAAAAAQAgAAAAJgEAAGRycy9lMm9Eb2MueG1sUEsFBgAAAAAGAAYAWQEAALUF&#10;AAAAAA==&#10;">
                <v:fill on="f" focussize="0,0"/>
                <v:stroke on="f"/>
                <v:imagedata o:title=""/>
                <o:lock v:ext="edit" aspectratio="f"/>
                <v:textbox>
                  <w:txbxContent>
                    <w:p w14:paraId="2C7FE26C">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 xml:space="preserve">装配式建筑设计的一般要求 </w:t>
                      </w:r>
                    </w:p>
                  </w:txbxContent>
                </v:textbox>
              </v:shape>
            </w:pict>
          </mc:Fallback>
        </mc:AlternateContent>
      </w:r>
      <w:r>
        <w:rPr>
          <w:rFonts w:hint="eastAsia" w:ascii="仿宋" w:hAnsi="仿宋" w:eastAsia="仿宋" w:cs="仿宋"/>
          <w:b/>
          <w:bCs/>
          <w:color w:val="auto"/>
          <w:highlight w:val="none"/>
          <w:lang w:eastAsia="zh-CN"/>
        </w:rPr>
        <w:t>38.5</w:t>
      </w:r>
    </w:p>
    <w:p w14:paraId="14565769">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38.5.1发包人要求采用装配式建筑的，承包人应本着工厂化、标准化、模块化、集成化、体系化、绿色环保、经济合理等原则，遵守国家、广东省及广州市有关装配式技术标准与规范进行设计。具体采用的相关技术标准、规范、要求和装配率评价选用标准、各装配式单体工程名称及其装配率（或评价等级）在专用条款中约定。</w:t>
      </w:r>
    </w:p>
    <w:p w14:paraId="0112EFA8">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38.5.2承包人应任命本单位专业人员担任承包人设计代表（承包人为联合体时，应由具有符合项目规模要求的设计单位委派专业人员担任），统筹装配式构件的设计、生产、运输、吊装和拼接，加强协同管理，并建立基于建筑信息模型（BIM）的装配式构件生产管理信息系统，对构件进行编码管理，保证工程质量。</w:t>
      </w:r>
    </w:p>
    <w:p w14:paraId="01EB707E">
      <w:pPr>
        <w:tabs>
          <w:tab w:val="left" w:pos="4970"/>
        </w:tabs>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08448" behindDoc="0" locked="0" layoutInCell="1" allowOverlap="1">
                <wp:simplePos x="0" y="0"/>
                <wp:positionH relativeFrom="column">
                  <wp:posOffset>-102870</wp:posOffset>
                </wp:positionH>
                <wp:positionV relativeFrom="paragraph">
                  <wp:posOffset>278765</wp:posOffset>
                </wp:positionV>
                <wp:extent cx="765810" cy="408305"/>
                <wp:effectExtent l="0" t="0" r="0" b="0"/>
                <wp:wrapNone/>
                <wp:docPr id="615"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765810" cy="408305"/>
                        </a:xfrm>
                        <a:prstGeom prst="rect">
                          <a:avLst/>
                        </a:prstGeom>
                        <a:noFill/>
                        <a:ln>
                          <a:noFill/>
                        </a:ln>
                        <a:effectLst/>
                      </wps:spPr>
                      <wps:txbx>
                        <w:txbxContent>
                          <w:p w14:paraId="5A7974F9">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设计审查</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32.15pt;width:60.3pt;z-index:252008448;mso-width-relative:page;mso-height-relative:page;" filled="f" stroked="f" coordsize="21600,21600" o:gfxdata="UEsDBAoAAAAAAIdO4kAAAAAAAAAAAAAAAAAEAAAAZHJzL1BLAwQUAAAACACHTuJA3bBHqdcAAAAK&#10;AQAADwAAAGRycy9kb3ducmV2LnhtbE2PwU7DMAyG70i8Q2QkblvSUqatq7sDiCuIDZC4ZY3XVmuc&#10;qsnW8vakJ7jZ8qff31/sJtuJKw2+dYyQLBUI4sqZlmuEj8PLYg3CB81Gd44J4Yc87Mrbm0Lnxo38&#10;Ttd9qEUMYZ9rhCaEPpfSVw1Z7ZeuJ463kxusDnEdamkGPcZw28lUqZW0uuX4odE9PTVUnfcXi/D5&#10;evr+ytRb/Wwf+9FNSrLdSMT7u0RtQQSawh8Ms35UhzI6Hd2FjRcdwiJZpRFFyB42IGZAZRmI4zys&#10;U5BlIf9XKH8BUEsDBBQAAAAIAIdO4kD4ZDCiHgIAACUEAAAOAAAAZHJzL2Uyb0RvYy54bWytU82O&#10;0zAQviPxDpbvNElpuyVqulq2WoS0/EgLD+A6TmOReMzYbVIeAN6AExfuPFefg7HTLWW57IGLZXvG&#10;38z3zefFZd82bKfQaTAFz0YpZ8pIKLXZFPzjh5tnc86cF6YUDRhV8L1y/HL59Mmis7kaQw1NqZAR&#10;iHF5Zwtee2/zJHGyVq1wI7DKULACbIWnI26SEkVH6G2TjNN0lnSApUWQyjm6XQ1BfkTExwBCVWmp&#10;ViC3rTJ+QEXVCE+UXK2t48vYbVUp6d9VlVOeNQUnpj6uVIT267Amy4XINyhsreWxBfGYFh5waoU2&#10;VPQEtRJesC3qf6BaLREcVH4koU0GIlERYpGlD7S5q4VVkQtJ7exJdPf/YOXb3Xtkuiz4LJtyZkRL&#10;Iz98/3b48evw8yvLxkGhzrqcEu8spfr+JfTkm8jW2VuQnxwzcF0Ls1FXiNDVSpTUYRZeJmdPBxwX&#10;QNbdGyipkNh6iEB9hW2QjwRhhE7T2Z+mo3rPJF1ezKbzjCKSQpN0/jydxgoiv39s0flXCloWNgVH&#10;Gn4EF7tb50MzIr9PCbUM3OimiQZozF8XlDjcqOig4+tAJXQ/8PD9uj9Ks4ZyT6QQBnfR36JNDfiF&#10;s46cVXD3eStQcda8NiTMi2wyCVaMh8n0YkwHPI+szyPCSIIquOds2F77wb5bi3pTU6VhFAauSMxK&#10;R6Kh1aGr4wjIPZH/0enBnufnmPXndy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2wR6nXAAAA&#10;CgEAAA8AAAAAAAAAAQAgAAAAIgAAAGRycy9kb3ducmV2LnhtbFBLAQIUABQAAAAIAIdO4kD4ZDCi&#10;HgIAACUEAAAOAAAAAAAAAAEAIAAAACYBAABkcnMvZTJvRG9jLnhtbFBLBQYAAAAABgAGAFkBAAC2&#10;BQAAAAA=&#10;">
                <v:fill on="f" focussize="0,0"/>
                <v:stroke on="f"/>
                <v:imagedata o:title=""/>
                <o:lock v:ext="edit" aspectratio="f"/>
                <v:textbox>
                  <w:txbxContent>
                    <w:p w14:paraId="5A7974F9">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设计审查</w:t>
                      </w:r>
                    </w:p>
                  </w:txbxContent>
                </v:textbox>
              </v:shape>
            </w:pict>
          </mc:Fallback>
        </mc:AlternateContent>
      </w:r>
      <w:r>
        <w:rPr>
          <w:rFonts w:hint="eastAsia" w:ascii="仿宋" w:hAnsi="仿宋" w:eastAsia="仿宋" w:cs="仿宋"/>
          <w:b/>
          <w:bCs/>
          <w:color w:val="auto"/>
          <w:highlight w:val="none"/>
          <w:lang w:eastAsia="zh-CN"/>
        </w:rPr>
        <w:t>38.6</w:t>
      </w:r>
    </w:p>
    <w:p w14:paraId="29E3A64D">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38.6.1发包人审查</w:t>
      </w:r>
    </w:p>
    <w:p w14:paraId="6E06D6AD">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38.6.1.1承包人的初步设计文件和（或）施工图应报发包人审查同意。审查的范围和内容在发包人要求中明确，审查标准应符合有关法律、技术标准和发包人要求。涉及重大设计技术问题的，承包人应及时向发包人提出书面审查申请。</w:t>
      </w:r>
    </w:p>
    <w:p w14:paraId="34BFE44A">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38.6.1.2除专用条款另有约定外，自发包人收到承包人的设计文件以及承包人的书面通知之日起，</w:t>
      </w:r>
      <w:r>
        <w:rPr>
          <w:rFonts w:hint="eastAsia" w:ascii="仿宋" w:hAnsi="仿宋" w:eastAsia="仿宋" w:cs="仿宋"/>
          <w:color w:val="auto"/>
          <w:highlight w:val="none"/>
          <w:lang w:eastAsia="zh-CN"/>
        </w:rPr>
        <w:t>应及时通知设计顾问人对设计文件予以核实或审核并完成发包人审查，</w:t>
      </w:r>
      <w:r>
        <w:rPr>
          <w:rFonts w:hint="eastAsia" w:ascii="仿宋" w:hAnsi="仿宋" w:eastAsia="仿宋"/>
          <w:color w:val="auto"/>
          <w:highlight w:val="none"/>
          <w:lang w:eastAsia="zh-CN"/>
        </w:rPr>
        <w:t>发包人对承包人的设计文件审查期不超过21天。</w:t>
      </w:r>
    </w:p>
    <w:p w14:paraId="65361B03">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38.6.1.3发包人经审查不同意承包人的设计文件的，应以书面形式通知承包人，并说明不符合合同约定的具体内容。承包人应对设计文件修正完善后重新送审，审查期重新起算。如果发包人的审查意见超出或更改了发包人要求，承包人可根据第63条约定提出变更申请，由发包人承担增加的工程费或工程设计费。</w:t>
      </w:r>
    </w:p>
    <w:p w14:paraId="2BDF8CF5">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38.6.1.4发包人经审查同意承包人的设计文件的，应以书面形式通知承包人。合同约定的审查期满，发包人没有做出审查结论也没有提出异议的，视为承包人送审的设计文件已获发包人同意。</w:t>
      </w:r>
    </w:p>
    <w:p w14:paraId="2F64673F">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38.6.1.5 承包人的设计文件不需要政府有关部门审查或批准的，承包人应依据发包人审查同意的初步设计进行施工图设计，或依据发包人审查同意的施工图组织施工。</w:t>
      </w:r>
    </w:p>
    <w:p w14:paraId="155F347F">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38.6.2政府部门审查或批准</w:t>
      </w:r>
    </w:p>
    <w:p w14:paraId="2FC4DB52">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38.6.2.1 承包人的初步设计文件和（或）施工图需政府有关部门或施工图审查机构审查或批准的，发包人应在审查同意后7天内，向政府有关部门或施工图审查机构报送设计文件，承包人应</w:t>
      </w:r>
      <w:r>
        <w:rPr>
          <w:rFonts w:ascii="仿宋" w:hAnsi="仿宋" w:eastAsia="仿宋"/>
          <w:color w:val="auto"/>
          <w:highlight w:val="none"/>
          <w:lang w:eastAsia="zh-CN"/>
        </w:rPr>
        <w:t>予以</w:t>
      </w:r>
      <w:r>
        <w:rPr>
          <w:rFonts w:hint="eastAsia" w:ascii="仿宋" w:hAnsi="仿宋" w:eastAsia="仿宋"/>
          <w:color w:val="auto"/>
          <w:highlight w:val="none"/>
          <w:lang w:eastAsia="zh-CN"/>
        </w:rPr>
        <w:t>协助。</w:t>
      </w:r>
    </w:p>
    <w:p w14:paraId="355B6C00">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38.6.2.2</w:t>
      </w:r>
      <w:r>
        <w:rPr>
          <w:rFonts w:ascii="仿宋" w:hAnsi="仿宋" w:eastAsia="仿宋"/>
          <w:color w:val="auto"/>
          <w:highlight w:val="none"/>
          <w:lang w:eastAsia="zh-CN"/>
        </w:rPr>
        <w:t>发包人</w:t>
      </w:r>
      <w:r>
        <w:rPr>
          <w:rFonts w:hint="eastAsia" w:ascii="仿宋" w:hAnsi="仿宋" w:eastAsia="仿宋"/>
          <w:color w:val="auto"/>
          <w:highlight w:val="none"/>
          <w:lang w:eastAsia="zh-CN"/>
        </w:rPr>
        <w:t>应</w:t>
      </w:r>
      <w:r>
        <w:rPr>
          <w:rFonts w:ascii="仿宋" w:hAnsi="仿宋" w:eastAsia="仿宋"/>
          <w:color w:val="auto"/>
          <w:highlight w:val="none"/>
          <w:lang w:eastAsia="zh-CN"/>
        </w:rPr>
        <w:t>向承包人提供</w:t>
      </w:r>
      <w:r>
        <w:rPr>
          <w:rFonts w:hint="eastAsia" w:ascii="仿宋" w:hAnsi="仿宋" w:eastAsia="仿宋"/>
          <w:color w:val="auto"/>
          <w:highlight w:val="none"/>
          <w:lang w:eastAsia="zh-CN"/>
        </w:rPr>
        <w:t>政府有关部门或施工图审查机构</w:t>
      </w:r>
      <w:r>
        <w:rPr>
          <w:rFonts w:ascii="仿宋" w:hAnsi="仿宋" w:eastAsia="仿宋"/>
          <w:color w:val="auto"/>
          <w:highlight w:val="none"/>
          <w:lang w:eastAsia="zh-CN"/>
        </w:rPr>
        <w:t>的批准文件和</w:t>
      </w:r>
      <w:r>
        <w:rPr>
          <w:rFonts w:hint="eastAsia" w:ascii="仿宋" w:hAnsi="仿宋" w:eastAsia="仿宋"/>
          <w:color w:val="auto"/>
          <w:highlight w:val="none"/>
          <w:lang w:eastAsia="zh-CN"/>
        </w:rPr>
        <w:t>审查意见。</w:t>
      </w:r>
      <w:r>
        <w:rPr>
          <w:rFonts w:ascii="仿宋" w:hAnsi="仿宋" w:eastAsia="仿宋"/>
          <w:color w:val="auto"/>
          <w:highlight w:val="none"/>
          <w:lang w:eastAsia="zh-CN"/>
        </w:rPr>
        <w:t>承包人</w:t>
      </w:r>
      <w:r>
        <w:rPr>
          <w:rFonts w:hint="eastAsia" w:ascii="仿宋" w:hAnsi="仿宋" w:eastAsia="仿宋"/>
          <w:color w:val="auto"/>
          <w:highlight w:val="none"/>
          <w:lang w:eastAsia="zh-CN"/>
        </w:rPr>
        <w:t>应按照相关审查批准文件对设计文件进行补充、修改和完善。</w:t>
      </w:r>
    </w:p>
    <w:p w14:paraId="38424F86">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38.6.2.3经政府有关部门或</w:t>
      </w:r>
      <w:r>
        <w:rPr>
          <w:rFonts w:ascii="仿宋" w:hAnsi="仿宋" w:eastAsia="仿宋"/>
          <w:color w:val="auto"/>
          <w:highlight w:val="none"/>
          <w:lang w:eastAsia="zh-CN"/>
        </w:rPr>
        <w:t>施工图</w:t>
      </w:r>
      <w:r>
        <w:rPr>
          <w:rFonts w:hint="eastAsia" w:ascii="仿宋" w:hAnsi="仿宋" w:eastAsia="仿宋"/>
          <w:color w:val="auto"/>
          <w:highlight w:val="none"/>
          <w:lang w:eastAsia="zh-CN"/>
        </w:rPr>
        <w:t>审查机构审查，需要修改发包人要求的，发包人应重新提出发包人要求，通知承包人相应修改设计文件，并重新送审，承包人可根据第63条约定提出变更申请，由发包人承担增加的工程费或工程设计费。</w:t>
      </w:r>
    </w:p>
    <w:p w14:paraId="1DC31056">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38.6.3 审查会议</w:t>
      </w:r>
    </w:p>
    <w:p w14:paraId="0C4CA295">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38.6.3.1 承包人向发包人送审初步设计文件和（或）施工图前，应组织相关专家对设计文件进行评审，通知</w:t>
      </w:r>
      <w:r>
        <w:rPr>
          <w:rFonts w:ascii="仿宋" w:hAnsi="仿宋" w:eastAsia="仿宋"/>
          <w:color w:val="auto"/>
          <w:highlight w:val="none"/>
          <w:lang w:eastAsia="zh-CN"/>
        </w:rPr>
        <w:t>发包</w:t>
      </w:r>
      <w:r>
        <w:rPr>
          <w:rFonts w:hint="eastAsia" w:ascii="仿宋" w:hAnsi="仿宋" w:eastAsia="仿宋"/>
          <w:color w:val="auto"/>
          <w:highlight w:val="none"/>
          <w:lang w:eastAsia="zh-CN"/>
        </w:rPr>
        <w:t>人及设计顾问人、监理人、造价咨询人等相关方参加，根据专家评审意见修正设计文件，相关会议及评审费用由承包人自行承担。</w:t>
      </w:r>
    </w:p>
    <w:p w14:paraId="769B8F1C">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38.6.3.2发包人需要组织审查会议的，审查会议的审查形式和时间安排应在专用条款中约定，相关会议费用及评审费用由发包人承担。</w:t>
      </w:r>
      <w:r>
        <w:rPr>
          <w:rFonts w:ascii="仿宋" w:hAnsi="仿宋" w:eastAsia="仿宋"/>
          <w:color w:val="auto"/>
          <w:highlight w:val="none"/>
          <w:lang w:eastAsia="zh-CN"/>
        </w:rPr>
        <w:t>承包人</w:t>
      </w:r>
      <w:r>
        <w:rPr>
          <w:rFonts w:hint="eastAsia" w:ascii="仿宋" w:hAnsi="仿宋" w:eastAsia="仿宋"/>
          <w:color w:val="auto"/>
          <w:highlight w:val="none"/>
          <w:lang w:eastAsia="zh-CN"/>
        </w:rPr>
        <w:t>应</w:t>
      </w:r>
      <w:r>
        <w:rPr>
          <w:rFonts w:ascii="仿宋" w:hAnsi="仿宋" w:eastAsia="仿宋"/>
          <w:color w:val="auto"/>
          <w:highlight w:val="none"/>
          <w:lang w:eastAsia="zh-CN"/>
        </w:rPr>
        <w:t>协助发包人组织设计审查会议</w:t>
      </w:r>
      <w:r>
        <w:rPr>
          <w:rFonts w:hint="eastAsia" w:ascii="仿宋" w:hAnsi="仿宋" w:eastAsia="仿宋"/>
          <w:color w:val="auto"/>
          <w:highlight w:val="none"/>
          <w:lang w:eastAsia="zh-CN"/>
        </w:rPr>
        <w:t>，</w:t>
      </w:r>
      <w:r>
        <w:rPr>
          <w:rFonts w:ascii="仿宋" w:hAnsi="仿宋" w:eastAsia="仿宋"/>
          <w:color w:val="auto"/>
          <w:highlight w:val="none"/>
          <w:lang w:eastAsia="zh-CN"/>
        </w:rPr>
        <w:t>向审查</w:t>
      </w:r>
      <w:r>
        <w:rPr>
          <w:rFonts w:hint="eastAsia" w:ascii="仿宋" w:hAnsi="仿宋" w:eastAsia="仿宋"/>
          <w:color w:val="auto"/>
          <w:highlight w:val="none"/>
          <w:lang w:eastAsia="zh-CN"/>
        </w:rPr>
        <w:t>人员</w:t>
      </w:r>
      <w:r>
        <w:rPr>
          <w:rFonts w:ascii="仿宋" w:hAnsi="仿宋" w:eastAsia="仿宋"/>
          <w:color w:val="auto"/>
          <w:highlight w:val="none"/>
          <w:lang w:eastAsia="zh-CN"/>
        </w:rPr>
        <w:t>介绍、解答、解释其设计文件，并提供</w:t>
      </w:r>
      <w:r>
        <w:rPr>
          <w:rFonts w:hint="eastAsia" w:ascii="仿宋" w:hAnsi="仿宋" w:eastAsia="仿宋"/>
          <w:color w:val="auto"/>
          <w:highlight w:val="none"/>
          <w:lang w:eastAsia="zh-CN"/>
        </w:rPr>
        <w:t>有关补充</w:t>
      </w:r>
      <w:r>
        <w:rPr>
          <w:rFonts w:ascii="仿宋" w:hAnsi="仿宋" w:eastAsia="仿宋"/>
          <w:color w:val="auto"/>
          <w:highlight w:val="none"/>
          <w:lang w:eastAsia="zh-CN"/>
        </w:rPr>
        <w:t>资料。</w:t>
      </w:r>
    </w:p>
    <w:p w14:paraId="0653920D">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38.6.4审查延误</w:t>
      </w:r>
    </w:p>
    <w:p w14:paraId="5956FC11">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38.6.4.1</w:t>
      </w:r>
      <w:r>
        <w:rPr>
          <w:rFonts w:ascii="仿宋" w:hAnsi="仿宋" w:eastAsia="仿宋"/>
          <w:color w:val="auto"/>
          <w:highlight w:val="none"/>
          <w:lang w:eastAsia="zh-CN"/>
        </w:rPr>
        <w:t>因承包人原因，未能按</w:t>
      </w:r>
      <w:r>
        <w:rPr>
          <w:rFonts w:hint="eastAsia" w:ascii="仿宋" w:hAnsi="仿宋" w:eastAsia="仿宋"/>
          <w:color w:val="auto"/>
          <w:highlight w:val="none"/>
          <w:lang w:eastAsia="zh-CN"/>
        </w:rPr>
        <w:t>专用条款</w:t>
      </w:r>
      <w:r>
        <w:rPr>
          <w:rFonts w:ascii="仿宋" w:hAnsi="仿宋" w:eastAsia="仿宋"/>
          <w:color w:val="auto"/>
          <w:highlight w:val="none"/>
          <w:lang w:eastAsia="zh-CN"/>
        </w:rPr>
        <w:t>约定的时间，向发包人提交</w:t>
      </w:r>
      <w:r>
        <w:rPr>
          <w:rFonts w:hint="eastAsia" w:ascii="仿宋" w:hAnsi="仿宋" w:eastAsia="仿宋"/>
          <w:color w:val="auto"/>
          <w:highlight w:val="none"/>
          <w:lang w:eastAsia="zh-CN"/>
        </w:rPr>
        <w:t>初步设计文件和（或）施工图</w:t>
      </w:r>
      <w:r>
        <w:rPr>
          <w:rFonts w:ascii="仿宋" w:hAnsi="仿宋" w:eastAsia="仿宋"/>
          <w:color w:val="auto"/>
          <w:highlight w:val="none"/>
          <w:lang w:eastAsia="zh-CN"/>
        </w:rPr>
        <w:t>设计阶段的完整设计文件，致使相</w:t>
      </w:r>
      <w:r>
        <w:rPr>
          <w:rFonts w:hint="eastAsia" w:ascii="仿宋" w:hAnsi="仿宋" w:eastAsia="仿宋"/>
          <w:color w:val="auto"/>
          <w:highlight w:val="none"/>
          <w:lang w:eastAsia="zh-CN"/>
        </w:rPr>
        <w:t>应</w:t>
      </w:r>
      <w:r>
        <w:rPr>
          <w:rFonts w:ascii="仿宋" w:hAnsi="仿宋" w:eastAsia="仿宋"/>
          <w:color w:val="auto"/>
          <w:highlight w:val="none"/>
          <w:lang w:eastAsia="zh-CN"/>
        </w:rPr>
        <w:t>设计阶段的</w:t>
      </w:r>
      <w:r>
        <w:rPr>
          <w:rFonts w:hint="eastAsia" w:ascii="仿宋" w:hAnsi="仿宋" w:eastAsia="仿宋"/>
          <w:color w:val="auto"/>
          <w:highlight w:val="none"/>
          <w:lang w:eastAsia="zh-CN"/>
        </w:rPr>
        <w:t>设计审查</w:t>
      </w:r>
      <w:r>
        <w:rPr>
          <w:rFonts w:ascii="仿宋" w:hAnsi="仿宋" w:eastAsia="仿宋"/>
          <w:color w:val="auto"/>
          <w:highlight w:val="none"/>
          <w:lang w:eastAsia="zh-CN"/>
        </w:rPr>
        <w:t>无法进行或无法按期进行，造成的</w:t>
      </w:r>
      <w:r>
        <w:rPr>
          <w:rFonts w:hint="eastAsia" w:ascii="仿宋" w:hAnsi="仿宋" w:eastAsia="仿宋"/>
          <w:color w:val="auto"/>
          <w:highlight w:val="none"/>
          <w:lang w:eastAsia="zh-CN"/>
        </w:rPr>
        <w:t>设计工期延长</w:t>
      </w:r>
      <w:r>
        <w:rPr>
          <w:rFonts w:ascii="仿宋" w:hAnsi="仿宋" w:eastAsia="仿宋"/>
          <w:color w:val="auto"/>
          <w:highlight w:val="none"/>
          <w:lang w:eastAsia="zh-CN"/>
        </w:rPr>
        <w:t>、</w:t>
      </w:r>
      <w:r>
        <w:rPr>
          <w:rFonts w:hint="eastAsia" w:ascii="仿宋" w:hAnsi="仿宋" w:eastAsia="仿宋"/>
          <w:color w:val="auto"/>
          <w:highlight w:val="none"/>
          <w:lang w:eastAsia="zh-CN"/>
        </w:rPr>
        <w:t>后续设计施工延误</w:t>
      </w:r>
      <w:r>
        <w:rPr>
          <w:rFonts w:ascii="仿宋" w:hAnsi="仿宋" w:eastAsia="仿宋"/>
          <w:color w:val="auto"/>
          <w:highlight w:val="none"/>
          <w:lang w:eastAsia="zh-CN"/>
        </w:rPr>
        <w:t>及</w:t>
      </w:r>
      <w:r>
        <w:rPr>
          <w:rFonts w:hint="eastAsia" w:ascii="仿宋" w:hAnsi="仿宋" w:eastAsia="仿宋"/>
          <w:color w:val="auto"/>
          <w:highlight w:val="none"/>
          <w:lang w:eastAsia="zh-CN"/>
        </w:rPr>
        <w:t>费用增加</w:t>
      </w:r>
      <w:r>
        <w:rPr>
          <w:rFonts w:ascii="仿宋" w:hAnsi="仿宋" w:eastAsia="仿宋"/>
          <w:color w:val="auto"/>
          <w:highlight w:val="none"/>
          <w:lang w:eastAsia="zh-CN"/>
        </w:rPr>
        <w:t>，</w:t>
      </w:r>
      <w:r>
        <w:rPr>
          <w:rFonts w:hint="eastAsia" w:ascii="仿宋" w:hAnsi="仿宋" w:eastAsia="仿宋"/>
          <w:color w:val="auto"/>
          <w:highlight w:val="none"/>
          <w:lang w:eastAsia="zh-CN"/>
        </w:rPr>
        <w:t>责任</w:t>
      </w:r>
      <w:r>
        <w:rPr>
          <w:rFonts w:ascii="仿宋" w:hAnsi="仿宋" w:eastAsia="仿宋"/>
          <w:color w:val="auto"/>
          <w:highlight w:val="none"/>
          <w:lang w:eastAsia="zh-CN"/>
        </w:rPr>
        <w:t>由承包人承担。</w:t>
      </w:r>
    </w:p>
    <w:p w14:paraId="56BB90CD">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38.6.4.2因发包人原因导致设计文件审查</w:t>
      </w:r>
      <w:r>
        <w:rPr>
          <w:rFonts w:ascii="仿宋" w:hAnsi="仿宋" w:eastAsia="仿宋"/>
          <w:color w:val="auto"/>
          <w:highlight w:val="none"/>
          <w:lang w:eastAsia="zh-CN"/>
        </w:rPr>
        <w:t>无法进行或无法按期进行，造成的</w:t>
      </w:r>
      <w:r>
        <w:rPr>
          <w:rFonts w:hint="eastAsia" w:ascii="仿宋" w:hAnsi="仿宋" w:eastAsia="仿宋"/>
          <w:color w:val="auto"/>
          <w:highlight w:val="none"/>
          <w:lang w:eastAsia="zh-CN"/>
        </w:rPr>
        <w:t>设计工期延长及费用增加</w:t>
      </w:r>
      <w:r>
        <w:rPr>
          <w:rFonts w:ascii="仿宋" w:hAnsi="仿宋" w:eastAsia="仿宋"/>
          <w:color w:val="auto"/>
          <w:highlight w:val="none"/>
          <w:lang w:eastAsia="zh-CN"/>
        </w:rPr>
        <w:t>，</w:t>
      </w:r>
      <w:r>
        <w:rPr>
          <w:rFonts w:hint="eastAsia" w:ascii="仿宋" w:hAnsi="仿宋" w:eastAsia="仿宋"/>
          <w:color w:val="auto"/>
          <w:highlight w:val="none"/>
          <w:lang w:eastAsia="zh-CN"/>
        </w:rPr>
        <w:t>责任</w:t>
      </w:r>
      <w:r>
        <w:rPr>
          <w:rFonts w:ascii="仿宋" w:hAnsi="仿宋" w:eastAsia="仿宋"/>
          <w:color w:val="auto"/>
          <w:highlight w:val="none"/>
          <w:lang w:eastAsia="zh-CN"/>
        </w:rPr>
        <w:t>由</w:t>
      </w:r>
      <w:r>
        <w:rPr>
          <w:rFonts w:hint="eastAsia" w:ascii="仿宋" w:hAnsi="仿宋" w:eastAsia="仿宋"/>
          <w:color w:val="auto"/>
          <w:highlight w:val="none"/>
          <w:lang w:eastAsia="zh-CN"/>
        </w:rPr>
        <w:t>发</w:t>
      </w:r>
      <w:r>
        <w:rPr>
          <w:rFonts w:ascii="仿宋" w:hAnsi="仿宋" w:eastAsia="仿宋"/>
          <w:color w:val="auto"/>
          <w:highlight w:val="none"/>
          <w:lang w:eastAsia="zh-CN"/>
        </w:rPr>
        <w:t>包人承担。</w:t>
      </w:r>
    </w:p>
    <w:p w14:paraId="3B5604F8">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38.6.5审查责任的免除</w:t>
      </w:r>
    </w:p>
    <w:p w14:paraId="025A2B50">
      <w:pPr>
        <w:widowControl w:val="0"/>
        <w:tabs>
          <w:tab w:val="left" w:pos="497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设计文件的审查，</w:t>
      </w:r>
      <w:r>
        <w:rPr>
          <w:rFonts w:ascii="仿宋" w:hAnsi="仿宋" w:eastAsia="仿宋"/>
          <w:color w:val="auto"/>
          <w:highlight w:val="none"/>
          <w:lang w:eastAsia="zh-CN"/>
        </w:rPr>
        <w:t>不减轻或免除承包人</w:t>
      </w:r>
      <w:r>
        <w:rPr>
          <w:rFonts w:hint="eastAsia" w:ascii="仿宋" w:hAnsi="仿宋" w:eastAsia="仿宋"/>
          <w:color w:val="auto"/>
          <w:highlight w:val="none"/>
          <w:lang w:eastAsia="zh-CN"/>
        </w:rPr>
        <w:t>依据法律规定与</w:t>
      </w:r>
      <w:r>
        <w:rPr>
          <w:rFonts w:ascii="仿宋" w:hAnsi="仿宋" w:eastAsia="仿宋"/>
          <w:color w:val="auto"/>
          <w:highlight w:val="none"/>
          <w:lang w:eastAsia="zh-CN"/>
        </w:rPr>
        <w:t>合同</w:t>
      </w:r>
      <w:r>
        <w:rPr>
          <w:rFonts w:hint="eastAsia" w:ascii="仿宋" w:hAnsi="仿宋" w:eastAsia="仿宋"/>
          <w:color w:val="auto"/>
          <w:highlight w:val="none"/>
          <w:lang w:eastAsia="zh-CN"/>
        </w:rPr>
        <w:t>约定应当承担的责任。</w:t>
      </w:r>
    </w:p>
    <w:p w14:paraId="4A4348F3">
      <w:pPr>
        <w:spacing w:line="360" w:lineRule="auto"/>
        <w:ind w:left="1687" w:hanging="1687" w:hangingChars="700"/>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38.7</w:t>
      </w:r>
    </w:p>
    <w:p w14:paraId="6A9B0791">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98560" behindDoc="0" locked="0" layoutInCell="1" allowOverlap="1">
                <wp:simplePos x="0" y="0"/>
                <wp:positionH relativeFrom="column">
                  <wp:posOffset>-9525</wp:posOffset>
                </wp:positionH>
                <wp:positionV relativeFrom="paragraph">
                  <wp:posOffset>88265</wp:posOffset>
                </wp:positionV>
                <wp:extent cx="759460" cy="426085"/>
                <wp:effectExtent l="0" t="0" r="0" b="0"/>
                <wp:wrapNone/>
                <wp:docPr id="616"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759460" cy="426085"/>
                        </a:xfrm>
                        <a:prstGeom prst="rect">
                          <a:avLst/>
                        </a:prstGeom>
                        <a:noFill/>
                        <a:ln>
                          <a:noFill/>
                        </a:ln>
                        <a:effectLst/>
                      </wps:spPr>
                      <wps:txbx>
                        <w:txbxContent>
                          <w:p w14:paraId="59AEEA95">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配合采购与施工</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0.75pt;margin-top:6.95pt;height:33.55pt;width:59.8pt;z-index:252098560;mso-width-relative:page;mso-height-relative:page;" filled="f" stroked="f" coordsize="21600,21600" o:gfxdata="UEsDBAoAAAAAAIdO4kAAAAAAAAAAAAAAAAAEAAAAZHJzL1BLAwQUAAAACACHTuJAwt2tRNUAAAAI&#10;AQAADwAAAGRycy9kb3ducmV2LnhtbE2PwU7DMBBE70j8g7VI3Frb0FZpiNMDiCuItiBx28bbJCJe&#10;R7HbhL+ve4Lj7Ixm3habyXXiTENoPRvQcwWCuPK25drAfvc6y0CEiGyx80wGfinApry9KTC3fuQP&#10;Om9jLVIJhxwNNDH2uZShashhmPueOHlHPziMSQ61tAOOqdx18kGplXTYclposKfnhqqf7ckZ+Hw7&#10;fn8t1Hv94pb96Ccl2a2lMfd3Wj2BiDTFvzBc8RM6lInp4E9sg+gMzPQyJdP9cQ3i6utMgzgYyLQC&#10;WRby/wPlBVBLAwQUAAAACACHTuJAiUauoR4CAAAlBAAADgAAAGRycy9lMm9Eb2MueG1srVNLbtsw&#10;EN0X6B0I7mtZhu0kguUgjZGiQPoB0h6ApiiLqMRhh7Sl9ADtDbrqpvuey+fokHRcN91k0Y3A4Qzf&#10;zHvztLgcupbtFDoNpuT5aMyZMhIqbTYl//jh5sU5Z84LU4kWjCr5vXL8cvn82aK3hZpAA22lkBGI&#10;cUVvS954b4ssc7JRnXAjsMpQsgbshKcQN1mFoif0rs0m4/E86wEriyCVc3S7Skl+QMSnAEJda6lW&#10;ILedMj6homqFJ0qu0dbxZZy2rpX07+raKc/akhNTH7/UhM7r8M2WC1FsUNhGy8MI4ikjPOLUCW2o&#10;6RFqJbxgW9T/QHVaIjio/UhClyUiURFikY8faXPXCKsiF5La2aPo7v/Byre798h0VfJ5PufMiI5W&#10;vv/+bf/j1/7nV5bnQaHeuoIK7yyV+uElDOSbyNbZW5CfHDNw3QizUVeI0DdKVDRhfJmdPE04LoCs&#10;+zdQUSOx9RCBhhq7IB8JwgidtnN/3I4aPJN0eTa7mM4pIyk1nczH57MwWyaKh8cWnX+loGPhUHKk&#10;5Udwsbt1PpU+lIReBm5020YDtOavC8JMNyo66PA6UAnTJx5+WA8HadZQ3RMphOQu+rfo0AB+4awn&#10;Z5Xcfd4KVJy1rw0Jc5FPp8GKMZjOziYU4GlmfZoRRhJUyT1n6Xjtk323FvWmoU5pFQauSMxaR6Jh&#10;1DQVCRQCck+U6uD0YM/TOFb9+bu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C3a1E1QAAAAgB&#10;AAAPAAAAAAAAAAEAIAAAACIAAABkcnMvZG93bnJldi54bWxQSwECFAAUAAAACACHTuJAiUauoR4C&#10;AAAlBAAADgAAAAAAAAABACAAAAAkAQAAZHJzL2Uyb0RvYy54bWxQSwUGAAAAAAYABgBZAQAAtAUA&#10;AAAA&#10;">
                <v:fill on="f" focussize="0,0"/>
                <v:stroke on="f"/>
                <v:imagedata o:title=""/>
                <o:lock v:ext="edit" aspectratio="f"/>
                <v:textbox>
                  <w:txbxContent>
                    <w:p w14:paraId="59AEEA95">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配合采购与施工</w:t>
                      </w:r>
                    </w:p>
                  </w:txbxContent>
                </v:textbox>
              </v:shape>
            </w:pict>
          </mc:Fallback>
        </mc:AlternateContent>
      </w:r>
      <w:r>
        <w:rPr>
          <w:rFonts w:hint="eastAsia" w:ascii="仿宋" w:hAnsi="仿宋" w:eastAsia="仿宋" w:cs="仿宋"/>
          <w:color w:val="auto"/>
          <w:highlight w:val="none"/>
          <w:lang w:eastAsia="zh-CN"/>
        </w:rPr>
        <w:t>承包人完成施工图设计阶段的工作并提交施工图后，设计人员应配合设备及工器具购置人员及施工人员开展相关工作，进行技术交底，解释相关数据，解决施工中设计技术问题，合理进行设计变更，因此增加的费用由承包人自行承担。</w:t>
      </w:r>
    </w:p>
    <w:p w14:paraId="68106893">
      <w:pPr>
        <w:spacing w:line="360" w:lineRule="auto"/>
        <w:rPr>
          <w:rFonts w:hint="eastAsia" w:ascii="仿宋" w:hAnsi="仿宋" w:eastAsia="仿宋" w:cs="仿宋"/>
          <w:color w:val="auto"/>
          <w:highlight w:val="none"/>
          <w:lang w:eastAsia="zh-CN"/>
        </w:rPr>
      </w:pPr>
    </w:p>
    <w:p w14:paraId="6973A843">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35" w:name="_Toc14139"/>
      <w:r>
        <w:rPr>
          <w:rFonts w:hint="eastAsia" w:ascii="仿宋" w:hAnsi="仿宋" w:eastAsia="仿宋" w:cs="仿宋"/>
          <w:bCs w:val="0"/>
          <w:color w:val="auto"/>
          <w:sz w:val="24"/>
          <w:szCs w:val="24"/>
          <w:highlight w:val="none"/>
          <w:lang w:eastAsia="zh-CN"/>
        </w:rPr>
        <w:t>39  BIM技术应用</w:t>
      </w:r>
      <w:bookmarkEnd w:id="335"/>
    </w:p>
    <w:p w14:paraId="4B46D907">
      <w:pPr>
        <w:tabs>
          <w:tab w:val="left" w:pos="4970"/>
        </w:tabs>
        <w:spacing w:line="360" w:lineRule="auto"/>
        <w:rPr>
          <w:rFonts w:hint="eastAsia" w:ascii="仿宋" w:hAnsi="仿宋" w:eastAsia="仿宋"/>
          <w:b/>
          <w:bCs/>
          <w:color w:val="auto"/>
          <w:highlight w:val="none"/>
          <w:lang w:eastAsia="zh-CN"/>
        </w:rPr>
      </w:pPr>
      <w:r>
        <w:rPr>
          <w:b/>
          <w:bCs/>
          <w:color w:val="auto"/>
          <w:highlight w:val="none"/>
          <w:lang w:eastAsia="zh-CN" w:bidi="ar-SA"/>
        </w:rPr>
        <mc:AlternateContent>
          <mc:Choice Requires="wps">
            <w:drawing>
              <wp:anchor distT="0" distB="0" distL="114300" distR="114300" simplePos="0" relativeHeight="252081152" behindDoc="0" locked="0" layoutInCell="1" allowOverlap="1">
                <wp:simplePos x="0" y="0"/>
                <wp:positionH relativeFrom="column">
                  <wp:posOffset>-121920</wp:posOffset>
                </wp:positionH>
                <wp:positionV relativeFrom="paragraph">
                  <wp:posOffset>281305</wp:posOffset>
                </wp:positionV>
                <wp:extent cx="899795" cy="617855"/>
                <wp:effectExtent l="0" t="0" r="0" b="0"/>
                <wp:wrapNone/>
                <wp:docPr id="617"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99795" cy="617855"/>
                        </a:xfrm>
                        <a:prstGeom prst="rect">
                          <a:avLst/>
                        </a:prstGeom>
                        <a:noFill/>
                        <a:ln>
                          <a:noFill/>
                        </a:ln>
                        <a:effectLst/>
                      </wps:spPr>
                      <wps:txbx>
                        <w:txbxContent>
                          <w:p w14:paraId="3ED4AF45">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资料的核实</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9.6pt;margin-top:22.15pt;height:48.65pt;width:70.85pt;z-index:252081152;mso-width-relative:page;mso-height-relative:page;" filled="f" stroked="f" coordsize="21600,21600" o:gfxdata="UEsDBAoAAAAAAIdO4kAAAAAAAAAAAAAAAAAEAAAAZHJzL1BLAwQUAAAACACHTuJAa9OzvtgAAAAK&#10;AQAADwAAAGRycy9kb3ducmV2LnhtbE2PTU/DMAyG70j7D5GRuG1JSzex0nSHIa4g9oHEzWu8tqJx&#10;qiZby78nO8HNlh+9ft5iM9lOXGnwrWMNyUKBIK6cabnWcNi/zp9A+IBssHNMGn7Iw6ac3RWYGzfy&#10;B113oRYxhH2OGpoQ+lxKXzVk0S9cTxxvZzdYDHEdamkGHGO47WSq1EpabDl+aLCnbUPV9+5iNRzf&#10;zl+fmXqvX+yyH92kJNu11PrhPlHPIAJN4Q+Gm35UhzI6ndyFjRedhnmyTiOqIcseQdyANF2COMUh&#10;S1Ygy0L+r1D+AlBLAwQUAAAACACHTuJA9lwLex4CAAAlBAAADgAAAGRycy9lMm9Eb2MueG1srVPN&#10;jtMwEL4j8Q6W7zRt1W63UdPVstUipOVHWngA13Eai8Rjxm6T8gDwBpy4cOe5+hyM7W4py2UPXCKP&#10;Z/zNfN98WVz1bcN2Cp0GU/DRYMiZMhJKbTYF//jh9sUlZ84LU4oGjCr4Xjl+tXz+bNHZXI2hhqZU&#10;yAjEuLyzBa+9t3mWOVmrVrgBWGUoWQG2wlOIm6xE0RF622Tj4fAi6wBLiyCVc3S7Skl+RMSnAEJV&#10;aalWILetMj6homqEJ0qu1tbxZZy2qpT076rKKc+aghNTH7/UhM7r8M2WC5FvUNhay+MI4ikjPOLU&#10;Cm2o6QlqJbxgW9T/QLVaIjio/EBCmyUiURFiMRo+0ua+FlZFLiS1syfR3f+DlW9375HpsuAXoxln&#10;RrS08sP3b4cfvw4/v7LRKCjUWZdT4b2lUt+/hJ58E9k6ewfyk2MGbmphNuoaEbpaiZImjC+zs6cJ&#10;xwWQdfcGSmokth4iUF9hG+QjQRih03b2p+2o3jNJl5fz+Ww+5UxSioa9nE7DbJnIHx5bdP6VgpaF&#10;Q8GRlh/Bxe7O+VT6UBJ6GbjVTRMN0Ji/Lggz3ajooOPrQCVMn3j4ft0fpVlDuSdSCMld9G/RoQb8&#10;wllHziq4+7wVqDhrXhsSZj6aTIIVYzCZzsYU4HlmfZ4RRhJUwT1n6Xjjk323FvWmpk5pFQauScxK&#10;R6Jh1DQVCRQCck+U6uj0YM/zOFb9+bu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r07O+2AAA&#10;AAoBAAAPAAAAAAAAAAEAIAAAACIAAABkcnMvZG93bnJldi54bWxQSwECFAAUAAAACACHTuJA9lwL&#10;ex4CAAAlBAAADgAAAAAAAAABACAAAAAnAQAAZHJzL2Uyb0RvYy54bWxQSwUGAAAAAAYABgBZAQAA&#10;twUAAAAA&#10;">
                <v:fill on="f" focussize="0,0"/>
                <v:stroke on="f"/>
                <v:imagedata o:title=""/>
                <o:lock v:ext="edit" aspectratio="f"/>
                <v:textbox>
                  <w:txbxContent>
                    <w:p w14:paraId="3ED4AF45">
                      <w:pPr>
                        <w:spacing w:line="240" w:lineRule="exact"/>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资料的核实</w:t>
                      </w:r>
                    </w:p>
                  </w:txbxContent>
                </v:textbox>
              </v:shape>
            </w:pict>
          </mc:Fallback>
        </mc:AlternateContent>
      </w:r>
      <w:r>
        <w:rPr>
          <w:rFonts w:hint="eastAsia" w:ascii="仿宋" w:hAnsi="仿宋" w:eastAsia="仿宋"/>
          <w:b/>
          <w:bCs/>
          <w:color w:val="auto"/>
          <w:highlight w:val="none"/>
          <w:lang w:eastAsia="zh-CN"/>
        </w:rPr>
        <w:t>39.1</w:t>
      </w:r>
    </w:p>
    <w:p w14:paraId="371ACCD4">
      <w:pPr>
        <w:widowControl w:val="0"/>
        <w:tabs>
          <w:tab w:val="left" w:pos="1320"/>
        </w:tabs>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在BIM技术应用工作开始日期前，应对发包人的BIM技术应用要求和所提供的项目基础资料的完备性和正确性进行核实，发现错漏应及时提请发包人补充完善。因发包人要求和所提供的资料存在错漏，但发包人未按承包人要求补充完善，导致工程存在缺陷或发生事故，责任由发包人承担。但本合同第5条、第6条以及专用条款另有约定的除外。</w:t>
      </w:r>
    </w:p>
    <w:p w14:paraId="25BCFC95">
      <w:pPr>
        <w:widowControl w:val="0"/>
        <w:tabs>
          <w:tab w:val="left" w:pos="4970"/>
        </w:tabs>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承包人因自身完成的勘察报告、设计文件或其他途径得到的资料存在错漏，导致BIM技术工作延误、成果错误及费用增加，责任由承包人承担。</w:t>
      </w:r>
    </w:p>
    <w:p w14:paraId="09D7B6CE">
      <w:pPr>
        <w:tabs>
          <w:tab w:val="left" w:pos="4970"/>
        </w:tabs>
        <w:spacing w:line="360" w:lineRule="auto"/>
        <w:rPr>
          <w:rFonts w:hint="eastAsia" w:ascii="仿宋" w:hAnsi="仿宋" w:eastAsia="仿宋"/>
          <w:color w:val="auto"/>
          <w:highlight w:val="none"/>
          <w:lang w:eastAsia="zh-CN"/>
        </w:rPr>
      </w:pPr>
      <w:r>
        <w:rPr>
          <w:rFonts w:hint="eastAsia" w:ascii="仿宋" w:hAnsi="仿宋" w:eastAsia="仿宋"/>
          <w:b/>
          <w:bCs/>
          <w:color w:val="auto"/>
          <w:highlight w:val="none"/>
          <w:lang w:eastAsia="zh-CN"/>
        </w:rPr>
        <w:t>39.2</w:t>
      </w:r>
    </w:p>
    <w:p w14:paraId="466EAAF7">
      <w:pPr>
        <w:widowControl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2080128" behindDoc="0" locked="0" layoutInCell="1" allowOverlap="1">
                <wp:simplePos x="0" y="0"/>
                <wp:positionH relativeFrom="column">
                  <wp:posOffset>-113665</wp:posOffset>
                </wp:positionH>
                <wp:positionV relativeFrom="paragraph">
                  <wp:posOffset>9525</wp:posOffset>
                </wp:positionV>
                <wp:extent cx="833120" cy="466090"/>
                <wp:effectExtent l="0" t="0" r="0" b="0"/>
                <wp:wrapNone/>
                <wp:docPr id="618"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33120" cy="466090"/>
                        </a:xfrm>
                        <a:prstGeom prst="rect">
                          <a:avLst/>
                        </a:prstGeom>
                        <a:noFill/>
                        <a:ln>
                          <a:noFill/>
                        </a:ln>
                        <a:effectLst/>
                      </wps:spPr>
                      <wps:txbx>
                        <w:txbxContent>
                          <w:p w14:paraId="0176EA58">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BIM技术应用工作方案</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8.95pt;margin-top:0.75pt;height:36.7pt;width:65.6pt;z-index:252080128;mso-width-relative:page;mso-height-relative:page;" filled="f" stroked="f" coordsize="21600,21600" o:gfxdata="UEsDBAoAAAAAAIdO4kAAAAAAAAAAAAAAAAAEAAAAZHJzL1BLAwQUAAAACACHTuJAqBtC6tYAAAAI&#10;AQAADwAAAGRycy9kb3ducmV2LnhtbE2Py07DMBBF90j9B2sqsWvH6YOSEKeLIrYgCq3Ezo2nSUQ8&#10;jmK3CX+Pu4Ll6FzdeybfjrYVV+p941hBMpcgiEtnGq4UfH68zB5B+KDZ6NYxKfghD9ticpfrzLiB&#10;3+m6D5WIJewzraAOocsQfVmT1X7uOuLIzq63OsSzr9D0eojltsWFlA9odcNxodYd7Woqv/cXq+Dw&#10;ev46ruRb9WzX3eBGiWxTVOp+msgnEIHG8BeGm35UhyI6ndyFjRetglmySWM0gjWIG0+WSxAnBZtV&#10;Cljk+P+B4hdQSwMEFAAAAAgAh07iQKm9aIIdAgAAJQQAAA4AAABkcnMvZTJvRG9jLnhtbK1TzW4T&#10;MRC+I/EOlu9ks2kI7SqbqjQqQio/UuEBHK83a7HrMWMnu+EB4A04ceHOc+U5GNtpCOXSAxfL9oy/&#10;me+bz/PLoWvZVqHTYEqej8acKSOh0mZd8o8fbp6dc+a8MJVowaiS75Tjl4unT+a9LdQEGmgrhYxA&#10;jCt6W/LGe1tkmZON6oQbgVWGgjVgJzwdcZ1VKHpC79psMh7Psh6wsghSOUe3yxTkB0R8DCDUtZZq&#10;CXLTKeMTKqpWeKLkGm0dX8Ru61pJ/66unfKsLTkx9XGlIrRfhTVbzEWxRmEbLQ8tiMe08IBTJ7Sh&#10;okeopfCCbVD/A9VpieCg9iMJXZaIREWIRT5+oM1dI6yKXEhqZ4+iu/8HK99u3yPTVclnOQ3eiI5G&#10;vv/+bf/j1/7nV5bnQaHeuoIS7yyl+uElDOSbyNbZW5CfHDNw3QizVleI0DdKVNRhfJmdPE04LoCs&#10;+jdQUSGx8RCBhhq7IB8JwgidprM7TkcNnkm6PD87yycUkRSazmbjizi9TBT3jy06/0pBx8Km5EjD&#10;j+Bie+s80aDU+5RQy8CNbttogNb8dUGJ6UZFBx1eByqh+8TDD6vhIM0Kqh2RQkjuor9FmwbwC2c9&#10;Oavk7vNGoOKsfW1ImIt8Og1WjIfp8xeBE55GVqcRYSRBldxzlrbXPtl3Y1GvG6qURmHgisSsdSQa&#10;Wk1dEetwIPdE/genB3uenmPWn9+9+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oG0Lq1gAAAAgB&#10;AAAPAAAAAAAAAAEAIAAAACIAAABkcnMvZG93bnJldi54bWxQSwECFAAUAAAACACHTuJAqb1ogh0C&#10;AAAlBAAADgAAAAAAAAABACAAAAAlAQAAZHJzL2Uyb0RvYy54bWxQSwUGAAAAAAYABgBZAQAAtAUA&#10;AAAA&#10;">
                <v:fill on="f" focussize="0,0"/>
                <v:stroke on="f"/>
                <v:imagedata o:title=""/>
                <o:lock v:ext="edit" aspectratio="f"/>
                <v:textbox>
                  <w:txbxContent>
                    <w:p w14:paraId="0176EA58">
                      <w:pPr>
                        <w:spacing w:line="240" w:lineRule="exact"/>
                        <w:rPr>
                          <w:rFonts w:ascii="宋体"/>
                          <w:sz w:val="18"/>
                          <w:szCs w:val="18"/>
                          <w:lang w:eastAsia="zh-CN"/>
                        </w:rPr>
                      </w:pPr>
                      <w:r>
                        <w:rPr>
                          <w:rFonts w:hint="eastAsia" w:ascii="楷体_GB2312" w:hAnsi="宋体" w:eastAsia="楷体_GB2312" w:cs="楷体_GB2312"/>
                          <w:b/>
                          <w:bCs/>
                          <w:color w:val="000000"/>
                          <w:sz w:val="18"/>
                          <w:szCs w:val="18"/>
                          <w:lang w:eastAsia="zh-CN"/>
                        </w:rPr>
                        <w:t>BIM技术应用工作方案</w:t>
                      </w:r>
                    </w:p>
                  </w:txbxContent>
                </v:textbox>
              </v:shape>
            </w:pict>
          </mc:Fallback>
        </mc:AlternateContent>
      </w:r>
      <w:r>
        <w:rPr>
          <w:rFonts w:hint="eastAsia" w:ascii="仿宋" w:hAnsi="仿宋" w:eastAsia="仿宋" w:cs="仿宋"/>
          <w:color w:val="auto"/>
          <w:highlight w:val="none"/>
          <w:lang w:eastAsia="zh-CN"/>
        </w:rPr>
        <w:t>39.2.1承包人应在BIM技术应用工作开始日期前，编制BIM技术应用工作方案，并按专用条款约定的方式和时间报发包人审查或备案。</w:t>
      </w:r>
    </w:p>
    <w:p w14:paraId="6F66D25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39.2.2 BIM技术应用工作方案应包括项目基本情况、人员安排、工作进度、技术标准、工作量、质量保证体系以及需要发包人配合事项等。</w:t>
      </w:r>
    </w:p>
    <w:p w14:paraId="4A84D23A">
      <w:pPr>
        <w:tabs>
          <w:tab w:val="left" w:pos="4970"/>
        </w:tabs>
        <w:spacing w:line="360" w:lineRule="auto"/>
        <w:rPr>
          <w:rFonts w:hint="eastAsia" w:ascii="仿宋" w:hAnsi="仿宋" w:eastAsia="仿宋"/>
          <w:color w:val="auto"/>
          <w:highlight w:val="none"/>
          <w:lang w:eastAsia="zh-CN"/>
        </w:rPr>
      </w:pPr>
      <w:r>
        <w:rPr>
          <w:rFonts w:hint="eastAsia" w:ascii="仿宋" w:hAnsi="仿宋" w:eastAsia="仿宋"/>
          <w:b/>
          <w:bCs/>
          <w:color w:val="auto"/>
          <w:highlight w:val="none"/>
          <w:lang w:eastAsia="zh-CN"/>
        </w:rPr>
        <w:t>39.3</w:t>
      </w:r>
    </w:p>
    <w:p w14:paraId="355509AD">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olor w:val="auto"/>
          <w:highlight w:val="none"/>
          <w:lang w:eastAsia="zh-CN" w:bidi="ar-SA"/>
        </w:rPr>
        <mc:AlternateContent>
          <mc:Choice Requires="wps">
            <w:drawing>
              <wp:anchor distT="0" distB="0" distL="114300" distR="114300" simplePos="0" relativeHeight="252082176" behindDoc="0" locked="0" layoutInCell="1" allowOverlap="1">
                <wp:simplePos x="0" y="0"/>
                <wp:positionH relativeFrom="column">
                  <wp:posOffset>-101600</wp:posOffset>
                </wp:positionH>
                <wp:positionV relativeFrom="paragraph">
                  <wp:posOffset>18415</wp:posOffset>
                </wp:positionV>
                <wp:extent cx="832485" cy="598170"/>
                <wp:effectExtent l="0" t="0" r="0" b="0"/>
                <wp:wrapNone/>
                <wp:docPr id="619"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832485" cy="598170"/>
                        </a:xfrm>
                        <a:prstGeom prst="rect">
                          <a:avLst/>
                        </a:prstGeom>
                        <a:noFill/>
                        <a:ln>
                          <a:noFill/>
                        </a:ln>
                        <a:effectLst/>
                      </wps:spPr>
                      <wps:txbx>
                        <w:txbxContent>
                          <w:p w14:paraId="3B1B49C3">
                            <w:pPr>
                              <w:spacing w:line="240" w:lineRule="exact"/>
                              <w:rPr>
                                <w:rFonts w:ascii="宋体"/>
                                <w:sz w:val="18"/>
                                <w:szCs w:val="18"/>
                              </w:rPr>
                            </w:pPr>
                            <w:r>
                              <w:rPr>
                                <w:rFonts w:hint="eastAsia" w:ascii="楷体_GB2312" w:hAnsi="宋体" w:eastAsia="楷体_GB2312" w:cs="楷体_GB2312"/>
                                <w:b/>
                                <w:bCs/>
                                <w:color w:val="000000"/>
                                <w:sz w:val="18"/>
                                <w:szCs w:val="18"/>
                              </w:rPr>
                              <w:t>BIM技术应用</w:t>
                            </w:r>
                          </w:p>
                        </w:txbxContent>
                      </wps:txbx>
                      <wps:bodyPr rot="0" vert="horz" wrap="square" lIns="91440" tIns="45720" rIns="91440" bIns="45720" anchor="t" anchorCtr="0" upright="1">
                        <a:noAutofit/>
                      </wps:bodyPr>
                    </wps:wsp>
                  </a:graphicData>
                </a:graphic>
              </wp:anchor>
            </w:drawing>
          </mc:Choice>
          <mc:Fallback>
            <w:pict>
              <v:shape id="文本框 11" o:spid="_x0000_s1026" o:spt="202" type="#_x0000_t202" style="position:absolute;left:0pt;margin-left:-8pt;margin-top:1.45pt;height:47.1pt;width:65.55pt;z-index:252082176;mso-width-relative:page;mso-height-relative:page;" filled="f" stroked="f" coordsize="21600,21600" o:gfxdata="UEsDBAoAAAAAAIdO4kAAAAAAAAAAAAAAAAAEAAAAZHJzL1BLAwQUAAAACACHTuJAwNqHbdUAAAAI&#10;AQAADwAAAGRycy9kb3ducmV2LnhtbE2PwU7DMBBE70j9B2uRuLW2K9qSkE0PRVxBFIrEzY23SUS8&#10;jmK3CX+Pe4LjaEYzb4rt5DpxoSG0nhH0QoEgrrxtuUb4eH+eP4AI0bA1nWdC+KEA23J2U5jc+pHf&#10;6LKPtUglHHKD0MTY51KGqiFnwsL3xMk7+cGZmORQSzuYMZW7Ti6VWktnWk4Ljelp11D1vT87hMPL&#10;6evzXr3WT27Vj35Skl0mEe9utXoEEWmKf2G44id0KBPT0Z/ZBtEhzPU6fYkIywzE1dcrDeKIkG00&#10;yLKQ/w+Uv1BLAwQUAAAACACHTuJAKADoOx8CAAAlBAAADgAAAGRycy9lMm9Eb2MueG1srVPBctMw&#10;EL0zwz9odCeOQ9Imnjid0kwZZgplpvABiizHGmytWCmxwwfQP+DEhXu/K9/BSk5DKJceuHi02tXb&#10;fW+f5xddU7OtQqfB5DwdDDlTRkKhzTrnnz9dv5py5rwwhajBqJzvlOMXi5cv5q3N1AgqqAuFjECM&#10;y1qb88p7myWJk5VqhBuAVYaSJWAjPIW4TgoULaE3dTIaDs+SFrCwCFI5R7fLPskPiPgcQChLLdUS&#10;5KZRxveoqGrhiZKrtHV8EactSyX9bVk65Vmdc2Lq45ea0HkVvsliLrI1CltpeRhBPGeEJ5waoQ01&#10;PUIthRdsg/ofqEZLBAelH0hokp5IVIRYpMMn2txVwqrIhaR29ii6+3+w8sP2IzJd5PwsnXFmREMr&#10;3/+43/982P/6ztI0KNRal1HhnaVS372BjnwT2Tp7A/KLYwauKmHW6hIR2kqJgiaML5OTpz2OCyCr&#10;9j0U1EhsPESgrsQmyEeCMEKn7eyO21GdZ5Iup69H4+mEM0mpyWyansftJSJ7fGzR+bcKGhYOOUda&#10;fgQX2xvniQaVPpaEXgaudV1HA9Tmrwsq7G9UdNDhdaASpu95+G7VHaRZQbEjUgi9u+jfokMF+I2z&#10;lpyVc/d1I1BxVr8zJMwsHY+DFWMwnpyPKMDTzOo0I4wkqJx7zvrjle/tu7Go1xV16ldh4JLELHUk&#10;GkbtpyLWISD3RP4Hpwd7nsax6s/fvfg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NqHbdUAAAAI&#10;AQAADwAAAAAAAAABACAAAAAiAAAAZHJzL2Rvd25yZXYueG1sUEsBAhQAFAAAAAgAh07iQCgA6Dsf&#10;AgAAJQQAAA4AAAAAAAAAAQAgAAAAJAEAAGRycy9lMm9Eb2MueG1sUEsFBgAAAAAGAAYAWQEAALUF&#10;AAAAAA==&#10;">
                <v:fill on="f" focussize="0,0"/>
                <v:stroke on="f"/>
                <v:imagedata o:title=""/>
                <o:lock v:ext="edit" aspectratio="f"/>
                <v:textbox>
                  <w:txbxContent>
                    <w:p w14:paraId="3B1B49C3">
                      <w:pPr>
                        <w:spacing w:line="240" w:lineRule="exact"/>
                        <w:rPr>
                          <w:rFonts w:ascii="宋体"/>
                          <w:sz w:val="18"/>
                          <w:szCs w:val="18"/>
                        </w:rPr>
                      </w:pPr>
                      <w:r>
                        <w:rPr>
                          <w:rFonts w:hint="eastAsia" w:ascii="楷体_GB2312" w:hAnsi="宋体" w:eastAsia="楷体_GB2312" w:cs="楷体_GB2312"/>
                          <w:b/>
                          <w:bCs/>
                          <w:color w:val="000000"/>
                          <w:sz w:val="18"/>
                          <w:szCs w:val="18"/>
                        </w:rPr>
                        <w:t>BIM技术应用</w:t>
                      </w:r>
                    </w:p>
                  </w:txbxContent>
                </v:textbox>
              </v:shape>
            </w:pict>
          </mc:Fallback>
        </mc:AlternateContent>
      </w:r>
      <w:r>
        <w:rPr>
          <w:rFonts w:hint="eastAsia" w:ascii="仿宋" w:hAnsi="仿宋" w:eastAsia="仿宋" w:cs="仿宋"/>
          <w:color w:val="auto"/>
          <w:highlight w:val="none"/>
          <w:lang w:eastAsia="zh-CN"/>
        </w:rPr>
        <w:t>39.3.1承包人应根据发包人审查批准或备案的BIM技术应用工作方案、发包人要求并依据有关技术标准开展BIM技术应用。具体应用内容和要求，由合同双方在专用条款和发包人要求中约定。</w:t>
      </w:r>
    </w:p>
    <w:p w14:paraId="54E8441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39.3.2勘察阶段，承包人应采用BIM技术建立与相关勘察图纸配套的建筑信息模型（BIM）。</w:t>
      </w:r>
    </w:p>
    <w:p w14:paraId="4BC7A2D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39.3.3在初步设计阶段，承包人应采用BIM技术进行正向设计或建模与出图同步完成的设计方式，建立本工程的建筑信息模型（BIM）并出具初步设计文件。</w:t>
      </w:r>
    </w:p>
    <w:p w14:paraId="7C97A7E1">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39.3.4在施工图设计阶段，承包人应根据初步设计文件采用传统设计方法与BIM技术相结合，建立本工程的建筑信息模型（BIM）；或根据初步设计阶段建立的建筑信息模型（BIM）和初步设计文件，通过正向设计或建模与出图同步完成的设计方式，深化完善建筑信息模型（BIM）并出具施工图。建筑信息模型（BIM）技术应用的模型精细度、几何表达精度和信息深度要求应符合国家、广东省和广州市发布的有关建筑信息模型应用规范与标准。</w:t>
      </w:r>
    </w:p>
    <w:p w14:paraId="0BB8AA1E">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39.3.5施工阶段，承包人应采用BIM技术编制施工方案和绿色安全防护措施，优化施工工艺流程，建立BIM信息管理平台，统筹协调施工进度。</w:t>
      </w:r>
    </w:p>
    <w:p w14:paraId="4FD3B8E3">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39.3.6竣工验收阶段，承包人应在施工图与建筑信息模型（BIM）的基础上，结合设计变更、签证、管线碰撞检查等资料，采用正向设计或建模与出图同步完成的设计方式修改、完善建筑信息模型（BIM）、出具竣工图，并配合政府行政主管部门的要求，采用建筑信息模型（BIM）进行竣工验收备案。</w:t>
      </w:r>
    </w:p>
    <w:p w14:paraId="79978E9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39.3.7运维阶段（如果有），承包人应按发包人要求和专用条款的约定，建立运营维护所需要的建筑信息模型（BIM）。</w:t>
      </w:r>
    </w:p>
    <w:p w14:paraId="40F6F7CE">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39.3.8承包人宜应用BIM技术方法，进行工程计量、计价，编制本项目工程的概算、施工图预算、竣工结算等造价文件，并配合发包人及造价咨询人的审核。</w:t>
      </w:r>
    </w:p>
    <w:p w14:paraId="0EFB42EA">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39.3.9承包人应协助发包人建立基于BIM技术的项目信息管理平台，为发包人及设计顾问人、监理人、造价咨询人等相关方正确使用建筑信息模型（BIM）开展相关工程技术、质量、安全、绿色环保、建材集中采购、进度与造价管理工作提供必要的指导和协助。</w:t>
      </w:r>
    </w:p>
    <w:p w14:paraId="4E0D6FD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39.3.10发包人、政府有关部门、施工图审查机构对设计文件审查有BIM技术应用要求的，承包人应予以配合执行。</w:t>
      </w:r>
    </w:p>
    <w:p w14:paraId="7CBE184B">
      <w:pPr>
        <w:tabs>
          <w:tab w:val="left" w:pos="4970"/>
        </w:tabs>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96512" behindDoc="0" locked="0" layoutInCell="1" allowOverlap="1">
                <wp:simplePos x="0" y="0"/>
                <wp:positionH relativeFrom="column">
                  <wp:posOffset>-102870</wp:posOffset>
                </wp:positionH>
                <wp:positionV relativeFrom="paragraph">
                  <wp:posOffset>278765</wp:posOffset>
                </wp:positionV>
                <wp:extent cx="794385" cy="541020"/>
                <wp:effectExtent l="0" t="0" r="0" b="0"/>
                <wp:wrapNone/>
                <wp:docPr id="620"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794385" cy="541020"/>
                        </a:xfrm>
                        <a:prstGeom prst="rect">
                          <a:avLst/>
                        </a:prstGeom>
                        <a:noFill/>
                        <a:ln>
                          <a:noFill/>
                        </a:ln>
                        <a:effectLst/>
                      </wps:spPr>
                      <wps:txbx>
                        <w:txbxContent>
                          <w:p w14:paraId="3139CF69">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建筑信息模型（BIM）及应用成果</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42.6pt;width:62.55pt;z-index:252096512;mso-width-relative:page;mso-height-relative:page;" filled="f" stroked="f" coordsize="21600,21600" o:gfxdata="UEsDBAoAAAAAAIdO4kAAAAAAAAAAAAAAAAAEAAAAZHJzL1BLAwQUAAAACACHTuJAvUrNeNcAAAAK&#10;AQAADwAAAGRycy9kb3ducmV2LnhtbE2PTU/DMAyG70j8h8hI3LakZUxrabrDJq4g9oHELWu8tqJx&#10;qiZby7/HO8Httfzo9eNiPblOXHEIrScNyVyBQKq8banWcNi/zlYgQjRkTecJNfxggHV5f1eY3PqR&#10;PvC6i7XgEgq50dDE2OdShqpBZ8Lc90i8O/vBmcjjUEs7mJHLXSdTpZbSmZb4QmN63DRYfe8uTsPx&#10;7fz1uVDv9dY996OflCSXSa0fHxL1AiLiFP9guOmzOpTsdPIXskF0GmbJMmVUw+IpA3ED1IrDiUOa&#10;JSDLQv5/ofwFUEsDBBQAAAAIAIdO4kB3/xFFHAIAACUEAAAOAAAAZHJzL2Uyb0RvYy54bWytU0tu&#10;2zAQ3RfoHQjua1munY9gOUhjpCiQfoC0B6ApyiIqcdghbck9QHuDrrrpvufKOTokHcdNN1l0Q5Dz&#10;eTPvzXB+MXQt2yp0GkzJ89GYM2UkVNqsS/7p4/WLM86cF6YSLRhV8p1y/GLx/Nm8t4WaQANtpZAR&#10;iHFFb0veeG+LLHOyUZ1wI7DKkLMG7ISnJ66zCkVP6F2bTcbjk6wHrCyCVM6RdZmcfI+ITwGEutZS&#10;LUFuOmV8QkXVCk+UXKOt44vYbV0r6d/XtVOetSUnpj6eVITuq3Bmi7ko1ihso+W+BfGUFh5x6oQ2&#10;VPQAtRResA3qf6A6LREc1H4kocsSkagIscjHj7S5bYRVkQtJ7exBdPf/YOW77Qdkuir5yYQ0MaKj&#10;kd/9+H738/fdr28snwSFeusKCry1FOqHVzDQ3kS2zt6A/OyYgatGmLW6RIS+UaKiDvOQmR2lJhwX&#10;QFb9W6iokNh4iEBDjV2QjwRhhE6d7A7TUYNnkoyn59OXZzPOJLlm03xM/YYKorhPtuj8awUdC5eS&#10;Iw0/govtjfMp9D4k1DJwrduW7KJozV8GwkwWFTdonx2ohO4TDz+sBsoNxhVUOyKFkLaL/hZdGsCv&#10;nPW0WSV3XzYCFWftG0PCnOfTaVjF+JjOToPueOxZHXuEkQRVcs9Zul75tL4bi3rdUKU0CgOXJGat&#10;I9GHrvYjoO2JUu03Pazn8TtGPfzux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9Ss141wAAAAoB&#10;AAAPAAAAAAAAAAEAIAAAACIAAABkcnMvZG93bnJldi54bWxQSwECFAAUAAAACACHTuJAd/8RRRwC&#10;AAAlBAAADgAAAAAAAAABACAAAAAmAQAAZHJzL2Uyb0RvYy54bWxQSwUGAAAAAAYABgBZAQAAtAUA&#10;AAAA&#10;">
                <v:fill on="f" focussize="0,0"/>
                <v:stroke on="f"/>
                <v:imagedata o:title=""/>
                <o:lock v:ext="edit" aspectratio="f"/>
                <v:textbox>
                  <w:txbxContent>
                    <w:p w14:paraId="3139CF69">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建筑信息模型（BIM）及应用成果</w:t>
                      </w:r>
                    </w:p>
                  </w:txbxContent>
                </v:textbox>
              </v:shape>
            </w:pict>
          </mc:Fallback>
        </mc:AlternateContent>
      </w:r>
      <w:r>
        <w:rPr>
          <w:rFonts w:hint="eastAsia" w:ascii="仿宋" w:hAnsi="仿宋" w:eastAsia="仿宋" w:cs="仿宋"/>
          <w:b/>
          <w:bCs/>
          <w:color w:val="auto"/>
          <w:highlight w:val="none"/>
          <w:lang w:eastAsia="zh-CN"/>
        </w:rPr>
        <w:t>39.4</w:t>
      </w:r>
    </w:p>
    <w:p w14:paraId="5F733274">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39.4.1承包人向发包人提交建筑信息模型（BIM）及有关应用成果的方式和时间，由双方在专用条款中约定。发包人要求增加的服务内容和成果，费用由发包人承担；承包人内部使用建筑信息模型（BIM）或增加工作量，其费用由承包人自己承担。</w:t>
      </w:r>
    </w:p>
    <w:p w14:paraId="34A21A00">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39.4.2承包人完成各阶段的建筑信息模型（BIM）及有关应用成果后，发包人应及时组织评审或审查，审查内容和标准在发包人要求中明确。发包人应及时签收建筑信息模型（BIM）及有关应用成果、确认相应工作完成时间，并按专用条款约定计付BIM技术应用费。</w:t>
      </w:r>
    </w:p>
    <w:p w14:paraId="0ABCCF5C">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 xml:space="preserve">39.4.3 </w:t>
      </w:r>
      <w:r>
        <w:rPr>
          <w:rFonts w:ascii="仿宋" w:hAnsi="仿宋" w:eastAsia="仿宋"/>
          <w:color w:val="auto"/>
          <w:highlight w:val="none"/>
          <w:lang w:eastAsia="zh-CN"/>
        </w:rPr>
        <w:t>因承包人原因，造成</w:t>
      </w:r>
      <w:r>
        <w:rPr>
          <w:rFonts w:hint="eastAsia" w:ascii="仿宋" w:hAnsi="仿宋" w:eastAsia="仿宋"/>
          <w:color w:val="auto"/>
          <w:highlight w:val="none"/>
          <w:lang w:eastAsia="zh-CN"/>
        </w:rPr>
        <w:t>各阶段BIM模型及有关应用成果</w:t>
      </w:r>
      <w:r>
        <w:rPr>
          <w:rFonts w:ascii="仿宋" w:hAnsi="仿宋" w:eastAsia="仿宋"/>
          <w:color w:val="auto"/>
          <w:highlight w:val="none"/>
          <w:lang w:eastAsia="zh-CN"/>
        </w:rPr>
        <w:t>存在遗漏、错误的，承包人应</w:t>
      </w:r>
      <w:r>
        <w:rPr>
          <w:rFonts w:hint="eastAsia" w:ascii="仿宋" w:hAnsi="仿宋" w:eastAsia="仿宋"/>
          <w:color w:val="auto"/>
          <w:highlight w:val="none"/>
          <w:lang w:eastAsia="zh-CN"/>
        </w:rPr>
        <w:t>补充、</w:t>
      </w:r>
      <w:r>
        <w:rPr>
          <w:rFonts w:ascii="仿宋" w:hAnsi="仿宋" w:eastAsia="仿宋"/>
          <w:color w:val="auto"/>
          <w:highlight w:val="none"/>
          <w:lang w:eastAsia="zh-CN"/>
        </w:rPr>
        <w:t>修</w:t>
      </w:r>
      <w:r>
        <w:rPr>
          <w:rFonts w:hint="eastAsia" w:ascii="仿宋" w:hAnsi="仿宋" w:eastAsia="仿宋"/>
          <w:color w:val="auto"/>
          <w:highlight w:val="none"/>
          <w:lang w:eastAsia="zh-CN"/>
        </w:rPr>
        <w:t>正</w:t>
      </w:r>
      <w:r>
        <w:rPr>
          <w:rFonts w:ascii="仿宋" w:hAnsi="仿宋" w:eastAsia="仿宋"/>
          <w:color w:val="auto"/>
          <w:highlight w:val="none"/>
          <w:lang w:eastAsia="zh-CN"/>
        </w:rPr>
        <w:t>和完善</w:t>
      </w:r>
      <w:r>
        <w:rPr>
          <w:rFonts w:hint="eastAsia" w:ascii="仿宋" w:hAnsi="仿宋" w:eastAsia="仿宋"/>
          <w:color w:val="auto"/>
          <w:highlight w:val="none"/>
          <w:lang w:eastAsia="zh-CN"/>
        </w:rPr>
        <w:t>，由此产生的费用由承包人承担</w:t>
      </w:r>
      <w:r>
        <w:rPr>
          <w:rFonts w:ascii="仿宋" w:hAnsi="仿宋" w:eastAsia="仿宋"/>
          <w:color w:val="auto"/>
          <w:highlight w:val="none"/>
          <w:lang w:eastAsia="zh-CN"/>
        </w:rPr>
        <w:t>。</w:t>
      </w:r>
      <w:r>
        <w:rPr>
          <w:rFonts w:hint="eastAsia" w:ascii="仿宋" w:hAnsi="仿宋" w:eastAsia="仿宋"/>
          <w:color w:val="auto"/>
          <w:highlight w:val="none"/>
          <w:lang w:eastAsia="zh-CN"/>
        </w:rPr>
        <w:t>因此对相关设计、采购、施工等造成的工期延误及费用增加由承包人承担。</w:t>
      </w:r>
    </w:p>
    <w:p w14:paraId="03DF92F8">
      <w:pPr>
        <w:tabs>
          <w:tab w:val="left" w:pos="4970"/>
        </w:tabs>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97536" behindDoc="0" locked="0" layoutInCell="1" allowOverlap="1">
                <wp:simplePos x="0" y="0"/>
                <wp:positionH relativeFrom="column">
                  <wp:posOffset>-102870</wp:posOffset>
                </wp:positionH>
                <wp:positionV relativeFrom="paragraph">
                  <wp:posOffset>278765</wp:posOffset>
                </wp:positionV>
                <wp:extent cx="785495" cy="493395"/>
                <wp:effectExtent l="0" t="0" r="0" b="0"/>
                <wp:wrapNone/>
                <wp:docPr id="621"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785495" cy="493395"/>
                        </a:xfrm>
                        <a:prstGeom prst="rect">
                          <a:avLst/>
                        </a:prstGeom>
                        <a:noFill/>
                        <a:ln>
                          <a:noFill/>
                        </a:ln>
                        <a:effectLst/>
                      </wps:spPr>
                      <wps:txbx>
                        <w:txbxContent>
                          <w:p w14:paraId="01F6BCE7">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建筑信息模型（BIM）审查</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38.85pt;width:61.85pt;z-index:252097536;mso-width-relative:page;mso-height-relative:page;" filled="f" stroked="f" coordsize="21600,21600" o:gfxdata="UEsDBAoAAAAAAIdO4kAAAAAAAAAAAAAAAAAEAAAAZHJzL1BLAwQUAAAACACHTuJAx8fq+NgAAAAK&#10;AQAADwAAAGRycy9kb3ducmV2LnhtbE2PwU7DMAyG70h7h8iTuG1Jy1ZYaboDiCuIsSFxyxqvrWic&#10;qsnW8vZ4J7jZ8qff319sJ9eJCw6h9aQhWSoQSJW3LdUa9h8viwcQIRqypvOEGn4wwLac3RQmt36k&#10;d7zsYi04hEJuNDQx9rmUoWrQmbD0PRLfTn5wJvI61NIOZuRw18lUqUw60xJ/aEyPTw1W37uz03B4&#10;PX19rtRb/ezW/egnJcltpNa380Q9gog4xT8YrvqsDiU7Hf2ZbBCdhkWSpYxqWN1tQFwBdb8GceQh&#10;TTKQZSH/Vyh/AVBLAwQUAAAACACHTuJAdhWnRh4CAAAlBAAADgAAAGRycy9lMm9Eb2MueG1srVNL&#10;btswEN0X6B0I7mtZjp3EguUgjZGiQNoUSHsAmqIsohKHHdKW3AM0N+iqm+5zLp+jQ8px3HSTRTfC&#10;cD5v5r0ZzS66pmYbhU6DyXk6GHKmjIRCm1XOv3y+fnPOmfPCFKIGo3K+VY5fzF+/mrU2UyOooC4U&#10;MgIxLmttzivvbZYkTlaqEW4AVhkKloCN8PTEVVKgaAm9qZPRcHiatICFRZDKOfIu+iDfI+JLAKEs&#10;tVQLkOtGGd+joqqFJ0qu0tbxeZy2LJX0t2XplGd1zompj19qQvYyfJP5TGQrFLbScj+CeMkIzzg1&#10;QhtqeoBaCC/YGvU/UI2WCA5KP5DQJD2RqAixSIfPtLmrhFWRC0nt7EF09/9g5cfNJ2S6yPnpKOXM&#10;iIZWvvt5v/v1sPv9g6WjoFBrXUaJd5ZSffcWOrqbyNbZG5BfHTNwVQmzUpeI0FZKFDRhGiqTo9Ie&#10;xwWQZfsBCmok1h4iUFdiE+QjQRih03a2h+2ozjNJzrPzyXg64UxSaDw9OSE7dBDZY7FF598paFgw&#10;co60/AguNjfO96mPKaGXgWtd1+QXWW3+chBm71HxgvbVgUqYvufhu2VHtcG5hGJLpBD666J/i4wK&#10;8DtnLV1Wzt23tUDFWf3ekDDTdDwOpxgf48nZiB54HFkeR4SRBJVzz1lvXvn+fNcW9aqiTv0qDFyS&#10;mKWORJ+m2q+AridKtb/0cJ7H75j19Hf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Hx+r42AAA&#10;AAoBAAAPAAAAAAAAAAEAIAAAACIAAABkcnMvZG93bnJldi54bWxQSwECFAAUAAAACACHTuJAdhWn&#10;Rh4CAAAlBAAADgAAAAAAAAABACAAAAAnAQAAZHJzL2Uyb0RvYy54bWxQSwUGAAAAAAYABgBZAQAA&#10;twUAAAAA&#10;">
                <v:fill on="f" focussize="0,0"/>
                <v:stroke on="f"/>
                <v:imagedata o:title=""/>
                <o:lock v:ext="edit" aspectratio="f"/>
                <v:textbox>
                  <w:txbxContent>
                    <w:p w14:paraId="01F6BCE7">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建筑信息模型（BIM）审查</w:t>
                      </w:r>
                    </w:p>
                  </w:txbxContent>
                </v:textbox>
              </v:shape>
            </w:pict>
          </mc:Fallback>
        </mc:AlternateContent>
      </w:r>
      <w:r>
        <w:rPr>
          <w:rFonts w:hint="eastAsia" w:ascii="仿宋" w:hAnsi="仿宋" w:eastAsia="仿宋" w:cs="仿宋"/>
          <w:b/>
          <w:bCs/>
          <w:color w:val="auto"/>
          <w:highlight w:val="none"/>
          <w:lang w:eastAsia="zh-CN"/>
        </w:rPr>
        <w:t>39.5</w:t>
      </w:r>
    </w:p>
    <w:p w14:paraId="18E22752">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发包人及政府有关部门基于设计文件审查需要承包人提供建筑信息模型（BIM）的，相关审查按第38.6款约定执行。</w:t>
      </w:r>
    </w:p>
    <w:p w14:paraId="17BFBF8A">
      <w:pPr>
        <w:tabs>
          <w:tab w:val="left" w:pos="4970"/>
        </w:tabs>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111872" behindDoc="0" locked="0" layoutInCell="1" allowOverlap="1">
                <wp:simplePos x="0" y="0"/>
                <wp:positionH relativeFrom="column">
                  <wp:posOffset>-102870</wp:posOffset>
                </wp:positionH>
                <wp:positionV relativeFrom="paragraph">
                  <wp:posOffset>278765</wp:posOffset>
                </wp:positionV>
                <wp:extent cx="813435" cy="569595"/>
                <wp:effectExtent l="0" t="0" r="0" b="0"/>
                <wp:wrapNone/>
                <wp:docPr id="622"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813435" cy="569595"/>
                        </a:xfrm>
                        <a:prstGeom prst="rect">
                          <a:avLst/>
                        </a:prstGeom>
                        <a:noFill/>
                        <a:ln>
                          <a:noFill/>
                        </a:ln>
                        <a:effectLst/>
                      </wps:spPr>
                      <wps:txbx>
                        <w:txbxContent>
                          <w:p w14:paraId="43068C93">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建筑信息模型（BIM）交付标准</w:t>
                            </w:r>
                          </w:p>
                        </w:txbxContent>
                      </wps:txbx>
                      <wps:bodyPr rot="0" vert="horz" wrap="square" lIns="91440" tIns="45720" rIns="91440" bIns="45720" anchor="t" anchorCtr="0" upright="1">
                        <a:noAutofit/>
                      </wps:bodyPr>
                    </wps:wsp>
                  </a:graphicData>
                </a:graphic>
              </wp:anchor>
            </w:drawing>
          </mc:Choice>
          <mc:Fallback>
            <w:pict>
              <v:shape id="文本框 12" o:spid="_x0000_s1026" o:spt="202" type="#_x0000_t202" style="position:absolute;left:0pt;margin-left:-8.1pt;margin-top:21.95pt;height:44.85pt;width:64.05pt;z-index:252111872;mso-width-relative:page;mso-height-relative:page;" filled="f" stroked="f" coordsize="21600,21600" o:gfxdata="UEsDBAoAAAAAAIdO4kAAAAAAAAAAAAAAAAAEAAAAZHJzL1BLAwQUAAAACACHTuJA2B2HC9YAAAAK&#10;AQAADwAAAGRycy9kb3ducmV2LnhtbE2PwU7DMAyG70i8Q2QkbluSdVSsNN0BxBXEBkjcssZrKxqn&#10;arK1vD3eCW6/5U+/P5fb2ffijGPsAhnQSwUCqQ6uo8bA+/55cQ8iJkvO9oHQwA9G2FbXV6UtXJjo&#10;Dc+71AguoVhYA21KQyFlrFv0Ni7DgMS7Yxi9TTyOjXSjnbjc93KlVC697YgvtHbAxxbr793JG/h4&#10;OX59rtVr8+TvhinMSpLfSGNub7R6AJFwTn8wXPRZHSp2OoQTuSh6Awudrxg1sM42IC6A1hwOHLIs&#10;B1mV8v8L1S9QSwMEFAAAAAgAh07iQHbA5MkfAgAAJQQAAA4AAABkcnMvZTJvRG9jLnhtbK1TS27b&#10;MBDdF+gdCO5rWY7txoLlII2RokD6AdIegKYoi6jEYYe0pfQAzQ266qb7nsvn6JBSXDfdZNENQXKG&#10;b+a9eVxedE3N9gqdBpPzdDTmTBkJhTbbnH/6eP3inDPnhSlEDUbl/E45frF6/mzZ2kxNoIK6UMgI&#10;xListTmvvLdZkjhZqUa4EVhlKFgCNsLTEbdJgaIl9KZOJuPxPGkBC4sglXN0u+6DfEDEpwBCWWqp&#10;1iB3jTK+R0VVC0+UXKWt46vYbVkq6d+XpVOe1Tknpj6uVIT2m7Amq6XItihspeXQgnhKC484NUIb&#10;KnqEWgsv2A71P1CNlggOSj+S0CQ9kagIsUjHj7S5rYRVkQtJ7exRdPf/YOW7/Qdkusj5fDLhzIiG&#10;Rn74fn/48evw8xtLJ0Gh1rqMEm8tpfruFXTkm8jW2RuQnx0zcFUJs1WXiNBWShTUYRpeJidPexwX&#10;QDbtWyiokNh5iEBdiU2QjwRhhE7TuTtOR3WeSbo8T8+mZzPOJIVm88VsMYsVRPbw2KLzrxU0LGxy&#10;jjT8CC72N86HZkT2kBJqGbjWdR0NUJu/Liixv1HRQcPrQCV03/Pw3aYbpNlAcUekEHp30d+iTQX4&#10;lbOWnJVz92UnUHFWvzEkzCKdToMV42E6ezmhA55GNqcRYSRB5dxz1m+vfG/fnUW9rahSPwoDlyRm&#10;qSPR0Grf1TACck/kPzg92PP0HLP+/O7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gdhwvWAAAA&#10;CgEAAA8AAAAAAAAAAQAgAAAAIgAAAGRycy9kb3ducmV2LnhtbFBLAQIUABQAAAAIAIdO4kB2wOTJ&#10;HwIAACUEAAAOAAAAAAAAAAEAIAAAACUBAABkcnMvZTJvRG9jLnhtbFBLBQYAAAAABgAGAFkBAAC2&#10;BQAAAAA=&#10;">
                <v:fill on="f" focussize="0,0"/>
                <v:stroke on="f"/>
                <v:imagedata o:title=""/>
                <o:lock v:ext="edit" aspectratio="f"/>
                <v:textbox>
                  <w:txbxContent>
                    <w:p w14:paraId="43068C93">
                      <w:pPr>
                        <w:spacing w:line="24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建筑信息模型（BIM）交付标准</w:t>
                      </w:r>
                    </w:p>
                  </w:txbxContent>
                </v:textbox>
              </v:shape>
            </w:pict>
          </mc:Fallback>
        </mc:AlternateContent>
      </w:r>
      <w:r>
        <w:rPr>
          <w:rFonts w:hint="eastAsia" w:ascii="仿宋" w:hAnsi="仿宋" w:eastAsia="仿宋" w:cs="仿宋"/>
          <w:b/>
          <w:bCs/>
          <w:color w:val="auto"/>
          <w:highlight w:val="none"/>
          <w:lang w:eastAsia="zh-CN"/>
        </w:rPr>
        <w:t>39.6</w:t>
      </w:r>
    </w:p>
    <w:p w14:paraId="5F37F7A7">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BIM技术应用各阶段的建筑信息模（BIM）交付，应符合国家、行业及省市现行有关标准。具体交付标准要求在专用条款中约定。</w:t>
      </w:r>
    </w:p>
    <w:p w14:paraId="7EA7F607">
      <w:pPr>
        <w:tabs>
          <w:tab w:val="left" w:pos="1620"/>
        </w:tabs>
        <w:spacing w:line="360" w:lineRule="auto"/>
        <w:rPr>
          <w:rFonts w:hint="eastAsia" w:ascii="仿宋" w:hAnsi="仿宋" w:eastAsia="仿宋" w:cs="仿宋"/>
          <w:b/>
          <w:bCs/>
          <w:color w:val="auto"/>
          <w:highlight w:val="none"/>
          <w:u w:val="single"/>
          <w:lang w:eastAsia="zh-CN"/>
        </w:rPr>
      </w:pPr>
    </w:p>
    <w:p w14:paraId="25901F69">
      <w:pPr>
        <w:pStyle w:val="2"/>
        <w:adjustRightInd w:val="0"/>
        <w:snapToGrid w:val="0"/>
        <w:spacing w:line="360" w:lineRule="auto"/>
        <w:ind w:right="-238"/>
        <w:jc w:val="center"/>
        <w:outlineLvl w:val="1"/>
        <w:rPr>
          <w:rFonts w:hint="eastAsia" w:ascii="仿宋" w:hAnsi="仿宋" w:eastAsia="仿宋"/>
          <w:b/>
          <w:bCs/>
          <w:color w:val="auto"/>
          <w:sz w:val="24"/>
          <w:szCs w:val="24"/>
          <w:highlight w:val="none"/>
          <w:lang w:eastAsia="zh-CN"/>
        </w:rPr>
      </w:pPr>
      <w:bookmarkStart w:id="336" w:name="_Toc4196"/>
      <w:r>
        <w:rPr>
          <w:rFonts w:hint="eastAsia" w:ascii="仿宋" w:hAnsi="仿宋" w:eastAsia="仿宋" w:cs="仿宋"/>
          <w:b/>
          <w:bCs/>
          <w:color w:val="auto"/>
          <w:sz w:val="24"/>
          <w:szCs w:val="24"/>
          <w:highlight w:val="none"/>
          <w:lang w:eastAsia="zh-CN"/>
        </w:rPr>
        <w:t>五、工期</w:t>
      </w:r>
      <w:bookmarkEnd w:id="336"/>
    </w:p>
    <w:p w14:paraId="6F7E4BFD">
      <w:pPr>
        <w:pStyle w:val="6"/>
        <w:tabs>
          <w:tab w:val="left" w:pos="420"/>
        </w:tabs>
        <w:spacing w:before="120" w:beforeLines="50" w:after="120" w:afterLines="50" w:line="360" w:lineRule="auto"/>
        <w:rPr>
          <w:rFonts w:hint="eastAsia" w:ascii="仿宋" w:hAnsi="仿宋" w:eastAsia="仿宋" w:cs="仿宋"/>
          <w:color w:val="auto"/>
          <w:sz w:val="24"/>
          <w:szCs w:val="24"/>
          <w:highlight w:val="none"/>
          <w:lang w:eastAsia="zh-CN"/>
        </w:rPr>
      </w:pPr>
      <w:bookmarkStart w:id="337" w:name="_Toc2342"/>
      <w:r>
        <w:rPr>
          <w:rFonts w:hint="eastAsia" w:ascii="仿宋" w:hAnsi="仿宋" w:eastAsia="仿宋" w:cs="仿宋"/>
          <w:bCs w:val="0"/>
          <w:color w:val="auto"/>
          <w:sz w:val="24"/>
          <w:szCs w:val="24"/>
          <w:highlight w:val="none"/>
          <w:lang w:eastAsia="zh-CN"/>
        </w:rPr>
        <w:t>40</w:t>
      </w:r>
      <w:r>
        <w:rPr>
          <w:rFonts w:hint="eastAsia" w:ascii="仿宋" w:hAnsi="仿宋" w:eastAsia="仿宋" w:cs="仿宋"/>
          <w:color w:val="auto"/>
          <w:sz w:val="24"/>
          <w:szCs w:val="24"/>
          <w:highlight w:val="none"/>
          <w:lang w:eastAsia="zh-CN"/>
        </w:rPr>
        <w:t>进度计划和报告</w:t>
      </w:r>
      <w:bookmarkEnd w:id="337"/>
    </w:p>
    <w:p w14:paraId="41E41DD2">
      <w:pPr>
        <w:pStyle w:val="2"/>
        <w:tabs>
          <w:tab w:val="left" w:pos="1620"/>
        </w:tabs>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09472" behindDoc="0" locked="0" layoutInCell="1" allowOverlap="1">
                <wp:simplePos x="0" y="0"/>
                <wp:positionH relativeFrom="column">
                  <wp:posOffset>-114300</wp:posOffset>
                </wp:positionH>
                <wp:positionV relativeFrom="paragraph">
                  <wp:posOffset>283845</wp:posOffset>
                </wp:positionV>
                <wp:extent cx="775970" cy="478155"/>
                <wp:effectExtent l="0" t="0" r="0" b="0"/>
                <wp:wrapNone/>
                <wp:docPr id="623" name="文本框 817"/>
                <wp:cNvGraphicFramePr/>
                <a:graphic xmlns:a="http://schemas.openxmlformats.org/drawingml/2006/main">
                  <a:graphicData uri="http://schemas.microsoft.com/office/word/2010/wordprocessingShape">
                    <wps:wsp>
                      <wps:cNvSpPr txBox="1">
                        <a:spLocks noChangeArrowheads="1"/>
                      </wps:cNvSpPr>
                      <wps:spPr bwMode="auto">
                        <a:xfrm>
                          <a:off x="0" y="0"/>
                          <a:ext cx="775970" cy="478155"/>
                        </a:xfrm>
                        <a:prstGeom prst="rect">
                          <a:avLst/>
                        </a:prstGeom>
                        <a:noFill/>
                        <a:ln>
                          <a:noFill/>
                        </a:ln>
                        <a:effectLst/>
                      </wps:spPr>
                      <wps:txbx>
                        <w:txbxContent>
                          <w:p w14:paraId="18E9AD38">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提交工程进度计划</w:t>
                            </w:r>
                          </w:p>
                        </w:txbxContent>
                      </wps:txbx>
                      <wps:bodyPr rot="0" vert="horz" wrap="square" lIns="91440" tIns="45720" rIns="91440" bIns="45720" anchor="t" anchorCtr="0" upright="1">
                        <a:noAutofit/>
                      </wps:bodyPr>
                    </wps:wsp>
                  </a:graphicData>
                </a:graphic>
              </wp:anchor>
            </w:drawing>
          </mc:Choice>
          <mc:Fallback>
            <w:pict>
              <v:shape id="文本框 817" o:spid="_x0000_s1026" o:spt="202" type="#_x0000_t202" style="position:absolute;left:0pt;margin-left:-9pt;margin-top:22.35pt;height:37.65pt;width:61.1pt;z-index:252009472;mso-width-relative:page;mso-height-relative:page;" filled="f" stroked="f" coordsize="21600,21600" o:gfxdata="UEsDBAoAAAAAAIdO4kAAAAAAAAAAAAAAAAAEAAAAZHJzL1BLAwQUAAAACACHTuJA15hb0NYAAAAK&#10;AQAADwAAAGRycy9kb3ducmV2LnhtbE2PwU7DMBBE70j8g7VI3Fo7VYAS4vQA4gqiBSRu23ibRMTr&#10;KHab8PdsT3Db0Y5m3pSb2ffqRGPsAlvIlgYUcR1cx42F993zYg0qJmSHfWCy8EMRNtXlRYmFCxO/&#10;0WmbGiUhHAu00KY0FFrHuiWPcRkGYvkdwugxiRwb7UacJNz3emXMrfbYsTS0ONBjS/X39ugtfLwc&#10;vj5z89o8+ZthCrPR7O+1tddXmXkAlWhOf2Y44ws6VMK0D0d2UfUWFtlatiQLeX4H6mww+QrUXg4p&#10;Bl2V+v+E6hdQSwMEFAAAAAgAh07iQCUcdqMfAgAAJgQAAA4AAABkcnMvZTJvRG9jLnhtbK1TS27b&#10;MBDdF+gdCO5rWa4dO4LlII2RokD6AdIegKYoi6jEYYe0pfQAzQ266qb7nsvn6JBSXDfdZNENQXKG&#10;b+a9eVxedE3N9gqdBpPzdDTmTBkJhTbbnH/6eP1iwZnzwhSiBqNyfqccv1g9f7ZsbaYmUEFdKGQE&#10;YlzW2pxX3tssSZysVCPcCKwyFCwBG+HpiNukQNESelMnk/H4LGkBC4sglXN0u+6DfEDEpwBCWWqp&#10;1iB3jTK+R0VVC0+UXKWt46vYbVkq6d+XpVOe1Tknpj6uVIT2m7Amq6XItihspeXQgnhKC484NUIb&#10;KnqEWgsv2A71P1CNlggOSj+S0CQ9kagIsUjHj7S5rYRVkQtJ7exRdPf/YOW7/Qdkusj52eQlZ0Y0&#10;NPLD9/vDj1+Hn9/YIp0HiVrrMsq8tZTru1fQkXEiXWdvQH52zMBVJcxWXSJCWylRUItpeJmcPO1x&#10;XADZtG+hoEpi5yECdSU2QT9ShBE6jefuOB7VeSbpcj6fnc8pIik0nS/S2SxWENnDY4vOv1bQsLDJ&#10;OdL0I7jY3zgfmhHZQ0qoZeBa13V0QG3+uqDE/kZFCw2vA5XQfc/Dd5tukGYDxR2RQujtRZ+LNhXg&#10;V85aslbO3ZedQMVZ/caQMOfpdBq8GA/T2XxCBzyNbE4jwkiCyrnnrN9e+d6/O4t6W1GlfhQGLknM&#10;UkeiodW+q2EEZJ/If7B68Ofp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eYW9DWAAAA&#10;CgEAAA8AAAAAAAAAAQAgAAAAIgAAAGRycy9kb3ducmV2LnhtbFBLAQIUABQAAAAIAIdO4kAlHHaj&#10;HwIAACYEAAAOAAAAAAAAAAEAIAAAACUBAABkcnMvZTJvRG9jLnhtbFBLBQYAAAAABgAGAFkBAAC2&#10;BQAAAAA=&#10;">
                <v:fill on="f" focussize="0,0"/>
                <v:stroke on="f"/>
                <v:imagedata o:title=""/>
                <o:lock v:ext="edit" aspectratio="f"/>
                <v:textbox>
                  <w:txbxContent>
                    <w:p w14:paraId="18E9AD38">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提交工程进度计划</w:t>
                      </w:r>
                    </w:p>
                  </w:txbxContent>
                </v:textbox>
              </v:shape>
            </w:pict>
          </mc:Fallback>
        </mc:AlternateContent>
      </w:r>
      <w:r>
        <w:rPr>
          <w:rFonts w:hint="eastAsia" w:ascii="仿宋" w:hAnsi="仿宋" w:eastAsia="仿宋" w:cs="仿宋"/>
          <w:b/>
          <w:bCs/>
          <w:color w:val="auto"/>
          <w:sz w:val="24"/>
          <w:szCs w:val="24"/>
          <w:highlight w:val="none"/>
          <w:lang w:eastAsia="zh-CN"/>
        </w:rPr>
        <w:t>40</w:t>
      </w:r>
      <w:r>
        <w:rPr>
          <w:rFonts w:ascii="仿宋" w:hAnsi="仿宋" w:eastAsia="仿宋" w:cs="仿宋"/>
          <w:b/>
          <w:bCs/>
          <w:color w:val="auto"/>
          <w:sz w:val="24"/>
          <w:szCs w:val="24"/>
          <w:highlight w:val="none"/>
          <w:lang w:eastAsia="zh-CN"/>
        </w:rPr>
        <w:t>.1</w:t>
      </w:r>
    </w:p>
    <w:p w14:paraId="6E2F83E8">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应在本合同生效后的14天内，向发包人提交一式三份（或约定其他的份数）工程进度计划，包括勘察工作计划（如果有）、初步设计和（或）施工图设计工作计划、BIM技术应用工作计划、设备及工器具购置工作计划（如果有）、施工组织设计和施工进度计划。发包人、设计顾问人或监理人应在收到工程进度计划后的21天内予以确认或提出修改意见，逾期不确认也不提出书面意见的，视为同意。工程进度计划，应对合同工程的总承包范围内的全部工作内容，提出总体上的勘察方法、设计方法、施工方法、施工安排、作业顺序和时间表。合同约定有单项工程的，承包人还应编制单项工程进度计划。</w:t>
      </w:r>
    </w:p>
    <w:p w14:paraId="6D28958C">
      <w:pPr>
        <w:pStyle w:val="2"/>
        <w:tabs>
          <w:tab w:val="left" w:pos="1620"/>
        </w:tabs>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10496" behindDoc="0" locked="0" layoutInCell="1" allowOverlap="1">
                <wp:simplePos x="0" y="0"/>
                <wp:positionH relativeFrom="column">
                  <wp:posOffset>-114300</wp:posOffset>
                </wp:positionH>
                <wp:positionV relativeFrom="paragraph">
                  <wp:posOffset>281305</wp:posOffset>
                </wp:positionV>
                <wp:extent cx="775970" cy="554355"/>
                <wp:effectExtent l="0" t="0" r="0" b="0"/>
                <wp:wrapNone/>
                <wp:docPr id="624" name="文本框 818"/>
                <wp:cNvGraphicFramePr/>
                <a:graphic xmlns:a="http://schemas.openxmlformats.org/drawingml/2006/main">
                  <a:graphicData uri="http://schemas.microsoft.com/office/word/2010/wordprocessingShape">
                    <wps:wsp>
                      <wps:cNvSpPr txBox="1">
                        <a:spLocks noChangeArrowheads="1"/>
                      </wps:cNvSpPr>
                      <wps:spPr bwMode="auto">
                        <a:xfrm>
                          <a:off x="0" y="0"/>
                          <a:ext cx="775970" cy="554355"/>
                        </a:xfrm>
                        <a:prstGeom prst="rect">
                          <a:avLst/>
                        </a:prstGeom>
                        <a:noFill/>
                        <a:ln>
                          <a:noFill/>
                        </a:ln>
                        <a:effectLst/>
                      </wps:spPr>
                      <wps:txbx>
                        <w:txbxContent>
                          <w:p w14:paraId="58A94A9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工程进度的监督和检查</w:t>
                            </w:r>
                          </w:p>
                        </w:txbxContent>
                      </wps:txbx>
                      <wps:bodyPr rot="0" vert="horz" wrap="square" lIns="91440" tIns="45720" rIns="91440" bIns="45720" anchor="t" anchorCtr="0" upright="1">
                        <a:noAutofit/>
                      </wps:bodyPr>
                    </wps:wsp>
                  </a:graphicData>
                </a:graphic>
              </wp:anchor>
            </w:drawing>
          </mc:Choice>
          <mc:Fallback>
            <w:pict>
              <v:shape id="文本框 818" o:spid="_x0000_s1026" o:spt="202" type="#_x0000_t202" style="position:absolute;left:0pt;margin-left:-9pt;margin-top:22.15pt;height:43.65pt;width:61.1pt;z-index:252010496;mso-width-relative:page;mso-height-relative:page;" filled="f" stroked="f" coordsize="21600,21600" o:gfxdata="UEsDBAoAAAAAAIdO4kAAAAAAAAAAAAAAAAAEAAAAZHJzL1BLAwQUAAAACACHTuJAo31p2dgAAAAK&#10;AQAADwAAAGRycy9kb3ducmV2LnhtbE2PwW7CMBBE75X4B2uRegM7kCIIcThQ9dqq0FbqbYmXJCJe&#10;R7Eh6d/XnNrbrGY0+ybfjbYVN+p941hDMlcgiEtnGq40fBxfZmsQPiAbbB2Thh/ysCsmDzlmxg38&#10;TrdDqEQsYZ+hhjqELpPSlzVZ9HPXEUfv7HqLIZ59JU2PQyy3rVwotZIWG44fauxoX1N5OVyths/X&#10;8/dXqt6qZ/vUDW5Uku1Gav04TdQWRKAx/IXhjh/RoYhMJ3dl40WrYZas45agIU2XIO4BlS5AnKJY&#10;JiuQRS7/Tyh+AVBLAwQUAAAACACHTuJAHaIsSB8CAAAmBAAADgAAAGRycy9lMm9Eb2MueG1srVNL&#10;btswEN0X6B0I7mvZrhU7guUgjZGiQPoB0h6ApiiLqMRhh7Sl9ADNDbrqpvuey+fokFJcN91k0Q1B&#10;coZv5r15XF50Tc32Cp0Gk/PJaMyZMhIKbbY5//Tx+sWCM+eFKUQNRuX8Tjl+sXr+bNnaTE2hgrpQ&#10;yAjEuKy1Oa+8t1mSOFmpRrgRWGUoWAI2wtMRt0mBoiX0pk6m4/FZ0gIWFkEq5+h23Qf5gIhPAYSy&#10;1FKtQe4aZXyPiqoWnii5SlvHV7HbslTSvy9Lpzyrc05MfVypCO03YU1WS5FtUdhKy6EF8ZQWHnFq&#10;hDZU9Ai1Fl6wHep/oBotERyUfiShSXoiURFiMRk/0ua2ElZFLiS1s0fR3f+Dle/2H5DpIudn0xln&#10;RjQ08sP3+8OPX4ef39hisggStdZllHlrKdd3r6Aj40S6zt6A/OyYgatKmK26RIS2UqKgFifhZXLy&#10;tMdxAWTTvoWCKomdhwjUldgE/UgRRug0nrvjeFTnmaTL+Tw9n1NEUihNZy/TNFYQ2cNji86/VtCw&#10;sMk50vQjuNjfOB+aEdlDSqhl4FrXdXRAbf66oMT+RkULDa8DldB9z8N3m26QZgPFHZFC6O1Fn4s2&#10;FeBXzlqyVs7dl51AxVn9xpAw55PZLHgxHmbpfEoHPI1sTiPCSILKuees31753r87i3pbUaV+FAYu&#10;ScxSR6Kh1b6rYQRkn8h/sHrw5+k5Zv353q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o31p2dgA&#10;AAAKAQAADwAAAAAAAAABACAAAAAiAAAAZHJzL2Rvd25yZXYueG1sUEsBAhQAFAAAAAgAh07iQB2i&#10;LEgfAgAAJgQAAA4AAAAAAAAAAQAgAAAAJwEAAGRycy9lMm9Eb2MueG1sUEsFBgAAAAAGAAYAWQEA&#10;ALgFAAAAAA==&#10;">
                <v:fill on="f" focussize="0,0"/>
                <v:stroke on="f"/>
                <v:imagedata o:title=""/>
                <o:lock v:ext="edit" aspectratio="f"/>
                <v:textbox>
                  <w:txbxContent>
                    <w:p w14:paraId="58A94A9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工程进度的监督和检查</w:t>
                      </w:r>
                    </w:p>
                  </w:txbxContent>
                </v:textbox>
              </v:shape>
            </w:pict>
          </mc:Fallback>
        </mc:AlternateContent>
      </w:r>
      <w:r>
        <w:rPr>
          <w:rFonts w:hint="eastAsia" w:ascii="仿宋" w:hAnsi="仿宋" w:eastAsia="仿宋" w:cs="仿宋"/>
          <w:b/>
          <w:bCs/>
          <w:color w:val="auto"/>
          <w:sz w:val="24"/>
          <w:szCs w:val="24"/>
          <w:highlight w:val="none"/>
          <w:lang w:eastAsia="zh-CN"/>
        </w:rPr>
        <w:t>40</w:t>
      </w:r>
      <w:r>
        <w:rPr>
          <w:rFonts w:ascii="仿宋" w:hAnsi="仿宋" w:eastAsia="仿宋" w:cs="仿宋"/>
          <w:b/>
          <w:bCs/>
          <w:color w:val="auto"/>
          <w:sz w:val="24"/>
          <w:szCs w:val="24"/>
          <w:highlight w:val="none"/>
          <w:lang w:eastAsia="zh-CN"/>
        </w:rPr>
        <w:t xml:space="preserve">.2   </w:t>
      </w:r>
    </w:p>
    <w:p w14:paraId="6A159FF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承包人应按照经设计顾问人或监理人确认并由其报发包人批准的进度计划组织勘察（如果有）、</w:t>
      </w:r>
      <w:r>
        <w:rPr>
          <w:rFonts w:hint="eastAsia" w:ascii="仿宋" w:hAnsi="仿宋" w:eastAsia="仿宋"/>
          <w:color w:val="auto"/>
          <w:sz w:val="24"/>
          <w:szCs w:val="24"/>
          <w:highlight w:val="none"/>
          <w:lang w:eastAsia="zh-CN"/>
        </w:rPr>
        <w:t>初步设计和（或）施工图</w:t>
      </w:r>
      <w:r>
        <w:rPr>
          <w:rFonts w:hint="eastAsia" w:ascii="仿宋" w:hAnsi="仿宋" w:eastAsia="仿宋" w:cs="仿宋"/>
          <w:color w:val="auto"/>
          <w:sz w:val="24"/>
          <w:szCs w:val="24"/>
          <w:highlight w:val="none"/>
          <w:lang w:eastAsia="zh-CN"/>
        </w:rPr>
        <w:t>设计、BIM技术应用、设备及工器具购置（如果有）、施工，接受监理人、设计顾问人对工程进度的监督和检查。</w:t>
      </w:r>
    </w:p>
    <w:p w14:paraId="1C8A8EB8">
      <w:pPr>
        <w:pStyle w:val="2"/>
        <w:tabs>
          <w:tab w:val="left" w:pos="1620"/>
        </w:tabs>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11520" behindDoc="0" locked="0" layoutInCell="1" allowOverlap="1">
                <wp:simplePos x="0" y="0"/>
                <wp:positionH relativeFrom="column">
                  <wp:posOffset>-114300</wp:posOffset>
                </wp:positionH>
                <wp:positionV relativeFrom="paragraph">
                  <wp:posOffset>265430</wp:posOffset>
                </wp:positionV>
                <wp:extent cx="851535" cy="673735"/>
                <wp:effectExtent l="0" t="0" r="0" b="0"/>
                <wp:wrapNone/>
                <wp:docPr id="625" name="文本框 819"/>
                <wp:cNvGraphicFramePr/>
                <a:graphic xmlns:a="http://schemas.openxmlformats.org/drawingml/2006/main">
                  <a:graphicData uri="http://schemas.microsoft.com/office/word/2010/wordprocessingShape">
                    <wps:wsp>
                      <wps:cNvSpPr txBox="1">
                        <a:spLocks noChangeArrowheads="1"/>
                      </wps:cNvSpPr>
                      <wps:spPr bwMode="auto">
                        <a:xfrm>
                          <a:off x="0" y="0"/>
                          <a:ext cx="851535" cy="673735"/>
                        </a:xfrm>
                        <a:prstGeom prst="rect">
                          <a:avLst/>
                        </a:prstGeom>
                        <a:noFill/>
                        <a:ln>
                          <a:noFill/>
                        </a:ln>
                        <a:effectLst/>
                      </wps:spPr>
                      <wps:txbx>
                        <w:txbxContent>
                          <w:p w14:paraId="7E1822F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提交工程进度报告和修订进度计划</w:t>
                            </w:r>
                          </w:p>
                        </w:txbxContent>
                      </wps:txbx>
                      <wps:bodyPr rot="0" vert="horz" wrap="square" lIns="91440" tIns="45720" rIns="91440" bIns="45720" anchor="t" anchorCtr="0" upright="1">
                        <a:noAutofit/>
                      </wps:bodyPr>
                    </wps:wsp>
                  </a:graphicData>
                </a:graphic>
              </wp:anchor>
            </w:drawing>
          </mc:Choice>
          <mc:Fallback>
            <w:pict>
              <v:shape id="文本框 819" o:spid="_x0000_s1026" o:spt="202" type="#_x0000_t202" style="position:absolute;left:0pt;margin-left:-9pt;margin-top:20.9pt;height:53.05pt;width:67.05pt;z-index:252011520;mso-width-relative:page;mso-height-relative:page;" filled="f" stroked="f" coordsize="21600,21600" o:gfxdata="UEsDBAoAAAAAAIdO4kAAAAAAAAAAAAAAAAAEAAAAZHJzL1BLAwQUAAAACACHTuJAMDR839cAAAAK&#10;AQAADwAAAGRycy9kb3ducmV2LnhtbE2PTU/DMAyG70j7D5EncduSTGVspekOQ1xBjA+JW9Z4bUXj&#10;VE22ln+Pd4KbLb96/TzFbvKduOAQ20AG9FKBQKqCa6k28P72tNiAiMmSs10gNPCDEXbl7KawuQsj&#10;veLlkGrBJRRza6BJqc+ljFWD3sZl6JH4dgqDt4nXoZZusCOX+06ulFpLb1viD43tcd9g9X04ewMf&#10;z6evz0y91I/+rh/DpCT5rTTmdq7VA4iEU/oLwxWf0aFkpmM4k4uiM7DQG3ZJBjLNCteAXmsQRx6y&#10;+y3IspD/FcpfUEsDBBQAAAAIAIdO4kBTVP1ZHgIAACYEAAAOAAAAZHJzL2Uyb0RvYy54bWytU0tu&#10;2zAQ3RfoHQjua1mO7TiC5SCNkaJA+gHSHoCmKIuoxGGHtCX3AM0Nuuqm+57L5+iQchw33WTRjTCc&#10;z5t5b0bzy66p2Vah02Byng6GnCkjodBmnfPPn25ezThzXphC1GBUznfK8cvFyxfz1mZqBBXUhUJG&#10;IMZlrc155b3NksTJSjXCDcAqQ8ESsBGenrhOChQtoTd1MhoOp0kLWFgEqZwj77IP8gMiPgcQylJL&#10;tQS5aZTxPSqqWnii5CptHV/EactSSf+hLJ3yrM45MfXxS03IXoVvspiLbI3CVloeRhDPGeEJp0Zo&#10;Q02PUEvhBdug/geq0RLBQekHEpqkJxIVIRbp8Ik2d5WwKnIhqZ09iu7+H6x8v/2ITBc5n44mnBnR&#10;0Mr3P+73P3/vf31ns/QiSNRal1HmnaVc372Gjg4n0nX2FuQXxwxcV8Ks1RUitJUSBY2YhsrkpLTH&#10;cQFk1b6DgjqJjYcI1JXYBP1IEUbotJ7dcT2q80ySczZJJ2c0pKTQ9PzsnOzQQWQPxRadf6OgYcHI&#10;OdL2I7jY3jrfpz6khF4GbnRdk19ktfnLQZi9R8UTOlQHKmH6nofvVh3VBucKih2RQujPi34uMirA&#10;b5y1dFo5d183AhVn9VtDwlyk43G4xfgYT85H9MDTyOo0IowkqJx7znrz2vf3u7Go1xV16ldh4IrE&#10;LHUk+jjVYQV0PlGqw6mH+zx9x6zH33vx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A0fN/XAAAA&#10;CgEAAA8AAAAAAAAAAQAgAAAAIgAAAGRycy9kb3ducmV2LnhtbFBLAQIUABQAAAAIAIdO4kBTVP1Z&#10;HgIAACYEAAAOAAAAAAAAAAEAIAAAACYBAABkcnMvZTJvRG9jLnhtbFBLBQYAAAAABgAGAFkBAAC2&#10;BQAAAAA=&#10;">
                <v:fill on="f" focussize="0,0"/>
                <v:stroke on="f"/>
                <v:imagedata o:title=""/>
                <o:lock v:ext="edit" aspectratio="f"/>
                <v:textbox>
                  <w:txbxContent>
                    <w:p w14:paraId="7E1822F2">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提交工程进度报告和修订进度计划</w:t>
                      </w:r>
                    </w:p>
                  </w:txbxContent>
                </v:textbox>
              </v:shape>
            </w:pict>
          </mc:Fallback>
        </mc:AlternateContent>
      </w:r>
      <w:r>
        <w:rPr>
          <w:rFonts w:hint="eastAsia" w:ascii="仿宋" w:hAnsi="仿宋" w:eastAsia="仿宋" w:cs="仿宋"/>
          <w:b/>
          <w:bCs/>
          <w:color w:val="auto"/>
          <w:sz w:val="24"/>
          <w:szCs w:val="24"/>
          <w:highlight w:val="none"/>
          <w:lang w:eastAsia="zh-CN"/>
        </w:rPr>
        <w:t>40</w:t>
      </w:r>
      <w:r>
        <w:rPr>
          <w:rFonts w:ascii="仿宋" w:hAnsi="仿宋" w:eastAsia="仿宋" w:cs="仿宋"/>
          <w:b/>
          <w:bCs/>
          <w:color w:val="auto"/>
          <w:sz w:val="24"/>
          <w:szCs w:val="24"/>
          <w:highlight w:val="none"/>
          <w:lang w:eastAsia="zh-CN"/>
        </w:rPr>
        <w:t xml:space="preserve">.3     </w:t>
      </w:r>
    </w:p>
    <w:p w14:paraId="174D1F91">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除专用条款另有约定外，承包人应编制每月工程进度报告，同时每季度对进度计划修订一次，并在每月或季结束后的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天内向发包人、设计顾问人或监理人提交上述报告和修订计划一式两份。月进度报告的内容至少应包括：</w:t>
      </w:r>
    </w:p>
    <w:p w14:paraId="36FC35D7">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）勘察作业进展情况的图表和说明；</w:t>
      </w:r>
    </w:p>
    <w:p w14:paraId="59B2668C">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（2）设计工作进展情况的图表和说明；</w:t>
      </w:r>
    </w:p>
    <w:p w14:paraId="207FCA8B">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（3）BIM技术应用工作进展情况的图表和说明；</w:t>
      </w:r>
    </w:p>
    <w:p w14:paraId="6FB59468">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（4）施工、安装、试验以及其分包人工作等进展情况的图表和说明；</w:t>
      </w:r>
    </w:p>
    <w:p w14:paraId="2DE937AA">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（5）工程材料、工程设备的采购和制造商名称、地点以及进入现场情况；</w:t>
      </w:r>
    </w:p>
    <w:p w14:paraId="0378A26F">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（6）装配式构件的生产商名称、地点及采购、运输及进入现场情况；</w:t>
      </w:r>
    </w:p>
    <w:p w14:paraId="42B53D51">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（7）设备及工器具购置工作进展情况的图表和说明；</w:t>
      </w:r>
    </w:p>
    <w:p w14:paraId="5BFBF331">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（8）索赔情况和安全统计；</w:t>
      </w:r>
    </w:p>
    <w:p w14:paraId="03DB5E7A">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（9）实际进度与计划进度的对比，以及为消除延误正在或准备采取的措施。</w:t>
      </w:r>
    </w:p>
    <w:p w14:paraId="7D685D23">
      <w:pPr>
        <w:pStyle w:val="2"/>
        <w:tabs>
          <w:tab w:val="left" w:pos="1620"/>
        </w:tabs>
        <w:adjustRightInd w:val="0"/>
        <w:snapToGrid w:val="0"/>
        <w:spacing w:line="480" w:lineRule="auto"/>
        <w:rPr>
          <w:rFonts w:hint="eastAsia" w:ascii="仿宋" w:hAnsi="仿宋" w:eastAsia="仿宋" w:cs="仿宋"/>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40</w:t>
      </w:r>
      <w:r>
        <w:rPr>
          <w:rFonts w:ascii="仿宋" w:hAnsi="仿宋" w:eastAsia="仿宋" w:cs="仿宋"/>
          <w:b/>
          <w:bCs/>
          <w:color w:val="auto"/>
          <w:sz w:val="24"/>
          <w:szCs w:val="24"/>
          <w:highlight w:val="none"/>
          <w:lang w:eastAsia="zh-CN"/>
        </w:rPr>
        <w:t xml:space="preserve">.4   </w:t>
      </w:r>
    </w:p>
    <w:p w14:paraId="10CB15CF">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12544" behindDoc="0" locked="0" layoutInCell="1" allowOverlap="1">
                <wp:simplePos x="0" y="0"/>
                <wp:positionH relativeFrom="column">
                  <wp:posOffset>-114300</wp:posOffset>
                </wp:positionH>
                <wp:positionV relativeFrom="paragraph">
                  <wp:posOffset>41910</wp:posOffset>
                </wp:positionV>
                <wp:extent cx="832485" cy="728980"/>
                <wp:effectExtent l="0" t="0" r="0" b="0"/>
                <wp:wrapNone/>
                <wp:docPr id="626" name="文本框 820"/>
                <wp:cNvGraphicFramePr/>
                <a:graphic xmlns:a="http://schemas.openxmlformats.org/drawingml/2006/main">
                  <a:graphicData uri="http://schemas.microsoft.com/office/word/2010/wordprocessingShape">
                    <wps:wsp>
                      <wps:cNvSpPr txBox="1">
                        <a:spLocks noChangeArrowheads="1"/>
                      </wps:cNvSpPr>
                      <wps:spPr bwMode="auto">
                        <a:xfrm>
                          <a:off x="0" y="0"/>
                          <a:ext cx="832485" cy="728980"/>
                        </a:xfrm>
                        <a:prstGeom prst="rect">
                          <a:avLst/>
                        </a:prstGeom>
                        <a:noFill/>
                        <a:ln>
                          <a:noFill/>
                        </a:ln>
                        <a:effectLst/>
                      </wps:spPr>
                      <wps:txbx>
                        <w:txbxContent>
                          <w:p w14:paraId="355A933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实际进度与进度计划不符时的处理</w:t>
                            </w:r>
                          </w:p>
                        </w:txbxContent>
                      </wps:txbx>
                      <wps:bodyPr rot="0" vert="horz" wrap="square" lIns="91440" tIns="45720" rIns="91440" bIns="45720" anchor="t" anchorCtr="0" upright="1">
                        <a:noAutofit/>
                      </wps:bodyPr>
                    </wps:wsp>
                  </a:graphicData>
                </a:graphic>
              </wp:anchor>
            </w:drawing>
          </mc:Choice>
          <mc:Fallback>
            <w:pict>
              <v:shape id="文本框 820" o:spid="_x0000_s1026" o:spt="202" type="#_x0000_t202" style="position:absolute;left:0pt;margin-left:-9pt;margin-top:3.3pt;height:57.4pt;width:65.55pt;z-index:252012544;mso-width-relative:page;mso-height-relative:page;" filled="f" stroked="f" coordsize="21600,21600" o:gfxdata="UEsDBAoAAAAAAIdO4kAAAAAAAAAAAAAAAAAEAAAAZHJzL1BLAwQUAAAACACHTuJA0V5rH9cAAAAJ&#10;AQAADwAAAGRycy9kb3ducmV2LnhtbE2PzU7DMBCE70h9B2srcWvXLiUqIU4PrbiCKD8SNzfeJhHx&#10;OordJrw97glus5rVzDfFdnKduNAQWs8a1FKCIK68bbnW8P72tNiACNGwNZ1n0vBDAbbl7KYwufUj&#10;v9LlEGuRQjjkRkMTY58jhqohZ8LS98TJO/nBmZjOoUY7mDGFuw5XUmboTMupoTE97Rqqvg9np+Hj&#10;+fT1uZYv9d7d96OfJLJ7QK1v50o+gog0xb9nuOIndCgT09Gf2QbRaVioTdoSNWQZiKuv7hSIYxIr&#10;tQYsC/y/oPwFUEsDBBQAAAAIAIdO4kDLK62dHwIAACYEAAAOAAAAZHJzL2Uyb0RvYy54bWytU0tu&#10;2zAQ3RfoHQjua9mq4yiC5SCNkaJA+gHSHoCmKIuoxGGHtKX0AO0Nuuqm+57L5+iQsh033WTRjUDO&#10;DN/Me/M0v+zbhm0VOg2m4JPRmDNlJJTarAv+6ePNi4wz54UpRQNGFfxeOX65eP5s3tlcpVBDUypk&#10;BGJc3tmC197bPEmcrFUr3AisMpSsAFvh6YrrpETREXrbJOl4PEs6wNIiSOUcRZdDku8R8SmAUFVa&#10;qiXITauMH1BRNcITJVdr6/giTltVSvr3VeWUZ03BiamPX2pC51X4Jou5yNcobK3lfgTxlBEecWqF&#10;NtT0CLUUXrAN6n+gWi0RHFR+JKFNBiJREWIxGT/S5q4WVkUuJLWzR9Hd/4OV77YfkOmy4LN0xpkR&#10;La189+P77ufv3a9vLEujRJ11OVXeWar1/SvoyTiRrrO3ID87ZuC6FmatrhChq5UoacRJEDc5eRqW&#10;4nIXQFbdWyipk9h4iEB9hW3QjxRhhE7ruT+uR/WeSQpmL9NpdsaZpNR5ml1kcbZE5IfHFp1/raBl&#10;4VBwpO1HcLG9dT4MI/JDSehl4EY3TXRAY/4KUOEQUdFC+9eH6Qcevl/19DYEV1DeEymEwV70c9Gh&#10;BvzKWUfWKrj7shGoOGveGBLmYjKdBi/Gy/TsnDRmeJpZnWaEkQRVcM/ZcLz2g383FvW6pk7DKgxc&#10;kZiVjkQfptqvgOwT+e+tHvx5eo9VD7/34g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RXmsf1wAA&#10;AAkBAAAPAAAAAAAAAAEAIAAAACIAAABkcnMvZG93bnJldi54bWxQSwECFAAUAAAACACHTuJAyyut&#10;nR8CAAAmBAAADgAAAAAAAAABACAAAAAmAQAAZHJzL2Uyb0RvYy54bWxQSwUGAAAAAAYABgBZAQAA&#10;twUAAAAA&#10;">
                <v:fill on="f" focussize="0,0"/>
                <v:stroke on="f"/>
                <v:imagedata o:title=""/>
                <o:lock v:ext="edit" aspectratio="f"/>
                <v:textbox>
                  <w:txbxContent>
                    <w:p w14:paraId="355A9335">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实际进度与进度计划不符时的处理</w:t>
                      </w:r>
                    </w:p>
                  </w:txbxContent>
                </v:textbox>
              </v:shape>
            </w:pict>
          </mc:Fallback>
        </mc:AlternateContent>
      </w:r>
      <w:r>
        <w:rPr>
          <w:rFonts w:hint="eastAsia" w:ascii="仿宋" w:hAnsi="仿宋" w:eastAsia="仿宋" w:cs="仿宋"/>
          <w:color w:val="auto"/>
          <w:sz w:val="24"/>
          <w:szCs w:val="24"/>
          <w:highlight w:val="none"/>
          <w:lang w:eastAsia="zh-CN"/>
        </w:rPr>
        <w:t>如果发包人、设计顾问人或监理人指出承包人的实际进度和经确认的计划进度不符时，承包人应按照发包人或设计顾问人或监理人的要求提出改进措施，经发包人或设计顾问人或监理人确认后执行。因承包人的原因导致实际进度迟于计划进度的，承包人不但无权就改进措施要求发包人增加任何费用，而且应按照第76</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款约定向发包人支付由此产生的误期赔偿费。工程进度计划即使经发包人或设计顾问人或监理人确认，也不能免除承包人按照合同约定应承担的任何责任和应履行的任何义务。</w:t>
      </w:r>
    </w:p>
    <w:p w14:paraId="6FDE298C">
      <w:pPr>
        <w:pStyle w:val="2"/>
        <w:adjustRightInd w:val="0"/>
        <w:snapToGrid w:val="0"/>
        <w:spacing w:line="360" w:lineRule="auto"/>
        <w:ind w:right="-238"/>
        <w:rPr>
          <w:rFonts w:hint="eastAsia" w:ascii="仿宋" w:hAnsi="仿宋" w:eastAsia="仿宋"/>
          <w:b/>
          <w:bCs/>
          <w:color w:val="auto"/>
          <w:sz w:val="24"/>
          <w:szCs w:val="24"/>
          <w:highlight w:val="none"/>
          <w:lang w:eastAsia="zh-CN"/>
        </w:rPr>
      </w:pPr>
    </w:p>
    <w:p w14:paraId="779AB763">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38" w:name="_Toc17950"/>
      <w:r>
        <w:rPr>
          <w:rFonts w:hint="eastAsia" w:ascii="仿宋" w:hAnsi="仿宋" w:eastAsia="仿宋" w:cs="仿宋"/>
          <w:bCs w:val="0"/>
          <w:color w:val="auto"/>
          <w:sz w:val="24"/>
          <w:szCs w:val="24"/>
          <w:highlight w:val="none"/>
          <w:lang w:eastAsia="zh-CN"/>
        </w:rPr>
        <w:t>41开始工作或开工</w:t>
      </w:r>
      <w:bookmarkEnd w:id="338"/>
    </w:p>
    <w:p w14:paraId="2A841F6C">
      <w:pPr>
        <w:pStyle w:val="2"/>
        <w:tabs>
          <w:tab w:val="left" w:pos="1320"/>
        </w:tabs>
        <w:adjustRightInd w:val="0"/>
        <w:snapToGrid w:val="0"/>
        <w:spacing w:line="360" w:lineRule="auto"/>
        <w:ind w:right="3"/>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13568" behindDoc="0" locked="0" layoutInCell="1" allowOverlap="1">
                <wp:simplePos x="0" y="0"/>
                <wp:positionH relativeFrom="column">
                  <wp:posOffset>-114300</wp:posOffset>
                </wp:positionH>
                <wp:positionV relativeFrom="paragraph">
                  <wp:posOffset>247015</wp:posOffset>
                </wp:positionV>
                <wp:extent cx="779780" cy="520065"/>
                <wp:effectExtent l="0" t="0" r="0" b="0"/>
                <wp:wrapNone/>
                <wp:docPr id="627" name="文本框 821"/>
                <wp:cNvGraphicFramePr/>
                <a:graphic xmlns:a="http://schemas.openxmlformats.org/drawingml/2006/main">
                  <a:graphicData uri="http://schemas.microsoft.com/office/word/2010/wordprocessingShape">
                    <wps:wsp>
                      <wps:cNvSpPr txBox="1">
                        <a:spLocks noChangeArrowheads="1"/>
                      </wps:cNvSpPr>
                      <wps:spPr bwMode="auto">
                        <a:xfrm>
                          <a:off x="0" y="0"/>
                          <a:ext cx="779780" cy="520065"/>
                        </a:xfrm>
                        <a:prstGeom prst="rect">
                          <a:avLst/>
                        </a:prstGeom>
                        <a:noFill/>
                        <a:ln>
                          <a:noFill/>
                        </a:ln>
                        <a:effectLst/>
                      </wps:spPr>
                      <wps:txbx>
                        <w:txbxContent>
                          <w:p w14:paraId="1D381F6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开始工作或开工条件</w:t>
                            </w:r>
                          </w:p>
                        </w:txbxContent>
                      </wps:txbx>
                      <wps:bodyPr rot="0" vert="horz" wrap="square" lIns="91440" tIns="45720" rIns="91440" bIns="45720" anchor="t" anchorCtr="0" upright="1">
                        <a:noAutofit/>
                      </wps:bodyPr>
                    </wps:wsp>
                  </a:graphicData>
                </a:graphic>
              </wp:anchor>
            </w:drawing>
          </mc:Choice>
          <mc:Fallback>
            <w:pict>
              <v:shape id="文本框 821" o:spid="_x0000_s1026" o:spt="202" type="#_x0000_t202" style="position:absolute;left:0pt;margin-left:-9pt;margin-top:19.45pt;height:40.95pt;width:61.4pt;z-index:252013568;mso-width-relative:page;mso-height-relative:page;" filled="f" stroked="f" coordsize="21600,21600" o:gfxdata="UEsDBAoAAAAAAIdO4kAAAAAAAAAAAAAAAAAEAAAAZHJzL1BLAwQUAAAACACHTuJA/XdFYdcAAAAK&#10;AQAADwAAAGRycy9kb3ducmV2LnhtbE2PTU/DMAyG70j8h8hI3LakY6CuNN0BxBXE+JC4eY3XVjRO&#10;1WRr+fd4J7jZ8qvXz1NuZ9+rE42xC2whWxpQxHVwHTcW3t+eFjmomJAd9oHJwg9F2FaXFyUWLkz8&#10;SqddapSUcCzQQpvSUGgd65Y8xmUYiOV2CKPHJOvYaDfiJOW+1ytj7rTHjuVDiwM9tFR/747ewsfz&#10;4etzbV6aR387TGE2mv1GW3t9lZl7UInm9BeGM76gQyVM+3BkF1VvYZHl4pIs3OQbUOeAWYvLXoaV&#10;yUFXpf6vUP0CUEsDBBQAAAAIAIdO4kBy/4mvHQIAACYEAAAOAAAAZHJzL2Uyb0RvYy54bWytU82O&#10;0zAQviPxDpbvNG3VbrtR09Wy1SKk5UdaeADXcRqLxGPGbpPyAPAGnLhw57n6HIztbinLZQ9cIo9n&#10;/M1833xZXPVtw3YKnQZT8NFgyJkyEkptNgX/+OH2xZwz54UpRQNGFXyvHL9aPn+26GyuxlBDUypk&#10;BGJc3tmC197bPMucrFUr3ACsMpSsAFvhKcRNVqLoCL1tsvFweJF1gKVFkMo5ul2lJD8i4lMAoaq0&#10;VCuQ21YZn1BRNcITJVdr6/gyTltVSvp3VeWUZ03BiamPX2pC53X4ZsuFyDcobK3lcQTxlBEecWqF&#10;NtT0BLUSXrAt6n+gWi0RHFR+IKHNEpGoCLEYDR9pc18LqyIXktrZk+ju/8HKt7v3yHRZ8IvxjDMj&#10;Wlr54fu3w49fh59f2Xw8ChJ11uVUeW+p1vcvoSfjRLrO3oH85JiBm1qYjbpGhK5WoqQR48vs7GnC&#10;cQFk3b2BkjqJrYcI1FfYBv1IEUbotJ79aT2q90zS5Wx2OZtTRlJqGqw0DbNlIn94bNH5VwpaFg4F&#10;R9p+BBe7O+dT6UNJ6GXgVjdNdEBj/rogzHSjooWOrwOVMH3i4ft1f5RmDeWeSCEke9HPRYca8Atn&#10;HVmr4O7zVqDirHltSJjL0WQSvBiDyXQ2pgDPM+vzjDCSoAruOUvHG5/8u7WoNzV1SqswcE1iVjoS&#10;DaOmqUigEJB9olRHqwd/nsex6s/vvf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dFYdcAAAAK&#10;AQAADwAAAAAAAAABACAAAAAiAAAAZHJzL2Rvd25yZXYueG1sUEsBAhQAFAAAAAgAh07iQHL/ia8d&#10;AgAAJgQAAA4AAAAAAAAAAQAgAAAAJgEAAGRycy9lMm9Eb2MueG1sUEsFBgAAAAAGAAYAWQEAALUF&#10;AAAAAA==&#10;">
                <v:fill on="f" focussize="0,0"/>
                <v:stroke on="f"/>
                <v:imagedata o:title=""/>
                <o:lock v:ext="edit" aspectratio="f"/>
                <v:textbox>
                  <w:txbxContent>
                    <w:p w14:paraId="1D381F6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开始工作或开工条件</w:t>
                      </w:r>
                    </w:p>
                  </w:txbxContent>
                </v:textbox>
              </v:shape>
            </w:pict>
          </mc:Fallback>
        </mc:AlternateContent>
      </w:r>
      <w:r>
        <w:rPr>
          <w:rFonts w:hint="eastAsia" w:ascii="仿宋" w:hAnsi="仿宋" w:eastAsia="仿宋" w:cs="仿宋"/>
          <w:b/>
          <w:bCs/>
          <w:color w:val="auto"/>
          <w:sz w:val="24"/>
          <w:szCs w:val="24"/>
          <w:highlight w:val="none"/>
          <w:lang w:eastAsia="zh-CN"/>
        </w:rPr>
        <w:t>41</w:t>
      </w:r>
      <w:r>
        <w:rPr>
          <w:rFonts w:ascii="仿宋" w:hAnsi="仿宋" w:eastAsia="仿宋" w:cs="仿宋"/>
          <w:b/>
          <w:bCs/>
          <w:color w:val="auto"/>
          <w:sz w:val="24"/>
          <w:szCs w:val="24"/>
          <w:highlight w:val="none"/>
          <w:lang w:eastAsia="zh-CN"/>
        </w:rPr>
        <w:t>.1</w:t>
      </w:r>
    </w:p>
    <w:p w14:paraId="71AF94FC">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41.1.1承包人开始勘察、设计、BIM技术应用、设备及工器具购置等工作前，应当具备法律规定的工程现场作业条件，并按照法律规定获得了开展工作所需的政府部门许可、批准或备案。</w:t>
      </w:r>
    </w:p>
    <w:p w14:paraId="300A3511">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41.1.2工程开工必须具备法律规定的开工条件，并已经领取了施工许可证。发包人代表、设计顾问或监理人代表违反本条约定发出的开始工作指令或开工令无效，由发包人承担相应责任。</w:t>
      </w:r>
    </w:p>
    <w:p w14:paraId="4D84E9C3">
      <w:pPr>
        <w:pStyle w:val="2"/>
        <w:tabs>
          <w:tab w:val="left" w:pos="1320"/>
        </w:tabs>
        <w:adjustRightInd w:val="0"/>
        <w:snapToGrid w:val="0"/>
        <w:spacing w:line="360" w:lineRule="auto"/>
        <w:ind w:right="3"/>
        <w:rPr>
          <w:rFonts w:hint="eastAsia" w:ascii="仿宋" w:hAnsi="仿宋" w:eastAsia="仿宋" w:cs="仿宋"/>
          <w:b/>
          <w:bCs/>
          <w:color w:val="auto"/>
          <w:sz w:val="24"/>
          <w:szCs w:val="24"/>
          <w:highlight w:val="none"/>
          <w:u w:val="dotted"/>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14592" behindDoc="0" locked="0" layoutInCell="1" allowOverlap="1">
                <wp:simplePos x="0" y="0"/>
                <wp:positionH relativeFrom="column">
                  <wp:posOffset>-114300</wp:posOffset>
                </wp:positionH>
                <wp:positionV relativeFrom="paragraph">
                  <wp:posOffset>242570</wp:posOffset>
                </wp:positionV>
                <wp:extent cx="826770" cy="638175"/>
                <wp:effectExtent l="0" t="0" r="0" b="0"/>
                <wp:wrapNone/>
                <wp:docPr id="628" name="文本框 822"/>
                <wp:cNvGraphicFramePr/>
                <a:graphic xmlns:a="http://schemas.openxmlformats.org/drawingml/2006/main">
                  <a:graphicData uri="http://schemas.microsoft.com/office/word/2010/wordprocessingShape">
                    <wps:wsp>
                      <wps:cNvSpPr txBox="1">
                        <a:spLocks noChangeArrowheads="1"/>
                      </wps:cNvSpPr>
                      <wps:spPr bwMode="auto">
                        <a:xfrm>
                          <a:off x="0" y="0"/>
                          <a:ext cx="826770" cy="638175"/>
                        </a:xfrm>
                        <a:prstGeom prst="rect">
                          <a:avLst/>
                        </a:prstGeom>
                        <a:noFill/>
                        <a:ln>
                          <a:noFill/>
                        </a:ln>
                        <a:effectLst/>
                      </wps:spPr>
                      <wps:txbx>
                        <w:txbxContent>
                          <w:p w14:paraId="49106BE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开始工作或工程开工</w:t>
                            </w:r>
                          </w:p>
                        </w:txbxContent>
                      </wps:txbx>
                      <wps:bodyPr rot="0" vert="horz" wrap="square" lIns="91440" tIns="45720" rIns="91440" bIns="45720" anchor="t" anchorCtr="0" upright="1">
                        <a:noAutofit/>
                      </wps:bodyPr>
                    </wps:wsp>
                  </a:graphicData>
                </a:graphic>
              </wp:anchor>
            </w:drawing>
          </mc:Choice>
          <mc:Fallback>
            <w:pict>
              <v:shape id="文本框 822" o:spid="_x0000_s1026" o:spt="202" type="#_x0000_t202" style="position:absolute;left:0pt;margin-left:-9pt;margin-top:19.1pt;height:50.25pt;width:65.1pt;z-index:252014592;mso-width-relative:page;mso-height-relative:page;" filled="f" stroked="f" coordsize="21600,21600" o:gfxdata="UEsDBAoAAAAAAIdO4kAAAAAAAAAAAAAAAAAEAAAAZHJzL1BLAwQUAAAACACHTuJAQgfZBdcAAAAK&#10;AQAADwAAAGRycy9kb3ducmV2LnhtbE2PwU7DMBBE70j9B2uRuLV2UighxOmhiCuIUir15sbbJCJe&#10;R7HbhL9ne4LbjHY0+6ZYT64TFxxC60lDslAgkCpvW6o17D5f5xmIEA1Z03lCDT8YYF3ObgqTWz/S&#10;B162sRZcQiE3GpoY+1zKUDXoTFj4HolvJz84E9kOtbSDGbncdTJVaiWdaYk/NKbHTYPV9/bsNHy9&#10;nQ77e/Vev7iHfvSTkuSepNZ3t4l6BhFxin9huOIzOpTMdPRnskF0GuZJxluihmWWgrgGkpTFkcUy&#10;ewRZFvL/hPIXUEsDBBQAAAAIAIdO4kAtrStKHgIAACYEAAAOAAAAZHJzL2Uyb0RvYy54bWytU82O&#10;0zAQviPxDpbvNG3otiVqulq2WoS0/EgLD+A6TmOReMzYbVIeAN6AExfuPFefg7GTLWW57IGLZXvG&#10;38z3zeflZdfUbK/QaTA5n4zGnCkjodBmm/OPH26eLThzXphC1GBUzg/K8cvV0yfL1mYqhQrqQiEj&#10;EOOy1ua88t5mSeJkpRrhRmCVoWAJ2AhPR9wmBYqW0Js6ScfjWdICFhZBKufodt0H+YCIjwGEstRS&#10;rUHuGmV8j4qqFp4ouUpbx1ex27JU0r8rS6c8q3NOTH1cqQjtN2FNVkuRbVHYSsuhBfGYFh5waoQ2&#10;VPQEtRZesB3qf6AaLREclH4koUl6IlERYjEZP9DmrhJWRS4ktbMn0d3/g5Vv9++R6SLns5QGb0RD&#10;Iz9+/3b88ev48ytbpGmQqLUuo8w7S7m+ewkdGSfSdfYW5CfHDFxXwmzVFSK0lRIFtTgJL5Ozpz2O&#10;CyCb9g0UVEnsPESgrsQm6EeKMEKn8RxO41GdZ5IuF+lsPqeIpNDs+WIyv4gVRHb/2KLzrxQ0LGxy&#10;jjT9CC72t86HZkR2nxJqGbjRdR0dUJu/Liixv1HRQsPrQCV03/Pw3aYbpNlAcSBSCL296HPRpgL8&#10;wllL1sq5+7wTqDirXxsS5sVkOg1ejIfpxTylA55HNucRYSRB5dxz1m+vfe/fnUW9rahSPwoDVyRm&#10;qSPR0Grf1TACsk/kP1g9+PP8HLP+fO/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IH2QXXAAAA&#10;CgEAAA8AAAAAAAAAAQAgAAAAIgAAAGRycy9kb3ducmV2LnhtbFBLAQIUABQAAAAIAIdO4kAtrStK&#10;HgIAACYEAAAOAAAAAAAAAAEAIAAAACYBAABkcnMvZTJvRG9jLnhtbFBLBQYAAAAABgAGAFkBAAC2&#10;BQAAAAA=&#10;">
                <v:fill on="f" focussize="0,0"/>
                <v:stroke on="f"/>
                <v:imagedata o:title=""/>
                <o:lock v:ext="edit" aspectratio="f"/>
                <v:textbox>
                  <w:txbxContent>
                    <w:p w14:paraId="49106BE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开始工作或工程开工</w:t>
                      </w:r>
                    </w:p>
                  </w:txbxContent>
                </v:textbox>
              </v:shape>
            </w:pict>
          </mc:Fallback>
        </mc:AlternateContent>
      </w:r>
      <w:r>
        <w:rPr>
          <w:rFonts w:hint="eastAsia" w:ascii="仿宋" w:hAnsi="仿宋" w:eastAsia="仿宋" w:cs="仿宋"/>
          <w:b/>
          <w:bCs/>
          <w:color w:val="auto"/>
          <w:sz w:val="24"/>
          <w:szCs w:val="24"/>
          <w:highlight w:val="none"/>
          <w:lang w:eastAsia="zh-CN"/>
        </w:rPr>
        <w:t>41</w:t>
      </w:r>
      <w:r>
        <w:rPr>
          <w:rFonts w:ascii="仿宋" w:hAnsi="仿宋" w:eastAsia="仿宋" w:cs="仿宋"/>
          <w:b/>
          <w:bCs/>
          <w:color w:val="auto"/>
          <w:sz w:val="24"/>
          <w:szCs w:val="24"/>
          <w:highlight w:val="none"/>
          <w:lang w:eastAsia="zh-CN"/>
        </w:rPr>
        <w:t xml:space="preserve">.2  </w:t>
      </w:r>
    </w:p>
    <w:p w14:paraId="4D31957D">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41.2.1承包人应在具备工程现场作业条件或获得相关许可、批准或备案后的14天内，向发包人代表、设计顾问人或监理人代表提交开始工作的申请书，并附上表明已做好开始该项工作准备的有关资料。除专用条款另有约定外，发包人代表、设计顾问人或监理人代表应在收到承包人申请后的7天内报发包人批准后向承包人发出开始工作指令；承包人应在接到开始工作指令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天内开始工作，并一直保持该项工作连续进行，直至其被改变为止。</w:t>
      </w:r>
    </w:p>
    <w:p w14:paraId="495D86A2">
      <w:pPr>
        <w:pStyle w:val="2"/>
        <w:adjustRightInd w:val="0"/>
        <w:snapToGrid w:val="0"/>
        <w:spacing w:line="360" w:lineRule="auto"/>
        <w:ind w:left="1850" w:leftChars="771" w:right="3"/>
        <w:rPr>
          <w:color w:val="auto"/>
          <w:highlight w:val="none"/>
          <w:lang w:eastAsia="zh-CN"/>
        </w:rPr>
      </w:pPr>
      <w:r>
        <w:rPr>
          <w:rFonts w:hint="eastAsia" w:ascii="仿宋" w:hAnsi="仿宋" w:eastAsia="仿宋" w:cs="仿宋"/>
          <w:color w:val="auto"/>
          <w:sz w:val="24"/>
          <w:szCs w:val="24"/>
          <w:highlight w:val="none"/>
          <w:lang w:eastAsia="zh-CN"/>
        </w:rPr>
        <w:t>41.2.2承包人应在本合同工程施工图审查批准或备案后的28天内，向发包人代表、设计顾问人代表或监理人代表提交开工申请书，并附上表明已做好开工准备的有关资料。除专用条款另有约定外，发包人代表或监理人代表应在本合同工程施工图审查批准或备案后的</w:t>
      </w:r>
      <w:r>
        <w:rPr>
          <w:rFonts w:ascii="仿宋" w:hAnsi="仿宋" w:eastAsia="仿宋" w:cs="仿宋"/>
          <w:color w:val="auto"/>
          <w:sz w:val="24"/>
          <w:szCs w:val="24"/>
          <w:highlight w:val="none"/>
          <w:lang w:eastAsia="zh-CN"/>
        </w:rPr>
        <w:t>42</w:t>
      </w:r>
      <w:r>
        <w:rPr>
          <w:rFonts w:hint="eastAsia" w:ascii="仿宋" w:hAnsi="仿宋" w:eastAsia="仿宋" w:cs="仿宋"/>
          <w:color w:val="auto"/>
          <w:sz w:val="24"/>
          <w:szCs w:val="24"/>
          <w:highlight w:val="none"/>
          <w:lang w:eastAsia="zh-CN"/>
        </w:rPr>
        <w:t>天内报发包人批准后向承包人发出开工令；承包人应在接到开工令后的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天内开工，并一直保持合同工程连续均衡施工，直至其被改变为止。</w:t>
      </w:r>
    </w:p>
    <w:p w14:paraId="61517580">
      <w:pPr>
        <w:pStyle w:val="2"/>
        <w:tabs>
          <w:tab w:val="left" w:pos="1320"/>
        </w:tabs>
        <w:adjustRightInd w:val="0"/>
        <w:snapToGrid w:val="0"/>
        <w:spacing w:line="360" w:lineRule="auto"/>
        <w:ind w:right="3"/>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15616" behindDoc="0" locked="0" layoutInCell="1" allowOverlap="1">
                <wp:simplePos x="0" y="0"/>
                <wp:positionH relativeFrom="column">
                  <wp:posOffset>-114300</wp:posOffset>
                </wp:positionH>
                <wp:positionV relativeFrom="paragraph">
                  <wp:posOffset>269875</wp:posOffset>
                </wp:positionV>
                <wp:extent cx="861695" cy="1001395"/>
                <wp:effectExtent l="0" t="0" r="0" b="0"/>
                <wp:wrapNone/>
                <wp:docPr id="629" name="文本框 823"/>
                <wp:cNvGraphicFramePr/>
                <a:graphic xmlns:a="http://schemas.openxmlformats.org/drawingml/2006/main">
                  <a:graphicData uri="http://schemas.microsoft.com/office/word/2010/wordprocessingShape">
                    <wps:wsp>
                      <wps:cNvSpPr txBox="1">
                        <a:spLocks noChangeArrowheads="1"/>
                      </wps:cNvSpPr>
                      <wps:spPr bwMode="auto">
                        <a:xfrm>
                          <a:off x="0" y="0"/>
                          <a:ext cx="861695" cy="1001395"/>
                        </a:xfrm>
                        <a:prstGeom prst="rect">
                          <a:avLst/>
                        </a:prstGeom>
                        <a:noFill/>
                        <a:ln>
                          <a:noFill/>
                        </a:ln>
                        <a:effectLst/>
                      </wps:spPr>
                      <wps:txbx>
                        <w:txbxContent>
                          <w:p w14:paraId="214FF83D">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承包人未按时开始工作或开工的处理程序和责任</w:t>
                            </w:r>
                          </w:p>
                        </w:txbxContent>
                      </wps:txbx>
                      <wps:bodyPr rot="0" vert="horz" wrap="square" lIns="91440" tIns="45720" rIns="91440" bIns="45720" anchor="t" anchorCtr="0" upright="1">
                        <a:noAutofit/>
                      </wps:bodyPr>
                    </wps:wsp>
                  </a:graphicData>
                </a:graphic>
              </wp:anchor>
            </w:drawing>
          </mc:Choice>
          <mc:Fallback>
            <w:pict>
              <v:shape id="文本框 823" o:spid="_x0000_s1026" o:spt="202" type="#_x0000_t202" style="position:absolute;left:0pt;margin-left:-9pt;margin-top:21.25pt;height:78.85pt;width:67.85pt;z-index:252015616;mso-width-relative:page;mso-height-relative:page;" filled="f" stroked="f" coordsize="21600,21600" o:gfxdata="UEsDBAoAAAAAAIdO4kAAAAAAAAAAAAAAAAAEAAAAZHJzL1BLAwQUAAAACACHTuJAp5sYptcAAAAK&#10;AQAADwAAAGRycy9kb3ducmV2LnhtbE2PzW7CMBCE75V4B2sr9QZ2IigQsuFA1Wur8lOpNxMvSdR4&#10;HcWGpG9fc2qPoxnNfJNvR9uKG/W+cYyQzBQI4tKZhiuE4+F1ugLhg2ajW8eE8EMetsXkIdeZcQN/&#10;0G0fKhFL2GcaoQ6hy6T0ZU1W+5nriKN3cb3VIcq+kqbXQyy3rUyVepZWNxwXat3Rrqbye3+1CKe3&#10;y9fnXL1XL3bRDW5Uku1aIj49JmoDItAY/sJwx4/oUESms7uy8aJFmCar+CUgzNMFiHsgWS5BnBHi&#10;bgqyyOX/C8UvUEsDBBQAAAAIAIdO4kDsf+cIHgIAACcEAAAOAAAAZHJzL2Uyb0RvYy54bWytU0tu&#10;2zAQ3RfoHQjua0mO49qC5SCNkaJA+gHSHoCmKIuoxGGHtKX0AO0Nuuqm+57L5+iQchw33WTRjcD5&#10;vZn3ZrS46NuG7RQ6Dabg2SjlTBkJpTabgn/6eP1ixpnzwpSiAaMKfqccv1g+f7bobK7GUENTKmQE&#10;Ylze2YLX3ts8SZysVSvcCKwyFKwAW+HJxE1SougIvW2ScZpOkw6wtAhSOUfe1RDkB0R8CiBUlZZq&#10;BXLbKuMHVFSN8ETJ1do6vozTVpWS/n1VOeVZU3Bi6uOXmtB7Hb7JciHyDQpba3kYQTxlhEecWqEN&#10;NT1CrYQXbIv6H6hWSwQHlR9JaJOBSFSEWGTpI21ua2FV5EJSO3sU3f0/WPlu9wGZLgs+Hc85M6Kl&#10;le9/fN///L3/9Y3NxmdBos66nDJvLeX6/hX0dDiRrrM3ID87ZuCqFmajLhGhq5UoacQsVCYnpQOO&#10;CyDr7i2U1ElsPUSgvsI26EeKMEKn9dwd16N6zyQ5Z9NsOj/nTFIoS9PsjIzQQuT31Radf62gZeFR&#10;cKT1R3Sxu3F+SL1PCc0MXOumIb/IG/OXgzAHj4o3dKgOXML4AxHfr3uqDc41lHfECmG4L/q76FED&#10;fuWso9squPuyFag4a94YUmaeTSbhGKMxOX85JgNPI+vTiDCSoAruORueV3444K1Fvamp07ALA5ek&#10;ZqUj0YepDjug+4lSHW49HOipHbMe/u/l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ebGKbXAAAA&#10;CgEAAA8AAAAAAAAAAQAgAAAAIgAAAGRycy9kb3ducmV2LnhtbFBLAQIUABQAAAAIAIdO4kDsf+cI&#10;HgIAACcEAAAOAAAAAAAAAAEAIAAAACYBAABkcnMvZTJvRG9jLnhtbFBLBQYAAAAABgAGAFkBAAC2&#10;BQAAAAA=&#10;">
                <v:fill on="f" focussize="0,0"/>
                <v:stroke on="f"/>
                <v:imagedata o:title=""/>
                <o:lock v:ext="edit" aspectratio="f"/>
                <v:textbox>
                  <w:txbxContent>
                    <w:p w14:paraId="214FF83D">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承包人未按时开始工作或开工的处理程序和责任</w:t>
                      </w:r>
                    </w:p>
                  </w:txbxContent>
                </v:textbox>
              </v:shape>
            </w:pict>
          </mc:Fallback>
        </mc:AlternateContent>
      </w:r>
      <w:r>
        <w:rPr>
          <w:rFonts w:hint="eastAsia" w:ascii="仿宋" w:hAnsi="仿宋" w:eastAsia="仿宋" w:cs="仿宋"/>
          <w:b/>
          <w:bCs/>
          <w:color w:val="auto"/>
          <w:sz w:val="24"/>
          <w:szCs w:val="24"/>
          <w:highlight w:val="none"/>
          <w:lang w:eastAsia="zh-CN"/>
        </w:rPr>
        <w:t>41</w:t>
      </w:r>
      <w:r>
        <w:rPr>
          <w:rFonts w:ascii="仿宋" w:hAnsi="仿宋" w:eastAsia="仿宋" w:cs="仿宋"/>
          <w:b/>
          <w:bCs/>
          <w:color w:val="auto"/>
          <w:sz w:val="24"/>
          <w:szCs w:val="24"/>
          <w:highlight w:val="none"/>
          <w:lang w:eastAsia="zh-CN"/>
        </w:rPr>
        <w:t xml:space="preserve">.3  </w:t>
      </w:r>
    </w:p>
    <w:p w14:paraId="548A83FD">
      <w:pPr>
        <w:pStyle w:val="2"/>
        <w:adjustRightInd w:val="0"/>
        <w:snapToGrid w:val="0"/>
        <w:spacing w:line="360" w:lineRule="auto"/>
        <w:ind w:left="1850" w:leftChars="771" w:right="3"/>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承包人未能按时开始某项工作或开工，应在接到开始工作指令或开工令后立即以书面形式向发包人代表、设计顾问人代表或监理人代表提出延期开始工作或开工的要求并说明理由。发包人代表、设计顾问人代表或监理人代表应当在接到延期开始工作或开工申请后的</w:t>
      </w:r>
      <w:r>
        <w:rPr>
          <w:rFonts w:ascii="仿宋" w:hAnsi="仿宋" w:eastAsia="仿宋" w:cs="仿宋"/>
          <w:color w:val="auto"/>
          <w:sz w:val="24"/>
          <w:szCs w:val="24"/>
          <w:highlight w:val="none"/>
          <w:lang w:eastAsia="zh-CN"/>
        </w:rPr>
        <w:t>48</w:t>
      </w:r>
      <w:r>
        <w:rPr>
          <w:rFonts w:hint="eastAsia" w:ascii="仿宋" w:hAnsi="仿宋" w:eastAsia="仿宋" w:cs="仿宋"/>
          <w:color w:val="auto"/>
          <w:sz w:val="24"/>
          <w:szCs w:val="24"/>
          <w:highlight w:val="none"/>
          <w:lang w:eastAsia="zh-CN"/>
        </w:rPr>
        <w:t>小时内书面予以答复，否则视为同意。承包人没有合理理由而延期开始工作或开工的，由此造成的损失和延误的工期由承包人承担。</w:t>
      </w:r>
    </w:p>
    <w:p w14:paraId="508F9733">
      <w:pPr>
        <w:pStyle w:val="2"/>
        <w:tabs>
          <w:tab w:val="left" w:pos="1320"/>
        </w:tabs>
        <w:adjustRightInd w:val="0"/>
        <w:snapToGrid w:val="0"/>
        <w:spacing w:line="360" w:lineRule="auto"/>
        <w:ind w:right="3"/>
        <w:rPr>
          <w:rFonts w:hint="eastAsia" w:ascii="仿宋" w:hAnsi="仿宋" w:eastAsia="仿宋" w:cs="仿宋"/>
          <w:color w:val="auto"/>
          <w:sz w:val="24"/>
          <w:szCs w:val="24"/>
          <w:highlight w:val="none"/>
          <w:u w:val="dotted"/>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16640" behindDoc="0" locked="0" layoutInCell="1" allowOverlap="1">
                <wp:simplePos x="0" y="0"/>
                <wp:positionH relativeFrom="column">
                  <wp:posOffset>-114300</wp:posOffset>
                </wp:positionH>
                <wp:positionV relativeFrom="paragraph">
                  <wp:posOffset>237490</wp:posOffset>
                </wp:positionV>
                <wp:extent cx="842645" cy="922020"/>
                <wp:effectExtent l="0" t="0" r="0" b="0"/>
                <wp:wrapNone/>
                <wp:docPr id="630" name="文本框 824"/>
                <wp:cNvGraphicFramePr/>
                <a:graphic xmlns:a="http://schemas.openxmlformats.org/drawingml/2006/main">
                  <a:graphicData uri="http://schemas.microsoft.com/office/word/2010/wordprocessingShape">
                    <wps:wsp>
                      <wps:cNvSpPr txBox="1">
                        <a:spLocks noChangeArrowheads="1"/>
                      </wps:cNvSpPr>
                      <wps:spPr bwMode="auto">
                        <a:xfrm>
                          <a:off x="0" y="0"/>
                          <a:ext cx="842645" cy="922020"/>
                        </a:xfrm>
                        <a:prstGeom prst="rect">
                          <a:avLst/>
                        </a:prstGeom>
                        <a:noFill/>
                        <a:ln>
                          <a:noFill/>
                        </a:ln>
                        <a:effectLst/>
                      </wps:spPr>
                      <wps:txbx>
                        <w:txbxContent>
                          <w:p w14:paraId="3A765BC6">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发包人推迟开始工作或开工的处理程序和责任</w:t>
                            </w:r>
                          </w:p>
                        </w:txbxContent>
                      </wps:txbx>
                      <wps:bodyPr rot="0" vert="horz" wrap="square" lIns="91440" tIns="45720" rIns="91440" bIns="45720" anchor="t" anchorCtr="0" upright="1">
                        <a:noAutofit/>
                      </wps:bodyPr>
                    </wps:wsp>
                  </a:graphicData>
                </a:graphic>
              </wp:anchor>
            </w:drawing>
          </mc:Choice>
          <mc:Fallback>
            <w:pict>
              <v:shape id="文本框 824" o:spid="_x0000_s1026" o:spt="202" type="#_x0000_t202" style="position:absolute;left:0pt;margin-left:-9pt;margin-top:18.7pt;height:72.6pt;width:66.35pt;z-index:252016640;mso-width-relative:page;mso-height-relative:page;" filled="f" stroked="f" coordsize="21600,21600" o:gfxdata="UEsDBAoAAAAAAIdO4kAAAAAAAAAAAAAAAAAEAAAAZHJzL1BLAwQUAAAACACHTuJAOww6WNgAAAAK&#10;AQAADwAAAGRycy9kb3ducmV2LnhtbE2PwU7DMBBE70j8g7VI3Fo7JbQhZNMDiCuopUXi5sbbJCJe&#10;R7HbhL/HPZXbrGY0+6ZYT7YTZxp86xghmSsQxJUzLdcIu8+3WQbCB81Gd44J4Zc8rMvbm0Lnxo28&#10;ofM21CKWsM81QhNCn0vpq4as9nPXE0fv6AarQzyHWppBj7HcdnKh1FJa3XL80OieXhqqfrYni7B/&#10;P35/peqjfrWP/egmJdk+ScT7u0Q9gwg0hWsYLvgRHcrIdHAnNl50CLMki1sCwsMqBXEJJOkKxCGK&#10;bLEEWRby/4TyD1BLAwQUAAAACACHTuJAE0/3aB8CAAAmBAAADgAAAGRycy9lMm9Eb2MueG1srVPN&#10;jtMwEL4j8Q6W7zRtyJZu1HS1bLUIafmRFh7AdZzGIvGYsdtkeQB4A05cuPNcfQ7GTraU5bIHLpbt&#10;GX8z3zeflxd927C9QqfBFHw2mXKmjIRSm23BP364frbgzHlhStGAUQW/U45frJ4+WXY2VynU0JQK&#10;GYEYl3e24LX3Nk8SJ2vVCjcBqwwFK8BWeDriNilRdITeNkk6nc6TDrC0CFI5R7frIchHRHwMIFSV&#10;lmoNctcq4wdUVI3wRMnV2jq+it1WlZL+XVU55VlTcGLq40pFaL8Ja7JainyLwtZaji2Ix7TwgFMr&#10;tKGiR6i18ILtUP8D1WqJ4KDyEwltMhCJihCL2fSBNre1sCpyIamdPYru/h+sfLt/j0yXBZ8/J02M&#10;aGnkh+/fDj9+HX5+ZYs0CxJ11uWUeWsp1/cvoSfjRLrO3oD85JiBq1qYrbpEhK5WoqQWZ+FlcvJ0&#10;wHEBZNO9gZIqiZ2HCNRX2Ab9SBFG6NTK3XE8qvdM0uUiS+fZGWeSQudpOk3j+BKR3z+26PwrBS0L&#10;m4IjTT+Ci/2N86EZkd+nhFoGrnXTRAc05q8LShxuVLTQ+DpQCd0PPHy/6UdpNlDeESmEwV70uWhT&#10;A37hrCNrFdx93glUnDWvDQlzPsuy4MV4yM5eEA+Gp5HNaUQYSVAF95wN2ys/+HdnUW9rqjSMwsAl&#10;iVnpSDS0OnQ1joDsE/mPVg/+PD3HrD/fe/U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Oww6WNgA&#10;AAAKAQAADwAAAAAAAAABACAAAAAiAAAAZHJzL2Rvd25yZXYueG1sUEsBAhQAFAAAAAgAh07iQBNP&#10;92gfAgAAJgQAAA4AAAAAAAAAAQAgAAAAJwEAAGRycy9lMm9Eb2MueG1sUEsFBgAAAAAGAAYAWQEA&#10;ALgFAAAAAA==&#10;">
                <v:fill on="f" focussize="0,0"/>
                <v:stroke on="f"/>
                <v:imagedata o:title=""/>
                <o:lock v:ext="edit" aspectratio="f"/>
                <v:textbox>
                  <w:txbxContent>
                    <w:p w14:paraId="3A765BC6">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发包人推迟开始工作或开工的处理程序和责任</w:t>
                      </w:r>
                    </w:p>
                  </w:txbxContent>
                </v:textbox>
              </v:shape>
            </w:pict>
          </mc:Fallback>
        </mc:AlternateContent>
      </w:r>
      <w:r>
        <w:rPr>
          <w:rFonts w:hint="eastAsia" w:ascii="仿宋" w:hAnsi="仿宋" w:eastAsia="仿宋" w:cs="仿宋"/>
          <w:b/>
          <w:bCs/>
          <w:color w:val="auto"/>
          <w:sz w:val="24"/>
          <w:szCs w:val="24"/>
          <w:highlight w:val="none"/>
          <w:lang w:eastAsia="zh-CN"/>
        </w:rPr>
        <w:t xml:space="preserve">41.4 </w:t>
      </w:r>
    </w:p>
    <w:p w14:paraId="69230218">
      <w:pPr>
        <w:pStyle w:val="2"/>
        <w:adjustRightInd w:val="0"/>
        <w:snapToGrid w:val="0"/>
        <w:spacing w:line="360" w:lineRule="auto"/>
        <w:ind w:left="1850" w:leftChars="771" w:right="3"/>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因发包人的原因不能在第41</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款约定的时间内发出开始工作指令或开工令的，发包人或监理人应至少提前</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天以书面形式通知承包人推迟开始工作或开工。由此造成的损失由发包人承担，开始工作或开工日期相应顺延。发包人、设计顾问人或监理人未能提前</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天通知承包人推迟开工的，由此造成损失的扩大由发包人承担。</w:t>
      </w:r>
    </w:p>
    <w:p w14:paraId="034D7B68">
      <w:pPr>
        <w:pStyle w:val="2"/>
        <w:adjustRightInd w:val="0"/>
        <w:snapToGrid w:val="0"/>
        <w:spacing w:line="360" w:lineRule="auto"/>
        <w:rPr>
          <w:rFonts w:hint="eastAsia" w:ascii="仿宋" w:hAnsi="仿宋" w:eastAsia="仿宋"/>
          <w:b/>
          <w:bCs/>
          <w:color w:val="auto"/>
          <w:sz w:val="24"/>
          <w:szCs w:val="24"/>
          <w:highlight w:val="none"/>
          <w:lang w:eastAsia="zh-CN"/>
        </w:rPr>
      </w:pPr>
    </w:p>
    <w:p w14:paraId="3345C53E">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39" w:name="_Toc15796"/>
      <w:r>
        <w:rPr>
          <w:rFonts w:hint="eastAsia" w:ascii="仿宋" w:hAnsi="仿宋" w:eastAsia="仿宋" w:cs="仿宋"/>
          <w:bCs w:val="0"/>
          <w:color w:val="auto"/>
          <w:sz w:val="24"/>
          <w:szCs w:val="24"/>
          <w:highlight w:val="none"/>
          <w:lang w:eastAsia="zh-CN"/>
        </w:rPr>
        <w:t>42暂停工作、暂停施工和复工</w:t>
      </w:r>
      <w:bookmarkEnd w:id="339"/>
    </w:p>
    <w:p w14:paraId="7A9446CC">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17664" behindDoc="0" locked="0" layoutInCell="1" allowOverlap="1">
                <wp:simplePos x="0" y="0"/>
                <wp:positionH relativeFrom="column">
                  <wp:posOffset>-114300</wp:posOffset>
                </wp:positionH>
                <wp:positionV relativeFrom="paragraph">
                  <wp:posOffset>261620</wp:posOffset>
                </wp:positionV>
                <wp:extent cx="765810" cy="813435"/>
                <wp:effectExtent l="0" t="0" r="0" b="0"/>
                <wp:wrapNone/>
                <wp:docPr id="631" name="文本框 825"/>
                <wp:cNvGraphicFramePr/>
                <a:graphic xmlns:a="http://schemas.openxmlformats.org/drawingml/2006/main">
                  <a:graphicData uri="http://schemas.microsoft.com/office/word/2010/wordprocessingShape">
                    <wps:wsp>
                      <wps:cNvSpPr txBox="1">
                        <a:spLocks noChangeArrowheads="1"/>
                      </wps:cNvSpPr>
                      <wps:spPr bwMode="auto">
                        <a:xfrm>
                          <a:off x="0" y="0"/>
                          <a:ext cx="765810" cy="813435"/>
                        </a:xfrm>
                        <a:prstGeom prst="rect">
                          <a:avLst/>
                        </a:prstGeom>
                        <a:noFill/>
                        <a:ln>
                          <a:noFill/>
                        </a:ln>
                        <a:effectLst/>
                      </wps:spPr>
                      <wps:txbx>
                        <w:txbxContent>
                          <w:p w14:paraId="4D75E8F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暂停工作或施工的指令</w:t>
                            </w:r>
                          </w:p>
                        </w:txbxContent>
                      </wps:txbx>
                      <wps:bodyPr rot="0" vert="horz" wrap="square" lIns="91440" tIns="45720" rIns="91440" bIns="45720" anchor="t" anchorCtr="0" upright="1">
                        <a:noAutofit/>
                      </wps:bodyPr>
                    </wps:wsp>
                  </a:graphicData>
                </a:graphic>
              </wp:anchor>
            </w:drawing>
          </mc:Choice>
          <mc:Fallback>
            <w:pict>
              <v:shape id="文本框 825" o:spid="_x0000_s1026" o:spt="202" type="#_x0000_t202" style="position:absolute;left:0pt;margin-left:-9pt;margin-top:20.6pt;height:64.05pt;width:60.3pt;z-index:252017664;mso-width-relative:page;mso-height-relative:page;" filled="f" stroked="f" coordsize="21600,21600" o:gfxdata="UEsDBAoAAAAAAIdO4kAAAAAAAAAAAAAAAAAEAAAAZHJzL1BLAwQUAAAACACHTuJA1ZJlNtgAAAAK&#10;AQAADwAAAGRycy9kb3ducmV2LnhtbE2PzU7DMBCE70i8g7VI3Fo7oURtiNNDK64g+oPEbRtvk4h4&#10;HcVuE94e9wS3Wc1o9ptiPdlOXGnwrWMNyVyBIK6cabnWcNi/zpYgfEA22DkmDT/kYV3e3xWYGzfy&#10;B113oRaxhH2OGpoQ+lxKXzVk0c9dTxy9sxsshngOtTQDjrHcdjJVKpMWW44fGuxp01D1vbtYDce3&#10;89fnQr3XW/vcj25Sku1Kav34kKgXEIGm8BeGG35EhzIyndyFjRedhlmyjFuChkWSgrgFVJqBOEWR&#10;rZ5AloX8P6H8BVBLAwQUAAAACACHTuJA8RW5Ch8CAAAmBAAADgAAAGRycy9lMm9Eb2MueG1srVNL&#10;btswEN0X6B0I7mtZ/sUVLAdpjBQF0g+Q9gA0RVlEJQ47pC25B2hu0FU33fdcPkeHlOO66SaLbgiS&#10;M3wz783j4rJrarZT6DSYnKeDIWfKSCi02eT808ebF3POnBemEDUYlfO9cvxy+fzZorWZGkEFdaGQ&#10;EYhxWWtzXnlvsyRxslKNcAOwylCwBGyEpyNukgJFS+hNnYyGw1nSAhYWQSrn6HbVB/kREZ8CCGWp&#10;pVqB3DbK+B4VVS08UXKVto4vY7dlqaR/X5ZOeVbnnJj6uFIR2q/DmiwXItugsJWWxxbEU1p4xKkR&#10;2lDRE9RKeMG2qP+BarREcFD6gYQm6YlERYhFOnykzV0lrIpcSGpnT6K7/wcr3+0+INNFzmfjlDMj&#10;Ghr54fv94cevw89vbD6aBola6zLKvLOU67tX0JFxIl1nb0F+dszAdSXMRl0hQlspUVCLaXiZnD3t&#10;cVwAWbdvoaBKYushAnUlNkE/UoQROo1nfxqP6jyTdHkxm85TikgKzdPxZBx7S0T28Nii868VNCxs&#10;co40/QgudrfOh2ZE9pASahm40XUdHVCbvy4osb9R0ULH14FK6L7n4bt1d5RmDcWeSCH09qLPRZsK&#10;8CtnLVkr5+7LVqDirH5jSJiX6WQSvBgPk+nFiA54HlmfR4SRBJVzz1m/vfa9f7cW9aaiSv0oDFyR&#10;mKWOREOrfVfHEZB9Iv+j1YM/z88x68/3Xv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1ZJlNtgA&#10;AAAKAQAADwAAAAAAAAABACAAAAAiAAAAZHJzL2Rvd25yZXYueG1sUEsBAhQAFAAAAAgAh07iQPEV&#10;uQofAgAAJgQAAA4AAAAAAAAAAQAgAAAAJwEAAGRycy9lMm9Eb2MueG1sUEsFBgAAAAAGAAYAWQEA&#10;ALgFAAAAAA==&#10;">
                <v:fill on="f" focussize="0,0"/>
                <v:stroke on="f"/>
                <v:imagedata o:title=""/>
                <o:lock v:ext="edit" aspectratio="f"/>
                <v:textbox>
                  <w:txbxContent>
                    <w:p w14:paraId="4D75E8F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暂停工作或施工的指令</w:t>
                      </w:r>
                    </w:p>
                  </w:txbxContent>
                </v:textbox>
              </v:shape>
            </w:pict>
          </mc:Fallback>
        </mc:AlternateContent>
      </w:r>
      <w:r>
        <w:rPr>
          <w:rFonts w:hint="eastAsia" w:ascii="仿宋" w:hAnsi="仿宋" w:eastAsia="仿宋" w:cs="仿宋"/>
          <w:b/>
          <w:bCs/>
          <w:color w:val="auto"/>
          <w:sz w:val="24"/>
          <w:szCs w:val="24"/>
          <w:highlight w:val="none"/>
          <w:lang w:eastAsia="zh-CN"/>
        </w:rPr>
        <w:t>42</w:t>
      </w:r>
      <w:r>
        <w:rPr>
          <w:rFonts w:ascii="仿宋" w:hAnsi="仿宋" w:eastAsia="仿宋" w:cs="仿宋"/>
          <w:b/>
          <w:bCs/>
          <w:color w:val="auto"/>
          <w:sz w:val="24"/>
          <w:szCs w:val="24"/>
          <w:highlight w:val="none"/>
          <w:lang w:eastAsia="zh-CN"/>
        </w:rPr>
        <w:t>.1</w:t>
      </w:r>
    </w:p>
    <w:p w14:paraId="1808FFA6">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发包人、设计顾问人或监理人认为有必要时，可向承包人发出暂停勘察、暂停设计等暂停工作指令或暂停施工令，并在</w:t>
      </w:r>
      <w:r>
        <w:rPr>
          <w:rFonts w:ascii="仿宋" w:hAnsi="仿宋" w:eastAsia="仿宋" w:cs="仿宋"/>
          <w:color w:val="auto"/>
          <w:sz w:val="24"/>
          <w:szCs w:val="24"/>
          <w:highlight w:val="none"/>
          <w:lang w:eastAsia="zh-CN"/>
        </w:rPr>
        <w:t>48</w:t>
      </w:r>
      <w:r>
        <w:rPr>
          <w:rFonts w:hint="eastAsia" w:ascii="仿宋" w:hAnsi="仿宋" w:eastAsia="仿宋" w:cs="仿宋"/>
          <w:color w:val="auto"/>
          <w:sz w:val="24"/>
          <w:szCs w:val="24"/>
          <w:highlight w:val="none"/>
          <w:lang w:eastAsia="zh-CN"/>
        </w:rPr>
        <w:t>小时内提出处理意见，承包人应按照发包人、设计顾问人或监理人的指令停止某项工作或施工。不论任何原因造成的暂停工作或暂停施工，暂停工作或施工期间承包人应妥善保护已完工作成果或已完工程并提供安全保障。</w:t>
      </w:r>
    </w:p>
    <w:p w14:paraId="19561DCE">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因发包人的原因引起暂停施工的合同工程发生紧急情况，且监理人又未及时发出暂停施工令时，承包人可先暂停施工，并及时向监理人提出暂停施工报告。监理人应在收到暂停施工报告后的</w:t>
      </w:r>
      <w:r>
        <w:rPr>
          <w:rFonts w:ascii="仿宋" w:hAnsi="仿宋" w:eastAsia="仿宋" w:cs="仿宋"/>
          <w:color w:val="auto"/>
          <w:sz w:val="24"/>
          <w:szCs w:val="24"/>
          <w:highlight w:val="none"/>
          <w:lang w:eastAsia="zh-CN"/>
        </w:rPr>
        <w:t>24</w:t>
      </w:r>
      <w:r>
        <w:rPr>
          <w:rFonts w:hint="eastAsia" w:ascii="仿宋" w:hAnsi="仿宋" w:eastAsia="仿宋" w:cs="仿宋"/>
          <w:color w:val="auto"/>
          <w:sz w:val="24"/>
          <w:szCs w:val="24"/>
          <w:highlight w:val="none"/>
          <w:lang w:eastAsia="zh-CN"/>
        </w:rPr>
        <w:t>小时内予以答复；逾期未答复的，视为承包人的暂停施工报告被认可。</w:t>
      </w:r>
    </w:p>
    <w:p w14:paraId="46D7EBF9">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42</w:t>
      </w:r>
      <w:r>
        <w:rPr>
          <w:rFonts w:ascii="仿宋" w:hAnsi="仿宋" w:eastAsia="仿宋" w:cs="仿宋"/>
          <w:b/>
          <w:bCs/>
          <w:color w:val="auto"/>
          <w:highlight w:val="none"/>
          <w:lang w:eastAsia="zh-CN"/>
        </w:rPr>
        <w:t>.2</w:t>
      </w:r>
    </w:p>
    <w:p w14:paraId="7019DEE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66784" behindDoc="0" locked="0" layoutInCell="1" allowOverlap="1">
                <wp:simplePos x="0" y="0"/>
                <wp:positionH relativeFrom="column">
                  <wp:posOffset>-114300</wp:posOffset>
                </wp:positionH>
                <wp:positionV relativeFrom="paragraph">
                  <wp:posOffset>20320</wp:posOffset>
                </wp:positionV>
                <wp:extent cx="842645" cy="608330"/>
                <wp:effectExtent l="0" t="0" r="0" b="0"/>
                <wp:wrapNone/>
                <wp:docPr id="632" name="文本框 826"/>
                <wp:cNvGraphicFramePr/>
                <a:graphic xmlns:a="http://schemas.openxmlformats.org/drawingml/2006/main">
                  <a:graphicData uri="http://schemas.microsoft.com/office/word/2010/wordprocessingShape">
                    <wps:wsp>
                      <wps:cNvSpPr txBox="1">
                        <a:spLocks noChangeArrowheads="1"/>
                      </wps:cNvSpPr>
                      <wps:spPr bwMode="auto">
                        <a:xfrm>
                          <a:off x="0" y="0"/>
                          <a:ext cx="842645" cy="608330"/>
                        </a:xfrm>
                        <a:prstGeom prst="rect">
                          <a:avLst/>
                        </a:prstGeom>
                        <a:noFill/>
                        <a:ln>
                          <a:noFill/>
                        </a:ln>
                        <a:effectLst/>
                      </wps:spPr>
                      <wps:txbx>
                        <w:txbxContent>
                          <w:p w14:paraId="31E93DB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复工的要求</w:t>
                            </w:r>
                          </w:p>
                        </w:txbxContent>
                      </wps:txbx>
                      <wps:bodyPr rot="0" vert="horz" wrap="square" lIns="91440" tIns="45720" rIns="91440" bIns="45720" anchor="t" anchorCtr="0" upright="1">
                        <a:noAutofit/>
                      </wps:bodyPr>
                    </wps:wsp>
                  </a:graphicData>
                </a:graphic>
              </wp:anchor>
            </w:drawing>
          </mc:Choice>
          <mc:Fallback>
            <w:pict>
              <v:shape id="文本框 826" o:spid="_x0000_s1026" o:spt="202" type="#_x0000_t202" style="position:absolute;left:0pt;margin-left:-9pt;margin-top:1.6pt;height:47.9pt;width:66.35pt;z-index:251766784;mso-width-relative:page;mso-height-relative:page;" filled="f" stroked="f" coordsize="21600,21600" o:gfxdata="UEsDBAoAAAAAAIdO4kAAAAAAAAAAAAAAAAAEAAAAZHJzL1BLAwQUAAAACACHTuJA9zgB/NYAAAAI&#10;AQAADwAAAGRycy9kb3ducmV2LnhtbE2PQU/CQBSE7yb+h80j8Qa7RRRa+8pB41UjAom3pftoG7pv&#10;m+5C6793OclxMpOZb/L1aFtxod43jhGSmQJBXDrTcIWw/X6frkD4oNno1jEh/JKHdXF/l+vMuIG/&#10;6LIJlYgl7DONUIfQZVL6siar/cx1xNE7ut7qEGVfSdPrIZbbVs6VepZWNxwXat3Ra03laXO2CLuP&#10;489+oT6rN/vUDW5Ukm0qER8miXoBEWgM/2G44kd0KCLTwZ3ZeNEiTJNV/BIQHucgrn6yWII4IKSp&#10;Alnk8vZA8QdQSwMEFAAAAAgAh07iQHcPm5sgAgAAJgQAAA4AAABkcnMvZTJvRG9jLnhtbK1TzY7T&#10;MBC+I/EOlu80bdotJWq6WrZahLT8SAsP4DpOY5F4zNhtUh4A3oATF+48V5+DsZMtZbnsgYtle8bf&#10;zPfN5+Vl19Rsr9BpMDmfjMacKSOh0Gab848fbp4tOHNemELUYFTOD8rxy9XTJ8vWZiqFCupCISMQ&#10;47LW5rzy3mZJ4mSlGuFGYJWhYAnYCE9H3CYFipbQmzpJx+N50gIWFkEq5+h23Qf5gIiPAYSy1FKt&#10;Qe4aZXyPiqoWnii5SlvHV7HbslTSvytLpzyrc05MfVypCO03YU1WS5FtUdhKy6EF8ZgWHnBqhDZU&#10;9AS1Fl6wHep/oBotERyUfiShSXoiURFiMRk/0OauElZFLiS1syfR3f+DlW/375HpIufzacqZEQ2N&#10;/Pj92/HHr+PPr2yRzoNErXUZZd5ZyvXdS+jIOJGus7cgPzlm4LoSZquuEKGtlCioxUl4mZw97XFc&#10;ANm0b6CgSmLnIQJ1JTZBP1KEETqN53Aaj+o8k3S5mKXz2QVnkkLz8WI6jeNLRHb/2KLzrxQ0LGxy&#10;jjT9CC72t86HZkR2nxJqGbjRdR0dUJu/Liixv1HRQsPrQCV03/Pw3aYbpNlAcSBSCL296HPRpgL8&#10;wllL1sq5+7wTqDirXxsS5sVkNgtejIfZxfOUDnge2ZxHhJEElXPPWb+99r1/dxb1tqJK/SgMXJGY&#10;pY5EQ6t9V8MIyD6R/2D14M/z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3OAH81gAA&#10;AAgBAAAPAAAAAAAAAAEAIAAAACIAAABkcnMvZG93bnJldi54bWxQSwECFAAUAAAACACHTuJAdw+b&#10;myACAAAmBAAADgAAAAAAAAABACAAAAAlAQAAZHJzL2Uyb0RvYy54bWxQSwUGAAAAAAYABgBZAQAA&#10;twUAAAAA&#10;">
                <v:fill on="f" focussize="0,0"/>
                <v:stroke on="f"/>
                <v:imagedata o:title=""/>
                <o:lock v:ext="edit" aspectratio="f"/>
                <v:textbox>
                  <w:txbxContent>
                    <w:p w14:paraId="31E93DB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复工的要求</w:t>
                      </w:r>
                    </w:p>
                  </w:txbxContent>
                </v:textbox>
              </v:shape>
            </w:pict>
          </mc:Fallback>
        </mc:AlternateContent>
      </w:r>
      <w:r>
        <w:rPr>
          <w:rFonts w:hint="eastAsia" w:ascii="仿宋" w:hAnsi="仿宋" w:eastAsia="仿宋" w:cs="仿宋"/>
          <w:color w:val="auto"/>
          <w:sz w:val="24"/>
          <w:szCs w:val="24"/>
          <w:highlight w:val="none"/>
          <w:lang w:eastAsia="zh-CN"/>
        </w:rPr>
        <w:t>承包人实施发包人、设计顾问人或监理人的处理意见后，可向发包人、设计顾问人或监理人提交复工报审表要求复工；发包人、设计顾问人或监理人应在收到复工报审表后的</w:t>
      </w:r>
      <w:r>
        <w:rPr>
          <w:rFonts w:ascii="仿宋" w:hAnsi="仿宋" w:eastAsia="仿宋" w:cs="仿宋"/>
          <w:color w:val="auto"/>
          <w:sz w:val="24"/>
          <w:szCs w:val="24"/>
          <w:highlight w:val="none"/>
          <w:lang w:eastAsia="zh-CN"/>
        </w:rPr>
        <w:t>48</w:t>
      </w:r>
      <w:r>
        <w:rPr>
          <w:rFonts w:hint="eastAsia" w:ascii="仿宋" w:hAnsi="仿宋" w:eastAsia="仿宋" w:cs="仿宋"/>
          <w:color w:val="auto"/>
          <w:sz w:val="24"/>
          <w:szCs w:val="24"/>
          <w:highlight w:val="none"/>
          <w:lang w:eastAsia="zh-CN"/>
        </w:rPr>
        <w:t>小时内予以答复。具备继续工作条件或复工条件时，发包人、设计顾问人或监理人应立即向承包人发出复工令，承包人应立即组织复工。发包人、设计顾问人或监理人在收到复工报审表后的</w:t>
      </w:r>
      <w:r>
        <w:rPr>
          <w:rFonts w:ascii="仿宋" w:hAnsi="仿宋" w:eastAsia="仿宋" w:cs="仿宋"/>
          <w:color w:val="auto"/>
          <w:sz w:val="24"/>
          <w:szCs w:val="24"/>
          <w:highlight w:val="none"/>
          <w:lang w:eastAsia="zh-CN"/>
        </w:rPr>
        <w:t>48</w:t>
      </w:r>
      <w:r>
        <w:rPr>
          <w:rFonts w:hint="eastAsia" w:ascii="仿宋" w:hAnsi="仿宋" w:eastAsia="仿宋" w:cs="仿宋"/>
          <w:color w:val="auto"/>
          <w:sz w:val="24"/>
          <w:szCs w:val="24"/>
          <w:highlight w:val="none"/>
          <w:lang w:eastAsia="zh-CN"/>
        </w:rPr>
        <w:t>小时内未答复也未提出处理意见的，承包人可自行复工，发包人、设计顾问人或监理人应予认可。</w:t>
      </w:r>
    </w:p>
    <w:p w14:paraId="053318E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承包人无故拖延或拒绝复工的，由此增加的费用和（或）延误的工期由承包人承担；因发包人的原因无法按时复工的，承包人有权要求发包人增加发生的费用和（或）顺延工期，并支付合理利润。</w:t>
      </w:r>
    </w:p>
    <w:p w14:paraId="1DF581F7">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42</w:t>
      </w:r>
      <w:r>
        <w:rPr>
          <w:rFonts w:ascii="仿宋" w:hAnsi="仿宋" w:eastAsia="仿宋" w:cs="仿宋"/>
          <w:b/>
          <w:bCs/>
          <w:color w:val="auto"/>
          <w:highlight w:val="none"/>
          <w:lang w:eastAsia="zh-CN"/>
        </w:rPr>
        <w:t xml:space="preserve">.3   </w:t>
      </w:r>
    </w:p>
    <w:p w14:paraId="185F1F66">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b/>
          <w:bCs/>
          <w:color w:val="auto"/>
          <w:sz w:val="24"/>
          <w:szCs w:val="24"/>
          <w:highlight w:val="none"/>
          <w:lang w:eastAsia="zh-CN"/>
        </w:rPr>
        <mc:AlternateContent>
          <mc:Choice Requires="wps">
            <w:drawing>
              <wp:anchor distT="0" distB="0" distL="114300" distR="114300" simplePos="0" relativeHeight="252018688" behindDoc="0" locked="0" layoutInCell="1" allowOverlap="1">
                <wp:simplePos x="0" y="0"/>
                <wp:positionH relativeFrom="column">
                  <wp:posOffset>-114300</wp:posOffset>
                </wp:positionH>
                <wp:positionV relativeFrom="paragraph">
                  <wp:posOffset>71755</wp:posOffset>
                </wp:positionV>
                <wp:extent cx="870585" cy="793750"/>
                <wp:effectExtent l="0" t="0" r="0" b="0"/>
                <wp:wrapNone/>
                <wp:docPr id="633" name="文本框 827"/>
                <wp:cNvGraphicFramePr/>
                <a:graphic xmlns:a="http://schemas.openxmlformats.org/drawingml/2006/main">
                  <a:graphicData uri="http://schemas.microsoft.com/office/word/2010/wordprocessingShape">
                    <wps:wsp>
                      <wps:cNvSpPr txBox="1">
                        <a:spLocks noChangeArrowheads="1"/>
                      </wps:cNvSpPr>
                      <wps:spPr bwMode="auto">
                        <a:xfrm>
                          <a:off x="0" y="0"/>
                          <a:ext cx="870585" cy="793750"/>
                        </a:xfrm>
                        <a:prstGeom prst="rect">
                          <a:avLst/>
                        </a:prstGeom>
                        <a:noFill/>
                        <a:ln>
                          <a:noFill/>
                        </a:ln>
                        <a:effectLst/>
                      </wps:spPr>
                      <wps:txbx>
                        <w:txbxContent>
                          <w:p w14:paraId="55F95FE9">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暂停工作或暂停施工持续</w:t>
                            </w:r>
                            <w:r>
                              <w:rPr>
                                <w:rFonts w:ascii="楷体_GB2312" w:hAnsi="宋体" w:eastAsia="楷体_GB2312" w:cs="楷体_GB2312"/>
                                <w:b/>
                                <w:bCs/>
                                <w:color w:val="000000"/>
                                <w:sz w:val="18"/>
                                <w:szCs w:val="18"/>
                                <w:lang w:eastAsia="zh-CN"/>
                              </w:rPr>
                              <w:t>56</w:t>
                            </w:r>
                            <w:r>
                              <w:rPr>
                                <w:rFonts w:hint="eastAsia" w:ascii="楷体_GB2312" w:hAnsi="宋体" w:eastAsia="楷体_GB2312" w:cs="楷体_GB2312"/>
                                <w:b/>
                                <w:bCs/>
                                <w:color w:val="000000"/>
                                <w:sz w:val="18"/>
                                <w:szCs w:val="18"/>
                                <w:lang w:eastAsia="zh-CN"/>
                              </w:rPr>
                              <w:t>天以上的复工要求</w:t>
                            </w:r>
                          </w:p>
                        </w:txbxContent>
                      </wps:txbx>
                      <wps:bodyPr rot="0" vert="horz" wrap="square" lIns="91440" tIns="45720" rIns="91440" bIns="45720" anchor="t" anchorCtr="0" upright="1">
                        <a:noAutofit/>
                      </wps:bodyPr>
                    </wps:wsp>
                  </a:graphicData>
                </a:graphic>
              </wp:anchor>
            </w:drawing>
          </mc:Choice>
          <mc:Fallback>
            <w:pict>
              <v:shape id="文本框 827" o:spid="_x0000_s1026" o:spt="202" type="#_x0000_t202" style="position:absolute;left:0pt;margin-left:-9pt;margin-top:5.65pt;height:62.5pt;width:68.55pt;z-index:252018688;mso-width-relative:page;mso-height-relative:page;" filled="f" stroked="f" coordsize="21600,21600" o:gfxdata="UEsDBAoAAAAAAIdO4kAAAAAAAAAAAAAAAAAEAAAAZHJzL1BLAwQUAAAACACHTuJAF+9I29cAAAAK&#10;AQAADwAAAGRycy9kb3ducmV2LnhtbE2PzU7DMBCE70i8g7VIvbW2CVRtiNMDqFdQy4/EzY23SUS8&#10;jmK3CW/f7QluO5rR7DfFZvKdOOMQ20AG9EKBQKqCa6k28PG+na9AxGTJ2S4QGvjFCJvy9qawuQsj&#10;7fC8T7XgEoq5NdCk1OdSxqpBb+Mi9EjsHcPgbWI51NINduRy38l7pZbS25b4Q2N7fG6w+tmfvIHP&#10;1+P314N6q1/8Yz+GSUnya2nM7E6rJxAJp/QXhis+o0PJTIdwIhdFZ2CuV7wlsaEzENeAXmsQBz6y&#10;ZQayLOT/CeUFUEsDBBQAAAAIAIdO4kD9Y/YzIAIAACYEAAAOAAAAZHJzL2Uyb0RvYy54bWytU0tu&#10;2zAQ3RfoHQjua/kbO4LlII2RokD6AdIegKYoi6jEYYe0JfcA7Q266qb7nsvn6JBSXDfdZNENQXKG&#10;b+a9eVxetXXF9gqdBpPx0WDImTIScm22Gf/44fbFgjPnhclFBUZl/KAcv1o9f7ZsbKrGUEKVK2QE&#10;Ylza2IyX3ts0SZwsVS3cAKwyFCwAa+HpiNskR9EQel0l4+HwImkAc4sglXN0u+6CvEfEpwBCUWip&#10;1iB3tTK+Q0VVCU+UXKmt46vYbVEo6d8VhVOeVRknpj6uVIT2m7Amq6VItyhsqWXfgnhKC4841UIb&#10;KnqCWgsv2A71P1C1lggOCj+QUCcdkagIsRgNH2lzXwqrIheS2tmT6O7/wcq3+/fIdJ7xi8mEMyNq&#10;Gvnx+7fjj1/Hn1/ZYjwPEjXWpZR5bynXty+hJeNEus7egfzkmIGbUpitukaEplQipxZH4WVy9rTD&#10;cQFk07yBnCqJnYcI1BZYB/1IEUboNJ7DaTyq9UzS5WI+nC1mnEkKzS8n81kcXyLSh8cWnX+loGZh&#10;k3Gk6Udwsb9zPjQj0oeUUMvAra6q6IDK/HVBid2NihbqXwcqofuOh283bS/NBvIDkULo7EWfizYl&#10;4BfOGrJWxt3nnUDFWfXakDCXo+k0eDEeprP5mA54HtmcR4SRBJVxz1m3vfGdf3cW9bakSt0oDFyT&#10;mIWOREOrXVf9CMg+kX9v9eDP83PM+vO9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F+9I29cA&#10;AAAKAQAADwAAAAAAAAABACAAAAAiAAAAZHJzL2Rvd25yZXYueG1sUEsBAhQAFAAAAAgAh07iQP1j&#10;9jMgAgAAJgQAAA4AAAAAAAAAAQAgAAAAJgEAAGRycy9lMm9Eb2MueG1sUEsFBgAAAAAGAAYAWQEA&#10;ALgFAAAAAA==&#10;">
                <v:fill on="f" focussize="0,0"/>
                <v:stroke on="f"/>
                <v:imagedata o:title=""/>
                <o:lock v:ext="edit" aspectratio="f"/>
                <v:textbox>
                  <w:txbxContent>
                    <w:p w14:paraId="55F95FE9">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暂停工作或暂停施工持续</w:t>
                      </w:r>
                      <w:r>
                        <w:rPr>
                          <w:rFonts w:ascii="楷体_GB2312" w:hAnsi="宋体" w:eastAsia="楷体_GB2312" w:cs="楷体_GB2312"/>
                          <w:b/>
                          <w:bCs/>
                          <w:color w:val="000000"/>
                          <w:sz w:val="18"/>
                          <w:szCs w:val="18"/>
                          <w:lang w:eastAsia="zh-CN"/>
                        </w:rPr>
                        <w:t>56</w:t>
                      </w:r>
                      <w:r>
                        <w:rPr>
                          <w:rFonts w:hint="eastAsia" w:ascii="楷体_GB2312" w:hAnsi="宋体" w:eastAsia="楷体_GB2312" w:cs="楷体_GB2312"/>
                          <w:b/>
                          <w:bCs/>
                          <w:color w:val="000000"/>
                          <w:sz w:val="18"/>
                          <w:szCs w:val="18"/>
                          <w:lang w:eastAsia="zh-CN"/>
                        </w:rPr>
                        <w:t>天以上的复工要求</w:t>
                      </w:r>
                    </w:p>
                  </w:txbxContent>
                </v:textbox>
              </v:shape>
            </w:pict>
          </mc:Fallback>
        </mc:AlternateContent>
      </w:r>
      <w:r>
        <w:rPr>
          <w:rFonts w:hint="eastAsia" w:ascii="仿宋" w:hAnsi="仿宋" w:eastAsia="仿宋" w:cs="仿宋"/>
          <w:color w:val="auto"/>
          <w:sz w:val="24"/>
          <w:szCs w:val="24"/>
          <w:highlight w:val="none"/>
          <w:lang w:eastAsia="zh-CN"/>
        </w:rPr>
        <w:t>42.3.1非承包人的原因造成某项工作暂停，承包人可尽快向发包人、设计顾问人或监理人提交复工报审表要求复工；发包人、设计顾问人或监理人应在收到复工报审表后的14天内准许复工。如果在上述期限内发包人、设计顾问人或监理人未予准许，则承包人可以作如下选择：</w:t>
      </w:r>
    </w:p>
    <w:p w14:paraId="3D4EEF3B">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（1）如果此项工作暂停仅影响合同工程的一部分时，则根据第63</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2款约定及时提出工程变更或工作变更，取消该部分工程或后续工作，并书面通知发包人，抄送设计顾问人、监理人和造价咨询人；</w:t>
      </w:r>
    </w:p>
    <w:p w14:paraId="2BCEBFB5">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（2）如果此项工作暂停影响整个合同工程时，则根据第92</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款约定解除合同。</w:t>
      </w:r>
    </w:p>
    <w:p w14:paraId="65AA32B3">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因承包人的原因引起某项工作暂停，承包人收到发包人、设计顾问人或监理人的复工指令后14天内未采取有效的复工措施，造成工期延误的，发包人可根据第92</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款约定解除合同。</w:t>
      </w:r>
    </w:p>
    <w:p w14:paraId="357F5CF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42.3.2非承包人的原因造成暂停施工持续</w:t>
      </w:r>
      <w:r>
        <w:rPr>
          <w:rFonts w:ascii="仿宋" w:hAnsi="仿宋" w:eastAsia="仿宋" w:cs="仿宋"/>
          <w:color w:val="auto"/>
          <w:sz w:val="24"/>
          <w:szCs w:val="24"/>
          <w:highlight w:val="none"/>
          <w:lang w:eastAsia="zh-CN"/>
        </w:rPr>
        <w:t>56</w:t>
      </w:r>
      <w:r>
        <w:rPr>
          <w:rFonts w:hint="eastAsia" w:ascii="仿宋" w:hAnsi="仿宋" w:eastAsia="仿宋" w:cs="仿宋"/>
          <w:color w:val="auto"/>
          <w:sz w:val="24"/>
          <w:szCs w:val="24"/>
          <w:highlight w:val="none"/>
          <w:lang w:eastAsia="zh-CN"/>
        </w:rPr>
        <w:t>天以上时，承包人可向设计顾问人或监理人提交复工报审表要求复工；设计顾问人或监理人应在收到复工报审表后的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天内准许复工。如果在上述期限内设计顾问人、监理人未予准许，则承包人可以作如下选择：</w:t>
      </w:r>
    </w:p>
    <w:p w14:paraId="4B6B935A">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（1）如果此项停工仅影响合同工程的一部分时，则根据第64</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2款约定及时提出工程变更，取消该部分工程，并书面通知发包人，抄送设计顾问人、监理人和造价咨询人；</w:t>
      </w:r>
    </w:p>
    <w:p w14:paraId="77AA4A2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（2）如果此项停工影响整个合同工程时，则根据第92</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款约定解除合同。</w:t>
      </w:r>
    </w:p>
    <w:p w14:paraId="4F94CBFF">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因承包人的原因引起暂停施工持续</w:t>
      </w:r>
      <w:r>
        <w:rPr>
          <w:rFonts w:ascii="仿宋" w:hAnsi="仿宋" w:eastAsia="仿宋" w:cs="仿宋"/>
          <w:color w:val="auto"/>
          <w:sz w:val="24"/>
          <w:szCs w:val="24"/>
          <w:highlight w:val="none"/>
          <w:lang w:eastAsia="zh-CN"/>
        </w:rPr>
        <w:t>56</w:t>
      </w:r>
      <w:r>
        <w:rPr>
          <w:rFonts w:hint="eastAsia" w:ascii="仿宋" w:hAnsi="仿宋" w:eastAsia="仿宋" w:cs="仿宋"/>
          <w:color w:val="auto"/>
          <w:sz w:val="24"/>
          <w:szCs w:val="24"/>
          <w:highlight w:val="none"/>
          <w:lang w:eastAsia="zh-CN"/>
        </w:rPr>
        <w:t>天以上，承包人不采取有效的复工措施，造成工期延误的，发包人可根据第92</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款约定解除合同。</w:t>
      </w:r>
    </w:p>
    <w:p w14:paraId="75890405">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42</w:t>
      </w:r>
      <w:r>
        <w:rPr>
          <w:rFonts w:ascii="仿宋" w:hAnsi="仿宋" w:eastAsia="仿宋" w:cs="仿宋"/>
          <w:b/>
          <w:bCs/>
          <w:color w:val="auto"/>
          <w:highlight w:val="none"/>
          <w:lang w:eastAsia="zh-CN"/>
        </w:rPr>
        <w:t xml:space="preserve">.4  </w:t>
      </w:r>
    </w:p>
    <w:p w14:paraId="7430BA2B">
      <w:pPr>
        <w:pStyle w:val="2"/>
        <w:adjustRightInd w:val="0"/>
        <w:snapToGrid w:val="0"/>
        <w:spacing w:line="360" w:lineRule="auto"/>
        <w:ind w:left="1850" w:leftChars="771" w:firstLine="2"/>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67808" behindDoc="0" locked="0" layoutInCell="1" allowOverlap="1">
                <wp:simplePos x="0" y="0"/>
                <wp:positionH relativeFrom="column">
                  <wp:posOffset>-114300</wp:posOffset>
                </wp:positionH>
                <wp:positionV relativeFrom="paragraph">
                  <wp:posOffset>635</wp:posOffset>
                </wp:positionV>
                <wp:extent cx="794385" cy="1221105"/>
                <wp:effectExtent l="0" t="0" r="0" b="0"/>
                <wp:wrapNone/>
                <wp:docPr id="634" name="文本框 828"/>
                <wp:cNvGraphicFramePr/>
                <a:graphic xmlns:a="http://schemas.openxmlformats.org/drawingml/2006/main">
                  <a:graphicData uri="http://schemas.microsoft.com/office/word/2010/wordprocessingShape">
                    <wps:wsp>
                      <wps:cNvSpPr txBox="1">
                        <a:spLocks noChangeArrowheads="1"/>
                      </wps:cNvSpPr>
                      <wps:spPr bwMode="auto">
                        <a:xfrm>
                          <a:off x="0" y="0"/>
                          <a:ext cx="794385" cy="1221105"/>
                        </a:xfrm>
                        <a:prstGeom prst="rect">
                          <a:avLst/>
                        </a:prstGeom>
                        <a:noFill/>
                        <a:ln>
                          <a:noFill/>
                        </a:ln>
                        <a:effectLst/>
                      </wps:spPr>
                      <wps:txbx>
                        <w:txbxContent>
                          <w:p w14:paraId="0A69A809">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发包人、承包人原因和不可抗力因素造成暂停工作或暂停施工的责任</w:t>
                            </w:r>
                          </w:p>
                        </w:txbxContent>
                      </wps:txbx>
                      <wps:bodyPr rot="0" vert="horz" wrap="square" lIns="91440" tIns="45720" rIns="91440" bIns="45720" anchor="t" anchorCtr="0" upright="1">
                        <a:noAutofit/>
                      </wps:bodyPr>
                    </wps:wsp>
                  </a:graphicData>
                </a:graphic>
              </wp:anchor>
            </w:drawing>
          </mc:Choice>
          <mc:Fallback>
            <w:pict>
              <v:shape id="文本框 828" o:spid="_x0000_s1026" o:spt="202" type="#_x0000_t202" style="position:absolute;left:0pt;margin-left:-9pt;margin-top:0.05pt;height:96.15pt;width:62.55pt;z-index:251767808;mso-width-relative:page;mso-height-relative:page;" filled="f" stroked="f" coordsize="21600,21600" o:gfxdata="UEsDBAoAAAAAAIdO4kAAAAAAAAAAAAAAAAAEAAAAZHJzL1BLAwQUAAAACACHTuJAO74QvNQAAAAI&#10;AQAADwAAAGRycy9kb3ducmV2LnhtbE2PzU7DMBCE70i8g7VI3Fo7VYE2xOkBxBVE+ZG4beNtEhGv&#10;o9htwtuzOcFtVt9odqbYTb5TZxpiG9hCtjSgiKvgWq4tvL89LTagYkJ22AUmCz8UYVdeXhSYuzDy&#10;K533qVYSwjFHC01Kfa51rBryGJehJxZ2DIPHJOdQazfgKOG+0ytjbrXHluVDgz09NFR970/ewsfz&#10;8etzbV7qR3/Tj2Eymv1WW3t9lZl7UImm9GeGub5Uh1I6HcKJXVSdhUW2kS1pBmrG5k7EQcR2tQZd&#10;Fvr/gPIXUEsDBBQAAAAIAIdO4kCM9ytXIQIAACcEAAAOAAAAZHJzL2Uyb0RvYy54bWytU0tu2zAQ&#10;3RfoHQjua1mOnTiC5SCNkaJA+gHSHoCmKIuoxGGHtCX3AO0Nuuqm+57L5+iQUlw33WTRDUFyhm/m&#10;vXlcXHVNzXYKnQaT83Q05kwZCYU2m5x//HD7Ys6Z88IUogajcr5Xjl8tnz9btDZTE6igLhQyAjEu&#10;a23OK+9tliROVqoRbgRWGQqWgI3wdMRNUqBoCb2pk8l4fJ60gIVFkMo5ul31QT4g4lMAoSy1VCuQ&#10;20YZ36OiqoUnSq7S1vFl7LYslfTvytIpz+qcE1MfVypC+3VYk+VCZBsUttJyaEE8pYVHnBqhDRU9&#10;Qq2EF2yL+h+oRksEB6UfSWiSnkhUhFik40fa3FfCqsiFpHb2KLr7f7Dy7e49Ml3k/PxsypkRDY38&#10;8P3b4cevw8+vbD6ZB4la6zLKvLeU67uX0JFxIl1n70B+cszATSXMRl0jQlspUVCLaXiZnDztcVwA&#10;WbdvoKBKYushAnUlNkE/UoQROo1nfxyP6jyTdHlxOT2bzziTFEonkzQdz2IJkT28tuj8KwUNC5uc&#10;I40/oovdnfOhG5E9pIRiBm51XUcL1OavC0rsb1T00PA6cAnt90R8t+4GbdZQ7IkVQu8v+l20qQC/&#10;cNaSt3LuPm8FKs7q14aUuUyn02DGeJjOLiZ0wNPI+jQijCSonHvO+u2N7w28tag3FVXqZ2HgmtQs&#10;dSQaWu27GmZA/on8B68Hg56eY9af/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u+ELzUAAAA&#10;CAEAAA8AAAAAAAAAAQAgAAAAIgAAAGRycy9kb3ducmV2LnhtbFBLAQIUABQAAAAIAIdO4kCM9ytX&#10;IQIAACcEAAAOAAAAAAAAAAEAIAAAACMBAABkcnMvZTJvRG9jLnhtbFBLBQYAAAAABgAGAFkBAAC2&#10;BQAAAAA=&#10;">
                <v:fill on="f" focussize="0,0"/>
                <v:stroke on="f"/>
                <v:imagedata o:title=""/>
                <o:lock v:ext="edit" aspectratio="f"/>
                <v:textbox>
                  <w:txbxContent>
                    <w:p w14:paraId="0A69A809">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发包人、承包人原因和不可抗力因素造成暂停工作或暂停施工的责任</w:t>
                      </w:r>
                    </w:p>
                  </w:txbxContent>
                </v:textbox>
              </v:shape>
            </w:pict>
          </mc:Fallback>
        </mc:AlternateContent>
      </w:r>
      <w:r>
        <w:rPr>
          <w:rFonts w:hint="eastAsia" w:ascii="仿宋" w:hAnsi="仿宋" w:eastAsia="仿宋" w:cs="仿宋"/>
          <w:color w:val="auto"/>
          <w:sz w:val="24"/>
          <w:szCs w:val="24"/>
          <w:highlight w:val="none"/>
          <w:lang w:eastAsia="zh-CN"/>
        </w:rPr>
        <w:t>因发包人的原因造成暂停工作、暂停施工且引起工期延误的，承包人有权要求发包人增加由此发生的费用和（或）顺延工期，并支付合理利润。</w:t>
      </w:r>
    </w:p>
    <w:p w14:paraId="23139ED7">
      <w:pPr>
        <w:pStyle w:val="2"/>
        <w:adjustRightInd w:val="0"/>
        <w:snapToGrid w:val="0"/>
        <w:spacing w:line="360" w:lineRule="auto"/>
        <w:ind w:left="1850" w:leftChars="771" w:firstLine="2"/>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因承包人下列原因造成的暂停工作或暂停施工，增加的费用和（或）延误的工期由承包人承担：</w:t>
      </w:r>
    </w:p>
    <w:p w14:paraId="7A34820E">
      <w:pPr>
        <w:pStyle w:val="2"/>
        <w:adjustRightInd w:val="0"/>
        <w:snapToGrid w:val="0"/>
        <w:spacing w:line="360" w:lineRule="auto"/>
        <w:ind w:left="1850" w:leftChars="771" w:firstLine="2"/>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（1）工作失误或违约造成的；</w:t>
      </w:r>
    </w:p>
    <w:p w14:paraId="5BDC9932">
      <w:pPr>
        <w:pStyle w:val="2"/>
        <w:adjustRightInd w:val="0"/>
        <w:snapToGrid w:val="0"/>
        <w:spacing w:line="360" w:lineRule="auto"/>
        <w:ind w:left="1850" w:leftChars="771" w:firstLine="2"/>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（2）为合同工程合理施工和安全保障所必需的；</w:t>
      </w:r>
    </w:p>
    <w:p w14:paraId="7A6F64D9">
      <w:pPr>
        <w:pStyle w:val="2"/>
        <w:adjustRightInd w:val="0"/>
        <w:snapToGrid w:val="0"/>
        <w:spacing w:line="360" w:lineRule="auto"/>
        <w:ind w:left="1850" w:leftChars="771" w:firstLine="2"/>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（3）施工现场气候条件（除不可抗力停工外）导致的；</w:t>
      </w:r>
    </w:p>
    <w:p w14:paraId="7886DDD4">
      <w:pPr>
        <w:pStyle w:val="2"/>
        <w:adjustRightInd w:val="0"/>
        <w:snapToGrid w:val="0"/>
        <w:spacing w:line="360" w:lineRule="auto"/>
        <w:ind w:left="1850" w:leftChars="771" w:firstLine="2"/>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（4）擅自停工的；</w:t>
      </w:r>
    </w:p>
    <w:p w14:paraId="68D0764B">
      <w:pPr>
        <w:pStyle w:val="2"/>
        <w:adjustRightInd w:val="0"/>
        <w:snapToGrid w:val="0"/>
        <w:spacing w:line="360" w:lineRule="auto"/>
        <w:ind w:left="1850" w:leftChars="771" w:firstLine="2"/>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（5）专用条款约定的其他原因。</w:t>
      </w:r>
    </w:p>
    <w:p w14:paraId="76FB7513">
      <w:pPr>
        <w:pStyle w:val="2"/>
        <w:adjustRightInd w:val="0"/>
        <w:snapToGrid w:val="0"/>
        <w:spacing w:line="360" w:lineRule="auto"/>
        <w:ind w:left="1850" w:leftChars="771" w:firstLine="2"/>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因不可抗力因素造成暂停施工的，按照第</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5条约定处理。</w:t>
      </w:r>
    </w:p>
    <w:p w14:paraId="607AA04E">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42</w:t>
      </w:r>
      <w:r>
        <w:rPr>
          <w:rFonts w:ascii="仿宋" w:hAnsi="仿宋" w:eastAsia="仿宋" w:cs="仿宋"/>
          <w:b/>
          <w:bCs/>
          <w:color w:val="auto"/>
          <w:highlight w:val="none"/>
          <w:lang w:eastAsia="zh-CN"/>
        </w:rPr>
        <w:t xml:space="preserve">.5  </w:t>
      </w:r>
    </w:p>
    <w:p w14:paraId="49CD19CE">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68832" behindDoc="0" locked="0" layoutInCell="1" allowOverlap="1">
                <wp:simplePos x="0" y="0"/>
                <wp:positionH relativeFrom="column">
                  <wp:posOffset>-66675</wp:posOffset>
                </wp:positionH>
                <wp:positionV relativeFrom="paragraph">
                  <wp:posOffset>6350</wp:posOffset>
                </wp:positionV>
                <wp:extent cx="861695" cy="990600"/>
                <wp:effectExtent l="0" t="0" r="0" b="0"/>
                <wp:wrapNone/>
                <wp:docPr id="635" name="文本框 829"/>
                <wp:cNvGraphicFramePr/>
                <a:graphic xmlns:a="http://schemas.openxmlformats.org/drawingml/2006/main">
                  <a:graphicData uri="http://schemas.microsoft.com/office/word/2010/wordprocessingShape">
                    <wps:wsp>
                      <wps:cNvSpPr txBox="1">
                        <a:spLocks noChangeArrowheads="1"/>
                      </wps:cNvSpPr>
                      <wps:spPr bwMode="auto">
                        <a:xfrm>
                          <a:off x="0" y="0"/>
                          <a:ext cx="861695" cy="990600"/>
                        </a:xfrm>
                        <a:prstGeom prst="rect">
                          <a:avLst/>
                        </a:prstGeom>
                        <a:noFill/>
                        <a:ln>
                          <a:noFill/>
                        </a:ln>
                        <a:effectLst/>
                      </wps:spPr>
                      <wps:txbx>
                        <w:txbxContent>
                          <w:p w14:paraId="13D7EF10">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发包人不按约定支付服务费或工程款造成暂停工作或暂停施工的责任</w:t>
                            </w:r>
                          </w:p>
                        </w:txbxContent>
                      </wps:txbx>
                      <wps:bodyPr rot="0" vert="horz" wrap="square" lIns="91440" tIns="45720" rIns="91440" bIns="45720" anchor="t" anchorCtr="0" upright="1">
                        <a:noAutofit/>
                      </wps:bodyPr>
                    </wps:wsp>
                  </a:graphicData>
                </a:graphic>
              </wp:anchor>
            </w:drawing>
          </mc:Choice>
          <mc:Fallback>
            <w:pict>
              <v:shape id="文本框 829" o:spid="_x0000_s1026" o:spt="202" type="#_x0000_t202" style="position:absolute;left:0pt;margin-left:-5.25pt;margin-top:0.5pt;height:78pt;width:67.85pt;z-index:251768832;mso-width-relative:page;mso-height-relative:page;" filled="f" stroked="f" coordsize="21600,21600" o:gfxdata="UEsDBAoAAAAAAIdO4kAAAAAAAAAAAAAAAAAEAAAAZHJzL1BLAwQUAAAACACHTuJAubEt8NUAAAAJ&#10;AQAADwAAAGRycy9kb3ducmV2LnhtbE2PS0/DMBCE70j8B2uRuLXrRIRHiNMDiCuI8pC4ufE2iYjX&#10;Uew24d+zPcFtR99odqbaLH5QR5piH9hAttagiJvgem4NvL89rW5BxWTZ2SEwGfihCJv6/KyypQsz&#10;v9Jxm1olIRxLa6BLaSwRY9ORt3EdRmJh+zB5m0ROLbrJzhLuB8y1vkZve5YPnR3poaPme3vwBj6e&#10;91+fV/qlffTFOIdFI/s7NObyItP3oBIt6c8Mp/pSHWrptAsHdlENBlaZLsQqQCadeF7koHZyFDca&#10;sK7w/4L6F1BLAwQUAAAACACHTuJAaIsu1B8CAAAmBAAADgAAAGRycy9lMm9Eb2MueG1srVPNjtMw&#10;EL4j8Q6W7zRp6ZY2arpatlqEtPxICw/gOk5jkXjM2G1SHgDegBMX7jxXn4Oxky1lueyBi2V7xt/M&#10;983n5WXX1Gyv0GkwOR+PUs6UkVBos835xw83z+acOS9MIWowKucH5fjl6umTZWszNYEK6kIhIxDj&#10;stbmvPLeZkniZKUa4UZglaFgCdgIT0fcJgWKltCbOpmk6SxpAQuLIJVzdLvug3xAxMcAQllqqdYg&#10;d40yvkdFVQtPlFylreOr2G1ZKunflaVTntU5J6Y+rlSE9puwJqulyLYobKXl0IJ4TAsPODVCGyp6&#10;gloLL9gO9T9QjZYIDko/ktAkPZGoCLEYpw+0uauEVZELSe3sSXT3/2Dl2/17ZLrI+ez5BWdGNDTy&#10;4/dvxx+/jj+/svlkESRqrcso885Sru9eQkfGiXSdvQX5yTED15UwW3WFCG2lREEtjsPL5Oxpj+MC&#10;yKZ9AwVVEjsPEagrsQn6kSKM0Gk8h9N4VOeZpMv5bDxbUJOSQotFOkvj+BKR3T+26PwrBQ0Lm5wj&#10;TT+Ci/2t86EZkd2nhFoGbnRdRwfU5q8LSuxvVLTQ8DpQCd33PHy36QZpNlAciBRCby/6XLSpAL9w&#10;1pK1cu4+7wQqzurXhoRZjKfT4MV4mF68mNABzyOb84gwkqBy7jnrt9e+9+/Oot5WVKkfhYErErPU&#10;kWhote9qGAHZJ/IfrB78eX6OWX++9+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ubEt8NUAAAAJ&#10;AQAADwAAAAAAAAABACAAAAAiAAAAZHJzL2Rvd25yZXYueG1sUEsBAhQAFAAAAAgAh07iQGiLLtQf&#10;AgAAJgQAAA4AAAAAAAAAAQAgAAAAJAEAAGRycy9lMm9Eb2MueG1sUEsFBgAAAAAGAAYAWQEAALUF&#10;AAAAAA==&#10;">
                <v:fill on="f" focussize="0,0"/>
                <v:stroke on="f"/>
                <v:imagedata o:title=""/>
                <o:lock v:ext="edit" aspectratio="f"/>
                <v:textbox>
                  <w:txbxContent>
                    <w:p w14:paraId="13D7EF10">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发包人不按约定支付服务费或工程款造成暂停工作或暂停施工的责任</w:t>
                      </w:r>
                    </w:p>
                  </w:txbxContent>
                </v:textbox>
              </v:shape>
            </w:pict>
          </mc:Fallback>
        </mc:AlternateContent>
      </w:r>
      <w:r>
        <w:rPr>
          <w:rFonts w:hint="eastAsia" w:ascii="仿宋" w:hAnsi="仿宋" w:eastAsia="仿宋" w:cs="仿宋"/>
          <w:color w:val="auto"/>
          <w:sz w:val="24"/>
          <w:szCs w:val="24"/>
          <w:highlight w:val="none"/>
          <w:lang w:eastAsia="zh-CN"/>
        </w:rPr>
        <w:t>如果发包人未按照合同约定支付工程勘察费、工程设计费或工程进度款等款项，经催告后在14天或28天（工程勘察费、工程设计费等进度款为14天；工程进度款为28天）内仍未支付的，承包人可以暂停工作或施工，直至收到包括第83</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款约定的应付利息在内的所欠全部款项。由此造成的暂停工作或施工，视为是因发包人的原因引起的，并按照第42</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款约定处理。</w:t>
      </w:r>
    </w:p>
    <w:p w14:paraId="24A4CCDB">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42</w:t>
      </w:r>
      <w:r>
        <w:rPr>
          <w:rFonts w:ascii="仿宋" w:hAnsi="仿宋" w:eastAsia="仿宋" w:cs="仿宋"/>
          <w:b/>
          <w:bCs/>
          <w:color w:val="auto"/>
          <w:highlight w:val="none"/>
          <w:lang w:eastAsia="zh-CN"/>
        </w:rPr>
        <w:t xml:space="preserve">.6  </w:t>
      </w:r>
    </w:p>
    <w:p w14:paraId="3C2BDF3B">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69856" behindDoc="0" locked="0" layoutInCell="1" allowOverlap="1">
                <wp:simplePos x="0" y="0"/>
                <wp:positionH relativeFrom="column">
                  <wp:posOffset>-114300</wp:posOffset>
                </wp:positionH>
                <wp:positionV relativeFrom="paragraph">
                  <wp:posOffset>635</wp:posOffset>
                </wp:positionV>
                <wp:extent cx="794385" cy="624840"/>
                <wp:effectExtent l="0" t="0" r="0" b="0"/>
                <wp:wrapNone/>
                <wp:docPr id="636" name="文本框 830"/>
                <wp:cNvGraphicFramePr/>
                <a:graphic xmlns:a="http://schemas.openxmlformats.org/drawingml/2006/main">
                  <a:graphicData uri="http://schemas.microsoft.com/office/word/2010/wordprocessingShape">
                    <wps:wsp>
                      <wps:cNvSpPr txBox="1">
                        <a:spLocks noChangeArrowheads="1"/>
                      </wps:cNvSpPr>
                      <wps:spPr bwMode="auto">
                        <a:xfrm>
                          <a:off x="0" y="0"/>
                          <a:ext cx="794385" cy="624840"/>
                        </a:xfrm>
                        <a:prstGeom prst="rect">
                          <a:avLst/>
                        </a:prstGeom>
                        <a:noFill/>
                        <a:ln>
                          <a:noFill/>
                        </a:ln>
                        <a:effectLst/>
                      </wps:spPr>
                      <wps:txbx>
                        <w:txbxContent>
                          <w:p w14:paraId="011E179F">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暂停工作或施工结束后的处理</w:t>
                            </w:r>
                          </w:p>
                        </w:txbxContent>
                      </wps:txbx>
                      <wps:bodyPr rot="0" vert="horz" wrap="square" lIns="91440" tIns="45720" rIns="91440" bIns="45720" anchor="t" anchorCtr="0" upright="1">
                        <a:noAutofit/>
                      </wps:bodyPr>
                    </wps:wsp>
                  </a:graphicData>
                </a:graphic>
              </wp:anchor>
            </w:drawing>
          </mc:Choice>
          <mc:Fallback>
            <w:pict>
              <v:shape id="文本框 830" o:spid="_x0000_s1026" o:spt="202" type="#_x0000_t202" style="position:absolute;left:0pt;margin-left:-9pt;margin-top:0.05pt;height:49.2pt;width:62.55pt;z-index:251769856;mso-width-relative:page;mso-height-relative:page;" filled="f" stroked="f" coordsize="21600,21600" o:gfxdata="UEsDBAoAAAAAAIdO4kAAAAAAAAAAAAAAAAAEAAAAZHJzL1BLAwQUAAAACACHTuJAG7qLn9QAAAAH&#10;AQAADwAAAGRycy9kb3ducmV2LnhtbE2PwU7DMAyG70h7h8hI3DaniLGua7rDEFcQ20DaLWu8tqJx&#10;qiZby9uTnuBm6/v1+3O+HW0rbtT7xrGCZCFBEJfONFwpOB5e5ykIHzQb3TomBT/kYVvM7nKdGTfw&#10;B932oRKxhH2mFdQhdBmiL2uy2i9cRxzZxfVWh7j2FZpeD7Hctvgo5TNa3XC8UOuOdjWV3/urVfD5&#10;djl9Pcn36sUuu8GNEtmuUamH+0RuQAQaw18YJv2oDkV0OrsrGy9aBfMkjb+ECYgJy1UczgrW6RKw&#10;yPG/f/ELUEsDBBQAAAAIAIdO4kBS/Wx4HwIAACYEAAAOAAAAZHJzL2Uyb0RvYy54bWytU0tu2zAQ&#10;3RfoHQjua/kXxxEsB2mMFAXSpkDaA9AUZREVOeyQtuQeoLlBV910n3P5HB1RtuOmmyy6EciZ4Zv3&#10;3oxml42p2Eah12AzPuj1OVNWQq7tKuNfPt+8mXLmg7C5qMCqjG+V55fz169mtUvVEEqocoWMQKxP&#10;a5fxMgSXJomXpTLC98ApS8kC0IhAV1wlOYqa0E2VDPv9SVID5g5BKu8puuiSfI+ILwGEotBSLUCu&#10;jbKhQ0VViUCSfKmd5/PItiiUDHdF4VVgVcZJaYhfakLnZftN5jORrlC4Uss9BfESCs80GaEtNT1C&#10;LUQQbI36HyijJYKHIvQkmKQTEh0hFYP+M2/uS+FU1EJWe3c03f8/WPlx8wmZzjM+GU04s8LQyHc/&#10;H3a/Hne/f7DpKFpUO59S5b2j2tC8hYYWJ8r17hbkV88sXJfCrtQVItSlEjlRHLTmJidP26H41Lcg&#10;y/oD5NRJrANEoKZA0/pHjjBCp/Fsj+NRTWCSgucX49H0jDNJqclwPB1HbolID48d+vBOgWHtIeNI&#10;04/gYnPrQ0tGpIeStpeFG11VcQMq+1eACruIiiu0f31g3+kIzbKht21wCfmWRCF060U/Fx1KwO+c&#10;1bRaGfff1gIVZ9V7S8ZcDMZEnYV4GZ+dD+mCp5nlaUZYSVAZD5x1x+vQ7e/aoV6V1KkbhYUrMrPQ&#10;UegTq/0IaH2i/v2qt/t5eo9VT7/3/A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buouf1AAAAAcB&#10;AAAPAAAAAAAAAAEAIAAAACIAAABkcnMvZG93bnJldi54bWxQSwECFAAUAAAACACHTuJAUv1seB8C&#10;AAAmBAAADgAAAAAAAAABACAAAAAjAQAAZHJzL2Uyb0RvYy54bWxQSwUGAAAAAAYABgBZAQAAtAUA&#10;AAAA&#10;">
                <v:fill on="f" focussize="0,0"/>
                <v:stroke on="f"/>
                <v:imagedata o:title=""/>
                <o:lock v:ext="edit" aspectratio="f"/>
                <v:textbox>
                  <w:txbxContent>
                    <w:p w14:paraId="011E179F">
                      <w:pPr>
                        <w:spacing w:line="22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暂停工作或施工结束后的处理</w:t>
                      </w:r>
                    </w:p>
                  </w:txbxContent>
                </v:textbox>
              </v:shape>
            </w:pict>
          </mc:Fallback>
        </mc:AlternateContent>
      </w:r>
      <w:r>
        <w:rPr>
          <w:rFonts w:hint="eastAsia" w:ascii="仿宋" w:hAnsi="仿宋" w:eastAsia="仿宋" w:cs="仿宋"/>
          <w:color w:val="auto"/>
          <w:sz w:val="24"/>
          <w:szCs w:val="24"/>
          <w:highlight w:val="none"/>
          <w:lang w:eastAsia="zh-CN"/>
        </w:rPr>
        <w:t>暂停工作或施工结束后，承包人和监理人、设计顾问人应对受暂停工作或施工影响的工程、工程材料和工程设备进行检查。承包人负责修复在暂停期间发生的任何变质、缺陷或损坏，因而发生的费用和造成的损失按照第42</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款约定处理。</w:t>
      </w:r>
    </w:p>
    <w:p w14:paraId="73F39D68">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40" w:name="_Toc7911"/>
      <w:r>
        <w:rPr>
          <w:rFonts w:hint="eastAsia" w:ascii="仿宋" w:hAnsi="仿宋" w:eastAsia="仿宋" w:cs="仿宋"/>
          <w:bCs w:val="0"/>
          <w:color w:val="auto"/>
          <w:sz w:val="24"/>
          <w:szCs w:val="24"/>
          <w:highlight w:val="none"/>
          <w:lang w:eastAsia="zh-CN"/>
        </w:rPr>
        <w:t>43工期和工期延误</w:t>
      </w:r>
      <w:bookmarkEnd w:id="340"/>
    </w:p>
    <w:p w14:paraId="1E13D9F3">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43</w:t>
      </w:r>
      <w:r>
        <w:rPr>
          <w:rFonts w:ascii="仿宋" w:hAnsi="仿宋" w:eastAsia="仿宋" w:cs="仿宋"/>
          <w:b/>
          <w:bCs/>
          <w:color w:val="auto"/>
          <w:sz w:val="24"/>
          <w:szCs w:val="24"/>
          <w:highlight w:val="none"/>
          <w:lang w:eastAsia="zh-CN"/>
        </w:rPr>
        <w:t>.1</w:t>
      </w:r>
    </w:p>
    <w:p w14:paraId="4DDA4E29">
      <w:pPr>
        <w:spacing w:line="360" w:lineRule="auto"/>
        <w:ind w:left="1850" w:leftChars="771"/>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770880" behindDoc="0" locked="0" layoutInCell="1" allowOverlap="1">
                <wp:simplePos x="0" y="0"/>
                <wp:positionH relativeFrom="column">
                  <wp:posOffset>-114300</wp:posOffset>
                </wp:positionH>
                <wp:positionV relativeFrom="paragraph">
                  <wp:posOffset>29210</wp:posOffset>
                </wp:positionV>
                <wp:extent cx="721995" cy="669290"/>
                <wp:effectExtent l="0" t="0" r="0" b="0"/>
                <wp:wrapNone/>
                <wp:docPr id="637" name="文本框 832"/>
                <wp:cNvGraphicFramePr/>
                <a:graphic xmlns:a="http://schemas.openxmlformats.org/drawingml/2006/main">
                  <a:graphicData uri="http://schemas.microsoft.com/office/word/2010/wordprocessingShape">
                    <wps:wsp>
                      <wps:cNvSpPr txBox="1">
                        <a:spLocks noChangeArrowheads="1"/>
                      </wps:cNvSpPr>
                      <wps:spPr bwMode="auto">
                        <a:xfrm>
                          <a:off x="0" y="0"/>
                          <a:ext cx="721995" cy="669290"/>
                        </a:xfrm>
                        <a:prstGeom prst="rect">
                          <a:avLst/>
                        </a:prstGeom>
                        <a:noFill/>
                        <a:ln>
                          <a:noFill/>
                        </a:ln>
                        <a:effectLst/>
                      </wps:spPr>
                      <wps:txbx>
                        <w:txbxContent>
                          <w:p w14:paraId="4345AD0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工期计算</w:t>
                            </w:r>
                          </w:p>
                        </w:txbxContent>
                      </wps:txbx>
                      <wps:bodyPr rot="0" vert="horz" wrap="square" lIns="91440" tIns="45720" rIns="91440" bIns="45720" anchor="t" anchorCtr="0" upright="1">
                        <a:noAutofit/>
                      </wps:bodyPr>
                    </wps:wsp>
                  </a:graphicData>
                </a:graphic>
              </wp:anchor>
            </w:drawing>
          </mc:Choice>
          <mc:Fallback>
            <w:pict>
              <v:shape id="文本框 832" o:spid="_x0000_s1026" o:spt="202" type="#_x0000_t202" style="position:absolute;left:0pt;margin-left:-9pt;margin-top:2.3pt;height:52.7pt;width:56.85pt;z-index:251770880;mso-width-relative:page;mso-height-relative:page;" filled="f" stroked="f" coordsize="21600,21600" o:gfxdata="UEsDBAoAAAAAAIdO4kAAAAAAAAAAAAAAAAAEAAAAZHJzL1BLAwQUAAAACACHTuJA1I8MctYAAAAI&#10;AQAADwAAAGRycy9kb3ducmV2LnhtbE2PzU7DMBCE70i8g7VI3Fo7qC1tmk0PIK4gyo/EzY23SdR4&#10;HcVuE96e5QTH0Yxmvil2k+/UhYbYBkbI5gYUcRVcyzXC+9vTbA0qJsvOdoEJ4Zsi7Mrrq8LmLoz8&#10;Spd9qpWUcMwtQpNSn2sdq4a8jfPQE4t3DIO3SeRQazfYUcp9p++MWWlvW5aFxvb00FB12p89wsfz&#10;8etzYV7qR7/sxzAZzX6jEW9vMrMFlWhKf2H4xRd0KIXpEM7souoQZtlaviSExQqU+JvlPaiD5DJj&#10;QJeF/n+g/AFQSwMEFAAAAAgAh07iQGE0fREgAgAAJgQAAA4AAABkcnMvZTJvRG9jLnhtbK1TS27b&#10;MBDdF+gdCO5r2YrjxILlII2RokD6AdIegKYoi6jEYYe0JfcA7Q266qb7nsvn6JBSXDfdZNENQXKG&#10;b+a9eVxcdU3NdgqdBpPzyWjMmTISCm02Of/44fbFJWfOC1OIGozK+V45frV8/mzR2kylUEFdKGQE&#10;YlzW2pxX3tssSZysVCPcCKwyFCwBG+HpiJukQNESelMn6Xg8S1rAwiJI5RzdrvogHxDxKYBQllqq&#10;Fchto4zvUVHVwhMlV2nr+DJ2W5ZK+ndl6ZRndc6JqY8rFaH9OqzJciGyDQpbaTm0IJ7SwiNOjdCG&#10;ih6hVsILtkX9D1SjJYKD0o8kNElPJCpCLCbjR9rcV8KqyIWkdvYouvt/sPLt7j0yXeR8dnbBmREN&#10;jfzw/dvhx6/Dz6/s8iwNErXWZZR5bynXdy+hI+NEus7egfzkmIGbSpiNukaEtlKioBYn4WVy8rTH&#10;cQFk3b6BgiqJrYcI1JXYBP1IEUboNJ79cTyq80zS5UU6mc/POZMUms3m6TyOLxHZw2OLzr9S0LCw&#10;yTnS9CO42N05H5oR2UNKqGXgVtd1dEBt/rqgxP5GRQsNrwOV0H3Pw3frbpBmDcWeSCH09qLPRZsK&#10;8AtnLVkr5+7zVqDirH5tSJj5ZDoNXoyH6flFSgc8jaxPI8JIgsq556zf3vjev1uLelNRpX4UBq5J&#10;zFJHoqHVvqthBGSfyH+wevD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Ujwxy1gAA&#10;AAgBAAAPAAAAAAAAAAEAIAAAACIAAABkcnMvZG93bnJldi54bWxQSwECFAAUAAAACACHTuJAYTR9&#10;ESACAAAmBAAADgAAAAAAAAABACAAAAAlAQAAZHJzL2Uyb0RvYy54bWxQSwUGAAAAAAYABgBZAQAA&#10;twUAAAAA&#10;">
                <v:fill on="f" focussize="0,0"/>
                <v:stroke on="f"/>
                <v:imagedata o:title=""/>
                <o:lock v:ext="edit" aspectratio="f"/>
                <v:textbox>
                  <w:txbxContent>
                    <w:p w14:paraId="4345AD0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工期计算</w:t>
                      </w:r>
                    </w:p>
                  </w:txbxContent>
                </v:textbox>
              </v:shape>
            </w:pict>
          </mc:Fallback>
        </mc:AlternateContent>
      </w:r>
      <w:r>
        <w:rPr>
          <w:rFonts w:hint="eastAsia" w:ascii="仿宋" w:hAnsi="仿宋" w:eastAsia="仿宋" w:cs="仿宋"/>
          <w:color w:val="auto"/>
          <w:highlight w:val="none"/>
          <w:lang w:eastAsia="zh-CN"/>
        </w:rPr>
        <w:t>43.1.1 勘察工期（如果有），由双方在协议书及专用条款中约定，并制定保障措施，确保勘察工作进度和质量。</w:t>
      </w:r>
    </w:p>
    <w:p w14:paraId="06A87C43">
      <w:pPr>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43.1.2 设计工期，由双方在协议书及专用条款中约定，并制定保障措施，确保设计工作进度和质量。</w:t>
      </w:r>
    </w:p>
    <w:p w14:paraId="01C54B41">
      <w:pPr>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43.1.3 BIM技术应用工期，由双方在协议书及专用条款中约定，并制定保障措施，确保BIM技术应用工作进度和质量。</w:t>
      </w:r>
    </w:p>
    <w:p w14:paraId="25D97937">
      <w:pPr>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43.1.4 设备及工器具购置工期（如果有），由双方在协议书及专用条款中约定，并制定保障措施，确保购置工作进度和质量。</w:t>
      </w:r>
    </w:p>
    <w:p w14:paraId="1F0983C9">
      <w:pPr>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43.1.5施工工期，由双方在协议书及专用条款约定。如合同约定的施工工期与广东省建设工程工期定额规定不一致的，需说明与省工期定额规定不一致的原因，并制定保障措施，确保施工进度、施工质量和施工安全。</w:t>
      </w:r>
    </w:p>
    <w:p w14:paraId="0377B03F">
      <w:pPr>
        <w:spacing w:line="360" w:lineRule="auto"/>
        <w:ind w:left="1850" w:leftChars="771"/>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上述约定的各项工期计算总天数可能存在叠加，以协议书约定的合同工期总日历天数为准。</w:t>
      </w:r>
    </w:p>
    <w:p w14:paraId="292C76DC">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43</w:t>
      </w:r>
      <w:r>
        <w:rPr>
          <w:rFonts w:ascii="仿宋" w:hAnsi="仿宋" w:eastAsia="仿宋" w:cs="仿宋"/>
          <w:b/>
          <w:bCs/>
          <w:color w:val="auto"/>
          <w:highlight w:val="none"/>
          <w:lang w:eastAsia="zh-CN"/>
        </w:rPr>
        <w:t>.2</w:t>
      </w:r>
    </w:p>
    <w:p w14:paraId="4FD7068D">
      <w:pPr>
        <w:spacing w:line="360" w:lineRule="auto"/>
        <w:ind w:left="1850" w:leftChars="771"/>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71904" behindDoc="0" locked="0" layoutInCell="1" allowOverlap="1">
                <wp:simplePos x="0" y="0"/>
                <wp:positionH relativeFrom="column">
                  <wp:posOffset>-114300</wp:posOffset>
                </wp:positionH>
                <wp:positionV relativeFrom="paragraph">
                  <wp:posOffset>31750</wp:posOffset>
                </wp:positionV>
                <wp:extent cx="798830" cy="527685"/>
                <wp:effectExtent l="0" t="0" r="0" b="0"/>
                <wp:wrapNone/>
                <wp:docPr id="638" name="文本框 833"/>
                <wp:cNvGraphicFramePr/>
                <a:graphic xmlns:a="http://schemas.openxmlformats.org/drawingml/2006/main">
                  <a:graphicData uri="http://schemas.microsoft.com/office/word/2010/wordprocessingShape">
                    <wps:wsp>
                      <wps:cNvSpPr txBox="1">
                        <a:spLocks noChangeArrowheads="1"/>
                      </wps:cNvSpPr>
                      <wps:spPr bwMode="auto">
                        <a:xfrm>
                          <a:off x="0" y="0"/>
                          <a:ext cx="798830" cy="527685"/>
                        </a:xfrm>
                        <a:prstGeom prst="rect">
                          <a:avLst/>
                        </a:prstGeom>
                        <a:noFill/>
                        <a:ln>
                          <a:noFill/>
                        </a:ln>
                        <a:effectLst/>
                      </wps:spPr>
                      <wps:txbx>
                        <w:txbxContent>
                          <w:p w14:paraId="44A7B8F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工期约定的要求</w:t>
                            </w:r>
                          </w:p>
                        </w:txbxContent>
                      </wps:txbx>
                      <wps:bodyPr rot="0" vert="horz" wrap="square" lIns="91440" tIns="45720" rIns="91440" bIns="45720" anchor="t" anchorCtr="0" upright="1">
                        <a:noAutofit/>
                      </wps:bodyPr>
                    </wps:wsp>
                  </a:graphicData>
                </a:graphic>
              </wp:anchor>
            </w:drawing>
          </mc:Choice>
          <mc:Fallback>
            <w:pict>
              <v:shape id="文本框 833" o:spid="_x0000_s1026" o:spt="202" type="#_x0000_t202" style="position:absolute;left:0pt;margin-left:-9pt;margin-top:2.5pt;height:41.55pt;width:62.9pt;z-index:251771904;mso-width-relative:page;mso-height-relative:page;" filled="f" stroked="f" coordsize="21600,21600" o:gfxdata="UEsDBAoAAAAAAIdO4kAAAAAAAAAAAAAAAAAEAAAAZHJzL1BLAwQUAAAACACHTuJA05+C5dUAAAAI&#10;AQAADwAAAGRycy9kb3ducmV2LnhtbE2PTU/DMAyG70j8h8hI3LakiEHX1d0BxBXE+JC4ZY3XVjRO&#10;1WRr+fd4JzhZ1mu9fp5yO/tenWiMXWCEbGlAEdfBddwgvL89LXJQMVl2tg9MCD8UYVtdXpS2cGHi&#10;VzrtUqOkhGNhEdqUhkLrWLfkbVyGgViyQxi9TbKOjXajnaTc9/rGmDvtbcfyobUDPbRUf++OHuHj&#10;+fD1eWtemke/GqYwG81+rRGvrzKzAZVoTn/HcMYXdKiEaR+O7KLqERZZLi4JYSXjnJt7Udkj5HkG&#10;uir1f4HqF1BLAwQUAAAACACHTuJAjOZTUx4CAAAmBAAADgAAAGRycy9lMm9Eb2MueG1srVNLbtsw&#10;EN0X6B0I7mv5H0ewHKQxUhRIP0DaA9AUZRGVOOyQtuQeoL1BV91033P5HB1Siuummyy6IUjO8M28&#10;N4/Lq7au2F6h02AyPhoMOVNGQq7NNuMfP9y+WHDmvDC5qMCojB+U41er58+WjU3VGEqocoWMQIxL&#10;G5vx0nubJomTpaqFG4BVhoIFYC08HXGb5CgaQq+rZDwczpMGMLcIUjlHt+suyHtEfAogFIWWag1y&#10;VyvjO1RUlfBEyZXaOr6K3RaFkv5dUTjlWZVxYurjSkVovwlrslqKdIvCllr2LYintPCIUy20oaIn&#10;qLXwgu1Q/wNVa4ngoPADCXXSEYmKEIvR8JE296WwKnIhqZ09ie7+H6x8u3+PTOcZn09o8EbUNPLj&#10;92/HH7+OP7+yxWQSJGqsSynz3lKub19CS8aJdJ29A/nJMQM3pTBbdY0ITalETi2Owsvk7GmH4wLI&#10;pnkDOVUSOw8RqC2wDvqRIozQaTyH03hU65mky4vLxWJCEUmh2fhivpjFCiJ9eGzR+VcKahY2GUea&#10;fgQX+zvnQzMifUgJtQzc6qqKDqjMXxeU2N2oaKH+daASuu94+HbT9tJsID8QKYTOXvS5aFMCfuGs&#10;IWtl3H3eCVScVa8NCXM5mk6DF+NhOrsY0wHPI5vziDCSoDLuOeu2N77z786i3pZUqRuFgWsSs9CR&#10;aGi166ofAdkn8u+tHvx5fo5Zf773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Tn4Ll1QAAAAgB&#10;AAAPAAAAAAAAAAEAIAAAACIAAABkcnMvZG93bnJldi54bWxQSwECFAAUAAAACACHTuJAjOZTUx4C&#10;AAAmBAAADgAAAAAAAAABACAAAAAkAQAAZHJzL2Uyb0RvYy54bWxQSwUGAAAAAAYABgBZAQAAtAUA&#10;AAAA&#10;">
                <v:fill on="f" focussize="0,0"/>
                <v:stroke on="f"/>
                <v:imagedata o:title=""/>
                <o:lock v:ext="edit" aspectratio="f"/>
                <v:textbox>
                  <w:txbxContent>
                    <w:p w14:paraId="44A7B8F5">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工期约定的要求</w:t>
                      </w:r>
                    </w:p>
                  </w:txbxContent>
                </v:textbox>
              </v:shape>
            </w:pict>
          </mc:Fallback>
        </mc:AlternateContent>
      </w:r>
      <w:r>
        <w:rPr>
          <w:rFonts w:hint="eastAsia" w:ascii="仿宋" w:hAnsi="仿宋" w:eastAsia="仿宋" w:cs="仿宋"/>
          <w:color w:val="auto"/>
          <w:highlight w:val="none"/>
          <w:lang w:eastAsia="zh-CN"/>
        </w:rPr>
        <w:t>合同双方当事人应在专用条款中约定合同工程的总工期及勘察（如果有）、设计、BIM技术应用、设备及工器具购置（如果有）、施工等各阶段工期，工期从合同约定的首项工作（如勘察）开始工作日期开始计算。合同中包括有多个单项工程的，应在专用条款中约定各单项工程的工期。根据各阶段工期计算的总工期可能存在叠加，以协议书约定的合同工期总日历天数为准。合同允许调整事项导致的合理工期延误，按变更处理。</w:t>
      </w:r>
    </w:p>
    <w:p w14:paraId="0FD5C218">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43</w:t>
      </w:r>
      <w:r>
        <w:rPr>
          <w:rFonts w:ascii="仿宋" w:hAnsi="仿宋" w:eastAsia="仿宋" w:cs="仿宋"/>
          <w:b/>
          <w:bCs/>
          <w:color w:val="auto"/>
          <w:highlight w:val="none"/>
          <w:lang w:eastAsia="zh-CN"/>
        </w:rPr>
        <w:t>.3</w:t>
      </w:r>
    </w:p>
    <w:p w14:paraId="694E8465">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72928" behindDoc="0" locked="0" layoutInCell="1" allowOverlap="1">
                <wp:simplePos x="0" y="0"/>
                <wp:positionH relativeFrom="column">
                  <wp:posOffset>-114300</wp:posOffset>
                </wp:positionH>
                <wp:positionV relativeFrom="paragraph">
                  <wp:posOffset>16510</wp:posOffset>
                </wp:positionV>
                <wp:extent cx="741045" cy="554990"/>
                <wp:effectExtent l="0" t="0" r="0" b="0"/>
                <wp:wrapNone/>
                <wp:docPr id="639" name="文本框 834"/>
                <wp:cNvGraphicFramePr/>
                <a:graphic xmlns:a="http://schemas.openxmlformats.org/drawingml/2006/main">
                  <a:graphicData uri="http://schemas.microsoft.com/office/word/2010/wordprocessingShape">
                    <wps:wsp>
                      <wps:cNvSpPr txBox="1">
                        <a:spLocks noChangeArrowheads="1"/>
                      </wps:cNvSpPr>
                      <wps:spPr bwMode="auto">
                        <a:xfrm>
                          <a:off x="0" y="0"/>
                          <a:ext cx="741045" cy="554990"/>
                        </a:xfrm>
                        <a:prstGeom prst="rect">
                          <a:avLst/>
                        </a:prstGeom>
                        <a:noFill/>
                        <a:ln>
                          <a:noFill/>
                        </a:ln>
                        <a:effectLst/>
                      </wps:spPr>
                      <wps:txbx>
                        <w:txbxContent>
                          <w:p w14:paraId="1DCB7193">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工期顺延</w:t>
                            </w:r>
                          </w:p>
                        </w:txbxContent>
                      </wps:txbx>
                      <wps:bodyPr rot="0" vert="horz" wrap="square" lIns="91440" tIns="45720" rIns="91440" bIns="45720" anchor="t" anchorCtr="0" upright="1">
                        <a:noAutofit/>
                      </wps:bodyPr>
                    </wps:wsp>
                  </a:graphicData>
                </a:graphic>
              </wp:anchor>
            </w:drawing>
          </mc:Choice>
          <mc:Fallback>
            <w:pict>
              <v:shape id="文本框 834" o:spid="_x0000_s1026" o:spt="202" type="#_x0000_t202" style="position:absolute;left:0pt;margin-left:-9pt;margin-top:1.3pt;height:43.7pt;width:58.35pt;z-index:251772928;mso-width-relative:page;mso-height-relative:page;" filled="f" stroked="f" coordsize="21600,21600" o:gfxdata="UEsDBAoAAAAAAIdO4kAAAAAAAAAAAAAAAAAEAAAAZHJzL1BLAwQUAAAACACHTuJAXIDFYNUAAAAH&#10;AQAADwAAAGRycy9kb3ducmV2LnhtbE2PwU7DMBBE70j8g7VI3Fo7FZQ0xOkBxBVEC0jctvE2iYjX&#10;Uew24e9ZTnBajWY087bczr5XZxpjF9hCtjSgiOvgOm4svO2fFjmomJAd9oHJwjdF2FaXFyUWLkz8&#10;SuddapSUcCzQQpvSUGgd65Y8xmUYiMU7htFjEjk22o04Sbnv9cqYtfbYsSy0ONBDS/XX7uQtvD8f&#10;Pz9uzEvz6G+HKcxGs99oa6+vMnMPKtGc/sLwiy/oUAnTIZzYRdVbWGS5/JIsrNagxN/kd6AOco0B&#10;XZX6P3/1A1BLAwQUAAAACACHTuJAcksDciACAAAmBAAADgAAAGRycy9lMm9Eb2MueG1srVNLbtsw&#10;EN0X6B0I7mvZjpzEguUgjZGiQPoB0h6ApiiLqMRhh7Ql9wDtDbrqpvuey+fokFJcN91k0Q1BcoZv&#10;5r15XFx1Tc12Cp0Gk/PJaMyZMhIKbTY5//jh9sUlZ84LU4gajMr5Xjl+tXz+bNHaTE2hgrpQyAjE&#10;uKy1Oa+8t1mSOFmpRrgRWGUoWAI2wtMRN0mBoiX0pk6m4/F50gIWFkEq5+h21Qf5gIhPAYSy1FKt&#10;QG4bZXyPiqoWnii5SlvHl7HbslTSvytLpzyrc05MfVypCO3XYU2WC5FtUNhKy6EF8ZQWHnFqhDZU&#10;9Ai1El6wLep/oBotERyUfiShSXoiURFiMRk/0ua+ElZFLiS1s0fR3f+DlW9375HpIufnZ3POjGho&#10;5Ifv3w4/fh1+fmWXZ2mQqLUuo8x7S7m+ewkdGSfSdfYO5CfHDNxUwmzUNSK0lRIFtTgJL5OTpz2O&#10;CyDr9g0UVElsPUSgrsQm6EeKMEKn8eyP41GdZ5IuL9LJOJ1xJik0m6XzeRxfIrKHxxadf6WgYWGT&#10;c6TpR3Cxu3M+NCOyh5RQy8CtruvogNr8dUGJ/Y2KFhpeByqh+56H79bdIM0aij2RQujtRZ+LNhXg&#10;F85aslbO3eetQMVZ/dqQMPNJmgYvxkM6u5jSAU8j69OIMJKgcu4567c3vvfv1qLeVFSpH4WBaxKz&#10;1JFoaLXvahgB2SfyH6we/Hl6jll/vvf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yAxWDVAAAA&#10;BwEAAA8AAAAAAAAAAQAgAAAAIgAAAGRycy9kb3ducmV2LnhtbFBLAQIUABQAAAAIAIdO4kBySwNy&#10;IAIAACYEAAAOAAAAAAAAAAEAIAAAACQBAABkcnMvZTJvRG9jLnhtbFBLBQYAAAAABgAGAFkBAAC2&#10;BQAAAAA=&#10;">
                <v:fill on="f" focussize="0,0"/>
                <v:stroke on="f"/>
                <v:imagedata o:title=""/>
                <o:lock v:ext="edit" aspectratio="f"/>
                <v:textbox>
                  <w:txbxContent>
                    <w:p w14:paraId="1DCB7193">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工期顺延</w:t>
                      </w:r>
                    </w:p>
                  </w:txbxContent>
                </v:textbox>
              </v:shape>
            </w:pict>
          </mc:Fallback>
        </mc:AlternateContent>
      </w:r>
      <w:r>
        <w:rPr>
          <w:rFonts w:hint="eastAsia" w:ascii="仿宋" w:hAnsi="仿宋" w:eastAsia="仿宋" w:cs="仿宋"/>
          <w:color w:val="auto"/>
          <w:highlight w:val="none"/>
          <w:lang w:eastAsia="zh-CN"/>
        </w:rPr>
        <w:t>合同履行期间，由于下列原因造成工期延误的，承包人有权要求发包人增加由此发生的费用和（或）顺延工期，并支付合理利润。本款发生顺延的工期，由承包人提出，经设计顾问人或监理人核实后由合同双方当事人协商确定；协商不能达成一致的，由设计顾问人或监理人暂定，通知承包人并抄报发包人。构成争议的，由合同双方当事人按照第91条约定处理。</w:t>
      </w:r>
    </w:p>
    <w:p w14:paraId="6894721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）发包人未能按照专用条款的约定提供项目基础资料及其它开始工作或开工条件；</w:t>
      </w:r>
    </w:p>
    <w:p w14:paraId="5081251E">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）发包人未能按照专用条款约定的时间支付预付款、绿色施工安全防护费和进度款；</w:t>
      </w:r>
    </w:p>
    <w:p w14:paraId="08247C03">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）发包人代表或发包人雇用的其他人员造成的人为因素；</w:t>
      </w:r>
    </w:p>
    <w:p w14:paraId="7493DE0C">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）发包人、设计顾问人或监理人未按照合同约定及时提供所需指令、回复等；</w:t>
      </w:r>
    </w:p>
    <w:p w14:paraId="7DD6300F">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5</w:t>
      </w:r>
      <w:r>
        <w:rPr>
          <w:rFonts w:hint="eastAsia" w:ascii="仿宋" w:hAnsi="仿宋" w:eastAsia="仿宋" w:cs="仿宋"/>
          <w:color w:val="auto"/>
          <w:sz w:val="24"/>
          <w:szCs w:val="24"/>
          <w:highlight w:val="none"/>
          <w:lang w:eastAsia="zh-CN"/>
        </w:rPr>
        <w:t>）由发包人原因引起的工作变更或工程变更（含增加合同工作内容、改变合同的任何一项工作内容等）；</w:t>
      </w:r>
    </w:p>
    <w:p w14:paraId="6377B1C4">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6</w:t>
      </w:r>
      <w:r>
        <w:rPr>
          <w:rFonts w:hint="eastAsia" w:ascii="仿宋" w:hAnsi="仿宋" w:eastAsia="仿宋" w:cs="仿宋"/>
          <w:color w:val="auto"/>
          <w:sz w:val="24"/>
          <w:szCs w:val="24"/>
          <w:highlight w:val="none"/>
          <w:lang w:eastAsia="zh-CN"/>
        </w:rPr>
        <w:t>）发包人原因引起的工作量或工程量增加；</w:t>
      </w:r>
    </w:p>
    <w:p w14:paraId="4C3E44BA">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）勘察现场遇到的不利物质条件；</w:t>
      </w:r>
    </w:p>
    <w:p w14:paraId="6EA6FE84">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（8）一周内非承包人原因停水、停电、停气造成停工累计超过</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小时；</w:t>
      </w:r>
    </w:p>
    <w:p w14:paraId="47F46831">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（9）不可抗力；</w:t>
      </w:r>
    </w:p>
    <w:p w14:paraId="16860FE4">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（10）发包人风险事项；</w:t>
      </w:r>
    </w:p>
    <w:p w14:paraId="10F1AAD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1）因发包人的原因导致的暂停工作或暂停施工；</w:t>
      </w:r>
    </w:p>
    <w:p w14:paraId="7CA1C0D3">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2）非承包人失误、违约，以及设计顾问人或监理人同意的工期顺延。</w:t>
      </w:r>
    </w:p>
    <w:p w14:paraId="404552A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3）发包人造成工期延误的其他情形。</w:t>
      </w:r>
    </w:p>
    <w:p w14:paraId="0A81C136">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43</w:t>
      </w:r>
      <w:r>
        <w:rPr>
          <w:rFonts w:ascii="仿宋" w:hAnsi="仿宋" w:eastAsia="仿宋" w:cs="仿宋"/>
          <w:b/>
          <w:bCs/>
          <w:color w:val="auto"/>
          <w:highlight w:val="none"/>
          <w:lang w:eastAsia="zh-CN"/>
        </w:rPr>
        <w:t>.4</w:t>
      </w:r>
    </w:p>
    <w:p w14:paraId="1AA6AD3D">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73952" behindDoc="0" locked="0" layoutInCell="1" allowOverlap="1">
                <wp:simplePos x="0" y="0"/>
                <wp:positionH relativeFrom="column">
                  <wp:posOffset>-114300</wp:posOffset>
                </wp:positionH>
                <wp:positionV relativeFrom="paragraph">
                  <wp:posOffset>62230</wp:posOffset>
                </wp:positionV>
                <wp:extent cx="813435" cy="467995"/>
                <wp:effectExtent l="0" t="0" r="0" b="0"/>
                <wp:wrapNone/>
                <wp:docPr id="640" name="文本框 835"/>
                <wp:cNvGraphicFramePr/>
                <a:graphic xmlns:a="http://schemas.openxmlformats.org/drawingml/2006/main">
                  <a:graphicData uri="http://schemas.microsoft.com/office/word/2010/wordprocessingShape">
                    <wps:wsp>
                      <wps:cNvSpPr txBox="1">
                        <a:spLocks noChangeArrowheads="1"/>
                      </wps:cNvSpPr>
                      <wps:spPr bwMode="auto">
                        <a:xfrm>
                          <a:off x="0" y="0"/>
                          <a:ext cx="813435" cy="467995"/>
                        </a:xfrm>
                        <a:prstGeom prst="rect">
                          <a:avLst/>
                        </a:prstGeom>
                        <a:noFill/>
                        <a:ln>
                          <a:noFill/>
                        </a:ln>
                        <a:effectLst/>
                      </wps:spPr>
                      <wps:txbx>
                        <w:txbxContent>
                          <w:p w14:paraId="29A91D2C">
                            <w:pPr>
                              <w:spacing w:line="220" w:lineRule="exact"/>
                              <w:rPr>
                                <w:rFonts w:ascii="宋体"/>
                                <w:sz w:val="18"/>
                                <w:szCs w:val="18"/>
                              </w:rPr>
                            </w:pPr>
                            <w:r>
                              <w:rPr>
                                <w:rFonts w:hint="eastAsia" w:ascii="楷体_GB2312" w:hAnsi="宋体" w:eastAsia="楷体_GB2312" w:cs="楷体_GB2312"/>
                                <w:b/>
                                <w:bCs/>
                                <w:color w:val="000000"/>
                                <w:sz w:val="18"/>
                                <w:szCs w:val="18"/>
                              </w:rPr>
                              <w:t>提交工期顺延报告</w:t>
                            </w:r>
                          </w:p>
                        </w:txbxContent>
                      </wps:txbx>
                      <wps:bodyPr rot="0" vert="horz" wrap="square" lIns="91440" tIns="45720" rIns="91440" bIns="45720" anchor="t" anchorCtr="0" upright="1">
                        <a:noAutofit/>
                      </wps:bodyPr>
                    </wps:wsp>
                  </a:graphicData>
                </a:graphic>
              </wp:anchor>
            </w:drawing>
          </mc:Choice>
          <mc:Fallback>
            <w:pict>
              <v:shape id="文本框 835" o:spid="_x0000_s1026" o:spt="202" type="#_x0000_t202" style="position:absolute;left:0pt;margin-left:-9pt;margin-top:4.9pt;height:36.85pt;width:64.05pt;z-index:251773952;mso-width-relative:page;mso-height-relative:page;" filled="f" stroked="f" coordsize="21600,21600" o:gfxdata="UEsDBAoAAAAAAIdO4kAAAAAAAAAAAAAAAAAEAAAAZHJzL1BLAwQUAAAACACHTuJAGqTNN9UAAAAI&#10;AQAADwAAAGRycy9kb3ducmV2LnhtbE2PwU7DMBBE70j8g7VI3Frb0FZpyKYHEFcQbUHi5sbbJCJe&#10;R7HbhL+ve4LjalYz7xWbyXXiTENoPSPouQJBXHnbco2w373OMhAhGram80wIvxRgU97eFCa3fuQP&#10;Om9jLVIJh9wgNDH2uZShasiZMPc9ccqOfnAmpnOopR3MmMpdJx+UWklnWk4LjenpuaHqZ3tyCJ9v&#10;x++vhXqvX9yyH/2kJLu1RLy/0+oJRKQp/j3DFT+hQ5mYDv7ENogOYaaz5BIR1sngmmulQRwQsscl&#10;yLKQ/wXKC1BLAwQUAAAACACHTuJAlYhJvx4CAAAmBAAADgAAAGRycy9lMm9Eb2MueG1srVPBbhMx&#10;EL0j8Q+W72STNE2TVTZVaVSEVKBS4QMcrzdrsesxYye74QPgDzhx4d7vyncw9m5DKJceuFi2Z/zm&#10;vTfjxWVbV2yn0GkwGR8NhpwpIyHXZpPxTx9vXs04c16YXFRgVMb3yvHL5csXi8amagwlVLlCRiDG&#10;pY3NeOm9TZPEyVLVwg3AKkPBArAWno64SXIUDaHXVTIeDqdJA5hbBKmco9tVF+Q9Ij4HEIpCS7UC&#10;ua2V8R0qqkp4kuRKbR1fRrZFoaT/UBROeVZlnJT6uFIR2q/DmiwXIt2gsKWWPQXxHApPNNVCGyp6&#10;hFoJL9gW9T9QtZYIDgo/kFAnnZDoCKkYDZ94c18Kq6IWstrZo+nu/8HK97s7ZDrP+HRCnhhRU8sP&#10;P74ffj4cfn1js7PzYFFjXUqZ95ZyffsaWhqcKNfZW5CfHTNwXQqzUVeI0JRK5ERxFF4mJ087HBdA&#10;1s07yKmS2HqIQG2BdfCPHGGETlT2x/ao1jNJl7PR2YT4MEmhyfRiPo/cEpE+Prbo/BsFNQubjCN1&#10;P4KL3a3zgYxIH1NCLQM3uqriBFTmrwtK7G5UHKH+dZAS2Hc6fLtue2vWkO9JFEI3XvS5aFMCfuWs&#10;odHKuPuyFag4q94aMmY+mgSvfTxMzi/GdMDTyPo0IowkqIx7zrrtte/md2tRb0qq1LXCwBWZWego&#10;NFDtWPUtoPGJ+vtRD/N5eo5Zf7738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apM031QAAAAgB&#10;AAAPAAAAAAAAAAEAIAAAACIAAABkcnMvZG93bnJldi54bWxQSwECFAAUAAAACACHTuJAlYhJvx4C&#10;AAAmBAAADgAAAAAAAAABACAAAAAkAQAAZHJzL2Uyb0RvYy54bWxQSwUGAAAAAAYABgBZAQAAtAUA&#10;AAAA&#10;">
                <v:fill on="f" focussize="0,0"/>
                <v:stroke on="f"/>
                <v:imagedata o:title=""/>
                <o:lock v:ext="edit" aspectratio="f"/>
                <v:textbox>
                  <w:txbxContent>
                    <w:p w14:paraId="29A91D2C">
                      <w:pPr>
                        <w:spacing w:line="220" w:lineRule="exact"/>
                        <w:rPr>
                          <w:rFonts w:ascii="宋体"/>
                          <w:sz w:val="18"/>
                          <w:szCs w:val="18"/>
                        </w:rPr>
                      </w:pPr>
                      <w:r>
                        <w:rPr>
                          <w:rFonts w:hint="eastAsia" w:ascii="楷体_GB2312" w:hAnsi="宋体" w:eastAsia="楷体_GB2312" w:cs="楷体_GB2312"/>
                          <w:b/>
                          <w:bCs/>
                          <w:color w:val="000000"/>
                          <w:sz w:val="18"/>
                          <w:szCs w:val="18"/>
                        </w:rPr>
                        <w:t>提交工期顺延报告</w:t>
                      </w:r>
                    </w:p>
                  </w:txbxContent>
                </v:textbox>
              </v:shape>
            </w:pict>
          </mc:Fallback>
        </mc:AlternateContent>
      </w:r>
      <w:r>
        <w:rPr>
          <w:rFonts w:hint="eastAsia" w:ascii="仿宋" w:hAnsi="仿宋" w:eastAsia="仿宋" w:cs="仿宋"/>
          <w:color w:val="auto"/>
          <w:sz w:val="24"/>
          <w:szCs w:val="24"/>
          <w:highlight w:val="none"/>
          <w:lang w:eastAsia="zh-CN"/>
        </w:rPr>
        <w:t>当第43</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款所述事项发生后，承包人应在</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天内向发包人、设计顾问人或监理人发出工期顺延意向书，并抄送发包人。承包人应在发出工期顺延意向书后的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天内，向设计顾问人或监理人提交工期顺延报告和有关详细资料。</w:t>
      </w:r>
    </w:p>
    <w:p w14:paraId="6B2BEB75">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43</w:t>
      </w:r>
      <w:r>
        <w:rPr>
          <w:rFonts w:ascii="仿宋" w:hAnsi="仿宋" w:eastAsia="仿宋" w:cs="仿宋"/>
          <w:b/>
          <w:bCs/>
          <w:color w:val="auto"/>
          <w:highlight w:val="none"/>
          <w:lang w:eastAsia="zh-CN"/>
        </w:rPr>
        <w:t>.5</w:t>
      </w:r>
    </w:p>
    <w:p w14:paraId="2428C19A">
      <w:pPr>
        <w:pStyle w:val="2"/>
        <w:widowControl w:val="0"/>
        <w:adjustRightInd w:val="0"/>
        <w:snapToGrid w:val="0"/>
        <w:spacing w:line="360" w:lineRule="auto"/>
        <w:ind w:left="1850" w:leftChars="771"/>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74976" behindDoc="0" locked="0" layoutInCell="1" allowOverlap="1">
                <wp:simplePos x="0" y="0"/>
                <wp:positionH relativeFrom="column">
                  <wp:posOffset>-114300</wp:posOffset>
                </wp:positionH>
                <wp:positionV relativeFrom="paragraph">
                  <wp:posOffset>46990</wp:posOffset>
                </wp:positionV>
                <wp:extent cx="822960" cy="791210"/>
                <wp:effectExtent l="0" t="0" r="0" b="0"/>
                <wp:wrapNone/>
                <wp:docPr id="641" name="文本框 836"/>
                <wp:cNvGraphicFramePr/>
                <a:graphic xmlns:a="http://schemas.openxmlformats.org/drawingml/2006/main">
                  <a:graphicData uri="http://schemas.microsoft.com/office/word/2010/wordprocessingShape">
                    <wps:wsp>
                      <wps:cNvSpPr txBox="1">
                        <a:spLocks noChangeArrowheads="1"/>
                      </wps:cNvSpPr>
                      <wps:spPr bwMode="auto">
                        <a:xfrm>
                          <a:off x="0" y="0"/>
                          <a:ext cx="822960" cy="791210"/>
                        </a:xfrm>
                        <a:prstGeom prst="rect">
                          <a:avLst/>
                        </a:prstGeom>
                        <a:noFill/>
                        <a:ln>
                          <a:noFill/>
                        </a:ln>
                        <a:effectLst/>
                      </wps:spPr>
                      <wps:txbx>
                        <w:txbxContent>
                          <w:p w14:paraId="38E0148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工期顺延持续发生的要求</w:t>
                            </w:r>
                          </w:p>
                        </w:txbxContent>
                      </wps:txbx>
                      <wps:bodyPr rot="0" vert="horz" wrap="square" lIns="91440" tIns="45720" rIns="91440" bIns="45720" anchor="t" anchorCtr="0" upright="1">
                        <a:noAutofit/>
                      </wps:bodyPr>
                    </wps:wsp>
                  </a:graphicData>
                </a:graphic>
              </wp:anchor>
            </w:drawing>
          </mc:Choice>
          <mc:Fallback>
            <w:pict>
              <v:shape id="文本框 836" o:spid="_x0000_s1026" o:spt="202" type="#_x0000_t202" style="position:absolute;left:0pt;margin-left:-9pt;margin-top:3.7pt;height:62.3pt;width:64.8pt;z-index:251774976;mso-width-relative:page;mso-height-relative:page;" filled="f" stroked="f" coordsize="21600,21600" o:gfxdata="UEsDBAoAAAAAAIdO4kAAAAAAAAAAAAAAAAAEAAAAZHJzL1BLAwQUAAAACACHTuJA4QlvU9cAAAAJ&#10;AQAADwAAAGRycy9kb3ducmV2LnhtbE2PzW7CMBCE75V4B2sr9Qa2KaU0zYYDVa+toD9SbyZekqjx&#10;OooNSd++5gS3Wc1q5pt8PbpWnKgPjWcEPVMgiEtvG64QPj9epysQIRq2pvVMCH8UYF1MbnKTWT/w&#10;lk67WIkUwiEzCHWMXSZlKGtyJsx8R5y8g++diensK2l7M6Rw18q5UkvpTMOpoTYdbWoqf3dHh/D1&#10;dvj5Xqj36sU9dIMflWT3JBHvbrV6BhFpjJdnOOMndCgS094f2QbRIkz1Km2JCI8LEGdf6yWIfRL3&#10;cwWyyOX1guIfUEsDBBQAAAAIAIdO4kB0qae0HwIAACYEAAAOAAAAZHJzL2Uyb0RvYy54bWytU82O&#10;0zAQviPxDpbvNE0p3TZqulq2WoS0/EgLD+A6TmOReMzYbVIeAN6AExfuPFefg7GTLWW57IGLZXvG&#10;38z3zeflZdfUbK/QaTA5T0djzpSRUGizzfnHDzfP5pw5L0whajAq5wfl+OXq6ZNlazM1gQrqQiEj&#10;EOOy1ua88t5mSeJkpRrhRmCVoWAJ2AhPR9wmBYqW0Js6mYzHs6QFLCyCVM7R7boP8gERHwMIZaml&#10;WoPcNcr4HhVVLTxRcpW2jq9it2WppH9Xlk55VuecmPq4UhHab8KarJYi26KwlZZDC+IxLTzg1Aht&#10;qOgJai28YDvU/0A1WiI4KP1IQpP0RKIixCIdP9DmrhJWRS4ktbMn0d3/g5Vv9++R6SLns2nKmREN&#10;jfz4/dvxx6/jz69s/nwWJGqtyyjzzlKu715CR8aJdJ29BfnJMQPXlTBbdYUIbaVEQS2m4WVy9rTH&#10;cQFk076BgiqJnYcI1JXYBP1IEUboNJ7DaTyq80zS5XwyWcwoIil0sUgnaRxfIrL7xxadf6WgYWGT&#10;c6TpR3Cxv3U+NCOy+5RQy8CNruvogNr8dUGJ/Y2KFhpeByqh+56H7zbdIM0GigORQujtRZ+LNhXg&#10;F85aslbO3eedQMVZ/dqQMIt0Og1ejIfpi4sJHfA8sjmPCCMJKuees3577Xv/7izqbUWV+lEYuCIx&#10;Sx2Jhlb7roYRkH0i/8HqwZ/n55j153u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hCW9T1wAA&#10;AAkBAAAPAAAAAAAAAAEAIAAAACIAAABkcnMvZG93bnJldi54bWxQSwECFAAUAAAACACHTuJAdKmn&#10;tB8CAAAmBAAADgAAAAAAAAABACAAAAAmAQAAZHJzL2Uyb0RvYy54bWxQSwUGAAAAAAYABgBZAQAA&#10;twUAAAAA&#10;">
                <v:fill on="f" focussize="0,0"/>
                <v:stroke on="f"/>
                <v:imagedata o:title=""/>
                <o:lock v:ext="edit" aspectratio="f"/>
                <v:textbox>
                  <w:txbxContent>
                    <w:p w14:paraId="38E0148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工期顺延持续发生的要求</w:t>
                      </w:r>
                    </w:p>
                  </w:txbxContent>
                </v:textbox>
              </v:shape>
            </w:pict>
          </mc:Fallback>
        </mc:AlternateContent>
      </w:r>
      <w:r>
        <w:rPr>
          <w:rFonts w:hint="eastAsia" w:ascii="仿宋" w:hAnsi="仿宋" w:eastAsia="仿宋" w:cs="仿宋"/>
          <w:color w:val="auto"/>
          <w:sz w:val="24"/>
          <w:szCs w:val="24"/>
          <w:highlight w:val="none"/>
          <w:lang w:eastAsia="zh-CN"/>
        </w:rPr>
        <w:t>如果工期顺延事项持续发生时，承包人应每隔</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天向发包人、设计顾问人或监理人发出工期顺延意向书，并在工期顺延事项终结后的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天内，向发包人、设计顾问人或监理人提交最终工期顺延报告和详细资料。</w:t>
      </w:r>
    </w:p>
    <w:p w14:paraId="2BEB07FC">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43</w:t>
      </w:r>
      <w:r>
        <w:rPr>
          <w:rFonts w:ascii="仿宋" w:hAnsi="仿宋" w:eastAsia="仿宋" w:cs="仿宋"/>
          <w:b/>
          <w:bCs/>
          <w:color w:val="auto"/>
          <w:highlight w:val="none"/>
          <w:lang w:eastAsia="zh-CN"/>
        </w:rPr>
        <w:t>.6</w:t>
      </w:r>
    </w:p>
    <w:p w14:paraId="37B738F1">
      <w:pPr>
        <w:pStyle w:val="2"/>
        <w:adjustRightInd w:val="0"/>
        <w:snapToGrid w:val="0"/>
        <w:spacing w:line="360" w:lineRule="auto"/>
        <w:ind w:left="1850" w:leftChars="771"/>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76000" behindDoc="0" locked="0" layoutInCell="1" allowOverlap="1">
                <wp:simplePos x="0" y="0"/>
                <wp:positionH relativeFrom="column">
                  <wp:posOffset>-114300</wp:posOffset>
                </wp:positionH>
                <wp:positionV relativeFrom="paragraph">
                  <wp:posOffset>45720</wp:posOffset>
                </wp:positionV>
                <wp:extent cx="861695" cy="552450"/>
                <wp:effectExtent l="0" t="0" r="0" b="0"/>
                <wp:wrapNone/>
                <wp:docPr id="642" name="文本框 837"/>
                <wp:cNvGraphicFramePr/>
                <a:graphic xmlns:a="http://schemas.openxmlformats.org/drawingml/2006/main">
                  <a:graphicData uri="http://schemas.microsoft.com/office/word/2010/wordprocessingShape">
                    <wps:wsp>
                      <wps:cNvSpPr txBox="1">
                        <a:spLocks noChangeArrowheads="1"/>
                      </wps:cNvSpPr>
                      <wps:spPr bwMode="auto">
                        <a:xfrm>
                          <a:off x="0" y="0"/>
                          <a:ext cx="861695" cy="552450"/>
                        </a:xfrm>
                        <a:prstGeom prst="rect">
                          <a:avLst/>
                        </a:prstGeom>
                        <a:noFill/>
                        <a:ln>
                          <a:noFill/>
                        </a:ln>
                        <a:effectLst/>
                      </wps:spPr>
                      <wps:txbx>
                        <w:txbxContent>
                          <w:p w14:paraId="76F6E85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拒绝延期</w:t>
                            </w:r>
                          </w:p>
                        </w:txbxContent>
                      </wps:txbx>
                      <wps:bodyPr rot="0" vert="horz" wrap="square" lIns="91440" tIns="45720" rIns="91440" bIns="45720" anchor="t" anchorCtr="0" upright="1">
                        <a:noAutofit/>
                      </wps:bodyPr>
                    </wps:wsp>
                  </a:graphicData>
                </a:graphic>
              </wp:anchor>
            </w:drawing>
          </mc:Choice>
          <mc:Fallback>
            <w:pict>
              <v:shape id="文本框 837" o:spid="_x0000_s1026" o:spt="202" type="#_x0000_t202" style="position:absolute;left:0pt;margin-left:-9pt;margin-top:3.6pt;height:43.5pt;width:67.85pt;z-index:251776000;mso-width-relative:page;mso-height-relative:page;" filled="f" stroked="f" coordsize="21600,21600" o:gfxdata="UEsDBAoAAAAAAIdO4kAAAAAAAAAAAAAAAAAEAAAAZHJzL1BLAwQUAAAACACHTuJAM2lpUtYAAAAI&#10;AQAADwAAAGRycy9kb3ducmV2LnhtbE2PwU7DMBBE70j9B2srcWvtRIW0IZseWnEF0QISNzfeJhHx&#10;OordJvw97gmOoxnNvCm2k+3ElQbfOkZIlgoEceVMyzXC+/F5sQbhg2ajO8eE8EMetuXsrtC5cSO/&#10;0fUQahFL2OcaoQmhz6X0VUNW+6XriaN3doPVIcqhlmbQYyy3nUyVepRWtxwXGt3TrqHq+3CxCB8v&#10;56/PlXqt9/ahH92kJNuNRLyfJ+oJRKAp/IXhhh/RoYxMJ3dh40WHsEjW8UtAyFIQNz/JMhAnhM0q&#10;BVkW8v+B8hdQSwMEFAAAAAgAh07iQBvN54IgAgAAJgQAAA4AAABkcnMvZTJvRG9jLnhtbK1TwW4T&#10;MRC9I/EPlu9kk5Ck6SqbqjQqQioUqfABjtebtdj1mLGT3fAB9A84ceHe78p3MPZuQyiXHrhYtmf8&#10;Zt6b58VFW1dsp9BpMBkfDYacKSMh12aT8c+frl/NOXNemFxUYFTG98rxi+XLF4vGpmoMJVS5QkYg&#10;xqWNzXjpvU2TxMlS1cINwCpDwQKwFp6OuElyFA2h11UyHg5nSQOYWwSpnKPbVRfkPSI+BxCKQku1&#10;ArmtlfEdKqpKeKLkSm0dX8Zui0JJf1sUTnlWZZyY+rhSEdqvw5osFyLdoLClln0L4jktPOFUC22o&#10;6BFqJbxgW9T/QNVaIjgo/EBCnXREoiLEYjR8os1dKayKXEhqZ4+iu/8HKz/sPiLTecZnkzFnRtQ0&#10;8sOP+8PPh8Ov72z++ixI1FiXUuadpVzfvoGWjBPpOnsD8otjBq5KYTbqEhGaUomcWhyFl8nJ0w7H&#10;BZB18x5yqiS2HiJQW2Ad9CNFGKHTePbH8ajWM0mX89lodj7lTFJoOh1PpnF8iUgfH1t0/q2CmoVN&#10;xpGmH8HF7sb50IxIH1NCLQPXuqqiAyrz1wUldjcqWqh/HaiE7jsevl23vTRryPdECqGzF30u2pSA&#10;3zhryFoZd1+3AhVn1TtDwpyPJpPgxXiYTM/GdMDTyPo0IowkqIx7zrrtle/8u7WoNyVV6kZh4JLE&#10;LHQkGlrtuupHQPaJ/HurB3+enmPWn++9/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zaWlS1gAA&#10;AAgBAAAPAAAAAAAAAAEAIAAAACIAAABkcnMvZG93bnJldi54bWxQSwECFAAUAAAACACHTuJAG83n&#10;giACAAAmBAAADgAAAAAAAAABACAAAAAlAQAAZHJzL2Uyb0RvYy54bWxQSwUGAAAAAAYABgBZAQAA&#10;twUAAAAA&#10;">
                <v:fill on="f" focussize="0,0"/>
                <v:stroke on="f"/>
                <v:imagedata o:title=""/>
                <o:lock v:ext="edit" aspectratio="f"/>
                <v:textbox>
                  <w:txbxContent>
                    <w:p w14:paraId="76F6E85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拒绝延期</w:t>
                      </w:r>
                    </w:p>
                  </w:txbxContent>
                </v:textbox>
              </v:shape>
            </w:pict>
          </mc:Fallback>
        </mc:AlternateContent>
      </w:r>
      <w:r>
        <w:rPr>
          <w:rFonts w:hint="eastAsia" w:ascii="仿宋" w:hAnsi="仿宋" w:eastAsia="仿宋" w:cs="仿宋"/>
          <w:color w:val="auto"/>
          <w:sz w:val="24"/>
          <w:szCs w:val="24"/>
          <w:highlight w:val="none"/>
          <w:lang w:eastAsia="zh-CN"/>
        </w:rPr>
        <w:t>如果承包人未能在第43</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款和第43</w:t>
      </w:r>
      <w:r>
        <w:rPr>
          <w:rFonts w:ascii="仿宋" w:hAnsi="仿宋" w:eastAsia="仿宋" w:cs="仿宋"/>
          <w:color w:val="auto"/>
          <w:sz w:val="24"/>
          <w:szCs w:val="24"/>
          <w:highlight w:val="none"/>
          <w:lang w:eastAsia="zh-CN"/>
        </w:rPr>
        <w:t>.5</w:t>
      </w:r>
      <w:r>
        <w:rPr>
          <w:rFonts w:hint="eastAsia" w:ascii="仿宋" w:hAnsi="仿宋" w:eastAsia="仿宋" w:cs="仿宋"/>
          <w:color w:val="auto"/>
          <w:sz w:val="24"/>
          <w:szCs w:val="24"/>
          <w:highlight w:val="none"/>
          <w:lang w:eastAsia="zh-CN"/>
        </w:rPr>
        <w:t>款（发生时）约定的时间内提交（最终）工期顺延报告和详细资料，则视为该事项不影响工作进度、施工进度或承包人放弃顺延工期的权利。</w:t>
      </w:r>
    </w:p>
    <w:p w14:paraId="1CB6AA15">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43</w:t>
      </w:r>
      <w:r>
        <w:rPr>
          <w:rFonts w:ascii="仿宋" w:hAnsi="仿宋" w:eastAsia="仿宋" w:cs="仿宋"/>
          <w:b/>
          <w:bCs/>
          <w:color w:val="auto"/>
          <w:highlight w:val="none"/>
          <w:lang w:eastAsia="zh-CN"/>
        </w:rPr>
        <w:t>.7</w:t>
      </w:r>
    </w:p>
    <w:p w14:paraId="203FDCA7">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77024" behindDoc="0" locked="0" layoutInCell="1" allowOverlap="1">
                <wp:simplePos x="0" y="0"/>
                <wp:positionH relativeFrom="column">
                  <wp:posOffset>-114300</wp:posOffset>
                </wp:positionH>
                <wp:positionV relativeFrom="paragraph">
                  <wp:posOffset>45720</wp:posOffset>
                </wp:positionV>
                <wp:extent cx="870585" cy="695325"/>
                <wp:effectExtent l="0" t="0" r="0" b="0"/>
                <wp:wrapNone/>
                <wp:docPr id="643" name="文本框 838"/>
                <wp:cNvGraphicFramePr/>
                <a:graphic xmlns:a="http://schemas.openxmlformats.org/drawingml/2006/main">
                  <a:graphicData uri="http://schemas.microsoft.com/office/word/2010/wordprocessingShape">
                    <wps:wsp>
                      <wps:cNvSpPr txBox="1">
                        <a:spLocks noChangeArrowheads="1"/>
                      </wps:cNvSpPr>
                      <wps:spPr bwMode="auto">
                        <a:xfrm>
                          <a:off x="0" y="0"/>
                          <a:ext cx="870585" cy="695325"/>
                        </a:xfrm>
                        <a:prstGeom prst="rect">
                          <a:avLst/>
                        </a:prstGeom>
                        <a:noFill/>
                        <a:ln>
                          <a:noFill/>
                        </a:ln>
                        <a:effectLst/>
                      </wps:spPr>
                      <wps:txbx>
                        <w:txbxContent>
                          <w:p w14:paraId="21EB810C">
                            <w:pPr>
                              <w:spacing w:line="240" w:lineRule="exact"/>
                              <w:rPr>
                                <w:rFonts w:ascii="宋体"/>
                                <w:sz w:val="18"/>
                                <w:szCs w:val="18"/>
                              </w:rPr>
                            </w:pPr>
                            <w:r>
                              <w:rPr>
                                <w:rFonts w:hint="eastAsia" w:ascii="楷体_GB2312" w:hAnsi="宋体" w:eastAsia="楷体_GB2312" w:cs="楷体_GB2312"/>
                                <w:b/>
                                <w:bCs/>
                                <w:color w:val="000000"/>
                                <w:sz w:val="18"/>
                                <w:szCs w:val="18"/>
                              </w:rPr>
                              <w:t>工期顺延的核实与确定</w:t>
                            </w:r>
                          </w:p>
                        </w:txbxContent>
                      </wps:txbx>
                      <wps:bodyPr rot="0" vert="horz" wrap="square" lIns="91440" tIns="45720" rIns="91440" bIns="45720" anchor="t" anchorCtr="0" upright="1">
                        <a:noAutofit/>
                      </wps:bodyPr>
                    </wps:wsp>
                  </a:graphicData>
                </a:graphic>
              </wp:anchor>
            </w:drawing>
          </mc:Choice>
          <mc:Fallback>
            <w:pict>
              <v:shape id="文本框 838" o:spid="_x0000_s1026" o:spt="202" type="#_x0000_t202" style="position:absolute;left:0pt;margin-left:-9pt;margin-top:3.6pt;height:54.75pt;width:68.55pt;z-index:251777024;mso-width-relative:page;mso-height-relative:page;" filled="f" stroked="f" coordsize="21600,21600" o:gfxdata="UEsDBAoAAAAAAIdO4kAAAAAAAAAAAAAAAAAEAAAAZHJzL1BLAwQUAAAACACHTuJAvyBvrdYAAAAJ&#10;AQAADwAAAGRycy9kb3ducmV2LnhtbE2PzU7DMBCE70i8g7VI3FrbFfQnzaYHEFcQLSBxc+NtEjVe&#10;R7HbhLfHOcFtVrOa+Sbfja4VV+pD4xlBzxUI4tLbhiuEj8PLbA0iRMPWtJ4J4YcC7Irbm9xk1g/8&#10;Ttd9rEQK4ZAZhDrGLpMylDU5E+a+I07eyffOxHT2lbS9GVK4a+VCqaV0puHUUJuOnmoqz/uLQ/h8&#10;PX1/Pai36tk9doMflWS3kYj3d1ptQUQa498zTPgJHYrEdPQXtkG0CDO9TlsiwmoBYvL1RoM4TmK5&#10;Alnk8v+C4hdQSwMEFAAAAAgAh07iQFYjpw8fAgAAJgQAAA4AAABkcnMvZTJvRG9jLnhtbK1TS27b&#10;MBDdF+gdCO5r+R9HsBykMVIUSD9A2gPQFGURlTjskLbkHqC9QVfddN9z+RwdUorrppssuiFIzvDN&#10;vDePy6u2rtheodNgMj4aDDlTRkKuzTbjHz/cvlhw5rwwuajAqIwflONXq+fPlo1N1RhKqHKFjECM&#10;Sxub8dJ7myaJk6WqhRuAVYaCBWAtPB1xm+QoGkKvq2Q8HM6TBjC3CFI5R7frLsh7RHwKIBSFlmoN&#10;clcr4ztUVJXwRMmV2jq+it0WhZL+XVE45VmVcWLq40pFaL8Ja7JainSLwpZa9i2Ip7TwiFMttKGi&#10;J6i18ILtUP8DVWuJ4KDwAwl10hGJihCL0fCRNvelsCpyIamdPYnu/h+sfLt/j0znGZ9PJ5wZUdPI&#10;j9+/HX/8Ov78yhaTRZCosS6lzHtLub59CS0ZJ9J19g7kJ8cM3JTCbNU1IjSlEjm1OAovk7OnHY4L&#10;IJvmDeRUSew8RKC2wDroR4owQqfxHE7jUa1nki4XF8PZYsaZpND8cjYZz2IFkT48tuj8KwU1C5uM&#10;I00/gov9nfOhGZE+pIRaBm51VUUHVOavC0rsblS0UP86UAnddzx8u2l7aTaQH4gUQmcv+ly0KQG/&#10;cNaQtTLuPu8EKs6q14aEuRxNp8GL8TCdXYzpgOeRzXlEGElQGfecddsb3/l3Z1FvS6rUjcLANYlZ&#10;6Eg0tNp11Y+A7BP591YP/jw/x6w/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8gb63WAAAA&#10;CQEAAA8AAAAAAAAAAQAgAAAAIgAAAGRycy9kb3ducmV2LnhtbFBLAQIUABQAAAAIAIdO4kBWI6cP&#10;HwIAACYEAAAOAAAAAAAAAAEAIAAAACUBAABkcnMvZTJvRG9jLnhtbFBLBQYAAAAABgAGAFkBAAC2&#10;BQAAAAA=&#10;">
                <v:fill on="f" focussize="0,0"/>
                <v:stroke on="f"/>
                <v:imagedata o:title=""/>
                <o:lock v:ext="edit" aspectratio="f"/>
                <v:textbox>
                  <w:txbxContent>
                    <w:p w14:paraId="21EB810C">
                      <w:pPr>
                        <w:spacing w:line="240" w:lineRule="exact"/>
                        <w:rPr>
                          <w:rFonts w:ascii="宋体"/>
                          <w:sz w:val="18"/>
                          <w:szCs w:val="18"/>
                        </w:rPr>
                      </w:pPr>
                      <w:r>
                        <w:rPr>
                          <w:rFonts w:hint="eastAsia" w:ascii="楷体_GB2312" w:hAnsi="宋体" w:eastAsia="楷体_GB2312" w:cs="楷体_GB2312"/>
                          <w:b/>
                          <w:bCs/>
                          <w:color w:val="000000"/>
                          <w:sz w:val="18"/>
                          <w:szCs w:val="18"/>
                        </w:rPr>
                        <w:t>工期顺延的核实与确定</w:t>
                      </w:r>
                    </w:p>
                  </w:txbxContent>
                </v:textbox>
              </v:shape>
            </w:pict>
          </mc:Fallback>
        </mc:AlternateContent>
      </w:r>
      <w:r>
        <w:rPr>
          <w:rFonts w:hint="eastAsia" w:ascii="仿宋" w:hAnsi="仿宋" w:eastAsia="仿宋" w:cs="仿宋"/>
          <w:color w:val="auto"/>
          <w:sz w:val="24"/>
          <w:szCs w:val="24"/>
          <w:highlight w:val="none"/>
          <w:lang w:eastAsia="zh-CN"/>
        </w:rPr>
        <w:t>发包人、设计顾问人或监理人应在收到承包人按照第43</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款和第43</w:t>
      </w:r>
      <w:r>
        <w:rPr>
          <w:rFonts w:ascii="仿宋" w:hAnsi="仿宋" w:eastAsia="仿宋" w:cs="仿宋"/>
          <w:color w:val="auto"/>
          <w:sz w:val="24"/>
          <w:szCs w:val="24"/>
          <w:highlight w:val="none"/>
          <w:lang w:eastAsia="zh-CN"/>
        </w:rPr>
        <w:t>.5</w:t>
      </w:r>
      <w:r>
        <w:rPr>
          <w:rFonts w:hint="eastAsia" w:ascii="仿宋" w:hAnsi="仿宋" w:eastAsia="仿宋" w:cs="仿宋"/>
          <w:color w:val="auto"/>
          <w:sz w:val="24"/>
          <w:szCs w:val="24"/>
          <w:highlight w:val="none"/>
          <w:lang w:eastAsia="zh-CN"/>
        </w:rPr>
        <w:t>款（发生时）约定提交（最终）工期顺延报告和详细资料后的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天内，按照第43</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款约定予以核实，或要求承包人进一步补充顺延工期的理由。合同双方当事人一旦协商确定顺延的工期，发包人应承担由此增加的费用，并向承包人支付合理利润。</w:t>
      </w:r>
    </w:p>
    <w:p w14:paraId="11804812">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如果发包人、设计顾问人或监理人在收到上述报告和资料后的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天内未予核实也未对承包人作出进一步要求，则视为发包人、设计顾问人或监理人已认可承包人上述报告中提出的顺延工期天数。</w:t>
      </w:r>
    </w:p>
    <w:p w14:paraId="6AA6B443">
      <w:pPr>
        <w:spacing w:line="360" w:lineRule="auto"/>
        <w:rPr>
          <w:rFonts w:hint="eastAsia" w:ascii="仿宋" w:hAnsi="仿宋" w:eastAsia="仿宋" w:cs="仿宋"/>
          <w:b/>
          <w:bCs/>
          <w:color w:val="auto"/>
          <w:highlight w:val="none"/>
          <w:u w:val="dotted"/>
          <w:lang w:eastAsia="zh-CN"/>
        </w:rPr>
      </w:pPr>
      <w:r>
        <w:rPr>
          <w:color w:val="auto"/>
          <w:highlight w:val="none"/>
          <w:lang w:eastAsia="zh-CN" w:bidi="ar-SA"/>
        </w:rPr>
        <mc:AlternateContent>
          <mc:Choice Requires="wps">
            <w:drawing>
              <wp:anchor distT="0" distB="0" distL="114300" distR="114300" simplePos="0" relativeHeight="251778048" behindDoc="0" locked="0" layoutInCell="1" allowOverlap="1">
                <wp:simplePos x="0" y="0"/>
                <wp:positionH relativeFrom="column">
                  <wp:posOffset>-142875</wp:posOffset>
                </wp:positionH>
                <wp:positionV relativeFrom="paragraph">
                  <wp:posOffset>236855</wp:posOffset>
                </wp:positionV>
                <wp:extent cx="785495" cy="525780"/>
                <wp:effectExtent l="0" t="0" r="0" b="0"/>
                <wp:wrapNone/>
                <wp:docPr id="644" name="文本框 839"/>
                <wp:cNvGraphicFramePr/>
                <a:graphic xmlns:a="http://schemas.openxmlformats.org/drawingml/2006/main">
                  <a:graphicData uri="http://schemas.microsoft.com/office/word/2010/wordprocessingShape">
                    <wps:wsp>
                      <wps:cNvSpPr txBox="1">
                        <a:spLocks noChangeArrowheads="1"/>
                      </wps:cNvSpPr>
                      <wps:spPr bwMode="auto">
                        <a:xfrm>
                          <a:off x="0" y="0"/>
                          <a:ext cx="785495" cy="525780"/>
                        </a:xfrm>
                        <a:prstGeom prst="rect">
                          <a:avLst/>
                        </a:prstGeom>
                        <a:noFill/>
                        <a:ln>
                          <a:noFill/>
                        </a:ln>
                        <a:effectLst/>
                      </wps:spPr>
                      <wps:txbx>
                        <w:txbxContent>
                          <w:p w14:paraId="46A631B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承包人误期的赔偿、责任承担</w:t>
                            </w:r>
                          </w:p>
                        </w:txbxContent>
                      </wps:txbx>
                      <wps:bodyPr rot="0" vert="horz" wrap="square" lIns="91440" tIns="45720" rIns="91440" bIns="45720" anchor="t" anchorCtr="0" upright="1">
                        <a:noAutofit/>
                      </wps:bodyPr>
                    </wps:wsp>
                  </a:graphicData>
                </a:graphic>
              </wp:anchor>
            </w:drawing>
          </mc:Choice>
          <mc:Fallback>
            <w:pict>
              <v:shape id="文本框 839" o:spid="_x0000_s1026" o:spt="202" type="#_x0000_t202" style="position:absolute;left:0pt;margin-left:-11.25pt;margin-top:18.65pt;height:41.4pt;width:61.85pt;z-index:251778048;mso-width-relative:page;mso-height-relative:page;" filled="f" stroked="f" coordsize="21600,21600" o:gfxdata="UEsDBAoAAAAAAIdO4kAAAAAAAAAAAAAAAAAEAAAAZHJzL1BLAwQUAAAACACHTuJAkLhObtgAAAAK&#10;AQAADwAAAGRycy9kb3ducmV2LnhtbE2Py07DMBBF95X4B2uQ2LV2XMojzaQLEFtQy0Ni58bTJGo8&#10;jmK3CX+Pu4LdjObozrnFZnKdONMQWs8I2UKBIK68bblG+Hh/mT+ACNGwNZ1nQvihAJvyalaY3PqR&#10;t3TexVqkEA65QWhi7HMpQ9WQM2Hhe+J0O/jBmZjWoZZ2MGMKd53USt1JZ1pOHxrT01ND1XF3cgif&#10;r4fvr1v1Vj+7VT/6SUl2jxLx5jpTaxCRpvgHw0U/qUOZnPb+xDaIDmGu9SqhCMv7JYgLoDINYp8G&#10;rTKQZSH/Vyh/AVBLAwQUAAAACACHTuJAX+Nt2iACAAAmBAAADgAAAGRycy9lMm9Eb2MueG1srVPN&#10;jtMwEL4j8Q6W7zRtabdt1HS1bLUIafmRFh7AdZzGIvGYsdukPAD7Bpy4cOe5+hyMnWwpy2UPXCzb&#10;M/5mvm8+Ly/bumJ7hU6DyfhoMORMGQm5NtuMf/p482LOmfPC5KICozJ+UI5frp4/WzY2VWMoocoV&#10;MgIxLm1sxkvvbZokTpaqFm4AVhkKFoC18HTEbZKjaAi9rpLxcHiRNIC5RZDKObpdd0HeI+JTAKEo&#10;tFRrkLtaGd+hoqqEJ0qu1NbxVey2KJT074vCKc+qjBNTH1cqQvtNWJPVUqRbFLbUsm9BPKWFR5xq&#10;oQ0VPUGthRdsh/ofqFpLBAeFH0iok45IVIRYjIaPtLkrhVWRC0nt7El09/9g5bv9B2Q6z/jFZMKZ&#10;ETWN/Pj9/vjj1/HnNzZ/uQgSNdallHlnKde3r6Al40S6zt6C/OyYgetSmK26QoSmVCKnFkfhZXL2&#10;tMNxAWTTvIWcKomdhwjUFlgH/UgRRug0nsNpPKr1TNLlbD6dLKacSQpNx9PZPI4vEenDY4vOv1ZQ&#10;s7DJONL0I7jY3zofmhHpQ0qoZeBGV1V0QGX+uqDE7kZFC/WvA5XQfcfDt5u2l2YD+YFIIXT2os9F&#10;mxLwK2cNWSvj7stOoOKsemNImMVoMglejIfJdDamA55HNucRYSRBZdxz1m2vfeffnUW9LalSNwoD&#10;VyRmoSPR0GrXVT8Csk/k31s9+PP8HLP+fO/V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C4Tm7Y&#10;AAAACgEAAA8AAAAAAAAAAQAgAAAAIgAAAGRycy9kb3ducmV2LnhtbFBLAQIUABQAAAAIAIdO4kBf&#10;423aIAIAACYEAAAOAAAAAAAAAAEAIAAAACcBAABkcnMvZTJvRG9jLnhtbFBLBQYAAAAABgAGAFkB&#10;AAC5BQAAAAA=&#10;">
                <v:fill on="f" focussize="0,0"/>
                <v:stroke on="f"/>
                <v:imagedata o:title=""/>
                <o:lock v:ext="edit" aspectratio="f"/>
                <v:textbox>
                  <w:txbxContent>
                    <w:p w14:paraId="46A631B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承包人误期的赔偿、责任承担</w:t>
                      </w:r>
                    </w:p>
                  </w:txbxContent>
                </v:textbox>
              </v:shape>
            </w:pict>
          </mc:Fallback>
        </mc:AlternateContent>
      </w:r>
      <w:r>
        <w:rPr>
          <w:rFonts w:hint="eastAsia" w:ascii="仿宋" w:hAnsi="仿宋" w:eastAsia="仿宋" w:cs="仿宋"/>
          <w:b/>
          <w:bCs/>
          <w:color w:val="auto"/>
          <w:highlight w:val="none"/>
          <w:lang w:eastAsia="zh-CN"/>
        </w:rPr>
        <w:t>43</w:t>
      </w:r>
      <w:r>
        <w:rPr>
          <w:rFonts w:ascii="仿宋" w:hAnsi="仿宋" w:eastAsia="仿宋" w:cs="仿宋"/>
          <w:b/>
          <w:bCs/>
          <w:color w:val="auto"/>
          <w:highlight w:val="none"/>
          <w:lang w:eastAsia="zh-CN"/>
        </w:rPr>
        <w:t>.8</w:t>
      </w:r>
    </w:p>
    <w:p w14:paraId="485201F8">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承包人未能按照合同进度计划完成工程，或因承包人的原因造成工期延误，发包人可按照本条约定的时限和第76</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款约定要求承包人支付误期赔偿费。</w:t>
      </w:r>
    </w:p>
    <w:p w14:paraId="391591A5">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43</w:t>
      </w:r>
      <w:r>
        <w:rPr>
          <w:rFonts w:ascii="仿宋" w:hAnsi="仿宋" w:eastAsia="仿宋" w:cs="仿宋"/>
          <w:b/>
          <w:bCs/>
          <w:color w:val="auto"/>
          <w:highlight w:val="none"/>
          <w:lang w:eastAsia="zh-CN"/>
        </w:rPr>
        <w:t>.9</w:t>
      </w:r>
    </w:p>
    <w:p w14:paraId="67307C1A">
      <w:pPr>
        <w:pStyle w:val="2"/>
        <w:adjustRightInd w:val="0"/>
        <w:snapToGrid w:val="0"/>
        <w:spacing w:line="360" w:lineRule="auto"/>
        <w:ind w:left="1850" w:leftChars="771"/>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承包人按发包人批准的项目进度计划实施合同工程时，发包人认为有必要加快勘察、设计、采购、施工、竣工试验等工作的进度，应书面向承包人提出赶工要求。发包人不得提出不合理的施工工期（原则上压缩工期不得超过计划工期的20%）要求。承包人收到发包人书面赶工要求后，应向发包人提交合理的赶工方案及赶工措施费预算书，经发包人审核同意后实施。产生的赶工措施费，按第69.3款的约定执行。</w:t>
      </w:r>
      <w:r>
        <w:rPr>
          <w:rFonts w:ascii="仿宋" w:hAnsi="仿宋" w:eastAsia="仿宋" w:cs="仿宋"/>
          <w:color w:val="auto"/>
          <w:sz w:val="24"/>
          <w:szCs w:val="24"/>
          <w:highlight w:val="none"/>
          <w:lang w:eastAsia="zh-CN"/>
        </w:rPr>
        <mc:AlternateContent>
          <mc:Choice Requires="wps">
            <w:drawing>
              <wp:anchor distT="0" distB="0" distL="114300" distR="114300" simplePos="0" relativeHeight="251785216" behindDoc="0" locked="0" layoutInCell="1" allowOverlap="1">
                <wp:simplePos x="0" y="0"/>
                <wp:positionH relativeFrom="column">
                  <wp:posOffset>-64770</wp:posOffset>
                </wp:positionH>
                <wp:positionV relativeFrom="paragraph">
                  <wp:posOffset>21590</wp:posOffset>
                </wp:positionV>
                <wp:extent cx="904875" cy="571500"/>
                <wp:effectExtent l="0" t="0" r="0" b="0"/>
                <wp:wrapNone/>
                <wp:docPr id="645" name="文本框 849"/>
                <wp:cNvGraphicFramePr/>
                <a:graphic xmlns:a="http://schemas.openxmlformats.org/drawingml/2006/main">
                  <a:graphicData uri="http://schemas.microsoft.com/office/word/2010/wordprocessingShape">
                    <wps:wsp>
                      <wps:cNvSpPr txBox="1">
                        <a:spLocks noChangeArrowheads="1"/>
                      </wps:cNvSpPr>
                      <wps:spPr bwMode="auto">
                        <a:xfrm>
                          <a:off x="0" y="0"/>
                          <a:ext cx="904875" cy="571500"/>
                        </a:xfrm>
                        <a:prstGeom prst="rect">
                          <a:avLst/>
                        </a:prstGeom>
                        <a:noFill/>
                        <a:ln>
                          <a:noFill/>
                        </a:ln>
                        <a:effectLst/>
                      </wps:spPr>
                      <wps:txbx>
                        <w:txbxContent>
                          <w:p w14:paraId="5C29F1B2">
                            <w:pPr>
                              <w:spacing w:line="240" w:lineRule="exact"/>
                              <w:rPr>
                                <w:rFonts w:hint="eastAsia" w:ascii="楷体_GB2312" w:hAnsi="宋体" w:eastAsia="楷体_GB2312" w:cs="楷体_GB2312"/>
                                <w:b/>
                                <w:bCs/>
                                <w:sz w:val="18"/>
                                <w:szCs w:val="18"/>
                              </w:rPr>
                            </w:pPr>
                            <w:r>
                              <w:rPr>
                                <w:rFonts w:hint="eastAsia" w:ascii="楷体_GB2312" w:hAnsi="宋体" w:eastAsia="楷体_GB2312" w:cs="楷体_GB2312"/>
                                <w:b/>
                                <w:bCs/>
                                <w:sz w:val="18"/>
                                <w:szCs w:val="18"/>
                              </w:rPr>
                              <w:t>赶工措施费</w:t>
                            </w:r>
                          </w:p>
                        </w:txbxContent>
                      </wps:txbx>
                      <wps:bodyPr rot="0" vert="horz" wrap="square" lIns="91440" tIns="45720" rIns="91440" bIns="45720" anchor="t" anchorCtr="0" upright="1">
                        <a:noAutofit/>
                      </wps:bodyPr>
                    </wps:wsp>
                  </a:graphicData>
                </a:graphic>
              </wp:anchor>
            </w:drawing>
          </mc:Choice>
          <mc:Fallback>
            <w:pict>
              <v:shape id="文本框 849" o:spid="_x0000_s1026" o:spt="202" type="#_x0000_t202" style="position:absolute;left:0pt;margin-left:-5.1pt;margin-top:1.7pt;height:45pt;width:71.25pt;z-index:251785216;mso-width-relative:page;mso-height-relative:page;" filled="f" stroked="f" coordsize="21600,21600" o:gfxdata="UEsDBAoAAAAAAIdO4kAAAAAAAAAAAAAAAAAEAAAAZHJzL1BLAwQUAAAACACHTuJAM51ZLdYAAAAI&#10;AQAADwAAAGRycy9kb3ducmV2LnhtbE2PzW7CMBCE75X6DtZW4gZ2ElqVkA2HVr2CSn8kbiZekqjx&#10;OooNCW9fc2qPszOa+bbYTLYTFxp86xghWSgQxJUzLdcInx9v82cQPmg2unNMCFfysCnv7wqdGzfy&#10;O132oRaxhH2uEZoQ+lxKXzVktV+4njh6JzdYHaIcamkGPcZy28lUqSdpdctxodE9vTRU/ezPFuFr&#10;ezp8L9WufrWP/egmJdmuJOLsIVFrEIGm8BeGG35EhzIyHd2ZjRcdwjxRaYwiZEsQNz9LMxBHhFU8&#10;yLKQ/x8ofwFQSwMEFAAAAAgAh07iQGoIp9cfAgAAJgQAAA4AAABkcnMvZTJvRG9jLnhtbK1TzY7T&#10;MBC+I/EOlu80bZVut1HT1bLVIqTlR1p4ANdxGovEY8Zuk/IA8AacuHDnufocjJ1sKctlD1ws2zP+&#10;Zr5vPi+vuqZme4VOg8n5ZDTmTBkJhTbbnH/8cPvikjPnhSlEDUbl/KAcv1o9f7ZsbaamUEFdKGQE&#10;YlzW2pxX3tssSZysVCPcCKwyFCwBG+HpiNukQNESelMn0/H4ImkBC4sglXN0u+6DfEDEpwBCWWqp&#10;1iB3jTK+R0VVC0+UXKWt46vYbVkq6d+VpVOe1Tknpj6uVIT2m7Amq6XItihspeXQgnhKC484NUIb&#10;KnqCWgsv2A71P1CNlggOSj+S0CQ9kagIsZiMH2lzXwmrIheS2tmT6O7/wcq3+/fIdJHzi3TGmREN&#10;jfz4/dvxx6/jz6/sMl0EiVrrMsq8t5Tru5fQkXEiXWfvQH5yzMBNJcxWXSNCWylRUIuT8DI5e9rj&#10;uACyad9AQZXEzkME6kpsgn6kCCN0Gs/hNB7VeSbpcjFOL+fUpKTQbD6ZjeP4EpE9PLbo/CsFDQub&#10;nCNNP4KL/Z3zoRmRPaSEWgZudV1HB9TmrwtK7G9UtNDwOlAJ3fc8fLfpBmk2UByIFEJvL/pctKkA&#10;v3DWkrVy7j7vBCrO6teGhFlM0jR4MR7S2XxKBzyPbM4jwkiCyrnnrN/e+N6/O4t6W1GlfhQGrknM&#10;UkeiodW+q2EEZJ/If7B68Of5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OdWS3WAAAA&#10;CAEAAA8AAAAAAAAAAQAgAAAAIgAAAGRycy9kb3ducmV2LnhtbFBLAQIUABQAAAAIAIdO4kBqCKfX&#10;HwIAACYEAAAOAAAAAAAAAAEAIAAAACUBAABkcnMvZTJvRG9jLnhtbFBLBQYAAAAABgAGAFkBAAC2&#10;BQAAAAA=&#10;">
                <v:fill on="f" focussize="0,0"/>
                <v:stroke on="f"/>
                <v:imagedata o:title=""/>
                <o:lock v:ext="edit" aspectratio="f"/>
                <v:textbox>
                  <w:txbxContent>
                    <w:p w14:paraId="5C29F1B2">
                      <w:pPr>
                        <w:spacing w:line="240" w:lineRule="exact"/>
                        <w:rPr>
                          <w:rFonts w:hint="eastAsia" w:ascii="楷体_GB2312" w:hAnsi="宋体" w:eastAsia="楷体_GB2312" w:cs="楷体_GB2312"/>
                          <w:b/>
                          <w:bCs/>
                          <w:sz w:val="18"/>
                          <w:szCs w:val="18"/>
                        </w:rPr>
                      </w:pPr>
                      <w:r>
                        <w:rPr>
                          <w:rFonts w:hint="eastAsia" w:ascii="楷体_GB2312" w:hAnsi="宋体" w:eastAsia="楷体_GB2312" w:cs="楷体_GB2312"/>
                          <w:b/>
                          <w:bCs/>
                          <w:sz w:val="18"/>
                          <w:szCs w:val="18"/>
                        </w:rPr>
                        <w:t>赶工措施费</w:t>
                      </w:r>
                    </w:p>
                  </w:txbxContent>
                </v:textbox>
              </v:shape>
            </w:pict>
          </mc:Fallback>
        </mc:AlternateContent>
      </w:r>
    </w:p>
    <w:p w14:paraId="08290BC0">
      <w:pPr>
        <w:pStyle w:val="2"/>
        <w:adjustRightInd w:val="0"/>
        <w:snapToGrid w:val="0"/>
        <w:spacing w:line="360" w:lineRule="auto"/>
        <w:ind w:left="1850" w:leftChars="771"/>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由于承包人责任导致关键路径的工程实际进度比发包人批准的项目进度计划延误，发包人有权要求承包人采取赶工措施赶上项目进度计划，由此产生的赶工措施费由承包人自行承担。</w:t>
      </w:r>
    </w:p>
    <w:p w14:paraId="45E8C92E">
      <w:pPr>
        <w:pStyle w:val="2"/>
        <w:adjustRightInd w:val="0"/>
        <w:snapToGrid w:val="0"/>
        <w:spacing w:line="360" w:lineRule="auto"/>
        <w:ind w:left="1850" w:leftChars="771"/>
        <w:rPr>
          <w:rFonts w:hint="eastAsia" w:ascii="仿宋" w:hAnsi="仿宋" w:eastAsia="仿宋" w:cs="仿宋"/>
          <w:color w:val="auto"/>
          <w:sz w:val="24"/>
          <w:szCs w:val="24"/>
          <w:highlight w:val="none"/>
          <w:lang w:eastAsia="zh-CN"/>
        </w:rPr>
      </w:pPr>
    </w:p>
    <w:p w14:paraId="274F4C50">
      <w:pPr>
        <w:pStyle w:val="2"/>
        <w:tabs>
          <w:tab w:val="left" w:pos="540"/>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68E84397">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41" w:name="_Toc26909"/>
      <w:r>
        <w:rPr>
          <w:rFonts w:hint="eastAsia" w:ascii="仿宋" w:hAnsi="仿宋" w:eastAsia="仿宋" w:cs="仿宋"/>
          <w:bCs w:val="0"/>
          <w:color w:val="auto"/>
          <w:sz w:val="24"/>
          <w:szCs w:val="24"/>
          <w:highlight w:val="none"/>
          <w:lang w:eastAsia="zh-CN"/>
        </w:rPr>
        <w:t>44加快进度</w:t>
      </w:r>
      <w:bookmarkEnd w:id="341"/>
    </w:p>
    <w:p w14:paraId="19D1E5A4">
      <w:pPr>
        <w:pStyle w:val="2"/>
        <w:tabs>
          <w:tab w:val="left" w:pos="1320"/>
        </w:tabs>
        <w:adjustRightInd w:val="0"/>
        <w:snapToGrid w:val="0"/>
        <w:spacing w:line="360" w:lineRule="auto"/>
        <w:ind w:left="1800" w:hanging="1800" w:hangingChars="900"/>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19712" behindDoc="0" locked="0" layoutInCell="1" allowOverlap="1">
                <wp:simplePos x="0" y="0"/>
                <wp:positionH relativeFrom="column">
                  <wp:posOffset>-114300</wp:posOffset>
                </wp:positionH>
                <wp:positionV relativeFrom="paragraph">
                  <wp:posOffset>284480</wp:posOffset>
                </wp:positionV>
                <wp:extent cx="794385" cy="662940"/>
                <wp:effectExtent l="0" t="0" r="0" b="0"/>
                <wp:wrapNone/>
                <wp:docPr id="646" name="文本框 840"/>
                <wp:cNvGraphicFramePr/>
                <a:graphic xmlns:a="http://schemas.openxmlformats.org/drawingml/2006/main">
                  <a:graphicData uri="http://schemas.microsoft.com/office/word/2010/wordprocessingShape">
                    <wps:wsp>
                      <wps:cNvSpPr txBox="1">
                        <a:spLocks noChangeArrowheads="1"/>
                      </wps:cNvSpPr>
                      <wps:spPr bwMode="auto">
                        <a:xfrm>
                          <a:off x="0" y="0"/>
                          <a:ext cx="794385" cy="662940"/>
                        </a:xfrm>
                        <a:prstGeom prst="rect">
                          <a:avLst/>
                        </a:prstGeom>
                        <a:noFill/>
                        <a:ln>
                          <a:noFill/>
                        </a:ln>
                        <a:effectLst/>
                      </wps:spPr>
                      <wps:txbx>
                        <w:txbxContent>
                          <w:p w14:paraId="4911CEBE">
                            <w:pPr>
                              <w:rPr>
                                <w:rFonts w:ascii="宋体"/>
                                <w:sz w:val="18"/>
                                <w:szCs w:val="18"/>
                                <w:lang w:eastAsia="zh-CN"/>
                              </w:rPr>
                            </w:pPr>
                            <w:r>
                              <w:rPr>
                                <w:rFonts w:hint="eastAsia" w:ascii="楷体_GB2312" w:hAnsi="宋体" w:eastAsia="楷体_GB2312" w:cs="楷体_GB2312"/>
                                <w:b/>
                                <w:bCs/>
                                <w:color w:val="000000"/>
                                <w:sz w:val="18"/>
                                <w:szCs w:val="18"/>
                                <w:lang w:eastAsia="zh-CN"/>
                              </w:rPr>
                              <w:t>承包人原因加快进度的要求</w:t>
                            </w:r>
                          </w:p>
                        </w:txbxContent>
                      </wps:txbx>
                      <wps:bodyPr rot="0" vert="horz" wrap="square" lIns="91440" tIns="45720" rIns="91440" bIns="45720" anchor="t" anchorCtr="0" upright="1">
                        <a:noAutofit/>
                      </wps:bodyPr>
                    </wps:wsp>
                  </a:graphicData>
                </a:graphic>
              </wp:anchor>
            </w:drawing>
          </mc:Choice>
          <mc:Fallback>
            <w:pict>
              <v:shape id="文本框 840" o:spid="_x0000_s1026" o:spt="202" type="#_x0000_t202" style="position:absolute;left:0pt;margin-left:-9pt;margin-top:22.4pt;height:52.2pt;width:62.55pt;z-index:252019712;mso-width-relative:page;mso-height-relative:page;" filled="f" stroked="f" coordsize="21600,21600" o:gfxdata="UEsDBAoAAAAAAIdO4kAAAAAAAAAAAAAAAAAEAAAAZHJzL1BLAwQUAAAACACHTuJA/t4s5dcAAAAK&#10;AQAADwAAAGRycy9kb3ducmV2LnhtbE2PTU/DMAyG70j8h8hI3LakU4GtNN0BxBXE+JC4eY3XVjRO&#10;1WRr+fd4J7jZ8qvXz1NuZ9+rE42xC2whWxpQxHVwHTcW3t+eFmtQMSE77AOThR+KsK0uL0osXJj4&#10;lU671Cgp4VighTalodA61i15jMswEMvtEEaPSdax0W7EScp9r1fG3GqPHcuHFgd6aKn+3h29hY/n&#10;w9dnbl6aR38zTGE2mv1GW3t9lZl7UInm9BeGM76gQyVM+3BkF1VvYZGtxSVZyHNROAfMXQZqL0O+&#10;WYGuSv1fofoFUEsDBBQAAAAIAIdO4kCJfmgZHgIAACYEAAAOAAAAZHJzL2Uyb0RvYy54bWytU82O&#10;0zAQviPxDpbvNG3pdtuo6WrZahHS8iMtPIDrOI1F7DFjt0l5AHgDTly481x9DiZO2i3LZQ9cIntm&#10;/M33fTNZXDWmYjuFXoPN+Ggw5ExZCbm2m4x/+nj7YsaZD8LmogKrMr5Xnl8tnz9b1C5VYyihyhUy&#10;ArE+rV3GyxBcmiRelsoIPwCnLCULQCMCXXGT5ChqQjdVMh4Op0kNmDsEqbyn6KpL8h4RnwIIRaGl&#10;WoHcGmVDh4qqEoEk+VI7z5eRbVEoGd4XhVeBVRknpSF+qQmd1+03WS5EukHhSi17CuIpFB5pMkJb&#10;anqCWokg2Bb1P1BGSwQPRRhIMEknJDpCKkbDR97cl8KpqIWs9u5kuv9/sPLd7gMynWd8OplyZoWh&#10;kR9+fD/8/H349Y3NJtGi2vmUKu8d1YbmFTS0OFGud3cgP3tm4aYUdqOuEaEulciJ4qg1Nzl72g7F&#10;p74FWddvIadOYhsgAjUFmtY/coQROo1nfxqPagKTFLycT17OLjiTlJpOx/OOWyLS42OHPrxWYFh7&#10;yDjS9CO42N350JIR6bGk7WXhVldV3IDK/hWgwi6i4gr1r4/sOx2hWTf0tg2uId+TKIRuvejnokMJ&#10;+JWzmlYr4/7LVqDirHpjyZj5aELUWYiXycXlmC54nlmfZ4SVBJXxwFl3vAnd/m4d6k1JnbpRWLgm&#10;MwsdhT6w6kdA6xP196ve7uf5PVY9/N7L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7eLOXXAAAA&#10;CgEAAA8AAAAAAAAAAQAgAAAAIgAAAGRycy9kb3ducmV2LnhtbFBLAQIUABQAAAAIAIdO4kCJfmgZ&#10;HgIAACYEAAAOAAAAAAAAAAEAIAAAACYBAABkcnMvZTJvRG9jLnhtbFBLBQYAAAAABgAGAFkBAAC2&#10;BQAAAAA=&#10;">
                <v:fill on="f" focussize="0,0"/>
                <v:stroke on="f"/>
                <v:imagedata o:title=""/>
                <o:lock v:ext="edit" aspectratio="f"/>
                <v:textbox>
                  <w:txbxContent>
                    <w:p w14:paraId="4911CEBE">
                      <w:pPr>
                        <w:rPr>
                          <w:rFonts w:ascii="宋体"/>
                          <w:sz w:val="18"/>
                          <w:szCs w:val="18"/>
                          <w:lang w:eastAsia="zh-CN"/>
                        </w:rPr>
                      </w:pPr>
                      <w:r>
                        <w:rPr>
                          <w:rFonts w:hint="eastAsia" w:ascii="楷体_GB2312" w:hAnsi="宋体" w:eastAsia="楷体_GB2312" w:cs="楷体_GB2312"/>
                          <w:b/>
                          <w:bCs/>
                          <w:color w:val="000000"/>
                          <w:sz w:val="18"/>
                          <w:szCs w:val="18"/>
                          <w:lang w:eastAsia="zh-CN"/>
                        </w:rPr>
                        <w:t>承包人原因加快进度的要求</w:t>
                      </w:r>
                    </w:p>
                  </w:txbxContent>
                </v:textbox>
              </v:shape>
            </w:pict>
          </mc:Fallback>
        </mc:AlternateContent>
      </w:r>
      <w:r>
        <w:rPr>
          <w:rFonts w:hint="eastAsia" w:ascii="仿宋" w:hAnsi="仿宋" w:eastAsia="仿宋" w:cs="仿宋"/>
          <w:b/>
          <w:bCs/>
          <w:color w:val="auto"/>
          <w:sz w:val="24"/>
          <w:szCs w:val="24"/>
          <w:highlight w:val="none"/>
          <w:lang w:eastAsia="zh-CN"/>
        </w:rPr>
        <w:t>44</w:t>
      </w:r>
      <w:r>
        <w:rPr>
          <w:rFonts w:ascii="仿宋" w:hAnsi="仿宋" w:eastAsia="仿宋" w:cs="仿宋"/>
          <w:b/>
          <w:bCs/>
          <w:color w:val="auto"/>
          <w:sz w:val="24"/>
          <w:szCs w:val="24"/>
          <w:highlight w:val="none"/>
          <w:lang w:eastAsia="zh-CN"/>
        </w:rPr>
        <w:t>.1</w:t>
      </w:r>
      <w:r>
        <w:rPr>
          <w:rFonts w:hint="eastAsia" w:ascii="仿宋" w:hAnsi="仿宋" w:eastAsia="仿宋" w:cs="仿宋"/>
          <w:b/>
          <w:bCs/>
          <w:color w:val="auto"/>
          <w:sz w:val="24"/>
          <w:szCs w:val="24"/>
          <w:highlight w:val="none"/>
          <w:lang w:val="en-US" w:eastAsia="zh-CN"/>
        </w:rPr>
        <w:t xml:space="preserve">           </w:t>
      </w:r>
      <w:r>
        <w:rPr>
          <w:rFonts w:hint="eastAsia" w:ascii="仿宋" w:hAnsi="仿宋" w:eastAsia="仿宋" w:cs="仿宋"/>
          <w:color w:val="auto"/>
          <w:sz w:val="24"/>
          <w:szCs w:val="24"/>
          <w:highlight w:val="none"/>
          <w:lang w:eastAsia="zh-CN"/>
        </w:rPr>
        <w:t>如果设计顾问人或监理人发现承包人未按发包人批准的项目进度计划实施合同工程或其任何部分的工作进度迟于进度计划，预计无法按期竣工，应向承包人提出加快进度的书面要求。承包人收到加快进度的书面要求后，应按照第 40</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款约定采取改进措施，加快工程进度。</w:t>
      </w:r>
    </w:p>
    <w:p w14:paraId="7A6F2D2A">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如果承包人在收到设计顾问人或监理人书面要求后的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天内，未能采取加快进度的措施；或虽然采取了改进措施，但实际进度仍然迟于进度计划，预计无法按期竣工，设计顾问人或监理人应立即向发包人提交书面报告，并抄送承包人。发包人可按照第93</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款约定解除合同，也可将合同工程中的部分关键工作交由第三方完成，由此增加的费用由承包人承担。即使承包人承担了增加的费用，也不能免除合同约定应由其承担的责任和义务。</w:t>
      </w:r>
    </w:p>
    <w:p w14:paraId="39C91AD2">
      <w:pPr>
        <w:pStyle w:val="2"/>
        <w:tabs>
          <w:tab w:val="left" w:pos="1320"/>
        </w:tabs>
        <w:adjustRightInd w:val="0"/>
        <w:snapToGrid w:val="0"/>
        <w:spacing w:line="360" w:lineRule="auto"/>
        <w:rPr>
          <w:rFonts w:hint="eastAsia" w:ascii="仿宋" w:hAnsi="仿宋" w:eastAsia="仿宋" w:cs="仿宋"/>
          <w:b/>
          <w:bCs/>
          <w:color w:val="auto"/>
          <w:sz w:val="24"/>
          <w:szCs w:val="24"/>
          <w:highlight w:val="none"/>
          <w:u w:val="dotted"/>
          <w:lang w:eastAsia="zh-CN"/>
        </w:rPr>
      </w:pPr>
      <w:r>
        <w:rPr>
          <w:color w:val="auto"/>
          <w:highlight w:val="none"/>
          <w:lang w:eastAsia="zh-CN"/>
        </w:rPr>
        <mc:AlternateContent>
          <mc:Choice Requires="wps">
            <w:drawing>
              <wp:anchor distT="0" distB="0" distL="114300" distR="114300" simplePos="0" relativeHeight="252020736" behindDoc="0" locked="0" layoutInCell="1" allowOverlap="1">
                <wp:simplePos x="0" y="0"/>
                <wp:positionH relativeFrom="column">
                  <wp:posOffset>-114300</wp:posOffset>
                </wp:positionH>
                <wp:positionV relativeFrom="paragraph">
                  <wp:posOffset>278130</wp:posOffset>
                </wp:positionV>
                <wp:extent cx="832485" cy="579755"/>
                <wp:effectExtent l="0" t="0" r="0" b="0"/>
                <wp:wrapNone/>
                <wp:docPr id="647" name="文本框 841"/>
                <wp:cNvGraphicFramePr/>
                <a:graphic xmlns:a="http://schemas.openxmlformats.org/drawingml/2006/main">
                  <a:graphicData uri="http://schemas.microsoft.com/office/word/2010/wordprocessingShape">
                    <wps:wsp>
                      <wps:cNvSpPr txBox="1">
                        <a:spLocks noChangeArrowheads="1"/>
                      </wps:cNvSpPr>
                      <wps:spPr bwMode="auto">
                        <a:xfrm>
                          <a:off x="0" y="0"/>
                          <a:ext cx="832485" cy="579755"/>
                        </a:xfrm>
                        <a:prstGeom prst="rect">
                          <a:avLst/>
                        </a:prstGeom>
                        <a:noFill/>
                        <a:ln>
                          <a:noFill/>
                        </a:ln>
                        <a:effectLst/>
                      </wps:spPr>
                      <wps:txbx>
                        <w:txbxContent>
                          <w:p w14:paraId="491A7BFF">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发包人原因加快进度的要求</w:t>
                            </w:r>
                          </w:p>
                        </w:txbxContent>
                      </wps:txbx>
                      <wps:bodyPr rot="0" vert="horz" wrap="square" lIns="91440" tIns="45720" rIns="91440" bIns="45720" anchor="t" anchorCtr="0" upright="1">
                        <a:noAutofit/>
                      </wps:bodyPr>
                    </wps:wsp>
                  </a:graphicData>
                </a:graphic>
              </wp:anchor>
            </w:drawing>
          </mc:Choice>
          <mc:Fallback>
            <w:pict>
              <v:shape id="文本框 841" o:spid="_x0000_s1026" o:spt="202" type="#_x0000_t202" style="position:absolute;left:0pt;margin-left:-9pt;margin-top:21.9pt;height:45.65pt;width:65.55pt;z-index:252020736;mso-width-relative:page;mso-height-relative:page;" filled="f" stroked="f" coordsize="21600,21600" o:gfxdata="UEsDBAoAAAAAAIdO4kAAAAAAAAAAAAAAAAAEAAAAZHJzL1BLAwQUAAAACACHTuJAEZ/9gdcAAAAK&#10;AQAADwAAAGRycy9kb3ducmV2LnhtbE2PwU7DMAyG70h7h8hI3LYkdJtGabrDEFcQgyFxyxqvrWic&#10;qsnW8vZ4J7jZ8q/f31dsJ9+JCw6xDWRALxQIpCq4lmoDH+/P8w2ImCw52wVCAz8YYVvObgqbuzDS&#10;G172qRZcQjG3BpqU+lzKWDXobVyEHolvpzB4m3gdaukGO3K57+S9UmvpbUv8obE97hqsvvdnb+Dw&#10;cvr6XKrX+smv+jFMSpJ/kMbc3Wr1CCLhlP7CcMVndCiZ6RjO5KLoDMz1hl2SgWXGCteAzjSIIw/Z&#10;SoMsC/lfofwFUEsDBBQAAAAIAIdO4kBcKZGtIAIAACYEAAAOAAAAZHJzL2Uyb0RvYy54bWytU0tu&#10;2zAQ3RfoHQjua9muHTuC5SCNkaJA+gHSHoCmKIuoxGGHtKX0AM0Nuuqm+57L5+iQdFw33WTRjcDh&#10;DN/Me/O0uOjbhu0UOg2m4KPBkDNlJJTabAr+6eP1izlnzgtTigaMKvidcvxi+fzZorO5GkMNTamQ&#10;EYhxeWcLXntv8yxzslatcAOwylCyAmyFpxA3WYmiI/S2ycbD4VnWAZYWQSrn6HaVkvyAiE8BhKrS&#10;Uq1AbltlfEJF1QhPlFytrePLOG1VKenfV5VTnjUFJ6Y+fqkJndfhmy0XIt+gsLWWhxHEU0Z4xKkV&#10;2lDTI9RKeMG2qP+BarVEcFD5gYQ2S0SiIsRiNHykzW0trIpcSGpnj6K7/wcr3+0+INNlwc8mM86M&#10;aGnl++/3+x+/9j+/sflkFCTqrMup8tZSre9fQU/GiXSdvQH52TEDV7UwG3WJCF2tREkjxpfZydOE&#10;4wLIunsLJXUSWw8RqK+wDfqRIozQaT13x/Wo3jNJl/OX48l8ypmk1HR2PptOw2yZyB8eW3T+tYKW&#10;hUPBkbYfwcXuxvlU+lASehm41k0THdCYvy4IM92oaKHD60AlTJ94+H7dH6RZQ3lHpBCSvejnokMN&#10;+JWzjqxVcPdlK1Bx1rwxJMz5aDIJXozBZDobU4CnmfVpRhhJUAX3nKXjlU/+3VrUm5o6pVUYuCQx&#10;Kx2JhlHTVCRQCMg+UaqD1YM/T+NY9ef3Xv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EZ/9gdcA&#10;AAAKAQAADwAAAAAAAAABACAAAAAiAAAAZHJzL2Rvd25yZXYueG1sUEsBAhQAFAAAAAgAh07iQFwp&#10;ka0gAgAAJgQAAA4AAAAAAAAAAQAgAAAAJgEAAGRycy9lMm9Eb2MueG1sUEsFBgAAAAAGAAYAWQEA&#10;ALgFAAAAAA==&#10;">
                <v:fill on="f" focussize="0,0"/>
                <v:stroke on="f"/>
                <v:imagedata o:title=""/>
                <o:lock v:ext="edit" aspectratio="f"/>
                <v:textbox>
                  <w:txbxContent>
                    <w:p w14:paraId="491A7BFF">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发包人原因加快进度的要求</w:t>
                      </w:r>
                    </w:p>
                  </w:txbxContent>
                </v:textbox>
              </v:shape>
            </w:pict>
          </mc:Fallback>
        </mc:AlternateContent>
      </w:r>
      <w:r>
        <w:rPr>
          <w:rFonts w:hint="eastAsia" w:ascii="仿宋" w:hAnsi="仿宋" w:eastAsia="仿宋" w:cs="仿宋"/>
          <w:b/>
          <w:bCs/>
          <w:color w:val="auto"/>
          <w:sz w:val="24"/>
          <w:szCs w:val="24"/>
          <w:highlight w:val="none"/>
          <w:lang w:eastAsia="zh-CN"/>
        </w:rPr>
        <w:t>44</w:t>
      </w:r>
      <w:r>
        <w:rPr>
          <w:rFonts w:ascii="仿宋" w:hAnsi="仿宋" w:eastAsia="仿宋" w:cs="仿宋"/>
          <w:b/>
          <w:bCs/>
          <w:color w:val="auto"/>
          <w:sz w:val="24"/>
          <w:szCs w:val="24"/>
          <w:highlight w:val="none"/>
          <w:lang w:eastAsia="zh-CN"/>
        </w:rPr>
        <w:t xml:space="preserve">.2  </w:t>
      </w:r>
    </w:p>
    <w:p w14:paraId="56A3555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如果发包人希望承包人提前竣工，那么发包人可要求承包人提交为加快进度而编制的提前竣工建议书。承包人应在接到发包人要求后的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天内完成编制并向发包人提交提前竣工建议书，该建议书的内容至少应包括：</w:t>
      </w:r>
    </w:p>
    <w:p w14:paraId="28340800">
      <w:pPr>
        <w:pStyle w:val="2"/>
        <w:widowControl w:val="0"/>
        <w:numPr>
          <w:ilvl w:val="0"/>
          <w:numId w:val="15"/>
        </w:numPr>
        <w:tabs>
          <w:tab w:val="left" w:pos="198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加快进度拟采取的措施；</w:t>
      </w:r>
    </w:p>
    <w:p w14:paraId="2B5F53CA">
      <w:pPr>
        <w:pStyle w:val="2"/>
        <w:widowControl w:val="0"/>
        <w:numPr>
          <w:ilvl w:val="0"/>
          <w:numId w:val="15"/>
        </w:numPr>
        <w:tabs>
          <w:tab w:val="left" w:pos="198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加快进度后的进度计划</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以及与原计划的对比；</w:t>
      </w:r>
    </w:p>
    <w:p w14:paraId="4FA5C2F7">
      <w:pPr>
        <w:pStyle w:val="2"/>
        <w:widowControl w:val="0"/>
        <w:numPr>
          <w:ilvl w:val="0"/>
          <w:numId w:val="15"/>
        </w:numPr>
        <w:tabs>
          <w:tab w:val="left" w:pos="198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加快进度所需的合同价格增加额（含第76</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款约定的提前竣工奖）。该增加额按照第79</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款、第79</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款、第79</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4款规、第79</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5款约定计算。</w:t>
      </w:r>
    </w:p>
    <w:p w14:paraId="6629AB82">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发包人应在接到建议书后的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天内予以答复。如果发包人接受了该建议书，则监理人应以书面形式发出变更指令，相应调整工期；造价咨询人应核实并相应调整合同价格。</w:t>
      </w:r>
    </w:p>
    <w:p w14:paraId="7DD8E94F">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567EF857">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42" w:name="_Toc12285"/>
      <w:r>
        <w:rPr>
          <w:rFonts w:hint="eastAsia" w:ascii="仿宋" w:hAnsi="仿宋" w:eastAsia="仿宋" w:cs="仿宋"/>
          <w:bCs w:val="0"/>
          <w:color w:val="auto"/>
          <w:sz w:val="24"/>
          <w:szCs w:val="24"/>
          <w:highlight w:val="none"/>
          <w:lang w:eastAsia="zh-CN"/>
        </w:rPr>
        <w:t>45竣工日期</w:t>
      </w:r>
      <w:bookmarkEnd w:id="342"/>
    </w:p>
    <w:p w14:paraId="7496841B">
      <w:pPr>
        <w:pStyle w:val="2"/>
        <w:adjustRightInd w:val="0"/>
        <w:snapToGrid w:val="0"/>
        <w:spacing w:line="36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21760" behindDoc="0" locked="0" layoutInCell="1" allowOverlap="1">
                <wp:simplePos x="0" y="0"/>
                <wp:positionH relativeFrom="column">
                  <wp:posOffset>-114300</wp:posOffset>
                </wp:positionH>
                <wp:positionV relativeFrom="paragraph">
                  <wp:posOffset>202565</wp:posOffset>
                </wp:positionV>
                <wp:extent cx="853440" cy="373380"/>
                <wp:effectExtent l="0" t="0" r="0" b="0"/>
                <wp:wrapNone/>
                <wp:docPr id="648" name="文本框 842"/>
                <wp:cNvGraphicFramePr/>
                <a:graphic xmlns:a="http://schemas.openxmlformats.org/drawingml/2006/main">
                  <a:graphicData uri="http://schemas.microsoft.com/office/word/2010/wordprocessingShape">
                    <wps:wsp>
                      <wps:cNvSpPr txBox="1">
                        <a:spLocks noChangeArrowheads="1"/>
                      </wps:cNvSpPr>
                      <wps:spPr bwMode="auto">
                        <a:xfrm>
                          <a:off x="0" y="0"/>
                          <a:ext cx="853440" cy="373380"/>
                        </a:xfrm>
                        <a:prstGeom prst="rect">
                          <a:avLst/>
                        </a:prstGeom>
                        <a:noFill/>
                        <a:ln>
                          <a:noFill/>
                        </a:ln>
                        <a:effectLst/>
                      </wps:spPr>
                      <wps:txbx>
                        <w:txbxContent>
                          <w:p w14:paraId="3ACF868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约定计划竣工日期</w:t>
                            </w:r>
                          </w:p>
                        </w:txbxContent>
                      </wps:txbx>
                      <wps:bodyPr rot="0" vert="horz" wrap="square" lIns="91440" tIns="45720" rIns="91440" bIns="45720" anchor="t" anchorCtr="0" upright="1">
                        <a:noAutofit/>
                      </wps:bodyPr>
                    </wps:wsp>
                  </a:graphicData>
                </a:graphic>
              </wp:anchor>
            </w:drawing>
          </mc:Choice>
          <mc:Fallback>
            <w:pict>
              <v:shape id="文本框 842" o:spid="_x0000_s1026" o:spt="202" type="#_x0000_t202" style="position:absolute;left:0pt;margin-left:-9pt;margin-top:15.95pt;height:29.4pt;width:67.2pt;z-index:252021760;mso-width-relative:page;mso-height-relative:page;" filled="f" stroked="f" coordsize="21600,21600" o:gfxdata="UEsDBAoAAAAAAIdO4kAAAAAAAAAAAAAAAAAEAAAAZHJzL1BLAwQUAAAACACHTuJABKWX69YAAAAJ&#10;AQAADwAAAGRycy9kb3ducmV2LnhtbE2PwU7DMBBE70j8g7VI3FrbUEoTsukBxBVEgUq9ufE2iYjX&#10;Uew24e9xT/Q4mtHMm2I9uU6caAitZwQ9VyCIK29brhG+Pl9nKxAhGram80wIvxRgXV5fFSa3fuQP&#10;Om1iLVIJh9wgNDH2uZShasiZMPc9cfIOfnAmJjnU0g5mTOWuk3dKLaUzLaeFxvT03FD1szk6hO+3&#10;w267UO/1i3voRz8pyS6TiLc3Wj2BiDTF/zCc8RM6lIlp749sg+gQZnqVvkSEe52BOAf0cgFij5Cp&#10;R5BlIS8flH9QSwMEFAAAAAgAh07iQOkD7ggeAgAAJgQAAA4AAABkcnMvZTJvRG9jLnhtbK1TS27b&#10;MBDdF+gdCO5r+ZfEFSwHaYwUBdIPkPYAFEVZRCUOO6QtuQdobtBVN933XD5Hh5Tiuukmi24IkjN8&#10;M+/N4/Kya2q2U+g0mIxPRmPOlJFQaLPJ+KePNy8WnDkvTCFqMCrje+X45er5s2VrUzWFCupCISMQ&#10;49LWZrzy3qZJ4mSlGuFGYJWhYAnYCE9H3CQFipbQmzqZjsfnSQtYWASpnKPbdR/kAyI+BRDKUku1&#10;BrltlPE9KqpaeKLkKm0dX8Vuy1JJ/74snfKszjgx9XGlIrTPw5qsliLdoLCVlkML4iktPOLUCG2o&#10;6BFqLbxgW9T/QDVaIjgo/UhCk/REoiLEYjJ+pM1dJayKXEhqZ4+iu/8HK9/tPiDTRcbP5zR4Ixoa&#10;+eH7/eHHr8PPb2wxnwaJWutSyryzlOu7V9CRcSJdZ29BfnbMwHUlzEZdIUJbKVFQi5PwMjl52uO4&#10;AJK3b6GgSmLrIQJ1JTZBP1KEETqNZ38cj+o8k3S5OJvN5xSRFJpdzGaLOL5EpA+PLTr/WkHDwibj&#10;SNOP4GJ363xoRqQPKaGWgRtd19EBtfnrghL7GxUtNLwOVEL3PQ/f5d0gTQ7Fnkgh9Paiz0WbCvAr&#10;Zy1ZK+Puy1ag4qx+Y0iYl5NIw8fD/OxiSpzwNJKfRoSRBJVxz1m/vfa9f7cW9aaiSv0oDFyRmKWO&#10;REOrfVfDCMg+kf9g9eDP03PM+vO9V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KWX69YAAAAJ&#10;AQAADwAAAAAAAAABACAAAAAiAAAAZHJzL2Rvd25yZXYueG1sUEsBAhQAFAAAAAgAh07iQOkD7gge&#10;AgAAJgQAAA4AAAAAAAAAAQAgAAAAJQEAAGRycy9lMm9Eb2MueG1sUEsFBgAAAAAGAAYAWQEAALUF&#10;AAAAAA==&#10;">
                <v:fill on="f" focussize="0,0"/>
                <v:stroke on="f"/>
                <v:imagedata o:title=""/>
                <o:lock v:ext="edit" aspectratio="f"/>
                <v:textbox>
                  <w:txbxContent>
                    <w:p w14:paraId="3ACF868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约定计划竣工日期</w:t>
                      </w:r>
                    </w:p>
                  </w:txbxContent>
                </v:textbox>
              </v:shape>
            </w:pict>
          </mc:Fallback>
        </mc:AlternateContent>
      </w:r>
      <w:r>
        <w:rPr>
          <w:rFonts w:hint="eastAsia" w:ascii="仿宋" w:hAnsi="仿宋" w:eastAsia="仿宋" w:cs="仿宋"/>
          <w:b/>
          <w:bCs/>
          <w:color w:val="auto"/>
          <w:sz w:val="24"/>
          <w:szCs w:val="24"/>
          <w:highlight w:val="none"/>
          <w:lang w:eastAsia="zh-CN"/>
        </w:rPr>
        <w:t>45</w:t>
      </w:r>
      <w:r>
        <w:rPr>
          <w:rFonts w:ascii="仿宋" w:hAnsi="仿宋" w:eastAsia="仿宋" w:cs="仿宋"/>
          <w:b/>
          <w:bCs/>
          <w:color w:val="auto"/>
          <w:sz w:val="24"/>
          <w:szCs w:val="24"/>
          <w:highlight w:val="none"/>
          <w:lang w:eastAsia="zh-CN"/>
        </w:rPr>
        <w:t>.1</w:t>
      </w:r>
    </w:p>
    <w:p w14:paraId="458E60F4">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合同双方当事人应在协议书和专用条款中约定合同工程的计划竣工日期。</w:t>
      </w:r>
    </w:p>
    <w:p w14:paraId="765E4957">
      <w:pPr>
        <w:pStyle w:val="2"/>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45</w:t>
      </w:r>
      <w:r>
        <w:rPr>
          <w:rFonts w:ascii="仿宋" w:hAnsi="仿宋" w:eastAsia="仿宋" w:cs="仿宋"/>
          <w:b/>
          <w:bCs/>
          <w:color w:val="auto"/>
          <w:sz w:val="24"/>
          <w:szCs w:val="24"/>
          <w:highlight w:val="none"/>
          <w:lang w:eastAsia="zh-CN"/>
        </w:rPr>
        <w:t xml:space="preserve">.2  </w:t>
      </w:r>
    </w:p>
    <w:p w14:paraId="3721B728">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79072" behindDoc="0" locked="0" layoutInCell="1" allowOverlap="1">
                <wp:simplePos x="0" y="0"/>
                <wp:positionH relativeFrom="column">
                  <wp:posOffset>-114300</wp:posOffset>
                </wp:positionH>
                <wp:positionV relativeFrom="paragraph">
                  <wp:posOffset>5715</wp:posOffset>
                </wp:positionV>
                <wp:extent cx="758190" cy="421005"/>
                <wp:effectExtent l="0" t="0" r="0" b="0"/>
                <wp:wrapNone/>
                <wp:docPr id="649" name="文本框 843"/>
                <wp:cNvGraphicFramePr/>
                <a:graphic xmlns:a="http://schemas.openxmlformats.org/drawingml/2006/main">
                  <a:graphicData uri="http://schemas.microsoft.com/office/word/2010/wordprocessingShape">
                    <wps:wsp>
                      <wps:cNvSpPr txBox="1">
                        <a:spLocks noChangeArrowheads="1"/>
                      </wps:cNvSpPr>
                      <wps:spPr bwMode="auto">
                        <a:xfrm>
                          <a:off x="0" y="0"/>
                          <a:ext cx="758190" cy="421005"/>
                        </a:xfrm>
                        <a:prstGeom prst="rect">
                          <a:avLst/>
                        </a:prstGeom>
                        <a:noFill/>
                        <a:ln>
                          <a:noFill/>
                        </a:ln>
                        <a:effectLst/>
                      </wps:spPr>
                      <wps:txbx>
                        <w:txbxContent>
                          <w:p w14:paraId="665CA2D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实际竣工日期的确定</w:t>
                            </w:r>
                          </w:p>
                        </w:txbxContent>
                      </wps:txbx>
                      <wps:bodyPr rot="0" vert="horz" wrap="square" lIns="91440" tIns="45720" rIns="91440" bIns="45720" anchor="t" anchorCtr="0" upright="1">
                        <a:noAutofit/>
                      </wps:bodyPr>
                    </wps:wsp>
                  </a:graphicData>
                </a:graphic>
              </wp:anchor>
            </w:drawing>
          </mc:Choice>
          <mc:Fallback>
            <w:pict>
              <v:shape id="文本框 843" o:spid="_x0000_s1026" o:spt="202" type="#_x0000_t202" style="position:absolute;left:0pt;margin-left:-9pt;margin-top:0.45pt;height:33.15pt;width:59.7pt;z-index:251779072;mso-width-relative:page;mso-height-relative:page;" filled="f" stroked="f" coordsize="21600,21600" o:gfxdata="UEsDBAoAAAAAAIdO4kAAAAAAAAAAAAAAAAAEAAAAZHJzL1BLAwQUAAAACACHTuJAOwHun9UAAAAH&#10;AQAADwAAAGRycy9kb3ducmV2LnhtbE2PwU7DMBBE70j8g7VI3Fo7VSltyKYHEFcQLSBx28bbJCJe&#10;R7HbhL/HPcFxNKOZN8V2cp068xBaLwjZ3IBiqbxtpUZ43z/P1qBCJLHUeWGEHw6wLa+vCsqtH+WN&#10;z7tYq1QiISeEJsY+1zpUDTsKc9+zJO/oB0cxyaHWdqAxlbtOL4xZaUetpIWGen5suPrenRzCx8vx&#10;63NpXusnd9ePfjJa3EYj3t5k5gFU5Cn+heGCn9ChTEwHfxIbVIcwy9bpS0TYgLrYJluCOiCs7heg&#10;y0L/5y9/AVBLAwQUAAAACACHTuJAWKxcsx8CAAAmBAAADgAAAGRycy9lMm9Eb2MueG1srVNLbtsw&#10;EN0X6B0I7mtJrpzYguUgjZGiQPoB0h6ApiiLqMRhSdpSeoDmBl11033P5XN0SCqum26y6IYgOcM3&#10;8948Li+GriV7YawEVdJsklIiFIdKqm1JP328fjGnxDqmKtaCEiW9E5ZerJ4/W/a6EFNooK2EIQii&#10;bNHrkjbO6SJJLG9Ex+wEtFAYrMF0zOHRbJPKsB7RuzaZpulZ0oOptAEurMXbdQzSEdE8BRDqWnKx&#10;Br7rhHIR1YiWOaRkG6ktXYVu61pw976urXCkLSkydWHFIrjf+DVZLVmxNUw3ko8tsKe08IhTx6TC&#10;okeoNXOM7Iz8B6qT3ICF2k04dEkkEhRBFln6SJvbhmkRuKDUVh9Ft/8Plr/bfzBEViU9yxeUKNbh&#10;yA/f7w8/fh1+fiPz/KWXqNe2wMxbjblueAUDGifQtfoG+GdLFFw1TG3FpTHQN4JV2GLmXyYnTyOO&#10;9SCb/i1UWIntHASgoTad1w8VIYiO47k7jkcMjnC8PJ/NswVGOIbyaZams1CBFQ+PtbHutYCO+E1J&#10;DU4/gLP9jXW+GVY8pPhaCq5l2wYHtOqvC0yMNyJYaHztqfjuIw83bIZRmg1Ud0jKQLQXfi7cNGC+&#10;UtKjtUpqv+yYEZS0bxQKs8jy3HsxHPLZ+RQP5jSyOY0wxRGqpI6SuL1y0b87beS2wUpxFAouUcxa&#10;BqK+1djVOAK0T+A/Wt378/Qcsv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wHun9UAAAAH&#10;AQAADwAAAAAAAAABACAAAAAiAAAAZHJzL2Rvd25yZXYueG1sUEsBAhQAFAAAAAgAh07iQFisXLMf&#10;AgAAJgQAAA4AAAAAAAAAAQAgAAAAJAEAAGRycy9lMm9Eb2MueG1sUEsFBgAAAAAGAAYAWQEAALUF&#10;AAAAAA==&#10;">
                <v:fill on="f" focussize="0,0"/>
                <v:stroke on="f"/>
                <v:imagedata o:title=""/>
                <o:lock v:ext="edit" aspectratio="f"/>
                <v:textbox>
                  <w:txbxContent>
                    <w:p w14:paraId="665CA2D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实际竣工日期的确定</w:t>
                      </w:r>
                    </w:p>
                  </w:txbxContent>
                </v:textbox>
              </v:shape>
            </w:pict>
          </mc:Fallback>
        </mc:AlternateContent>
      </w:r>
      <w:r>
        <w:rPr>
          <w:rFonts w:hint="eastAsia" w:ascii="仿宋" w:hAnsi="仿宋" w:eastAsia="仿宋" w:cs="仿宋"/>
          <w:color w:val="auto"/>
          <w:sz w:val="24"/>
          <w:szCs w:val="24"/>
          <w:highlight w:val="none"/>
          <w:lang w:eastAsia="zh-CN"/>
        </w:rPr>
        <w:t>除发生不可抗力事项致使发包人不能按时竣工验收外，实际竣工日期按照下列情况分别确定：</w:t>
      </w:r>
    </w:p>
    <w:p w14:paraId="0B3E6CB4">
      <w:pPr>
        <w:pStyle w:val="2"/>
        <w:tabs>
          <w:tab w:val="left" w:pos="1980"/>
          <w:tab w:val="left" w:pos="2160"/>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（1）工程经竣工验收合格的，以承包人提交竣工验收申请报告之日为实际竣工日期；</w:t>
      </w:r>
    </w:p>
    <w:p w14:paraId="19078D74">
      <w:pPr>
        <w:pStyle w:val="2"/>
        <w:tabs>
          <w:tab w:val="left" w:pos="1980"/>
          <w:tab w:val="left" w:pos="2160"/>
        </w:tabs>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（2）承包人已按照第64</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款约定提交竣工验收申请报告，但发包人未按照第65</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款约定完成合同工程验收的，以承包人提交竣工验收申请报告之日为实际竣工日期；</w:t>
      </w:r>
    </w:p>
    <w:p w14:paraId="144625FB">
      <w:pPr>
        <w:pStyle w:val="2"/>
        <w:tabs>
          <w:tab w:val="left" w:pos="1980"/>
          <w:tab w:val="left" w:pos="2160"/>
        </w:tabs>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（3）</w:t>
      </w:r>
      <w:r>
        <w:rPr>
          <w:rFonts w:ascii="仿宋" w:hAnsi="仿宋" w:eastAsia="仿宋" w:cs="仿宋"/>
          <w:color w:val="auto"/>
          <w:sz w:val="24"/>
          <w:szCs w:val="24"/>
          <w:highlight w:val="none"/>
          <w:lang w:eastAsia="zh-CN"/>
        </w:rPr>
        <w:t>建设工程未经竣工验收，发包人擅自使用的，以转移占有建设工程之</w:t>
      </w:r>
      <w:r>
        <w:rPr>
          <w:rFonts w:hint="eastAsia" w:ascii="仿宋" w:hAnsi="仿宋" w:eastAsia="仿宋" w:cs="仿宋"/>
          <w:color w:val="auto"/>
          <w:sz w:val="24"/>
          <w:szCs w:val="24"/>
          <w:highlight w:val="none"/>
          <w:lang w:eastAsia="zh-CN"/>
        </w:rPr>
        <w:t>日为竣工日期。</w:t>
      </w:r>
    </w:p>
    <w:p w14:paraId="7E22C452">
      <w:pPr>
        <w:pStyle w:val="2"/>
        <w:tabs>
          <w:tab w:val="left" w:pos="1980"/>
          <w:tab w:val="left" w:pos="2160"/>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p>
    <w:p w14:paraId="7515C5C6">
      <w:pPr>
        <w:pStyle w:val="2"/>
        <w:adjustRightInd w:val="0"/>
        <w:snapToGrid w:val="0"/>
        <w:spacing w:line="360" w:lineRule="auto"/>
        <w:ind w:left="1626" w:leftChars="1" w:hanging="1624" w:hangingChars="674"/>
        <w:rPr>
          <w:rFonts w:hint="eastAsia" w:ascii="仿宋" w:hAnsi="仿宋" w:eastAsia="仿宋" w:cs="仿宋"/>
          <w:b/>
          <w:bCs/>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45</w:t>
      </w:r>
      <w:r>
        <w:rPr>
          <w:rFonts w:ascii="仿宋" w:hAnsi="仿宋" w:eastAsia="仿宋" w:cs="仿宋"/>
          <w:b/>
          <w:bCs/>
          <w:color w:val="auto"/>
          <w:sz w:val="24"/>
          <w:szCs w:val="24"/>
          <w:highlight w:val="none"/>
          <w:lang w:eastAsia="zh-CN"/>
        </w:rPr>
        <w:t xml:space="preserve">.3  </w:t>
      </w:r>
    </w:p>
    <w:p w14:paraId="69A5ADAE">
      <w:pPr>
        <w:pStyle w:val="20"/>
        <w:widowControl w:val="0"/>
        <w:adjustRightInd w:val="0"/>
        <w:snapToGrid w:val="0"/>
        <w:spacing w:line="360" w:lineRule="auto"/>
        <w:ind w:left="1850" w:leftChars="771" w:firstLine="0"/>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80096" behindDoc="0" locked="0" layoutInCell="1" allowOverlap="1">
                <wp:simplePos x="0" y="0"/>
                <wp:positionH relativeFrom="column">
                  <wp:posOffset>-114300</wp:posOffset>
                </wp:positionH>
                <wp:positionV relativeFrom="paragraph">
                  <wp:posOffset>47625</wp:posOffset>
                </wp:positionV>
                <wp:extent cx="823595" cy="553085"/>
                <wp:effectExtent l="0" t="0" r="0" b="0"/>
                <wp:wrapNone/>
                <wp:docPr id="650" name="文本框 844"/>
                <wp:cNvGraphicFramePr/>
                <a:graphic xmlns:a="http://schemas.openxmlformats.org/drawingml/2006/main">
                  <a:graphicData uri="http://schemas.microsoft.com/office/word/2010/wordprocessingShape">
                    <wps:wsp>
                      <wps:cNvSpPr txBox="1">
                        <a:spLocks noChangeArrowheads="1"/>
                      </wps:cNvSpPr>
                      <wps:spPr bwMode="auto">
                        <a:xfrm>
                          <a:off x="0" y="0"/>
                          <a:ext cx="823595" cy="553085"/>
                        </a:xfrm>
                        <a:prstGeom prst="rect">
                          <a:avLst/>
                        </a:prstGeom>
                        <a:noFill/>
                        <a:ln>
                          <a:noFill/>
                        </a:ln>
                        <a:effectLst/>
                      </wps:spPr>
                      <wps:txbx>
                        <w:txbxContent>
                          <w:p w14:paraId="736B437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延迟竣工的责任</w:t>
                            </w:r>
                          </w:p>
                        </w:txbxContent>
                      </wps:txbx>
                      <wps:bodyPr rot="0" vert="horz" wrap="square" lIns="91440" tIns="45720" rIns="91440" bIns="45720" anchor="t" anchorCtr="0" upright="1">
                        <a:noAutofit/>
                      </wps:bodyPr>
                    </wps:wsp>
                  </a:graphicData>
                </a:graphic>
              </wp:anchor>
            </w:drawing>
          </mc:Choice>
          <mc:Fallback>
            <w:pict>
              <v:shape id="文本框 844" o:spid="_x0000_s1026" o:spt="202" type="#_x0000_t202" style="position:absolute;left:0pt;margin-left:-9pt;margin-top:3.75pt;height:43.55pt;width:64.85pt;z-index:251780096;mso-width-relative:page;mso-height-relative:page;" filled="f" stroked="f" coordsize="21600,21600" o:gfxdata="UEsDBAoAAAAAAIdO4kAAAAAAAAAAAAAAAAAEAAAAZHJzL1BLAwQUAAAACACHTuJA9kkN4tUAAAAI&#10;AQAADwAAAGRycy9kb3ducmV2LnhtbE2PzU7DMBCE70h9B2uRuLW2UX9DNj0UcQVRaCVubrxNIuJ1&#10;FLtNeHvcExxHM5r5Jt+OrhVX6kPjGUHPFAji0tuGK4TPj5fpGkSIhq1pPRPCDwXYFpO73GTWD/xO&#10;132sRCrhkBmEOsYukzKUNTkTZr4jTt7Z987EJPtK2t4Mqdy18lGppXSm4bRQm452NZXf+4tDOLye&#10;v45z9VY9u0U3+FFJdhuJ+HCv1ROISGP8C8MNP6FDkZhO/sI2iBZhqtfpS0RYLUDcfK1XIE4Im/kS&#10;ZJHL/weKX1BLAwQUAAAACACHTuJAfx1FOh8CAAAmBAAADgAAAGRycy9lMm9Eb2MueG1srVNLbtsw&#10;EN0X6B0I7mvZjpU6guUgjZGiQPoB0h6ApiiLqMRhh7Ql9wDNDbrqpvuey+fokFJcN91k0Q1BcoZv&#10;5r15XFx2Tc12Cp0Gk/PJaMyZMhIKbTY5//Tx5sWcM+eFKUQNRuV8rxy/XD5/tmhtpqZQQV0oZARi&#10;XNbanFfe2yxJnKxUI9wIrDIULAEb4emIm6RA0RJ6UyfT8fg8aQELiyCVc3S76oN8QMSnAEJZaqlW&#10;ILeNMr5HRVULT5Rcpa3jy9htWSrp35elU57VOSemPq5UhPbrsCbLhcg2KGyl5dCCeEoLjzg1Qhsq&#10;eoRaCS/YFvU/UI2WCA5KP5LQJD2RqAixmIwfaXNXCasiF5La2aPo7v/Byne7D8h0kfPzlDQxoqGR&#10;H77fH378Ovz8xuazWZCotS6jzDtLub57BR0ZJ9J19hbkZ8cMXFfCbNQVIrSVEgW1OAkvk5OnPY4L&#10;IOv2LRRUSWw9RKCuxCboR4owQqdW9sfxqM4zSZfz6Vl6kXImKZSmZ+N5GiuI7OGxRedfK2hY2OQc&#10;afoRXOxunQ/NiOwhJdQycKPrOjqgNn9dUGJ/o6KFhteBSui+5+G7dTdIs4ZiT6QQenvR56JNBfiV&#10;s5aslXP3ZStQcVa/MSTMxWQ2C16Mh1n6ckoHPI2sTyPCSILKuees31773r9bi3pTUaV+FAauSMxS&#10;R6Kh1b6rYQRkn8h/sHrw5+k5Zv353s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9kkN4tUAAAAI&#10;AQAADwAAAAAAAAABACAAAAAiAAAAZHJzL2Rvd25yZXYueG1sUEsBAhQAFAAAAAgAh07iQH8dRTof&#10;AgAAJgQAAA4AAAAAAAAAAQAgAAAAJAEAAGRycy9lMm9Eb2MueG1sUEsFBgAAAAAGAAYAWQEAALUF&#10;AAAAAA==&#10;">
                <v:fill on="f" focussize="0,0"/>
                <v:stroke on="f"/>
                <v:imagedata o:title=""/>
                <o:lock v:ext="edit" aspectratio="f"/>
                <v:textbox>
                  <w:txbxContent>
                    <w:p w14:paraId="736B437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延迟竣工的责任</w:t>
                      </w:r>
                    </w:p>
                  </w:txbxContent>
                </v:textbox>
              </v:shape>
            </w:pict>
          </mc:Fallback>
        </mc:AlternateContent>
      </w:r>
      <w:r>
        <w:rPr>
          <w:rFonts w:hint="eastAsia" w:ascii="仿宋" w:hAnsi="仿宋" w:eastAsia="仿宋" w:cs="仿宋"/>
          <w:color w:val="auto"/>
          <w:highlight w:val="none"/>
          <w:lang w:eastAsia="zh-CN"/>
        </w:rPr>
        <w:t>因发包人的原因导致实际竣工日期迟于计划竣工日期的，发包人应承担由此增加的费用和（或）延误的工期，并向承包人支付合理利润。</w:t>
      </w:r>
    </w:p>
    <w:p w14:paraId="669B9D16">
      <w:pPr>
        <w:spacing w:line="360" w:lineRule="auto"/>
        <w:ind w:left="1850" w:leftChars="771" w:firstLine="60" w:firstLineChars="25"/>
        <w:jc w:val="both"/>
        <w:rPr>
          <w:rFonts w:hint="eastAsia" w:ascii="仿宋" w:hAnsi="仿宋" w:eastAsia="仿宋"/>
          <w:caps/>
          <w:color w:val="auto"/>
          <w:highlight w:val="none"/>
          <w:lang w:eastAsia="zh-CN"/>
        </w:rPr>
      </w:pPr>
      <w:r>
        <w:rPr>
          <w:rFonts w:hint="eastAsia" w:ascii="仿宋" w:hAnsi="仿宋" w:eastAsia="仿宋" w:cs="仿宋"/>
          <w:color w:val="auto"/>
          <w:highlight w:val="none"/>
          <w:lang w:eastAsia="zh-CN"/>
        </w:rPr>
        <w:t>因承包人的原因导致实际竣工日期迟于计划竣工日期的，承包人应按照第</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7条约定</w:t>
      </w:r>
      <w:r>
        <w:rPr>
          <w:rFonts w:hint="eastAsia" w:ascii="仿宋" w:hAnsi="仿宋" w:eastAsia="仿宋" w:cs="仿宋"/>
          <w:caps/>
          <w:color w:val="auto"/>
          <w:highlight w:val="none"/>
          <w:lang w:eastAsia="zh-CN"/>
        </w:rPr>
        <w:t>赔偿发包人由此造成的损失，并向发包人支付误期赔偿费。</w:t>
      </w:r>
    </w:p>
    <w:p w14:paraId="27DC0121">
      <w:pPr>
        <w:spacing w:line="360" w:lineRule="auto"/>
        <w:rPr>
          <w:rFonts w:hint="eastAsia" w:ascii="仿宋" w:hAnsi="仿宋" w:eastAsia="仿宋" w:cs="仿宋"/>
          <w:caps/>
          <w:color w:val="auto"/>
          <w:highlight w:val="none"/>
          <w:u w:val="single"/>
          <w:lang w:eastAsia="zh-CN"/>
        </w:rPr>
      </w:pPr>
    </w:p>
    <w:p w14:paraId="0C71FF7F">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43" w:name="_Toc24069"/>
      <w:r>
        <w:rPr>
          <w:rFonts w:hint="eastAsia" w:ascii="仿宋" w:hAnsi="仿宋" w:eastAsia="仿宋" w:cs="仿宋"/>
          <w:bCs w:val="0"/>
          <w:color w:val="auto"/>
          <w:sz w:val="24"/>
          <w:szCs w:val="24"/>
          <w:highlight w:val="none"/>
          <w:lang w:eastAsia="zh-CN"/>
        </w:rPr>
        <w:t>46提前竣工</w:t>
      </w:r>
      <w:bookmarkEnd w:id="343"/>
    </w:p>
    <w:p w14:paraId="7FA4A0E6">
      <w:pPr>
        <w:pStyle w:val="2"/>
        <w:adjustRightInd w:val="0"/>
        <w:snapToGrid w:val="0"/>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46</w:t>
      </w:r>
      <w:r>
        <w:rPr>
          <w:rFonts w:ascii="仿宋" w:hAnsi="仿宋" w:eastAsia="仿宋" w:cs="仿宋"/>
          <w:b/>
          <w:bCs/>
          <w:color w:val="auto"/>
          <w:sz w:val="24"/>
          <w:szCs w:val="24"/>
          <w:highlight w:val="none"/>
          <w:lang w:eastAsia="zh-CN"/>
        </w:rPr>
        <w:t>.1</w:t>
      </w:r>
    </w:p>
    <w:p w14:paraId="024E832D">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81120" behindDoc="0" locked="0" layoutInCell="1" allowOverlap="1">
                <wp:simplePos x="0" y="0"/>
                <wp:positionH relativeFrom="column">
                  <wp:posOffset>-66675</wp:posOffset>
                </wp:positionH>
                <wp:positionV relativeFrom="paragraph">
                  <wp:posOffset>30480</wp:posOffset>
                </wp:positionV>
                <wp:extent cx="786765" cy="421005"/>
                <wp:effectExtent l="0" t="0" r="0" b="0"/>
                <wp:wrapNone/>
                <wp:docPr id="651" name="文本框 845"/>
                <wp:cNvGraphicFramePr/>
                <a:graphic xmlns:a="http://schemas.openxmlformats.org/drawingml/2006/main">
                  <a:graphicData uri="http://schemas.microsoft.com/office/word/2010/wordprocessingShape">
                    <wps:wsp>
                      <wps:cNvSpPr txBox="1">
                        <a:spLocks noChangeArrowheads="1"/>
                      </wps:cNvSpPr>
                      <wps:spPr bwMode="auto">
                        <a:xfrm>
                          <a:off x="0" y="0"/>
                          <a:ext cx="786765" cy="421005"/>
                        </a:xfrm>
                        <a:prstGeom prst="rect">
                          <a:avLst/>
                        </a:prstGeom>
                        <a:noFill/>
                        <a:ln>
                          <a:noFill/>
                        </a:ln>
                        <a:effectLst/>
                      </wps:spPr>
                      <wps:txbx>
                        <w:txbxContent>
                          <w:p w14:paraId="78166DE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提前竣工的要求</w:t>
                            </w:r>
                          </w:p>
                        </w:txbxContent>
                      </wps:txbx>
                      <wps:bodyPr rot="0" vert="horz" wrap="square" lIns="91440" tIns="45720" rIns="91440" bIns="45720" anchor="t" anchorCtr="0" upright="1">
                        <a:noAutofit/>
                      </wps:bodyPr>
                    </wps:wsp>
                  </a:graphicData>
                </a:graphic>
              </wp:anchor>
            </w:drawing>
          </mc:Choice>
          <mc:Fallback>
            <w:pict>
              <v:shape id="文本框 845" o:spid="_x0000_s1026" o:spt="202" type="#_x0000_t202" style="position:absolute;left:0pt;margin-left:-5.25pt;margin-top:2.4pt;height:33.15pt;width:61.95pt;z-index:251781120;mso-width-relative:page;mso-height-relative:page;" filled="f" stroked="f" coordsize="21600,21600" o:gfxdata="UEsDBAoAAAAAAIdO4kAAAAAAAAAAAAAAAAAEAAAAZHJzL1BLAwQUAAAACACHTuJAoCV1bdYAAAAI&#10;AQAADwAAAGRycy9kb3ducmV2LnhtbE2PS0/DMBCE70j8B2srcWttQ8ojZNMDiCsV5SFxc+NtEjVe&#10;R7HbhH+Pe2qPoxnNfFOsJteJIw2h9YygFwoEceVtyzXC1+fb/BFEiIat6TwTwh8FWJXXV4XJrR/5&#10;g46bWItUwiE3CE2MfS5lqBpyJix8T5y8nR+ciUkOtbSDGVO56+StUvfSmZbTQmN6emmo2m8ODuH7&#10;fff7k6l1/eqW/egnJdk9ScSbmVbPICJN8RyGE35ChzIxbf2BbRAdwlyrZYoiZOnBydd3GYgtwoPW&#10;IMtCXh4o/wFQSwMEFAAAAAgAh07iQE/5+ksfAgAAJgQAAA4AAABkcnMvZTJvRG9jLnhtbK1TS27b&#10;MBDdF+gdCO5rWYY/qWA5SGOkKJB+gLQHoCnKIipx2CFtyT1Ae4Osuum+5/I5OqQU1003WXRDkJzh&#10;m3lvHpeXXVOzvUKnweQ8HY05U0ZCoc02558+3ry44Mx5YQpRg1E5PyjHL1fPny1bm6kJVFAXChmB&#10;GJe1NueV9zZLEicr1Qg3AqsMBUvARng64jYpULSE3tTJZDyeJy1gYRGkco5u132QD4j4FEAoSy3V&#10;GuSuUcb3qKhq4YmSq7R1fBW7LUsl/fuydMqzOufE1MeVitB+E9ZktRTZFoWttBxaEE9p4RGnRmhD&#10;RU9Qa+EF26H+B6rREsFB6UcSmqQnEhUhFun4kTZ3lbAqciGpnT2J7v4frHy3/4BMFzmfz1LOjGho&#10;5Mf778cfv44/v7GL6SxI1FqXUeadpVzfvYKOjBPpOnsL8rNjBq4rYbbqChHaSomCWkzDy+TsaY/j&#10;AsimfQsFVRI7DxGoK7EJ+pEijNBpPIfTeFTnmaTLxcV8MZ9xJik0naTjcewtEdnDY4vOv1bQsLDJ&#10;OdL0I7jY3zofmhHZQ0qoZeBG13V0QG3+uqDE/kZFCw2vA5XQfc/Dd5tukGYDxYFIIfT2os9Fmwrw&#10;K2ctWSvn7stOoOKsfmNImJfpdBq8GA/T2WJCBzyPbM4jwkiCyrnnrN9e+96/O4t6W1GlfhQGrkjM&#10;UkeiodW+q2EEZJ/If7B68Of5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AldW3WAAAA&#10;CAEAAA8AAAAAAAAAAQAgAAAAIgAAAGRycy9kb3ducmV2LnhtbFBLAQIUABQAAAAIAIdO4kBP+fpL&#10;HwIAACYEAAAOAAAAAAAAAAEAIAAAACUBAABkcnMvZTJvRG9jLnhtbFBLBQYAAAAABgAGAFkBAAC2&#10;BQAAAAA=&#10;">
                <v:fill on="f" focussize="0,0"/>
                <v:stroke on="f"/>
                <v:imagedata o:title=""/>
                <o:lock v:ext="edit" aspectratio="f"/>
                <v:textbox>
                  <w:txbxContent>
                    <w:p w14:paraId="78166DE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提前竣工的要求</w:t>
                      </w:r>
                    </w:p>
                  </w:txbxContent>
                </v:textbox>
              </v:shape>
            </w:pict>
          </mc:Fallback>
        </mc:AlternateContent>
      </w:r>
      <w:r>
        <w:rPr>
          <w:rFonts w:hint="eastAsia" w:ascii="仿宋" w:hAnsi="仿宋" w:eastAsia="仿宋" w:cs="仿宋"/>
          <w:color w:val="auto"/>
          <w:sz w:val="24"/>
          <w:szCs w:val="24"/>
          <w:highlight w:val="none"/>
          <w:lang w:eastAsia="zh-CN"/>
        </w:rPr>
        <w:t>发包人要求承包人提前竣工，或承包人按照第44</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款约定提交提前竣工建议书为发包人接受的，监理人应与承包人商定采取加快工程进度的措施，并修订合同工程进度计划。</w:t>
      </w:r>
    </w:p>
    <w:p w14:paraId="7379AC5E">
      <w:pPr>
        <w:pStyle w:val="2"/>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46</w:t>
      </w:r>
      <w:r>
        <w:rPr>
          <w:rFonts w:ascii="仿宋" w:hAnsi="仿宋" w:eastAsia="仿宋" w:cs="仿宋"/>
          <w:b/>
          <w:bCs/>
          <w:color w:val="auto"/>
          <w:sz w:val="24"/>
          <w:szCs w:val="24"/>
          <w:highlight w:val="none"/>
          <w:lang w:eastAsia="zh-CN"/>
        </w:rPr>
        <w:t xml:space="preserve">.2  </w:t>
      </w:r>
    </w:p>
    <w:p w14:paraId="0B9FEDFD">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82144" behindDoc="0" locked="0" layoutInCell="1" allowOverlap="1">
                <wp:simplePos x="0" y="0"/>
                <wp:positionH relativeFrom="column">
                  <wp:posOffset>-114300</wp:posOffset>
                </wp:positionH>
                <wp:positionV relativeFrom="paragraph">
                  <wp:posOffset>5715</wp:posOffset>
                </wp:positionV>
                <wp:extent cx="843915" cy="487680"/>
                <wp:effectExtent l="0" t="0" r="0" b="0"/>
                <wp:wrapNone/>
                <wp:docPr id="652" name="文本框 846"/>
                <wp:cNvGraphicFramePr/>
                <a:graphic xmlns:a="http://schemas.openxmlformats.org/drawingml/2006/main">
                  <a:graphicData uri="http://schemas.microsoft.com/office/word/2010/wordprocessingShape">
                    <wps:wsp>
                      <wps:cNvSpPr txBox="1">
                        <a:spLocks noChangeArrowheads="1"/>
                      </wps:cNvSpPr>
                      <wps:spPr bwMode="auto">
                        <a:xfrm>
                          <a:off x="0" y="0"/>
                          <a:ext cx="843915" cy="487680"/>
                        </a:xfrm>
                        <a:prstGeom prst="rect">
                          <a:avLst/>
                        </a:prstGeom>
                        <a:noFill/>
                        <a:ln>
                          <a:noFill/>
                        </a:ln>
                        <a:effectLst/>
                      </wps:spPr>
                      <wps:txbx>
                        <w:txbxContent>
                          <w:p w14:paraId="479FC7C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提前竣工天数的计算</w:t>
                            </w:r>
                          </w:p>
                        </w:txbxContent>
                      </wps:txbx>
                      <wps:bodyPr rot="0" vert="horz" wrap="square" lIns="91440" tIns="45720" rIns="91440" bIns="45720" anchor="t" anchorCtr="0" upright="1">
                        <a:noAutofit/>
                      </wps:bodyPr>
                    </wps:wsp>
                  </a:graphicData>
                </a:graphic>
              </wp:anchor>
            </w:drawing>
          </mc:Choice>
          <mc:Fallback>
            <w:pict>
              <v:shape id="文本框 846" o:spid="_x0000_s1026" o:spt="202" type="#_x0000_t202" style="position:absolute;left:0pt;margin-left:-9pt;margin-top:0.45pt;height:38.4pt;width:66.45pt;z-index:251782144;mso-width-relative:page;mso-height-relative:page;" filled="f" stroked="f" coordsize="21600,21600" o:gfxdata="UEsDBAoAAAAAAIdO4kAAAAAAAAAAAAAAAAAEAAAAZHJzL1BLAwQUAAAACACHTuJA3HmUl9UAAAAH&#10;AQAADwAAAGRycy9kb3ducmV2LnhtbE2PzU7DMBCE70i8g7VI3Fo7qJA2ZNMDiCuI8iNx28bbJCJe&#10;R7HbhLfHPcFtRzOa+bbczq5XJx5D5wUhWxpQLLW3nTQI729PizWoEEks9V4Y4YcDbKvLi5IK6yd5&#10;5dMuNiqVSCgIoY1xKLQOdcuOwtIPLMk7+NFRTHJstB1pSuWu1zfG3GlHnaSFlgZ+aLn+3h0dwsfz&#10;4etzZV6aR3c7TH42WtxGI15fZeYeVOQ5/oXhjJ/QoUpMe38UG1SPsMjW6ZeIsAF1trNVOvYIeZ6D&#10;rkr9n7/6BVBLAwQUAAAACACHTuJAIkeSCSACAAAmBAAADgAAAGRycy9lMm9Eb2MueG1srVNLbtsw&#10;EN0X6B0I7mvZruw4guUgjZGiQPoB0h6ApiiLqMRhh7Sl9ADNDbrqpvuey+fokFJcN91k0Q1BcoZv&#10;5r15XF50Tc32Cp0Gk/PJaMyZMhIKbbY5//Tx+sWCM+eFKUQNRuX8Tjl+sXr+bNnaTE2hgrpQyAjE&#10;uKy1Oa+8t1mSOFmpRrgRWGUoWAI2wtMRt0mBoiX0pk6m4/E8aQELiyCVc3S77oN8QMSnAEJZaqnW&#10;IHeNMr5HRVULT5Rcpa3jq9htWSrp35elU57VOSemPq5UhPabsCarpci2KGyl5dCCeEoLjzg1Qhsq&#10;eoRaCy/YDvU/UI2WCA5KP5LQJD2RqAixmIwfaXNbCasiF5La2aPo7v/Bynf7D8h0kfP5bMqZEQ2N&#10;/PD9/vDj1+HnN7ZI50Gi1rqMMm8t5fruFXRknEjX2RuQnx0zcFUJs1WXiNBWShTU4iS8TE6e9jgu&#10;gGzat1BQJbHzEIG6EpugHynCCJ3Gc3ccj+o8k3S5SF+eT2acSQqli7P5Io4vEdnDY4vOv1bQsLDJ&#10;OdL0I7jY3zgfmhHZQ0qoZeBa13V0QG3+uqDE/kZFCw2vA5XQfc/Dd5tukGYDxR2RQujtRZ+LNhXg&#10;V85aslbO3ZedQMVZ/caQMOeTNA1ejId0djalA55GNqcRYSRB5dxz1m+vfO/fnUW9rahSPwoDlyRm&#10;qSPR0Grf1TACsk/kP1g9+PP0HLP+fO/V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x5lJfVAAAA&#10;BwEAAA8AAAAAAAAAAQAgAAAAIgAAAGRycy9kb3ducmV2LnhtbFBLAQIUABQAAAAIAIdO4kAiR5IJ&#10;IAIAACYEAAAOAAAAAAAAAAEAIAAAACQBAABkcnMvZTJvRG9jLnhtbFBLBQYAAAAABgAGAFkBAAC2&#10;BQAAAAA=&#10;">
                <v:fill on="f" focussize="0,0"/>
                <v:stroke on="f"/>
                <v:imagedata o:title=""/>
                <o:lock v:ext="edit" aspectratio="f"/>
                <v:textbox>
                  <w:txbxContent>
                    <w:p w14:paraId="479FC7C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提前竣工天数的计算</w:t>
                      </w:r>
                    </w:p>
                  </w:txbxContent>
                </v:textbox>
              </v:shape>
            </w:pict>
          </mc:Fallback>
        </mc:AlternateContent>
      </w:r>
      <w:r>
        <w:rPr>
          <w:rFonts w:hint="eastAsia" w:ascii="仿宋" w:hAnsi="仿宋" w:eastAsia="仿宋" w:cs="仿宋"/>
          <w:color w:val="auto"/>
          <w:sz w:val="24"/>
          <w:szCs w:val="24"/>
          <w:highlight w:val="none"/>
          <w:lang w:eastAsia="zh-CN"/>
        </w:rPr>
        <w:t>提前竣工天数按照第45</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款约定确定的计划竣工天数减去实际竣工天数计算，其公式为：</w:t>
      </w:r>
    </w:p>
    <w:p w14:paraId="1AF50ADC">
      <w:pPr>
        <w:pStyle w:val="2"/>
        <w:adjustRightInd w:val="0"/>
        <w:snapToGrid w:val="0"/>
        <w:spacing w:line="360" w:lineRule="auto"/>
        <w:ind w:firstLine="2160" w:firstLineChars="900"/>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提前竣工天数</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计划竣工天数</w:t>
      </w:r>
      <w:r>
        <w:rPr>
          <w:rFonts w:ascii="仿宋" w:hAnsi="仿宋" w:eastAsia="仿宋" w:cs="仿宋"/>
          <w:color w:val="auto"/>
          <w:sz w:val="24"/>
          <w:szCs w:val="24"/>
          <w:highlight w:val="none"/>
          <w:lang w:eastAsia="zh-CN"/>
        </w:rPr>
        <w:t xml:space="preserve"> — </w:t>
      </w:r>
      <w:r>
        <w:rPr>
          <w:rFonts w:hint="eastAsia" w:ascii="仿宋" w:hAnsi="仿宋" w:eastAsia="仿宋" w:cs="仿宋"/>
          <w:color w:val="auto"/>
          <w:sz w:val="24"/>
          <w:szCs w:val="24"/>
          <w:highlight w:val="none"/>
          <w:lang w:eastAsia="zh-CN"/>
        </w:rPr>
        <w:t>实际竣工天数</w:t>
      </w:r>
    </w:p>
    <w:p w14:paraId="38A4D259">
      <w:pPr>
        <w:pStyle w:val="2"/>
        <w:tabs>
          <w:tab w:val="left" w:pos="1980"/>
          <w:tab w:val="left" w:pos="2160"/>
        </w:tabs>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发包人要求提前竣工或承包人提交的提前竣工建议书得到批准，发包人应承担承包人由此增加的费用，并按照第76</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款约定向承包人支付提前竣工奖。</w:t>
      </w:r>
    </w:p>
    <w:p w14:paraId="2B7EA406">
      <w:pPr>
        <w:pStyle w:val="2"/>
        <w:tabs>
          <w:tab w:val="left" w:pos="540"/>
        </w:tabs>
        <w:adjustRightInd w:val="0"/>
        <w:snapToGrid w:val="0"/>
        <w:spacing w:before="240" w:beforeLines="100" w:line="360" w:lineRule="auto"/>
        <w:rPr>
          <w:rFonts w:hint="eastAsia" w:ascii="仿宋" w:hAnsi="仿宋" w:eastAsia="仿宋" w:cs="仿宋"/>
          <w:b/>
          <w:bCs/>
          <w:caps/>
          <w:color w:val="auto"/>
          <w:sz w:val="24"/>
          <w:szCs w:val="24"/>
          <w:highlight w:val="none"/>
          <w:u w:val="single"/>
          <w:lang w:eastAsia="zh-CN"/>
        </w:rPr>
      </w:pPr>
    </w:p>
    <w:p w14:paraId="2243C25E">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44" w:name="_Toc12903"/>
      <w:r>
        <w:rPr>
          <w:rFonts w:ascii="仿宋" w:hAnsi="仿宋" w:eastAsia="仿宋" w:cs="仿宋"/>
          <w:bCs w:val="0"/>
          <w:color w:val="auto"/>
          <w:sz w:val="24"/>
          <w:szCs w:val="24"/>
          <w:highlight w:val="none"/>
          <w:lang w:eastAsia="zh-CN"/>
        </w:rPr>
        <w:t>4</w:t>
      </w:r>
      <w:r>
        <w:rPr>
          <w:rFonts w:hint="eastAsia" w:ascii="仿宋" w:hAnsi="仿宋" w:eastAsia="仿宋" w:cs="仿宋"/>
          <w:bCs w:val="0"/>
          <w:color w:val="auto"/>
          <w:sz w:val="24"/>
          <w:szCs w:val="24"/>
          <w:highlight w:val="none"/>
          <w:lang w:eastAsia="zh-CN"/>
        </w:rPr>
        <w:t>7误期赔偿</w:t>
      </w:r>
      <w:bookmarkEnd w:id="344"/>
    </w:p>
    <w:p w14:paraId="136FBE31">
      <w:pPr>
        <w:rPr>
          <w:rFonts w:hint="eastAsia" w:ascii="仿宋" w:hAnsi="仿宋" w:eastAsia="仿宋"/>
          <w:b/>
          <w:bCs/>
          <w:caps/>
          <w:color w:val="auto"/>
          <w:highlight w:val="none"/>
          <w:lang w:eastAsia="zh-CN"/>
        </w:rPr>
      </w:pPr>
      <w:r>
        <w:rPr>
          <w:rFonts w:ascii="仿宋" w:hAnsi="仿宋" w:eastAsia="仿宋" w:cs="仿宋"/>
          <w:b/>
          <w:bCs/>
          <w:color w:val="auto"/>
          <w:highlight w:val="none"/>
          <w:lang w:eastAsia="zh-CN"/>
        </w:rPr>
        <w:t>4</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.1</w:t>
      </w:r>
    </w:p>
    <w:p w14:paraId="005901A2">
      <w:pPr>
        <w:spacing w:line="360" w:lineRule="auto"/>
        <w:ind w:left="1850" w:leftChars="771"/>
        <w:rPr>
          <w:rFonts w:hint="eastAsia" w:ascii="仿宋" w:hAnsi="仿宋" w:eastAsia="仿宋"/>
          <w:caps/>
          <w:color w:val="auto"/>
          <w:highlight w:val="none"/>
          <w:lang w:eastAsia="zh-CN"/>
        </w:rPr>
      </w:pPr>
      <w:r>
        <w:rPr>
          <w:color w:val="auto"/>
          <w:highlight w:val="none"/>
          <w:lang w:eastAsia="zh-CN" w:bidi="ar-SA"/>
        </w:rPr>
        <mc:AlternateContent>
          <mc:Choice Requires="wps">
            <w:drawing>
              <wp:anchor distT="0" distB="0" distL="114300" distR="114300" simplePos="0" relativeHeight="251783168" behindDoc="0" locked="0" layoutInCell="1" allowOverlap="1">
                <wp:simplePos x="0" y="0"/>
                <wp:positionH relativeFrom="column">
                  <wp:posOffset>-133350</wp:posOffset>
                </wp:positionH>
                <wp:positionV relativeFrom="paragraph">
                  <wp:posOffset>104140</wp:posOffset>
                </wp:positionV>
                <wp:extent cx="882015" cy="434975"/>
                <wp:effectExtent l="0" t="0" r="0" b="0"/>
                <wp:wrapNone/>
                <wp:docPr id="653" name="文本框 847"/>
                <wp:cNvGraphicFramePr/>
                <a:graphic xmlns:a="http://schemas.openxmlformats.org/drawingml/2006/main">
                  <a:graphicData uri="http://schemas.microsoft.com/office/word/2010/wordprocessingShape">
                    <wps:wsp>
                      <wps:cNvSpPr txBox="1">
                        <a:spLocks noChangeArrowheads="1"/>
                      </wps:cNvSpPr>
                      <wps:spPr bwMode="auto">
                        <a:xfrm>
                          <a:off x="0" y="0"/>
                          <a:ext cx="882015" cy="434975"/>
                        </a:xfrm>
                        <a:prstGeom prst="rect">
                          <a:avLst/>
                        </a:prstGeom>
                        <a:noFill/>
                        <a:ln>
                          <a:noFill/>
                        </a:ln>
                        <a:effectLst/>
                      </wps:spPr>
                      <wps:txbx>
                        <w:txbxContent>
                          <w:p w14:paraId="5AB585D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误期的赔偿</w:t>
                            </w:r>
                          </w:p>
                        </w:txbxContent>
                      </wps:txbx>
                      <wps:bodyPr rot="0" vert="horz" wrap="square" lIns="91440" tIns="45720" rIns="91440" bIns="45720" anchor="t" anchorCtr="0" upright="1">
                        <a:noAutofit/>
                      </wps:bodyPr>
                    </wps:wsp>
                  </a:graphicData>
                </a:graphic>
              </wp:anchor>
            </w:drawing>
          </mc:Choice>
          <mc:Fallback>
            <w:pict>
              <v:shape id="文本框 847" o:spid="_x0000_s1026" o:spt="202" type="#_x0000_t202" style="position:absolute;left:0pt;margin-left:-10.5pt;margin-top:8.2pt;height:34.25pt;width:69.45pt;z-index:251783168;mso-width-relative:page;mso-height-relative:page;" filled="f" stroked="f" coordsize="21600,21600" o:gfxdata="UEsDBAoAAAAAAIdO4kAAAAAAAAAAAAAAAAAEAAAAZHJzL1BLAwQUAAAACACHTuJA7vzfdNcAAAAJ&#10;AQAADwAAAGRycy9kb3ducmV2LnhtbE2PwU7DMBBE70j8g7VIvbV2qlCakE0PIK6taAGJmxtvk4h4&#10;HcVuk/497gmOoxnNvCk2k+3EhQbfOkZIFgoEceVMyzXCx+Ftvgbhg2ajO8eEcCUPm/L+rtC5cSO/&#10;02UfahFL2OcaoQmhz6X0VUNW+4XriaN3coPVIcqhlmbQYyy3nVwqtZJWtxwXGt3TS0PVz/5sET63&#10;p++vVO3qV/vYj25Skm0mEWcPiXoGEWgKf2G44Ud0KCPT0Z3ZeNEhzJdJ/BKisUpB3ALJUwbiiLBO&#10;M5BlIf8/KH8BUEsDBBQAAAAIAIdO4kDOLJieHwIAACYEAAAOAAAAZHJzL2Uyb0RvYy54bWytU0tu&#10;2zAQ3RfoHQjua9mOnDiC5SCNkaJA+gHSHoCmKIuoxGGHtCX3AO0Nuuqm+57L5+iQUlw33WTRDUFy&#10;hm/mvXlcXHVNzXYKnQaT88lozJkyEgptNjn/+OH2xZwz54UpRA1G5XyvHL9aPn+2aG2mplBBXShk&#10;BGJc1tqcV97bLEmcrFQj3AisMhQsARvh6YibpEDREnpTJ9Px+DxpAQuLIJVzdLvqg3xAxKcAQllq&#10;qVYgt40yvkdFVQtPlFylrePL2G1ZKunflaVTntU5J6Y+rlSE9uuwJsuFyDYobKXl0IJ4SguPODVC&#10;Gyp6hFoJL9gW9T9QjZYIDko/ktAkPZGoCLGYjB9pc18JqyIXktrZo+ju/8HKt7v3yHSR8/PZGWdG&#10;NDTyw/dvhx+/Dj+/snl6ESRqrcso895Sru9eQkfGiXSdvQP5yTEDN5UwG3WNCG2lREEtTsLL5ORp&#10;j+MCyLp9AwVVElsPEagrsQn6kSKM0Gk8++N4VOeZpMv5nDSacSYplJ6llxezWEFkD48tOv9KQcPC&#10;JudI04/gYnfnfGhGZA8poZaBW13X0QG1+euCEvsbFS00vA5UQvc9D9+tu0GaNRR7IoXQ24s+F20q&#10;wC+ctWStnLvPW4GKs/q1IWEuJ2kavBgP6exiSgc8jaxPI8JIgsq556zf3vjev1uLelNRpX4UBq5J&#10;zFJHoqHVvqthBGSfyH+wevD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u/N901wAA&#10;AAkBAAAPAAAAAAAAAAEAIAAAACIAAABkcnMvZG93bnJldi54bWxQSwECFAAUAAAACACHTuJAziyY&#10;nh8CAAAmBAAADgAAAAAAAAABACAAAAAmAQAAZHJzL2Uyb0RvYy54bWxQSwUGAAAAAAYABgBZAQAA&#10;twUAAAAA&#10;">
                <v:fill on="f" focussize="0,0"/>
                <v:stroke on="f"/>
                <v:imagedata o:title=""/>
                <o:lock v:ext="edit" aspectratio="f"/>
                <v:textbox>
                  <w:txbxContent>
                    <w:p w14:paraId="5AB585D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误期的赔偿</w:t>
                      </w:r>
                    </w:p>
                  </w:txbxContent>
                </v:textbox>
              </v:shape>
            </w:pict>
          </mc:Fallback>
        </mc:AlternateContent>
      </w:r>
      <w:r>
        <w:rPr>
          <w:rFonts w:hint="eastAsia" w:ascii="仿宋" w:hAnsi="仿宋" w:eastAsia="仿宋" w:cs="仿宋"/>
          <w:caps/>
          <w:color w:val="auto"/>
          <w:highlight w:val="none"/>
          <w:lang w:eastAsia="zh-CN"/>
        </w:rPr>
        <w:t>如果承包人未按照第40</w:t>
      </w:r>
      <w:r>
        <w:rPr>
          <w:rFonts w:ascii="仿宋" w:hAnsi="仿宋" w:eastAsia="仿宋" w:cs="仿宋"/>
          <w:caps/>
          <w:color w:val="auto"/>
          <w:highlight w:val="none"/>
          <w:lang w:eastAsia="zh-CN"/>
        </w:rPr>
        <w:t>.4</w:t>
      </w:r>
      <w:r>
        <w:rPr>
          <w:rFonts w:hint="eastAsia" w:ascii="仿宋" w:hAnsi="仿宋" w:eastAsia="仿宋" w:cs="仿宋"/>
          <w:caps/>
          <w:color w:val="auto"/>
          <w:highlight w:val="none"/>
          <w:lang w:eastAsia="zh-CN"/>
        </w:rPr>
        <w:t>款约定按计划进度开展工作或施工，导致实际进度迟于计划进度的，承包人应向发包人支付误期赔偿费，误期赔偿费的计算方法在专用条款中约定。即使承包人支付误期赔偿费，也不能免除承包人按照合同约定应承担的任何责任和应履行的任何义务。</w:t>
      </w:r>
    </w:p>
    <w:p w14:paraId="0E50967F">
      <w:pPr>
        <w:spacing w:line="360" w:lineRule="auto"/>
        <w:rPr>
          <w:rFonts w:hint="eastAsia" w:ascii="仿宋" w:hAnsi="仿宋" w:eastAsia="仿宋" w:cs="仿宋"/>
          <w:b/>
          <w:bCs/>
          <w:color w:val="auto"/>
          <w:highlight w:val="none"/>
          <w:u w:val="dotted"/>
          <w:lang w:eastAsia="zh-CN"/>
        </w:rPr>
      </w:pPr>
      <w:r>
        <w:rPr>
          <w:rFonts w:ascii="仿宋" w:hAnsi="仿宋" w:eastAsia="仿宋" w:cs="仿宋"/>
          <w:b/>
          <w:bCs/>
          <w:color w:val="auto"/>
          <w:highlight w:val="none"/>
          <w:lang w:eastAsia="zh-CN"/>
        </w:rPr>
        <w:t>4</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 xml:space="preserve">.2  </w:t>
      </w:r>
    </w:p>
    <w:p w14:paraId="7FFA9D9B">
      <w:pPr>
        <w:spacing w:line="360" w:lineRule="auto"/>
        <w:ind w:left="1850" w:leftChars="771"/>
        <w:jc w:val="both"/>
        <w:rPr>
          <w:rFonts w:hint="eastAsia" w:ascii="仿宋" w:hAnsi="仿宋" w:eastAsia="仿宋"/>
          <w:caps/>
          <w:color w:val="auto"/>
          <w:highlight w:val="none"/>
          <w:lang w:eastAsia="zh-CN"/>
        </w:rPr>
      </w:pPr>
      <w:r>
        <w:rPr>
          <w:color w:val="auto"/>
          <w:highlight w:val="none"/>
          <w:lang w:eastAsia="zh-CN" w:bidi="ar-SA"/>
        </w:rPr>
        <mc:AlternateContent>
          <mc:Choice Requires="wps">
            <w:drawing>
              <wp:anchor distT="0" distB="0" distL="114300" distR="114300" simplePos="0" relativeHeight="251784192" behindDoc="0" locked="0" layoutInCell="1" allowOverlap="1">
                <wp:simplePos x="0" y="0"/>
                <wp:positionH relativeFrom="column">
                  <wp:posOffset>-114300</wp:posOffset>
                </wp:positionH>
                <wp:positionV relativeFrom="paragraph">
                  <wp:posOffset>31750</wp:posOffset>
                </wp:positionV>
                <wp:extent cx="797560" cy="574675"/>
                <wp:effectExtent l="0" t="0" r="0" b="0"/>
                <wp:wrapNone/>
                <wp:docPr id="654" name="文本框 848"/>
                <wp:cNvGraphicFramePr/>
                <a:graphic xmlns:a="http://schemas.openxmlformats.org/drawingml/2006/main">
                  <a:graphicData uri="http://schemas.microsoft.com/office/word/2010/wordprocessingShape">
                    <wps:wsp>
                      <wps:cNvSpPr txBox="1">
                        <a:spLocks noChangeArrowheads="1"/>
                      </wps:cNvSpPr>
                      <wps:spPr bwMode="auto">
                        <a:xfrm>
                          <a:off x="0" y="0"/>
                          <a:ext cx="797560" cy="574675"/>
                        </a:xfrm>
                        <a:prstGeom prst="rect">
                          <a:avLst/>
                        </a:prstGeom>
                        <a:noFill/>
                        <a:ln>
                          <a:noFill/>
                        </a:ln>
                        <a:effectLst/>
                      </wps:spPr>
                      <wps:txbx>
                        <w:txbxContent>
                          <w:p w14:paraId="071AEE3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实际延误天数的计算</w:t>
                            </w:r>
                          </w:p>
                        </w:txbxContent>
                      </wps:txbx>
                      <wps:bodyPr rot="0" vert="horz" wrap="square" lIns="91440" tIns="45720" rIns="91440" bIns="45720" anchor="t" anchorCtr="0" upright="1">
                        <a:noAutofit/>
                      </wps:bodyPr>
                    </wps:wsp>
                  </a:graphicData>
                </a:graphic>
              </wp:anchor>
            </w:drawing>
          </mc:Choice>
          <mc:Fallback>
            <w:pict>
              <v:shape id="文本框 848" o:spid="_x0000_s1026" o:spt="202" type="#_x0000_t202" style="position:absolute;left:0pt;margin-left:-9pt;margin-top:2.5pt;height:45.25pt;width:62.8pt;z-index:251784192;mso-width-relative:page;mso-height-relative:page;" filled="f" stroked="f" coordsize="21600,21600" o:gfxdata="UEsDBAoAAAAAAIdO4kAAAAAAAAAAAAAAAAAEAAAAZHJzL1BLAwQUAAAACACHTuJAT5y6W9YAAAAI&#10;AQAADwAAAGRycy9kb3ducmV2LnhtbE2PzU7DMBCE70i8g7VI3Np1ECltyKYHEFcQ5Ufi5sbbJCJe&#10;R7HbhLfHPcFptJrVzDfldna9OvEYOi8E2VKDYqm97aQheH97WqxBhWjEmt4LE/xwgG11eVGawvpJ&#10;Xvm0i41KIRIKQ9DGOBSIoW7ZmbD0A0vyDn50JqZzbNCOZkrhrscbrVfoTCepoTUDP7Rcf++OjuDj&#10;+fD1eatfmkeXD5OfNYrbINH1VabvQUWe498znPETOlSJae+PYoPqCRbZOm2JBHmSs6/vVqD2BJs8&#10;B6xK/D+g+gVQSwMEFAAAAAgAh07iQO8j4ncfAgAAJgQAAA4AAABkcnMvZTJvRG9jLnhtbK1TzY7T&#10;MBC+I/EOlu80bZW2u1HT1bLVIqTlR1p4ANdxGovEY8Zuk/IA8AacuHDnufocjJ1sKctlD1ws2zP+&#10;Zr5vPi+vuqZme4VOg8n5ZDTmTBkJhTbbnH/8cPvigjPnhSlEDUbl/KAcv1o9f7ZsbaamUEFdKGQE&#10;YlzW2pxX3tssSZysVCPcCKwyFCwBG+HpiNukQNESelMn0/F4nrSAhUWQyjm6XfdBPiDiUwChLLVU&#10;a5C7Rhnfo6KqhSdKrtLW8VXstiyV9O/K0inP6pwTUx9XKkL7TViT1VJkWxS20nJoQTylhUecGqEN&#10;FT1BrYUXbIf6H6hGSwQHpR9JaJKeSFSEWEzGj7S5r4RVkQtJ7exJdPf/YOXb/Xtkusj5fJZyZkRD&#10;Iz9+/3b88ev48yu7SC+CRK11GWXeW8r13UvoyDiRrrN3ID85ZuCmEmarrhGhrZQoqMVJeJmcPe1x&#10;XADZtG+goEpi5yECdSU2QT9ShBE6jedwGo/qPJN0ubhczOYUkRSaLdL5YhYriOzhsUXnXyloWNjk&#10;HGn6EVzs75wPzYjsISXUMnCr6zo6oDZ/XVBif6OihYbXgUrovufhu003SLOB4kCkEHp70eeiTQX4&#10;hbOWrJVz93knUHFWvzYkzOUkTYMX4yGdLaZ0wPPI5jwijCSonHvO+u2N7/27s6i3FVXqR2HgmsQs&#10;dSQaWu27GkZA9on8B6sHf56fY9af7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culvWAAAA&#10;CAEAAA8AAAAAAAAAAQAgAAAAIgAAAGRycy9kb3ducmV2LnhtbFBLAQIUABQAAAAIAIdO4kDvI+J3&#10;HwIAACYEAAAOAAAAAAAAAAEAIAAAACUBAABkcnMvZTJvRG9jLnhtbFBLBQYAAAAABgAGAFkBAAC2&#10;BQAAAAA=&#10;">
                <v:fill on="f" focussize="0,0"/>
                <v:stroke on="f"/>
                <v:imagedata o:title=""/>
                <o:lock v:ext="edit" aspectratio="f"/>
                <v:textbox>
                  <w:txbxContent>
                    <w:p w14:paraId="071AEE3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实际延误天数的计算</w:t>
                      </w:r>
                    </w:p>
                  </w:txbxContent>
                </v:textbox>
              </v:shape>
            </w:pict>
          </mc:Fallback>
        </mc:AlternateContent>
      </w:r>
      <w:r>
        <w:rPr>
          <w:rFonts w:hint="eastAsia" w:ascii="仿宋" w:hAnsi="仿宋" w:eastAsia="仿宋" w:cs="仿宋"/>
          <w:caps/>
          <w:color w:val="auto"/>
          <w:highlight w:val="none"/>
          <w:lang w:eastAsia="zh-CN"/>
        </w:rPr>
        <w:t>误期（实际延误天数）按照实际总工期天数减去计划总工期天数计算，其公式为：</w:t>
      </w:r>
    </w:p>
    <w:p w14:paraId="498809F3">
      <w:pPr>
        <w:spacing w:line="360" w:lineRule="auto"/>
        <w:ind w:firstLine="2160" w:firstLineChars="900"/>
        <w:rPr>
          <w:rFonts w:hint="eastAsia" w:ascii="仿宋" w:hAnsi="仿宋" w:eastAsia="仿宋"/>
          <w:caps/>
          <w:color w:val="auto"/>
          <w:highlight w:val="none"/>
          <w:lang w:eastAsia="zh-CN"/>
        </w:rPr>
      </w:pPr>
      <w:r>
        <w:rPr>
          <w:rFonts w:hint="eastAsia" w:ascii="仿宋" w:hAnsi="仿宋" w:eastAsia="仿宋" w:cs="仿宋"/>
          <w:caps/>
          <w:color w:val="auto"/>
          <w:highlight w:val="none"/>
          <w:lang w:eastAsia="zh-CN"/>
        </w:rPr>
        <w:t>实际延误天数＝实际总工期天数－计划总工期天数</w:t>
      </w:r>
    </w:p>
    <w:p w14:paraId="5E84590C">
      <w:pPr>
        <w:spacing w:line="360" w:lineRule="auto"/>
        <w:ind w:left="1850" w:leftChars="771"/>
        <w:jc w:val="both"/>
        <w:rPr>
          <w:rFonts w:hint="eastAsia" w:ascii="仿宋" w:hAnsi="仿宋" w:eastAsia="仿宋"/>
          <w:caps/>
          <w:color w:val="auto"/>
          <w:highlight w:val="none"/>
          <w:lang w:eastAsia="zh-CN"/>
        </w:rPr>
      </w:pPr>
      <w:r>
        <w:rPr>
          <w:rFonts w:hint="eastAsia" w:ascii="仿宋" w:hAnsi="仿宋" w:eastAsia="仿宋" w:cs="仿宋"/>
          <w:caps/>
          <w:color w:val="auto"/>
          <w:highlight w:val="none"/>
          <w:lang w:eastAsia="zh-CN"/>
        </w:rPr>
        <w:t>合同工程发生误期，承包人应赔偿发包人由此造成的损失，并按照第76</w:t>
      </w:r>
      <w:r>
        <w:rPr>
          <w:rFonts w:ascii="仿宋" w:hAnsi="仿宋" w:eastAsia="仿宋" w:cs="仿宋"/>
          <w:caps/>
          <w:color w:val="auto"/>
          <w:highlight w:val="none"/>
          <w:lang w:eastAsia="zh-CN"/>
        </w:rPr>
        <w:t>.2</w:t>
      </w:r>
      <w:r>
        <w:rPr>
          <w:rFonts w:hint="eastAsia" w:ascii="仿宋" w:hAnsi="仿宋" w:eastAsia="仿宋" w:cs="仿宋"/>
          <w:caps/>
          <w:color w:val="auto"/>
          <w:highlight w:val="none"/>
          <w:lang w:eastAsia="zh-CN"/>
        </w:rPr>
        <w:t>款约定向发包人支付误期赔偿费。</w:t>
      </w:r>
    </w:p>
    <w:p w14:paraId="331063A8">
      <w:pPr>
        <w:pStyle w:val="2"/>
        <w:adjustRightInd w:val="0"/>
        <w:snapToGrid w:val="0"/>
        <w:spacing w:line="360" w:lineRule="auto"/>
        <w:rPr>
          <w:rFonts w:hint="eastAsia" w:ascii="仿宋" w:hAnsi="仿宋" w:eastAsia="仿宋"/>
          <w:b/>
          <w:bCs/>
          <w:color w:val="auto"/>
          <w:sz w:val="24"/>
          <w:szCs w:val="24"/>
          <w:highlight w:val="none"/>
          <w:u w:val="single"/>
          <w:lang w:eastAsia="zh-CN"/>
        </w:rPr>
      </w:pPr>
    </w:p>
    <w:p w14:paraId="34FDA618">
      <w:pPr>
        <w:pStyle w:val="2"/>
        <w:adjustRightInd w:val="0"/>
        <w:snapToGrid w:val="0"/>
        <w:spacing w:line="360" w:lineRule="auto"/>
        <w:jc w:val="center"/>
        <w:outlineLvl w:val="1"/>
        <w:rPr>
          <w:rFonts w:hint="eastAsia" w:ascii="仿宋" w:hAnsi="仿宋" w:eastAsia="仿宋"/>
          <w:b/>
          <w:bCs/>
          <w:color w:val="auto"/>
          <w:sz w:val="24"/>
          <w:szCs w:val="24"/>
          <w:highlight w:val="none"/>
          <w:lang w:eastAsia="zh-CN"/>
        </w:rPr>
      </w:pPr>
      <w:bookmarkStart w:id="345" w:name="_Toc9856"/>
      <w:r>
        <w:rPr>
          <w:rFonts w:hint="eastAsia" w:ascii="仿宋" w:hAnsi="仿宋" w:eastAsia="仿宋" w:cs="仿宋"/>
          <w:b/>
          <w:bCs/>
          <w:color w:val="auto"/>
          <w:sz w:val="24"/>
          <w:szCs w:val="24"/>
          <w:highlight w:val="none"/>
          <w:lang w:eastAsia="zh-CN"/>
        </w:rPr>
        <w:t>六、质量与安全</w:t>
      </w:r>
      <w:bookmarkEnd w:id="345"/>
    </w:p>
    <w:p w14:paraId="01AE0F8E">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46" w:name="_Toc4202"/>
      <w:r>
        <w:rPr>
          <w:rFonts w:hint="eastAsia" w:ascii="仿宋" w:hAnsi="仿宋" w:eastAsia="仿宋" w:cs="仿宋"/>
          <w:bCs w:val="0"/>
          <w:color w:val="auto"/>
          <w:sz w:val="24"/>
          <w:szCs w:val="24"/>
          <w:highlight w:val="none"/>
          <w:lang w:eastAsia="zh-CN"/>
        </w:rPr>
        <w:t>★</w:t>
      </w:r>
      <w:r>
        <w:rPr>
          <w:rFonts w:ascii="仿宋" w:hAnsi="仿宋" w:eastAsia="仿宋" w:cs="仿宋"/>
          <w:bCs w:val="0"/>
          <w:color w:val="auto"/>
          <w:sz w:val="24"/>
          <w:szCs w:val="24"/>
          <w:highlight w:val="none"/>
          <w:lang w:eastAsia="zh-CN"/>
        </w:rPr>
        <w:t>4</w:t>
      </w:r>
      <w:r>
        <w:rPr>
          <w:rFonts w:hint="eastAsia" w:ascii="仿宋" w:hAnsi="仿宋" w:eastAsia="仿宋" w:cs="仿宋"/>
          <w:bCs w:val="0"/>
          <w:color w:val="auto"/>
          <w:sz w:val="24"/>
          <w:szCs w:val="24"/>
          <w:highlight w:val="none"/>
          <w:lang w:eastAsia="zh-CN"/>
        </w:rPr>
        <w:t>8质量与安全管理</w:t>
      </w:r>
      <w:bookmarkEnd w:id="346"/>
    </w:p>
    <w:p w14:paraId="5539C26A">
      <w:pPr>
        <w:tabs>
          <w:tab w:val="left" w:pos="780"/>
        </w:tabs>
        <w:adjustRightInd w:val="0"/>
        <w:snapToGrid w:val="0"/>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4</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.1</w:t>
      </w:r>
    </w:p>
    <w:p w14:paraId="2E0C451B">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786240" behindDoc="0" locked="0" layoutInCell="1" allowOverlap="1">
                <wp:simplePos x="0" y="0"/>
                <wp:positionH relativeFrom="column">
                  <wp:posOffset>-114300</wp:posOffset>
                </wp:positionH>
                <wp:positionV relativeFrom="paragraph">
                  <wp:posOffset>-6350</wp:posOffset>
                </wp:positionV>
                <wp:extent cx="814070" cy="587375"/>
                <wp:effectExtent l="0" t="0" r="0" b="0"/>
                <wp:wrapNone/>
                <wp:docPr id="655" name="文本框 852"/>
                <wp:cNvGraphicFramePr/>
                <a:graphic xmlns:a="http://schemas.openxmlformats.org/drawingml/2006/main">
                  <a:graphicData uri="http://schemas.microsoft.com/office/word/2010/wordprocessingShape">
                    <wps:wsp>
                      <wps:cNvSpPr txBox="1">
                        <a:spLocks noChangeArrowheads="1"/>
                      </wps:cNvSpPr>
                      <wps:spPr bwMode="auto">
                        <a:xfrm>
                          <a:off x="0" y="0"/>
                          <a:ext cx="814070" cy="587375"/>
                        </a:xfrm>
                        <a:prstGeom prst="rect">
                          <a:avLst/>
                        </a:prstGeom>
                        <a:noFill/>
                        <a:ln>
                          <a:noFill/>
                        </a:ln>
                        <a:effectLst/>
                      </wps:spPr>
                      <wps:txbx>
                        <w:txbxContent>
                          <w:p w14:paraId="1D43A16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履行职责和义务</w:t>
                            </w:r>
                          </w:p>
                        </w:txbxContent>
                      </wps:txbx>
                      <wps:bodyPr rot="0" vert="horz" wrap="square" lIns="91440" tIns="45720" rIns="91440" bIns="45720" anchor="t" anchorCtr="0" upright="1">
                        <a:noAutofit/>
                      </wps:bodyPr>
                    </wps:wsp>
                  </a:graphicData>
                </a:graphic>
              </wp:anchor>
            </w:drawing>
          </mc:Choice>
          <mc:Fallback>
            <w:pict>
              <v:shape id="文本框 852" o:spid="_x0000_s1026" o:spt="202" type="#_x0000_t202" style="position:absolute;left:0pt;margin-left:-9pt;margin-top:-0.5pt;height:46.25pt;width:64.1pt;z-index:251786240;mso-width-relative:page;mso-height-relative:page;" filled="f" stroked="f" coordsize="21600,21600" o:gfxdata="UEsDBAoAAAAAAIdO4kAAAAAAAAAAAAAAAAAEAAAAZHJzL1BLAwQUAAAACACHTuJAtKdyP9YAAAAJ&#10;AQAADwAAAGRycy9kb3ducmV2LnhtbE2PQU/DMAyF70j7D5GRuG1Jpg1tpekOQ1yHGAOJm9d4bUXj&#10;VE22ln9PeoKTbb2n5+/lu9G14kZ9aDwb0AsFgrj0tuHKwOn9Zb4BESKyxdYzGfihALtidpdjZv3A&#10;b3Q7xkqkEA4ZGqhj7DIpQ1mTw7DwHXHSLr53GNPZV9L2OKRw18qlUo/SYcPpQ40d7Wsqv49XZ+Dj&#10;cPn6XKnX6tmtu8GPSrLbSmMe7rV6AhFpjH9mmPATOhSJ6eyvbINoDcz1JnWJ05LmZNBqCeJsYKvX&#10;IItc/m9Q/AJQSwMEFAAAAAgAh07iQBnGLtkfAgAAJgQAAA4AAABkcnMvZTJvRG9jLnhtbK1TzY7T&#10;MBC+I/EOlu80bWm2JWq6WrZahLT8SAsP4DpOY5F4zNhtUh4A3oATF+48V5+DsZMtZbnsgYtle8bf&#10;zPfN5+Vl19Rsr9BpMDmfjMacKSOh0Gab848fbp4tOHNemELUYFTOD8rxy9XTJ8vWZmoKFdSFQkYg&#10;xmWtzXnlvc2SxMlKNcKNwCpDwRKwEZ6OuE0KFC2hN3UyHY8vkhawsAhSOUe36z7IB0R8DCCUpZZq&#10;DXLXKON7VFS18ETJVdo6vordlqWS/l1ZOuVZnXNi6uNKRWi/CWuyWopsi8JWWg4tiMe08IBTI7Sh&#10;oieotfCC7VD/A9VoieCg9CMJTdITiYoQi8n4gTZ3lbAqciGpnT2J7v4frHy7f49MFzm/SFPOjGho&#10;5Mfv344/fh1/fmWLdBokaq3LKPPOUq7vXkJHxol0nb0F+ckxA9eVMFt1hQhtpURBLU7Cy+TsaY/j&#10;AsimfQMFVRI7DxGoK7EJ+pEijNBpPIfTeFTnmaTLxWQ2nlNEUihdzJ/P01hBZPePLTr/SkHDwibn&#10;SNOP4GJ/63xoRmT3KaGWgRtd19EBtfnrghL7GxUtNLwOVEL3PQ/fbbpBmg0UByKF0NuLPhdtKsAv&#10;nLVkrZy7zzuBirP6tSFhXkxms+DFeJil8ykd8DyyOY8IIwkq556zfnvte//uLOptRZX6URi4IjFL&#10;HYmGVvuuhhGQfSL/w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Sncj/WAAAA&#10;CQEAAA8AAAAAAAAAAQAgAAAAIgAAAGRycy9kb3ducmV2LnhtbFBLAQIUABQAAAAIAIdO4kAZxi7Z&#10;HwIAACYEAAAOAAAAAAAAAAEAIAAAACUBAABkcnMvZTJvRG9jLnhtbFBLBQYAAAAABgAGAFkBAAC2&#10;BQAAAAA=&#10;">
                <v:fill on="f" focussize="0,0"/>
                <v:stroke on="f"/>
                <v:imagedata o:title=""/>
                <o:lock v:ext="edit" aspectratio="f"/>
                <v:textbox>
                  <w:txbxContent>
                    <w:p w14:paraId="1D43A16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履行职责和义务</w:t>
                      </w:r>
                    </w:p>
                  </w:txbxContent>
                </v:textbox>
              </v:shape>
            </w:pict>
          </mc:Fallback>
        </mc:AlternateContent>
      </w:r>
      <w:r>
        <w:rPr>
          <w:rFonts w:hint="eastAsia" w:ascii="仿宋" w:hAnsi="仿宋" w:eastAsia="仿宋" w:cs="仿宋"/>
          <w:color w:val="auto"/>
          <w:sz w:val="24"/>
          <w:szCs w:val="24"/>
          <w:highlight w:val="none"/>
          <w:lang w:eastAsia="zh-CN"/>
        </w:rPr>
        <w:t>合同双方当事人应严格遵守国家、省有关工程勘察设计及BIM技术应用成果质量、工程质量和施工安全的法律法规、标准与规范等规定，认真履行合同约定的工程质量和施工安全的职责和义务。如发生质量、安全方面的问题、隐患，合同双方当事人应按照国家规定时限如实上报政府有关部门，配合政府有关部门的调查、处理，由此发生的费用和（或）延误的工期由责任方承担。</w:t>
      </w:r>
    </w:p>
    <w:p w14:paraId="7049D71D">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4</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 xml:space="preserve">.2  </w:t>
      </w:r>
    </w:p>
    <w:p w14:paraId="1079E806">
      <w:pPr>
        <w:pStyle w:val="20"/>
        <w:adjustRightInd w:val="0"/>
        <w:snapToGrid w:val="0"/>
        <w:spacing w:line="360" w:lineRule="auto"/>
        <w:ind w:left="1850" w:leftChars="771" w:firstLine="0"/>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787264" behindDoc="0" locked="0" layoutInCell="1" allowOverlap="1">
                <wp:simplePos x="0" y="0"/>
                <wp:positionH relativeFrom="column">
                  <wp:posOffset>-114300</wp:posOffset>
                </wp:positionH>
                <wp:positionV relativeFrom="paragraph">
                  <wp:posOffset>35560</wp:posOffset>
                </wp:positionV>
                <wp:extent cx="851535" cy="523875"/>
                <wp:effectExtent l="0" t="0" r="0" b="0"/>
                <wp:wrapNone/>
                <wp:docPr id="656" name="文本框 853"/>
                <wp:cNvGraphicFramePr/>
                <a:graphic xmlns:a="http://schemas.openxmlformats.org/drawingml/2006/main">
                  <a:graphicData uri="http://schemas.microsoft.com/office/word/2010/wordprocessingShape">
                    <wps:wsp>
                      <wps:cNvSpPr txBox="1">
                        <a:spLocks noChangeArrowheads="1"/>
                      </wps:cNvSpPr>
                      <wps:spPr bwMode="auto">
                        <a:xfrm>
                          <a:off x="0" y="0"/>
                          <a:ext cx="851535" cy="523875"/>
                        </a:xfrm>
                        <a:prstGeom prst="rect">
                          <a:avLst/>
                        </a:prstGeom>
                        <a:noFill/>
                        <a:ln>
                          <a:noFill/>
                        </a:ln>
                        <a:effectLst/>
                      </wps:spPr>
                      <wps:txbx>
                        <w:txbxContent>
                          <w:p w14:paraId="6F79301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质量与安全的监管</w:t>
                            </w:r>
                          </w:p>
                        </w:txbxContent>
                      </wps:txbx>
                      <wps:bodyPr rot="0" vert="horz" wrap="square" lIns="91440" tIns="45720" rIns="91440" bIns="45720" anchor="t" anchorCtr="0" upright="1">
                        <a:noAutofit/>
                      </wps:bodyPr>
                    </wps:wsp>
                  </a:graphicData>
                </a:graphic>
              </wp:anchor>
            </w:drawing>
          </mc:Choice>
          <mc:Fallback>
            <w:pict>
              <v:shape id="文本框 853" o:spid="_x0000_s1026" o:spt="202" type="#_x0000_t202" style="position:absolute;left:0pt;margin-left:-9pt;margin-top:2.8pt;height:41.25pt;width:67.05pt;z-index:251787264;mso-width-relative:page;mso-height-relative:page;" filled="f" stroked="f" coordsize="21600,21600" o:gfxdata="UEsDBAoAAAAAAIdO4kAAAAAAAAAAAAAAAAAEAAAAZHJzL1BLAwQUAAAACACHTuJA3YH+4tUAAAAI&#10;AQAADwAAAGRycy9kb3ducmV2LnhtbE2PwU7DMBBE75X4B2uRemttozYKIZseQFxBtIDEzY23SUS8&#10;jmK3CX+Pe4LjaEYzb8rd7HpxoTF0nhH0WoEgrr3tuEF4PzyvchAhGram90wIPxRgV90sSlNYP/Eb&#10;XfaxEamEQ2EQ2hiHQspQt+RMWPuBOHknPzoTkxwbaUczpXLXyzulMulMx2mhNQM9tlR/788O4ePl&#10;9PW5Ua/Nk9sOk5+VZHcvEZe3Wj2AiDTHvzBc8RM6VInp6M9sg+gRVjpPXyLCNgNx9XWmQRwR8lyD&#10;rEr5/0D1C1BLAwQUAAAACACHTuJAwXk3Vh8CAAAmBAAADgAAAGRycy9lMm9Eb2MueG1srVNLbtsw&#10;EN0X6B0I7mv5J8cVLAdpjBQF0g+Q9gA0RVlEJQ47pC25B2hu0FU33fdcPkeHlOO66SaLbgiSM3wz&#10;783j4rJrarZT6DSYnI8GQ86UkVBos8n5p483L+acOS9MIWowKud75fjl8vmzRWszNYYK6kIhIxDj&#10;stbmvPLeZkniZKUa4QZglaFgCdgIT0fcJAWKltCbOhkPh7OkBSwsglTO0e2qD/IjIj4FEMpSS7UC&#10;uW2U8T0qqlp4ouQqbR1fxm7LUkn/viyd8qzOOTH1caUitF+HNVkuRLZBYSstjy2Ip7TwiFMjtKGi&#10;J6iV8IJtUf8D1WiJ4KD0AwlN0hOJihCL0fCRNneVsCpyIamdPYnu/h+sfLf7gEwXOZ+lM86MaGjk&#10;h+/3hx+/Dj+/sXk6CRK11mWUeWcp13evoCPjRLrO3oL87JiB60qYjbpChLZSoqAWR+Flcva0x3EB&#10;ZN2+hYIqia2HCNSV2AT9SBFG6DSe/Wk8qvNM0uU8HaWTlDNJoXQ8mV+ksYLIHh5bdP61goaFTc6R&#10;ph/Bxe7W+dCMyB5SQi0DN7quowNq89cFJfY3Klro+DpQCd33PHy37o7SrKHYEymE3l70uWhTAX7l&#10;rCVr5dx92QpUnNVvDAnzcjSdBi/GwzS9GNMBzyPr84gwkqBy7jnrt9e+9+/Wot5UVKkfhYErErPU&#10;kWhote/qOAKyT+R/tHrw5/k5Zv353s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3YH+4tUAAAAI&#10;AQAADwAAAAAAAAABACAAAAAiAAAAZHJzL2Rvd25yZXYueG1sUEsBAhQAFAAAAAgAh07iQMF5N1Yf&#10;AgAAJgQAAA4AAAAAAAAAAQAgAAAAJAEAAGRycy9lMm9Eb2MueG1sUEsFBgAAAAAGAAYAWQEAALUF&#10;AAAAAA==&#10;">
                <v:fill on="f" focussize="0,0"/>
                <v:stroke on="f"/>
                <v:imagedata o:title=""/>
                <o:lock v:ext="edit" aspectratio="f"/>
                <v:textbox>
                  <w:txbxContent>
                    <w:p w14:paraId="6F79301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质量与安全的监管</w:t>
                      </w:r>
                    </w:p>
                  </w:txbxContent>
                </v:textbox>
              </v:shape>
            </w:pict>
          </mc:Fallback>
        </mc:AlternateContent>
      </w:r>
      <w:r>
        <w:rPr>
          <w:rFonts w:hint="eastAsia" w:ascii="仿宋" w:hAnsi="仿宋" w:eastAsia="仿宋" w:cs="仿宋"/>
          <w:color w:val="auto"/>
          <w:highlight w:val="none"/>
          <w:lang w:eastAsia="zh-CN"/>
        </w:rPr>
        <w:t>发包人在领取施工许可证或者提交开工报告之前，应及时按照国家有关规定对勘察、设计成果进行审查；报送政府、行业主管部门或施工图审查机构审查；办理合同工程质量和施工安全监督手续。</w:t>
      </w:r>
    </w:p>
    <w:p w14:paraId="0C2B87FB">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应组织勘察、设计成果、建筑信息模型（BIM）的内部审查，加强勘察、设计、BIM技术、采购、施工等专业人员的内部协调和管理，在施工场地设置专门的工程质量和施工安全管理机构，配备专职管理人员，建立完善的管理制度。</w:t>
      </w:r>
    </w:p>
    <w:p w14:paraId="2E2CC654">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22784" behindDoc="0" locked="0" layoutInCell="1" allowOverlap="1">
                <wp:simplePos x="0" y="0"/>
                <wp:positionH relativeFrom="column">
                  <wp:posOffset>-114300</wp:posOffset>
                </wp:positionH>
                <wp:positionV relativeFrom="paragraph">
                  <wp:posOffset>351790</wp:posOffset>
                </wp:positionV>
                <wp:extent cx="815340" cy="469265"/>
                <wp:effectExtent l="0" t="0" r="0" b="0"/>
                <wp:wrapNone/>
                <wp:docPr id="657" name="文本框 854"/>
                <wp:cNvGraphicFramePr/>
                <a:graphic xmlns:a="http://schemas.openxmlformats.org/drawingml/2006/main">
                  <a:graphicData uri="http://schemas.microsoft.com/office/word/2010/wordprocessingShape">
                    <wps:wsp>
                      <wps:cNvSpPr txBox="1">
                        <a:spLocks noChangeArrowheads="1"/>
                      </wps:cNvSpPr>
                      <wps:spPr bwMode="auto">
                        <a:xfrm>
                          <a:off x="0" y="0"/>
                          <a:ext cx="815340" cy="469265"/>
                        </a:xfrm>
                        <a:prstGeom prst="rect">
                          <a:avLst/>
                        </a:prstGeom>
                        <a:noFill/>
                        <a:ln>
                          <a:noFill/>
                        </a:ln>
                        <a:effectLst/>
                      </wps:spPr>
                      <wps:txbx>
                        <w:txbxContent>
                          <w:p w14:paraId="21B23B1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管理的要求</w:t>
                            </w:r>
                          </w:p>
                        </w:txbxContent>
                      </wps:txbx>
                      <wps:bodyPr rot="0" vert="horz" wrap="square" lIns="91440" tIns="45720" rIns="91440" bIns="45720" anchor="t" anchorCtr="0" upright="1">
                        <a:noAutofit/>
                      </wps:bodyPr>
                    </wps:wsp>
                  </a:graphicData>
                </a:graphic>
              </wp:anchor>
            </w:drawing>
          </mc:Choice>
          <mc:Fallback>
            <w:pict>
              <v:shape id="文本框 854" o:spid="_x0000_s1026" o:spt="202" type="#_x0000_t202" style="position:absolute;left:0pt;margin-left:-9pt;margin-top:27.7pt;height:36.95pt;width:64.2pt;z-index:252022784;mso-width-relative:page;mso-height-relative:page;" filled="f" stroked="f" coordsize="21600,21600" o:gfxdata="UEsDBAoAAAAAAIdO4kAAAAAAAAAAAAAAAAAEAAAAZHJzL1BLAwQUAAAACACHTuJANrVjfNcAAAAK&#10;AQAADwAAAGRycy9kb3ducmV2LnhtbE2PwW7CMBBE75X6D9ZW4gZ2gCAIcTi06rVVgVbiZuIliRqv&#10;o9iQ9O+7nNrbjHY0+ybfja4VN+xD40lDMlMgkEpvG6o0HA+v0zWIEA1Z03pCDT8YYFc8PuQms36g&#10;D7ztYyW4hEJmNNQxdpmUoazRmTDzHRLfLr53JrLtK2l7M3C5a+VcqZV0piH+UJsOn2ssv/dXp+Hz&#10;7XL6Wqr36sWl3eBHJcltpNaTp0RtQUQc418Y7viMDgUznf2VbBCthmmy5i1RQ5ouQdwDiWJxZjHf&#10;LEAWufw/ofgFUEsDBBQAAAAIAIdO4kCPx9jNHwIAACYEAAAOAAAAZHJzL2Uyb0RvYy54bWytU8Fu&#10;EzEQvSPxD5bvZJOQpOkqm6o0KkIqFKnwAY7Xm7XY9Zixk93wAfQPOHHh3u/KdzD2bkMolx64WLZn&#10;/Gbem+fFRVtXbKfQaTAZHw2GnCkjIddmk/HPn65fzTlzXphcVGBUxvfK8YvlyxeLxqZqDCVUuUJG&#10;IMaljc146b1Nk8TJUtXCDcAqQ8ECsBaejrhJchQNoddVMh4OZ0kDmFsEqZyj21UX5D0iPgcQikJL&#10;tQK5rZXxHSqqSnii5EptHV/GbotCSX9bFE55VmWcmPq4UhHar8OaLBci3aCwpZZ9C+I5LTzhVAtt&#10;qOgRaiW8YFvU/0DVWiI4KPxAQp10RKIixGI0fKLNXSmsilxIamePorv/Bys/7D4i03nGZ9Mzzoyo&#10;aeSHH/eHnw+HX9/ZfDoJEjXWpZR5ZynXt2+gJeNEus7egPzimIGrUpiNukSEplQipxZH4WVy8rTD&#10;cQFk3byHnCqJrYcI1BZYB/1IEUboNJ79cTyq9UzS5Xw0fT2hiKTQZHY+nk1jBZE+Prbo/FsFNQub&#10;jCNNP4KL3Y3zoRmRPqaEWgaudVVFB1TmrwtK7G5UtFD/OlAJ3Xc8fLtue2nWkO+JFEJnL/pctCkB&#10;v3HWkLUy7r5uBSrOqneGhDkfTQINHw+T6dmYDngaWZ9GhJEElXHPWbe98p1/txb1pqRK3SgMXJKY&#10;hY5EQ6tdV/0IyD6Rf2/14M/Tc8z6872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2tWN81wAA&#10;AAoBAAAPAAAAAAAAAAEAIAAAACIAAABkcnMvZG93bnJldi54bWxQSwECFAAUAAAACACHTuJAj8fY&#10;zR8CAAAmBAAADgAAAAAAAAABACAAAAAmAQAAZHJzL2Uyb0RvYy54bWxQSwUGAAAAAAYABgBZAQAA&#10;twUAAAAA&#10;">
                <v:fill on="f" focussize="0,0"/>
                <v:stroke on="f"/>
                <v:imagedata o:title=""/>
                <o:lock v:ext="edit" aspectratio="f"/>
                <v:textbox>
                  <w:txbxContent>
                    <w:p w14:paraId="21B23B1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管理的要求</w:t>
                      </w:r>
                    </w:p>
                  </w:txbxContent>
                </v:textbox>
              </v:shape>
            </w:pict>
          </mc:Fallback>
        </mc:AlternateContent>
      </w:r>
      <w:r>
        <w:rPr>
          <w:rFonts w:ascii="仿宋" w:hAnsi="仿宋" w:eastAsia="仿宋" w:cs="仿宋"/>
          <w:b/>
          <w:bCs/>
          <w:color w:val="auto"/>
          <w:highlight w:val="none"/>
          <w:lang w:eastAsia="zh-CN"/>
        </w:rPr>
        <w:t>4</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 xml:space="preserve">.3  </w:t>
      </w:r>
    </w:p>
    <w:p w14:paraId="1248F43E">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不得以任何理由，要求承包人在勘察（如果有）、设计、BIM技术应用、设备及工器具购置（如果有）、施工等作业中违反法律法规、工程建设强制性标准，以及工程质量和施工安全标准，降低合同工程质量。承包人应加强对勘察、设计、设备及工器具购置、施工等管理、技术、作业人员的工程质量和施工安全教育培训，定期考核施工作业人员的劳动技能，加强工程质量和施工安全管理。</w:t>
      </w:r>
    </w:p>
    <w:p w14:paraId="748B7F90">
      <w:pPr>
        <w:spacing w:line="360" w:lineRule="auto"/>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023808" behindDoc="0" locked="0" layoutInCell="1" allowOverlap="1">
                <wp:simplePos x="0" y="0"/>
                <wp:positionH relativeFrom="column">
                  <wp:posOffset>-115570</wp:posOffset>
                </wp:positionH>
                <wp:positionV relativeFrom="paragraph">
                  <wp:posOffset>279400</wp:posOffset>
                </wp:positionV>
                <wp:extent cx="842645" cy="626110"/>
                <wp:effectExtent l="0" t="0" r="0" b="0"/>
                <wp:wrapNone/>
                <wp:docPr id="658" name="文本框 855"/>
                <wp:cNvGraphicFramePr/>
                <a:graphic xmlns:a="http://schemas.openxmlformats.org/drawingml/2006/main">
                  <a:graphicData uri="http://schemas.microsoft.com/office/word/2010/wordprocessingShape">
                    <wps:wsp>
                      <wps:cNvSpPr txBox="1">
                        <a:spLocks noChangeArrowheads="1"/>
                      </wps:cNvSpPr>
                      <wps:spPr bwMode="auto">
                        <a:xfrm>
                          <a:off x="0" y="0"/>
                          <a:ext cx="842645" cy="626110"/>
                        </a:xfrm>
                        <a:prstGeom prst="rect">
                          <a:avLst/>
                        </a:prstGeom>
                        <a:noFill/>
                        <a:ln>
                          <a:noFill/>
                        </a:ln>
                        <a:effectLst/>
                      </wps:spPr>
                      <wps:txbx>
                        <w:txbxContent>
                          <w:p w14:paraId="71A735BE">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承包人对质量与安全负责</w:t>
                            </w:r>
                          </w:p>
                        </w:txbxContent>
                      </wps:txbx>
                      <wps:bodyPr rot="0" vert="horz" wrap="square" lIns="91440" tIns="45720" rIns="91440" bIns="45720" anchor="t" anchorCtr="0" upright="1">
                        <a:noAutofit/>
                      </wps:bodyPr>
                    </wps:wsp>
                  </a:graphicData>
                </a:graphic>
              </wp:anchor>
            </w:drawing>
          </mc:Choice>
          <mc:Fallback>
            <w:pict>
              <v:shape id="文本框 855" o:spid="_x0000_s1026" o:spt="202" type="#_x0000_t202" style="position:absolute;left:0pt;margin-left:-9.1pt;margin-top:22pt;height:49.3pt;width:66.35pt;z-index:252023808;mso-width-relative:page;mso-height-relative:page;" filled="f" stroked="f" coordsize="21600,21600" o:gfxdata="UEsDBAoAAAAAAIdO4kAAAAAAAAAAAAAAAAAEAAAAZHJzL1BLAwQUAAAACACHTuJA089y4dcAAAAK&#10;AQAADwAAAGRycy9kb3ducmV2LnhtbE2PTU/DMAyG70j8h8hI3LakVTZtXdMdQFxBjA+JW9Z4bUXj&#10;VE22ln+Pd4KbLT96/bzlfva9uOAYu0AGsqUCgVQH11Fj4P3tabEBEZMlZ/tAaOAHI+yr25vSFi5M&#10;9IqXQ2oEh1AsrIE2paGQMtYtehuXYUDi2ymM3iZex0a60U4c7nuZK7WW3nbEH1o74EOL9ffh7A18&#10;PJ++PrV6aR79apjCrCT5rTTm/i5TOxAJ5/QHw1Wf1aFip2M4k4uiN7DINjmjBrTmTlcg0ysQRx50&#10;vgZZlfJ/heoXUEsDBBQAAAAIAIdO4kB6Ea91HwIAACYEAAAOAAAAZHJzL2Uyb0RvYy54bWytU82O&#10;0zAQviPxDpbvNE3Vlm7UdLVstQhp+ZEWHsB1nMYi8Zix26Q8ALwBJy7cea4+x46dbCnLZQ9cLNsz&#10;/ma+bz4vL7umZnuFToPJeToac6aMhEKbbc4/fbx5seDMeWEKUYNROT8oxy9Xz58tW5upCVRQFwoZ&#10;gRiXtTbnlfc2SxInK9UINwKrDAVLwEZ4OuI2KVC0hN7UyWQ8nictYGERpHKObtd9kA+I+BRAKEst&#10;1RrkrlHG96ioauGJkqu0dXwVuy1LJf37snTKszrnxNTHlYrQfhPWZLUU2RaFrbQcWhBPaeERp0Zo&#10;Q0VPUGvhBduh/geq0RLBQelHEpqkJxIVIRbp+JE2d5WwKnIhqZ09ie7+H6x8t/+ATBc5n89o8EY0&#10;NPLjj+/Hn7+Pv76xxWwWJGqtyyjzzlKu715BR8aJdJ29BfnZMQPXlTBbdYUIbaVEQS2m4WVy9rTH&#10;cQFk076FgiqJnYcI1JXYBP1IEUboNJ7DaTyq80zS5WI6mU9nnEkKzSfzNI3jS0T28Nii868VNCxs&#10;co40/Qgu9rfOh2ZE9pASahm40XUdHVCbvy4osb9R0ULD60AldN/z8N2mG6TZQHEgUgi9vehz0aYC&#10;/MpZS9bKufuyE6g4q98YEuYinU6DF+NhOns5oQOeRzbnEWEkQeXcc9Zvr33v351Fva2oUj8KA1ck&#10;Zqkj0dBq39UwArJP5D9YPfjz/Byz/nzv1T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Tz3Lh1wAA&#10;AAoBAAAPAAAAAAAAAAEAIAAAACIAAABkcnMvZG93bnJldi54bWxQSwECFAAUAAAACACHTuJAehGv&#10;dR8CAAAmBAAADgAAAAAAAAABACAAAAAmAQAAZHJzL2Uyb0RvYy54bWxQSwUGAAAAAAYABgBZAQAA&#10;twUAAAAA&#10;">
                <v:fill on="f" focussize="0,0"/>
                <v:stroke on="f"/>
                <v:imagedata o:title=""/>
                <o:lock v:ext="edit" aspectratio="f"/>
                <v:textbox>
                  <w:txbxContent>
                    <w:p w14:paraId="71A735BE">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承包人对质量与安全负责</w:t>
                      </w:r>
                    </w:p>
                  </w:txbxContent>
                </v:textbox>
              </v:shape>
            </w:pict>
          </mc:Fallback>
        </mc:AlternateContent>
      </w:r>
      <w:r>
        <w:rPr>
          <w:rFonts w:ascii="仿宋" w:hAnsi="仿宋" w:eastAsia="仿宋" w:cs="仿宋"/>
          <w:b/>
          <w:bCs/>
          <w:color w:val="auto"/>
          <w:highlight w:val="none"/>
          <w:lang w:eastAsia="zh-CN"/>
        </w:rPr>
        <w:t>4</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 xml:space="preserve">.4  </w:t>
      </w:r>
    </w:p>
    <w:p w14:paraId="5A3309C2">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应对合同工程质量和施工安全负责，严格执行国家、省有关工程质量和施工安全的操作规程及管理要求，组织设计文件内部审查，按约定报送发包人审查，按照批准的施工设计图纸和施工技术标准施工，不得偷工减料，不得擅自修改施工设计图纸，确保合同工程质量和施工安全。</w:t>
      </w:r>
    </w:p>
    <w:p w14:paraId="6CDDDC21">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因承包人原因造成工程质量未达到合同约定标准的，发包人有权要求承包人返工直至工程质量达到合同约定的标准为止，并由承包人承担由此增加的费用和延误工期的责任。</w:t>
      </w:r>
    </w:p>
    <w:p w14:paraId="2105C8A1">
      <w:pPr>
        <w:spacing w:line="360" w:lineRule="auto"/>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88288" behindDoc="0" locked="0" layoutInCell="1" allowOverlap="1">
                <wp:simplePos x="0" y="0"/>
                <wp:positionH relativeFrom="column">
                  <wp:posOffset>-123825</wp:posOffset>
                </wp:positionH>
                <wp:positionV relativeFrom="paragraph">
                  <wp:posOffset>224790</wp:posOffset>
                </wp:positionV>
                <wp:extent cx="794385" cy="535305"/>
                <wp:effectExtent l="0" t="0" r="0" b="0"/>
                <wp:wrapNone/>
                <wp:docPr id="659" name="文本框 856"/>
                <wp:cNvGraphicFramePr/>
                <a:graphic xmlns:a="http://schemas.openxmlformats.org/drawingml/2006/main">
                  <a:graphicData uri="http://schemas.microsoft.com/office/word/2010/wordprocessingShape">
                    <wps:wsp>
                      <wps:cNvSpPr txBox="1">
                        <a:spLocks noChangeArrowheads="1"/>
                      </wps:cNvSpPr>
                      <wps:spPr bwMode="auto">
                        <a:xfrm>
                          <a:off x="0" y="0"/>
                          <a:ext cx="794385" cy="535305"/>
                        </a:xfrm>
                        <a:prstGeom prst="rect">
                          <a:avLst/>
                        </a:prstGeom>
                        <a:noFill/>
                        <a:ln>
                          <a:noFill/>
                        </a:ln>
                        <a:effectLst/>
                      </wps:spPr>
                      <wps:txbx>
                        <w:txbxContent>
                          <w:p w14:paraId="12F3B98D">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发包人对质量与安全应负的责任</w:t>
                            </w:r>
                          </w:p>
                        </w:txbxContent>
                      </wps:txbx>
                      <wps:bodyPr rot="0" vert="horz" wrap="square" lIns="91440" tIns="45720" rIns="91440" bIns="45720" anchor="t" anchorCtr="0" upright="1">
                        <a:noAutofit/>
                      </wps:bodyPr>
                    </wps:wsp>
                  </a:graphicData>
                </a:graphic>
              </wp:anchor>
            </w:drawing>
          </mc:Choice>
          <mc:Fallback>
            <w:pict>
              <v:shape id="文本框 856" o:spid="_x0000_s1026" o:spt="202" type="#_x0000_t202" style="position:absolute;left:0pt;margin-left:-9.75pt;margin-top:17.7pt;height:42.15pt;width:62.55pt;z-index:251788288;mso-width-relative:page;mso-height-relative:page;" filled="f" stroked="f" coordsize="21600,21600" o:gfxdata="UEsDBAoAAAAAAIdO4kAAAAAAAAAAAAAAAAAEAAAAZHJzL1BLAwQUAAAACACHTuJAa7+kptgAAAAK&#10;AQAADwAAAGRycy9kb3ducmV2LnhtbE2PTU/DMAyG70j7D5GRuG1JxzpoqbsDiCsT40PiljVeW9E4&#10;VZOt5d+TnbabLT96/bzFZrKdONHgW8cIyUKBIK6cablG+Px4nT+C8EGz0Z1jQvgjD5tydlPo3LiR&#10;3+m0C7WIIexzjdCE0OdS+qohq/3C9cTxdnCD1SGuQy3NoMcYbju5VGotrW45fmh0T88NVb+7o0X4&#10;ejv8fK/Utn6xaT+6SUm2mUS8u03UE4hAU7jAcNaP6lBGp707svGiQ5gnWRpRhPt0BeIMqHQNYh+H&#10;JHsAWRbyukL5D1BLAwQUAAAACACHTuJAwWlONCACAAAmBAAADgAAAGRycy9lMm9Eb2MueG1srVNL&#10;btswEN0X6B0I7mv5J8cWLAdpjBQF0g+Q9gA0RVlEJQ47pC2lB2hv0FU33fdcPkeHlOO66SaLbgiS&#10;M3wz783j8rJrarZX6DSYnI8GQ86UkVBos835xw83L+acOS9MIWowKuf3yvHL1fNny9ZmagwV1IVC&#10;RiDGZa3NeeW9zZLEyUo1wg3AKkPBErARno64TQoULaE3dTIeDmdJC1hYBKmco9t1H+RHRHwKIJSl&#10;lmoNctco43tUVLXwRMlV2jq+it2WpZL+XVk65Vmdc2Lq40pFaL8Ja7JaimyLwlZaHlsQT2nhEadG&#10;aENFT1Br4QXbof4HqtESwUHpBxKapCcSFSEWo+Ejbe4qYVXkQlI7exLd/T9Y+Xb/Hpkucj5LF5wZ&#10;0dDID9+/HX78Ovz8yubpLEjUWpdR5p2lXN+9hI6ME+k6ewvyk2MGrithtuoKEdpKiYJaHIWXydnT&#10;HscFkE37BgqqJHYeIlBXYhP0I0UYodN47k/jUZ1nki4vFtPJPOVMUiidpJNhGiuI7OGxRedfKWhY&#10;2OQcafoRXOxvnQ/NiOwhJdQycKPrOjqgNn9dUGJ/o6KFjq8DldB9z8N3m+4ozQaKeyKF0NuLPhdt&#10;KsAvnLVkrZy7zzuBirP6tSFhFqPpNHgxHqbpxZgOeB7ZnEeEkQSVc89Zv732vX93FvW2okr9KAxc&#10;kZiljkRDq31XxxGQfSL/o9WDP8/PMevP9179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u/pKbY&#10;AAAACgEAAA8AAAAAAAAAAQAgAAAAIgAAAGRycy9kb3ducmV2LnhtbFBLAQIUABQAAAAIAIdO4kDB&#10;aU40IAIAACYEAAAOAAAAAAAAAAEAIAAAACcBAABkcnMvZTJvRG9jLnhtbFBLBQYAAAAABgAGAFkB&#10;AAC5BQAAAAA=&#10;">
                <v:fill on="f" focussize="0,0"/>
                <v:stroke on="f"/>
                <v:imagedata o:title=""/>
                <o:lock v:ext="edit" aspectratio="f"/>
                <v:textbox>
                  <w:txbxContent>
                    <w:p w14:paraId="12F3B98D">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发包人对质量与安全应负的责任</w:t>
                      </w:r>
                    </w:p>
                  </w:txbxContent>
                </v:textbox>
              </v:shape>
            </w:pict>
          </mc:Fallback>
        </mc:AlternateContent>
      </w:r>
      <w:r>
        <w:rPr>
          <w:rFonts w:ascii="仿宋" w:hAnsi="仿宋" w:eastAsia="仿宋" w:cs="仿宋"/>
          <w:b/>
          <w:bCs/>
          <w:color w:val="auto"/>
          <w:highlight w:val="none"/>
          <w:lang w:eastAsia="zh-CN"/>
        </w:rPr>
        <w:t>4</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 xml:space="preserve">.5  </w:t>
      </w:r>
    </w:p>
    <w:p w14:paraId="27E3C1FC">
      <w:pPr>
        <w:autoSpaceDE w:val="0"/>
        <w:autoSpaceDN w:val="0"/>
        <w:adjustRightInd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因发包人原因造成工程质量未达到合同约定标准的，由发包人承担由此增加的费用和延误工期的责任，增加的费用按本合同相关条款约定计算。</w:t>
      </w:r>
    </w:p>
    <w:p w14:paraId="39DA3926">
      <w:pPr>
        <w:spacing w:line="360" w:lineRule="auto"/>
        <w:rPr>
          <w:rFonts w:hint="eastAsia" w:ascii="仿宋" w:hAnsi="仿宋" w:eastAsia="仿宋" w:cs="仿宋"/>
          <w:color w:val="auto"/>
          <w:highlight w:val="none"/>
          <w:u w:val="dotted"/>
          <w:lang w:eastAsia="zh-CN"/>
        </w:rPr>
      </w:pPr>
      <w:r>
        <w:rPr>
          <w:rFonts w:ascii="仿宋" w:hAnsi="仿宋" w:eastAsia="仿宋" w:cs="仿宋"/>
          <w:b/>
          <w:bCs/>
          <w:color w:val="auto"/>
          <w:highlight w:val="none"/>
          <w:lang w:eastAsia="zh-CN"/>
        </w:rPr>
        <w:t>4</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 xml:space="preserve">.6 </w:t>
      </w:r>
    </w:p>
    <w:p w14:paraId="4E264137">
      <w:pPr>
        <w:widowControl w:val="0"/>
        <w:autoSpaceDE w:val="0"/>
        <w:autoSpaceDN w:val="0"/>
        <w:adjustRightIn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89312" behindDoc="0" locked="0" layoutInCell="1" allowOverlap="1">
                <wp:simplePos x="0" y="0"/>
                <wp:positionH relativeFrom="column">
                  <wp:posOffset>-114300</wp:posOffset>
                </wp:positionH>
                <wp:positionV relativeFrom="paragraph">
                  <wp:posOffset>16510</wp:posOffset>
                </wp:positionV>
                <wp:extent cx="855980" cy="741045"/>
                <wp:effectExtent l="0" t="0" r="0" b="0"/>
                <wp:wrapNone/>
                <wp:docPr id="660" name="文本框 857"/>
                <wp:cNvGraphicFramePr/>
                <a:graphic xmlns:a="http://schemas.openxmlformats.org/drawingml/2006/main">
                  <a:graphicData uri="http://schemas.microsoft.com/office/word/2010/wordprocessingShape">
                    <wps:wsp>
                      <wps:cNvSpPr txBox="1">
                        <a:spLocks noChangeArrowheads="1"/>
                      </wps:cNvSpPr>
                      <wps:spPr bwMode="auto">
                        <a:xfrm>
                          <a:off x="0" y="0"/>
                          <a:ext cx="855980" cy="741045"/>
                        </a:xfrm>
                        <a:prstGeom prst="rect">
                          <a:avLst/>
                        </a:prstGeom>
                        <a:noFill/>
                        <a:ln>
                          <a:noFill/>
                        </a:ln>
                        <a:effectLst/>
                      </wps:spPr>
                      <wps:txbx>
                        <w:txbxContent>
                          <w:p w14:paraId="1A2DDEE0">
                            <w:pPr>
                              <w:rPr>
                                <w:color w:val="FF0000"/>
                                <w:lang w:eastAsia="zh-CN"/>
                              </w:rPr>
                            </w:pPr>
                            <w:r>
                              <w:rPr>
                                <w:rFonts w:hint="eastAsia" w:ascii="楷体_GB2312" w:hAnsi="宋体" w:eastAsia="楷体_GB2312" w:cs="楷体_GB2312"/>
                                <w:b/>
                                <w:bCs/>
                                <w:sz w:val="18"/>
                                <w:szCs w:val="18"/>
                                <w:lang w:eastAsia="zh-CN"/>
                              </w:rPr>
                              <w:t>监理人的质量检查和检验</w:t>
                            </w:r>
                          </w:p>
                        </w:txbxContent>
                      </wps:txbx>
                      <wps:bodyPr rot="0" vert="horz" wrap="square" lIns="91440" tIns="45720" rIns="91440" bIns="45720" anchor="t" anchorCtr="0" upright="1">
                        <a:noAutofit/>
                      </wps:bodyPr>
                    </wps:wsp>
                  </a:graphicData>
                </a:graphic>
              </wp:anchor>
            </w:drawing>
          </mc:Choice>
          <mc:Fallback>
            <w:pict>
              <v:shape id="文本框 857" o:spid="_x0000_s1026" o:spt="202" type="#_x0000_t202" style="position:absolute;left:0pt;margin-left:-9pt;margin-top:1.3pt;height:58.35pt;width:67.4pt;z-index:251789312;mso-width-relative:page;mso-height-relative:page;" filled="f" stroked="f" coordsize="21600,21600" o:gfxdata="UEsDBAoAAAAAAIdO4kAAAAAAAAAAAAAAAAAEAAAAZHJzL1BLAwQUAAAACACHTuJAgNJT0NYAAAAJ&#10;AQAADwAAAGRycy9kb3ducmV2LnhtbE2PTW/CMAyG75P4D5EncQOnsFVQmnJg2nXT2IfELTSmrdY4&#10;VRNo9++Xnrabrdd6/Tz5frStuFHvG8cKkqUEQVw603Cl4OP9ebEB4YNmo1vHpOCHPOyL2V2uM+MG&#10;fqPbMVQilrDPtII6hC5D9GVNVvul64hjdnG91SGufYWm10Msty2upEzR6objh1p3dKip/D5erYLP&#10;l8vp60G+Vk/2sRvcKJHtFpWa3ydyByLQGP6OYcKP6FBEprO7svGiVbBINtElKFilIKY8SaPKeRq2&#10;a8Aix/8GxS9QSwMEFAAAAAgAh07iQDEnzIIeAgAAJgQAAA4AAABkcnMvZTJvRG9jLnhtbK1TS27b&#10;MBDdF+gdCO5r2YZ/ESwHaYwUBdIPkPQANEVZRCUOO6QtuQdob9BVN933XD5HhpTiuukmi24IkjN8&#10;896b4fKyrSu2V+g0mIyPBkPOlJGQa7PN+Kf7m1cLzpwXJhcVGJXxg3L8cvXyxbKxqRpDCVWukBGI&#10;cWljM156b9MkcbJUtXADsMpQsACshacjbpMcRUPodZWMh8NZ0gDmFkEq5+h23QV5j4jPAYSi0FKt&#10;Qe5qZXyHiqoSniS5UlvHV5FtUSjpPxSFU55VGSelPq5UhPabsCarpUi3KGypZU9BPIfCE0210IaK&#10;nqDWwgu2Q/0PVK0lgoPCDyTUSSckOkIqRsMn3tyVwqqohax29mS6+3+w8v3+IzKdZ3w2I0+MqKnl&#10;xx/fjz9/H399Y4vpPFjUWJdS5p2lXN++hpYGJ8p19hbkZ8cMXJfCbNUVIjSlEjlRHIWXydnTDscF&#10;kE3zDnKqJHYeIlBbYB38I0cYoROVw6k9qvVM0uViOr1YUERSaD4ZDSfTWEGkj48tOv9GQc3CJuNI&#10;3Y/gYn/rfCAj0seUUMvAja6qOAGV+euCErsbFUeofx2kBPadDt9u2t6aDeQHEoXQjRd9LtqUgF85&#10;a2i0Mu6+7AQqzqq3hoy5GE0mJMPHw2Q6H9MBzyOb84gwkqAy7jnrtte+m9+dRb0tqVLXCgNXZGah&#10;o9BAtWPVt4DGJ+rvRz3M5/k5Zv353qs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gNJT0NYAAAAJ&#10;AQAADwAAAAAAAAABACAAAAAiAAAAZHJzL2Rvd25yZXYueG1sUEsBAhQAFAAAAAgAh07iQDEnzIIe&#10;AgAAJgQAAA4AAAAAAAAAAQAgAAAAJQEAAGRycy9lMm9Eb2MueG1sUEsFBgAAAAAGAAYAWQEAALUF&#10;AAAAAA==&#10;">
                <v:fill on="f" focussize="0,0"/>
                <v:stroke on="f"/>
                <v:imagedata o:title=""/>
                <o:lock v:ext="edit" aspectratio="f"/>
                <v:textbox>
                  <w:txbxContent>
                    <w:p w14:paraId="1A2DDEE0">
                      <w:pPr>
                        <w:rPr>
                          <w:color w:val="FF0000"/>
                          <w:lang w:eastAsia="zh-CN"/>
                        </w:rPr>
                      </w:pPr>
                      <w:r>
                        <w:rPr>
                          <w:rFonts w:hint="eastAsia" w:ascii="楷体_GB2312" w:hAnsi="宋体" w:eastAsia="楷体_GB2312" w:cs="楷体_GB2312"/>
                          <w:b/>
                          <w:bCs/>
                          <w:sz w:val="18"/>
                          <w:szCs w:val="18"/>
                          <w:lang w:eastAsia="zh-CN"/>
                        </w:rPr>
                        <w:t>监理人的质量检查和检验</w:t>
                      </w:r>
                    </w:p>
                  </w:txbxContent>
                </v:textbox>
              </v:shape>
            </w:pict>
          </mc:Fallback>
        </mc:AlternateContent>
      </w:r>
      <w:r>
        <w:rPr>
          <w:rFonts w:hint="eastAsia" w:ascii="仿宋" w:hAnsi="仿宋" w:eastAsia="仿宋" w:cs="仿宋"/>
          <w:color w:val="auto"/>
          <w:highlight w:val="none"/>
          <w:lang w:eastAsia="zh-CN"/>
        </w:rPr>
        <w:t>监理人按照法律规定和发包人授权对工程的所有部位及其施工工艺、工程材料和工程设备进行检查和检验。承包人应为监理人的检查和检验提供方便，包括监理人到施工现场，或制造、加工地点，或合同约定的其他地方进行察看和查阅施工原始记录。监理人为此进行的检查和检验，不免除或减轻承包人按照合同约定应当承担的责任。</w:t>
      </w:r>
    </w:p>
    <w:p w14:paraId="762FE275">
      <w:pPr>
        <w:pStyle w:val="20"/>
        <w:adjustRightInd w:val="0"/>
        <w:snapToGrid w:val="0"/>
        <w:spacing w:line="360" w:lineRule="auto"/>
        <w:ind w:firstLine="0"/>
        <w:rPr>
          <w:rFonts w:hint="eastAsia" w:ascii="仿宋" w:hAnsi="仿宋" w:eastAsia="仿宋" w:cs="仿宋"/>
          <w:b/>
          <w:bCs/>
          <w:color w:val="auto"/>
          <w:highlight w:val="none"/>
          <w:u w:val="single"/>
          <w:lang w:eastAsia="zh-CN"/>
        </w:rPr>
      </w:pPr>
    </w:p>
    <w:p w14:paraId="3DE6FBD8">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47" w:name="_Toc22427"/>
      <w:r>
        <w:rPr>
          <w:rFonts w:hint="eastAsia" w:ascii="仿宋" w:hAnsi="仿宋" w:eastAsia="仿宋" w:cs="仿宋"/>
          <w:bCs w:val="0"/>
          <w:color w:val="auto"/>
          <w:sz w:val="24"/>
          <w:szCs w:val="24"/>
          <w:highlight w:val="none"/>
          <w:lang w:eastAsia="zh-CN"/>
        </w:rPr>
        <w:t>★49质量标准</w:t>
      </w:r>
      <w:bookmarkEnd w:id="347"/>
    </w:p>
    <w:p w14:paraId="3F89586E">
      <w:pPr>
        <w:adjustRightInd w:val="0"/>
        <w:snapToGrid w:val="0"/>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49</w:t>
      </w:r>
      <w:r>
        <w:rPr>
          <w:rFonts w:ascii="仿宋" w:hAnsi="仿宋" w:eastAsia="仿宋" w:cs="仿宋"/>
          <w:b/>
          <w:bCs/>
          <w:color w:val="auto"/>
          <w:highlight w:val="none"/>
          <w:lang w:eastAsia="zh-CN"/>
        </w:rPr>
        <w:t>.1</w:t>
      </w:r>
    </w:p>
    <w:p w14:paraId="3F77E735">
      <w:pPr>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90336" behindDoc="0" locked="0" layoutInCell="1" allowOverlap="1">
                <wp:simplePos x="0" y="0"/>
                <wp:positionH relativeFrom="column">
                  <wp:posOffset>-114300</wp:posOffset>
                </wp:positionH>
                <wp:positionV relativeFrom="paragraph">
                  <wp:posOffset>8255</wp:posOffset>
                </wp:positionV>
                <wp:extent cx="822960" cy="711200"/>
                <wp:effectExtent l="0" t="0" r="0" b="0"/>
                <wp:wrapNone/>
                <wp:docPr id="661" name="文本框 858"/>
                <wp:cNvGraphicFramePr/>
                <a:graphic xmlns:a="http://schemas.openxmlformats.org/drawingml/2006/main">
                  <a:graphicData uri="http://schemas.microsoft.com/office/word/2010/wordprocessingShape">
                    <wps:wsp>
                      <wps:cNvSpPr txBox="1">
                        <a:spLocks noChangeArrowheads="1"/>
                      </wps:cNvSpPr>
                      <wps:spPr bwMode="auto">
                        <a:xfrm>
                          <a:off x="0" y="0"/>
                          <a:ext cx="822960" cy="711200"/>
                        </a:xfrm>
                        <a:prstGeom prst="rect">
                          <a:avLst/>
                        </a:prstGeom>
                        <a:noFill/>
                        <a:ln>
                          <a:noFill/>
                        </a:ln>
                        <a:effectLst/>
                      </wps:spPr>
                      <wps:txbx>
                        <w:txbxContent>
                          <w:p w14:paraId="5E0163A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约定工作或工程质量标准</w:t>
                            </w:r>
                          </w:p>
                        </w:txbxContent>
                      </wps:txbx>
                      <wps:bodyPr rot="0" vert="horz" wrap="square" lIns="91440" tIns="45720" rIns="91440" bIns="45720" anchor="t" anchorCtr="0" upright="1">
                        <a:noAutofit/>
                      </wps:bodyPr>
                    </wps:wsp>
                  </a:graphicData>
                </a:graphic>
              </wp:anchor>
            </w:drawing>
          </mc:Choice>
          <mc:Fallback>
            <w:pict>
              <v:shape id="文本框 858" o:spid="_x0000_s1026" o:spt="202" type="#_x0000_t202" style="position:absolute;left:0pt;margin-left:-9pt;margin-top:0.65pt;height:56pt;width:64.8pt;z-index:251790336;mso-width-relative:page;mso-height-relative:page;" filled="f" stroked="f" coordsize="21600,21600" o:gfxdata="UEsDBAoAAAAAAIdO4kAAAAAAAAAAAAAAAAAEAAAAZHJzL1BLAwQUAAAACACHTuJAYtx43tUAAAAJ&#10;AQAADwAAAGRycy9kb3ducmV2LnhtbE2PwU7DMAyG70i8Q2QkblsSCtPWNd0BxBXEBkjcvMZrKxqn&#10;arK1vD3pCW62Puv39xe7yXXiQkNoPRvQSwWCuPK25drA++F5sQYRIrLFzjMZ+KEAu/L6qsDc+pHf&#10;6LKPtUghHHI00MTY51KGqiGHYel74sROfnAY0zrU0g44pnDXyTulVtJhy+lDgz09NlR978/OwMfL&#10;6evzXr3WT+6hH/2kJLuNNOb2RqstiEhT/DuGWT+pQ5mcjv7MNojOwEKvU5eYQAZi5lqvQBznIctA&#10;loX836D8BVBLAwQUAAAACACHTuJAzo1I7B4CAAAmBAAADgAAAGRycy9lMm9Eb2MueG1srVNLbtsw&#10;EN0X6B0I7mtZhuM4guUgjZGiQPoBkh6ApiiLqMRhh7Ql9wDtDbrqpvuey+fIkFJcN91k0Q1BcoZv&#10;5r15XFx2Tc12Cp0Gk/N0NOZMGQmFNpucf7q/eTXnzHlhClGDUTnfK8cvly9fLFqbqQlUUBcKGYEY&#10;l7U255X3NksSJyvVCDcCqwwFS8BGeDriJilQtITe1MlkPJ4lLWBhEaRyjm5XfZAPiPgcQChLLdUK&#10;5LZRxveoqGrhiZKrtHV8GbstSyX9h7J0yrM658TUx5WK0H4d1mS5ENkGha20HFoQz2nhCadGaENF&#10;j1Ar4QXbov4HqtESwUHpRxKapCcSFSEW6fiJNneVsCpyIamdPYru/h+sfL/7iEwXOZ/NUs6MaGjk&#10;hx/fDz9/H359Y/OzeZCotS6jzDtLub57DR0ZJ9J19hbkZ8cMXFfCbNQVIrSVEgW1mIaXycnTHscF&#10;kHX7DgqqJLYeIlBXYhP0I0UYodN49sfxqM4zSZfzyeRiRhFJofM0JTPFCiJ7fGzR+TcKGhY2OUea&#10;fgQXu1vnQzMie0wJtQzc6LqODqjNXxeU2N+oaKHhdaASuu95+G7dDdKsodgTKYTeXvS5aFMBfuWs&#10;JWvl3H3ZClSc1W8NCXORTqfBi/EwPTuf0AFPI+vTiDCSoHLuOeu3177379ai3lRUqR+FgSsSs9SR&#10;aGi172oYAdkn8h+sHvx5eo5Zf7738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i3Hje1QAAAAkB&#10;AAAPAAAAAAAAAAEAIAAAACIAAABkcnMvZG93bnJldi54bWxQSwECFAAUAAAACACHTuJAzo1I7B4C&#10;AAAmBAAADgAAAAAAAAABACAAAAAkAQAAZHJzL2Uyb0RvYy54bWxQSwUGAAAAAAYABgBZAQAAtAUA&#10;AAAA&#10;">
                <v:fill on="f" focussize="0,0"/>
                <v:stroke on="f"/>
                <v:imagedata o:title=""/>
                <o:lock v:ext="edit" aspectratio="f"/>
                <v:textbox>
                  <w:txbxContent>
                    <w:p w14:paraId="5E0163AC">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约定工作或工程质量标准</w:t>
                      </w:r>
                    </w:p>
                  </w:txbxContent>
                </v:textbox>
              </v:shape>
            </w:pict>
          </mc:Fallback>
        </mc:AlternateContent>
      </w:r>
      <w:r>
        <w:rPr>
          <w:rFonts w:hint="eastAsia" w:ascii="仿宋" w:hAnsi="仿宋" w:eastAsia="仿宋" w:cs="仿宋"/>
          <w:color w:val="auto"/>
          <w:highlight w:val="none"/>
          <w:lang w:eastAsia="zh-CN"/>
        </w:rPr>
        <w:t>合同双方当事人应在专用条款中约定勘察（如果有）、设计、BIM技术应用、设备及工器具购置（如果有）、施工等总承包范围内的服务工作和工程质量标准，但不得低于国家或行业的强制性标准。服务工作和工程质量应当达到专用条款约定的质量标准。</w:t>
      </w:r>
    </w:p>
    <w:p w14:paraId="34CA28B1">
      <w:pPr>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工程质量验收，按照合同约定的标准执行；合同没有约定的，按照国家或行业的质量验收标准执行。</w:t>
      </w:r>
    </w:p>
    <w:p w14:paraId="7243E922">
      <w:pPr>
        <w:spacing w:line="360" w:lineRule="auto"/>
        <w:rPr>
          <w:rFonts w:hint="eastAsia" w:ascii="仿宋" w:hAnsi="仿宋" w:eastAsia="仿宋"/>
          <w:color w:val="auto"/>
          <w:highlight w:val="none"/>
          <w:lang w:eastAsia="zh-CN"/>
        </w:rPr>
      </w:pPr>
      <w:r>
        <w:rPr>
          <w:rFonts w:hint="eastAsia"/>
          <w:color w:val="auto"/>
          <w:highlight w:val="none"/>
          <w:lang w:eastAsia="zh-CN"/>
        </w:rPr>
        <w:t>49</w:t>
      </w:r>
      <w:r>
        <w:rPr>
          <w:rFonts w:ascii="仿宋" w:hAnsi="仿宋" w:eastAsia="仿宋" w:cs="仿宋"/>
          <w:b/>
          <w:bCs/>
          <w:color w:val="auto"/>
          <w:highlight w:val="none"/>
          <w:lang w:eastAsia="zh-CN"/>
        </w:rPr>
        <w:t>.2</w:t>
      </w:r>
    </w:p>
    <w:p w14:paraId="1B22C508">
      <w:pPr>
        <w:adjustRightInd w:val="0"/>
        <w:snapToGrid w:val="0"/>
        <w:spacing w:line="360" w:lineRule="auto"/>
        <w:ind w:left="1850" w:leftChars="771"/>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024832" behindDoc="0" locked="0" layoutInCell="1" allowOverlap="1">
                <wp:simplePos x="0" y="0"/>
                <wp:positionH relativeFrom="column">
                  <wp:posOffset>-9525</wp:posOffset>
                </wp:positionH>
                <wp:positionV relativeFrom="paragraph">
                  <wp:posOffset>48895</wp:posOffset>
                </wp:positionV>
                <wp:extent cx="843915" cy="551815"/>
                <wp:effectExtent l="0" t="0" r="0" b="0"/>
                <wp:wrapNone/>
                <wp:docPr id="662" name="文本框 859"/>
                <wp:cNvGraphicFramePr/>
                <a:graphic xmlns:a="http://schemas.openxmlformats.org/drawingml/2006/main">
                  <a:graphicData uri="http://schemas.microsoft.com/office/word/2010/wordprocessingShape">
                    <wps:wsp>
                      <wps:cNvSpPr txBox="1">
                        <a:spLocks noChangeArrowheads="1"/>
                      </wps:cNvSpPr>
                      <wps:spPr bwMode="auto">
                        <a:xfrm>
                          <a:off x="0" y="0"/>
                          <a:ext cx="843915" cy="551815"/>
                        </a:xfrm>
                        <a:prstGeom prst="rect">
                          <a:avLst/>
                        </a:prstGeom>
                        <a:noFill/>
                        <a:ln>
                          <a:noFill/>
                        </a:ln>
                        <a:effectLst/>
                      </wps:spPr>
                      <wps:txbx>
                        <w:txbxContent>
                          <w:p w14:paraId="31F3015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承包人保证工作或工程质量的职责</w:t>
                            </w:r>
                          </w:p>
                        </w:txbxContent>
                      </wps:txbx>
                      <wps:bodyPr rot="0" vert="horz" wrap="square" lIns="91440" tIns="45720" rIns="91440" bIns="45720" anchor="t" anchorCtr="0" upright="1">
                        <a:noAutofit/>
                      </wps:bodyPr>
                    </wps:wsp>
                  </a:graphicData>
                </a:graphic>
              </wp:anchor>
            </w:drawing>
          </mc:Choice>
          <mc:Fallback>
            <w:pict>
              <v:shape id="文本框 859" o:spid="_x0000_s1026" o:spt="202" type="#_x0000_t202" style="position:absolute;left:0pt;margin-left:-0.75pt;margin-top:3.85pt;height:43.45pt;width:66.45pt;z-index:252024832;mso-width-relative:page;mso-height-relative:page;" filled="f" stroked="f" coordsize="21600,21600" o:gfxdata="UEsDBAoAAAAAAIdO4kAAAAAAAAAAAAAAAAAEAAAAZHJzL1BLAwQUAAAACACHTuJA1X6dndUAAAAH&#10;AQAADwAAAGRycy9kb3ducmV2LnhtbE2OwW7CMBBE70j8g7WVegM7NEBJs+HQqtdWUKjUm4mXJGq8&#10;jmJD0r+vObXH0YzevHw72lZcqfeNY4RkrkAQl840XCEcPl5njyB80Gx065gQfsjDtphOcp0ZN/CO&#10;rvtQiQhhn2mEOoQuk9KXNVnt564jjt3Z9VaHGPtKml4PEW5buVBqJa1uOD7UuqPnmsrv/cUiHN/O&#10;X5+peq9e7LIb3Kgk241EvL9L1BOIQGP4G8NNP6pDEZ1O7sLGixZhlizjEmG9BnGrH5IUxAlhk65A&#10;Frn871/8AlBLAwQUAAAACACHTuJAmfyukB4CAAAmBAAADgAAAGRycy9lMm9Eb2MueG1srVPNjtMw&#10;EL4j8Q6W7zRNaUsbNV0tWy1CWn6khQdwHaexSDxm7DYpD8C+AScu3HmuPgdjp9sty2UPXKLx/Hwz&#10;3zeTxUXX1Gyn0GkwOU8HQ86UkVBos8n550/XL2acOS9MIWowKud75fjF8vmzRWszNYIK6kIhIxDj&#10;stbmvPLeZkniZKUa4QZglaFgCdgIT0/cJAWKltCbOhkNh9OkBSwsglTOkXfVB/kREZ8CCGWppVqB&#10;3DbK+B4VVS08UXKVto4v47RlqaT/UJZOeVbnnJj6+KUmZK/DN1kuRLZBYSstjyOIp4zwiFMjtKGm&#10;J6iV8IJtUf8D1WiJ4KD0AwlN0hOJihCLdPhIm9tKWBW5kNTOnkR3/w9Wvt99RKaLnE+nI86MaGjl&#10;hx93h5+/D7++s9lkHiRqrcso89ZSru9eQ0eHE+k6ewPyi2MGriphNuoSEdpKiYJGTENlclba47gA&#10;sm7fQUGdxNZDBOpKbIJ+pAgjdFrP/rQe1XkmyTkbv5ynE84khSaTdEZ26CCy+2KLzr9R0LBg5Bxp&#10;+xFc7G6c71PvU0IvA9e6rskvstr85SDM3qPiCR2rA5Uwfc/Dd+uOaoNzDcWeSCH050U/FxkV4DfO&#10;WjqtnLuvW4GKs/qtIWHm6XgcbjE+xpNXI3rgeWR9HhFGElTOPWe9eeX7+91a1JuKOvWrMHBJYpY6&#10;En2Y6rgCOp8o1fHUw32ev2PWw++9/A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Vfp2d1QAAAAcB&#10;AAAPAAAAAAAAAAEAIAAAACIAAABkcnMvZG93bnJldi54bWxQSwECFAAUAAAACACHTuJAmfyukB4C&#10;AAAmBAAADgAAAAAAAAABACAAAAAkAQAAZHJzL2Uyb0RvYy54bWxQSwUGAAAAAAYABgBZAQAAtAUA&#10;AAAA&#10;">
                <v:fill on="f" focussize="0,0"/>
                <v:stroke on="f"/>
                <v:imagedata o:title=""/>
                <o:lock v:ext="edit" aspectratio="f"/>
                <v:textbox>
                  <w:txbxContent>
                    <w:p w14:paraId="31F3015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承包人保证工作或工程质量的职责</w:t>
                      </w:r>
                    </w:p>
                  </w:txbxContent>
                </v:textbox>
              </v:shape>
            </w:pict>
          </mc:Fallback>
        </mc:AlternateContent>
      </w:r>
      <w:r>
        <w:rPr>
          <w:rFonts w:hint="eastAsia" w:ascii="仿宋" w:hAnsi="仿宋" w:eastAsia="仿宋" w:cs="仿宋"/>
          <w:color w:val="auto"/>
          <w:highlight w:val="none"/>
          <w:lang w:eastAsia="zh-CN"/>
        </w:rPr>
        <w:t>承包人对合同工程的工作质量和工程质量向发包人负责，其职责包括但不限于下列内容：</w:t>
      </w:r>
    </w:p>
    <w:p w14:paraId="09065C7A">
      <w:pPr>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（1）编制勘察、设计、BIM技术应用、设备及工器具购置等工作方案，确定工作方法，制定质量保证措施；</w:t>
      </w:r>
    </w:p>
    <w:p w14:paraId="09838E5B">
      <w:pPr>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（2）安排足够的勘察、设计、BIM技术应用等专业技术人员，检查和控制成果质量；</w:t>
      </w:r>
    </w:p>
    <w:p w14:paraId="5F22DF2A">
      <w:pPr>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（3）编制施工技术方案，确定施工技术措施；</w:t>
      </w:r>
    </w:p>
    <w:p w14:paraId="405A1177">
      <w:pPr>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（4）提供和组织足够的工程技术人员，检查和控制工程施工质量；</w:t>
      </w:r>
    </w:p>
    <w:p w14:paraId="4BE88B16">
      <w:pPr>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（5）控制施工所用的工程材料和工程设备，使其符合标准与规范、设计要求及合同约定的标准；</w:t>
      </w:r>
    </w:p>
    <w:p w14:paraId="5DEBFD56">
      <w:pPr>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（6）负责合同工程施工中出现质量问题或竣工验收不合格的返修工作；</w:t>
      </w:r>
    </w:p>
    <w:p w14:paraId="1702E10C">
      <w:pPr>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（7）参加合同工程的所有验收工作，包括隐蔽验收、中间验收；参加竣工验收，组织分包人参加工程验收工作；</w:t>
      </w:r>
    </w:p>
    <w:p w14:paraId="3D7E2B5D">
      <w:pPr>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（8）承担质量保修期的工程保修责任；</w:t>
      </w:r>
    </w:p>
    <w:p w14:paraId="4E912398">
      <w:pPr>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（9）承担其他工程质量责任。</w:t>
      </w:r>
    </w:p>
    <w:p w14:paraId="0CA72D3B">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49</w:t>
      </w:r>
      <w:r>
        <w:rPr>
          <w:rFonts w:ascii="仿宋" w:hAnsi="仿宋" w:eastAsia="仿宋" w:cs="仿宋"/>
          <w:b/>
          <w:bCs/>
          <w:color w:val="auto"/>
          <w:highlight w:val="none"/>
          <w:lang w:eastAsia="zh-CN"/>
        </w:rPr>
        <w:t xml:space="preserve">.3  </w:t>
      </w:r>
    </w:p>
    <w:p w14:paraId="06FB3C88">
      <w:pPr>
        <w:pStyle w:val="62"/>
        <w:widowControl w:val="0"/>
        <w:adjustRightInd w:val="0"/>
        <w:snapToGrid w:val="0"/>
        <w:ind w:left="1850" w:leftChars="771"/>
        <w:jc w:val="both"/>
        <w:rPr>
          <w:rFonts w:hint="eastAsia" w:ascii="仿宋" w:hAnsi="仿宋" w:eastAsia="仿宋"/>
          <w:color w:val="auto"/>
          <w:highlight w:val="none"/>
          <w:lang w:eastAsia="zh-CN"/>
        </w:rPr>
      </w:pPr>
      <w:r>
        <w:rPr>
          <w:rFonts w:ascii="仿宋" w:hAnsi="仿宋" w:eastAsia="仿宋" w:cs="仿宋"/>
          <w:b/>
          <w:bCs/>
          <w:color w:val="auto"/>
          <w:highlight w:val="none"/>
          <w:lang w:eastAsia="zh-CN"/>
        </w:rPr>
        <mc:AlternateContent>
          <mc:Choice Requires="wps">
            <w:drawing>
              <wp:anchor distT="0" distB="0" distL="114300" distR="114300" simplePos="0" relativeHeight="252025856" behindDoc="0" locked="0" layoutInCell="1" allowOverlap="1">
                <wp:simplePos x="0" y="0"/>
                <wp:positionH relativeFrom="column">
                  <wp:posOffset>-114300</wp:posOffset>
                </wp:positionH>
                <wp:positionV relativeFrom="paragraph">
                  <wp:posOffset>57150</wp:posOffset>
                </wp:positionV>
                <wp:extent cx="774700" cy="407035"/>
                <wp:effectExtent l="0" t="0" r="0" b="0"/>
                <wp:wrapNone/>
                <wp:docPr id="663" name="文本框 860"/>
                <wp:cNvGraphicFramePr/>
                <a:graphic xmlns:a="http://schemas.openxmlformats.org/drawingml/2006/main">
                  <a:graphicData uri="http://schemas.microsoft.com/office/word/2010/wordprocessingShape">
                    <wps:wsp>
                      <wps:cNvSpPr txBox="1">
                        <a:spLocks noChangeArrowheads="1"/>
                      </wps:cNvSpPr>
                      <wps:spPr bwMode="auto">
                        <a:xfrm>
                          <a:off x="0" y="0"/>
                          <a:ext cx="774700" cy="407035"/>
                        </a:xfrm>
                        <a:prstGeom prst="rect">
                          <a:avLst/>
                        </a:prstGeom>
                        <a:noFill/>
                        <a:ln>
                          <a:noFill/>
                        </a:ln>
                        <a:effectLst/>
                      </wps:spPr>
                      <wps:txbx>
                        <w:txbxContent>
                          <w:p w14:paraId="38391DB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质量保证体系</w:t>
                            </w:r>
                          </w:p>
                        </w:txbxContent>
                      </wps:txbx>
                      <wps:bodyPr rot="0" vert="horz" wrap="square" lIns="91440" tIns="45720" rIns="91440" bIns="45720" anchor="t" anchorCtr="0" upright="1">
                        <a:noAutofit/>
                      </wps:bodyPr>
                    </wps:wsp>
                  </a:graphicData>
                </a:graphic>
              </wp:anchor>
            </w:drawing>
          </mc:Choice>
          <mc:Fallback>
            <w:pict>
              <v:shape id="文本框 860" o:spid="_x0000_s1026" o:spt="202" type="#_x0000_t202" style="position:absolute;left:0pt;margin-left:-9pt;margin-top:4.5pt;height:32.05pt;width:61pt;z-index:252025856;mso-width-relative:page;mso-height-relative:page;" filled="f" stroked="f" coordsize="21600,21600" o:gfxdata="UEsDBAoAAAAAAIdO4kAAAAAAAAAAAAAAAAAEAAAAZHJzL1BLAwQUAAAACACHTuJA6aFM6dUAAAAI&#10;AQAADwAAAGRycy9kb3ducmV2LnhtbE2PQU/DMAyF70j8h8hI3LakMGArdXcAcQUxYNJuWeO1FY1T&#10;Ndla/j3eCU629Z6ev1esJ9+pEw2xDYyQzQ0o4iq4lmuEz4+X2RJUTJad7QITwg9FWJeXF4XNXRj5&#10;nU6bVCsJ4ZhbhCalPtc6Vg15G+ehJxbtEAZvk5xDrd1gRwn3nb4x5l5727J8aGxPTw1V35ujR/h6&#10;Pey2C/NWP/u7fgyT0exXGvH6KjOPoBJN6c8MZ3xBh1KY9uHILqoOYZYtpUtCWMk462Yhyx7h4TYD&#10;XRb6f4HyF1BLAwQUAAAACACHTuJAGm56Hh4CAAAmBAAADgAAAGRycy9lMm9Eb2MueG1srVPBctMw&#10;EL0zwz9odCd20jQpnjid0kwZZgp0pvABiizHGmytWCmxwwfAH3Diwr3fle9gJSdpKJceuHik3dXb&#10;fW+fZ5ddU7ONQqfB5Hw4SDlTRkKhzSrnnz/dvLrgzHlhClGDUTnfKscv5y9fzFqbqRFUUBcKGYEY&#10;l7U255X3NksSJyvVCDcAqwwlS8BGeLriKilQtITe1MkoTSdJC1hYBKmco+iiT/I9Ij4HEMpSS7UA&#10;uW6U8T0qqlp4ouQqbR2fx2nLUkn/sSyd8qzOOTH18UtN6LwM32Q+E9kKha203I8gnjPCE06N0Iaa&#10;HqEWwgu2Rv0PVKMlgoPSDyQ0SU8kKkIshukTbe4rYVXkQlI7exTd/T9Y+WFzh0wXOZ9MzjgzoqGV&#10;737+2P162P3+zi4mUaLWuowq7y3V+u4NdGScSNfZW5BfHDNwXQmzUleI0FZKFDTiMIibnDwNS3GZ&#10;CyDL9j0U1EmsPUSgrsQm6EeKMEKn9WyP61GdZ5KC0+l4mlJGUmqcTtOz89hBZIfHFp1/q6Bh4ZBz&#10;pO1HcLG5dT4MI7JDSehl4EbXdXRAbf4KUGEfUdFC+9eH6Xsevlt29DYEl1BsiRRCby/6uehQAX7j&#10;rCVr5dx9XQtUnNXvDAnzejgeBy/Gy/h8OqILnmaWpxlhJEHl3HPWH69979+1Rb2qqFO/CgNXJGap&#10;I9HHqfYrIPtE/nurB3+e3mPV4+89/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poUzp1QAAAAgB&#10;AAAPAAAAAAAAAAEAIAAAACIAAABkcnMvZG93bnJldi54bWxQSwECFAAUAAAACACHTuJAGm56Hh4C&#10;AAAmBAAADgAAAAAAAAABACAAAAAkAQAAZHJzL2Uyb0RvYy54bWxQSwUGAAAAAAYABgBZAQAAtAUA&#10;AAAA&#10;">
                <v:fill on="f" focussize="0,0"/>
                <v:stroke on="f"/>
                <v:imagedata o:title=""/>
                <o:lock v:ext="edit" aspectratio="f"/>
                <v:textbox>
                  <w:txbxContent>
                    <w:p w14:paraId="38391DB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质量保证体系</w:t>
                      </w:r>
                    </w:p>
                  </w:txbxContent>
                </v:textbox>
              </v:shape>
            </w:pict>
          </mc:Fallback>
        </mc:AlternateContent>
      </w:r>
      <w:r>
        <w:rPr>
          <w:rFonts w:hint="eastAsia" w:ascii="仿宋" w:hAnsi="仿宋" w:eastAsia="仿宋" w:cs="仿宋"/>
          <w:color w:val="auto"/>
          <w:highlight w:val="none"/>
          <w:lang w:eastAsia="zh-CN"/>
        </w:rPr>
        <w:t>承包人应建立健全完善的质量保证体系。</w:t>
      </w:r>
    </w:p>
    <w:p w14:paraId="689952F5">
      <w:pPr>
        <w:pStyle w:val="62"/>
        <w:widowControl w:val="0"/>
        <w:adjustRightInd w:val="0"/>
        <w:snapToGrid w:val="0"/>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）承包人应向发包人和监理人提交工程质量保证体系及措施文件，建立完善的质量检查制度，并提交相应的工程质量文件。对于发包人和监理人违反法律规定和合同约定的错误指示，承包人有权拒绝实施。</w:t>
      </w:r>
    </w:p>
    <w:p w14:paraId="00CF8333">
      <w:pPr>
        <w:pStyle w:val="62"/>
        <w:widowControl w:val="0"/>
        <w:adjustRightInd w:val="0"/>
        <w:snapToGrid w:val="0"/>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承包人应遵守质量保证体系，对施工人员进行质量教育和技术培训，定期考核施工人员的劳动技能，严格执行施工规范和操作规程。即使承包人遵守质量保证体系，也不能免除其按照合同约定应承担的任何责任和应履行的任何义务。</w:t>
      </w:r>
    </w:p>
    <w:p w14:paraId="7169DC09">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26880" behindDoc="0" locked="0" layoutInCell="1" allowOverlap="1">
                <wp:simplePos x="0" y="0"/>
                <wp:positionH relativeFrom="column">
                  <wp:posOffset>-114300</wp:posOffset>
                </wp:positionH>
                <wp:positionV relativeFrom="paragraph">
                  <wp:posOffset>276225</wp:posOffset>
                </wp:positionV>
                <wp:extent cx="762000" cy="473710"/>
                <wp:effectExtent l="0" t="0" r="0" b="0"/>
                <wp:wrapNone/>
                <wp:docPr id="664" name="文本框 861"/>
                <wp:cNvGraphicFramePr/>
                <a:graphic xmlns:a="http://schemas.openxmlformats.org/drawingml/2006/main">
                  <a:graphicData uri="http://schemas.microsoft.com/office/word/2010/wordprocessingShape">
                    <wps:wsp>
                      <wps:cNvSpPr txBox="1">
                        <a:spLocks noChangeArrowheads="1"/>
                      </wps:cNvSpPr>
                      <wps:spPr bwMode="auto">
                        <a:xfrm>
                          <a:off x="0" y="0"/>
                          <a:ext cx="762000" cy="473710"/>
                        </a:xfrm>
                        <a:prstGeom prst="rect">
                          <a:avLst/>
                        </a:prstGeom>
                        <a:noFill/>
                        <a:ln>
                          <a:noFill/>
                        </a:ln>
                        <a:effectLst/>
                      </wps:spPr>
                      <wps:txbx>
                        <w:txbxContent>
                          <w:p w14:paraId="28DBC7E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工程质量有争议的处理</w:t>
                            </w:r>
                          </w:p>
                        </w:txbxContent>
                      </wps:txbx>
                      <wps:bodyPr rot="0" vert="horz" wrap="square" lIns="91440" tIns="45720" rIns="91440" bIns="45720" anchor="t" anchorCtr="0" upright="1">
                        <a:noAutofit/>
                      </wps:bodyPr>
                    </wps:wsp>
                  </a:graphicData>
                </a:graphic>
              </wp:anchor>
            </w:drawing>
          </mc:Choice>
          <mc:Fallback>
            <w:pict>
              <v:shape id="文本框 861" o:spid="_x0000_s1026" o:spt="202" type="#_x0000_t202" style="position:absolute;left:0pt;margin-left:-9pt;margin-top:21.75pt;height:37.3pt;width:60pt;z-index:252026880;mso-width-relative:page;mso-height-relative:page;" filled="f" stroked="f" coordsize="21600,21600" o:gfxdata="UEsDBAoAAAAAAIdO4kAAAAAAAAAAAAAAAAAEAAAAZHJzL1BLAwQUAAAACACHTuJALrO/v9cAAAAK&#10;AQAADwAAAGRycy9kb3ducmV2LnhtbE2PQU/DMAyF70j7D5GRuG1JxjaV0nSHIa4gBkPiljVeW9E4&#10;VZOt5d/jneBm+z09f6/YTr4TFxxiG8iAXigQSFVwLdUGPt6f5xmImCw52wVCAz8YYVvObgqbuzDS&#10;G172qRYcQjG3BpqU+lzKWDXobVyEHom1Uxi8TbwOtXSDHTncd3Kp1EZ62xJ/aGyPuwar7/3ZGzi8&#10;nL4+V+q1fvLrfgyTkuQfpDF3t1o9gkg4pT8zXPEZHUpmOoYzuSg6A3OdcZdkYHW/BnE1qCUfjjzo&#10;TIMsC/m/QvkLUEsDBBQAAAAIAIdO4kCkfA1PHgIAACYEAAAOAAAAZHJzL2Uyb0RvYy54bWytU8Fu&#10;EzEQvSPxD5bvZJMQkrLKpiqNipAKRSp8gOP1Zi12PWbsZDd8AP0DTly497vyHYztNIRy6YHLyuMZ&#10;v5n35u38vG8btlXoNJiCjwZDzpSRUGqzLvjnT1cvzjhzXphSNGBUwXfK8fPF82fzzuZqDDU0pUJG&#10;IMblnS147b3Ns8zJWrXCDcAqQ8kKsBWeQlxnJYqO0NsmGw+H06wDLC2CVM7R7TIl+QERnwIIVaWl&#10;WoLctMr4hIqqEZ4ouVpbxxdx2qpS0t9UlVOeNQUnpj5+qQmdV+GbLeYiX6OwtZaHEcRTRnjEqRXa&#10;UNMj1FJ4wTao/4FqtURwUPmBhDZLRKIixGI0fKTNbS2silxIamePorv/Bys/bD8i02XBp9MJZ0a0&#10;tPL9j7v9z/v9r+/sbDoKEnXW5VR5a6nW92+gJ+NEus5eg/zimIHLWpi1ukCErlaipBHjy+zkacJx&#10;AWTVvYeSOomNhwjUV9gG/UgRRui0nt1xPar3TNLlbEr+oYyk1GT2cjaK68tE/vDYovNvFbQsHAqO&#10;tP0ILrbXzhMNKn0oCb0MXOmmiQ5ozF8XVJhuVLTQ4XWgEqZPPHy/6g/SrKDcESmEZC/6uehQA37j&#10;rCNrFdx93QhUnDXvDAnzejSZBC/GYPJqNqYATzOr04wwkqAK7jlLx0uf/LuxqNc1dUqrMHBBYlY6&#10;Eg2jpqmIdQjIPpH/werBn6dxrPrzey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6zv7/XAAAA&#10;CgEAAA8AAAAAAAAAAQAgAAAAIgAAAGRycy9kb3ducmV2LnhtbFBLAQIUABQAAAAIAIdO4kCkfA1P&#10;HgIAACYEAAAOAAAAAAAAAAEAIAAAACYBAABkcnMvZTJvRG9jLnhtbFBLBQYAAAAABgAGAFkBAAC2&#10;BQAAAAA=&#10;">
                <v:fill on="f" focussize="0,0"/>
                <v:stroke on="f"/>
                <v:imagedata o:title=""/>
                <o:lock v:ext="edit" aspectratio="f"/>
                <v:textbox>
                  <w:txbxContent>
                    <w:p w14:paraId="28DBC7EA">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工程质量有争议的处理</w:t>
                      </w:r>
                    </w:p>
                  </w:txbxContent>
                </v:textbox>
              </v:shape>
            </w:pict>
          </mc:Fallback>
        </mc:AlternateContent>
      </w:r>
      <w:r>
        <w:rPr>
          <w:rFonts w:hint="eastAsia" w:ascii="仿宋" w:hAnsi="仿宋" w:eastAsia="仿宋" w:cs="仿宋"/>
          <w:b/>
          <w:bCs/>
          <w:color w:val="auto"/>
          <w:highlight w:val="none"/>
          <w:lang w:eastAsia="zh-CN"/>
        </w:rPr>
        <w:t>49</w:t>
      </w:r>
      <w:r>
        <w:rPr>
          <w:rFonts w:ascii="仿宋" w:hAnsi="仿宋" w:eastAsia="仿宋" w:cs="仿宋"/>
          <w:b/>
          <w:bCs/>
          <w:color w:val="auto"/>
          <w:highlight w:val="none"/>
          <w:lang w:eastAsia="zh-CN"/>
        </w:rPr>
        <w:t xml:space="preserve">.4 </w:t>
      </w:r>
    </w:p>
    <w:p w14:paraId="630F481D">
      <w:pPr>
        <w:widowControl w:val="0"/>
        <w:adjustRightInd w:val="0"/>
        <w:snapToGrid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合同双方当事人对工程质量有争议的，按照第91</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款约定调解或认定，所需的费用及由此造成的损失，由责任方承担。双方均有责任的，由双方根据其责任划分分别承担。</w:t>
      </w:r>
    </w:p>
    <w:p w14:paraId="024DE073">
      <w:pPr>
        <w:tabs>
          <w:tab w:val="left" w:pos="1620"/>
        </w:tabs>
        <w:adjustRightInd w:val="0"/>
        <w:snapToGrid w:val="0"/>
        <w:spacing w:line="360" w:lineRule="auto"/>
        <w:rPr>
          <w:rFonts w:hint="eastAsia" w:ascii="仿宋" w:hAnsi="仿宋" w:eastAsia="仿宋" w:cs="仿宋"/>
          <w:b/>
          <w:bCs/>
          <w:color w:val="auto"/>
          <w:highlight w:val="none"/>
          <w:u w:val="single"/>
          <w:lang w:eastAsia="zh-CN"/>
        </w:rPr>
      </w:pPr>
    </w:p>
    <w:p w14:paraId="44B705C6">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48" w:name="_Toc2747"/>
      <w:r>
        <w:rPr>
          <w:rFonts w:hint="eastAsia" w:ascii="仿宋" w:hAnsi="仿宋" w:eastAsia="仿宋" w:cs="仿宋"/>
          <w:bCs w:val="0"/>
          <w:color w:val="auto"/>
          <w:sz w:val="24"/>
          <w:szCs w:val="24"/>
          <w:highlight w:val="none"/>
          <w:lang w:eastAsia="zh-CN"/>
        </w:rPr>
        <w:t>★50工程质量创优</w:t>
      </w:r>
      <w:bookmarkEnd w:id="348"/>
    </w:p>
    <w:p w14:paraId="72E744A7">
      <w:pPr>
        <w:spacing w:line="360" w:lineRule="auto"/>
        <w:rPr>
          <w:rFonts w:hint="eastAsia" w:ascii="仿宋" w:hAnsi="仿宋" w:eastAsia="仿宋"/>
          <w:b/>
          <w:bCs/>
          <w:caps/>
          <w:color w:val="auto"/>
          <w:highlight w:val="none"/>
          <w:lang w:eastAsia="zh-CN"/>
        </w:rPr>
      </w:pPr>
      <w:r>
        <w:rPr>
          <w:color w:val="auto"/>
          <w:highlight w:val="none"/>
          <w:lang w:eastAsia="zh-CN" w:bidi="ar-SA"/>
        </w:rPr>
        <mc:AlternateContent>
          <mc:Choice Requires="wps">
            <w:drawing>
              <wp:anchor distT="0" distB="0" distL="114300" distR="114300" simplePos="0" relativeHeight="251791360" behindDoc="0" locked="0" layoutInCell="1" allowOverlap="1">
                <wp:simplePos x="0" y="0"/>
                <wp:positionH relativeFrom="column">
                  <wp:posOffset>-85725</wp:posOffset>
                </wp:positionH>
                <wp:positionV relativeFrom="paragraph">
                  <wp:posOffset>217170</wp:posOffset>
                </wp:positionV>
                <wp:extent cx="832485" cy="434975"/>
                <wp:effectExtent l="0" t="0" r="0" b="0"/>
                <wp:wrapNone/>
                <wp:docPr id="665" name="文本框 862"/>
                <wp:cNvGraphicFramePr/>
                <a:graphic xmlns:a="http://schemas.openxmlformats.org/drawingml/2006/main">
                  <a:graphicData uri="http://schemas.microsoft.com/office/word/2010/wordprocessingShape">
                    <wps:wsp>
                      <wps:cNvSpPr txBox="1">
                        <a:spLocks noChangeArrowheads="1"/>
                      </wps:cNvSpPr>
                      <wps:spPr bwMode="auto">
                        <a:xfrm>
                          <a:off x="0" y="0"/>
                          <a:ext cx="832485" cy="434975"/>
                        </a:xfrm>
                        <a:prstGeom prst="rect">
                          <a:avLst/>
                        </a:prstGeom>
                        <a:noFill/>
                        <a:ln>
                          <a:noFill/>
                        </a:ln>
                        <a:effectLst/>
                      </wps:spPr>
                      <wps:txbx>
                        <w:txbxContent>
                          <w:p w14:paraId="2D05581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发包人鼓励质量创优</w:t>
                            </w:r>
                          </w:p>
                        </w:txbxContent>
                      </wps:txbx>
                      <wps:bodyPr rot="0" vert="horz" wrap="square" lIns="91440" tIns="45720" rIns="91440" bIns="45720" anchor="t" anchorCtr="0" upright="1">
                        <a:noAutofit/>
                      </wps:bodyPr>
                    </wps:wsp>
                  </a:graphicData>
                </a:graphic>
              </wp:anchor>
            </w:drawing>
          </mc:Choice>
          <mc:Fallback>
            <w:pict>
              <v:shape id="文本框 862" o:spid="_x0000_s1026" o:spt="202" type="#_x0000_t202" style="position:absolute;left:0pt;margin-left:-6.75pt;margin-top:17.1pt;height:34.25pt;width:65.55pt;z-index:251791360;mso-width-relative:page;mso-height-relative:page;" filled="f" stroked="f" coordsize="21600,21600" o:gfxdata="UEsDBAoAAAAAAIdO4kAAAAAAAAAAAAAAAAAEAAAAZHJzL1BLAwQUAAAACACHTuJA05IUf9gAAAAK&#10;AQAADwAAAGRycy9kb3ducmV2LnhtbE2Pu27DMAxF9wL5B4EFuiWUnVfjWM6QomuLpg+gm2IxtlGL&#10;Miwldv++ytRsJHhweW6+G20rLtT7xrGCZCZBEJfONFwp+Hh/nj6C8EGz0a1jUvBLHnbF5C7XmXED&#10;v9HlECoRQ9hnWkEdQpch+rImq/3MdcTxdnK91SGufYWm10MMty2mUq7Q6objh1p3tK+p/DmcrYLP&#10;l9P310K+Vk922Q1ulMh2g0o93CdyCyLQGP5huOpHdSii09Gd2XjRKpgm82VEFcwXKYgrkKxXII5x&#10;kOkasMjxtkLxB1BLAwQUAAAACACHTuJALqbg+SACAAAmBAAADgAAAGRycy9lMm9Eb2MueG1srVNL&#10;btswEN0X6B0I7mvZjuw4guUgjZGiQPoB0h6ApiiLqMRhh7Sl9ADtDbrqpvuey+fokFJcN91k0Q1B&#10;coZv5r15XF52Tc32Cp0Gk/PJaMyZMhIKbbY5//jh5sWCM+eFKUQNRuX8Xjl+uXr+bNnaTE2hgrpQ&#10;yAjEuKy1Oa+8t1mSOFmpRrgRWGUoWAI2wtMRt0mBoiX0pk6m4/E8aQELiyCVc3S77oN8QMSnAEJZ&#10;aqnWIHeNMr5HRVULT5Rcpa3jq9htWSrp35WlU57VOSemPq5UhPabsCarpci2KGyl5dCCeEoLjzg1&#10;QhsqeoRaCy/YDvU/UI2WCA5KP5LQJD2RqAixmIwfaXNXCasiF5La2aPo7v/Byrf798h0kfP5fMaZ&#10;EQ2N/PD92+HHr8PPr2wxnwaJWusyyryzlOu7l9CRcSJdZ29BfnLMwHUlzFZdIUJbKVFQi5PwMjl5&#10;2uO4ALJp30BBlcTOQwTqSmyCfqQII3Qaz/1xPKrzTNLl4myaLqhJSaH0LL04n8UKInt4bNH5Vwoa&#10;FjY5R5p+BBf7W+dDMyJ7SAm1DNzouo4OqM1fF5TY36hooeF1oBK673n4btMN0myguCdSCL296HPR&#10;pgL8wllL1sq5+7wTqDirXxsS5mKSpsGL8ZDOzqd0wNPI5jQijCSonHvO+u217/27s6i3FVXqR2Hg&#10;isQsdSQaWu27GkZA9on8B6sHf56eY9af7736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OSFH/Y&#10;AAAACgEAAA8AAAAAAAAAAQAgAAAAIgAAAGRycy9kb3ducmV2LnhtbFBLAQIUABQAAAAIAIdO4kAu&#10;puD5IAIAACYEAAAOAAAAAAAAAAEAIAAAACcBAABkcnMvZTJvRG9jLnhtbFBLBQYAAAAABgAGAFkB&#10;AAC5BQAAAAA=&#10;">
                <v:fill on="f" focussize="0,0"/>
                <v:stroke on="f"/>
                <v:imagedata o:title=""/>
                <o:lock v:ext="edit" aspectratio="f"/>
                <v:textbox>
                  <w:txbxContent>
                    <w:p w14:paraId="2D05581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发包人鼓励质量创优</w:t>
                      </w:r>
                    </w:p>
                  </w:txbxContent>
                </v:textbox>
              </v:shape>
            </w:pict>
          </mc:Fallback>
        </mc:AlternateContent>
      </w:r>
      <w:r>
        <w:rPr>
          <w:rFonts w:hint="eastAsia" w:ascii="仿宋" w:hAnsi="仿宋" w:eastAsia="仿宋" w:cs="仿宋"/>
          <w:b/>
          <w:bCs/>
          <w:caps/>
          <w:color w:val="auto"/>
          <w:highlight w:val="none"/>
          <w:lang w:eastAsia="zh-CN"/>
        </w:rPr>
        <w:t>50</w:t>
      </w:r>
      <w:r>
        <w:rPr>
          <w:rFonts w:ascii="仿宋" w:hAnsi="仿宋" w:eastAsia="仿宋" w:cs="仿宋"/>
          <w:b/>
          <w:bCs/>
          <w:caps/>
          <w:color w:val="auto"/>
          <w:highlight w:val="none"/>
          <w:lang w:eastAsia="zh-CN"/>
        </w:rPr>
        <w:t>.1</w:t>
      </w:r>
    </w:p>
    <w:p w14:paraId="189F427A">
      <w:pPr>
        <w:widowControl w:val="0"/>
        <w:spacing w:line="360" w:lineRule="auto"/>
        <w:ind w:left="1850" w:leftChars="771"/>
        <w:rPr>
          <w:rFonts w:hint="eastAsia" w:ascii="仿宋" w:hAnsi="仿宋" w:eastAsia="仿宋" w:cs="仿宋"/>
          <w:caps/>
          <w:color w:val="auto"/>
          <w:highlight w:val="none"/>
          <w:lang w:eastAsia="zh-CN"/>
        </w:rPr>
      </w:pPr>
      <w:r>
        <w:rPr>
          <w:rFonts w:hint="eastAsia" w:ascii="仿宋" w:hAnsi="仿宋" w:eastAsia="仿宋" w:cs="仿宋"/>
          <w:caps/>
          <w:color w:val="auto"/>
          <w:highlight w:val="none"/>
          <w:lang w:eastAsia="zh-CN"/>
        </w:rPr>
        <w:t>发包人应配合承包人加强合同工程质量与施工安全管理，鼓励承包人实施合同工程质量创优。工程质量创优包括国家级、省级和市级的优秀勘察设计奖、工程优质奖及精品工程等，其中精品工程是指规划方案先进、勘察设计优秀、施工组织规范、工程质量优良、项目管理科学、造价经济合理、功能效益突出，统筹兼顾实用性、美观性等相关要求的工程，精品工程六要素包括设计要素、科技创新要素、绿色节能要素、安全要素、质量要素和功能要素。本工程的质量创优目标及评价标准在专用条款中约定。</w:t>
      </w:r>
    </w:p>
    <w:p w14:paraId="23001E45">
      <w:pPr>
        <w:widowControl w:val="0"/>
        <w:spacing w:line="360" w:lineRule="auto"/>
        <w:ind w:left="1850" w:leftChars="771"/>
        <w:rPr>
          <w:rFonts w:hint="eastAsia" w:ascii="仿宋" w:hAnsi="仿宋" w:eastAsia="仿宋"/>
          <w:caps/>
          <w:color w:val="auto"/>
          <w:highlight w:val="none"/>
          <w:lang w:eastAsia="zh-CN"/>
        </w:rPr>
      </w:pPr>
      <w:r>
        <w:rPr>
          <w:rFonts w:hint="eastAsia" w:ascii="仿宋" w:hAnsi="仿宋" w:eastAsia="仿宋" w:cs="仿宋"/>
          <w:caps/>
          <w:color w:val="auto"/>
          <w:highlight w:val="none"/>
          <w:lang w:eastAsia="zh-CN"/>
        </w:rPr>
        <w:t>对于合同工程质量高于国家规定或合同约定的质量验收合格标准的，应按照第77条约定向承包人支付优质优价费用。</w:t>
      </w:r>
    </w:p>
    <w:p w14:paraId="2B550BDA">
      <w:pPr>
        <w:spacing w:line="360" w:lineRule="auto"/>
        <w:rPr>
          <w:rFonts w:hint="eastAsia" w:ascii="仿宋" w:hAnsi="仿宋" w:eastAsia="仿宋"/>
          <w:b/>
          <w:bCs/>
          <w:caps/>
          <w:color w:val="auto"/>
          <w:highlight w:val="none"/>
          <w:lang w:eastAsia="zh-CN"/>
        </w:rPr>
      </w:pPr>
      <w:r>
        <w:rPr>
          <w:rFonts w:hint="eastAsia" w:ascii="仿宋" w:hAnsi="仿宋" w:eastAsia="仿宋" w:cs="仿宋"/>
          <w:b/>
          <w:bCs/>
          <w:color w:val="auto"/>
          <w:highlight w:val="none"/>
          <w:lang w:eastAsia="zh-CN"/>
        </w:rPr>
        <w:t>50</w:t>
      </w:r>
      <w:r>
        <w:rPr>
          <w:rFonts w:ascii="仿宋" w:hAnsi="仿宋" w:eastAsia="仿宋" w:cs="仿宋"/>
          <w:b/>
          <w:bCs/>
          <w:color w:val="auto"/>
          <w:highlight w:val="none"/>
          <w:lang w:eastAsia="zh-CN"/>
        </w:rPr>
        <w:t xml:space="preserve">.2 </w:t>
      </w:r>
    </w:p>
    <w:p w14:paraId="442F103A">
      <w:pPr>
        <w:widowControl w:val="0"/>
        <w:spacing w:line="360" w:lineRule="auto"/>
        <w:ind w:left="1850" w:leftChars="771"/>
        <w:rPr>
          <w:rFonts w:hint="eastAsia" w:ascii="仿宋" w:hAnsi="仿宋" w:eastAsia="仿宋"/>
          <w:caps/>
          <w:color w:val="auto"/>
          <w:highlight w:val="none"/>
          <w:lang w:eastAsia="zh-CN"/>
        </w:rPr>
      </w:pPr>
      <w:r>
        <w:rPr>
          <w:color w:val="auto"/>
          <w:highlight w:val="none"/>
          <w:lang w:eastAsia="zh-CN" w:bidi="ar-SA"/>
        </w:rPr>
        <mc:AlternateContent>
          <mc:Choice Requires="wps">
            <w:drawing>
              <wp:anchor distT="0" distB="0" distL="114300" distR="114300" simplePos="0" relativeHeight="251792384" behindDoc="0" locked="0" layoutInCell="1" allowOverlap="1">
                <wp:simplePos x="0" y="0"/>
                <wp:positionH relativeFrom="column">
                  <wp:posOffset>-114300</wp:posOffset>
                </wp:positionH>
                <wp:positionV relativeFrom="paragraph">
                  <wp:posOffset>5715</wp:posOffset>
                </wp:positionV>
                <wp:extent cx="813435" cy="482600"/>
                <wp:effectExtent l="0" t="0" r="0" b="0"/>
                <wp:wrapNone/>
                <wp:docPr id="666" name="文本框 863"/>
                <wp:cNvGraphicFramePr/>
                <a:graphic xmlns:a="http://schemas.openxmlformats.org/drawingml/2006/main">
                  <a:graphicData uri="http://schemas.microsoft.com/office/word/2010/wordprocessingShape">
                    <wps:wsp>
                      <wps:cNvSpPr txBox="1">
                        <a:spLocks noChangeArrowheads="1"/>
                      </wps:cNvSpPr>
                      <wps:spPr bwMode="auto">
                        <a:xfrm>
                          <a:off x="0" y="0"/>
                          <a:ext cx="813435" cy="482600"/>
                        </a:xfrm>
                        <a:prstGeom prst="rect">
                          <a:avLst/>
                        </a:prstGeom>
                        <a:noFill/>
                        <a:ln>
                          <a:noFill/>
                        </a:ln>
                        <a:effectLst/>
                      </wps:spPr>
                      <wps:txbx>
                        <w:txbxContent>
                          <w:p w14:paraId="7498F31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承包人争取质量创优</w:t>
                            </w:r>
                          </w:p>
                        </w:txbxContent>
                      </wps:txbx>
                      <wps:bodyPr rot="0" vert="horz" wrap="square" lIns="91440" tIns="45720" rIns="91440" bIns="45720" anchor="t" anchorCtr="0" upright="1">
                        <a:noAutofit/>
                      </wps:bodyPr>
                    </wps:wsp>
                  </a:graphicData>
                </a:graphic>
              </wp:anchor>
            </w:drawing>
          </mc:Choice>
          <mc:Fallback>
            <w:pict>
              <v:shape id="文本框 863" o:spid="_x0000_s1026" o:spt="202" type="#_x0000_t202" style="position:absolute;left:0pt;margin-left:-9pt;margin-top:0.45pt;height:38pt;width:64.05pt;z-index:251792384;mso-width-relative:page;mso-height-relative:page;" filled="f" stroked="f" coordsize="21600,21600" o:gfxdata="UEsDBAoAAAAAAIdO4kAAAAAAAAAAAAAAAAAEAAAAZHJzL1BLAwQUAAAACACHTuJA8nbbotQAAAAH&#10;AQAADwAAAGRycy9kb3ducmV2LnhtbE2PzU7DMBCE70i8g7VI3FrbiP4kZNMDiCuItiBxc+NtEhGv&#10;o9htwtvXPcFxNKOZb4rN5DpxpiG0nhH0XIEgrrxtuUbY715naxAhGram80wIvxRgU97eFCa3fuQP&#10;Om9jLVIJh9wgNDH2uZShasiZMPc9cfKOfnAmJjnU0g5mTOWukw9KLaUzLaeFxvT03FD1sz05hM+3&#10;4/fXo3qvX9yiH/2kJLtMIt7fafUEItIU/8JwxU/oUCamgz+xDaJDmOl1+hIRMhBXWysN4oCwWmYg&#10;y0L+5y8vUEsDBBQAAAAIAIdO4kAcXUh2HwIAACYEAAAOAAAAZHJzL2Uyb0RvYy54bWytU82O0zAQ&#10;viPxDpbvNP3bUKKmq2WrRUjLj7TwAK7jNBaJx4zdJuUB4A04ceHOc/U5GDvZUpbLHrhYtmf8zXzf&#10;fF5edk3N9gqdBpPzyWjMmTISCm22Of/44ebZgjPnhSlEDUbl/KAcv1w9fbJsbaamUEFdKGQEYlzW&#10;2pxX3tssSZysVCPcCKwyFCwBG+HpiNukQNESelMn0/E4TVrAwiJI5RzdrvsgHxDxMYBQllqqNchd&#10;o4zvUVHVwhMlV2nr+Cp2W5ZK+ndl6ZRndc6JqY8rFaH9JqzJaimyLQpbaTm0IB7TwgNOjdCGip6g&#10;1sILtkP9D1SjJYKD0o8kNElPJCpCLCbjB9rcVcKqyIWkdvYkuvt/sPLt/j0yXeQ8TVPOjGho5Mfv&#10;344/fh1/fmWLdBYkaq3LKPPOUq7vXkJHxol0nb0F+ckxA9eVMFt1hQhtpURBLU7Cy+TsaY/jAsim&#10;fQMFVRI7DxGoK7EJ+pEijNBpPIfTeFTnmaTLxWQ2n11wJik0X0zTcRxfIrL7xxadf6WgYWGTc6Tp&#10;R3Cxv3U+NCOy+5RQy8CNruvogNr8dUGJ/Y2KFhpeByqh+56H7zbdIM0GigORQujtRZ+LNhXgF85a&#10;slbO3eedQMVZ/dqQMC8m83nwYjzML55P6YDnkc15RBhJUDn3nPXba9/7d2dRbyuq1I/CwBWJWepI&#10;NLTadzWMgOwT+Q9WD/48P8esP997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ydtui1AAAAAcB&#10;AAAPAAAAAAAAAAEAIAAAACIAAABkcnMvZG93bnJldi54bWxQSwECFAAUAAAACACHTuJAHF1Idh8C&#10;AAAmBAAADgAAAAAAAAABACAAAAAjAQAAZHJzL2Uyb0RvYy54bWxQSwUGAAAAAAYABgBZAQAAtAUA&#10;AAAA&#10;">
                <v:fill on="f" focussize="0,0"/>
                <v:stroke on="f"/>
                <v:imagedata o:title=""/>
                <o:lock v:ext="edit" aspectratio="f"/>
                <v:textbox>
                  <w:txbxContent>
                    <w:p w14:paraId="7498F31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承包人争取质量创优</w:t>
                      </w:r>
                    </w:p>
                  </w:txbxContent>
                </v:textbox>
              </v:shape>
            </w:pict>
          </mc:Fallback>
        </mc:AlternateContent>
      </w:r>
      <w:r>
        <w:rPr>
          <w:rFonts w:hint="eastAsia" w:ascii="仿宋" w:hAnsi="仿宋" w:eastAsia="仿宋" w:cs="仿宋"/>
          <w:caps/>
          <w:color w:val="auto"/>
          <w:highlight w:val="none"/>
          <w:lang w:eastAsia="zh-CN"/>
        </w:rPr>
        <w:t>承包人应采取有效措施确保合同工程质量与施工安全，在保证工程质量、施工安全达到国家或行业的强制性标准的前提下，提高工程质量与施工安全管理水平，争取合同工程质量创优。</w:t>
      </w:r>
    </w:p>
    <w:p w14:paraId="6FD74EF9">
      <w:pPr>
        <w:tabs>
          <w:tab w:val="left" w:pos="1620"/>
        </w:tabs>
        <w:spacing w:line="360" w:lineRule="auto"/>
        <w:rPr>
          <w:rFonts w:hint="eastAsia" w:ascii="仿宋" w:hAnsi="仿宋" w:eastAsia="仿宋"/>
          <w:b/>
          <w:bCs/>
          <w:color w:val="auto"/>
          <w:highlight w:val="none"/>
          <w:u w:val="single"/>
          <w:lang w:eastAsia="zh-CN"/>
        </w:rPr>
      </w:pPr>
    </w:p>
    <w:p w14:paraId="1858719A">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49" w:name="_Toc31858"/>
      <w:r>
        <w:rPr>
          <w:rFonts w:hint="eastAsia" w:ascii="仿宋" w:hAnsi="仿宋" w:eastAsia="仿宋" w:cs="仿宋"/>
          <w:bCs w:val="0"/>
          <w:color w:val="auto"/>
          <w:sz w:val="24"/>
          <w:szCs w:val="24"/>
          <w:highlight w:val="none"/>
          <w:lang w:eastAsia="zh-CN"/>
        </w:rPr>
        <w:t>51工程的照管</w:t>
      </w:r>
      <w:bookmarkEnd w:id="349"/>
    </w:p>
    <w:p w14:paraId="7D55BD9B">
      <w:pPr>
        <w:spacing w:line="360" w:lineRule="auto"/>
        <w:rPr>
          <w:rFonts w:hint="eastAsia" w:ascii="仿宋" w:hAnsi="仿宋" w:eastAsia="仿宋" w:cs="仿宋"/>
          <w:b/>
          <w:bCs/>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27904" behindDoc="0" locked="0" layoutInCell="1" allowOverlap="1">
                <wp:simplePos x="0" y="0"/>
                <wp:positionH relativeFrom="column">
                  <wp:posOffset>-114300</wp:posOffset>
                </wp:positionH>
                <wp:positionV relativeFrom="paragraph">
                  <wp:posOffset>264160</wp:posOffset>
                </wp:positionV>
                <wp:extent cx="883920" cy="314325"/>
                <wp:effectExtent l="0" t="0" r="0" b="0"/>
                <wp:wrapNone/>
                <wp:docPr id="667" name="文本框 864"/>
                <wp:cNvGraphicFramePr/>
                <a:graphic xmlns:a="http://schemas.openxmlformats.org/drawingml/2006/main">
                  <a:graphicData uri="http://schemas.microsoft.com/office/word/2010/wordprocessingShape">
                    <wps:wsp>
                      <wps:cNvSpPr txBox="1">
                        <a:spLocks noChangeArrowheads="1"/>
                      </wps:cNvSpPr>
                      <wps:spPr bwMode="auto">
                        <a:xfrm>
                          <a:off x="0" y="0"/>
                          <a:ext cx="883920" cy="314325"/>
                        </a:xfrm>
                        <a:prstGeom prst="rect">
                          <a:avLst/>
                        </a:prstGeom>
                        <a:noFill/>
                        <a:ln>
                          <a:noFill/>
                        </a:ln>
                        <a:effectLst/>
                      </wps:spPr>
                      <wps:txbx>
                        <w:txbxContent>
                          <w:p w14:paraId="1AEDBBC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工程照管</w:t>
                            </w:r>
                          </w:p>
                        </w:txbxContent>
                      </wps:txbx>
                      <wps:bodyPr rot="0" vert="horz" wrap="square" lIns="91440" tIns="45720" rIns="91440" bIns="45720" anchor="t" anchorCtr="0" upright="1">
                        <a:noAutofit/>
                      </wps:bodyPr>
                    </wps:wsp>
                  </a:graphicData>
                </a:graphic>
              </wp:anchor>
            </w:drawing>
          </mc:Choice>
          <mc:Fallback>
            <w:pict>
              <v:shape id="文本框 864" o:spid="_x0000_s1026" o:spt="202" type="#_x0000_t202" style="position:absolute;left:0pt;margin-left:-9pt;margin-top:20.8pt;height:24.75pt;width:69.6pt;z-index:252027904;mso-width-relative:page;mso-height-relative:page;" filled="f" stroked="f" coordsize="21600,21600" o:gfxdata="UEsDBAoAAAAAAIdO4kAAAAAAAAAAAAAAAAAEAAAAZHJzL1BLAwQUAAAACACHTuJAwj88NNYAAAAJ&#10;AQAADwAAAGRycy9kb3ducmV2LnhtbE2PwU7DMBBE70j8g7VI3FrbUanakE0PrbiCKFCpNzfeJhHx&#10;OordJvw97gmOoxnNvCk2k+vElYbQekbQcwWCuPK25Rrh8+NltgIRomFrOs+E8EMBNuX9XWFy60d+&#10;p+s+1iKVcMgNQhNjn0sZqoacCXPfEyfv7AdnYpJDLe1gxlTuOpkptZTOtJwWGtPTtqHqe39xCF+v&#10;5+Nhod7qnXvqRz8pyW4tER8ftHoGEWmKf2G44Sd0KBPTyV/YBtEhzPQqfYkIC70EcQtkOgNxQlhr&#10;DbIs5P8H5S9QSwMEFAAAAAgAh07iQIBsGpYfAgAAJgQAAA4AAABkcnMvZTJvRG9jLnhtbK1TzW4T&#10;MRC+I/EOlu9k89c0XWVTlUZFSAUqFR7A8XqzFrseM3ayGx4A3oATF+59rjwHY+82hHLpgYtle8bf&#10;zPfN58VlW1dsp9BpMBkfDYacKSMh12aT8U8fb17NOXNemFxUYFTG98rxy+XLF4vGpmoMJVS5QkYg&#10;xqWNzXjpvU2TxMlS1cINwCpDwQKwFp6OuElyFA2h11UyHg5nSQOYWwSpnKPbVRfkPSI+BxCKQku1&#10;ArmtlfEdKqpKeKLkSm0dX8Zui0JJ/6EonPKsyjgx9XGlIrRfhzVZLkS6QWFLLfsWxHNaeMKpFtpQ&#10;0SPUSnjBtqj/gaq1RHBQ+IGEOumIREWIxWj4RJv7UlgVuZDUzh5Fd/8PVr7f3SHTecZns3POjKhp&#10;5Icf3w8/Hw6/vrH5bBokaqxLKfPeUq5vX0NLxol0nb0F+dkxA9elMBt1hQhNqUROLY7Cy+TkaYfj&#10;Asi6eQc5VRJbDxGoLbAO+pEijNBpPPvjeFTrmaTL+XxyMaaIpNBkNJ2Mz2IFkT4+tuj8GwU1C5uM&#10;I00/govdrfOhGZE+poRaBm50VUUHVOavC0rsblS0UP86UAnddzx8u257adaQ74kUQmcv+ly0KQG/&#10;ctaQtTLuvmwFKs6qt4aEuRhNp8GL8TA9Ow+c8DSyPo0IIwkq456zbnvtO/9uLepNSZW6URi4IjEL&#10;HYmGVruu+hGQfSL/3urBn6fnmPXney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I/PDTWAAAA&#10;CQEAAA8AAAAAAAAAAQAgAAAAIgAAAGRycy9kb3ducmV2LnhtbFBLAQIUABQAAAAIAIdO4kCAbBqW&#10;HwIAACYEAAAOAAAAAAAAAAEAIAAAACUBAABkcnMvZTJvRG9jLnhtbFBLBQYAAAAABgAGAFkBAAC2&#10;BQAAAAA=&#10;">
                <v:fill on="f" focussize="0,0"/>
                <v:stroke on="f"/>
                <v:imagedata o:title=""/>
                <o:lock v:ext="edit" aspectratio="f"/>
                <v:textbox>
                  <w:txbxContent>
                    <w:p w14:paraId="1AEDBBCD">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工程照管</w:t>
                      </w:r>
                    </w:p>
                  </w:txbxContent>
                </v:textbox>
              </v:shape>
            </w:pict>
          </mc:Fallback>
        </mc:AlternateContent>
      </w:r>
      <w:r>
        <w:rPr>
          <w:rFonts w:hint="eastAsia" w:ascii="仿宋" w:hAnsi="仿宋" w:eastAsia="仿宋" w:cs="仿宋"/>
          <w:b/>
          <w:bCs/>
          <w:color w:val="auto"/>
          <w:highlight w:val="none"/>
          <w:lang w:eastAsia="zh-CN"/>
        </w:rPr>
        <w:t>51</w:t>
      </w:r>
      <w:r>
        <w:rPr>
          <w:rFonts w:ascii="仿宋" w:hAnsi="仿宋" w:eastAsia="仿宋" w:cs="仿宋"/>
          <w:b/>
          <w:bCs/>
          <w:color w:val="auto"/>
          <w:highlight w:val="none"/>
          <w:lang w:eastAsia="zh-CN"/>
        </w:rPr>
        <w:t>.1</w:t>
      </w:r>
    </w:p>
    <w:p w14:paraId="3F2E3826">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从开工之日起，承包人应全面负责照管合同工程及运至现场将使用到合同工程中的工程材料和工程设备，直到合同双方当事人确认工程移交之日止。此后，工程的照管即转由发包人负责。</w:t>
      </w:r>
    </w:p>
    <w:p w14:paraId="03EB7909">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如果在整个工程移交前，合同双方当事人已经确认移交或发包人提前使用其中任一单项工程，则从确认移交或提前使用之日起承包人无须对该单项工程负责照管，而转由发包人负责。但是，承包人应继续负责照管尚未完成的工程和将用于或安装在合同工程中的工程材料和工程设备，直至完成上述工作并经合同双方当事人确认整个工程移交之日止。</w:t>
      </w:r>
    </w:p>
    <w:p w14:paraId="0A191D12">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28928" behindDoc="0" locked="0" layoutInCell="1" allowOverlap="1">
                <wp:simplePos x="0" y="0"/>
                <wp:positionH relativeFrom="column">
                  <wp:posOffset>-114300</wp:posOffset>
                </wp:positionH>
                <wp:positionV relativeFrom="paragraph">
                  <wp:posOffset>276860</wp:posOffset>
                </wp:positionV>
                <wp:extent cx="766445" cy="633095"/>
                <wp:effectExtent l="0" t="0" r="0" b="0"/>
                <wp:wrapNone/>
                <wp:docPr id="668" name="文本框 865"/>
                <wp:cNvGraphicFramePr/>
                <a:graphic xmlns:a="http://schemas.openxmlformats.org/drawingml/2006/main">
                  <a:graphicData uri="http://schemas.microsoft.com/office/word/2010/wordprocessingShape">
                    <wps:wsp>
                      <wps:cNvSpPr txBox="1">
                        <a:spLocks noChangeArrowheads="1"/>
                      </wps:cNvSpPr>
                      <wps:spPr bwMode="auto">
                        <a:xfrm>
                          <a:off x="0" y="0"/>
                          <a:ext cx="766445" cy="633095"/>
                        </a:xfrm>
                        <a:prstGeom prst="rect">
                          <a:avLst/>
                        </a:prstGeom>
                        <a:noFill/>
                        <a:ln>
                          <a:noFill/>
                        </a:ln>
                        <a:effectLst/>
                      </wps:spPr>
                      <wps:txbx>
                        <w:txbxContent>
                          <w:p w14:paraId="47EB2B9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照管期间承包人造成损失的责任</w:t>
                            </w:r>
                          </w:p>
                        </w:txbxContent>
                      </wps:txbx>
                      <wps:bodyPr rot="0" vert="horz" wrap="square" lIns="91440" tIns="45720" rIns="91440" bIns="45720" anchor="t" anchorCtr="0" upright="1">
                        <a:noAutofit/>
                      </wps:bodyPr>
                    </wps:wsp>
                  </a:graphicData>
                </a:graphic>
              </wp:anchor>
            </w:drawing>
          </mc:Choice>
          <mc:Fallback>
            <w:pict>
              <v:shape id="文本框 865" o:spid="_x0000_s1026" o:spt="202" type="#_x0000_t202" style="position:absolute;left:0pt;margin-left:-9pt;margin-top:21.8pt;height:49.85pt;width:60.35pt;z-index:252028928;mso-width-relative:page;mso-height-relative:page;" filled="f" stroked="f" coordsize="21600,21600" o:gfxdata="UEsDBAoAAAAAAIdO4kAAAAAAAAAAAAAAAAAEAAAAZHJzL1BLAwQUAAAACACHTuJAsWUyKtgAAAAK&#10;AQAADwAAAGRycy9kb3ducmV2LnhtbE2PwU7DMBBE70j8g7VI3Np1mlBKGqcHEFcQpUXi5sbbJGq8&#10;jmK3CX+Pe4LbrGY0+6bYTLYTFxp861hBMpcgiCtnWq4V7D5fZysQPmg2unNMCn7Iw6a8vSl0btzI&#10;H3TZhlrEEva5VtCE0OeIvmrIaj93PXH0jm6wOsRzqNEMeozltsOFlEu0uuX4odE9PTdUnbZnq2D/&#10;dvz+yuR7/WIf+tFNEtk+oVL3d4lcgwg0hb8wXPEjOpSR6eDObLzoFMySVdwSFGTpEsQ1IBePIA5R&#10;ZGkKWBb4f0L5C1BLAwQUAAAACACHTuJA06VHlCACAAAmBAAADgAAAGRycy9lMm9Eb2MueG1srVNL&#10;btswEN0X6B0I7mvZjq0kguUgjZGiQPoB0h6ApiiLqMRhh7Ql9wDtDbrqpvuey+fokFJcN91k0Q1B&#10;coZv5r15XFx1Tc12Cp0Gk/PJaMyZMhIKbTY5//jh9sUFZ84LU4gajMr5Xjl+tXz+bNHaTE2hgrpQ&#10;yAjEuKy1Oa+8t1mSOFmpRrgRWGUoWAI2wtMRN0mBoiX0pk6m43GatICFRZDKObpd9UE+IOJTAKEs&#10;tVQrkNtGGd+joqqFJ0qu0tbxZey2LJX078rSKc/qnBNTH1cqQvt1WJPlQmQbFLbScmhBPKWFR5wa&#10;oQ0VPUKthBdsi/ofqEZLBAelH0lokp5IVIRYTMaPtLmvhFWRC0nt7FF09/9g5dvde2S6yHma0uCN&#10;aGjkh+/fDj9+HX5+ZRfpPEjUWpdR5r2lXN+9hI6ME+k6ewfyk2MGbiphNuoaEdpKiYJanISXycnT&#10;HscFkHX7BgqqJLYeIlBXYhP0I0UYodN49sfxqM4zSZfnaTqbzTmTFErPzsaXsbdEZA+PLTr/SkHD&#10;wibnSNOP4GJ353xoRmQPKaGWgVtd19EBtfnrghL7GxUtNLwOVEL3PQ/frbtBmjUUeyKF0NuLPhdt&#10;KsAvnLVkrZy7z1uBirP6tSFhLiezWfBiPMzm51M64GlkfRoRRhJUzj1n/fbG9/7dWtSbiir1ozBw&#10;TWKWOhINrfZdDSMg+0T+g9WDP0/PMevP917+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LFlMirY&#10;AAAACgEAAA8AAAAAAAAAAQAgAAAAIgAAAGRycy9kb3ducmV2LnhtbFBLAQIUABQAAAAIAIdO4kDT&#10;pUeUIAIAACYEAAAOAAAAAAAAAAEAIAAAACcBAABkcnMvZTJvRG9jLnhtbFBLBQYAAAAABgAGAFkB&#10;AAC5BQAAAAA=&#10;">
                <v:fill on="f" focussize="0,0"/>
                <v:stroke on="f"/>
                <v:imagedata o:title=""/>
                <o:lock v:ext="edit" aspectratio="f"/>
                <v:textbox>
                  <w:txbxContent>
                    <w:p w14:paraId="47EB2B9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照管期间承包人造成损失的责任</w:t>
                      </w:r>
                    </w:p>
                  </w:txbxContent>
                </v:textbox>
              </v:shape>
            </w:pict>
          </mc:Fallback>
        </mc:AlternateContent>
      </w:r>
      <w:r>
        <w:rPr>
          <w:rFonts w:hint="eastAsia" w:ascii="仿宋" w:hAnsi="仿宋" w:eastAsia="仿宋" w:cs="仿宋"/>
          <w:b/>
          <w:bCs/>
          <w:color w:val="auto"/>
          <w:highlight w:val="none"/>
          <w:lang w:eastAsia="zh-CN"/>
        </w:rPr>
        <w:t>51</w:t>
      </w:r>
      <w:r>
        <w:rPr>
          <w:rFonts w:ascii="仿宋" w:hAnsi="仿宋" w:eastAsia="仿宋" w:cs="仿宋"/>
          <w:b/>
          <w:bCs/>
          <w:color w:val="auto"/>
          <w:highlight w:val="none"/>
          <w:lang w:eastAsia="zh-CN"/>
        </w:rPr>
        <w:t>.2</w:t>
      </w:r>
    </w:p>
    <w:p w14:paraId="4FB6CE63">
      <w:pPr>
        <w:adjustRightInd w:val="0"/>
        <w:snapToGrid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承包人在负责工程照管期间，如因自身原因造成合同工程或其任何部分，以及工程材料和工程设备或临时工程的损坏，承包人应自费修复上述损坏，保证合同工程质量达到合同约定的标准。</w:t>
      </w:r>
    </w:p>
    <w:p w14:paraId="1241EA15">
      <w:pPr>
        <w:adjustRightInd w:val="0"/>
        <w:snapToGrid w:val="0"/>
        <w:spacing w:line="360" w:lineRule="auto"/>
        <w:rPr>
          <w:rFonts w:hint="eastAsia" w:ascii="仿宋" w:hAnsi="仿宋" w:eastAsia="仿宋" w:cs="仿宋"/>
          <w:b/>
          <w:bCs/>
          <w:color w:val="auto"/>
          <w:highlight w:val="none"/>
          <w:u w:val="single"/>
          <w:lang w:eastAsia="zh-CN"/>
        </w:rPr>
      </w:pPr>
    </w:p>
    <w:p w14:paraId="21CD1923">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0" w:name="_Toc10041"/>
      <w:r>
        <w:rPr>
          <w:rFonts w:hint="eastAsia" w:ascii="仿宋" w:hAnsi="仿宋" w:eastAsia="仿宋" w:cs="仿宋"/>
          <w:bCs w:val="0"/>
          <w:color w:val="auto"/>
          <w:sz w:val="24"/>
          <w:szCs w:val="24"/>
          <w:highlight w:val="none"/>
          <w:lang w:eastAsia="zh-CN"/>
        </w:rPr>
        <w:t>★52绿色施工安全防护</w:t>
      </w:r>
      <w:bookmarkEnd w:id="350"/>
    </w:p>
    <w:p w14:paraId="55458E9F">
      <w:pPr>
        <w:spacing w:line="360" w:lineRule="auto"/>
        <w:rPr>
          <w:rFonts w:hint="eastAsia" w:ascii="仿宋" w:hAnsi="仿宋" w:eastAsia="仿宋" w:cs="仿宋"/>
          <w:b/>
          <w:bCs/>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29952" behindDoc="0" locked="0" layoutInCell="1" allowOverlap="1">
                <wp:simplePos x="0" y="0"/>
                <wp:positionH relativeFrom="column">
                  <wp:posOffset>-114300</wp:posOffset>
                </wp:positionH>
                <wp:positionV relativeFrom="paragraph">
                  <wp:posOffset>194945</wp:posOffset>
                </wp:positionV>
                <wp:extent cx="910590" cy="539750"/>
                <wp:effectExtent l="0" t="0" r="0" b="0"/>
                <wp:wrapNone/>
                <wp:docPr id="669" name="文本框 866"/>
                <wp:cNvGraphicFramePr/>
                <a:graphic xmlns:a="http://schemas.openxmlformats.org/drawingml/2006/main">
                  <a:graphicData uri="http://schemas.microsoft.com/office/word/2010/wordprocessingShape">
                    <wps:wsp>
                      <wps:cNvSpPr txBox="1">
                        <a:spLocks noChangeArrowheads="1"/>
                      </wps:cNvSpPr>
                      <wps:spPr bwMode="auto">
                        <a:xfrm>
                          <a:off x="0" y="0"/>
                          <a:ext cx="910590" cy="539750"/>
                        </a:xfrm>
                        <a:prstGeom prst="rect">
                          <a:avLst/>
                        </a:prstGeom>
                        <a:noFill/>
                        <a:ln>
                          <a:noFill/>
                        </a:ln>
                        <a:effectLst/>
                      </wps:spPr>
                      <wps:txbx>
                        <w:txbxContent>
                          <w:p w14:paraId="061C3A44">
                            <w:pPr>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绿色施工安全防护的要求</w:t>
                            </w:r>
                          </w:p>
                        </w:txbxContent>
                      </wps:txbx>
                      <wps:bodyPr rot="0" vert="horz" wrap="square" lIns="91440" tIns="45720" rIns="91440" bIns="45720" anchor="t" anchorCtr="0" upright="1">
                        <a:noAutofit/>
                      </wps:bodyPr>
                    </wps:wsp>
                  </a:graphicData>
                </a:graphic>
              </wp:anchor>
            </w:drawing>
          </mc:Choice>
          <mc:Fallback>
            <w:pict>
              <v:shape id="文本框 866" o:spid="_x0000_s1026" o:spt="202" type="#_x0000_t202" style="position:absolute;left:0pt;margin-left:-9pt;margin-top:15.35pt;height:42.5pt;width:71.7pt;z-index:252029952;mso-width-relative:page;mso-height-relative:page;" filled="f" stroked="f" coordsize="21600,21600" o:gfxdata="UEsDBAoAAAAAAIdO4kAAAAAAAAAAAAAAAAAEAAAAZHJzL1BLAwQUAAAACACHTuJAT5n1vdgAAAAK&#10;AQAADwAAAGRycy9kb3ducmV2LnhtbE2PwW7CMBBE75X4B2uReoN1KCk0jcMB1Gur0oLUm4mXJGq8&#10;jmJD0r+vObW3Wc1o9k2+GW0rrtT7xrGCZC5BEJfONFwp+Px4ma1B+KDZ6NYxKfghD5ticpfrzLiB&#10;3+m6D5WIJewzraAOocsQfVmT1X7uOuLonV1vdYhnX6Hp9RDLbYsLKR/R6objh1p3tK2p/N5frILD&#10;6/nruJRv1c6m3eBGiWyfUKn7aSKfQQQaw18YbvgRHYrIdHIXNl60CmbJOm4JCh7kCsQtsEiXIE5R&#10;JOkKsMjx/4TiF1BLAwQUAAAACACHTuJAbEmdVx8CAAAmBAAADgAAAGRycy9lMm9Eb2MueG1srVPB&#10;bhMxEL0j8Q+W72STkKTNKpuqNCpCKhSp8AGO15u12PWYsZPd8AH0Dzhx4d7vyncw9m5DKJceuFi2&#10;Z/xm3pvnxUVbV2yn0GkwGR8NhpwpIyHXZpPxz5+uX51z5rwwuajAqIzvleMXy5cvFo1N1RhKqHKF&#10;jECMSxub8dJ7myaJk6WqhRuAVYaCBWAtPB1xk+QoGkKvq2Q8HM6SBjC3CFI5R7erLsh7RHwOIBSF&#10;lmoFclsr4ztUVJXwRMmV2jq+jN0WhZL+tiic8qzKODH1caUitF+HNVkuRLpBYUst+xbEc1p4wqkW&#10;2lDRI9RKeMG2qP+BqrVEcFD4gYQ66YhERYjFaPhEm7tSWBW5kNTOHkV3/w9Wfth9RKbzjM9mc86M&#10;qGnkhx/3h58Ph1/f2flsFiRqrEsp885Srm/fQEvGiXSdvQH5xTEDV6UwG3WJCE2pRE4tjsLL5ORp&#10;h+MCyLp5DzlVElsPEagtsA76kSKM0Gk8++N4VOuZpMv5aDidU0RSaPp6fjaN40tE+vjYovNvFdQs&#10;bDKONP0ILnY3zodmRPqYEmoZuNZVFR1Qmb8uKLG7UdFC/etAJXTf8fDtuu2lWUO+J1IInb3oc9Gm&#10;BPzGWUPWyrj7uhWoOKveGRJmPppMghfjYTI9G9MBTyPr04gwkqAy7jnrtle+8+/Wot6UVKkbhYFL&#10;ErPQkWhoteuqHwHZJ/LvrR78eXqOWX++9/I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5n1vdgA&#10;AAAKAQAADwAAAAAAAAABACAAAAAiAAAAZHJzL2Rvd25yZXYueG1sUEsBAhQAFAAAAAgAh07iQGxJ&#10;nVcfAgAAJgQAAA4AAAAAAAAAAQAgAAAAJwEAAGRycy9lMm9Eb2MueG1sUEsFBgAAAAAGAAYAWQEA&#10;ALgFAAAAAA==&#10;">
                <v:fill on="f" focussize="0,0"/>
                <v:stroke on="f"/>
                <v:imagedata o:title=""/>
                <o:lock v:ext="edit" aspectratio="f"/>
                <v:textbox>
                  <w:txbxContent>
                    <w:p w14:paraId="061C3A44">
                      <w:pPr>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绿色施工安全防护的要求</w:t>
                      </w:r>
                    </w:p>
                  </w:txbxContent>
                </v:textbox>
              </v:shape>
            </w:pict>
          </mc:Fallback>
        </mc:AlternateContent>
      </w:r>
      <w:r>
        <w:rPr>
          <w:rFonts w:hint="eastAsia" w:ascii="仿宋" w:hAnsi="仿宋" w:eastAsia="仿宋" w:cs="仿宋"/>
          <w:b/>
          <w:bCs/>
          <w:color w:val="auto"/>
          <w:highlight w:val="none"/>
          <w:lang w:eastAsia="zh-CN"/>
        </w:rPr>
        <w:t>52</w:t>
      </w:r>
      <w:r>
        <w:rPr>
          <w:rFonts w:ascii="仿宋" w:hAnsi="仿宋" w:eastAsia="仿宋" w:cs="仿宋"/>
          <w:b/>
          <w:bCs/>
          <w:color w:val="auto"/>
          <w:highlight w:val="none"/>
          <w:lang w:eastAsia="zh-CN"/>
        </w:rPr>
        <w:t>.1</w:t>
      </w:r>
    </w:p>
    <w:p w14:paraId="27CDF31A">
      <w:pPr>
        <w:widowControl w:val="0"/>
        <w:adjustRightInd w:val="0"/>
        <w:snapToGrid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当事人均应当遵守国家、省、市有关绿色施工安全防护的要求，合同当事人有特别要求的，应在专用合同条款中明确施工项目绿色施工安全防护标准化达标目标及相应事项。承包人有权拒绝发包人及监理人强令承包人违章作业、冒险施工的任何指示。</w:t>
      </w:r>
    </w:p>
    <w:p w14:paraId="1B467E02">
      <w:pPr>
        <w:adjustRightInd w:val="0"/>
        <w:snapToGrid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在施工过程中，如遇到地质突变、事先未知的地下施工障碍等影响施工安全的紧急情况，承包人应及时报告监理人和发包人，发包人应当及时下令停工并报政府有关行政管理部门采取应急措施。</w:t>
      </w:r>
    </w:p>
    <w:p w14:paraId="76E1A329">
      <w:pPr>
        <w:adjustRightInd w:val="0"/>
        <w:snapToGrid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发包人应组织承包人和有关单位进行安全检查，授权监理人按合同约定的绿色施工安全防护内容监督、检查承包人实施绿色施工安全防护，并按照第</w:t>
      </w:r>
      <w:r>
        <w:rPr>
          <w:rFonts w:ascii="仿宋" w:hAnsi="仿宋" w:eastAsia="仿宋" w:cs="仿宋"/>
          <w:color w:val="auto"/>
          <w:highlight w:val="none"/>
          <w:lang w:eastAsia="zh-CN"/>
        </w:rPr>
        <w:t>8</w:t>
      </w:r>
      <w:r>
        <w:rPr>
          <w:rFonts w:hint="eastAsia" w:ascii="仿宋" w:hAnsi="仿宋" w:eastAsia="仿宋" w:cs="仿宋"/>
          <w:color w:val="auto"/>
          <w:highlight w:val="none"/>
          <w:lang w:eastAsia="zh-CN"/>
        </w:rPr>
        <w:t>5条约定及时向承包人支付绿色施工安全防护费。</w:t>
      </w:r>
    </w:p>
    <w:p w14:paraId="075D3E28">
      <w:pPr>
        <w:adjustRightInd w:val="0"/>
        <w:snapToGrid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应及时执行监理人发出的绿色施工安全防护的工作指令，并按合同约定的期限和绿色施工安全防护内容编制绿色施工安全防护措施计划，包括施工扬尘污染防治措施、用工实名管理等各类专项方案计划，以及淤泥运输方案并承诺使用专用运输工具运输，提交给监理人并由其报发包人批准后实施。</w:t>
      </w:r>
    </w:p>
    <w:p w14:paraId="2060C5DB">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52</w:t>
      </w:r>
      <w:r>
        <w:rPr>
          <w:rFonts w:ascii="仿宋" w:hAnsi="仿宋" w:eastAsia="仿宋" w:cs="仿宋"/>
          <w:b/>
          <w:bCs/>
          <w:color w:val="auto"/>
          <w:highlight w:val="none"/>
          <w:lang w:eastAsia="zh-CN"/>
        </w:rPr>
        <w:t>.2</w:t>
      </w:r>
    </w:p>
    <w:p w14:paraId="1130196E">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120064" behindDoc="0" locked="0" layoutInCell="1" allowOverlap="1">
                <wp:simplePos x="0" y="0"/>
                <wp:positionH relativeFrom="column">
                  <wp:posOffset>-114300</wp:posOffset>
                </wp:positionH>
                <wp:positionV relativeFrom="paragraph">
                  <wp:posOffset>1270</wp:posOffset>
                </wp:positionV>
                <wp:extent cx="833755" cy="647700"/>
                <wp:effectExtent l="0" t="0" r="0" b="0"/>
                <wp:wrapNone/>
                <wp:docPr id="670" name="文本框 956"/>
                <wp:cNvGraphicFramePr/>
                <a:graphic xmlns:a="http://schemas.openxmlformats.org/drawingml/2006/main">
                  <a:graphicData uri="http://schemas.microsoft.com/office/word/2010/wordprocessingShape">
                    <wps:wsp>
                      <wps:cNvSpPr txBox="1">
                        <a:spLocks noChangeArrowheads="1"/>
                      </wps:cNvSpPr>
                      <wps:spPr bwMode="auto">
                        <a:xfrm>
                          <a:off x="0" y="0"/>
                          <a:ext cx="833755" cy="647700"/>
                        </a:xfrm>
                        <a:prstGeom prst="rect">
                          <a:avLst/>
                        </a:prstGeom>
                        <a:noFill/>
                        <a:ln>
                          <a:noFill/>
                        </a:ln>
                        <a:effectLst/>
                      </wps:spPr>
                      <wps:txbx>
                        <w:txbxContent>
                          <w:p w14:paraId="50049566">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用工实名制、工人工资支付分账管理</w:t>
                            </w:r>
                          </w:p>
                        </w:txbxContent>
                      </wps:txbx>
                      <wps:bodyPr rot="0" vert="horz" wrap="square" lIns="91440" tIns="45720" rIns="91440" bIns="45720" anchor="t" anchorCtr="0" upright="1">
                        <a:noAutofit/>
                      </wps:bodyPr>
                    </wps:wsp>
                  </a:graphicData>
                </a:graphic>
              </wp:anchor>
            </w:drawing>
          </mc:Choice>
          <mc:Fallback>
            <w:pict>
              <v:shape id="文本框 956" o:spid="_x0000_s1026" o:spt="202" type="#_x0000_t202" style="position:absolute;left:0pt;margin-left:-9pt;margin-top:0.1pt;height:51pt;width:65.65pt;z-index:252120064;mso-width-relative:page;mso-height-relative:page;" filled="f" stroked="f" coordsize="21600,21600" o:gfxdata="UEsDBAoAAAAAAIdO4kAAAAAAAAAAAAAAAAAEAAAAZHJzL1BLAwQUAAAACACHTuJAQ3vgqdUAAAAI&#10;AQAADwAAAGRycy9kb3ducmV2LnhtbE2PwU7DMBBE70j8g7VI3Fo7KaASsukBxBVEC0jctvE2iYjX&#10;Uew24e9xT3Cb1axm3pSb2fXqxGPovCBkSwOKpfa2kwbhffe8WIMKkcRS74URfjjAprq8KKmwfpI3&#10;Pm1jo1KIhIIQ2hiHQutQt+woLP3AkryDHx3FdI6NtiNNKdz1OjfmTjvqJDW0NPBjy/X39ugQPl4O&#10;X5835rV5crfD5Gejxd1rxOurzDyAijzHv2c44yd0qBLT3h/FBtUjLLJ12hIRclBnO1utQO2TMHkO&#10;uir1/wHVL1BLAwQUAAAACACHTuJA0asitiACAAAmBAAADgAAAGRycy9lMm9Eb2MueG1srVPNbhMx&#10;EL4j8Q6W72STND/tKpuqNCpCKlCp8ACO15u12PWYsZPd8ADwBpy4cO9z5TkYe7chlEsPXCzbM/5m&#10;vm8+Ly7bumI7hU6DyfhoMORMGQm5NpuMf/p48+qcM+eFyUUFRmV8rxy/XL58sWhsqsZQQpUrZARi&#10;XNrYjJfe2zRJnCxVLdwArDIULABr4emImyRH0RB6XSXj4XCWNIC5RZDKObpddUHeI+JzAKEotFQr&#10;kNtaGd+hoqqEJ0qu1NbxZey2KJT0H4rCKc+qjBNTH1cqQvt1WJPlQqQbFLbUsm9BPKeFJ5xqoQ0V&#10;PUKthBdsi/ofqFpLBAeFH0iok45IVIRYjIZPtLkvhVWRC0nt7FF09/9g5fvdHTKdZ3w2J02MqGnk&#10;hx/fDz8fDr++sYvpLEjUWJdS5r2lXN++hpaME+k6ewvys2MGrkthNuoKEZpSiZxaHIWXycnTDscF&#10;kHXzDnKqJLYeIlBbYB30I0UYoVMr++N4VOuZpMvzs7P5dMqZpNBsMp8P4/gSkT4+tuj8GwU1C5uM&#10;I00/govdrfOhGZE+poRaBm50VUUHVOavC0rsblS0UP86UAnddzx8u257adaQ74kUQmcv+ly0KQG/&#10;ctaQtTLuvmwFKs6qt4aEuRhNJsGL8TCZzsd0wNPI+jQijCSojHvOuu217/y7tag3JVXqRmHgisQs&#10;dCQaWu266kdA9on8e6sHf56eY9af773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N74KnVAAAA&#10;CAEAAA8AAAAAAAAAAQAgAAAAIgAAAGRycy9kb3ducmV2LnhtbFBLAQIUABQAAAAIAIdO4kDRqyK2&#10;IAIAACYEAAAOAAAAAAAAAAEAIAAAACQBAABkcnMvZTJvRG9jLnhtbFBLBQYAAAAABgAGAFkBAAC2&#10;BQAAAAA=&#10;">
                <v:fill on="f" focussize="0,0"/>
                <v:stroke on="f"/>
                <v:imagedata o:title=""/>
                <o:lock v:ext="edit" aspectratio="f"/>
                <v:textbox>
                  <w:txbxContent>
                    <w:p w14:paraId="50049566">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用工实名制、工人工资支付分账管理</w:t>
                      </w:r>
                    </w:p>
                  </w:txbxContent>
                </v:textbox>
              </v:shape>
            </w:pict>
          </mc:Fallback>
        </mc:AlternateContent>
      </w:r>
      <w:r>
        <w:rPr>
          <w:rFonts w:hint="eastAsia" w:ascii="仿宋" w:hAnsi="仿宋" w:eastAsia="仿宋" w:cs="仿宋"/>
          <w:color w:val="auto"/>
          <w:highlight w:val="none"/>
          <w:lang w:eastAsia="zh-CN"/>
        </w:rPr>
        <w:t>本项目按照国家、省、市有关规定落实建设项目劳动用工实名制、工人工资支付分账管理。发包人应当按照合同约定及时拨付工程款，并将人工费用及时足额拨付至农民工工资专用账户，加强对承包人按时足额支付农民工工资的监督，协调建设项目的工人工资支付事宜。承包人对建设项目劳动用工实名制和工人工资支付分账管理负总责，应当按照有关规定开设农民工工资专用账户，专项用于支付建设项目农民工工资，对分包人劳动用工和工资发放等情况进行监督。分包人对所招用农民工的实名制管理和工资支付负直接责任，配合总承包企业做好相关工作。发包人、承包人、分包人存在违反有关规定情形的，需承担相应的责任。</w:t>
      </w:r>
    </w:p>
    <w:p w14:paraId="679629AC">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52</w:t>
      </w:r>
      <w:r>
        <w:rPr>
          <w:rFonts w:ascii="仿宋" w:hAnsi="仿宋" w:eastAsia="仿宋" w:cs="仿宋"/>
          <w:b/>
          <w:bCs/>
          <w:color w:val="auto"/>
          <w:highlight w:val="none"/>
          <w:lang w:eastAsia="zh-CN"/>
        </w:rPr>
        <w:t>.3</w:t>
      </w:r>
    </w:p>
    <w:p w14:paraId="4D28C5D4">
      <w:pPr>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93408" behindDoc="0" locked="0" layoutInCell="1" allowOverlap="1">
                <wp:simplePos x="0" y="0"/>
                <wp:positionH relativeFrom="column">
                  <wp:posOffset>-114300</wp:posOffset>
                </wp:positionH>
                <wp:positionV relativeFrom="paragraph">
                  <wp:posOffset>1270</wp:posOffset>
                </wp:positionV>
                <wp:extent cx="853440" cy="486410"/>
                <wp:effectExtent l="0" t="0" r="0" b="0"/>
                <wp:wrapNone/>
                <wp:docPr id="671" name="文本框 867"/>
                <wp:cNvGraphicFramePr/>
                <a:graphic xmlns:a="http://schemas.openxmlformats.org/drawingml/2006/main">
                  <a:graphicData uri="http://schemas.microsoft.com/office/word/2010/wordprocessingShape">
                    <wps:wsp>
                      <wps:cNvSpPr txBox="1">
                        <a:spLocks noChangeArrowheads="1"/>
                      </wps:cNvSpPr>
                      <wps:spPr bwMode="auto">
                        <a:xfrm>
                          <a:off x="0" y="0"/>
                          <a:ext cx="853440" cy="486410"/>
                        </a:xfrm>
                        <a:prstGeom prst="rect">
                          <a:avLst/>
                        </a:prstGeom>
                        <a:noFill/>
                        <a:ln>
                          <a:noFill/>
                        </a:ln>
                        <a:effectLst/>
                      </wps:spPr>
                      <wps:txbx>
                        <w:txbxContent>
                          <w:p w14:paraId="256D9F3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发包人责任</w:t>
                            </w:r>
                          </w:p>
                        </w:txbxContent>
                      </wps:txbx>
                      <wps:bodyPr rot="0" vert="horz" wrap="square" lIns="91440" tIns="45720" rIns="91440" bIns="45720" anchor="t" anchorCtr="0" upright="1">
                        <a:noAutofit/>
                      </wps:bodyPr>
                    </wps:wsp>
                  </a:graphicData>
                </a:graphic>
              </wp:anchor>
            </w:drawing>
          </mc:Choice>
          <mc:Fallback>
            <w:pict>
              <v:shape id="文本框 867" o:spid="_x0000_s1026" o:spt="202" type="#_x0000_t202" style="position:absolute;left:0pt;margin-left:-9pt;margin-top:0.1pt;height:38.3pt;width:67.2pt;z-index:251793408;mso-width-relative:page;mso-height-relative:page;" filled="f" stroked="f" coordsize="21600,21600" o:gfxdata="UEsDBAoAAAAAAIdO4kAAAAAAAAAAAAAAAAAEAAAAZHJzL1BLAwQUAAAACACHTuJAMEIIa9UAAAAH&#10;AQAADwAAAGRycy9kb3ducmV2LnhtbE2PzW7CMBCE75V4B2srcQM7iKYhZMOBqleq0h+pNxMvSdR4&#10;HcWGpG9fc2qPoxnNfFPsJtuJKw2+dYyQLBUI4sqZlmuE97fnRQbCB81Gd44J4Yc87MrZXaFz40Z+&#10;pesx1CKWsM81QhNCn0vpq4as9kvXE0fv7AarQ5RDLc2gx1huO7lSKpVWtxwXGt3TvqHq+3ixCB+H&#10;89fnWr3UT/ahH92kJNuNRJzfJ2oLItAU/sJww4/oUEamk7uw8aJDWCRZ/BIQViBudpKuQZwQHtMM&#10;ZFnI//zlL1BLAwQUAAAACACHTuJA5M/KUR4CAAAmBAAADgAAAGRycy9lMm9Eb2MueG1srVPNjtMw&#10;EL4j8Q6W7zRN6bYlarpatlqEtPxICw/gOk5jkXjM2G1SHgDegBMX7jxXn4Oxky1lueyBi2V7xt/M&#10;983n5WXX1Gyv0GkwOU9HY86UkVBos835xw83zxacOS9MIWowKucH5fjl6umTZWszNYEK6kIhIxDj&#10;stbmvPLeZkniZKUa4UZglaFgCdgIT0fcJgWKltCbOpmMx7OkBSwsglTO0e26D/IBER8DCGWppVqD&#10;3DXK+B4VVS08UXKVto6vYrdlqaR/V5ZOeVbnnJj6uFIR2m/CmqyWItuisJWWQwviMS084NQIbajo&#10;CWotvGA71P9ANVoiOCj9SEKT9ESiIsQiHT/Q5q4SVkUuJLWzJ9Hd/4OVb/fvkeki57N5ypkRDY38&#10;+P3b8cev48+vbDGbB4la6zLKvLOU67uX0JFxIl1nb0F+cszAdSXMVl0hQlspUVCLaXiZnD3tcVwA&#10;2bRvoKBKYuchAnUlNkE/UoQROo3ncBqP6jyTdLm4eD6dUkRSaLqYTdM4vkRk948tOv9KQcPCJudI&#10;04/gYn/rfGhGZPcpoZaBG13X0QG1+euCEvsbFS00vA5UQvc9D99tukGaDRQHIoXQ24s+F20qwC+c&#10;tWStnLvPO4GKs/q1IWFepJGGj4fpxXxCnPA8sjmPCCMJKuees3577Xv/7izqbUWV+lEYuCIxSx2J&#10;hlb7roYRkH0i/8HqwZ/n55j153u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wQghr1QAAAAcB&#10;AAAPAAAAAAAAAAEAIAAAACIAAABkcnMvZG93bnJldi54bWxQSwECFAAUAAAACACHTuJA5M/KUR4C&#10;AAAmBAAADgAAAAAAAAABACAAAAAkAQAAZHJzL2Uyb0RvYy54bWxQSwUGAAAAAAYABgBZAQAAtAUA&#10;AAAA&#10;">
                <v:fill on="f" focussize="0,0"/>
                <v:stroke on="f"/>
                <v:imagedata o:title=""/>
                <o:lock v:ext="edit" aspectratio="f"/>
                <v:textbox>
                  <w:txbxContent>
                    <w:p w14:paraId="256D9F3F">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发包人责任</w:t>
                      </w:r>
                    </w:p>
                  </w:txbxContent>
                </v:textbox>
              </v:shape>
            </w:pict>
          </mc:Fallback>
        </mc:AlternateContent>
      </w:r>
      <w:r>
        <w:rPr>
          <w:rFonts w:hint="eastAsia" w:ascii="仿宋" w:hAnsi="仿宋" w:eastAsia="仿宋" w:cs="仿宋"/>
          <w:color w:val="auto"/>
          <w:highlight w:val="none"/>
          <w:lang w:eastAsia="zh-CN"/>
        </w:rPr>
        <w:t>在合同工程实施、完成及保修期间，发包人承担下列责任：</w:t>
      </w:r>
    </w:p>
    <w:p w14:paraId="0F9BFDCA">
      <w:pPr>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）发包人应配合承包人做好绿色施工安全防护工作，定期对其现场机构全部人员进行绿色施工安全防护教育和培训。</w:t>
      </w:r>
    </w:p>
    <w:p w14:paraId="3646BBE9">
      <w:pPr>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）发包人应对其现场机构全部人员的安全事故承担责任，但由于承包人原因造成发包人人员安全事故的，应由承包人承担责任。</w:t>
      </w:r>
    </w:p>
    <w:p w14:paraId="58D63277">
      <w:pPr>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）发包人有下列行为之一或由于发包人原因造成安全事故的，由发包人承担责任，由此增加的费用和延误的工期由发包人承担。</w:t>
      </w:r>
    </w:p>
    <w:p w14:paraId="5F1604B2">
      <w:pPr>
        <w:tabs>
          <w:tab w:val="left" w:pos="1980"/>
        </w:tabs>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 要求承包人违反绿色施工安全防护操作规程施工的；</w:t>
      </w:r>
    </w:p>
    <w:p w14:paraId="6913C0E6">
      <w:pPr>
        <w:tabs>
          <w:tab w:val="left" w:pos="1980"/>
        </w:tabs>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② 对承包人提出不符合国家、省有关绿色施工安全防护法律和强制性标准规定要求的；</w:t>
      </w:r>
    </w:p>
    <w:p w14:paraId="05F8311F">
      <w:pPr>
        <w:tabs>
          <w:tab w:val="left" w:pos="1980"/>
        </w:tabs>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③ 明示或暗示承包人购买、租赁、使用不符合安全施工要求的安全防护用具、施工机具的。</w:t>
      </w:r>
    </w:p>
    <w:p w14:paraId="26CA80A2">
      <w:pPr>
        <w:tabs>
          <w:tab w:val="left" w:pos="1980"/>
        </w:tabs>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）发包人应负责赔偿下列情形造成的第三者人身伤亡和财产损失。</w:t>
      </w:r>
    </w:p>
    <w:p w14:paraId="31965F3E">
      <w:pPr>
        <w:tabs>
          <w:tab w:val="left" w:pos="1980"/>
        </w:tabs>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 工程或工程的任何部分对土地的占用所造成的第三者财产损失；</w:t>
      </w:r>
    </w:p>
    <w:p w14:paraId="4749505B">
      <w:pPr>
        <w:tabs>
          <w:tab w:val="left" w:pos="1980"/>
        </w:tabs>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② 由于发包人原因在施工场地及其毗邻区域造成的第三者人身伤亡和财产损失。</w:t>
      </w:r>
    </w:p>
    <w:p w14:paraId="43515838">
      <w:pPr>
        <w:spacing w:line="360" w:lineRule="auto"/>
        <w:rPr>
          <w:rFonts w:hint="eastAsia" w:ascii="仿宋" w:hAnsi="仿宋" w:eastAsia="仿宋" w:cs="仿宋"/>
          <w:color w:val="auto"/>
          <w:highlight w:val="none"/>
          <w:u w:val="dotted"/>
          <w:lang w:eastAsia="zh-CN"/>
        </w:rPr>
      </w:pPr>
      <w:r>
        <w:rPr>
          <w:rFonts w:hint="eastAsia" w:ascii="仿宋" w:hAnsi="仿宋" w:eastAsia="仿宋" w:cs="仿宋"/>
          <w:b/>
          <w:bCs/>
          <w:color w:val="auto"/>
          <w:highlight w:val="none"/>
          <w:lang w:eastAsia="zh-CN"/>
        </w:rPr>
        <w:t>52</w:t>
      </w:r>
      <w:r>
        <w:rPr>
          <w:rFonts w:ascii="仿宋" w:hAnsi="仿宋" w:eastAsia="仿宋" w:cs="仿宋"/>
          <w:b/>
          <w:bCs/>
          <w:color w:val="auto"/>
          <w:highlight w:val="none"/>
          <w:lang w:eastAsia="zh-CN"/>
        </w:rPr>
        <w:t>.4</w:t>
      </w:r>
    </w:p>
    <w:p w14:paraId="29491F1B">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94432" behindDoc="0" locked="0" layoutInCell="1" allowOverlap="1">
                <wp:simplePos x="0" y="0"/>
                <wp:positionH relativeFrom="column">
                  <wp:posOffset>-114300</wp:posOffset>
                </wp:positionH>
                <wp:positionV relativeFrom="paragraph">
                  <wp:posOffset>198120</wp:posOffset>
                </wp:positionV>
                <wp:extent cx="847725" cy="461645"/>
                <wp:effectExtent l="0" t="0" r="0" b="0"/>
                <wp:wrapNone/>
                <wp:docPr id="672" name="文本框 868"/>
                <wp:cNvGraphicFramePr/>
                <a:graphic xmlns:a="http://schemas.openxmlformats.org/drawingml/2006/main">
                  <a:graphicData uri="http://schemas.microsoft.com/office/word/2010/wordprocessingShape">
                    <wps:wsp>
                      <wps:cNvSpPr txBox="1">
                        <a:spLocks noChangeArrowheads="1"/>
                      </wps:cNvSpPr>
                      <wps:spPr bwMode="auto">
                        <a:xfrm>
                          <a:off x="0" y="0"/>
                          <a:ext cx="847725" cy="461645"/>
                        </a:xfrm>
                        <a:prstGeom prst="rect">
                          <a:avLst/>
                        </a:prstGeom>
                        <a:noFill/>
                        <a:ln>
                          <a:noFill/>
                        </a:ln>
                        <a:effectLst/>
                      </wps:spPr>
                      <wps:txbx>
                        <w:txbxContent>
                          <w:p w14:paraId="43BAFE0E">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承包人责任</w:t>
                            </w:r>
                          </w:p>
                        </w:txbxContent>
                      </wps:txbx>
                      <wps:bodyPr rot="0" vert="horz" wrap="square" lIns="91440" tIns="45720" rIns="91440" bIns="45720" anchor="t" anchorCtr="0" upright="1">
                        <a:noAutofit/>
                      </wps:bodyPr>
                    </wps:wsp>
                  </a:graphicData>
                </a:graphic>
              </wp:anchor>
            </w:drawing>
          </mc:Choice>
          <mc:Fallback>
            <w:pict>
              <v:shape id="文本框 868" o:spid="_x0000_s1026" o:spt="202" type="#_x0000_t202" style="position:absolute;left:0pt;margin-left:-9pt;margin-top:15.6pt;height:36.35pt;width:66.75pt;z-index:251794432;mso-width-relative:page;mso-height-relative:page;" filled="f" stroked="f" coordsize="21600,21600" o:gfxdata="UEsDBAoAAAAAAIdO4kAAAAAAAAAAAAAAAAAEAAAAZHJzL1BLAwQUAAAACACHTuJA1fVOFNcAAAAK&#10;AQAADwAAAGRycy9kb3ducmV2LnhtbE2PwU7DMBBE70j8g7VI3FrbLUFtGqcHEFcQLSD1to23SUS8&#10;jmK3CX+Pe4LbrGY0+6bYTq4TFxpC69mAnisQxJW3LdcGPvYvsxWIEJEtdp7JwA8F2Ja3NwXm1o/8&#10;TpddrEUq4ZCjgSbGPpcyVA05DHPfEyfv5AeHMZ1DLe2AYyp3nVwo9Sgdtpw+NNjTU0PV9+7sDHy+&#10;ng5fD+qtfnZZP/pJSXZracz9nVYbEJGm+BeGK35ChzIxHf2ZbRCdgZlepS3RwFIvQFwDOstAHJNQ&#10;yzXIspD/J5S/UEsDBBQAAAAIAIdO4kAceCULHwIAACYEAAAOAAAAZHJzL2Uyb0RvYy54bWytU0tu&#10;2zAQ3RfoHQjua9mG/KlgOUhjpCiQfoC0B6ApyiIqcdghbSk9QHuDrLrpvufyOTqkFNdNN1l0Q5Cc&#10;4Zt5bx5XF11Ts4NCp8HkfDIac6aMhEKbXc4/fbx+seTMeWEKUYNROb9Tjl+snz9btTZTU6igLhQy&#10;AjEua23OK+9tliROVqoRbgRWGQqWgI3wdMRdUqBoCb2pk+l4PE9awMIiSOUc3W76IB8Q8SmAUJZa&#10;qg3IfaOM71FR1cITJVdp6/g6dluWSvr3ZemUZ3XOiamPKxWh/TasyXolsh0KW2k5tCCe0sIjTo3Q&#10;hoqeoDbCC7ZH/Q9UoyWCg9KPJDRJTyQqQiwm40fa3FbCqsiFpHb2JLr7f7Dy3eEDMl3kfL6YcmZE&#10;QyM/3n8//vh1/PmNLefLIFFrXUaZt5ZyffcKOjJOpOvsDcjPjhm4qoTZqUtEaCslCmpxEl4mZ097&#10;HBdAtu1bKKiS2HuIQF2JTdCPFGGETuO5O41HdZ5Julymi8V0xpmkUDqfzNNZrCCyh8cWnX+toGFh&#10;k3Ok6UdwcbhxPjQjsoeUUMvAta7r6IDa/HVBif2NihYaXgcqofueh++23SDNFoo7IoXQ24s+F20q&#10;wK+ctWStnLsve4GKs/qNIWFeTtI0eDEe0tliSgc8j2zPI8JIgsq556zfXvnev3uLeldRpX4UBi5J&#10;zFJHoqHVvqthBGSfyH+wevDn+Tlm/fne6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V9U4U1wAA&#10;AAoBAAAPAAAAAAAAAAEAIAAAACIAAABkcnMvZG93bnJldi54bWxQSwECFAAUAAAACACHTuJAHHgl&#10;Cx8CAAAmBAAADgAAAAAAAAABACAAAAAmAQAAZHJzL2Uyb0RvYy54bWxQSwUGAAAAAAYABgBZAQAA&#10;twUAAAAA&#10;">
                <v:fill on="f" focussize="0,0"/>
                <v:stroke on="f"/>
                <v:imagedata o:title=""/>
                <o:lock v:ext="edit" aspectratio="f"/>
                <v:textbox>
                  <w:txbxContent>
                    <w:p w14:paraId="43BAFE0E">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承包人责任</w:t>
                      </w:r>
                    </w:p>
                  </w:txbxContent>
                </v:textbox>
              </v:shape>
            </w:pict>
          </mc:Fallback>
        </mc:AlternateContent>
      </w:r>
      <w:r>
        <w:rPr>
          <w:rFonts w:hint="eastAsia" w:ascii="仿宋" w:hAnsi="仿宋" w:eastAsia="仿宋" w:cs="仿宋"/>
          <w:color w:val="auto"/>
          <w:highlight w:val="none"/>
          <w:lang w:eastAsia="zh-CN"/>
        </w:rPr>
        <w:t>在合同工程实施、完成及保修期间，承包人承担下列责任：</w:t>
      </w:r>
    </w:p>
    <w:p w14:paraId="2815E16D">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）承包人应严格按照国家、省、市有关绿色施工安全防护的标准规范制定绿色施工安全防护操作规程，配备必要的安全生产和劳动保护设施，加强对承包人人员的施工安全教育和培训。</w:t>
      </w:r>
    </w:p>
    <w:p w14:paraId="466EB9BD">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）承包人应对合同工程的绿色施工安全防护负责，采取有效的安全措施消除安全事故隐患，并接受和配合政府有关部门实施的监督检查。</w:t>
      </w:r>
    </w:p>
    <w:p w14:paraId="267ED0A7">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）承包人应加强施工作业安全管理，特别应加强使用易燃、易爆、有毒与腐蚀性材料，以及爆破和地下施工等危险作业的安全管理，尽量避免人员伤亡和财产损失。</w:t>
      </w:r>
    </w:p>
    <w:p w14:paraId="41236296">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）承包人应按监理人的指令制定应对灾害的应急预案，并按预案做好安全检查，配置必要的救助物资和器材，切实保护好有关人员的人身和财产安全。</w:t>
      </w:r>
    </w:p>
    <w:p w14:paraId="053258AB">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）承包人违反本条约定或由于承包人原因造成安全事故的，由承包人承担责任，由此增加的费用和延误的工期由承包人承担。</w:t>
      </w:r>
    </w:p>
    <w:p w14:paraId="3CFAD657">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6</w:t>
      </w:r>
      <w:r>
        <w:rPr>
          <w:rFonts w:hint="eastAsia" w:ascii="仿宋" w:hAnsi="仿宋" w:eastAsia="仿宋" w:cs="仿宋"/>
          <w:color w:val="auto"/>
          <w:highlight w:val="none"/>
          <w:lang w:eastAsia="zh-CN"/>
        </w:rPr>
        <w:t>）承包人应对其履行合同所雇佣的全部人员，包括分包人人员的安全事故承担责任，但由于发包人原因造成承包人人员安全事故的，应由发包人承担责任。</w:t>
      </w:r>
    </w:p>
    <w:p w14:paraId="32DCA3A3">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）由于承包人原因在施工场地内及其毗邻区域造成的第三者人身伤亡和财产损失，由承包人负责赔偿。</w:t>
      </w:r>
    </w:p>
    <w:p w14:paraId="07606268">
      <w:pPr>
        <w:spacing w:line="360" w:lineRule="auto"/>
        <w:rPr>
          <w:rFonts w:hint="eastAsia" w:ascii="仿宋" w:hAnsi="仿宋" w:eastAsia="仿宋" w:cs="仿宋"/>
          <w:color w:val="auto"/>
          <w:highlight w:val="none"/>
          <w:u w:val="dotted"/>
          <w:lang w:eastAsia="zh-CN"/>
        </w:rPr>
      </w:pPr>
      <w:r>
        <w:rPr>
          <w:rFonts w:hint="eastAsia" w:ascii="仿宋" w:hAnsi="仿宋" w:eastAsia="仿宋" w:cs="仿宋"/>
          <w:b/>
          <w:bCs/>
          <w:color w:val="auto"/>
          <w:highlight w:val="none"/>
          <w:lang w:eastAsia="zh-CN"/>
        </w:rPr>
        <w:t>52</w:t>
      </w:r>
      <w:r>
        <w:rPr>
          <w:rFonts w:ascii="仿宋" w:hAnsi="仿宋" w:eastAsia="仿宋" w:cs="仿宋"/>
          <w:b/>
          <w:bCs/>
          <w:color w:val="auto"/>
          <w:highlight w:val="none"/>
          <w:lang w:eastAsia="zh-CN"/>
        </w:rPr>
        <w:t>.5</w:t>
      </w:r>
    </w:p>
    <w:p w14:paraId="7683EB26">
      <w:pPr>
        <w:adjustRightInd w:val="0"/>
        <w:snapToGrid w:val="0"/>
        <w:spacing w:line="360" w:lineRule="auto"/>
        <w:ind w:left="1850" w:leftChars="771"/>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95456" behindDoc="0" locked="0" layoutInCell="1" allowOverlap="1">
                <wp:simplePos x="0" y="0"/>
                <wp:positionH relativeFrom="column">
                  <wp:posOffset>-114300</wp:posOffset>
                </wp:positionH>
                <wp:positionV relativeFrom="paragraph">
                  <wp:posOffset>71120</wp:posOffset>
                </wp:positionV>
                <wp:extent cx="791210" cy="519430"/>
                <wp:effectExtent l="0" t="0" r="0" b="0"/>
                <wp:wrapNone/>
                <wp:docPr id="673" name="文本框 869"/>
                <wp:cNvGraphicFramePr/>
                <a:graphic xmlns:a="http://schemas.openxmlformats.org/drawingml/2006/main">
                  <a:graphicData uri="http://schemas.microsoft.com/office/word/2010/wordprocessingShape">
                    <wps:wsp>
                      <wps:cNvSpPr txBox="1">
                        <a:spLocks noChangeArrowheads="1"/>
                      </wps:cNvSpPr>
                      <wps:spPr bwMode="auto">
                        <a:xfrm>
                          <a:off x="0" y="0"/>
                          <a:ext cx="791210" cy="519430"/>
                        </a:xfrm>
                        <a:prstGeom prst="rect">
                          <a:avLst/>
                        </a:prstGeom>
                        <a:noFill/>
                        <a:ln>
                          <a:noFill/>
                        </a:ln>
                        <a:effectLst/>
                      </wps:spPr>
                      <wps:txbx>
                        <w:txbxContent>
                          <w:p w14:paraId="3BDB2BD2">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施工措施的审查与整改</w:t>
                            </w:r>
                          </w:p>
                        </w:txbxContent>
                      </wps:txbx>
                      <wps:bodyPr rot="0" vert="horz" wrap="square" lIns="91440" tIns="45720" rIns="91440" bIns="45720" anchor="t" anchorCtr="0" upright="1">
                        <a:noAutofit/>
                      </wps:bodyPr>
                    </wps:wsp>
                  </a:graphicData>
                </a:graphic>
              </wp:anchor>
            </w:drawing>
          </mc:Choice>
          <mc:Fallback>
            <w:pict>
              <v:shape id="文本框 869" o:spid="_x0000_s1026" o:spt="202" type="#_x0000_t202" style="position:absolute;left:0pt;margin-left:-9pt;margin-top:5.6pt;height:40.9pt;width:62.3pt;z-index:251795456;mso-width-relative:page;mso-height-relative:page;" filled="f" stroked="f" coordsize="21600,21600" o:gfxdata="UEsDBAoAAAAAAIdO4kAAAAAAAAAAAAAAAAAEAAAAZHJzL1BLAwQUAAAACACHTuJAdrs/ZNYAAAAJ&#10;AQAADwAAAGRycy9kb3ducmV2LnhtbE2PzU7DMBCE70i8g7VI3Fo7BaI2xOkBxBVE+ZG4beNtEhGv&#10;o9htwtuzPcFxNKOZb8rt7Ht1ojF2gS1kSwOKuA6u48bC+9vTYg0qJmSHfWCy8EMRttXlRYmFCxO/&#10;0mmXGiUlHAu00KY0FFrHuiWPcRkGYvEOYfSYRI6NdiNOUu57vTIm1x47loUWB3poqf7eHb2Fj+fD&#10;1+eteWke/d0whdlo9htt7fVVZu5BJZrTXxjO+IIOlTDtw5FdVL2FRbaWL0mMbAXqHDB5DmpvYXNj&#10;QFel/v+g+gVQSwMEFAAAAAgAh07iQDG526QgAgAAJgQAAA4AAABkcnMvZTJvRG9jLnhtbK1TS27b&#10;MBDdF+gdCO5rWY7jxILlII2RokD6AdIegKYoi6jEYYe0JfcA7Q266qb7nsvn6JBSXDfdZNENQXKG&#10;b+a9eVxcdU3NdgqdBpPzdDTmTBkJhTabnH/8cPvikjPnhSlEDUblfK8cv1o+f7ZobaYmUEFdKGQE&#10;YlzW2pxX3tssSZysVCPcCKwyFCwBG+HpiJukQNESelMnk/F4lrSAhUWQyjm6XfVBPiDiUwChLLVU&#10;K5DbRhnfo6KqhSdKrtLW8WXstiyV9O/K0inP6pwTUx9XKkL7dViT5UJkGxS20nJoQTylhUecGqEN&#10;FT1CrYQXbIv6H6hGSwQHpR9JaJKeSFSEWKTjR9rcV8KqyIWkdvYouvt/sPLt7j0yXeR8dnHGmREN&#10;jfzw/dvhx6/Dz6/scjYPErXWZZR5bynXdy+hI+NEus7egfzkmIGbSpiNukaEtlKioBbT8DI5edrj&#10;uACybt9AQZXE1kME6kpsgn6kCCN0Gs/+OB7VeSbp8mKeTlKKSAqdp/PpWRxfIrKHxxadf6WgYWGT&#10;c6TpR3Cxu3M+NCOyh5RQy8CtruvogNr8dUGJ/Y2KFhpeByqh+56H79bdIM0aij2RQujtRZ+LNhXg&#10;F85aslbO3eetQMVZ/dqQMPN0Og1ejIfp+cWEDngaWZ9GhJEElXPPWb+98b1/txb1pqJK/SgMXJOY&#10;pY5EQ6t9V8MIyD6R/2D14M/Tc8z6872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2uz9k1gAA&#10;AAkBAAAPAAAAAAAAAAEAIAAAACIAAABkcnMvZG93bnJldi54bWxQSwECFAAUAAAACACHTuJAMbnb&#10;pCACAAAmBAAADgAAAAAAAAABACAAAAAlAQAAZHJzL2Uyb0RvYy54bWxQSwUGAAAAAAYABgBZAQAA&#10;twUAAAAA&#10;">
                <v:fill on="f" focussize="0,0"/>
                <v:stroke on="f"/>
                <v:imagedata o:title=""/>
                <o:lock v:ext="edit" aspectratio="f"/>
                <v:textbox>
                  <w:txbxContent>
                    <w:p w14:paraId="3BDB2BD2">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施工措施的审查与整改</w:t>
                      </w:r>
                    </w:p>
                  </w:txbxContent>
                </v:textbox>
              </v:shape>
            </w:pict>
          </mc:Fallback>
        </mc:AlternateContent>
      </w:r>
      <w:r>
        <w:rPr>
          <w:rFonts w:hint="eastAsia" w:ascii="仿宋" w:hAnsi="仿宋" w:eastAsia="仿宋" w:cs="仿宋"/>
          <w:color w:val="auto"/>
          <w:highlight w:val="none"/>
          <w:lang w:eastAsia="zh-CN"/>
        </w:rPr>
        <w:t>监理人应当审查施工组织设计中的安全技术措施或者专项施工方案是否符合建设行政主管部门的有关规定。监理人发现承包人未遵守安全生产和文明施工规定或施工现场存在安全事故隐患的，应以书面形式通知承包人整改；情况严重的，应要求承包人暂停施工，并及时报告发包人。承包人在收到监理人发出书面通知后的</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小时内仍未整改的，监理人可在报经发包人批准后委托第三方采取措施。由此发生的费用经造价咨询人核实后，由发包人从应付或将付给承包人的款项中扣除。</w:t>
      </w:r>
    </w:p>
    <w:p w14:paraId="755134AD">
      <w:pPr>
        <w:spacing w:line="360" w:lineRule="auto"/>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52</w:t>
      </w:r>
      <w:r>
        <w:rPr>
          <w:rFonts w:ascii="仿宋" w:hAnsi="仿宋" w:eastAsia="仿宋" w:cs="仿宋"/>
          <w:b/>
          <w:bCs/>
          <w:color w:val="auto"/>
          <w:highlight w:val="none"/>
          <w:lang w:eastAsia="zh-CN"/>
        </w:rPr>
        <w:t>.6</w:t>
      </w:r>
    </w:p>
    <w:p w14:paraId="7335A4DD">
      <w:pPr>
        <w:widowControl w:val="0"/>
        <w:adjustRightInd w:val="0"/>
        <w:snapToGrid w:val="0"/>
        <w:spacing w:line="360" w:lineRule="auto"/>
        <w:ind w:left="1850" w:leftChars="771"/>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96480" behindDoc="0" locked="0" layoutInCell="1" allowOverlap="1">
                <wp:simplePos x="0" y="0"/>
                <wp:positionH relativeFrom="column">
                  <wp:posOffset>-83820</wp:posOffset>
                </wp:positionH>
                <wp:positionV relativeFrom="paragraph">
                  <wp:posOffset>11430</wp:posOffset>
                </wp:positionV>
                <wp:extent cx="693420" cy="501015"/>
                <wp:effectExtent l="0" t="0" r="0" b="0"/>
                <wp:wrapNone/>
                <wp:docPr id="674" name="文本框 870"/>
                <wp:cNvGraphicFramePr/>
                <a:graphic xmlns:a="http://schemas.openxmlformats.org/drawingml/2006/main">
                  <a:graphicData uri="http://schemas.microsoft.com/office/word/2010/wordprocessingShape">
                    <wps:wsp>
                      <wps:cNvSpPr txBox="1">
                        <a:spLocks noChangeArrowheads="1"/>
                      </wps:cNvSpPr>
                      <wps:spPr bwMode="auto">
                        <a:xfrm>
                          <a:off x="0" y="0"/>
                          <a:ext cx="693420" cy="501015"/>
                        </a:xfrm>
                        <a:prstGeom prst="rect">
                          <a:avLst/>
                        </a:prstGeom>
                        <a:noFill/>
                        <a:ln>
                          <a:noFill/>
                        </a:ln>
                        <a:effectLst/>
                      </wps:spPr>
                      <wps:txbx>
                        <w:txbxContent>
                          <w:p w14:paraId="20B2FFB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治安管理</w:t>
                            </w:r>
                          </w:p>
                        </w:txbxContent>
                      </wps:txbx>
                      <wps:bodyPr rot="0" vert="horz" wrap="square" lIns="91440" tIns="45720" rIns="91440" bIns="45720" anchor="t" anchorCtr="0" upright="1">
                        <a:noAutofit/>
                      </wps:bodyPr>
                    </wps:wsp>
                  </a:graphicData>
                </a:graphic>
              </wp:anchor>
            </w:drawing>
          </mc:Choice>
          <mc:Fallback>
            <w:pict>
              <v:shape id="文本框 870" o:spid="_x0000_s1026" o:spt="202" type="#_x0000_t202" style="position:absolute;left:0pt;margin-left:-6.6pt;margin-top:0.9pt;height:39.45pt;width:54.6pt;z-index:251796480;mso-width-relative:page;mso-height-relative:page;" filled="f" stroked="f" coordsize="21600,21600" o:gfxdata="UEsDBAoAAAAAAIdO4kAAAAAAAAAAAAAAAAAEAAAAZHJzL1BLAwQUAAAACACHTuJAqiGvCNQAAAAH&#10;AQAADwAAAGRycy9kb3ducmV2LnhtbE2Py07DMBBF90j8gzVI7Fo7BfoImXQBYguiQCV2bjxNIuJx&#10;FLtN+HuGFSxH5+rOucV28p060xDbwAjZ3IAiroJruUZ4f3uarUHFZNnZLjAhfFOEbXl5UdjchZFf&#10;6bxLtZISjrlFaFLqc61j1ZC3cR56YmHHMHib5Bxq7QY7Srnv9MKYpfa2ZfnQ2J4eGqq+dieP8PF8&#10;/Nzfmpf60d/1Y5iMZr/RiNdXmbkHlWhKf2H41Rd1KMXpEE7souoQZtnNQqICZIHwzVKmHRDWZgW6&#10;LPR///IHUEsDBBQAAAAIAIdO4kCBUsP+HQIAACYEAAAOAAAAZHJzL2Uyb0RvYy54bWytU0tu2zAQ&#10;3RfoHQjua1muP4lgOUhjpCiQfoC0B6ApyiIqcdghbck9QHuDrrrpvufyOTqkbMdNN1l0I5Azwzfz&#10;3jzNr7qmZluFToPJeToYcqaMhEKbdc4/fbx9ccGZ88IUogajcr5Tjl8tnj+btzZTI6igLhQyAjEu&#10;a23OK+9tliROVqoRbgBWGUqWgI3wdMV1UqBoCb2pk9FwOE1awMIiSOUcRZd9kh8Q8SmAUJZaqiXI&#10;TaOM71FR1cITJVdp6/giTluWSvr3ZemUZ3XOiamPX2pC51X4Jou5yNYobKXlYQTxlBEecWqENtT0&#10;BLUUXrAN6n+gGi0RHJR+IKFJeiJREWKRDh9pc18JqyIXktrZk+ju/8HKd9sPyHSR8+lszJkRDa18&#10;/+P7/ufv/a9v7GIWJWqty6jy3lKt715BR8aJdJ29A/nZMQM3lTBrdY0IbaVEQSOmQdzk7GlYistc&#10;AFm1b6GgTmLjIQJ1JTZBP1KEETqtZ3daj+o8kxScXr4cjygjKTUhtdJJ7CCy42OLzr9W0LBwyDnS&#10;9iO42N45H4YR2bEk9DJwq+s6OqA2fwWosI+oaKHD6+P0PQ/frTp6G4IrKHZECqG3F/1cdKgAv3LW&#10;krVy7r5sBCrO6jeGhLlMx+PgxXgZT2aBE55nVucZYSRB5dxz1h9vfO/fjUW9rqhTvwoD1yRmqSPR&#10;h6kOKyD7RP4Hqwd/nt9j1cPvvfg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qiGvCNQAAAAHAQAA&#10;DwAAAAAAAAABACAAAAAiAAAAZHJzL2Rvd25yZXYueG1sUEsBAhQAFAAAAAgAh07iQIFSw/4dAgAA&#10;JgQAAA4AAAAAAAAAAQAgAAAAIwEAAGRycy9lMm9Eb2MueG1sUEsFBgAAAAAGAAYAWQEAALIFAAAA&#10;AA==&#10;">
                <v:fill on="f" focussize="0,0"/>
                <v:stroke on="f"/>
                <v:imagedata o:title=""/>
                <o:lock v:ext="edit" aspectratio="f"/>
                <v:textbox>
                  <w:txbxContent>
                    <w:p w14:paraId="20B2FFBB">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治安管理</w:t>
                      </w:r>
                    </w:p>
                  </w:txbxContent>
                </v:textbox>
              </v:shape>
            </w:pict>
          </mc:Fallback>
        </mc:AlternateContent>
      </w:r>
      <w:r>
        <w:rPr>
          <w:rFonts w:hint="eastAsia" w:ascii="仿宋" w:hAnsi="仿宋" w:eastAsia="仿宋" w:cs="仿宋"/>
          <w:color w:val="auto"/>
          <w:highlight w:val="none"/>
          <w:lang w:eastAsia="zh-CN"/>
        </w:rPr>
        <w:t>合同双方当事人不仅应协助当地治安管理机构或联防组织维护施工场地的社会治安，而且应做好施工现场内人员生产生活的治安保卫工作。</w:t>
      </w:r>
    </w:p>
    <w:p w14:paraId="56F50CFA">
      <w:pPr>
        <w:widowControl w:val="0"/>
        <w:adjustRightInd w:val="0"/>
        <w:snapToGrid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除专用条款另有约定外，合同双方当事人应在工程开工后，共同编制施工场地治安管理计划，并制定应对突发治安事项的应急预案。在施工过程中，发生暴乱、爆炸等恐怖事项，以及群殴、械斗等群体性突发治安事项的，应立即向当地政府有关部门报告，积极协助当地政府有关部门采取措施平息事项，防止事态扩大，尽量减少财产损失和避免人员伤亡。</w:t>
      </w:r>
    </w:p>
    <w:p w14:paraId="0B92E11A">
      <w:pPr>
        <w:spacing w:line="360" w:lineRule="auto"/>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52</w:t>
      </w:r>
      <w:r>
        <w:rPr>
          <w:rFonts w:ascii="仿宋" w:hAnsi="仿宋" w:eastAsia="仿宋" w:cs="仿宋"/>
          <w:b/>
          <w:bCs/>
          <w:color w:val="auto"/>
          <w:highlight w:val="none"/>
          <w:lang w:eastAsia="zh-CN"/>
        </w:rPr>
        <w:t>.7</w:t>
      </w:r>
    </w:p>
    <w:p w14:paraId="2DDFF571">
      <w:pPr>
        <w:widowControl w:val="0"/>
        <w:adjustRightInd w:val="0"/>
        <w:snapToGrid w:val="0"/>
        <w:spacing w:line="360" w:lineRule="auto"/>
        <w:ind w:left="1850" w:leftChars="771"/>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97504" behindDoc="0" locked="0" layoutInCell="1" allowOverlap="1">
                <wp:simplePos x="0" y="0"/>
                <wp:positionH relativeFrom="column">
                  <wp:posOffset>-83185</wp:posOffset>
                </wp:positionH>
                <wp:positionV relativeFrom="paragraph">
                  <wp:posOffset>25400</wp:posOffset>
                </wp:positionV>
                <wp:extent cx="787400" cy="561975"/>
                <wp:effectExtent l="0" t="0" r="0" b="0"/>
                <wp:wrapNone/>
                <wp:docPr id="675" name="文本框 871"/>
                <wp:cNvGraphicFramePr/>
                <a:graphic xmlns:a="http://schemas.openxmlformats.org/drawingml/2006/main">
                  <a:graphicData uri="http://schemas.microsoft.com/office/word/2010/wordprocessingShape">
                    <wps:wsp>
                      <wps:cNvSpPr txBox="1">
                        <a:spLocks noChangeArrowheads="1"/>
                      </wps:cNvSpPr>
                      <wps:spPr bwMode="auto">
                        <a:xfrm>
                          <a:off x="0" y="0"/>
                          <a:ext cx="787400" cy="561975"/>
                        </a:xfrm>
                        <a:prstGeom prst="rect">
                          <a:avLst/>
                        </a:prstGeom>
                        <a:noFill/>
                        <a:ln>
                          <a:noFill/>
                        </a:ln>
                        <a:effectLst/>
                      </wps:spPr>
                      <wps:txbx>
                        <w:txbxContent>
                          <w:p w14:paraId="483BF1E7">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施工场地的环保、卫生要求</w:t>
                            </w:r>
                          </w:p>
                        </w:txbxContent>
                      </wps:txbx>
                      <wps:bodyPr rot="0" vert="horz" wrap="square" lIns="91440" tIns="45720" rIns="91440" bIns="45720" anchor="t" anchorCtr="0" upright="1">
                        <a:noAutofit/>
                      </wps:bodyPr>
                    </wps:wsp>
                  </a:graphicData>
                </a:graphic>
              </wp:anchor>
            </w:drawing>
          </mc:Choice>
          <mc:Fallback>
            <w:pict>
              <v:shape id="文本框 871" o:spid="_x0000_s1026" o:spt="202" type="#_x0000_t202" style="position:absolute;left:0pt;margin-left:-6.55pt;margin-top:2pt;height:44.25pt;width:62pt;z-index:251797504;mso-width-relative:page;mso-height-relative:page;" filled="f" stroked="f" coordsize="21600,21600" o:gfxdata="UEsDBAoAAAAAAIdO4kAAAAAAAAAAAAAAAAAEAAAAZHJzL1BLAwQUAAAACACHTuJAtOwM/tUAAAAI&#10;AQAADwAAAGRycy9kb3ducmV2LnhtbE2PwU7DMBBE70j9B2uRuLW2S1uRkE0PRVxBFIrEzY23SUS8&#10;jmK3CX+Pe4LjaEYzb4rt5DpxoSG0nhH0QoEgrrxtuUb4eH+eP4AI0bA1nWdC+KEA23J2U5jc+pHf&#10;6LKPtUglHHKD0MTY51KGqiFnwsL3xMk7+cGZmORQSzuYMZW7Ti6V2khnWk4Ljelp11D1vT87hMPL&#10;6etzpV7rJ7fuRz8pyS6TiHe3Wj2CiDTFvzBc8RM6lInp6M9sg+gQ5vpepyjCKl26+lplII4I2XIN&#10;sizk/wPlL1BLAwQUAAAACACHTuJA6oZPYB4CAAAmBAAADgAAAGRycy9lMm9Eb2MueG1srVNLbtsw&#10;EN0X6B0I7mvZhj+JYDlIY6QokH6AtAegKcoiKnHYIW3JPUB7g6666b7n8jk6JB3XTTdZdCNwOMM3&#10;8948La76tmE7hU6DKfhoMORMGQmlNpuCf/xw++KCM+eFKUUDRhV8rxy/Wj5/tuhsrsZQQ1MqZARi&#10;XN7Zgtfe2zzLnKxVK9wArDKUrABb4SnETVai6Ai9bbLxcDjLOsDSIkjlHN2uUpIfEfEpgFBVWqoV&#10;yG2rjE+oqBrhiZKrtXV8GaetKiX9u6pyyrOm4MTUxy81ofM6fLPlQuQbFLbW8jiCeMoIjzi1Qhtq&#10;eoJaCS/YFvU/UK2WCA4qP5DQZolIVIRYjIaPtLmvhVWRC0nt7El09/9g5dvde2S6LPhsPuXMiJZW&#10;fvj+7fDj1+HnV3YxHwWJOutyqry3VOv7l9CTcSJdZ+9AfnLMwE0tzEZdI0JXK1HSiPFldvY04bgA&#10;su7eQEmdxNZDBOorbIN+pAgjdFrP/rQe1Xsm6XJ+MZ8MKSMpNZ2NLmlgmi0T+cNji86/UtCycCg4&#10;0vYjuNjdOZ9KH0pCLwO3ummiAxrz1wVhphsVLXR8HaiE6RMP36/7ozRrKPdECiHZi34uOtSAXzjr&#10;yFoFd5+3AhVnzWtDwlyOJpPgxRhMpvMxBXieWZ9nhJEEVXDPWTre+OTfrUW9qalTWoWBaxKz0pFo&#10;GDVNRQKFgOwTpTpaPfjzPI5Vf37v5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07Az+1QAAAAgB&#10;AAAPAAAAAAAAAAEAIAAAACIAAABkcnMvZG93bnJldi54bWxQSwECFAAUAAAACACHTuJA6oZPYB4C&#10;AAAmBAAADgAAAAAAAAABACAAAAAkAQAAZHJzL2Uyb0RvYy54bWxQSwUGAAAAAAYABgBZAQAAtAUA&#10;AAAA&#10;">
                <v:fill on="f" focussize="0,0"/>
                <v:stroke on="f"/>
                <v:imagedata o:title=""/>
                <o:lock v:ext="edit" aspectratio="f"/>
                <v:textbox>
                  <w:txbxContent>
                    <w:p w14:paraId="483BF1E7">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施工场地的环保、卫生要求</w:t>
                      </w:r>
                    </w:p>
                  </w:txbxContent>
                </v:textbox>
              </v:shape>
            </w:pict>
          </mc:Fallback>
        </mc:AlternateContent>
      </w:r>
      <w:r>
        <w:rPr>
          <w:rFonts w:hint="eastAsia" w:ascii="仿宋" w:hAnsi="仿宋" w:eastAsia="仿宋" w:cs="仿宋"/>
          <w:color w:val="auto"/>
          <w:highlight w:val="none"/>
          <w:lang w:eastAsia="zh-CN"/>
        </w:rPr>
        <w:t>承包人应遵守国家有关环境保护、卫生监督的法律，按照合同约定采取有效措施，保证施工场地达到环境保护、卫生部门的管理要求，为现场所有人员提供并维护干净卫生的生活设施，并在颁发合同工程接收证书后的</w:t>
      </w:r>
      <w:r>
        <w:rPr>
          <w:rFonts w:ascii="仿宋" w:hAnsi="仿宋" w:eastAsia="仿宋" w:cs="仿宋"/>
          <w:color w:val="auto"/>
          <w:highlight w:val="none"/>
          <w:lang w:eastAsia="zh-CN"/>
        </w:rPr>
        <w:t>28</w:t>
      </w:r>
      <w:r>
        <w:rPr>
          <w:rFonts w:hint="eastAsia" w:ascii="仿宋" w:hAnsi="仿宋" w:eastAsia="仿宋" w:cs="仿宋"/>
          <w:color w:val="auto"/>
          <w:highlight w:val="none"/>
          <w:lang w:eastAsia="zh-CN"/>
        </w:rPr>
        <w:t>天内，清理现场，运走全部施工设备、剩余工程材料和垃圾，保持施工场地和合同工程的清洁整齐。否则，发包人可自行处理或委托第三方处理留下的物品，所得金额在扣除由此发生的费用之后，将余额退还给承包人。</w:t>
      </w:r>
    </w:p>
    <w:p w14:paraId="6CE65AFA">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52</w:t>
      </w:r>
      <w:r>
        <w:rPr>
          <w:rFonts w:ascii="仿宋" w:hAnsi="仿宋" w:eastAsia="仿宋" w:cs="仿宋"/>
          <w:b/>
          <w:bCs/>
          <w:color w:val="auto"/>
          <w:highlight w:val="none"/>
          <w:lang w:eastAsia="zh-CN"/>
        </w:rPr>
        <w:t>.8</w:t>
      </w:r>
    </w:p>
    <w:p w14:paraId="182CE383">
      <w:pPr>
        <w:widowControl w:val="0"/>
        <w:adjustRightInd w:val="0"/>
        <w:snapToGrid w:val="0"/>
        <w:spacing w:line="360" w:lineRule="auto"/>
        <w:ind w:left="1850" w:leftChars="771"/>
        <w:rPr>
          <w:rFonts w:hint="eastAsia" w:ascii="仿宋" w:hAnsi="仿宋" w:eastAsia="仿宋"/>
          <w:caps/>
          <w:color w:val="auto"/>
          <w:highlight w:val="none"/>
          <w:lang w:eastAsia="zh-CN"/>
        </w:rPr>
      </w:pPr>
      <w:r>
        <w:rPr>
          <w:color w:val="auto"/>
          <w:highlight w:val="none"/>
          <w:lang w:eastAsia="zh-CN" w:bidi="ar-SA"/>
        </w:rPr>
        <mc:AlternateContent>
          <mc:Choice Requires="wps">
            <w:drawing>
              <wp:anchor distT="0" distB="0" distL="114300" distR="114300" simplePos="0" relativeHeight="251798528" behindDoc="0" locked="0" layoutInCell="1" allowOverlap="1">
                <wp:simplePos x="0" y="0"/>
                <wp:positionH relativeFrom="column">
                  <wp:posOffset>-104775</wp:posOffset>
                </wp:positionH>
                <wp:positionV relativeFrom="paragraph">
                  <wp:posOffset>7620</wp:posOffset>
                </wp:positionV>
                <wp:extent cx="844550" cy="535940"/>
                <wp:effectExtent l="0" t="0" r="0" b="0"/>
                <wp:wrapNone/>
                <wp:docPr id="676" name="文本框 872"/>
                <wp:cNvGraphicFramePr/>
                <a:graphic xmlns:a="http://schemas.openxmlformats.org/drawingml/2006/main">
                  <a:graphicData uri="http://schemas.microsoft.com/office/word/2010/wordprocessingShape">
                    <wps:wsp>
                      <wps:cNvSpPr txBox="1">
                        <a:spLocks noChangeArrowheads="1"/>
                      </wps:cNvSpPr>
                      <wps:spPr bwMode="auto">
                        <a:xfrm>
                          <a:off x="0" y="0"/>
                          <a:ext cx="844550" cy="535940"/>
                        </a:xfrm>
                        <a:prstGeom prst="rect">
                          <a:avLst/>
                        </a:prstGeom>
                        <a:noFill/>
                        <a:ln>
                          <a:noFill/>
                        </a:ln>
                        <a:effectLst/>
                      </wps:spPr>
                      <wps:txbx>
                        <w:txbxContent>
                          <w:p w14:paraId="1C2FE347">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发包人鼓励创建文明工地</w:t>
                            </w:r>
                          </w:p>
                        </w:txbxContent>
                      </wps:txbx>
                      <wps:bodyPr rot="0" vert="horz" wrap="square" lIns="91440" tIns="45720" rIns="91440" bIns="45720" anchor="t" anchorCtr="0" upright="1">
                        <a:noAutofit/>
                      </wps:bodyPr>
                    </wps:wsp>
                  </a:graphicData>
                </a:graphic>
              </wp:anchor>
            </w:drawing>
          </mc:Choice>
          <mc:Fallback>
            <w:pict>
              <v:shape id="文本框 872" o:spid="_x0000_s1026" o:spt="202" type="#_x0000_t202" style="position:absolute;left:0pt;margin-left:-8.25pt;margin-top:0.6pt;height:42.2pt;width:66.5pt;z-index:251798528;mso-width-relative:page;mso-height-relative:page;" filled="f" stroked="f" coordsize="21600,21600" o:gfxdata="UEsDBAoAAAAAAIdO4kAAAAAAAAAAAAAAAAAEAAAAZHJzL1BLAwQUAAAACACHTuJAHRY+39QAAAAI&#10;AQAADwAAAGRycy9kb3ducmV2LnhtbE2Py27CMBBF95X6D9ZU6g7sIBJBiMOiVbdUpQ+puyEekqjx&#10;OIoNCX+P6aZdXp2rO2eK7WQ7cabBt441JHMFgrhypuVaw8f7y2wFwgdkg51j0nAhD9vy/q7A3LiR&#10;3+i8D7WII+xz1NCE0OdS+qohi37ueuLIjm6wGGIcamkGHOO47eRCqUxabDleaLCnp4aqn/3Javjc&#10;Hb+/luq1frZpP7pJSbZrqfXjQ6I2IAJN4a8MN/2oDmV0OrgTGy86DbMkS2M1ggWIG//NBw2rNANZ&#10;FvL/A+UVUEsDBBQAAAAIAIdO4kCxvZRxHwIAACYEAAAOAAAAZHJzL2Uyb0RvYy54bWytU0tu2zAQ&#10;3RfoHQjua9mufxEsB2mMFAXSD5D2ADRFWUQlDjukLbkHaG7QVTfd91w+R4eU4rrpJotuCJIzfPPe&#10;m+Hysq0rtlfoNJiMjwZDzpSRkGuzzfinjzcvFpw5L0wuKjAq4wfl+OXq+bNlY1M1hhKqXCEjEOPS&#10;xma89N6mSeJkqWrhBmCVoWABWAtPR9wmOYqG0OsqGQ+Hs6QBzC2CVM7R7boL8h4RnwIIRaGlWoPc&#10;1cr4DhVVJTxJcqW2jq8i26JQ0r8vCqc8qzJOSn1cqQjtN2FNVkuRblHYUsuegngKhUeaaqENFT1B&#10;rYUXbIf6H6haSwQHhR9IqJNOSHSEVIyGj7y5K4VVUQtZ7ezJdPf/YOW7/QdkOs/4bD7jzIiaWn78&#10;fn/88ev48xtbzMfBosa6lDLvLOX69hW0NDhRrrO3ID87ZuC6FGarrhChKZXIieIovEzOnnY4LoBs&#10;mreQUyWx8xCB2gLr4B85wgid2nM4tUe1nkm6XEwm0ylFJIWmL6cXk9i+RKQPjy06/1pBzcIm40jd&#10;j+Bif+t8ICPSh5RQy8CNrqo4AZX564ISuxsVR6h/HaQE9p0O327a3poN5AcShdCNF30u2pSAXzlr&#10;aLQy7r7sBCrOqjeGjLkYTYg68/Ewmc7HdMDzyOY8IowkqIx7zrrtte/md2dRb0uq1LXCwBWZWego&#10;NFDtWPUtoPGJ+vtRD/N5fo5Zf773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dFj7f1AAAAAgB&#10;AAAPAAAAAAAAAAEAIAAAACIAAABkcnMvZG93bnJldi54bWxQSwECFAAUAAAACACHTuJAsb2UcR8C&#10;AAAmBAAADgAAAAAAAAABACAAAAAjAQAAZHJzL2Uyb0RvYy54bWxQSwUGAAAAAAYABgBZAQAAtAUA&#10;AAAA&#10;">
                <v:fill on="f" focussize="0,0"/>
                <v:stroke on="f"/>
                <v:imagedata o:title=""/>
                <o:lock v:ext="edit" aspectratio="f"/>
                <v:textbox>
                  <w:txbxContent>
                    <w:p w14:paraId="1C2FE347">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发包人鼓励创建文明工地</w:t>
                      </w:r>
                    </w:p>
                  </w:txbxContent>
                </v:textbox>
              </v:shape>
            </w:pict>
          </mc:Fallback>
        </mc:AlternateContent>
      </w:r>
      <w:r>
        <w:rPr>
          <w:rFonts w:hint="eastAsia" w:ascii="仿宋" w:hAnsi="仿宋" w:eastAsia="仿宋" w:cs="仿宋"/>
          <w:caps/>
          <w:color w:val="auto"/>
          <w:highlight w:val="none"/>
          <w:lang w:eastAsia="zh-CN"/>
        </w:rPr>
        <w:t>发包人应配合承包人加强</w:t>
      </w:r>
      <w:r>
        <w:rPr>
          <w:rFonts w:hint="eastAsia" w:ascii="仿宋" w:hAnsi="仿宋" w:eastAsia="仿宋" w:cs="仿宋"/>
          <w:color w:val="auto"/>
          <w:highlight w:val="none"/>
          <w:lang w:eastAsia="zh-CN"/>
        </w:rPr>
        <w:t>绿色施工安全防护</w:t>
      </w:r>
      <w:r>
        <w:rPr>
          <w:rFonts w:hint="eastAsia" w:ascii="仿宋" w:hAnsi="仿宋" w:eastAsia="仿宋" w:cs="仿宋"/>
          <w:caps/>
          <w:color w:val="auto"/>
          <w:highlight w:val="none"/>
          <w:lang w:eastAsia="zh-CN"/>
        </w:rPr>
        <w:t>管理，鼓励承包人创建省、市级或其它级别文明工地。对于工程获得省、市级或其它级别文明工地的，应按照第</w:t>
      </w:r>
      <w:r>
        <w:rPr>
          <w:rFonts w:ascii="仿宋" w:hAnsi="仿宋" w:eastAsia="仿宋" w:cs="仿宋"/>
          <w:caps/>
          <w:color w:val="auto"/>
          <w:highlight w:val="none"/>
          <w:lang w:eastAsia="zh-CN"/>
        </w:rPr>
        <w:t>8</w:t>
      </w:r>
      <w:r>
        <w:rPr>
          <w:rFonts w:hint="eastAsia" w:ascii="仿宋" w:hAnsi="仿宋" w:eastAsia="仿宋" w:cs="仿宋"/>
          <w:caps/>
          <w:color w:val="auto"/>
          <w:highlight w:val="none"/>
          <w:lang w:eastAsia="zh-CN"/>
        </w:rPr>
        <w:t>5条约定向承包人支付文明工地增加费。</w:t>
      </w:r>
    </w:p>
    <w:p w14:paraId="5A62D355">
      <w:pPr>
        <w:spacing w:line="360" w:lineRule="auto"/>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58944" behindDoc="0" locked="0" layoutInCell="1" allowOverlap="1">
                <wp:simplePos x="0" y="0"/>
                <wp:positionH relativeFrom="column">
                  <wp:posOffset>-114300</wp:posOffset>
                </wp:positionH>
                <wp:positionV relativeFrom="paragraph">
                  <wp:posOffset>285115</wp:posOffset>
                </wp:positionV>
                <wp:extent cx="796925" cy="488315"/>
                <wp:effectExtent l="0" t="0" r="0" b="0"/>
                <wp:wrapNone/>
                <wp:docPr id="677" name="文本框 955"/>
                <wp:cNvGraphicFramePr/>
                <a:graphic xmlns:a="http://schemas.openxmlformats.org/drawingml/2006/main">
                  <a:graphicData uri="http://schemas.microsoft.com/office/word/2010/wordprocessingShape">
                    <wps:wsp>
                      <wps:cNvSpPr txBox="1">
                        <a:spLocks noChangeArrowheads="1"/>
                      </wps:cNvSpPr>
                      <wps:spPr bwMode="auto">
                        <a:xfrm>
                          <a:off x="0" y="0"/>
                          <a:ext cx="796925" cy="488315"/>
                        </a:xfrm>
                        <a:prstGeom prst="rect">
                          <a:avLst/>
                        </a:prstGeom>
                        <a:noFill/>
                        <a:ln>
                          <a:noFill/>
                        </a:ln>
                        <a:effectLst/>
                      </wps:spPr>
                      <wps:txbx>
                        <w:txbxContent>
                          <w:p w14:paraId="48AD1D9F">
                            <w:pPr>
                              <w:rPr>
                                <w:rFonts w:hint="eastAsia" w:ascii="楷体_GB2312" w:hAnsi="宋体" w:eastAsia="楷体_GB2312"/>
                                <w:b/>
                                <w:bCs/>
                                <w:sz w:val="18"/>
                                <w:szCs w:val="18"/>
                              </w:rPr>
                            </w:pPr>
                            <w:r>
                              <w:rPr>
                                <w:rFonts w:hint="eastAsia" w:ascii="楷体_GB2312" w:hAnsi="宋体" w:eastAsia="楷体_GB2312" w:cs="楷体_GB2312"/>
                                <w:b/>
                                <w:bCs/>
                                <w:sz w:val="18"/>
                                <w:szCs w:val="18"/>
                              </w:rPr>
                              <w:t>特别安全生产事项</w:t>
                            </w:r>
                          </w:p>
                        </w:txbxContent>
                      </wps:txbx>
                      <wps:bodyPr rot="0" vert="horz" wrap="square" lIns="91440" tIns="45720" rIns="91440" bIns="45720" anchor="t" anchorCtr="0" upright="1">
                        <a:noAutofit/>
                      </wps:bodyPr>
                    </wps:wsp>
                  </a:graphicData>
                </a:graphic>
              </wp:anchor>
            </w:drawing>
          </mc:Choice>
          <mc:Fallback>
            <w:pict>
              <v:shape id="文本框 955" o:spid="_x0000_s1026" o:spt="202" type="#_x0000_t202" style="position:absolute;left:0pt;margin-left:-9pt;margin-top:22.45pt;height:38.45pt;width:62.75pt;z-index:251858944;mso-width-relative:page;mso-height-relative:page;" filled="f" stroked="f" coordsize="21600,21600" o:gfxdata="UEsDBAoAAAAAAIdO4kAAAAAAAAAAAAAAAAAEAAAAZHJzL1BLAwQUAAAACACHTuJAlfX4ddgAAAAK&#10;AQAADwAAAGRycy9kb3ducmV2LnhtbE2PwU7DMBBE70j8g7VIvbV2qpSmIZseQFyLaAsSNzfeJhHx&#10;OordJvw97glus5rR7JtiO9lOXGnwrWOEZKFAEFfOtFwjHA+v8wyED5qN7hwTwg952Jb3d4XOjRv5&#10;na77UItYwj7XCE0IfS6lrxqy2i9cTxy9sxusDvEcamkGPcZy28mlUo/S6pbjh0b39NxQ9b2/WISP&#10;3fnrM1Vv9Ytd9aOblGS7kYizh0Q9gQg0hb8w3PAjOpSR6eQubLzoEOZJFrcEhDTdgLgF1HoF4hTF&#10;MslAloX8P6H8BVBLAwQUAAAACACHTuJAVWye1x8CAAAmBAAADgAAAGRycy9lMm9Eb2MueG1srVNL&#10;btswEN0X6B0I7mvZrr+C5SCNkaJA+gHSHoCmKIuoxGGHtKX0AM0Nuuqm+57L5+iQUlw33WTRDUFy&#10;hm/mvXlcXbR1xQ4KnQaT8dFgyJkyEnJtdhn/9PH6xYIz54XJRQVGZfxOOX6xfv5s1dhUjaGEKlfI&#10;CMS4tLEZL723aZI4WapauAFYZShYANbC0xF3SY6iIfS6SsbD4SxpAHOLIJVzdLvpgrxHxKcAQlFo&#10;qTYg97UyvkNFVQlPlFyprePr2G1RKOnfF4VTnlUZJ6Y+rlSE9tuwJuuVSHcobKll34J4SguPONVC&#10;Gyp6gtoIL9ge9T9QtZYIDgo/kFAnHZGoCLEYDR9pc1sKqyIXktrZk+ju/8HKd4cPyHSe8dl8zpkR&#10;NY38+P3++OPX8ec3tpxOg0SNdSll3lrK9e0raMk4ka6zNyA/O2bgqhRmpy4RoSmVyKnFUXiZnD3t&#10;cFwA2TZvIadKYu8hArUF1kE/UoQROo3n7jQe1Xom6XK+nC3HU84khSaLxctR7C0R6cNji86/VlCz&#10;sMk40vQjuDjcOB+aEelDSqhl4FpXVXRAZf66oMTuRkUL9a8DldB9x8O327aXZgv5HZFC6OxFn4s2&#10;JeBXzhqyVsbdl71AxVn1xpAwy9FkErwYD5PpfEwHPI9szyPCSILKuOes2175zr97i3pXUqVuFAYu&#10;ScxCR6Kh1a6rfgRkn8i/t3rw5/k5Zv353u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lfX4ddgA&#10;AAAKAQAADwAAAAAAAAABACAAAAAiAAAAZHJzL2Rvd25yZXYueG1sUEsBAhQAFAAAAAgAh07iQFVs&#10;ntcfAgAAJgQAAA4AAAAAAAAAAQAgAAAAJwEAAGRycy9lMm9Eb2MueG1sUEsFBgAAAAAGAAYAWQEA&#10;ALgFAAAAAA==&#10;">
                <v:fill on="f" focussize="0,0"/>
                <v:stroke on="f"/>
                <v:imagedata o:title=""/>
                <o:lock v:ext="edit" aspectratio="f"/>
                <v:textbox>
                  <w:txbxContent>
                    <w:p w14:paraId="48AD1D9F">
                      <w:pPr>
                        <w:rPr>
                          <w:rFonts w:hint="eastAsia" w:ascii="楷体_GB2312" w:hAnsi="宋体" w:eastAsia="楷体_GB2312"/>
                          <w:b/>
                          <w:bCs/>
                          <w:sz w:val="18"/>
                          <w:szCs w:val="18"/>
                        </w:rPr>
                      </w:pPr>
                      <w:r>
                        <w:rPr>
                          <w:rFonts w:hint="eastAsia" w:ascii="楷体_GB2312" w:hAnsi="宋体" w:eastAsia="楷体_GB2312" w:cs="楷体_GB2312"/>
                          <w:b/>
                          <w:bCs/>
                          <w:sz w:val="18"/>
                          <w:szCs w:val="18"/>
                        </w:rPr>
                        <w:t>特别安全生产事项</w:t>
                      </w:r>
                    </w:p>
                  </w:txbxContent>
                </v:textbox>
              </v:shape>
            </w:pict>
          </mc:Fallback>
        </mc:AlternateContent>
      </w:r>
      <w:r>
        <w:rPr>
          <w:rFonts w:hint="eastAsia" w:ascii="仿宋" w:hAnsi="仿宋" w:eastAsia="仿宋" w:cs="仿宋"/>
          <w:b/>
          <w:bCs/>
          <w:color w:val="auto"/>
          <w:highlight w:val="none"/>
          <w:lang w:eastAsia="zh-CN"/>
        </w:rPr>
        <w:t>52</w:t>
      </w:r>
      <w:r>
        <w:rPr>
          <w:rFonts w:ascii="仿宋" w:hAnsi="仿宋" w:eastAsia="仿宋" w:cs="仿宋"/>
          <w:b/>
          <w:bCs/>
          <w:color w:val="auto"/>
          <w:highlight w:val="none"/>
          <w:lang w:eastAsia="zh-CN"/>
        </w:rPr>
        <w:t>.9</w:t>
      </w:r>
    </w:p>
    <w:p w14:paraId="3B2EFD23">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承包人应按照法律规定进行施工，做好</w:t>
      </w:r>
      <w:r>
        <w:rPr>
          <w:rFonts w:hint="eastAsia" w:ascii="仿宋" w:hAnsi="仿宋" w:eastAsia="仿宋"/>
          <w:color w:val="auto"/>
          <w:highlight w:val="none"/>
          <w:lang w:eastAsia="zh-CN"/>
        </w:rPr>
        <w:t>安全</w:t>
      </w:r>
      <w:r>
        <w:rPr>
          <w:rFonts w:hint="eastAsia" w:ascii="仿宋" w:hAnsi="仿宋" w:eastAsia="仿宋" w:cs="仿宋"/>
          <w:color w:val="auto"/>
          <w:highlight w:val="none"/>
          <w:lang w:eastAsia="zh-CN"/>
        </w:rPr>
        <w:t>技术交底工作，施工过程中做好各项安全防护措施。承包人为实施合同而雇用的特殊工种的人员应受过专门的培训并已取得上岗证书。</w:t>
      </w:r>
    </w:p>
    <w:p w14:paraId="5370B147">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承包人在动力设备、输电线路、地下管道、密封防震车间、易燃易爆地段以及临街交通要道附近施工时，施工开始前应向发包人和监理人提出安全防护措施，经发包人认可后实施。</w:t>
      </w:r>
    </w:p>
    <w:p w14:paraId="332E77F7">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实施爆破作业，在放射、毒害性环境中施工（含储存、运输、使用）及使用毒害性、腐蚀性物品施工时，承包人应在施工前</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天以书面通知发包人和监理人，并报送相应的安全防护措施，经发包人认可后实施。</w:t>
      </w:r>
    </w:p>
    <w:p w14:paraId="4C32FB9D">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需单独编制危险性较大分部分项专项工程施工方案的，及要求进行专家论证的超过一定规模的危险性较大的分部分项工程，承包人应及时编制和组织论证。</w:t>
      </w:r>
    </w:p>
    <w:p w14:paraId="5744A2C5">
      <w:pPr>
        <w:adjustRightInd w:val="0"/>
        <w:snapToGrid w:val="0"/>
        <w:spacing w:line="360" w:lineRule="auto"/>
        <w:rPr>
          <w:rFonts w:hint="eastAsia" w:ascii="仿宋" w:hAnsi="仿宋" w:eastAsia="仿宋" w:cs="仿宋"/>
          <w:b/>
          <w:bCs/>
          <w:color w:val="auto"/>
          <w:highlight w:val="none"/>
          <w:u w:val="single"/>
          <w:lang w:eastAsia="zh-CN"/>
        </w:rPr>
      </w:pPr>
    </w:p>
    <w:p w14:paraId="7B1C4771">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1" w:name="_Toc910"/>
      <w:r>
        <w:rPr>
          <w:rFonts w:hint="eastAsia" w:ascii="仿宋" w:hAnsi="仿宋" w:eastAsia="仿宋" w:cs="仿宋"/>
          <w:bCs w:val="0"/>
          <w:color w:val="auto"/>
          <w:sz w:val="24"/>
          <w:szCs w:val="24"/>
          <w:highlight w:val="none"/>
          <w:lang w:eastAsia="zh-CN"/>
        </w:rPr>
        <w:t>53测量放线</w:t>
      </w:r>
      <w:bookmarkEnd w:id="351"/>
    </w:p>
    <w:p w14:paraId="2A5342F4">
      <w:pPr>
        <w:pStyle w:val="20"/>
        <w:tabs>
          <w:tab w:val="left" w:pos="1202"/>
        </w:tabs>
        <w:adjustRightInd w:val="0"/>
        <w:snapToGrid w:val="0"/>
        <w:spacing w:line="360" w:lineRule="auto"/>
        <w:ind w:firstLine="0"/>
        <w:rPr>
          <w:rFonts w:hint="eastAsia" w:ascii="仿宋" w:hAnsi="仿宋" w:eastAsia="仿宋" w:cs="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30976" behindDoc="0" locked="0" layoutInCell="1" allowOverlap="1">
                <wp:simplePos x="0" y="0"/>
                <wp:positionH relativeFrom="column">
                  <wp:posOffset>-114300</wp:posOffset>
                </wp:positionH>
                <wp:positionV relativeFrom="paragraph">
                  <wp:posOffset>286385</wp:posOffset>
                </wp:positionV>
                <wp:extent cx="756920" cy="495300"/>
                <wp:effectExtent l="0" t="0" r="0" b="0"/>
                <wp:wrapNone/>
                <wp:docPr id="678" name="文本框 873"/>
                <wp:cNvGraphicFramePr/>
                <a:graphic xmlns:a="http://schemas.openxmlformats.org/drawingml/2006/main">
                  <a:graphicData uri="http://schemas.microsoft.com/office/word/2010/wordprocessingShape">
                    <wps:wsp>
                      <wps:cNvSpPr txBox="1">
                        <a:spLocks noChangeArrowheads="1"/>
                      </wps:cNvSpPr>
                      <wps:spPr bwMode="auto">
                        <a:xfrm>
                          <a:off x="0" y="0"/>
                          <a:ext cx="756920" cy="495300"/>
                        </a:xfrm>
                        <a:prstGeom prst="rect">
                          <a:avLst/>
                        </a:prstGeom>
                        <a:noFill/>
                        <a:ln>
                          <a:noFill/>
                        </a:ln>
                        <a:effectLst/>
                      </wps:spPr>
                      <wps:txbx>
                        <w:txbxContent>
                          <w:p w14:paraId="740B48F6">
                            <w:pPr>
                              <w:rPr>
                                <w:rFonts w:ascii="宋体"/>
                                <w:sz w:val="18"/>
                                <w:szCs w:val="18"/>
                              </w:rPr>
                            </w:pPr>
                            <w:r>
                              <w:rPr>
                                <w:rFonts w:hint="eastAsia" w:ascii="楷体_GB2312" w:hAnsi="宋体" w:eastAsia="楷体_GB2312" w:cs="楷体_GB2312"/>
                                <w:b/>
                                <w:bCs/>
                                <w:color w:val="000000"/>
                                <w:sz w:val="18"/>
                                <w:szCs w:val="18"/>
                              </w:rPr>
                              <w:t>测设施工控制网</w:t>
                            </w:r>
                          </w:p>
                        </w:txbxContent>
                      </wps:txbx>
                      <wps:bodyPr rot="0" vert="horz" wrap="square" lIns="91440" tIns="45720" rIns="91440" bIns="45720" anchor="t" anchorCtr="0" upright="1">
                        <a:noAutofit/>
                      </wps:bodyPr>
                    </wps:wsp>
                  </a:graphicData>
                </a:graphic>
              </wp:anchor>
            </w:drawing>
          </mc:Choice>
          <mc:Fallback>
            <w:pict>
              <v:shape id="文本框 873" o:spid="_x0000_s1026" o:spt="202" type="#_x0000_t202" style="position:absolute;left:0pt;margin-left:-9pt;margin-top:22.55pt;height:39pt;width:59.6pt;z-index:252030976;mso-width-relative:page;mso-height-relative:page;" filled="f" stroked="f" coordsize="21600,21600" o:gfxdata="UEsDBAoAAAAAAIdO4kAAAAAAAAAAAAAAAAAEAAAAZHJzL1BLAwQUAAAACACHTuJAkm0zpdcAAAAK&#10;AQAADwAAAGRycy9kb3ducmV2LnhtbE2PwU7DMBBE70j9B2uRuLW2Q1uVkE0PRVxBFIrEzY23SUS8&#10;jmK3CX+Pe4LbrGY0+6bYTq4TFxpC6xlBLxQI4srblmuEj/fn+QZEiIat6TwTwg8F2Jazm8Lk1o/8&#10;Rpd9rEUq4ZAbhCbGPpcyVA05Exa+J07eyQ/OxHQOtbSDGVO562Sm1Fo603L60Jiedg1V3/uzQzi8&#10;nL4+l+q1fnKrfvSTkuweJOLdrVaPICJN8S8MV/yEDmViOvoz2yA6hLnepC0RYbnSIK4BpTMQxySy&#10;ew2yLOT/CeUvUEsDBBQAAAAIAIdO4kA8t4MnHwIAACYEAAAOAAAAZHJzL2Uyb0RvYy54bWytU0tu&#10;2zAQ3RfoHQjua9mOP7FgOUhjpCiQfoC0B6ApyiIqcdghbck9QHuDrrrpvufyOTqkFNdNN1l0Q5Cc&#10;4Zt5bx6XV21dsb1Cp8FkfDQYcqaMhFybbcY/frh9ccmZ88LkogKjMn5Qjl+tnj9bNjZVYyihyhUy&#10;AjEubWzGS+9tmiROlqoWbgBWGQoWgLXwdMRtkqNoCL2ukvFwOEsawNwiSOUc3a67IO8R8SmAUBRa&#10;qjXIXa2M71BRVcITJVdq6/gqdlsUSvp3ReGUZ1XGiamPKxWh/SasyWop0i0KW2rZtyCe0sIjTrXQ&#10;hoqeoNbCC7ZD/Q9UrSWCg8IPJNRJRyQqQixGw0fa3JfCqsiFpHb2JLr7f7Dy7f49Mp1nfDanwRtR&#10;08iP378df/w6/vzKLucXQaLGupQy7y3l+vYltGScSNfZO5CfHDNwUwqzVdeI0JRK5NTiKLxMzp52&#10;OC6AbJo3kFMlsfMQgdoC66AfKcIIncZzOI1HtZ5JupxPZ4sxRSSFJovpxTCOLxHpw2OLzr9SULOw&#10;yTjS9CO42N85H5oR6UNKqGXgVldVdEBl/rqgxO5GRQv1rwOV0H3Hw7ebtpdmA/mBSCF09qLPRZsS&#10;8AtnDVkr4+7zTqDirHptSJjFaDIJXoyHyXQeOOF5ZHMeEUYSVMY9Z932xnf+3VnU25IqdaMwcE1i&#10;FjoSDa12XfUjIPtE/r3Vgz/PzzHrz/d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SbTOl1wAA&#10;AAoBAAAPAAAAAAAAAAEAIAAAACIAAABkcnMvZG93bnJldi54bWxQSwECFAAUAAAACACHTuJAPLeD&#10;Jx8CAAAmBAAADgAAAAAAAAABACAAAAAmAQAAZHJzL2Uyb0RvYy54bWxQSwUGAAAAAAYABgBZAQAA&#10;twUAAAAA&#10;">
                <v:fill on="f" focussize="0,0"/>
                <v:stroke on="f"/>
                <v:imagedata o:title=""/>
                <o:lock v:ext="edit" aspectratio="f"/>
                <v:textbox>
                  <w:txbxContent>
                    <w:p w14:paraId="740B48F6">
                      <w:pPr>
                        <w:rPr>
                          <w:rFonts w:ascii="宋体"/>
                          <w:sz w:val="18"/>
                          <w:szCs w:val="18"/>
                        </w:rPr>
                      </w:pPr>
                      <w:r>
                        <w:rPr>
                          <w:rFonts w:hint="eastAsia" w:ascii="楷体_GB2312" w:hAnsi="宋体" w:eastAsia="楷体_GB2312" w:cs="楷体_GB2312"/>
                          <w:b/>
                          <w:bCs/>
                          <w:color w:val="000000"/>
                          <w:sz w:val="18"/>
                          <w:szCs w:val="18"/>
                        </w:rPr>
                        <w:t>测设施工控制网</w:t>
                      </w:r>
                    </w:p>
                  </w:txbxContent>
                </v:textbox>
              </v:shape>
            </w:pict>
          </mc:Fallback>
        </mc:AlternateContent>
      </w:r>
      <w:r>
        <w:rPr>
          <w:rFonts w:hint="eastAsia" w:ascii="仿宋" w:hAnsi="仿宋" w:eastAsia="仿宋" w:cs="仿宋"/>
          <w:b/>
          <w:bCs/>
          <w:color w:val="auto"/>
          <w:highlight w:val="none"/>
          <w:lang w:eastAsia="zh-CN"/>
        </w:rPr>
        <w:t>53</w:t>
      </w:r>
      <w:r>
        <w:rPr>
          <w:rFonts w:ascii="仿宋" w:hAnsi="仿宋" w:eastAsia="仿宋" w:cs="仿宋"/>
          <w:b/>
          <w:bCs/>
          <w:color w:val="auto"/>
          <w:highlight w:val="none"/>
          <w:lang w:eastAsia="zh-CN"/>
        </w:rPr>
        <w:t>.1</w:t>
      </w:r>
    </w:p>
    <w:p w14:paraId="488F71F7">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监理人应在发出开工令后的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向承包人提供原始基准点、基准线、基准高程等书面资料。承包人应根据国家测绘基准、测绘系统和工程测量技术规范，按照上述资料以及合同工程精度要求，测绘施工控制网，并在专用条款约定的期限内，将施工控制网资料提交设计人顾问人、监理人确认。</w:t>
      </w:r>
    </w:p>
    <w:p w14:paraId="46438D39">
      <w:pPr>
        <w:adjustRightInd w:val="0"/>
        <w:snapToGrid w:val="0"/>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53</w:t>
      </w:r>
      <w:r>
        <w:rPr>
          <w:rFonts w:ascii="仿宋" w:hAnsi="仿宋" w:eastAsia="仿宋" w:cs="仿宋"/>
          <w:b/>
          <w:bCs/>
          <w:color w:val="auto"/>
          <w:highlight w:val="none"/>
          <w:lang w:eastAsia="zh-CN"/>
        </w:rPr>
        <w:t xml:space="preserve">.2  </w:t>
      </w:r>
    </w:p>
    <w:p w14:paraId="788C0BFA">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799552" behindDoc="0" locked="0" layoutInCell="1" allowOverlap="1">
                <wp:simplePos x="0" y="0"/>
                <wp:positionH relativeFrom="column">
                  <wp:posOffset>-114300</wp:posOffset>
                </wp:positionH>
                <wp:positionV relativeFrom="paragraph">
                  <wp:posOffset>62230</wp:posOffset>
                </wp:positionV>
                <wp:extent cx="775970" cy="588645"/>
                <wp:effectExtent l="0" t="0" r="0" b="0"/>
                <wp:wrapNone/>
                <wp:docPr id="679" name="文本框 874"/>
                <wp:cNvGraphicFramePr/>
                <a:graphic xmlns:a="http://schemas.openxmlformats.org/drawingml/2006/main">
                  <a:graphicData uri="http://schemas.microsoft.com/office/word/2010/wordprocessingShape">
                    <wps:wsp>
                      <wps:cNvSpPr txBox="1">
                        <a:spLocks noChangeArrowheads="1"/>
                      </wps:cNvSpPr>
                      <wps:spPr bwMode="auto">
                        <a:xfrm>
                          <a:off x="0" y="0"/>
                          <a:ext cx="775970" cy="588645"/>
                        </a:xfrm>
                        <a:prstGeom prst="rect">
                          <a:avLst/>
                        </a:prstGeom>
                        <a:noFill/>
                        <a:ln>
                          <a:noFill/>
                        </a:ln>
                        <a:effectLst/>
                      </wps:spPr>
                      <wps:txbx>
                        <w:txbxContent>
                          <w:p w14:paraId="224EE35D">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施工控制网（点）管理与使用</w:t>
                            </w:r>
                          </w:p>
                        </w:txbxContent>
                      </wps:txbx>
                      <wps:bodyPr rot="0" vert="horz" wrap="square" lIns="91440" tIns="45720" rIns="91440" bIns="45720" anchor="t" anchorCtr="0" upright="1">
                        <a:noAutofit/>
                      </wps:bodyPr>
                    </wps:wsp>
                  </a:graphicData>
                </a:graphic>
              </wp:anchor>
            </w:drawing>
          </mc:Choice>
          <mc:Fallback>
            <w:pict>
              <v:shape id="文本框 874" o:spid="_x0000_s1026" o:spt="202" type="#_x0000_t202" style="position:absolute;left:0pt;margin-left:-9pt;margin-top:4.9pt;height:46.35pt;width:61.1pt;z-index:251799552;mso-width-relative:page;mso-height-relative:page;" filled="f" stroked="f" coordsize="21600,21600" o:gfxdata="UEsDBAoAAAAAAIdO4kAAAAAAAAAAAAAAAAAEAAAAZHJzL1BLAwQUAAAACACHTuJAqKthhtYAAAAJ&#10;AQAADwAAAGRycy9kb3ducmV2LnhtbE2PwW7CMAyG75P2DpEncYOkFUzQNeUA2nVosE3azTSmrdY4&#10;VRNo9/ZLT+Nm67d+f1++HW0rbtT7xrGGZKFAEJfONFxp+Di9ztcgfEA22DomDb/kYVs8PuSYGTfw&#10;O92OoRKxhH2GGuoQukxKX9Zk0S9cRxyzi+sthrj2lTQ9DrHctjJV6llabDh+qLGjXU3lz/FqNXy+&#10;Xb6/lupQ7e2qG9yoJNuN1Hr2lKgXEIHG8H8ME35EhyIynd2VjRethnmyji5BwyYaTLlapiDO05Cu&#10;QBa5vDco/gBQSwMEFAAAAAgAh07iQNeH5L4eAgAAJgQAAA4AAABkcnMvZTJvRG9jLnhtbK1TS44T&#10;MRDdI3EHy3vSSZRvK53RMNEgpOEjDRzAcbvTFt0uU3bSHQ4AN2DFhj3nyjkou3tCGDazYGPZrvKr&#10;eq+eV1dtXbGDQqfBZHw0GHKmjIRcm13GP364fbHgzHlhclGBURk/Ksev1s+frRqbqjGUUOUKGYEY&#10;lzY246X3Nk0SJ0tVCzcAqwwFC8BaeDriLslRNIReV8l4OJwlDWBuEaRyjm43XZD3iPgUQCgKLdUG&#10;5L5WxneoqCrhiZIrtXV8HbstCiX9u6JwyrMq48TUx5WK0H4b1mS9EukOhS217FsQT2nhEadaaENF&#10;z1Ab4QXbo/4HqtYSwUHhBxLqpCMSFSEWo+Ejbe5LYVXkQlI7exbd/T9Y+fbwHpnOMz6bLzkzoqaR&#10;n75/O/34dfr5lS3mkyBRY11KmfeWcn37EloyTqTr7B3IT44ZuCmF2alrRGhKJXJqcRReJhdPOxwX&#10;QLbNG8ipkth7iEBtgXXQjxRhhE7jOZ7Ho1rPJF3O59PlnCKSQtPFYjaZxgoifXhs0flXCmoWNhlH&#10;mn4EF4c750MzIn1ICbUM3Oqqig6ozF8XlNjdqGih/nWgErrvePh22/bSbCE/EimEzl70uWhTAn7h&#10;rCFrZdx93gtUnFWvDQmzHE0mwYvxMJnOx3TAy8j2MiKMJKiMe8667Y3v/Lu3qHclVepGYeCaxCx0&#10;JBpa7brqR0D2ifx7qwd/Xp5j1p/vvf4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qKthhtYAAAAJ&#10;AQAADwAAAAAAAAABACAAAAAiAAAAZHJzL2Rvd25yZXYueG1sUEsBAhQAFAAAAAgAh07iQNeH5L4e&#10;AgAAJgQAAA4AAAAAAAAAAQAgAAAAJQEAAGRycy9lMm9Eb2MueG1sUEsFBgAAAAAGAAYAWQEAALUF&#10;AAAAAA==&#10;">
                <v:fill on="f" focussize="0,0"/>
                <v:stroke on="f"/>
                <v:imagedata o:title=""/>
                <o:lock v:ext="edit" aspectratio="f"/>
                <v:textbox>
                  <w:txbxContent>
                    <w:p w14:paraId="224EE35D">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施工控制网（点）管理与使用</w:t>
                      </w:r>
                    </w:p>
                  </w:txbxContent>
                </v:textbox>
              </v:shape>
            </w:pict>
          </mc:Fallback>
        </mc:AlternateContent>
      </w:r>
      <w:r>
        <w:rPr>
          <w:rFonts w:hint="eastAsia" w:ascii="仿宋" w:hAnsi="仿宋" w:eastAsia="仿宋" w:cs="仿宋"/>
          <w:color w:val="auto"/>
          <w:highlight w:val="none"/>
          <w:lang w:eastAsia="zh-CN"/>
        </w:rPr>
        <w:t>承包人应负责施工控制网点的管理。施工控制网点丢失或损坏的，承包人应及时修复。承包人应承担施工控制网点的管理与修复费用，并在工程竣工后将施工控制网点移交发包人。</w:t>
      </w:r>
    </w:p>
    <w:p w14:paraId="6EA63E84">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监理工程师需要使用施工控制网的，承包人应提供必要的协助，发包人无需为此支付任何费用。</w:t>
      </w:r>
    </w:p>
    <w:p w14:paraId="4A8186F9">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53</w:t>
      </w:r>
      <w:r>
        <w:rPr>
          <w:rFonts w:ascii="仿宋" w:hAnsi="仿宋" w:eastAsia="仿宋" w:cs="仿宋"/>
          <w:b/>
          <w:bCs/>
          <w:color w:val="auto"/>
          <w:highlight w:val="none"/>
          <w:lang w:eastAsia="zh-CN"/>
        </w:rPr>
        <w:t>.3</w:t>
      </w:r>
    </w:p>
    <w:p w14:paraId="651EEA98">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00576" behindDoc="0" locked="0" layoutInCell="1" allowOverlap="1">
                <wp:simplePos x="0" y="0"/>
                <wp:positionH relativeFrom="column">
                  <wp:posOffset>-114300</wp:posOffset>
                </wp:positionH>
                <wp:positionV relativeFrom="paragraph">
                  <wp:posOffset>-6350</wp:posOffset>
                </wp:positionV>
                <wp:extent cx="765810" cy="596900"/>
                <wp:effectExtent l="0" t="0" r="0" b="0"/>
                <wp:wrapNone/>
                <wp:docPr id="680" name="文本框 875"/>
                <wp:cNvGraphicFramePr/>
                <a:graphic xmlns:a="http://schemas.openxmlformats.org/drawingml/2006/main">
                  <a:graphicData uri="http://schemas.microsoft.com/office/word/2010/wordprocessingShape">
                    <wps:wsp>
                      <wps:cNvSpPr txBox="1">
                        <a:spLocks noChangeArrowheads="1"/>
                      </wps:cNvSpPr>
                      <wps:spPr bwMode="auto">
                        <a:xfrm>
                          <a:off x="0" y="0"/>
                          <a:ext cx="765810" cy="596900"/>
                        </a:xfrm>
                        <a:prstGeom prst="rect">
                          <a:avLst/>
                        </a:prstGeom>
                        <a:noFill/>
                        <a:ln>
                          <a:noFill/>
                        </a:ln>
                        <a:effectLst/>
                      </wps:spPr>
                      <wps:txbx>
                        <w:txbxContent>
                          <w:p w14:paraId="3AB2DCA0">
                            <w:pPr>
                              <w:spacing w:line="200" w:lineRule="exact"/>
                              <w:rPr>
                                <w:sz w:val="18"/>
                                <w:szCs w:val="18"/>
                              </w:rPr>
                            </w:pPr>
                            <w:r>
                              <w:rPr>
                                <w:rFonts w:hint="eastAsia" w:ascii="楷体_GB2312" w:hAnsi="宋体" w:eastAsia="楷体_GB2312" w:cs="楷体_GB2312"/>
                                <w:b/>
                                <w:bCs/>
                                <w:color w:val="000000"/>
                                <w:sz w:val="18"/>
                                <w:szCs w:val="18"/>
                              </w:rPr>
                              <w:t>承包人测量放线的责任</w:t>
                            </w:r>
                          </w:p>
                        </w:txbxContent>
                      </wps:txbx>
                      <wps:bodyPr rot="0" vert="horz" wrap="square" lIns="91440" tIns="45720" rIns="91440" bIns="45720" anchor="t" anchorCtr="0" upright="1">
                        <a:noAutofit/>
                      </wps:bodyPr>
                    </wps:wsp>
                  </a:graphicData>
                </a:graphic>
              </wp:anchor>
            </w:drawing>
          </mc:Choice>
          <mc:Fallback>
            <w:pict>
              <v:shape id="文本框 875" o:spid="_x0000_s1026" o:spt="202" type="#_x0000_t202" style="position:absolute;left:0pt;margin-left:-9pt;margin-top:-0.5pt;height:47pt;width:60.3pt;z-index:251800576;mso-width-relative:page;mso-height-relative:page;" filled="f" stroked="f" coordsize="21600,21600" o:gfxdata="UEsDBAoAAAAAAIdO4kAAAAAAAAAAAAAAAAAEAAAAZHJzL1BLAwQUAAAACACHTuJA2RQbytYAAAAJ&#10;AQAADwAAAGRycy9kb3ducmV2LnhtbE2PT0/DMAzF70h8h8hI3LakA6atNN0BxBXE+CNx8xqvrWic&#10;qsnW8u1xT3Cyrff0/HvFbvKdOtMQ28AWsqUBRVwF13Jt4f3tabEBFROywy4wWfihCLvy8qLA3IWR&#10;X+m8T7WSEI45WmhS6nOtY9WQx7gMPbFoxzB4THIOtXYDjhLuO70yZq09tiwfGuzpoaHqe3/yFj6e&#10;j1+ft+alfvR3/Rgmo9lvtbXXV5m5B5VoSn9mmPEFHUphOoQTu6g6C4tsI13SvMicDWa1BnWwsL0x&#10;oMtC/29Q/gJQSwMEFAAAAAgAh07iQCAREu8eAgAAJgQAAA4AAABkcnMvZTJvRG9jLnhtbK1TS44T&#10;MRDdI3EHy3vSSZRvK53RMNEgpOEjDRzAcbvTFt0uU3bSHQ4AN2DFhj3nyjkou3tCGDazYGPZrvKr&#10;916VV1dtXbGDQqfBZHw0GHKmjIRcm13GP364fbHgzHlhclGBURk/Ksev1s+frRqbqjGUUOUKGYEY&#10;lzY246X3Nk0SJ0tVCzcAqwwFC8BaeDriLslRNIReV8l4OJwlDWBuEaRyjm43XZD3iPgUQCgKLdUG&#10;5L5WxneoqCrhSZIrtXV8HdkWhZL+XVE45VmVcVLq40pFaL8Na7JeiXSHwpZa9hTEUyg80lQLbajo&#10;GWojvGB71P9A1VoiOCj8QEKddEKiI6RiNHzkzX0prIpayGpnz6a7/wcr3x7eI9N5xmcL8sSImlp+&#10;+v7t9OPX6edXtphPg0WNdSll3lvK9e1LaGlwolxn70B+cszATSnMTl0jQlMqkRPFUXiZXDztcFwA&#10;2TZvIKdKYu8hArUF1sE/coQROlE5ntujWs8kXc5n08WIIpJC0+VsOYztS0T68Nii868U1CxsMo7U&#10;/QguDnfOBzIifUgJtQzc6qqKE1CZvy4osbtRcYT610FKYN/p8O227a3ZQn4kUQjdeNHnok0J+IWz&#10;hkYr4+7zXqDirHptyJjlaDIhGT4eJtP5mA54GdleRoSRBJVxz1m3vfHd/O4t6l1JlbpWGLgmMwsd&#10;hQaqHau+BTQ+UX8/6mE+L88x68/3Xv8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2RQbytYAAAAJ&#10;AQAADwAAAAAAAAABACAAAAAiAAAAZHJzL2Rvd25yZXYueG1sUEsBAhQAFAAAAAgAh07iQCAREu8e&#10;AgAAJgQAAA4AAAAAAAAAAQAgAAAAJQEAAGRycy9lMm9Eb2MueG1sUEsFBgAAAAAGAAYAWQEAALUF&#10;AAAAAA==&#10;">
                <v:fill on="f" focussize="0,0"/>
                <v:stroke on="f"/>
                <v:imagedata o:title=""/>
                <o:lock v:ext="edit" aspectratio="f"/>
                <v:textbox>
                  <w:txbxContent>
                    <w:p w14:paraId="3AB2DCA0">
                      <w:pPr>
                        <w:spacing w:line="200" w:lineRule="exact"/>
                        <w:rPr>
                          <w:sz w:val="18"/>
                          <w:szCs w:val="18"/>
                        </w:rPr>
                      </w:pPr>
                      <w:r>
                        <w:rPr>
                          <w:rFonts w:hint="eastAsia" w:ascii="楷体_GB2312" w:hAnsi="宋体" w:eastAsia="楷体_GB2312" w:cs="楷体_GB2312"/>
                          <w:b/>
                          <w:bCs/>
                          <w:color w:val="000000"/>
                          <w:sz w:val="18"/>
                          <w:szCs w:val="18"/>
                        </w:rPr>
                        <w:t>承包人测量放线的责任</w:t>
                      </w:r>
                    </w:p>
                  </w:txbxContent>
                </v:textbox>
              </v:shape>
            </w:pict>
          </mc:Fallback>
        </mc:AlternateContent>
      </w:r>
      <w:r>
        <w:rPr>
          <w:rFonts w:hint="eastAsia" w:ascii="仿宋" w:hAnsi="仿宋" w:eastAsia="仿宋" w:cs="仿宋"/>
          <w:color w:val="auto"/>
          <w:highlight w:val="none"/>
          <w:lang w:eastAsia="zh-CN"/>
        </w:rPr>
        <w:t>承包人应配置合格的人员、仪器、施工设备和其他物品，根据监理人书面确定的原始基准点、基准线、基准高程等资料，准确完成对合同工程的全部施工测量放线工作，并对工程各部分的位置、标高、尺寸或定线的正确性负责。</w:t>
      </w:r>
    </w:p>
    <w:p w14:paraId="610184CA">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53</w:t>
      </w:r>
      <w:r>
        <w:rPr>
          <w:rFonts w:ascii="仿宋" w:hAnsi="仿宋" w:eastAsia="仿宋" w:cs="仿宋"/>
          <w:b/>
          <w:bCs/>
          <w:color w:val="auto"/>
          <w:highlight w:val="none"/>
          <w:lang w:eastAsia="zh-CN"/>
        </w:rPr>
        <w:t>.4</w:t>
      </w:r>
    </w:p>
    <w:p w14:paraId="73288324">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01600" behindDoc="0" locked="0" layoutInCell="1" allowOverlap="1">
                <wp:simplePos x="0" y="0"/>
                <wp:positionH relativeFrom="column">
                  <wp:posOffset>-66675</wp:posOffset>
                </wp:positionH>
                <wp:positionV relativeFrom="paragraph">
                  <wp:posOffset>8255</wp:posOffset>
                </wp:positionV>
                <wp:extent cx="775970" cy="511810"/>
                <wp:effectExtent l="0" t="0" r="0" b="0"/>
                <wp:wrapNone/>
                <wp:docPr id="681" name="文本框 876"/>
                <wp:cNvGraphicFramePr/>
                <a:graphic xmlns:a="http://schemas.openxmlformats.org/drawingml/2006/main">
                  <a:graphicData uri="http://schemas.microsoft.com/office/word/2010/wordprocessingShape">
                    <wps:wsp>
                      <wps:cNvSpPr txBox="1">
                        <a:spLocks noChangeArrowheads="1"/>
                      </wps:cNvSpPr>
                      <wps:spPr bwMode="auto">
                        <a:xfrm>
                          <a:off x="0" y="0"/>
                          <a:ext cx="775970" cy="511810"/>
                        </a:xfrm>
                        <a:prstGeom prst="rect">
                          <a:avLst/>
                        </a:prstGeom>
                        <a:noFill/>
                        <a:ln>
                          <a:noFill/>
                        </a:ln>
                        <a:effectLst/>
                      </wps:spPr>
                      <wps:txbx>
                        <w:txbxContent>
                          <w:p w14:paraId="2F846809">
                            <w:pPr>
                              <w:spacing w:line="20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测量放线误差的处理</w:t>
                            </w:r>
                          </w:p>
                        </w:txbxContent>
                      </wps:txbx>
                      <wps:bodyPr rot="0" vert="horz" wrap="square" lIns="91440" tIns="45720" rIns="91440" bIns="45720" anchor="t" anchorCtr="0" upright="1">
                        <a:noAutofit/>
                      </wps:bodyPr>
                    </wps:wsp>
                  </a:graphicData>
                </a:graphic>
              </wp:anchor>
            </w:drawing>
          </mc:Choice>
          <mc:Fallback>
            <w:pict>
              <v:shape id="文本框 876" o:spid="_x0000_s1026" o:spt="202" type="#_x0000_t202" style="position:absolute;left:0pt;margin-left:-5.25pt;margin-top:0.65pt;height:40.3pt;width:61.1pt;z-index:251801600;mso-width-relative:page;mso-height-relative:page;" filled="f" stroked="f" coordsize="21600,21600" o:gfxdata="UEsDBAoAAAAAAIdO4kAAAAAAAAAAAAAAAAAEAAAAZHJzL1BLAwQUAAAACACHTuJAguvdYtUAAAAI&#10;AQAADwAAAGRycy9kb3ducmV2LnhtbE2PwU7DMBBE70j9B2srcWttAy1tyKYHEFcQpVTqzY23SUS8&#10;jmK3CX+Pe4Lj6o1m3uab0bXiQn1oPCPouQJBXHrbcIWw+3ydrUCEaNia1jMh/FCATTG5yU1m/cAf&#10;dNnGSqQSDplBqGPsMilDWZMzYe474sROvncmprOvpO3NkMpdK++UWkpnGk4Ltenouabye3t2CF9v&#10;p8P+Qb1XL27RDX5Ukt1aIt5OtXoCEWmMf2G46id1KJLT0Z/ZBtEizLRapGgC9yCuXOtHEEeElV6D&#10;LHL5/4HiF1BLAwQUAAAACACHTuJA0JNW2h4CAAAmBAAADgAAAGRycy9lMm9Eb2MueG1srVNLbtsw&#10;EN0X6B0I7mtZhn8RLAdpjBQF0g+Q9gA0RVlEJQ47pC2lB2hv0FU33fdcPkeHlOK66SaLbgiSM3wz&#10;783j6rJranZQ6DSYnKejMWfKSCi02eX844ebF0vOnBemEDUYlfN75fjl+vmzVWszNYEK6kIhIxDj&#10;stbmvPLeZkniZKUa4UZglaFgCdgIT0fcJQWKltCbOpmMx/OkBSwsglTO0e2mD/IBEZ8CCGWppdqA&#10;3DfK+B4VVS08UXKVto6vY7dlqaR/V5ZOeVbnnJj6uFIR2m/DmqxXItuhsJWWQwviKS084tQIbajo&#10;CWojvGB71P9ANVoiOCj9SEKT9ESiIsQiHT/S5q4SVkUuJLWzJ9Hd/4OVbw/vkeki5/NlypkRDY38&#10;+P3b8cev48+vbLmYB4la6zLKvLOU67uX0JFxIl1nb0F+cszAdSXMTl0hQlspUVCLaXiZnD3tcVwA&#10;2bZvoKBKYu8hAnUlNkE/UoQROo3n/jQe1Xkm6XKxmF0sKCIpNEvTZRrHl4js4bFF518paFjY5Bxp&#10;+hFcHG6dD82I7CEl1DJwo+s6OqA2f11QYn+jooWG14FK6L7n4bttN0izheKeSCH09qLPRZsK8Atn&#10;LVkr5+7zXqDirH5tSJiLdDoNXoyH6WwxoQOeR7bnEWEkQeXcc9Zvr33v371FvauoUj8KA1ckZqkj&#10;0dBq39UwArJP5D9YPfjz/Byz/nzv9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C691i1QAAAAgB&#10;AAAPAAAAAAAAAAEAIAAAACIAAABkcnMvZG93bnJldi54bWxQSwECFAAUAAAACACHTuJA0JNW2h4C&#10;AAAmBAAADgAAAAAAAAABACAAAAAkAQAAZHJzL2Uyb0RvYy54bWxQSwUGAAAAAAYABgBZAQAAtAUA&#10;AAAA&#10;">
                <v:fill on="f" focussize="0,0"/>
                <v:stroke on="f"/>
                <v:imagedata o:title=""/>
                <o:lock v:ext="edit" aspectratio="f"/>
                <v:textbox>
                  <w:txbxContent>
                    <w:p w14:paraId="2F846809">
                      <w:pPr>
                        <w:spacing w:line="20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测量放线误差的处理</w:t>
                      </w:r>
                    </w:p>
                  </w:txbxContent>
                </v:textbox>
              </v:shape>
            </w:pict>
          </mc:Fallback>
        </mc:AlternateContent>
      </w:r>
      <w:r>
        <w:rPr>
          <w:rFonts w:hint="eastAsia" w:ascii="仿宋" w:hAnsi="仿宋" w:eastAsia="仿宋" w:cs="仿宋"/>
          <w:color w:val="auto"/>
          <w:highlight w:val="none"/>
          <w:lang w:eastAsia="zh-CN"/>
        </w:rPr>
        <w:t>监理人有权对承包人施工测量放线工作进行检查验收。如果发现永久工程任何部分的位置、标高、尺寸或定线超过合同约定误差的，承包人应自费纠正，直到监理人认为符合合同约定为止。如果这些误差是由于监理人书面提供的数据错误导致的，发包人应当承担由此增加的费用和（或）工期延误，并向承包人支付合理利润。</w:t>
      </w:r>
    </w:p>
    <w:p w14:paraId="2F98B46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53</w:t>
      </w:r>
      <w:r>
        <w:rPr>
          <w:rFonts w:ascii="仿宋" w:hAnsi="仿宋" w:eastAsia="仿宋" w:cs="仿宋"/>
          <w:b/>
          <w:bCs/>
          <w:color w:val="auto"/>
          <w:highlight w:val="none"/>
          <w:lang w:eastAsia="zh-CN"/>
        </w:rPr>
        <w:t xml:space="preserve">.5 </w:t>
      </w:r>
      <w:r>
        <w:rPr>
          <w:color w:val="auto"/>
          <w:highlight w:val="none"/>
          <w:lang w:eastAsia="zh-CN" w:bidi="ar-SA"/>
        </w:rPr>
        <mc:AlternateContent>
          <mc:Choice Requires="wps">
            <w:drawing>
              <wp:anchor distT="0" distB="0" distL="114300" distR="114300" simplePos="0" relativeHeight="251802624" behindDoc="0" locked="0" layoutInCell="1" allowOverlap="1">
                <wp:simplePos x="0" y="0"/>
                <wp:positionH relativeFrom="column">
                  <wp:posOffset>-114300</wp:posOffset>
                </wp:positionH>
                <wp:positionV relativeFrom="paragraph">
                  <wp:posOffset>278130</wp:posOffset>
                </wp:positionV>
                <wp:extent cx="784860" cy="509905"/>
                <wp:effectExtent l="0" t="0" r="0" b="0"/>
                <wp:wrapNone/>
                <wp:docPr id="682" name="文本框 877"/>
                <wp:cNvGraphicFramePr/>
                <a:graphic xmlns:a="http://schemas.openxmlformats.org/drawingml/2006/main">
                  <a:graphicData uri="http://schemas.microsoft.com/office/word/2010/wordprocessingShape">
                    <wps:wsp>
                      <wps:cNvSpPr txBox="1">
                        <a:spLocks noChangeArrowheads="1"/>
                      </wps:cNvSpPr>
                      <wps:spPr bwMode="auto">
                        <a:xfrm>
                          <a:off x="0" y="0"/>
                          <a:ext cx="784860" cy="509905"/>
                        </a:xfrm>
                        <a:prstGeom prst="rect">
                          <a:avLst/>
                        </a:prstGeom>
                        <a:noFill/>
                        <a:ln>
                          <a:noFill/>
                        </a:ln>
                        <a:effectLst/>
                      </wps:spPr>
                      <wps:txbx>
                        <w:txbxContent>
                          <w:p w14:paraId="2255ECBB">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保护基准点或线等标志</w:t>
                            </w:r>
                          </w:p>
                        </w:txbxContent>
                      </wps:txbx>
                      <wps:bodyPr rot="0" vert="horz" wrap="square" lIns="91440" tIns="45720" rIns="91440" bIns="45720" anchor="t" anchorCtr="0" upright="1">
                        <a:noAutofit/>
                      </wps:bodyPr>
                    </wps:wsp>
                  </a:graphicData>
                </a:graphic>
              </wp:anchor>
            </w:drawing>
          </mc:Choice>
          <mc:Fallback>
            <w:pict>
              <v:shape id="文本框 877" o:spid="_x0000_s1026" o:spt="202" type="#_x0000_t202" style="position:absolute;left:0pt;margin-left:-9pt;margin-top:21.9pt;height:40.15pt;width:61.8pt;z-index:251802624;mso-width-relative:page;mso-height-relative:page;" filled="f" stroked="f" coordsize="21600,21600" o:gfxdata="UEsDBAoAAAAAAIdO4kAAAAAAAAAAAAAAAAAEAAAAZHJzL1BLAwQUAAAACACHTuJAC+dI0tcAAAAK&#10;AQAADwAAAGRycy9kb3ducmV2LnhtbE2PwW7CMAyG75N4h8hIu0FSVhCUphyYdt002CbtFhrTVjRO&#10;1QTavf3MabvZ8q/f35fvRteKG/ah8aQhmSsQSKW3DVUaPo4vszWIEA1Z03pCDT8YYFdMHnKTWT/Q&#10;O94OsRJcQiEzGuoYu0zKUNboTJj7DolvZ987E3ntK2l7M3C5a+VCqZV0piH+UJsO9zWWl8PVafh8&#10;PX9/peqtenbLbvCjkuQ2UuvHaaK2ICKO8S8Md3xGh4KZTv5KNohWwyxZs0vUkD6xwj2glisQJx4W&#10;aQKyyOV/heIXUEsDBBQAAAAIAIdO4kANm93gHgIAACYEAAAOAAAAZHJzL2Uyb0RvYy54bWytU0uO&#10;EzEQ3SNxB8t70kmUbyud0TDRIKThIw0cwHG70xbdLlN20h0OADdgxYY958o5KLt7Qhg2s2Bj2a7y&#10;q3qvnldXbV2xg0KnwWR8NBhypoyEXJtdxj9+uH2x4Mx5YXJRgVEZPyrHr9bPn60am6oxlFDlChmB&#10;GJc2NuOl9zZNEidLVQs3AKsMBQvAWng64i7JUTSEXlfJeDicJQ1gbhGkco5uN12Q94j4FEAoCi3V&#10;BuS+VsZ3qKgq4YmSK7V1fB27LQol/buicMqzKuPE1MeVitB+G9ZkvRLpDoUttexbEE9p4RGnWmhD&#10;Rc9QG+EF26P+B6rWEsFB4QcS6qQjEhUhFqPhI23uS2FV5EJSO3sW3f0/WPn28B6ZzjM+W4w5M6Km&#10;kZ++fzv9+HX6+ZUt5vMgUWNdSpn3lnJ9+xJaMk6k6+wdyE+OGbgphdmpa0RoSiVyanEUXiYXTzsc&#10;F0C2zRvIqZLYe4hAbYF10I8UYYRO4zmex6NazyRdzheTxYwikkLT4XI5nMYKIn14bNH5VwpqFjYZ&#10;R5p+BBeHO+dDMyJ9SAm1DNzqqooOqMxfF5TY3ahoof51oBK673j4dtv20mwhPxIphM5e9LloUwJ+&#10;4awha2Xcfd4LVJxVrw0JsxxNJsGL8TCZzsd0wMvI9jIijCSojHvOuu2N7/y7t6h3JVXqRmHgmsQs&#10;dCQaWu266kdA9on8e6sHf16eY9af773+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vnSNLXAAAA&#10;CgEAAA8AAAAAAAAAAQAgAAAAIgAAAGRycy9kb3ducmV2LnhtbFBLAQIUABQAAAAIAIdO4kANm93g&#10;HgIAACYEAAAOAAAAAAAAAAEAIAAAACYBAABkcnMvZTJvRG9jLnhtbFBLBQYAAAAABgAGAFkBAAC2&#10;BQAAAAA=&#10;">
                <v:fill on="f" focussize="0,0"/>
                <v:stroke on="f"/>
                <v:imagedata o:title=""/>
                <o:lock v:ext="edit" aspectratio="f"/>
                <v:textbox>
                  <w:txbxContent>
                    <w:p w14:paraId="2255ECBB">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保护基准点或线等标志</w:t>
                      </w:r>
                    </w:p>
                  </w:txbxContent>
                </v:textbox>
              </v:shape>
            </w:pict>
          </mc:Fallback>
        </mc:AlternateContent>
      </w:r>
    </w:p>
    <w:p w14:paraId="2B45B758">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人对工程位置、标高、尺寸、定线的检查，不能免除承包人测量放线工作准确性应承担的任何责任和应履行的任何义务。承包人应有效地保护一切基准点、基准线和其他有关的标志，直到永久工程竣工验收合格为止。</w:t>
      </w:r>
    </w:p>
    <w:p w14:paraId="79D996EA">
      <w:pPr>
        <w:pStyle w:val="20"/>
        <w:tabs>
          <w:tab w:val="left" w:pos="2070"/>
        </w:tabs>
        <w:adjustRightInd w:val="0"/>
        <w:snapToGrid w:val="0"/>
        <w:spacing w:line="360" w:lineRule="auto"/>
        <w:ind w:firstLine="0"/>
        <w:rPr>
          <w:rFonts w:hint="eastAsia" w:ascii="仿宋" w:hAnsi="仿宋" w:eastAsia="仿宋" w:cs="仿宋"/>
          <w:b/>
          <w:bCs/>
          <w:color w:val="auto"/>
          <w:highlight w:val="none"/>
          <w:u w:val="single"/>
          <w:lang w:eastAsia="zh-CN"/>
        </w:rPr>
      </w:pPr>
    </w:p>
    <w:p w14:paraId="311D8523">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2" w:name="_Toc832"/>
      <w:r>
        <w:rPr>
          <w:rFonts w:hint="eastAsia" w:ascii="仿宋" w:hAnsi="仿宋" w:eastAsia="仿宋" w:cs="仿宋"/>
          <w:bCs w:val="0"/>
          <w:color w:val="auto"/>
          <w:sz w:val="24"/>
          <w:szCs w:val="24"/>
          <w:highlight w:val="none"/>
          <w:lang w:eastAsia="zh-CN"/>
        </w:rPr>
        <w:t>54钻孔与勘探性开挖</w:t>
      </w:r>
      <w:bookmarkEnd w:id="352"/>
    </w:p>
    <w:p w14:paraId="74CCA3C6">
      <w:pPr>
        <w:pStyle w:val="20"/>
        <w:adjustRightInd w:val="0"/>
        <w:snapToGrid w:val="0"/>
        <w:spacing w:line="360" w:lineRule="auto"/>
        <w:ind w:firstLine="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54</w:t>
      </w:r>
      <w:r>
        <w:rPr>
          <w:rFonts w:ascii="仿宋" w:hAnsi="仿宋" w:eastAsia="仿宋" w:cs="仿宋"/>
          <w:b/>
          <w:bCs/>
          <w:color w:val="auto"/>
          <w:highlight w:val="none"/>
          <w:lang w:eastAsia="zh-CN"/>
        </w:rPr>
        <w:t>.1</w:t>
      </w:r>
    </w:p>
    <w:p w14:paraId="4FA689AC">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032000" behindDoc="0" locked="0" layoutInCell="1" allowOverlap="1">
                <wp:simplePos x="0" y="0"/>
                <wp:positionH relativeFrom="column">
                  <wp:posOffset>0</wp:posOffset>
                </wp:positionH>
                <wp:positionV relativeFrom="paragraph">
                  <wp:posOffset>-26035</wp:posOffset>
                </wp:positionV>
                <wp:extent cx="756920" cy="598805"/>
                <wp:effectExtent l="0" t="0" r="0" b="0"/>
                <wp:wrapNone/>
                <wp:docPr id="683" name="文本框 878"/>
                <wp:cNvGraphicFramePr/>
                <a:graphic xmlns:a="http://schemas.openxmlformats.org/drawingml/2006/main">
                  <a:graphicData uri="http://schemas.microsoft.com/office/word/2010/wordprocessingShape">
                    <wps:wsp>
                      <wps:cNvSpPr txBox="1">
                        <a:spLocks noChangeArrowheads="1"/>
                      </wps:cNvSpPr>
                      <wps:spPr bwMode="auto">
                        <a:xfrm>
                          <a:off x="0" y="0"/>
                          <a:ext cx="756920" cy="598805"/>
                        </a:xfrm>
                        <a:prstGeom prst="rect">
                          <a:avLst/>
                        </a:prstGeom>
                        <a:noFill/>
                        <a:ln>
                          <a:noFill/>
                        </a:ln>
                        <a:effectLst/>
                      </wps:spPr>
                      <wps:txbx>
                        <w:txbxContent>
                          <w:p w14:paraId="7DC5077B">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发出钻孔和勘探性开挖工作指令</w:t>
                            </w:r>
                          </w:p>
                        </w:txbxContent>
                      </wps:txbx>
                      <wps:bodyPr rot="0" vert="horz" wrap="square" lIns="91440" tIns="45720" rIns="91440" bIns="45720" anchor="t" anchorCtr="0" upright="1">
                        <a:noAutofit/>
                      </wps:bodyPr>
                    </wps:wsp>
                  </a:graphicData>
                </a:graphic>
              </wp:anchor>
            </w:drawing>
          </mc:Choice>
          <mc:Fallback>
            <w:pict>
              <v:shape id="文本框 878" o:spid="_x0000_s1026" o:spt="202" type="#_x0000_t202" style="position:absolute;left:0pt;margin-left:0pt;margin-top:-2.05pt;height:47.15pt;width:59.6pt;z-index:252032000;mso-width-relative:page;mso-height-relative:page;" filled="f" stroked="f" coordsize="21600,21600" o:gfxdata="UEsDBAoAAAAAAIdO4kAAAAAAAAAAAAAAAAAEAAAAZHJzL1BLAwQUAAAACACHTuJAKE/KxNMAAAAG&#10;AQAADwAAAGRycy9kb3ducmV2LnhtbE2PzU7DMBCE70i8g7VI3Fo7UUEkZNMDiCuI8iNx28bbJCJe&#10;R7HbhLfHPcFxNKOZb6rt4gZ14in0XhCytQHF0njbS4vw/va0ugMVIomlwQsj/HCAbX15UVFp/Syv&#10;fNrFVqUSCSUhdDGOpdah6dhRWPuRJXkHPzmKSU6tthPNqdwNOjfmVjvqJS10NPJDx8337ugQPp4P&#10;X58b89I+uptx9ovR4gqNeH2VmXtQkZf4F4YzfkKHOjHt/VFsUANCOhIRVpsM1NnNihzUHqEwOei6&#10;0v/x619QSwMEFAAAAAgAh07iQOMsB2cfAgAAJgQAAA4AAABkcnMvZTJvRG9jLnhtbK1TzY7TMBC+&#10;I/EOlu80bWm7adR0tWy1CGn5kRYewHWcxiLxmLHbpDwA+wacuHDnufocjJ1uKctlD1ws2zP+Zr5v&#10;Pi8uu6ZmO4VOg8n5aDDkTBkJhTabnH/6ePMi5cx5YQpRg1E53yvHL5fPny1am6kxVFAXChmBGJe1&#10;NueV9zZLEicr1Qg3AKsMBUvARng64iYpULSE3tTJeDicJS1gYRGkco5uV32QHxHxKYBQllqqFcht&#10;o4zvUVHVwhMlV2nr+DJ2W5ZK+vdl6ZRndc6JqY8rFaH9OqzJciGyDQpbaXlsQTylhUecGqENFT1B&#10;rYQXbIv6H6hGSwQHpR9IaJKeSFSEWIyGj7S5q4RVkQtJ7exJdPf/YOW73Qdkusj5LH3JmRENjfzw&#10;/f7w49fh5zeWXqRBota6jDLvLOX67hV0ZJxI19lbkJ8dM3BdCbNRV4jQVkoU1OIovEzOnvY4LoCs&#10;27dQUCWx9RCBuhKboB8pwgidxrM/jUd1nkm6vJjO5mOKSApN52k6nMYKInt4bNH51woaFjY5R5p+&#10;BBe7W+dDMyJ7SAm1DNzouo4OqM1fF5TY36hooePrQCV03/Pw3bo7SrOGYk+kEHp70eeiTQX4lbOW&#10;rJVz92UrUHFWvzEkzHw0mQQvxsNkehE44XlkfR4RRhJUzj1n/fba9/7dWtSbiir1ozBwRWKWOhIN&#10;rfZdHUdA9on8j1YP/jw/x6w/33v5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ChPysTTAAAABgEA&#10;AA8AAAAAAAAAAQAgAAAAIgAAAGRycy9kb3ducmV2LnhtbFBLAQIUABQAAAAIAIdO4kDjLAdnHwIA&#10;ACYEAAAOAAAAAAAAAAEAIAAAACIBAABkcnMvZTJvRG9jLnhtbFBLBQYAAAAABgAGAFkBAACzBQAA&#10;AAA=&#10;">
                <v:fill on="f" focussize="0,0"/>
                <v:stroke on="f"/>
                <v:imagedata o:title=""/>
                <o:lock v:ext="edit" aspectratio="f"/>
                <v:textbox>
                  <w:txbxContent>
                    <w:p w14:paraId="7DC5077B">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发出钻孔和勘探性开挖工作指令</w:t>
                      </w:r>
                    </w:p>
                  </w:txbxContent>
                </v:textbox>
              </v:shape>
            </w:pict>
          </mc:Fallback>
        </mc:AlternateContent>
      </w:r>
      <w:r>
        <w:rPr>
          <w:rFonts w:hint="eastAsia" w:ascii="仿宋" w:hAnsi="仿宋" w:eastAsia="仿宋" w:cs="仿宋"/>
          <w:color w:val="auto"/>
          <w:highlight w:val="none"/>
          <w:lang w:eastAsia="zh-CN"/>
        </w:rPr>
        <w:t>在施工过程中，如果需要承包人进行钻孔或勘探性开挖（含疏浚工作在内）工作的，监理人应就此项工作按照第63条约定书面发出专项指令。承包人在接到监理工程师指令后，应及时实施相关工作。</w:t>
      </w:r>
    </w:p>
    <w:p w14:paraId="182BCF2D">
      <w:pPr>
        <w:pStyle w:val="20"/>
        <w:tabs>
          <w:tab w:val="left" w:pos="720"/>
          <w:tab w:val="left" w:pos="1080"/>
        </w:tabs>
        <w:adjustRightInd w:val="0"/>
        <w:snapToGrid w:val="0"/>
        <w:spacing w:line="360" w:lineRule="auto"/>
        <w:ind w:firstLine="0"/>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033024" behindDoc="0" locked="0" layoutInCell="1" allowOverlap="1">
                <wp:simplePos x="0" y="0"/>
                <wp:positionH relativeFrom="column">
                  <wp:posOffset>-47625</wp:posOffset>
                </wp:positionH>
                <wp:positionV relativeFrom="paragraph">
                  <wp:posOffset>284480</wp:posOffset>
                </wp:positionV>
                <wp:extent cx="861695" cy="591820"/>
                <wp:effectExtent l="0" t="0" r="0" b="0"/>
                <wp:wrapNone/>
                <wp:docPr id="684" name="文本框 879"/>
                <wp:cNvGraphicFramePr/>
                <a:graphic xmlns:a="http://schemas.openxmlformats.org/drawingml/2006/main">
                  <a:graphicData uri="http://schemas.microsoft.com/office/word/2010/wordprocessingShape">
                    <wps:wsp>
                      <wps:cNvSpPr txBox="1">
                        <a:spLocks noChangeArrowheads="1"/>
                      </wps:cNvSpPr>
                      <wps:spPr bwMode="auto">
                        <a:xfrm>
                          <a:off x="0" y="0"/>
                          <a:ext cx="861695" cy="591820"/>
                        </a:xfrm>
                        <a:prstGeom prst="rect">
                          <a:avLst/>
                        </a:prstGeom>
                        <a:noFill/>
                        <a:ln>
                          <a:noFill/>
                        </a:ln>
                        <a:effectLst/>
                      </wps:spPr>
                      <wps:txbx>
                        <w:txbxContent>
                          <w:p w14:paraId="7F3499B4">
                            <w:pPr>
                              <w:spacing w:line="200" w:lineRule="exact"/>
                              <w:rPr>
                                <w:sz w:val="18"/>
                                <w:szCs w:val="18"/>
                                <w:lang w:eastAsia="zh-CN"/>
                              </w:rPr>
                            </w:pPr>
                            <w:r>
                              <w:rPr>
                                <w:rFonts w:hint="eastAsia" w:ascii="楷体_GB2312" w:hAnsi="宋体" w:eastAsia="楷体_GB2312" w:cs="楷体_GB2312"/>
                                <w:b/>
                                <w:bCs/>
                                <w:color w:val="000000"/>
                                <w:sz w:val="18"/>
                                <w:szCs w:val="18"/>
                                <w:lang w:eastAsia="zh-CN"/>
                              </w:rPr>
                              <w:t>钻孔和勘探性开挖工作的费用</w:t>
                            </w:r>
                          </w:p>
                        </w:txbxContent>
                      </wps:txbx>
                      <wps:bodyPr rot="0" vert="horz" wrap="square" lIns="91440" tIns="45720" rIns="91440" bIns="45720" anchor="t" anchorCtr="0" upright="1">
                        <a:noAutofit/>
                      </wps:bodyPr>
                    </wps:wsp>
                  </a:graphicData>
                </a:graphic>
              </wp:anchor>
            </w:drawing>
          </mc:Choice>
          <mc:Fallback>
            <w:pict>
              <v:shape id="文本框 879" o:spid="_x0000_s1026" o:spt="202" type="#_x0000_t202" style="position:absolute;left:0pt;margin-left:-3.75pt;margin-top:22.4pt;height:46.6pt;width:67.85pt;z-index:252033024;mso-width-relative:page;mso-height-relative:page;" filled="f" stroked="f" coordsize="21600,21600" o:gfxdata="UEsDBAoAAAAAAIdO4kAAAAAAAAAAAAAAAAAEAAAAZHJzL1BLAwQUAAAACACHTuJAp93KHtcAAAAJ&#10;AQAADwAAAGRycy9kb3ducmV2LnhtbE2PwU7DMBBE70j8g7VI3Fq7IYWQxukBxBVEaZG4ufE2iRqv&#10;o9htwt+zPdHbjmY0+6ZYT64TZxxC60nDYq5AIFXetlRr2H69zTIQIRqypvOEGn4xwLq8vSlMbv1I&#10;n3jexFpwCYXcaGhi7HMpQ9WgM2HueyT2Dn5wJrIcamkHM3K562Si1KN0piX+0JgeXxqsjpuT07B7&#10;P/x8p+qjfnXLfvSTkuSepdb3dwu1AhFxiv9huOAzOpTMtPcnskF0GmZPS05qSFNecPGTLAGx5+Mh&#10;UyDLQl4vKP8AUEsDBBQAAAAIAIdO4kCXHgGxIAIAACYEAAAOAAAAZHJzL2Uyb0RvYy54bWytU82O&#10;0zAQviPxDpbvNE3Vdtuo6WrZahHS8iMtPIDrOI1F4jFjt8nyAPAGnLhw57n6HIydbCnLZQ9cLNsz&#10;/ma+bz6vLrumZgeFToPJeToac6aMhEKbXc4/frh5seDMeWEKUYNROb9Xjl+unz9btTZTE6igLhQy&#10;AjEua23OK+9tliROVqoRbgRWGQqWgI3wdMRdUqBoCb2pk8l4PE9awMIiSOUc3W76IB8Q8SmAUJZa&#10;qg3IfaOM71FR1cITJVdp6/g6dluWSvp3ZemUZ3XOiamPKxWh/TasyXolsh0KW2k5tCCe0sIjTo3Q&#10;hoqeoDbCC7ZH/Q9UoyWCg9KPJDRJTyQqQizS8SNt7iphVeRCUjt7Et39P1j59vAemS5yPl9MOTOi&#10;oZEfv387/vh1/PmVLS6WQaLWuowy7yzl+u4ldGScSNfZW5CfHDNwXQmzU1eI0FZKFNRiGl4mZ097&#10;HBdAtu0bKKiS2HuIQF2JTdCPFGGETuO5P41HdZ5JulzM0/lyxpmk0GyZLiZxfInIHh5bdP6VgoaF&#10;Tc6Rph/BxeHW+dCMyB5SQi0DN7quowNq89cFJfY3KlpoeB2ohO57Hr7bdoM0WyjuiRRCby/6XLSp&#10;AL9w1pK1cu4+7wUqzurXhoRZptNp8GI8TGcXxIPheWR7HhFGElTOPWf99tr3/t1b1LuKKvWjMHBF&#10;YpY6Eg2t9l0NIyD7RP6D1YM/z88x68/3Xv8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93KHtcA&#10;AAAJAQAADwAAAAAAAAABACAAAAAiAAAAZHJzL2Rvd25yZXYueG1sUEsBAhQAFAAAAAgAh07iQJce&#10;AbEgAgAAJgQAAA4AAAAAAAAAAQAgAAAAJgEAAGRycy9lMm9Eb2MueG1sUEsFBgAAAAAGAAYAWQEA&#10;ALgFAAAAAA==&#10;">
                <v:fill on="f" focussize="0,0"/>
                <v:stroke on="f"/>
                <v:imagedata o:title=""/>
                <o:lock v:ext="edit" aspectratio="f"/>
                <v:textbox>
                  <w:txbxContent>
                    <w:p w14:paraId="7F3499B4">
                      <w:pPr>
                        <w:spacing w:line="200" w:lineRule="exact"/>
                        <w:rPr>
                          <w:sz w:val="18"/>
                          <w:szCs w:val="18"/>
                          <w:lang w:eastAsia="zh-CN"/>
                        </w:rPr>
                      </w:pPr>
                      <w:r>
                        <w:rPr>
                          <w:rFonts w:hint="eastAsia" w:ascii="楷体_GB2312" w:hAnsi="宋体" w:eastAsia="楷体_GB2312" w:cs="楷体_GB2312"/>
                          <w:b/>
                          <w:bCs/>
                          <w:color w:val="000000"/>
                          <w:sz w:val="18"/>
                          <w:szCs w:val="18"/>
                          <w:lang w:eastAsia="zh-CN"/>
                        </w:rPr>
                        <w:t>钻孔和勘探性开挖工作的费用</w:t>
                      </w:r>
                    </w:p>
                  </w:txbxContent>
                </v:textbox>
              </v:shape>
            </w:pict>
          </mc:Fallback>
        </mc:AlternateContent>
      </w:r>
      <w:r>
        <w:rPr>
          <w:rFonts w:hint="eastAsia" w:ascii="仿宋" w:hAnsi="仿宋" w:eastAsia="仿宋" w:cs="仿宋"/>
          <w:b/>
          <w:bCs/>
          <w:color w:val="auto"/>
          <w:highlight w:val="none"/>
          <w:lang w:eastAsia="zh-CN"/>
        </w:rPr>
        <w:t>54</w:t>
      </w:r>
      <w:r>
        <w:rPr>
          <w:rFonts w:ascii="仿宋" w:hAnsi="仿宋" w:eastAsia="仿宋" w:cs="仿宋"/>
          <w:b/>
          <w:bCs/>
          <w:color w:val="auto"/>
          <w:highlight w:val="none"/>
          <w:lang w:eastAsia="zh-CN"/>
        </w:rPr>
        <w:t xml:space="preserve">.2 </w:t>
      </w:r>
    </w:p>
    <w:p w14:paraId="0A66082C">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除工程量清单中已列有此类工作的支付项目和额度外，此项工作所发生的一切费用，经造价咨询人核实后，由合同双方当事人按照第79条约定办理。</w:t>
      </w:r>
    </w:p>
    <w:p w14:paraId="7FB22EE3">
      <w:pPr>
        <w:pStyle w:val="2"/>
        <w:tabs>
          <w:tab w:val="left" w:pos="540"/>
        </w:tabs>
        <w:adjustRightInd w:val="0"/>
        <w:snapToGrid w:val="0"/>
        <w:spacing w:line="360" w:lineRule="auto"/>
        <w:rPr>
          <w:rFonts w:hint="eastAsia" w:ascii="仿宋" w:hAnsi="仿宋" w:eastAsia="仿宋"/>
          <w:b/>
          <w:bCs/>
          <w:color w:val="auto"/>
          <w:sz w:val="24"/>
          <w:szCs w:val="24"/>
          <w:highlight w:val="none"/>
          <w:lang w:eastAsia="zh-CN"/>
        </w:rPr>
      </w:pPr>
    </w:p>
    <w:p w14:paraId="637F1318">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3" w:name="_Toc1549"/>
      <w:r>
        <w:rPr>
          <w:rFonts w:hint="eastAsia" w:ascii="仿宋" w:hAnsi="仿宋" w:eastAsia="仿宋" w:cs="仿宋"/>
          <w:bCs w:val="0"/>
          <w:color w:val="auto"/>
          <w:sz w:val="24"/>
          <w:szCs w:val="24"/>
          <w:highlight w:val="none"/>
          <w:lang w:eastAsia="zh-CN"/>
        </w:rPr>
        <w:t>55发包人供应工程材料和工程设备</w:t>
      </w:r>
      <w:bookmarkEnd w:id="353"/>
    </w:p>
    <w:p w14:paraId="75FE578D">
      <w:pPr>
        <w:pStyle w:val="20"/>
        <w:adjustRightInd w:val="0"/>
        <w:snapToGrid w:val="0"/>
        <w:spacing w:line="360" w:lineRule="auto"/>
        <w:ind w:firstLine="0"/>
        <w:rPr>
          <w:rFonts w:hint="eastAsia" w:ascii="仿宋" w:hAnsi="仿宋" w:eastAsia="仿宋" w:cs="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34048" behindDoc="0" locked="0" layoutInCell="1" allowOverlap="1">
                <wp:simplePos x="0" y="0"/>
                <wp:positionH relativeFrom="column">
                  <wp:posOffset>-114300</wp:posOffset>
                </wp:positionH>
                <wp:positionV relativeFrom="paragraph">
                  <wp:posOffset>278765</wp:posOffset>
                </wp:positionV>
                <wp:extent cx="803910" cy="495300"/>
                <wp:effectExtent l="0" t="0" r="0" b="0"/>
                <wp:wrapNone/>
                <wp:docPr id="685" name="文本框 880"/>
                <wp:cNvGraphicFramePr/>
                <a:graphic xmlns:a="http://schemas.openxmlformats.org/drawingml/2006/main">
                  <a:graphicData uri="http://schemas.microsoft.com/office/word/2010/wordprocessingShape">
                    <wps:wsp>
                      <wps:cNvSpPr txBox="1">
                        <a:spLocks noChangeArrowheads="1"/>
                      </wps:cNvSpPr>
                      <wps:spPr bwMode="auto">
                        <a:xfrm>
                          <a:off x="0" y="0"/>
                          <a:ext cx="803910" cy="495300"/>
                        </a:xfrm>
                        <a:prstGeom prst="rect">
                          <a:avLst/>
                        </a:prstGeom>
                        <a:noFill/>
                        <a:ln>
                          <a:noFill/>
                        </a:ln>
                        <a:effectLst/>
                      </wps:spPr>
                      <wps:txbx>
                        <w:txbxContent>
                          <w:p w14:paraId="6D4C1A4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约定供应的材料和工程设备</w:t>
                            </w:r>
                          </w:p>
                        </w:txbxContent>
                      </wps:txbx>
                      <wps:bodyPr rot="0" vert="horz" wrap="square" lIns="91440" tIns="45720" rIns="91440" bIns="45720" anchor="t" anchorCtr="0" upright="1">
                        <a:noAutofit/>
                      </wps:bodyPr>
                    </wps:wsp>
                  </a:graphicData>
                </a:graphic>
              </wp:anchor>
            </w:drawing>
          </mc:Choice>
          <mc:Fallback>
            <w:pict>
              <v:shape id="文本框 880" o:spid="_x0000_s1026" o:spt="202" type="#_x0000_t202" style="position:absolute;left:0pt;margin-left:-9pt;margin-top:21.95pt;height:39pt;width:63.3pt;z-index:252034048;mso-width-relative:page;mso-height-relative:page;" filled="f" stroked="f" coordsize="21600,21600" o:gfxdata="UEsDBAoAAAAAAIdO4kAAAAAAAAAAAAAAAAAEAAAAZHJzL1BLAwQUAAAACACHTuJA2UMm6tgAAAAK&#10;AQAADwAAAGRycy9kb3ducmV2LnhtbE2PzU7DMBCE70i8g7VI3Np1SqmSEKeHVlxB9AeJmxtvk4h4&#10;HcVuE94e9wS3Wc1o9ptiPdlOXGnwrWMFyVyCIK6cablWcNi/zlIQPmg2unNMCn7Iw7q8vyt0btzI&#10;H3TdhVrEEva5VtCE0OeIvmrIaj93PXH0zm6wOsRzqNEMeozltsOFlCu0uuX4odE9bRqqvncXq+D4&#10;dv76XMr3emuf+9FNEtlmqNTjQyJfQASawl8YbvgRHcrIdHIXNl50CmZJGrcEBcunDMQtINMViFMU&#10;iyQDLAv8P6H8BVBLAwQUAAAACACHTuJA4/JiaR4CAAAmBAAADgAAAGRycy9lMm9Eb2MueG1srVPN&#10;jtMwEL4j8Q6W7zRpt13aqOlq2WoR0vIjLTyA6ziNReIxY7dJeQB4A05cuPNcfQ7GTtsty2UPXCJ7&#10;ZvzNfN98mV91Tc22Cp0Gk/PhIOVMGQmFNuucf/p4+2LKmfPCFKIGo3K+U45fLZ4/m7c2UyOooC4U&#10;MgIxLmttzivvbZYkTlaqEW4AVhlKloCN8HTFdVKgaAm9qZNRml4mLWBhEaRyjqLLPskPiPgUQChL&#10;LdUS5KZRxveoqGrhiZKrtHV8EactSyX9+7J0yrM658TUxy81ofMqfJPFXGRrFLbS8jCCeMoIjzg1&#10;QhtqeoJaCi/YBvU/UI2WCA5KP5DQJD2RqAixGKaPtLmvhFWRC0nt7El09/9g5bvtB2S6yPnldMKZ&#10;EQ2tfP/j+/7n7/2vb2w6jRK11mVUeW+p1nevoCPjRLrO3oH87JiBm0qYtbpGhLZSoqARh0Hc5Oxp&#10;WIrLXABZtW+hoE5i4yECdSU2QT9ShBE6rWd3Wo/qPJMUnKYXsyFlJKXGs8lFGmdLRHZ8bNH51woa&#10;Fg45R9p+BBfbO+fDMCI7loReBm51XUcH1OavABX2ERUtdHh9nL7n4btVR29DcAXFjkgh9Pain4sO&#10;FeBXzlqyVs7dl41AxVn9xpAws+F4HLwYL+PJyxFd8DyzOs8IIwkq556z/njje/9uLOp1RZ36VRi4&#10;JjFLHYk+THVYAdkn8j9YPfjz/B6rHn7vxR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ZQybq2AAA&#10;AAoBAAAPAAAAAAAAAAEAIAAAACIAAABkcnMvZG93bnJldi54bWxQSwECFAAUAAAACACHTuJA4/Ji&#10;aR4CAAAmBAAADgAAAAAAAAABACAAAAAnAQAAZHJzL2Uyb0RvYy54bWxQSwUGAAAAAAYABgBZAQAA&#10;twUAAAAA&#10;">
                <v:fill on="f" focussize="0,0"/>
                <v:stroke on="f"/>
                <v:imagedata o:title=""/>
                <o:lock v:ext="edit" aspectratio="f"/>
                <v:textbox>
                  <w:txbxContent>
                    <w:p w14:paraId="6D4C1A4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约定供应的材料和工程设备</w:t>
                      </w:r>
                    </w:p>
                  </w:txbxContent>
                </v:textbox>
              </v:shape>
            </w:pict>
          </mc:Fallback>
        </mc:AlternateContent>
      </w:r>
      <w:r>
        <w:rPr>
          <w:rFonts w:hint="eastAsia" w:ascii="仿宋" w:hAnsi="仿宋" w:eastAsia="仿宋" w:cs="仿宋"/>
          <w:b/>
          <w:bCs/>
          <w:color w:val="auto"/>
          <w:highlight w:val="none"/>
          <w:lang w:eastAsia="zh-CN"/>
        </w:rPr>
        <w:t>55</w:t>
      </w:r>
      <w:r>
        <w:rPr>
          <w:rFonts w:ascii="仿宋" w:hAnsi="仿宋" w:eastAsia="仿宋" w:cs="仿宋"/>
          <w:b/>
          <w:bCs/>
          <w:color w:val="auto"/>
          <w:highlight w:val="none"/>
          <w:lang w:eastAsia="zh-CN"/>
        </w:rPr>
        <w:t>.1</w:t>
      </w:r>
    </w:p>
    <w:p w14:paraId="2C203A3E">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供应工程材料和工程设备的，应在供应工程材料和工程设备前，与承包人确认“发包人供应材料和工程设备一览表”，并作为本合同的附件。一览表应包括发包人供应工程材料和工程设备的品种、规格、型号、数量、单价、质量标准、交货计划和地点等内容。</w:t>
      </w:r>
    </w:p>
    <w:p w14:paraId="4FBC5DD7">
      <w:pPr>
        <w:pStyle w:val="20"/>
        <w:tabs>
          <w:tab w:val="left" w:pos="720"/>
          <w:tab w:val="left" w:pos="1080"/>
        </w:tabs>
        <w:adjustRightInd w:val="0"/>
        <w:snapToGrid w:val="0"/>
        <w:spacing w:line="360" w:lineRule="auto"/>
        <w:ind w:firstLine="0"/>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55</w:t>
      </w:r>
      <w:r>
        <w:rPr>
          <w:rFonts w:ascii="仿宋" w:hAnsi="仿宋" w:eastAsia="仿宋" w:cs="仿宋"/>
          <w:b/>
          <w:bCs/>
          <w:color w:val="auto"/>
          <w:highlight w:val="none"/>
          <w:lang w:eastAsia="zh-CN"/>
        </w:rPr>
        <w:t>.2</w:t>
      </w:r>
    </w:p>
    <w:p w14:paraId="1B0F5486">
      <w:pPr>
        <w:widowControl w:val="0"/>
        <w:adjustRightInd w:val="0"/>
        <w:snapToGrid w:val="0"/>
        <w:spacing w:line="360" w:lineRule="auto"/>
        <w:ind w:left="1850" w:leftChars="771"/>
        <w:jc w:val="both"/>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803648" behindDoc="0" locked="0" layoutInCell="1" allowOverlap="1">
                <wp:simplePos x="0" y="0"/>
                <wp:positionH relativeFrom="column">
                  <wp:posOffset>-66675</wp:posOffset>
                </wp:positionH>
                <wp:positionV relativeFrom="paragraph">
                  <wp:posOffset>47625</wp:posOffset>
                </wp:positionV>
                <wp:extent cx="756920" cy="466725"/>
                <wp:effectExtent l="0" t="0" r="0" b="0"/>
                <wp:wrapNone/>
                <wp:docPr id="686" name="文本框 881"/>
                <wp:cNvGraphicFramePr/>
                <a:graphic xmlns:a="http://schemas.openxmlformats.org/drawingml/2006/main">
                  <a:graphicData uri="http://schemas.microsoft.com/office/word/2010/wordprocessingShape">
                    <wps:wsp>
                      <wps:cNvSpPr txBox="1">
                        <a:spLocks noChangeArrowheads="1"/>
                      </wps:cNvSpPr>
                      <wps:spPr bwMode="auto">
                        <a:xfrm>
                          <a:off x="0" y="0"/>
                          <a:ext cx="756920" cy="466725"/>
                        </a:xfrm>
                        <a:prstGeom prst="rect">
                          <a:avLst/>
                        </a:prstGeom>
                        <a:noFill/>
                        <a:ln>
                          <a:noFill/>
                        </a:ln>
                        <a:effectLst/>
                      </wps:spPr>
                      <wps:txbx>
                        <w:txbxContent>
                          <w:p w14:paraId="7C6869F1">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发包人交货日期的要求</w:t>
                            </w:r>
                          </w:p>
                        </w:txbxContent>
                      </wps:txbx>
                      <wps:bodyPr rot="0" vert="horz" wrap="square" lIns="91440" tIns="45720" rIns="91440" bIns="45720" anchor="t" anchorCtr="0" upright="1">
                        <a:noAutofit/>
                      </wps:bodyPr>
                    </wps:wsp>
                  </a:graphicData>
                </a:graphic>
              </wp:anchor>
            </w:drawing>
          </mc:Choice>
          <mc:Fallback>
            <w:pict>
              <v:shape id="文本框 881" o:spid="_x0000_s1026" o:spt="202" type="#_x0000_t202" style="position:absolute;left:0pt;margin-left:-5.25pt;margin-top:3.75pt;height:36.75pt;width:59.6pt;z-index:251803648;mso-width-relative:page;mso-height-relative:page;" filled="f" stroked="f" coordsize="21600,21600" o:gfxdata="UEsDBAoAAAAAAIdO4kAAAAAAAAAAAAAAAAAEAAAAZHJzL1BLAwQUAAAACACHTuJAsjOBrtUAAAAI&#10;AQAADwAAAGRycy9kb3ducmV2LnhtbE2PwU7DMBBE70j8g7VI3Fo7iNIQsukBxBVEC0jctvE2iYjX&#10;Uew24e9xT3AarWY087bczK5XJx5D5wUhWxpQLLW3nTQI77vnRQ4qRBJLvRdG+OEAm+ryoqTC+kne&#10;+LSNjUolEgpCaGMcCq1D3bKjsPQDS/IOfnQU0zk22o40pXLX6xtj7rSjTtJCSwM/tlx/b48O4ePl&#10;8PV5a16bJ7caJj8bLe5eI15fZeYBVOQ5/oXhjJ/QoUpMe38UG1SPsMjMKkUR1knOvsnXoPYIeWZA&#10;V6X+/0D1C1BLAwQUAAAACACHTuJA1yjXGx0CAAAmBAAADgAAAGRycy9lMm9Eb2MueG1srVNLjhMx&#10;EN0jcQfLe9JJlN+00hkNEw1CGj7SwAEctztt0e0yZSfdwwHgBqzYsOdcOQdlOxPCsJkFG8t2lV/V&#10;e/W8vOzbhu0VOg2m4KPBkDNlJJTabAv+8cPNiwVnzgtTigaMKvi9cvxy9fzZsrO5GkMNTamQEYhx&#10;eWcLXntv8yxzslatcAOwylCwAmyFpyNusxJFR+htk42Hw1nWAZYWQSrn6HadgvyIiE8BhKrSUq1B&#10;7lplfEJF1QhPlFytreOr2G1VKenfVZVTnjUFJ6Y+rlSE9puwZqulyLcobK3lsQXxlBYecWqFNlT0&#10;BLUWXrAd6n+gWi0RHFR+IKHNEpGoCLEYDR9pc1cLqyIXktrZk+ju/8HKt/v3yHRZ8NlixpkRLY38&#10;8P3b4cevw8+vbLEYBYk663LKvLOU6/uX0JNxIl1nb0F+cszAdS3MVl0hQlcrUVKL8WV29jThuACy&#10;6d5ASZXEzkME6itsg36kCCN0Gs/9aTyq90zS5Xw6uxhTRFJoMpvNx9PQWybyh8cWnX+loGVhU3Ck&#10;6Udwsb91PqU+pIRaBm5000QHNOavC8JMNypa6Pg6UAndJx6+3/RHaTZQ3hMphGQv+ly0qQG/cNaR&#10;tQruPu8EKs6a14aEuRhNJsGL8TCZzgMnPI9sziPCSIIquOcsba998u/Oot7WVCmNwsAViVnpSDS0&#10;mroigcKB7BOlOlo9+PP8HLP+fO/V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Izga7VAAAACAEA&#10;AA8AAAAAAAAAAQAgAAAAIgAAAGRycy9kb3ducmV2LnhtbFBLAQIUABQAAAAIAIdO4kDXKNcbHQIA&#10;ACYEAAAOAAAAAAAAAAEAIAAAACQBAABkcnMvZTJvRG9jLnhtbFBLBQYAAAAABgAGAFkBAACzBQAA&#10;AAA=&#10;">
                <v:fill on="f" focussize="0,0"/>
                <v:stroke on="f"/>
                <v:imagedata o:title=""/>
                <o:lock v:ext="edit" aspectratio="f"/>
                <v:textbox>
                  <w:txbxContent>
                    <w:p w14:paraId="7C6869F1">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发包人交货日期的要求</w:t>
                      </w:r>
                    </w:p>
                  </w:txbxContent>
                </v:textbox>
              </v:shape>
            </w:pict>
          </mc:Fallback>
        </mc:AlternateContent>
      </w:r>
      <w:r>
        <w:rPr>
          <w:rFonts w:hint="eastAsia" w:ascii="仿宋" w:hAnsi="仿宋" w:eastAsia="仿宋" w:cs="仿宋"/>
          <w:color w:val="auto"/>
          <w:highlight w:val="none"/>
          <w:lang w:eastAsia="zh-CN"/>
        </w:rPr>
        <w:t>发包人供应工程材料和工程设备的，承包人应根据合同工程进度计划向监理人提交发包人交货的日期计划。经合同双方当事人商定交货日期后，发包人应准时向承包人供应工程材料和工程设备；否则，发包人应承担由此增加的费用和（或）延误的工期，并向承包人支付合理利润。</w:t>
      </w:r>
    </w:p>
    <w:p w14:paraId="507D2548">
      <w:pPr>
        <w:pStyle w:val="20"/>
        <w:tabs>
          <w:tab w:val="left" w:pos="720"/>
          <w:tab w:val="left" w:pos="1080"/>
        </w:tabs>
        <w:adjustRightInd w:val="0"/>
        <w:snapToGrid w:val="0"/>
        <w:spacing w:line="360" w:lineRule="auto"/>
        <w:ind w:firstLine="0"/>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55</w:t>
      </w:r>
      <w:r>
        <w:rPr>
          <w:rFonts w:ascii="仿宋" w:hAnsi="仿宋" w:eastAsia="仿宋" w:cs="仿宋"/>
          <w:b/>
          <w:bCs/>
          <w:color w:val="auto"/>
          <w:highlight w:val="none"/>
          <w:lang w:eastAsia="zh-CN"/>
        </w:rPr>
        <w:t>.3</w:t>
      </w:r>
    </w:p>
    <w:p w14:paraId="62867237">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04672" behindDoc="0" locked="0" layoutInCell="1" allowOverlap="1">
                <wp:simplePos x="0" y="0"/>
                <wp:positionH relativeFrom="column">
                  <wp:posOffset>-114300</wp:posOffset>
                </wp:positionH>
                <wp:positionV relativeFrom="paragraph">
                  <wp:posOffset>2540</wp:posOffset>
                </wp:positionV>
                <wp:extent cx="762000" cy="484505"/>
                <wp:effectExtent l="0" t="0" r="0" b="0"/>
                <wp:wrapNone/>
                <wp:docPr id="687" name="文本框 882"/>
                <wp:cNvGraphicFramePr/>
                <a:graphic xmlns:a="http://schemas.openxmlformats.org/drawingml/2006/main">
                  <a:graphicData uri="http://schemas.microsoft.com/office/word/2010/wordprocessingShape">
                    <wps:wsp>
                      <wps:cNvSpPr txBox="1">
                        <a:spLocks noChangeArrowheads="1"/>
                      </wps:cNvSpPr>
                      <wps:spPr bwMode="auto">
                        <a:xfrm>
                          <a:off x="0" y="0"/>
                          <a:ext cx="762000" cy="484505"/>
                        </a:xfrm>
                        <a:prstGeom prst="rect">
                          <a:avLst/>
                        </a:prstGeom>
                        <a:noFill/>
                        <a:ln>
                          <a:noFill/>
                        </a:ln>
                        <a:effectLst/>
                      </wps:spPr>
                      <wps:txbx>
                        <w:txbxContent>
                          <w:p w14:paraId="4ADB92D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发包人供应材料和工程设备</w:t>
                            </w:r>
                          </w:p>
                        </w:txbxContent>
                      </wps:txbx>
                      <wps:bodyPr rot="0" vert="horz" wrap="square" lIns="91440" tIns="45720" rIns="91440" bIns="45720" anchor="t" anchorCtr="0" upright="1">
                        <a:noAutofit/>
                      </wps:bodyPr>
                    </wps:wsp>
                  </a:graphicData>
                </a:graphic>
              </wp:anchor>
            </w:drawing>
          </mc:Choice>
          <mc:Fallback>
            <w:pict>
              <v:shape id="文本框 882" o:spid="_x0000_s1026" o:spt="202" type="#_x0000_t202" style="position:absolute;left:0pt;margin-left:-9pt;margin-top:0.2pt;height:38.15pt;width:60pt;z-index:251804672;mso-width-relative:page;mso-height-relative:page;" filled="f" stroked="f" coordsize="21600,21600" o:gfxdata="UEsDBAoAAAAAAIdO4kAAAAAAAAAAAAAAAAAEAAAAZHJzL1BLAwQUAAAACACHTuJAF2XG5dQAAAAH&#10;AQAADwAAAGRycy9kb3ducmV2LnhtbE2PwU7DMBBE70j8g7VI3Fo7VWlLyKYHEFcQLSBx28bbJCJe&#10;R7HbhL/HPcFxNKOZN8V2cp068xBaLwjZ3IBiqbxtpUZ43z/PNqBCJLHUeWGEHw6wLa+vCsqtH+WN&#10;z7tYq1QiISeEJsY+1zpUDTsKc9+zJO/oB0cxyaHWdqAxlbtOL4xZaUetpIWGen5suPrenRzCx8vx&#10;63NpXusnd9ePfjJa3L1GvL3JzAOoyFP8C8MFP6FDmZgO/iQ2qA5hlm3Sl4iwBHWxzSLJA8J6tQZd&#10;Fvo/f/kLUEsDBBQAAAAIAIdO4kB5Z7ICHgIAACYEAAAOAAAAZHJzL2Uyb0RvYy54bWytU82O0zAQ&#10;viPxDpbvNG3Vv42arpatFiEtsNLCA7iO01gkHjN2m5QHgDfYExfuPFefg7GTLWW57IGLZXvG38z3&#10;zeflZVtXbK/QaTAZHw2GnCkjIddmm/FPH29eLThzXphcVGBUxg/K8cvVyxfLxqZqDCVUuUJGIMal&#10;jc146b1Nk8TJUtXCDcAqQ8ECsBaejrhNchQNoddVMh4OZ0kDmFsEqZyj23UX5D0iPgcQikJLtQa5&#10;q5XxHSqqSnii5EptHV/FbotCSf+hKJzyrMo4MfVxpSK034Q1WS1FukVhSy37FsRzWnjCqRbaUNET&#10;1Fp4wXao/4GqtURwUPiBhDrpiERFiMVo+ESb+1JYFbmQ1M6eRHf/D1a+398h03nGZ4s5Z0bUNPLj&#10;w/fjj1/Hn9/YYjEOEjXWpZR5bynXt6+hJeNEus7egvzsmIHrUpitukKEplQipxZH4WVy9rTDcQFk&#10;07yDnCqJnYcI1BZYB/1IEUboNJ7DaTyq9UzS5XxG/qGIpNBkMZkOp7GCSB8fW3T+jYKahU3GkaYf&#10;wcX+1vnQjEgfU0ItAze6qqIDKvPXBSV2NypaqH8dqITuOx6+3bS9NBvID0QKobMXfS7alIBfOWvI&#10;Whl3X3YCFWfVW0PCXIwmk+DFeJhM52M64Hlkcx4RRhJUxj1n3fbad/7dWdTbkip1ozBwRWIWOhIN&#10;rXZd9SMg+0T+vdWDP8/PMevP9179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dlxuXUAAAABwEA&#10;AA8AAAAAAAAAAQAgAAAAIgAAAGRycy9kb3ducmV2LnhtbFBLAQIUABQAAAAIAIdO4kB5Z7ICHgIA&#10;ACYEAAAOAAAAAAAAAAEAIAAAACMBAABkcnMvZTJvRG9jLnhtbFBLBQYAAAAABgAGAFkBAACzBQAA&#10;AAA=&#10;">
                <v:fill on="f" focussize="0,0"/>
                <v:stroke on="f"/>
                <v:imagedata o:title=""/>
                <o:lock v:ext="edit" aspectratio="f"/>
                <v:textbox>
                  <w:txbxContent>
                    <w:p w14:paraId="4ADB92D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发包人供应材料和工程设备</w:t>
                      </w:r>
                    </w:p>
                  </w:txbxContent>
                </v:textbox>
              </v:shape>
            </w:pict>
          </mc:Fallback>
        </mc:AlternateContent>
      </w:r>
      <w:r>
        <w:rPr>
          <w:rFonts w:hint="eastAsia" w:ascii="仿宋" w:hAnsi="仿宋" w:eastAsia="仿宋" w:cs="仿宋"/>
          <w:color w:val="auto"/>
          <w:highlight w:val="none"/>
          <w:lang w:eastAsia="zh-CN"/>
        </w:rPr>
        <w:t>发包人应按照一览表内容和第55</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款交货日期向承包人供应工程材料和工程设备，并提供产品质量合格证明文件，对工程材料和工程设备质量负责。发包人应在工程材料和工程设备到货前至少提前</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小时，以书面形式通知承包人和监理人，并在监理人的见证下与承包人共同清点，同时在施工现场内合理堆放。</w:t>
      </w:r>
    </w:p>
    <w:p w14:paraId="28FF1390">
      <w:pPr>
        <w:pStyle w:val="20"/>
        <w:tabs>
          <w:tab w:val="left" w:pos="720"/>
          <w:tab w:val="left" w:pos="1080"/>
        </w:tabs>
        <w:adjustRightInd w:val="0"/>
        <w:snapToGrid w:val="0"/>
        <w:spacing w:line="360" w:lineRule="auto"/>
        <w:ind w:firstLine="0"/>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55</w:t>
      </w:r>
      <w:r>
        <w:rPr>
          <w:rFonts w:ascii="仿宋" w:hAnsi="仿宋" w:eastAsia="仿宋" w:cs="仿宋"/>
          <w:b/>
          <w:bCs/>
          <w:color w:val="auto"/>
          <w:highlight w:val="none"/>
          <w:lang w:eastAsia="zh-CN"/>
        </w:rPr>
        <w:t>.4</w:t>
      </w:r>
    </w:p>
    <w:p w14:paraId="7C8AE911">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05696" behindDoc="0" locked="0" layoutInCell="1" allowOverlap="1">
                <wp:simplePos x="0" y="0"/>
                <wp:positionH relativeFrom="column">
                  <wp:posOffset>-114300</wp:posOffset>
                </wp:positionH>
                <wp:positionV relativeFrom="paragraph">
                  <wp:posOffset>8890</wp:posOffset>
                </wp:positionV>
                <wp:extent cx="871220" cy="869950"/>
                <wp:effectExtent l="0" t="0" r="0" b="0"/>
                <wp:wrapNone/>
                <wp:docPr id="688" name="文本框 883"/>
                <wp:cNvGraphicFramePr/>
                <a:graphic xmlns:a="http://schemas.openxmlformats.org/drawingml/2006/main">
                  <a:graphicData uri="http://schemas.microsoft.com/office/word/2010/wordprocessingShape">
                    <wps:wsp>
                      <wps:cNvSpPr txBox="1">
                        <a:spLocks noChangeArrowheads="1"/>
                      </wps:cNvSpPr>
                      <wps:spPr bwMode="auto">
                        <a:xfrm>
                          <a:off x="0" y="0"/>
                          <a:ext cx="871220" cy="869950"/>
                        </a:xfrm>
                        <a:prstGeom prst="rect">
                          <a:avLst/>
                        </a:prstGeom>
                        <a:noFill/>
                        <a:ln>
                          <a:noFill/>
                        </a:ln>
                        <a:effectLst/>
                      </wps:spPr>
                      <wps:txbx>
                        <w:txbxContent>
                          <w:p w14:paraId="0BCDCC3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发包人供应材料和工程设备的责任</w:t>
                            </w:r>
                          </w:p>
                        </w:txbxContent>
                      </wps:txbx>
                      <wps:bodyPr rot="0" vert="horz" wrap="square" lIns="91440" tIns="45720" rIns="91440" bIns="45720" anchor="t" anchorCtr="0" upright="1">
                        <a:noAutofit/>
                      </wps:bodyPr>
                    </wps:wsp>
                  </a:graphicData>
                </a:graphic>
              </wp:anchor>
            </w:drawing>
          </mc:Choice>
          <mc:Fallback>
            <w:pict>
              <v:shape id="文本框 883" o:spid="_x0000_s1026" o:spt="202" type="#_x0000_t202" style="position:absolute;left:0pt;margin-left:-9pt;margin-top:0.7pt;height:68.5pt;width:68.6pt;z-index:251805696;mso-width-relative:page;mso-height-relative:page;" filled="f" stroked="f" coordsize="21600,21600" o:gfxdata="UEsDBAoAAAAAAIdO4kAAAAAAAAAAAAAAAAAEAAAAZHJzL1BLAwQUAAAACACHTuJAJZXJ3tYAAAAJ&#10;AQAADwAAAGRycy9kb3ducmV2LnhtbE2PTW/CMAyG75P4D5GRdoOkrJtK15QDaNehsQ9pt9CYtlrj&#10;VE2g5d/PnLabrcd6/bzFZnKduOAQWk8akqUCgVR521Kt4eP9ZZGBCNGQNZ0n1HDFAJtydleY3PqR&#10;3vByiLXgEAq50dDE2OdShqpBZ8LS90jMTn5wJvI61NIOZuRw18mVUk/SmZb4Q2N63DZY/RzOTsPn&#10;6+n7K1X7euce+9FPSpJbS63v54l6BhFxin/HcNNndSjZ6ejPZIPoNCySjLtEBimIG0/WKxBHHh6y&#10;FGRZyP8Nyl9QSwMEFAAAAAgAh07iQDI/PU0fAgAAJgQAAA4AAABkcnMvZTJvRG9jLnhtbK1TS27b&#10;MBDdF+gdCO5r2a7jyILlII2RokD6AdIegKYoi6jEYYe0pfQAzQ266qb7nsvn6JBSXDfdZNENQXKG&#10;b+a9eVxedE3N9gqdBpPzyWjMmTISCm22Of/08fpFypnzwhSiBqNyfqccv1g9f7ZsbaamUEFdKGQE&#10;YlzW2pxX3tssSZysVCPcCKwyFCwBG+HpiNukQNESelMn0/F4nrSAhUWQyjm6XfdBPiDiUwChLLVU&#10;a5C7Rhnfo6KqhSdKrtLW8VXstiyV9O/L0inP6pwTUx9XKkL7TViT1VJkWxS20nJoQTylhUecGqEN&#10;FT1CrYUXbIf6H6hGSwQHpR9JaJKeSFSEWEzGj7S5rYRVkQtJ7exRdPf/YOW7/Qdkusj5PKXBG9HQ&#10;yA/f7w8/fh1+fmNp+jJI1FqXUeatpVzfvYKOjBPpOnsD8rNjBq4qYbbqEhHaSomCWpyEl8nJ0x7H&#10;BZBN+xYKqiR2HiJQV2IT9CNFGKHTeO6O41GdZ5Iu0/PJdEoRSaF0vlicxfElInt4bNH51woaFjY5&#10;R5p+BBf7G+dDMyJ7SAm1DFzruo4OqM1fF5TY36hooeF1oBK673n4btMN0myguCNSCL296HPRpgL8&#10;yllL1sq5+7ITqDir3xgSZjGZzYIX42F2dh444WlkcxoRRhJUzj1n/fbK9/7dWdTbiir1ozBwSWKW&#10;OhINrfZdDSMg+0T+g9WDP0/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WVyd7WAAAA&#10;CQEAAA8AAAAAAAAAAQAgAAAAIgAAAGRycy9kb3ducmV2LnhtbFBLAQIUABQAAAAIAIdO4kAyPz1N&#10;HwIAACYEAAAOAAAAAAAAAAEAIAAAACUBAABkcnMvZTJvRG9jLnhtbFBLBQYAAAAABgAGAFkBAAC2&#10;BQAAAAA=&#10;">
                <v:fill on="f" focussize="0,0"/>
                <v:stroke on="f"/>
                <v:imagedata o:title=""/>
                <o:lock v:ext="edit" aspectratio="f"/>
                <v:textbox>
                  <w:txbxContent>
                    <w:p w14:paraId="0BCDCC3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发包人供应材料和工程设备的责任</w:t>
                      </w:r>
                    </w:p>
                  </w:txbxContent>
                </v:textbox>
              </v:shape>
            </w:pict>
          </mc:Fallback>
        </mc:AlternateContent>
      </w:r>
      <w:r>
        <w:rPr>
          <w:rFonts w:hint="eastAsia" w:ascii="仿宋" w:hAnsi="仿宋" w:eastAsia="仿宋" w:cs="仿宋"/>
          <w:color w:val="auto"/>
          <w:highlight w:val="none"/>
          <w:lang w:eastAsia="zh-CN"/>
        </w:rPr>
        <w:t>发包人应保证供应的工程材料和工程设备符合标准与规范、设计要求和合同约定的要求。如不符合要求，承包人有权拒绝，并要求发包人将其运出施工现场，重新供应符合要求的产品，发包人应承担由此增加的费用和（或）延误的工期，并向承包人支付合理利润。</w:t>
      </w:r>
    </w:p>
    <w:p w14:paraId="4F01A8CF">
      <w:pPr>
        <w:pStyle w:val="20"/>
        <w:tabs>
          <w:tab w:val="left" w:pos="720"/>
          <w:tab w:val="left" w:pos="1080"/>
        </w:tabs>
        <w:adjustRightInd w:val="0"/>
        <w:snapToGrid w:val="0"/>
        <w:spacing w:line="360" w:lineRule="auto"/>
        <w:ind w:firstLine="0"/>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55</w:t>
      </w:r>
      <w:r>
        <w:rPr>
          <w:rFonts w:ascii="仿宋" w:hAnsi="仿宋" w:eastAsia="仿宋" w:cs="仿宋"/>
          <w:b/>
          <w:bCs/>
          <w:color w:val="auto"/>
          <w:highlight w:val="none"/>
          <w:lang w:eastAsia="zh-CN"/>
        </w:rPr>
        <w:t>.5</w:t>
      </w:r>
    </w:p>
    <w:p w14:paraId="7D353F17">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06720" behindDoc="0" locked="0" layoutInCell="1" allowOverlap="1">
                <wp:simplePos x="0" y="0"/>
                <wp:positionH relativeFrom="column">
                  <wp:posOffset>-114300</wp:posOffset>
                </wp:positionH>
                <wp:positionV relativeFrom="paragraph">
                  <wp:posOffset>8890</wp:posOffset>
                </wp:positionV>
                <wp:extent cx="775970" cy="659765"/>
                <wp:effectExtent l="0" t="0" r="0" b="0"/>
                <wp:wrapNone/>
                <wp:docPr id="689" name="文本框 884"/>
                <wp:cNvGraphicFramePr/>
                <a:graphic xmlns:a="http://schemas.openxmlformats.org/drawingml/2006/main">
                  <a:graphicData uri="http://schemas.microsoft.com/office/word/2010/wordprocessingShape">
                    <wps:wsp>
                      <wps:cNvSpPr txBox="1">
                        <a:spLocks noChangeArrowheads="1"/>
                      </wps:cNvSpPr>
                      <wps:spPr bwMode="auto">
                        <a:xfrm>
                          <a:off x="0" y="0"/>
                          <a:ext cx="775970" cy="659765"/>
                        </a:xfrm>
                        <a:prstGeom prst="rect">
                          <a:avLst/>
                        </a:prstGeom>
                        <a:noFill/>
                        <a:ln>
                          <a:noFill/>
                        </a:ln>
                        <a:effectLst/>
                      </wps:spPr>
                      <wps:txbx>
                        <w:txbxContent>
                          <w:p w14:paraId="163271C7">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承包人保管发包人供应的材料和工程设备</w:t>
                            </w:r>
                          </w:p>
                        </w:txbxContent>
                      </wps:txbx>
                      <wps:bodyPr rot="0" vert="horz" wrap="square" lIns="91440" tIns="45720" rIns="91440" bIns="45720" anchor="t" anchorCtr="0" upright="1">
                        <a:noAutofit/>
                      </wps:bodyPr>
                    </wps:wsp>
                  </a:graphicData>
                </a:graphic>
              </wp:anchor>
            </w:drawing>
          </mc:Choice>
          <mc:Fallback>
            <w:pict>
              <v:shape id="文本框 884" o:spid="_x0000_s1026" o:spt="202" type="#_x0000_t202" style="position:absolute;left:0pt;margin-left:-9pt;margin-top:0.7pt;height:51.95pt;width:61.1pt;z-index:251806720;mso-width-relative:page;mso-height-relative:page;" filled="f" stroked="f" coordsize="21600,21600" o:gfxdata="UEsDBAoAAAAAAIdO4kAAAAAAAAAAAAAAAAAEAAAAZHJzL1BLAwQUAAAACACHTuJAfwdt/9UAAAAJ&#10;AQAADwAAAGRycy9kb3ducmV2LnhtbE2PwU7DMAyG70h7h8hI3Lako5u2rukOQ1xBDIbEzWu8tqJx&#10;qiZby9uTnuBm67N+f3++H20rbtT7xrGGZKFAEJfONFxp+Hh/nm9A+IBssHVMGn7Iw76Y3eWYGTfw&#10;G92OoRIxhH2GGuoQukxKX9Zk0S9cRxzZxfUWQ1z7SpoehxhuW7lUai0tNhw/1NjRoaby+3i1Gk4v&#10;l6/PVL1WT3bVDW5Uku1Wav1wn6gdiEBj+DuGST+qQxGdzu7KxotWwzzZxC4hghTExFW6BHGehtUj&#10;yCKX/xsUv1BLAwQUAAAACACHTuJAAiaAuB0CAAAmBAAADgAAAGRycy9lMm9Eb2MueG1srVPNjtMw&#10;EL4j8Q6W7zRt1d+o6WrZahHS8iMtPIDrOI1F4jFjt0l5AHgDTly481x9DsZOtpTlsgcu0dgz/ma+&#10;b76srtq6YgeFToPJ+Ggw5EwZCbk2u4x//HD7YsGZ88LkogKjMn5Ujl+tnz9bNTZVYyihyhUyAjEu&#10;bWzGS+9tmiROlqoWbgBWGUoWgLXwdMRdkqNoCL2ukvFwOEsawNwiSOUc3W66JO8R8SmAUBRaqg3I&#10;fa2M71BRVcITJVdq6/g6TlsUSvp3ReGUZ1XGiamPX2pC8TZ8k/VKpDsUttSyH0E8ZYRHnGqhDTU9&#10;Q22EF2yP+h+oWksEB4UfSKiTjkhUhFiMho+0uS+FVZELSe3sWXT3/2Dl28N7ZDrP+Gyx5MyImlZ+&#10;+v7t9OPX6edXtlhMgkSNdSlV3luq9e1LaMk4ka6zdyA/OWbgphRmp64RoSmVyGnEUXiZXDztcFwA&#10;2TZvIKdOYu8hArUF1kE/UoQROq3neF6Paj2TdDmfT5dzykhKzSicTWMHkT48tuj8KwU1C0HGkbYf&#10;wcXhzvkwjEgfSkIvA7e6qqIDKvPXBRV2NypaqH8dqITpOx6+3ba9NFvIj0QKobMX/VwUlIBfOGvI&#10;Whl3n/cCFWfVa0PCLEeTSfBiPEym8zEd8DKzvcwIIwkq456zLrzxnX/3FvWupE7dKgxck5iFjkTD&#10;qN1U/QrIPpF/b/Xgz8tzrPrze6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8Hbf/VAAAACQEA&#10;AA8AAAAAAAAAAQAgAAAAIgAAAGRycy9kb3ducmV2LnhtbFBLAQIUABQAAAAIAIdO4kACJoC4HQIA&#10;ACYEAAAOAAAAAAAAAAEAIAAAACQBAABkcnMvZTJvRG9jLnhtbFBLBQYAAAAABgAGAFkBAACzBQAA&#10;AAA=&#10;">
                <v:fill on="f" focussize="0,0"/>
                <v:stroke on="f"/>
                <v:imagedata o:title=""/>
                <o:lock v:ext="edit" aspectratio="f"/>
                <v:textbox>
                  <w:txbxContent>
                    <w:p w14:paraId="163271C7">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承包人保管发包人供应的材料和工程设备</w:t>
                      </w:r>
                    </w:p>
                  </w:txbxContent>
                </v:textbox>
              </v:shape>
            </w:pict>
          </mc:Fallback>
        </mc:AlternateContent>
      </w:r>
      <w:r>
        <w:rPr>
          <w:rFonts w:hint="eastAsia" w:ascii="仿宋" w:hAnsi="仿宋" w:eastAsia="仿宋" w:cs="仿宋"/>
          <w:color w:val="auto"/>
          <w:highlight w:val="none"/>
          <w:lang w:eastAsia="zh-CN"/>
        </w:rPr>
        <w:t>发包人供应工程材料和工程设备的，经合同双方当事人共同清点后由承包人妥善保管，保管费由发包人承担；因承包人保管不善或承包人其它原因导致丢失或损害的，承包人应予赔偿。除工程量清单中已列有此类工作的支付项目和额度外，造价咨询人应与合同双方当事人协商确定保管费，并增加到合同价格中；协商不能达成一致的，由造价咨询人暂定，通知承包人并抄报发包人。</w:t>
      </w:r>
    </w:p>
    <w:p w14:paraId="0560C749">
      <w:pPr>
        <w:pStyle w:val="20"/>
        <w:tabs>
          <w:tab w:val="left" w:pos="720"/>
          <w:tab w:val="left" w:pos="1080"/>
        </w:tabs>
        <w:adjustRightInd w:val="0"/>
        <w:snapToGrid w:val="0"/>
        <w:spacing w:line="360" w:lineRule="auto"/>
        <w:ind w:firstLine="0"/>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55</w:t>
      </w:r>
      <w:r>
        <w:rPr>
          <w:rFonts w:ascii="仿宋" w:hAnsi="仿宋" w:eastAsia="仿宋" w:cs="仿宋"/>
          <w:b/>
          <w:bCs/>
          <w:color w:val="auto"/>
          <w:highlight w:val="none"/>
          <w:lang w:eastAsia="zh-CN"/>
        </w:rPr>
        <w:t>.6</w:t>
      </w:r>
    </w:p>
    <w:p w14:paraId="6C7F640C">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07744" behindDoc="0" locked="0" layoutInCell="1" allowOverlap="1">
                <wp:simplePos x="0" y="0"/>
                <wp:positionH relativeFrom="column">
                  <wp:posOffset>-114300</wp:posOffset>
                </wp:positionH>
                <wp:positionV relativeFrom="paragraph">
                  <wp:posOffset>18415</wp:posOffset>
                </wp:positionV>
                <wp:extent cx="765810" cy="781685"/>
                <wp:effectExtent l="0" t="0" r="0" b="0"/>
                <wp:wrapNone/>
                <wp:docPr id="690" name="文本框 885"/>
                <wp:cNvGraphicFramePr/>
                <a:graphic xmlns:a="http://schemas.openxmlformats.org/drawingml/2006/main">
                  <a:graphicData uri="http://schemas.microsoft.com/office/word/2010/wordprocessingShape">
                    <wps:wsp>
                      <wps:cNvSpPr txBox="1">
                        <a:spLocks noChangeArrowheads="1"/>
                      </wps:cNvSpPr>
                      <wps:spPr bwMode="auto">
                        <a:xfrm>
                          <a:off x="0" y="0"/>
                          <a:ext cx="765810" cy="781685"/>
                        </a:xfrm>
                        <a:prstGeom prst="rect">
                          <a:avLst/>
                        </a:prstGeom>
                        <a:noFill/>
                        <a:ln>
                          <a:noFill/>
                        </a:ln>
                        <a:effectLst/>
                      </wps:spPr>
                      <wps:txbx>
                        <w:txbxContent>
                          <w:p w14:paraId="6DABFCD4">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供应材料和工程设备与约定不符时发包人的责任</w:t>
                            </w:r>
                          </w:p>
                        </w:txbxContent>
                      </wps:txbx>
                      <wps:bodyPr rot="0" vert="horz" wrap="square" lIns="91440" tIns="45720" rIns="91440" bIns="45720" anchor="t" anchorCtr="0" upright="1">
                        <a:noAutofit/>
                      </wps:bodyPr>
                    </wps:wsp>
                  </a:graphicData>
                </a:graphic>
              </wp:anchor>
            </w:drawing>
          </mc:Choice>
          <mc:Fallback>
            <w:pict>
              <v:shape id="文本框 885" o:spid="_x0000_s1026" o:spt="202" type="#_x0000_t202" style="position:absolute;left:0pt;margin-left:-9pt;margin-top:1.45pt;height:61.55pt;width:60.3pt;z-index:251807744;mso-width-relative:page;mso-height-relative:page;" filled="f" stroked="f" coordsize="21600,21600" o:gfxdata="UEsDBAoAAAAAAIdO4kAAAAAAAAAAAAAAAAAEAAAAZHJzL1BLAwQUAAAACACHTuJANQUN/9YAAAAJ&#10;AQAADwAAAGRycy9kb3ducmV2LnhtbE2PwW7CMBBE75X4B2uRegM7URtBmg0Hql5blQJSbyZekoh4&#10;HcWGpH9fc2pvs5rVzJtiM9lO3GjwrWOEZKlAEFfOtFwj7L/eFisQPmg2unNMCD/kYVPOHgqdGzfy&#10;J912oRYxhH2uEZoQ+lxKXzVktV+6njh6ZzdYHeI51NIMeozhtpOpUpm0uuXY0Oietg1Vl93VIhze&#10;z9/HJ/VRv9rnfnSTkmzXEvFxnqgXEIGm8PcMd/yIDmVkOrkrGy86hEWyilsCQroGcfdVmoE4RZFm&#10;CmRZyP8Lyl9QSwMEFAAAAAgAh07iQDMKMCEdAgAAJgQAAA4AAABkcnMvZTJvRG9jLnhtbK1TS44T&#10;MRDdI3EHy3vS6Si/aaUzGiYahDR8pIEDOG532qLtMraT7uEAcANWbNhzrpyDst0TwrCZBRvLdpVf&#10;vfeqvLrsVUsOwjoJuqT5aEyJ0BwqqXcl/fjh5sWSEueZrlgLWpT0Xjh6uX7+bNWZQkyggbYSliCI&#10;dkVnStp4b4osc7wRirkRGKExWINVzOPR7rLKsg7RVZtNxuN51oGtjAUunMPbTQrSAdE+BRDqWnKx&#10;Ab5XQvuEakXLPEpyjTSOriPbuhbcv6trJzxpS4pKfVyxCO63Yc3WK1bsLDON5AMF9hQKjzQpJjUW&#10;PUFtmGdkb+U/UEpyCw5qP+KgsiQkOoIq8vEjb+4aZkTUglY7czLd/T9Y/vbw3hJZlXR+gZ5oprDl&#10;x+/fjj9+HX9+JcvlLFjUGVdg5p3BXN+/hB4HJ8p15hb4J0c0XDdM78SVtdA1glVIMQ8vs7OnCccF&#10;kG33BiqsxPYeIlBfWxX8Q0cIoiOV+1N7RO8Jx8vFfLbMMcIxtFjm88QtY8XDY2OdfyVAkbApqcXu&#10;R3B2uHU+kGHFQ0qopeFGtm2cgFb/dYGJ6UbEERpeBymBfdLh+20/WLOF6h5FWUjjhZ8LNw3YL5R0&#10;OFoldZ/3zApK2tcajbnIp1OU4eNhOltM8GDPI9vzCNMcoUrqKUnba5/md2+s3DVYKbVCwxWaWcso&#10;NFBNrIYW4PhE/cOoh/k8P8esP997/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1BQ3/1gAAAAkB&#10;AAAPAAAAAAAAAAEAIAAAACIAAABkcnMvZG93bnJldi54bWxQSwECFAAUAAAACACHTuJAMwowIR0C&#10;AAAmBAAADgAAAAAAAAABACAAAAAlAQAAZHJzL2Uyb0RvYy54bWxQSwUGAAAAAAYABgBZAQAAtAUA&#10;AAAA&#10;">
                <v:fill on="f" focussize="0,0"/>
                <v:stroke on="f"/>
                <v:imagedata o:title=""/>
                <o:lock v:ext="edit" aspectratio="f"/>
                <v:textbox>
                  <w:txbxContent>
                    <w:p w14:paraId="6DABFCD4">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供应材料和工程设备与约定不符时发包人的责任</w:t>
                      </w:r>
                    </w:p>
                  </w:txbxContent>
                </v:textbox>
              </v:shape>
            </w:pict>
          </mc:Fallback>
        </mc:AlternateContent>
      </w:r>
      <w:r>
        <w:rPr>
          <w:rFonts w:hint="eastAsia" w:ascii="仿宋" w:hAnsi="仿宋" w:eastAsia="仿宋" w:cs="仿宋"/>
          <w:color w:val="auto"/>
          <w:highlight w:val="none"/>
          <w:lang w:eastAsia="zh-CN"/>
        </w:rPr>
        <w:t>发包人供应的工程材料和工程设备与一览表不符时，发包人应按照下列约定承担相应责任：</w:t>
      </w:r>
    </w:p>
    <w:p w14:paraId="7EC132F1">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（1）工程材料和工程设备的单价与一览表不符，由发包人承担所有价差；</w:t>
      </w:r>
    </w:p>
    <w:p w14:paraId="40900F5C">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（2）工程材料和工程设备的品种、规格、型号、质量标准与一览表不符，承包人可以拒绝接受保管，由发包人运出施工场地并重新采购；</w:t>
      </w:r>
    </w:p>
    <w:p w14:paraId="10C7BB47">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（3）工程材料和工程设备的品种、规格、型号、质量标准与一览表不符，经发包人同意，承包人可代为调剂替换，由发包人承担相应费用；</w:t>
      </w:r>
    </w:p>
    <w:p w14:paraId="0C710E40">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（4）交货地点与一览表不符，除合同双方当事人协商确定外，由发包人重新运至一览表指定地点，并承担由此增加的费用和（或）延误的工期；</w:t>
      </w:r>
    </w:p>
    <w:p w14:paraId="7FDDA20B">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（5）供应数量少于一览表约定的数量时，由发包人补齐；多于一览表约定的数量时，发包人应将多出的部分运出施工场地；</w:t>
      </w:r>
    </w:p>
    <w:p w14:paraId="475B69B3">
      <w:pPr>
        <w:pStyle w:val="20"/>
        <w:adjustRightInd w:val="0"/>
        <w:snapToGrid w:val="0"/>
        <w:spacing w:line="360" w:lineRule="auto"/>
        <w:ind w:left="1850" w:leftChars="771" w:firstLine="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（6）交货时间早于一览表约定计划和第55</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款交货日期，由发包人承担由此发生的保管费；交货时间迟于一览表约定计划和第55</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款交货日期，由发包人承担由此增加的费用和（或）延误的工期。</w:t>
      </w:r>
    </w:p>
    <w:p w14:paraId="7F5A0D0E">
      <w:pPr>
        <w:pStyle w:val="20"/>
        <w:tabs>
          <w:tab w:val="left" w:pos="720"/>
          <w:tab w:val="left" w:pos="1080"/>
        </w:tabs>
        <w:adjustRightInd w:val="0"/>
        <w:snapToGrid w:val="0"/>
        <w:spacing w:line="360" w:lineRule="auto"/>
        <w:ind w:firstLine="0"/>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55</w:t>
      </w:r>
      <w:r>
        <w:rPr>
          <w:rFonts w:ascii="仿宋" w:hAnsi="仿宋" w:eastAsia="仿宋" w:cs="仿宋"/>
          <w:b/>
          <w:bCs/>
          <w:color w:val="auto"/>
          <w:highlight w:val="none"/>
          <w:lang w:eastAsia="zh-CN"/>
        </w:rPr>
        <w:t>.7</w:t>
      </w:r>
    </w:p>
    <w:p w14:paraId="3B283656">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08768" behindDoc="0" locked="0" layoutInCell="1" allowOverlap="1">
                <wp:simplePos x="0" y="0"/>
                <wp:positionH relativeFrom="column">
                  <wp:posOffset>-114300</wp:posOffset>
                </wp:positionH>
                <wp:positionV relativeFrom="paragraph">
                  <wp:posOffset>17145</wp:posOffset>
                </wp:positionV>
                <wp:extent cx="832485" cy="679450"/>
                <wp:effectExtent l="0" t="0" r="0" b="0"/>
                <wp:wrapNone/>
                <wp:docPr id="691" name="文本框 886"/>
                <wp:cNvGraphicFramePr/>
                <a:graphic xmlns:a="http://schemas.openxmlformats.org/drawingml/2006/main">
                  <a:graphicData uri="http://schemas.microsoft.com/office/word/2010/wordprocessingShape">
                    <wps:wsp>
                      <wps:cNvSpPr txBox="1">
                        <a:spLocks noChangeArrowheads="1"/>
                      </wps:cNvSpPr>
                      <wps:spPr bwMode="auto">
                        <a:xfrm>
                          <a:off x="0" y="0"/>
                          <a:ext cx="832485" cy="679450"/>
                        </a:xfrm>
                        <a:prstGeom prst="rect">
                          <a:avLst/>
                        </a:prstGeom>
                        <a:noFill/>
                        <a:ln>
                          <a:noFill/>
                        </a:ln>
                        <a:effectLst/>
                      </wps:spPr>
                      <wps:txbx>
                        <w:txbxContent>
                          <w:p w14:paraId="095E3C1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供应材料和工程设备使用前的检验</w:t>
                            </w:r>
                          </w:p>
                        </w:txbxContent>
                      </wps:txbx>
                      <wps:bodyPr rot="0" vert="horz" wrap="square" lIns="91440" tIns="45720" rIns="91440" bIns="45720" anchor="t" anchorCtr="0" upright="1">
                        <a:noAutofit/>
                      </wps:bodyPr>
                    </wps:wsp>
                  </a:graphicData>
                </a:graphic>
              </wp:anchor>
            </w:drawing>
          </mc:Choice>
          <mc:Fallback>
            <w:pict>
              <v:shape id="文本框 886" o:spid="_x0000_s1026" o:spt="202" type="#_x0000_t202" style="position:absolute;left:0pt;margin-left:-9pt;margin-top:1.35pt;height:53.5pt;width:65.55pt;z-index:251808768;mso-width-relative:page;mso-height-relative:page;" filled="f" stroked="f" coordsize="21600,21600" o:gfxdata="UEsDBAoAAAAAAIdO4kAAAAAAAAAAAAAAAAAEAAAAZHJzL1BLAwQUAAAACACHTuJA4+ViHtcAAAAJ&#10;AQAADwAAAGRycy9kb3ducmV2LnhtbE2PS2/CMBCE75X4D9Yi9Qa26QNI43AA9dqq9CH1tsRLEjVe&#10;R7Eh6b+vOZXbrGY1802+GV0rztSHxrMBPVcgiEtvG64MfLw/z1YgQkS22HomA78UYFNMbnLMrB/4&#10;jc77WIkUwiFDA3WMXSZlKGtyGOa+I07e0fcOYzr7StoehxTuWrlQ6lE6bDg11NjRtqbyZ39yBj5f&#10;jt9f9+q12rmHbvCjkuzW0pjbqVZPICKN8f8ZLvgJHYrEdPAntkG0BmZ6lbZEA4sliIuv7zSIQxJq&#10;vQRZ5PJ6QfEHUEsDBBQAAAAIAIdO4kBVrbcIIAIAACYEAAAOAAAAZHJzL2Uyb0RvYy54bWytU82O&#10;0zAQviPxDpbvNG1pu23UdLVstQhp+ZEWHsB1nMYi8Zix26Q8APsGnLhw57n6HIydbCnLZQ9cLNsz&#10;/ma+bz4vL9u6YnuFToPJ+Ggw5EwZCbk224x/+njzYs6Z88LkogKjMn5Qjl+unj9bNjZVYyihyhUy&#10;AjEubWzGS+9tmiROlqoWbgBWGQoWgLXwdMRtkqNoCL2ukvFwOEsawNwiSOUc3a67IO8R8SmAUBRa&#10;qjXIXa2M71BRVcITJVdq6/gqdlsUSvr3ReGUZ1XGiamPKxWh/SasyWop0i0KW2rZtyCe0sIjTrXQ&#10;hoqeoNbCC7ZD/Q9UrSWCg8IPJNRJRyQqQixGw0fa3JXCqsiFpHb2JLr7f7Dy3f4DMp1nfLYYcWZE&#10;TSM/fr8//vh1/PmNzeezIFFjXUqZd5ZyffsKWjJOpOvsLcjPjhm4LoXZqitEaEolcmpxFF4mZ087&#10;HBdANs1byKmS2HmIQG2BddCPFGGETuM5nMajWs8kXc5fjifzKWeSQrOLxWQax5eI9OGxRedfK6hZ&#10;2GQcafoRXOxvnQ/NiPQhJdQycKOrKjqgMn9dUGJ3o6KF+teBSui+4+HbTdtLs4H8QKQQOnvR56JN&#10;CfiVs4aslXH3ZSdQcVa9MSTMYjSZBC/Gw2R6MaYDnkc25xFhJEFl3HPWba9959+dRb0tqVI3CgNX&#10;JGahI9HQatdVPwKyT+TfWz348/wcs/5879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4+ViHtcA&#10;AAAJAQAADwAAAAAAAAABACAAAAAiAAAAZHJzL2Rvd25yZXYueG1sUEsBAhQAFAAAAAgAh07iQFWt&#10;twggAgAAJgQAAA4AAAAAAAAAAQAgAAAAJgEAAGRycy9lMm9Eb2MueG1sUEsFBgAAAAAGAAYAWQEA&#10;ALgFAAAAAA==&#10;">
                <v:fill on="f" focussize="0,0"/>
                <v:stroke on="f"/>
                <v:imagedata o:title=""/>
                <o:lock v:ext="edit" aspectratio="f"/>
                <v:textbox>
                  <w:txbxContent>
                    <w:p w14:paraId="095E3C1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供应材料和工程设备使用前的检验</w:t>
                      </w:r>
                    </w:p>
                  </w:txbxContent>
                </v:textbox>
              </v:shape>
            </w:pict>
          </mc:Fallback>
        </mc:AlternateContent>
      </w:r>
      <w:r>
        <w:rPr>
          <w:rFonts w:hint="eastAsia" w:ascii="仿宋" w:hAnsi="仿宋" w:eastAsia="仿宋" w:cs="仿宋"/>
          <w:color w:val="auto"/>
          <w:highlight w:val="none"/>
          <w:lang w:eastAsia="zh-CN"/>
        </w:rPr>
        <w:t>发包人供应的工程材料和工程设备使用前，由监理人会同承包人进行检验试验，查验工程材料合格证明和产品合格证书。合同双方当事人应做好检验书面记录，并要求指定人选及时办理签认手续。不合格的，禁止在合同工程中使用。</w:t>
      </w:r>
    </w:p>
    <w:p w14:paraId="3CEAF1C9">
      <w:pPr>
        <w:pStyle w:val="20"/>
        <w:tabs>
          <w:tab w:val="left" w:pos="720"/>
          <w:tab w:val="left" w:pos="1080"/>
        </w:tabs>
        <w:adjustRightInd w:val="0"/>
        <w:snapToGrid w:val="0"/>
        <w:spacing w:line="360" w:lineRule="auto"/>
        <w:ind w:firstLine="0"/>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55</w:t>
      </w:r>
      <w:r>
        <w:rPr>
          <w:rFonts w:ascii="仿宋" w:hAnsi="仿宋" w:eastAsia="仿宋" w:cs="仿宋"/>
          <w:b/>
          <w:bCs/>
          <w:color w:val="auto"/>
          <w:highlight w:val="none"/>
          <w:lang w:eastAsia="zh-CN"/>
        </w:rPr>
        <w:t>.8</w:t>
      </w:r>
    </w:p>
    <w:p w14:paraId="0E7CB46D">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09792" behindDoc="0" locked="0" layoutInCell="1" allowOverlap="1">
                <wp:simplePos x="0" y="0"/>
                <wp:positionH relativeFrom="column">
                  <wp:posOffset>-114300</wp:posOffset>
                </wp:positionH>
                <wp:positionV relativeFrom="paragraph">
                  <wp:posOffset>7620</wp:posOffset>
                </wp:positionV>
                <wp:extent cx="828040" cy="491490"/>
                <wp:effectExtent l="0" t="0" r="0" b="0"/>
                <wp:wrapNone/>
                <wp:docPr id="692" name="文本框 887"/>
                <wp:cNvGraphicFramePr/>
                <a:graphic xmlns:a="http://schemas.openxmlformats.org/drawingml/2006/main">
                  <a:graphicData uri="http://schemas.microsoft.com/office/word/2010/wordprocessingShape">
                    <wps:wsp>
                      <wps:cNvSpPr txBox="1">
                        <a:spLocks noChangeArrowheads="1"/>
                      </wps:cNvSpPr>
                      <wps:spPr bwMode="auto">
                        <a:xfrm>
                          <a:off x="0" y="0"/>
                          <a:ext cx="828040" cy="491490"/>
                        </a:xfrm>
                        <a:prstGeom prst="rect">
                          <a:avLst/>
                        </a:prstGeom>
                        <a:noFill/>
                        <a:ln>
                          <a:noFill/>
                        </a:ln>
                        <a:effectLst/>
                      </wps:spPr>
                      <wps:txbx>
                        <w:txbxContent>
                          <w:p w14:paraId="35E079B8">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约定结算方式</w:t>
                            </w:r>
                          </w:p>
                        </w:txbxContent>
                      </wps:txbx>
                      <wps:bodyPr rot="0" vert="horz" wrap="square" lIns="91440" tIns="45720" rIns="91440" bIns="45720" anchor="t" anchorCtr="0" upright="1">
                        <a:noAutofit/>
                      </wps:bodyPr>
                    </wps:wsp>
                  </a:graphicData>
                </a:graphic>
              </wp:anchor>
            </w:drawing>
          </mc:Choice>
          <mc:Fallback>
            <w:pict>
              <v:shape id="文本框 887" o:spid="_x0000_s1026" o:spt="202" type="#_x0000_t202" style="position:absolute;left:0pt;margin-left:-9pt;margin-top:0.6pt;height:38.7pt;width:65.2pt;z-index:251809792;mso-width-relative:page;mso-height-relative:page;" filled="f" stroked="f" coordsize="21600,21600" o:gfxdata="UEsDBAoAAAAAAIdO4kAAAAAAAAAAAAAAAAAEAAAAZHJzL1BLAwQUAAAACACHTuJA4A/Mu9YAAAAI&#10;AQAADwAAAGRycy9kb3ducmV2LnhtbE2Py27CMBBF95X4B2sqsQM7EaUhxGFB1S1V6UPqboiHJGo8&#10;jmJD0r+vWbXL0Rnde26xm2wnrjT41rGGZKlAEFfOtFxreH97XmQgfEA22DkmDT/kYVfO7grMjRv5&#10;la7HUIsYwj5HDU0IfS6lrxqy6JeuJ47s7AaLIZ5DLc2AYwy3nUyVWkuLLceGBnvaN1R9Hy9Ww8fh&#10;/PW5Ui/1k33oRzcpyXYjtZ7fJ2oLItAU/p7hph/VoYxOJ3dh40WnYZFkcUuIIAVx40m6AnHS8Jit&#10;QZaF/D+g/AVQSwMEFAAAAAgAh07iQB5G9KcdAgAAJgQAAA4AAABkcnMvZTJvRG9jLnhtbK1TzW4T&#10;MRC+I/EOlu9kkyi0ySqbqjQqQio/UuEBHK83a7H2mLGT3fIA8AY9ceHOc+U5GHu3IZRLD1ws2zP+&#10;5vu+GS8vOtOwvUKvwRZ8MhpzpqyEUtttwT99vH4x58wHYUvRgFUFv1OeX6yeP1u2LldTqKEpFTIC&#10;sT5vXcHrEFyeZV7Wygg/AqcsBStAIwIdcZuVKFpCN002HY/PshawdAhSeU+36z7IB0R8CiBUlZZq&#10;DXJnlA09KqpGBJLka+08XyW2VaVkeF9VXgXWFJyUhrRSEdpv4pqtliLfonC1lgMF8RQKjzQZoS0V&#10;PUKtRRBsh/ofKKMlgocqjCSYrBeSHCEVk/Ejb25r4VTSQlZ7dzTd/z9Y+W7/AZkuC362mHJmhaGW&#10;H+6/H378Ovz8xubz82hR63xOmbeOckP3CjoanCTXuxuQnz2zcFULu1WXiNDWSpREcRJfZidPexwf&#10;QTbtWyipktgFSEBdhSb6R44wQqf23B3bo7rAJF3Op/PxjCKSQrPFZLZI7ctE/vDYoQ+vFRgWNwVH&#10;6n4CF/sbHyIZkT+kxFoWrnXTpAlo7F8XlNjfqDRCw+soJbLvdYRu0w3WbKC8I1EI/XjR56JNDfiV&#10;s5ZGq+D+y06g4qx5Y8kYoh5lhHSYvTyf0gFPI5vTiLCSoAoeOOu3V6Gf351Dva2pUt8KC5dkZqWT&#10;0Ei1ZzW0gMYn6R9GPc7n6Tll/fneq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gD8y71gAAAAgB&#10;AAAPAAAAAAAAAAEAIAAAACIAAABkcnMvZG93bnJldi54bWxQSwECFAAUAAAACACHTuJAHkb0px0C&#10;AAAmBAAADgAAAAAAAAABACAAAAAlAQAAZHJzL2Uyb0RvYy54bWxQSwUGAAAAAAYABgBZAQAAtAUA&#10;AAAA&#10;">
                <v:fill on="f" focussize="0,0"/>
                <v:stroke on="f"/>
                <v:imagedata o:title=""/>
                <o:lock v:ext="edit" aspectratio="f"/>
                <v:textbox>
                  <w:txbxContent>
                    <w:p w14:paraId="35E079B8">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约定结算方式</w:t>
                      </w:r>
                    </w:p>
                  </w:txbxContent>
                </v:textbox>
              </v:shape>
            </w:pict>
          </mc:Fallback>
        </mc:AlternateContent>
      </w:r>
      <w:r>
        <w:rPr>
          <w:rFonts w:hint="eastAsia" w:ascii="仿宋" w:hAnsi="仿宋" w:eastAsia="仿宋" w:cs="仿宋"/>
          <w:color w:val="auto"/>
          <w:highlight w:val="none"/>
          <w:lang w:eastAsia="zh-CN"/>
        </w:rPr>
        <w:t>发包人供应工程材料和工程设备的结算方式，由合同双方当事人在专用条款中约定。除工程量清单中已列有税金项目的计算方法和额度，可由承包人代收代缴外，均由发包人按照政府有关部门和税务部门规定缴纳税金。</w:t>
      </w:r>
    </w:p>
    <w:p w14:paraId="2BFB5792">
      <w:pPr>
        <w:pStyle w:val="20"/>
        <w:adjustRightInd w:val="0"/>
        <w:snapToGrid w:val="0"/>
        <w:spacing w:line="360" w:lineRule="auto"/>
        <w:ind w:firstLine="0"/>
        <w:rPr>
          <w:rFonts w:hint="eastAsia" w:ascii="仿宋" w:hAnsi="仿宋" w:eastAsia="仿宋" w:cs="仿宋"/>
          <w:b/>
          <w:bCs/>
          <w:color w:val="auto"/>
          <w:highlight w:val="none"/>
          <w:u w:val="single"/>
          <w:lang w:eastAsia="zh-CN"/>
        </w:rPr>
      </w:pPr>
    </w:p>
    <w:p w14:paraId="3A64FDD2">
      <w:pPr>
        <w:pStyle w:val="6"/>
        <w:tabs>
          <w:tab w:val="left" w:pos="360"/>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4" w:name="_Toc30766"/>
      <w:r>
        <w:rPr>
          <w:rFonts w:hint="eastAsia" w:ascii="仿宋" w:hAnsi="仿宋" w:eastAsia="仿宋" w:cs="仿宋"/>
          <w:bCs w:val="0"/>
          <w:color w:val="auto"/>
          <w:sz w:val="24"/>
          <w:szCs w:val="24"/>
          <w:highlight w:val="none"/>
          <w:lang w:eastAsia="zh-CN"/>
        </w:rPr>
        <w:t>56承包人购置设备及工器具、采购工程材料和工程设备</w:t>
      </w:r>
      <w:bookmarkEnd w:id="354"/>
    </w:p>
    <w:p w14:paraId="04E3A214">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35072" behindDoc="0" locked="0" layoutInCell="1" allowOverlap="1">
                <wp:simplePos x="0" y="0"/>
                <wp:positionH relativeFrom="column">
                  <wp:posOffset>-95250</wp:posOffset>
                </wp:positionH>
                <wp:positionV relativeFrom="paragraph">
                  <wp:posOffset>234950</wp:posOffset>
                </wp:positionV>
                <wp:extent cx="813435" cy="616585"/>
                <wp:effectExtent l="0" t="0" r="0" b="0"/>
                <wp:wrapNone/>
                <wp:docPr id="693" name="文本框 424"/>
                <wp:cNvGraphicFramePr/>
                <a:graphic xmlns:a="http://schemas.openxmlformats.org/drawingml/2006/main">
                  <a:graphicData uri="http://schemas.microsoft.com/office/word/2010/wordprocessingShape">
                    <wps:wsp>
                      <wps:cNvSpPr txBox="1">
                        <a:spLocks noChangeArrowheads="1"/>
                      </wps:cNvSpPr>
                      <wps:spPr bwMode="auto">
                        <a:xfrm>
                          <a:off x="0" y="0"/>
                          <a:ext cx="813435" cy="616585"/>
                        </a:xfrm>
                        <a:prstGeom prst="rect">
                          <a:avLst/>
                        </a:prstGeom>
                        <a:noFill/>
                        <a:ln>
                          <a:noFill/>
                        </a:ln>
                        <a:effectLst/>
                      </wps:spPr>
                      <wps:txbx>
                        <w:txbxContent>
                          <w:p w14:paraId="4900F0F4">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承包人购置设备及工器具</w:t>
                            </w:r>
                          </w:p>
                        </w:txbxContent>
                      </wps:txbx>
                      <wps:bodyPr rot="0" vert="horz" wrap="square" lIns="91440" tIns="45720" rIns="91440" bIns="45720" anchor="t" anchorCtr="0" upright="1">
                        <a:noAutofit/>
                      </wps:bodyPr>
                    </wps:wsp>
                  </a:graphicData>
                </a:graphic>
              </wp:anchor>
            </w:drawing>
          </mc:Choice>
          <mc:Fallback>
            <w:pict>
              <v:shape id="文本框 424" o:spid="_x0000_s1026" o:spt="202" type="#_x0000_t202" style="position:absolute;left:0pt;margin-left:-7.5pt;margin-top:18.5pt;height:48.55pt;width:64.05pt;z-index:252035072;mso-width-relative:page;mso-height-relative:page;" filled="f" stroked="f" coordsize="21600,21600" o:gfxdata="UEsDBAoAAAAAAIdO4kAAAAAAAAAAAAAAAAAEAAAAZHJzL1BLAwQUAAAACACHTuJA+ONyQtcAAAAK&#10;AQAADwAAAGRycy9kb3ducmV2LnhtbE2PQU/DMAyF70j8h8hI3LYkdBtQmu4A4srEGEjcssZrKxqn&#10;arK1/Hu80zjZ1nt6/l6xnnwnTjjENpABPVcgkKrgWqoN7D5eZw8gYrLkbBcIDfxihHV5fVXY3IWR&#10;3vG0TbXgEIq5NdCk1OdSxqpBb+M89EisHcLgbeJzqKUb7MjhvpN3Sq2kty3xh8b2+Nxg9bM9egOf&#10;b4fvr4Xa1C9+2Y9hUpL8ozTm9karJxAJp3Qxwxmf0aFkpn04kouiMzDTS+6SDGT3PM8GnWkQe16y&#10;hQZZFvJ/hfIPUEsDBBQAAAAIAIdO4kDaIMN6IAIAACYEAAAOAAAAZHJzL2Uyb0RvYy54bWytU82O&#10;0zAQviPxDpbvNE2blm7UdLVstQhp+ZEWHsB1nMYi9hjbbVIegH0DTly481x9DsZOtpTlsgculu0Z&#10;fzPfN5+Xl51qyF5YJ0EXNB2NKRGaQyn1tqCfPt68WFDiPNMla0CLgh6Eo5er58+WrcnFBGpoSmEJ&#10;gmiXt6agtfcmTxLHa6GYG4ERGoMVWMU8Hu02KS1rEV01yWQ8nict2NJY4MI5vF33QTog2qcAQlVJ&#10;LtbAd0po36Na0TCPlFwtjaOr2G1VCe7fV5UTnjQFRaY+rlgE95uwJqsly7eWmVryoQX2lBYecVJM&#10;aix6glozz8jOyn+glOQWHFR+xEElPZGoCLJIx4+0uauZEZELSu3MSXT3/2D5u/0HS2RZ0PnFlBLN&#10;FI78+P3++OPX8ec3kk2yIFFrXI6ZdwZzffcKOjROpOvMLfDPjmi4rpneiitroa0FK7HFNLxMzp72&#10;OC6AbNq3UGIltvMQgbrKqqAfKkIQHcdzOI1HdJ5wvFyk02w6o4RjaJ7OZ4tZrMDyh8fGOv9agCJh&#10;U1CL04/gbH/rfGiG5Q8poZaGG9k00QGN/usCE/sbES00vA5UQvc9D99tukGaDZQHJGWhtxd+LtzU&#10;YL9S0qK1Cuq+7JgVlDRvNApzkWZZ8GI8ZLOXEzzY88jmPMI0R6iCekr67bXv/bszVm5rrNSPQsMV&#10;ilnJSDS02nc1jADtE/kPVg/+PD/HrD/fe/U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ONyQtcA&#10;AAAKAQAADwAAAAAAAAABACAAAAAiAAAAZHJzL2Rvd25yZXYueG1sUEsBAhQAFAAAAAgAh07iQNog&#10;w3ogAgAAJgQAAA4AAAAAAAAAAQAgAAAAJgEAAGRycy9lMm9Eb2MueG1sUEsFBgAAAAAGAAYAWQEA&#10;ALgFAAAAAA==&#10;">
                <v:fill on="f" focussize="0,0"/>
                <v:stroke on="f"/>
                <v:imagedata o:title=""/>
                <o:lock v:ext="edit" aspectratio="f"/>
                <v:textbox>
                  <w:txbxContent>
                    <w:p w14:paraId="4900F0F4">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承包人购置设备及工器具</w:t>
                      </w:r>
                    </w:p>
                  </w:txbxContent>
                </v:textbox>
              </v:shape>
            </w:pict>
          </mc:Fallback>
        </mc:AlternateContent>
      </w:r>
      <w:r>
        <w:rPr>
          <w:rFonts w:hint="eastAsia" w:ascii="仿宋" w:hAnsi="仿宋" w:eastAsia="仿宋" w:cs="仿宋"/>
          <w:b/>
          <w:bCs/>
          <w:color w:val="auto"/>
          <w:highlight w:val="none"/>
          <w:lang w:eastAsia="zh-CN"/>
        </w:rPr>
        <w:t>56.1</w:t>
      </w:r>
    </w:p>
    <w:p w14:paraId="324A4A70">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发包人委托承包人购置发包人组织生产或运营所需的设备及工器具，其购置工程量清单、具体内容和购置要求由合同双方在协议书及专用条款中约定。</w:t>
      </w:r>
    </w:p>
    <w:p w14:paraId="0481E7A1">
      <w:pPr>
        <w:spacing w:line="360" w:lineRule="auto"/>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56</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2</w:t>
      </w:r>
    </w:p>
    <w:p w14:paraId="2F4C561D">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10816" behindDoc="0" locked="0" layoutInCell="1" allowOverlap="1">
                <wp:simplePos x="0" y="0"/>
                <wp:positionH relativeFrom="column">
                  <wp:posOffset>-114300</wp:posOffset>
                </wp:positionH>
                <wp:positionV relativeFrom="paragraph">
                  <wp:posOffset>17145</wp:posOffset>
                </wp:positionV>
                <wp:extent cx="775970" cy="467360"/>
                <wp:effectExtent l="0" t="0" r="0" b="0"/>
                <wp:wrapNone/>
                <wp:docPr id="694" name="文本框 888"/>
                <wp:cNvGraphicFramePr/>
                <a:graphic xmlns:a="http://schemas.openxmlformats.org/drawingml/2006/main">
                  <a:graphicData uri="http://schemas.microsoft.com/office/word/2010/wordprocessingShape">
                    <wps:wsp>
                      <wps:cNvSpPr txBox="1">
                        <a:spLocks noChangeArrowheads="1"/>
                      </wps:cNvSpPr>
                      <wps:spPr bwMode="auto">
                        <a:xfrm>
                          <a:off x="0" y="0"/>
                          <a:ext cx="775970" cy="467360"/>
                        </a:xfrm>
                        <a:prstGeom prst="rect">
                          <a:avLst/>
                        </a:prstGeom>
                        <a:noFill/>
                        <a:ln>
                          <a:noFill/>
                        </a:ln>
                        <a:effectLst/>
                      </wps:spPr>
                      <wps:txbx>
                        <w:txbxContent>
                          <w:p w14:paraId="30BF842C">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w:t>
                            </w:r>
                          </w:p>
                        </w:txbxContent>
                      </wps:txbx>
                      <wps:bodyPr rot="0" vert="horz" wrap="square" lIns="91440" tIns="45720" rIns="91440" bIns="45720" anchor="t" anchorCtr="0" upright="1">
                        <a:noAutofit/>
                      </wps:bodyPr>
                    </wps:wsp>
                  </a:graphicData>
                </a:graphic>
              </wp:anchor>
            </w:drawing>
          </mc:Choice>
          <mc:Fallback>
            <w:pict>
              <v:shape id="文本框 888" o:spid="_x0000_s1026" o:spt="202" type="#_x0000_t202" style="position:absolute;left:0pt;margin-left:-9pt;margin-top:1.35pt;height:36.8pt;width:61.1pt;z-index:251810816;mso-width-relative:page;mso-height-relative:page;" filled="f" stroked="f" coordsize="21600,21600" o:gfxdata="UEsDBAoAAAAAAIdO4kAAAAAAAAAAAAAAAAAEAAAAZHJzL1BLAwQUAAAACACHTuJA8vAdsdYAAAAI&#10;AQAADwAAAGRycy9kb3ducmV2LnhtbE2PQU/CQBSE7yb+h80z8Qa7rQhY+8pB41UDAgm3pftoG7tv&#10;m+5C6793OeFxMpOZb/LVaFtxod43jhGSqQJBXDrTcIWw/f6YLEH4oNno1jEh/JKHVXF/l+vMuIHX&#10;dNmESsQS9plGqEPoMil9WZPVfuo64uidXG91iLKvpOn1EMttK1Ol5tLqhuNCrTt6q6n82Zwtwu7z&#10;dNjP1Ff1bp+7wY1Ksn2RiI8PiXoFEWgMtzBc8SM6FJHp6M5svGgRJskyfgkI6QLE1VezFMQRYTF/&#10;Alnk8v+B4g9QSwMEFAAAAAgAh07iQODLN9YfAgAAJgQAAA4AAABkcnMvZTJvRG9jLnhtbK1TS27b&#10;MBDdF+gdCO5r2a7jj2A5SGOkKJB+gLQHoCnKIipx2CFtyT1Ac4Ouuum+5/I5OqQU1003WXRDkJzh&#10;m3lvHpeXbV2xvUKnwWR8NBhypoyEXJttxj99vHkx58x5YXJRgVEZPyjHL1fPny0bm6oxlFDlChmB&#10;GJc2NuOl9zZNEidLVQs3AKsMBQvAWng64jbJUTSEXlfJeDicJg1gbhGkco5u112Q94j4FEAoCi3V&#10;GuSuVsZ3qKgq4YmSK7V1fBW7LQol/fuicMqzKuPE1MeVitB+E9ZktRTpFoUttexbEE9p4RGnWmhD&#10;RU9Qa+EF26H+B6rWEsFB4QcS6qQjEhUhFqPhI23uSmFV5EJSO3sS3f0/WPlu/wGZzjM+XUw4M6Km&#10;kR+/3x9//Dr+/Mbm83mQqLEupcw7S7m+fQUtGSfSdfYW5GfHDFyXwmzVFSI0pRI5tTgKL5Ozpx2O&#10;CyCb5i3kVEnsPESgtsA66EeKMEKn8RxO41GtZ5IuZ7OLxYwikkKT6ezlNI4vEenDY4vOv1ZQs7DJ&#10;ONL0I7jY3zofmhHpQ0qoZeBGV1V0QGX+uqDE7kZFC/WvA5XQfcfDt5u2l2YD+YFIIXT2os9FmxLw&#10;K2cNWSvj7stOoOKsemNImMVoMglejIfJxWxMBzyPbM4jwkiCyrjnrNte+86/O4t6W1KlbhQGrkjM&#10;QkeiodWuq34EZJ/Iv7d68Of5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LwHbHWAAAA&#10;CAEAAA8AAAAAAAAAAQAgAAAAIgAAAGRycy9kb3ducmV2LnhtbFBLAQIUABQAAAAIAIdO4kDgyzfW&#10;HwIAACYEAAAOAAAAAAAAAAEAIAAAACUBAABkcnMvZTJvRG9jLnhtbFBLBQYAAAAABgAGAFkBAAC2&#10;BQAAAAA=&#10;">
                <v:fill on="f" focussize="0,0"/>
                <v:stroke on="f"/>
                <v:imagedata o:title=""/>
                <o:lock v:ext="edit" aspectratio="f"/>
                <v:textbox>
                  <w:txbxContent>
                    <w:p w14:paraId="30BF842C">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w:t>
                      </w:r>
                    </w:p>
                  </w:txbxContent>
                </v:textbox>
              </v:shape>
            </w:pict>
          </mc:Fallback>
        </mc:AlternateContent>
      </w:r>
      <w:r>
        <w:rPr>
          <w:rFonts w:hint="eastAsia" w:ascii="仿宋" w:hAnsi="仿宋" w:eastAsia="仿宋" w:cs="仿宋"/>
          <w:color w:val="auto"/>
          <w:highlight w:val="none"/>
          <w:lang w:eastAsia="zh-CN"/>
        </w:rPr>
        <w:t>承包人负责采购工程材料和工程设备，应按照合同约定的标准与规范、施工图所示和发包人技术要求采购，并提供产品质量合格证明文件，对工程材料和工程设备质量负责。承包人采购的工程材料和工程设备，应与其提交的投标文件相应内容一致。承揽政府投资工程的承包人，可通过“广州市集群采购管理服务综合平台”采购工程使用的主要建材（钢筋、水泥、混凝土、装配式构件、预拌砂浆等），具体要求由双方在专用条款中约定。除专用条款另有约定外，上述工程材料和工程设备均由承包人负责运输和保管。</w:t>
      </w:r>
    </w:p>
    <w:p w14:paraId="1751270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56</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3</w:t>
      </w:r>
    </w:p>
    <w:p w14:paraId="69EBC600">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11840" behindDoc="0" locked="0" layoutInCell="1" allowOverlap="1">
                <wp:simplePos x="0" y="0"/>
                <wp:positionH relativeFrom="column">
                  <wp:posOffset>-114300</wp:posOffset>
                </wp:positionH>
                <wp:positionV relativeFrom="paragraph">
                  <wp:posOffset>17145</wp:posOffset>
                </wp:positionV>
                <wp:extent cx="765810" cy="581660"/>
                <wp:effectExtent l="0" t="0" r="0" b="0"/>
                <wp:wrapNone/>
                <wp:docPr id="695" name="文本框 889"/>
                <wp:cNvGraphicFramePr/>
                <a:graphic xmlns:a="http://schemas.openxmlformats.org/drawingml/2006/main">
                  <a:graphicData uri="http://schemas.microsoft.com/office/word/2010/wordprocessingShape">
                    <wps:wsp>
                      <wps:cNvSpPr txBox="1">
                        <a:spLocks noChangeArrowheads="1"/>
                      </wps:cNvSpPr>
                      <wps:spPr bwMode="auto">
                        <a:xfrm>
                          <a:off x="0" y="0"/>
                          <a:ext cx="765810" cy="581660"/>
                        </a:xfrm>
                        <a:prstGeom prst="rect">
                          <a:avLst/>
                        </a:prstGeom>
                        <a:noFill/>
                        <a:ln>
                          <a:noFill/>
                        </a:ln>
                        <a:effectLst/>
                      </wps:spPr>
                      <wps:txbx>
                        <w:txbxContent>
                          <w:p w14:paraId="4657895A">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承包人供货与清点要求</w:t>
                            </w:r>
                          </w:p>
                        </w:txbxContent>
                      </wps:txbx>
                      <wps:bodyPr rot="0" vert="horz" wrap="square" lIns="91440" tIns="45720" rIns="91440" bIns="45720" anchor="t" anchorCtr="0" upright="1">
                        <a:noAutofit/>
                      </wps:bodyPr>
                    </wps:wsp>
                  </a:graphicData>
                </a:graphic>
              </wp:anchor>
            </w:drawing>
          </mc:Choice>
          <mc:Fallback>
            <w:pict>
              <v:shape id="文本框 889" o:spid="_x0000_s1026" o:spt="202" type="#_x0000_t202" style="position:absolute;left:0pt;margin-left:-9pt;margin-top:1.35pt;height:45.8pt;width:60.3pt;z-index:251811840;mso-width-relative:page;mso-height-relative:page;" filled="f" stroked="f" coordsize="21600,21600" o:gfxdata="UEsDBAoAAAAAAIdO4kAAAAAAAAAAAAAAAAAEAAAAZHJzL1BLAwQUAAAACACHTuJAxe/hzNYAAAAI&#10;AQAADwAAAGRycy9kb3ducmV2LnhtbE2PzU7DMBCE70i8g7WVuLV2QulPyKYHEFcQpa3EzY23SdR4&#10;HcVuE94e9wTH0Yxmvsk3o23FlXrfOEZIZgoEcelMwxXC7uttugLhg2ajW8eE8EMeNsX9Xa4z4wb+&#10;pOs2VCKWsM80Qh1Cl0npy5qs9jPXEUfv5HqrQ5R9JU2vh1huW5kqtZBWNxwXat3RS03leXuxCPv3&#10;0/dhrj6qV/vUDW5Uku1aIj5MEvUMItAY/sJww4/oUESmo7uw8aJFmCar+CUgpEsQN1+lCxBHhPX8&#10;EWSRy/8Hil9QSwMEFAAAAAgAh07iQBMJtpUeAgAAJgQAAA4AAABkcnMvZTJvRG9jLnhtbK1TS27b&#10;MBDdF+gdCO5r2Ybt2ILlII2RokD6AZIegKYoi6jEYYe0JfcA7Q266qb7nsvnyJBSXDfdZNGNMOQM&#10;38x787S8bOuK7RU6DSbjo8GQM2Uk5NpsM/7p/ubVnDPnhclFBUZl/KAcv1y9fLFsbKrGUEKVK2QE&#10;Ylza2IyX3ts0SZwsVS3cAKwylCwAa+HpiNskR9EQel0l4+FwljSAuUWQyjm6XXdJ3iPicwChKLRU&#10;a5C7WhnfoaKqhCdKrtTW8VWctiiU9B+KwinPqowTUx+/1ITiTfgmq6VItyhsqWU/gnjOCE841UIb&#10;anqCWgsv2A71P1C1lggOCj+QUCcdkagIsRgNn2hzVwqrIheS2tmT6O7/wcr3+4/IdJ7x2WLKmRE1&#10;rfz44/vx5+/jr29sPl8EiRrrUqq8s1Tr29fQknEiXWdvQX52zMB1KcxWXSFCUyqR04ij8DI5e9rh&#10;uACyad5BTp3EzkMEagusg36kCCN0Ws/htB7Veibp8mI2nY8oIylF0WwW15eI9PGxReffKKhZCDKO&#10;tP0ILva3zodhRPpYEnoZuNFVFR1Qmb8uqLC7UdFC/etAJUzf8fDtpu2l2UB+IFIInb3o56KgBPzK&#10;WUPWyrj7shOoOKveGhJmMZpMghfjYTK9GNMBzzOb84wwkqAy7jnrwmvf+XdnUW9L6tStwsAViVno&#10;SDSM2k3Vr4DsE/n3Vg/+PD/Hqj+/9+o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e/hzNYAAAAI&#10;AQAADwAAAAAAAAABACAAAAAiAAAAZHJzL2Rvd25yZXYueG1sUEsBAhQAFAAAAAgAh07iQBMJtpUe&#10;AgAAJgQAAA4AAAAAAAAAAQAgAAAAJQEAAGRycy9lMm9Eb2MueG1sUEsFBgAAAAAGAAYAWQEAALUF&#10;AAAAAA==&#10;">
                <v:fill on="f" focussize="0,0"/>
                <v:stroke on="f"/>
                <v:imagedata o:title=""/>
                <o:lock v:ext="edit" aspectratio="f"/>
                <v:textbox>
                  <w:txbxContent>
                    <w:p w14:paraId="4657895A">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承包人供货与清点要求</w:t>
                      </w:r>
                    </w:p>
                  </w:txbxContent>
                </v:textbox>
              </v:shape>
            </w:pict>
          </mc:Fallback>
        </mc:AlternateContent>
      </w:r>
      <w:r>
        <w:rPr>
          <w:rFonts w:hint="eastAsia" w:ascii="仿宋" w:hAnsi="仿宋" w:eastAsia="仿宋" w:cs="仿宋"/>
          <w:color w:val="auto"/>
          <w:highlight w:val="none"/>
          <w:lang w:eastAsia="zh-CN"/>
        </w:rPr>
        <w:t>承包人应按照专用条款的约定，将各项工程材料和工程设备的供货人及品种、规格、数量和供货时间等情况以书面形式提交监理人确认，并由其报发包人批准后实施供货。承包人应在工程材料和工程设备到货前至少提前</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小时，以书面形式通知发包人和监理人，并在监理人的见证下与发包人共同清点。</w:t>
      </w:r>
    </w:p>
    <w:p w14:paraId="4505EE7C">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56</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4</w:t>
      </w:r>
    </w:p>
    <w:p w14:paraId="72F6A2A0">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12864" behindDoc="0" locked="0" layoutInCell="1" allowOverlap="1">
                <wp:simplePos x="0" y="0"/>
                <wp:positionH relativeFrom="column">
                  <wp:posOffset>-114300</wp:posOffset>
                </wp:positionH>
                <wp:positionV relativeFrom="paragraph">
                  <wp:posOffset>1270</wp:posOffset>
                </wp:positionV>
                <wp:extent cx="823595" cy="641350"/>
                <wp:effectExtent l="0" t="0" r="0" b="0"/>
                <wp:wrapNone/>
                <wp:docPr id="696" name="文本框 890"/>
                <wp:cNvGraphicFramePr/>
                <a:graphic xmlns:a="http://schemas.openxmlformats.org/drawingml/2006/main">
                  <a:graphicData uri="http://schemas.microsoft.com/office/word/2010/wordprocessingShape">
                    <wps:wsp>
                      <wps:cNvSpPr txBox="1">
                        <a:spLocks noChangeArrowheads="1"/>
                      </wps:cNvSpPr>
                      <wps:spPr bwMode="auto">
                        <a:xfrm>
                          <a:off x="0" y="0"/>
                          <a:ext cx="823595" cy="641350"/>
                        </a:xfrm>
                        <a:prstGeom prst="rect">
                          <a:avLst/>
                        </a:prstGeom>
                        <a:noFill/>
                        <a:ln>
                          <a:noFill/>
                        </a:ln>
                        <a:effectLst/>
                      </wps:spPr>
                      <wps:txbx>
                        <w:txbxContent>
                          <w:p w14:paraId="7A260DF2">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承包人采购工程材料和工程设备的责任</w:t>
                            </w:r>
                          </w:p>
                        </w:txbxContent>
                      </wps:txbx>
                      <wps:bodyPr rot="0" vert="horz" wrap="square" lIns="91440" tIns="45720" rIns="91440" bIns="45720" anchor="t" anchorCtr="0" upright="1">
                        <a:noAutofit/>
                      </wps:bodyPr>
                    </wps:wsp>
                  </a:graphicData>
                </a:graphic>
              </wp:anchor>
            </w:drawing>
          </mc:Choice>
          <mc:Fallback>
            <w:pict>
              <v:shape id="文本框 890" o:spid="_x0000_s1026" o:spt="202" type="#_x0000_t202" style="position:absolute;left:0pt;margin-left:-9pt;margin-top:0.1pt;height:50.5pt;width:64.85pt;z-index:251812864;mso-width-relative:page;mso-height-relative:page;" filled="f" stroked="f" coordsize="21600,21600" o:gfxdata="UEsDBAoAAAAAAIdO4kAAAAAAAAAAAAAAAAAEAAAAZHJzL1BLAwQUAAAACACHTuJAtXCRxtUAAAAI&#10;AQAADwAAAGRycy9kb3ducmV2LnhtbE2PwU7DMBBE70j9B2uRuLW2I6BtGqeHIq4gCkXito23SUS8&#10;jmK3CX+Pe4LbrGY186bYTq4TFxpC69mAXigQxJW3LdcGPt6f5ysQISJb7DyTgR8KsC1nNwXm1o/8&#10;Rpd9rEUK4ZCjgSbGPpcyVA05DAvfEyfv5AeHMZ1DLe2AYwp3ncyUepQOW04NDfa0a6j63p+dgcPL&#10;6evzXr3WT+6hH/2kJLu1NObuVqsNiEhT/HuGK35ChzIxHf2ZbRCdgblepS3RQAbiamu9BHFMQukM&#10;ZFnI/wPKX1BLAwQUAAAACACHTuJA8snv1x8CAAAmBAAADgAAAGRycy9lMm9Eb2MueG1srVPBjtMw&#10;EL0j8Q+W7zRtty1t1HS1bLUIaYGVFj7AdZzGIvGYsdukfAD8AScu3Pe7+h2MnbZblsseuET2zPjN&#10;vDcv88u2rthWodNgMj7o9TlTRkKuzTrjnz/dvJpy5rwwuajAqIzvlOOXi5cv5o1N1RBKqHKFjECM&#10;Sxub8dJ7myaJk6WqheuBVYaSBWAtPF1xneQoGkKvq2TY70+SBjC3CFI5R9Fll+QHRHwOIBSFlmoJ&#10;clMr4ztUVJXwRMmV2jq+iNMWhZL+Y1E45VmVcWLq45ea0HkVvsliLtI1CltqeRhBPGeEJ5xqoQ01&#10;PUEthRdsg/ofqFpLBAeF70mok45IVIRYDPpPtLkvhVWRC0nt7El09/9g5YftHTKdZ3wym3BmRE0r&#10;3//8sf/1sP/9nU1nUaLGupQq7y3V+vYNtGScSNfZW5BfHDNwXQqzVleI0JRK5DTiIIibnD0NS3Gp&#10;CyCr5j3k1ElsPESgtsA66EeKMEKn9exO61GtZ5KC0+HFeDbmTFJqMhpcjONsiUiPjy06/1ZBzcIh&#10;40jbj+Bie+t8GEakx5LQy8CNrqrogMr8FaDCLqKihQ6vj9N3PHy7aultCK4g3xEphM5e9HPRoQT8&#10;xllD1sq4+7oRqDir3hkSZjYYjYIX42U0fj2kC55nVucZYSRBZdxz1h2vfeffjUW9LqlTtwoDVyRm&#10;oSPRx6kOKyD7RP4Hqwd/nt9j1ePvvfg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XCRxtUAAAAI&#10;AQAADwAAAAAAAAABACAAAAAiAAAAZHJzL2Rvd25yZXYueG1sUEsBAhQAFAAAAAgAh07iQPLJ79cf&#10;AgAAJgQAAA4AAAAAAAAAAQAgAAAAJAEAAGRycy9lMm9Eb2MueG1sUEsFBgAAAAAGAAYAWQEAALUF&#10;AAAAAA==&#10;">
                <v:fill on="f" focussize="0,0"/>
                <v:stroke on="f"/>
                <v:imagedata o:title=""/>
                <o:lock v:ext="edit" aspectratio="f"/>
                <v:textbox>
                  <w:txbxContent>
                    <w:p w14:paraId="7A260DF2">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承包人采购工程材料和工程设备的责任</w:t>
                      </w:r>
                    </w:p>
                  </w:txbxContent>
                </v:textbox>
              </v:shape>
            </w:pict>
          </mc:Fallback>
        </mc:AlternateContent>
      </w:r>
      <w:r>
        <w:rPr>
          <w:rFonts w:hint="eastAsia" w:ascii="仿宋" w:hAnsi="仿宋" w:eastAsia="仿宋" w:cs="仿宋"/>
          <w:color w:val="auto"/>
          <w:highlight w:val="none"/>
          <w:lang w:eastAsia="zh-CN"/>
        </w:rPr>
        <w:t>承包人采购的工程材料和工程设备不符合标准与规范、设计要求和合同约定的要求时，应按照监理人的指令将其运出施工场地，重新采购符合要求的产品，由此增加的费用和（或）延误的工期由承包人承担。</w:t>
      </w:r>
    </w:p>
    <w:p w14:paraId="2495546A">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56</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5</w:t>
      </w:r>
    </w:p>
    <w:p w14:paraId="40F2A7EF">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13888" behindDoc="0" locked="0" layoutInCell="1" allowOverlap="1">
                <wp:simplePos x="0" y="0"/>
                <wp:positionH relativeFrom="column">
                  <wp:posOffset>-114300</wp:posOffset>
                </wp:positionH>
                <wp:positionV relativeFrom="paragraph">
                  <wp:posOffset>-5080</wp:posOffset>
                </wp:positionV>
                <wp:extent cx="765810" cy="661035"/>
                <wp:effectExtent l="0" t="0" r="0" b="0"/>
                <wp:wrapNone/>
                <wp:docPr id="697" name="文本框 891"/>
                <wp:cNvGraphicFramePr/>
                <a:graphic xmlns:a="http://schemas.openxmlformats.org/drawingml/2006/main">
                  <a:graphicData uri="http://schemas.microsoft.com/office/word/2010/wordprocessingShape">
                    <wps:wsp>
                      <wps:cNvSpPr txBox="1">
                        <a:spLocks noChangeArrowheads="1"/>
                      </wps:cNvSpPr>
                      <wps:spPr bwMode="auto">
                        <a:xfrm>
                          <a:off x="0" y="0"/>
                          <a:ext cx="765810" cy="661035"/>
                        </a:xfrm>
                        <a:prstGeom prst="rect">
                          <a:avLst/>
                        </a:prstGeom>
                        <a:noFill/>
                        <a:ln>
                          <a:noFill/>
                        </a:ln>
                        <a:effectLst/>
                      </wps:spPr>
                      <wps:txbx>
                        <w:txbxContent>
                          <w:p w14:paraId="72B0684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承包人使用采购的工程材料和工程设备的责任</w:t>
                            </w:r>
                          </w:p>
                        </w:txbxContent>
                      </wps:txbx>
                      <wps:bodyPr rot="0" vert="horz" wrap="square" lIns="91440" tIns="45720" rIns="91440" bIns="45720" anchor="t" anchorCtr="0" upright="1">
                        <a:noAutofit/>
                      </wps:bodyPr>
                    </wps:wsp>
                  </a:graphicData>
                </a:graphic>
              </wp:anchor>
            </w:drawing>
          </mc:Choice>
          <mc:Fallback>
            <w:pict>
              <v:shape id="文本框 891" o:spid="_x0000_s1026" o:spt="202" type="#_x0000_t202" style="position:absolute;left:0pt;margin-left:-9pt;margin-top:-0.4pt;height:52.05pt;width:60.3pt;z-index:251813888;mso-width-relative:page;mso-height-relative:page;" filled="f" stroked="f" coordsize="21600,21600" o:gfxdata="UEsDBAoAAAAAAIdO4kAAAAAAAAAAAAAAAAAEAAAAZHJzL1BLAwQUAAAACACHTuJANrFuB9UAAAAJ&#10;AQAADwAAAGRycy9kb3ducmV2LnhtbE2PzU7DMBCE70i8g7VI3Fo7LVQlxOkBxBVE+ZG4beNtEhGv&#10;o9htwtuzOcFtVjOana/YTb5TZxpiG9hCtjSgiKvgWq4tvL89LbagYkJ22AUmCz8UYVdeXhSYuzDy&#10;K533qVZSwjFHC01Kfa51rBryGJehJxbvGAaPSc6h1m7AUcp9p1fGbLTHluVDgz09NFR970/ewsfz&#10;8evzxrzUj/62H8NkNPs7be31VWbuQSWa0l8Y5vkyHUrZdAgndlF1FhbZVliSCCGYfbPagDrMYr0G&#10;XRb6P0H5C1BLAwQUAAAACACHTuJA/LwgpB8CAAAmBAAADgAAAGRycy9lMm9Eb2MueG1srVPNjtMw&#10;EL4j8Q6W7zRNabtt1HS1bLUIafmRFh7AdZzGIvYY221SHoB9A05cuPNcfQ7GdreU5bIHLpHHM/5m&#10;vm++LC571ZKdsE6CLmk+GFIiNIdK6k1JP328eTGjxHmmK9aCFiXdC0cvl8+fLTpTiBE00FbCEgTR&#10;ruhMSRvvTZFljjdCMTcAIzQma7CKeQztJqss6xBdtdloOJxmHdjKWODCObxdpSQ9ItqnAEJdSy5W&#10;wLdKaJ9QrWiZR0qukcbRZZy2rgX37+vaCU/akiJTH7/YBM/r8M2WC1ZsLDON5McR2FNGeMRJMamx&#10;6QlqxTwjWyv/gVKSW3BQ+wEHlSUiURFkkQ8faXPXMCMiF5TamZPo7v/B8ne7D5bIqqTT+QUlmilc&#10;+eH7/eHHr8PPb2Q2z4NEnXEFVt4ZrPX9K+jROJGuM7fAPzui4bpheiOurIWuEazCEePL7OxpwnEB&#10;ZN29hQo7sa2HCNTXVgX9UBGC6Lie/Wk9oveE4+XFdDLLMcMxNZ3mw5eTMFvGiofHxjr/WoAi4VBS&#10;i9uP4Gx363wqfSgJvTTcyLaNDmj1XxeImW5EtNDxdaASpk88fL/uj9KsodojKQvJXvhz4aEB+5WS&#10;Dq1VUvdly6ygpH2jUZh5Ph4HL8ZgPLkYYWDPM+vzDNMcoUrqKUnHa5/8uzVWbhrslFah4QrFrGUk&#10;GkZNU6FAIUD7RKmOVg/+PI9j1Z/fe/k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rFuB9UAAAAJ&#10;AQAADwAAAAAAAAABACAAAAAiAAAAZHJzL2Rvd25yZXYueG1sUEsBAhQAFAAAAAgAh07iQPy8IKQf&#10;AgAAJgQAAA4AAAAAAAAAAQAgAAAAJAEAAGRycy9lMm9Eb2MueG1sUEsFBgAAAAAGAAYAWQEAALUF&#10;AAAAAA==&#10;">
                <v:fill on="f" focussize="0,0"/>
                <v:stroke on="f"/>
                <v:imagedata o:title=""/>
                <o:lock v:ext="edit" aspectratio="f"/>
                <v:textbox>
                  <w:txbxContent>
                    <w:p w14:paraId="72B0684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承包人使用采购的工程材料和工程设备的责任</w:t>
                      </w:r>
                    </w:p>
                  </w:txbxContent>
                </v:textbox>
              </v:shape>
            </w:pict>
          </mc:Fallback>
        </mc:AlternateContent>
      </w:r>
      <w:r>
        <w:rPr>
          <w:rFonts w:hint="eastAsia" w:ascii="仿宋" w:hAnsi="仿宋" w:eastAsia="仿宋" w:cs="仿宋"/>
          <w:color w:val="auto"/>
          <w:highlight w:val="none"/>
          <w:lang w:eastAsia="zh-CN"/>
        </w:rPr>
        <w:t>监理人发现承包人使用不符合标准与规范、设计要求和合同约定的工程材料和工程设备时，应迅速发出指令要求承包人立即停止使用，并拆除、修复或重新采购，由此增加的费用和（或）延误的工期由承包人承担。</w:t>
      </w:r>
    </w:p>
    <w:p w14:paraId="33996600">
      <w:pPr>
        <w:spacing w:line="360" w:lineRule="auto"/>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036096" behindDoc="0" locked="0" layoutInCell="1" allowOverlap="1">
                <wp:simplePos x="0" y="0"/>
                <wp:positionH relativeFrom="column">
                  <wp:posOffset>-114300</wp:posOffset>
                </wp:positionH>
                <wp:positionV relativeFrom="paragraph">
                  <wp:posOffset>242570</wp:posOffset>
                </wp:positionV>
                <wp:extent cx="794385" cy="525780"/>
                <wp:effectExtent l="0" t="0" r="0" b="0"/>
                <wp:wrapNone/>
                <wp:docPr id="698" name="文本框 892"/>
                <wp:cNvGraphicFramePr/>
                <a:graphic xmlns:a="http://schemas.openxmlformats.org/drawingml/2006/main">
                  <a:graphicData uri="http://schemas.microsoft.com/office/word/2010/wordprocessingShape">
                    <wps:wsp>
                      <wps:cNvSpPr txBox="1">
                        <a:spLocks noChangeArrowheads="1"/>
                      </wps:cNvSpPr>
                      <wps:spPr bwMode="auto">
                        <a:xfrm>
                          <a:off x="0" y="0"/>
                          <a:ext cx="794385" cy="525780"/>
                        </a:xfrm>
                        <a:prstGeom prst="rect">
                          <a:avLst/>
                        </a:prstGeom>
                        <a:noFill/>
                        <a:ln>
                          <a:noFill/>
                        </a:ln>
                        <a:effectLst/>
                      </wps:spPr>
                      <wps:txbx>
                        <w:txbxContent>
                          <w:p w14:paraId="49EF886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承包人不执行指令的责任</w:t>
                            </w:r>
                          </w:p>
                        </w:txbxContent>
                      </wps:txbx>
                      <wps:bodyPr rot="0" vert="horz" wrap="square" lIns="91440" tIns="45720" rIns="91440" bIns="45720" anchor="t" anchorCtr="0" upright="1">
                        <a:noAutofit/>
                      </wps:bodyPr>
                    </wps:wsp>
                  </a:graphicData>
                </a:graphic>
              </wp:anchor>
            </w:drawing>
          </mc:Choice>
          <mc:Fallback>
            <w:pict>
              <v:shape id="文本框 892" o:spid="_x0000_s1026" o:spt="202" type="#_x0000_t202" style="position:absolute;left:0pt;margin-left:-9pt;margin-top:19.1pt;height:41.4pt;width:62.55pt;z-index:252036096;mso-width-relative:page;mso-height-relative:page;" filled="f" stroked="f" coordsize="21600,21600" o:gfxdata="UEsDBAoAAAAAAIdO4kAAAAAAAAAAAAAAAAAEAAAAZHJzL1BLAwQUAAAACACHTuJAub1WItcAAAAK&#10;AQAADwAAAGRycy9kb3ducmV2LnhtbE2PzU7DMBCE70i8g7VI3Frb4achxOkBxBVEgUrctvE2iYjX&#10;Uew24e1xT/Q2qxnNflOuZ9eLI42h82xALxUI4trbjhsDnx8vixxEiMgWe89k4JcCrKvLixIL6yd+&#10;p+MmNiKVcCjQQBvjUEgZ6pYchqUfiJO396PDmM6xkXbEKZW7XmZK3UuHHacPLQ701FL9szk4A1+v&#10;++/trXprnt3dMPlZSXYP0pjrK60eQUSa438YTvgJHarEtPMHtkH0BhY6T1uigZs8A3EKqJUGsUsi&#10;0wpkVcrzCdUfUEsDBBQAAAAIAIdO4kDBGdcrIAIAACYEAAAOAAAAZHJzL2Uyb0RvYy54bWytU82O&#10;0zAQviPxDpbvNG1pt23UdLVstQhp+ZEWHsB1nMYi8Zix26Q8APsGnLhw57n6HIydbCnLZQ9cLNsz&#10;/ma+bz4vL9u6YnuFToPJ+Ggw5EwZCbk224x/+njzYs6Z88LkogKjMn5Qjl+unj9bNjZVYyihyhUy&#10;AjEubWzGS+9tmiROlqoWbgBWGQoWgLXwdMRtkqNoCL2ukvFweJE0gLlFkMo5ul13Qd4j4lMAoSi0&#10;VGuQu1oZ36GiqoQnSq7U1vFV7LYolPTvi8Ipz6qME1MfVypC+01Yk9VSpFsUttSyb0E8pYVHnGqh&#10;DRU9Qa2FF2yH+h+oWksEB4UfSKiTjkhUhFiMho+0uSuFVZELSe3sSXT3/2Dlu/0HZDrP+MWCBm9E&#10;TSM/fr8//vh1/PmNzRfjIFFjXUqZd5ZyffsKWjJOpOvsLcjPjhm4LoXZqitEaEolcmpxFF4mZ087&#10;HBdANs1byKmS2HmIQG2BddCPFGGETuM5nMajWs8kXc4Wk5fzKWeSQtPxdDaP40tE+vDYovOvFdQs&#10;bDKONP0ILva3zodmRPqQEmoZuNFVFR1Qmb8uKLG7UdFC/etAJXTf8fDtpu2l2UB+IFIInb3oc9Gm&#10;BPzKWUPWyrj7shOoOKveGBJmMZpMghfjYTKdjemA55HNeUQYSVAZ95x122vf+XdnUW9LqtSNwsAV&#10;iVnoSDS02nXVj4DsE/n3Vg/+PD/HrD/fe/U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ub1WItcA&#10;AAAKAQAADwAAAAAAAAABACAAAAAiAAAAZHJzL2Rvd25yZXYueG1sUEsBAhQAFAAAAAgAh07iQMEZ&#10;1ysgAgAAJgQAAA4AAAAAAAAAAQAgAAAAJgEAAGRycy9lMm9Eb2MueG1sUEsFBgAAAAAGAAYAWQEA&#10;ALgFAAAAAA==&#10;">
                <v:fill on="f" focussize="0,0"/>
                <v:stroke on="f"/>
                <v:imagedata o:title=""/>
                <o:lock v:ext="edit" aspectratio="f"/>
                <v:textbox>
                  <w:txbxContent>
                    <w:p w14:paraId="49EF886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承包人不执行指令的责任</w:t>
                      </w:r>
                    </w:p>
                  </w:txbxContent>
                </v:textbox>
              </v:shape>
            </w:pict>
          </mc:Fallback>
        </mc:AlternateContent>
      </w:r>
      <w:r>
        <w:rPr>
          <w:rFonts w:hint="eastAsia" w:ascii="仿宋" w:hAnsi="仿宋" w:eastAsia="仿宋" w:cs="仿宋"/>
          <w:b/>
          <w:bCs/>
          <w:color w:val="auto"/>
          <w:highlight w:val="none"/>
          <w:lang w:eastAsia="zh-CN"/>
        </w:rPr>
        <w:t>56</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6</w:t>
      </w:r>
    </w:p>
    <w:p w14:paraId="04536594">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如果承包人不执行监理人依据第56.4款和第56.5款约定发出的指令</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则发包人可自行或委托第三方执行该指令，由此发生的费用由承包人承担。该笔款项经造价咨询人核实后，由发包人从应付或将付给承包人的工程款中扣除。</w:t>
      </w:r>
    </w:p>
    <w:p w14:paraId="1E2B22D0">
      <w:pPr>
        <w:spacing w:line="360" w:lineRule="auto"/>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56</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7</w:t>
      </w:r>
    </w:p>
    <w:p w14:paraId="14033A1E">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14912" behindDoc="0" locked="0" layoutInCell="1" allowOverlap="1">
                <wp:simplePos x="0" y="0"/>
                <wp:positionH relativeFrom="column">
                  <wp:posOffset>-114300</wp:posOffset>
                </wp:positionH>
                <wp:positionV relativeFrom="paragraph">
                  <wp:posOffset>45720</wp:posOffset>
                </wp:positionV>
                <wp:extent cx="832485" cy="544195"/>
                <wp:effectExtent l="0" t="0" r="0" b="0"/>
                <wp:wrapNone/>
                <wp:docPr id="699" name="文本框 893"/>
                <wp:cNvGraphicFramePr/>
                <a:graphic xmlns:a="http://schemas.openxmlformats.org/drawingml/2006/main">
                  <a:graphicData uri="http://schemas.microsoft.com/office/word/2010/wordprocessingShape">
                    <wps:wsp>
                      <wps:cNvSpPr txBox="1">
                        <a:spLocks noChangeArrowheads="1"/>
                      </wps:cNvSpPr>
                      <wps:spPr bwMode="auto">
                        <a:xfrm>
                          <a:off x="0" y="0"/>
                          <a:ext cx="832485" cy="544195"/>
                        </a:xfrm>
                        <a:prstGeom prst="rect">
                          <a:avLst/>
                        </a:prstGeom>
                        <a:noFill/>
                        <a:ln>
                          <a:noFill/>
                        </a:ln>
                        <a:effectLst/>
                      </wps:spPr>
                      <wps:txbx>
                        <w:txbxContent>
                          <w:p w14:paraId="3A45D146">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使用替换工程材料的申请与批准</w:t>
                            </w:r>
                          </w:p>
                        </w:txbxContent>
                      </wps:txbx>
                      <wps:bodyPr rot="0" vert="horz" wrap="square" lIns="91440" tIns="45720" rIns="91440" bIns="45720" anchor="t" anchorCtr="0" upright="1">
                        <a:noAutofit/>
                      </wps:bodyPr>
                    </wps:wsp>
                  </a:graphicData>
                </a:graphic>
              </wp:anchor>
            </w:drawing>
          </mc:Choice>
          <mc:Fallback>
            <w:pict>
              <v:shape id="文本框 893" o:spid="_x0000_s1026" o:spt="202" type="#_x0000_t202" style="position:absolute;left:0pt;margin-left:-9pt;margin-top:3.6pt;height:42.85pt;width:65.55pt;z-index:251814912;mso-width-relative:page;mso-height-relative:page;" filled="f" stroked="f" coordsize="21600,21600" o:gfxdata="UEsDBAoAAAAAAIdO4kAAAAAAAAAAAAAAAAAEAAAAZHJzL1BLAwQUAAAACACHTuJAecYzxtUAAAAI&#10;AQAADwAAAGRycy9kb3ducmV2LnhtbE2PzU7DMBCE70i8g7VI3Frb4a8J2fQA4gqiQKXe3HibRMTr&#10;KHab8Pa4JziOZjTzTbmeXS9ONIbOM4JeKhDEtbcdNwifHy+LFYgQDVvTeyaEHwqwri4vSlNYP/E7&#10;nTaxEamEQ2EQ2hiHQspQt+RMWPqBOHkHPzoTkxwbaUczpXLXy0ype+lMx2mhNQM9tVR/b44O4ev1&#10;sNveqrfm2d0Nk5+VZJdLxOsrrR5BRJrjXxjO+AkdqsS090e2QfQIC71KXyLCQwbi7OsbDWKPkGc5&#10;yKqU/w9Uv1BLAwQUAAAACACHTuJAbA5lXiACAAAmBAAADgAAAGRycy9lMm9Eb2MueG1srVNLbtsw&#10;EN0X6B0I7mvZjpzaguUgjZGiQPoB0h6ApiiLqMRhh7Sl9ADNDbrqpvuey+fokFJcN91k0Q1BcoZv&#10;5r15XF50Tc32Cp0Gk/PJaMyZMhIKbbY5//Tx+sWcM+eFKUQNRuX8Tjl+sXr+bNnaTE2hgrpQyAjE&#10;uKy1Oa+8t1mSOFmpRrgRWGUoWAI2wtMRt0mBoiX0pk6m4/F50gIWFkEq5+h23Qf5gIhPAYSy1FKt&#10;Qe4aZXyPiqoWnii5SlvHV7HbslTSvy9Lpzyrc05MfVypCO03YU1WS5FtUdhKy6EF8ZQWHnFqhDZU&#10;9Ai1Fl6wHep/oBotERyUfiShSXoiURFiMRk/0ua2ElZFLiS1s0fR3f+Dle/2H5DpIufniwVnRjQ0&#10;8sP3+8OPX4ef39h8cRYkaq3LKPPWUq7vXkFHxol0nb0B+dkxA1eVMFt1iQhtpURBLU7Cy+TkaY/j&#10;AsimfQsFVRI7DxGoK7EJ+pEijNBpPHfH8ajOM0mX87NpOp9xJik0S9PJYhYriOzhsUXnXytoWNjk&#10;HGn6EVzsb5wPzYjsISXUMnCt6zo6oDZ/XVBif6OihYbXgUrovufhu003SLOB4o5IIfT2os9Fmwrw&#10;K2ctWSvn7stOoOKsfmNImMUkTYMX4yGdvZzSAU8jm9OIMJKgcu4567dXvvfvzqLeVlSpH4WBSxKz&#10;1JFoaLXvahgB2SfyH6we/Hl6jll/vvf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nGM8bVAAAA&#10;CAEAAA8AAAAAAAAAAQAgAAAAIgAAAGRycy9kb3ducmV2LnhtbFBLAQIUABQAAAAIAIdO4kBsDmVe&#10;IAIAACYEAAAOAAAAAAAAAAEAIAAAACQBAABkcnMvZTJvRG9jLnhtbFBLBQYAAAAABgAGAFkBAAC2&#10;BQAAAAA=&#10;">
                <v:fill on="f" focussize="0,0"/>
                <v:stroke on="f"/>
                <v:imagedata o:title=""/>
                <o:lock v:ext="edit" aspectratio="f"/>
                <v:textbox>
                  <w:txbxContent>
                    <w:p w14:paraId="3A45D146">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使用替换工程材料的申请与批准</w:t>
                      </w:r>
                    </w:p>
                  </w:txbxContent>
                </v:textbox>
              </v:shape>
            </w:pict>
          </mc:Fallback>
        </mc:AlternateContent>
      </w:r>
      <w:r>
        <w:rPr>
          <w:rFonts w:hint="eastAsia" w:ascii="仿宋" w:hAnsi="仿宋" w:eastAsia="仿宋" w:cs="仿宋"/>
          <w:color w:val="auto"/>
          <w:highlight w:val="none"/>
          <w:lang w:eastAsia="zh-CN"/>
        </w:rPr>
        <w:t>承包人申请使用替换工程材料的，替换工程材料的材质、档次不得低于原设计明确的材质、档次，并作为变更事项报经监理人同意、发包人批准后方可实施，但合同价格不予调整。</w:t>
      </w:r>
    </w:p>
    <w:p w14:paraId="3FC92476">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56</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8</w:t>
      </w:r>
    </w:p>
    <w:p w14:paraId="5E91B722">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15936" behindDoc="0" locked="0" layoutInCell="1" allowOverlap="1">
                <wp:simplePos x="0" y="0"/>
                <wp:positionH relativeFrom="column">
                  <wp:posOffset>-114300</wp:posOffset>
                </wp:positionH>
                <wp:positionV relativeFrom="paragraph">
                  <wp:posOffset>30480</wp:posOffset>
                </wp:positionV>
                <wp:extent cx="822325" cy="714375"/>
                <wp:effectExtent l="0" t="0" r="0" b="0"/>
                <wp:wrapNone/>
                <wp:docPr id="700" name="文本框 894"/>
                <wp:cNvGraphicFramePr/>
                <a:graphic xmlns:a="http://schemas.openxmlformats.org/drawingml/2006/main">
                  <a:graphicData uri="http://schemas.microsoft.com/office/word/2010/wordprocessingShape">
                    <wps:wsp>
                      <wps:cNvSpPr txBox="1">
                        <a:spLocks noChangeArrowheads="1"/>
                      </wps:cNvSpPr>
                      <wps:spPr bwMode="auto">
                        <a:xfrm>
                          <a:off x="0" y="0"/>
                          <a:ext cx="822325" cy="714375"/>
                        </a:xfrm>
                        <a:prstGeom prst="rect">
                          <a:avLst/>
                        </a:prstGeom>
                        <a:noFill/>
                        <a:ln>
                          <a:noFill/>
                        </a:ln>
                        <a:effectLst/>
                      </wps:spPr>
                      <wps:txbx>
                        <w:txbxContent>
                          <w:p w14:paraId="37956FC0">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采购工程材料和工程设备使用前的检验</w:t>
                            </w:r>
                          </w:p>
                        </w:txbxContent>
                      </wps:txbx>
                      <wps:bodyPr rot="0" vert="horz" wrap="square" lIns="91440" tIns="45720" rIns="91440" bIns="45720" anchor="t" anchorCtr="0" upright="1">
                        <a:noAutofit/>
                      </wps:bodyPr>
                    </wps:wsp>
                  </a:graphicData>
                </a:graphic>
              </wp:anchor>
            </w:drawing>
          </mc:Choice>
          <mc:Fallback>
            <w:pict>
              <v:shape id="文本框 894" o:spid="_x0000_s1026" o:spt="202" type="#_x0000_t202" style="position:absolute;left:0pt;margin-left:-9pt;margin-top:2.4pt;height:56.25pt;width:64.75pt;z-index:251815936;mso-width-relative:page;mso-height-relative:page;" filled="f" stroked="f" coordsize="21600,21600" o:gfxdata="UEsDBAoAAAAAAIdO4kAAAAAAAAAAAAAAAAAEAAAAZHJzL1BLAwQUAAAACACHTuJAq6K0wtYAAAAJ&#10;AQAADwAAAGRycy9kb3ducmV2LnhtbE2PwU7DMAyG70i8Q2QkblsS2MYoTXcAcWViDCRuWeO1FY1T&#10;Ndla3h73NG62fuv39+Wb0bfijH1sAhnQcwUCqQyuocrA/uN1tgYRkyVn20Bo4BcjbIrrq9xmLgz0&#10;juddqgSXUMysgTqlLpMyljV6G+ehQ+LsGHpvE699JV1vBy73rbxTaiW9bYg/1LbD5xrLn93JG/h8&#10;O35/LdS2evHLbgijkuQfpTG3N1o9gUg4pssxTPiMDgUzHcKJXBStgZles0sysGCDKdd6CeIwDQ/3&#10;IItc/jco/gBQSwMEFAAAAAgAh07iQPL80rogAgAAJgQAAA4AAABkcnMvZTJvRG9jLnhtbK1TS27b&#10;MBDdF+gdCO5r2YpdO4LlII2RokD6AdIegKYoi6jEYYe0pfQAzQ266qb7nsvn6JBSXDfdZNENQXKG&#10;b+a9eVxedE3N9gqdBpPzyWjMmTISCm22Of/08frFgjPnhSlEDUbl/E45frF6/mzZ2kylUEFdKGQE&#10;YlzW2pxX3tssSZysVCPcCKwyFCwBG+HpiNukQNESelMn6Xj8MmkBC4sglXN0u+6DfEDEpwBCWWqp&#10;1iB3jTK+R0VVC0+UXKWt46vYbVkq6d+XpVOe1Tknpj6uVIT2m7Amq6XItihspeXQgnhKC484NUIb&#10;KnqEWgsv2A71P1CNlggOSj+S0CQ9kagIsZiMH2lzWwmrIheS2tmj6O7/wcp3+w/IdJHz+Zg0MaKh&#10;kR++3x9+/Dr8/MYW59MgUWtdRpm3lnJ99wo6Mk6k6+wNyM+OGbiqhNmqS0RoKyUKanESXiYnT3sc&#10;F0A27VsoqJLYeYhAXYlN0I8UYYROrdwdx6M6zyRdLtL0LJ1xJik0n0zP5rNYQWQPjy06/1pBw8Im&#10;50jTj+Bif+N8aEZkDymhloFrXdfRAbX564IS+xsVLTS8DlRC9z0P3226QZoNFHdECqG3F30u2lSA&#10;XzlryVo5d192AhVn9RtDwpxPptPgxXiYzuYpHfA0sjmNCCMJKuees3575Xv/7izqbUWV+lEYuCQx&#10;Sx2Jhlb7roYRkH0i/8HqwZ+n55j153u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rorTC1gAA&#10;AAkBAAAPAAAAAAAAAAEAIAAAACIAAABkcnMvZG93bnJldi54bWxQSwECFAAUAAAACACHTuJA8vzS&#10;uiACAAAmBAAADgAAAAAAAAABACAAAAAlAQAAZHJzL2Uyb0RvYy54bWxQSwUGAAAAAAYABgBZAQAA&#10;twUAAAAA&#10;">
                <v:fill on="f" focussize="0,0"/>
                <v:stroke on="f"/>
                <v:imagedata o:title=""/>
                <o:lock v:ext="edit" aspectratio="f"/>
                <v:textbox>
                  <w:txbxContent>
                    <w:p w14:paraId="37956FC0">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采购工程材料和工程设备使用前的检验</w:t>
                      </w:r>
                    </w:p>
                  </w:txbxContent>
                </v:textbox>
              </v:shape>
            </w:pict>
          </mc:Fallback>
        </mc:AlternateContent>
      </w:r>
      <w:r>
        <w:rPr>
          <w:rFonts w:hint="eastAsia" w:ascii="仿宋" w:hAnsi="仿宋" w:eastAsia="仿宋" w:cs="仿宋"/>
          <w:color w:val="auto"/>
          <w:highlight w:val="none"/>
          <w:lang w:eastAsia="zh-CN"/>
        </w:rPr>
        <w:t>承包人采购的工程材料和工程设备在使用前，应会同监理人进行检验试验，查验工程材料合格证明和产品合格证书。合同双方当事人应做好检验书面记录，并要求指定人选及时办理签认手续。不合格的，禁止在合同工程中使用。</w:t>
      </w:r>
    </w:p>
    <w:p w14:paraId="61FBB3A4">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37120" behindDoc="0" locked="0" layoutInCell="1" allowOverlap="1">
                <wp:simplePos x="0" y="0"/>
                <wp:positionH relativeFrom="column">
                  <wp:posOffset>-114300</wp:posOffset>
                </wp:positionH>
                <wp:positionV relativeFrom="paragraph">
                  <wp:posOffset>207010</wp:posOffset>
                </wp:positionV>
                <wp:extent cx="775335" cy="610235"/>
                <wp:effectExtent l="0" t="0" r="0" b="0"/>
                <wp:wrapNone/>
                <wp:docPr id="701" name="文本框 895"/>
                <wp:cNvGraphicFramePr/>
                <a:graphic xmlns:a="http://schemas.openxmlformats.org/drawingml/2006/main">
                  <a:graphicData uri="http://schemas.microsoft.com/office/word/2010/wordprocessingShape">
                    <wps:wsp>
                      <wps:cNvSpPr txBox="1">
                        <a:spLocks noChangeArrowheads="1"/>
                      </wps:cNvSpPr>
                      <wps:spPr bwMode="auto">
                        <a:xfrm>
                          <a:off x="0" y="0"/>
                          <a:ext cx="775335" cy="610235"/>
                        </a:xfrm>
                        <a:prstGeom prst="rect">
                          <a:avLst/>
                        </a:prstGeom>
                        <a:noFill/>
                        <a:ln>
                          <a:noFill/>
                        </a:ln>
                        <a:effectLst/>
                      </wps:spPr>
                      <wps:txbx>
                        <w:txbxContent>
                          <w:p w14:paraId="7597492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禁止指定采购工程材料和工程设备</w:t>
                            </w:r>
                          </w:p>
                        </w:txbxContent>
                      </wps:txbx>
                      <wps:bodyPr rot="0" vert="horz" wrap="square" lIns="91440" tIns="45720" rIns="91440" bIns="45720" anchor="t" anchorCtr="0" upright="1">
                        <a:noAutofit/>
                      </wps:bodyPr>
                    </wps:wsp>
                  </a:graphicData>
                </a:graphic>
              </wp:anchor>
            </w:drawing>
          </mc:Choice>
          <mc:Fallback>
            <w:pict>
              <v:shape id="文本框 895" o:spid="_x0000_s1026" o:spt="202" type="#_x0000_t202" style="position:absolute;left:0pt;margin-left:-9pt;margin-top:16.3pt;height:48.05pt;width:61.05pt;z-index:252037120;mso-width-relative:page;mso-height-relative:page;" filled="f" stroked="f" coordsize="21600,21600" o:gfxdata="UEsDBAoAAAAAAIdO4kAAAAAAAAAAAAAAAAAEAAAAZHJzL1BLAwQUAAAACACHTuJAxuGOLNgAAAAK&#10;AQAADwAAAGRycy9kb3ducmV2LnhtbE2PzU7DMBCE70h9B2uRuLV2QikhxOmhiCuo5Ufito23SUS8&#10;jmK3CW+Pe2pvs5rR7DfFerKdONHgW8cakoUCQVw503Kt4fPjdZ6B8AHZYOeYNPyRh3U5uykwN27k&#10;LZ12oRaxhH2OGpoQ+lxKXzVk0S9cTxy9gxsshngOtTQDjrHcdjJVaiUtthw/NNjTpqHqd3e0Gr7e&#10;Dj/fS/Vev9iHfnSTkmyfpNZ3t4l6BhFoCpcwnPEjOpSRae+ObLzoNMyTLG4JGu7TFYhzQC0TEPso&#10;0uwRZFnI6wnlP1BLAwQUAAAACACHTuJAbPdfXR4CAAAmBAAADgAAAGRycy9lMm9Eb2MueG1srVNL&#10;btswEN0X6B0I7mtJjh0nguUgjZGiQPoB0h6ApiiLqMRhh7Sl9ADNDbrqpvuey+fokHIcN91k0Y0w&#10;nM+beW9G84u+bdhWodNgCp6NUs6UkVBqsy7450/Xr844c16YUjRgVMHvlOMXi5cv5p3N1RhqaEqF&#10;jECMyztb8Np7myeJk7VqhRuBVYaCFWArPD1xnZQoOkJvm2ScpqdJB1haBKmcI+9yCPI9Ij4HEKpK&#10;S7UEuWmV8QMqqkZ4ouRqbR1fxGmrSkn/oaqc8qwpODH18UtNyF6Fb7KYi3yNwtZa7kcQzxnhCadW&#10;aENND1BL4QXboP4HqtUSwUHlRxLaZCASFSEWWfpEm9taWBW5kNTOHkR3/w9Wvt9+RKbLgs/SjDMj&#10;Wlr57sf97ufv3a/v7Ox8GiTqrMsp89ZSru9fQ0+HE+k6ewPyi2MGrmph1uoSEbpaiZJGzEJlclQ6&#10;4LgAsureQUmdxMZDBOorbIN+pAgjdFrP3WE9qvdMknM2m56cTDmTFDrN0jHZoYPIH4otOv9GQcuC&#10;UXCk7Udwsb1xfkh9SAm9DFzrpiG/yBvzl4MwB4+KJ7SvDlTC9AMP3696qg3OFZR3RAphOC/6ucio&#10;Ab9x1tFpFdx93QhUnDVvDQlznk0m4RbjYzKdjemBx5HVcUQYSVAF95wN5pUf7ndjUa9r6jSswsAl&#10;iVnpSPRxqv0K6HyiVPtTD/d5/I5Zj7/34g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G4Y4s2AAA&#10;AAoBAAAPAAAAAAAAAAEAIAAAACIAAABkcnMvZG93bnJldi54bWxQSwECFAAUAAAACACHTuJAbPdf&#10;XR4CAAAmBAAADgAAAAAAAAABACAAAAAnAQAAZHJzL2Uyb0RvYy54bWxQSwUGAAAAAAYABgBZAQAA&#10;twUAAAAA&#10;">
                <v:fill on="f" focussize="0,0"/>
                <v:stroke on="f"/>
                <v:imagedata o:title=""/>
                <o:lock v:ext="edit" aspectratio="f"/>
                <v:textbox>
                  <w:txbxContent>
                    <w:p w14:paraId="7597492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禁止指定采购工程材料和工程设备</w:t>
                      </w:r>
                    </w:p>
                  </w:txbxContent>
                </v:textbox>
              </v:shape>
            </w:pict>
          </mc:Fallback>
        </mc:AlternateContent>
      </w:r>
      <w:r>
        <w:rPr>
          <w:rFonts w:hint="eastAsia" w:ascii="仿宋" w:hAnsi="仿宋" w:eastAsia="仿宋" w:cs="仿宋"/>
          <w:b/>
          <w:bCs/>
          <w:color w:val="auto"/>
          <w:highlight w:val="none"/>
          <w:lang w:eastAsia="zh-CN"/>
        </w:rPr>
        <w:t>56</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9</w:t>
      </w:r>
    </w:p>
    <w:p w14:paraId="087EB0DC">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承包人采购工程材料和工程设备的，除专用条款另有约定外，发包人不得指定生产厂家或供应商。</w:t>
      </w:r>
    </w:p>
    <w:p w14:paraId="6B9EA03D">
      <w:pPr>
        <w:pStyle w:val="20"/>
        <w:adjustRightInd w:val="0"/>
        <w:snapToGrid w:val="0"/>
        <w:spacing w:line="360" w:lineRule="auto"/>
        <w:ind w:firstLine="0"/>
        <w:rPr>
          <w:rFonts w:hint="eastAsia" w:ascii="仿宋" w:hAnsi="仿宋" w:eastAsia="仿宋" w:cs="仿宋"/>
          <w:b/>
          <w:bCs/>
          <w:color w:val="auto"/>
          <w:highlight w:val="none"/>
          <w:u w:val="single"/>
          <w:lang w:eastAsia="zh-CN"/>
        </w:rPr>
      </w:pPr>
    </w:p>
    <w:p w14:paraId="4B59BE08">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5" w:name="_Toc29088"/>
      <w:r>
        <w:rPr>
          <w:rFonts w:ascii="仿宋" w:hAnsi="仿宋" w:eastAsia="仿宋" w:cs="仿宋"/>
          <w:bCs w:val="0"/>
          <w:color w:val="auto"/>
          <w:sz w:val="24"/>
          <w:szCs w:val="24"/>
          <w:highlight w:val="none"/>
          <w:lang w:eastAsia="zh-CN"/>
        </w:rPr>
        <w:t>5</w:t>
      </w:r>
      <w:r>
        <w:rPr>
          <w:rFonts w:hint="eastAsia" w:ascii="仿宋" w:hAnsi="仿宋" w:eastAsia="仿宋" w:cs="仿宋"/>
          <w:bCs w:val="0"/>
          <w:color w:val="auto"/>
          <w:sz w:val="24"/>
          <w:szCs w:val="24"/>
          <w:highlight w:val="none"/>
          <w:lang w:eastAsia="zh-CN"/>
        </w:rPr>
        <w:t>7设备及工器具的验收、工程材料和工程设备的检验试验</w:t>
      </w:r>
      <w:bookmarkEnd w:id="355"/>
    </w:p>
    <w:p w14:paraId="58D59028">
      <w:pPr>
        <w:pStyle w:val="20"/>
        <w:adjustRightInd w:val="0"/>
        <w:snapToGrid w:val="0"/>
        <w:spacing w:line="360" w:lineRule="auto"/>
        <w:ind w:firstLine="0"/>
        <w:rPr>
          <w:rFonts w:hint="eastAsia" w:ascii="仿宋" w:hAnsi="仿宋" w:eastAsia="仿宋" w:cs="仿宋"/>
          <w:b/>
          <w:bCs/>
          <w:color w:val="auto"/>
          <w:highlight w:val="none"/>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.1</w:t>
      </w:r>
    </w:p>
    <w:p w14:paraId="75FD0A9A">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975680" behindDoc="0" locked="0" layoutInCell="1" allowOverlap="1">
                <wp:simplePos x="0" y="0"/>
                <wp:positionH relativeFrom="column">
                  <wp:posOffset>-114300</wp:posOffset>
                </wp:positionH>
                <wp:positionV relativeFrom="paragraph">
                  <wp:posOffset>635</wp:posOffset>
                </wp:positionV>
                <wp:extent cx="851535" cy="518795"/>
                <wp:effectExtent l="0" t="0" r="0" b="0"/>
                <wp:wrapNone/>
                <wp:docPr id="702" name="文本框 1130"/>
                <wp:cNvGraphicFramePr/>
                <a:graphic xmlns:a="http://schemas.openxmlformats.org/drawingml/2006/main">
                  <a:graphicData uri="http://schemas.microsoft.com/office/word/2010/wordprocessingShape">
                    <wps:wsp>
                      <wps:cNvSpPr txBox="1">
                        <a:spLocks noChangeArrowheads="1"/>
                      </wps:cNvSpPr>
                      <wps:spPr bwMode="auto">
                        <a:xfrm>
                          <a:off x="0" y="0"/>
                          <a:ext cx="851535" cy="518795"/>
                        </a:xfrm>
                        <a:prstGeom prst="rect">
                          <a:avLst/>
                        </a:prstGeom>
                        <a:noFill/>
                        <a:ln>
                          <a:noFill/>
                        </a:ln>
                        <a:effectLst/>
                      </wps:spPr>
                      <wps:txbx>
                        <w:txbxContent>
                          <w:p w14:paraId="0E67134B">
                            <w:pPr>
                              <w:spacing w:line="200" w:lineRule="exact"/>
                              <w:rPr>
                                <w:rFonts w:hint="eastAsia" w:ascii="楷体_GB2312" w:hAnsi="宋体" w:eastAsia="楷体_GB2312"/>
                                <w:b/>
                                <w:bCs/>
                                <w:color w:val="000000"/>
                                <w:sz w:val="18"/>
                                <w:szCs w:val="18"/>
                              </w:rPr>
                            </w:pPr>
                            <w:r>
                              <w:rPr>
                                <w:rFonts w:hint="eastAsia" w:ascii="楷体_GB2312" w:hAnsi="宋体" w:eastAsia="楷体_GB2312"/>
                                <w:b/>
                                <w:bCs/>
                                <w:color w:val="000000"/>
                                <w:sz w:val="18"/>
                                <w:szCs w:val="18"/>
                              </w:rPr>
                              <w:t>设备及工器具的验收</w:t>
                            </w:r>
                          </w:p>
                        </w:txbxContent>
                      </wps:txbx>
                      <wps:bodyPr rot="0" vert="horz" wrap="square" lIns="91440" tIns="45720" rIns="91440" bIns="45720" anchor="t" anchorCtr="0" upright="1">
                        <a:noAutofit/>
                      </wps:bodyPr>
                    </wps:wsp>
                  </a:graphicData>
                </a:graphic>
              </wp:anchor>
            </w:drawing>
          </mc:Choice>
          <mc:Fallback>
            <w:pict>
              <v:shape id="文本框 1130" o:spid="_x0000_s1026" o:spt="202" type="#_x0000_t202" style="position:absolute;left:0pt;margin-left:-9pt;margin-top:0.05pt;height:40.85pt;width:67.05pt;z-index:251975680;mso-width-relative:page;mso-height-relative:page;" filled="f" stroked="f" coordsize="21600,21600" o:gfxdata="UEsDBAoAAAAAAIdO4kAAAAAAAAAAAAAAAAAEAAAAZHJzL1BLAwQUAAAACACHTuJAd2B0rdMAAAAH&#10;AQAADwAAAGRycy9kb3ducmV2LnhtbE2PwU7DMAyG70i8Q2QkbpsTBFMpTXfYxBXE2CZxyxqvrWic&#10;qsnW8vakJ7jZ+n79/lysJ9eJKw2h9axBLSUI4srblmsN+8/XRQYiRMPWdJ5Jww8FWJe3N4XJrR/5&#10;g667WItUwiE3GpoY+xwxVA05E5a+J07s7AdnYlqHGu1gxlTuOnyQcoXOtJwuNKanTUPV9+7iNBze&#10;zl/HR/leb91TP/pJIrtn1Pr+TskXEJGm+BeGWT+pQ5mcTv7CNohOw0Jl6Zc4AzFjtUrDSUOmMsCy&#10;wP/+5S9QSwMEFAAAAAgAh07iQLVrecIgAgAAJwQAAA4AAABkcnMvZTJvRG9jLnhtbK1TzY7TMBC+&#10;I/EOlu80Sbeh3ajpatlqEdLyIy08gOs4jUXiMWO3SXkAeANOXLjzXH0OJk7bLctlD1wie2b8zXzf&#10;fJlfdU3NtgqdBpPzZBRzpoyEQpt1zj99vH0x48x5YQpRg1E53ynHrxbPn81bm6kxVFAXChmBGJe1&#10;NueV9zaLIicr1Qg3AqsMJUvARni64joqULSE3tTROI5fRi1gYRGkco6iyyHJD4j4FEAoSy3VEuSm&#10;UcYPqKhq4YmSq7R1fBGmLUsl/fuydMqzOufE1IcvNaHzqv9Gi7nI1ihspeVhBPGUER5xaoQ21PQE&#10;tRResA3qf6AaLREclH4koYkGIkERYpHEj7S5r4RVgQtJ7exJdPf/YOW77Qdkusj5NB5zZkRDK9//&#10;+L7/+Xv/6xtLkougUWtdRqX3lop99wo6ck7g6+wdyM+OGbiphFmra0RoKyUKmjHp1Y3OnvZbcZnr&#10;QVbtWyioldh4CEBdiU0vIEnCCJ32szvtR3WeSQrO0iS9SDmTlEqT2fQyDR1Ednxs0fnXChrWH3KO&#10;tP4ALrZ3zvfDiOxY0vcycKvrOligNn8FqHCIqOChw+vj9AMP3606etsHV1DsiBTC4C/6u+hQAX7l&#10;rCVv5dx92QhUnNVvDAlzmUwmvRnDZZJOx3TB88zqPCOMJKice86G440fDLyxqNcVdRpWYeCaxCx1&#10;IPow1WEF5J/A/+D13qDn91D18H8v/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3YHSt0wAAAAcB&#10;AAAPAAAAAAAAAAEAIAAAACIAAABkcnMvZG93bnJldi54bWxQSwECFAAUAAAACACHTuJAtWt5wiAC&#10;AAAnBAAADgAAAAAAAAABACAAAAAiAQAAZHJzL2Uyb0RvYy54bWxQSwUGAAAAAAYABgBZAQAAtAUA&#10;AAAA&#10;">
                <v:fill on="f" focussize="0,0"/>
                <v:stroke on="f"/>
                <v:imagedata o:title=""/>
                <o:lock v:ext="edit" aspectratio="f"/>
                <v:textbox>
                  <w:txbxContent>
                    <w:p w14:paraId="0E67134B">
                      <w:pPr>
                        <w:spacing w:line="200" w:lineRule="exact"/>
                        <w:rPr>
                          <w:rFonts w:hint="eastAsia" w:ascii="楷体_GB2312" w:hAnsi="宋体" w:eastAsia="楷体_GB2312"/>
                          <w:b/>
                          <w:bCs/>
                          <w:color w:val="000000"/>
                          <w:sz w:val="18"/>
                          <w:szCs w:val="18"/>
                        </w:rPr>
                      </w:pPr>
                      <w:r>
                        <w:rPr>
                          <w:rFonts w:hint="eastAsia" w:ascii="楷体_GB2312" w:hAnsi="宋体" w:eastAsia="楷体_GB2312"/>
                          <w:b/>
                          <w:bCs/>
                          <w:color w:val="000000"/>
                          <w:sz w:val="18"/>
                          <w:szCs w:val="18"/>
                        </w:rPr>
                        <w:t>设备及工器具的验收</w:t>
                      </w:r>
                    </w:p>
                  </w:txbxContent>
                </v:textbox>
              </v:shape>
            </w:pict>
          </mc:Fallback>
        </mc:AlternateContent>
      </w:r>
      <w:r>
        <w:rPr>
          <w:rFonts w:hint="eastAsia" w:ascii="仿宋" w:hAnsi="仿宋" w:eastAsia="仿宋" w:cs="仿宋"/>
          <w:color w:val="auto"/>
          <w:highlight w:val="none"/>
          <w:lang w:eastAsia="zh-CN"/>
        </w:rPr>
        <w:t>承包人购置的设备及工器具全部到场安放、组装完毕后，发包人应及时组织设备及工器具验收或试车，承包人应参与验收或试车，并为发包人开展相关验收或试车工作提供便利和协助。除专用条款另有约定外，验收程序可遵照本通用条款第57.2款～第57.7款约定执行，试车程序可遵照本通用条款第62条“工程试车”约定执行。</w:t>
      </w:r>
    </w:p>
    <w:p w14:paraId="522B94C7">
      <w:pPr>
        <w:spacing w:line="360" w:lineRule="auto"/>
        <w:rPr>
          <w:rFonts w:hint="eastAsia" w:ascii="仿宋" w:hAnsi="仿宋" w:eastAsia="仿宋" w:cs="仿宋"/>
          <w:b/>
          <w:bCs/>
          <w:color w:val="auto"/>
          <w:highlight w:val="none"/>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2</w:t>
      </w:r>
    </w:p>
    <w:p w14:paraId="77E81E18">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16960" behindDoc="0" locked="0" layoutInCell="1" allowOverlap="1">
                <wp:simplePos x="0" y="0"/>
                <wp:positionH relativeFrom="column">
                  <wp:posOffset>-114300</wp:posOffset>
                </wp:positionH>
                <wp:positionV relativeFrom="paragraph">
                  <wp:posOffset>635</wp:posOffset>
                </wp:positionV>
                <wp:extent cx="766445" cy="536575"/>
                <wp:effectExtent l="0" t="0" r="0" b="0"/>
                <wp:wrapNone/>
                <wp:docPr id="703" name="文本框 896"/>
                <wp:cNvGraphicFramePr/>
                <a:graphic xmlns:a="http://schemas.openxmlformats.org/drawingml/2006/main">
                  <a:graphicData uri="http://schemas.microsoft.com/office/word/2010/wordprocessingShape">
                    <wps:wsp>
                      <wps:cNvSpPr txBox="1">
                        <a:spLocks noChangeArrowheads="1"/>
                      </wps:cNvSpPr>
                      <wps:spPr bwMode="auto">
                        <a:xfrm>
                          <a:off x="0" y="0"/>
                          <a:ext cx="766445" cy="536575"/>
                        </a:xfrm>
                        <a:prstGeom prst="rect">
                          <a:avLst/>
                        </a:prstGeom>
                        <a:noFill/>
                        <a:ln>
                          <a:noFill/>
                        </a:ln>
                        <a:effectLst/>
                      </wps:spPr>
                      <wps:txbx>
                        <w:txbxContent>
                          <w:p w14:paraId="2133A779">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进入现场检验试验</w:t>
                            </w:r>
                          </w:p>
                        </w:txbxContent>
                      </wps:txbx>
                      <wps:bodyPr rot="0" vert="horz" wrap="square" lIns="91440" tIns="45720" rIns="91440" bIns="45720" anchor="t" anchorCtr="0" upright="1">
                        <a:noAutofit/>
                      </wps:bodyPr>
                    </wps:wsp>
                  </a:graphicData>
                </a:graphic>
              </wp:anchor>
            </w:drawing>
          </mc:Choice>
          <mc:Fallback>
            <w:pict>
              <v:shape id="文本框 896" o:spid="_x0000_s1026" o:spt="202" type="#_x0000_t202" style="position:absolute;left:0pt;margin-left:-9pt;margin-top:0.05pt;height:42.25pt;width:60.35pt;z-index:251816960;mso-width-relative:page;mso-height-relative:page;" filled="f" stroked="f" coordsize="21600,21600" o:gfxdata="UEsDBAoAAAAAAIdO4kAAAAAAAAAAAAAAAAAEAAAAZHJzL1BLAwQUAAAACACHTuJAadYKy9QAAAAH&#10;AQAADwAAAGRycy9kb3ducmV2LnhtbE2PwU7DMBBE70j9B2uRuLV2qtKmaZweiriCKBSJ2zbeJhHx&#10;OordJvw9zgmOqzeaeZvvR9uKG/W+cawhWSgQxKUzDVcaPt6f5ykIH5ANto5Jww952Bezuxwz4wZ+&#10;o9sxVCKWsM9QQx1Cl0npy5os+oXriCO7uN5iiGdfSdPjEMttK5dKraXFhuNCjR0daiq/j1er4fRy&#10;+fpcqdfqyT52gxuVZLuVWj/cJ2oHItAY/sIw6Ud1KKLT2V3ZeNFqmCdp/CVMQExYLTcgzhrS1Rpk&#10;kcv//sUvUEsDBBQAAAAIAIdO4kDyfqjMIAIAACYEAAAOAAAAZHJzL2Uyb0RvYy54bWytU81uEzEQ&#10;viPxDpbvZJM0P+0qm6o0KkIqUKnwAI7Xm7XY9Zixk93wAPAGnLhw73PlORh7tyGUSw9cLNsz/ma+&#10;bz4vLtu6YjuFToPJ+Ggw5EwZCbk2m4x/+njz6pwz54XJRQVGZXyvHL9cvnyxaGyqxlBClStkBGJc&#10;2tiMl97bNEmcLFUt3ACsMhQsAGvh6YibJEfREHpdJePhcJY0gLlFkMo5ul11Qd4j4nMAoSi0VCuQ&#10;21oZ36GiqoQnSq7U1vFl7LYolPQfisIpz6qME1MfVypC+3VYk+VCpBsUttSyb0E8p4UnnGqhDRU9&#10;Qq2EF2yL+h+oWksEB4UfSKiTjkhUhFiMhk+0uS+FVZELSe3sUXT3/2Dl+90dMp1nfD4848yImkZ+&#10;+PH98PPh8OsbO7+YBYka61LKvLeU69vX0JJxIl1nb0F+dszAdSnMRl0hQlMqkVOLo/AyOXna4bgA&#10;sm7eQU6VxNZDBGoLrIN+pAgjdBrP/jge1Xom6XI+m00mU84khaZns+l8GiuI9PGxReffKKhZ2GQc&#10;afoRXOxunQ/NiPQxJdQycKOrKjqgMn9dUGJ3o6KF+teBSui+4+HbddtLs4Z8T6QQOnvR56JNCfiV&#10;s4aslXH3ZStQcVa9NSTMxWgyCV6Mh8l0PqYDnkbWpxFhJEFl3HPWba9959+tRb0pqVI3CgNXJGah&#10;I9HQatdVPwKyT+TfWz348/Qcs/587+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dYKy9QAAAAH&#10;AQAADwAAAAAAAAABACAAAAAiAAAAZHJzL2Rvd25yZXYueG1sUEsBAhQAFAAAAAgAh07iQPJ+qMwg&#10;AgAAJgQAAA4AAAAAAAAAAQAgAAAAIwEAAGRycy9lMm9Eb2MueG1sUEsFBgAAAAAGAAYAWQEAALUF&#10;AAAAAA==&#10;">
                <v:fill on="f" focussize="0,0"/>
                <v:stroke on="f"/>
                <v:imagedata o:title=""/>
                <o:lock v:ext="edit" aspectratio="f"/>
                <v:textbox>
                  <w:txbxContent>
                    <w:p w14:paraId="2133A779">
                      <w:pPr>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进入现场检验试验</w:t>
                      </w:r>
                    </w:p>
                  </w:txbxContent>
                </v:textbox>
              </v:shape>
            </w:pict>
          </mc:Fallback>
        </mc:AlternateContent>
      </w:r>
      <w:r>
        <w:rPr>
          <w:rFonts w:hint="eastAsia" w:ascii="仿宋" w:hAnsi="仿宋" w:eastAsia="仿宋" w:cs="仿宋"/>
          <w:color w:val="auto"/>
          <w:highlight w:val="none"/>
          <w:lang w:eastAsia="zh-CN"/>
        </w:rPr>
        <w:t>监理人及其委派的代表可进入施工场地、工程材料和工程设备的制造、加工或制配车间等场所参加工程材料和工程设备等产品的检验试验。承包人应为他们进入上述场所及开展相关工作提供便利和协助。</w:t>
      </w:r>
    </w:p>
    <w:p w14:paraId="28411385">
      <w:pPr>
        <w:spacing w:line="360" w:lineRule="auto"/>
        <w:rPr>
          <w:rFonts w:hint="eastAsia" w:ascii="仿宋" w:hAnsi="仿宋" w:eastAsia="仿宋" w:cs="仿宋"/>
          <w:b/>
          <w:bCs/>
          <w:color w:val="auto"/>
          <w:highlight w:val="none"/>
          <w:u w:val="dotted"/>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3</w:t>
      </w:r>
    </w:p>
    <w:p w14:paraId="694C8819">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1817984" behindDoc="0" locked="0" layoutInCell="1" allowOverlap="1">
                <wp:simplePos x="0" y="0"/>
                <wp:positionH relativeFrom="column">
                  <wp:posOffset>-114300</wp:posOffset>
                </wp:positionH>
                <wp:positionV relativeFrom="paragraph">
                  <wp:posOffset>154305</wp:posOffset>
                </wp:positionV>
                <wp:extent cx="832485" cy="1264920"/>
                <wp:effectExtent l="0" t="0" r="0" b="0"/>
                <wp:wrapNone/>
                <wp:docPr id="704" name="文本框 897"/>
                <wp:cNvGraphicFramePr/>
                <a:graphic xmlns:a="http://schemas.openxmlformats.org/drawingml/2006/main">
                  <a:graphicData uri="http://schemas.microsoft.com/office/word/2010/wordprocessingShape">
                    <wps:wsp>
                      <wps:cNvSpPr txBox="1">
                        <a:spLocks noChangeArrowheads="1"/>
                      </wps:cNvSpPr>
                      <wps:spPr bwMode="auto">
                        <a:xfrm>
                          <a:off x="0" y="0"/>
                          <a:ext cx="832485" cy="1264920"/>
                        </a:xfrm>
                        <a:prstGeom prst="rect">
                          <a:avLst/>
                        </a:prstGeom>
                        <a:noFill/>
                        <a:ln>
                          <a:noFill/>
                        </a:ln>
                        <a:effectLst/>
                      </wps:spPr>
                      <wps:txbx>
                        <w:txbxContent>
                          <w:p w14:paraId="38350AA1">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工程材料和工程设备的见证取样与不见证取样检验试验</w:t>
                            </w:r>
                          </w:p>
                        </w:txbxContent>
                      </wps:txbx>
                      <wps:bodyPr rot="0" vert="horz" wrap="square" lIns="91440" tIns="45720" rIns="91440" bIns="45720" anchor="t" anchorCtr="0" upright="1">
                        <a:noAutofit/>
                      </wps:bodyPr>
                    </wps:wsp>
                  </a:graphicData>
                </a:graphic>
              </wp:anchor>
            </w:drawing>
          </mc:Choice>
          <mc:Fallback>
            <w:pict>
              <v:shape id="文本框 897" o:spid="_x0000_s1026" o:spt="202" type="#_x0000_t202" style="position:absolute;left:0pt;margin-left:-9pt;margin-top:12.15pt;height:99.6pt;width:65.55pt;z-index:251817984;mso-width-relative:page;mso-height-relative:page;" filled="f" stroked="f" coordsize="21600,21600" o:gfxdata="UEsDBAoAAAAAAIdO4kAAAAAAAAAAAAAAAAAEAAAAZHJzL1BLAwQUAAAACACHTuJAfXHMptcAAAAK&#10;AQAADwAAAGRycy9kb3ducmV2LnhtbE2PwU7DMBBE70j8g7VI3FrbSYtKiNMDiCuIFpC4beNtEhGv&#10;o9htwt/jnuA4O6PZN+V2dr040xg6zwb0UoEgrr3tuDHwvn9ebECEiGyx90wGfijAtrq+KrGwfuI3&#10;Ou9iI1IJhwINtDEOhZShbslhWPqBOHlHPzqMSY6NtCNOqdz1MlPqTjrsOH1ocaDHlurv3ckZ+Hg5&#10;fn2u1Gvz5NbD5Gcl2d1LY25vtHoAEWmOf2G44Cd0qBLTwZ/YBtEbWOhN2hINZKscxCWgcw3ikA5Z&#10;vgZZlfL/hOoXUEsDBBQAAAAIAIdO4kBj+us/IQIAACcEAAAOAAAAZHJzL2Uyb0RvYy54bWytU0tu&#10;2zAQ3RfoHQjua9muktiC5SCNkaJA+gHSHoCmKIuoxGGHtCX3AM0Nuuqm+57L5+iQUlw33WTRDUFy&#10;hm/mvXlcXHZNzXYKnQaT88lozJkyEgptNjn/9PHmxYwz54UpRA1G5XyvHL9cPn+2aG2mplBBXShk&#10;BGJc1tqcV97bLEmcrFQj3AisMhQsARvh6YibpEDREnpTJ9Px+DxpAQuLIJVzdLvqg3xAxKcAQllq&#10;qVYgt40yvkdFVQtPlFylrePL2G1ZKunfl6VTntU5J6Y+rlSE9uuwJsuFyDYobKXl0IJ4SguPODVC&#10;Gyp6hFoJL9gW9T9QjZYIDko/ktAkPZGoCLGYjB9pc1cJqyIXktrZo+ju/8HKd7sPyHSR84txypkR&#10;DY388P3+8OPX4ec3NptfBIla6zLKvLOU67tX0JFxIl1nb0F+dszAdSXMRl0hQlspUVCLk/AyOXna&#10;47gAsm7fQkGVxNZDBOpKbIJ+pAgjdBrP/jge1Xkm6XL2cprOzjiTFJpMz9P5NM4vEdnDa4vOv1bQ&#10;sLDJOdL4I7rY3TofuhHZQ0ooZuBG13W0QG3+uqDE/kZFDw2vA5fQfk/Ed+tu0GYNxZ5YIfT+ot9F&#10;mwrwK2cteSvn7stWoOKsfmNImfkkTYMZ4yE9uyAeDE8j69OIMJKgcu4567fXvjfw1qLeVFSpn4WB&#10;K1Kz1JFoaLXvapgB+SfyH7weDHp6jll//vf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1xzKbX&#10;AAAACgEAAA8AAAAAAAAAAQAgAAAAIgAAAGRycy9kb3ducmV2LnhtbFBLAQIUABQAAAAIAIdO4kBj&#10;+us/IQIAACcEAAAOAAAAAAAAAAEAIAAAACYBAABkcnMvZTJvRG9jLnhtbFBLBQYAAAAABgAGAFkB&#10;AAC5BQAAAAA=&#10;">
                <v:fill on="f" focussize="0,0"/>
                <v:stroke on="f"/>
                <v:imagedata o:title=""/>
                <o:lock v:ext="edit" aspectratio="f"/>
                <v:textbox>
                  <w:txbxContent>
                    <w:p w14:paraId="38350AA1">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工程材料和工程设备的见证取样与不见证取样检验试验</w:t>
                      </w:r>
                    </w:p>
                  </w:txbxContent>
                </v:textbox>
              </v:shape>
            </w:pict>
          </mc:Fallback>
        </mc:AlternateContent>
      </w:r>
      <w:r>
        <w:rPr>
          <w:rFonts w:hint="eastAsia" w:ascii="仿宋" w:hAnsi="仿宋" w:eastAsia="仿宋" w:cs="仿宋"/>
          <w:color w:val="auto"/>
          <w:highlight w:val="none"/>
          <w:lang w:eastAsia="zh-CN"/>
        </w:rPr>
        <w:t>工程材料和工程设备等产品的检验试验见证取样和不见证取样的要求：</w:t>
      </w:r>
    </w:p>
    <w:p w14:paraId="2B60F3D9">
      <w:pPr>
        <w:widowControl w:val="0"/>
        <w:adjustRightInd w:val="0"/>
        <w:snapToGrid w:val="0"/>
        <w:spacing w:line="360" w:lineRule="auto"/>
        <w:ind w:left="1850" w:leftChars="771"/>
        <w:jc w:val="both"/>
        <w:rPr>
          <w:rFonts w:hint="eastAsia" w:ascii="仿宋" w:hAnsi="仿宋" w:eastAsia="仿宋"/>
          <w:b/>
          <w:bCs/>
          <w:color w:val="auto"/>
          <w:highlight w:val="none"/>
          <w:lang w:eastAsia="zh-CN"/>
        </w:rPr>
      </w:pPr>
      <w:r>
        <w:rPr>
          <w:rFonts w:hint="eastAsia" w:ascii="仿宋" w:hAnsi="仿宋" w:eastAsia="仿宋" w:cs="仿宋"/>
          <w:color w:val="auto"/>
          <w:highlight w:val="none"/>
          <w:lang w:eastAsia="zh-CN"/>
        </w:rPr>
        <w:t>（1）作为工程质量验收依据的工程材料、工程设备、装配式构件检测，应当由发包人委托的检测机构检测，不得违规减少依法应由发包人委托的检测项目和数量，非发包人委托的检测机构出具的检测报告不得作为工程质量验收依据。</w:t>
      </w:r>
    </w:p>
    <w:p w14:paraId="6D2BB580">
      <w:pPr>
        <w:widowControl w:val="0"/>
        <w:adjustRightInd w:val="0"/>
        <w:snapToGrid w:val="0"/>
        <w:spacing w:line="360" w:lineRule="auto"/>
        <w:ind w:left="1850" w:leftChars="771"/>
        <w:jc w:val="both"/>
        <w:rPr>
          <w:color w:val="auto"/>
          <w:highlight w:val="none"/>
          <w:lang w:eastAsia="zh-CN"/>
        </w:rPr>
      </w:pPr>
      <w:r>
        <w:rPr>
          <w:rFonts w:hint="eastAsia" w:ascii="仿宋" w:hAnsi="仿宋" w:eastAsia="仿宋" w:cs="仿宋"/>
          <w:color w:val="auto"/>
          <w:highlight w:val="none"/>
          <w:lang w:eastAsia="zh-CN"/>
        </w:rPr>
        <w:t>（2）对于见证取样、送检或试验工作，必须是监理人或其委派的代表在场时进行，监理人或其委派的代表未发出延期指令也未能按时到场的，承包人必须停止取样、送检或试验工作并通知发包人代表；由此增加的费用和（或）延误的工期由发包人承担，并向承包人支付合理利润。</w:t>
      </w:r>
    </w:p>
    <w:p w14:paraId="2ACD86B2">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（3）标准规范规定、结构安全要求或合同约定需要进行见证取样检验试验的工程材料和工程设备等产品，承包人应在取样前至少提前</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小时通知监理人参加，并在监理人的见证下现场取样，同时送至具有相应资质等级的质量检测机构进行检验试验。</w:t>
      </w:r>
    </w:p>
    <w:p w14:paraId="7C42A005">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标准与规范没要求或合同没约定进行见证取样检验试验的工程材料和工程设备等产品，承包人和监理人应按照合同约定进行工程材料和工程设备等产品的检验试验。承包人和监理人应事先协商确定检验试验的时间和地点，并按时到场参加检验试验。如果监理人或其委派的代表不能按时到场参加的，监理人应至少提前</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小时发出延期检验试验指令并书面说明理由，延期不得超过</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如果监理人或其委派的代表未发出延期指令也未能按时到场检验试验，承包人可自行检验试验，并认为该检验试验是经监理人同意下完成的；检验试验完成后，承包人应立即向监理人提交检验试验结果的有效证据，监理人应予认可。</w:t>
      </w:r>
    </w:p>
    <w:p w14:paraId="03B9146F">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4</w:t>
      </w:r>
    </w:p>
    <w:p w14:paraId="1DB0B981">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19008" behindDoc="0" locked="0" layoutInCell="1" allowOverlap="1">
                <wp:simplePos x="0" y="0"/>
                <wp:positionH relativeFrom="column">
                  <wp:posOffset>-66675</wp:posOffset>
                </wp:positionH>
                <wp:positionV relativeFrom="paragraph">
                  <wp:posOffset>11430</wp:posOffset>
                </wp:positionV>
                <wp:extent cx="814070" cy="473710"/>
                <wp:effectExtent l="0" t="0" r="0" b="0"/>
                <wp:wrapNone/>
                <wp:docPr id="705" name="文本框 898"/>
                <wp:cNvGraphicFramePr/>
                <a:graphic xmlns:a="http://schemas.openxmlformats.org/drawingml/2006/main">
                  <a:graphicData uri="http://schemas.microsoft.com/office/word/2010/wordprocessingShape">
                    <wps:wsp>
                      <wps:cNvSpPr txBox="1">
                        <a:spLocks noChangeArrowheads="1"/>
                      </wps:cNvSpPr>
                      <wps:spPr bwMode="auto">
                        <a:xfrm>
                          <a:off x="0" y="0"/>
                          <a:ext cx="814070" cy="473710"/>
                        </a:xfrm>
                        <a:prstGeom prst="rect">
                          <a:avLst/>
                        </a:prstGeom>
                        <a:noFill/>
                        <a:ln>
                          <a:noFill/>
                        </a:ln>
                        <a:effectLst/>
                      </wps:spPr>
                      <wps:txbx>
                        <w:txbxContent>
                          <w:p w14:paraId="7A7A800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工程材料和工程设备的使用</w:t>
                            </w:r>
                          </w:p>
                        </w:txbxContent>
                      </wps:txbx>
                      <wps:bodyPr rot="0" vert="horz" wrap="square" lIns="91440" tIns="45720" rIns="91440" bIns="45720" anchor="t" anchorCtr="0" upright="1">
                        <a:noAutofit/>
                      </wps:bodyPr>
                    </wps:wsp>
                  </a:graphicData>
                </a:graphic>
              </wp:anchor>
            </w:drawing>
          </mc:Choice>
          <mc:Fallback>
            <w:pict>
              <v:shape id="文本框 898" o:spid="_x0000_s1026" o:spt="202" type="#_x0000_t202" style="position:absolute;left:0pt;margin-left:-5.25pt;margin-top:0.9pt;height:37.3pt;width:64.1pt;z-index:251819008;mso-width-relative:page;mso-height-relative:page;" filled="f" stroked="f" coordsize="21600,21600" o:gfxdata="UEsDBAoAAAAAAIdO4kAAAAAAAAAAAAAAAAAEAAAAZHJzL1BLAwQUAAAACACHTuJAnpZb6dUAAAAI&#10;AQAADwAAAGRycy9kb3ducmV2LnhtbE2Py07DMBBF90j8gzVI7Fo7qG0gxOkCxBZEeUjspvE0iYjH&#10;Uew24e+ZrmA5Old3zi23s+/VicbYBbaQLQ0o4jq4jhsL729Pi1tQMSE77AOThR+KsK0uL0osXJj4&#10;lU671Cgp4VighTalodA61i15jMswEAs7hNFjknNstBtxknLf6xtjNtpjx/KhxYEeWqq/d0dv4eP5&#10;8PW5Mi/No18PU5iNZn+nrb2+ysw9qERz+gvDWV/UoRKnfTiyi6q3sMjMWqICZMGZZ3kOam8h36xA&#10;V6X+P6D6BVBLAwQUAAAACACHTuJA7xcCpB8CAAAmBAAADgAAAGRycy9lMm9Eb2MueG1srVPNjtMw&#10;EL4j8Q6W7zRJ6dJu1HS1bLUIafmRFh7AdZzGIvGYsdtkeQB4A05cuPNcfQ7GTraU5bIHLpbtGX8z&#10;3zeflxd927C9QqfBFDybpJwpI6HUZlvwjx+uny04c16YUjRgVMHvlOMXq6dPlp3N1RRqaEqFjECM&#10;yztb8Np7myeJk7VqhZuAVYaCFWArPB1xm5QoOkJvm2Sapi+SDrC0CFI5R7frIchHRHwMIFSVlmoN&#10;ctcq4wdUVI3wRMnV2jq+it1WlZL+XVU55VlTcGLq40pFaL8Ja7JainyLwtZaji2Ix7TwgFMrtKGi&#10;R6i18ILtUP8D1WqJ4KDyEwltMhCJihCLLH2gzW0trIpcSGpnj6K7/wcr3+7fI9NlwefpGWdGtDTy&#10;w/dvhx+/Dj+/ssX5IkjUWZdT5q2lXN+/hJ6ME+k6ewPyk2MGrmphtuoSEbpaiZJazMLL5OTpgOMC&#10;yKZ7AyVVEjsPEaivsA36kSKM0Gk8d8fxqN4zSZeLbJbOKSIpNJs/n2dxfInI7x9bdP6VgpaFTcGR&#10;ph/Bxf7G+dCMyO9TQi0D17ppogMa89cFJQ43KlpofB2ohO4HHr7f9KM0GyjviBTCYC/6XLSpAb9w&#10;1pG1Cu4+7wQqzprXhoQ5z2az4MV4mJ3Np3TA08jmNCKMJKiCe86G7ZUf/LuzqLc1VRpGYeCSxKx0&#10;JBpaHboaR0D2ifxHqwd/np5j1p/vvfo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pZb6dUAAAAI&#10;AQAADwAAAAAAAAABACAAAAAiAAAAZHJzL2Rvd25yZXYueG1sUEsBAhQAFAAAAAgAh07iQO8XAqQf&#10;AgAAJgQAAA4AAAAAAAAAAQAgAAAAJAEAAGRycy9lMm9Eb2MueG1sUEsFBgAAAAAGAAYAWQEAALUF&#10;AAAAAA==&#10;">
                <v:fill on="f" focussize="0,0"/>
                <v:stroke on="f"/>
                <v:imagedata o:title=""/>
                <o:lock v:ext="edit" aspectratio="f"/>
                <v:textbox>
                  <w:txbxContent>
                    <w:p w14:paraId="7A7A8009">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工程材料和工程设备的使用</w:t>
                      </w:r>
                    </w:p>
                  </w:txbxContent>
                </v:textbox>
              </v:shape>
            </w:pict>
          </mc:Fallback>
        </mc:AlternateContent>
      </w:r>
      <w:r>
        <w:rPr>
          <w:rFonts w:hint="eastAsia" w:ascii="仿宋" w:hAnsi="仿宋" w:eastAsia="仿宋" w:cs="仿宋"/>
          <w:color w:val="auto"/>
          <w:highlight w:val="none"/>
          <w:lang w:eastAsia="zh-CN"/>
        </w:rPr>
        <w:t>工程材料和工程设备等产品检验试验合格的，可在合同工程中使用。工程材料和工程设备等产品检验试验不合格的，禁止在合同工程中使用，并及时清出施工场地。</w:t>
      </w:r>
    </w:p>
    <w:p w14:paraId="66954949">
      <w:pPr>
        <w:spacing w:line="360" w:lineRule="auto"/>
        <w:rPr>
          <w:rFonts w:hint="eastAsia" w:ascii="仿宋" w:hAnsi="仿宋" w:eastAsia="仿宋"/>
          <w:color w:val="auto"/>
          <w:highlight w:val="none"/>
          <w:u w:val="dotted"/>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5</w:t>
      </w:r>
    </w:p>
    <w:p w14:paraId="669BC745">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20032" behindDoc="0" locked="0" layoutInCell="1" allowOverlap="1">
                <wp:simplePos x="0" y="0"/>
                <wp:positionH relativeFrom="column">
                  <wp:posOffset>-114300</wp:posOffset>
                </wp:positionH>
                <wp:positionV relativeFrom="paragraph">
                  <wp:posOffset>15240</wp:posOffset>
                </wp:positionV>
                <wp:extent cx="861695" cy="748030"/>
                <wp:effectExtent l="0" t="0" r="0" b="0"/>
                <wp:wrapNone/>
                <wp:docPr id="706" name="文本框 899"/>
                <wp:cNvGraphicFramePr/>
                <a:graphic xmlns:a="http://schemas.openxmlformats.org/drawingml/2006/main">
                  <a:graphicData uri="http://schemas.microsoft.com/office/word/2010/wordprocessingShape">
                    <wps:wsp>
                      <wps:cNvSpPr txBox="1">
                        <a:spLocks noChangeArrowheads="1"/>
                      </wps:cNvSpPr>
                      <wps:spPr bwMode="auto">
                        <a:xfrm>
                          <a:off x="0" y="0"/>
                          <a:ext cx="861695" cy="748030"/>
                        </a:xfrm>
                        <a:prstGeom prst="rect">
                          <a:avLst/>
                        </a:prstGeom>
                        <a:noFill/>
                        <a:ln>
                          <a:noFill/>
                        </a:ln>
                        <a:effectLst/>
                      </wps:spPr>
                      <wps:txbx>
                        <w:txbxContent>
                          <w:p w14:paraId="4539ACC0">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工程材料和工程设备的检验试验费用</w:t>
                            </w:r>
                          </w:p>
                        </w:txbxContent>
                      </wps:txbx>
                      <wps:bodyPr rot="0" vert="horz" wrap="square" lIns="91440" tIns="45720" rIns="91440" bIns="45720" anchor="t" anchorCtr="0" upright="1">
                        <a:noAutofit/>
                      </wps:bodyPr>
                    </wps:wsp>
                  </a:graphicData>
                </a:graphic>
              </wp:anchor>
            </w:drawing>
          </mc:Choice>
          <mc:Fallback>
            <w:pict>
              <v:shape id="文本框 899" o:spid="_x0000_s1026" o:spt="202" type="#_x0000_t202" style="position:absolute;left:0pt;margin-left:-9pt;margin-top:1.2pt;height:58.9pt;width:67.85pt;z-index:251820032;mso-width-relative:page;mso-height-relative:page;" filled="f" stroked="f" coordsize="21600,21600" o:gfxdata="UEsDBAoAAAAAAIdO4kAAAAAAAAAAAAAAAAAEAAAAZHJzL1BLAwQUAAAACACHTuJAL9cjNNYAAAAJ&#10;AQAADwAAAGRycy9kb3ducmV2LnhtbE2PzU7DMBCE70i8g7VI3Np1okJLiNMDiCuI8iNxc+NtEhGv&#10;o9htwtuzPcFtVrOa+abczr5XJxpjF9hAttSgiOvgOm4MvL89LTagYrLsbB+YDPxQhG11eVHawoWJ&#10;X+m0S42SEI6FNdCmNBSIsW7J27gMA7F4hzB6m+QcG3SjnSTc95hrfYvediwNrR3ooaX6e3f0Bj6e&#10;D1+fK/3SPPqbYQqzRvZ3aMz1VabvQSWa098znPEFHSph2ocju6h6A4tsI1uSgXwF6uxn6zWovYhc&#10;54BVif8XVL9QSwMEFAAAAAgAh07iQPPK7yAgAgAAJgQAAA4AAABkcnMvZTJvRG9jLnhtbK1TS27b&#10;MBDdF+gdCO5r2a7jj2A5SGOkKJB+gLQHoCnKIipx2CFtyT1Ac4Ouuum+5/I5OqQU1003WXRDkJzh&#10;m3lvHpeXbV2xvUKnwWR8NBhypoyEXJttxj99vHkx58x5YXJRgVEZPyjHL1fPny0bm6oxlFDlChmB&#10;GJc2NuOl9zZNEidLVQs3AKsMBQvAWng64jbJUTSEXlfJeDicJg1gbhGkco5u112Q94j4FEAoCi3V&#10;GuSuVsZ3qKgq4YmSK7V1fBW7LQol/fuicMqzKuPE1MeVitB+E9ZktRTpFoUttexbEE9p4RGnWmhD&#10;RU9Qa+EF26H+B6rWEsFB4QcS6qQjEhUhFqPhI23uSmFV5EJSO3sS3f0/WPlu/wGZzjM+G045M6Km&#10;kR+/3x9//Dr+/Mbmi0WQqLEupcw7S7m+fQUtGSfSdfYW5GfHDFyXwmzVFSI0pRI5tTgKL5Ozpx2O&#10;CyCb5i3kVEnsPESgtsA66EeKMEKn8RxO41GtZ5Iu59PRdHHBmaTQbDIfvozjS0T68Nii868V1Cxs&#10;Mo40/Qgu9rfOh2ZE+pASahm40VUVHVCZvy4osbtR0UL960AldN/x8O2m7aXZQH4gUgidvehz0aYE&#10;/MpZQ9bKuPuyE6g4q94YEmYxmkyCF+NhcjEb0wHPI5vziDCSoDLuOeu2177z786i3pZUqRuFgSsS&#10;s9CRaGi166ofAdkn8u+tHvx5fo5Zf7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v1yM01gAA&#10;AAkBAAAPAAAAAAAAAAEAIAAAACIAAABkcnMvZG93bnJldi54bWxQSwECFAAUAAAACACHTuJA88rv&#10;ICACAAAmBAAADgAAAAAAAAABACAAAAAlAQAAZHJzL2Uyb0RvYy54bWxQSwUGAAAAAAYABgBZAQAA&#10;twUAAAAA&#10;">
                <v:fill on="f" focussize="0,0"/>
                <v:stroke on="f"/>
                <v:imagedata o:title=""/>
                <o:lock v:ext="edit" aspectratio="f"/>
                <v:textbox>
                  <w:txbxContent>
                    <w:p w14:paraId="4539ACC0">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工程材料和工程设备的检验试验费用</w:t>
                      </w:r>
                    </w:p>
                  </w:txbxContent>
                </v:textbox>
              </v:shape>
            </w:pict>
          </mc:Fallback>
        </mc:AlternateContent>
      </w:r>
      <w:r>
        <w:rPr>
          <w:rFonts w:hint="eastAsia" w:ascii="仿宋" w:hAnsi="仿宋" w:eastAsia="仿宋" w:cs="仿宋"/>
          <w:color w:val="auto"/>
          <w:highlight w:val="none"/>
          <w:lang w:eastAsia="zh-CN"/>
        </w:rPr>
        <w:t>除合同价格已包括外，工程材料和工程设备等产品的检验试验费，按照实际发生的费用计算。</w:t>
      </w:r>
    </w:p>
    <w:p w14:paraId="04155B62">
      <w:pPr>
        <w:widowControl w:val="0"/>
        <w:adjustRightInd w:val="0"/>
        <w:snapToGrid w:val="0"/>
        <w:spacing w:line="360" w:lineRule="auto"/>
        <w:ind w:left="1850" w:leftChars="771"/>
        <w:jc w:val="both"/>
        <w:rPr>
          <w:rFonts w:hint="eastAsia" w:ascii="仿宋" w:hAnsi="仿宋" w:eastAsia="仿宋" w:cs="仿宋"/>
          <w:strike/>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）现场使用前工程材料和工程设备等产品的检验试验，发包人供应的，检验试验费由发包人承担；承包人采购的，检验试验费由承包人承担。</w:t>
      </w:r>
    </w:p>
    <w:p w14:paraId="3A0D5792">
      <w:pPr>
        <w:widowControl w:val="0"/>
        <w:adjustRightInd w:val="0"/>
        <w:snapToGrid w:val="0"/>
        <w:spacing w:line="360" w:lineRule="auto"/>
        <w:ind w:left="1850" w:leftChars="771"/>
        <w:jc w:val="both"/>
        <w:rPr>
          <w:rFonts w:hint="eastAsia" w:ascii="仿宋" w:hAnsi="仿宋" w:eastAsia="仿宋"/>
          <w:b/>
          <w:bCs/>
          <w:color w:val="auto"/>
          <w:highlight w:val="none"/>
          <w:lang w:eastAsia="zh-CN"/>
        </w:rPr>
      </w:pPr>
      <w:r>
        <w:rPr>
          <w:rFonts w:hint="eastAsia" w:ascii="仿宋" w:hAnsi="仿宋" w:eastAsia="仿宋" w:cs="仿宋"/>
          <w:color w:val="auto"/>
          <w:highlight w:val="none"/>
          <w:lang w:eastAsia="zh-CN"/>
        </w:rPr>
        <w:t>（2）作为工程质量验收依据的工程材料、工程设备、装配式构件检测，依法应由发包人委托的，发包人应按时足额支付检测费用；承包人自行委托的检测机构出具的检测报告不得作为工程质量验收依据，其费用由承包人自行承担。</w:t>
      </w:r>
    </w:p>
    <w:p w14:paraId="09474A3E">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6</w:t>
      </w:r>
    </w:p>
    <w:p w14:paraId="2F934EEE">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21056" behindDoc="0" locked="0" layoutInCell="1" allowOverlap="1">
                <wp:simplePos x="0" y="0"/>
                <wp:positionH relativeFrom="column">
                  <wp:posOffset>-114300</wp:posOffset>
                </wp:positionH>
                <wp:positionV relativeFrom="paragraph">
                  <wp:posOffset>8255</wp:posOffset>
                </wp:positionV>
                <wp:extent cx="784860" cy="558800"/>
                <wp:effectExtent l="0" t="0" r="0" b="0"/>
                <wp:wrapNone/>
                <wp:docPr id="707" name="文本框 900"/>
                <wp:cNvGraphicFramePr/>
                <a:graphic xmlns:a="http://schemas.openxmlformats.org/drawingml/2006/main">
                  <a:graphicData uri="http://schemas.microsoft.com/office/word/2010/wordprocessingShape">
                    <wps:wsp>
                      <wps:cNvSpPr txBox="1">
                        <a:spLocks noChangeArrowheads="1"/>
                      </wps:cNvSpPr>
                      <wps:spPr bwMode="auto">
                        <a:xfrm>
                          <a:off x="0" y="0"/>
                          <a:ext cx="784860" cy="558800"/>
                        </a:xfrm>
                        <a:prstGeom prst="rect">
                          <a:avLst/>
                        </a:prstGeom>
                        <a:noFill/>
                        <a:ln>
                          <a:noFill/>
                        </a:ln>
                        <a:effectLst/>
                      </wps:spPr>
                      <wps:txbx>
                        <w:txbxContent>
                          <w:p w14:paraId="4C94285A">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再次检验试验及其费用承担</w:t>
                            </w:r>
                          </w:p>
                        </w:txbxContent>
                      </wps:txbx>
                      <wps:bodyPr rot="0" vert="horz" wrap="square" lIns="91440" tIns="45720" rIns="91440" bIns="45720" anchor="t" anchorCtr="0" upright="1">
                        <a:noAutofit/>
                      </wps:bodyPr>
                    </wps:wsp>
                  </a:graphicData>
                </a:graphic>
              </wp:anchor>
            </w:drawing>
          </mc:Choice>
          <mc:Fallback>
            <w:pict>
              <v:shape id="文本框 900" o:spid="_x0000_s1026" o:spt="202" type="#_x0000_t202" style="position:absolute;left:0pt;margin-left:-9pt;margin-top:0.65pt;height:44pt;width:61.8pt;z-index:251821056;mso-width-relative:page;mso-height-relative:page;" filled="f" stroked="f" coordsize="21600,21600" o:gfxdata="UEsDBAoAAAAAAIdO4kAAAAAAAAAAAAAAAAAEAAAAZHJzL1BLAwQUAAAACACHTuJAUv5Sg9UAAAAI&#10;AQAADwAAAGRycy9kb3ducmV2LnhtbE2PwW7CMBBE75X4B2uRegM7UFAIcThQ9dqq0FbqbYmXJCJe&#10;R7Eh6d/XnNrj6q1m3uS70bbiRr1vHGtI5goEcelMw5WGj+PLLAXhA7LB1jFp+CEPu2LykGNm3MDv&#10;dDuESsQQ9hlqqEPoMil9WZNFP3cdcWRn11sM8ewraXocYrht5UKptbTYcGyosaN9TeXlcLUaPl/P&#10;319P6q16tqtucKOSbDdS68dporYgAo3h7xnu+lEdiuh0clc2XrQaZkkat4QIliDuXK3WIE4a0s0S&#10;ZJHL/wOKX1BLAwQUAAAACACHTuJASJbG2h0CAAAmBAAADgAAAGRycy9lMm9Eb2MueG1srVNLbtsw&#10;EN0X6B0I7mvJhh07guUgjZGiQPoB0h6ApiiLqMhhh7Ql9wDtDbLqpvuey+foiLIdN91k0Y1Azgzf&#10;zHvzNL9qTc22Cr0Gm/PhIOVMWQmFtuucf/50+2rGmQ/CFqIGq3K+U55fLV6+mDcuUyOooC4UMgKx&#10;PmtczqsQXJYkXlbKCD8ApywlS0AjAl1xnRQoGkI3dTJK04ukASwcglTeU3TZJ/kBEZ8DCGWppVqC&#10;3BhlQ4+KqhaBKPlKO88XcdqyVDJ8KEuvAqtzTkxD/FITOq+6b7KYi2yNwlVaHkYQzxnhCScjtKWm&#10;J6ilCIJtUP8DZbRE8FCGgQST9ESiIsRimD7R5r4STkUuJLV3J9H9/4OV77cfkeki59N0ypkVhla+&#10;f/ix//l7/+s7u0yjRI3zGVXeO6oN7WtoyTiRrnd3IL94ZuGmEnatrhGhqZQoaMRhJ25y9rRbis98&#10;B7Jq3kFBncQmQARqSzSdfqQII3Raz+60HtUGJik4nY1nF5SRlJpMZrN+tkRkx8cOfXijwLDukHOk&#10;7Udwsb3zoRtGZMeSrpeFW13X0QG1/StAhX1ERQsdXh+n73mEdtXS2y64gmJHpBB6e9HPRYcK8Btn&#10;DVkr5/7rRqDirH5rSZjL4XjceTFexpPpiC54nlmdZ4SVBJXzwFl/vAm9fzcO9bqiTv0qLFyTmKWO&#10;RB+nOqyA7BP5H6ze+fP8Hqsef+/F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L+UoPVAAAACAEA&#10;AA8AAAAAAAAAAQAgAAAAIgAAAGRycy9kb3ducmV2LnhtbFBLAQIUABQAAAAIAIdO4kBIlsbaHQIA&#10;ACYEAAAOAAAAAAAAAAEAIAAAACQBAABkcnMvZTJvRG9jLnhtbFBLBQYAAAAABgAGAFkBAACzBQAA&#10;AAA=&#10;">
                <v:fill on="f" focussize="0,0"/>
                <v:stroke on="f"/>
                <v:imagedata o:title=""/>
                <o:lock v:ext="edit" aspectratio="f"/>
                <v:textbox>
                  <w:txbxContent>
                    <w:p w14:paraId="4C94285A">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再次检验试验及其费用承担</w:t>
                      </w:r>
                    </w:p>
                  </w:txbxContent>
                </v:textbox>
              </v:shape>
            </w:pict>
          </mc:Fallback>
        </mc:AlternateContent>
      </w:r>
      <w:r>
        <w:rPr>
          <w:rFonts w:hint="eastAsia" w:ascii="仿宋" w:hAnsi="仿宋" w:eastAsia="仿宋" w:cs="仿宋"/>
          <w:color w:val="auto"/>
          <w:highlight w:val="none"/>
          <w:lang w:eastAsia="zh-CN"/>
        </w:rPr>
        <w:t>监理人对承包人自行检验试验结果有疑问的，可要求承包人共同对工程材料和工程设备等再次检验试验。</w:t>
      </w:r>
    </w:p>
    <w:p w14:paraId="6116E5FA">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）合格的，再次检验试验费和（或）延误的工期由发包人承担，并向承包人支付合理利润。</w:t>
      </w:r>
    </w:p>
    <w:p w14:paraId="2592D332">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）不合格的，发包人供应的，再次检验试验费和（或）延误的工期由发包人承担，并向承包人支付合理利润；承包人采购的，再次检验试验费和（或）延误的工期由承包人承担。</w:t>
      </w:r>
    </w:p>
    <w:p w14:paraId="281EBB88">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7</w:t>
      </w:r>
      <w:r>
        <w:rPr>
          <w:color w:val="auto"/>
          <w:highlight w:val="none"/>
          <w:lang w:eastAsia="zh-CN" w:bidi="ar-SA"/>
        </w:rPr>
        <mc:AlternateContent>
          <mc:Choice Requires="wps">
            <w:drawing>
              <wp:anchor distT="0" distB="0" distL="114300" distR="114300" simplePos="0" relativeHeight="251822080" behindDoc="0" locked="0" layoutInCell="1" allowOverlap="1">
                <wp:simplePos x="0" y="0"/>
                <wp:positionH relativeFrom="column">
                  <wp:posOffset>-114300</wp:posOffset>
                </wp:positionH>
                <wp:positionV relativeFrom="paragraph">
                  <wp:posOffset>245110</wp:posOffset>
                </wp:positionV>
                <wp:extent cx="814070" cy="576580"/>
                <wp:effectExtent l="0" t="0" r="0" b="0"/>
                <wp:wrapNone/>
                <wp:docPr id="708" name="文本框 901"/>
                <wp:cNvGraphicFramePr/>
                <a:graphic xmlns:a="http://schemas.openxmlformats.org/drawingml/2006/main">
                  <a:graphicData uri="http://schemas.microsoft.com/office/word/2010/wordprocessingShape">
                    <wps:wsp>
                      <wps:cNvSpPr txBox="1">
                        <a:spLocks noChangeArrowheads="1"/>
                      </wps:cNvSpPr>
                      <wps:spPr bwMode="auto">
                        <a:xfrm>
                          <a:off x="0" y="0"/>
                          <a:ext cx="814070" cy="576580"/>
                        </a:xfrm>
                        <a:prstGeom prst="rect">
                          <a:avLst/>
                        </a:prstGeom>
                        <a:noFill/>
                        <a:ln>
                          <a:noFill/>
                        </a:ln>
                        <a:effectLst/>
                      </wps:spPr>
                      <wps:txbx>
                        <w:txbxContent>
                          <w:p w14:paraId="06026870">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工程材料和工程设备质量有争议的处理</w:t>
                            </w:r>
                          </w:p>
                        </w:txbxContent>
                      </wps:txbx>
                      <wps:bodyPr rot="0" vert="horz" wrap="square" lIns="91440" tIns="45720" rIns="91440" bIns="45720" anchor="t" anchorCtr="0" upright="1">
                        <a:noAutofit/>
                      </wps:bodyPr>
                    </wps:wsp>
                  </a:graphicData>
                </a:graphic>
              </wp:anchor>
            </w:drawing>
          </mc:Choice>
          <mc:Fallback>
            <w:pict>
              <v:shape id="文本框 901" o:spid="_x0000_s1026" o:spt="202" type="#_x0000_t202" style="position:absolute;left:0pt;margin-left:-9pt;margin-top:19.3pt;height:45.4pt;width:64.1pt;z-index:251822080;mso-width-relative:page;mso-height-relative:page;" filled="f" stroked="f" coordsize="21600,21600" o:gfxdata="UEsDBAoAAAAAAIdO4kAAAAAAAAAAAAAAAAAEAAAAZHJzL1BLAwQUAAAACACHTuJAxN1u9NgAAAAK&#10;AQAADwAAAGRycy9kb3ducmV2LnhtbE2PzU7DMBCE70i8g7VI3Fo7oVRpiNNDK64g+oPEbRtvk4h4&#10;HcVuE94e9wS3Wc1o9ptiPdlOXGnwrWMNyVyBIK6cabnWcNi/zjIQPiAb7ByThh/ysC7v7wrMjRv5&#10;g667UItYwj5HDU0IfS6lrxqy6OeuJ47e2Q0WQzyHWpoBx1huO5kqtZQWW44fGuxp01D1vbtYDce3&#10;89fnQr3XW/vcj25Sku1Kav34kKgXEIGm8BeGG35EhzIyndyFjRedhlmSxS1Bw1O2BHELJCoFcYoi&#10;XS1AloX8P6H8BVBLAwQUAAAACACHTuJAmht1Oh8CAAAmBAAADgAAAGRycy9lMm9Eb2MueG1srVPN&#10;jtMwEL4j8Q6W7zRJ1W67UdPVstUipOVHWngA13Eai8Rjxm6T8gDwBpy4cOe5+hyMnW4py2UPXCKP&#10;Z/zNfN98WVz1bcN2Cp0GU/BslHKmjIRSm03BP364fTHnzHlhStGAUQXfK8evls+fLTqbqzHU0JQK&#10;GYEYl3e24LX3Nk8SJ2vVCjcCqwwlK8BWeApxk5QoOkJvm2ScphdJB1haBKmco9vVkORHRHwKIFSV&#10;lmoFctsq4wdUVI3wRMnV2jq+jNNWlZL+XVU55VlTcGLq45ea0HkdvslyIfINCltreRxBPGWER5xa&#10;oQ01PUGthBdsi/ofqFZLBAeVH0lok4FIVIRYZOkjbe5rYVXkQlI7exLd/T9Y+Xb3HpkuCz5LafFG&#10;tLTyw/dvhx+/Dj+/sss0CxJ11uVUeW+p1vcvoSfjRLrO3oH85JiBm1qYjbpGhK5WoqQR48vk7OmA&#10;4wLIunsDJXUSWw8RqK+wDfqRIozQaT3703pU75mky3k2SWeUkZSazi6m87i+ROQPjy06/0pBy8Kh&#10;4Ejbj+Bid+c80aDSh5LQy8CtbprogMb8dUGFw42KFjq+DlTC9AMP36/7ozRrKPdECmGwF/1cdKgB&#10;v3DWkbUK7j5vBSrOmteGhLnMJpPgxRhMprMxBXieWZ9nhJEEVXDP2XC88YN/txb1pqZOwyoMXJOY&#10;lY5Ew6jDVMQ6BGSfyP9o9eDP8zhW/fm9l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xN1u9NgA&#10;AAAKAQAADwAAAAAAAAABACAAAAAiAAAAZHJzL2Rvd25yZXYueG1sUEsBAhQAFAAAAAgAh07iQJob&#10;dTofAgAAJgQAAA4AAAAAAAAAAQAgAAAAJwEAAGRycy9lMm9Eb2MueG1sUEsFBgAAAAAGAAYAWQEA&#10;ALgFAAAAAA==&#10;">
                <v:fill on="f" focussize="0,0"/>
                <v:stroke on="f"/>
                <v:imagedata o:title=""/>
                <o:lock v:ext="edit" aspectratio="f"/>
                <v:textbox>
                  <w:txbxContent>
                    <w:p w14:paraId="06026870">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工程材料和工程设备质量有争议的处理</w:t>
                      </w:r>
                    </w:p>
                  </w:txbxContent>
                </v:textbox>
              </v:shape>
            </w:pict>
          </mc:Fallback>
        </mc:AlternateContent>
      </w:r>
    </w:p>
    <w:p w14:paraId="02FCC82A">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合同双方当事人对工程材料和工程设备等产品质量有争议的，所需的检验试验费由责任方承担。双方均有责任的，由双方根据其责任划分分别承担。</w:t>
      </w:r>
    </w:p>
    <w:p w14:paraId="44217ABD">
      <w:pPr>
        <w:pStyle w:val="20"/>
        <w:adjustRightInd w:val="0"/>
        <w:snapToGrid w:val="0"/>
        <w:spacing w:line="360" w:lineRule="auto"/>
        <w:ind w:firstLine="0"/>
        <w:rPr>
          <w:rFonts w:hint="eastAsia" w:ascii="仿宋" w:hAnsi="仿宋" w:eastAsia="仿宋" w:cs="仿宋"/>
          <w:color w:val="auto"/>
          <w:highlight w:val="none"/>
          <w:u w:val="single"/>
          <w:lang w:eastAsia="zh-CN"/>
        </w:rPr>
      </w:pPr>
    </w:p>
    <w:p w14:paraId="217D9799">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6" w:name="_Toc6011"/>
      <w:r>
        <w:rPr>
          <w:rFonts w:ascii="仿宋" w:hAnsi="仿宋" w:eastAsia="仿宋" w:cs="仿宋"/>
          <w:bCs w:val="0"/>
          <w:color w:val="auto"/>
          <w:sz w:val="24"/>
          <w:szCs w:val="24"/>
          <w:highlight w:val="none"/>
          <w:lang w:eastAsia="zh-CN"/>
        </w:rPr>
        <w:t>5</w:t>
      </w:r>
      <w:r>
        <w:rPr>
          <w:rFonts w:hint="eastAsia" w:ascii="仿宋" w:hAnsi="仿宋" w:eastAsia="仿宋" w:cs="仿宋"/>
          <w:bCs w:val="0"/>
          <w:color w:val="auto"/>
          <w:sz w:val="24"/>
          <w:szCs w:val="24"/>
          <w:highlight w:val="none"/>
          <w:lang w:eastAsia="zh-CN"/>
        </w:rPr>
        <w:t>8施工设备和临时设施</w:t>
      </w:r>
      <w:bookmarkEnd w:id="356"/>
    </w:p>
    <w:p w14:paraId="6D3F658B">
      <w:pPr>
        <w:spacing w:line="360" w:lineRule="auto"/>
        <w:rPr>
          <w:rFonts w:hint="eastAsia" w:ascii="仿宋" w:hAnsi="仿宋" w:eastAsia="仿宋" w:cs="仿宋"/>
          <w:b/>
          <w:bCs/>
          <w:color w:val="auto"/>
          <w:highlight w:val="none"/>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.1</w:t>
      </w:r>
    </w:p>
    <w:p w14:paraId="50B205BC">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23104" behindDoc="0" locked="0" layoutInCell="1" allowOverlap="1">
                <wp:simplePos x="0" y="0"/>
                <wp:positionH relativeFrom="column">
                  <wp:posOffset>-73660</wp:posOffset>
                </wp:positionH>
                <wp:positionV relativeFrom="paragraph">
                  <wp:posOffset>5715</wp:posOffset>
                </wp:positionV>
                <wp:extent cx="831215" cy="579120"/>
                <wp:effectExtent l="0" t="0" r="0" b="0"/>
                <wp:wrapNone/>
                <wp:docPr id="709" name="文本框 902"/>
                <wp:cNvGraphicFramePr/>
                <a:graphic xmlns:a="http://schemas.openxmlformats.org/drawingml/2006/main">
                  <a:graphicData uri="http://schemas.microsoft.com/office/word/2010/wordprocessingShape">
                    <wps:wsp>
                      <wps:cNvSpPr txBox="1">
                        <a:spLocks noChangeArrowheads="1"/>
                      </wps:cNvSpPr>
                      <wps:spPr bwMode="auto">
                        <a:xfrm>
                          <a:off x="0" y="0"/>
                          <a:ext cx="831215" cy="579120"/>
                        </a:xfrm>
                        <a:prstGeom prst="rect">
                          <a:avLst/>
                        </a:prstGeom>
                        <a:noFill/>
                        <a:ln>
                          <a:noFill/>
                        </a:ln>
                        <a:effectLst/>
                      </wps:spPr>
                      <wps:txbx>
                        <w:txbxContent>
                          <w:p w14:paraId="1850E9C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承包人配置的施工设备和临时设施</w:t>
                            </w:r>
                          </w:p>
                        </w:txbxContent>
                      </wps:txbx>
                      <wps:bodyPr rot="0" vert="horz" wrap="square" lIns="91440" tIns="45720" rIns="91440" bIns="45720" anchor="t" anchorCtr="0" upright="1">
                        <a:noAutofit/>
                      </wps:bodyPr>
                    </wps:wsp>
                  </a:graphicData>
                </a:graphic>
              </wp:anchor>
            </w:drawing>
          </mc:Choice>
          <mc:Fallback>
            <w:pict>
              <v:shape id="文本框 902" o:spid="_x0000_s1026" o:spt="202" type="#_x0000_t202" style="position:absolute;left:0pt;margin-left:-5.8pt;margin-top:0.45pt;height:45.6pt;width:65.45pt;z-index:251823104;mso-width-relative:page;mso-height-relative:page;" filled="f" stroked="f" coordsize="21600,21600" o:gfxdata="UEsDBAoAAAAAAIdO4kAAAAAAAAAAAAAAAAAEAAAAZHJzL1BLAwQUAAAACACHTuJA7/IyhdMAAAAH&#10;AQAADwAAAGRycy9kb3ducmV2LnhtbE2OTU/DMBBE70j8B2uRuLVrF6hIiNMDiCuoX0jc3HibRMTr&#10;KHab8O/rnuA4mtGbV6wm14kzDaH1rEHNJQjiytuWaw277fvsGUSIhq3pPJOGXwqwKm9vCpNbP/Ka&#10;zptYiwThkBsNTYx9jhiqhpwJc98Tp+7oB2diikONdjBjgrsOF1Iu0ZmW00NjenptqPrZnJyG/cfx&#10;++tRftZv7qkf/SSRXYZa398p+QIi0hT/xnDVT+pQJqeDP7ENotMwU2qZphoyENdaZQ8gDikuFGBZ&#10;4H//8gJQSwMEFAAAAAgAh07iQAq7JokfAgAAJgQAAA4AAABkcnMvZTJvRG9jLnhtbK1TzY7TMBC+&#10;I/EOlu80TWnpNmq6WrZahLT8SAsP4DpOY5F4zNhtUh4A3oATF+48V5+DsZMtZbnsgYtle8bfzPfN&#10;5+Vl19Rsr9BpMDlPR2POlJFQaLPN+ccPN88uOHNemELUYFTOD8rxy9XTJ8vWZmoCFdSFQkYgxmWt&#10;zXnlvc2SxMlKNcKNwCpDwRKwEZ6OuE0KFC2hN3UyGY9fJC1gYRGkco5u132QD4j4GEAoSy3VGuSu&#10;Ucb3qKhq4YmSq7R1fBW7LUsl/buydMqzOufE1MeVitB+E9ZktRTZFoWttBxaEI9p4QGnRmhDRU9Q&#10;a+EF26H+B6rREsFB6UcSmqQnEhUhFun4gTZ3lbAqciGpnT2J7v4frHy7f49MFzmfjxecGdHQyI/f&#10;vx1//Dr+/MoW40mQqLUuo8w7S7m+ewkdGSfSdfYW5CfHDFxXwmzVFSK0lRIFtZiGl8nZ0x7HBZBN&#10;+wYKqiR2HiJQV2IT9CNFGKHTeA6n8ajOM0mXF8/TSTrjTFJoNl+kkzi+RGT3jy06/0pBw8Im50jT&#10;j+Bif+t8aEZk9ymhloEbXdfRAbX564IS+xsVLTS8DlRC9z0P3226QZoNFAcihdDbiz4XbSrAL5y1&#10;ZK2cu887gYqz+rUhYRbpdBq8GA/T2Zx4MDyPbM4jwkiCyrnnrN9e+96/O4t6W1GlfhQGrkjMUkei&#10;odW+q2EEZJ/If7B68Of5OWb9+d6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O/yMoXTAAAABwEA&#10;AA8AAAAAAAAAAQAgAAAAIgAAAGRycy9kb3ducmV2LnhtbFBLAQIUABQAAAAIAIdO4kAKuyaJHwIA&#10;ACYEAAAOAAAAAAAAAAEAIAAAACIBAABkcnMvZTJvRG9jLnhtbFBLBQYAAAAABgAGAFkBAACzBQAA&#10;AAA=&#10;">
                <v:fill on="f" focussize="0,0"/>
                <v:stroke on="f"/>
                <v:imagedata o:title=""/>
                <o:lock v:ext="edit" aspectratio="f"/>
                <v:textbox>
                  <w:txbxContent>
                    <w:p w14:paraId="1850E9C5">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承包人配置的施工设备和临时设施</w:t>
                      </w:r>
                    </w:p>
                  </w:txbxContent>
                </v:textbox>
              </v:shape>
            </w:pict>
          </mc:Fallback>
        </mc:AlternateContent>
      </w:r>
      <w:r>
        <w:rPr>
          <w:rFonts w:hint="eastAsia" w:ascii="仿宋" w:hAnsi="仿宋" w:eastAsia="仿宋" w:cs="仿宋"/>
          <w:color w:val="auto"/>
          <w:highlight w:val="none"/>
          <w:lang w:eastAsia="zh-CN"/>
        </w:rPr>
        <w:t>承包人应按合同工程进度计划的要求，及时配置施工设备和修建临时设施。除专用条款另有约定外，承包人应自行承担修建临时设施的费用。需要临时占地的，发包人应办理其申请手续并承担相应费用。</w:t>
      </w:r>
    </w:p>
    <w:p w14:paraId="667F6234">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进入施工场地的承包人施工设备，需经监理人核查后才能投入使用。承包人更换合同约定范围施工设备的，应经监理人同意并由其报发包人批准后方可实施。</w:t>
      </w:r>
    </w:p>
    <w:p w14:paraId="327A9676">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.2</w:t>
      </w:r>
    </w:p>
    <w:p w14:paraId="3DDE10B0">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038144" behindDoc="0" locked="0" layoutInCell="1" allowOverlap="1">
                <wp:simplePos x="0" y="0"/>
                <wp:positionH relativeFrom="column">
                  <wp:posOffset>-66675</wp:posOffset>
                </wp:positionH>
                <wp:positionV relativeFrom="paragraph">
                  <wp:posOffset>18415</wp:posOffset>
                </wp:positionV>
                <wp:extent cx="844550" cy="526415"/>
                <wp:effectExtent l="0" t="0" r="0" b="0"/>
                <wp:wrapNone/>
                <wp:docPr id="710" name="文本框 903"/>
                <wp:cNvGraphicFramePr/>
                <a:graphic xmlns:a="http://schemas.openxmlformats.org/drawingml/2006/main">
                  <a:graphicData uri="http://schemas.microsoft.com/office/word/2010/wordprocessingShape">
                    <wps:wsp>
                      <wps:cNvSpPr txBox="1">
                        <a:spLocks noChangeArrowheads="1"/>
                      </wps:cNvSpPr>
                      <wps:spPr bwMode="auto">
                        <a:xfrm>
                          <a:off x="0" y="0"/>
                          <a:ext cx="844550" cy="526415"/>
                        </a:xfrm>
                        <a:prstGeom prst="rect">
                          <a:avLst/>
                        </a:prstGeom>
                        <a:noFill/>
                        <a:ln>
                          <a:noFill/>
                        </a:ln>
                        <a:effectLst/>
                      </wps:spPr>
                      <wps:txbx>
                        <w:txbxContent>
                          <w:p w14:paraId="4E370F5F">
                            <w:pPr>
                              <w:spacing w:line="200" w:lineRule="exact"/>
                              <w:rPr>
                                <w:sz w:val="18"/>
                                <w:szCs w:val="18"/>
                                <w:lang w:eastAsia="zh-CN"/>
                              </w:rPr>
                            </w:pPr>
                            <w:r>
                              <w:rPr>
                                <w:rFonts w:hint="eastAsia" w:ascii="楷体_GB2312" w:hAnsi="宋体" w:eastAsia="楷体_GB2312" w:cs="楷体_GB2312"/>
                                <w:b/>
                                <w:bCs/>
                                <w:color w:val="000000"/>
                                <w:sz w:val="18"/>
                                <w:szCs w:val="18"/>
                                <w:lang w:eastAsia="zh-CN"/>
                              </w:rPr>
                              <w:t>发包人提供的施工设备和临时设施</w:t>
                            </w:r>
                          </w:p>
                        </w:txbxContent>
                      </wps:txbx>
                      <wps:bodyPr rot="0" vert="horz" wrap="square" lIns="91440" tIns="45720" rIns="91440" bIns="45720" anchor="t" anchorCtr="0" upright="1">
                        <a:noAutofit/>
                      </wps:bodyPr>
                    </wps:wsp>
                  </a:graphicData>
                </a:graphic>
              </wp:anchor>
            </w:drawing>
          </mc:Choice>
          <mc:Fallback>
            <w:pict>
              <v:shape id="文本框 903" o:spid="_x0000_s1026" o:spt="202" type="#_x0000_t202" style="position:absolute;left:0pt;margin-left:-5.25pt;margin-top:1.45pt;height:41.45pt;width:66.5pt;z-index:252038144;mso-width-relative:page;mso-height-relative:page;" filled="f" stroked="f" coordsize="21600,21600" o:gfxdata="UEsDBAoAAAAAAIdO4kAAAAAAAAAAAAAAAAAEAAAAZHJzL1BLAwQUAAAACACHTuJAb/tNWtUAAAAI&#10;AQAADwAAAGRycy9kb3ducmV2LnhtbE2PwU7DMBBE70j9B2uRuLV2ogalIZseirgWUQoSNzfeJhHx&#10;OordJvw97gmOoxnNvCm3s+3FlUbfOUZIVgoEce1Mxw3C8f1lmYPwQbPRvWNC+CEP22pxV+rCuInf&#10;6HoIjYgl7AuN0IYwFFL6uiWr/coNxNE7u9HqEOXYSDPqKZbbXqZKPUqrO44LrR5o11L9fbhYhI/9&#10;+etzrV6bZ5sNk5uVZLuRiA/3iXoCEWgOf2G44Ud0qCLTyV3YeNEjLBOVxShCugFx89M06hNCnuUg&#10;q1L+P1D9AlBLAwQUAAAACACHTuJALOnfTx8CAAAmBAAADgAAAGRycy9lMm9Eb2MueG1srVNLbtsw&#10;EN0X6B0I7mtZrpyPYDlIY6QokH6AtAegKcoiKnHYIW0pPUBzg6666b7n8jk6pBTXTTdZdEOQnOGb&#10;994MFxd927CdQqfBFDydTDlTRkKpzabgnz5evzjjzHlhStGAUQW/U45fLJ8/W3Q2VzOooSkVMgIx&#10;Lu9swWvvbZ4kTtaqFW4CVhkKVoCt8HTETVKi6Ai9bZLZdHqSdIClRZDKObpdDUE+IuJTAKGqtFQr&#10;kNtWGT+gomqEJ0mu1tbxZWRbVUr691XllGdNwUmpjysVof06rMlyIfINCltrOVIQT6HwSFMrtKGi&#10;B6iV8IJtUf8D1WqJ4KDyEwltMgiJjpCKdPrIm9taWBW1kNXOHkx3/w9Wvtt9QKbLgp+m5IkRLbV8&#10;//1+/+PX/uc3dj59GSzqrMsp89ZSru9fQU+DE+U6ewPys2MGrmphNuoSEbpaiZIopuFlcvR0wHEB&#10;ZN29hZIqia2HCNRX2Ab/yBFG6ETl7tAe1Xsm6fIsy+ZzikgKzWcnWTqPFUT+8Nii868VtCxsCo7U&#10;/QgudjfOBzIif0gJtQxc66aJE9CYvy4ocbhRcYTG10FKYD/o8P26H61ZQ3lHohCG8aLPRZsa8Ctn&#10;HY1Wwd2XrUDFWfPGkDHnaZaRDB8P2fx0Rgc8jqyPI8JIgiq452zYXvlhfrcW9aamSkMrDFySmZWO&#10;QgPVgdXYAhqfqH8c9TCfx+eY9ed7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tNWtUAAAAI&#10;AQAADwAAAAAAAAABACAAAAAiAAAAZHJzL2Rvd25yZXYueG1sUEsBAhQAFAAAAAgAh07iQCzp308f&#10;AgAAJgQAAA4AAAAAAAAAAQAgAAAAJAEAAGRycy9lMm9Eb2MueG1sUEsFBgAAAAAGAAYAWQEAALUF&#10;AAAAAA==&#10;">
                <v:fill on="f" focussize="0,0"/>
                <v:stroke on="f"/>
                <v:imagedata o:title=""/>
                <o:lock v:ext="edit" aspectratio="f"/>
                <v:textbox>
                  <w:txbxContent>
                    <w:p w14:paraId="4E370F5F">
                      <w:pPr>
                        <w:spacing w:line="200" w:lineRule="exact"/>
                        <w:rPr>
                          <w:sz w:val="18"/>
                          <w:szCs w:val="18"/>
                          <w:lang w:eastAsia="zh-CN"/>
                        </w:rPr>
                      </w:pPr>
                      <w:r>
                        <w:rPr>
                          <w:rFonts w:hint="eastAsia" w:ascii="楷体_GB2312" w:hAnsi="宋体" w:eastAsia="楷体_GB2312" w:cs="楷体_GB2312"/>
                          <w:b/>
                          <w:bCs/>
                          <w:color w:val="000000"/>
                          <w:sz w:val="18"/>
                          <w:szCs w:val="18"/>
                          <w:lang w:eastAsia="zh-CN"/>
                        </w:rPr>
                        <w:t>发包人提供的施工设备和临时设施</w:t>
                      </w:r>
                    </w:p>
                  </w:txbxContent>
                </v:textbox>
              </v:shape>
            </w:pict>
          </mc:Fallback>
        </mc:AlternateContent>
      </w:r>
      <w:r>
        <w:rPr>
          <w:rFonts w:hint="eastAsia" w:ascii="仿宋" w:hAnsi="仿宋" w:eastAsia="仿宋" w:cs="仿宋"/>
          <w:color w:val="auto"/>
          <w:highlight w:val="none"/>
          <w:lang w:eastAsia="zh-CN"/>
        </w:rPr>
        <w:t>如果发包人提供施工设备或临时设施的，合同双方当事人应在专用条款中约定施工设备或临时设施的品种、规格、型号和提供的时间、地点等内容。</w:t>
      </w:r>
    </w:p>
    <w:p w14:paraId="6B76F35C">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.3</w:t>
      </w:r>
    </w:p>
    <w:p w14:paraId="50778946">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24128" behindDoc="0" locked="0" layoutInCell="1" allowOverlap="1">
                <wp:simplePos x="0" y="0"/>
                <wp:positionH relativeFrom="column">
                  <wp:posOffset>-73660</wp:posOffset>
                </wp:positionH>
                <wp:positionV relativeFrom="paragraph">
                  <wp:posOffset>8890</wp:posOffset>
                </wp:positionV>
                <wp:extent cx="796925" cy="509905"/>
                <wp:effectExtent l="0" t="0" r="0" b="0"/>
                <wp:wrapNone/>
                <wp:docPr id="711" name="文本框 904"/>
                <wp:cNvGraphicFramePr/>
                <a:graphic xmlns:a="http://schemas.openxmlformats.org/drawingml/2006/main">
                  <a:graphicData uri="http://schemas.microsoft.com/office/word/2010/wordprocessingShape">
                    <wps:wsp>
                      <wps:cNvSpPr txBox="1">
                        <a:spLocks noChangeArrowheads="1"/>
                      </wps:cNvSpPr>
                      <wps:spPr bwMode="auto">
                        <a:xfrm>
                          <a:off x="0" y="0"/>
                          <a:ext cx="796925" cy="509905"/>
                        </a:xfrm>
                        <a:prstGeom prst="rect">
                          <a:avLst/>
                        </a:prstGeom>
                        <a:noFill/>
                        <a:ln>
                          <a:noFill/>
                        </a:ln>
                        <a:effectLst/>
                      </wps:spPr>
                      <wps:txbx>
                        <w:txbxContent>
                          <w:p w14:paraId="7A34A5DD">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承包人增加或更换施工设备</w:t>
                            </w:r>
                          </w:p>
                        </w:txbxContent>
                      </wps:txbx>
                      <wps:bodyPr rot="0" vert="horz" wrap="square" lIns="91440" tIns="45720" rIns="91440" bIns="45720" anchor="t" anchorCtr="0" upright="1">
                        <a:noAutofit/>
                      </wps:bodyPr>
                    </wps:wsp>
                  </a:graphicData>
                </a:graphic>
              </wp:anchor>
            </w:drawing>
          </mc:Choice>
          <mc:Fallback>
            <w:pict>
              <v:shape id="文本框 904" o:spid="_x0000_s1026" o:spt="202" type="#_x0000_t202" style="position:absolute;left:0pt;margin-left:-5.8pt;margin-top:0.7pt;height:40.15pt;width:62.75pt;z-index:251824128;mso-width-relative:page;mso-height-relative:page;" filled="f" stroked="f" coordsize="21600,21600" o:gfxdata="UEsDBAoAAAAAAIdO4kAAAAAAAAAAAAAAAAAEAAAAZHJzL1BLAwQUAAAACACHTuJAZYy8NNYAAAAI&#10;AQAADwAAAGRycy9kb3ducmV2LnhtbE2Py27CMBBF95X4B2uQugPblFJI47Cg6rZV6UPqzsRDEjUe&#10;R7Eh6d93WJXl6Fzdeybfjr4VZ+xjE8iAnisQSGVwDVUGPt6fZ2sQMVlytg2EBn4xwraY3OQ2c2Gg&#10;NzzvUyW4hGJmDdQpdZmUsazR2zgPHRKzY+i9TXz2lXS9Hbjct3Kh1Ep62xAv1LbDXY3lz/7kDXy+&#10;HL+/luq1evL33RBGJclvpDG3U60eQSQc038YLvqsDgU7HcKJXBStgZnWK44yWIK4cH23AXEwsNYP&#10;IItcXj9Q/AFQSwMEFAAAAAgAh07iQGAOKeEfAgAAJgQAAA4AAABkcnMvZTJvRG9jLnhtbK1TzY7T&#10;MBC+I/EOlu80SdVuSdR0tWy1CGn5kRYewHWcxiLxGNttUh4A3mBPXLjzXH0Oxna2lOWyBy6W7Rl/&#10;M983n5eXQ9eSvTBWgippNkkpEYpDJdW2pJ8+3rx4SYl1TFWsBSVKehCWXq6eP1v2uhBTaKCthCEI&#10;omzR65I2zukiSSxvRMfsBLRQGKzBdMzh0WyTyrAe0bs2mabpRdKDqbQBLqzF23UM0hHRPAUQ6lpy&#10;sQa+64RyEdWIljmkZBupLV2FbutacPe+rq1wpC0pMnVhxSK43/g1WS1ZsTVMN5KPLbCntPCIU8ek&#10;wqInqDVzjOyM/Aeqk9yAhdpNOHRJJBIUQRZZ+kibu4ZpEbig1FafRLf/D5a/238wRFYlXWQZJYp1&#10;OPLj/ffjj1/Hn99Ins68RL22BWbeacx1wysY0DiBrtW3wD9bouC6YWorroyBvhGswhYz/zI5expx&#10;rAfZ9G+hwkps5yAADbXpvH6oCEF0HM/hNB4xOMLxcpFf5NM5JRxD8zTP03mowIqHx9pY91pAR/ym&#10;pAanH8DZ/tY63wwrHlJ8LQU3sm2DA1r11wUmxhsRLDS+9lR895GHGzbDKM0GqgOSMhDthZ8LNw2Y&#10;r5T0aK2S2i87ZgQl7RuFwuTZbOa9GA6z+WKKB3Me2ZxHmOIIVVJHSdxeu+jfnTZy22ClOAoFVyhm&#10;LQNR32rsahwB2ifwH63u/Xl+Dll/vvf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WMvDTWAAAA&#10;CAEAAA8AAAAAAAAAAQAgAAAAIgAAAGRycy9kb3ducmV2LnhtbFBLAQIUABQAAAAIAIdO4kBgDinh&#10;HwIAACYEAAAOAAAAAAAAAAEAIAAAACUBAABkcnMvZTJvRG9jLnhtbFBLBQYAAAAABgAGAFkBAAC2&#10;BQAAAAA=&#10;">
                <v:fill on="f" focussize="0,0"/>
                <v:stroke on="f"/>
                <v:imagedata o:title=""/>
                <o:lock v:ext="edit" aspectratio="f"/>
                <v:textbox>
                  <w:txbxContent>
                    <w:p w14:paraId="7A34A5DD">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承包人增加或更换施工设备</w:t>
                      </w:r>
                    </w:p>
                  </w:txbxContent>
                </v:textbox>
              </v:shape>
            </w:pict>
          </mc:Fallback>
        </mc:AlternateContent>
      </w:r>
      <w:r>
        <w:rPr>
          <w:rFonts w:hint="eastAsia" w:ascii="仿宋" w:hAnsi="仿宋" w:eastAsia="仿宋" w:cs="仿宋"/>
          <w:color w:val="auto"/>
          <w:highlight w:val="none"/>
          <w:lang w:eastAsia="zh-CN"/>
        </w:rPr>
        <w:t>如果承包人使用的施工设备不能满足合同工程进度计划和（或）质量要求的，监理人有权要求承包人增加或更换施工设备，承包人应及时增加或更换，由此增加的费用和（或）延误的工期由承包人承担。</w:t>
      </w:r>
    </w:p>
    <w:p w14:paraId="445F2F76">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5</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.4</w:t>
      </w:r>
    </w:p>
    <w:p w14:paraId="4B0EB44E">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运至施工现场的施工设备和在施工现场修建的临时设施，均应视为专门用于实施合同工程。除经监理人同意并由其报发包人批准，承包人可根据合同工程进度计划撤走闲置的施工设备</w:t>
      </w:r>
      <w:r>
        <w:rPr>
          <w:color w:val="auto"/>
          <w:highlight w:val="none"/>
          <w:lang w:eastAsia="zh-CN" w:bidi="ar-SA"/>
        </w:rPr>
        <mc:AlternateContent>
          <mc:Choice Requires="wps">
            <w:drawing>
              <wp:anchor distT="0" distB="0" distL="114300" distR="114300" simplePos="0" relativeHeight="251825152" behindDoc="0" locked="0" layoutInCell="1" allowOverlap="1">
                <wp:simplePos x="0" y="0"/>
                <wp:positionH relativeFrom="column">
                  <wp:posOffset>-114300</wp:posOffset>
                </wp:positionH>
                <wp:positionV relativeFrom="paragraph">
                  <wp:posOffset>46355</wp:posOffset>
                </wp:positionV>
                <wp:extent cx="813435" cy="595630"/>
                <wp:effectExtent l="0" t="0" r="0" b="0"/>
                <wp:wrapNone/>
                <wp:docPr id="712" name="文本框 905"/>
                <wp:cNvGraphicFramePr/>
                <a:graphic xmlns:a="http://schemas.openxmlformats.org/drawingml/2006/main">
                  <a:graphicData uri="http://schemas.microsoft.com/office/word/2010/wordprocessingShape">
                    <wps:wsp>
                      <wps:cNvSpPr txBox="1">
                        <a:spLocks noChangeArrowheads="1"/>
                      </wps:cNvSpPr>
                      <wps:spPr bwMode="auto">
                        <a:xfrm>
                          <a:off x="0" y="0"/>
                          <a:ext cx="813435" cy="595630"/>
                        </a:xfrm>
                        <a:prstGeom prst="rect">
                          <a:avLst/>
                        </a:prstGeom>
                        <a:noFill/>
                        <a:ln>
                          <a:noFill/>
                        </a:ln>
                        <a:effectLst/>
                      </wps:spPr>
                      <wps:txbx>
                        <w:txbxContent>
                          <w:p w14:paraId="152E548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施工设备和临时设施的使用要求</w:t>
                            </w:r>
                          </w:p>
                        </w:txbxContent>
                      </wps:txbx>
                      <wps:bodyPr rot="0" vert="horz" wrap="square" lIns="91440" tIns="45720" rIns="91440" bIns="45720" anchor="t" anchorCtr="0" upright="1">
                        <a:noAutofit/>
                      </wps:bodyPr>
                    </wps:wsp>
                  </a:graphicData>
                </a:graphic>
              </wp:anchor>
            </w:drawing>
          </mc:Choice>
          <mc:Fallback>
            <w:pict>
              <v:shape id="文本框 905" o:spid="_x0000_s1026" o:spt="202" type="#_x0000_t202" style="position:absolute;left:0pt;margin-left:-9pt;margin-top:3.65pt;height:46.9pt;width:64.05pt;z-index:251825152;mso-width-relative:page;mso-height-relative:page;" filled="f" stroked="f" coordsize="21600,21600" o:gfxdata="UEsDBAoAAAAAAIdO4kAAAAAAAAAAAAAAAAAEAAAAZHJzL1BLAwQUAAAACACHTuJAOAUGA9UAAAAJ&#10;AQAADwAAAGRycy9kb3ducmV2LnhtbE2PS0/DMBCE70j8B2uRuLW2eZYQpwcQVxDlIXHbxtskIl5H&#10;sduEf8/2BLdZzWrmm3I9h14daExdZAd2aUAR19F33Dh4f3tarECljOyxj0wOfijBujo9KbHwceJX&#10;OmxyoySEU4EO2pyHQutUtxQwLeNALN4ujgGznGOj/YiThIdeXxhzowN2LA0tDvTQUv292QcHH8+7&#10;r88r89I8huthirPRHO60c+dn1tyDyjTnv2c44gs6VMK0jXv2SfUOFnYlW7KD20tQR98aC2orwlgL&#10;uir1/wXVL1BLAwQUAAAACACHTuJAWZBVdSACAAAmBAAADgAAAGRycy9lMm9Eb2MueG1srVNLbtsw&#10;EN0X6B0I7mtZ/iSxYDlIY6QokH6AtAegKcoiKnHYIW0pPUB7g6666b7n8jk6pBTXTTdZdEOQnOGb&#10;eW8el5ddU7O9QqfB5DwdjTlTRkKhzTbnHz/cvLjgzHlhClGDUTm/V45frp4/W7Y2UxOooC4UMgIx&#10;LmttzivvbZYkTlaqEW4EVhkKloCN8HTEbVKgaAm9qZPJeHyWtICFRZDKObpd90E+IOJTAKEstVRr&#10;kLtGGd+joqqFJ0qu0tbxVey2LJX078rSKc/qnBNTH1cqQvtNWJPVUmRbFLbScmhBPKWFR5waoQ0V&#10;PUKthRdsh/ofqEZLBAelH0lokp5IVIRYpONH2txVwqrIhaR29ii6+3+w8u3+PTJd5Pw8nXBmREMj&#10;P3z/dvjx6/DzK1uM50Gi1rqMMu8s5fruJXRknEjX2VuQnxwzcF0Js1VXiNBWShTUYhpeJidPexwX&#10;QDbtGyiokth5iEBdiU3QjxRhhE7juT+OR3WeSbq8SKez6ZwzSaH5Yn42jeNLRPbw2KLzrxQ0LGxy&#10;jjT9CC72t86HZkT2kBJqGbjRdR0dUJu/Liixv1HRQsPrQCV03/Pw3aYbpNlAcU+kEHp70eeiTQX4&#10;hbOWrJVz93knUHFWvzYkzCKdzYIX42E2P5/QAU8jm9OIMJKgcu4567fXvvfvzqLeVlSpH4WBKxKz&#10;1JFoaLXvahgB2SfyH6we/Hl6jll/vvf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gFBgPVAAAA&#10;CQEAAA8AAAAAAAAAAQAgAAAAIgAAAGRycy9kb3ducmV2LnhtbFBLAQIUABQAAAAIAIdO4kBZkFV1&#10;IAIAACYEAAAOAAAAAAAAAAEAIAAAACQBAABkcnMvZTJvRG9jLnhtbFBLBQYAAAAABgAGAFkBAAC2&#10;BQAAAAA=&#10;">
                <v:fill on="f" focussize="0,0"/>
                <v:stroke on="f"/>
                <v:imagedata o:title=""/>
                <o:lock v:ext="edit" aspectratio="f"/>
                <v:textbox>
                  <w:txbxContent>
                    <w:p w14:paraId="152E5483">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施工设备和临时设施的使用要求</w:t>
                      </w:r>
                    </w:p>
                  </w:txbxContent>
                </v:textbox>
              </v:shape>
            </w:pict>
          </mc:Fallback>
        </mc:AlternateContent>
      </w:r>
      <w:r>
        <w:rPr>
          <w:rFonts w:hint="eastAsia" w:ascii="仿宋" w:hAnsi="仿宋" w:eastAsia="仿宋" w:cs="仿宋"/>
          <w:color w:val="auto"/>
          <w:highlight w:val="none"/>
          <w:lang w:eastAsia="zh-CN"/>
        </w:rPr>
        <w:t>外，承包人不得将上述施工设备和临时设施中的任何部分运出施工场地或挪作他用。</w:t>
      </w:r>
    </w:p>
    <w:p w14:paraId="4FBABCE6">
      <w:pPr>
        <w:pStyle w:val="2"/>
        <w:tabs>
          <w:tab w:val="left" w:pos="540"/>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7FAA8CFA">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7" w:name="_Toc10822"/>
      <w:r>
        <w:rPr>
          <w:rFonts w:hint="eastAsia" w:ascii="仿宋" w:hAnsi="仿宋" w:eastAsia="仿宋" w:cs="仿宋"/>
          <w:bCs w:val="0"/>
          <w:color w:val="auto"/>
          <w:sz w:val="24"/>
          <w:szCs w:val="24"/>
          <w:highlight w:val="none"/>
          <w:lang w:eastAsia="zh-CN"/>
        </w:rPr>
        <w:t>★59工程质量检查</w:t>
      </w:r>
      <w:bookmarkEnd w:id="357"/>
    </w:p>
    <w:p w14:paraId="21DE06F9">
      <w:pPr>
        <w:spacing w:line="360" w:lineRule="auto"/>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59</w:t>
      </w:r>
      <w:r>
        <w:rPr>
          <w:rFonts w:ascii="仿宋" w:hAnsi="仿宋" w:eastAsia="仿宋" w:cs="仿宋"/>
          <w:b/>
          <w:bCs/>
          <w:color w:val="auto"/>
          <w:highlight w:val="none"/>
          <w:lang w:eastAsia="zh-CN"/>
        </w:rPr>
        <w:t>.1</w:t>
      </w:r>
    </w:p>
    <w:p w14:paraId="08DE6AF9">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26176" behindDoc="0" locked="0" layoutInCell="1" allowOverlap="1">
                <wp:simplePos x="0" y="0"/>
                <wp:positionH relativeFrom="column">
                  <wp:posOffset>-73660</wp:posOffset>
                </wp:positionH>
                <wp:positionV relativeFrom="paragraph">
                  <wp:posOffset>5715</wp:posOffset>
                </wp:positionV>
                <wp:extent cx="782955" cy="556895"/>
                <wp:effectExtent l="0" t="0" r="0" b="0"/>
                <wp:wrapNone/>
                <wp:docPr id="713" name="文本框 906"/>
                <wp:cNvGraphicFramePr/>
                <a:graphic xmlns:a="http://schemas.openxmlformats.org/drawingml/2006/main">
                  <a:graphicData uri="http://schemas.microsoft.com/office/word/2010/wordprocessingShape">
                    <wps:wsp>
                      <wps:cNvSpPr txBox="1">
                        <a:spLocks noChangeArrowheads="1"/>
                      </wps:cNvSpPr>
                      <wps:spPr bwMode="auto">
                        <a:xfrm>
                          <a:off x="0" y="0"/>
                          <a:ext cx="782955" cy="556895"/>
                        </a:xfrm>
                        <a:prstGeom prst="rect">
                          <a:avLst/>
                        </a:prstGeom>
                        <a:noFill/>
                        <a:ln>
                          <a:noFill/>
                        </a:ln>
                        <a:effectLst/>
                      </wps:spPr>
                      <wps:txbx>
                        <w:txbxContent>
                          <w:p w14:paraId="79D08978">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承包人对工程质量检查的义务</w:t>
                            </w:r>
                          </w:p>
                        </w:txbxContent>
                      </wps:txbx>
                      <wps:bodyPr rot="0" vert="horz" wrap="square" lIns="91440" tIns="45720" rIns="91440" bIns="45720" anchor="t" anchorCtr="0" upright="1">
                        <a:noAutofit/>
                      </wps:bodyPr>
                    </wps:wsp>
                  </a:graphicData>
                </a:graphic>
              </wp:anchor>
            </w:drawing>
          </mc:Choice>
          <mc:Fallback>
            <w:pict>
              <v:shape id="文本框 906" o:spid="_x0000_s1026" o:spt="202" type="#_x0000_t202" style="position:absolute;left:0pt;margin-left:-5.8pt;margin-top:0.45pt;height:43.85pt;width:61.65pt;z-index:251826176;mso-width-relative:page;mso-height-relative:page;" filled="f" stroked="f" coordsize="21600,21600" o:gfxdata="UEsDBAoAAAAAAIdO4kAAAAAAAAAAAAAAAAAEAAAAZHJzL1BLAwQUAAAACACHTuJAqdkta9MAAAAH&#10;AQAADwAAAGRycy9kb3ducmV2LnhtbE2OwU7DMBBE70j8g7VI3FrbCEKaZtMDiCuIFpB6c+NtEhGv&#10;o9htwt/jnuA4mtGbV25m14szjaHzjKCXCgRx7W3HDcLH7mWRgwjRsDW9Z0L4oQCb6vqqNIX1E7/T&#10;eRsbkSAcCoPQxjgUUoa6JWfC0g/EqTv60ZmY4thIO5opwV0v75TKpDMdp4fWDPTUUv29PTmEz9fj&#10;/utevTXP7mGY/Kwku5VEvL3Rag0i0hz/xnDRT+pQJaeDP7ENokdYaJ2lKcIKxKXW+hHEASHPM5BV&#10;Kf/7V79QSwMEFAAAAAgAh07iQGlvgXIgAgAAJgQAAA4AAABkcnMvZTJvRG9jLnhtbK1TzY7TMBC+&#10;I/EOlu80bWm7bdR0tWy1CGn5kRYewHWcxiLxmLHbpDwA+wacuHDnufocjJ1sKctlD1ws2zP+Zr5v&#10;Pi8v27pie4VOg8n4aDDkTBkJuTbbjH/6ePNizpnzwuSiAqMyflCOX66eP1s2NlVjKKHKFTICMS5t&#10;bMZL722aJE6WqhZuAFYZChaAtfB0xG2So2gIva6S8XA4SxrA3CJI5Rzdrrsg7xHxKYBQFFqqNchd&#10;rYzvUFFVwhMlV2rr+Cp2WxRK+vdF4ZRnVcaJqY8rFaH9JqzJainSLQpbatm3IJ7SwiNOtdCGip6g&#10;1sILtkP9D1StJYKDwg8k1ElHJCpCLEbDR9rclcKqyIWkdvYkuvt/sPLd/gMynWf8YvSSMyNqGvnx&#10;+/3xx6/jz29sMZwFiRrrUsq8s5Tr21fQknEiXWdvQX52zMB1KcxWXSFCUyqRU4uj8DI5e9rhuACy&#10;ad5CTpXEzkMEagusg36kCCN0Gs/hNB7Veibp8mI+XkynnEkKTaez+WIaK4j04bFF518rqFnYZBxp&#10;+hFc7G+dD82I9CEl1DJwo6sqOqAyf11QYnejooX614FK6L7j4dtN20uzgfxApBA6e9Hnok0J+JWz&#10;hqyVcfdlJ1BxVr0xJMxiNJkEL8bDZHoxpgOeRzbnEWEkQWXcc9Ztr33n351FvS2pUjcKA1ckZqEj&#10;0dBq11U/ArJP5N9bPfjz/Byz/nzv1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p2S1r0wAAAAcB&#10;AAAPAAAAAAAAAAEAIAAAACIAAABkcnMvZG93bnJldi54bWxQSwECFAAUAAAACACHTuJAaW+BciAC&#10;AAAmBAAADgAAAAAAAAABACAAAAAiAQAAZHJzL2Uyb0RvYy54bWxQSwUGAAAAAAYABgBZAQAAtAUA&#10;AAAA&#10;">
                <v:fill on="f" focussize="0,0"/>
                <v:stroke on="f"/>
                <v:imagedata o:title=""/>
                <o:lock v:ext="edit" aspectratio="f"/>
                <v:textbox>
                  <w:txbxContent>
                    <w:p w14:paraId="79D08978">
                      <w:pPr>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承包人对工程质量检查的义务</w:t>
                      </w:r>
                    </w:p>
                  </w:txbxContent>
                </v:textbox>
              </v:shape>
            </w:pict>
          </mc:Fallback>
        </mc:AlternateContent>
      </w:r>
      <w:r>
        <w:rPr>
          <w:rFonts w:hint="eastAsia" w:ascii="仿宋" w:hAnsi="仿宋" w:eastAsia="仿宋" w:cs="仿宋"/>
          <w:color w:val="auto"/>
          <w:highlight w:val="none"/>
          <w:lang w:eastAsia="zh-CN"/>
        </w:rPr>
        <w:t>承包人应按照标准与规范、设计要求以及监理人依据合同约定发出的指令施工，确保工程质量，随时接受监理工程师的检查，并为监理工程师的检查（包括监理工程师到施工场地，或合同约定的其他地方察看和查阅施工原始记录等）提供便利和协助。</w:t>
      </w:r>
    </w:p>
    <w:p w14:paraId="0C529A2B">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59</w:t>
      </w:r>
      <w:r>
        <w:rPr>
          <w:rFonts w:ascii="仿宋" w:hAnsi="仿宋" w:eastAsia="仿宋" w:cs="仿宋"/>
          <w:b/>
          <w:bCs/>
          <w:color w:val="auto"/>
          <w:highlight w:val="none"/>
          <w:lang w:eastAsia="zh-CN"/>
        </w:rPr>
        <w:t>.2</w:t>
      </w:r>
    </w:p>
    <w:p w14:paraId="13B0877C">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27200" behindDoc="0" locked="0" layoutInCell="1" allowOverlap="1">
                <wp:simplePos x="0" y="0"/>
                <wp:positionH relativeFrom="column">
                  <wp:posOffset>-73660</wp:posOffset>
                </wp:positionH>
                <wp:positionV relativeFrom="paragraph">
                  <wp:posOffset>8890</wp:posOffset>
                </wp:positionV>
                <wp:extent cx="824865" cy="556895"/>
                <wp:effectExtent l="0" t="0" r="0" b="0"/>
                <wp:wrapNone/>
                <wp:docPr id="714" name="文本框 907"/>
                <wp:cNvGraphicFramePr/>
                <a:graphic xmlns:a="http://schemas.openxmlformats.org/drawingml/2006/main">
                  <a:graphicData uri="http://schemas.microsoft.com/office/word/2010/wordprocessingShape">
                    <wps:wsp>
                      <wps:cNvSpPr txBox="1">
                        <a:spLocks noChangeArrowheads="1"/>
                      </wps:cNvSpPr>
                      <wps:spPr bwMode="auto">
                        <a:xfrm>
                          <a:off x="0" y="0"/>
                          <a:ext cx="824865" cy="556895"/>
                        </a:xfrm>
                        <a:prstGeom prst="rect">
                          <a:avLst/>
                        </a:prstGeom>
                        <a:noFill/>
                        <a:ln>
                          <a:noFill/>
                        </a:ln>
                        <a:effectLst/>
                      </wps:spPr>
                      <wps:txbx>
                        <w:txbxContent>
                          <w:p w14:paraId="6981230F">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工程质量检查的要求</w:t>
                            </w:r>
                          </w:p>
                        </w:txbxContent>
                      </wps:txbx>
                      <wps:bodyPr rot="0" vert="horz" wrap="square" lIns="91440" tIns="45720" rIns="91440" bIns="45720" anchor="t" anchorCtr="0" upright="1">
                        <a:noAutofit/>
                      </wps:bodyPr>
                    </wps:wsp>
                  </a:graphicData>
                </a:graphic>
              </wp:anchor>
            </w:drawing>
          </mc:Choice>
          <mc:Fallback>
            <w:pict>
              <v:shape id="文本框 907" o:spid="_x0000_s1026" o:spt="202" type="#_x0000_t202" style="position:absolute;left:0pt;margin-left:-5.8pt;margin-top:0.7pt;height:43.85pt;width:64.95pt;z-index:251827200;mso-width-relative:page;mso-height-relative:page;" filled="f" stroked="f" coordsize="21600,21600" o:gfxdata="UEsDBAoAAAAAAIdO4kAAAAAAAAAAAAAAAAAEAAAAZHJzL1BLAwQUAAAACACHTuJAA15QJNUAAAAI&#10;AQAADwAAAGRycy9kb3ducmV2LnhtbE2Py07DMBBF90j8gzVI7Frb9KE0ZNIFqFsQ5SGxc+NpEhGP&#10;o9htwt/jrspydK7uPVNsJ9eJMw2h9Yyg5woEceVtyzXCx/tuloEI0bA1nWdC+KUA2/L2pjC59SO/&#10;0Xkfa5FKOOQGoYmxz6UMVUPOhLnviRM7+sGZmM6hlnYwYyp3nXxQai2daTktNKanp4aqn/3JIXy+&#10;HL+/luq1fnarfvSTkuw2EvH+TqtHEJGmeA3DRT+pQ5mcDv7ENogOYab1OkUTWIK4cJ0tQBwQso0G&#10;WRby/wPlH1BLAwQUAAAACACHTuJAVs8HMB8CAAAmBAAADgAAAGRycy9lMm9Eb2MueG1srVNLjhMx&#10;EN0jcQfLe9JJlG8rndEw0SCk4SMNHMBxu9MW3S5TdtIdDgA3YMWGPefKOSi7e0IYNrNgY9mu8qt6&#10;r55XV21dsYNCp8FkfDQYcqaMhFybXcY/frh9seDMeWFyUYFRGT8qx6/Wz5+tGpuqMZRQ5QoZgRiX&#10;Njbjpfc2TRInS1ULNwCrDAULwFp4OuIuyVE0hF5XyXg4nCUNYG4RpHKObjddkPeI+BRAKAot1Qbk&#10;vlbGd6ioKuGJkiu1dXwduy0KJf27onDKsyrjxNTHlYrQfhvWZL0S6Q6FLbXsWxBPaeERp1poQ0XP&#10;UBvhBduj/geq1hLBQeEHEuqkIxIVIRaj4SNt7kthVeRCUjt7Ft39P1j59vAemc4zPh9NODOippGf&#10;vn87/fh1+vmVLYfzIFFjXUqZ95ZyffsSWjJOpOvsHchPjhm4KYXZqWtEaEolcmpxFF4mF087HBdA&#10;ts0byKmS2HuIQG2BddCPFGGETuM5nsejWs8kXS7Gk8Vsypmk0HQ6WyynsYJIHx5bdP6VgpqFTcaR&#10;ph/BxeHO+dCMSB9SQi0Dt7qqogMq89cFJXY3Klqofx2ohO47Hr7dtr00W8iPRAqhsxd9LtqUgF84&#10;a8haGXef9wIVZ9VrQ8IsR5NJ8GI8TKbzMR3wMrK9jAgjCSrjnrNue+M7/+4t6l1JlbpRGLgmMQsd&#10;iYZWu676EZB9Iv/e6sGfl+eY9ed7r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15QJNUAAAAI&#10;AQAADwAAAAAAAAABACAAAAAiAAAAZHJzL2Rvd25yZXYueG1sUEsBAhQAFAAAAAgAh07iQFbPBzAf&#10;AgAAJgQAAA4AAAAAAAAAAQAgAAAAJAEAAGRycy9lMm9Eb2MueG1sUEsFBgAAAAAGAAYAWQEAALUF&#10;AAAAAA==&#10;">
                <v:fill on="f" focussize="0,0"/>
                <v:stroke on="f"/>
                <v:imagedata o:title=""/>
                <o:lock v:ext="edit" aspectratio="f"/>
                <v:textbox>
                  <w:txbxContent>
                    <w:p w14:paraId="6981230F">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工程质量检查的要求</w:t>
                      </w:r>
                    </w:p>
                  </w:txbxContent>
                </v:textbox>
              </v:shape>
            </w:pict>
          </mc:Fallback>
        </mc:AlternateContent>
      </w:r>
      <w:r>
        <w:rPr>
          <w:rFonts w:hint="eastAsia" w:ascii="仿宋" w:hAnsi="仿宋" w:eastAsia="仿宋" w:cs="仿宋"/>
          <w:color w:val="auto"/>
          <w:highlight w:val="none"/>
          <w:lang w:eastAsia="zh-CN"/>
        </w:rPr>
        <w:t>承包人应按照合同约定对合同工程的所有部位及其施工工艺进行全过程的质量检查，并做好详细记录，编制工程质量报表，提交监理人核实并由其报发包人审批。发包人应通知监理人及时对合同工程的所有部位及其施工工艺进行检查；发现质量不合格的，监理人应迅速向承包人发出书面指令，通知承包人立即拆除和重新施工。即使经监理人检查，也不能免除承包人按照合同约定应承担的任何责任和应履行的任何义务。</w:t>
      </w:r>
    </w:p>
    <w:p w14:paraId="311E94E1">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59</w:t>
      </w:r>
      <w:r>
        <w:rPr>
          <w:rFonts w:ascii="仿宋" w:hAnsi="仿宋" w:eastAsia="仿宋" w:cs="仿宋"/>
          <w:b/>
          <w:bCs/>
          <w:color w:val="auto"/>
          <w:highlight w:val="none"/>
          <w:lang w:eastAsia="zh-CN"/>
        </w:rPr>
        <w:t>.3</w:t>
      </w:r>
    </w:p>
    <w:p w14:paraId="79120E59">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28224" behindDoc="0" locked="0" layoutInCell="1" allowOverlap="1">
                <wp:simplePos x="0" y="0"/>
                <wp:positionH relativeFrom="column">
                  <wp:posOffset>-73660</wp:posOffset>
                </wp:positionH>
                <wp:positionV relativeFrom="paragraph">
                  <wp:posOffset>8890</wp:posOffset>
                </wp:positionV>
                <wp:extent cx="844550" cy="576580"/>
                <wp:effectExtent l="0" t="0" r="0" b="0"/>
                <wp:wrapNone/>
                <wp:docPr id="715" name="文本框 908"/>
                <wp:cNvGraphicFramePr/>
                <a:graphic xmlns:a="http://schemas.openxmlformats.org/drawingml/2006/main">
                  <a:graphicData uri="http://schemas.microsoft.com/office/word/2010/wordprocessingShape">
                    <wps:wsp>
                      <wps:cNvSpPr txBox="1">
                        <a:spLocks noChangeArrowheads="1"/>
                      </wps:cNvSpPr>
                      <wps:spPr bwMode="auto">
                        <a:xfrm>
                          <a:off x="0" y="0"/>
                          <a:ext cx="844550" cy="576580"/>
                        </a:xfrm>
                        <a:prstGeom prst="rect">
                          <a:avLst/>
                        </a:prstGeom>
                        <a:noFill/>
                        <a:ln>
                          <a:noFill/>
                        </a:ln>
                        <a:effectLst/>
                      </wps:spPr>
                      <wps:txbx>
                        <w:txbxContent>
                          <w:p w14:paraId="39073EC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工程质量不达标准的处理和责任</w:t>
                            </w:r>
                          </w:p>
                        </w:txbxContent>
                      </wps:txbx>
                      <wps:bodyPr rot="0" vert="horz" wrap="square" lIns="91440" tIns="45720" rIns="91440" bIns="45720" anchor="t" anchorCtr="0" upright="1">
                        <a:noAutofit/>
                      </wps:bodyPr>
                    </wps:wsp>
                  </a:graphicData>
                </a:graphic>
              </wp:anchor>
            </w:drawing>
          </mc:Choice>
          <mc:Fallback>
            <w:pict>
              <v:shape id="文本框 908" o:spid="_x0000_s1026" o:spt="202" type="#_x0000_t202" style="position:absolute;left:0pt;margin-left:-5.8pt;margin-top:0.7pt;height:45.4pt;width:66.5pt;z-index:251828224;mso-width-relative:page;mso-height-relative:page;" filled="f" stroked="f" coordsize="21600,21600" o:gfxdata="UEsDBAoAAAAAAIdO4kAAAAAAAAAAAAAAAAAEAAAAZHJzL1BLAwQUAAAACACHTuJAU/hpUdQAAAAI&#10;AQAADwAAAGRycy9kb3ducmV2LnhtbE2PwW7CMAyG75P2DpEn7QZJK4ag1OUA2nXTGEzaLTSmrWic&#10;qgm0e/ulp+1m6/v1+3O+HW0r7tT7xjFCMlcgiEtnGq4Qjp+vsxUIHzQb3TomhB/ysC0eH3KdGTfw&#10;B90PoRKxhH2mEeoQukxKX9ZktZ+7jjiyi+utDnHtK2l6PcRy28pUqaW0uuF4odYd7Woqr4ebRTi9&#10;Xb6/Fuq92tuXbnCjkmzXEvH5KVEbEIHG8BeGST+qQxGdzu7GxosWYZYkyxiNYAFi4uk0nBHWaQqy&#10;yOX/B4pfUEsDBBQAAAAIAIdO4kCqnSuSHwIAACYEAAAOAAAAZHJzL2Uyb0RvYy54bWytU82O0zAQ&#10;viPxDpbvNG3VbLtR09Wy1SKk5UdaeADXcRqLxGPGbpPyAPAGnLhw57n6HIydbCnLZQ9cLNsz/ma+&#10;bz4vr7qmZnuFToPJ+WQ05kwZCYU225x//HD7YsGZ88IUogajcn5Qjl+tnj9btjZTU6igLhQyAjEu&#10;a23OK+9tliROVqoRbgRWGQqWgI3wdMRtUqBoCb2pk+l4fJG0gIVFkMo5ul33QT4g4lMAoSy1VGuQ&#10;u0YZ36OiqoUnSq7S1vFV7LYslfTvytIpz+qcE1MfVypC+01Yk9VSZFsUttJyaEE8pYVHnBqhDRU9&#10;Qa2FF2yH+h+oRksEB6UfSWiSnkhUhFhMxo+0ua+EVZELSe3sSXT3/2Dl2/17ZLrI+XyScmZEQyM/&#10;fv92/PHr+PMruxwvgkStdRll3lvK9d1L6Mg4ka6zdyA/OWbgphJmq64Roa2UKKjFSXiZnD3tcVwA&#10;2bRvoKBKYuchAnUlNkE/UoQROo3ncBqP6jyTdLmYzdKUIpJC6fwiXcTxJSJ7eGzR+VcKGhY2OUea&#10;fgQX+zvnQzMie0gJtQzc6rqODqjNXxeU2N+oaKHhdaASuu95+G7TDdJsoDgQKYTeXvS5aFMBfuGs&#10;JWvl3H3eCVSc1a8NCXM5mc2CF+Nhls6ndMDzyOY8IowkqJx7zvrtje/9u7OotxVV6kdh4JrELHUk&#10;GlrtuxpGQPaJ/AerB3+en2PWn++9+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T+GlR1AAAAAgB&#10;AAAPAAAAAAAAAAEAIAAAACIAAABkcnMvZG93bnJldi54bWxQSwECFAAUAAAACACHTuJAqp0rkh8C&#10;AAAmBAAADgAAAAAAAAABACAAAAAjAQAAZHJzL2Uyb0RvYy54bWxQSwUGAAAAAAYABgBZAQAAtAUA&#10;AAAA&#10;">
                <v:fill on="f" focussize="0,0"/>
                <v:stroke on="f"/>
                <v:imagedata o:title=""/>
                <o:lock v:ext="edit" aspectratio="f"/>
                <v:textbox>
                  <w:txbxContent>
                    <w:p w14:paraId="39073EC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工程质量不达标准的处理和责任</w:t>
                      </w:r>
                    </w:p>
                  </w:txbxContent>
                </v:textbox>
              </v:shape>
            </w:pict>
          </mc:Fallback>
        </mc:AlternateContent>
      </w:r>
      <w:r>
        <w:rPr>
          <w:rFonts w:hint="eastAsia" w:ascii="仿宋" w:hAnsi="仿宋" w:eastAsia="仿宋" w:cs="仿宋"/>
          <w:color w:val="auto"/>
          <w:highlight w:val="none"/>
          <w:lang w:eastAsia="zh-CN"/>
        </w:rPr>
        <w:t>发现工程质量达不到合同约定验收标准，承包人应拆除和重新施工，直到符合合同约定验收标准为止。因承包人的原因达不到合同约定验收标准的，由此增加的费用和（或）延误的工期由承包人承担；因发包人的原因达不到合同约定验收标准的，包括承包人拆除和重新施工费用在内的由此增加的费用和（或）延误的工期由发包人承担，并向承包人支付合理利润。</w:t>
      </w:r>
    </w:p>
    <w:p w14:paraId="2E3D3DC1">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59</w:t>
      </w:r>
      <w:r>
        <w:rPr>
          <w:rFonts w:ascii="仿宋" w:hAnsi="仿宋" w:eastAsia="仿宋" w:cs="仿宋"/>
          <w:b/>
          <w:bCs/>
          <w:color w:val="auto"/>
          <w:highlight w:val="none"/>
          <w:lang w:eastAsia="zh-CN"/>
        </w:rPr>
        <w:t>.4</w:t>
      </w:r>
    </w:p>
    <w:p w14:paraId="70EB0771">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29248" behindDoc="0" locked="0" layoutInCell="1" allowOverlap="1">
                <wp:simplePos x="0" y="0"/>
                <wp:positionH relativeFrom="column">
                  <wp:posOffset>-114300</wp:posOffset>
                </wp:positionH>
                <wp:positionV relativeFrom="paragraph">
                  <wp:posOffset>46355</wp:posOffset>
                </wp:positionV>
                <wp:extent cx="784860" cy="437515"/>
                <wp:effectExtent l="0" t="0" r="0" b="0"/>
                <wp:wrapNone/>
                <wp:docPr id="716" name="文本框 909"/>
                <wp:cNvGraphicFramePr/>
                <a:graphic xmlns:a="http://schemas.openxmlformats.org/drawingml/2006/main">
                  <a:graphicData uri="http://schemas.microsoft.com/office/word/2010/wordprocessingShape">
                    <wps:wsp>
                      <wps:cNvSpPr txBox="1">
                        <a:spLocks noChangeArrowheads="1"/>
                      </wps:cNvSpPr>
                      <wps:spPr bwMode="auto">
                        <a:xfrm>
                          <a:off x="0" y="0"/>
                          <a:ext cx="784860" cy="437515"/>
                        </a:xfrm>
                        <a:prstGeom prst="rect">
                          <a:avLst/>
                        </a:prstGeom>
                        <a:noFill/>
                        <a:ln>
                          <a:noFill/>
                        </a:ln>
                        <a:effectLst/>
                      </wps:spPr>
                      <wps:txbx>
                        <w:txbxContent>
                          <w:p w14:paraId="3F3A59B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质量检查不得影响施工</w:t>
                            </w:r>
                          </w:p>
                        </w:txbxContent>
                      </wps:txbx>
                      <wps:bodyPr rot="0" vert="horz" wrap="square" lIns="91440" tIns="45720" rIns="91440" bIns="45720" anchor="t" anchorCtr="0" upright="1">
                        <a:noAutofit/>
                      </wps:bodyPr>
                    </wps:wsp>
                  </a:graphicData>
                </a:graphic>
              </wp:anchor>
            </w:drawing>
          </mc:Choice>
          <mc:Fallback>
            <w:pict>
              <v:shape id="文本框 909" o:spid="_x0000_s1026" o:spt="202" type="#_x0000_t202" style="position:absolute;left:0pt;margin-left:-9pt;margin-top:3.65pt;height:34.45pt;width:61.8pt;z-index:251829248;mso-width-relative:page;mso-height-relative:page;" filled="f" stroked="f" coordsize="21600,21600" o:gfxdata="UEsDBAoAAAAAAIdO4kAAAAAAAAAAAAAAAAAEAAAAZHJzL1BLAwQUAAAACACHTuJAxf/40NUAAAAI&#10;AQAADwAAAGRycy9kb3ducmV2LnhtbE2PQU/CQBSE7yb+h80j8Qa7RSlYu+Wg8aoRhYTbo/toG7pv&#10;m+5C6793OclxMpOZb/L1aFtxod43jjUkMwWCuHSm4UrDz/f7dAXCB2SDrWPS8Ese1sX9XY6ZcQN/&#10;0WUTKhFL2GeooQ6hy6T0ZU0W/cx1xNE7ut5iiLKvpOlxiOW2lXOlUmmx4bhQY0evNZWnzdlq2H4c&#10;97sn9Vm92UU3uFFJts9S64dJol5ABBrDfxiu+BEdish0cGc2XrQapskqfgkalo8grr5apCAOUadz&#10;kEUubw8Uf1BLAwQUAAAACACHTuJAyHIfNB8CAAAmBAAADgAAAGRycy9lMm9Eb2MueG1srVNLbtsw&#10;EN0X6B0I7mvZrr+C5SCNkaJA+gHSHoCmKIuoxGGHtKX0AM0Nuuqm+57L5+iQUlw33WTRDUFyhm/m&#10;vXlcXbR1xQ4KnQaT8dFgyJkyEnJtdhn/9PH6xYIz54XJRQVGZfxOOX6xfv5s1dhUjaGEKlfICMS4&#10;tLEZL723aZI4WapauAFYZShYANbC0xF3SY6iIfS6SsbD4SxpAHOLIJVzdLvpgrxHxKcAQlFoqTYg&#10;97UyvkNFVQlPlFyprePr2G1RKOnfF4VTnlUZJ6Y+rlSE9tuwJuuVSHcobKll34J4SguPONVCGyp6&#10;gtoIL9ge9T9QtZYIDgo/kFAnHZGoCLEYDR9pc1sKqyIXktrZk+ju/8HKd4cPyHSe8floxpkRNY38&#10;+P3++OPX8ec3thwug0SNdSll3lrK9e0raMk4ka6zNyA/O2bgqhRmpy4RoSmVyKnFUXiZnD3tcFwA&#10;2TZvIadKYu8hArUF1kE/UoQROo3n7jQe1Xom6XK+mCxmFJEUmrycT0fTWEGkD48tOv9aQc3CJuNI&#10;04/g4nDjfGhGpA8poZaBa11V0QGV+euCErsbFS3Uvw5UQvcdD99u216aLeR3RAqhsxd9LtqUgF85&#10;a8haGXdf9gIVZ9UbQ8IsR5NJ8GI8TKbzMR3wPLI9jwgjCSrjnrNue+U7/+4t6l1JlbpRGLgkMQsd&#10;iYZWu676EZB9Iv/e6sGf5+eY9ed7r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f/40NUAAAAI&#10;AQAADwAAAAAAAAABACAAAAAiAAAAZHJzL2Rvd25yZXYueG1sUEsBAhQAFAAAAAgAh07iQMhyHzQf&#10;AgAAJgQAAA4AAAAAAAAAAQAgAAAAJAEAAGRycy9lMm9Eb2MueG1sUEsFBgAAAAAGAAYAWQEAALUF&#10;AAAAAA==&#10;">
                <v:fill on="f" focussize="0,0"/>
                <v:stroke on="f"/>
                <v:imagedata o:title=""/>
                <o:lock v:ext="edit" aspectratio="f"/>
                <v:textbox>
                  <w:txbxContent>
                    <w:p w14:paraId="3F3A59B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质量检查不得影响施工</w:t>
                      </w:r>
                    </w:p>
                  </w:txbxContent>
                </v:textbox>
              </v:shape>
            </w:pict>
          </mc:Fallback>
        </mc:AlternateContent>
      </w:r>
      <w:r>
        <w:rPr>
          <w:rFonts w:hint="eastAsia" w:ascii="仿宋" w:hAnsi="仿宋" w:eastAsia="仿宋" w:cs="仿宋"/>
          <w:color w:val="auto"/>
          <w:highlight w:val="none"/>
          <w:lang w:eastAsia="zh-CN"/>
        </w:rPr>
        <w:t>监理人对合同工程质量的检查，不得影响承包人的正常施工。如影响施工正常进行，承包人应向发包人、监理人发出书面改正通知；监理人应及时予以改正，否则承包人有权提出并得到补偿。</w:t>
      </w:r>
    </w:p>
    <w:p w14:paraId="79BABE37">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59</w:t>
      </w:r>
      <w:r>
        <w:rPr>
          <w:rFonts w:ascii="仿宋" w:hAnsi="仿宋" w:eastAsia="仿宋" w:cs="仿宋"/>
          <w:b/>
          <w:bCs/>
          <w:color w:val="auto"/>
          <w:highlight w:val="none"/>
          <w:lang w:eastAsia="zh-CN"/>
        </w:rPr>
        <w:t>.5</w:t>
      </w:r>
    </w:p>
    <w:p w14:paraId="1E64E6BA">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830272" behindDoc="0" locked="0" layoutInCell="1" allowOverlap="1">
                <wp:simplePos x="0" y="0"/>
                <wp:positionH relativeFrom="column">
                  <wp:posOffset>-114300</wp:posOffset>
                </wp:positionH>
                <wp:positionV relativeFrom="paragraph">
                  <wp:posOffset>46355</wp:posOffset>
                </wp:positionV>
                <wp:extent cx="803910" cy="628015"/>
                <wp:effectExtent l="0" t="0" r="0" b="0"/>
                <wp:wrapNone/>
                <wp:docPr id="717" name="文本框 910"/>
                <wp:cNvGraphicFramePr/>
                <a:graphic xmlns:a="http://schemas.openxmlformats.org/drawingml/2006/main">
                  <a:graphicData uri="http://schemas.microsoft.com/office/word/2010/wordprocessingShape">
                    <wps:wsp>
                      <wps:cNvSpPr txBox="1">
                        <a:spLocks noChangeArrowheads="1"/>
                      </wps:cNvSpPr>
                      <wps:spPr bwMode="auto">
                        <a:xfrm>
                          <a:off x="0" y="0"/>
                          <a:ext cx="803910" cy="628015"/>
                        </a:xfrm>
                        <a:prstGeom prst="rect">
                          <a:avLst/>
                        </a:prstGeom>
                        <a:noFill/>
                        <a:ln>
                          <a:noFill/>
                        </a:ln>
                        <a:effectLst/>
                      </wps:spPr>
                      <wps:txbx>
                        <w:txbxContent>
                          <w:p w14:paraId="23601D1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现场工艺试验</w:t>
                            </w:r>
                          </w:p>
                        </w:txbxContent>
                      </wps:txbx>
                      <wps:bodyPr rot="0" vert="horz" wrap="square" lIns="91440" tIns="45720" rIns="91440" bIns="45720" anchor="t" anchorCtr="0" upright="1">
                        <a:noAutofit/>
                      </wps:bodyPr>
                    </wps:wsp>
                  </a:graphicData>
                </a:graphic>
              </wp:anchor>
            </w:drawing>
          </mc:Choice>
          <mc:Fallback>
            <w:pict>
              <v:shape id="文本框 910" o:spid="_x0000_s1026" o:spt="202" type="#_x0000_t202" style="position:absolute;left:0pt;margin-left:-9pt;margin-top:3.65pt;height:49.45pt;width:63.3pt;z-index:251830272;mso-width-relative:page;mso-height-relative:page;" filled="f" stroked="f" coordsize="21600,21600" o:gfxdata="UEsDBAoAAAAAAIdO4kAAAAAAAAAAAAAAAAAEAAAAZHJzL1BLAwQUAAAACACHTuJA+/Ch19YAAAAJ&#10;AQAADwAAAGRycy9kb3ducmV2LnhtbE2PwU7DMBBE70j9B2srcWvtFAghZNMDiCuI0iJxc+NtEhGv&#10;o9htwt/jnOA2q1nNvCm2k+3EhQbfOkZI1goEceVMyzXC/uNllYHwQbPRnWNC+CEP23JxVejcuJHf&#10;6bILtYgh7HON0ITQ51L6qiGr/dr1xNE7ucHqEM+hlmbQYwy3ndwolUqrW44Nje7pqaHqe3e2CIfX&#10;09fnrXqrn+1dP7pJSbYPEvF6mahHEIGm8PcMM35EhzIyHd2ZjRcdwirJ4paAcH8DYvZVloI4ziLd&#10;gCwL+X9B+QtQSwMEFAAAAAgAh07iQCGdKjEeAgAAJgQAAA4AAABkcnMvZTJvRG9jLnhtbK1TS27b&#10;MBDdF+gdCO5rSa6TOILlII2RokD6AdIegKYoi6jEYYe0JfcA7Q266qb7nsvn6JCyHTfdZNGNQM4M&#10;38x78zS76tuGbRQ6Dabg2SjlTBkJpTargn/6ePtiypnzwpSiAaMKvlWOX82fP5t1NldjqKEpFTIC&#10;MS7vbMFr722eJE7WqhVuBFYZSlaArfB0xVVSougIvW2ScZqeJx1gaRGkco6iiyHJ94j4FECoKi3V&#10;AuS6VcYPqKga4YmSq7V1fB6nrSol/fuqcsqzpuDE1McvNaHzMnyT+UzkKxS21nI/gnjKCI84tUIb&#10;anqEWggv2Br1P1CtlggOKj+S0CYDkagIscjSR9rc18KqyIWkdvYouvt/sPLd5gMyXRb8IrvgzIiW&#10;Vr778X338/fu1zd2mUWJOutyqry3VOv7V9CTcSJdZ+9AfnbMwE0tzEpdI0JXK1HSiFkQNzl5Gpbi&#10;chdAlt1bKKmTWHuIQH2FbdCPFGGETuvZHtejes8kBafpyzAPk5Q6H0/T7Cx2EPnhsUXnXytoWTgU&#10;HGn7EVxs7pwPw4j8UBJ6GbjVTRMd0Ji/AlQ4RFS00P71YfqBh++XPb0NwSWUWyKFMNiLfi461IBf&#10;OevIWgV3X9YCFWfNG0PCXGaTSfBivEzOLsZ0wdPM8jQjjCSognvOhuONH/y7tqhXNXUaVmHgmsSs&#10;dCT6MNV+BWSfyH9v9eDP03usevi953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Ch19YAAAAJ&#10;AQAADwAAAAAAAAABACAAAAAiAAAAZHJzL2Rvd25yZXYueG1sUEsBAhQAFAAAAAgAh07iQCGdKjEe&#10;AgAAJgQAAA4AAAAAAAAAAQAgAAAAJQEAAGRycy9lMm9Eb2MueG1sUEsFBgAAAAAGAAYAWQEAALUF&#10;AAAAAA==&#10;">
                <v:fill on="f" focussize="0,0"/>
                <v:stroke on="f"/>
                <v:imagedata o:title=""/>
                <o:lock v:ext="edit" aspectratio="f"/>
                <v:textbox>
                  <w:txbxContent>
                    <w:p w14:paraId="23601D19">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现场工艺试验</w:t>
                      </w:r>
                    </w:p>
                  </w:txbxContent>
                </v:textbox>
              </v:shape>
            </w:pict>
          </mc:Fallback>
        </mc:AlternateContent>
      </w:r>
      <w:r>
        <w:rPr>
          <w:rFonts w:hint="eastAsia" w:ascii="仿宋" w:hAnsi="仿宋" w:eastAsia="仿宋" w:cs="仿宋"/>
          <w:color w:val="auto"/>
          <w:highlight w:val="none"/>
          <w:lang w:eastAsia="zh-CN"/>
        </w:rPr>
        <w:t>如合同有约定或监理人发出书面指令，承包人应进行现场工艺试验。监理人报发包人批准后，认为有必要进行大型现场工艺试验的，承包人应根据监理人提出的书面要求，编制工艺试验措施计划，提交监理人确认并由其报发包人审批。除工程量清单中已经列有此类工作的支付项目和额度外，由此增加的费用和（或）延误的工期由发包人承担。</w:t>
      </w:r>
    </w:p>
    <w:p w14:paraId="56468741">
      <w:pPr>
        <w:spacing w:line="360" w:lineRule="auto"/>
        <w:rPr>
          <w:rFonts w:hint="eastAsia" w:ascii="仿宋" w:hAnsi="仿宋" w:eastAsia="仿宋" w:cs="仿宋"/>
          <w:b/>
          <w:bCs/>
          <w:color w:val="auto"/>
          <w:highlight w:val="none"/>
          <w:u w:val="single"/>
          <w:lang w:eastAsia="zh-CN"/>
        </w:rPr>
      </w:pPr>
    </w:p>
    <w:p w14:paraId="4A9F0CE4">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8" w:name="_Toc29702"/>
      <w:r>
        <w:rPr>
          <w:rFonts w:hint="eastAsia" w:ascii="仿宋" w:hAnsi="仿宋" w:eastAsia="仿宋" w:cs="仿宋"/>
          <w:bCs w:val="0"/>
          <w:color w:val="auto"/>
          <w:sz w:val="24"/>
          <w:szCs w:val="24"/>
          <w:highlight w:val="none"/>
          <w:lang w:eastAsia="zh-CN"/>
        </w:rPr>
        <w:t>★60隐蔽工程和中间验收</w:t>
      </w:r>
      <w:bookmarkEnd w:id="358"/>
    </w:p>
    <w:p w14:paraId="6D17BA85">
      <w:pPr>
        <w:pStyle w:val="20"/>
        <w:tabs>
          <w:tab w:val="left" w:pos="1320"/>
        </w:tabs>
        <w:adjustRightInd w:val="0"/>
        <w:snapToGrid w:val="0"/>
        <w:spacing w:line="360" w:lineRule="auto"/>
        <w:ind w:firstLine="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60</w:t>
      </w:r>
      <w:r>
        <w:rPr>
          <w:rFonts w:ascii="仿宋" w:hAnsi="仿宋" w:eastAsia="仿宋" w:cs="仿宋"/>
          <w:b/>
          <w:bCs/>
          <w:color w:val="auto"/>
          <w:highlight w:val="none"/>
          <w:lang w:eastAsia="zh-CN"/>
        </w:rPr>
        <w:t>.1</w:t>
      </w:r>
    </w:p>
    <w:p w14:paraId="42DE81E7">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31296" behindDoc="0" locked="0" layoutInCell="1" allowOverlap="1">
                <wp:simplePos x="0" y="0"/>
                <wp:positionH relativeFrom="column">
                  <wp:posOffset>-73660</wp:posOffset>
                </wp:positionH>
                <wp:positionV relativeFrom="paragraph">
                  <wp:posOffset>17780</wp:posOffset>
                </wp:positionV>
                <wp:extent cx="796290" cy="570230"/>
                <wp:effectExtent l="0" t="0" r="0" b="0"/>
                <wp:wrapNone/>
                <wp:docPr id="718" name="文本框 911"/>
                <wp:cNvGraphicFramePr/>
                <a:graphic xmlns:a="http://schemas.openxmlformats.org/drawingml/2006/main">
                  <a:graphicData uri="http://schemas.microsoft.com/office/word/2010/wordprocessingShape">
                    <wps:wsp>
                      <wps:cNvSpPr txBox="1">
                        <a:spLocks noChangeArrowheads="1"/>
                      </wps:cNvSpPr>
                      <wps:spPr bwMode="auto">
                        <a:xfrm>
                          <a:off x="0" y="0"/>
                          <a:ext cx="796290" cy="570230"/>
                        </a:xfrm>
                        <a:prstGeom prst="rect">
                          <a:avLst/>
                        </a:prstGeom>
                        <a:noFill/>
                        <a:ln>
                          <a:noFill/>
                        </a:ln>
                        <a:effectLst/>
                      </wps:spPr>
                      <wps:txbx>
                        <w:txbxContent>
                          <w:p w14:paraId="796EACB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隐蔽工程和中间验收的通知</w:t>
                            </w:r>
                          </w:p>
                        </w:txbxContent>
                      </wps:txbx>
                      <wps:bodyPr rot="0" vert="horz" wrap="square" lIns="91440" tIns="45720" rIns="91440" bIns="45720" anchor="t" anchorCtr="0" upright="1">
                        <a:noAutofit/>
                      </wps:bodyPr>
                    </wps:wsp>
                  </a:graphicData>
                </a:graphic>
              </wp:anchor>
            </w:drawing>
          </mc:Choice>
          <mc:Fallback>
            <w:pict>
              <v:shape id="文本框 911" o:spid="_x0000_s1026" o:spt="202" type="#_x0000_t202" style="position:absolute;left:0pt;margin-left:-5.8pt;margin-top:1.4pt;height:44.9pt;width:62.7pt;z-index:251831296;mso-width-relative:page;mso-height-relative:page;" filled="f" stroked="f" coordsize="21600,21600" o:gfxdata="UEsDBAoAAAAAAIdO4kAAAAAAAAAAAAAAAAAEAAAAZHJzL1BLAwQUAAAACACHTuJA8Q8wr9UAAAAI&#10;AQAADwAAAGRycy9kb3ducmV2LnhtbE2PwU7DMBBE70j8g7VI3FrbASKaxukBxBVEC0i9ufE2iYjX&#10;Uew24e/ZnuC2oxnNvik3s+/FGcfYBTKglwoEUh1cR42Bj93L4hFETJac7QOhgR+MsKmur0pbuDDR&#10;O563qRFcQrGwBtqUhkLKWLfobVyGAYm9Yxi9TSzHRrrRTlzue5kplUtvO+IPrR3wqcX6e3vyBj5f&#10;j/uve/XWPPuHYQqzkuRX0pjbG63WIBLO6S8MF3xGh4qZDuFELorewELrnKMGMl5w8fUdHwcDqywH&#10;WZXy/4DqF1BLAwQUAAAACACHTuJAdBMJMR8CAAAmBAAADgAAAGRycy9lMm9Eb2MueG1srVPNjtMw&#10;EL4j8Q6W7zRN6W5p1HS1bLUIafmRFh7AdZzGIvGYsdtkeQB4A05cuPNcfQ7GdreU5bIHLpHHM/5m&#10;vm++LC6GrmU7hU6DKXk+GnOmjIRKm03JP364fvaCM+eFqUQLRpX8Tjl+sXz6ZNHbQk2ggbZSyAjE&#10;uKK3JW+8t0WWOdmoTrgRWGUoWQN2wlOIm6xC0RN612aT8fg86wEriyCVc3S7Skl+QMTHAEJda6lW&#10;ILedMj6homqFJ0qu0dbxZZy2rpX07+raKc/akhNTH7/UhM7r8M2WC1FsUNhGy8MI4jEjPODUCW2o&#10;6RFqJbxgW9T/QHVaIjio/UhClyUiURFikY8faHPbCKsiF5La2aPo7v/Byre798h0VfJZTos3oqOV&#10;779/2//4tf/5lc3zPEjUW1dQ5a2lWj+8hIGME+k6ewPyk2MGrhphNuoSEfpGiYpGjC+zk6cJxwWQ&#10;df8GKuokth4i0FBjF/QjRRih03rujutRg2eSLmfz88mcMpJSZ7Px5HlcXyaK+8cWnX+loGPhUHKk&#10;7UdwsbtxnmhQ6X1J6GXgWrdtdEBr/rqgwnSjooUOrwOVMH3i4Yf1cJBmDdUdkUJI9qKfiw4N4BfO&#10;erJWyd3nrUDFWfvakDDzfDoNXozB9Gw2oQBPM+vTjDCSoEruOUvHK5/8u7WoNw11SqswcEli1joS&#10;DaOmqYh1CMg+kf/B6sGfp3Gs+vN7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8Q8wr9UAAAAI&#10;AQAADwAAAAAAAAABACAAAAAiAAAAZHJzL2Rvd25yZXYueG1sUEsBAhQAFAAAAAgAh07iQHQTCTEf&#10;AgAAJgQAAA4AAAAAAAAAAQAgAAAAJAEAAGRycy9lMm9Eb2MueG1sUEsFBgAAAAAGAAYAWQEAALUF&#10;AAAAAA==&#10;">
                <v:fill on="f" focussize="0,0"/>
                <v:stroke on="f"/>
                <v:imagedata o:title=""/>
                <o:lock v:ext="edit" aspectratio="f"/>
                <v:textbox>
                  <w:txbxContent>
                    <w:p w14:paraId="796EACB3">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隐蔽工程和中间验收的通知</w:t>
                      </w:r>
                    </w:p>
                  </w:txbxContent>
                </v:textbox>
              </v:shape>
            </w:pict>
          </mc:Fallback>
        </mc:AlternateContent>
      </w:r>
      <w:r>
        <w:rPr>
          <w:rFonts w:hint="eastAsia" w:ascii="仿宋" w:hAnsi="仿宋" w:eastAsia="仿宋" w:cs="仿宋"/>
          <w:color w:val="auto"/>
          <w:highlight w:val="none"/>
          <w:lang w:eastAsia="zh-CN"/>
        </w:rPr>
        <w:t>没有经监理人验收同意，任何分部分项工程均不得覆盖或隐蔽。隐蔽工程覆盖前或中间验收部位具备专用条款约定的验收条件时，承包人应进行自检，并在隐蔽或中间验收前</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向监理人提出隐蔽工程或中间验收申请，通知监理人验收。通知的内容包括工程隐蔽或中间验收的内容、时间、地点，以及自检记录和必要的验收资料。承包人应准备施工记录、验收表格，并提供必要的资料和协助。</w:t>
      </w:r>
    </w:p>
    <w:p w14:paraId="0C0C8C77">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39168" behindDoc="0" locked="0" layoutInCell="1" allowOverlap="1">
                <wp:simplePos x="0" y="0"/>
                <wp:positionH relativeFrom="column">
                  <wp:posOffset>-114300</wp:posOffset>
                </wp:positionH>
                <wp:positionV relativeFrom="paragraph">
                  <wp:posOffset>281940</wp:posOffset>
                </wp:positionV>
                <wp:extent cx="785495" cy="464820"/>
                <wp:effectExtent l="0" t="0" r="0" b="0"/>
                <wp:wrapNone/>
                <wp:docPr id="719" name="文本框 912"/>
                <wp:cNvGraphicFramePr/>
                <a:graphic xmlns:a="http://schemas.openxmlformats.org/drawingml/2006/main">
                  <a:graphicData uri="http://schemas.microsoft.com/office/word/2010/wordprocessingShape">
                    <wps:wsp>
                      <wps:cNvSpPr txBox="1">
                        <a:spLocks noChangeArrowheads="1"/>
                      </wps:cNvSpPr>
                      <wps:spPr bwMode="auto">
                        <a:xfrm>
                          <a:off x="0" y="0"/>
                          <a:ext cx="785495" cy="464820"/>
                        </a:xfrm>
                        <a:prstGeom prst="rect">
                          <a:avLst/>
                        </a:prstGeom>
                        <a:noFill/>
                        <a:ln>
                          <a:noFill/>
                        </a:ln>
                        <a:effectLst/>
                      </wps:spPr>
                      <wps:txbx>
                        <w:txbxContent>
                          <w:p w14:paraId="1B1B352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参加验收的限制</w:t>
                            </w:r>
                          </w:p>
                        </w:txbxContent>
                      </wps:txbx>
                      <wps:bodyPr rot="0" vert="horz" wrap="square" lIns="91440" tIns="45720" rIns="91440" bIns="45720" anchor="t" anchorCtr="0" upright="1">
                        <a:noAutofit/>
                      </wps:bodyPr>
                    </wps:wsp>
                  </a:graphicData>
                </a:graphic>
              </wp:anchor>
            </w:drawing>
          </mc:Choice>
          <mc:Fallback>
            <w:pict>
              <v:shape id="文本框 912" o:spid="_x0000_s1026" o:spt="202" type="#_x0000_t202" style="position:absolute;left:0pt;margin-left:-9pt;margin-top:22.2pt;height:36.6pt;width:61.85pt;z-index:252039168;mso-width-relative:page;mso-height-relative:page;" filled="f" stroked="f" coordsize="21600,21600" o:gfxdata="UEsDBAoAAAAAAIdO4kAAAAAAAAAAAAAAAAAEAAAAZHJzL1BLAwQUAAAACACHTuJAmVjZ6dgAAAAK&#10;AQAADwAAAGRycy9kb3ducmV2LnhtbE2PzW7CMBCE75V4B2uRegM7VfgLcThQ9dqq0FbqzcRLEhGv&#10;o9iQ9O27nNrbrGY0+02+G10rbtiHxpOGZK5AIJXeNlRp+Di+zNYgQjRkTesJNfxggF0xechNZv1A&#10;73g7xEpwCYXMaKhj7DIpQ1mjM2HuOyT2zr53JvLZV9L2ZuBy18onpZbSmYb4Q2063NdYXg5Xp+Hz&#10;9fz9laq36tktusGPSpLbSK0fp4nagog4xr8w3PEZHQpmOvkr2SBaDbNkzVuihjRNQdwDarECcWKR&#10;rJYgi1z+n1D8AlBLAwQUAAAACACHTuJAN+3D7iACAAAmBAAADgAAAGRycy9lMm9Eb2MueG1srVPN&#10;jtMwEL4j8Q6W7zRN1W63UdPVstUipOVHWngA13Eai8Rjxm6T8gDwBpy4cOe5+hyMnWwpy2UPXCzb&#10;M/5mvm8+L6+6pmZ7hU6DyXk6GnOmjIRCm23OP364fXHJmfPCFKIGo3J+UI5frZ4/W7Y2UxOooC4U&#10;MgIxLmttzivvbZYkTlaqEW4EVhkKloCN8HTEbVKgaAm9qZPJeHyRtICFRZDKObpd90E+IOJTAKEs&#10;tVRrkLtGGd+joqqFJ0qu0tbxVey2LJX078rSKc/qnBNTH1cqQvtNWJPVUmRbFLbScmhBPKWFR5wa&#10;oQ0VPUGthRdsh/ofqEZLBAelH0lokp5IVIRYpONH2txXwqrIhaR29iS6+3+w8u3+PTJd5HyeLjgz&#10;oqGRH79/O/74dfz5lS3SSZCotS6jzHtLub57CR0ZJ9J19g7kJ8cM3FTCbNU1IrSVEgW1mIaXydnT&#10;HscFkE37BgqqJHYeIlBXYhP0I0UYodN4DqfxqM4zSZfzy9l0MeNMUmh6Mb2cxPElInt4bNH5Vwoa&#10;FjY5R5p+BBf7O+dDMyJ7SAm1DNzquo4OqM1fF5TY36hooeF1oBK673n4btMN0mygOBAphN5e9Llo&#10;UwF+4awla+Xcfd4JVJzVrw0Js0in0+DFeJjO5sSD4Xlkcx4RRhJUzj1n/fbG9/7dWdTbiir1ozBw&#10;TWKWOhINrfZdDSMg+0T+g9WDP8/PMevP9179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lY2enY&#10;AAAACgEAAA8AAAAAAAAAAQAgAAAAIgAAAGRycy9kb3ducmV2LnhtbFBLAQIUABQAAAAIAIdO4kA3&#10;7cPuIAIAACYEAAAOAAAAAAAAAAEAIAAAACcBAABkcnMvZTJvRG9jLnhtbFBLBQYAAAAABgAGAFkB&#10;AAC5BQAAAAA=&#10;">
                <v:fill on="f" focussize="0,0"/>
                <v:stroke on="f"/>
                <v:imagedata o:title=""/>
                <o:lock v:ext="edit" aspectratio="f"/>
                <v:textbox>
                  <w:txbxContent>
                    <w:p w14:paraId="1B1B3525">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参加验收的限制</w:t>
                      </w:r>
                    </w:p>
                  </w:txbxContent>
                </v:textbox>
              </v:shape>
            </w:pict>
          </mc:Fallback>
        </mc:AlternateContent>
      </w:r>
      <w:r>
        <w:rPr>
          <w:rFonts w:hint="eastAsia" w:ascii="仿宋" w:hAnsi="仿宋" w:eastAsia="仿宋" w:cs="仿宋"/>
          <w:b/>
          <w:bCs/>
          <w:color w:val="auto"/>
          <w:highlight w:val="none"/>
          <w:lang w:eastAsia="zh-CN"/>
        </w:rPr>
        <w:t>60</w:t>
      </w:r>
      <w:r>
        <w:rPr>
          <w:rFonts w:ascii="仿宋" w:hAnsi="仿宋" w:eastAsia="仿宋" w:cs="仿宋"/>
          <w:b/>
          <w:bCs/>
          <w:color w:val="auto"/>
          <w:highlight w:val="none"/>
          <w:lang w:eastAsia="zh-CN"/>
        </w:rPr>
        <w:t xml:space="preserve">.2  </w:t>
      </w:r>
    </w:p>
    <w:p w14:paraId="3AE706BF">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如果监理人不能按时参加验收，应至少提前</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小时发出延期验收指令并书面说明理由，延期不得超过</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小时。如果监理人或其委派的代表未发出延期验收指令也未到场验收，承包人必须停止验收并通知发包人代表；由此增加的费用和（或）延误的工期由发包人承担，并向承包人支付合理利润。</w:t>
      </w:r>
    </w:p>
    <w:p w14:paraId="7FFA68C5">
      <w:pPr>
        <w:spacing w:line="360" w:lineRule="auto"/>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32320" behindDoc="0" locked="0" layoutInCell="1" allowOverlap="1">
                <wp:simplePos x="0" y="0"/>
                <wp:positionH relativeFrom="column">
                  <wp:posOffset>-114300</wp:posOffset>
                </wp:positionH>
                <wp:positionV relativeFrom="paragraph">
                  <wp:posOffset>300355</wp:posOffset>
                </wp:positionV>
                <wp:extent cx="813435" cy="624840"/>
                <wp:effectExtent l="0" t="0" r="0" b="0"/>
                <wp:wrapNone/>
                <wp:docPr id="720" name="文本框 913"/>
                <wp:cNvGraphicFramePr/>
                <a:graphic xmlns:a="http://schemas.openxmlformats.org/drawingml/2006/main">
                  <a:graphicData uri="http://schemas.microsoft.com/office/word/2010/wordprocessingShape">
                    <wps:wsp>
                      <wps:cNvSpPr txBox="1">
                        <a:spLocks noChangeArrowheads="1"/>
                      </wps:cNvSpPr>
                      <wps:spPr bwMode="auto">
                        <a:xfrm>
                          <a:off x="0" y="0"/>
                          <a:ext cx="813435" cy="624840"/>
                        </a:xfrm>
                        <a:prstGeom prst="rect">
                          <a:avLst/>
                        </a:prstGeom>
                        <a:noFill/>
                        <a:ln>
                          <a:noFill/>
                        </a:ln>
                        <a:effectLst/>
                      </wps:spPr>
                      <wps:txbx>
                        <w:txbxContent>
                          <w:p w14:paraId="2DB9743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验收结果的确认</w:t>
                            </w:r>
                          </w:p>
                        </w:txbxContent>
                      </wps:txbx>
                      <wps:bodyPr rot="0" vert="horz" wrap="square" lIns="91440" tIns="45720" rIns="91440" bIns="45720" anchor="t" anchorCtr="0" upright="1">
                        <a:noAutofit/>
                      </wps:bodyPr>
                    </wps:wsp>
                  </a:graphicData>
                </a:graphic>
              </wp:anchor>
            </w:drawing>
          </mc:Choice>
          <mc:Fallback>
            <w:pict>
              <v:shape id="文本框 913" o:spid="_x0000_s1026" o:spt="202" type="#_x0000_t202" style="position:absolute;left:0pt;margin-left:-9pt;margin-top:23.65pt;height:49.2pt;width:64.05pt;z-index:251832320;mso-width-relative:page;mso-height-relative:page;" filled="f" stroked="f" coordsize="21600,21600" o:gfxdata="UEsDBAoAAAAAAIdO4kAAAAAAAAAAAAAAAAAEAAAAZHJzL1BLAwQUAAAACACHTuJAYxa5DdcAAAAK&#10;AQAADwAAAGRycy9kb3ducmV2LnhtbE2PwU7DMBBE70j8g7VI3Nq1IaUlxOkBxBVEgUq9ufE2iYjX&#10;Uew24e9xT/Q2qxnNvinWk+vEiYbQetag5hIEceVty7WGr8/X2QpEiIat6TyThl8KsC6vrwqTWz/y&#10;B502sRaphENuNDQx9jliqBpyJsx9T5y8gx+ciekcarSDGVO56/BOygd0puX0oTE9PTdU/WyOTsP3&#10;22G3zeR7/eIW/egnieweUevbGyWfQESa4n8YzvgJHcrEtPdHtkF0GmZqlbZEDdnyHsQ5oKQCsU8i&#10;WywBywIvJ5R/UEsDBBQAAAAIAIdO4kBGg6uMHgIAACYEAAAOAAAAZHJzL2Uyb0RvYy54bWytU0tu&#10;2zAQ3RfoHQjua1m2kzqC5SCNkaJA+gHSHoCmKIuoxGGHtCX3AM0Nuuqm+57L5+iQUlw33WTRDUFy&#10;hm/eezNcXHZNzXYKnQaT83Q05kwZCYU2m5x/+njzYs6Z88IUogajcr5Xjl8unz9btDZTE6igLhQy&#10;AjEua23OK+9tliROVqoRbgRWGQqWgI3wdMRNUqBoCb2pk8l4fJ60gIVFkMo5ul31QT4g4lMAoSy1&#10;VCuQ20YZ36OiqoUnSa7S1vFlZFuWSvr3ZemUZ3XOSamPKxWh/TqsyXIhsg0KW2k5UBBPofBIUyO0&#10;oaJHqJXwgm1R/wPVaIngoPQjCU3SC4mOkIp0/Mibu0pYFbWQ1c4eTXf/D1a+231Apoucv5yQJ0Y0&#10;1PLD9/vDj1+Hn9/YRToNFrXWZZR5ZynXd6+go8GJcp29BfnZMQPXlTAbdYUIbaVEQRTT8DI5edrj&#10;uACybt9CQZXE1kME6kpsgn/kCCN0orI/tkd1nkm6nKfT2fSMM0mh88lsPovtS0T28Nii868VNCxs&#10;co7U/QgudrfOBzIie0gJtQzc6LqOE1Cbvy4osb9RcYSG10FKYN/r8N26G6xZQ7EnUQj9eNHnok0F&#10;+JWzlkYr5+7LVqDirH5jyJiLdEbUmY+H2Vk0Hk8j69OIMJKgcu4567fXvp/frUW9qahS3woDV2Rm&#10;qaPQQLVnNbSAxifqH0Y9zOfpOWb9+d7L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MWuQ3XAAAA&#10;CgEAAA8AAAAAAAAAAQAgAAAAIgAAAGRycy9kb3ducmV2LnhtbFBLAQIUABQAAAAIAIdO4kBGg6uM&#10;HgIAACYEAAAOAAAAAAAAAAEAIAAAACYBAABkcnMvZTJvRG9jLnhtbFBLBQYAAAAABgAGAFkBAAC2&#10;BQAAAAA=&#10;">
                <v:fill on="f" focussize="0,0"/>
                <v:stroke on="f"/>
                <v:imagedata o:title=""/>
                <o:lock v:ext="edit" aspectratio="f"/>
                <v:textbox>
                  <w:txbxContent>
                    <w:p w14:paraId="2DB9743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验收结果的确认</w:t>
                      </w:r>
                    </w:p>
                  </w:txbxContent>
                </v:textbox>
              </v:shape>
            </w:pict>
          </mc:Fallback>
        </mc:AlternateContent>
      </w:r>
      <w:r>
        <w:rPr>
          <w:rFonts w:hint="eastAsia" w:ascii="仿宋" w:hAnsi="仿宋" w:eastAsia="仿宋" w:cs="仿宋"/>
          <w:b/>
          <w:bCs/>
          <w:color w:val="auto"/>
          <w:highlight w:val="none"/>
          <w:lang w:eastAsia="zh-CN"/>
        </w:rPr>
        <w:t>60</w:t>
      </w:r>
      <w:r>
        <w:rPr>
          <w:rFonts w:ascii="仿宋" w:hAnsi="仿宋" w:eastAsia="仿宋" w:cs="仿宋"/>
          <w:b/>
          <w:bCs/>
          <w:color w:val="auto"/>
          <w:highlight w:val="none"/>
          <w:lang w:eastAsia="zh-CN"/>
        </w:rPr>
        <w:t xml:space="preserve">.3 </w:t>
      </w:r>
    </w:p>
    <w:p w14:paraId="3F23CB46">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验收合格的，监理工程师应在验收记录上签字，并形成验收文件，承包人可进行隐蔽或继续施工。验收合格</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小时后，监理工程师仍不在验收记录上签字，视为监理工程师已认可验收记录。</w:t>
      </w:r>
    </w:p>
    <w:p w14:paraId="51F65858">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验收不合格的，承包人应按照监理人的指令修改后重新验收，由此增加的费用和（或）延误的工期由承包人承担。</w:t>
      </w:r>
    </w:p>
    <w:p w14:paraId="696473ED">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40192" behindDoc="0" locked="0" layoutInCell="1" allowOverlap="1">
                <wp:simplePos x="0" y="0"/>
                <wp:positionH relativeFrom="column">
                  <wp:posOffset>-114300</wp:posOffset>
                </wp:positionH>
                <wp:positionV relativeFrom="paragraph">
                  <wp:posOffset>245110</wp:posOffset>
                </wp:positionV>
                <wp:extent cx="804545" cy="401320"/>
                <wp:effectExtent l="0" t="0" r="0" b="0"/>
                <wp:wrapNone/>
                <wp:docPr id="721" name="文本框 914"/>
                <wp:cNvGraphicFramePr/>
                <a:graphic xmlns:a="http://schemas.openxmlformats.org/drawingml/2006/main">
                  <a:graphicData uri="http://schemas.microsoft.com/office/word/2010/wordprocessingShape">
                    <wps:wsp>
                      <wps:cNvSpPr txBox="1">
                        <a:spLocks noChangeArrowheads="1"/>
                      </wps:cNvSpPr>
                      <wps:spPr bwMode="auto">
                        <a:xfrm>
                          <a:off x="0" y="0"/>
                          <a:ext cx="804545" cy="401320"/>
                        </a:xfrm>
                        <a:prstGeom prst="rect">
                          <a:avLst/>
                        </a:prstGeom>
                        <a:noFill/>
                        <a:ln>
                          <a:noFill/>
                        </a:ln>
                        <a:effectLst/>
                      </wps:spPr>
                      <wps:txbx>
                        <w:txbxContent>
                          <w:p w14:paraId="147DF9F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隐蔽工程的拍摄或照相</w:t>
                            </w:r>
                          </w:p>
                        </w:txbxContent>
                      </wps:txbx>
                      <wps:bodyPr rot="0" vert="horz" wrap="square" lIns="91440" tIns="45720" rIns="91440" bIns="45720" anchor="t" anchorCtr="0" upright="1">
                        <a:noAutofit/>
                      </wps:bodyPr>
                    </wps:wsp>
                  </a:graphicData>
                </a:graphic>
              </wp:anchor>
            </w:drawing>
          </mc:Choice>
          <mc:Fallback>
            <w:pict>
              <v:shape id="文本框 914" o:spid="_x0000_s1026" o:spt="202" type="#_x0000_t202" style="position:absolute;left:0pt;margin-left:-9pt;margin-top:19.3pt;height:31.6pt;width:63.35pt;z-index:252040192;mso-width-relative:page;mso-height-relative:page;" filled="f" stroked="f" coordsize="21600,21600" o:gfxdata="UEsDBAoAAAAAAIdO4kAAAAAAAAAAAAAAAAAEAAAAZHJzL1BLAwQUAAAACACHTuJArzVm+NcAAAAK&#10;AQAADwAAAGRycy9kb3ducmV2LnhtbE2PzU7DMBCE70i8g7VI3Fo7/BQTsukBxBVEgUq9ufE2iYjX&#10;Uew24e1xTvQ2qxnNflOsJ9eJEw2h9YyQLRUI4srblmuEr8/XhQYRomFrOs+E8EsB1uXlRWFy60f+&#10;oNMm1iKVcMgNQhNjn0sZqoacCUvfEyfv4AdnYjqHWtrBjKncdfJGqZV0puX0oTE9PTdU/WyODuH7&#10;7bDb3qn3+sXd96OflGT3KBGvrzL1BCLSFP/DMOMndCgT094f2QbRISwynbZEhFu9AjEHlH4AsZ9F&#10;pkGWhTyfUP4BUEsDBBQAAAAIAIdO4kCWmWXeHwIAACYEAAAOAAAAZHJzL2Uyb0RvYy54bWytU82O&#10;0zAQviPxDpbvNElp2SVqulq2WoS0/EgLD+A6TmOReMzYbVIegH0DTly481x9DsZOtpTlsgculu0Z&#10;fzPfN58XF33bsJ1Cp8EUPJuknCkjodRmU/BPH6+fnXPmvDClaMCogu+V4xfLp08Wnc3VFGpoSoWM&#10;QIzLO1vw2nubJ4mTtWqFm4BVhoIVYCs8HXGTlCg6Qm+bZJqmL5IOsLQIUjlHt6shyEdEfAwgVJWW&#10;agVy2yrjB1RUjfBEydXaOr6M3VaVkv59VTnlWVNwYurjSkVovw5rslyIfIPC1lqOLYjHtPCAUyu0&#10;oaJHqJXwgm1R/wPVaongoPITCW0yEImKEIssfaDNbS2silxIamePorv/Byvf7T4g02XBz6YZZ0a0&#10;NPLD97vDj1+Hn9/Yy2wWJOqsyynz1lKu719BT8aJdJ29AfnZMQNXtTAbdYkIXa1ESS1m4WVy8nTA&#10;cQFk3b2FkiqJrYcI1FfYBv1IEUboNJ79cTyq90zS5Xk6m8/mnEkKzdLs+TSOLxH5/WOLzr9W0LKw&#10;KTjS9CO42N04H5oR+X1KqGXgWjdNdEBj/rqgxOFGRQuNrwOV0P3Aw/frfpRmDeWeSCEM9qLPRZsa&#10;8CtnHVmr4O7LVqDirHljSBgSdRa8GA+z+RnxYHgaWZ9GhJEEVXDP2bC98oN/txb1pqZKwygMXJKY&#10;lY5EQ6tDV+MIyD6R/2j14M/Tc8z6872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vNWb41wAA&#10;AAoBAAAPAAAAAAAAAAEAIAAAACIAAABkcnMvZG93bnJldi54bWxQSwECFAAUAAAACACHTuJAlpll&#10;3h8CAAAmBAAADgAAAAAAAAABACAAAAAmAQAAZHJzL2Uyb0RvYy54bWxQSwUGAAAAAAYABgBZAQAA&#10;twUAAAAA&#10;">
                <v:fill on="f" focussize="0,0"/>
                <v:stroke on="f"/>
                <v:imagedata o:title=""/>
                <o:lock v:ext="edit" aspectratio="f"/>
                <v:textbox>
                  <w:txbxContent>
                    <w:p w14:paraId="147DF9F4">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隐蔽工程的拍摄或照相</w:t>
                      </w:r>
                    </w:p>
                  </w:txbxContent>
                </v:textbox>
              </v:shape>
            </w:pict>
          </mc:Fallback>
        </mc:AlternateContent>
      </w:r>
      <w:r>
        <w:rPr>
          <w:rFonts w:hint="eastAsia" w:ascii="仿宋" w:hAnsi="仿宋" w:eastAsia="仿宋" w:cs="仿宋"/>
          <w:b/>
          <w:bCs/>
          <w:color w:val="auto"/>
          <w:highlight w:val="none"/>
          <w:lang w:eastAsia="zh-CN"/>
        </w:rPr>
        <w:t>60</w:t>
      </w:r>
      <w:r>
        <w:rPr>
          <w:rFonts w:ascii="仿宋" w:hAnsi="仿宋" w:eastAsia="仿宋" w:cs="仿宋"/>
          <w:b/>
          <w:bCs/>
          <w:color w:val="auto"/>
          <w:highlight w:val="none"/>
          <w:lang w:eastAsia="zh-CN"/>
        </w:rPr>
        <w:t xml:space="preserve">.4    </w:t>
      </w:r>
    </w:p>
    <w:p w14:paraId="792230F1">
      <w:pPr>
        <w:widowControl w:val="0"/>
        <w:adjustRightInd w:val="0"/>
        <w:snapToGrid w:val="0"/>
        <w:spacing w:line="360" w:lineRule="auto"/>
        <w:ind w:left="1850" w:leftChars="771"/>
        <w:jc w:val="both"/>
        <w:rPr>
          <w:color w:val="auto"/>
          <w:highlight w:val="none"/>
          <w:lang w:eastAsia="zh-CN"/>
        </w:rPr>
      </w:pPr>
      <w:r>
        <w:rPr>
          <w:rFonts w:hint="eastAsia" w:ascii="仿宋" w:hAnsi="仿宋" w:eastAsia="仿宋" w:cs="仿宋"/>
          <w:color w:val="auto"/>
          <w:highlight w:val="none"/>
          <w:lang w:eastAsia="zh-CN"/>
        </w:rPr>
        <w:t>如监理工程师有指令，承包人应对隐蔽工程进行拍摄或照相，保证监理工程师能充分检查和测量隐蔽的工程。</w:t>
      </w:r>
    </w:p>
    <w:p w14:paraId="0798EC1C">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41216" behindDoc="0" locked="0" layoutInCell="1" allowOverlap="1">
                <wp:simplePos x="0" y="0"/>
                <wp:positionH relativeFrom="column">
                  <wp:posOffset>-114300</wp:posOffset>
                </wp:positionH>
                <wp:positionV relativeFrom="paragraph">
                  <wp:posOffset>245110</wp:posOffset>
                </wp:positionV>
                <wp:extent cx="575945" cy="249555"/>
                <wp:effectExtent l="0" t="0" r="0" b="0"/>
                <wp:wrapNone/>
                <wp:docPr id="722" name="文本框 915"/>
                <wp:cNvGraphicFramePr/>
                <a:graphic xmlns:a="http://schemas.openxmlformats.org/drawingml/2006/main">
                  <a:graphicData uri="http://schemas.microsoft.com/office/word/2010/wordprocessingShape">
                    <wps:wsp>
                      <wps:cNvSpPr txBox="1">
                        <a:spLocks noChangeArrowheads="1"/>
                      </wps:cNvSpPr>
                      <wps:spPr bwMode="auto">
                        <a:xfrm>
                          <a:off x="0" y="0"/>
                          <a:ext cx="575945" cy="249555"/>
                        </a:xfrm>
                        <a:prstGeom prst="rect">
                          <a:avLst/>
                        </a:prstGeom>
                        <a:noFill/>
                        <a:ln>
                          <a:noFill/>
                        </a:ln>
                      </wps:spPr>
                      <wps:txbx>
                        <w:txbxContent>
                          <w:p w14:paraId="727C0C32">
                            <w:pPr>
                              <w:spacing w:line="240" w:lineRule="exact"/>
                              <w:rPr>
                                <w:rFonts w:ascii="宋体"/>
                                <w:sz w:val="18"/>
                                <w:szCs w:val="18"/>
                              </w:rPr>
                            </w:pPr>
                            <w:r>
                              <w:rPr>
                                <w:rFonts w:hint="eastAsia" w:ascii="楷体_GB2312" w:hAnsi="宋体" w:eastAsia="楷体_GB2312" w:cs="楷体_GB2312"/>
                                <w:b/>
                                <w:bCs/>
                                <w:color w:val="000000"/>
                                <w:sz w:val="18"/>
                                <w:szCs w:val="18"/>
                              </w:rPr>
                              <w:t>承包人私自隐蔽</w:t>
                            </w:r>
                          </w:p>
                        </w:txbxContent>
                      </wps:txbx>
                      <wps:bodyPr rot="0" vert="horz" wrap="square" lIns="91440" tIns="45720" rIns="91440" bIns="45720" anchor="t" anchorCtr="0" upright="1">
                        <a:noAutofit/>
                      </wps:bodyPr>
                    </wps:wsp>
                  </a:graphicData>
                </a:graphic>
              </wp:anchor>
            </w:drawing>
          </mc:Choice>
          <mc:Fallback>
            <w:pict>
              <v:shape id="文本框 915" o:spid="_x0000_s1026" o:spt="202" type="#_x0000_t202" style="position:absolute;left:0pt;margin-left:-9pt;margin-top:19.3pt;height:19.65pt;width:45.35pt;z-index:252041216;mso-width-relative:page;mso-height-relative:page;" filled="f" stroked="f" coordsize="21600,21600" o:gfxdata="UEsDBAoAAAAAAIdO4kAAAAAAAAAAAAAAAAAEAAAAZHJzL1BLAwQUAAAACACHTuJAJGJDvdcAAAAI&#10;AQAADwAAAGRycy9kb3ducmV2LnhtbE2PwU7DMBBE70j9B2uRuLV2CjRpiNNDEVcQbUHi5sbbJCJe&#10;R7HbhL9nOdHTaDWj2TfFZnKduOAQWk8akoUCgVR521Kt4bB/mWcgQjRkTecJNfxggE05uylMbv1I&#10;73jZxVpwCYXcaGhi7HMpQ9WgM2HheyT2Tn5wJvI51NIOZuRy18mlUivpTEv8oTE9bhusvndnp+Hj&#10;9fT1+aDe6mf32I9+UpLcWmp9d5uoJxARp/gfhj98RoeSmY7+TDaITsM8yXhL1HCfrUBwIF2mII6s&#10;6RpkWcjrAeUvUEsDBBQAAAAIAIdO4kDwTulaGgIAABgEAAAOAAAAZHJzL2Uyb0RvYy54bWytU0tu&#10;2zAQ3RfoHQjua9mCVdeC5SCNkaJA+gGSHoCmKIuoxGGHtCX3AO0Nuuqm+57L58iQclw33WTRjUBy&#10;hm/ee3xaXPRtw3YKnQZT8MlozJkyEkptNgX/dHf94hVnzgtTigaMKvheOX6xfP5s0dlcpVBDUypk&#10;BGJc3tmC197bPEmcrFUr3AisMlSsAFvhaYubpETREXrbJOl4/DLpAEuLIJVzdLoaivyIiE8BhKrS&#10;Uq1Abltl/ICKqhGeJLlaW8eXkW1VKek/VJVTnjUFJ6U+fmkIrdfhmywXIt+gsLWWRwriKRQeaWqF&#10;NjT0BLUSXrAt6n+gWi0RHFR+JKFNBiHREVIxGT/y5rYWVkUtZLWzJ9Pd/4OV73cfkemy4LM05cyI&#10;lp788OP74efvw69vbD7JgkWddTl13lrq9f1r6Ck4Ua6zNyA/O2bgqhZmoy4RoauVKIniJNxMzq4O&#10;OC6ArLt3UNIksfUQgfoK2+AfOcIInZ5nf3oe1Xsm6TCbZfNpxpmkUjqdZ1nkloj84bJF598oaFlY&#10;FBzp9SO42N04H8iI/KElzDJwrZsmJqAxfx1QYziJ5APfgbnv1/3RjDWUe5KBMASKfida1IBfOeso&#10;TAV3X7YCFWfNW0NWzCfTaUhf3EyzWUobPK+szyvCSIIquOdsWF75IbFbi3pT06TBfAOXZF+lo7Tg&#10;88DqyJsCExUfwx0Seb6PXX9+6OU9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JGJDvdcAAAAIAQAA&#10;DwAAAAAAAAABACAAAAAiAAAAZHJzL2Rvd25yZXYueG1sUEsBAhQAFAAAAAgAh07iQPBO6VoaAgAA&#10;GAQAAA4AAAAAAAAAAQAgAAAAJgEAAGRycy9lMm9Eb2MueG1sUEsFBgAAAAAGAAYAWQEAALIFAAAA&#10;AA==&#10;">
                <v:fill on="f" focussize="0,0"/>
                <v:stroke on="f"/>
                <v:imagedata o:title=""/>
                <o:lock v:ext="edit" aspectratio="f"/>
                <v:textbox>
                  <w:txbxContent>
                    <w:p w14:paraId="727C0C32">
                      <w:pPr>
                        <w:spacing w:line="240" w:lineRule="exact"/>
                        <w:rPr>
                          <w:rFonts w:ascii="宋体"/>
                          <w:sz w:val="18"/>
                          <w:szCs w:val="18"/>
                        </w:rPr>
                      </w:pPr>
                      <w:r>
                        <w:rPr>
                          <w:rFonts w:hint="eastAsia" w:ascii="楷体_GB2312" w:hAnsi="宋体" w:eastAsia="楷体_GB2312" w:cs="楷体_GB2312"/>
                          <w:b/>
                          <w:bCs/>
                          <w:color w:val="000000"/>
                          <w:sz w:val="18"/>
                          <w:szCs w:val="18"/>
                        </w:rPr>
                        <w:t>承包人私自隐蔽</w:t>
                      </w:r>
                    </w:p>
                  </w:txbxContent>
                </v:textbox>
              </v:shape>
            </w:pict>
          </mc:Fallback>
        </mc:AlternateContent>
      </w:r>
      <w:r>
        <w:rPr>
          <w:rFonts w:hint="eastAsia" w:ascii="仿宋" w:hAnsi="仿宋" w:eastAsia="仿宋" w:cs="仿宋"/>
          <w:b/>
          <w:bCs/>
          <w:color w:val="auto"/>
          <w:highlight w:val="none"/>
          <w:lang w:eastAsia="zh-CN"/>
        </w:rPr>
        <w:t>60</w:t>
      </w:r>
      <w:r>
        <w:rPr>
          <w:rFonts w:ascii="仿宋" w:hAnsi="仿宋" w:eastAsia="仿宋" w:cs="仿宋"/>
          <w:b/>
          <w:bCs/>
          <w:color w:val="auto"/>
          <w:highlight w:val="none"/>
          <w:lang w:eastAsia="zh-CN"/>
        </w:rPr>
        <w:t xml:space="preserve">.5  </w:t>
      </w:r>
    </w:p>
    <w:p w14:paraId="6BB8FE80">
      <w:pPr>
        <w:widowControl w:val="0"/>
        <w:adjustRightInd w:val="0"/>
        <w:snapToGrid w:val="0"/>
        <w:spacing w:line="360" w:lineRule="auto"/>
        <w:ind w:left="1850" w:leftChars="771"/>
        <w:jc w:val="both"/>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承包人未通知监理工程师到场验收，私自将隐蔽工程覆盖的，监理工程师有权指令承包人进行钻孔探测或剥露验收，由此增加的费用和（或）延误的工期由承包人承担。</w:t>
      </w:r>
    </w:p>
    <w:p w14:paraId="403206AB">
      <w:pPr>
        <w:pStyle w:val="20"/>
        <w:adjustRightInd w:val="0"/>
        <w:snapToGrid w:val="0"/>
        <w:spacing w:line="360" w:lineRule="auto"/>
        <w:ind w:firstLine="0"/>
        <w:rPr>
          <w:rFonts w:hint="eastAsia" w:ascii="仿宋" w:hAnsi="仿宋" w:eastAsia="仿宋" w:cs="仿宋"/>
          <w:b/>
          <w:bCs/>
          <w:color w:val="auto"/>
          <w:highlight w:val="none"/>
          <w:u w:val="single"/>
          <w:lang w:eastAsia="zh-CN"/>
        </w:rPr>
      </w:pPr>
    </w:p>
    <w:p w14:paraId="0FF47DCF">
      <w:pPr>
        <w:pStyle w:val="5"/>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59" w:name="_Toc8910"/>
      <w:r>
        <w:rPr>
          <w:rFonts w:hint="eastAsia" w:ascii="仿宋" w:hAnsi="仿宋" w:eastAsia="仿宋" w:cs="仿宋"/>
          <w:bCs w:val="0"/>
          <w:color w:val="auto"/>
          <w:sz w:val="24"/>
          <w:szCs w:val="24"/>
          <w:highlight w:val="none"/>
          <w:lang w:eastAsia="zh-CN"/>
        </w:rPr>
        <w:t>★61重新验收和额外检查检验</w:t>
      </w:r>
      <w:bookmarkEnd w:id="359"/>
    </w:p>
    <w:p w14:paraId="2A2962E9">
      <w:pPr>
        <w:pStyle w:val="20"/>
        <w:adjustRightInd w:val="0"/>
        <w:snapToGrid w:val="0"/>
        <w:spacing w:line="360" w:lineRule="auto"/>
        <w:ind w:firstLine="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61</w:t>
      </w:r>
      <w:r>
        <w:rPr>
          <w:rFonts w:ascii="仿宋" w:hAnsi="仿宋" w:eastAsia="仿宋" w:cs="仿宋"/>
          <w:b/>
          <w:bCs/>
          <w:color w:val="auto"/>
          <w:highlight w:val="none"/>
          <w:lang w:eastAsia="zh-CN"/>
        </w:rPr>
        <w:t>.1</w:t>
      </w:r>
    </w:p>
    <w:p w14:paraId="18E548B5">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ascii="仿宋" w:hAnsi="仿宋" w:eastAsia="仿宋" w:cs="仿宋"/>
          <w:b/>
          <w:bCs/>
          <w:color w:val="auto"/>
          <w:highlight w:val="none"/>
          <w:lang w:eastAsia="zh-CN" w:bidi="ar-SA"/>
        </w:rPr>
        <mc:AlternateContent>
          <mc:Choice Requires="wps">
            <w:drawing>
              <wp:anchor distT="0" distB="0" distL="114300" distR="114300" simplePos="0" relativeHeight="252042240" behindDoc="0" locked="0" layoutInCell="1" allowOverlap="1">
                <wp:simplePos x="0" y="0"/>
                <wp:positionH relativeFrom="column">
                  <wp:posOffset>-114300</wp:posOffset>
                </wp:positionH>
                <wp:positionV relativeFrom="paragraph">
                  <wp:posOffset>65405</wp:posOffset>
                </wp:positionV>
                <wp:extent cx="817245" cy="521970"/>
                <wp:effectExtent l="0" t="0" r="0" b="0"/>
                <wp:wrapNone/>
                <wp:docPr id="723" name="文本框 916"/>
                <wp:cNvGraphicFramePr/>
                <a:graphic xmlns:a="http://schemas.openxmlformats.org/drawingml/2006/main">
                  <a:graphicData uri="http://schemas.microsoft.com/office/word/2010/wordprocessingShape">
                    <wps:wsp>
                      <wps:cNvSpPr txBox="1">
                        <a:spLocks noChangeArrowheads="1"/>
                      </wps:cNvSpPr>
                      <wps:spPr bwMode="auto">
                        <a:xfrm>
                          <a:off x="0" y="0"/>
                          <a:ext cx="817245" cy="521970"/>
                        </a:xfrm>
                        <a:prstGeom prst="rect">
                          <a:avLst/>
                        </a:prstGeom>
                        <a:noFill/>
                        <a:ln>
                          <a:noFill/>
                        </a:ln>
                        <a:effectLst/>
                      </wps:spPr>
                      <wps:txbx>
                        <w:txbxContent>
                          <w:p w14:paraId="253EAEB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重新验收</w:t>
                            </w:r>
                          </w:p>
                        </w:txbxContent>
                      </wps:txbx>
                      <wps:bodyPr rot="0" vert="horz" wrap="square" lIns="91440" tIns="45720" rIns="91440" bIns="45720" anchor="t" anchorCtr="0" upright="1">
                        <a:noAutofit/>
                      </wps:bodyPr>
                    </wps:wsp>
                  </a:graphicData>
                </a:graphic>
              </wp:anchor>
            </w:drawing>
          </mc:Choice>
          <mc:Fallback>
            <w:pict>
              <v:shape id="文本框 916" o:spid="_x0000_s1026" o:spt="202" type="#_x0000_t202" style="position:absolute;left:0pt;margin-left:-9pt;margin-top:5.15pt;height:41.1pt;width:64.35pt;z-index:252042240;mso-width-relative:page;mso-height-relative:page;" filled="f" stroked="f" coordsize="21600,21600" o:gfxdata="UEsDBAoAAAAAAIdO4kAAAAAAAAAAAAAAAAAEAAAAZHJzL1BLAwQUAAAACACHTuJAKwJlItYAAAAJ&#10;AQAADwAAAGRycy9kb3ducmV2LnhtbE2PzU7DMBCE70i8g7VI3Fo7hUIbsukBxBVE+ZG4beNtEhGv&#10;o9htwtvjnuhxNKOZb4rN5Dp15CG0XhCyuQHFUnnbSo3w8f48W4EKkcRS54URfjnApry8KCi3fpQ3&#10;Pm5jrVKJhJwQmhj7XOtQNewozH3Pkry9HxzFJIda24HGVO46vTDmTjtqJS001PNjw9XP9uAQPl/2&#10;31+35rV+cst+9JPR4tYa8foqMw+gIk/xPwwn/IQOZWLa+YPYoDqEWbZKX2IyzA2oUyAz96B2COvF&#10;EnRZ6PMH5R9QSwMEFAAAAAgAh07iQB2+jFYgAgAAJgQAAA4AAABkcnMvZTJvRG9jLnhtbK1TS27b&#10;MBDdF+gdCO5rWa4dx4LlII2RokD6AdIegKYoi6jEYYe0pfQAzQ266qb7nsvn6JBSXDfdZNENQXKG&#10;b+a9eVxedE3N9gqdBpPzdDTmTBkJhTbbnH/6eP3inDPnhSlEDUbl/E45frF6/mzZ2kxNoIK6UMgI&#10;xListTmvvLdZkjhZqUa4EVhlKFgCNsLTEbdJgaIl9KZOJuPxWdICFhZBKufodt0H+YCITwGEstRS&#10;rUHuGmV8j4qqFp4ouUpbx1ex27JU0r8vS6c8q3NOTH1cqQjtN2FNVkuRbVHYSsuhBfGUFh5xaoQ2&#10;VPQItRZesB3qf6AaLREclH4koUl6IlERYpGOH2lzWwmrIheS2tmj6O7/wcp3+w/IdJHz+eQlZ0Y0&#10;NPLD9/vDj1+Hn9/YIj0LErXWZZR5aynXd6+gI+NEus7egPzsmIGrSpitukSEtlKioBbT8DI5edrj&#10;uACyad9CQZXEzkME6kpsgn6kCCN0Gs/dcTyq80zS5Xk6n0xnnEkKzSbpYh7Hl4js4bFF518raFjY&#10;5Bxp+hFc7G+cD82I7CEl1DJwres6OqA2f11QYn+jooWG14FK6L7n4btNN0izgeKOSCH09qLPRZsK&#10;8CtnLVkr5+7LTqDirH5jSJhFOp0GL8bDdDaf0AFPI5vTiDCSoHLuOeu3V773786i3lZUqR+FgUsS&#10;s9SRaGi172oYAdkn8h+sHvx5eo5Zf7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rAmUi1gAA&#10;AAkBAAAPAAAAAAAAAAEAIAAAACIAAABkcnMvZG93bnJldi54bWxQSwECFAAUAAAACACHTuJAHb6M&#10;ViACAAAmBAAADgAAAAAAAAABACAAAAAlAQAAZHJzL2Uyb0RvYy54bWxQSwUGAAAAAAYABgBZAQAA&#10;twUAAAAA&#10;">
                <v:fill on="f" focussize="0,0"/>
                <v:stroke on="f"/>
                <v:imagedata o:title=""/>
                <o:lock v:ext="edit" aspectratio="f"/>
                <v:textbox>
                  <w:txbxContent>
                    <w:p w14:paraId="253EAEB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重新验收</w:t>
                      </w:r>
                    </w:p>
                  </w:txbxContent>
                </v:textbox>
              </v:shape>
            </w:pict>
          </mc:Fallback>
        </mc:AlternateContent>
      </w:r>
      <w:r>
        <w:rPr>
          <w:rFonts w:hint="eastAsia" w:ascii="仿宋" w:hAnsi="仿宋" w:eastAsia="仿宋" w:cs="仿宋"/>
          <w:color w:val="auto"/>
          <w:highlight w:val="none"/>
          <w:lang w:eastAsia="zh-CN"/>
        </w:rPr>
        <w:t>当监理工程师对已经覆盖的隐蔽工程有疑问，要求重新验收时，承包人应按照要求对已覆盖的部位进行钻孔探测或剥露，并在验收后重新覆盖恢复原状。验收合格的，由此增加的费用和（或）延误的工期由发包人承担，并向承包人支付合理利润；验收不合格的，承包人应按照监理工程师的指令重新返工，直到验收合格为止，由此增加的费用和（或）延误的工期由承包人承担。</w:t>
      </w:r>
    </w:p>
    <w:p w14:paraId="48A7F1D0">
      <w:pPr>
        <w:pStyle w:val="20"/>
        <w:tabs>
          <w:tab w:val="left" w:pos="540"/>
          <w:tab w:val="left" w:pos="720"/>
        </w:tabs>
        <w:adjustRightInd w:val="0"/>
        <w:snapToGrid w:val="0"/>
        <w:spacing w:line="360" w:lineRule="auto"/>
        <w:ind w:firstLine="0"/>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61</w:t>
      </w:r>
      <w:r>
        <w:rPr>
          <w:rFonts w:ascii="仿宋" w:hAnsi="仿宋" w:eastAsia="仿宋" w:cs="仿宋"/>
          <w:b/>
          <w:bCs/>
          <w:color w:val="auto"/>
          <w:highlight w:val="none"/>
          <w:lang w:eastAsia="zh-CN"/>
        </w:rPr>
        <w:t xml:space="preserve">.2 </w:t>
      </w:r>
    </w:p>
    <w:p w14:paraId="3D58083C">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33344" behindDoc="0" locked="0" layoutInCell="1" allowOverlap="1">
                <wp:simplePos x="0" y="0"/>
                <wp:positionH relativeFrom="column">
                  <wp:posOffset>-114300</wp:posOffset>
                </wp:positionH>
                <wp:positionV relativeFrom="paragraph">
                  <wp:posOffset>7620</wp:posOffset>
                </wp:positionV>
                <wp:extent cx="791210" cy="528320"/>
                <wp:effectExtent l="0" t="0" r="0" b="0"/>
                <wp:wrapNone/>
                <wp:docPr id="724" name="文本框 917"/>
                <wp:cNvGraphicFramePr/>
                <a:graphic xmlns:a="http://schemas.openxmlformats.org/drawingml/2006/main">
                  <a:graphicData uri="http://schemas.microsoft.com/office/word/2010/wordprocessingShape">
                    <wps:wsp>
                      <wps:cNvSpPr txBox="1">
                        <a:spLocks noChangeArrowheads="1"/>
                      </wps:cNvSpPr>
                      <wps:spPr bwMode="auto">
                        <a:xfrm>
                          <a:off x="0" y="0"/>
                          <a:ext cx="791210" cy="528320"/>
                        </a:xfrm>
                        <a:prstGeom prst="rect">
                          <a:avLst/>
                        </a:prstGeom>
                        <a:noFill/>
                        <a:ln>
                          <a:noFill/>
                        </a:ln>
                        <a:effectLst/>
                      </wps:spPr>
                      <wps:txbx>
                        <w:txbxContent>
                          <w:p w14:paraId="5FCD147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额外检查检验</w:t>
                            </w:r>
                          </w:p>
                        </w:txbxContent>
                      </wps:txbx>
                      <wps:bodyPr rot="0" vert="horz" wrap="square" lIns="91440" tIns="45720" rIns="91440" bIns="45720" anchor="t" anchorCtr="0" upright="1">
                        <a:noAutofit/>
                      </wps:bodyPr>
                    </wps:wsp>
                  </a:graphicData>
                </a:graphic>
              </wp:anchor>
            </w:drawing>
          </mc:Choice>
          <mc:Fallback>
            <w:pict>
              <v:shape id="文本框 917" o:spid="_x0000_s1026" o:spt="202" type="#_x0000_t202" style="position:absolute;left:0pt;margin-left:-9pt;margin-top:0.6pt;height:41.6pt;width:62.3pt;z-index:251833344;mso-width-relative:page;mso-height-relative:page;" filled="f" stroked="f" coordsize="21600,21600" o:gfxdata="UEsDBAoAAAAAAIdO4kAAAAAAAAAAAAAAAAAEAAAAZHJzL1BLAwQUAAAACACHTuJABqCT6NUAAAAI&#10;AQAADwAAAGRycy9kb3ducmV2LnhtbE2PwU7DMBBE70j8g7VIvbXrVCEKIU4PIK5UlILEzY23SUS8&#10;jmK3Sf++7gmOq7eaeVNuZtuLM42+c6wgWUkQxLUzHTcK9p9vyxyED5qN7h2Tggt52FT3d6UujJv4&#10;g8670IgYwr7QCtoQhgLR1y1Z7VduII7s6EarQzzHBs2opxhue1xLmaHVHceGVg/00lL9uztZBV/v&#10;x5/vVG6bV/s4TG6WyPYJlVo8JPIZRKA5/D3DTT+qQxWdDu7ExotewTLJ45YQwRrEjcssA3FQkKcp&#10;YFXi/wHVFVBLAwQUAAAACACHTuJA/7H6sh8CAAAmBAAADgAAAGRycy9lMm9Eb2MueG1srVPNjtMw&#10;EL4j8Q6W7zRN6NJt1HS1bLUIafmRFh7AdZzGIvGYsdtkeQB4A05cuPNcfQ7GTraU5bIHLpbtGX8z&#10;3zeflxd927C9QqfBFDydTDlTRkKpzbbgHz9cPzvnzHlhStGAUQW/U45frJ4+WXY2VxnU0JQKGYEY&#10;l3e24LX3Nk8SJ2vVCjcBqwwFK8BWeDriNilRdITeNkk2nb5IOsDSIkjlHN2uhyAfEfExgFBVWqo1&#10;yF2rjB9QUTXCEyVXa+v4KnZbVUr6d1XllGdNwYmpjysVof0mrMlqKfItCltrObYgHtPCA06t0IaK&#10;HqHWwgu2Q/0PVKslgoPKTyS0yUAkKkIs0ukDbW5rYVXkQlI7exTd/T9Y+Xb/HpkuCz7PZpwZ0dLI&#10;D9+/HX78Ovz8yhbpPEjUWZdT5q2lXN+/hJ6ME+k6ewPyk2MGrmphtuoSEbpaiZJaTMPL5OTpgOMC&#10;yKZ7AyVVEjsPEaivsA36kSKM0Gk8d8fxqN4zSZfzRZqlFJEUOsvOn2dxfInI7x9bdP6VgpaFTcGR&#10;ph/Bxf7G+dCMyO9TQi0D17ppogMa89cFJQ43KlpofB2ohO4HHr7f9KM0GyjviBTCYC/6XLSpAb9w&#10;1pG1Cu4+7wQqzprXhoRZpLNZ8GI8zM7mxIPhaWRzGhFGElTBPWfD9soP/t1Z1NuaKg2jMHBJYlY6&#10;Eg2tDl2NIyD7RP6j1YM/T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qCT6NUAAAAI&#10;AQAADwAAAAAAAAABACAAAAAiAAAAZHJzL2Rvd25yZXYueG1sUEsBAhQAFAAAAAgAh07iQP+x+rIf&#10;AgAAJgQAAA4AAAAAAAAAAQAgAAAAJAEAAGRycy9lMm9Eb2MueG1sUEsFBgAAAAAGAAYAWQEAALUF&#10;AAAAAA==&#10;">
                <v:fill on="f" focussize="0,0"/>
                <v:stroke on="f"/>
                <v:imagedata o:title=""/>
                <o:lock v:ext="edit" aspectratio="f"/>
                <v:textbox>
                  <w:txbxContent>
                    <w:p w14:paraId="5FCD147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额外检查检验</w:t>
                      </w:r>
                    </w:p>
                  </w:txbxContent>
                </v:textbox>
              </v:shape>
            </w:pict>
          </mc:Fallback>
        </mc:AlternateContent>
      </w:r>
      <w:r>
        <w:rPr>
          <w:rFonts w:hint="eastAsia" w:ascii="仿宋" w:hAnsi="仿宋" w:eastAsia="仿宋" w:cs="仿宋"/>
          <w:color w:val="auto"/>
          <w:highlight w:val="none"/>
          <w:lang w:eastAsia="zh-CN"/>
        </w:rPr>
        <w:t>当监理工程师指令承包人进行合同中没有约定的检查检验，以核实合同工程某一部位或某种工程材料和工程设备等产品是否有缺陷时，承包人应按照要求进行检查检验。存在缺陷的，分别按照第</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7.7款、第59</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款约定处理；没有缺陷的，检查检验的费用和（或）延误的工期由发包人承担，并向承包人支付合理利润。</w:t>
      </w:r>
    </w:p>
    <w:p w14:paraId="19580E43">
      <w:pPr>
        <w:adjustRightInd w:val="0"/>
        <w:snapToGrid w:val="0"/>
        <w:spacing w:line="360" w:lineRule="auto"/>
        <w:rPr>
          <w:rFonts w:hint="eastAsia" w:ascii="仿宋" w:hAnsi="仿宋" w:eastAsia="仿宋"/>
          <w:b/>
          <w:bCs/>
          <w:color w:val="auto"/>
          <w:highlight w:val="none"/>
          <w:u w:val="single"/>
          <w:lang w:eastAsia="zh-CN"/>
        </w:rPr>
      </w:pPr>
    </w:p>
    <w:p w14:paraId="794782AA">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60" w:name="_Toc31495"/>
      <w:r>
        <w:rPr>
          <w:rFonts w:hint="eastAsia" w:ascii="仿宋" w:hAnsi="仿宋" w:eastAsia="仿宋" w:cs="仿宋"/>
          <w:bCs w:val="0"/>
          <w:color w:val="auto"/>
          <w:sz w:val="24"/>
          <w:szCs w:val="24"/>
          <w:highlight w:val="none"/>
          <w:lang w:eastAsia="zh-CN"/>
        </w:rPr>
        <w:t>62工程试车</w:t>
      </w:r>
      <w:bookmarkEnd w:id="360"/>
    </w:p>
    <w:p w14:paraId="773321E6">
      <w:pPr>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62</w:t>
      </w:r>
      <w:r>
        <w:rPr>
          <w:rFonts w:ascii="仿宋" w:hAnsi="仿宋" w:eastAsia="仿宋" w:cs="仿宋"/>
          <w:b/>
          <w:bCs/>
          <w:color w:val="auto"/>
          <w:highlight w:val="none"/>
          <w:lang w:eastAsia="zh-CN"/>
        </w:rPr>
        <w:t>.1</w:t>
      </w:r>
    </w:p>
    <w:p w14:paraId="158330A1">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34368" behindDoc="0" locked="0" layoutInCell="1" allowOverlap="1">
                <wp:simplePos x="0" y="0"/>
                <wp:positionH relativeFrom="column">
                  <wp:posOffset>-114300</wp:posOffset>
                </wp:positionH>
                <wp:positionV relativeFrom="paragraph">
                  <wp:posOffset>16510</wp:posOffset>
                </wp:positionV>
                <wp:extent cx="846455" cy="300355"/>
                <wp:effectExtent l="0" t="0" r="0" b="0"/>
                <wp:wrapNone/>
                <wp:docPr id="725" name="文本框 918"/>
                <wp:cNvGraphicFramePr/>
                <a:graphic xmlns:a="http://schemas.openxmlformats.org/drawingml/2006/main">
                  <a:graphicData uri="http://schemas.microsoft.com/office/word/2010/wordprocessingShape">
                    <wps:wsp>
                      <wps:cNvSpPr txBox="1">
                        <a:spLocks noChangeArrowheads="1"/>
                      </wps:cNvSpPr>
                      <wps:spPr bwMode="auto">
                        <a:xfrm>
                          <a:off x="0" y="0"/>
                          <a:ext cx="846455" cy="300355"/>
                        </a:xfrm>
                        <a:prstGeom prst="rect">
                          <a:avLst/>
                        </a:prstGeom>
                        <a:noFill/>
                        <a:ln>
                          <a:noFill/>
                        </a:ln>
                        <a:effectLst/>
                      </wps:spPr>
                      <wps:txbx>
                        <w:txbxContent>
                          <w:p w14:paraId="001BB494">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试车内容</w:t>
                            </w:r>
                          </w:p>
                        </w:txbxContent>
                      </wps:txbx>
                      <wps:bodyPr rot="0" vert="horz" wrap="square" lIns="91440" tIns="45720" rIns="91440" bIns="45720" anchor="t" anchorCtr="0" upright="1">
                        <a:noAutofit/>
                      </wps:bodyPr>
                    </wps:wsp>
                  </a:graphicData>
                </a:graphic>
              </wp:anchor>
            </w:drawing>
          </mc:Choice>
          <mc:Fallback>
            <w:pict>
              <v:shape id="文本框 918" o:spid="_x0000_s1026" o:spt="202" type="#_x0000_t202" style="position:absolute;left:0pt;margin-left:-9pt;margin-top:1.3pt;height:23.65pt;width:66.65pt;z-index:251834368;mso-width-relative:page;mso-height-relative:page;" filled="f" stroked="f" coordsize="21600,21600" o:gfxdata="UEsDBAoAAAAAAIdO4kAAAAAAAAAAAAAAAAAEAAAAZHJzL1BLAwQUAAAACACHTuJAqfLHUtYAAAAI&#10;AQAADwAAAGRycy9kb3ducmV2LnhtbE2PS2/CMBCE75X6H6ytxA3s8BJJs+HQqlcq6EPqzcRLEjVe&#10;R7Eh4d/XnOhxNKOZb/LtaFtxod43jhGSmQJBXDrTcIXw+fE23YDwQbPRrWNCuJKHbfH4kOvMuIH3&#10;dDmESsQS9plGqEPoMil9WZPVfuY64uidXG91iLKvpOn1EMttK+dKraXVDceFWnf0UlP5ezhbhK/d&#10;6ed7qd6rV7vqBjcqyTaViJOnRD2DCDSGexhu+BEdish0dGc2XrQI02QTvwSE+RrEzU9WCxBHhGWa&#10;gixy+f9A8QdQSwMEFAAAAAgAh07iQHMxIRseAgAAJgQAAA4AAABkcnMvZTJvRG9jLnhtbK1TS27b&#10;MBDdF+gdCO5ryY6dOILlII2RokDaFEh7AJqiLKIShx3SltwDNDfoqpvucy6fo0PKcdx0k0U3wnA+&#10;b+a9Gc0uuqZmG4VOg8n5cJBypoyEQptVzr98vn4z5cx5YQpRg1E53yrHL+avX81am6kRVFAXChmB&#10;GJe1NueV9zZLEicr1Qg3AKsMBUvARnh64iopULSE3tTJKE1PkxawsAhSOUfeRR/ke0R8CSCUpZZq&#10;AXLdKON7VFS18ETJVdo6Po/TlqWS/rYsnfKszjkx9fFLTchehm8yn4lshcJWWu5HEC8Z4RmnRmhD&#10;TQ9QC+EFW6P+B6rREsFB6QcSmqQnEhUhFsP0mTZ3lbAqciGpnT2I7v4frPy4+YRMFzk/G004M6Kh&#10;le9+3u9+Pex+/2Dnw2mQqLUuo8w7S7m+ewsdHU6k6+wNyK+OGbiqhFmpS0RoKyUKGnEYKpOj0h7H&#10;BZBl+wEK6iTWHiJQV2IT9CNFGKHTeraH9ajOM0nO6fh0PKEhJYVO0vSE7NBBZI/FFp1/p6Bhwcg5&#10;0vYjuNjcON+nPqaEXgaudV2TX2S1+ctBmL1HxRPaVwcqYfqeh++WHdUG5xKKLZFC6M+Lfi4yKsDv&#10;nLV0Wjl339YCFWf1e0PCnA/H43CL8TGenI3ogceR5XFEGElQOfec9eaV7+93bVGvKurUr8LAJYlZ&#10;6kj0aar9Cuh8olT7Uw/3efyOWU+/9/w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qfLHUtYAAAAI&#10;AQAADwAAAAAAAAABACAAAAAiAAAAZHJzL2Rvd25yZXYueG1sUEsBAhQAFAAAAAgAh07iQHMxIRse&#10;AgAAJgQAAA4AAAAAAAAAAQAgAAAAJQEAAGRycy9lMm9Eb2MueG1sUEsFBgAAAAAGAAYAWQEAALUF&#10;AAAAAA==&#10;">
                <v:fill on="f" focussize="0,0"/>
                <v:stroke on="f"/>
                <v:imagedata o:title=""/>
                <o:lock v:ext="edit" aspectratio="f"/>
                <v:textbox>
                  <w:txbxContent>
                    <w:p w14:paraId="001BB494">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试车内容</w:t>
                      </w:r>
                    </w:p>
                  </w:txbxContent>
                </v:textbox>
              </v:shape>
            </w:pict>
          </mc:Fallback>
        </mc:AlternateContent>
      </w:r>
      <w:r>
        <w:rPr>
          <w:rFonts w:hint="eastAsia" w:ascii="仿宋" w:hAnsi="仿宋" w:eastAsia="仿宋" w:cs="仿宋"/>
          <w:color w:val="auto"/>
          <w:highlight w:val="none"/>
          <w:lang w:eastAsia="zh-CN"/>
        </w:rPr>
        <w:t>按照合同约定需要试车的，试车的内容应与承包人承包的安装范围相一致。</w:t>
      </w:r>
    </w:p>
    <w:p w14:paraId="560DD26E">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62</w:t>
      </w:r>
      <w:r>
        <w:rPr>
          <w:rFonts w:ascii="仿宋" w:hAnsi="仿宋" w:eastAsia="仿宋" w:cs="仿宋"/>
          <w:b/>
          <w:bCs/>
          <w:color w:val="auto"/>
          <w:highlight w:val="none"/>
          <w:lang w:eastAsia="zh-CN"/>
        </w:rPr>
        <w:t>.2</w:t>
      </w:r>
    </w:p>
    <w:p w14:paraId="62DDB9C6">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发包人应为承包人试车提供便利和协助</w:t>
      </w:r>
      <w:r>
        <w:rPr>
          <w:color w:val="auto"/>
          <w:highlight w:val="none"/>
          <w:lang w:eastAsia="zh-CN" w:bidi="ar-SA"/>
        </w:rPr>
        <mc:AlternateContent>
          <mc:Choice Requires="wps">
            <w:drawing>
              <wp:anchor distT="0" distB="0" distL="114300" distR="114300" simplePos="0" relativeHeight="251835392" behindDoc="0" locked="0" layoutInCell="1" allowOverlap="1">
                <wp:simplePos x="0" y="0"/>
                <wp:positionH relativeFrom="column">
                  <wp:posOffset>-114300</wp:posOffset>
                </wp:positionH>
                <wp:positionV relativeFrom="paragraph">
                  <wp:posOffset>3175</wp:posOffset>
                </wp:positionV>
                <wp:extent cx="785495" cy="504190"/>
                <wp:effectExtent l="0" t="0" r="0" b="0"/>
                <wp:wrapNone/>
                <wp:docPr id="726" name="文本框 919"/>
                <wp:cNvGraphicFramePr/>
                <a:graphic xmlns:a="http://schemas.openxmlformats.org/drawingml/2006/main">
                  <a:graphicData uri="http://schemas.microsoft.com/office/word/2010/wordprocessingShape">
                    <wps:wsp>
                      <wps:cNvSpPr txBox="1">
                        <a:spLocks noChangeArrowheads="1"/>
                      </wps:cNvSpPr>
                      <wps:spPr bwMode="auto">
                        <a:xfrm>
                          <a:off x="0" y="0"/>
                          <a:ext cx="785495" cy="504190"/>
                        </a:xfrm>
                        <a:prstGeom prst="rect">
                          <a:avLst/>
                        </a:prstGeom>
                        <a:noFill/>
                        <a:ln>
                          <a:noFill/>
                        </a:ln>
                        <a:effectLst/>
                      </wps:spPr>
                      <wps:txbx>
                        <w:txbxContent>
                          <w:p w14:paraId="2039A77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单机试车的通知和限制</w:t>
                            </w:r>
                          </w:p>
                        </w:txbxContent>
                      </wps:txbx>
                      <wps:bodyPr rot="0" vert="horz" wrap="square" lIns="91440" tIns="45720" rIns="91440" bIns="45720" anchor="t" anchorCtr="0" upright="1">
                        <a:noAutofit/>
                      </wps:bodyPr>
                    </wps:wsp>
                  </a:graphicData>
                </a:graphic>
              </wp:anchor>
            </w:drawing>
          </mc:Choice>
          <mc:Fallback>
            <w:pict>
              <v:shape id="文本框 919" o:spid="_x0000_s1026" o:spt="202" type="#_x0000_t202" style="position:absolute;left:0pt;margin-left:-9pt;margin-top:0.25pt;height:39.7pt;width:61.85pt;z-index:251835392;mso-width-relative:page;mso-height-relative:page;" filled="f" stroked="f" coordsize="21600,21600" o:gfxdata="UEsDBAoAAAAAAIdO4kAAAAAAAAAAAAAAAAAEAAAAZHJzL1BLAwQUAAAACACHTuJA4GKITtUAAAAH&#10;AQAADwAAAGRycy9kb3ducmV2LnhtbE2PzW7CMBCE75V4B2sr9QZ2qqaQkA0Hql5bQX8kbiZekqjx&#10;OooNSd8ec2qPoxnNfFNsJtuJCw2+dYyQLBQI4sqZlmuEz4/X+QqED5qN7hwTwi952JSzu0Lnxo28&#10;o8s+1CKWsM81QhNCn0vpq4as9gvXE0fv5AarQ5RDLc2gx1huO/mo1LO0uuW40Oietg1VP/uzRfh6&#10;Ox2+n9R7/WLTfnSTkmwzifhwn6g1iEBT+AvDDT+iQxmZju7MxosOYZ6s4peAkIK42SpdgjgiLLMM&#10;ZFnI//zlFVBLAwQUAAAACACHTuJAH8pTXCACAAAmBAAADgAAAGRycy9lMm9Eb2MueG1srVPNjtMw&#10;EL4j8Q6W7zRN1W63UdPVstUipOVHWngA13Eai8Rjxm6T8gDwBpy4cOe5+hyMnWwpy2UPXCzbM/5m&#10;vm8+L6+6pmZ7hU6DyXk6GnOmjIRCm23OP364fXHJmfPCFKIGo3J+UI5frZ4/W7Y2UxOooC4UMgIx&#10;LmttzivvbZYkTlaqEW4EVhkKloCN8HTEbVKgaAm9qZPJeHyRtICFRZDKObpd90E+IOJTAKEstVRr&#10;kLtGGd+joqqFJ0qu0tbxVey2LJX078rSKc/qnBNTH1cqQvtNWJPVUmRbFLbScmhBPKWFR5waoQ0V&#10;PUGthRdsh/ofqEZLBAelH0lokp5IVIRYpONH2txXwqrIhaR29iS6+3+w8u3+PTJd5Hw+ueDMiIZG&#10;fvz+7fjj1/HnV7ZIF0Gi1rqMMu8t5fruJXRknEjX2TuQnxwzcFMJs1XXiNBWShTUYhpeJmdPexwX&#10;QDbtGyiokth5iEBdiU3QjxRhhE7jOZzGozrPJF3OL2fTxYwzSaHZeJou4vgSkT08tuj8KwUNC5uc&#10;I00/gov9nfOhGZE9pIRaBm51XUcH1OavC0rsb1S00PA6UAnd9zx8t+kGaTZQHIgUQm8v+ly0qQC/&#10;cNaStXLuPu8EKs7q14aEWaTTafBiPExn8wkd8DyyOY8IIwkq556zfnvje//uLOptRZX6URi4JjFL&#10;HYmGVvuuhhGQfSL/we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BiiE7VAAAA&#10;BwEAAA8AAAAAAAAAAQAgAAAAIgAAAGRycy9kb3ducmV2LnhtbFBLAQIUABQAAAAIAIdO4kAfylNc&#10;IAIAACYEAAAOAAAAAAAAAAEAIAAAACQBAABkcnMvZTJvRG9jLnhtbFBLBQYAAAAABgAGAFkBAAC2&#10;BQAAAAA=&#10;">
                <v:fill on="f" focussize="0,0"/>
                <v:stroke on="f"/>
                <v:imagedata o:title=""/>
                <o:lock v:ext="edit" aspectratio="f"/>
                <v:textbox>
                  <w:txbxContent>
                    <w:p w14:paraId="2039A771">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单机试车的通知和限制</w:t>
                      </w:r>
                    </w:p>
                  </w:txbxContent>
                </v:textbox>
              </v:shape>
            </w:pict>
          </mc:Fallback>
        </mc:AlternateContent>
      </w:r>
      <w:r>
        <w:rPr>
          <w:rFonts w:hint="eastAsia" w:ascii="仿宋" w:hAnsi="仿宋" w:eastAsia="仿宋" w:cs="仿宋"/>
          <w:color w:val="auto"/>
          <w:highlight w:val="none"/>
          <w:lang w:eastAsia="zh-CN"/>
        </w:rPr>
        <w:t>，设备安装工程具备单机无负荷试车条件时，承包人应组织试车，并在试车前</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小时以书面形式通知监理人。通知包括试车内容、时间和地点。承包人应自行准备试车记录。</w:t>
      </w:r>
    </w:p>
    <w:p w14:paraId="3FC15146">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监理人不能按时参加试车的，应在开始试车前至少提前</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小时发出延期试车指令并书面说明理由，延期不能超过</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小时。监理人未发出延期试车指令也未能按时参加试车的，承包人可自行试车，并认为试车是经监理人同意下完成的。试车完成后，承包人应立即向监理人提交试车记录，监理人应予认可。</w:t>
      </w:r>
    </w:p>
    <w:p w14:paraId="462771C3">
      <w:pPr>
        <w:spacing w:line="360" w:lineRule="auto"/>
        <w:rPr>
          <w:rFonts w:hint="eastAsia" w:ascii="仿宋" w:hAnsi="仿宋" w:eastAsia="仿宋" w:cs="仿宋"/>
          <w:color w:val="auto"/>
          <w:highlight w:val="none"/>
          <w:u w:val="dotted"/>
          <w:lang w:eastAsia="zh-CN"/>
        </w:rPr>
      </w:pPr>
      <w:r>
        <w:rPr>
          <w:rFonts w:hint="eastAsia" w:ascii="仿宋" w:hAnsi="仿宋" w:eastAsia="仿宋" w:cs="仿宋"/>
          <w:b/>
          <w:bCs/>
          <w:color w:val="auto"/>
          <w:highlight w:val="none"/>
          <w:lang w:eastAsia="zh-CN"/>
        </w:rPr>
        <w:t>62</w:t>
      </w:r>
      <w:r>
        <w:rPr>
          <w:rFonts w:ascii="仿宋" w:hAnsi="仿宋" w:eastAsia="仿宋" w:cs="仿宋"/>
          <w:b/>
          <w:bCs/>
          <w:color w:val="auto"/>
          <w:highlight w:val="none"/>
          <w:lang w:eastAsia="zh-CN"/>
        </w:rPr>
        <w:t>.3</w:t>
      </w:r>
    </w:p>
    <w:p w14:paraId="26F20806">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36416" behindDoc="0" locked="0" layoutInCell="1" allowOverlap="1">
                <wp:simplePos x="0" y="0"/>
                <wp:positionH relativeFrom="column">
                  <wp:posOffset>-73660</wp:posOffset>
                </wp:positionH>
                <wp:positionV relativeFrom="paragraph">
                  <wp:posOffset>635</wp:posOffset>
                </wp:positionV>
                <wp:extent cx="824865" cy="601345"/>
                <wp:effectExtent l="0" t="0" r="0" b="0"/>
                <wp:wrapNone/>
                <wp:docPr id="727" name="文本框 920"/>
                <wp:cNvGraphicFramePr/>
                <a:graphic xmlns:a="http://schemas.openxmlformats.org/drawingml/2006/main">
                  <a:graphicData uri="http://schemas.microsoft.com/office/word/2010/wordprocessingShape">
                    <wps:wsp>
                      <wps:cNvSpPr txBox="1">
                        <a:spLocks noChangeArrowheads="1"/>
                      </wps:cNvSpPr>
                      <wps:spPr bwMode="auto">
                        <a:xfrm>
                          <a:off x="0" y="0"/>
                          <a:ext cx="824865" cy="601345"/>
                        </a:xfrm>
                        <a:prstGeom prst="rect">
                          <a:avLst/>
                        </a:prstGeom>
                        <a:noFill/>
                        <a:ln>
                          <a:noFill/>
                        </a:ln>
                        <a:effectLst/>
                      </wps:spPr>
                      <wps:txbx>
                        <w:txbxContent>
                          <w:p w14:paraId="060B4882">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单机试车结果的确认</w:t>
                            </w:r>
                          </w:p>
                        </w:txbxContent>
                      </wps:txbx>
                      <wps:bodyPr rot="0" vert="horz" wrap="square" lIns="91440" tIns="45720" rIns="91440" bIns="45720" anchor="t" anchorCtr="0" upright="1">
                        <a:noAutofit/>
                      </wps:bodyPr>
                    </wps:wsp>
                  </a:graphicData>
                </a:graphic>
              </wp:anchor>
            </w:drawing>
          </mc:Choice>
          <mc:Fallback>
            <w:pict>
              <v:shape id="文本框 920" o:spid="_x0000_s1026" o:spt="202" type="#_x0000_t202" style="position:absolute;left:0pt;margin-left:-5.8pt;margin-top:0.05pt;height:47.35pt;width:64.95pt;z-index:251836416;mso-width-relative:page;mso-height-relative:page;" filled="f" stroked="f" coordsize="21600,21600" o:gfxdata="UEsDBAoAAAAAAIdO4kAAAAAAAAAAAAAAAAAEAAAAZHJzL1BLAwQUAAAACACHTuJA1L5HrtMAAAAH&#10;AQAADwAAAGRycy9kb3ducmV2LnhtbE2OTU/DMBBE70j8B2uRuLW2oVRpGqcHEFcQ5UPqbRtvk4h4&#10;HcVuE/49zgmOozeaecVucp240BBazwb0UoEgrrxtuTbw8f68yECEiGyx80wGfijArry+KjC3fuQ3&#10;uuxjLdIIhxwNNDH2uZShashhWPqeOLGTHxzGFIda2gHHNO46eafUWjpsOT002NNjQ9X3/uwMfL6c&#10;Dl8r9Vo/uYd+9JOS7DbSmNsbrbYgIk3xrwyzflKHMjkd/ZltEJ2BhdbrVJ2BmLHO7kEcDWxWGciy&#10;kP/9y19QSwMEFAAAAAgAh07iQG63fWofAgAAJgQAAA4AAABkcnMvZTJvRG9jLnhtbK1TzY7TMBC+&#10;I/EOlu80benfRk1Xy1aLkBZYaeEBXMdpLGKPGbtNygPAG3Diwn2fq8/BxGm7ZbnsgUtkz4y/me+b&#10;L/PLxlRsq9BrsBkf9PqcKSsh13ad8c+fbl7NOPNB2FxUYFXGd8rzy8XLF/PapWoIJVS5QkYg1qe1&#10;y3gZgkuTxMtSGeF74JSlZAFoRKArrpMcRU3opkqG/f4kqQFzhyCV9xRddkl+QMTnAEJRaKmWIDdG&#10;2dChoqpEIEq+1M7zRZy2KJQMH4vCq8CqjBPTEL/UhM6r9pss5iJdo3CllocRxHNGeMLJCG2p6Qlq&#10;KYJgG9T/QBktETwUoSfBJB2RqAixGPSfaHNfCqciF5Lau5Po/v/Byg/bO2Q6z/h0OOXMCkMr3//8&#10;sf/1sP/9nV0Mo0S18ylV3juqDc0baMg4ka53tyC/eGbhuhR2ra4QoS6VyGnEQStucva0XYpPfQuy&#10;qt9DTp3EJkAEago0rX6kCCN0Ws/utB7VBCYpOBuOZpMxZ5JSk/7g9WgcO4j0+NihD28VGNYeMo60&#10;/Qgutrc+tMOI9FjS9rJwo6sqOqCyfwWosIuoaKHD6+P0HY/QrBp62wZXkO+IFEJnL/q56FACfuOs&#10;Jmtl3H/dCFScVe8sCXMxGI1aL8bLaDwljRmeZ1bnGWElQWU8cNYdr0Pn341DvS6pU7cKC1ckZqEj&#10;0cepDisg+0T+B6u3/jy/x6rH33vx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S+R67TAAAABwEA&#10;AA8AAAAAAAAAAQAgAAAAIgAAAGRycy9kb3ducmV2LnhtbFBLAQIUABQAAAAIAIdO4kBut31qHwIA&#10;ACYEAAAOAAAAAAAAAAEAIAAAACIBAABkcnMvZTJvRG9jLnhtbFBLBQYAAAAABgAGAFkBAACzBQAA&#10;AAA=&#10;">
                <v:fill on="f" focussize="0,0"/>
                <v:stroke on="f"/>
                <v:imagedata o:title=""/>
                <o:lock v:ext="edit" aspectratio="f"/>
                <v:textbox>
                  <w:txbxContent>
                    <w:p w14:paraId="060B4882">
                      <w:pPr>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单机试车结果的确认</w:t>
                      </w:r>
                    </w:p>
                  </w:txbxContent>
                </v:textbox>
              </v:shape>
            </w:pict>
          </mc:Fallback>
        </mc:AlternateContent>
      </w:r>
      <w:r>
        <w:rPr>
          <w:rFonts w:hint="eastAsia" w:ascii="仿宋" w:hAnsi="仿宋" w:eastAsia="仿宋" w:cs="仿宋"/>
          <w:color w:val="auto"/>
          <w:highlight w:val="none"/>
          <w:lang w:eastAsia="zh-CN"/>
        </w:rPr>
        <w:t>单机试车合格，监理工程师应在试车记录上签字，承包人可继续施工或申请办理竣工验收手续。单机试车合格</w:t>
      </w:r>
      <w:r>
        <w:rPr>
          <w:rFonts w:ascii="仿宋" w:hAnsi="仿宋" w:eastAsia="仿宋" w:cs="仿宋"/>
          <w:color w:val="auto"/>
          <w:highlight w:val="none"/>
          <w:lang w:eastAsia="zh-CN"/>
        </w:rPr>
        <w:t>24</w:t>
      </w:r>
      <w:r>
        <w:rPr>
          <w:rFonts w:hint="eastAsia" w:ascii="仿宋" w:hAnsi="仿宋" w:eastAsia="仿宋" w:cs="仿宋"/>
          <w:color w:val="auto"/>
          <w:highlight w:val="none"/>
          <w:lang w:eastAsia="zh-CN"/>
        </w:rPr>
        <w:t>小时后，监理工程师仍不在试车记录上签字的，视为监理工程师已认可试车记录。</w:t>
      </w:r>
    </w:p>
    <w:p w14:paraId="1C30D558">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62</w:t>
      </w:r>
      <w:r>
        <w:rPr>
          <w:rFonts w:ascii="仿宋" w:hAnsi="仿宋" w:eastAsia="仿宋" w:cs="仿宋"/>
          <w:b/>
          <w:bCs/>
          <w:color w:val="auto"/>
          <w:highlight w:val="none"/>
          <w:lang w:eastAsia="zh-CN"/>
        </w:rPr>
        <w:t>.4</w:t>
      </w:r>
    </w:p>
    <w:p w14:paraId="43FDB785">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37440" behindDoc="0" locked="0" layoutInCell="1" allowOverlap="1">
                <wp:simplePos x="0" y="0"/>
                <wp:positionH relativeFrom="column">
                  <wp:posOffset>-73660</wp:posOffset>
                </wp:positionH>
                <wp:positionV relativeFrom="paragraph">
                  <wp:posOffset>11430</wp:posOffset>
                </wp:positionV>
                <wp:extent cx="844550" cy="662305"/>
                <wp:effectExtent l="0" t="0" r="0" b="0"/>
                <wp:wrapNone/>
                <wp:docPr id="728" name="文本框 921"/>
                <wp:cNvGraphicFramePr/>
                <a:graphic xmlns:a="http://schemas.openxmlformats.org/drawingml/2006/main">
                  <a:graphicData uri="http://schemas.microsoft.com/office/word/2010/wordprocessingShape">
                    <wps:wsp>
                      <wps:cNvSpPr txBox="1">
                        <a:spLocks noChangeArrowheads="1"/>
                      </wps:cNvSpPr>
                      <wps:spPr bwMode="auto">
                        <a:xfrm>
                          <a:off x="0" y="0"/>
                          <a:ext cx="844550" cy="662305"/>
                        </a:xfrm>
                        <a:prstGeom prst="rect">
                          <a:avLst/>
                        </a:prstGeom>
                        <a:noFill/>
                        <a:ln>
                          <a:noFill/>
                        </a:ln>
                        <a:effectLst/>
                      </wps:spPr>
                      <wps:txbx>
                        <w:txbxContent>
                          <w:p w14:paraId="795B4EA5">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联动试车通知和结果的确认</w:t>
                            </w:r>
                          </w:p>
                        </w:txbxContent>
                      </wps:txbx>
                      <wps:bodyPr rot="0" vert="horz" wrap="square" lIns="91440" tIns="45720" rIns="91440" bIns="45720" anchor="t" anchorCtr="0" upright="1">
                        <a:noAutofit/>
                      </wps:bodyPr>
                    </wps:wsp>
                  </a:graphicData>
                </a:graphic>
              </wp:anchor>
            </w:drawing>
          </mc:Choice>
          <mc:Fallback>
            <w:pict>
              <v:shape id="文本框 921" o:spid="_x0000_s1026" o:spt="202" type="#_x0000_t202" style="position:absolute;left:0pt;margin-left:-5.8pt;margin-top:0.9pt;height:52.15pt;width:66.5pt;z-index:251837440;mso-width-relative:page;mso-height-relative:page;" filled="f" stroked="f" coordsize="21600,21600" o:gfxdata="UEsDBAoAAAAAAIdO4kAAAAAAAAAAAAAAAAAEAAAAZHJzL1BLAwQUAAAACACHTuJAiSwRnNUAAAAJ&#10;AQAADwAAAGRycy9kb3ducmV2LnhtbE2PwU7DMBBE70j8g7VI3FrbVYlKiNNDq16LKFCJmxtvk4h4&#10;HcVuE/6e7QluO3qj2ZliPflOXHGIbSADeq5AIFXBtVQb+HjfzVYgYrLkbBcIDfxghHV5f1fY3IWR&#10;3vB6SLXgEIq5NdCk1OdSxqpBb+M89EjMzmHwNrEcaukGO3K47+RCqUx62xJ/aGyPmwar78PFG/jc&#10;n7+OS/Vab/1TP4ZJSfLP0pjHB61eQCSc0p8ZbvW5OpTc6RQu5KLoDMy0ztjKgBfc+EIvQZz4UJkG&#10;WRby/4LyF1BLAwQUAAAACACHTuJAmlP/+x8CAAAmBAAADgAAAGRycy9lMm9Eb2MueG1srVNLbtsw&#10;EN0X6B0I7mvZru0kguUgjZGiQPoB0h6ApiiLqMRhh7Ql9wDNDbrqpvuey+fokHRcN91k0Y3A4Qzf&#10;zHvzNL/s24ZtFToNpuCjwZAzZSSU2qwL/unjzYtzzpwXphQNGFXwnXL8cvH82byzuRpDDU2pkBGI&#10;cXlnC157b/Msc7JWrXADsMpQsgJshacQ11mJoiP0tsnGw+Es6wBLiyCVc3S7TEl+QMSnAEJVaamW&#10;IDetMj6homqEJ0qu1tbxRZy2qpT076vKKc+aghNTH7/UhM6r8M0Wc5GvUdhay8MI4ikjPOLUCm2o&#10;6RFqKbxgG9T/QLVaIjio/EBCmyUiURFiMRo+0uauFlZFLiS1s0fR3f+Dle+2H5DpsuBnY1q8ES2t&#10;fP/9fv/j1/7nN3YxHgWJOutyqryzVOv7V9CTcSJdZ29BfnbMwHUtzFpdIUJXK1HSiPFldvI04bgA&#10;sureQkmdxMZDBOorbIN+pAgjdFrP7rge1Xsm6fJ8MplOKSMpNZuNXw6nYbZM5A+PLTr/WkHLwqHg&#10;SNuP4GJ763wqfSgJvQzc6KaJDmjMXxeEmW5UtNDhdaASpk88fL/qD9KsoNwRKYRkL/q56FADfuWs&#10;I2sV3H3ZCFScNW8MCXMxmkyCF2MwmZ6NKcDTzOo0I4wkqIJ7ztLx2if/bizqdU2d0ioMXJGYlY5E&#10;w6hpKhIoBGSfKNXB6sGfp3Gs+vN7L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iSwRnNUAAAAJ&#10;AQAADwAAAAAAAAABACAAAAAiAAAAZHJzL2Rvd25yZXYueG1sUEsBAhQAFAAAAAgAh07iQJpT//sf&#10;AgAAJgQAAA4AAAAAAAAAAQAgAAAAJAEAAGRycy9lMm9Eb2MueG1sUEsFBgAAAAAGAAYAWQEAALUF&#10;AAAAAA==&#10;">
                <v:fill on="f" focussize="0,0"/>
                <v:stroke on="f"/>
                <v:imagedata o:title=""/>
                <o:lock v:ext="edit" aspectratio="f"/>
                <v:textbox>
                  <w:txbxContent>
                    <w:p w14:paraId="795B4EA5">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联动试车通知和结果的确认</w:t>
                      </w:r>
                    </w:p>
                  </w:txbxContent>
                </v:textbox>
              </v:shape>
            </w:pict>
          </mc:Fallback>
        </mc:AlternateContent>
      </w:r>
      <w:r>
        <w:rPr>
          <w:rFonts w:hint="eastAsia" w:ascii="仿宋" w:hAnsi="仿宋" w:eastAsia="仿宋" w:cs="仿宋"/>
          <w:color w:val="auto"/>
          <w:highlight w:val="none"/>
          <w:lang w:eastAsia="zh-CN"/>
        </w:rPr>
        <w:t>设备安装工程具备联动无负荷试车条件时，发包人应组织试车，并在试车前</w:t>
      </w:r>
      <w:r>
        <w:rPr>
          <w:rFonts w:ascii="仿宋" w:hAnsi="仿宋" w:eastAsia="仿宋" w:cs="仿宋"/>
          <w:color w:val="auto"/>
          <w:highlight w:val="none"/>
          <w:lang w:eastAsia="zh-CN"/>
        </w:rPr>
        <w:t>48</w:t>
      </w:r>
      <w:r>
        <w:rPr>
          <w:rFonts w:hint="eastAsia" w:ascii="仿宋" w:hAnsi="仿宋" w:eastAsia="仿宋" w:cs="仿宋"/>
          <w:color w:val="auto"/>
          <w:highlight w:val="none"/>
          <w:lang w:eastAsia="zh-CN"/>
        </w:rPr>
        <w:t>小时以书面形式通知承包人。通知包括试车内容、时间、地点和对承包人的要求，承包人应按照要求做好准备工作。试车合格，合同双方当事人均应在试车记录上签字。</w:t>
      </w:r>
    </w:p>
    <w:p w14:paraId="6078963D">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62</w:t>
      </w:r>
      <w:r>
        <w:rPr>
          <w:rFonts w:ascii="仿宋" w:hAnsi="仿宋" w:eastAsia="仿宋" w:cs="仿宋"/>
          <w:b/>
          <w:bCs/>
          <w:color w:val="auto"/>
          <w:highlight w:val="none"/>
          <w:lang w:eastAsia="zh-CN"/>
        </w:rPr>
        <w:t>.5</w:t>
      </w:r>
    </w:p>
    <w:p w14:paraId="02DFE8FD">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838464" behindDoc="0" locked="0" layoutInCell="1" allowOverlap="1">
                <wp:simplePos x="0" y="0"/>
                <wp:positionH relativeFrom="column">
                  <wp:posOffset>-114300</wp:posOffset>
                </wp:positionH>
                <wp:positionV relativeFrom="paragraph">
                  <wp:posOffset>-6350</wp:posOffset>
                </wp:positionV>
                <wp:extent cx="831850" cy="667385"/>
                <wp:effectExtent l="0" t="0" r="0" b="0"/>
                <wp:wrapNone/>
                <wp:docPr id="729" name="文本框 922"/>
                <wp:cNvGraphicFramePr/>
                <a:graphic xmlns:a="http://schemas.openxmlformats.org/drawingml/2006/main">
                  <a:graphicData uri="http://schemas.microsoft.com/office/word/2010/wordprocessingShape">
                    <wps:wsp>
                      <wps:cNvSpPr txBox="1">
                        <a:spLocks noChangeArrowheads="1"/>
                      </wps:cNvSpPr>
                      <wps:spPr bwMode="auto">
                        <a:xfrm>
                          <a:off x="0" y="0"/>
                          <a:ext cx="831850" cy="667385"/>
                        </a:xfrm>
                        <a:prstGeom prst="rect">
                          <a:avLst/>
                        </a:prstGeom>
                        <a:noFill/>
                        <a:ln>
                          <a:noFill/>
                        </a:ln>
                        <a:effectLst/>
                      </wps:spPr>
                      <wps:txbx>
                        <w:txbxContent>
                          <w:p w14:paraId="3A29C5BE">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试车费用和不达要求处理</w:t>
                            </w:r>
                          </w:p>
                        </w:txbxContent>
                      </wps:txbx>
                      <wps:bodyPr rot="0" vert="horz" wrap="square" lIns="91440" tIns="45720" rIns="91440" bIns="45720" anchor="t" anchorCtr="0" upright="1">
                        <a:noAutofit/>
                      </wps:bodyPr>
                    </wps:wsp>
                  </a:graphicData>
                </a:graphic>
              </wp:anchor>
            </w:drawing>
          </mc:Choice>
          <mc:Fallback>
            <w:pict>
              <v:shape id="文本框 922" o:spid="_x0000_s1026" o:spt="202" type="#_x0000_t202" style="position:absolute;left:0pt;margin-left:-9pt;margin-top:-0.5pt;height:52.55pt;width:65.5pt;z-index:251838464;mso-width-relative:page;mso-height-relative:page;" filled="f" stroked="f" coordsize="21600,21600" o:gfxdata="UEsDBAoAAAAAAIdO4kAAAAAAAAAAAAAAAAAEAAAAZHJzL1BLAwQUAAAACACHTuJAZngT5tUAAAAK&#10;AQAADwAAAGRycy9kb3ducmV2LnhtbE2PQU/DMAyF70j7D5GRuG1JYExb13SHIa4gBkPiljVeW9E4&#10;VZOt5d/jnuDkz/LT83v5bvStuGIfm0AG9EKBQCqDa6gy8PH+PF+DiMmSs20gNPCDEXbF7Ca3mQsD&#10;veH1kCrBJhQza6BOqcukjGWN3sZF6JD4dg69t4nXvpKutwOb+1beK7WS3jbEH2rb4b7G8vtw8QaO&#10;L+evz6V6rZ78YzeEUUnyG2nM3a1WWxAJx/Qnhik+R4eCM53ChVwUrYG5XnOXNAHPSaAfGE4MaqlB&#10;Frn8X6H4BVBLAwQUAAAACACHTuJAIPcDmiACAAAmBAAADgAAAGRycy9lMm9Eb2MueG1srVPNjtMw&#10;EL4j8Q6W7zRtt+22UdPVstUipOVHWngA13Eai8Rjxm6T8gDwBpy4cOe5+hyMnWwpy2UPXCzbM/5m&#10;vm8+L6/aumJ7hU6DyfhoMORMGQm5NtuMf/xw+2LOmfPC5KICozJ+UI5frZ4/WzY2VWMoocoVMgIx&#10;Lm1sxkvvbZokTpaqFm4AVhkKFoC18HTEbZKjaAi9rpLxcDhLGsDcIkjlHN2uuyDvEfEpgFAUWqo1&#10;yF2tjO9QUVXCEyVXauv4KnZbFEr6d0XhlGdVxompjysVof0mrMlqKdItCltq2bcgntLCI0610IaK&#10;nqDWwgu2Q/0PVK0lgoPCDyTUSUckKkIsRsNH2tyXwqrIhaR29iS6+3+w8u3+PTKdZ/xyvODMiJpG&#10;fvz+7fjj1/HnV7YYj4NEjXUpZd5byvXtS2jJOJGus3cgPzlm4KYUZquuEaEplcipxVF4mZw97XBc&#10;ANk0byCnSmLnIQK1BdZBP1KEETqN53Aaj2o9k3Q5vxjNpxSRFJrNLi/m01hBpA+PLTr/SkHNwibj&#10;SNOP4GJ/53xoRqQPKaGWgVtdVdEBlfnrghK7GxUt1L8OVEL3HQ/fbtpemg3kByKF0NmLPhdtSsAv&#10;nDVkrYy7zzuBirPqtSFhFqPJJHgxHibTyzEd8DyyOY8IIwkq456zbnvjO//uLOptSZW6URi4JjEL&#10;HYmGVruu+hGQfSL/3urBn+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Z4E+bVAAAA&#10;CgEAAA8AAAAAAAAAAQAgAAAAIgAAAGRycy9kb3ducmV2LnhtbFBLAQIUABQAAAAIAIdO4kAg9wOa&#10;IAIAACYEAAAOAAAAAAAAAAEAIAAAACQBAABkcnMvZTJvRG9jLnhtbFBLBQYAAAAABgAGAFkBAAC2&#10;BQAAAAA=&#10;">
                <v:fill on="f" focussize="0,0"/>
                <v:stroke on="f"/>
                <v:imagedata o:title=""/>
                <o:lock v:ext="edit" aspectratio="f"/>
                <v:textbox>
                  <w:txbxContent>
                    <w:p w14:paraId="3A29C5BE">
                      <w:pPr>
                        <w:spacing w:line="240" w:lineRule="exact"/>
                        <w:rPr>
                          <w:rFonts w:hint="eastAsia" w:ascii="楷体_GB2312" w:hAnsi="宋体" w:eastAsia="楷体_GB2312"/>
                          <w:sz w:val="18"/>
                          <w:szCs w:val="18"/>
                          <w:lang w:eastAsia="zh-CN"/>
                        </w:rPr>
                      </w:pPr>
                      <w:r>
                        <w:rPr>
                          <w:rFonts w:hint="eastAsia" w:ascii="楷体_GB2312" w:hAnsi="宋体" w:eastAsia="楷体_GB2312" w:cs="楷体_GB2312"/>
                          <w:b/>
                          <w:bCs/>
                          <w:color w:val="000000"/>
                          <w:sz w:val="18"/>
                          <w:szCs w:val="18"/>
                          <w:lang w:eastAsia="zh-CN"/>
                        </w:rPr>
                        <w:t>试车费用和不达要求处理</w:t>
                      </w:r>
                    </w:p>
                  </w:txbxContent>
                </v:textbox>
              </v:shape>
            </w:pict>
          </mc:Fallback>
        </mc:AlternateContent>
      </w:r>
      <w:r>
        <w:rPr>
          <w:rFonts w:hint="eastAsia" w:ascii="仿宋" w:hAnsi="仿宋" w:eastAsia="仿宋" w:cs="仿宋"/>
          <w:color w:val="auto"/>
          <w:highlight w:val="none"/>
          <w:lang w:eastAsia="zh-CN"/>
        </w:rPr>
        <w:t>试车费用，除已含在合同价格外，由发包人承担。试车达不到验收要求的，按照下列约定处理：</w:t>
      </w:r>
    </w:p>
    <w:p w14:paraId="33723DDF">
      <w:pPr>
        <w:widowControl w:val="0"/>
        <w:numPr>
          <w:ilvl w:val="0"/>
          <w:numId w:val="16"/>
        </w:numPr>
        <w:tabs>
          <w:tab w:val="left" w:pos="1080"/>
          <w:tab w:val="left" w:pos="1620"/>
        </w:tabs>
        <w:adjustRightInd w:val="0"/>
        <w:snapToGrid w:val="0"/>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由于设计原因试车达不到验收要求，发包人应要求设计人修改设计，承包人按照修改后的设计重新安装。发包人承担修改设计、拆除及重新安装的全部费用和延误的工期。</w:t>
      </w:r>
    </w:p>
    <w:p w14:paraId="0C3CF5DA">
      <w:pPr>
        <w:widowControl w:val="0"/>
        <w:numPr>
          <w:ilvl w:val="0"/>
          <w:numId w:val="16"/>
        </w:numPr>
        <w:tabs>
          <w:tab w:val="left" w:pos="1080"/>
          <w:tab w:val="left" w:pos="1620"/>
        </w:tabs>
        <w:adjustRightInd w:val="0"/>
        <w:snapToGrid w:val="0"/>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由于设备制造质量原因试车达不到验收要求，由该责任方重新购置或修理，承包人负责拆除和重新安装。设备由承包人采购的，由承包人承担修理或重新采购、拆除及重新安装的费用和延误的工期；设备由发包人供应的，发包人承担上述各项费用和延误的工期。</w:t>
      </w:r>
    </w:p>
    <w:p w14:paraId="49FA2FD0">
      <w:pPr>
        <w:widowControl w:val="0"/>
        <w:numPr>
          <w:ilvl w:val="0"/>
          <w:numId w:val="16"/>
        </w:numPr>
        <w:tabs>
          <w:tab w:val="left" w:pos="1080"/>
          <w:tab w:val="left" w:pos="1620"/>
        </w:tabs>
        <w:adjustRightInd w:val="0"/>
        <w:snapToGrid w:val="0"/>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由于承包人施工原因试车达不到验收要求，承包人应按照监理人要求重新安装和试车，并承担拆除、重新安装和重新试车的费用和延误的工期。</w:t>
      </w:r>
    </w:p>
    <w:p w14:paraId="6B2F800B">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62</w:t>
      </w:r>
      <w:r>
        <w:rPr>
          <w:rFonts w:ascii="仿宋" w:hAnsi="仿宋" w:eastAsia="仿宋" w:cs="仿宋"/>
          <w:b/>
          <w:bCs/>
          <w:color w:val="auto"/>
          <w:highlight w:val="none"/>
          <w:lang w:eastAsia="zh-CN"/>
        </w:rPr>
        <w:t>.6</w:t>
      </w:r>
    </w:p>
    <w:p w14:paraId="32F1CF53">
      <w:pPr>
        <w:pStyle w:val="62"/>
        <w:widowControl w:val="0"/>
        <w:adjustRightInd w:val="0"/>
        <w:snapToGrid w:val="0"/>
        <w:ind w:left="1850" w:leftChars="771"/>
        <w:jc w:val="both"/>
        <w:rPr>
          <w:rFonts w:hint="eastAsia" w:ascii="仿宋" w:hAnsi="仿宋" w:eastAsia="仿宋"/>
          <w:color w:val="auto"/>
          <w:highlight w:val="none"/>
          <w:lang w:eastAsia="zh-CN"/>
        </w:rPr>
      </w:pPr>
      <w:r>
        <w:rPr>
          <w:color w:val="auto"/>
          <w:highlight w:val="none"/>
          <w:lang w:eastAsia="zh-CN"/>
        </w:rPr>
        <mc:AlternateContent>
          <mc:Choice Requires="wps">
            <w:drawing>
              <wp:anchor distT="0" distB="0" distL="114300" distR="114300" simplePos="0" relativeHeight="251839488" behindDoc="0" locked="0" layoutInCell="1" allowOverlap="1">
                <wp:simplePos x="0" y="0"/>
                <wp:positionH relativeFrom="column">
                  <wp:posOffset>-114300</wp:posOffset>
                </wp:positionH>
                <wp:positionV relativeFrom="paragraph">
                  <wp:posOffset>10160</wp:posOffset>
                </wp:positionV>
                <wp:extent cx="751205" cy="491490"/>
                <wp:effectExtent l="0" t="0" r="0" b="0"/>
                <wp:wrapNone/>
                <wp:docPr id="730" name="文本框 923"/>
                <wp:cNvGraphicFramePr/>
                <a:graphic xmlns:a="http://schemas.openxmlformats.org/drawingml/2006/main">
                  <a:graphicData uri="http://schemas.microsoft.com/office/word/2010/wordprocessingShape">
                    <wps:wsp>
                      <wps:cNvSpPr txBox="1">
                        <a:spLocks noChangeArrowheads="1"/>
                      </wps:cNvSpPr>
                      <wps:spPr bwMode="auto">
                        <a:xfrm>
                          <a:off x="0" y="0"/>
                          <a:ext cx="751205" cy="491490"/>
                        </a:xfrm>
                        <a:prstGeom prst="rect">
                          <a:avLst/>
                        </a:prstGeom>
                        <a:noFill/>
                        <a:ln>
                          <a:noFill/>
                        </a:ln>
                        <a:effectLst/>
                      </wps:spPr>
                      <wps:txbx>
                        <w:txbxContent>
                          <w:p w14:paraId="28666E5F">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投料试车</w:t>
                            </w:r>
                          </w:p>
                        </w:txbxContent>
                      </wps:txbx>
                      <wps:bodyPr rot="0" vert="horz" wrap="square" lIns="91440" tIns="45720" rIns="91440" bIns="45720" anchor="t" anchorCtr="0" upright="1">
                        <a:noAutofit/>
                      </wps:bodyPr>
                    </wps:wsp>
                  </a:graphicData>
                </a:graphic>
              </wp:anchor>
            </w:drawing>
          </mc:Choice>
          <mc:Fallback>
            <w:pict>
              <v:shape id="文本框 923" o:spid="_x0000_s1026" o:spt="202" type="#_x0000_t202" style="position:absolute;left:0pt;margin-left:-9pt;margin-top:0.8pt;height:38.7pt;width:59.15pt;z-index:251839488;mso-width-relative:page;mso-height-relative:page;" filled="f" stroked="f" coordsize="21600,21600" o:gfxdata="UEsDBAoAAAAAAIdO4kAAAAAAAAAAAAAAAAAEAAAAZHJzL1BLAwQUAAAACACHTuJAugKeydUAAAAI&#10;AQAADwAAAGRycy9kb3ducmV2LnhtbE2Py07DMBBF90j8gzVI7NqZ8OgjxOkCxBZEgUrs3HiaRMTj&#10;KHab8Pe4K1iOzujec4vN5Dp14iG0XjRkcwLFUnnbSq3h4/15tgIVohFrOi+s4YcDbMrLi8Lk1o/y&#10;xqdtrFUKkZAbDU2MfY4YqoadCXPfsyR28IMzMZ1DjXYwYwp3Hd4QLdCZVlJDY3p+bLj63h6dhs+X&#10;w9fujl7rJ3ffj34iFLdGra+vMnoAFXmKf89w1k/qUCanvT+KDarTMMtWaUtMYAHqzIluQe01LNcE&#10;WBb4f0D5C1BLAwQUAAAACACHTuJA0oT8DR4CAAAmBAAADgAAAGRycy9lMm9Eb2MueG1srVPLjtMw&#10;FN0j8Q+W9zRNp6U0ajoaphqENDykgQ9wHaexSHzNtdukfAD8ASs27PmufgfXTqaUYTMLNpHta597&#10;zrkny8uuqdleodNgcp6OxpwpI6HQZpvzjx9unr3gzHlhClGDUTk/KMcvV0+fLFubqQlUUBcKGYEY&#10;l7U255X3NksSJyvVCDcCqwwVS8BGeNriNilQtITe1MlkPH6etICFRZDKOTpd90U+IOJjAKEstVRr&#10;kLtGGd+joqqFJ0mu0tbxVWRblkr6d2XplGd1zkmpj19qQutN+Carpci2KGyl5UBBPIbCA02N0Iaa&#10;nqDWwgu2Q/0PVKMlgoPSjyQ0SS8kOkIq0vEDb+4qYVXUQlY7ezLd/T9Y+Xb/Hpkucj6/IE+MaGjk&#10;x+/fjj9+HX9+ZYvJRbCotS6jm3eW7vruJXQUnCjX2VuQnxwzcF0Js1VXiNBWShREMQ0vk7OnPY4L&#10;IJv2DRTUSew8RKCuxCb4R44wQicqh9N4VOeZpMP5LJ2MZ5xJKk0X6XQRx5eI7P6xRedfKWhYWOQc&#10;afoRXOxvnQ9kRHZ/JfQycKPrOiagNn8d0MX+RMUIDa+DlMC+1+G7TTdYs4HiQKIQ+njRz0WLCvAL&#10;Zy1FK+fu806g4qx+bcgYoj4NWYyb6Ww+oQ2eVzbnFWEkQeXcc9Yvr32f351Fva2oUz8KA1dkZqmj&#10;0EC1ZzWMgOIT9Q9RD/k838dbf37v1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6Ap7J1QAAAAgB&#10;AAAPAAAAAAAAAAEAIAAAACIAAABkcnMvZG93bnJldi54bWxQSwECFAAUAAAACACHTuJA0oT8DR4C&#10;AAAmBAAADgAAAAAAAAABACAAAAAkAQAAZHJzL2Uyb0RvYy54bWxQSwUGAAAAAAYABgBZAQAAtAUA&#10;AAAA&#10;">
                <v:fill on="f" focussize="0,0"/>
                <v:stroke on="f"/>
                <v:imagedata o:title=""/>
                <o:lock v:ext="edit" aspectratio="f"/>
                <v:textbox>
                  <w:txbxContent>
                    <w:p w14:paraId="28666E5F">
                      <w:pPr>
                        <w:spacing w:line="240" w:lineRule="exact"/>
                        <w:rPr>
                          <w:rFonts w:hint="eastAsia" w:ascii="楷体_GB2312" w:hAnsi="宋体" w:eastAsia="楷体_GB2312"/>
                          <w:b/>
                          <w:bCs/>
                          <w:color w:val="000000"/>
                          <w:sz w:val="18"/>
                          <w:szCs w:val="18"/>
                        </w:rPr>
                      </w:pPr>
                      <w:r>
                        <w:rPr>
                          <w:rFonts w:hint="eastAsia" w:ascii="楷体_GB2312" w:eastAsia="楷体_GB2312" w:cs="楷体_GB2312"/>
                          <w:b/>
                          <w:bCs/>
                          <w:color w:val="000000"/>
                          <w:sz w:val="18"/>
                          <w:szCs w:val="18"/>
                        </w:rPr>
                        <w:t>投料试车</w:t>
                      </w:r>
                    </w:p>
                  </w:txbxContent>
                </v:textbox>
              </v:shape>
            </w:pict>
          </mc:Fallback>
        </mc:AlternateContent>
      </w:r>
      <w:r>
        <w:rPr>
          <w:rFonts w:hint="eastAsia" w:ascii="仿宋" w:hAnsi="仿宋" w:eastAsia="仿宋" w:cs="仿宋"/>
          <w:color w:val="auto"/>
          <w:highlight w:val="none"/>
          <w:lang w:eastAsia="zh-CN"/>
        </w:rPr>
        <w:t>投料试车应在永久工程竣工验收后，由发包人负责。如果发包人要求在永久工程竣工验收前进行试车或需要承包人配合时，应事先取得承包人同意，并另行签订补充协议。</w:t>
      </w:r>
    </w:p>
    <w:p w14:paraId="7C546470">
      <w:pPr>
        <w:pStyle w:val="20"/>
        <w:adjustRightInd w:val="0"/>
        <w:snapToGrid w:val="0"/>
        <w:spacing w:line="360" w:lineRule="auto"/>
        <w:ind w:firstLine="0"/>
        <w:rPr>
          <w:rFonts w:hint="eastAsia" w:ascii="仿宋" w:hAnsi="仿宋" w:eastAsia="仿宋" w:cs="仿宋"/>
          <w:b/>
          <w:bCs/>
          <w:color w:val="auto"/>
          <w:highlight w:val="none"/>
          <w:u w:val="single"/>
          <w:lang w:eastAsia="zh-CN"/>
        </w:rPr>
      </w:pPr>
    </w:p>
    <w:p w14:paraId="00A40127">
      <w:pPr>
        <w:pStyle w:val="5"/>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61" w:name="_Toc27291"/>
      <w:r>
        <w:rPr>
          <w:rFonts w:hint="eastAsia" w:ascii="仿宋" w:hAnsi="仿宋" w:eastAsia="仿宋" w:cs="仿宋"/>
          <w:bCs w:val="0"/>
          <w:color w:val="auto"/>
          <w:sz w:val="24"/>
          <w:szCs w:val="24"/>
          <w:highlight w:val="none"/>
          <w:lang w:eastAsia="zh-CN"/>
        </w:rPr>
        <w:t>★63工程变更</w:t>
      </w:r>
      <w:bookmarkEnd w:id="361"/>
    </w:p>
    <w:p w14:paraId="0FCA6E5C">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63</w:t>
      </w:r>
      <w:r>
        <w:rPr>
          <w:rFonts w:ascii="仿宋" w:hAnsi="仿宋" w:eastAsia="仿宋" w:cs="仿宋"/>
          <w:b/>
          <w:bCs/>
          <w:color w:val="auto"/>
          <w:sz w:val="24"/>
          <w:szCs w:val="24"/>
          <w:highlight w:val="none"/>
          <w:lang w:eastAsia="zh-CN"/>
        </w:rPr>
        <w:t>.1</w:t>
      </w:r>
    </w:p>
    <w:p w14:paraId="63092B24">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40512" behindDoc="0" locked="0" layoutInCell="1" allowOverlap="1">
                <wp:simplePos x="0" y="0"/>
                <wp:positionH relativeFrom="column">
                  <wp:posOffset>-114300</wp:posOffset>
                </wp:positionH>
                <wp:positionV relativeFrom="paragraph">
                  <wp:posOffset>1270</wp:posOffset>
                </wp:positionV>
                <wp:extent cx="809625" cy="405765"/>
                <wp:effectExtent l="0" t="0" r="0" b="0"/>
                <wp:wrapNone/>
                <wp:docPr id="731" name="文本框 924"/>
                <wp:cNvGraphicFramePr/>
                <a:graphic xmlns:a="http://schemas.openxmlformats.org/drawingml/2006/main">
                  <a:graphicData uri="http://schemas.microsoft.com/office/word/2010/wordprocessingShape">
                    <wps:wsp>
                      <wps:cNvSpPr txBox="1">
                        <a:spLocks noChangeArrowheads="1"/>
                      </wps:cNvSpPr>
                      <wps:spPr bwMode="auto">
                        <a:xfrm>
                          <a:off x="0" y="0"/>
                          <a:ext cx="809625" cy="405765"/>
                        </a:xfrm>
                        <a:prstGeom prst="rect">
                          <a:avLst/>
                        </a:prstGeom>
                        <a:noFill/>
                        <a:ln>
                          <a:noFill/>
                        </a:ln>
                        <a:effectLst/>
                      </wps:spPr>
                      <wps:txbx>
                        <w:txbxContent>
                          <w:p w14:paraId="67BB89E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工程变更权限</w:t>
                            </w:r>
                          </w:p>
                        </w:txbxContent>
                      </wps:txbx>
                      <wps:bodyPr rot="0" vert="horz" wrap="square" lIns="91440" tIns="45720" rIns="91440" bIns="45720" anchor="t" anchorCtr="0" upright="1">
                        <a:noAutofit/>
                      </wps:bodyPr>
                    </wps:wsp>
                  </a:graphicData>
                </a:graphic>
              </wp:anchor>
            </w:drawing>
          </mc:Choice>
          <mc:Fallback>
            <w:pict>
              <v:shape id="文本框 924" o:spid="_x0000_s1026" o:spt="202" type="#_x0000_t202" style="position:absolute;left:0pt;margin-left:-9pt;margin-top:0.1pt;height:31.95pt;width:63.75pt;z-index:251840512;mso-width-relative:page;mso-height-relative:page;" filled="f" stroked="f" coordsize="21600,21600" o:gfxdata="UEsDBAoAAAAAAIdO4kAAAAAAAAAAAAAAAAAEAAAAZHJzL1BLAwQUAAAACACHTuJAIfNy5NUAAAAH&#10;AQAADwAAAGRycy9kb3ducmV2LnhtbE2PwU7DMBBE70j8g7VI3Fo7VVu1IZseQFxBlILEbRtvk4h4&#10;HcVuE/4e9wTH0Yxm3hS7yXXqwkNovSBkcwOKpfK2lRrh8P4824AKkcRS54URfjjArry9KSi3fpQ3&#10;vuxjrVKJhJwQmhj7XOtQNewozH3PkryTHxzFJIda24HGVO46vTBmrR21khYa6vmx4ep7f3YIHy+n&#10;r8+lea2f3Kof/WS0uK1GvL/LzAOoyFP8C8MVP6FDmZiO/iw2qA5hlm3Sl4iwAHW1zXYF6oiwXmag&#10;y0L/5y9/AVBLAwQUAAAACACHTuJAtuNMfyACAAAmBAAADgAAAGRycy9lMm9Eb2MueG1srVNLbtsw&#10;EN0X6B0I7mvJrj+xYDlIY6QokH6AtAegKcoiKnHYIW3JPUBzg6666b7n8jk6pBzXTTdZdEOQnOGb&#10;eW8eF5ddU7OdQqfB5Hw4SDlTRkKhzSbnnz7evLjgzHlhClGDUTnfK8cvl8+fLVqbqRFUUBcKGYEY&#10;l7U255X3NksSJyvVCDcAqwwFS8BGeDriJilQtITe1MkoTadJC1hYBKmco9tVH+RHRHwKIJSllmoF&#10;ctso43tUVLXwRMlV2jq+jN2WpZL+fVk65Vmdc2Lq40pFaL8Oa7JciGyDwlZaHlsQT2nhEadGaENF&#10;T1Ar4QXbov4HqtESwUHpBxKapCcSFSEWw/SRNneVsCpyIamdPYnu/h+sfLf7gEwXOZ+9HHJmREMj&#10;P3y/P/z4dfj5jc1H4yBRa11GmXeWcn33CjoyTqTr7C3Iz44ZuK6E2agrRGgrJQpqcRheJmdPexwX&#10;QNbtWyiokth6iEBdiU3QjxRhhE7j2Z/GozrPJF1epPPpaMKZpNA4ncymk1hBZA+PLTr/WkHDwibn&#10;SNOP4GJ363xoRmQPKaGWgRtd19EBtfnrghL7GxUtdHwdqITuex6+W3dHadZQ7IkUQm8v+ly0qQC/&#10;ctaStXLuvmwFKs7qN4aEmQ/H4+DFeBhPZiM64HlkfR4RRhJUzj1n/fba9/7dWtSbiir1ozBwRWKW&#10;OhINrfZdHUdA9on8j1YP/jw/x6w/33v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HzcuTVAAAA&#10;BwEAAA8AAAAAAAAAAQAgAAAAIgAAAGRycy9kb3ducmV2LnhtbFBLAQIUABQAAAAIAIdO4kC240x/&#10;IAIAACYEAAAOAAAAAAAAAAEAIAAAACQBAABkcnMvZTJvRG9jLnhtbFBLBQYAAAAABgAGAFkBAAC2&#10;BQAAAAA=&#10;">
                <v:fill on="f" focussize="0,0"/>
                <v:stroke on="f"/>
                <v:imagedata o:title=""/>
                <o:lock v:ext="edit" aspectratio="f"/>
                <v:textbox>
                  <w:txbxContent>
                    <w:p w14:paraId="67BB89E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工程变更权限</w:t>
                      </w:r>
                    </w:p>
                  </w:txbxContent>
                </v:textbox>
              </v:shape>
            </w:pict>
          </mc:Fallback>
        </mc:AlternateContent>
      </w:r>
      <w:r>
        <w:rPr>
          <w:rFonts w:hint="eastAsia" w:ascii="仿宋" w:hAnsi="仿宋" w:eastAsia="仿宋" w:cs="仿宋"/>
          <w:color w:val="auto"/>
          <w:sz w:val="24"/>
          <w:szCs w:val="24"/>
          <w:highlight w:val="none"/>
          <w:lang w:eastAsia="zh-CN"/>
        </w:rPr>
        <w:t>合同履行期间，经发包人批准，监理人可按照第63</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款约定的变更程序向承包人发出变更指令，承包人应按照合同约定实施变更工作。</w:t>
      </w:r>
    </w:p>
    <w:p w14:paraId="1ED7AA95">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没有经发包人批准也没有监理人的工程变更指令，承包人应按照合同约定施工，无权对合同工程作出任何变更。</w:t>
      </w:r>
    </w:p>
    <w:p w14:paraId="2246FBBE">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工程量偏差不属于工程变更，该项工程量增减不需要任何指令。</w:t>
      </w:r>
    </w:p>
    <w:p w14:paraId="349C0B91">
      <w:pPr>
        <w:pStyle w:val="2"/>
        <w:adjustRightInd w:val="0"/>
        <w:snapToGrid w:val="0"/>
        <w:spacing w:line="360" w:lineRule="auto"/>
        <w:rPr>
          <w:rFonts w:hint="eastAsia" w:ascii="仿宋" w:hAnsi="仿宋" w:eastAsia="仿宋" w:cs="仿宋"/>
          <w:color w:val="auto"/>
          <w:sz w:val="24"/>
          <w:szCs w:val="24"/>
          <w:highlight w:val="none"/>
          <w:u w:val="dotted"/>
          <w:lang w:eastAsia="zh-CN"/>
        </w:rPr>
      </w:pPr>
      <w:r>
        <w:rPr>
          <w:color w:val="auto"/>
          <w:highlight w:val="none"/>
          <w:lang w:eastAsia="zh-CN"/>
        </w:rPr>
        <mc:AlternateContent>
          <mc:Choice Requires="wps">
            <w:drawing>
              <wp:anchor distT="0" distB="0" distL="114300" distR="114300" simplePos="0" relativeHeight="251841536" behindDoc="0" locked="0" layoutInCell="1" allowOverlap="1">
                <wp:simplePos x="0" y="0"/>
                <wp:positionH relativeFrom="column">
                  <wp:posOffset>-114300</wp:posOffset>
                </wp:positionH>
                <wp:positionV relativeFrom="paragraph">
                  <wp:posOffset>283845</wp:posOffset>
                </wp:positionV>
                <wp:extent cx="842645" cy="735965"/>
                <wp:effectExtent l="0" t="0" r="0" b="0"/>
                <wp:wrapNone/>
                <wp:docPr id="732" name="文本框 925"/>
                <wp:cNvGraphicFramePr/>
                <a:graphic xmlns:a="http://schemas.openxmlformats.org/drawingml/2006/main">
                  <a:graphicData uri="http://schemas.microsoft.com/office/word/2010/wordprocessingShape">
                    <wps:wsp>
                      <wps:cNvSpPr txBox="1">
                        <a:spLocks noChangeArrowheads="1"/>
                      </wps:cNvSpPr>
                      <wps:spPr bwMode="auto">
                        <a:xfrm>
                          <a:off x="0" y="0"/>
                          <a:ext cx="842645" cy="735965"/>
                        </a:xfrm>
                        <a:prstGeom prst="rect">
                          <a:avLst/>
                        </a:prstGeom>
                        <a:noFill/>
                        <a:ln>
                          <a:noFill/>
                        </a:ln>
                        <a:effectLst/>
                      </wps:spPr>
                      <wps:txbx>
                        <w:txbxContent>
                          <w:p w14:paraId="14C5E04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工程变更内容</w:t>
                            </w:r>
                          </w:p>
                        </w:txbxContent>
                      </wps:txbx>
                      <wps:bodyPr rot="0" vert="horz" wrap="square" lIns="91440" tIns="45720" rIns="91440" bIns="45720" anchor="t" anchorCtr="0" upright="1">
                        <a:noAutofit/>
                      </wps:bodyPr>
                    </wps:wsp>
                  </a:graphicData>
                </a:graphic>
              </wp:anchor>
            </w:drawing>
          </mc:Choice>
          <mc:Fallback>
            <w:pict>
              <v:shape id="文本框 925" o:spid="_x0000_s1026" o:spt="202" type="#_x0000_t202" style="position:absolute;left:0pt;margin-left:-9pt;margin-top:22.35pt;height:57.95pt;width:66.35pt;z-index:251841536;mso-width-relative:page;mso-height-relative:page;" filled="f" stroked="f" coordsize="21600,21600" o:gfxdata="UEsDBAoAAAAAAIdO4kAAAAAAAAAAAAAAAAAEAAAAZHJzL1BLAwQUAAAACACHTuJAHn18ZNYAAAAK&#10;AQAADwAAAGRycy9kb3ducmV2LnhtbE2PwU7DMBBE70j8g7VI3Fo7VUhLiNNDEVcQbUHito23SUS8&#10;jmK3CX+Pc4LbjHY0+6bYTrYTVxp861hDslQgiCtnWq41HA8viw0IH5ANdo5Jww952Ja3NwXmxo38&#10;Ttd9qEUsYZ+jhiaEPpfSVw1Z9EvXE8fb2Q0WQ7RDLc2AYyy3nVwplUmLLccPDfa0a6j63l+sho/X&#10;89dnqt7qZ/vQj25Sku2j1Pr+LlFPIAJN4S8MM35EhzIyndyFjRedhkWyiVuChjRdg5gDySxOUWQq&#10;A1kW8v+E8hdQSwMEFAAAAAgAh07iQCaK8mAgAgAAJgQAAA4AAABkcnMvZTJvRG9jLnhtbK1TS27b&#10;MBDdF+gdCO5r2Y4/sWA5SGOkKJB+gLQHoCnKIipx2CFtyT1Ae4Ouuum+5/I5OqQU1003WXRDkJzh&#10;m3lvHpdXbV2xvUKnwWR8NBhypoyEXJttxj9+uH1xyZnzwuSiAqMyflCOX62eP1s2NlVjKKHKFTIC&#10;MS5tbMZL722aJE6WqhZuAFYZChaAtfB0xG2So2gIva6S8XA4SxrA3CJI5Rzdrrsg7xHxKYBQFFqq&#10;NchdrYzvUFFVwhMlV2rr+Cp2WxRK+ndF4ZRnVcaJqY8rFaH9JqzJainSLQpbatm3IJ7SwiNOtdCG&#10;ip6g1sILtkP9D1StJYKDwg8k1ElHJCpCLEbDR9rcl8KqyIWkdvYkuvt/sPLt/j0ynWd8fjHmzIia&#10;Rn78/u3449fx51e2GE+DRI11KWXeW8r17UtoyTiRrrN3ID85ZuCmFGarrhGhKZXIqcVReJmcPe1w&#10;XADZNG8gp0pi5yECtQXWQT9ShBE6jedwGo9qPZN0eTkZzyZTziSF5hfTxSz2loj04bFF518pqFnY&#10;ZBxp+hFc7O+cD82I9CEl1DJwq6sqOqAyf11QYnejooX614FK6L7j4dtN20uzgfxApBA6e9Hnok0J&#10;+IWzhqyVcfd5J1BxVr02JMxiNJkEL8bDZDof0wHPI5vziDCSoDLuOeu2N77z786i3pZUqRuFgWsS&#10;s9CRaGi166ofAdkn8u+tHvx5fo5Zf7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efXxk1gAA&#10;AAoBAAAPAAAAAAAAAAEAIAAAACIAAABkcnMvZG93bnJldi54bWxQSwECFAAUAAAACACHTuJAJory&#10;YCACAAAmBAAADgAAAAAAAAABACAAAAAlAQAAZHJzL2Uyb0RvYy54bWxQSwUGAAAAAAYABgBZAQAA&#10;twUAAAAA&#10;">
                <v:fill on="f" focussize="0,0"/>
                <v:stroke on="f"/>
                <v:imagedata o:title=""/>
                <o:lock v:ext="edit" aspectratio="f"/>
                <v:textbox>
                  <w:txbxContent>
                    <w:p w14:paraId="14C5E04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工程变更内容</w:t>
                      </w:r>
                    </w:p>
                  </w:txbxContent>
                </v:textbox>
              </v:shape>
            </w:pict>
          </mc:Fallback>
        </mc:AlternateContent>
      </w:r>
      <w:r>
        <w:rPr>
          <w:rFonts w:hint="eastAsia" w:ascii="仿宋" w:hAnsi="仿宋" w:eastAsia="仿宋" w:cs="仿宋"/>
          <w:b/>
          <w:bCs/>
          <w:color w:val="auto"/>
          <w:sz w:val="24"/>
          <w:szCs w:val="24"/>
          <w:highlight w:val="none"/>
          <w:lang w:eastAsia="zh-CN"/>
        </w:rPr>
        <w:t>63</w:t>
      </w:r>
      <w:r>
        <w:rPr>
          <w:rFonts w:ascii="仿宋" w:hAnsi="仿宋" w:eastAsia="仿宋" w:cs="仿宋"/>
          <w:b/>
          <w:bCs/>
          <w:color w:val="auto"/>
          <w:sz w:val="24"/>
          <w:szCs w:val="24"/>
          <w:highlight w:val="none"/>
          <w:lang w:eastAsia="zh-CN"/>
        </w:rPr>
        <w:t xml:space="preserve">.2 </w:t>
      </w:r>
    </w:p>
    <w:p w14:paraId="2D3FA5EE">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合同履行期间，对比经发包</w:t>
      </w:r>
      <w:r>
        <w:rPr>
          <w:rFonts w:ascii="仿宋" w:hAnsi="仿宋" w:eastAsia="仿宋" w:cs="仿宋"/>
          <w:color w:val="auto"/>
          <w:sz w:val="24"/>
          <w:szCs w:val="24"/>
          <w:highlight w:val="none"/>
          <w:lang w:eastAsia="zh-CN"/>
        </w:rPr>
        <w:t>人</w:t>
      </w:r>
      <w:r>
        <w:rPr>
          <w:rFonts w:hint="eastAsia" w:ascii="仿宋" w:hAnsi="仿宋" w:eastAsia="仿宋" w:cs="仿宋"/>
          <w:color w:val="auto"/>
          <w:sz w:val="24"/>
          <w:szCs w:val="24"/>
          <w:highlight w:val="none"/>
          <w:lang w:eastAsia="zh-CN"/>
        </w:rPr>
        <w:t>批准的施工图设计文件，发包人可对合同工程或其任何部分的形式、质量或数量作出变更。发生下列情形之一，应按照本条约定进行变更。</w:t>
      </w:r>
    </w:p>
    <w:p w14:paraId="7C330C78">
      <w:pPr>
        <w:pStyle w:val="2"/>
        <w:widowControl w:val="0"/>
        <w:numPr>
          <w:ilvl w:val="0"/>
          <w:numId w:val="17"/>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改变合同工程中任何工程数量（不含工程量的偏差）；</w:t>
      </w:r>
    </w:p>
    <w:p w14:paraId="755C3A60">
      <w:pPr>
        <w:pStyle w:val="2"/>
        <w:widowControl w:val="0"/>
        <w:numPr>
          <w:ilvl w:val="0"/>
          <w:numId w:val="17"/>
        </w:numPr>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删减任何工作，但删减的工作不能转由发包人或其他人实施；</w:t>
      </w:r>
    </w:p>
    <w:p w14:paraId="29C0335D">
      <w:pPr>
        <w:pStyle w:val="2"/>
        <w:widowControl w:val="0"/>
        <w:numPr>
          <w:ilvl w:val="0"/>
          <w:numId w:val="17"/>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改变任何工作内容的性质、质量或其他特征；</w:t>
      </w:r>
    </w:p>
    <w:p w14:paraId="4E5D8FBF">
      <w:pPr>
        <w:pStyle w:val="2"/>
        <w:widowControl w:val="0"/>
        <w:numPr>
          <w:ilvl w:val="0"/>
          <w:numId w:val="17"/>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改变工程任何部分的标高、基线、位置和</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或</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尺寸；</w:t>
      </w:r>
    </w:p>
    <w:p w14:paraId="026ED2D2">
      <w:pPr>
        <w:pStyle w:val="2"/>
        <w:widowControl w:val="0"/>
        <w:numPr>
          <w:ilvl w:val="0"/>
          <w:numId w:val="17"/>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为完成永久工程所必须的任何额外工作；</w:t>
      </w:r>
    </w:p>
    <w:p w14:paraId="56321953">
      <w:pPr>
        <w:pStyle w:val="2"/>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但对合同工程工期、质量标准等进行实质性变更的，应在作出变更前，与承包人签订补充协议书，作为本合同的补充文件。</w:t>
      </w:r>
    </w:p>
    <w:p w14:paraId="6F1C6211">
      <w:pPr>
        <w:pStyle w:val="2"/>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63</w:t>
      </w:r>
      <w:r>
        <w:rPr>
          <w:rFonts w:ascii="仿宋" w:hAnsi="仿宋" w:eastAsia="仿宋" w:cs="仿宋"/>
          <w:b/>
          <w:bCs/>
          <w:color w:val="auto"/>
          <w:sz w:val="24"/>
          <w:szCs w:val="24"/>
          <w:highlight w:val="none"/>
          <w:lang w:eastAsia="zh-CN"/>
        </w:rPr>
        <w:t xml:space="preserve">.3  </w:t>
      </w:r>
    </w:p>
    <w:p w14:paraId="2B665173">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42560" behindDoc="0" locked="0" layoutInCell="1" allowOverlap="1">
                <wp:simplePos x="0" y="0"/>
                <wp:positionH relativeFrom="column">
                  <wp:posOffset>-114300</wp:posOffset>
                </wp:positionH>
                <wp:positionV relativeFrom="paragraph">
                  <wp:posOffset>15875</wp:posOffset>
                </wp:positionV>
                <wp:extent cx="832485" cy="664210"/>
                <wp:effectExtent l="0" t="0" r="0" b="0"/>
                <wp:wrapNone/>
                <wp:docPr id="733" name="文本框 926"/>
                <wp:cNvGraphicFramePr/>
                <a:graphic xmlns:a="http://schemas.openxmlformats.org/drawingml/2006/main">
                  <a:graphicData uri="http://schemas.microsoft.com/office/word/2010/wordprocessingShape">
                    <wps:wsp>
                      <wps:cNvSpPr txBox="1">
                        <a:spLocks noChangeArrowheads="1"/>
                      </wps:cNvSpPr>
                      <wps:spPr bwMode="auto">
                        <a:xfrm>
                          <a:off x="0" y="0"/>
                          <a:ext cx="832485" cy="664210"/>
                        </a:xfrm>
                        <a:prstGeom prst="rect">
                          <a:avLst/>
                        </a:prstGeom>
                        <a:noFill/>
                        <a:ln>
                          <a:noFill/>
                        </a:ln>
                        <a:effectLst/>
                      </wps:spPr>
                      <wps:txbx>
                        <w:txbxContent>
                          <w:p w14:paraId="122F336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工程变更程序</w:t>
                            </w:r>
                          </w:p>
                        </w:txbxContent>
                      </wps:txbx>
                      <wps:bodyPr rot="0" vert="horz" wrap="square" lIns="91440" tIns="45720" rIns="91440" bIns="45720" anchor="t" anchorCtr="0" upright="1">
                        <a:noAutofit/>
                      </wps:bodyPr>
                    </wps:wsp>
                  </a:graphicData>
                </a:graphic>
              </wp:anchor>
            </w:drawing>
          </mc:Choice>
          <mc:Fallback>
            <w:pict>
              <v:shape id="文本框 926" o:spid="_x0000_s1026" o:spt="202" type="#_x0000_t202" style="position:absolute;left:0pt;margin-left:-9pt;margin-top:1.25pt;height:52.3pt;width:65.55pt;z-index:251842560;mso-width-relative:page;mso-height-relative:page;" filled="f" stroked="f" coordsize="21600,21600" o:gfxdata="UEsDBAoAAAAAAIdO4kAAAAAAAAAAAAAAAAAEAAAAZHJzL1BLAwQUAAAACACHTuJA6I3XQNcAAAAJ&#10;AQAADwAAAGRycy9kb3ducmV2LnhtbE2PwU7DMBBE75X4B2uRuLW2Cy0lxOkBxBXUUir15sbbJCJe&#10;R7HbhL9ne4LbrGY18yZfj74VF+xjE8iAnikQSGVwDVUGdp9v0xWImCw52wZCAz8YYV3cTHKbuTDQ&#10;Bi/bVAkOoZhZA3VKXSZlLGv0Ns5Ch8TeKfTeJj77SrreDhzuWzlXaim9bYgbatvhS43l9/bsDXy9&#10;nw77B/VRvfpFN4RRSfJP0pi7W62eQSQc098zXPEZHQpmOoYzuShaA1O94i3JwHwB4urrew3iyEI9&#10;apBFLv8vKH4BUEsDBBQAAAAIAIdO4kBmkWtZIAIAACYEAAAOAAAAZHJzL2Uyb0RvYy54bWytU0tu&#10;2zAQ3RfoHQjua9my4ziC5SCNkaJA+gHSHoCmKIuoxGGHtKX0AO0Nuuqm+57L5+iQUlw33WTRDUFy&#10;hm/mvXlcXnZNzfYKnQaT88lozJkyEgpttjn/+OHmxYIz54UpRA1G5fxeOX65ev5s2dpMpVBBXShk&#10;BGJc1tqcV97bLEmcrFQj3AisMhQsARvh6YjbpEDREnpTJ+l4PE9awMIiSOUc3a77IB8Q8SmAUJZa&#10;qjXIXaOM71FR1cITJVdp6/gqdluWSvp3ZemUZ3XOiamPKxWh/SasyWopsi0KW2k5tCCe0sIjTo3Q&#10;hooeodbCC7ZD/Q9UoyWCg9KPJDRJTyQqQiwm40fa3FXCqsiFpHb2KLr7f7Dy7f49Ml3k/Hw65cyI&#10;hkZ++P7t8OPX4edXdpHOg0StdRll3lnK9d1L6Mg4ka6ztyA/OWbguhJmq64Qoa2UKKjFSXiZnDzt&#10;cVwA2bRvoKBKYuchAnUlNkE/UoQROo3n/jge1Xkm6XIxTWeLM84khebzWTqJ40tE9vDYovOvFDQs&#10;bHKONP0ILva3zodmRPaQEmoZuNF1HR1Qm78uKLG/UdFCw+tAJXTf8/Ddphuk2UBxT6QQenvR56JN&#10;BfiFs5aslXP3eSdQcVa/NiTMxWQ2C16Mh9nZeUoHPI1sTiPCSILKuees31773r87i3pbUaV+FAau&#10;SMxSR6Kh1b6rYQRkn8h/sHrw5+k5Zv353q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6I3XQNcA&#10;AAAJAQAADwAAAAAAAAABACAAAAAiAAAAZHJzL2Rvd25yZXYueG1sUEsBAhQAFAAAAAgAh07iQGaR&#10;a1kgAgAAJgQAAA4AAAAAAAAAAQAgAAAAJgEAAGRycy9lMm9Eb2MueG1sUEsFBgAAAAAGAAYAWQEA&#10;ALgFAAAAAA==&#10;">
                <v:fill on="f" focussize="0,0"/>
                <v:stroke on="f"/>
                <v:imagedata o:title=""/>
                <o:lock v:ext="edit" aspectratio="f"/>
                <v:textbox>
                  <w:txbxContent>
                    <w:p w14:paraId="122F3367">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工程变更程序</w:t>
                      </w:r>
                    </w:p>
                  </w:txbxContent>
                </v:textbox>
              </v:shape>
            </w:pict>
          </mc:Fallback>
        </mc:AlternateContent>
      </w:r>
      <w:r>
        <w:rPr>
          <w:rFonts w:hint="eastAsia" w:ascii="仿宋" w:hAnsi="仿宋" w:eastAsia="仿宋" w:cs="仿宋"/>
          <w:color w:val="auto"/>
          <w:sz w:val="24"/>
          <w:szCs w:val="24"/>
          <w:highlight w:val="none"/>
          <w:lang w:eastAsia="zh-CN"/>
        </w:rPr>
        <w:t>合同工程发生变更，合同双方当事人以及设计顾问人、监理人、造价咨询人应遵循下列程序实施工程变更的相关工作。</w:t>
      </w:r>
    </w:p>
    <w:p w14:paraId="1BCD3DE8">
      <w:pPr>
        <w:pStyle w:val="2"/>
        <w:widowControl w:val="0"/>
        <w:numPr>
          <w:ilvl w:val="0"/>
          <w:numId w:val="18"/>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合同工程可能发生或发生工程变更时，监理人或承包人可依据下列情况及时提出。</w:t>
      </w:r>
    </w:p>
    <w:p w14:paraId="3561A134">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① 合同工程可能发生第63</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款所列情形的，监理人可向承包人发出变更意向书，明确发包人要求和采用的标准规范等资料。承包人应在收到变更意向书后的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天内，向监理人书面提交包括拟实施变更工作的计划、措施、竣工时间、修改内容、变更图纸和所需金额等在内的实施方案。发包人应在收到实施方案后的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天内予以答复 。</w:t>
      </w:r>
    </w:p>
    <w:p w14:paraId="5F88A9A6">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②同意承包人提交的实施方案的，监理人应至少提前</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天以书面形式向承包人发出变更指令，明确发包人要求和采用的标准规范等资料，及批准的实施方案。</w:t>
      </w:r>
    </w:p>
    <w:p w14:paraId="3C5CE266">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③ 若承包人收到监理人的变更意向书后认为难以实施此项变更的，应立即通知监理人，说明原因并附详细依据。监理人与合同双方当事人协商后确定撤销、改变或不改变原变更意向书。</w:t>
      </w:r>
    </w:p>
    <w:p w14:paraId="106FA727">
      <w:pPr>
        <w:pStyle w:val="2"/>
        <w:widowControl w:val="0"/>
        <w:numPr>
          <w:ilvl w:val="0"/>
          <w:numId w:val="18"/>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承包人应在收到监理人发出变更指令或变更意向书后的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天内，向发包人提交工程变更报告，并抄送监理人、造价咨询人。报告内容应包括变更原因、根据第79条约定详细开列变更工作的价格组成和依据，并附变更的施工设计图纸及其相关说明。</w:t>
      </w:r>
    </w:p>
    <w:p w14:paraId="0C339AEA">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变更工作影响工期的，承包人应提出调整工期的要求。发包人认为有必要时，可要求承包人提交提前或者延长工期的施工进度计划或相应施工措施等资料。</w:t>
      </w:r>
    </w:p>
    <w:p w14:paraId="6BEF8C4B">
      <w:pPr>
        <w:pStyle w:val="2"/>
        <w:widowControl w:val="0"/>
        <w:numPr>
          <w:ilvl w:val="0"/>
          <w:numId w:val="18"/>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发包人在收到承包人工程变更报告后，应通知监理人、造价咨询人及时对报告内容予以核实，并在收到报告后的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天内予以确定或提出修改意见。发包人在收到承包人工程变更报告后的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天内未确定也未提出修改意见的，视为承包人提交的工程变更报告已被认可。</w:t>
      </w:r>
    </w:p>
    <w:p w14:paraId="2323E27E">
      <w:pPr>
        <w:pStyle w:val="2"/>
        <w:widowControl w:val="0"/>
        <w:numPr>
          <w:ilvl w:val="0"/>
          <w:numId w:val="18"/>
        </w:numPr>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承包人应在发包人确定工程变更报告后的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天内，按照监理人发出的变更指令及时组织实施变更工作。否则，由此引起的损失和（或）延误的工期由承包人承担。</w:t>
      </w:r>
    </w:p>
    <w:p w14:paraId="5C23F919">
      <w:pPr>
        <w:pStyle w:val="2"/>
        <w:widowControl w:val="0"/>
        <w:numPr>
          <w:ilvl w:val="0"/>
          <w:numId w:val="18"/>
        </w:numPr>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工程变更技术审核：合同工程发生第63</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款所列情形，监理人在批准或指示工程变更前，其变更图纸（若有）应先通过设计顾问人的技术审核。</w:t>
      </w:r>
    </w:p>
    <w:p w14:paraId="46442552">
      <w:pPr>
        <w:pStyle w:val="2"/>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63</w:t>
      </w:r>
      <w:r>
        <w:rPr>
          <w:rFonts w:ascii="仿宋" w:hAnsi="仿宋" w:eastAsia="仿宋" w:cs="仿宋"/>
          <w:b/>
          <w:bCs/>
          <w:color w:val="auto"/>
          <w:sz w:val="24"/>
          <w:szCs w:val="24"/>
          <w:highlight w:val="none"/>
          <w:lang w:eastAsia="zh-CN"/>
        </w:rPr>
        <w:t xml:space="preserve">.4  </w:t>
      </w:r>
    </w:p>
    <w:p w14:paraId="2CE5921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43584" behindDoc="0" locked="0" layoutInCell="1" allowOverlap="1">
                <wp:simplePos x="0" y="0"/>
                <wp:positionH relativeFrom="column">
                  <wp:posOffset>-114300</wp:posOffset>
                </wp:positionH>
                <wp:positionV relativeFrom="paragraph">
                  <wp:posOffset>7620</wp:posOffset>
                </wp:positionV>
                <wp:extent cx="785495" cy="550545"/>
                <wp:effectExtent l="0" t="0" r="0" b="0"/>
                <wp:wrapNone/>
                <wp:docPr id="734" name="文本框 927"/>
                <wp:cNvGraphicFramePr/>
                <a:graphic xmlns:a="http://schemas.openxmlformats.org/drawingml/2006/main">
                  <a:graphicData uri="http://schemas.microsoft.com/office/word/2010/wordprocessingShape">
                    <wps:wsp>
                      <wps:cNvSpPr txBox="1">
                        <a:spLocks noChangeArrowheads="1"/>
                      </wps:cNvSpPr>
                      <wps:spPr bwMode="auto">
                        <a:xfrm>
                          <a:off x="0" y="0"/>
                          <a:ext cx="785495" cy="550545"/>
                        </a:xfrm>
                        <a:prstGeom prst="rect">
                          <a:avLst/>
                        </a:prstGeom>
                        <a:noFill/>
                        <a:ln>
                          <a:noFill/>
                        </a:ln>
                        <a:effectLst/>
                      </wps:spPr>
                      <wps:txbx>
                        <w:txbxContent>
                          <w:p w14:paraId="2EF0C14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承包人提出工程变更建议</w:t>
                            </w:r>
                          </w:p>
                        </w:txbxContent>
                      </wps:txbx>
                      <wps:bodyPr rot="0" vert="horz" wrap="square" lIns="91440" tIns="45720" rIns="91440" bIns="45720" anchor="t" anchorCtr="0" upright="1">
                        <a:noAutofit/>
                      </wps:bodyPr>
                    </wps:wsp>
                  </a:graphicData>
                </a:graphic>
              </wp:anchor>
            </w:drawing>
          </mc:Choice>
          <mc:Fallback>
            <w:pict>
              <v:shape id="文本框 927" o:spid="_x0000_s1026" o:spt="202" type="#_x0000_t202" style="position:absolute;left:0pt;margin-left:-9pt;margin-top:0.6pt;height:43.35pt;width:61.85pt;z-index:251843584;mso-width-relative:page;mso-height-relative:page;" filled="f" stroked="f" coordsize="21600,21600" o:gfxdata="UEsDBAoAAAAAAIdO4kAAAAAAAAAAAAAAAAAEAAAAZHJzL1BLAwQUAAAACACHTuJAlWFDHNUAAAAI&#10;AQAADwAAAGRycy9kb3ducmV2LnhtbE2PwW7CMBBE75X4B2uRegM7qJQQ4nAA9dqq0FbqbYmXJCJe&#10;R7Eh6d/XnNrj6q1m3uTb0bbiRr1vHGtI5goEcelMw5WGj+PLLAXhA7LB1jFp+CEP22LykGNm3MDv&#10;dDuESsQQ9hlqqEPoMil9WZNFP3cdcWRn11sM8ewraXocYrht5UKpZ2mx4dhQY0e7msrL4Wo1fL6e&#10;v7+e1Fu1t8tucKOSbNdS68dpojYgAo3h7xnu+lEdiuh0clc2XrQaZkkat4QIFiDuXC1XIE4a0tUa&#10;ZJHL/wOKX1BLAwQUAAAACACHTuJAQXdw/x8CAAAmBAAADgAAAGRycy9lMm9Eb2MueG1srVPNjtMw&#10;EL4j8Q6W7zRtaeg2arpatlqEtPxICw/gOk5jkXjM2G1SHgDegBMX7jxXn4Oxky1lueyBi2V7xt/M&#10;983n5WXX1Gyv0GkwOZ+MxpwpI6HQZpvzjx9unl1w5rwwhajBqJwflOOXq6dPlq3N1BQqqAuFjECM&#10;y1qb88p7myWJk5VqhBuBVYaCJWAjPB1xmxQoWkJv6mQ6Hr9IWsDCIkjlHN2u+yAfEPExgFCWWqo1&#10;yF2jjO9RUdXCEyVXaev4KnZblkr6d2XplGd1zompjysVof0mrMlqKbItCltpObQgHtPCA06N0IaK&#10;nqDWwgu2Q/0PVKMlgoPSjyQ0SU8kKkIsJuMH2txVwqrIhaR29iS6+3+w8u3+PTJd5Hz+fMaZEQ2N&#10;/Pj92/HHr+PPr2wxnQeJWusyyryzlOu7l9CRcSJdZ29BfnLMwHUlzFZdIUJbKVFQi5PwMjl72uO4&#10;ALJp30BBlcTOQwTqSmyCfqQII3Qaz+E0HtV5JulyfpHOFilnkkJpOk5naawgsvvHFp1/paBhYZNz&#10;pOlHcLG/dT40I7L7lFDLwI2u6+iA2vx1QYn9jYoWGl4HKqH7nofvNt0gzQaKA5FC6O1Fn4s2FeAX&#10;zlqyVs7d551AxVn92pAwi8lsFrwYD7N0PqUDnkc25xFhJEHl3HPWb69979+dRb2tqFI/CgNXJGap&#10;I9HQat/VMAKyT+Q/WD348/wcs/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lWFDHNUAAAAI&#10;AQAADwAAAAAAAAABACAAAAAiAAAAZHJzL2Rvd25yZXYueG1sUEsBAhQAFAAAAAgAh07iQEF3cP8f&#10;AgAAJgQAAA4AAAAAAAAAAQAgAAAAJAEAAGRycy9lMm9Eb2MueG1sUEsFBgAAAAAGAAYAWQEAALUF&#10;AAAAAA==&#10;">
                <v:fill on="f" focussize="0,0"/>
                <v:stroke on="f"/>
                <v:imagedata o:title=""/>
                <o:lock v:ext="edit" aspectratio="f"/>
                <v:textbox>
                  <w:txbxContent>
                    <w:p w14:paraId="2EF0C148">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承包人提出工程变更建议</w:t>
                      </w:r>
                    </w:p>
                  </w:txbxContent>
                </v:textbox>
              </v:shape>
            </w:pict>
          </mc:Fallback>
        </mc:AlternateContent>
      </w:r>
      <w:r>
        <w:rPr>
          <w:rFonts w:hint="eastAsia" w:ascii="仿宋" w:hAnsi="仿宋" w:eastAsia="仿宋" w:cs="仿宋"/>
          <w:color w:val="auto"/>
          <w:sz w:val="24"/>
          <w:szCs w:val="24"/>
          <w:highlight w:val="none"/>
          <w:lang w:eastAsia="zh-CN"/>
        </w:rPr>
        <w:t>合同履行期间，承包人可提出工程变更建议。变更建议应以书面形式向设计顾问人、监理人和造价咨询人提出，同时抄送发包人，详细说明变更的原因、变更方案、变更预算及合同价格的增减情况，并附必要的施工设计图纸及其说明等资料。变更建议被采纳的，设计顾问人、监理人和造价咨询人应按照第63</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款约定向承包人发出变更指令。</w:t>
      </w:r>
    </w:p>
    <w:p w14:paraId="49701CE2">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发包人采纳承包人的建议，给发包人带来降低合同价格、缩短工期或产生显著工程经济效益等利益的，发包人应按照国家有关规定并在专用条款中约定的计算方法予以奖励。</w:t>
      </w:r>
    </w:p>
    <w:p w14:paraId="78396851">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63</w:t>
      </w:r>
      <w:r>
        <w:rPr>
          <w:rFonts w:ascii="仿宋" w:hAnsi="仿宋" w:eastAsia="仿宋" w:cs="仿宋"/>
          <w:b/>
          <w:bCs/>
          <w:color w:val="auto"/>
          <w:highlight w:val="none"/>
          <w:lang w:eastAsia="zh-CN"/>
        </w:rPr>
        <w:t xml:space="preserve">.5  </w:t>
      </w:r>
    </w:p>
    <w:p w14:paraId="0EE2561C">
      <w:pPr>
        <w:widowControl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844608" behindDoc="0" locked="0" layoutInCell="1" allowOverlap="1">
                <wp:simplePos x="0" y="0"/>
                <wp:positionH relativeFrom="column">
                  <wp:posOffset>-114300</wp:posOffset>
                </wp:positionH>
                <wp:positionV relativeFrom="paragraph">
                  <wp:posOffset>15240</wp:posOffset>
                </wp:positionV>
                <wp:extent cx="832485" cy="909955"/>
                <wp:effectExtent l="0" t="0" r="0" b="0"/>
                <wp:wrapNone/>
                <wp:docPr id="735" name="文本框 928"/>
                <wp:cNvGraphicFramePr/>
                <a:graphic xmlns:a="http://schemas.openxmlformats.org/drawingml/2006/main">
                  <a:graphicData uri="http://schemas.microsoft.com/office/word/2010/wordprocessingShape">
                    <wps:wsp>
                      <wps:cNvSpPr txBox="1">
                        <a:spLocks noChangeArrowheads="1"/>
                      </wps:cNvSpPr>
                      <wps:spPr bwMode="auto">
                        <a:xfrm>
                          <a:off x="0" y="0"/>
                          <a:ext cx="832485" cy="909955"/>
                        </a:xfrm>
                        <a:prstGeom prst="rect">
                          <a:avLst/>
                        </a:prstGeom>
                        <a:noFill/>
                        <a:ln>
                          <a:noFill/>
                        </a:ln>
                        <a:effectLst/>
                      </wps:spPr>
                      <wps:txbx>
                        <w:txbxContent>
                          <w:p w14:paraId="499885D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工程变更导致合同价格和工期的调整</w:t>
                            </w:r>
                          </w:p>
                        </w:txbxContent>
                      </wps:txbx>
                      <wps:bodyPr rot="0" vert="horz" wrap="square" lIns="91440" tIns="45720" rIns="91440" bIns="45720" anchor="t" anchorCtr="0" upright="1">
                        <a:noAutofit/>
                      </wps:bodyPr>
                    </wps:wsp>
                  </a:graphicData>
                </a:graphic>
              </wp:anchor>
            </w:drawing>
          </mc:Choice>
          <mc:Fallback>
            <w:pict>
              <v:shape id="文本框 928" o:spid="_x0000_s1026" o:spt="202" type="#_x0000_t202" style="position:absolute;left:0pt;margin-left:-9pt;margin-top:1.2pt;height:71.65pt;width:65.55pt;z-index:251844608;mso-width-relative:page;mso-height-relative:page;" filled="f" stroked="f" coordsize="21600,21600" o:gfxdata="UEsDBAoAAAAAAIdO4kAAAAAAAAAAAAAAAAAEAAAAZHJzL1BLAwQUAAAACACHTuJA0+PMhdcAAAAJ&#10;AQAADwAAAGRycy9kb3ducmV2LnhtbE2PwU7DMBBE70j8g7VI3Nq1S0pLiNMDiCuIApW4ufE2iYjX&#10;Uew24e9xT/Q2q1nNvCk2k+vEiYbQetag5hIEceVty7WGz4+X2RpEiIat6TyThl8KsCmvrwqTWz/y&#10;O522sRYphENuNDQx9jliqBpyJsx9T5y8gx+ciekcarSDGVO463Ah5T0603JqaExPTw1VP9uj0/D1&#10;evjeZfKtfnbLfvSTRHYPqPXtjZKPICJN8f8ZzvgJHcrEtPdHtkF0GmZqnbZEDYsMxNlXdwrEPols&#10;uQIsC7xcUP4BUEsDBBQAAAAIAIdO4kB4+PaQHwIAACYEAAAOAAAAZHJzL2Uyb0RvYy54bWytU8Fu&#10;EzEQvSPxD5bvZJM0ockqm6o0KkIqFKnwAY7Xm7XY9Zixk93wAfQPOHHh3u/KdzD2bkMolx64WLZn&#10;/Gbem+fFRVtXbKfQaTAZHw2GnCkjIddmk/HPn65fzThzXphcVGBUxvfK8YvlyxeLxqZqDCVUuUJG&#10;IMaljc146b1Nk8TJUtXCDcAqQ8ECsBaejrhJchQNoddVMh4OXycNYG4RpHKOblddkPeI+BxAKAot&#10;1QrktlbGd6ioKuGJkiu1dXwZuy0KJf1tUTjlWZVxYurjSkVovw5rslyIdIPCllr2LYjntPCEUy20&#10;oaJHqJXwgm1R/wNVa4ngoPADCXXSEYmKEIvR8Ik2d6WwKnIhqZ09iu7+H6z8sPuITOcZPz+bcmZE&#10;TSM//Lg//Hw4/PrO5uNZkKixLqXMO0u5vn0DLRkn0nX2BuQXxwxclcJs1CUiNKUSObU4Ci+Tk6cd&#10;jgsg6+Y95FRJbD1EoLbAOuhHijBCp/Hsj+NRrWeSLmdn48mMmpQUmg/n8+k0VhDp42OLzr9VULOw&#10;yTjS9CO42N04H5oR6WNKqGXgWldVdEBl/rqgxO5GRQv1rwOV0H3Hw7frtpdmDfmeSCF09qLPRZsS&#10;8BtnDVkr4+7rVqDirHpnSJj5aDIJXoyHyfR8TAc8jaxPI8JIgsq456zbXvnOv1uLelNSpW4UBi5J&#10;zEJHoqHVrqt+BGSfyL+3evD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T48yF1wAA&#10;AAkBAAAPAAAAAAAAAAEAIAAAACIAAABkcnMvZG93bnJldi54bWxQSwECFAAUAAAACACHTuJAePj2&#10;kB8CAAAmBAAADgAAAAAAAAABACAAAAAmAQAAZHJzL2Uyb0RvYy54bWxQSwUGAAAAAAYABgBZAQAA&#10;twUAAAAA&#10;">
                <v:fill on="f" focussize="0,0"/>
                <v:stroke on="f"/>
                <v:imagedata o:title=""/>
                <o:lock v:ext="edit" aspectratio="f"/>
                <v:textbox>
                  <w:txbxContent>
                    <w:p w14:paraId="499885D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工程变更导致合同价格和工期的调整</w:t>
                      </w:r>
                    </w:p>
                  </w:txbxContent>
                </v:textbox>
              </v:shape>
            </w:pict>
          </mc:Fallback>
        </mc:AlternateContent>
      </w:r>
      <w:r>
        <w:rPr>
          <w:rFonts w:hint="eastAsia" w:ascii="仿宋" w:hAnsi="仿宋" w:eastAsia="仿宋" w:cs="仿宋"/>
          <w:color w:val="auto"/>
          <w:highlight w:val="none"/>
          <w:lang w:eastAsia="zh-CN"/>
        </w:rPr>
        <w:t>工程变更不应使合同作废或无效。</w:t>
      </w:r>
    </w:p>
    <w:p w14:paraId="2D0F894A">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工程变更分为可调价变更和不可调价变更。其中，不可调价变更是指采用总价合同形式的工程项目（子项目）且不符合第69.3款约定条件的变更，此类变更应参照第79条约定或本项目的预算编制规则确定变更预算，作为投资控制的依据，但不作为合同价格调整的依据；其他可调价变更应按照第79条约定确定变更的工程款，作为合同价格调整的依据。影响工期的，工期应相应调整。但由于下列原因引起的变更，承包人无权要求任何额外或附加的费用，工期也不予顺延：</w:t>
      </w:r>
    </w:p>
    <w:p w14:paraId="2A883E6D">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（1）为了便于组织施工而采取的技术措施变更或临时工程变更；</w:t>
      </w:r>
    </w:p>
    <w:p w14:paraId="416FD206">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）为了施工安全、避免干扰等原因而采取的技术措施变更或临时工程变更；</w:t>
      </w:r>
    </w:p>
    <w:p w14:paraId="73333B10">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（3）因承包人违约、过错或承包人引起的其他变更。</w:t>
      </w:r>
    </w:p>
    <w:p w14:paraId="4583279E">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0AAE71EF">
      <w:pPr>
        <w:pStyle w:val="5"/>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62" w:name="_Toc341"/>
      <w:r>
        <w:rPr>
          <w:rFonts w:hint="eastAsia" w:ascii="仿宋" w:hAnsi="仿宋" w:eastAsia="仿宋" w:cs="仿宋"/>
          <w:bCs w:val="0"/>
          <w:color w:val="auto"/>
          <w:sz w:val="24"/>
          <w:szCs w:val="24"/>
          <w:highlight w:val="none"/>
          <w:lang w:eastAsia="zh-CN"/>
        </w:rPr>
        <w:t>64竣工验收条件</w:t>
      </w:r>
      <w:bookmarkEnd w:id="362"/>
    </w:p>
    <w:p w14:paraId="229F523B">
      <w:pPr>
        <w:pStyle w:val="20"/>
        <w:adjustRightInd w:val="0"/>
        <w:snapToGrid w:val="0"/>
        <w:spacing w:line="360" w:lineRule="auto"/>
        <w:ind w:firstLine="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64</w:t>
      </w:r>
      <w:r>
        <w:rPr>
          <w:rFonts w:ascii="仿宋" w:hAnsi="仿宋" w:eastAsia="仿宋" w:cs="仿宋"/>
          <w:b/>
          <w:bCs/>
          <w:color w:val="auto"/>
          <w:highlight w:val="none"/>
          <w:lang w:eastAsia="zh-CN"/>
        </w:rPr>
        <w:t>.1</w:t>
      </w:r>
    </w:p>
    <w:p w14:paraId="266A09C7">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45632" behindDoc="0" locked="0" layoutInCell="1" allowOverlap="1">
                <wp:simplePos x="0" y="0"/>
                <wp:positionH relativeFrom="column">
                  <wp:posOffset>-114300</wp:posOffset>
                </wp:positionH>
                <wp:positionV relativeFrom="paragraph">
                  <wp:posOffset>12700</wp:posOffset>
                </wp:positionV>
                <wp:extent cx="813435" cy="617855"/>
                <wp:effectExtent l="0" t="0" r="0" b="0"/>
                <wp:wrapNone/>
                <wp:docPr id="736" name="文本框 929"/>
                <wp:cNvGraphicFramePr/>
                <a:graphic xmlns:a="http://schemas.openxmlformats.org/drawingml/2006/main">
                  <a:graphicData uri="http://schemas.microsoft.com/office/word/2010/wordprocessingShape">
                    <wps:wsp>
                      <wps:cNvSpPr txBox="1">
                        <a:spLocks noChangeArrowheads="1"/>
                      </wps:cNvSpPr>
                      <wps:spPr bwMode="auto">
                        <a:xfrm>
                          <a:off x="0" y="0"/>
                          <a:ext cx="813435" cy="617855"/>
                        </a:xfrm>
                        <a:prstGeom prst="rect">
                          <a:avLst/>
                        </a:prstGeom>
                        <a:noFill/>
                        <a:ln>
                          <a:noFill/>
                        </a:ln>
                        <a:effectLst/>
                      </wps:spPr>
                      <wps:txbx>
                        <w:txbxContent>
                          <w:p w14:paraId="5ACFADE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竣工验收条件</w:t>
                            </w:r>
                          </w:p>
                        </w:txbxContent>
                      </wps:txbx>
                      <wps:bodyPr rot="0" vert="horz" wrap="square" lIns="91440" tIns="45720" rIns="91440" bIns="45720" anchor="t" anchorCtr="0" upright="1">
                        <a:noAutofit/>
                      </wps:bodyPr>
                    </wps:wsp>
                  </a:graphicData>
                </a:graphic>
              </wp:anchor>
            </w:drawing>
          </mc:Choice>
          <mc:Fallback>
            <w:pict>
              <v:shape id="文本框 929" o:spid="_x0000_s1026" o:spt="202" type="#_x0000_t202" style="position:absolute;left:0pt;margin-left:-9pt;margin-top:1pt;height:48.65pt;width:64.05pt;z-index:251845632;mso-width-relative:page;mso-height-relative:page;" filled="f" stroked="f" coordsize="21600,21600" o:gfxdata="UEsDBAoAAAAAAIdO4kAAAAAAAAAAAAAAAAAEAAAAZHJzL1BLAwQUAAAACACHTuJAma+5lNYAAAAI&#10;AQAADwAAAGRycy9kb3ducmV2LnhtbE2PzU7DMBCE70i8g7VI3FrbBaomZNMDiCuoPyBxc+NtEhGv&#10;o9htwtvXPcFptJrVzDfFenKdONMQWs8Ieq5AEFfetlwj7HdvsxWIEA1b03kmhF8KsC5vbwqTWz/y&#10;hs7bWIsUwiE3CE2MfS5lqBpyJsx9T5y8ox+ciekcamkHM6Zw18mFUkvpTMupoTE9vTRU/WxPDuHz&#10;/fj99ag+6lf31I9+UpJdJhHv77R6BhFpin/PcMVP6FAmpoM/sQ2iQ5jpVdoSERZJrr5WGsQBIcse&#10;QJaF/D+gvABQSwMEFAAAAAgAh07iQIQwpkUfAgAAJgQAAA4AAABkcnMvZTJvRG9jLnhtbK1TS44T&#10;MRDdI3EHy3vS6fzTSmc0TDQIafhIAwdw3O60RbfL2E66wwHgBqzYsOdcOQdluyeEYTMLNpbtKr+q&#10;9+p5ddU1NTkIYyWonKaDISVCcSik2uX044fbFwtKrGOqYDUokdOjsPRq/fzZqtWZGEEFdSEMQRBl&#10;s1bntHJOZ0lieSUaZgeghcJgCaZhDo9mlxSGtYje1MloOJwlLZhCG+DCWrzdxCDtEc1TAKEsJRcb&#10;4PtGKBdRjaiZQ0q2ktrSdei2LAV378rSCkfqnCJTF1YsgvutX5P1imU7w3Qled8Ce0oLjzg1TCos&#10;eobaMMfI3sh/oBrJDVgo3YBDk0QiQRFkkQ4faXNfMS0CF5Ta6rPo9v/B8reH94bIIqfz8YwSxRoc&#10;+en7t9OPX6efX8lytPQStdpmmHmvMdd1L6FD4wS6Vt8B/2SJgpuKqZ24NgbaSrACW0z9y+TiacSx&#10;HmTbvoECK7G9gwDUlabx+qEiBNFxPMfzeETnCMfLRTqejKeUcAzN0vliOg0VWPbwWBvrXgloiN/k&#10;1OD0Azg73Fnnm2HZQ4qvpeBW1nVwQK3+usDEeCOChfrXnorvPvJw3bbrpdlCcURSBqK98HPhpgLz&#10;hZIWrZVT+3nPjKCkfq1QmGU6mXgvhsNkOh/hwVxGtpcRpjhC5dRRErc3Lvp3r43cVVgpjkLBNYpZ&#10;ykDUtxq76keA9gn8e6t7f16eQ9af773+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mvuZTWAAAA&#10;CAEAAA8AAAAAAAAAAQAgAAAAIgAAAGRycy9kb3ducmV2LnhtbFBLAQIUABQAAAAIAIdO4kCEMKZF&#10;HwIAACYEAAAOAAAAAAAAAAEAIAAAACUBAABkcnMvZTJvRG9jLnhtbFBLBQYAAAAABgAGAFkBAAC2&#10;BQAAAAA=&#10;">
                <v:fill on="f" focussize="0,0"/>
                <v:stroke on="f"/>
                <v:imagedata o:title=""/>
                <o:lock v:ext="edit" aspectratio="f"/>
                <v:textbox>
                  <w:txbxContent>
                    <w:p w14:paraId="5ACFADE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竣工验收条件</w:t>
                      </w:r>
                    </w:p>
                  </w:txbxContent>
                </v:textbox>
              </v:shape>
            </w:pict>
          </mc:Fallback>
        </mc:AlternateContent>
      </w:r>
      <w:r>
        <w:rPr>
          <w:rFonts w:hint="eastAsia" w:ascii="仿宋" w:hAnsi="仿宋" w:eastAsia="仿宋" w:cs="仿宋"/>
          <w:color w:val="auto"/>
          <w:highlight w:val="none"/>
          <w:lang w:eastAsia="zh-CN"/>
        </w:rPr>
        <w:t>承包人实施、完成合同工程的全部工作内容，经自检评定并符合下列条件的，则认为合同工程已具备竣工验收条件。</w:t>
      </w:r>
    </w:p>
    <w:p w14:paraId="5758C7D2">
      <w:pPr>
        <w:widowControl w:val="0"/>
        <w:numPr>
          <w:ilvl w:val="0"/>
          <w:numId w:val="19"/>
        </w:numPr>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除监理人同意列入缺陷责任期内完成的尾工（甩项）工程和缺陷修补工作外，包括合同约定的试验、检验和验收等工作在内的合同范围内全部工作均已完成，并符合施工设计图纸和合同约定的要求；</w:t>
      </w:r>
    </w:p>
    <w:p w14:paraId="50A3FA90">
      <w:pPr>
        <w:widowControl w:val="0"/>
        <w:numPr>
          <w:ilvl w:val="0"/>
          <w:numId w:val="19"/>
        </w:numPr>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已按照合同约定的内容和份数备齐了符合国家或行业、省要求的竣工资料（质量控制资料等）；</w:t>
      </w:r>
    </w:p>
    <w:p w14:paraId="3F745FA7">
      <w:pPr>
        <w:widowControl w:val="0"/>
        <w:numPr>
          <w:ilvl w:val="0"/>
          <w:numId w:val="19"/>
        </w:numPr>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已按照监理人的指令编制了在缺陷责任期内完成的尾工（甩项）工程和缺陷修补工作清单，以及相应的实施计划；</w:t>
      </w:r>
    </w:p>
    <w:p w14:paraId="0820B0CD">
      <w:pPr>
        <w:widowControl w:val="0"/>
        <w:numPr>
          <w:ilvl w:val="0"/>
          <w:numId w:val="19"/>
        </w:numPr>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监理人要求在竣工验收前应完成的其他工作：</w:t>
      </w:r>
    </w:p>
    <w:p w14:paraId="39A84655">
      <w:pPr>
        <w:widowControl w:val="0"/>
        <w:numPr>
          <w:ilvl w:val="0"/>
          <w:numId w:val="19"/>
        </w:numPr>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监理人要求提交的竣工验收资料清单；</w:t>
      </w:r>
    </w:p>
    <w:p w14:paraId="3D73A9EC">
      <w:pPr>
        <w:widowControl w:val="0"/>
        <w:numPr>
          <w:ilvl w:val="0"/>
          <w:numId w:val="19"/>
        </w:numPr>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竣工资料应当符合国家或行业、省关于基本建设项目档案资料管理的有关规定；发包人对基本建设项目档案资料管理有具体要求的，由合同双方在专用条款中约定。</w:t>
      </w:r>
    </w:p>
    <w:p w14:paraId="4A312BF5">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64</w:t>
      </w:r>
      <w:r>
        <w:rPr>
          <w:rFonts w:ascii="仿宋" w:hAnsi="仿宋" w:eastAsia="仿宋" w:cs="仿宋"/>
          <w:b/>
          <w:bCs/>
          <w:color w:val="auto"/>
          <w:highlight w:val="none"/>
          <w:lang w:eastAsia="zh-CN"/>
        </w:rPr>
        <w:t>.2</w:t>
      </w:r>
    </w:p>
    <w:p w14:paraId="30D7DA15">
      <w:pPr>
        <w:pStyle w:val="20"/>
        <w:widowControl w:val="0"/>
        <w:adjustRightInd w:val="0"/>
        <w:snapToGrid w:val="0"/>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w:t>
      </w:r>
      <w:r>
        <w:rPr>
          <w:color w:val="auto"/>
          <w:highlight w:val="none"/>
          <w:lang w:eastAsia="zh-CN" w:bidi="ar-SA"/>
        </w:rPr>
        <mc:AlternateContent>
          <mc:Choice Requires="wps">
            <w:drawing>
              <wp:anchor distT="0" distB="0" distL="114300" distR="114300" simplePos="0" relativeHeight="251846656" behindDoc="0" locked="0" layoutInCell="1" allowOverlap="1">
                <wp:simplePos x="0" y="0"/>
                <wp:positionH relativeFrom="column">
                  <wp:posOffset>-114300</wp:posOffset>
                </wp:positionH>
                <wp:positionV relativeFrom="paragraph">
                  <wp:posOffset>12700</wp:posOffset>
                </wp:positionV>
                <wp:extent cx="831850" cy="579120"/>
                <wp:effectExtent l="0" t="0" r="0" b="0"/>
                <wp:wrapNone/>
                <wp:docPr id="737" name="文本框 930"/>
                <wp:cNvGraphicFramePr/>
                <a:graphic xmlns:a="http://schemas.openxmlformats.org/drawingml/2006/main">
                  <a:graphicData uri="http://schemas.microsoft.com/office/word/2010/wordprocessingShape">
                    <wps:wsp>
                      <wps:cNvSpPr txBox="1">
                        <a:spLocks noChangeArrowheads="1"/>
                      </wps:cNvSpPr>
                      <wps:spPr bwMode="auto">
                        <a:xfrm>
                          <a:off x="0" y="0"/>
                          <a:ext cx="831850" cy="579120"/>
                        </a:xfrm>
                        <a:prstGeom prst="rect">
                          <a:avLst/>
                        </a:prstGeom>
                        <a:noFill/>
                        <a:ln>
                          <a:noFill/>
                        </a:ln>
                        <a:effectLst/>
                      </wps:spPr>
                      <wps:txbx>
                        <w:txbxContent>
                          <w:p w14:paraId="7F53342B">
                            <w:pPr>
                              <w:spacing w:line="240" w:lineRule="exact"/>
                              <w:rPr>
                                <w:rFonts w:ascii="宋体"/>
                                <w:sz w:val="18"/>
                                <w:szCs w:val="18"/>
                              </w:rPr>
                            </w:pPr>
                            <w:r>
                              <w:rPr>
                                <w:rFonts w:hint="eastAsia" w:ascii="楷体_GB2312" w:hAnsi="宋体" w:eastAsia="楷体_GB2312" w:cs="楷体_GB2312"/>
                                <w:b/>
                                <w:bCs/>
                                <w:color w:val="000000"/>
                                <w:sz w:val="18"/>
                                <w:szCs w:val="18"/>
                              </w:rPr>
                              <w:t>提交竣工验收申请报告</w:t>
                            </w:r>
                          </w:p>
                        </w:txbxContent>
                      </wps:txbx>
                      <wps:bodyPr rot="0" vert="horz" wrap="square" lIns="91440" tIns="45720" rIns="91440" bIns="45720" anchor="t" anchorCtr="0" upright="1">
                        <a:noAutofit/>
                      </wps:bodyPr>
                    </wps:wsp>
                  </a:graphicData>
                </a:graphic>
              </wp:anchor>
            </w:drawing>
          </mc:Choice>
          <mc:Fallback>
            <w:pict>
              <v:shape id="文本框 930" o:spid="_x0000_s1026" o:spt="202" type="#_x0000_t202" style="position:absolute;left:0pt;margin-left:-9pt;margin-top:1pt;height:45.6pt;width:65.5pt;z-index:251846656;mso-width-relative:page;mso-height-relative:page;" filled="f" stroked="f" coordsize="21600,21600" o:gfxdata="UEsDBAoAAAAAAIdO4kAAAAAAAAAAAAAAAAAEAAAAZHJzL1BLAwQUAAAACACHTuJAmZMceNUAAAAI&#10;AQAADwAAAGRycy9kb3ducmV2LnhtbE2PT0/DMAzF70h8h8hI3LakHaCt1N0BxBXE+CNxyxqvrWic&#10;qsnW8u3xTnCyrff0/Hvldva9OtEYu8AI2dKAIq6D67hBeH97WqxBxWTZ2T4wIfxQhG11eVHawoWJ&#10;X+m0S42SEI6FRWhTGgqtY92St3EZBmLRDmH0Nsk5NtqNdpJw3+vcmDvtbcfyobUDPbRUf++OHuHj&#10;+fD1eWNemkd/O0xhNpr9RiNeX2XmHlSiOf2Z4Ywv6FAJ0z4c2UXVIyyytXRJCLmMs56tZNkjbFY5&#10;6KrU/wtUv1BLAwQUAAAACACHTuJAAJAnfx4CAAAmBAAADgAAAGRycy9lMm9Eb2MueG1srVPNjtMw&#10;EL4j8Q6W7zRNf2gbNV0tWy1CWn6khQdwHaexSDxm7DYpDwBvwIkLd56rz8HESbtlueyBS2TPjL+Z&#10;75svy6umKtleodNgUh4PhpwpIyHTZpvyTx9vX8w5c16YTJRgVMoPyvGr1fNny9omagQFlJlCRiDG&#10;JbVNeeG9TaLIyUJVwg3AKkPJHLASnq64jTIUNaFXZTQaDl9GNWBmEaRyjqLrLsl7RHwKIOS5lmoN&#10;clcp4ztUVKXwRMkV2jq+CtPmuZL+fZ475VmZcmLqw5ea0HnTfqPVUiRbFLbQsh9BPGWER5wqoQ01&#10;PUOthRdsh/ofqEpLBAe5H0iooo5IUIRYxMNH2twXwqrAhaR29iy6+3+w8t3+AzKdpXw2nnFmREUr&#10;P/74fvz5+/jrG1uMg0S1dQlV3luq9c0raMg4ga6zdyA/O2bgphBmq64RoS6UyGjEuBU3unjaLsUl&#10;rgXZ1G8ho05i5yEANTlWrX6kCCN0Ws/hvB7VeCYpOB/H8yllJKWms0U8CrNFIjk9tuj8awUVaw8p&#10;R9p+ABf7O+fbYURyKml7GbjVZRkcUJq/AlTYRVSwUP/6NH3Hwzebht62wQ1kByKF0NmLfi46FIBf&#10;OavJWil3X3YCFWflG0PCLOLJpPViuEymM+LB8DKzucwIIwkq5Z6z7njjO//uLOptQZ26VRi4JjFz&#10;HYg+TNWvgOwT+PdWb/15eQ9VD7/36g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Zkxx41QAAAAgB&#10;AAAPAAAAAAAAAAEAIAAAACIAAABkcnMvZG93bnJldi54bWxQSwECFAAUAAAACACHTuJAAJAnfx4C&#10;AAAmBAAADgAAAAAAAAABACAAAAAkAQAAZHJzL2Uyb0RvYy54bWxQSwUGAAAAAAYABgBZAQAAtAUA&#10;AAAA&#10;">
                <v:fill on="f" focussize="0,0"/>
                <v:stroke on="f"/>
                <v:imagedata o:title=""/>
                <o:lock v:ext="edit" aspectratio="f"/>
                <v:textbox>
                  <w:txbxContent>
                    <w:p w14:paraId="7F53342B">
                      <w:pPr>
                        <w:spacing w:line="240" w:lineRule="exact"/>
                        <w:rPr>
                          <w:rFonts w:ascii="宋体"/>
                          <w:sz w:val="18"/>
                          <w:szCs w:val="18"/>
                        </w:rPr>
                      </w:pPr>
                      <w:r>
                        <w:rPr>
                          <w:rFonts w:hint="eastAsia" w:ascii="楷体_GB2312" w:hAnsi="宋体" w:eastAsia="楷体_GB2312" w:cs="楷体_GB2312"/>
                          <w:b/>
                          <w:bCs/>
                          <w:color w:val="000000"/>
                          <w:sz w:val="18"/>
                          <w:szCs w:val="18"/>
                        </w:rPr>
                        <w:t>提交竣工验收申请报告</w:t>
                      </w:r>
                    </w:p>
                  </w:txbxContent>
                </v:textbox>
              </v:shape>
            </w:pict>
          </mc:Fallback>
        </mc:AlternateContent>
      </w:r>
      <w:r>
        <w:rPr>
          <w:rFonts w:hint="eastAsia" w:ascii="仿宋" w:hAnsi="仿宋" w:eastAsia="仿宋" w:cs="仿宋"/>
          <w:color w:val="auto"/>
          <w:highlight w:val="none"/>
          <w:lang w:eastAsia="zh-CN"/>
        </w:rPr>
        <w:t>认为合同工程具备竣工验收条件的，应按照国家或行业、省规定的工程竣工验收技术资料格式和要求，及时向发包人提交竣工验收申请报告和符合要求的完整竣工资料，合同双方当事人应按照第65条约定进行验收。</w:t>
      </w:r>
    </w:p>
    <w:p w14:paraId="2C39A76E">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64</w:t>
      </w:r>
      <w:r>
        <w:rPr>
          <w:rFonts w:ascii="仿宋" w:hAnsi="仿宋" w:eastAsia="仿宋" w:cs="仿宋"/>
          <w:b/>
          <w:bCs/>
          <w:color w:val="auto"/>
          <w:highlight w:val="none"/>
          <w:lang w:eastAsia="zh-CN"/>
        </w:rPr>
        <w:t>.3</w:t>
      </w:r>
    </w:p>
    <w:p w14:paraId="431DFB80">
      <w:pPr>
        <w:pStyle w:val="20"/>
        <w:adjustRightInd w:val="0"/>
        <w:snapToGrid w:val="0"/>
        <w:spacing w:line="360" w:lineRule="auto"/>
        <w:ind w:left="1850" w:leftChars="771" w:firstLine="0"/>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47680" behindDoc="0" locked="0" layoutInCell="1" allowOverlap="1">
                <wp:simplePos x="0" y="0"/>
                <wp:positionH relativeFrom="column">
                  <wp:posOffset>-114300</wp:posOffset>
                </wp:positionH>
                <wp:positionV relativeFrom="paragraph">
                  <wp:posOffset>38735</wp:posOffset>
                </wp:positionV>
                <wp:extent cx="759460" cy="569595"/>
                <wp:effectExtent l="0" t="0" r="0" b="0"/>
                <wp:wrapNone/>
                <wp:docPr id="738" name="文本框 931"/>
                <wp:cNvGraphicFramePr/>
                <a:graphic xmlns:a="http://schemas.openxmlformats.org/drawingml/2006/main">
                  <a:graphicData uri="http://schemas.microsoft.com/office/word/2010/wordprocessingShape">
                    <wps:wsp>
                      <wps:cNvSpPr txBox="1">
                        <a:spLocks noChangeArrowheads="1"/>
                      </wps:cNvSpPr>
                      <wps:spPr bwMode="auto">
                        <a:xfrm>
                          <a:off x="0" y="0"/>
                          <a:ext cx="759460" cy="569595"/>
                        </a:xfrm>
                        <a:prstGeom prst="rect">
                          <a:avLst/>
                        </a:prstGeom>
                        <a:noFill/>
                        <a:ln>
                          <a:noFill/>
                        </a:ln>
                        <a:effectLst/>
                      </wps:spPr>
                      <wps:txbx>
                        <w:txbxContent>
                          <w:p w14:paraId="2F4B8C4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竣工验收条件的限制</w:t>
                            </w:r>
                          </w:p>
                        </w:txbxContent>
                      </wps:txbx>
                      <wps:bodyPr rot="0" vert="horz" wrap="square" lIns="91440" tIns="45720" rIns="91440" bIns="45720" anchor="t" anchorCtr="0" upright="1">
                        <a:noAutofit/>
                      </wps:bodyPr>
                    </wps:wsp>
                  </a:graphicData>
                </a:graphic>
              </wp:anchor>
            </w:drawing>
          </mc:Choice>
          <mc:Fallback>
            <w:pict>
              <v:shape id="文本框 931" o:spid="_x0000_s1026" o:spt="202" type="#_x0000_t202" style="position:absolute;left:0pt;margin-left:-9pt;margin-top:3.05pt;height:44.85pt;width:59.8pt;z-index:251847680;mso-width-relative:page;mso-height-relative:page;" filled="f" stroked="f" coordsize="21600,21600" o:gfxdata="UEsDBAoAAAAAAIdO4kAAAAAAAAAAAAAAAAAEAAAAZHJzL1BLAwQUAAAACACHTuJAy+k8ptUAAAAI&#10;AQAADwAAAGRycy9kb3ducmV2LnhtbE2PwU7DMBBE70j8g7WVuLW2EY3SkE0PIK4gSkHi5sbbJGq8&#10;jmK3CX+Pe4LjaEYzb8rt7HpxoTF0nhH0SoEgrr3tuEHYf7wscxAhGram90wIPxRgW93elKawfuJ3&#10;uuxiI1IJh8IgtDEOhZShbsmZsPIDcfKOfnQmJjk20o5mSuWul/dKZdKZjtNCawZ6aqk+7c4O4fP1&#10;+P31oN6aZ7ceJj8ryW4jEe8WWj2CiDTHvzBc8RM6VInp4M9sg+gRljpPXyJCpkFcfaUzEAeEzToH&#10;WZXy/4HqF1BLAwQUAAAACACHTuJA3rn0gh8CAAAmBAAADgAAAGRycy9lMm9Eb2MueG1srVNLjhMx&#10;EN0jcQfLe9JJJh8SpTMaJhqENHykgQM4bnfaottlyk66wwGYG7Biw55z5RyU7UwIw2YWbFouV/lV&#10;vVevF5ddU7OdQqfB5HzQ63OmjIRCm03OP328efGSM+eFKUQNRuV8rxy/XD5/tmjtXA2hgrpQyAjE&#10;uHlrc155b+dZ5mSlGuF6YJWhZAnYCE8hbrICRUvoTZ0N+/1J1gIWFkEq5+h2lZL8iIhPAYSy1FKt&#10;QG4bZXxCRVULT5Rcpa3jyzhtWSrp35elU57VOSemPn6pCZ3X4ZstF2K+QWErLY8jiKeM8IhTI7Sh&#10;pieolfCCbVH/A9VoieCg9D0JTZaIREWIxaD/SJu7SlgVuZDUzp5Ed/8PVr7bfUCmi5xPL2jxRjS0&#10;8sP3+8OPX4ef39jsYhAkaq2bU+WdpVrfvYKOjBPpOnsL8rNjBq4rYTbqChHaSomCRowvs7OnCccF&#10;kHX7FgrqJLYeIlBXYhP0I0UYodN69qf1qM4zSZfT8Ww0oYyk1HgyG8/GYbZMzB8eW3T+tYKGhUPO&#10;kbYfwcXu1vlU+lASehm40XUdHVCbvy4IM92oaKHj60AlTJ94+G7dHaVZQ7EnUgjJXvRz0aEC/MpZ&#10;S9bKufuyFag4q98YEmY2GI2CF2MwGk+HFOB5Zn2eEUYSVM49Z+l47ZN/txb1pqJOaRUGrkjMUkei&#10;YdQ0FQkUArJPlOpo9eDP8zhW/fm9l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k8ptUAAAAI&#10;AQAADwAAAAAAAAABACAAAAAiAAAAZHJzL2Rvd25yZXYueG1sUEsBAhQAFAAAAAgAh07iQN659IIf&#10;AgAAJgQAAA4AAAAAAAAAAQAgAAAAJAEAAGRycy9lMm9Eb2MueG1sUEsFBgAAAAAGAAYAWQEAALUF&#10;AAAAAA==&#10;">
                <v:fill on="f" focussize="0,0"/>
                <v:stroke on="f"/>
                <v:imagedata o:title=""/>
                <o:lock v:ext="edit" aspectratio="f"/>
                <v:textbox>
                  <w:txbxContent>
                    <w:p w14:paraId="2F4B8C48">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竣工验收条件的限制</w:t>
                      </w:r>
                    </w:p>
                  </w:txbxContent>
                </v:textbox>
              </v:shape>
            </w:pict>
          </mc:Fallback>
        </mc:AlternateContent>
      </w:r>
      <w:r>
        <w:rPr>
          <w:rFonts w:hint="eastAsia" w:ascii="仿宋" w:hAnsi="仿宋" w:eastAsia="仿宋" w:cs="仿宋"/>
          <w:color w:val="auto"/>
          <w:highlight w:val="none"/>
          <w:lang w:eastAsia="zh-CN"/>
        </w:rPr>
        <w:t>如果承包人不按照规定提交竣工资料或提交的资料不符合要求，则认为合同工程尚未具备竣工验收条件。</w:t>
      </w:r>
    </w:p>
    <w:p w14:paraId="69D28490">
      <w:pPr>
        <w:adjustRightInd w:val="0"/>
        <w:snapToGrid w:val="0"/>
        <w:spacing w:line="360" w:lineRule="auto"/>
        <w:rPr>
          <w:rFonts w:hint="eastAsia" w:ascii="仿宋" w:hAnsi="仿宋" w:eastAsia="仿宋"/>
          <w:b/>
          <w:bCs/>
          <w:color w:val="auto"/>
          <w:highlight w:val="none"/>
          <w:u w:val="single"/>
          <w:lang w:eastAsia="zh-CN"/>
        </w:rPr>
      </w:pPr>
    </w:p>
    <w:p w14:paraId="76D413D4">
      <w:pPr>
        <w:pStyle w:val="5"/>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63" w:name="_Toc25140"/>
      <w:r>
        <w:rPr>
          <w:rFonts w:hint="eastAsia" w:ascii="仿宋" w:hAnsi="仿宋" w:eastAsia="仿宋" w:cs="仿宋"/>
          <w:bCs w:val="0"/>
          <w:color w:val="auto"/>
          <w:sz w:val="24"/>
          <w:szCs w:val="24"/>
          <w:highlight w:val="none"/>
          <w:lang w:eastAsia="zh-CN"/>
        </w:rPr>
        <w:t>65竣工验收</w:t>
      </w:r>
      <w:bookmarkEnd w:id="363"/>
    </w:p>
    <w:p w14:paraId="11BE7D94">
      <w:pPr>
        <w:tabs>
          <w:tab w:val="left" w:pos="1620"/>
        </w:tabs>
        <w:adjustRightInd w:val="0"/>
        <w:snapToGrid w:val="0"/>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w:t>
      </w:r>
      <w:r>
        <w:rPr>
          <w:color w:val="auto"/>
          <w:highlight w:val="none"/>
          <w:lang w:eastAsia="zh-CN" w:bidi="ar-SA"/>
        </w:rPr>
        <mc:AlternateContent>
          <mc:Choice Requires="wps">
            <w:drawing>
              <wp:anchor distT="0" distB="0" distL="114300" distR="114300" simplePos="0" relativeHeight="252043264" behindDoc="0" locked="0" layoutInCell="1" allowOverlap="1">
                <wp:simplePos x="0" y="0"/>
                <wp:positionH relativeFrom="column">
                  <wp:posOffset>-114300</wp:posOffset>
                </wp:positionH>
                <wp:positionV relativeFrom="paragraph">
                  <wp:posOffset>257810</wp:posOffset>
                </wp:positionV>
                <wp:extent cx="825500" cy="569595"/>
                <wp:effectExtent l="0" t="0" r="0" b="0"/>
                <wp:wrapNone/>
                <wp:docPr id="739" name="文本框 932"/>
                <wp:cNvGraphicFramePr/>
                <a:graphic xmlns:a="http://schemas.openxmlformats.org/drawingml/2006/main">
                  <a:graphicData uri="http://schemas.microsoft.com/office/word/2010/wordprocessingShape">
                    <wps:wsp>
                      <wps:cNvSpPr txBox="1">
                        <a:spLocks noChangeArrowheads="1"/>
                      </wps:cNvSpPr>
                      <wps:spPr bwMode="auto">
                        <a:xfrm>
                          <a:off x="0" y="0"/>
                          <a:ext cx="825500" cy="569595"/>
                        </a:xfrm>
                        <a:prstGeom prst="rect">
                          <a:avLst/>
                        </a:prstGeom>
                        <a:noFill/>
                        <a:ln>
                          <a:noFill/>
                        </a:ln>
                        <a:effectLst/>
                      </wps:spPr>
                      <wps:txbx>
                        <w:txbxContent>
                          <w:p w14:paraId="73DC48E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竣工验收标准</w:t>
                            </w:r>
                          </w:p>
                        </w:txbxContent>
                      </wps:txbx>
                      <wps:bodyPr rot="0" vert="horz" wrap="square" lIns="91440" tIns="45720" rIns="91440" bIns="45720" anchor="t" anchorCtr="0" upright="1">
                        <a:noAutofit/>
                      </wps:bodyPr>
                    </wps:wsp>
                  </a:graphicData>
                </a:graphic>
              </wp:anchor>
            </w:drawing>
          </mc:Choice>
          <mc:Fallback>
            <w:pict>
              <v:shape id="文本框 932" o:spid="_x0000_s1026" o:spt="202" type="#_x0000_t202" style="position:absolute;left:0pt;margin-left:-9pt;margin-top:20.3pt;height:44.85pt;width:65pt;z-index:252043264;mso-width-relative:page;mso-height-relative:page;" filled="f" stroked="f" coordsize="21600,21600" o:gfxdata="UEsDBAoAAAAAAIdO4kAAAAAAAAAAAAAAAAAEAAAAZHJzL1BLAwQUAAAACACHTuJAH779mdcAAAAK&#10;AQAADwAAAGRycy9kb3ducmV2LnhtbE2PQU/DMAyF70j8h8hI3Lak25hGaboDiCuIDZC4eY3XVjRO&#10;1WRr+fd4J7jZfk/P3yu2k+/UmYbYBraQzQ0o4iq4lmsL7/vn2QZUTMgOu8Bk4YcibMvrqwJzF0Z+&#10;o/Mu1UpCOOZooUmpz7WOVUMe4zz0xKIdw+AxyTrU2g04Srjv9MKYtfbYsnxosKfHhqrv3clb+Hg5&#10;fn2uzGv95O/6MUxGs7/X1t7eZOYBVKIp/Znhgi/oUArTIZzYRdVZmGUb6ZIsrMwa1MWQLeRwkGFp&#10;lqDLQv+vUP4CUEsDBBQAAAAIAIdO4kBnMqZAHwIAACYEAAAOAAAAZHJzL2Uyb0RvYy54bWytU0tu&#10;2zAQ3RfoHQjua9mOlcSC5SCNkaJA+gHSHoCmKIuoxGGHtCX3AO0Nuuqm+57L5+iQUlw33WTRDUFy&#10;hm/mvXlcXHVNzXYKnQaT88lozJkyEgptNjn/+OH2xSVnzgtTiBqMyvleOX61fP5s0dpMTaGCulDI&#10;CMS4rLU5r7y3WZI4WalGuBFYZShYAjbC0xE3SYGiJfSmTqbj8XnSAhYWQSrn6HbVB/mAiE8BhLLU&#10;Uq1AbhtlfI+KqhaeKLlKW8eXsduyVNK/K0unPKtzTkx9XKkI7ddhTZYLkW1Q2ErLoQXxlBYecWqE&#10;NlT0CLUSXrAt6n+gGi0RHJR+JKFJeiJREWIxGT/S5r4SVkUuJLWzR9Hd/4OVb3fvkeki5xdnc86M&#10;aGjkh+/fDj9+HX5+ZfOzaZCotS6jzHtLub57CR0ZJ9J19g7kJ8cM3FTCbNQ1IrSVEgW1OAkvk5On&#10;PY4LIOv2DRRUSWw9RKCuxCboR4owQqfx7I/jUZ1nki4vp2k6poikUHo+T+dprCCyh8cWnX+loGFh&#10;k3Ok6UdwsbtzPjQjsoeUUMvAra7r6IDa/HVBif2NihYaXgcqofueh+/W3SDNGoo9kULo7UWfizYV&#10;4BfOWrJWzt3nrUDFWf3akDDzyWwWvBgPs/RiSgc8jaxPI8JIgsq556zf3vjev1uLelNRpX4UBq5J&#10;zFJHoqHVvqthBGSfyH+wevD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fvv2Z1wAA&#10;AAoBAAAPAAAAAAAAAAEAIAAAACIAAABkcnMvZG93bnJldi54bWxQSwECFAAUAAAACACHTuJAZzKm&#10;QB8CAAAmBAAADgAAAAAAAAABACAAAAAmAQAAZHJzL2Uyb0RvYy54bWxQSwUGAAAAAAYABgBZAQAA&#10;twUAAAAA&#10;">
                <v:fill on="f" focussize="0,0"/>
                <v:stroke on="f"/>
                <v:imagedata o:title=""/>
                <o:lock v:ext="edit" aspectratio="f"/>
                <v:textbox>
                  <w:txbxContent>
                    <w:p w14:paraId="73DC48E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竣工验收标准</w:t>
                      </w:r>
                    </w:p>
                  </w:txbxContent>
                </v:textbox>
              </v:shape>
            </w:pict>
          </mc:Fallback>
        </mc:AlternateContent>
      </w: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.1</w:t>
      </w:r>
    </w:p>
    <w:p w14:paraId="7DF1C6A7">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合同双方当事人应在专用条款中约定合同工程竣工验收标准，但约定的竣工验收标准应符合国家或行业、省的有关规定。</w:t>
      </w:r>
    </w:p>
    <w:p w14:paraId="28D9A814">
      <w:pPr>
        <w:widowControl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合同工程需要进行国家验收的，国家验收是竣工验收的一部分。</w:t>
      </w:r>
    </w:p>
    <w:p w14:paraId="6A955A37">
      <w:pPr>
        <w:tabs>
          <w:tab w:val="left" w:pos="1620"/>
        </w:tabs>
        <w:adjustRightInd w:val="0"/>
        <w:snapToGrid w:val="0"/>
        <w:spacing w:line="360" w:lineRule="auto"/>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044288" behindDoc="0" locked="0" layoutInCell="1" allowOverlap="1">
                <wp:simplePos x="0" y="0"/>
                <wp:positionH relativeFrom="column">
                  <wp:posOffset>-114300</wp:posOffset>
                </wp:positionH>
                <wp:positionV relativeFrom="paragraph">
                  <wp:posOffset>372110</wp:posOffset>
                </wp:positionV>
                <wp:extent cx="825500" cy="532130"/>
                <wp:effectExtent l="0" t="0" r="0" b="0"/>
                <wp:wrapNone/>
                <wp:docPr id="740" name="文本框 933"/>
                <wp:cNvGraphicFramePr/>
                <a:graphic xmlns:a="http://schemas.openxmlformats.org/drawingml/2006/main">
                  <a:graphicData uri="http://schemas.microsoft.com/office/word/2010/wordprocessingShape">
                    <wps:wsp>
                      <wps:cNvSpPr txBox="1">
                        <a:spLocks noChangeArrowheads="1"/>
                      </wps:cNvSpPr>
                      <wps:spPr bwMode="auto">
                        <a:xfrm>
                          <a:off x="0" y="0"/>
                          <a:ext cx="825500" cy="532130"/>
                        </a:xfrm>
                        <a:prstGeom prst="rect">
                          <a:avLst/>
                        </a:prstGeom>
                        <a:noFill/>
                        <a:ln>
                          <a:noFill/>
                        </a:ln>
                        <a:effectLst/>
                      </wps:spPr>
                      <wps:txbx>
                        <w:txbxContent>
                          <w:p w14:paraId="72C4C49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核查竣工验收条件</w:t>
                            </w:r>
                          </w:p>
                        </w:txbxContent>
                      </wps:txbx>
                      <wps:bodyPr rot="0" vert="horz" wrap="square" lIns="91440" tIns="45720" rIns="91440" bIns="45720" anchor="t" anchorCtr="0" upright="1">
                        <a:noAutofit/>
                      </wps:bodyPr>
                    </wps:wsp>
                  </a:graphicData>
                </a:graphic>
              </wp:anchor>
            </w:drawing>
          </mc:Choice>
          <mc:Fallback>
            <w:pict>
              <v:shape id="文本框 933" o:spid="_x0000_s1026" o:spt="202" type="#_x0000_t202" style="position:absolute;left:0pt;margin-left:-9pt;margin-top:29.3pt;height:41.9pt;width:65pt;z-index:252044288;mso-width-relative:page;mso-height-relative:page;" filled="f" stroked="f" coordsize="21600,21600" o:gfxdata="UEsDBAoAAAAAAIdO4kAAAAAAAAAAAAAAAAAEAAAAZHJzL1BLAwQUAAAACACHTuJAvzQCidgAAAAK&#10;AQAADwAAAGRycy9kb3ducmV2LnhtbE2PzW6DMBCE75XyDtZWyi2xQSSiFJNDql5TNf2RenPwBlDx&#10;GmEn0Lfv5tTedndGs9+Uu9n14opj6DxpSNYKBFLtbUeNhve351UOIkRD1vSeUMMPBthVi7vSFNZP&#10;9IrXY2wEh1AojIY2xqGQMtQtOhPWfkBi7exHZyKvYyPtaCYOd71MldpKZzriD60ZcN9i/X28OA0f&#10;h/PXZ6Zemie3GSY/K0nuQWq9vE/UI4iIc/wzww2f0aFippO/kA2i17BKcu4SNWzyLYibIUn5cOIh&#10;SzOQVSn/V6h+AVBLAwQUAAAACACHTuJAi9n5/x4CAAAmBAAADgAAAGRycy9lMm9Eb2MueG1srVNL&#10;btswEN0X6B0I7mtZ/jSJYDlIY6QokH6AtAegKcoiKnHYIW3JPUBzg6666b7n8jk6pBTXTTdZdEOQ&#10;nOGb994MF5ddU7OdQqfB5DwdjTlTRkKhzSbnnz7evDjnzHlhClGDUTnfK8cvl8+fLVqbqQlUUBcK&#10;GYEYl7U255X3NksSJyvVCDcCqwwFS8BGeDriJilQtITe1MlkPH6ZtICFRZDKObpd9UE+IOJTAKEs&#10;tVQrkNtGGd+joqqFJ0mu0tbxZWRblkr692XplGd1zkmpjysVof06rMlyIbINCltpOVAQT6HwSFMj&#10;tKGiR6iV8IJtUf8D1WiJ4KD0IwlN0guJjpCKdPzIm7tKWBW1kNXOHk13/w9Wvtt9QKaLnJ/NyBMj&#10;Gmr54fv94cevw89v7GI6DRa11mWUeWcp13evoKPBiXKdvQX52TED15UwG3WFCG2lREEU0/AyOXna&#10;47gAsm7fQkGVxNZDBOpKbIJ/5AgjdKKyP7ZHdZ5JujyfzOdjikgKzaeTdBrbl4js4bFF518raFjY&#10;5Byp+xFc7G6dD2RE9pASahm40XUdJ6A2f11QYn+j4ggNr4OUwL7X4bt1N1izhmJPohD68aLPRZsK&#10;8CtnLY1Wzt2XrUDFWf3GkDEX6Sx47eNhNj+b0AFPI+vTiDCSoHLuOeu3176f361FvamoUt8KA1dk&#10;Zqmj0EC1ZzW0gMYn6h9GPcz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NAKJ2AAA&#10;AAoBAAAPAAAAAAAAAAEAIAAAACIAAABkcnMvZG93bnJldi54bWxQSwECFAAUAAAACACHTuJAi9n5&#10;/x4CAAAmBAAADgAAAAAAAAABACAAAAAnAQAAZHJzL2Uyb0RvYy54bWxQSwUGAAAAAAYABgBZAQAA&#10;twUAAAAA&#10;">
                <v:fill on="f" focussize="0,0"/>
                <v:stroke on="f"/>
                <v:imagedata o:title=""/>
                <o:lock v:ext="edit" aspectratio="f"/>
                <v:textbox>
                  <w:txbxContent>
                    <w:p w14:paraId="72C4C49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核查竣工验收条件</w:t>
                      </w:r>
                    </w:p>
                  </w:txbxContent>
                </v:textbox>
              </v:shape>
            </w:pict>
          </mc:Fallback>
        </mc:AlternateContent>
      </w: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.2</w:t>
      </w:r>
    </w:p>
    <w:p w14:paraId="4F6A3C7D">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发包人收到承包人按照第64</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款约定提交的竣工验收申请报告后，应及时通知监理人核查合同工程是否具备竣工验收条件。</w:t>
      </w:r>
    </w:p>
    <w:p w14:paraId="4001703D">
      <w:pPr>
        <w:widowControl w:val="0"/>
        <w:numPr>
          <w:ilvl w:val="0"/>
          <w:numId w:val="20"/>
        </w:numPr>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经核查未具备竣工验收条件的，监理人应在收到竣工验收申请报告后的</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通知承包人，指出在颁发接收证书前承包人应进一步完成的工作内容。承包人对监理人提出的有关工程质量和工程数量方面的问题，应在接到监理人通知后的14天内完成整改。承包人完成监理人通知的全部工作内容后，应再次提交竣工验收申请报告，直至监理人同意为止。</w:t>
      </w:r>
    </w:p>
    <w:p w14:paraId="6758D1D8">
      <w:pPr>
        <w:widowControl w:val="0"/>
        <w:numPr>
          <w:ilvl w:val="0"/>
          <w:numId w:val="20"/>
        </w:numPr>
        <w:spacing w:line="360" w:lineRule="auto"/>
        <w:ind w:left="1850" w:leftChars="771" w:firstLine="0"/>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经核查已具备竣工验收条件的，监理人应在收到竣工验收申请报告后的</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天内书面提请发包人组织合同工程验收。</w:t>
      </w:r>
    </w:p>
    <w:p w14:paraId="1D58A828">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45312" behindDoc="0" locked="0" layoutInCell="1" allowOverlap="1">
                <wp:simplePos x="0" y="0"/>
                <wp:positionH relativeFrom="column">
                  <wp:posOffset>-114300</wp:posOffset>
                </wp:positionH>
                <wp:positionV relativeFrom="paragraph">
                  <wp:posOffset>340360</wp:posOffset>
                </wp:positionV>
                <wp:extent cx="796925" cy="646430"/>
                <wp:effectExtent l="0" t="0" r="0" b="0"/>
                <wp:wrapNone/>
                <wp:docPr id="741" name="文本框 934"/>
                <wp:cNvGraphicFramePr/>
                <a:graphic xmlns:a="http://schemas.openxmlformats.org/drawingml/2006/main">
                  <a:graphicData uri="http://schemas.microsoft.com/office/word/2010/wordprocessingShape">
                    <wps:wsp>
                      <wps:cNvSpPr txBox="1">
                        <a:spLocks noChangeArrowheads="1"/>
                      </wps:cNvSpPr>
                      <wps:spPr bwMode="auto">
                        <a:xfrm>
                          <a:off x="0" y="0"/>
                          <a:ext cx="796925" cy="646430"/>
                        </a:xfrm>
                        <a:prstGeom prst="rect">
                          <a:avLst/>
                        </a:prstGeom>
                        <a:noFill/>
                        <a:ln>
                          <a:noFill/>
                        </a:ln>
                        <a:effectLst/>
                      </wps:spPr>
                      <wps:txbx>
                        <w:txbxContent>
                          <w:p w14:paraId="3744978E">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完成验收和确认</w:t>
                            </w:r>
                          </w:p>
                        </w:txbxContent>
                      </wps:txbx>
                      <wps:bodyPr rot="0" vert="horz" wrap="square" lIns="91440" tIns="45720" rIns="91440" bIns="45720" anchor="t" anchorCtr="0" upright="1">
                        <a:noAutofit/>
                      </wps:bodyPr>
                    </wps:wsp>
                  </a:graphicData>
                </a:graphic>
              </wp:anchor>
            </w:drawing>
          </mc:Choice>
          <mc:Fallback>
            <w:pict>
              <v:shape id="文本框 934" o:spid="_x0000_s1026" o:spt="202" type="#_x0000_t202" style="position:absolute;left:0pt;margin-left:-9pt;margin-top:26.8pt;height:50.9pt;width:62.75pt;z-index:252045312;mso-width-relative:page;mso-height-relative:page;" filled="f" stroked="f" coordsize="21600,21600" o:gfxdata="UEsDBAoAAAAAAIdO4kAAAAAAAAAAAAAAAAAEAAAAZHJzL1BLAwQUAAAACACHTuJA17p+AtcAAAAK&#10;AQAADwAAAGRycy9kb3ducmV2LnhtbE2PwU7DMBBE70j8g7VI3Fo7UJcS4vQA4gqiQKXe3HibRMTr&#10;KHab8PdsT/Q2qxnNvinWk+/ECYfYBjKQzRUIpCq4lmoDX5+vsxWImCw52wVCA78YYV1eXxU2d2Gk&#10;DzxtUi24hGJuDTQp9bmUsWrQ2zgPPRJ7hzB4m/gcaukGO3K57+SdUkvpbUv8obE9PjdY/WyO3sD3&#10;22G3Xaj3+sXrfgyTkuQfpTG3N5l6ApFwSv9hOOMzOpTMtA9HclF0BmbZirckA/p+CeIcUA8axJ6F&#10;1guQZSEvJ5R/UEsDBBQAAAAIAIdO4kCYf310IAIAACYEAAAOAAAAZHJzL2Uyb0RvYy54bWytU0tu&#10;2zAQ3RfoHQjua9mO4tSC5SCNkaJA+gHSHoCmKIuoxGGHtCX3AM0Nuuqm+57L5+iQUlw33WTRDUFy&#10;hm/mvXlcXHZNzXYKnQaT88lozJkyEgptNjn/9PHmxUvOnBemEDUYlfO9cvxy+fzZorWZmkIFdaGQ&#10;EYhxWWtzXnlvsyRxslKNcCOwylCwBGyEpyNukgJFS+hNnUzH41nSAhYWQSrn6HbVB/mAiE8BhLLU&#10;Uq1AbhtlfI+KqhaeKLlKW8eXsduyVNK/L0unPKtzTkx9XKkI7ddhTZYLkW1Q2ErLoQXxlBYecWqE&#10;NlT0CLUSXrAt6n+gGi0RHJR+JKFJeiJREWIxGT/S5q4SVkUuJLWzR9Hd/4OV73YfkOki5xfphDMj&#10;Ghr54fv94cevw89vbH6WBola6zLKvLOU67tX0JFxIl1nb0F+dszAdSXMRl0hQlspUVCLk/AyOXna&#10;47gAsm7fQkGVxNZDBOpKbIJ+pAgjdBrP/jge1Xkm6fJiPptPzzmTFJqls/Qsji8R2cNji86/VtCw&#10;sMk50vQjuNjdOh+aEdlDSqhl4EbXdXRAbf66oMT+RkULDa8DldB9z8N3626QZg3Fnkgh9Paiz0Wb&#10;CvArZy1ZK+fuy1ag4qx+Y0iY+SRNgxfjIT2/mNIBTyPr04gwkqBy7jnrt9e+9+/Wot5UVKkfhYEr&#10;ErPUkWhote9qGAHZJ/IfrB78eXqOWX++9/I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17p+AtcA&#10;AAAKAQAADwAAAAAAAAABACAAAAAiAAAAZHJzL2Rvd25yZXYueG1sUEsBAhQAFAAAAAgAh07iQJh/&#10;fXQgAgAAJgQAAA4AAAAAAAAAAQAgAAAAJgEAAGRycy9lMm9Eb2MueG1sUEsFBgAAAAAGAAYAWQEA&#10;ALgFAAAAAA==&#10;">
                <v:fill on="f" focussize="0,0"/>
                <v:stroke on="f"/>
                <v:imagedata o:title=""/>
                <o:lock v:ext="edit" aspectratio="f"/>
                <v:textbox>
                  <w:txbxContent>
                    <w:p w14:paraId="3744978E">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完成验收和确认</w:t>
                      </w:r>
                    </w:p>
                  </w:txbxContent>
                </v:textbox>
              </v:shape>
            </w:pict>
          </mc:Fallback>
        </mc:AlternateContent>
      </w: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.3</w:t>
      </w:r>
    </w:p>
    <w:p w14:paraId="0F38DD23">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经监理人按照第65</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款约定核查合同工程已具备竣工验收条件的，发包人应在收到监理人书面提请后的</w:t>
      </w:r>
      <w:r>
        <w:rPr>
          <w:rFonts w:ascii="仿宋" w:hAnsi="仿宋" w:eastAsia="仿宋" w:cs="仿宋"/>
          <w:color w:val="auto"/>
          <w:highlight w:val="none"/>
          <w:lang w:eastAsia="zh-CN"/>
        </w:rPr>
        <w:t>28</w:t>
      </w:r>
      <w:r>
        <w:rPr>
          <w:rFonts w:hint="eastAsia" w:ascii="仿宋" w:hAnsi="仿宋" w:eastAsia="仿宋" w:cs="仿宋"/>
          <w:color w:val="auto"/>
          <w:highlight w:val="none"/>
          <w:lang w:eastAsia="zh-CN"/>
        </w:rPr>
        <w:t>天内，根据合同约定的竣工验收标准和施工设计图纸等文件，按照第22</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款约定组织验收各方完成合同工程验收，并在竣工验收后</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天内予以确认或提出修改意见。</w:t>
      </w:r>
    </w:p>
    <w:p w14:paraId="14526A40">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竣工验收完成后，承包人应及时向发包人提交竣工验收记录。竣工验收合格的，发包人及参加验收各方应及时在竣工验收记录上签字，并由监理人会同参加验收各方形成合同工程竣工验收报告。</w:t>
      </w:r>
    </w:p>
    <w:p w14:paraId="60E62A99">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.4</w:t>
      </w:r>
    </w:p>
    <w:p w14:paraId="684896DB">
      <w:pPr>
        <w:adjustRightInd w:val="0"/>
        <w:snapToGrid w:val="0"/>
        <w:spacing w:line="360" w:lineRule="auto"/>
        <w:ind w:left="1850" w:leftChars="771"/>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48704" behindDoc="0" locked="0" layoutInCell="1" allowOverlap="1">
                <wp:simplePos x="0" y="0"/>
                <wp:positionH relativeFrom="column">
                  <wp:posOffset>-114300</wp:posOffset>
                </wp:positionH>
                <wp:positionV relativeFrom="paragraph">
                  <wp:posOffset>19685</wp:posOffset>
                </wp:positionV>
                <wp:extent cx="844550" cy="549910"/>
                <wp:effectExtent l="0" t="0" r="0" b="0"/>
                <wp:wrapNone/>
                <wp:docPr id="742" name="文本框 935"/>
                <wp:cNvGraphicFramePr/>
                <a:graphic xmlns:a="http://schemas.openxmlformats.org/drawingml/2006/main">
                  <a:graphicData uri="http://schemas.microsoft.com/office/word/2010/wordprocessingShape">
                    <wps:wsp>
                      <wps:cNvSpPr txBox="1">
                        <a:spLocks noChangeArrowheads="1"/>
                      </wps:cNvSpPr>
                      <wps:spPr bwMode="auto">
                        <a:xfrm>
                          <a:off x="0" y="0"/>
                          <a:ext cx="844550" cy="549910"/>
                        </a:xfrm>
                        <a:prstGeom prst="rect">
                          <a:avLst/>
                        </a:prstGeom>
                        <a:noFill/>
                        <a:ln>
                          <a:noFill/>
                        </a:ln>
                        <a:effectLst/>
                      </wps:spPr>
                      <wps:txbx>
                        <w:txbxContent>
                          <w:p w14:paraId="26FB783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组织验收的限制</w:t>
                            </w:r>
                          </w:p>
                        </w:txbxContent>
                      </wps:txbx>
                      <wps:bodyPr rot="0" vert="horz" wrap="square" lIns="91440" tIns="45720" rIns="91440" bIns="45720" anchor="t" anchorCtr="0" upright="1">
                        <a:noAutofit/>
                      </wps:bodyPr>
                    </wps:wsp>
                  </a:graphicData>
                </a:graphic>
              </wp:anchor>
            </w:drawing>
          </mc:Choice>
          <mc:Fallback>
            <w:pict>
              <v:shape id="文本框 935" o:spid="_x0000_s1026" o:spt="202" type="#_x0000_t202" style="position:absolute;left:0pt;margin-left:-9pt;margin-top:1.55pt;height:43.3pt;width:66.5pt;z-index:251848704;mso-width-relative:page;mso-height-relative:page;" filled="f" stroked="f" coordsize="21600,21600" o:gfxdata="UEsDBAoAAAAAAIdO4kAAAAAAAAAAAAAAAAAEAAAAZHJzL1BLAwQUAAAACACHTuJAR/BlntUAAAAI&#10;AQAADwAAAGRycy9kb3ducmV2LnhtbE2PwU7DMBBE75X4B2uRuLW2gZY0ZNMDiCuopSBxc+NtEhGv&#10;o9htwt/jnuA4mtHMm2IzuU6caQitZwS9UCCIK29brhH27y/zDESIhq3pPBPCDwXYlFezwuTWj7yl&#10;8y7WIpVwyA1CE2OfSxmqhpwJC98TJ+/oB2dikkMt7WDGVO46eavUSjrTclpoTE9PDVXfu5ND+Hg9&#10;fn3eq7f62S370U9KsltLxJtrrR5BRJriXxgu+AkdysR08Ce2QXQIc52lLxHhToO4+HqZ9AEhWz+A&#10;LAv5/0D5C1BLAwQUAAAACACHTuJAg1LXFR8CAAAmBAAADgAAAGRycy9lMm9Eb2MueG1srVPBjtMw&#10;EL0j8Q+W7zRtSdlt1HS1bLUIaYGVFj7AdZzGIvGYsdukfAD8AScu3Pe7+h2MnWwpy2UPXCzbM34z&#10;783z4qJrarZT6DSYnE9GY86UkVBos8n5p4/XL845c16YQtRgVM73yvGL5fNni9ZmagoV1IVCRiDG&#10;Za3NeeW9zZLEyUo1wo3AKkPBErARno64SQoULaE3dTIdj18lLWBhEaRyjm5XfZAPiPgUQChLLdUK&#10;5LZRxveoqGrhiZKrtHV8GbstSyX9h7J0yrM658TUx5WK0H4d1mS5ENkGha20HFoQT2nhEadGaENF&#10;j1Ar4QXbov4HqtESwUHpRxKapCcSFSEWk/Ejbe4qYVXkQlI7exTd/T9Y+X53i0wXOT9Lp5wZ0dDI&#10;Dz++H37eH359Y/OXsyBRa11GmXeWcn33GjoyTqTr7A3Iz44ZuKqE2ahLRGgrJQpqcRJeJidPexwX&#10;QNbtOyiokth6iEBdiU3QjxRhhE7j2R/HozrPJF2ep+lsRhFJoVk6n0/i+BKRPTy26PwbBQ0Lm5wj&#10;TT+Ci92N86EZkT2khFoGrnVdRwfU5q8LSuxvVLTQ8DpQCd33PHy37gZp1lDsiRRCby/6XLSpAL9y&#10;1pK1cu6+bAUqzuq3hoSZT9I0eDEe0tnZlA54GlmfRoSRBJVzz1m/vfK9f7cW9aaiSv0oDFySmKWO&#10;REOrfVfDCMg+kf9g9eDP03PM+vO9l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R/BlntUAAAAI&#10;AQAADwAAAAAAAAABACAAAAAiAAAAZHJzL2Rvd25yZXYueG1sUEsBAhQAFAAAAAgAh07iQINS1xUf&#10;AgAAJgQAAA4AAAAAAAAAAQAgAAAAJAEAAGRycy9lMm9Eb2MueG1sUEsFBgAAAAAGAAYAWQEAALUF&#10;AAAAAA==&#10;">
                <v:fill on="f" focussize="0,0"/>
                <v:stroke on="f"/>
                <v:imagedata o:title=""/>
                <o:lock v:ext="edit" aspectratio="f"/>
                <v:textbox>
                  <w:txbxContent>
                    <w:p w14:paraId="26FB783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组织验收的限制</w:t>
                      </w:r>
                    </w:p>
                  </w:txbxContent>
                </v:textbox>
              </v:shape>
            </w:pict>
          </mc:Fallback>
        </mc:AlternateContent>
      </w:r>
      <w:r>
        <w:rPr>
          <w:rFonts w:hint="eastAsia" w:ascii="仿宋" w:hAnsi="仿宋" w:eastAsia="仿宋" w:cs="仿宋"/>
          <w:color w:val="auto"/>
          <w:highlight w:val="none"/>
          <w:lang w:eastAsia="zh-CN"/>
        </w:rPr>
        <w:t>发包人未按照第65</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款约定完成合同工程验收，或验收后</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天内未予确认也未提出修改意见，视为承包人提交的竣工验收申请报告已被认可。</w:t>
      </w:r>
    </w:p>
    <w:p w14:paraId="14795467">
      <w:pPr>
        <w:adjustRightInd w:val="0"/>
        <w:snapToGrid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竣工验收申请报告被认可，则表明已完成合同工程，视为竣工验收合格，但由于不可抗力事项致使发包人不能完成验收的除外。</w:t>
      </w:r>
    </w:p>
    <w:p w14:paraId="35EB5108">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.5</w:t>
      </w:r>
    </w:p>
    <w:p w14:paraId="3B63DBA5">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49728" behindDoc="0" locked="0" layoutInCell="1" allowOverlap="1">
                <wp:simplePos x="0" y="0"/>
                <wp:positionH relativeFrom="column">
                  <wp:posOffset>-114300</wp:posOffset>
                </wp:positionH>
                <wp:positionV relativeFrom="paragraph">
                  <wp:posOffset>19685</wp:posOffset>
                </wp:positionV>
                <wp:extent cx="842645" cy="487680"/>
                <wp:effectExtent l="0" t="0" r="0" b="0"/>
                <wp:wrapNone/>
                <wp:docPr id="743" name="文本框 936"/>
                <wp:cNvGraphicFramePr/>
                <a:graphic xmlns:a="http://schemas.openxmlformats.org/drawingml/2006/main">
                  <a:graphicData uri="http://schemas.microsoft.com/office/word/2010/wordprocessingShape">
                    <wps:wsp>
                      <wps:cNvSpPr txBox="1">
                        <a:spLocks noChangeArrowheads="1"/>
                      </wps:cNvSpPr>
                      <wps:spPr bwMode="auto">
                        <a:xfrm>
                          <a:off x="0" y="0"/>
                          <a:ext cx="842645" cy="487680"/>
                        </a:xfrm>
                        <a:prstGeom prst="rect">
                          <a:avLst/>
                        </a:prstGeom>
                        <a:noFill/>
                        <a:ln>
                          <a:noFill/>
                        </a:ln>
                        <a:effectLst/>
                      </wps:spPr>
                      <wps:txbx>
                        <w:txbxContent>
                          <w:p w14:paraId="5DA65C5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不组织验收的责任</w:t>
                            </w:r>
                          </w:p>
                        </w:txbxContent>
                      </wps:txbx>
                      <wps:bodyPr rot="0" vert="horz" wrap="square" lIns="91440" tIns="45720" rIns="91440" bIns="45720" anchor="t" anchorCtr="0" upright="1">
                        <a:noAutofit/>
                      </wps:bodyPr>
                    </wps:wsp>
                  </a:graphicData>
                </a:graphic>
              </wp:anchor>
            </w:drawing>
          </mc:Choice>
          <mc:Fallback>
            <w:pict>
              <v:shape id="文本框 936" o:spid="_x0000_s1026" o:spt="202" type="#_x0000_t202" style="position:absolute;left:0pt;margin-left:-9pt;margin-top:1.55pt;height:38.4pt;width:66.35pt;z-index:251849728;mso-width-relative:page;mso-height-relative:page;" filled="f" stroked="f" coordsize="21600,21600" o:gfxdata="UEsDBAoAAAAAAIdO4kAAAAAAAAAAAAAAAAAEAAAAZHJzL1BLAwQUAAAACACHTuJAZNJtldYAAAAI&#10;AQAADwAAAGRycy9kb3ducmV2LnhtbE2PwU7DMBBE70j8g7VI3FrbUGgTsukBxBVEgUq9ufE2iYjX&#10;Uew24e9xT/Q4mtHMm2I9uU6caAitZwQ9VyCIK29brhG+Pl9nKxAhGram80wIvxRgXV5fFSa3fuQP&#10;Om1iLVIJh9wgNDH2uZShasiZMPc9cfIOfnAmJjnU0g5mTOWuk3dKPUpnWk4LjenpuaHqZ3N0CN9v&#10;h912od7rF/fQj35Skl0mEW9vtHoCEWmK/2E44yd0KBPT3h/ZBtEhzPQqfYkI9xrE2deLJYg9wjLL&#10;QJaFvDxQ/gFQSwMEFAAAAAgAh07iQOxTCXMgAgAAJgQAAA4AAABkcnMvZTJvRG9jLnhtbK1TS27b&#10;MBDdF+gdCO5r2Y7iOILlII2RokD6AdIegKYoi6jEYYe0JfcA7Q266qb7nsvn6JBSXDfdZNENQXKG&#10;b+a9eVxcdU3NdgqdBpPzyWjMmTISCm02Of/44fbFnDPnhSlEDUblfK8cv1o+f7ZobaamUEFdKGQE&#10;YlzW2pxX3tssSZysVCPcCKwyFCwBG+HpiJukQNESelMn0/F4lrSAhUWQyjm6XfVBPiDiUwChLLVU&#10;K5DbRhnfo6KqhSdKrtLW8WXstiyV9O/K0inP6pwTUx9XKkL7dViT5UJkGxS20nJoQTylhUecGqEN&#10;FT1CrYQXbIv6H6hGSwQHpR9JaJKeSFSEWEzGj7S5r4RVkQtJ7exRdPf/YOXb3Xtkusj5RXrGmREN&#10;jfzw/dvhx6/Dz6/s8mwWJGqtyyjz3lKu715CR8aJdJ29A/nJMQM3lTAbdY0IbaVEQS1Owsvk5GmP&#10;4wLIun0DBVUSWw8RqCuxCfqRIozQaTz743hU55mky3k6naXnnEkKpfOL2TyOLxHZw2OLzr9S0LCw&#10;yTnS9CO42N05H5oR2UNKqGXgVtd1dEBt/rqgxP5GRQsNrwOV0H3Pw3frbpBmDcWeSCH09qLPRZsK&#10;8AtnLVkr5+7zVqDirH5tSJjLSZoGL8ZDen4xpQOeRtanEWEkQeXcc9Zvb3zv361FvamoUj8KA9ck&#10;Zqkj0dBq39UwArJP5D9YPfjz9Byz/nzv5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k0m2V1gAA&#10;AAgBAAAPAAAAAAAAAAEAIAAAACIAAABkcnMvZG93bnJldi54bWxQSwECFAAUAAAACACHTuJA7FMJ&#10;cyACAAAmBAAADgAAAAAAAAABACAAAAAlAQAAZHJzL2Uyb0RvYy54bWxQSwUGAAAAAAYABgBZAQAA&#10;twUAAAAA&#10;">
                <v:fill on="f" focussize="0,0"/>
                <v:stroke on="f"/>
                <v:imagedata o:title=""/>
                <o:lock v:ext="edit" aspectratio="f"/>
                <v:textbox>
                  <w:txbxContent>
                    <w:p w14:paraId="5DA65C5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不组织验收的责任</w:t>
                      </w:r>
                    </w:p>
                  </w:txbxContent>
                </v:textbox>
              </v:shape>
            </w:pict>
          </mc:Fallback>
        </mc:AlternateContent>
      </w:r>
      <w:r>
        <w:rPr>
          <w:rFonts w:hint="eastAsia" w:ascii="仿宋" w:hAnsi="仿宋" w:eastAsia="仿宋" w:cs="仿宋"/>
          <w:color w:val="auto"/>
          <w:highlight w:val="none"/>
          <w:lang w:eastAsia="zh-CN"/>
        </w:rPr>
        <w:t>发包人未按照第65</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款约定完成合同工程验收，从收到监理人书面提请组织</w:t>
      </w:r>
      <w:r>
        <w:rPr>
          <w:rFonts w:ascii="仿宋" w:hAnsi="仿宋" w:eastAsia="仿宋" w:cs="仿宋"/>
          <w:color w:val="auto"/>
          <w:highlight w:val="none"/>
          <w:lang w:eastAsia="zh-CN"/>
        </w:rPr>
        <w:t>合同工程验收</w:t>
      </w:r>
      <w:r>
        <w:rPr>
          <w:rFonts w:hint="eastAsia" w:ascii="仿宋" w:hAnsi="仿宋" w:eastAsia="仿宋" w:cs="仿宋"/>
          <w:color w:val="auto"/>
          <w:highlight w:val="none"/>
          <w:lang w:eastAsia="zh-CN"/>
        </w:rPr>
        <w:t>后的第</w:t>
      </w:r>
      <w:r>
        <w:rPr>
          <w:rFonts w:ascii="仿宋" w:hAnsi="仿宋" w:eastAsia="仿宋" w:cs="仿宋"/>
          <w:color w:val="auto"/>
          <w:highlight w:val="none"/>
          <w:lang w:eastAsia="zh-CN"/>
        </w:rPr>
        <w:t>29</w:t>
      </w:r>
      <w:r>
        <w:rPr>
          <w:rFonts w:hint="eastAsia" w:ascii="仿宋" w:hAnsi="仿宋" w:eastAsia="仿宋" w:cs="仿宋"/>
          <w:color w:val="auto"/>
          <w:highlight w:val="none"/>
          <w:lang w:eastAsia="zh-CN"/>
        </w:rPr>
        <w:t>天起承担合同工程照管责任和其他一切意外责任。</w:t>
      </w:r>
    </w:p>
    <w:p w14:paraId="7C83CCEA">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.6</w:t>
      </w:r>
    </w:p>
    <w:p w14:paraId="02172148">
      <w:pPr>
        <w:widowControl w:val="0"/>
        <w:spacing w:line="360" w:lineRule="auto"/>
        <w:ind w:left="1851" w:leftChars="771" w:hanging="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竣工</w:t>
      </w:r>
      <w:r>
        <w:rPr>
          <w:color w:val="auto"/>
          <w:highlight w:val="none"/>
          <w:lang w:eastAsia="zh-CN" w:bidi="ar-SA"/>
        </w:rPr>
        <mc:AlternateContent>
          <mc:Choice Requires="wps">
            <w:drawing>
              <wp:anchor distT="0" distB="0" distL="114300" distR="114300" simplePos="0" relativeHeight="251850752" behindDoc="0" locked="0" layoutInCell="1" allowOverlap="1">
                <wp:simplePos x="0" y="0"/>
                <wp:positionH relativeFrom="column">
                  <wp:posOffset>-114300</wp:posOffset>
                </wp:positionH>
                <wp:positionV relativeFrom="paragraph">
                  <wp:posOffset>4445</wp:posOffset>
                </wp:positionV>
                <wp:extent cx="699770" cy="410210"/>
                <wp:effectExtent l="0" t="0" r="0" b="0"/>
                <wp:wrapNone/>
                <wp:docPr id="744" name="文本框 937"/>
                <wp:cNvGraphicFramePr/>
                <a:graphic xmlns:a="http://schemas.openxmlformats.org/drawingml/2006/main">
                  <a:graphicData uri="http://schemas.microsoft.com/office/word/2010/wordprocessingShape">
                    <wps:wsp>
                      <wps:cNvSpPr txBox="1">
                        <a:spLocks noChangeArrowheads="1"/>
                      </wps:cNvSpPr>
                      <wps:spPr bwMode="auto">
                        <a:xfrm>
                          <a:off x="0" y="0"/>
                          <a:ext cx="699770" cy="410210"/>
                        </a:xfrm>
                        <a:prstGeom prst="rect">
                          <a:avLst/>
                        </a:prstGeom>
                        <a:noFill/>
                        <a:ln>
                          <a:noFill/>
                        </a:ln>
                        <a:effectLst/>
                      </wps:spPr>
                      <wps:txbx>
                        <w:txbxContent>
                          <w:p w14:paraId="6095FFB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接收工程</w:t>
                            </w:r>
                          </w:p>
                        </w:txbxContent>
                      </wps:txbx>
                      <wps:bodyPr rot="0" vert="horz" wrap="square" lIns="91440" tIns="45720" rIns="91440" bIns="45720" anchor="t" anchorCtr="0" upright="1">
                        <a:noAutofit/>
                      </wps:bodyPr>
                    </wps:wsp>
                  </a:graphicData>
                </a:graphic>
              </wp:anchor>
            </w:drawing>
          </mc:Choice>
          <mc:Fallback>
            <w:pict>
              <v:shape id="文本框 937" o:spid="_x0000_s1026" o:spt="202" type="#_x0000_t202" style="position:absolute;left:0pt;margin-left:-9pt;margin-top:0.35pt;height:32.3pt;width:55.1pt;z-index:251850752;mso-width-relative:page;mso-height-relative:page;" filled="f" stroked="f" coordsize="21600,21600" o:gfxdata="UEsDBAoAAAAAAIdO4kAAAAAAAAAAAAAAAAAEAAAAZHJzL1BLAwQUAAAACACHTuJAmx8xRtUAAAAG&#10;AQAADwAAAGRycy9kb3ducmV2LnhtbE2PQU/CQBSE7yb8h80j8Qa7rYJQ+8pB41UiKgm3pftoG7tv&#10;m+5C679nPclxMpOZb/LNaFtxod43jhGSuQJBXDrTcIXw9fk2W4HwQbPRrWNC+CUPm2Jyl+vMuIE/&#10;6LILlYgl7DONUIfQZVL6siar/dx1xNE7ud7qEGVfSdPrIZbbVqZKLaXVDceFWnf0UlP5sztbhO/3&#10;02H/qLbVq110gxuVZLuWiPfTRD2DCDSG/zD84Ud0KCLT0Z3ZeNEizJJV/BIQnkBEe52mII4Iy8UD&#10;yCKXt/jFFVBLAwQUAAAACACHTuJARMzlyx8CAAAmBAAADgAAAGRycy9lMm9Eb2MueG1srVPNjtMw&#10;EL4j8Q6W7zRNCVsaNV0tWy1CWn6khQdwHaexSDxm7DZZHoB9A05cuPNcfQ7GTraU5bIHLpbtGX8z&#10;3zefl+d927C9QqfBFDydTDlTRkKpzbbgnz5ePXvJmfPClKIBowp+qxw/Xz19suxsrmZQQ1MqZARi&#10;XN7Zgtfe2zxJnKxVK9wErDIUrABb4emI26RE0RF62ySz6fQs6QBLiyCVc3S7HoJ8RMTHAEJVaanW&#10;IHetMn5ARdUIT5Rcra3jq9htVSnp31eVU541BSemPq5UhPabsCarpci3KGyt5diCeEwLDzi1Qhsq&#10;eoRaCy/YDvU/UK2WCA4qP5HQJgORqAixSKcPtLmphVWRC0nt7FF09/9g5bv9B2S6LPg8yzgzoqWR&#10;H77fHX78Ovz8xhbP50GizrqcMm8s5fr+FfRknEjX2WuQnx0zcFkLs1UXiNDVSpTUYhpeJidPBxwX&#10;QDbdWyipkth5iEB9hW3QjxRhhE7juT2OR/WeSbo8Wyzmc4pICmXpdJbG8SUiv39s0fnXCloWNgVH&#10;mn4EF/tr50MzIr9PCbUMXOmmiQ5ozF8XlDjcqGih8XWgErofePh+04/SbKC8JVIIg73oc9GmBvzK&#10;WUfWKrj7shOoOGveGBJmkWZZ8GI8ZC/mMzrgaWRzGhFGElTBPWfD9tIP/t1Z1NuaKg2jMHBBYlY6&#10;Eg2tDl2NIyD7RP6j1YM/T88x68/3Xv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mx8xRtUAAAAG&#10;AQAADwAAAAAAAAABACAAAAAiAAAAZHJzL2Rvd25yZXYueG1sUEsBAhQAFAAAAAgAh07iQETM5csf&#10;AgAAJgQAAA4AAAAAAAAAAQAgAAAAJAEAAGRycy9lMm9Eb2MueG1sUEsFBgAAAAAGAAYAWQEAALUF&#10;AAAAAA==&#10;">
                <v:fill on="f" focussize="0,0"/>
                <v:stroke on="f"/>
                <v:imagedata o:title=""/>
                <o:lock v:ext="edit" aspectratio="f"/>
                <v:textbox>
                  <w:txbxContent>
                    <w:p w14:paraId="6095FFBF">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接收工程</w:t>
                      </w:r>
                    </w:p>
                  </w:txbxContent>
                </v:textbox>
              </v:shape>
            </w:pict>
          </mc:Fallback>
        </mc:AlternateContent>
      </w:r>
      <w:r>
        <w:rPr>
          <w:rFonts w:hint="eastAsia" w:ascii="仿宋" w:hAnsi="仿宋" w:eastAsia="仿宋" w:cs="仿宋"/>
          <w:color w:val="auto"/>
          <w:highlight w:val="none"/>
          <w:lang w:eastAsia="zh-CN"/>
        </w:rPr>
        <w:t>验收合格的，发包人应接收工程，并在收到承包人提交的竣工验收申请报告后的</w:t>
      </w:r>
      <w:r>
        <w:rPr>
          <w:rFonts w:ascii="仿宋" w:hAnsi="仿宋" w:eastAsia="仿宋" w:cs="仿宋"/>
          <w:color w:val="auto"/>
          <w:highlight w:val="none"/>
          <w:lang w:eastAsia="zh-CN"/>
        </w:rPr>
        <w:t>56</w:t>
      </w:r>
      <w:r>
        <w:rPr>
          <w:rFonts w:hint="eastAsia" w:ascii="仿宋" w:hAnsi="仿宋" w:eastAsia="仿宋" w:cs="仿宋"/>
          <w:color w:val="auto"/>
          <w:highlight w:val="none"/>
          <w:lang w:eastAsia="zh-CN"/>
        </w:rPr>
        <w:t>天内向承包人颁发工程接收证书。</w:t>
      </w:r>
    </w:p>
    <w:p w14:paraId="5FA49EF5">
      <w:pPr>
        <w:widowControl w:val="0"/>
        <w:spacing w:line="360" w:lineRule="auto"/>
        <w:ind w:left="1851" w:leftChars="771" w:hanging="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竣工验收后，发包人同意接收工程但提出限期整修和完善要求的，发包人应缓发工程接收证书。承包人整修和完善工作完成后，监理人核查达到要求的，发包人应向承包人颁发工程接收证书。</w:t>
      </w:r>
    </w:p>
    <w:p w14:paraId="3F721035">
      <w:pPr>
        <w:widowControl w:val="0"/>
        <w:spacing w:line="360" w:lineRule="auto"/>
        <w:ind w:left="1850" w:leftChars="771" w:firstLine="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竣工验收后，发包人不同意接收工程的，发包人或监理人应按照竣工验收提出的修改意见发出指令，要求承包人对合同工程不合格部分返工重做或补救处理，并承担由此产生的费用。承包人在完成合同工程不合格部分的返工重做或补救处理后，应再次提交竣工验收申请报告。</w:t>
      </w:r>
    </w:p>
    <w:p w14:paraId="2C636C02">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.7</w:t>
      </w:r>
    </w:p>
    <w:p w14:paraId="1778EFE9">
      <w:pPr>
        <w:widowControl w:val="0"/>
        <w:adjustRightInd w:val="0"/>
        <w:snapToGrid w:val="0"/>
        <w:spacing w:line="360" w:lineRule="auto"/>
        <w:ind w:left="1850" w:leftChars="771"/>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51776" behindDoc="0" locked="0" layoutInCell="1" allowOverlap="1">
                <wp:simplePos x="0" y="0"/>
                <wp:positionH relativeFrom="column">
                  <wp:posOffset>-114300</wp:posOffset>
                </wp:positionH>
                <wp:positionV relativeFrom="paragraph">
                  <wp:posOffset>4445</wp:posOffset>
                </wp:positionV>
                <wp:extent cx="822960" cy="448945"/>
                <wp:effectExtent l="0" t="0" r="0" b="0"/>
                <wp:wrapNone/>
                <wp:docPr id="745" name="文本框 938"/>
                <wp:cNvGraphicFramePr/>
                <a:graphic xmlns:a="http://schemas.openxmlformats.org/drawingml/2006/main">
                  <a:graphicData uri="http://schemas.microsoft.com/office/word/2010/wordprocessingShape">
                    <wps:wsp>
                      <wps:cNvSpPr txBox="1">
                        <a:spLocks noChangeArrowheads="1"/>
                      </wps:cNvSpPr>
                      <wps:spPr bwMode="auto">
                        <a:xfrm>
                          <a:off x="0" y="0"/>
                          <a:ext cx="822960" cy="448945"/>
                        </a:xfrm>
                        <a:prstGeom prst="rect">
                          <a:avLst/>
                        </a:prstGeom>
                        <a:noFill/>
                        <a:ln>
                          <a:noFill/>
                        </a:ln>
                        <a:effectLst/>
                      </wps:spPr>
                      <wps:txbx>
                        <w:txbxContent>
                          <w:p w14:paraId="3362417C">
                            <w:pPr>
                              <w:spacing w:line="240" w:lineRule="exact"/>
                              <w:rPr>
                                <w:rFonts w:ascii="宋体"/>
                                <w:sz w:val="18"/>
                                <w:szCs w:val="18"/>
                              </w:rPr>
                            </w:pPr>
                            <w:r>
                              <w:rPr>
                                <w:rFonts w:hint="eastAsia" w:ascii="楷体_GB2312" w:hAnsi="宋体" w:eastAsia="楷体_GB2312" w:cs="楷体_GB2312"/>
                                <w:b/>
                                <w:bCs/>
                                <w:color w:val="000000"/>
                                <w:sz w:val="18"/>
                                <w:szCs w:val="18"/>
                              </w:rPr>
                              <w:t>竣工日期的写明</w:t>
                            </w:r>
                          </w:p>
                        </w:txbxContent>
                      </wps:txbx>
                      <wps:bodyPr rot="0" vert="horz" wrap="square" lIns="91440" tIns="45720" rIns="91440" bIns="45720" anchor="t" anchorCtr="0" upright="1">
                        <a:noAutofit/>
                      </wps:bodyPr>
                    </wps:wsp>
                  </a:graphicData>
                </a:graphic>
              </wp:anchor>
            </w:drawing>
          </mc:Choice>
          <mc:Fallback>
            <w:pict>
              <v:shape id="文本框 938" o:spid="_x0000_s1026" o:spt="202" type="#_x0000_t202" style="position:absolute;left:0pt;margin-left:-9pt;margin-top:0.35pt;height:35.35pt;width:64.8pt;z-index:251851776;mso-width-relative:page;mso-height-relative:page;" filled="f" stroked="f" coordsize="21600,21600" o:gfxdata="UEsDBAoAAAAAAIdO4kAAAAAAAAAAAAAAAAAEAAAAZHJzL1BLAwQUAAAACACHTuJAF720HtQAAAAH&#10;AQAADwAAAGRycy9kb3ducmV2LnhtbE2PwW7CMBBE70j9B2srcQPbFaWQxuHQqleqQluJ2xIvSdR4&#10;HcWGpH9fcyrH0Yxm3uSb0bXiQn1oPBvQcwWCuPS24crA5/5ttgIRIrLF1jMZ+KUAm+JukmNm/cAf&#10;dNnFSqQSDhkaqGPsMilDWZPDMPcdcfJOvncYk+wraXscUrlr5YNSS+mw4bRQY0cvNZU/u7Mz8LU9&#10;Hb4X6r16dY/d4Ecl2a2lMdN7rZ5BRBrjfxiu+AkdisR09Ge2QbQGZnqVvkQDTyCuttZLEMck9QJk&#10;kctb/uIPUEsDBBQAAAAIAIdO4kBl7Vn7HgIAACYEAAAOAAAAZHJzL2Uyb0RvYy54bWytU0tu2zAQ&#10;3RfoHQjua9muktiC5SCNkaJA+gHSHoCmKIuoxGGHtCX3AO0Nuuqm+57L5+iQUhw33WTRDUHO5828&#10;N8PFZdfUbKfQaTA5n4zGnCkjodBmk/NPH29ezDhzXphC1GBUzvfK8cvl82eL1mZqChXUhUJGIMZl&#10;rc155b3NksTJSjXCjcAqQ84SsBGenrhJChQtoTd1Mh2Pz5MWsLAIUjlH1lXv5AMiPgUQylJLtQK5&#10;bZTxPSqqWnii5CptHV/GbstSSf++LJ3yrM45MfXxpCJ0X4czWS5EtkFhKy2HFsRTWnjEqRHaUNEj&#10;1Ep4wbao/4FqtERwUPqRhCbpiURFiMVk/Eibu0pYFbmQ1M4eRXf/D1a+231ApoucX6RnnBnR0MgP&#10;P74ffv4+/PrG5i9nQaLWuowi7yzF+u4VdLQ4ka6ztyA/O2bguhJmo64Qoa2UKKjFSchMTlJ7HBdA&#10;1u1bKKiS2HqIQF2JTdCPFGGETuPZH8ejOs8kGWfT6fycPJJcaTqbU8Ohgsjuky06/1pBw8Il50jT&#10;j+Bid+t8H3ofEmoZuNF1TXaR1eYvA2H2FhVXaMgOVEL3PQ/frTvKDcY1FHsihdCvF30uulSAXzlr&#10;abVy7r5sBSrO6jeGhJlP0jTsYnykZxdTeuCpZ33qEUYSVM49Z/312vf7u7WoNxVV6kdh4IrELHUk&#10;+tDVMAJanyjVsOphP0/fMerhey//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e9tB7UAAAABwEA&#10;AA8AAAAAAAAAAQAgAAAAIgAAAGRycy9kb3ducmV2LnhtbFBLAQIUABQAAAAIAIdO4kBl7Vn7HgIA&#10;ACYEAAAOAAAAAAAAAAEAIAAAACMBAABkcnMvZTJvRG9jLnhtbFBLBQYAAAAABgAGAFkBAACzBQAA&#10;AAA=&#10;">
                <v:fill on="f" focussize="0,0"/>
                <v:stroke on="f"/>
                <v:imagedata o:title=""/>
                <o:lock v:ext="edit" aspectratio="f"/>
                <v:textbox>
                  <w:txbxContent>
                    <w:p w14:paraId="3362417C">
                      <w:pPr>
                        <w:spacing w:line="240" w:lineRule="exact"/>
                        <w:rPr>
                          <w:rFonts w:ascii="宋体"/>
                          <w:sz w:val="18"/>
                          <w:szCs w:val="18"/>
                        </w:rPr>
                      </w:pPr>
                      <w:r>
                        <w:rPr>
                          <w:rFonts w:hint="eastAsia" w:ascii="楷体_GB2312" w:hAnsi="宋体" w:eastAsia="楷体_GB2312" w:cs="楷体_GB2312"/>
                          <w:b/>
                          <w:bCs/>
                          <w:color w:val="000000"/>
                          <w:sz w:val="18"/>
                          <w:szCs w:val="18"/>
                        </w:rPr>
                        <w:t>竣工日期的写明</w:t>
                      </w:r>
                    </w:p>
                  </w:txbxContent>
                </v:textbox>
              </v:shape>
            </w:pict>
          </mc:Fallback>
        </mc:AlternateContent>
      </w:r>
      <w:r>
        <w:rPr>
          <w:rFonts w:hint="eastAsia" w:ascii="仿宋" w:hAnsi="仿宋" w:eastAsia="仿宋" w:cs="仿宋"/>
          <w:color w:val="auto"/>
          <w:highlight w:val="none"/>
          <w:lang w:eastAsia="zh-CN"/>
        </w:rPr>
        <w:t>竣工验收合格的合同工程，发包人应按照第45</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款约定在工程接收证书上写明合同工程的实际竣工日期。</w:t>
      </w:r>
    </w:p>
    <w:p w14:paraId="1BE32F21">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.8</w:t>
      </w:r>
    </w:p>
    <w:p w14:paraId="5DB288F4">
      <w:pPr>
        <w:adjustRightInd w:val="0"/>
        <w:snapToGrid w:val="0"/>
        <w:spacing w:line="360" w:lineRule="auto"/>
        <w:ind w:left="1850" w:leftChars="771"/>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52800" behindDoc="0" locked="0" layoutInCell="1" allowOverlap="1">
                <wp:simplePos x="0" y="0"/>
                <wp:positionH relativeFrom="column">
                  <wp:posOffset>-114300</wp:posOffset>
                </wp:positionH>
                <wp:positionV relativeFrom="paragraph">
                  <wp:posOffset>4445</wp:posOffset>
                </wp:positionV>
                <wp:extent cx="775970" cy="826135"/>
                <wp:effectExtent l="0" t="0" r="0" b="0"/>
                <wp:wrapNone/>
                <wp:docPr id="746" name="文本框 939"/>
                <wp:cNvGraphicFramePr/>
                <a:graphic xmlns:a="http://schemas.openxmlformats.org/drawingml/2006/main">
                  <a:graphicData uri="http://schemas.microsoft.com/office/word/2010/wordprocessingShape">
                    <wps:wsp>
                      <wps:cNvSpPr txBox="1">
                        <a:spLocks noChangeArrowheads="1"/>
                      </wps:cNvSpPr>
                      <wps:spPr bwMode="auto">
                        <a:xfrm>
                          <a:off x="0" y="0"/>
                          <a:ext cx="775970" cy="826135"/>
                        </a:xfrm>
                        <a:prstGeom prst="rect">
                          <a:avLst/>
                        </a:prstGeom>
                        <a:noFill/>
                        <a:ln>
                          <a:noFill/>
                        </a:ln>
                        <a:effectLst/>
                      </wps:spPr>
                      <wps:txbx>
                        <w:txbxContent>
                          <w:p w14:paraId="2DC0CC4E">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单项工程或工程部位验收</w:t>
                            </w:r>
                          </w:p>
                        </w:txbxContent>
                      </wps:txbx>
                      <wps:bodyPr rot="0" vert="horz" wrap="square" lIns="91440" tIns="45720" rIns="91440" bIns="45720" anchor="t" anchorCtr="0" upright="1">
                        <a:noAutofit/>
                      </wps:bodyPr>
                    </wps:wsp>
                  </a:graphicData>
                </a:graphic>
              </wp:anchor>
            </w:drawing>
          </mc:Choice>
          <mc:Fallback>
            <w:pict>
              <v:shape id="文本框 939" o:spid="_x0000_s1026" o:spt="202" type="#_x0000_t202" style="position:absolute;left:0pt;margin-left:-9pt;margin-top:0.35pt;height:65.05pt;width:61.1pt;z-index:251852800;mso-width-relative:page;mso-height-relative:page;" filled="f" stroked="f" coordsize="21600,21600" o:gfxdata="UEsDBAoAAAAAAIdO4kAAAAAAAAAAAAAAAAAEAAAAZHJzL1BLAwQUAAAACACHTuJAUMI1RNYAAAAI&#10;AQAADwAAAGRycy9kb3ducmV2LnhtbE2PzU7DMBCE70i8g7VI3Np1SoEQ4vQA4gqi/Ejc3HibRMTr&#10;KHab8PZsT3Cb1axmvik3s+/VkcbYBTaQLTUo4jq4jhsD729PixxUTJad7QOTgR+KsKnOz0pbuDDx&#10;Kx23qVESwrGwBtqUhgIx1i15G5dhIBZvH0Zvk5xjg260k4T7Hlda36C3HUtDawd6aKn+3h68gY/n&#10;/dfnWr80j/56mMKskf0dGnN5kel7UInm9PcMJ3xBh0qYduHALqrewCLLZUsycAvqZOv1CtROxJXO&#10;AasS/w+ofgFQSwMEFAAAAAgAh07iQBLhwZofAgAAJgQAAA4AAABkcnMvZTJvRG9jLnhtbK1TS27b&#10;MBDdF+gdCO5r2Y4/sWA5SGOkKJB+gLQHoCnKIipx2CFtyT1Ae4Ouuum+5/I5OqQU1003WXRDkJzh&#10;m3lvHpdXbV2xvUKnwWR8NBhypoyEXJttxj9+uH1xyZnzwuSiAqMyflCOX62eP1s2NlVjKKHKFTIC&#10;MS5tbMZL722aJE6WqhZuAFYZChaAtfB0xG2So2gIva6S8XA4SxrA3CJI5Rzdrrsg7xHxKYBQFFqq&#10;NchdrYzvUFFVwhMlV2rr+Cp2WxRK+ndF4ZRnVcaJqY8rFaH9JqzJainSLQpbatm3IJ7SwiNOtdCG&#10;ip6g1sILtkP9D1StJYKDwg8k1ElHJCpCLEbDR9rcl8KqyIWkdvYkuvt/sPLt/j0ynWd8PplxZkRN&#10;Iz9+/3b88ev48ytbXCyCRI11KWXeW8r17UtoyTiRrrN3ID85ZuCmFGarrhGhKZXIqcVReJmcPe1w&#10;XADZNG8gp0pi5yECtQXWQT9ShBE6jedwGo9qPZN0OZ9PF3OKSApdjmeji2msINKHxxadf6WgZmGT&#10;caTpR3Cxv3M+NCPSh5RQy8CtrqrogMr8dUGJ3Y2KFupfByqh+46HbzdtL80G8gORQujsRZ+LNiXg&#10;F84aslbG3eedQMVZ9dqQMIvRZBK8GA+T6XxMBzyPbM4jwkiCyrjnrNve+M6/O4t6W1KlbhQGrknM&#10;QkeiodWuq34EZJ/Iv7d68Of5OWb9+d6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DCNUTWAAAA&#10;CAEAAA8AAAAAAAAAAQAgAAAAIgAAAGRycy9kb3ducmV2LnhtbFBLAQIUABQAAAAIAIdO4kAS4cGa&#10;HwIAACYEAAAOAAAAAAAAAAEAIAAAACUBAABkcnMvZTJvRG9jLnhtbFBLBQYAAAAABgAGAFkBAAC2&#10;BQAAAAA=&#10;">
                <v:fill on="f" focussize="0,0"/>
                <v:stroke on="f"/>
                <v:imagedata o:title=""/>
                <o:lock v:ext="edit" aspectratio="f"/>
                <v:textbox>
                  <w:txbxContent>
                    <w:p w14:paraId="2DC0CC4E">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单项工程或工程部位验收</w:t>
                      </w:r>
                    </w:p>
                  </w:txbxContent>
                </v:textbox>
              </v:shape>
            </w:pict>
          </mc:Fallback>
        </mc:AlternateContent>
      </w:r>
      <w:r>
        <w:rPr>
          <w:rFonts w:hint="eastAsia" w:ascii="仿宋" w:hAnsi="仿宋" w:eastAsia="仿宋" w:cs="仿宋"/>
          <w:color w:val="auto"/>
          <w:highlight w:val="none"/>
          <w:lang w:eastAsia="zh-CN"/>
        </w:rPr>
        <w:t>发包人要求某一单项工程或任一工程部位提前办理竣工验收的，应与承包人签订单项工程或工程部位竣工验收协议，作为本合同的附件。</w:t>
      </w:r>
    </w:p>
    <w:p w14:paraId="679DAD53">
      <w:pPr>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发包人根据合同工程进度计划安排，在全部工程竣工前需要使用已经竣工的单项工程或工程部位时，或承包人提出经发包人同意时，可进行单项工程或工程部位验收。验收的程序可参照第64条和本条上述相关条款约定进行。验收合格后，发包人应向承包人颁发单项工程或工程部位接收证书，并负责照管。单项工程或工程部位的验收成果和结论，作为全部工程竣工验收申请报告的附件。</w:t>
      </w:r>
    </w:p>
    <w:p w14:paraId="220A4BE4">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）发包人在全部工程竣工前，使用已接收的单项工程或工程部位导致承包人费用增加的，发包人应承担由此增加的费用和（或）延误的工期，并向承包人支付合理利润。</w:t>
      </w:r>
    </w:p>
    <w:p w14:paraId="51C3A4AC">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.9</w:t>
      </w:r>
    </w:p>
    <w:p w14:paraId="3512336E">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53824" behindDoc="0" locked="0" layoutInCell="1" allowOverlap="1">
                <wp:simplePos x="0" y="0"/>
                <wp:positionH relativeFrom="column">
                  <wp:posOffset>-114300</wp:posOffset>
                </wp:positionH>
                <wp:positionV relativeFrom="paragraph">
                  <wp:posOffset>3810</wp:posOffset>
                </wp:positionV>
                <wp:extent cx="775970" cy="428625"/>
                <wp:effectExtent l="0" t="0" r="0" b="0"/>
                <wp:wrapNone/>
                <wp:docPr id="747" name="文本框 940"/>
                <wp:cNvGraphicFramePr/>
                <a:graphic xmlns:a="http://schemas.openxmlformats.org/drawingml/2006/main">
                  <a:graphicData uri="http://schemas.microsoft.com/office/word/2010/wordprocessingShape">
                    <wps:wsp>
                      <wps:cNvSpPr txBox="1">
                        <a:spLocks noChangeArrowheads="1"/>
                      </wps:cNvSpPr>
                      <wps:spPr bwMode="auto">
                        <a:xfrm>
                          <a:off x="0" y="0"/>
                          <a:ext cx="775970" cy="428625"/>
                        </a:xfrm>
                        <a:prstGeom prst="rect">
                          <a:avLst/>
                        </a:prstGeom>
                        <a:noFill/>
                        <a:ln>
                          <a:noFill/>
                        </a:ln>
                        <a:effectLst/>
                      </wps:spPr>
                      <wps:txbx>
                        <w:txbxContent>
                          <w:p w14:paraId="53267ABB">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施工期</w:t>
                            </w:r>
                            <w:r>
                              <w:rPr>
                                <w:rFonts w:hint="eastAsia" w:ascii="楷体_GB2312" w:hAnsi="宋体" w:eastAsia="楷体_GB2312" w:cs="楷体_GB2312"/>
                                <w:b/>
                                <w:bCs/>
                                <w:color w:val="000000"/>
                                <w:sz w:val="18"/>
                                <w:szCs w:val="18"/>
                                <w:lang w:eastAsia="zh-CN"/>
                              </w:rPr>
                              <w:t>间</w:t>
                            </w:r>
                            <w:r>
                              <w:rPr>
                                <w:rFonts w:hint="eastAsia" w:ascii="楷体_GB2312" w:hAnsi="宋体" w:eastAsia="楷体_GB2312" w:cs="楷体_GB2312"/>
                                <w:b/>
                                <w:bCs/>
                                <w:color w:val="000000"/>
                                <w:sz w:val="18"/>
                                <w:szCs w:val="18"/>
                              </w:rPr>
                              <w:t>运行</w:t>
                            </w:r>
                          </w:p>
                        </w:txbxContent>
                      </wps:txbx>
                      <wps:bodyPr rot="0" vert="horz" wrap="square" lIns="91440" tIns="45720" rIns="91440" bIns="45720" anchor="t" anchorCtr="0" upright="1">
                        <a:noAutofit/>
                      </wps:bodyPr>
                    </wps:wsp>
                  </a:graphicData>
                </a:graphic>
              </wp:anchor>
            </w:drawing>
          </mc:Choice>
          <mc:Fallback>
            <w:pict>
              <v:shape id="文本框 940" o:spid="_x0000_s1026" o:spt="202" type="#_x0000_t202" style="position:absolute;left:0pt;margin-left:-9pt;margin-top:0.3pt;height:33.75pt;width:61.1pt;z-index:251853824;mso-width-relative:page;mso-height-relative:page;" filled="f" stroked="f" coordsize="21600,21600" o:gfxdata="UEsDBAoAAAAAAIdO4kAAAAAAAAAAAAAAAAAEAAAAZHJzL1BLAwQUAAAACACHTuJAWjEM19QAAAAH&#10;AQAADwAAAGRycy9kb3ducmV2LnhtbE2PwU7DMBBE70j8g7VI3Np1qlKFEKcHEFcQpSBx28bbJCJe&#10;R7HbhL/HPcFxNKOZN+V2dr068xg6LwaypQbFUnvbSWNg//68yEGFSGKp98IGfjjAtrq+KqmwfpI3&#10;Pu9io1KJhIIMtDEOBWKoW3YUln5gSd7Rj45ikmODdqQplbseV1pv0FEnaaGlgR9brr93J2fg4+X4&#10;9bnWr82TuxsmP2sUd4/G3N5k+gFU5Dn+heGCn9ChSkwHfxIbVG9gkeXpSzSwAXWx9XoF6pBkngFW&#10;Jf7nr34BUEsDBBQAAAAIAIdO4kDB3GtkHgIAACYEAAAOAAAAZHJzL2Uyb0RvYy54bWytU0tu2zAQ&#10;3RfoHQjua9mGHcWC5SCNkaJA+gHSHoCmKIuoyGGHtCX3AO0Nsuqm+57L5+iIsh033WTRjUDODN/M&#10;e/M0v2pNzbYKvQab89FgyJmyEgpt1zn//On21SVnPghbiBqsyvlOeX61ePli3rhMjaGCulDICMT6&#10;rHE5r0JwWZJ4WSkj/ACcspQsAY0IdMV1UqBoCN3UyXg4vEgawMIhSOU9RZd9kh8Q8TmAUJZaqiXI&#10;jVE29KioahGIkq+083wRpy1LJcOHsvQqsDrnxDTELzWh86r7Jou5yNYoXKXlYQTxnBGecDJCW2p6&#10;glqKINgG9T9QRksED2UYSDBJTyQqQixGwyfa3FfCqciFpPbuJLr/f7Dy/fYjMl3kPJ2knFlhaOX7&#10;hx/7n7/3v76z2SRK1DifUeW9o9rQvoaWjBPpencH8otnFm4qYdfqGhGaSomCRhx14iZnT7ul+Mx3&#10;IKvmHRTUSWwCRKC2RNPpR4owQqf17E7rUW1gkoJpOp2llJGUmowvL8bT2EFkx8cOfXijwLDukHOk&#10;7Udwsb3zoRtGZMeSrpeFW13X0QG1/StAhX1ERQsdXh+n73mEdtXS2y64gmJHpBB6e9HPRYcK8Btn&#10;DVkr5/7rRqDirH5rSZjZaEKyshAvk2k6pgueZ1bnGWElQeU8cNYfb0Lv341Dva6oU78KC9ckZqkj&#10;0cepDisg+0T+B6t3/jy/x6rH33vx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oxDNfUAAAABwEA&#10;AA8AAAAAAAAAAQAgAAAAIgAAAGRycy9kb3ducmV2LnhtbFBLAQIUABQAAAAIAIdO4kDB3GtkHgIA&#10;ACYEAAAOAAAAAAAAAAEAIAAAACMBAABkcnMvZTJvRG9jLnhtbFBLBQYAAAAABgAGAFkBAACzBQAA&#10;AAA=&#10;">
                <v:fill on="f" focussize="0,0"/>
                <v:stroke on="f"/>
                <v:imagedata o:title=""/>
                <o:lock v:ext="edit" aspectratio="f"/>
                <v:textbox>
                  <w:txbxContent>
                    <w:p w14:paraId="53267ABB">
                      <w:pPr>
                        <w:spacing w:line="240" w:lineRule="exact"/>
                        <w:rPr>
                          <w:rFonts w:hint="eastAsia" w:ascii="楷体_GB2312" w:hAnsi="宋体" w:eastAsia="楷体_GB2312"/>
                          <w:sz w:val="18"/>
                          <w:szCs w:val="18"/>
                        </w:rPr>
                      </w:pPr>
                      <w:r>
                        <w:rPr>
                          <w:rFonts w:hint="eastAsia" w:ascii="楷体_GB2312" w:hAnsi="宋体" w:eastAsia="楷体_GB2312" w:cs="楷体_GB2312"/>
                          <w:b/>
                          <w:bCs/>
                          <w:color w:val="000000"/>
                          <w:sz w:val="18"/>
                          <w:szCs w:val="18"/>
                        </w:rPr>
                        <w:t>施工期</w:t>
                      </w:r>
                      <w:r>
                        <w:rPr>
                          <w:rFonts w:hint="eastAsia" w:ascii="楷体_GB2312" w:hAnsi="宋体" w:eastAsia="楷体_GB2312" w:cs="楷体_GB2312"/>
                          <w:b/>
                          <w:bCs/>
                          <w:color w:val="000000"/>
                          <w:sz w:val="18"/>
                          <w:szCs w:val="18"/>
                          <w:lang w:eastAsia="zh-CN"/>
                        </w:rPr>
                        <w:t>间</w:t>
                      </w:r>
                      <w:r>
                        <w:rPr>
                          <w:rFonts w:hint="eastAsia" w:ascii="楷体_GB2312" w:hAnsi="宋体" w:eastAsia="楷体_GB2312" w:cs="楷体_GB2312"/>
                          <w:b/>
                          <w:bCs/>
                          <w:color w:val="000000"/>
                          <w:sz w:val="18"/>
                          <w:szCs w:val="18"/>
                        </w:rPr>
                        <w:t>运行</w:t>
                      </w:r>
                    </w:p>
                  </w:txbxContent>
                </v:textbox>
              </v:shape>
            </w:pict>
          </mc:Fallback>
        </mc:AlternateContent>
      </w:r>
      <w:r>
        <w:rPr>
          <w:rFonts w:hint="eastAsia" w:ascii="仿宋" w:hAnsi="仿宋" w:eastAsia="仿宋" w:cs="仿宋"/>
          <w:color w:val="auto"/>
          <w:highlight w:val="none"/>
          <w:lang w:eastAsia="zh-CN"/>
        </w:rPr>
        <w:t>合同工程尚未全部竣工（其中某项或某几项单项工程或工程部位已竣工），根据合同约定需要在施工期间运行的，应由发包人按照第65</w:t>
      </w:r>
      <w:r>
        <w:rPr>
          <w:rFonts w:ascii="仿宋" w:hAnsi="仿宋" w:eastAsia="仿宋" w:cs="仿宋"/>
          <w:color w:val="auto"/>
          <w:highlight w:val="none"/>
          <w:lang w:eastAsia="zh-CN"/>
        </w:rPr>
        <w:t>.8</w:t>
      </w:r>
      <w:r>
        <w:rPr>
          <w:rFonts w:hint="eastAsia" w:ascii="仿宋" w:hAnsi="仿宋" w:eastAsia="仿宋" w:cs="仿宋"/>
          <w:color w:val="auto"/>
          <w:highlight w:val="none"/>
          <w:lang w:eastAsia="zh-CN"/>
        </w:rPr>
        <w:t>款约定验收合格，并确保安全后，才能投入施工期运行。</w:t>
      </w:r>
    </w:p>
    <w:p w14:paraId="3648B5D1">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在施工期运行中，发现单项工程或工程部位存在缺陷或损坏的，由承包人按照第66</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款约定进行修复。</w:t>
      </w:r>
    </w:p>
    <w:p w14:paraId="6AD3D8CF">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.10</w:t>
      </w:r>
    </w:p>
    <w:p w14:paraId="673396CE">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54848" behindDoc="0" locked="0" layoutInCell="1" allowOverlap="1">
                <wp:simplePos x="0" y="0"/>
                <wp:positionH relativeFrom="column">
                  <wp:posOffset>-114300</wp:posOffset>
                </wp:positionH>
                <wp:positionV relativeFrom="paragraph">
                  <wp:posOffset>3810</wp:posOffset>
                </wp:positionV>
                <wp:extent cx="813435" cy="286385"/>
                <wp:effectExtent l="0" t="0" r="0" b="0"/>
                <wp:wrapNone/>
                <wp:docPr id="748" name="文本框 941"/>
                <wp:cNvGraphicFramePr/>
                <a:graphic xmlns:a="http://schemas.openxmlformats.org/drawingml/2006/main">
                  <a:graphicData uri="http://schemas.microsoft.com/office/word/2010/wordprocessingShape">
                    <wps:wsp>
                      <wps:cNvSpPr txBox="1">
                        <a:spLocks noChangeArrowheads="1"/>
                      </wps:cNvSpPr>
                      <wps:spPr bwMode="auto">
                        <a:xfrm>
                          <a:off x="0" y="0"/>
                          <a:ext cx="813435" cy="286385"/>
                        </a:xfrm>
                        <a:prstGeom prst="rect">
                          <a:avLst/>
                        </a:prstGeom>
                        <a:noFill/>
                        <a:ln>
                          <a:noFill/>
                        </a:ln>
                        <a:effectLst/>
                      </wps:spPr>
                      <wps:txbx>
                        <w:txbxContent>
                          <w:p w14:paraId="27831C4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竣工清场</w:t>
                            </w:r>
                          </w:p>
                        </w:txbxContent>
                      </wps:txbx>
                      <wps:bodyPr rot="0" vert="horz" wrap="square" lIns="91440" tIns="45720" rIns="91440" bIns="45720" anchor="t" anchorCtr="0" upright="1">
                        <a:noAutofit/>
                      </wps:bodyPr>
                    </wps:wsp>
                  </a:graphicData>
                </a:graphic>
              </wp:anchor>
            </w:drawing>
          </mc:Choice>
          <mc:Fallback>
            <w:pict>
              <v:shape id="文本框 941" o:spid="_x0000_s1026" o:spt="202" type="#_x0000_t202" style="position:absolute;left:0pt;margin-left:-9pt;margin-top:0.3pt;height:22.55pt;width:64.05pt;z-index:251854848;mso-width-relative:page;mso-height-relative:page;" filled="f" stroked="f" coordsize="21600,21600" o:gfxdata="UEsDBAoAAAAAAIdO4kAAAAAAAAAAAAAAAAAEAAAAZHJzL1BLAwQUAAAACACHTuJACj0BztQAAAAH&#10;AQAADwAAAGRycy9kb3ducmV2LnhtbE2PzU7DMBCE70h9B2uRuLW2Uf8I2fRQxLWIQpG4ufE2iYjX&#10;Uew26dvjnuA4mtHMN/lmdK24UB8azwh6pkAQl942XCF8frxO1yBCNGxN65kQrhRgU0zucpNZP/A7&#10;XfaxEqmEQ2YQ6hi7TMpQ1uRMmPmOOHkn3zsTk+wraXszpHLXykelltKZhtNCbTra1lT+7M8O4bA7&#10;fX/N1Vv14hbd4Ecl2T1JxId7rZ5BRBrjXxhu+AkdisR09Ge2QbQIU71OXyLCEsTN1kqDOCLMFyuQ&#10;RS7/8xe/UEsDBBQAAAAIAIdO4kBhQiCxHwIAACYEAAAOAAAAZHJzL2Uyb0RvYy54bWytU0tu2zAQ&#10;3RfoHQjua/mbOILlII2RokD6AdIegKYoi6jEYYe0pfQA7Q266qb7nsvn6JB0XDfdZNGNwOEM38x7&#10;87S47NuG7RQ6Dabgo8GQM2UklNpsCv7xw82LOWfOC1OKBowq+L1y/HL5/Nmis7kaQw1NqZARiHF5&#10;Zwtee2/zLHOyVq1wA7DKULICbIWnEDdZiaIj9LbJxsPhWdYBlhZBKufodpWS/ICITwGEqtJSrUBu&#10;W2V8QkXVCE+UXK2t48s4bVUp6d9VlVOeNQUnpj5+qQmd1+GbLRci36CwtZaHEcRTRnjEqRXaUNMj&#10;1Ep4wbao/4FqtURwUPmBhDZLRKIixGI0fKTNXS2silxIamePorv/Byvf7t4j02XBz6e0eCNaWvn+&#10;+7f9j1/7n1/ZxXQUJOqsy6nyzlKt719CT8aJdJ29BfnJMQPXtTAbdYUIXa1ESSPGl9nJ04TjAsi6&#10;ewMldRJbDxGor7AN+pEijNBpPffH9ajeM0mX89FkOplxJik1np9N5rMwWybyh8cWnX+loGXhUHCk&#10;7Udwsbt1PpU+lIReBm5000QHNOavC8JMNypa6PA6UAnTJx6+X/cHadZQ3hMphGQv+rnoUAN+4awj&#10;axXcfd4KVJw1rw0JczGaToMXYzCdnY8pwNPM+jQjjCSognvO0vHaJ/9uLepNTZ3SKgxckZiVjkTD&#10;qGkqEigEZJ8o1cHqwZ+ncaz683svf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KPQHO1AAAAAcB&#10;AAAPAAAAAAAAAAEAIAAAACIAAABkcnMvZG93bnJldi54bWxQSwECFAAUAAAACACHTuJAYUIgsR8C&#10;AAAmBAAADgAAAAAAAAABACAAAAAjAQAAZHJzL2Uyb0RvYy54bWxQSwUGAAAAAAYABgBZAQAAtAUA&#10;AAAA&#10;">
                <v:fill on="f" focussize="0,0"/>
                <v:stroke on="f"/>
                <v:imagedata o:title=""/>
                <o:lock v:ext="edit" aspectratio="f"/>
                <v:textbox>
                  <w:txbxContent>
                    <w:p w14:paraId="27831C43">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竣工清场</w:t>
                      </w:r>
                    </w:p>
                  </w:txbxContent>
                </v:textbox>
              </v:shape>
            </w:pict>
          </mc:Fallback>
        </mc:AlternateContent>
      </w:r>
      <w:r>
        <w:rPr>
          <w:rFonts w:hint="eastAsia" w:ascii="仿宋" w:hAnsi="仿宋" w:eastAsia="仿宋" w:cs="仿宋"/>
          <w:color w:val="auto"/>
          <w:highlight w:val="none"/>
          <w:lang w:eastAsia="zh-CN"/>
        </w:rPr>
        <w:t>专用条款没有约定的，工程接收证书颁发后，承包人应按照下列要求对施工场地进行清理，直至监理人检验合格为止。竣工清场费用由承包人承担。</w:t>
      </w:r>
    </w:p>
    <w:p w14:paraId="5D607923">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）施工场地内残留的垃圾已全部清除出场；</w:t>
      </w:r>
    </w:p>
    <w:p w14:paraId="0D83C033">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）临时设施已拆除，场地已按照合同约定进行清理、平整或复原；</w:t>
      </w:r>
    </w:p>
    <w:p w14:paraId="28E88E4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）按照合同约定应撤离的承包人施工设备和剩余的工程材料，包括废弃的施工设备和工程材料，已按照计划撤离施工场地；</w:t>
      </w:r>
    </w:p>
    <w:p w14:paraId="018ED575">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）建筑物周边及其附近道路、河道的施工堆积物，已按照监理人指令全部清理；</w:t>
      </w:r>
    </w:p>
    <w:p w14:paraId="0D97B291">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）监理人指令的其他场地清理工作已全部完成。</w:t>
      </w:r>
    </w:p>
    <w:p w14:paraId="20B049EC">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如承包人未按照监理人的要求恢复临时占地，或者场地清理未达到合同约定的，发包人可自行或委托第三方恢复或清理，所发生的费用从应支付或将支付给承包人的款项中扣除。</w:t>
      </w:r>
    </w:p>
    <w:p w14:paraId="301D06F5">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.11</w:t>
      </w:r>
    </w:p>
    <w:p w14:paraId="7E0957FD">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55872" behindDoc="0" locked="0" layoutInCell="1" allowOverlap="1">
                <wp:simplePos x="0" y="0"/>
                <wp:positionH relativeFrom="column">
                  <wp:posOffset>-114300</wp:posOffset>
                </wp:positionH>
                <wp:positionV relativeFrom="paragraph">
                  <wp:posOffset>3810</wp:posOffset>
                </wp:positionV>
                <wp:extent cx="775970" cy="514350"/>
                <wp:effectExtent l="0" t="0" r="0" b="0"/>
                <wp:wrapNone/>
                <wp:docPr id="749" name="文本框 942"/>
                <wp:cNvGraphicFramePr/>
                <a:graphic xmlns:a="http://schemas.openxmlformats.org/drawingml/2006/main">
                  <a:graphicData uri="http://schemas.microsoft.com/office/word/2010/wordprocessingShape">
                    <wps:wsp>
                      <wps:cNvSpPr txBox="1">
                        <a:spLocks noChangeArrowheads="1"/>
                      </wps:cNvSpPr>
                      <wps:spPr bwMode="auto">
                        <a:xfrm>
                          <a:off x="0" y="0"/>
                          <a:ext cx="775970" cy="514350"/>
                        </a:xfrm>
                        <a:prstGeom prst="rect">
                          <a:avLst/>
                        </a:prstGeom>
                        <a:noFill/>
                        <a:ln>
                          <a:noFill/>
                        </a:ln>
                        <a:effectLst/>
                      </wps:spPr>
                      <wps:txbx>
                        <w:txbxContent>
                          <w:p w14:paraId="780B73D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施工队伍的撤离</w:t>
                            </w:r>
                          </w:p>
                        </w:txbxContent>
                      </wps:txbx>
                      <wps:bodyPr rot="0" vert="horz" wrap="square" lIns="91440" tIns="45720" rIns="91440" bIns="45720" anchor="t" anchorCtr="0" upright="1">
                        <a:noAutofit/>
                      </wps:bodyPr>
                    </wps:wsp>
                  </a:graphicData>
                </a:graphic>
              </wp:anchor>
            </w:drawing>
          </mc:Choice>
          <mc:Fallback>
            <w:pict>
              <v:shape id="文本框 942" o:spid="_x0000_s1026" o:spt="202" type="#_x0000_t202" style="position:absolute;left:0pt;margin-left:-9pt;margin-top:0.3pt;height:40.5pt;width:61.1pt;z-index:251855872;mso-width-relative:page;mso-height-relative:page;" filled="f" stroked="f" coordsize="21600,21600" o:gfxdata="UEsDBAoAAAAAAIdO4kAAAAAAAAAAAAAAAAAEAAAAZHJzL1BLAwQUAAAACACHTuJAVVtBttUAAAAH&#10;AQAADwAAAGRycy9kb3ducmV2LnhtbE2PwW7CMBBE75X6D9ZW6g3sIBqlIRsOoF5blQJSbyZekoh4&#10;HcWGpH9fc2qPoxnNvCnWk+3EjQbfOkZI5goEceVMyzXC/uttloHwQbPRnWNC+CEP6/LxodC5cSN/&#10;0m0XahFL2OcaoQmhz6X0VUNW+7nriaN3doPVIcqhlmbQYyy3nVwolUqrW44Lje5p01B12V0twuH9&#10;/H1cqo96a1/60U1Ksn2ViM9PiVqBCDSFvzDc8SM6lJHp5K5svOgQZkkWvwSEFMTdVssFiBNClqQg&#10;y0L+5y9/AVBLAwQUAAAACACHTuJAi7m+jR8CAAAmBAAADgAAAGRycy9lMm9Eb2MueG1srVPNjtMw&#10;EL4j8Q6W7zRtSSmNmq6WrRYhLT/SwgO4jtNYJB4zdpuUB2DfgBMX7jxXn4Oxky1lueyBi2V7xt/M&#10;983n5UXX1Gyv0GkwOZ+MxpwpI6HQZpvzTx+vn73kzHlhClGDUTk/KMcvVk+fLFubqSlUUBcKGYEY&#10;l7U255X3NksSJyvVCDcCqwwFS8BGeDriNilQtITe1Ml0PH6RtICFRZDKObpd90E+IOJjAKEstVRr&#10;kLtGGd+joqqFJ0qu0tbxVey2LJX078vSKc/qnBNTH1cqQvtNWJPVUmRbFLbScmhBPKaFB5waoQ0V&#10;PUGthRdsh/ofqEZLBAelH0lokp5IVIRYTMYPtLmthFWRC0nt7El09/9g5bv9B2S6yPk8XXBmREMj&#10;P36/O/74dfz5jS3SaZCotS6jzFtLub57BR0ZJ9J19gbkZ8cMXFXCbNUlIrSVEgW1OAkvk7OnPY4L&#10;IJv2LRRUSew8RKCuxCboR4owQqfxHE7jUZ1nki7n89liThFJodkkfT6L40tEdv/YovOvFTQsbHKO&#10;NP0ILvY3zodmRHafEmoZuNZ1HR1Qm78uKLG/UdFCw+tAJXTf8/Ddphuk2UBxIFIIvb3oc9GmAvzK&#10;WUvWyrn7shOoOKvfGBJmMUnT4MV4SGfzKR3wPLI5jwgjCSrnnrN+e+V7/+4s6m1FlfpRGLgkMUsd&#10;iYZW+66GEZB9Iv/B6sGf5+eY9ed7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VVtBttUAAAAH&#10;AQAADwAAAAAAAAABACAAAAAiAAAAZHJzL2Rvd25yZXYueG1sUEsBAhQAFAAAAAgAh07iQIu5vo0f&#10;AgAAJgQAAA4AAAAAAAAAAQAgAAAAJAEAAGRycy9lMm9Eb2MueG1sUEsFBgAAAAAGAAYAWQEAALUF&#10;AAAAAA==&#10;">
                <v:fill on="f" focussize="0,0"/>
                <v:stroke on="f"/>
                <v:imagedata o:title=""/>
                <o:lock v:ext="edit" aspectratio="f"/>
                <v:textbox>
                  <w:txbxContent>
                    <w:p w14:paraId="780B73D6">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施工队伍的撤离</w:t>
                      </w:r>
                    </w:p>
                  </w:txbxContent>
                </v:textbox>
              </v:shape>
            </w:pict>
          </mc:Fallback>
        </mc:AlternateContent>
      </w:r>
      <w:r>
        <w:rPr>
          <w:rFonts w:hint="eastAsia" w:ascii="仿宋" w:hAnsi="仿宋" w:eastAsia="仿宋" w:cs="仿宋"/>
          <w:color w:val="auto"/>
          <w:highlight w:val="none"/>
          <w:lang w:eastAsia="zh-CN"/>
        </w:rPr>
        <w:t>工程接收证书颁发后的</w:t>
      </w:r>
      <w:r>
        <w:rPr>
          <w:rFonts w:ascii="仿宋" w:hAnsi="仿宋" w:eastAsia="仿宋" w:cs="仿宋"/>
          <w:color w:val="auto"/>
          <w:highlight w:val="none"/>
          <w:lang w:eastAsia="zh-CN"/>
        </w:rPr>
        <w:t>56</w:t>
      </w:r>
      <w:r>
        <w:rPr>
          <w:rFonts w:hint="eastAsia" w:ascii="仿宋" w:hAnsi="仿宋" w:eastAsia="仿宋" w:cs="仿宋"/>
          <w:color w:val="auto"/>
          <w:highlight w:val="none"/>
          <w:lang w:eastAsia="zh-CN"/>
        </w:rPr>
        <w:t>天内，除经监理人同意需在缺陷责任期内继续工作的人员、使用的施工设备和临时设施外，其余的人员、施工设备和临时设施均应撤离施工场地或拆除。除专用条款另有约定外，缺陷责任期满时，承包人的人员和施工设备应全部撤离施工场地。</w:t>
      </w:r>
    </w:p>
    <w:p w14:paraId="2B9AAF68">
      <w:pPr>
        <w:spacing w:line="360" w:lineRule="auto"/>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2046336" behindDoc="0" locked="0" layoutInCell="1" allowOverlap="1">
                <wp:simplePos x="0" y="0"/>
                <wp:positionH relativeFrom="column">
                  <wp:posOffset>-66675</wp:posOffset>
                </wp:positionH>
                <wp:positionV relativeFrom="paragraph">
                  <wp:posOffset>213360</wp:posOffset>
                </wp:positionV>
                <wp:extent cx="775970" cy="676910"/>
                <wp:effectExtent l="0" t="0" r="0" b="0"/>
                <wp:wrapNone/>
                <wp:docPr id="750" name="文本框 943"/>
                <wp:cNvGraphicFramePr/>
                <a:graphic xmlns:a="http://schemas.openxmlformats.org/drawingml/2006/main">
                  <a:graphicData uri="http://schemas.microsoft.com/office/word/2010/wordprocessingShape">
                    <wps:wsp>
                      <wps:cNvSpPr txBox="1">
                        <a:spLocks noChangeArrowheads="1"/>
                      </wps:cNvSpPr>
                      <wps:spPr bwMode="auto">
                        <a:xfrm>
                          <a:off x="0" y="0"/>
                          <a:ext cx="775970" cy="676910"/>
                        </a:xfrm>
                        <a:prstGeom prst="rect">
                          <a:avLst/>
                        </a:prstGeom>
                        <a:noFill/>
                        <a:ln>
                          <a:noFill/>
                        </a:ln>
                        <a:effectLst/>
                      </wps:spPr>
                      <wps:txbx>
                        <w:txbxContent>
                          <w:p w14:paraId="318C4BE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使用未验收或验收未通过工程的责任</w:t>
                            </w:r>
                          </w:p>
                        </w:txbxContent>
                      </wps:txbx>
                      <wps:bodyPr rot="0" vert="horz" wrap="square" lIns="91440" tIns="45720" rIns="91440" bIns="45720" anchor="t" anchorCtr="0" upright="1">
                        <a:noAutofit/>
                      </wps:bodyPr>
                    </wps:wsp>
                  </a:graphicData>
                </a:graphic>
              </wp:anchor>
            </w:drawing>
          </mc:Choice>
          <mc:Fallback>
            <w:pict>
              <v:shape id="文本框 943" o:spid="_x0000_s1026" o:spt="202" type="#_x0000_t202" style="position:absolute;left:0pt;margin-left:-5.25pt;margin-top:16.8pt;height:53.3pt;width:61.1pt;z-index:252046336;mso-width-relative:page;mso-height-relative:page;" filled="f" stroked="f" coordsize="21600,21600" o:gfxdata="UEsDBAoAAAAAAIdO4kAAAAAAAAAAAAAAAAAEAAAAZHJzL1BLAwQUAAAACACHTuJA/Ecs8dcAAAAK&#10;AQAADwAAAGRycy9kb3ducmV2LnhtbE2PTU/DMAyG70j8h8hI3DYn+4J1TXcAcQUxNiRuWeO1FY1T&#10;Ndla/j3ZCW62/Oj18+bb0bXiQn1oPGtQUwmCuPS24UrD/uNl8ggiRMPWtJ5Jww8F2Ba3N7nJrB/4&#10;nS67WIkUwiEzGuoYuwwxlDU5E6a+I063k++diWntK7S9GVK4a3Em5QqdaTh9qE1HTzWV37uz03B4&#10;PX19LuRb9eyW3eBHiezWqPX9nZIbEJHG+AfDVT+pQ5Gcjv7MNohWw0TJZUI1zOcrEFdAqQcQxzQs&#10;5AywyPF/heIXUEsDBBQAAAAIAIdO4kDv3JigHwIAACYEAAAOAAAAZHJzL2Uyb0RvYy54bWytU82O&#10;0zAQviPxDpbvNG1pGxo1XS1bLUJafqSFB3Adp7FIPGbsNlkeAN6AExfuPFefg7GTLWW57IGLZXvG&#10;33zfN+PVRdfU7KDQaTA5n4zGnCkjodBml/OPH66fveDMeWEKUYNROb9Tjl+snz5ZtTZTU6igLhQy&#10;AjEua23OK+9tliROVqoRbgRWGQqWgI3wdMRdUqBoCb2pk+l4vEhawMIiSOUc3W76IB8Q8TGAUJZa&#10;qg3IfaOM71FR1cKTJFdp6/g6si1LJf27snTKszrnpNTHlYrQfhvWZL0S2Q6FrbQcKIjHUHigqRHa&#10;UNET1EZ4wfao/4FqtERwUPqRhCbphURHSMVk/MCb20pYFbWQ1c6eTHf/D1a+PbxHpoucp3PyxIiG&#10;Wn78/u3449fx51e2nD0PFrXWZZR5aynXdy+ho8GJcp29AfnJMQNXlTA7dYkIbaVEQRQn4WVy9rTH&#10;cQFk276BgiqJvYcI1JXYBP/IEUboROXu1B7VeSbpMk3ny5QikkKLdLGcxPYlIrt/bNH5VwoaFjY5&#10;R+p+BBeHG+cDGZHdp4RaBq51XccJqM1fF5TY36g4QsPrICWw73X4btsN1myhuCNRCP140eeiTQX4&#10;hbOWRivn7vNeoOKsfm3ImOVkNiMZPh5m83RKBzyPbM8jwkiCyrnnrN9e+X5+9xb1rqJKfSsMXJKZ&#10;pY5CA9We1dACGp+ofxj1MJ/n55j153uv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8Ryzx1wAA&#10;AAoBAAAPAAAAAAAAAAEAIAAAACIAAABkcnMvZG93bnJldi54bWxQSwECFAAUAAAACACHTuJA79yY&#10;oB8CAAAmBAAADgAAAAAAAAABACAAAAAmAQAAZHJzL2Uyb0RvYy54bWxQSwUGAAAAAAYABgBZAQAA&#10;twUAAAAA&#10;">
                <v:fill on="f" focussize="0,0"/>
                <v:stroke on="f"/>
                <v:imagedata o:title=""/>
                <o:lock v:ext="edit" aspectratio="f"/>
                <v:textbox>
                  <w:txbxContent>
                    <w:p w14:paraId="318C4BE1">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使用未验收或验收未通过工程的责任</w:t>
                      </w:r>
                    </w:p>
                  </w:txbxContent>
                </v:textbox>
              </v:shape>
            </w:pict>
          </mc:Fallback>
        </mc:AlternateContent>
      </w: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.12</w:t>
      </w:r>
    </w:p>
    <w:p w14:paraId="5FE8546F">
      <w:pPr>
        <w:pStyle w:val="62"/>
        <w:widowControl w:val="0"/>
        <w:adjustRightInd w:val="0"/>
        <w:snapToGrid w:val="0"/>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合同工程未经竣工验收或竣工验收不合格的，发包人不得使用。发包人强行使用的，由此发生的质量问题及其他问题，由发包人承担责任。</w:t>
      </w:r>
    </w:p>
    <w:p w14:paraId="42E7933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65</w:t>
      </w:r>
      <w:r>
        <w:rPr>
          <w:rFonts w:ascii="仿宋" w:hAnsi="仿宋" w:eastAsia="仿宋" w:cs="仿宋"/>
          <w:b/>
          <w:bCs/>
          <w:color w:val="auto"/>
          <w:highlight w:val="none"/>
          <w:lang w:eastAsia="zh-CN"/>
        </w:rPr>
        <w:t>.13</w:t>
      </w:r>
    </w:p>
    <w:p w14:paraId="4A6CC477">
      <w:pPr>
        <w:pStyle w:val="62"/>
        <w:adjustRightInd w:val="0"/>
        <w:snapToGrid w:val="0"/>
        <w:ind w:left="1850" w:leftChars="771"/>
        <w:jc w:val="both"/>
        <w:rPr>
          <w:rFonts w:hint="eastAsia" w:ascii="仿宋" w:hAnsi="仿宋" w:eastAsia="仿宋"/>
          <w:color w:val="auto"/>
          <w:highlight w:val="none"/>
          <w:lang w:eastAsia="zh-CN"/>
        </w:rPr>
      </w:pPr>
      <w:r>
        <w:rPr>
          <w:color w:val="auto"/>
          <w:highlight w:val="none"/>
          <w:lang w:eastAsia="zh-CN"/>
        </w:rPr>
        <mc:AlternateContent>
          <mc:Choice Requires="wps">
            <w:drawing>
              <wp:anchor distT="0" distB="0" distL="114300" distR="114300" simplePos="0" relativeHeight="251856896" behindDoc="0" locked="0" layoutInCell="1" allowOverlap="1">
                <wp:simplePos x="0" y="0"/>
                <wp:positionH relativeFrom="column">
                  <wp:posOffset>-114300</wp:posOffset>
                </wp:positionH>
                <wp:positionV relativeFrom="paragraph">
                  <wp:posOffset>13335</wp:posOffset>
                </wp:positionV>
                <wp:extent cx="756920" cy="588645"/>
                <wp:effectExtent l="0" t="0" r="0" b="0"/>
                <wp:wrapNone/>
                <wp:docPr id="751" name="文本框 944"/>
                <wp:cNvGraphicFramePr/>
                <a:graphic xmlns:a="http://schemas.openxmlformats.org/drawingml/2006/main">
                  <a:graphicData uri="http://schemas.microsoft.com/office/word/2010/wordprocessingShape">
                    <wps:wsp>
                      <wps:cNvSpPr txBox="1">
                        <a:spLocks noChangeArrowheads="1"/>
                      </wps:cNvSpPr>
                      <wps:spPr bwMode="auto">
                        <a:xfrm>
                          <a:off x="0" y="0"/>
                          <a:ext cx="756920" cy="588645"/>
                        </a:xfrm>
                        <a:prstGeom prst="rect">
                          <a:avLst/>
                        </a:prstGeom>
                        <a:noFill/>
                        <a:ln>
                          <a:noFill/>
                        </a:ln>
                        <a:effectLst/>
                      </wps:spPr>
                      <wps:txbx>
                        <w:txbxContent>
                          <w:p w14:paraId="2566478D">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工程竣工质量争议的责任</w:t>
                            </w:r>
                          </w:p>
                        </w:txbxContent>
                      </wps:txbx>
                      <wps:bodyPr rot="0" vert="horz" wrap="square" lIns="91440" tIns="45720" rIns="91440" bIns="45720" anchor="t" anchorCtr="0" upright="1">
                        <a:noAutofit/>
                      </wps:bodyPr>
                    </wps:wsp>
                  </a:graphicData>
                </a:graphic>
              </wp:anchor>
            </w:drawing>
          </mc:Choice>
          <mc:Fallback>
            <w:pict>
              <v:shape id="文本框 944" o:spid="_x0000_s1026" o:spt="202" type="#_x0000_t202" style="position:absolute;left:0pt;margin-left:-9pt;margin-top:1.05pt;height:46.35pt;width:59.6pt;z-index:251856896;mso-width-relative:page;mso-height-relative:page;" filled="f" stroked="f" coordsize="21600,21600" o:gfxdata="UEsDBAoAAAAAAIdO4kAAAAAAAAAAAAAAAAAEAAAAZHJzL1BLAwQUAAAACACHTuJAd+9JzNUAAAAI&#10;AQAADwAAAGRycy9kb3ducmV2LnhtbE2PwU7DMBBE70j8g7WVuLW2o4LSkE0PIK4gSkHi5sbbJGq8&#10;jmK3CX+Pe4LjaEYzb8rt7HpxoTF0nhH0SoEgrr3tuEHYf7wscxAhGram90wIPxRgW93elKawfuJ3&#10;uuxiI1IJh8IgtDEOhZShbsmZsPIDcfKOfnQmJjk20o5mSuWul5lSD9KZjtNCawZ6aqk+7c4O4fP1&#10;+P21Vm/Ns7sfJj8ryW4jEe8WWj2CiDTHvzBc8RM6VInp4M9sg+gRljpPXyJCpkFcfaUzEAeEzToH&#10;WZXy/4HqF1BLAwQUAAAACACHTuJALkgYcR4CAAAmBAAADgAAAGRycy9lMm9Eb2MueG1srVNLjhMx&#10;EN0jcQfLe9JJ1Pm10hkNEw1CGj7SwAEctztt0e0yZSfd4QBwA1Zs2HOunIOyOxPCsJkFG8t2lV/V&#10;e/W8vOqamu0VOg0m56PBkDNlJBTabHP+8cPtizlnzgtTiBqMyvlBOX61ev5s2dpMjaGCulDICMS4&#10;rLU5r7y3WZI4WalGuAFYZShYAjbC0xG3SYGiJfSmTsbD4TRpAQuLIJVzdLvug/yEiE8BhLLUUq1B&#10;7hplfI+KqhaeKLlKW8dXsduyVNK/K0unPKtzTkx9XKkI7TdhTVZLkW1R2ErLUwviKS084tQIbajo&#10;GWotvGA71P9ANVoiOCj9QEKT9ESiIsRiNHykzX0lrIpcSGpnz6K7/wcr3+7fI9NFzmeTEWdGNDTy&#10;4/dvxx+/jj+/skWaBola6zLKvLeU67uX0JFxIl1n70B+cszATSXMVl0jQlspUVCLo/AyuXja47gA&#10;smnfQEGVxM5DBOpKbIJ+pAgjdBrP4Twe1Xkm6XI2mS7GFJEUmszn03QSK4js4bFF518paFjY5Bxp&#10;+hFc7O+cD82I7CEl1DJwq+s6OqA2f11QYn+jooVOrwOV0H3Pw3eb7iTNBooDkULo7UWfizYV4BfO&#10;WrJWzt3nnUDFWf3akDCLUZoGL8ZDOpkFTngZ2VxGhJEElXPPWb+98b1/dxb1tqJK/SgMXJOYpY5E&#10;Q6t9V6cRkH0i/5PVgz8vzzHrz/de/Q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370nM1QAAAAgB&#10;AAAPAAAAAAAAAAEAIAAAACIAAABkcnMvZG93bnJldi54bWxQSwECFAAUAAAACACHTuJALkgYcR4C&#10;AAAmBAAADgAAAAAAAAABACAAAAAkAQAAZHJzL2Uyb0RvYy54bWxQSwUGAAAAAAYABgBZAQAAtAUA&#10;AAAA&#10;">
                <v:fill on="f" focussize="0,0"/>
                <v:stroke on="f"/>
                <v:imagedata o:title=""/>
                <o:lock v:ext="edit" aspectratio="f"/>
                <v:textbox>
                  <w:txbxContent>
                    <w:p w14:paraId="2566478D">
                      <w:pPr>
                        <w:spacing w:line="240" w:lineRule="exact"/>
                        <w:rPr>
                          <w:rFonts w:hint="eastAsia" w:ascii="楷体_GB2312" w:hAnsi="宋体" w:eastAsia="楷体_GB2312"/>
                          <w:b/>
                          <w:bCs/>
                          <w:color w:val="000000"/>
                          <w:sz w:val="18"/>
                          <w:szCs w:val="18"/>
                          <w:lang w:eastAsia="zh-CN"/>
                        </w:rPr>
                      </w:pPr>
                      <w:r>
                        <w:rPr>
                          <w:rFonts w:hint="eastAsia" w:ascii="楷体_GB2312" w:eastAsia="楷体_GB2312" w:cs="楷体_GB2312"/>
                          <w:b/>
                          <w:bCs/>
                          <w:color w:val="000000"/>
                          <w:sz w:val="18"/>
                          <w:szCs w:val="18"/>
                          <w:lang w:eastAsia="zh-CN"/>
                        </w:rPr>
                        <w:t>工程竣工质量争议的责任</w:t>
                      </w:r>
                    </w:p>
                  </w:txbxContent>
                </v:textbox>
              </v:shape>
            </w:pict>
          </mc:Fallback>
        </mc:AlternateContent>
      </w:r>
      <w:r>
        <w:rPr>
          <w:rFonts w:hint="eastAsia" w:ascii="仿宋" w:hAnsi="仿宋" w:eastAsia="仿宋" w:cs="仿宋"/>
          <w:color w:val="auto"/>
          <w:highlight w:val="none"/>
          <w:lang w:eastAsia="zh-CN"/>
        </w:rPr>
        <w:t>合同工程竣工验收时发生工程质量争议，经第91</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款约定调解或认定工程质量符合合同约定的，由发包人承担由此增加的费用和（或）延误的工期。</w:t>
      </w:r>
    </w:p>
    <w:p w14:paraId="37D878B8">
      <w:pPr>
        <w:adjustRightInd w:val="0"/>
        <w:snapToGrid w:val="0"/>
        <w:spacing w:line="360" w:lineRule="auto"/>
        <w:rPr>
          <w:rFonts w:hint="eastAsia" w:ascii="仿宋" w:hAnsi="仿宋" w:eastAsia="仿宋" w:cs="仿宋"/>
          <w:b/>
          <w:bCs/>
          <w:color w:val="auto"/>
          <w:highlight w:val="none"/>
          <w:u w:val="single"/>
          <w:lang w:eastAsia="zh-CN"/>
        </w:rPr>
      </w:pPr>
    </w:p>
    <w:p w14:paraId="6550C46C">
      <w:pPr>
        <w:pStyle w:val="5"/>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64" w:name="_Toc4130"/>
      <w:r>
        <w:rPr>
          <w:rFonts w:hint="eastAsia" w:ascii="仿宋" w:hAnsi="仿宋" w:eastAsia="仿宋" w:cs="仿宋"/>
          <w:bCs w:val="0"/>
          <w:color w:val="auto"/>
          <w:sz w:val="24"/>
          <w:szCs w:val="24"/>
          <w:highlight w:val="none"/>
          <w:lang w:eastAsia="zh-CN"/>
        </w:rPr>
        <w:t>66缺陷责任与质量保修</w:t>
      </w:r>
      <w:bookmarkEnd w:id="364"/>
    </w:p>
    <w:p w14:paraId="39CDA689">
      <w:pPr>
        <w:adjustRightInd w:val="0"/>
        <w:snapToGrid w:val="0"/>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47360" behindDoc="0" locked="0" layoutInCell="1" allowOverlap="1">
                <wp:simplePos x="0" y="0"/>
                <wp:positionH relativeFrom="column">
                  <wp:posOffset>-114300</wp:posOffset>
                </wp:positionH>
                <wp:positionV relativeFrom="paragraph">
                  <wp:posOffset>287020</wp:posOffset>
                </wp:positionV>
                <wp:extent cx="771525" cy="546100"/>
                <wp:effectExtent l="0" t="0" r="0" b="0"/>
                <wp:wrapNone/>
                <wp:docPr id="752" name="文本框 945"/>
                <wp:cNvGraphicFramePr/>
                <a:graphic xmlns:a="http://schemas.openxmlformats.org/drawingml/2006/main">
                  <a:graphicData uri="http://schemas.microsoft.com/office/word/2010/wordprocessingShape">
                    <wps:wsp>
                      <wps:cNvSpPr txBox="1">
                        <a:spLocks noChangeArrowheads="1"/>
                      </wps:cNvSpPr>
                      <wps:spPr bwMode="auto">
                        <a:xfrm>
                          <a:off x="0" y="0"/>
                          <a:ext cx="771525" cy="546100"/>
                        </a:xfrm>
                        <a:prstGeom prst="rect">
                          <a:avLst/>
                        </a:prstGeom>
                        <a:noFill/>
                        <a:ln>
                          <a:noFill/>
                        </a:ln>
                        <a:effectLst/>
                      </wps:spPr>
                      <wps:txbx>
                        <w:txbxContent>
                          <w:p w14:paraId="46E0959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缺陷责任期</w:t>
                            </w:r>
                          </w:p>
                          <w:p w14:paraId="62E49B17">
                            <w:pPr>
                              <w:spacing w:line="240" w:lineRule="exact"/>
                              <w:rPr>
                                <w:rFonts w:ascii="宋体"/>
                                <w:sz w:val="18"/>
                                <w:szCs w:val="18"/>
                              </w:rPr>
                            </w:pPr>
                            <w:r>
                              <w:rPr>
                                <w:rFonts w:hint="eastAsia" w:ascii="楷体_GB2312" w:hAnsi="宋体" w:eastAsia="楷体_GB2312" w:cs="楷体_GB2312"/>
                                <w:b/>
                                <w:bCs/>
                                <w:color w:val="000000"/>
                                <w:sz w:val="18"/>
                                <w:szCs w:val="18"/>
                              </w:rPr>
                              <w:t>计算</w:t>
                            </w:r>
                          </w:p>
                        </w:txbxContent>
                      </wps:txbx>
                      <wps:bodyPr rot="0" vert="horz" wrap="square" lIns="91440" tIns="45720" rIns="91440" bIns="45720" anchor="t" anchorCtr="0" upright="1">
                        <a:noAutofit/>
                      </wps:bodyPr>
                    </wps:wsp>
                  </a:graphicData>
                </a:graphic>
              </wp:anchor>
            </w:drawing>
          </mc:Choice>
          <mc:Fallback>
            <w:pict>
              <v:shape id="文本框 945" o:spid="_x0000_s1026" o:spt="202" type="#_x0000_t202" style="position:absolute;left:0pt;margin-left:-9pt;margin-top:22.6pt;height:43pt;width:60.75pt;z-index:252047360;mso-width-relative:page;mso-height-relative:page;" filled="f" stroked="f" coordsize="21600,21600" o:gfxdata="UEsDBAoAAAAAAIdO4kAAAAAAAAAAAAAAAAAEAAAAZHJzL1BLAwQUAAAACACHTuJAUmAWy9gAAAAK&#10;AQAADwAAAGRycy9kb3ducmV2LnhtbE2PwU7DMBBE70j9B2srcWvtpA0qaTY9gLiCaAGJmxtvk6jx&#10;OordJvw97glus5rR7JtiN9lOXGnwrWOEZKlAEFfOtFwjfBxeFhsQPmg2unNMCD/kYVfO7gqdGzfy&#10;O133oRaxhH2uEZoQ+lxKXzVktV+6njh6JzdYHeI51NIMeozltpOpUg/S6pbjh0b39NRQdd5fLMLn&#10;6+n7a63e6meb9aOblGT7KBHv54naggg0hb8w3PAjOpSR6egubLzoEBbJJm4JCOssBXELqFUG4hjF&#10;KklBloX8P6H8BVBLAwQUAAAACACHTuJAtqFXfyACAAAmBAAADgAAAGRycy9lMm9Eb2MueG1srVNL&#10;btswEN0X6B0I7mtZhhU3guUgjZGiQPoB0h6ApiiLqMRhh7Sl9ADtDbLqpvuey+fokFJcN91k0Q1B&#10;coZv5r15XF70bcP2Cp0GU/B0MuVMGQmlNtuCf/p4/eIlZ84LU4oGjCr4nXL8YvX82bKzuZpBDU2p&#10;kBGIcXlnC157b/MkcbJWrXATsMpQsAJshacjbpMSRUfobZPMptOzpAMsLYJUztHtegjyERGfAghV&#10;paVag9y1yvgBFVUjPFFytbaOr2K3VaWkf19VTnnWFJyY+rhSEdpvwpqsliLforC1lmML4iktPOLU&#10;Cm2o6BFqLbxgO9T/QLVaIjio/ERCmwxEoiLEIp0+0ua2FlZFLiS1s0fR3f+Dle/2H5DpsuCLbMaZ&#10;ES2N/HD//fDj1+HnN3Y+z4JEnXU5Zd5ayvX9K+jJOJGuszcgPztm4KoWZqsuEaGrlSipxTS8TE6e&#10;DjgugGy6t1BSJbHzEIH6CtugHynCCJ3Gc3ccj+o9k3S5WKTZLONMUiibn6XTOL5E5A+PLTr/WkHL&#10;wqbgSNOP4GJ/43xoRuQPKaGWgWvdNNEBjfnrghKHGxUtNL4OVEL3Aw/fb/pRmg2Ud0QKYbAXfS7a&#10;1IBfOevIWgV3X3YCFWfNG0PCnKfzefBiPMyzxYwOeBrZnEaEkQRVcM/ZsL3yg393FvW2pkrDKAxc&#10;kpiVjkRDq0NX4wjIPpH/aPXgz9NzzPrzvV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JgFsvY&#10;AAAACgEAAA8AAAAAAAAAAQAgAAAAIgAAAGRycy9kb3ducmV2LnhtbFBLAQIUABQAAAAIAIdO4kC2&#10;oVd/IAIAACYEAAAOAAAAAAAAAAEAIAAAACcBAABkcnMvZTJvRG9jLnhtbFBLBQYAAAAABgAGAFkB&#10;AAC5BQAAAAA=&#10;">
                <v:fill on="f" focussize="0,0"/>
                <v:stroke on="f"/>
                <v:imagedata o:title=""/>
                <o:lock v:ext="edit" aspectratio="f"/>
                <v:textbox>
                  <w:txbxContent>
                    <w:p w14:paraId="46E0959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缺陷责任期</w:t>
                      </w:r>
                    </w:p>
                    <w:p w14:paraId="62E49B17">
                      <w:pPr>
                        <w:spacing w:line="240" w:lineRule="exact"/>
                        <w:rPr>
                          <w:rFonts w:ascii="宋体"/>
                          <w:sz w:val="18"/>
                          <w:szCs w:val="18"/>
                        </w:rPr>
                      </w:pPr>
                      <w:r>
                        <w:rPr>
                          <w:rFonts w:hint="eastAsia" w:ascii="楷体_GB2312" w:hAnsi="宋体" w:eastAsia="楷体_GB2312" w:cs="楷体_GB2312"/>
                          <w:b/>
                          <w:bCs/>
                          <w:color w:val="000000"/>
                          <w:sz w:val="18"/>
                          <w:szCs w:val="18"/>
                        </w:rPr>
                        <w:t>计算</w:t>
                      </w:r>
                    </w:p>
                  </w:txbxContent>
                </v:textbox>
              </v:shape>
            </w:pict>
          </mc:Fallback>
        </mc:AlternateContent>
      </w: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.1</w:t>
      </w:r>
    </w:p>
    <w:p w14:paraId="44A10440">
      <w:pPr>
        <w:pStyle w:val="62"/>
        <w:adjustRightInd w:val="0"/>
        <w:snapToGrid w:val="0"/>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合同双方当事人应在专用条款中约定缺陷责任期。</w:t>
      </w:r>
    </w:p>
    <w:p w14:paraId="5B9A671C">
      <w:pPr>
        <w:pStyle w:val="62"/>
        <w:adjustRightInd w:val="0"/>
        <w:snapToGrid w:val="0"/>
        <w:ind w:left="1850" w:leftChars="771"/>
        <w:jc w:val="both"/>
        <w:rPr>
          <w:rFonts w:hint="eastAsia" w:ascii="仿宋" w:hAnsi="仿宋" w:eastAsia="仿宋"/>
          <w:b/>
          <w:bCs/>
          <w:color w:val="auto"/>
          <w:highlight w:val="none"/>
          <w:lang w:eastAsia="zh-CN"/>
        </w:rPr>
      </w:pPr>
      <w:r>
        <w:rPr>
          <w:rFonts w:hint="eastAsia" w:ascii="仿宋" w:hAnsi="仿宋" w:eastAsia="仿宋" w:cs="仿宋"/>
          <w:color w:val="auto"/>
          <w:highlight w:val="none"/>
          <w:lang w:eastAsia="zh-CN"/>
        </w:rPr>
        <w:t>缺陷责任期自实际通过竣工验收之日起计算。在全部工程竣工验收前，已经发包人提前验收的单项工程，其缺陷责任期的起算日期相应提前。</w:t>
      </w:r>
    </w:p>
    <w:p w14:paraId="592AD790">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48384" behindDoc="0" locked="0" layoutInCell="1" allowOverlap="1">
                <wp:simplePos x="0" y="0"/>
                <wp:positionH relativeFrom="column">
                  <wp:posOffset>-114300</wp:posOffset>
                </wp:positionH>
                <wp:positionV relativeFrom="paragraph">
                  <wp:posOffset>287020</wp:posOffset>
                </wp:positionV>
                <wp:extent cx="838200" cy="451485"/>
                <wp:effectExtent l="0" t="0" r="0" b="0"/>
                <wp:wrapNone/>
                <wp:docPr id="753" name="文本框 946"/>
                <wp:cNvGraphicFramePr/>
                <a:graphic xmlns:a="http://schemas.openxmlformats.org/drawingml/2006/main">
                  <a:graphicData uri="http://schemas.microsoft.com/office/word/2010/wordprocessingShape">
                    <wps:wsp>
                      <wps:cNvSpPr txBox="1">
                        <a:spLocks noChangeArrowheads="1"/>
                      </wps:cNvSpPr>
                      <wps:spPr bwMode="auto">
                        <a:xfrm>
                          <a:off x="0" y="0"/>
                          <a:ext cx="838200" cy="451485"/>
                        </a:xfrm>
                        <a:prstGeom prst="rect">
                          <a:avLst/>
                        </a:prstGeom>
                        <a:noFill/>
                        <a:ln>
                          <a:noFill/>
                        </a:ln>
                        <a:effectLst/>
                      </wps:spPr>
                      <wps:txbx>
                        <w:txbxContent>
                          <w:p w14:paraId="4B5949C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缺陷责任期</w:t>
                            </w:r>
                          </w:p>
                          <w:p w14:paraId="65264F7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延长</w:t>
                            </w:r>
                          </w:p>
                        </w:txbxContent>
                      </wps:txbx>
                      <wps:bodyPr rot="0" vert="horz" wrap="square" lIns="91440" tIns="45720" rIns="91440" bIns="45720" anchor="t" anchorCtr="0" upright="1">
                        <a:noAutofit/>
                      </wps:bodyPr>
                    </wps:wsp>
                  </a:graphicData>
                </a:graphic>
              </wp:anchor>
            </w:drawing>
          </mc:Choice>
          <mc:Fallback>
            <w:pict>
              <v:shape id="文本框 946" o:spid="_x0000_s1026" o:spt="202" type="#_x0000_t202" style="position:absolute;left:0pt;margin-left:-9pt;margin-top:22.6pt;height:35.55pt;width:66pt;z-index:252048384;mso-width-relative:page;mso-height-relative:page;" filled="f" stroked="f" coordsize="21600,21600" o:gfxdata="UEsDBAoAAAAAAIdO4kAAAAAAAAAAAAAAAAAEAAAAZHJzL1BLAwQUAAAACACHTuJAOKQQ0NcAAAAK&#10;AQAADwAAAGRycy9kb3ducmV2LnhtbE2PzU7DMBCE70i8g7VIvbV22rQqIZseQFxB9AeJmxtvk4h4&#10;HcVuE94e5wS33Z3R7Df5brStuFHvG8cIyUKBIC6dabhCOB5e51sQPmg2unVMCD/kYVfc3+U6M27g&#10;D7rtQyViCPtMI9QhdJmUvqzJar9wHXHULq63OsS1r6Tp9RDDbSuXSm2k1Q3HD7Xu6Lmm8nt/tQin&#10;t8vXZ6reqxe77gY3Ksn2USLOHhL1BCLQGP7MMOFHdCgi09ld2XjRIsyTbewSENL1EsRkSNJ4OE/D&#10;ZgWyyOX/CsUvUEsDBBQAAAAIAIdO4kBvHA0vHwIAACYEAAAOAAAAZHJzL2Uyb0RvYy54bWytU0tu&#10;2zAQ3RfoHQjua9mOnDiC5SCNkaJA+gHSHoCmKIuoxGGHtCX3AO0Nuuqm+57L5+iQUlw33WTRDUFy&#10;hm/mvXlcXHVNzXYKnQaT88lozJkyEgptNjn/+OH2xZwz54UpRA1G5XyvHL9aPn+2aG2mplBBXShk&#10;BGJc1tqcV97bLEmcrFQj3AisMhQsARvh6YibpEDREnpTJ9Px+DxpAQuLIJVzdLvqg3xAxKcAQllq&#10;qVYgt40yvkdFVQtPlFylrePL2G1ZKunflaVTntU5J6Y+rlSE9uuwJsuFyDYobKXl0IJ4SguPODVC&#10;Gyp6hFoJL9gW9T9QjZYIDko/ktAkPZGoCLGYjB9pc18JqyIXktrZo+ju/8HKt7v3yHSR84vZGWdG&#10;NDTyw/dvhx+/Dj+/ssv0PEjUWpdR5r2lXN+9hI6ME+k6ewfyk2MGbiphNuoaEdpKiYJanISXycnT&#10;HscFkHX7BgqqJLYeIlBXYhP0I0UYodN49sfxqM4zSZfzszkZiDNJoXQ2SeezWEFkD48tOv9KQcPC&#10;JudI04/gYnfnfGhGZA8poZaBW13X0QG1+euCEvsbFS00vA5UQvc9D9+tu0GaNRR7IoXQ24s+F20q&#10;wC+ctWStnLvPW4GKs/q1IWEuJ2kavBgP6exiSgc8jaxPI8JIgsq556zf3vjev1uLelNRpX4UBq5J&#10;zFJHoqHVvqthBGSfyH+wevDn6Tlm/fney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4pBDQ1wAA&#10;AAoBAAAPAAAAAAAAAAEAIAAAACIAAABkcnMvZG93bnJldi54bWxQSwECFAAUAAAACACHTuJAbxwN&#10;Lx8CAAAmBAAADgAAAAAAAAABACAAAAAmAQAAZHJzL2Uyb0RvYy54bWxQSwUGAAAAAAYABgBZAQAA&#10;twUAAAAA&#10;">
                <v:fill on="f" focussize="0,0"/>
                <v:stroke on="f"/>
                <v:imagedata o:title=""/>
                <o:lock v:ext="edit" aspectratio="f"/>
                <v:textbox>
                  <w:txbxContent>
                    <w:p w14:paraId="4B5949C2">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缺陷责任期</w:t>
                      </w:r>
                    </w:p>
                    <w:p w14:paraId="65264F71">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延长</w:t>
                      </w:r>
                    </w:p>
                  </w:txbxContent>
                </v:textbox>
              </v:shape>
            </w:pict>
          </mc:Fallback>
        </mc:AlternateContent>
      </w: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.2</w:t>
      </w:r>
    </w:p>
    <w:p w14:paraId="365816E4">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由于承包人原因造成某项缺陷或损坏使某项工程或工程设备不能按照原定目标使用而需要再次检查、检验和修复的，发包人有权要求承包人相应延长缺陷责任期，但缺陷责任期最长不超过</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年。</w:t>
      </w:r>
    </w:p>
    <w:p w14:paraId="6CB62869">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49408" behindDoc="0" locked="0" layoutInCell="1" allowOverlap="1">
                <wp:simplePos x="0" y="0"/>
                <wp:positionH relativeFrom="column">
                  <wp:posOffset>-114300</wp:posOffset>
                </wp:positionH>
                <wp:positionV relativeFrom="paragraph">
                  <wp:posOffset>287020</wp:posOffset>
                </wp:positionV>
                <wp:extent cx="742950" cy="441325"/>
                <wp:effectExtent l="0" t="0" r="0" b="0"/>
                <wp:wrapNone/>
                <wp:docPr id="754" name="文本框 947"/>
                <wp:cNvGraphicFramePr/>
                <a:graphic xmlns:a="http://schemas.openxmlformats.org/drawingml/2006/main">
                  <a:graphicData uri="http://schemas.microsoft.com/office/word/2010/wordprocessingShape">
                    <wps:wsp>
                      <wps:cNvSpPr txBox="1">
                        <a:spLocks noChangeArrowheads="1"/>
                      </wps:cNvSpPr>
                      <wps:spPr bwMode="auto">
                        <a:xfrm>
                          <a:off x="0" y="0"/>
                          <a:ext cx="742950" cy="441325"/>
                        </a:xfrm>
                        <a:prstGeom prst="rect">
                          <a:avLst/>
                        </a:prstGeom>
                        <a:noFill/>
                        <a:ln>
                          <a:noFill/>
                        </a:ln>
                        <a:effectLst/>
                      </wps:spPr>
                      <wps:txbx>
                        <w:txbxContent>
                          <w:p w14:paraId="7DC2BCF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w:t>
                            </w:r>
                          </w:p>
                        </w:txbxContent>
                      </wps:txbx>
                      <wps:bodyPr rot="0" vert="horz" wrap="square" lIns="91440" tIns="45720" rIns="91440" bIns="45720" anchor="t" anchorCtr="0" upright="1">
                        <a:noAutofit/>
                      </wps:bodyPr>
                    </wps:wsp>
                  </a:graphicData>
                </a:graphic>
              </wp:anchor>
            </w:drawing>
          </mc:Choice>
          <mc:Fallback>
            <w:pict>
              <v:shape id="文本框 947" o:spid="_x0000_s1026" o:spt="202" type="#_x0000_t202" style="position:absolute;left:0pt;margin-left:-9pt;margin-top:22.6pt;height:34.75pt;width:58.5pt;z-index:252049408;mso-width-relative:page;mso-height-relative:page;" filled="f" stroked="f" coordsize="21600,21600" o:gfxdata="UEsDBAoAAAAAAIdO4kAAAAAAAAAAAAAAAAAEAAAAZHJzL1BLAwQUAAAACACHTuJAWMem/tYAAAAJ&#10;AQAADwAAAGRycy9kb3ducmV2LnhtbE2PwU7DMBBE70j9B2srcWvtVClt0jg9gLiCKBSJmxtvk6jx&#10;OordJvw9ywmOo32afVPsJ9eJGw6h9aQhWSoQSJW3LdUaPt6fF1sQIRqypvOEGr4xwL6c3RUmt36k&#10;N7wdYi24hEJuNDQx9rmUoWrQmbD0PRLfzn5wJnIcamkHM3K56+RKqQfpTEv8oTE9PjZYXQ5Xp+H4&#10;cv76TNVr/eTW/egnJcllUuv7eaJ2ICJO8Q+GX31Wh5KdTv5KNohOwyLZ8paoIV2vQDCQZZxPDCbp&#10;BmRZyP8Lyh9QSwMEFAAAAAgAh07iQB5W1I8eAgAAJgQAAA4AAABkcnMvZTJvRG9jLnhtbK1TzY7T&#10;MBC+I/EOlu80bUkpjZqulq0WIS0/0sIDuI7TWCQeM3ablAdg34ATF+48V5+DsZMtZbnsgYtle8bf&#10;zPfN5+VF19Rsr9BpMDmfjMacKSOh0Gab808fr5+95Mx5YQpRg1E5PyjHL1ZPnyxbm6kpVFAXChmB&#10;GJe1NueV9zZLEicr1Qg3AqsMBUvARng64jYpULSE3tTJdDx+kbSAhUWQyjm6XfdBPiDiYwChLLVU&#10;a5C7Rhnfo6KqhSdKrtLW8VXstiyV9O/L0inP6pwTUx9XKkL7TViT1VJkWxS20nJoQTymhQecGqEN&#10;FT1BrYUXbIf6H6hGSwQHpR9JaJKeSFSEWEzGD7S5rYRVkQtJ7exJdPf/YOW7/Qdkusj5fJZyZkRD&#10;Iz9+vzv++HX8+Y0t0nmQqLUuo8xbS7m+ewUdGSfSdfYG5GfHDFxVwmzVJSK0lRIFtTgJL5Ozpz2O&#10;CyCb9i0UVEnsPESgrsQm6EeKMEKn8RxO41GdZ5Iu5+l0MaOIpFCaTp5PZ7GCyO4fW3T+tYKGhU3O&#10;kaYfwcX+xvnQjMjuU0ItA9e6rqMDavPXBSX2NypaaHgdqITuex6+23SDNBsoDkQKobcXfS7aVIBf&#10;OWvJWjl3X3YCFWf1G0PCLCZpGrwYD+lsPqUDnkc25xFhJEHl3HPWb69879+dRb2tqFI/CgOXJGap&#10;I9HQat/VMAKyT+Q/WD348/wcs/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Mem/tYAAAAJ&#10;AQAADwAAAAAAAAABACAAAAAiAAAAZHJzL2Rvd25yZXYueG1sUEsBAhQAFAAAAAgAh07iQB5W1I8e&#10;AgAAJgQAAA4AAAAAAAAAAQAgAAAAJQEAAGRycy9lMm9Eb2MueG1sUEsFBgAAAAAGAAYAWQEAALUF&#10;AAAAAA==&#10;">
                <v:fill on="f" focussize="0,0"/>
                <v:stroke on="f"/>
                <v:imagedata o:title=""/>
                <o:lock v:ext="edit" aspectratio="f"/>
                <v:textbox>
                  <w:txbxContent>
                    <w:p w14:paraId="7DC2BCFC">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缺陷责任</w:t>
                      </w:r>
                    </w:p>
                  </w:txbxContent>
                </v:textbox>
              </v:shape>
            </w:pict>
          </mc:Fallback>
        </mc:AlternateContent>
      </w: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.3</w:t>
      </w:r>
    </w:p>
    <w:p w14:paraId="20284F4A">
      <w:pPr>
        <w:pStyle w:val="62"/>
        <w:widowControl w:val="0"/>
        <w:adjustRightInd w:val="0"/>
        <w:snapToGrid w:val="0"/>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合同工程存在某项缺陷或损坏的，合同双方当事人应按照下列约定承担缺陷责任以及由此产生的费用。</w:t>
      </w:r>
    </w:p>
    <w:p w14:paraId="3CE936DD">
      <w:pPr>
        <w:pStyle w:val="62"/>
        <w:widowControl w:val="0"/>
        <w:adjustRightInd w:val="0"/>
        <w:snapToGrid w:val="0"/>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）承包人应在缺陷责任期内对已交付使用的工程承担缺陷责任。</w:t>
      </w:r>
    </w:p>
    <w:p w14:paraId="42FFC890">
      <w:pPr>
        <w:pStyle w:val="62"/>
        <w:widowControl w:val="0"/>
        <w:adjustRightInd w:val="0"/>
        <w:snapToGrid w:val="0"/>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）缺陷责任期内，发包人对已接收使用的工程负责日常维护工作。发包人在使用过程中，发现已接收的工程存在新的缺陷或已修复的缺陷部位或部件又遭损坏的，应及时通知承包人修复，承包人应在收到通知后的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天内派人修复，直至检验合格为止。承包人未能在约定时间内修复的，发包人可自行或委托第三方修复，所需费用和利润按照本款第（</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）点约定办理。</w:t>
      </w:r>
    </w:p>
    <w:p w14:paraId="2117FCC6">
      <w:pPr>
        <w:pStyle w:val="62"/>
        <w:widowControl w:val="0"/>
        <w:adjustRightInd w:val="0"/>
        <w:snapToGrid w:val="0"/>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监理人应会同承包人共同查清缺陷和（或）损坏的原因，并由造价咨询人提出或核实由此发生的费用。经查明，因承包人原因造成的，由承包人承担修复和查验的费用；因发包人的原因造成的，发包人承担修复和查验的费用，并向承包人支付合理利润。</w:t>
      </w:r>
    </w:p>
    <w:p w14:paraId="38CE7DB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.4</w:t>
      </w:r>
    </w:p>
    <w:p w14:paraId="7B50BE37">
      <w:pPr>
        <w:pStyle w:val="62"/>
        <w:widowControl w:val="0"/>
        <w:adjustRightInd w:val="0"/>
        <w:snapToGrid w:val="0"/>
        <w:ind w:left="1850" w:leftChars="771"/>
        <w:jc w:val="both"/>
        <w:rPr>
          <w:rFonts w:hint="eastAsia" w:ascii="仿宋" w:hAnsi="仿宋" w:eastAsia="仿宋" w:cs="仿宋"/>
          <w:color w:val="auto"/>
          <w:highlight w:val="none"/>
          <w:lang w:eastAsia="zh-CN"/>
        </w:rPr>
      </w:pPr>
      <w:r>
        <w:rPr>
          <w:color w:val="auto"/>
          <w:highlight w:val="none"/>
          <w:lang w:eastAsia="zh-CN"/>
        </w:rPr>
        <mc:AlternateContent>
          <mc:Choice Requires="wps">
            <w:drawing>
              <wp:anchor distT="0" distB="0" distL="114300" distR="114300" simplePos="0" relativeHeight="252050432" behindDoc="0" locked="0" layoutInCell="1" allowOverlap="1">
                <wp:simplePos x="0" y="0"/>
                <wp:positionH relativeFrom="column">
                  <wp:posOffset>-104775</wp:posOffset>
                </wp:positionH>
                <wp:positionV relativeFrom="paragraph">
                  <wp:posOffset>9525</wp:posOffset>
                </wp:positionV>
                <wp:extent cx="836295" cy="517525"/>
                <wp:effectExtent l="0" t="0" r="0" b="0"/>
                <wp:wrapNone/>
                <wp:docPr id="755" name="文本框 948"/>
                <wp:cNvGraphicFramePr/>
                <a:graphic xmlns:a="http://schemas.openxmlformats.org/drawingml/2006/main">
                  <a:graphicData uri="http://schemas.microsoft.com/office/word/2010/wordprocessingShape">
                    <wps:wsp>
                      <wps:cNvSpPr txBox="1">
                        <a:spLocks noChangeArrowheads="1"/>
                      </wps:cNvSpPr>
                      <wps:spPr bwMode="auto">
                        <a:xfrm>
                          <a:off x="0" y="0"/>
                          <a:ext cx="836295" cy="517525"/>
                        </a:xfrm>
                        <a:prstGeom prst="rect">
                          <a:avLst/>
                        </a:prstGeom>
                        <a:noFill/>
                        <a:ln>
                          <a:noFill/>
                        </a:ln>
                        <a:effectLst/>
                      </wps:spPr>
                      <wps:txbx>
                        <w:txbxContent>
                          <w:p w14:paraId="0241FEEE">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重新检（试）验</w:t>
                            </w:r>
                          </w:p>
                        </w:txbxContent>
                      </wps:txbx>
                      <wps:bodyPr rot="0" vert="horz" wrap="square" lIns="91440" tIns="45720" rIns="91440" bIns="45720" anchor="t" anchorCtr="0" upright="1">
                        <a:noAutofit/>
                      </wps:bodyPr>
                    </wps:wsp>
                  </a:graphicData>
                </a:graphic>
              </wp:anchor>
            </w:drawing>
          </mc:Choice>
          <mc:Fallback>
            <w:pict>
              <v:shape id="文本框 948" o:spid="_x0000_s1026" o:spt="202" type="#_x0000_t202" style="position:absolute;left:0pt;margin-left:-8.25pt;margin-top:0.75pt;height:40.75pt;width:65.85pt;z-index:252050432;mso-width-relative:page;mso-height-relative:page;" filled="f" stroked="f" coordsize="21600,21600" o:gfxdata="UEsDBAoAAAAAAIdO4kAAAAAAAAAAAAAAAAAEAAAAZHJzL1BLAwQUAAAACACHTuJAE+J6StUAAAAI&#10;AQAADwAAAGRycy9kb3ducmV2LnhtbE2PTU/DMAyG70j8h8hI3Lakg06jNN0BxBXE+JC4eY3XVjRO&#10;1WRr+fd4JzhZ1vPq9eNyO/tenWiMXWAL2dKAIq6D67ix8P72tNiAignZYR+YLPxQhG11eVFi4cLE&#10;r3TapUZJCccCLbQpDYXWsW7JY1yGgVjYIYwek6xjo92Ik5T7Xq+MWWuPHcuFFgd6aKn+3h29hY/n&#10;w9fnrXlpHn0+TGE2mv2dtvb6KjP3oBLN6S8MZ31Rh0qc9uHILqrewiJb5xIVIOPMs3wFam9hc2NA&#10;V6X+/0D1C1BLAwQUAAAACACHTuJAuJL3IiACAAAmBAAADgAAAGRycy9lMm9Eb2MueG1srVPNjtMw&#10;EL4j8Q6W7zRtabdt1HS1bLUIafmRFh7AdZzGIvGYsdukPAD7Bpy4cOe5+hyMnWwpy2UPXCzbM/5m&#10;vm8+Ly/bumJ7hU6DyfhoMORMGQm5NtuMf/p482LOmfPC5KICozJ+UI5frp4/WzY2VWMoocoVMgIx&#10;Lm1sxkvvbZokTpaqFm4AVhkKFoC18HTEbZKjaAi9rpLxcHiRNIC5RZDKObpdd0HeI+JTAKEotFRr&#10;kLtaGd+hoqqEJ0qu1NbxVey2KJT074vCKc+qjBNTH1cqQvtNWJPVUqRbFLbUsm9BPKWFR5xqoQ0V&#10;PUGthRdsh/ofqFpLBAeFH0iok45IVIRYjIaPtLkrhVWRC0nt7El09/9g5bv9B2Q6z/hsOuXMiJpG&#10;fvx+f/zx6/jzG1tM5kGixrqUMu8s5fr2FbRknEjX2VuQnx0zcF0Ks1VXiNCUSuTU4ii8TM6edjgu&#10;gGyat5BTJbHzEIHaAuugHynCCJ3GcziNR7WeSbqcv7wYL6hJSaHpaDYdT2MFkT48tuj8awU1C5uM&#10;I00/gov9rfOhGZE+pIRaBm50VUUHVOavC0rsblS0UP86UAnddzx8u2l7aTaQH4gUQmcv+ly0KQG/&#10;ctaQtTLuvuwEKs6qN4aEWYwmk+DFeJhMZ2M64Hlkcx4RRhJUxj1n3fbad/7dWdTbkip1ozBwRWIW&#10;OhINrXZd9SMg+0T+vdWDP8/PMevP9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PiekrVAAAA&#10;CAEAAA8AAAAAAAAAAQAgAAAAIgAAAGRycy9kb3ducmV2LnhtbFBLAQIUABQAAAAIAIdO4kC4kvci&#10;IAIAACYEAAAOAAAAAAAAAAEAIAAAACQBAABkcnMvZTJvRG9jLnhtbFBLBQYAAAAABgAGAFkBAAC2&#10;BQAAAAA=&#10;">
                <v:fill on="f" focussize="0,0"/>
                <v:stroke on="f"/>
                <v:imagedata o:title=""/>
                <o:lock v:ext="edit" aspectratio="f"/>
                <v:textbox>
                  <w:txbxContent>
                    <w:p w14:paraId="0241FEEE">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重新检（试）验</w:t>
                      </w:r>
                    </w:p>
                  </w:txbxContent>
                </v:textbox>
              </v:shape>
            </w:pict>
          </mc:Fallback>
        </mc:AlternateContent>
      </w:r>
      <w:r>
        <w:rPr>
          <w:rFonts w:hint="eastAsia" w:ascii="仿宋" w:hAnsi="仿宋" w:eastAsia="仿宋" w:cs="仿宋"/>
          <w:color w:val="auto"/>
          <w:highlight w:val="none"/>
          <w:lang w:eastAsia="zh-CN"/>
        </w:rPr>
        <w:t>任何一项缺陷或损坏修复后，经检查证明其影响了工程或工程设备的使用性能，承包人应按照第61条约定重新检（试）验，重新检（试）验的费用由责任方承担。</w:t>
      </w:r>
    </w:p>
    <w:p w14:paraId="175D90D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.5</w:t>
      </w:r>
    </w:p>
    <w:p w14:paraId="51DC9CDE">
      <w:pPr>
        <w:widowControl w:val="0"/>
        <w:spacing w:line="360" w:lineRule="auto"/>
        <w:ind w:left="1850" w:leftChars="771"/>
        <w:jc w:val="both"/>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51456" behindDoc="0" locked="0" layoutInCell="1" allowOverlap="1">
                <wp:simplePos x="0" y="0"/>
                <wp:positionH relativeFrom="column">
                  <wp:posOffset>-114300</wp:posOffset>
                </wp:positionH>
                <wp:positionV relativeFrom="paragraph">
                  <wp:posOffset>40640</wp:posOffset>
                </wp:positionV>
                <wp:extent cx="838200" cy="419735"/>
                <wp:effectExtent l="0" t="0" r="0" b="0"/>
                <wp:wrapNone/>
                <wp:docPr id="756" name="文本框 949"/>
                <wp:cNvGraphicFramePr/>
                <a:graphic xmlns:a="http://schemas.openxmlformats.org/drawingml/2006/main">
                  <a:graphicData uri="http://schemas.microsoft.com/office/word/2010/wordprocessingShape">
                    <wps:wsp>
                      <wps:cNvSpPr txBox="1">
                        <a:spLocks noChangeArrowheads="1"/>
                      </wps:cNvSpPr>
                      <wps:spPr bwMode="auto">
                        <a:xfrm>
                          <a:off x="0" y="0"/>
                          <a:ext cx="838200" cy="419735"/>
                        </a:xfrm>
                        <a:prstGeom prst="rect">
                          <a:avLst/>
                        </a:prstGeom>
                        <a:noFill/>
                        <a:ln>
                          <a:noFill/>
                        </a:ln>
                        <a:effectLst/>
                      </wps:spPr>
                      <wps:txbx>
                        <w:txbxContent>
                          <w:p w14:paraId="30FB0A3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承包人的进入权</w:t>
                            </w:r>
                          </w:p>
                        </w:txbxContent>
                      </wps:txbx>
                      <wps:bodyPr rot="0" vert="horz" wrap="square" lIns="91440" tIns="45720" rIns="91440" bIns="45720" anchor="t" anchorCtr="0" upright="1">
                        <a:noAutofit/>
                      </wps:bodyPr>
                    </wps:wsp>
                  </a:graphicData>
                </a:graphic>
              </wp:anchor>
            </w:drawing>
          </mc:Choice>
          <mc:Fallback>
            <w:pict>
              <v:shape id="文本框 949" o:spid="_x0000_s1026" o:spt="202" type="#_x0000_t202" style="position:absolute;left:0pt;margin-left:-9pt;margin-top:3.2pt;height:33.05pt;width:66pt;z-index:252051456;mso-width-relative:page;mso-height-relative:page;" filled="f" stroked="f" coordsize="21600,21600" o:gfxdata="UEsDBAoAAAAAAIdO4kAAAAAAAAAAAAAAAAAEAAAAZHJzL1BLAwQUAAAACACHTuJAX9KA1tUAAAAI&#10;AQAADwAAAGRycy9kb3ducmV2LnhtbE2PzU7DMBCE70i8g7VI3Fo7VfoXsumhFVcQbUHqzY23SUS8&#10;jmK3CW+Pe4LjaEYz3+Sb0bbiRr1vHCMkUwWCuHSm4QrheHidrED4oNno1jEh/JCHTfH4kOvMuIE/&#10;6LYPlYgl7DONUIfQZVL6siar/dR1xNG7uN7qEGVfSdPrIZbbVs6UWkirG44Lte5oW1P5vb9ahM+3&#10;y+krVe/Vzs67wY1Ksl1LxOenRL2ACDSGvzDc8SM6FJHp7K5svGgRJskqfgkIixTE3U/SqM8Iy9kc&#10;ZJHL/weKX1BLAwQUAAAACACHTuJA9SZMzSACAAAmBAAADgAAAGRycy9lMm9Eb2MueG1srVPNjtMw&#10;EL4j8Q6W7zRtt922UdPVstUipOVHWngA13Eai8Rjxm6T8gDwBpy4cOe5+hyMnWwpy2UPXCzbM/5m&#10;vm8+L6/aumJ7hU6DyfhoMORMGQm5NtuMf/xw+2LOmfPC5KICozJ+UI5frZ4/WzY2VWMoocoVMgIx&#10;Lm1sxkvvbZokTpaqFm4AVhkKFoC18HTEbZKjaAi9rpLxcHiZNIC5RZDKObpdd0HeI+JTAKEotFRr&#10;kLtaGd+hoqqEJ0qu1NbxVey2KJT074rCKc+qjBNTH1cqQvtNWJPVUqRbFLbUsm9BPKWFR5xqoQ0V&#10;PUGthRdsh/ofqFpLBAeFH0iok45IVIRYjIaPtLkvhVWRC0nt7El09/9g5dv9e2Q6z/hsesmZETWN&#10;/Pj92/HHr+PPr2wxWQSJGutSyry3lOvbl9CScSJdZ+9AfnLMwE0pzFZdI0JTKpFTi6PwMjl72uG4&#10;ALJp3kBOlcTOQwRqC6yDfqQII3Qaz+E0HtV6JulyfjEnA3EmKTQZLWYX01hBpA+PLTr/SkHNwibj&#10;SNOP4GJ/53xoRqQPKaGWgVtdVdEBlfnrghK7GxUt1L8OVEL3HQ/fbtpemg3kByKF0NmLPhdtSsAv&#10;nDVkrYy7zzuBirPqtSFhFqPJJHgxHibT2ZgOeB7ZnEeEkQSVcc9Zt73xnX93FvW2pErdKAxck5iF&#10;jkRDq11X/QjIPpF/b/Xgz/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SgNbVAAAA&#10;CAEAAA8AAAAAAAAAAQAgAAAAIgAAAGRycy9kb3ducmV2LnhtbFBLAQIUABQAAAAIAIdO4kD1JkzN&#10;IAIAACYEAAAOAAAAAAAAAAEAIAAAACQBAABkcnMvZTJvRG9jLnhtbFBLBQYAAAAABgAGAFkBAAC2&#10;BQAAAAA=&#10;">
                <v:fill on="f" focussize="0,0"/>
                <v:stroke on="f"/>
                <v:imagedata o:title=""/>
                <o:lock v:ext="edit" aspectratio="f"/>
                <v:textbox>
                  <w:txbxContent>
                    <w:p w14:paraId="30FB0A3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承包人的进入权</w:t>
                      </w:r>
                    </w:p>
                  </w:txbxContent>
                </v:textbox>
              </v:shape>
            </w:pict>
          </mc:Fallback>
        </mc:AlternateContent>
      </w:r>
      <w:r>
        <w:rPr>
          <w:rFonts w:hint="eastAsia" w:ascii="仿宋" w:hAnsi="仿宋" w:eastAsia="仿宋" w:cs="仿宋"/>
          <w:color w:val="auto"/>
          <w:highlight w:val="none"/>
          <w:lang w:eastAsia="zh-CN"/>
        </w:rPr>
        <w:t>缺陷责任期内承包人为缺陷修复工作需要，有权进入工程现场，但应遵守发包人的保安和保密等规定。</w:t>
      </w:r>
    </w:p>
    <w:p w14:paraId="6BF2412E">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52480" behindDoc="0" locked="0" layoutInCell="1" allowOverlap="1">
                <wp:simplePos x="0" y="0"/>
                <wp:positionH relativeFrom="column">
                  <wp:posOffset>-95250</wp:posOffset>
                </wp:positionH>
                <wp:positionV relativeFrom="paragraph">
                  <wp:posOffset>259080</wp:posOffset>
                </wp:positionV>
                <wp:extent cx="790575" cy="546100"/>
                <wp:effectExtent l="0" t="0" r="0" b="0"/>
                <wp:wrapNone/>
                <wp:docPr id="757" name="文本框 950"/>
                <wp:cNvGraphicFramePr/>
                <a:graphic xmlns:a="http://schemas.openxmlformats.org/drawingml/2006/main">
                  <a:graphicData uri="http://schemas.microsoft.com/office/word/2010/wordprocessingShape">
                    <wps:wsp>
                      <wps:cNvSpPr txBox="1">
                        <a:spLocks noChangeArrowheads="1"/>
                      </wps:cNvSpPr>
                      <wps:spPr bwMode="auto">
                        <a:xfrm>
                          <a:off x="0" y="0"/>
                          <a:ext cx="790575" cy="546100"/>
                        </a:xfrm>
                        <a:prstGeom prst="rect">
                          <a:avLst/>
                        </a:prstGeom>
                        <a:noFill/>
                        <a:ln>
                          <a:noFill/>
                        </a:ln>
                        <a:effectLst/>
                      </wps:spPr>
                      <wps:txbx>
                        <w:txbxContent>
                          <w:p w14:paraId="1ECC1F0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颁发缺陷责任期终止证书</w:t>
                            </w:r>
                          </w:p>
                        </w:txbxContent>
                      </wps:txbx>
                      <wps:bodyPr rot="0" vert="horz" wrap="square" lIns="91440" tIns="45720" rIns="91440" bIns="45720" anchor="t" anchorCtr="0" upright="1">
                        <a:noAutofit/>
                      </wps:bodyPr>
                    </wps:wsp>
                  </a:graphicData>
                </a:graphic>
              </wp:anchor>
            </w:drawing>
          </mc:Choice>
          <mc:Fallback>
            <w:pict>
              <v:shape id="文本框 950" o:spid="_x0000_s1026" o:spt="202" type="#_x0000_t202" style="position:absolute;left:0pt;margin-left:-7.5pt;margin-top:20.4pt;height:43pt;width:62.25pt;z-index:252052480;mso-width-relative:page;mso-height-relative:page;" filled="f" stroked="f" coordsize="21600,21600" o:gfxdata="UEsDBAoAAAAAAIdO4kAAAAAAAAAAAAAAAAAEAAAAZHJzL1BLAwQUAAAACACHTuJA7Y9xY9cAAAAK&#10;AQAADwAAAGRycy9kb3ducmV2LnhtbE2PwW7CMAyG75N4h8hIu0FSRBF0TTkw7bppDJB2C41pKxqn&#10;agLt3n7mtN1s+dfv78u3o2vFHfvQeNKQzBUIpNLbhioNh6+32RpEiIasaT2hhh8MsC0mT7nJrB/o&#10;E+/7WAkuoZAZDXWMXSZlKGt0Jsx9h8S3i++dibz2lbS9GbjctXKh1Eo60xB/qE2HuxrL6/7mNBzf&#10;L9+npfqoXl3aDX5UktxGav08TdQLiIhj/AvDA5/RoWCms7+RDaLVMEtSdokalooVHgG1SUGceVis&#10;1iCLXP5XKH4BUEsDBBQAAAAIAIdO4kCwyJ5QHgIAACYEAAAOAAAAZHJzL2Uyb0RvYy54bWytU82O&#10;0zAQviPxDpbvNGnVbGnUdLVstQhp+ZEWHsB1nMYi9pix22R5AHgDTly481x9DiZO2y3LZQ9cIntm&#10;/M1833xZXHamYTuFXoMt+HiUcqashFLbTcE/fbx58ZIzH4QtRQNWFfxeeX65fP5s0bpcTaCGplTI&#10;CMT6vHUFr0NweZJ4WSsj/AicspSsAI0IdMVNUqJoCd00ySRNL5IWsHQIUnlP0dWQ5AdEfAogVJWW&#10;agVya5QNAyqqRgSi5GvtPF/GaatKyfC+qrwKrCk4MQ3xS03ovO6/yXIh8g0KV2t5GEE8ZYRHnIzQ&#10;lpqeoFYiCLZF/Q+U0RLBQxVGEkwyEImKEItx+kibu1o4FbmQ1N6dRPf/D1a+231ApsuCz7IZZ1YY&#10;Wvn+x/f9z9/7X9/YPIsStc7nVHnnqDZ0r6Aj40S63t2C/OyZheta2I26QoS2VqKkEce9uMnZ034p&#10;Pvc9yLp9CyV1EtsAEair0PT6kSKM0Gk996f1qC4wScHZPM1mGWeSUtn0YpzG2RKRHx879OG1AsP6&#10;Q8GRth/Bxe7Wh34YkR9L+l4WbnTTRAc09q8AFQ4RFS10eH2cfuARunVHb/vgGsp7IoUw2It+LjrU&#10;gF85a8laBfdftgIVZ80bS8LMx9Np78V4mWazCV3wPLM+zwgrCarggbPheB0G/24d6k1NnYZVWLgi&#10;MSsdiT5MdVgB2SfyP1i99+f5PVY9/N7L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2PcWPXAAAA&#10;CgEAAA8AAAAAAAAAAQAgAAAAIgAAAGRycy9kb3ducmV2LnhtbFBLAQIUABQAAAAIAIdO4kCwyJ5Q&#10;HgIAACYEAAAOAAAAAAAAAAEAIAAAACYBAABkcnMvZTJvRG9jLnhtbFBLBQYAAAAABgAGAFkBAAC2&#10;BQAAAAA=&#10;">
                <v:fill on="f" focussize="0,0"/>
                <v:stroke on="f"/>
                <v:imagedata o:title=""/>
                <o:lock v:ext="edit" aspectratio="f"/>
                <v:textbox>
                  <w:txbxContent>
                    <w:p w14:paraId="1ECC1F09">
                      <w:pPr>
                        <w:spacing w:line="24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颁发缺陷责任期终止证书</w:t>
                      </w:r>
                    </w:p>
                  </w:txbxContent>
                </v:textbox>
              </v:shape>
            </w:pict>
          </mc:Fallback>
        </mc:AlternateContent>
      </w: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.6</w:t>
      </w:r>
    </w:p>
    <w:p w14:paraId="20E3ABD2">
      <w:pPr>
        <w:widowControl w:val="0"/>
        <w:spacing w:line="360" w:lineRule="auto"/>
        <w:ind w:left="1850" w:leftChars="771"/>
        <w:jc w:val="both"/>
        <w:rPr>
          <w:rFonts w:hint="eastAsia" w:ascii="仿宋" w:hAnsi="仿宋" w:eastAsia="仿宋"/>
          <w:b/>
          <w:bCs/>
          <w:color w:val="auto"/>
          <w:highlight w:val="none"/>
          <w:lang w:eastAsia="zh-CN"/>
        </w:rPr>
      </w:pPr>
      <w:r>
        <w:rPr>
          <w:rFonts w:hint="eastAsia" w:ascii="仿宋" w:hAnsi="仿宋" w:eastAsia="仿宋" w:cs="仿宋"/>
          <w:color w:val="auto"/>
          <w:highlight w:val="none"/>
          <w:lang w:eastAsia="zh-CN"/>
        </w:rPr>
        <w:t>在专用条款约定的缺陷责任期（包括第66</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款延长的期限）终止后的</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天内，发包人应向承包人颁发缺陷责任期终止证书，并返还相应的质量保证金。</w:t>
      </w:r>
    </w:p>
    <w:p w14:paraId="2E190304">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53504" behindDoc="0" locked="0" layoutInCell="1" allowOverlap="1">
                <wp:simplePos x="0" y="0"/>
                <wp:positionH relativeFrom="column">
                  <wp:posOffset>-114300</wp:posOffset>
                </wp:positionH>
                <wp:positionV relativeFrom="paragraph">
                  <wp:posOffset>287020</wp:posOffset>
                </wp:positionV>
                <wp:extent cx="762000" cy="594360"/>
                <wp:effectExtent l="0" t="0" r="0" b="0"/>
                <wp:wrapNone/>
                <wp:docPr id="758" name="文本框 951"/>
                <wp:cNvGraphicFramePr/>
                <a:graphic xmlns:a="http://schemas.openxmlformats.org/drawingml/2006/main">
                  <a:graphicData uri="http://schemas.microsoft.com/office/word/2010/wordprocessingShape">
                    <wps:wsp>
                      <wps:cNvSpPr txBox="1">
                        <a:spLocks noChangeArrowheads="1"/>
                      </wps:cNvSpPr>
                      <wps:spPr bwMode="auto">
                        <a:xfrm>
                          <a:off x="0" y="0"/>
                          <a:ext cx="762000" cy="594360"/>
                        </a:xfrm>
                        <a:prstGeom prst="rect">
                          <a:avLst/>
                        </a:prstGeom>
                        <a:noFill/>
                        <a:ln>
                          <a:noFill/>
                        </a:ln>
                        <a:effectLst/>
                      </wps:spPr>
                      <wps:txbx>
                        <w:txbxContent>
                          <w:p w14:paraId="2A16510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签订工程质量保修书</w:t>
                            </w:r>
                          </w:p>
                        </w:txbxContent>
                      </wps:txbx>
                      <wps:bodyPr rot="0" vert="horz" wrap="square" lIns="91440" tIns="45720" rIns="91440" bIns="45720" anchor="t" anchorCtr="0" upright="1">
                        <a:noAutofit/>
                      </wps:bodyPr>
                    </wps:wsp>
                  </a:graphicData>
                </a:graphic>
              </wp:anchor>
            </w:drawing>
          </mc:Choice>
          <mc:Fallback>
            <w:pict>
              <v:shape id="文本框 951" o:spid="_x0000_s1026" o:spt="202" type="#_x0000_t202" style="position:absolute;left:0pt;margin-left:-9pt;margin-top:22.6pt;height:46.8pt;width:60pt;z-index:252053504;mso-width-relative:page;mso-height-relative:page;" filled="f" stroked="f" coordsize="21600,21600" o:gfxdata="UEsDBAoAAAAAAIdO4kAAAAAAAAAAAAAAAAAEAAAAZHJzL1BLAwQUAAAACACHTuJAn0baKtgAAAAK&#10;AQAADwAAAGRycy9kb3ducmV2LnhtbE2PzW7CMBCE75V4B2srcQM7AaoQ4nCg6rVV6Y/Um4mXJGq8&#10;jmJD0rfvcmpvuzuj2W+K/eQ6ccUhtJ40JEsFAqnytqVaw/vb0yIDEaIhazpPqOEHA+zL2V1hcutH&#10;esXrMdaCQyjkRkMTY59LGaoGnQlL3yOxdvaDM5HXoZZ2MCOHu06mSj1IZ1riD43p8dBg9X28OA0f&#10;z+evz7V6qR/dph/9pCS5rdR6fp+oHYiIU/wzww2f0aFkppO/kA2i07BIMu4SNaw3KYibQaV8OPGw&#10;yjKQZSH/Vyh/AVBLAwQUAAAACACHTuJANWnFIh4CAAAmBAAADgAAAGRycy9lMm9Eb2MueG1srVPN&#10;jtMwEL4j8Q6W7zRtabs0arpatlqEtPxICw/gOk5jEXvM2G1SHgDegBMX7jxXn4Ox0y1lueyBS+Tx&#10;jL+Z75svi8vONGyn0GuwBR8NhpwpK6HUdlPwjx9unr3gzAdhS9GAVQXfK88vl0+fLFqXqzHU0JQK&#10;GYFYn7eu4HUILs8yL2tlhB+AU5aSFaARgULcZCWKltBNk42Hw1nWApYOQSrv6XbVJ/kRER8DCFWl&#10;pVqB3BplQ4+KqhGBKPlaO8+XadqqUjK8qyqvAmsKTkxD+lITOq/jN1suRL5B4WotjyOIx4zwgJMR&#10;2lLTE9RKBMG2qP+BMloieKjCQILJeiJJEWIxGj7Q5q4WTiUuJLV3J9H9/4OVb3fvkemy4BdTWrwV&#10;hlZ++P7t8OPX4edXNp+OokSt8zlV3jmqDd1L6Mg4ia53tyA/eWbhuhZ2o64Qoa2VKGnE9DI7e9rj&#10;+Aiybt9ASZ3ENkAC6io0UT9ShBE6rWd/Wo/qApN0eTEj/1BGUmo6nzyfpfVlIr9/7NCHVwoMi4eC&#10;I20/gYvdrQ9Eg0rvS2IvCze6aZIDGvvXBRX2NypZ6Pg6UonT9zxCt+6O0qyh3BMphN5e9HPRoQb8&#10;wllL1iq4/7wVqDhrXlsSZj6aTKIXUzCZXowpwPPM+jwjrCSoggfO+uN16P27dag3NXXqV2HhisSs&#10;dCIaR+2nItYxIPsk/kerR3+ex6nqz++9/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fRtoq2AAA&#10;AAoBAAAPAAAAAAAAAAEAIAAAACIAAABkcnMvZG93bnJldi54bWxQSwECFAAUAAAACACHTuJANWnF&#10;Ih4CAAAmBAAADgAAAAAAAAABACAAAAAnAQAAZHJzL2Uyb0RvYy54bWxQSwUGAAAAAAYABgBZAQAA&#10;twUAAAAA&#10;">
                <v:fill on="f" focussize="0,0"/>
                <v:stroke on="f"/>
                <v:imagedata o:title=""/>
                <o:lock v:ext="edit" aspectratio="f"/>
                <v:textbox>
                  <w:txbxContent>
                    <w:p w14:paraId="2A16510B">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签订工程质量保修书</w:t>
                      </w:r>
                    </w:p>
                  </w:txbxContent>
                </v:textbox>
              </v:shape>
            </w:pict>
          </mc:Fallback>
        </mc:AlternateContent>
      </w: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.7</w:t>
      </w:r>
    </w:p>
    <w:p w14:paraId="0FD7C187">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合同双方当事人应根据法律的有关规定，在承包人向发包人提交竣工验收申请报告前，共同签署合同工程质量保修书，作为本合同的附件。工程质量保修书应具体明确质量保修范围、期限、责任和费用等事项。</w:t>
      </w:r>
    </w:p>
    <w:p w14:paraId="46B72E65">
      <w:pPr>
        <w:spacing w:line="360" w:lineRule="auto"/>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054528" behindDoc="0" locked="0" layoutInCell="1" allowOverlap="1">
                <wp:simplePos x="0" y="0"/>
                <wp:positionH relativeFrom="column">
                  <wp:posOffset>-114300</wp:posOffset>
                </wp:positionH>
                <wp:positionV relativeFrom="paragraph">
                  <wp:posOffset>287020</wp:posOffset>
                </wp:positionV>
                <wp:extent cx="781050" cy="641350"/>
                <wp:effectExtent l="0" t="0" r="0" b="0"/>
                <wp:wrapNone/>
                <wp:docPr id="759" name="文本框 952"/>
                <wp:cNvGraphicFramePr/>
                <a:graphic xmlns:a="http://schemas.openxmlformats.org/drawingml/2006/main">
                  <a:graphicData uri="http://schemas.microsoft.com/office/word/2010/wordprocessingShape">
                    <wps:wsp>
                      <wps:cNvSpPr txBox="1">
                        <a:spLocks noChangeArrowheads="1"/>
                      </wps:cNvSpPr>
                      <wps:spPr bwMode="auto">
                        <a:xfrm>
                          <a:off x="0" y="0"/>
                          <a:ext cx="781050" cy="641350"/>
                        </a:xfrm>
                        <a:prstGeom prst="rect">
                          <a:avLst/>
                        </a:prstGeom>
                        <a:noFill/>
                        <a:ln>
                          <a:noFill/>
                        </a:ln>
                        <a:effectLst/>
                      </wps:spPr>
                      <wps:txbx>
                        <w:txbxContent>
                          <w:p w14:paraId="0712349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质量保修期计算</w:t>
                            </w:r>
                          </w:p>
                        </w:txbxContent>
                      </wps:txbx>
                      <wps:bodyPr rot="0" vert="horz" wrap="square" lIns="91440" tIns="45720" rIns="91440" bIns="45720" anchor="t" anchorCtr="0" upright="1">
                        <a:noAutofit/>
                      </wps:bodyPr>
                    </wps:wsp>
                  </a:graphicData>
                </a:graphic>
              </wp:anchor>
            </w:drawing>
          </mc:Choice>
          <mc:Fallback>
            <w:pict>
              <v:shape id="文本框 952" o:spid="_x0000_s1026" o:spt="202" type="#_x0000_t202" style="position:absolute;left:0pt;margin-left:-9pt;margin-top:22.6pt;height:50.5pt;width:61.5pt;z-index:252054528;mso-width-relative:page;mso-height-relative:page;" filled="f" stroked="f" coordsize="21600,21600" o:gfxdata="UEsDBAoAAAAAAIdO4kAAAAAAAAAAAAAAAAAEAAAAZHJzL1BLAwQUAAAACACHTuJAaZm21dcAAAAK&#10;AQAADwAAAGRycy9kb3ducmV2LnhtbE2PzW6DMBCE75X6DtZWyi2xQRClFJNDq14TNf2RenPwBlDx&#10;GmEnkLfv5tTedndGs9+U29n14oJj6DxpSFYKBFLtbUeNho/31+UGRIiGrOk9oYYrBthW93elKayf&#10;6A0vh9gIDqFQGA1tjEMhZahbdCas/IDE2smPzkRex0ba0Uwc7nqZKrWWznTEH1oz4HOL9c/h7DR8&#10;7k7fX5naNy8uHyY/K0nuUWq9eEjUE4iIc/wzww2f0aFipqM/kw2i17BMNtwlasjyFMTNoHI+HHnI&#10;1inIqpT/K1S/UEsDBBQAAAAIAIdO4kCJhdaRHgIAACYEAAAOAAAAZHJzL2Uyb0RvYy54bWytU81u&#10;00AQviPxDqu9E8chaRorTlUaFSEVqFR4gM16Ha+wd5bZTezwAPAGnLhw73PlOZhdp2kolx64WLPz&#10;881834znF11Ts61Cp8HkPB0MOVNGQqHNOuefP12/OufMeWEKUYNROd8pxy8WL1/MW5upEVRQFwoZ&#10;gRiXtTbnlfc2SxInK9UINwCrDAVLwEZ4euI6KVC0hN7UyWg4PEtawMIiSOUceZd9kB8Q8TmAUJZa&#10;qiXITaOM71FR1cITJVdp6/giTluWSvqPZemUZ3XOiamPX2pC9ip8k8VcZGsUttLyMIJ4zghPODVC&#10;G2p6hFoKL9gG9T9QjZYIDko/kNAkPZGoCLFIh0+0uauEVZELSe3sUXT3/2Dlh+0tMl3kfDqZcWZE&#10;Qyvf//yx/3W///2dzSajIFFrXUaZd5ZyffcGOjqcSNfZG5BfHDNwVQmzVpeI0FZKFDRiGiqTk9Ie&#10;xwWQVfseCuokNh4iUFdiE/QjRRih03p2x/WozjNJzul5OpxQRFLobJy+Jjt0ENlDsUXn3ypoWDBy&#10;jrT9CC62N873qQ8poZeBa13X5BdZbf5yEGbvUfGEDtWBSpi+5+G7VUe1wbmCYkekEPrzop+LjArw&#10;G2ctnVbO3deNQMVZ/c6QMLN0PA63GB/jyXREDzyNrE4jwkiCyrnnrDevfH+/G4t6XVGnfhUGLknM&#10;Ukeij1MdVkDnE6U6nHq4z9N3zHr8vRd/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mZttXXAAAA&#10;CgEAAA8AAAAAAAAAAQAgAAAAIgAAAGRycy9kb3ducmV2LnhtbFBLAQIUABQAAAAIAIdO4kCJhdaR&#10;HgIAACYEAAAOAAAAAAAAAAEAIAAAACYBAABkcnMvZTJvRG9jLnhtbFBLBQYAAAAABgAGAFkBAAC2&#10;BQAAAAA=&#10;">
                <v:fill on="f" focussize="0,0"/>
                <v:stroke on="f"/>
                <v:imagedata o:title=""/>
                <o:lock v:ext="edit" aspectratio="f"/>
                <v:textbox>
                  <w:txbxContent>
                    <w:p w14:paraId="07123490">
                      <w:pPr>
                        <w:spacing w:line="24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质量保修期计算</w:t>
                      </w:r>
                    </w:p>
                  </w:txbxContent>
                </v:textbox>
              </v:shape>
            </w:pict>
          </mc:Fallback>
        </mc:AlternateContent>
      </w: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.8</w:t>
      </w:r>
    </w:p>
    <w:p w14:paraId="64FBC027">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合同双方当事人应在专用条款和合同工程质量保修书中约定质量保修期，但不得低于《房屋建筑工程质量保修办法》第七条以及《建设工程质量管理条例》第四十条规定的最低保修期限。</w:t>
      </w:r>
    </w:p>
    <w:p w14:paraId="3BD5DAAB">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质量保修期自竣工验收</w:t>
      </w:r>
      <w:r>
        <w:rPr>
          <w:rFonts w:ascii="仿宋" w:hAnsi="仿宋" w:eastAsia="仿宋" w:cs="仿宋"/>
          <w:color w:val="auto"/>
          <w:highlight w:val="none"/>
          <w:lang w:eastAsia="zh-CN"/>
        </w:rPr>
        <w:t>合格</w:t>
      </w:r>
      <w:r>
        <w:rPr>
          <w:rFonts w:hint="eastAsia" w:ascii="仿宋" w:hAnsi="仿宋" w:eastAsia="仿宋" w:cs="仿宋"/>
          <w:color w:val="auto"/>
          <w:highlight w:val="none"/>
          <w:lang w:eastAsia="zh-CN"/>
        </w:rPr>
        <w:t>之日起计算。在全部工程竣工验收前，已经发包人提前验收的单项工程，其质量保修期的起算日期相应提前。</w:t>
      </w:r>
    </w:p>
    <w:p w14:paraId="525572CE">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.9</w:t>
      </w:r>
    </w:p>
    <w:p w14:paraId="62352A9A">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57920" behindDoc="0" locked="0" layoutInCell="1" allowOverlap="1">
                <wp:simplePos x="0" y="0"/>
                <wp:positionH relativeFrom="column">
                  <wp:posOffset>-73660</wp:posOffset>
                </wp:positionH>
                <wp:positionV relativeFrom="paragraph">
                  <wp:posOffset>15240</wp:posOffset>
                </wp:positionV>
                <wp:extent cx="774700" cy="487045"/>
                <wp:effectExtent l="0" t="0" r="0" b="0"/>
                <wp:wrapNone/>
                <wp:docPr id="760" name="文本框 953"/>
                <wp:cNvGraphicFramePr/>
                <a:graphic xmlns:a="http://schemas.openxmlformats.org/drawingml/2006/main">
                  <a:graphicData uri="http://schemas.microsoft.com/office/word/2010/wordprocessingShape">
                    <wps:wsp>
                      <wps:cNvSpPr txBox="1">
                        <a:spLocks noChangeArrowheads="1"/>
                      </wps:cNvSpPr>
                      <wps:spPr bwMode="auto">
                        <a:xfrm>
                          <a:off x="0" y="0"/>
                          <a:ext cx="774700" cy="487045"/>
                        </a:xfrm>
                        <a:prstGeom prst="rect">
                          <a:avLst/>
                        </a:prstGeom>
                        <a:noFill/>
                        <a:ln>
                          <a:noFill/>
                        </a:ln>
                        <a:effectLst/>
                      </wps:spPr>
                      <wps:txbx>
                        <w:txbxContent>
                          <w:p w14:paraId="57D84CC0">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工程质量保修</w:t>
                            </w:r>
                          </w:p>
                        </w:txbxContent>
                      </wps:txbx>
                      <wps:bodyPr rot="0" vert="horz" wrap="square" lIns="91440" tIns="45720" rIns="91440" bIns="45720" anchor="t" anchorCtr="0" upright="1">
                        <a:noAutofit/>
                      </wps:bodyPr>
                    </wps:wsp>
                  </a:graphicData>
                </a:graphic>
              </wp:anchor>
            </w:drawing>
          </mc:Choice>
          <mc:Fallback>
            <w:pict>
              <v:shape id="文本框 953" o:spid="_x0000_s1026" o:spt="202" type="#_x0000_t202" style="position:absolute;left:0pt;margin-left:-5.8pt;margin-top:1.2pt;height:38.35pt;width:61pt;z-index:251857920;mso-width-relative:page;mso-height-relative:page;" filled="f" stroked="f" coordsize="21600,21600" o:gfxdata="UEsDBAoAAAAAAIdO4kAAAAAAAAAAAAAAAAAEAAAAZHJzL1BLAwQUAAAACACHTuJAI0Be7dUAAAAI&#10;AQAADwAAAGRycy9kb3ducmV2LnhtbE2PzW7CMBCE75V4B2srcQPbiNISsuFA1StV6Y/EzcRLEjVe&#10;R7Eh6dvXnNrbrGY0822+HV0rrtSHxjOCnisQxKW3DVcIH+8vsycQIRq2pvVMCD8UYFtM7nKTWT/w&#10;G10PsRKphENmEOoYu0zKUNbkTJj7jjh5Z987E9PZV9L2ZkjlrpULpVbSmYbTQm062tVUfh8uDuFz&#10;fz5+LdVr9eweusGPSrJbS8TpvVYbEJHG+BeGG35ChyIxnfyFbRAtwkzrVYoiLJYgbr5WSZwQHtca&#10;ZJHL/w8Uv1BLAwQUAAAACACHTuJAJ98Ivh8CAAAmBAAADgAAAGRycy9lMm9Eb2MueG1srVNLbtsw&#10;EN0X6B0I7mvJrhwlguUgjZGiQPoB0h6ApiiLqMRhSdqSe4DmBl11033P5XN0SCqum26y6IYgOcM3&#10;770ZLi6HriU7YawEVdLpJKVEKA6VVJuSfvp48+KcEuuYqlgLSpR0Lyy9XD5/tuh1IWbQQFsJQxBE&#10;2aLXJW2c00WSWN6IjtkJaKEwWIPpmMOj2SSVYT2id20yS9OzpAdTaQNcWIu3qxikI6J5CiDUteRi&#10;BXzbCeUiqhEtcyjJNlJbugxs61pw976urXCkLSkqdWHFIrhf+zVZLlixMUw3ko8U2FMoPNLUMamw&#10;6BFqxRwjWyP/geokN2ChdhMOXRKFBEdQxTR95M1dw7QIWtBqq4+m2/8Hy9/tPhgiq5LmZ+iJYh22&#10;/PD9/vDj1+HnN3Ixf+kt6rUtMPNOY64bXsGAgxPkWn0L/LMlCq4bpjbiyhjoG8EqpDj1L5OTpxHH&#10;epB1/xYqrMS2DgLQUJvO+4eOEERHKvtje8TgCMfLPM/yFCMcQ9l5nmbzUIEVD4+1se61gI74TUkN&#10;dj+As92tdZ4MKx5SfC0FN7JtwwS06q8LTIw3IozQ+NpL8eyjDjesh9GaNVR7FGUgjhd+Ltw0YL5S&#10;0uNoldR+2TIjKGnfKDTmYpplKMOFQzbPZ3gwp5H1aYQpjlAldZTE7bWL87vVRm4arBRboeAKzaxl&#10;EOqpRlZjC3B8gv5x1P18np5D1p/vvf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I0Be7dUAAAAI&#10;AQAADwAAAAAAAAABACAAAAAiAAAAZHJzL2Rvd25yZXYueG1sUEsBAhQAFAAAAAgAh07iQCffCL4f&#10;AgAAJgQAAA4AAAAAAAAAAQAgAAAAJAEAAGRycy9lMm9Eb2MueG1sUEsFBgAAAAAGAAYAWQEAALUF&#10;AAAAAA==&#10;">
                <v:fill on="f" focussize="0,0"/>
                <v:stroke on="f"/>
                <v:imagedata o:title=""/>
                <o:lock v:ext="edit" aspectratio="f"/>
                <v:textbox>
                  <w:txbxContent>
                    <w:p w14:paraId="57D84CC0">
                      <w:pPr>
                        <w:rPr>
                          <w:rFonts w:hint="eastAsia" w:ascii="楷体_GB2312" w:hAnsi="宋体" w:eastAsia="楷体_GB2312"/>
                          <w:sz w:val="18"/>
                          <w:szCs w:val="18"/>
                        </w:rPr>
                      </w:pPr>
                      <w:r>
                        <w:rPr>
                          <w:rFonts w:hint="eastAsia" w:ascii="楷体_GB2312" w:hAnsi="宋体" w:eastAsia="楷体_GB2312" w:cs="楷体_GB2312"/>
                          <w:b/>
                          <w:bCs/>
                          <w:color w:val="000000"/>
                          <w:sz w:val="18"/>
                          <w:szCs w:val="18"/>
                        </w:rPr>
                        <w:t>工程质量保修</w:t>
                      </w:r>
                    </w:p>
                  </w:txbxContent>
                </v:textbox>
              </v:shape>
            </w:pict>
          </mc:Fallback>
        </mc:AlternateContent>
      </w:r>
      <w:r>
        <w:rPr>
          <w:rFonts w:hint="eastAsia" w:ascii="仿宋" w:hAnsi="仿宋" w:eastAsia="仿宋" w:cs="仿宋"/>
          <w:color w:val="auto"/>
          <w:highlight w:val="none"/>
          <w:lang w:eastAsia="zh-CN"/>
        </w:rPr>
        <w:t>承包人应在质量保修期内对交付发包人使用的合同工程承担质量保修责任。合同工程出现质量问题的，承包人应立即实施保修；承包人保修工作完成后，发包人应及时组织验收。发生紧急抢修事故的，承包人应在接到通知后立即到达事故现场抢修。</w:t>
      </w:r>
    </w:p>
    <w:p w14:paraId="08D0A2E0">
      <w:pPr>
        <w:spacing w:line="360" w:lineRule="auto"/>
        <w:rPr>
          <w:rFonts w:hint="eastAsia" w:ascii="仿宋" w:hAnsi="仿宋" w:eastAsia="仿宋" w:cs="仿宋"/>
          <w:color w:val="auto"/>
          <w:highlight w:val="none"/>
          <w:u w:val="dotted"/>
          <w:lang w:eastAsia="zh-CN"/>
        </w:rPr>
      </w:pPr>
      <w:r>
        <w:rPr>
          <w:color w:val="auto"/>
          <w:highlight w:val="none"/>
          <w:lang w:eastAsia="zh-CN" w:bidi="ar-SA"/>
        </w:rPr>
        <mc:AlternateContent>
          <mc:Choice Requires="wps">
            <w:drawing>
              <wp:anchor distT="0" distB="0" distL="114300" distR="114300" simplePos="0" relativeHeight="252055552" behindDoc="0" locked="0" layoutInCell="1" allowOverlap="1">
                <wp:simplePos x="0" y="0"/>
                <wp:positionH relativeFrom="column">
                  <wp:posOffset>-66675</wp:posOffset>
                </wp:positionH>
                <wp:positionV relativeFrom="paragraph">
                  <wp:posOffset>208915</wp:posOffset>
                </wp:positionV>
                <wp:extent cx="784860" cy="626745"/>
                <wp:effectExtent l="0" t="0" r="0" b="0"/>
                <wp:wrapNone/>
                <wp:docPr id="761" name="文本框 954"/>
                <wp:cNvGraphicFramePr/>
                <a:graphic xmlns:a="http://schemas.openxmlformats.org/drawingml/2006/main">
                  <a:graphicData uri="http://schemas.microsoft.com/office/word/2010/wordprocessingShape">
                    <wps:wsp>
                      <wps:cNvSpPr txBox="1">
                        <a:spLocks noChangeArrowheads="1"/>
                      </wps:cNvSpPr>
                      <wps:spPr bwMode="auto">
                        <a:xfrm>
                          <a:off x="0" y="0"/>
                          <a:ext cx="784860" cy="626745"/>
                        </a:xfrm>
                        <a:prstGeom prst="rect">
                          <a:avLst/>
                        </a:prstGeom>
                        <a:noFill/>
                        <a:ln>
                          <a:noFill/>
                        </a:ln>
                        <a:effectLst/>
                      </wps:spPr>
                      <wps:txbx>
                        <w:txbxContent>
                          <w:p w14:paraId="1E4E6AAF">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修复质量缺陷以外的费用</w:t>
                            </w:r>
                          </w:p>
                        </w:txbxContent>
                      </wps:txbx>
                      <wps:bodyPr rot="0" vert="horz" wrap="square" lIns="91440" tIns="45720" rIns="91440" bIns="45720" anchor="t" anchorCtr="0" upright="1">
                        <a:noAutofit/>
                      </wps:bodyPr>
                    </wps:wsp>
                  </a:graphicData>
                </a:graphic>
              </wp:anchor>
            </w:drawing>
          </mc:Choice>
          <mc:Fallback>
            <w:pict>
              <v:shape id="文本框 954" o:spid="_x0000_s1026" o:spt="202" type="#_x0000_t202" style="position:absolute;left:0pt;margin-left:-5.25pt;margin-top:16.45pt;height:49.35pt;width:61.8pt;z-index:252055552;mso-width-relative:page;mso-height-relative:page;" filled="f" stroked="f" coordsize="21600,21600" o:gfxdata="UEsDBAoAAAAAAIdO4kAAAAAAAAAAAAAAAAAEAAAAZHJzL1BLAwQUAAAACACHTuJARXJrstcAAAAK&#10;AQAADwAAAGRycy9kb3ducmV2LnhtbE2PwU7DMAyG70i8Q2QkbpuTlU2sa7oDiCuIDZB2yxqvrWic&#10;qsnW8vZkJ7jZ8qff319sJ9eJCw2h9axBzSUI4srblmsNH/uX2SOIEA1b03kmDT8UYFve3hQmt37k&#10;d7rsYi1SCIfcaGhi7HPEUDXkTJj7njjdTn5wJqZ1qNEOZkzhrsOFlCt0puX0oTE9PTVUfe/OTsPn&#10;6+nw9SDf6me37Ec/SWS3Rq3v75TcgIg0xT8YrvpJHcrkdPRntkF0GmZKLhOqIVusQVwBlSkQxzRk&#10;agVYFvi/QvkLUEsDBBQAAAAIAIdO4kDEWnAnHwIAACYEAAAOAAAAZHJzL2Uyb0RvYy54bWytU82O&#10;0zAQviPxDpbvNG2VtrtR09Wy1SKk5UdaeADXcRqLxGPGbpPyAPAGnLhw57n6HIydbCnLZQ9cLNsz&#10;/ma+bz4vr7qmZnuFToPJ+WQ05kwZCYU225x//HD74oIz54UpRA1G5fygHL9aPX+2bG2mplBBXShk&#10;BGJc1tqcV97bLEmcrFQj3AisMhQsARvh6YjbpEDREnpTJ9PxeJ60gIVFkMo5ul33QT4g4lMAoSy1&#10;VGuQu0YZ36OiqoUnSq7S1vFV7LYslfTvytIpz+qcE1MfVypC+01Yk9VSZFsUttJyaEE8pYVHnBqh&#10;DRU9Qa2FF2yH+h+oRksEB6UfSWiSnkhUhFhMxo+0ua+EVZELSe3sSXT3/2Dl2/17ZLrI+WI+4cyI&#10;hkZ+/P7t+OPX8edXdjlLg0StdRll3lvK9d1L6Mg4ka6zdyA/OWbgphJmq64Roa2UKKjFSXiZnD3t&#10;cVwA2bRvoKBKYuchAnUlNkE/UoQROo3ncBqP6jyTdLm4SC/mFJEUmk/ni3QWK4js4bFF518paFjY&#10;5Bxp+hFc7O+cD82I7CEl1DJwq+s6OqA2f11QYn+jooWG14FK6L7n4btNN0izgeJApBB6e9Hnok0F&#10;+IWzlqyVc/d5J1BxVr82JMzlJE2DF+MhnS2mdMDzyOY8IowkqJx7zvrtje/9u7OotxVV6kdh4JrE&#10;LHUkGlrtuxpGQPaJ/AerB3+en2PWn++9+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Fcmuy1wAA&#10;AAoBAAAPAAAAAAAAAAEAIAAAACIAAABkcnMvZG93bnJldi54bWxQSwECFAAUAAAACACHTuJAxFpw&#10;Jx8CAAAmBAAADgAAAAAAAAABACAAAAAmAQAAZHJzL2Uyb0RvYy54bWxQSwUGAAAAAAYABgBZAQAA&#10;twUAAAAA&#10;">
                <v:fill on="f" focussize="0,0"/>
                <v:stroke on="f"/>
                <v:imagedata o:title=""/>
                <o:lock v:ext="edit" aspectratio="f"/>
                <v:textbox>
                  <w:txbxContent>
                    <w:p w14:paraId="1E4E6AAF">
                      <w:pPr>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修复质量缺陷以外的费用</w:t>
                      </w:r>
                    </w:p>
                  </w:txbxContent>
                </v:textbox>
              </v:shape>
            </w:pict>
          </mc:Fallback>
        </mc:AlternateContent>
      </w:r>
      <w:r>
        <w:rPr>
          <w:rFonts w:hint="eastAsia" w:ascii="仿宋" w:hAnsi="仿宋" w:eastAsia="仿宋" w:cs="仿宋"/>
          <w:b/>
          <w:bCs/>
          <w:color w:val="auto"/>
          <w:highlight w:val="none"/>
          <w:lang w:eastAsia="zh-CN"/>
        </w:rPr>
        <w:t>66</w:t>
      </w:r>
      <w:r>
        <w:rPr>
          <w:rFonts w:ascii="仿宋" w:hAnsi="仿宋" w:eastAsia="仿宋" w:cs="仿宋"/>
          <w:b/>
          <w:bCs/>
          <w:color w:val="auto"/>
          <w:highlight w:val="none"/>
          <w:lang w:eastAsia="zh-CN"/>
        </w:rPr>
        <w:t>.10</w:t>
      </w:r>
    </w:p>
    <w:p w14:paraId="2F277504">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承包人修复属于质量缺陷以外的费用，由责任方承担。</w:t>
      </w:r>
    </w:p>
    <w:p w14:paraId="14D5730F">
      <w:pPr>
        <w:adjustRightInd w:val="0"/>
        <w:snapToGrid w:val="0"/>
        <w:spacing w:line="360" w:lineRule="auto"/>
        <w:rPr>
          <w:rFonts w:hint="eastAsia" w:ascii="仿宋" w:hAnsi="仿宋" w:eastAsia="仿宋" w:cs="仿宋"/>
          <w:color w:val="auto"/>
          <w:highlight w:val="none"/>
          <w:u w:val="single"/>
          <w:lang w:eastAsia="zh-CN"/>
        </w:rPr>
      </w:pPr>
    </w:p>
    <w:p w14:paraId="68717075">
      <w:pPr>
        <w:tabs>
          <w:tab w:val="left" w:pos="1620"/>
        </w:tabs>
        <w:adjustRightInd w:val="0"/>
        <w:snapToGrid w:val="0"/>
        <w:spacing w:line="360" w:lineRule="auto"/>
        <w:jc w:val="center"/>
        <w:outlineLvl w:val="1"/>
        <w:rPr>
          <w:color w:val="auto"/>
          <w:highlight w:val="none"/>
          <w:lang w:eastAsia="zh-CN"/>
        </w:rPr>
      </w:pPr>
      <w:bookmarkStart w:id="365" w:name="_Toc5543"/>
      <w:r>
        <w:rPr>
          <w:rFonts w:hint="eastAsia" w:ascii="仿宋" w:hAnsi="仿宋" w:eastAsia="仿宋" w:cs="仿宋"/>
          <w:b/>
          <w:bCs/>
          <w:color w:val="auto"/>
          <w:highlight w:val="none"/>
          <w:lang w:eastAsia="zh-CN"/>
        </w:rPr>
        <w:t>七、合同价格</w:t>
      </w:r>
      <w:bookmarkEnd w:id="365"/>
    </w:p>
    <w:p w14:paraId="41C1FC52">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66" w:name="_Toc5215"/>
      <w:r>
        <w:rPr>
          <w:rFonts w:ascii="仿宋" w:hAnsi="仿宋" w:eastAsia="仿宋" w:cs="仿宋"/>
          <w:bCs w:val="0"/>
          <w:color w:val="auto"/>
          <w:sz w:val="24"/>
          <w:szCs w:val="24"/>
          <w:highlight w:val="none"/>
          <w:lang w:eastAsia="zh-CN"/>
        </w:rPr>
        <w:t>6</w:t>
      </w:r>
      <w:r>
        <w:rPr>
          <w:rFonts w:hint="eastAsia" w:ascii="仿宋" w:hAnsi="仿宋" w:eastAsia="仿宋" w:cs="仿宋"/>
          <w:bCs w:val="0"/>
          <w:color w:val="auto"/>
          <w:sz w:val="24"/>
          <w:szCs w:val="24"/>
          <w:highlight w:val="none"/>
          <w:lang w:eastAsia="zh-CN"/>
        </w:rPr>
        <w:t>7资金计划和安排</w:t>
      </w:r>
      <w:bookmarkEnd w:id="366"/>
    </w:p>
    <w:p w14:paraId="311B8A22">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6</w:t>
      </w:r>
      <w:r>
        <w:rPr>
          <w:rFonts w:hint="eastAsia" w:ascii="仿宋" w:hAnsi="仿宋" w:eastAsia="仿宋" w:cs="仿宋"/>
          <w:b/>
          <w:bCs/>
          <w:color w:val="auto"/>
          <w:sz w:val="24"/>
          <w:szCs w:val="24"/>
          <w:highlight w:val="none"/>
          <w:lang w:eastAsia="zh-CN"/>
        </w:rPr>
        <w:t>7</w:t>
      </w:r>
      <w:r>
        <w:rPr>
          <w:rFonts w:ascii="仿宋" w:hAnsi="仿宋" w:eastAsia="仿宋" w:cs="仿宋"/>
          <w:b/>
          <w:bCs/>
          <w:color w:val="auto"/>
          <w:sz w:val="24"/>
          <w:szCs w:val="24"/>
          <w:highlight w:val="none"/>
          <w:lang w:eastAsia="zh-CN"/>
        </w:rPr>
        <w:t>.1</w:t>
      </w:r>
    </w:p>
    <w:p w14:paraId="06534A18">
      <w:pPr>
        <w:widowControl w:val="0"/>
        <w:spacing w:line="360" w:lineRule="auto"/>
        <w:ind w:left="1850" w:leftChars="771"/>
        <w:jc w:val="both"/>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859968" behindDoc="0" locked="0" layoutInCell="1" allowOverlap="1">
                <wp:simplePos x="0" y="0"/>
                <wp:positionH relativeFrom="column">
                  <wp:posOffset>-133350</wp:posOffset>
                </wp:positionH>
                <wp:positionV relativeFrom="paragraph">
                  <wp:posOffset>68580</wp:posOffset>
                </wp:positionV>
                <wp:extent cx="842645" cy="556895"/>
                <wp:effectExtent l="0" t="0" r="0" b="0"/>
                <wp:wrapNone/>
                <wp:docPr id="762" name="文本框 957"/>
                <wp:cNvGraphicFramePr/>
                <a:graphic xmlns:a="http://schemas.openxmlformats.org/drawingml/2006/main">
                  <a:graphicData uri="http://schemas.microsoft.com/office/word/2010/wordprocessingShape">
                    <wps:wsp>
                      <wps:cNvSpPr txBox="1">
                        <a:spLocks noChangeArrowheads="1"/>
                      </wps:cNvSpPr>
                      <wps:spPr bwMode="auto">
                        <a:xfrm>
                          <a:off x="0" y="0"/>
                          <a:ext cx="842645" cy="556895"/>
                        </a:xfrm>
                        <a:prstGeom prst="rect">
                          <a:avLst/>
                        </a:prstGeom>
                        <a:noFill/>
                        <a:ln>
                          <a:noFill/>
                        </a:ln>
                        <a:effectLst/>
                      </wps:spPr>
                      <wps:txbx>
                        <w:txbxContent>
                          <w:p w14:paraId="7C7741C4">
                            <w:pPr>
                              <w:pStyle w:val="31"/>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承包人提交资金需求计划书</w:t>
                            </w:r>
                          </w:p>
                        </w:txbxContent>
                      </wps:txbx>
                      <wps:bodyPr rot="0" vert="horz" wrap="square" lIns="91440" tIns="45720" rIns="91440" bIns="45720" anchor="t" anchorCtr="0" upright="1">
                        <a:noAutofit/>
                      </wps:bodyPr>
                    </wps:wsp>
                  </a:graphicData>
                </a:graphic>
              </wp:anchor>
            </w:drawing>
          </mc:Choice>
          <mc:Fallback>
            <w:pict>
              <v:shape id="文本框 957" o:spid="_x0000_s1026" o:spt="202" type="#_x0000_t202" style="position:absolute;left:0pt;margin-left:-10.5pt;margin-top:5.4pt;height:43.85pt;width:66.35pt;z-index:251859968;mso-width-relative:page;mso-height-relative:page;" filled="f" stroked="f" coordsize="21600,21600" o:gfxdata="UEsDBAoAAAAAAIdO4kAAAAAAAAAAAAAAAAAEAAAAZHJzL1BLAwQUAAAACACHTuJAhkCvX9YAAAAJ&#10;AQAADwAAAGRycy9kb3ducmV2LnhtbE2Py27CMBBF95X6D9ZU6g5so0IhjcMC1G1R6UPqzsRDEjUe&#10;R7Eh4e87rOhydK/unJOvR9+KM/axCWRATxUIpDK4hioDnx+vkyWImCw52wZCAxeMsC7u73KbuTDQ&#10;O573qRI8QjGzBuqUukzKWNbobZyGDomzY+i9TXz2lXS9HXjct3Km1EJ62xB/qG2HmxrL3/3JG/h6&#10;O/58P6ldtfXzbgijkuRX0pjHB61eQCQc060MV3xGh4KZDuFELorWwGSm2SVxoFjhWtD6GcTBwGo5&#10;B1nk8r9B8QdQSwMEFAAAAAgAh07iQF9JqTAfAgAAJgQAAA4AAABkcnMvZTJvRG9jLnhtbK1TS44T&#10;MRDdI3EHy3vSSZRvK53RMNEgpOEjDRzAcbvTFt0uU3bSHQ4AN2DFhj3nyjkou3tCGDazYGPZrvKr&#10;eq+eV1dtXbGDQqfBZHw0GHKmjIRcm13GP364fbHgzHlhclGBURk/Ksev1s+frRqbqjGUUOUKGYEY&#10;lzY246X3Nk0SJ0tVCzcAqwwFC8BaeDriLslRNIReV8l4OJwlDWBuEaRyjm43XZD3iPgUQCgKLdUG&#10;5L5WxneoqCrhiZIrtXV8HbstCiX9u6JwyrMq48TUx5WK0H4b1mS9EukOhS217FsQT2nhEadaaENF&#10;z1Ab4QXbo/4HqtYSwUHhBxLqpCMSFSEWo+Ejbe5LYVXkQlI7exbd/T9Y+fbwHpnOMz6fjTkzoqaR&#10;n75/O/34dfr5lS2n8yBRY11KmfeWcn37EloyTqTr7B3IT44ZuCmF2alrRGhKJXJqcRReJhdPOxwX&#10;QLbNG8ipkth7iEBtgXXQjxRhhE7jOZ7Ho1rPJF0uJuPZZMqZpNB0Olssp7GCSB8eW3T+lYKahU3G&#10;kaYfwcXhzvnQjEgfUkItA7e6qqIDKvPXBSV2NypaqH8dqITuOx6+3ba9NFvIj0QKobMXfS7alIBf&#10;OGvIWhl3n/cCFWfVa0PCLEeTSfBiPEym8zEd8DKyvYwIIwkq456zbnvjO//uLepdSZW6URi4JjEL&#10;HYmGVruu+hGQfSL/3urBn5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ZAr1/WAAAA&#10;CQEAAA8AAAAAAAAAAQAgAAAAIgAAAGRycy9kb3ducmV2LnhtbFBLAQIUABQAAAAIAIdO4kBfSakw&#10;HwIAACYEAAAOAAAAAAAAAAEAIAAAACUBAABkcnMvZTJvRG9jLnhtbFBLBQYAAAAABgAGAFkBAAC2&#10;BQAAAAA=&#10;">
                <v:fill on="f" focussize="0,0"/>
                <v:stroke on="f"/>
                <v:imagedata o:title=""/>
                <o:lock v:ext="edit" aspectratio="f"/>
                <v:textbox>
                  <w:txbxContent>
                    <w:p w14:paraId="7C7741C4">
                      <w:pPr>
                        <w:pStyle w:val="31"/>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承包人提交资金需求计划书</w:t>
                      </w:r>
                    </w:p>
                  </w:txbxContent>
                </v:textbox>
              </v:shape>
            </w:pict>
          </mc:Fallback>
        </mc:AlternateContent>
      </w:r>
      <w:r>
        <w:rPr>
          <w:rFonts w:hint="eastAsia" w:ascii="仿宋" w:hAnsi="仿宋" w:eastAsia="仿宋" w:cs="仿宋"/>
          <w:color w:val="auto"/>
          <w:highlight w:val="none"/>
          <w:lang w:eastAsia="zh-CN"/>
        </w:rPr>
        <w:t>勘察、设计等工作进度及工程进度计划被批准后，承包人应向发包人提交一份合同工程资金需求计划书；勘察、设计等工作进度及工程进度计划更新后，承包人应及时向发包人提交一份更新后的工程资金需求计划书。</w:t>
      </w:r>
    </w:p>
    <w:p w14:paraId="3D6F4260">
      <w:pPr>
        <w:pStyle w:val="2"/>
        <w:adjustRightInd w:val="0"/>
        <w:snapToGrid w:val="0"/>
        <w:spacing w:line="360" w:lineRule="auto"/>
        <w:ind w:left="1617" w:hanging="1617" w:hangingChars="671"/>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6</w:t>
      </w:r>
      <w:r>
        <w:rPr>
          <w:rFonts w:hint="eastAsia" w:ascii="仿宋" w:hAnsi="仿宋" w:eastAsia="仿宋" w:cs="仿宋"/>
          <w:b/>
          <w:bCs/>
          <w:color w:val="auto"/>
          <w:sz w:val="24"/>
          <w:szCs w:val="24"/>
          <w:highlight w:val="none"/>
          <w:lang w:eastAsia="zh-CN"/>
        </w:rPr>
        <w:t>7</w:t>
      </w:r>
      <w:r>
        <w:rPr>
          <w:rFonts w:ascii="仿宋" w:hAnsi="仿宋" w:eastAsia="仿宋" w:cs="仿宋"/>
          <w:b/>
          <w:bCs/>
          <w:color w:val="auto"/>
          <w:sz w:val="24"/>
          <w:szCs w:val="24"/>
          <w:highlight w:val="none"/>
          <w:lang w:eastAsia="zh-CN"/>
        </w:rPr>
        <w:t xml:space="preserve">.2  </w:t>
      </w:r>
    </w:p>
    <w:p w14:paraId="21A6F165">
      <w:pPr>
        <w:widowControl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1860992" behindDoc="0" locked="0" layoutInCell="1" allowOverlap="1">
                <wp:simplePos x="0" y="0"/>
                <wp:positionH relativeFrom="column">
                  <wp:posOffset>-114300</wp:posOffset>
                </wp:positionH>
                <wp:positionV relativeFrom="paragraph">
                  <wp:posOffset>34290</wp:posOffset>
                </wp:positionV>
                <wp:extent cx="756920" cy="587375"/>
                <wp:effectExtent l="0" t="0" r="0" b="0"/>
                <wp:wrapNone/>
                <wp:docPr id="763" name="文本框 958"/>
                <wp:cNvGraphicFramePr/>
                <a:graphic xmlns:a="http://schemas.openxmlformats.org/drawingml/2006/main">
                  <a:graphicData uri="http://schemas.microsoft.com/office/word/2010/wordprocessingShape">
                    <wps:wsp>
                      <wps:cNvSpPr txBox="1">
                        <a:spLocks noChangeArrowheads="1"/>
                      </wps:cNvSpPr>
                      <wps:spPr bwMode="auto">
                        <a:xfrm>
                          <a:off x="0" y="0"/>
                          <a:ext cx="756920" cy="587375"/>
                        </a:xfrm>
                        <a:prstGeom prst="rect">
                          <a:avLst/>
                        </a:prstGeom>
                        <a:noFill/>
                        <a:ln>
                          <a:noFill/>
                        </a:ln>
                        <a:effectLst/>
                      </wps:spPr>
                      <wps:txbx>
                        <w:txbxContent>
                          <w:p w14:paraId="5AED4A6B">
                            <w:pPr>
                              <w:pStyle w:val="31"/>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发包人提供资金安排证据</w:t>
                            </w:r>
                          </w:p>
                        </w:txbxContent>
                      </wps:txbx>
                      <wps:bodyPr rot="0" vert="horz" wrap="square" lIns="91440" tIns="45720" rIns="91440" bIns="45720" anchor="t" anchorCtr="0" upright="1">
                        <a:noAutofit/>
                      </wps:bodyPr>
                    </wps:wsp>
                  </a:graphicData>
                </a:graphic>
              </wp:anchor>
            </w:drawing>
          </mc:Choice>
          <mc:Fallback>
            <w:pict>
              <v:shape id="文本框 958" o:spid="_x0000_s1026" o:spt="202" type="#_x0000_t202" style="position:absolute;left:0pt;margin-left:-9pt;margin-top:2.7pt;height:46.25pt;width:59.6pt;z-index:251860992;mso-width-relative:page;mso-height-relative:page;" filled="f" stroked="f" coordsize="21600,21600" o:gfxdata="UEsDBAoAAAAAAIdO4kAAAAAAAAAAAAAAAAAEAAAAZHJzL1BLAwQUAAAACACHTuJAOMcQLdYAAAAI&#10;AQAADwAAAGRycy9kb3ducmV2LnhtbE2PwW7CMBBE75X4B2sr9QZ2EBQSsuFA1WurAq3EzcRLEjVe&#10;R7Eh6d/XnNrjaEYzb/LtaFtxo943jhGSmQJBXDrTcIVwPLxO1yB80Gx065gQfsjDtpg85DozbuAP&#10;uu1DJWIJ+0wj1CF0mZS+rMlqP3MdcfQurrc6RNlX0vR6iOW2lXOlnqXVDceFWne0q6n83l8twufb&#10;5fS1UO/Vi112gxuVZJtKxKfHRG1ABBrDXxju+BEdish0dlc2XrQI02QdvwSE5QLE3VfJHMQZIV2l&#10;IItc/j9Q/AJQSwMEFAAAAAgAh07iQKdx7L0eAgAAJgQAAA4AAABkcnMvZTJvRG9jLnhtbK1TS27b&#10;MBDdF+gdCO5r2Y6/guUgjZGiQPoB0h6ApiiLqMRhh7Sl9ADtDbrqpvuey+fokFJcN91k0Q1BcoZv&#10;5r15XF22dcUOCp0Gk/HRYMiZMhJybXYZ//jh5sWCM+eFyUUFRmX8Xjl+uX7+bNXYVI2hhCpXyAjE&#10;uLSxGS+9t2mSOFmqWrgBWGUoWADWwtMRd0mOoiH0ukrGw+EsaQBziyCVc3S76YK8R8SnAEJRaKk2&#10;IPe1Mr5DRVUJT5Rcqa3j69htUSjp3xWFU55VGSemPq5UhPbbsCbrlUh3KGypZd+CeEoLjzjVQhsq&#10;eoLaCC/YHvU/ULWWCA4KP5BQJx2RqAixGA0faXNXCqsiF5La2ZPo7v/ByreH98h0nvH57IIzI2oa&#10;+fH7t+OPX8efX9lyuggSNdallHlnKde3L6El40S6zt6C/OSYgetSmJ26QoSmVCKnFkfhZXL2tMNx&#10;AWTbvIGcKom9hwjUFlgH/UgRRug0nvvTeFTrmaTL+XS2HFNEUmi6mF/Mp7GCSB8eW3T+lYKahU3G&#10;kaYfwcXh1vnQjEgfUkItAze6qqIDKvPXBSV2NypaqH8dqITuOx6+3ba9NFvI74kUQmcv+ly0KQG/&#10;cNaQtTLuPu8FKs6q14aEWY4mk+DFeJhM54ETnke25xFhJEFl3HPWba9959+9Rb0rqVI3CgNXJGah&#10;I9HQatdVPwKyT+TfWz348/wcs/587/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OMcQLdYAAAAI&#10;AQAADwAAAAAAAAABACAAAAAiAAAAZHJzL2Rvd25yZXYueG1sUEsBAhQAFAAAAAgAh07iQKdx7L0e&#10;AgAAJgQAAA4AAAAAAAAAAQAgAAAAJQEAAGRycy9lMm9Eb2MueG1sUEsFBgAAAAAGAAYAWQEAALUF&#10;AAAAAA==&#10;">
                <v:fill on="f" focussize="0,0"/>
                <v:stroke on="f"/>
                <v:imagedata o:title=""/>
                <o:lock v:ext="edit" aspectratio="f"/>
                <v:textbox>
                  <w:txbxContent>
                    <w:p w14:paraId="5AED4A6B">
                      <w:pPr>
                        <w:pStyle w:val="31"/>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发包人提供资金安排证据</w:t>
                      </w:r>
                    </w:p>
                  </w:txbxContent>
                </v:textbox>
              </v:shape>
            </w:pict>
          </mc:Fallback>
        </mc:AlternateContent>
      </w:r>
      <w:r>
        <w:rPr>
          <w:rFonts w:hint="eastAsia" w:ascii="仿宋" w:hAnsi="仿宋" w:eastAsia="仿宋" w:cs="仿宋"/>
          <w:color w:val="auto"/>
          <w:highlight w:val="none"/>
          <w:lang w:eastAsia="zh-CN"/>
        </w:rPr>
        <w:t>发包人在收到承包人提交的工程资金需求计划书后</w:t>
      </w:r>
      <w:r>
        <w:rPr>
          <w:rFonts w:ascii="仿宋" w:hAnsi="仿宋" w:eastAsia="仿宋" w:cs="仿宋"/>
          <w:color w:val="auto"/>
          <w:highlight w:val="none"/>
          <w:lang w:eastAsia="zh-CN"/>
        </w:rPr>
        <w:t>28</w:t>
      </w:r>
      <w:r>
        <w:rPr>
          <w:rFonts w:hint="eastAsia" w:ascii="仿宋" w:hAnsi="仿宋" w:eastAsia="仿宋" w:cs="仿宋"/>
          <w:color w:val="auto"/>
          <w:highlight w:val="none"/>
          <w:lang w:eastAsia="zh-CN"/>
        </w:rPr>
        <w:t>天内，应根据合同约定提供已做出资金安排的合理证据，表明自己有能力按照第83条约定支付合同价款。如果发包人对资金安排作出任何变更时，应及时将变更的详情通知承包人。</w:t>
      </w:r>
    </w:p>
    <w:p w14:paraId="43090139">
      <w:pPr>
        <w:spacing w:line="360" w:lineRule="auto"/>
        <w:rPr>
          <w:color w:val="auto"/>
          <w:highlight w:val="none"/>
          <w:lang w:eastAsia="zh-CN"/>
        </w:rPr>
      </w:pPr>
    </w:p>
    <w:p w14:paraId="49E07D92">
      <w:pPr>
        <w:pStyle w:val="6"/>
        <w:tabs>
          <w:tab w:val="left" w:pos="360"/>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67" w:name="_Toc29392"/>
      <w:r>
        <w:rPr>
          <w:rFonts w:hint="eastAsia" w:ascii="仿宋" w:hAnsi="仿宋" w:eastAsia="仿宋" w:cs="仿宋"/>
          <w:bCs w:val="0"/>
          <w:color w:val="auto"/>
          <w:sz w:val="24"/>
          <w:szCs w:val="24"/>
          <w:highlight w:val="none"/>
          <w:lang w:eastAsia="zh-CN"/>
        </w:rPr>
        <w:t>68联合体牵头人项目管理费</w:t>
      </w:r>
      <w:bookmarkEnd w:id="367"/>
    </w:p>
    <w:p w14:paraId="3910B7AF">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103680" behindDoc="0" locked="0" layoutInCell="1" allowOverlap="1">
                <wp:simplePos x="0" y="0"/>
                <wp:positionH relativeFrom="column">
                  <wp:posOffset>-114300</wp:posOffset>
                </wp:positionH>
                <wp:positionV relativeFrom="paragraph">
                  <wp:posOffset>27305</wp:posOffset>
                </wp:positionV>
                <wp:extent cx="785495" cy="1016000"/>
                <wp:effectExtent l="0" t="0" r="0" b="0"/>
                <wp:wrapNone/>
                <wp:docPr id="764" name="文本框 9"/>
                <wp:cNvGraphicFramePr/>
                <a:graphic xmlns:a="http://schemas.openxmlformats.org/drawingml/2006/main">
                  <a:graphicData uri="http://schemas.microsoft.com/office/word/2010/wordprocessingShape">
                    <wps:wsp>
                      <wps:cNvSpPr txBox="1">
                        <a:spLocks noChangeArrowheads="1"/>
                      </wps:cNvSpPr>
                      <wps:spPr bwMode="auto">
                        <a:xfrm>
                          <a:off x="0" y="0"/>
                          <a:ext cx="785495" cy="1016000"/>
                        </a:xfrm>
                        <a:prstGeom prst="rect">
                          <a:avLst/>
                        </a:prstGeom>
                        <a:noFill/>
                        <a:ln>
                          <a:noFill/>
                        </a:ln>
                        <a:effectLst/>
                      </wps:spPr>
                      <wps:txbx>
                        <w:txbxContent>
                          <w:p w14:paraId="59CDEBBC">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牵头人项目管理费的约定</w:t>
                            </w:r>
                          </w:p>
                        </w:txbxContent>
                      </wps:txbx>
                      <wps:bodyPr rot="0" vert="horz" wrap="square" lIns="91440" tIns="45720" rIns="91440" bIns="45720" anchor="t" anchorCtr="0" upright="1">
                        <a:noAutofit/>
                      </wps:bodyPr>
                    </wps:wsp>
                  </a:graphicData>
                </a:graphic>
              </wp:anchor>
            </w:drawing>
          </mc:Choice>
          <mc:Fallback>
            <w:pict>
              <v:shape id="文本框 9" o:spid="_x0000_s1026" o:spt="202" type="#_x0000_t202" style="position:absolute;left:0pt;margin-left:-9pt;margin-top:2.15pt;height:80pt;width:61.85pt;z-index:252103680;mso-width-relative:page;mso-height-relative:page;" filled="f" stroked="f" coordsize="21600,21600" o:gfxdata="UEsDBAoAAAAAAIdO4kAAAAAAAAAAAAAAAAAEAAAAZHJzL1BLAwQUAAAACACHTuJAxIBY6tYAAAAJ&#10;AQAADwAAAGRycy9kb3ducmV2LnhtbE2PT0/DMAzF70h8h8hI3LaksI1R6u4A4gpi/JG4ZY3XVjRO&#10;1WRr+fZ4J3az/Z6ef6/YTL5TRxpiGxghmxtQxFVwLdcIH+/PszWomCw72wUmhF+KsCkvLwqbuzDy&#10;Gx23qVYSwjG3CE1Kfa51rBryNs5DTyzaPgzeJlmHWrvBjhLuO31jzEp727J8aGxPjw1VP9uDR/h8&#10;2X9/Lcxr/eSX/Rgmo9nfa8Trq8w8gEo0pX8znPAFHUph2oUDu6g6hFm2li4JYXEL6qSb5R2onQwr&#10;ueiy0OcNyj9QSwMEFAAAAAgAh07iQBnAWCIfAgAAJQQAAA4AAABkcnMvZTJvRG9jLnhtbK1TS27b&#10;MBDdF+gdCO5rSYY/sWA5SGOkKJB+gLQHoCnKIipx2CFtKT1Ae4Ouuum+5/I5OqQc1003WXRDkJzh&#10;m3lvHpeXfduwvUKnwRQ8G6WcKSOh1GZb8I8fbl5ccOa8MKVowKiC3yvHL1fPny07m6sx1NCUChmB&#10;GJd3tuC19zZPEidr1Qo3AqsMBSvAVng64jYpUXSE3jbJOE1nSQdYWgSpnKPb9RDkR0R8CiBUlZZq&#10;DXLXKuMHVFSN8ETJ1do6vordVpWS/l1VOeVZU3Bi6uNKRWi/CWuyWop8i8LWWh5bEE9p4RGnVmhD&#10;RU9Qa+EF26H+B6rVEsFB5UcS2mQgEhUhFln6SJu7WlgVuZDUzp5Ed/8PVr7dv0emy4LPZxPOjGhp&#10;5Ifv3w4/fh1+fmWLIFBnXU55d5Yyff8SerJNJOvsLchPjhm4roXZqitE6GolSmowCy+Ts6cDjgsg&#10;m+4NlFRH7DxEoL7CNqhHejBCp+Hcn4ajes8kXc4vppPFlDNJoSzNZmkap5eI/OG1RedfKWhZ2BQc&#10;afgRXexvnQ/diPwhJRQzcKObJhqgMX9dUOJwo6KDjq8Dl9D+QMT3m/6ozQbKe2KFMLiL/hZtasAv&#10;nHXkrIK7zzuBirPmtSFlFtlkEqwYD5PpfEwHPI9sziPCSIIquOds2F77wb47i3pbU6VhFgauSM1K&#10;R6Kh1aGr4wzIPZH/0enBnufnmPXnd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SAWOrWAAAA&#10;CQEAAA8AAAAAAAAAAQAgAAAAIgAAAGRycy9kb3ducmV2LnhtbFBLAQIUABQAAAAIAIdO4kAZwFgi&#10;HwIAACUEAAAOAAAAAAAAAAEAIAAAACUBAABkcnMvZTJvRG9jLnhtbFBLBQYAAAAABgAGAFkBAAC2&#10;BQAAAAA=&#10;">
                <v:fill on="f" focussize="0,0"/>
                <v:stroke on="f"/>
                <v:imagedata o:title=""/>
                <o:lock v:ext="edit" aspectratio="f"/>
                <v:textbox>
                  <w:txbxContent>
                    <w:p w14:paraId="59CDEBBC">
                      <w:pPr>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牵头人项目管理费的约定</w:t>
                      </w:r>
                    </w:p>
                  </w:txbxContent>
                </v:textbox>
              </v:shape>
            </w:pict>
          </mc:Fallback>
        </mc:AlternateContent>
      </w:r>
      <w:r>
        <w:rPr>
          <w:rFonts w:hint="eastAsia" w:ascii="仿宋" w:hAnsi="仿宋" w:eastAsia="仿宋" w:cs="仿宋"/>
          <w:color w:val="auto"/>
          <w:highlight w:val="none"/>
          <w:lang w:eastAsia="zh-CN"/>
        </w:rPr>
        <w:t>承包人为联合体时，联合体牵头人对联合体各成员负责组织、管理和协调方面的工作。牵头人项目管理费的金额由合同双方当事人在本合同协议书中约定，该费用已包含在合同总价中，发包人不另行增加该费用。</w:t>
      </w:r>
    </w:p>
    <w:p w14:paraId="47A480A8">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牵头人项目管理费由发包人直接支付给联合体牵头人并从合同总价中扣除，支付时间、支付比例在专用条款中约定。</w:t>
      </w:r>
    </w:p>
    <w:p w14:paraId="4A901234">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合同履行期间，若牵头人及其授权的承包人代表不作为或存在过错，发包人有权部分或全部扣除该费用，并追究相关责任，扣除金额或比例在专用条款中约定。</w:t>
      </w:r>
    </w:p>
    <w:p w14:paraId="00875FE0">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牵头人项目管理费由</w:t>
      </w:r>
      <w:r>
        <w:rPr>
          <w:rFonts w:ascii="仿宋" w:hAnsi="仿宋" w:eastAsia="仿宋" w:cs="仿宋"/>
          <w:color w:val="auto"/>
          <w:highlight w:val="none"/>
          <w:lang w:eastAsia="zh-CN"/>
        </w:rPr>
        <w:t>联合体</w:t>
      </w:r>
      <w:r>
        <w:rPr>
          <w:rFonts w:hint="eastAsia" w:ascii="仿宋" w:hAnsi="仿宋" w:eastAsia="仿宋" w:cs="仿宋"/>
          <w:color w:val="auto"/>
          <w:highlight w:val="none"/>
          <w:lang w:eastAsia="zh-CN"/>
        </w:rPr>
        <w:t>各</w:t>
      </w:r>
      <w:r>
        <w:rPr>
          <w:rFonts w:ascii="仿宋" w:hAnsi="仿宋" w:eastAsia="仿宋" w:cs="仿宋"/>
          <w:color w:val="auto"/>
          <w:highlight w:val="none"/>
          <w:lang w:eastAsia="zh-CN"/>
        </w:rPr>
        <w:t>成员</w:t>
      </w:r>
      <w:r>
        <w:rPr>
          <w:rFonts w:hint="eastAsia" w:ascii="仿宋" w:hAnsi="仿宋" w:eastAsia="仿宋" w:cs="仿宋"/>
          <w:color w:val="auto"/>
          <w:highlight w:val="none"/>
          <w:lang w:eastAsia="zh-CN"/>
        </w:rPr>
        <w:t>单位分摊，联合体各成员单位分摊的金额、计费方式、支付方式以及违约处罚方式，由联合体各成员单位在联合体承包协议书中约定。</w:t>
      </w:r>
    </w:p>
    <w:p w14:paraId="4C4F5249">
      <w:pPr>
        <w:pStyle w:val="2"/>
        <w:adjustRightInd w:val="0"/>
        <w:snapToGrid w:val="0"/>
        <w:spacing w:line="360" w:lineRule="auto"/>
        <w:rPr>
          <w:rFonts w:hint="eastAsia" w:ascii="仿宋" w:hAnsi="仿宋" w:eastAsia="仿宋"/>
          <w:b/>
          <w:bCs/>
          <w:color w:val="auto"/>
          <w:sz w:val="24"/>
          <w:szCs w:val="24"/>
          <w:highlight w:val="none"/>
          <w:lang w:eastAsia="zh-CN"/>
        </w:rPr>
      </w:pPr>
    </w:p>
    <w:p w14:paraId="6CB48CB3">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68" w:name="_Toc28254"/>
      <w:r>
        <w:rPr>
          <w:rFonts w:hint="eastAsia" w:ascii="仿宋" w:hAnsi="仿宋" w:eastAsia="仿宋" w:cs="仿宋"/>
          <w:bCs w:val="0"/>
          <w:color w:val="auto"/>
          <w:sz w:val="24"/>
          <w:szCs w:val="24"/>
          <w:highlight w:val="none"/>
          <w:lang w:eastAsia="zh-CN"/>
        </w:rPr>
        <w:t>★69合同价格的约定与调整</w:t>
      </w:r>
      <w:bookmarkEnd w:id="368"/>
    </w:p>
    <w:p w14:paraId="4B08337F">
      <w:pPr>
        <w:pStyle w:val="2"/>
        <w:adjustRightInd w:val="0"/>
        <w:snapToGrid w:val="0"/>
        <w:spacing w:line="360" w:lineRule="auto"/>
        <w:ind w:left="1446" w:hanging="1446" w:hangingChars="600"/>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69</w:t>
      </w:r>
      <w:r>
        <w:rPr>
          <w:rFonts w:ascii="仿宋" w:hAnsi="仿宋" w:eastAsia="仿宋" w:cs="仿宋"/>
          <w:b/>
          <w:bCs/>
          <w:color w:val="auto"/>
          <w:sz w:val="24"/>
          <w:szCs w:val="24"/>
          <w:highlight w:val="none"/>
          <w:lang w:eastAsia="zh-CN"/>
        </w:rPr>
        <w:t>.1</w:t>
      </w:r>
    </w:p>
    <w:p w14:paraId="20ACD6DD">
      <w:pPr>
        <w:widowControl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2099584" behindDoc="0" locked="0" layoutInCell="1" allowOverlap="1">
                <wp:simplePos x="0" y="0"/>
                <wp:positionH relativeFrom="column">
                  <wp:posOffset>-114300</wp:posOffset>
                </wp:positionH>
                <wp:positionV relativeFrom="paragraph">
                  <wp:posOffset>57150</wp:posOffset>
                </wp:positionV>
                <wp:extent cx="825500" cy="596265"/>
                <wp:effectExtent l="0" t="0" r="0" b="0"/>
                <wp:wrapNone/>
                <wp:docPr id="765" name="文本框 982"/>
                <wp:cNvGraphicFramePr/>
                <a:graphic xmlns:a="http://schemas.openxmlformats.org/drawingml/2006/main">
                  <a:graphicData uri="http://schemas.microsoft.com/office/word/2010/wordprocessingShape">
                    <wps:wsp>
                      <wps:cNvSpPr txBox="1">
                        <a:spLocks noChangeArrowheads="1"/>
                      </wps:cNvSpPr>
                      <wps:spPr bwMode="auto">
                        <a:xfrm>
                          <a:off x="0" y="0"/>
                          <a:ext cx="825500" cy="596265"/>
                        </a:xfrm>
                        <a:prstGeom prst="rect">
                          <a:avLst/>
                        </a:prstGeom>
                        <a:noFill/>
                        <a:ln>
                          <a:noFill/>
                        </a:ln>
                        <a:effectLst/>
                      </wps:spPr>
                      <wps:txbx>
                        <w:txbxContent>
                          <w:p w14:paraId="07DC3C11">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约定合同价格</w:t>
                            </w:r>
                          </w:p>
                        </w:txbxContent>
                      </wps:txbx>
                      <wps:bodyPr rot="0" vert="horz" wrap="square" lIns="91440" tIns="45720" rIns="91440" bIns="45720" anchor="t" anchorCtr="0" upright="1">
                        <a:noAutofit/>
                      </wps:bodyPr>
                    </wps:wsp>
                  </a:graphicData>
                </a:graphic>
              </wp:anchor>
            </w:drawing>
          </mc:Choice>
          <mc:Fallback>
            <w:pict>
              <v:shape id="文本框 982" o:spid="_x0000_s1026" o:spt="202" type="#_x0000_t202" style="position:absolute;left:0pt;margin-left:-9pt;margin-top:4.5pt;height:46.95pt;width:65pt;z-index:252099584;mso-width-relative:page;mso-height-relative:page;" filled="f" stroked="f" coordsize="21600,21600" o:gfxdata="UEsDBAoAAAAAAIdO4kAAAAAAAAAAAAAAAAAEAAAAZHJzL1BLAwQUAAAACACHTuJAGt9kFNUAAAAJ&#10;AQAADwAAAGRycy9kb3ducmV2LnhtbE2PT0/DMAzF70h8h8hI3LakFaC11N0BxBXE+CNxyxqvrWic&#10;qsnW8u3xTnDys571/HvVdvGDOtEU+8AI2dqAIm6C67lFeH97Wm1AxWTZ2SEwIfxQhG19eVHZ0oWZ&#10;X+m0S62SEI6lRehSGkutY9ORt3EdRmLxDmHyNsk6tdpNdpZwP+jcmDvtbc/yobMjPXTUfO+OHuHj&#10;+fD1eWNe2kd/O85hMZp9oRGvrzJzDyrRkv6O4Ywv6FAL0z4c2UU1IKyyjXRJCIWMs5/lIvYiTF6A&#10;riv9v0H9C1BLAwQUAAAACACHTuJAXc6Snx0CAAAmBAAADgAAAGRycy9lMm9Eb2MueG1srVNLbtsw&#10;EN0X6B0I7mvZgu3YguUgjZGiQPoB0h6ApiiLqMRhh7Ql9wDtDbLqpvuey+fokHIcN91k0Q1BzufN&#10;vDfDxWXX1Gyn0GkwOR8NhpwpI6HQZpPzz59uXs04c16YQtRgVM73yvHL5csXi9ZmKoUK6kIhIxDj&#10;stbmvPLeZkniZKUa4QZglSFnCdgIT0/cJAWKltCbOkmHw2nSAhYWQSrnyLrqnfyIiM8BhLLUUq1A&#10;bhtlfI+KqhaeKLlKW8eXsduyVNJ/KEunPKtzTkx9PKkI3dfhTJYLkW1Q2ErLYwviOS084dQIbajo&#10;CWolvGBb1P9ANVoiOCj9QEKT9ESiIsRiNHyizV0lrIpcSGpnT6K7/wcr3+8+ItNFzi+mE86MaGjk&#10;h/sfh5+/D7++s/ksDRK11mUUeWcp1nevoaPFiXSdvQX5xTED15UwG3WFCG2lREEtjkJmcpba47gA&#10;sm7fQUGVxNZDBOpKbIJ+pAgjdBrP/jQe1XkmyThLJ5MheSS5JvNpSg2HCiJ7SLbo/BsFDQuXnCNN&#10;P4KL3a3zfehDSKhl4EbXNdlFVpu/DITZW1RcoWN2oBK673n4bt1RbjCuodgTKYR+vehz0aUC/MZZ&#10;S6uVc/d1K1BxVr81JMx8NB6HXYyP8eQipQeee9bnHmEkQeXcc9Zfr32/v1uLelNRpX4UBq5IzFJH&#10;oo9dHUdA6xOlOq562M/zd4x6/N7L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rfZBTVAAAACQEA&#10;AA8AAAAAAAAAAQAgAAAAIgAAAGRycy9kb3ducmV2LnhtbFBLAQIUABQAAAAIAIdO4kBdzpKfHQIA&#10;ACYEAAAOAAAAAAAAAAEAIAAAACQBAABkcnMvZTJvRG9jLnhtbFBLBQYAAAAABgAGAFkBAACzBQAA&#10;AAA=&#10;">
                <v:fill on="f" focussize="0,0"/>
                <v:stroke on="f"/>
                <v:imagedata o:title=""/>
                <o:lock v:ext="edit" aspectratio="f"/>
                <v:textbox>
                  <w:txbxContent>
                    <w:p w14:paraId="07DC3C11">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约定合同价格</w:t>
                      </w:r>
                    </w:p>
                  </w:txbxContent>
                </v:textbox>
              </v:shape>
            </w:pict>
          </mc:Fallback>
        </mc:AlternateContent>
      </w:r>
      <w:r>
        <w:rPr>
          <w:rFonts w:hint="eastAsia" w:ascii="仿宋" w:hAnsi="仿宋" w:eastAsia="仿宋" w:cs="仿宋"/>
          <w:color w:val="auto"/>
          <w:highlight w:val="none"/>
          <w:lang w:eastAsia="zh-CN"/>
        </w:rPr>
        <w:t>合同双方当事人应在本合同协议书中约定合同总价及其中包括的工程勘察费（如果有）、工程设计费、BIM技术应用费、设备及工器具购置费（如果有）、建筑安装工程费及其他服务费用等各分项费用总价。</w:t>
      </w:r>
    </w:p>
    <w:p w14:paraId="7CE99BF0">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招标发包工程的合同总价由合同双方当事人依据中标通知书的中标价格在本合同协议书中约定。直接发包工程的合同总价由合同双方当事人结合市场行情协商确定，也可参照基准日期前本地造价管理机构发布的价格指导文件协商，在本合同协议书中约定。</w:t>
      </w:r>
    </w:p>
    <w:p w14:paraId="39483059">
      <w:pPr>
        <w:spacing w:line="360" w:lineRule="auto"/>
        <w:rPr>
          <w:rFonts w:hint="eastAsia" w:ascii="仿宋" w:hAnsi="仿宋" w:eastAsia="仿宋" w:cs="仿宋"/>
          <w:color w:val="auto"/>
          <w:highlight w:val="none"/>
          <w:u w:val="dotted"/>
          <w:lang w:eastAsia="zh-CN"/>
        </w:rPr>
      </w:pPr>
      <w:r>
        <w:rPr>
          <w:rFonts w:hint="eastAsia" w:ascii="仿宋" w:hAnsi="仿宋" w:eastAsia="仿宋" w:cs="仿宋"/>
          <w:b/>
          <w:bCs/>
          <w:color w:val="auto"/>
          <w:highlight w:val="none"/>
          <w:lang w:eastAsia="zh-CN"/>
        </w:rPr>
        <w:t>69</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2</w:t>
      </w:r>
    </w:p>
    <w:p w14:paraId="38E6EFBF">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100608" behindDoc="0" locked="0" layoutInCell="1" allowOverlap="1">
                <wp:simplePos x="0" y="0"/>
                <wp:positionH relativeFrom="column">
                  <wp:posOffset>-178435</wp:posOffset>
                </wp:positionH>
                <wp:positionV relativeFrom="paragraph">
                  <wp:posOffset>96520</wp:posOffset>
                </wp:positionV>
                <wp:extent cx="836930" cy="798830"/>
                <wp:effectExtent l="0" t="0" r="0" b="0"/>
                <wp:wrapNone/>
                <wp:docPr id="766" name="文本框 983"/>
                <wp:cNvGraphicFramePr/>
                <a:graphic xmlns:a="http://schemas.openxmlformats.org/drawingml/2006/main">
                  <a:graphicData uri="http://schemas.microsoft.com/office/word/2010/wordprocessingShape">
                    <wps:wsp>
                      <wps:cNvSpPr txBox="1">
                        <a:spLocks noChangeArrowheads="1"/>
                      </wps:cNvSpPr>
                      <wps:spPr bwMode="auto">
                        <a:xfrm>
                          <a:off x="0" y="0"/>
                          <a:ext cx="836930" cy="798830"/>
                        </a:xfrm>
                        <a:prstGeom prst="rect">
                          <a:avLst/>
                        </a:prstGeom>
                        <a:noFill/>
                        <a:ln>
                          <a:noFill/>
                        </a:ln>
                        <a:effectLst/>
                      </wps:spPr>
                      <wps:txbx>
                        <w:txbxContent>
                          <w:p w14:paraId="3D9E348A">
                            <w:pPr>
                              <w:pStyle w:val="28"/>
                              <w:spacing w:line="20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合同价格的形式</w:t>
                            </w:r>
                          </w:p>
                        </w:txbxContent>
                      </wps:txbx>
                      <wps:bodyPr rot="0" vert="horz" wrap="square" lIns="91440" tIns="45720" rIns="91440" bIns="45720" anchor="t" anchorCtr="0" upright="1">
                        <a:noAutofit/>
                      </wps:bodyPr>
                    </wps:wsp>
                  </a:graphicData>
                </a:graphic>
              </wp:anchor>
            </w:drawing>
          </mc:Choice>
          <mc:Fallback>
            <w:pict>
              <v:shape id="文本框 983" o:spid="_x0000_s1026" o:spt="202" type="#_x0000_t202" style="position:absolute;left:0pt;margin-left:-14.05pt;margin-top:7.6pt;height:62.9pt;width:65.9pt;z-index:252100608;mso-width-relative:page;mso-height-relative:page;" filled="f" stroked="f" coordsize="21600,21600" o:gfxdata="UEsDBAoAAAAAAIdO4kAAAAAAAAAAAAAAAAAEAAAAZHJzL1BLAwQUAAAACACHTuJAbgzvYtcAAAAK&#10;AQAADwAAAGRycy9kb3ducmV2LnhtbE2PwW7CMAyG75P2DpEn7QZJOxisNOWwaddNY4C0W2hMW9E4&#10;VRNo9/Yzp3Gz9X/6/Tlfj64VF+xD40lDMlUgkEpvG6o0bL/fJ0sQIRqypvWEGn4xwLq4v8tNZv1A&#10;X3jZxEpwCYXMaKhj7DIpQ1mjM2HqOyTOjr53JvLaV9L2ZuBy18pUqWfpTEN8oTYdvtZYnjZnp2H3&#10;cfzZz9Rn9ebm3eBHJcm9SK0fHxK1AhFxjP8wXPVZHQp2Ovgz2SBaDZN0mTDKwTwFcQXU0wLEgYdZ&#10;okAWubx9ofgDUEsDBBQAAAAIAIdO4kCQh8GHHQIAACYEAAAOAAAAZHJzL2Uyb0RvYy54bWytU0tu&#10;2zAQ3RfoHQjua/lXfwTLQRojRYG0DZD2ADRFWUQlDjukLbkHaG/QVTfd51w+R4eU47jpJotuhOF8&#10;3sx7M1pctHXFdgqdBpPxQa/PmTIScm02Gf/86frVjDPnhclFBUZlfK8cv1i+fLFobKqGUEKVK2QE&#10;Ylza2IyX3ts0SZwsVS1cD6wyFCwAa+HpiZskR9EQel0lw35/kjSAuUWQyjnyrrogPyLicwChKLRU&#10;K5DbWhnfoaKqhCdKrtTW8WWctiiU9B+LwinPqowTUx+/1ITsdfgmy4VINyhsqeVxBPGcEZ5wqoU2&#10;1PQEtRJesC3qf6BqLREcFL4noU46IlERYjHoP9HmrhRWRS4ktbMn0d3/g5UfdrfIdJ7x6WTCmRE1&#10;rfzw88fh1/3h93c2n42CRI11KWXeWcr17Rto6XAiXWdvQH5xzMBVKcxGXSJCUyqR04iDUJmclXY4&#10;LoCsm/eQUyex9RCB2gLroB8pwgid1rM/rUe1nklyzkaT+YgikkLT+WxGdugg0odii86/VVCzYGQc&#10;afsRXOxunO9SH1JCLwPXuqrIL9LK/OUgzM6j4gkdqwOVMH3Hw7frlmqDcw35nkghdOdFPxcZJeA3&#10;zho6rYy7r1uBirPqnSFh5oPxONxifIxfT4f0wPPI+jwijCSojHvOOvPKd/e7tag3JXXqVmHgksQs&#10;dCT6ONVxBXQ+UarjqYf7PH/HrMffe/k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gzvYtcAAAAK&#10;AQAADwAAAAAAAAABACAAAAAiAAAAZHJzL2Rvd25yZXYueG1sUEsBAhQAFAAAAAgAh07iQJCHwYcd&#10;AgAAJgQAAA4AAAAAAAAAAQAgAAAAJgEAAGRycy9lMm9Eb2MueG1sUEsFBgAAAAAGAAYAWQEAALUF&#10;AAAAAA==&#10;">
                <v:fill on="f" focussize="0,0"/>
                <v:stroke on="f"/>
                <v:imagedata o:title=""/>
                <o:lock v:ext="edit" aspectratio="f"/>
                <v:textbox>
                  <w:txbxContent>
                    <w:p w14:paraId="3D9E348A">
                      <w:pPr>
                        <w:pStyle w:val="28"/>
                        <w:spacing w:line="20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合同价格的形式</w:t>
                      </w:r>
                    </w:p>
                  </w:txbxContent>
                </v:textbox>
              </v:shape>
            </w:pict>
          </mc:Fallback>
        </mc:AlternateContent>
      </w:r>
      <w:r>
        <w:rPr>
          <w:rFonts w:hint="eastAsia" w:ascii="仿宋" w:hAnsi="仿宋" w:eastAsia="仿宋"/>
          <w:color w:val="auto"/>
          <w:highlight w:val="none"/>
          <w:lang w:eastAsia="zh-CN"/>
        </w:rPr>
        <w:t>项目工程总承包应当采用总价合同，但特殊专项费用或受后续施工影响较大的可变因素较多的子项工程可采用单价合同或其他合同价格形式。发包</w:t>
      </w:r>
      <w:r>
        <w:rPr>
          <w:rFonts w:ascii="仿宋" w:hAnsi="仿宋" w:eastAsia="仿宋"/>
          <w:color w:val="auto"/>
          <w:highlight w:val="none"/>
          <w:lang w:eastAsia="zh-CN"/>
        </w:rPr>
        <w:t>人、</w:t>
      </w:r>
      <w:r>
        <w:rPr>
          <w:rFonts w:hint="eastAsia" w:ascii="仿宋" w:hAnsi="仿宋" w:eastAsia="仿宋"/>
          <w:color w:val="auto"/>
          <w:highlight w:val="none"/>
          <w:lang w:eastAsia="zh-CN"/>
        </w:rPr>
        <w:t>承</w:t>
      </w:r>
      <w:r>
        <w:rPr>
          <w:rFonts w:ascii="仿宋" w:hAnsi="仿宋" w:eastAsia="仿宋"/>
          <w:color w:val="auto"/>
          <w:highlight w:val="none"/>
          <w:lang w:eastAsia="zh-CN"/>
        </w:rPr>
        <w:t>包人</w:t>
      </w:r>
      <w:r>
        <w:rPr>
          <w:rFonts w:hint="eastAsia" w:ascii="仿宋" w:hAnsi="仿宋" w:eastAsia="仿宋"/>
          <w:color w:val="auto"/>
          <w:highlight w:val="none"/>
          <w:lang w:eastAsia="zh-CN"/>
        </w:rPr>
        <w:t>结合第72条约定的计量和计价规则在专用条款第72条中约定适用范围</w:t>
      </w:r>
      <w:r>
        <w:rPr>
          <w:rFonts w:hint="eastAsia" w:ascii="仿宋" w:hAnsi="仿宋" w:eastAsia="仿宋" w:cs="仿宋"/>
          <w:color w:val="auto"/>
          <w:highlight w:val="none"/>
          <w:lang w:eastAsia="zh-CN"/>
        </w:rPr>
        <w:t>：</w:t>
      </w:r>
    </w:p>
    <w:p w14:paraId="3FB1E812">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总价合同</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总价合同是指合同当事人约定以</w:t>
      </w:r>
      <w:r>
        <w:rPr>
          <w:rFonts w:hint="eastAsia" w:ascii="仿宋" w:hAnsi="仿宋" w:eastAsia="仿宋" w:cs="仿宋"/>
          <w:color w:val="auto"/>
          <w:highlight w:val="none"/>
          <w:lang w:eastAsia="zh-CN"/>
        </w:rPr>
        <w:t>发包人提供的项目基础资料、发包人要求、标准规范、合同价格清单</w:t>
      </w:r>
      <w:r>
        <w:rPr>
          <w:rFonts w:ascii="仿宋" w:hAnsi="仿宋" w:eastAsia="仿宋" w:cs="仿宋"/>
          <w:color w:val="auto"/>
          <w:highlight w:val="none"/>
          <w:lang w:eastAsia="zh-CN"/>
        </w:rPr>
        <w:t>及有关条件进行合同价格计算、调整和确认的建设工程</w:t>
      </w:r>
      <w:r>
        <w:rPr>
          <w:rFonts w:hint="eastAsia" w:ascii="仿宋" w:hAnsi="仿宋" w:eastAsia="仿宋" w:cs="仿宋"/>
          <w:color w:val="auto"/>
          <w:highlight w:val="none"/>
          <w:lang w:eastAsia="zh-CN"/>
        </w:rPr>
        <w:t>总承包</w:t>
      </w:r>
      <w:r>
        <w:rPr>
          <w:rFonts w:ascii="仿宋" w:hAnsi="仿宋" w:eastAsia="仿宋" w:cs="仿宋"/>
          <w:color w:val="auto"/>
          <w:highlight w:val="none"/>
          <w:lang w:eastAsia="zh-CN"/>
        </w:rPr>
        <w:t>合同，</w:t>
      </w:r>
      <w:r>
        <w:rPr>
          <w:rFonts w:hint="eastAsia" w:ascii="仿宋" w:hAnsi="仿宋" w:eastAsia="仿宋" w:cs="仿宋"/>
          <w:color w:val="auto"/>
          <w:highlight w:val="none"/>
          <w:lang w:eastAsia="zh-CN"/>
        </w:rPr>
        <w:t>除合同约定允许调整的事项外，合同总价不予调整。</w:t>
      </w:r>
    </w:p>
    <w:p w14:paraId="6D8F3C5C">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）总价合同＋部分单价合同。其中</w:t>
      </w:r>
      <w:r>
        <w:rPr>
          <w:rFonts w:ascii="仿宋" w:hAnsi="仿宋" w:eastAsia="仿宋" w:cs="仿宋"/>
          <w:color w:val="auto"/>
          <w:highlight w:val="none"/>
          <w:lang w:eastAsia="zh-CN"/>
        </w:rPr>
        <w:t>单价合同是指合同当事人约定以</w:t>
      </w:r>
      <w:r>
        <w:rPr>
          <w:rFonts w:hint="eastAsia" w:ascii="仿宋" w:hAnsi="仿宋" w:eastAsia="仿宋" w:cs="仿宋"/>
          <w:color w:val="auto"/>
          <w:highlight w:val="none"/>
          <w:lang w:eastAsia="zh-CN"/>
        </w:rPr>
        <w:t>合同价格</w:t>
      </w:r>
      <w:r>
        <w:rPr>
          <w:rFonts w:ascii="仿宋" w:hAnsi="仿宋" w:eastAsia="仿宋" w:cs="仿宋"/>
          <w:color w:val="auto"/>
          <w:highlight w:val="none"/>
          <w:lang w:eastAsia="zh-CN"/>
        </w:rPr>
        <w:t>清单及其综合单价进行合同价格计算、调整和确认的建设工程</w:t>
      </w:r>
      <w:r>
        <w:rPr>
          <w:rFonts w:hint="eastAsia" w:ascii="仿宋" w:hAnsi="仿宋" w:eastAsia="仿宋" w:cs="仿宋"/>
          <w:color w:val="auto"/>
          <w:highlight w:val="none"/>
          <w:lang w:eastAsia="zh-CN"/>
        </w:rPr>
        <w:t>总承包</w:t>
      </w:r>
      <w:r>
        <w:rPr>
          <w:rFonts w:ascii="仿宋" w:hAnsi="仿宋" w:eastAsia="仿宋" w:cs="仿宋"/>
          <w:color w:val="auto"/>
          <w:highlight w:val="none"/>
          <w:lang w:eastAsia="zh-CN"/>
        </w:rPr>
        <w:t>合同，</w:t>
      </w:r>
      <w:r>
        <w:rPr>
          <w:rFonts w:hint="eastAsia" w:ascii="仿宋" w:hAnsi="仿宋" w:eastAsia="仿宋" w:cs="仿宋"/>
          <w:color w:val="auto"/>
          <w:highlight w:val="none"/>
          <w:lang w:eastAsia="zh-CN"/>
        </w:rPr>
        <w:t>除合同约定可以调整的事项外，工作量或工程量按实计算，综合</w:t>
      </w:r>
      <w:r>
        <w:rPr>
          <w:rFonts w:ascii="仿宋" w:hAnsi="仿宋" w:eastAsia="仿宋" w:cs="仿宋"/>
          <w:color w:val="auto"/>
          <w:highlight w:val="none"/>
          <w:lang w:eastAsia="zh-CN"/>
        </w:rPr>
        <w:t>单价不</w:t>
      </w:r>
      <w:r>
        <w:rPr>
          <w:rFonts w:hint="eastAsia" w:ascii="仿宋" w:hAnsi="仿宋" w:eastAsia="仿宋" w:cs="仿宋"/>
          <w:color w:val="auto"/>
          <w:highlight w:val="none"/>
          <w:lang w:eastAsia="zh-CN"/>
        </w:rPr>
        <w:t>予</w:t>
      </w:r>
      <w:r>
        <w:rPr>
          <w:rFonts w:ascii="仿宋" w:hAnsi="仿宋" w:eastAsia="仿宋" w:cs="仿宋"/>
          <w:color w:val="auto"/>
          <w:highlight w:val="none"/>
          <w:lang w:eastAsia="zh-CN"/>
        </w:rPr>
        <w:t>调整。</w:t>
      </w:r>
    </w:p>
    <w:p w14:paraId="3D28A77E">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w:t>
      </w:r>
      <w:r>
        <w:rPr>
          <w:rFonts w:ascii="仿宋" w:hAnsi="仿宋" w:eastAsia="仿宋" w:cs="仿宋"/>
          <w:color w:val="auto"/>
          <w:highlight w:val="none"/>
          <w:lang w:eastAsia="zh-CN"/>
        </w:rPr>
        <w:t>其它价格形式</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合同当事人在专用条款中约定其他合同价格形式</w:t>
      </w:r>
      <w:r>
        <w:rPr>
          <w:rFonts w:hint="eastAsia" w:ascii="仿宋" w:hAnsi="仿宋" w:eastAsia="仿宋" w:cs="仿宋"/>
          <w:color w:val="auto"/>
          <w:highlight w:val="none"/>
          <w:lang w:eastAsia="zh-CN"/>
        </w:rPr>
        <w:t>及合同价格的计算依据、计算方法</w:t>
      </w:r>
      <w:r>
        <w:rPr>
          <w:rFonts w:ascii="仿宋" w:hAnsi="仿宋" w:eastAsia="仿宋" w:cs="仿宋"/>
          <w:color w:val="auto"/>
          <w:highlight w:val="none"/>
          <w:lang w:eastAsia="zh-CN"/>
        </w:rPr>
        <w:t>。</w:t>
      </w:r>
    </w:p>
    <w:p w14:paraId="5D3F0217">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69</w:t>
      </w:r>
      <w:r>
        <w:rPr>
          <w:rFonts w:ascii="仿宋" w:hAnsi="仿宋" w:eastAsia="仿宋" w:cs="仿宋"/>
          <w:b/>
          <w:bCs/>
          <w:color w:val="auto"/>
          <w:highlight w:val="none"/>
          <w:lang w:eastAsia="zh-CN"/>
        </w:rPr>
        <w:t>.3</w:t>
      </w:r>
    </w:p>
    <w:p w14:paraId="51BB3E77">
      <w:pPr>
        <w:widowControl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101632" behindDoc="0" locked="0" layoutInCell="1" allowOverlap="1">
                <wp:simplePos x="0" y="0"/>
                <wp:positionH relativeFrom="column">
                  <wp:posOffset>-114300</wp:posOffset>
                </wp:positionH>
                <wp:positionV relativeFrom="paragraph">
                  <wp:posOffset>5080</wp:posOffset>
                </wp:positionV>
                <wp:extent cx="822960" cy="652145"/>
                <wp:effectExtent l="0" t="0" r="0" b="0"/>
                <wp:wrapNone/>
                <wp:docPr id="767" name="文本框 984"/>
                <wp:cNvGraphicFramePr/>
                <a:graphic xmlns:a="http://schemas.openxmlformats.org/drawingml/2006/main">
                  <a:graphicData uri="http://schemas.microsoft.com/office/word/2010/wordprocessingShape">
                    <wps:wsp>
                      <wps:cNvSpPr txBox="1">
                        <a:spLocks noChangeArrowheads="1"/>
                      </wps:cNvSpPr>
                      <wps:spPr bwMode="auto">
                        <a:xfrm>
                          <a:off x="0" y="0"/>
                          <a:ext cx="822960" cy="652145"/>
                        </a:xfrm>
                        <a:prstGeom prst="rect">
                          <a:avLst/>
                        </a:prstGeom>
                        <a:noFill/>
                        <a:ln>
                          <a:noFill/>
                        </a:ln>
                        <a:effectLst/>
                      </wps:spPr>
                      <wps:txbx>
                        <w:txbxContent>
                          <w:p w14:paraId="7E282E5D">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合同价格的调整事项</w:t>
                            </w:r>
                          </w:p>
                        </w:txbxContent>
                      </wps:txbx>
                      <wps:bodyPr rot="0" vert="horz" wrap="square" lIns="91440" tIns="45720" rIns="91440" bIns="45720" anchor="t" anchorCtr="0" upright="1">
                        <a:noAutofit/>
                      </wps:bodyPr>
                    </wps:wsp>
                  </a:graphicData>
                </a:graphic>
              </wp:anchor>
            </w:drawing>
          </mc:Choice>
          <mc:Fallback>
            <w:pict>
              <v:shape id="文本框 984" o:spid="_x0000_s1026" o:spt="202" type="#_x0000_t202" style="position:absolute;left:0pt;margin-left:-9pt;margin-top:0.4pt;height:51.35pt;width:64.8pt;z-index:252101632;mso-width-relative:page;mso-height-relative:page;" filled="f" stroked="f" coordsize="21600,21600" o:gfxdata="UEsDBAoAAAAAAIdO4kAAAAAAAAAAAAAAAAAEAAAAZHJzL1BLAwQUAAAACACHTuJAbvXjQdUAAAAI&#10;AQAADwAAAGRycy9kb3ducmV2LnhtbE2PwW7CMAyG75N4h8iTdoMkGyAoTTkw7bppsE3aLTSmrdY4&#10;VRNo9/aY03az9Vu/vy/fjr4VF+xjE8iAnikQSGVwDVUGPg4v0xWImCw52wZCA78YYVtM7nKbuTDQ&#10;O172qRJcQjGzBuqUukzKWNbobZyFDomzU+i9Tbz2lXS9Hbjct/JRqaX0tiH+UNsOdzWWP/uzN/D5&#10;evr+mqu36tkvuiGMSpJfS2Me7rXagEg4pr9juOEzOhTMdAxnclG0BqZ6xS7JAAvcYq2XII48qKcF&#10;yCKX/wWKK1BLAwQUAAAACACHTuJAk5+SgR4CAAAmBAAADgAAAGRycy9lMm9Eb2MueG1srVNLjhMx&#10;EN0jcQfLe9JJlG8rndEw0SCk4SMNHMBxu9MW3S5TdtIdDgA3YMWGPefKOSi7e0IYNrNgY9mu8qt6&#10;r55XV21dsYNCp8FkfDQYcqaMhFybXcY/frh9seDMeWFyUYFRGT8qx6/Wz5+tGpuqMZRQ5QoZgRiX&#10;Njbjpfc2TRInS1ULNwCrDAULwFp4OuIuyVE0hF5XyXg4nCUNYG4RpHKObjddkPeI+BRAKAot1Qbk&#10;vlbGd6ioKuGJkiu1dXwduy0KJf27onDKsyrjxNTHlYrQfhvWZL0S6Q6FLbXsWxBPaeERp1poQ0XP&#10;UBvhBduj/geq1hLBQeEHEuqkIxIVIRaj4SNt7kthVeRCUjt7Ft39P1j59vAemc4zPp/NOTOippGf&#10;vn87/fh1+vmVLReTIFFjXUqZ95ZyffsSWjJOpOvsHchPjhm4KYXZqWtEaEolcmpxFF4mF087HBdA&#10;ts0byKmS2HuIQG2BddCPFGGETuM5nsejWs8kXS7G4+WMIpJCs+l4NJnGCiJ9eGzR+VcKahY2GUea&#10;fgQXhzvnQzMifUgJtQzc6qqKDqjMXxeU2N2oaKH+daASuu94+Hbb9tJsIT8SKYTOXvS5aFMCfuGs&#10;IWtl3H3eC1ScVa8NCbMcTSbBi/Ewmc7HdMDLyPYyIowkqIx7zrrtje/8u7eodyVV6kZh4JrELHQk&#10;GlrtuupHQPaJ/HurB39enmPWn++9/g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u9eNB1QAAAAgB&#10;AAAPAAAAAAAAAAEAIAAAACIAAABkcnMvZG93bnJldi54bWxQSwECFAAUAAAACACHTuJAk5+SgR4C&#10;AAAmBAAADgAAAAAAAAABACAAAAAkAQAAZHJzL2Uyb0RvYy54bWxQSwUGAAAAAAYABgBZAQAAtAUA&#10;AAAA&#10;">
                <v:fill on="f" focussize="0,0"/>
                <v:stroke on="f"/>
                <v:imagedata o:title=""/>
                <o:lock v:ext="edit" aspectratio="f"/>
                <v:textbox>
                  <w:txbxContent>
                    <w:p w14:paraId="7E282E5D">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合同价格的调整事项</w:t>
                      </w:r>
                    </w:p>
                  </w:txbxContent>
                </v:textbox>
              </v:shape>
            </w:pict>
          </mc:Fallback>
        </mc:AlternateContent>
      </w:r>
      <w:r>
        <w:rPr>
          <w:rFonts w:hint="eastAsia" w:ascii="仿宋" w:hAnsi="仿宋" w:eastAsia="仿宋" w:cs="仿宋"/>
          <w:color w:val="auto"/>
          <w:highlight w:val="none"/>
          <w:lang w:eastAsia="zh-CN"/>
        </w:rPr>
        <w:t>合同双方当事人应明确合同价格的调整事项。除专用条款另有约定外，允许调整事项应包括：</w:t>
      </w:r>
    </w:p>
    <w:p w14:paraId="787FE696">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（1）因国家法律、法规、政策变化引起的合同价格的变化；</w:t>
      </w:r>
    </w:p>
    <w:p w14:paraId="14CBFF44">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（2）因下列原因导致的可调价变更：</w:t>
      </w:r>
    </w:p>
    <w:p w14:paraId="1C5D82CD">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① 合同执行期间（含勘察期、设计期和施工期）发包人要求或发包时合同基础资料本身缺陷导致的重大调整（包括功能变化、规模调整、主要标准变化等，具体在专用条款中明确可量化的指标），造成的工程费用增减。</w:t>
      </w:r>
    </w:p>
    <w:p w14:paraId="7ADC518F">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② 合同执行期间（含勘察期、设计期和施工期）承包人不可预见的重大地质变化（相对于发包人提供的地质初勘资料，具体在专用条款中明确可量化的指标），造成的工程费用增减。</w:t>
      </w:r>
    </w:p>
    <w:p w14:paraId="159CD587">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③ 合同执行期间（含勘察期、设计期和施工期），因不可抗力导致工程费增减的，在扣减保险理赔金额后，按剩余金额调整合同价格。</w:t>
      </w:r>
    </w:p>
    <w:p w14:paraId="5F2782BB">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（3）主要工程材料、工程设备、人工价格与基准日期价格相比，波动幅度超过专用条款约定幅度的部分；</w:t>
      </w:r>
    </w:p>
    <w:p w14:paraId="3F485CF3">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（4）非承包人原因产生的费用索赔、现场签证、赶工措施费等有关工程费用；</w:t>
      </w:r>
    </w:p>
    <w:p w14:paraId="7986810F">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（5）专用条款约定给予承包人的奖励金额；</w:t>
      </w:r>
    </w:p>
    <w:p w14:paraId="4FBECC97">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（6）专用条款约定的其他调整事项。</w:t>
      </w:r>
    </w:p>
    <w:p w14:paraId="1C48B435">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本款调整事项应分别按照第78条至第82条的约定调整合同价格。</w:t>
      </w:r>
    </w:p>
    <w:p w14:paraId="583C5611">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69</w:t>
      </w:r>
      <w:r>
        <w:rPr>
          <w:rFonts w:ascii="仿宋" w:hAnsi="仿宋" w:eastAsia="仿宋" w:cs="仿宋"/>
          <w:b/>
          <w:bCs/>
          <w:color w:val="auto"/>
          <w:sz w:val="24"/>
          <w:szCs w:val="24"/>
          <w:highlight w:val="none"/>
          <w:lang w:eastAsia="zh-CN"/>
        </w:rPr>
        <w:t xml:space="preserve">.4  </w:t>
      </w:r>
    </w:p>
    <w:p w14:paraId="7ED2E12C">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合同履行期间，</w:t>
      </w:r>
      <w:r>
        <w:rPr>
          <w:color w:val="auto"/>
          <w:highlight w:val="none"/>
          <w:lang w:eastAsia="zh-CN"/>
        </w:rPr>
        <mc:AlternateContent>
          <mc:Choice Requires="wps">
            <w:drawing>
              <wp:anchor distT="0" distB="0" distL="114300" distR="114300" simplePos="0" relativeHeight="252102656" behindDoc="0" locked="0" layoutInCell="1" allowOverlap="1">
                <wp:simplePos x="0" y="0"/>
                <wp:positionH relativeFrom="column">
                  <wp:posOffset>-114300</wp:posOffset>
                </wp:positionH>
                <wp:positionV relativeFrom="paragraph">
                  <wp:posOffset>5080</wp:posOffset>
                </wp:positionV>
                <wp:extent cx="832485" cy="603885"/>
                <wp:effectExtent l="0" t="0" r="0" b="0"/>
                <wp:wrapNone/>
                <wp:docPr id="768" name="文本框 985"/>
                <wp:cNvGraphicFramePr/>
                <a:graphic xmlns:a="http://schemas.openxmlformats.org/drawingml/2006/main">
                  <a:graphicData uri="http://schemas.microsoft.com/office/word/2010/wordprocessingShape">
                    <wps:wsp>
                      <wps:cNvSpPr txBox="1">
                        <a:spLocks noChangeArrowheads="1"/>
                      </wps:cNvSpPr>
                      <wps:spPr bwMode="auto">
                        <a:xfrm>
                          <a:off x="0" y="0"/>
                          <a:ext cx="832485" cy="603885"/>
                        </a:xfrm>
                        <a:prstGeom prst="rect">
                          <a:avLst/>
                        </a:prstGeom>
                        <a:noFill/>
                        <a:ln>
                          <a:noFill/>
                        </a:ln>
                        <a:effectLst/>
                      </wps:spPr>
                      <wps:txbx>
                        <w:txbxContent>
                          <w:p w14:paraId="6A5A1F75">
                            <w:pPr>
                              <w:pStyle w:val="28"/>
                              <w:spacing w:line="200" w:lineRule="exact"/>
                              <w:rPr>
                                <w:rFonts w:ascii="宋体"/>
                                <w:sz w:val="18"/>
                                <w:szCs w:val="18"/>
                              </w:rPr>
                            </w:pPr>
                            <w:r>
                              <w:rPr>
                                <w:rFonts w:hint="eastAsia" w:ascii="楷体_GB2312" w:hAnsi="宋体" w:eastAsia="楷体_GB2312" w:cs="楷体_GB2312"/>
                                <w:b/>
                                <w:bCs/>
                                <w:color w:val="000000"/>
                                <w:sz w:val="18"/>
                                <w:szCs w:val="18"/>
                              </w:rPr>
                              <w:t>调整合同价格</w:t>
                            </w:r>
                          </w:p>
                        </w:txbxContent>
                      </wps:txbx>
                      <wps:bodyPr rot="0" vert="horz" wrap="square" lIns="91440" tIns="45720" rIns="91440" bIns="45720" anchor="t" anchorCtr="0" upright="1">
                        <a:noAutofit/>
                      </wps:bodyPr>
                    </wps:wsp>
                  </a:graphicData>
                </a:graphic>
              </wp:anchor>
            </w:drawing>
          </mc:Choice>
          <mc:Fallback>
            <w:pict>
              <v:shape id="文本框 985" o:spid="_x0000_s1026" o:spt="202" type="#_x0000_t202" style="position:absolute;left:0pt;margin-left:-9pt;margin-top:0.4pt;height:47.55pt;width:65.55pt;z-index:252102656;mso-width-relative:page;mso-height-relative:page;" filled="f" stroked="f" coordsize="21600,21600" o:gfxdata="UEsDBAoAAAAAAIdO4kAAAAAAAAAAAAAAAAAEAAAAZHJzL1BLAwQUAAAACACHTuJAOuQTSdQAAAAH&#10;AQAADwAAAGRycy9kb3ducmV2LnhtbE2PwU7DMBBE70j8g7VI3Frb0FZNyKYHEFcQbUHi5sbbJCJe&#10;R7HbhL+ve4LjaEYzb4rN5DpxpiG0nhH0XIEgrrxtuUbY715naxAhGram80wIvxRgU97eFCa3fuQP&#10;Om9jLVIJh9wgNDH2uZShasiZMPc9cfKOfnAmJjnU0g5mTOWukw9KraQzLaeFxvT03FD1sz05hM+3&#10;4/fXQr3XL27Zj35Skl0mEe/vtHoCEWmKf2G44id0KBPTwZ/YBtEhzPQ6fYkI6cDV1o8axAEhW2Yg&#10;y0L+5y8vUEsDBBQAAAAIAIdO4kASAVOGHgIAACYEAAAOAAAAZHJzL2Uyb0RvYy54bWytU0tu2zAQ&#10;3RfoHQjua9mO4ziC5SCNkaJA+gHSHoCmKIuoxGGHtCX3AO0Nuuqm+57L5+iQdFw33WTRjUByyDfv&#10;vXmaX/Vtw7YKnQZT8NFgyJkyEkpt1gX/+OH2xYwz54UpRQNGFXynHL9aPH8272yuxlBDUypkBGJc&#10;3tmC197bPMucrFUr3ACsMlSsAFvhaYvrrETREXrbZOPhcJp1gKVFkMo5Ol2mIj8g4lMAoaq0VEuQ&#10;m1YZn1BRNcKTJFdr6/gisq0qJf27qnLKs6bgpNTHLzWh9Sp8s8Vc5GsUttbyQEE8hcIjTa3Qhpoe&#10;oZbCC7ZB/Q9UqyWCg8oPJLRZEhIdIRWj4SNv7mthVdRCVjt7NN39P1j5dvsemS4LfjGlwRvR0sj3&#10;37/tf/za//zKLmfnwaLOupxu3lu66/uX0FNwolxn70B+cszATS3MWl0jQlcrURLFUXiZnTxNOC6A&#10;rLo3UFInsfEQgfoK2+AfOcIIncazO45H9Z5JOpydjSfEh0kqTYdns8QtE/nDY4vOv1LQsrAoONL0&#10;I7jY3jkfyIj84UroZeBWN01MQGP+OqCL6UTFCB1eBymBfdLh+1V/sGYF5Y5EIaR40c9FixrwC2cd&#10;Ravg7vNGoOKseW3ImMvRZBKyGDeT84sxbfC0sjqtCCMJquCes7S88Sm/G4t6XVOnNAoD12RmpaPQ&#10;QDWxOoyA4hP1H6Ie8nm6j7f+/N6L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rkE0nUAAAABwEA&#10;AA8AAAAAAAAAAQAgAAAAIgAAAGRycy9kb3ducmV2LnhtbFBLAQIUABQAAAAIAIdO4kASAVOGHgIA&#10;ACYEAAAOAAAAAAAAAAEAIAAAACMBAABkcnMvZTJvRG9jLnhtbFBLBQYAAAAABgAGAFkBAACzBQAA&#10;AAA=&#10;">
                <v:fill on="f" focussize="0,0"/>
                <v:stroke on="f"/>
                <v:imagedata o:title=""/>
                <o:lock v:ext="edit" aspectratio="f"/>
                <v:textbox>
                  <w:txbxContent>
                    <w:p w14:paraId="6A5A1F75">
                      <w:pPr>
                        <w:pStyle w:val="28"/>
                        <w:spacing w:line="200" w:lineRule="exact"/>
                        <w:rPr>
                          <w:rFonts w:ascii="宋体"/>
                          <w:sz w:val="18"/>
                          <w:szCs w:val="18"/>
                        </w:rPr>
                      </w:pPr>
                      <w:r>
                        <w:rPr>
                          <w:rFonts w:hint="eastAsia" w:ascii="楷体_GB2312" w:hAnsi="宋体" w:eastAsia="楷体_GB2312" w:cs="楷体_GB2312"/>
                          <w:b/>
                          <w:bCs/>
                          <w:color w:val="000000"/>
                          <w:sz w:val="18"/>
                          <w:szCs w:val="18"/>
                        </w:rPr>
                        <w:t>调整合同价格</w:t>
                      </w:r>
                    </w:p>
                  </w:txbxContent>
                </v:textbox>
              </v:shape>
            </w:pict>
          </mc:Fallback>
        </mc:AlternateContent>
      </w:r>
      <w:r>
        <w:rPr>
          <w:rFonts w:hint="eastAsia" w:ascii="仿宋" w:hAnsi="仿宋" w:eastAsia="仿宋" w:cs="仿宋"/>
          <w:color w:val="auto"/>
          <w:sz w:val="24"/>
          <w:szCs w:val="24"/>
          <w:highlight w:val="none"/>
          <w:lang w:eastAsia="zh-CN"/>
        </w:rPr>
        <w:t>出现第69</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3款约定调整合同价格事项的，合同双方当事人应调整合同价格。除费用索赔、现场签证事项分别按照第80条、第81条约定外，调整合同价格的提出、核实、确认与支付等事项，由合同双方当事人按照第70条约定办理。</w:t>
      </w:r>
    </w:p>
    <w:p w14:paraId="3BD41E43">
      <w:pPr>
        <w:spacing w:line="360" w:lineRule="auto"/>
        <w:rPr>
          <w:color w:val="auto"/>
          <w:highlight w:val="none"/>
          <w:lang w:eastAsia="zh-CN" w:bidi="ar-SA"/>
        </w:rPr>
      </w:pPr>
    </w:p>
    <w:p w14:paraId="76E5823B">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69" w:name="_Toc766"/>
      <w:r>
        <w:rPr>
          <w:rFonts w:hint="eastAsia" w:ascii="仿宋" w:hAnsi="仿宋" w:eastAsia="仿宋" w:cs="仿宋"/>
          <w:bCs w:val="0"/>
          <w:color w:val="auto"/>
          <w:sz w:val="24"/>
          <w:szCs w:val="24"/>
          <w:highlight w:val="none"/>
          <w:lang w:eastAsia="zh-CN"/>
        </w:rPr>
        <w:t>★70合同价格调整程序</w:t>
      </w:r>
      <w:bookmarkEnd w:id="369"/>
    </w:p>
    <w:p w14:paraId="75BDAE4C">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70</w:t>
      </w:r>
      <w:r>
        <w:rPr>
          <w:rFonts w:ascii="仿宋" w:hAnsi="仿宋" w:eastAsia="仿宋" w:cs="仿宋"/>
          <w:b/>
          <w:bCs/>
          <w:color w:val="auto"/>
          <w:sz w:val="24"/>
          <w:szCs w:val="24"/>
          <w:highlight w:val="none"/>
          <w:lang w:eastAsia="zh-CN"/>
        </w:rPr>
        <w:t>.</w:t>
      </w:r>
      <w:r>
        <w:rPr>
          <w:rFonts w:hint="eastAsia" w:ascii="仿宋" w:hAnsi="仿宋" w:eastAsia="仿宋" w:cs="仿宋"/>
          <w:b/>
          <w:bCs/>
          <w:color w:val="auto"/>
          <w:sz w:val="24"/>
          <w:szCs w:val="24"/>
          <w:highlight w:val="none"/>
          <w:lang w:eastAsia="zh-CN"/>
        </w:rPr>
        <w:t>1</w:t>
      </w:r>
    </w:p>
    <w:p w14:paraId="0916E786">
      <w:pPr>
        <w:pStyle w:val="2"/>
        <w:widowControl w:val="0"/>
        <w:adjustRightInd w:val="0"/>
        <w:snapToGrid w:val="0"/>
        <w:spacing w:line="360" w:lineRule="auto"/>
        <w:ind w:left="1850" w:leftChars="771"/>
        <w:jc w:val="both"/>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107776" behindDoc="0" locked="0" layoutInCell="1" allowOverlap="1">
                <wp:simplePos x="0" y="0"/>
                <wp:positionH relativeFrom="column">
                  <wp:posOffset>-58420</wp:posOffset>
                </wp:positionH>
                <wp:positionV relativeFrom="paragraph">
                  <wp:posOffset>65405</wp:posOffset>
                </wp:positionV>
                <wp:extent cx="794385" cy="598805"/>
                <wp:effectExtent l="0" t="0" r="0" b="0"/>
                <wp:wrapNone/>
                <wp:docPr id="769" name="文本框 1024"/>
                <wp:cNvGraphicFramePr/>
                <a:graphic xmlns:a="http://schemas.openxmlformats.org/drawingml/2006/main">
                  <a:graphicData uri="http://schemas.microsoft.com/office/word/2010/wordprocessingShape">
                    <wps:wsp>
                      <wps:cNvSpPr txBox="1">
                        <a:spLocks noChangeArrowheads="1"/>
                      </wps:cNvSpPr>
                      <wps:spPr bwMode="auto">
                        <a:xfrm>
                          <a:off x="0" y="0"/>
                          <a:ext cx="794385" cy="598805"/>
                        </a:xfrm>
                        <a:prstGeom prst="rect">
                          <a:avLst/>
                        </a:prstGeom>
                        <a:noFill/>
                        <a:ln>
                          <a:noFill/>
                        </a:ln>
                        <a:effectLst/>
                      </wps:spPr>
                      <wps:txbx>
                        <w:txbxContent>
                          <w:p w14:paraId="5332B5C9">
                            <w:pPr>
                              <w:pStyle w:val="66"/>
                              <w:spacing w:line="200" w:lineRule="exact"/>
                              <w:rPr>
                                <w:rFonts w:hint="eastAsia" w:ascii="宋体" w:hAnsi="宋体" w:eastAsia="宋体"/>
                                <w:sz w:val="18"/>
                                <w:szCs w:val="18"/>
                                <w:lang w:eastAsia="zh-CN"/>
                              </w:rPr>
                            </w:pPr>
                            <w:r>
                              <w:rPr>
                                <w:rFonts w:hint="eastAsia" w:ascii="楷体_GB2312" w:hAnsi="宋体" w:cs="楷体_GB2312"/>
                                <w:sz w:val="18"/>
                                <w:szCs w:val="18"/>
                                <w:lang w:eastAsia="zh-CN"/>
                              </w:rPr>
                              <w:t>合同价格调增报告的提出</w:t>
                            </w:r>
                          </w:p>
                        </w:txbxContent>
                      </wps:txbx>
                      <wps:bodyPr rot="0" vert="horz" wrap="square" lIns="91440" tIns="45720" rIns="91440" bIns="45720" anchor="t" anchorCtr="0" upright="1">
                        <a:noAutofit/>
                      </wps:bodyPr>
                    </wps:wsp>
                  </a:graphicData>
                </a:graphic>
              </wp:anchor>
            </w:drawing>
          </mc:Choice>
          <mc:Fallback>
            <w:pict>
              <v:shape id="文本框 1024" o:spid="_x0000_s1026" o:spt="202" type="#_x0000_t202" style="position:absolute;left:0pt;margin-left:-4.6pt;margin-top:5.15pt;height:47.15pt;width:62.55pt;z-index:252107776;mso-width-relative:page;mso-height-relative:page;" filled="f" stroked="f" coordsize="21600,21600" o:gfxdata="UEsDBAoAAAAAAIdO4kAAAAAAAAAAAAAAAAAEAAAAZHJzL1BLAwQUAAAACACHTuJAcsuax9UAAAAJ&#10;AQAADwAAAGRycy9kb3ducmV2LnhtbE2PzU7DMBCE70h9B2uRuLV2SluREKeHIq4g+oPEzY23SUS8&#10;jmK3CW/P5gTHnRnNfpNvR9eKG/ah8aQhWSgQSKW3DVUajofX+ROIEA1Z03pCDT8YYFvM7nKTWT/Q&#10;B972sRJcQiEzGuoYu0zKUNboTFj4Dom9i++diXz2lbS9GbjctXKp1EY60xB/qE2HuxrL7/3VaTi9&#10;Xb4+V+q9enHrbvCjkuRSqfXDfaKeQUQc418YJnxGh4KZzv5KNohWwzxdcpJ19Qhi8pN1CuI8CasN&#10;yCKX/xcUv1BLAwQUAAAACACHTuJAbMeaMiECAAAnBAAADgAAAGRycy9lMm9Eb2MueG1srVPNjtMw&#10;EL4j8Q6W7zRtabdt1HS1bLUIafmRFh7AdZzGIvGYsdukPAD7Bpy4cOe5+hyMnWwpy2UPXCzbM/5m&#10;vm8+Ly/bumJ7hU6DyfhoMORMGQm5NtuMf/p482LOmfPC5KICozJ+UI5frp4/WzY2VWMoocoVMgIx&#10;Lm1sxkvvbZokTpaqFm4AVhkKFoC18HTEbZKjaAi9rpLxcHiRNIC5RZDKObpdd0HeI+JTAKEotFRr&#10;kLtaGd+hoqqEJ0qu1NbxVey2KJT074vCKc+qjBNTH1cqQvtNWJPVUqRbFLbUsm9BPKWFR5xqoQ0V&#10;PUGthRdsh/ofqFpLBAeFH0iok45IVIRYjIaPtLkrhVWRC0nt7El09/9g5bv9B2Q6z/jsYsGZETWN&#10;/Pj9/vjj1/HnNzYajidBo8a6lFLvLCX79hW05JzI19lbkJ8dM3BdCrNVV4jQlErk1OMovEzOnnY4&#10;LoBsmreQUymx8xCB2gLrICBJwgid5nM4zUe1nkm6nC0mL+dTziSFpov5fDiNFUT68Nii868V1Cxs&#10;Mo40/ggu9rfOh2ZE+pASahm40VUVLVCZvy4osbtR0UP960AldN/x8O2m7aXZQH4gUgidv+h30aYE&#10;/MpZQ97KuPuyE6g4q94YEmYxmkyCGeNhMp2N6YDnkc15RBhJUBn3nHXba98ZeGdRb0uq1I3CwBWJ&#10;WehINLTaddWPgPwT+fdeDwY9P8esP/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yy5rH1QAA&#10;AAkBAAAPAAAAAAAAAAEAIAAAACIAAABkcnMvZG93bnJldi54bWxQSwECFAAUAAAACACHTuJAbMea&#10;MiECAAAnBAAADgAAAAAAAAABACAAAAAkAQAAZHJzL2Uyb0RvYy54bWxQSwUGAAAAAAYABgBZAQAA&#10;twUAAAAA&#10;">
                <v:fill on="f" focussize="0,0"/>
                <v:stroke on="f"/>
                <v:imagedata o:title=""/>
                <o:lock v:ext="edit" aspectratio="f"/>
                <v:textbox>
                  <w:txbxContent>
                    <w:p w14:paraId="5332B5C9">
                      <w:pPr>
                        <w:pStyle w:val="66"/>
                        <w:spacing w:line="200" w:lineRule="exact"/>
                        <w:rPr>
                          <w:rFonts w:hint="eastAsia" w:ascii="宋体" w:hAnsi="宋体" w:eastAsia="宋体"/>
                          <w:sz w:val="18"/>
                          <w:szCs w:val="18"/>
                          <w:lang w:eastAsia="zh-CN"/>
                        </w:rPr>
                      </w:pPr>
                      <w:r>
                        <w:rPr>
                          <w:rFonts w:hint="eastAsia" w:ascii="楷体_GB2312" w:hAnsi="宋体" w:cs="楷体_GB2312"/>
                          <w:sz w:val="18"/>
                          <w:szCs w:val="18"/>
                          <w:lang w:eastAsia="zh-CN"/>
                        </w:rPr>
                        <w:t>合同价格调增报告的提出</w:t>
                      </w:r>
                    </w:p>
                  </w:txbxContent>
                </v:textbox>
              </v:shape>
            </w:pict>
          </mc:Fallback>
        </mc:AlternateContent>
      </w:r>
      <w:r>
        <w:rPr>
          <w:rFonts w:hint="eastAsia" w:ascii="仿宋" w:hAnsi="仿宋" w:eastAsia="仿宋" w:cs="仿宋"/>
          <w:color w:val="auto"/>
          <w:sz w:val="24"/>
          <w:szCs w:val="24"/>
          <w:highlight w:val="none"/>
          <w:lang w:eastAsia="zh-CN"/>
        </w:rPr>
        <w:t>出现合同价格调增事项后的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天内，承包人应向监理人、造价咨询人提交合同价格调增报告，并附上相关资料。如承包人在出现合同价格调增事项后的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天内未提交合同价格调增报告的，则造价咨询人可在报发包人批准后，根据实际情况决定是否调整合同价格以及调整的金额。</w:t>
      </w:r>
    </w:p>
    <w:p w14:paraId="578B8CFE">
      <w:pPr>
        <w:pStyle w:val="2"/>
        <w:adjustRightInd w:val="0"/>
        <w:snapToGrid w:val="0"/>
        <w:spacing w:line="360" w:lineRule="auto"/>
        <w:rPr>
          <w:rFonts w:hint="eastAsia" w:ascii="仿宋" w:hAnsi="仿宋" w:eastAsia="仿宋" w:cs="仿宋"/>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70.2</w:t>
      </w:r>
    </w:p>
    <w:p w14:paraId="46DD337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sz w:val="24"/>
          <w:szCs w:val="24"/>
          <w:highlight w:val="none"/>
          <w:lang w:eastAsia="zh-CN"/>
        </w:rPr>
        <mc:AlternateContent>
          <mc:Choice Requires="wps">
            <w:drawing>
              <wp:anchor distT="0" distB="0" distL="114300" distR="114300" simplePos="0" relativeHeight="252104704" behindDoc="0" locked="0" layoutInCell="1" allowOverlap="1">
                <wp:simplePos x="0" y="0"/>
                <wp:positionH relativeFrom="column">
                  <wp:posOffset>-114300</wp:posOffset>
                </wp:positionH>
                <wp:positionV relativeFrom="paragraph">
                  <wp:posOffset>34290</wp:posOffset>
                </wp:positionV>
                <wp:extent cx="808990" cy="653415"/>
                <wp:effectExtent l="0" t="0" r="0" b="0"/>
                <wp:wrapNone/>
                <wp:docPr id="770" name="文本框 1025"/>
                <wp:cNvGraphicFramePr/>
                <a:graphic xmlns:a="http://schemas.openxmlformats.org/drawingml/2006/main">
                  <a:graphicData uri="http://schemas.microsoft.com/office/word/2010/wordprocessingShape">
                    <wps:wsp>
                      <wps:cNvSpPr txBox="1">
                        <a:spLocks noChangeArrowheads="1"/>
                      </wps:cNvSpPr>
                      <wps:spPr bwMode="auto">
                        <a:xfrm>
                          <a:off x="0" y="0"/>
                          <a:ext cx="808990" cy="653415"/>
                        </a:xfrm>
                        <a:prstGeom prst="rect">
                          <a:avLst/>
                        </a:prstGeom>
                        <a:noFill/>
                        <a:ln>
                          <a:noFill/>
                        </a:ln>
                        <a:effectLst/>
                      </wps:spPr>
                      <wps:txbx>
                        <w:txbxContent>
                          <w:p w14:paraId="17F743A0">
                            <w:pPr>
                              <w:pStyle w:val="66"/>
                              <w:spacing w:line="200" w:lineRule="exact"/>
                              <w:rPr>
                                <w:rFonts w:hint="eastAsia" w:ascii="楷体_GB2312" w:hAnsi="宋体"/>
                                <w:sz w:val="18"/>
                                <w:szCs w:val="18"/>
                              </w:rPr>
                            </w:pPr>
                            <w:r>
                              <w:rPr>
                                <w:rFonts w:hint="eastAsia" w:ascii="楷体_GB2312" w:hAnsi="宋体" w:cs="楷体_GB2312"/>
                                <w:sz w:val="18"/>
                                <w:szCs w:val="18"/>
                              </w:rPr>
                              <w:t>调增价款的核实</w:t>
                            </w:r>
                          </w:p>
                        </w:txbxContent>
                      </wps:txbx>
                      <wps:bodyPr rot="0" vert="horz" wrap="square" lIns="91440" tIns="45720" rIns="91440" bIns="45720" anchor="t" anchorCtr="0" upright="1">
                        <a:noAutofit/>
                      </wps:bodyPr>
                    </wps:wsp>
                  </a:graphicData>
                </a:graphic>
              </wp:anchor>
            </w:drawing>
          </mc:Choice>
          <mc:Fallback>
            <w:pict>
              <v:shape id="文本框 1025" o:spid="_x0000_s1026" o:spt="202" type="#_x0000_t202" style="position:absolute;left:0pt;margin-left:-9pt;margin-top:2.7pt;height:51.45pt;width:63.7pt;z-index:252104704;mso-width-relative:page;mso-height-relative:page;" filled="f" stroked="f" coordsize="21600,21600" o:gfxdata="UEsDBAoAAAAAAIdO4kAAAAAAAAAAAAAAAAAEAAAAZHJzL1BLAwQUAAAACACHTuJAgIyFjdYAAAAJ&#10;AQAADwAAAGRycy9kb3ducmV2LnhtbE2PS0/DMBCE70j8B2uRemvt9IHSNE4PRVxBlIfEzY23SdR4&#10;HcVuE/49mxPcZjWj2W/y/ehaccM+NJ40JAsFAqn0tqFKw8f78zwFEaIha1pPqOEHA+yL+7vcZNYP&#10;9Ia3Y6wEl1DIjIY6xi6TMpQ1OhMWvkNi7+x7ZyKffSVtbwYud61cKvUonWmIP9Smw0ON5eV4dRo+&#10;X87fX2v1Wj25TTf4UUlyW6n17CFROxARx/gXhgmf0aFgppO/kg2i1TBPUt4SNWzWICZfbVmcJpGu&#10;QBa5/L+g+AVQSwMEFAAAAAgAh07iQNaQbz4gAgAAJwQAAA4AAABkcnMvZTJvRG9jLnhtbK1TzY7T&#10;MBC+I/EOlu80SWm3bdR0tWy1CGn5kRYewHWcxiLxGNttUh6AfQNOXLjzXH0Oxna2lOWyBy6W7Rl/&#10;833fjJeXfduQvTBWgipoNkopEYpDKdW2oJ8+3ryYU2IdUyVrQImCHoSll6vnz5adzsUYamhKYQiC&#10;KJt3uqC1czpPEstr0TI7Ai0UBiswLXN4NNukNKxD9LZJxml6kXRgSm2AC2vxdh2DdEA0TwGEqpJc&#10;rIHvWqFcRDWiYQ4l2VpqS1eBbVUJ7t5XlRWONAVFpS6sWAT3G78mqyXLt4bpWvKBAnsKhUeaWiYV&#10;Fj1BrZljZGfkP1Ct5AYsVG7EoU2ikOAIqsjSR97c1UyLoAWttvpkuv1/sPzd/oMhsizobIaeKNZi&#10;y4/f748/fh1/fiNZOp56jzptc0y905js+lfQ4+QEvVbfAv9siYLrmqmtuDIGulqwEjlm/mVy9jTi&#10;WA+y6d5CiaXYzkEA6ivTegPREoLoyOVw6o/oHeF4OU/niwVGOIYupi8nWeCWsPzhsTbWvRbQEr8p&#10;qMH2B3C2v7XOk2H5Q4qvpeBGNk0YgUb9dYGJ8UaEGRpeeymefdTh+k0/WLOB8oCiDMT5wt+FmxrM&#10;V0o6nK2C2i87ZgQlzRuFxiyyyQRluHCYTGdjPJjzyOY8whRHqII6SuL22sUB3mkjtzVWiq1QcIVm&#10;VjII9VQjq6EFOD9B/zDrfkDPzyHrz/9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AjIWN1gAA&#10;AAkBAAAPAAAAAAAAAAEAIAAAACIAAABkcnMvZG93bnJldi54bWxQSwECFAAUAAAACACHTuJA1pBv&#10;PiACAAAnBAAADgAAAAAAAAABACAAAAAlAQAAZHJzL2Uyb0RvYy54bWxQSwUGAAAAAAYABgBZAQAA&#10;twUAAAAA&#10;">
                <v:fill on="f" focussize="0,0"/>
                <v:stroke on="f"/>
                <v:imagedata o:title=""/>
                <o:lock v:ext="edit" aspectratio="f"/>
                <v:textbox>
                  <w:txbxContent>
                    <w:p w14:paraId="17F743A0">
                      <w:pPr>
                        <w:pStyle w:val="66"/>
                        <w:spacing w:line="200" w:lineRule="exact"/>
                        <w:rPr>
                          <w:rFonts w:hint="eastAsia" w:ascii="楷体_GB2312" w:hAnsi="宋体"/>
                          <w:sz w:val="18"/>
                          <w:szCs w:val="18"/>
                        </w:rPr>
                      </w:pPr>
                      <w:r>
                        <w:rPr>
                          <w:rFonts w:hint="eastAsia" w:ascii="楷体_GB2312" w:hAnsi="宋体" w:cs="楷体_GB2312"/>
                          <w:sz w:val="18"/>
                          <w:szCs w:val="18"/>
                        </w:rPr>
                        <w:t>调增价款的核实</w:t>
                      </w:r>
                    </w:p>
                  </w:txbxContent>
                </v:textbox>
              </v:shape>
            </w:pict>
          </mc:Fallback>
        </mc:AlternateContent>
      </w:r>
      <w:r>
        <w:rPr>
          <w:rFonts w:hint="eastAsia" w:ascii="仿宋" w:hAnsi="仿宋" w:eastAsia="仿宋" w:cs="仿宋"/>
          <w:color w:val="auto"/>
          <w:sz w:val="24"/>
          <w:szCs w:val="24"/>
          <w:highlight w:val="none"/>
          <w:lang w:eastAsia="zh-CN"/>
        </w:rPr>
        <w:t>监理人、造价咨询人应在收到合同价格调增报告及相关资料之日起</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天内对其核实，并予以确认或提出协商意见。造价咨询人在收到合同价格调增报告之日起</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天内未确认也未提出协商意见的，视为承包人提交的合同价格调增报告已被认可。造价咨询人提出协商意见的，合同双方当事人应在承包人收到协商意见后的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进行协商确定；协商未能达成一致的，由造价咨询人暂定调增的合同价格，通知承包人并抄报发包人。出现暂定结果的，只要不实质影响合同双方当事人履约的，合同双方当事人应实施该结果，直到其被改变为止。</w:t>
      </w:r>
    </w:p>
    <w:p w14:paraId="350799CC">
      <w:pPr>
        <w:pStyle w:val="2"/>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70.3</w:t>
      </w:r>
    </w:p>
    <w:p w14:paraId="65256506">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sz w:val="24"/>
          <w:szCs w:val="24"/>
          <w:highlight w:val="none"/>
          <w:lang w:eastAsia="zh-CN"/>
        </w:rPr>
        <mc:AlternateContent>
          <mc:Choice Requires="wps">
            <w:drawing>
              <wp:anchor distT="0" distB="0" distL="114300" distR="114300" simplePos="0" relativeHeight="252105728" behindDoc="0" locked="0" layoutInCell="1" allowOverlap="1">
                <wp:simplePos x="0" y="0"/>
                <wp:positionH relativeFrom="column">
                  <wp:posOffset>-114300</wp:posOffset>
                </wp:positionH>
                <wp:positionV relativeFrom="paragraph">
                  <wp:posOffset>34290</wp:posOffset>
                </wp:positionV>
                <wp:extent cx="762000" cy="463550"/>
                <wp:effectExtent l="0" t="0" r="0" b="0"/>
                <wp:wrapNone/>
                <wp:docPr id="771" name="文本框 1026"/>
                <wp:cNvGraphicFramePr/>
                <a:graphic xmlns:a="http://schemas.openxmlformats.org/drawingml/2006/main">
                  <a:graphicData uri="http://schemas.microsoft.com/office/word/2010/wordprocessingShape">
                    <wps:wsp>
                      <wps:cNvSpPr txBox="1">
                        <a:spLocks noChangeArrowheads="1"/>
                      </wps:cNvSpPr>
                      <wps:spPr bwMode="auto">
                        <a:xfrm>
                          <a:off x="0" y="0"/>
                          <a:ext cx="762000" cy="463550"/>
                        </a:xfrm>
                        <a:prstGeom prst="rect">
                          <a:avLst/>
                        </a:prstGeom>
                        <a:noFill/>
                        <a:ln>
                          <a:noFill/>
                        </a:ln>
                        <a:effectLst/>
                      </wps:spPr>
                      <wps:txbx>
                        <w:txbxContent>
                          <w:p w14:paraId="0D27CD40">
                            <w:pPr>
                              <w:pStyle w:val="66"/>
                              <w:spacing w:line="200" w:lineRule="exact"/>
                              <w:rPr>
                                <w:rFonts w:hint="eastAsia" w:ascii="楷体_GB2312" w:hAnsi="宋体"/>
                                <w:sz w:val="18"/>
                                <w:szCs w:val="18"/>
                              </w:rPr>
                            </w:pPr>
                            <w:r>
                              <w:rPr>
                                <w:rFonts w:hint="eastAsia" w:ascii="楷体_GB2312" w:hAnsi="宋体" w:cs="楷体_GB2312"/>
                                <w:sz w:val="18"/>
                                <w:szCs w:val="18"/>
                              </w:rPr>
                              <w:t>调增价款的支付</w:t>
                            </w:r>
                          </w:p>
                        </w:txbxContent>
                      </wps:txbx>
                      <wps:bodyPr rot="0" vert="horz" wrap="square" lIns="91440" tIns="45720" rIns="91440" bIns="45720" anchor="t" anchorCtr="0" upright="1">
                        <a:noAutofit/>
                      </wps:bodyPr>
                    </wps:wsp>
                  </a:graphicData>
                </a:graphic>
              </wp:anchor>
            </w:drawing>
          </mc:Choice>
          <mc:Fallback>
            <w:pict>
              <v:shape id="文本框 1026" o:spid="_x0000_s1026" o:spt="202" type="#_x0000_t202" style="position:absolute;left:0pt;margin-left:-9pt;margin-top:2.7pt;height:36.5pt;width:60pt;z-index:252105728;mso-width-relative:page;mso-height-relative:page;" filled="f" stroked="f" coordsize="21600,21600" o:gfxdata="UEsDBAoAAAAAAIdO4kAAAAAAAAAAAAAAAAAEAAAAZHJzL1BLAwQUAAAACACHTuJAMxqtatUAAAAI&#10;AQAADwAAAGRycy9kb3ducmV2LnhtbE2PwU7DMBBE70j9B2uRuLV2qpSmaTY9FHEFUSgSNzfeJhHx&#10;OordJvw97gmOoxnNvCl2k+3ElQbfOkZIFgoEceVMyzXCx/vzPAPhg2ajO8eE8EMeduXsrtC5cSO/&#10;0fUQahFL2OcaoQmhz6X0VUNW+4XriaN3doPVIcqhlmbQYyy3nVwq9SitbjkuNLqnfUPV9+FiEY4v&#10;56/PVL3WT3bVj25Sku1GIj7cJ2oLItAU/sJww4/oUEamk7uw8aJDmCdZ/BIQVimIm6+WUZ8Q1lkK&#10;sizk/wPlL1BLAwQUAAAACACHTuJAyxDlBR8CAAAnBAAADgAAAGRycy9lMm9Eb2MueG1srVPNjtMw&#10;EL4j8Q6W7zRN6Q9ETVfLVouQlh9p4QFcx2ksEo8Zu03KA7BvwIkLd56rz8HYyZayXPbAxbI942/m&#10;++bz8qJrarZX6DSYnKejMWfKSCi02eb808frZy84c16YQtRgVM4PyvGL1dMny9ZmagIV1IVCRiDG&#10;Za3NeeW9zZLEyUo1wo3AKkPBErARno64TQoULaE3dTIZj+dJC1hYBKmco9t1H+QDIj4GEMpSS7UG&#10;uWuU8T0qqlp4ouQqbR1fxW7LUkn/viyd8qzOOTH1caUitN+ENVktRbZFYSsthxbEY1p4wKkR2lDR&#10;E9RaeMF2qP+BarREcFD6kYQm6YlERYhFOn6gzW0lrIpcSGpnT6K7/wcr3+0/INNFzheLlDMjGhr5&#10;8fvd8cev489vLB1P5kGj1rqMUm8tJfvuFXTknMjX2RuQnx0zcFUJs1WXiNBWShTUYxpeJmdPexwX&#10;QDbtWyiolNh5iEBdiU0QkCRhhE7zOZzmozrPJF0u5mQgikgKTefPZ7M4v0Rk948tOv9aQcPCJudI&#10;44/gYn/jfGhGZPcpoZaBa13X0QK1+euCEvsbFT00vA5UQvc9D99tukGaDRQHIoXQ+4t+F20qwK+c&#10;teStnLsvO4GKs/qNIWFeptNpMGM8TGeLCR3wPLI5jwgjCSrnnrN+e+V7A+8s6m1FlfpRGLgkMUsd&#10;iYZW+66GEZB/Iv/B68Gg5+eY9ed/r3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MxqtatUAAAAI&#10;AQAADwAAAAAAAAABACAAAAAiAAAAZHJzL2Rvd25yZXYueG1sUEsBAhQAFAAAAAgAh07iQMsQ5QUf&#10;AgAAJwQAAA4AAAAAAAAAAQAgAAAAJAEAAGRycy9lMm9Eb2MueG1sUEsFBgAAAAAGAAYAWQEAALUF&#10;AAAAAA==&#10;">
                <v:fill on="f" focussize="0,0"/>
                <v:stroke on="f"/>
                <v:imagedata o:title=""/>
                <o:lock v:ext="edit" aspectratio="f"/>
                <v:textbox>
                  <w:txbxContent>
                    <w:p w14:paraId="0D27CD40">
                      <w:pPr>
                        <w:pStyle w:val="66"/>
                        <w:spacing w:line="200" w:lineRule="exact"/>
                        <w:rPr>
                          <w:rFonts w:hint="eastAsia" w:ascii="楷体_GB2312" w:hAnsi="宋体"/>
                          <w:sz w:val="18"/>
                          <w:szCs w:val="18"/>
                        </w:rPr>
                      </w:pPr>
                      <w:r>
                        <w:rPr>
                          <w:rFonts w:hint="eastAsia" w:ascii="楷体_GB2312" w:hAnsi="宋体" w:cs="楷体_GB2312"/>
                          <w:sz w:val="18"/>
                          <w:szCs w:val="18"/>
                        </w:rPr>
                        <w:t>调增价款的支付</w:t>
                      </w:r>
                    </w:p>
                  </w:txbxContent>
                </v:textbox>
              </v:shape>
            </w:pict>
          </mc:Fallback>
        </mc:AlternateContent>
      </w:r>
      <w:r>
        <w:rPr>
          <w:rFonts w:hint="eastAsia" w:ascii="仿宋" w:hAnsi="仿宋" w:eastAsia="仿宋" w:cs="仿宋"/>
          <w:color w:val="auto"/>
          <w:sz w:val="24"/>
          <w:szCs w:val="24"/>
          <w:highlight w:val="none"/>
          <w:lang w:eastAsia="zh-CN"/>
        </w:rPr>
        <w:t>经合同双方当事人确认或造价咨询人暂定调增的合同价格，作为追加合同价格，与工程进度款或结算款同期支付。</w:t>
      </w:r>
    </w:p>
    <w:p w14:paraId="566496DF">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70.4</w:t>
      </w:r>
    </w:p>
    <w:p w14:paraId="7C63F5FE">
      <w:pPr>
        <w:spacing w:line="360" w:lineRule="auto"/>
        <w:ind w:left="1850" w:leftChars="771" w:firstLine="2"/>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106752" behindDoc="0" locked="0" layoutInCell="1" allowOverlap="1">
                <wp:simplePos x="0" y="0"/>
                <wp:positionH relativeFrom="column">
                  <wp:posOffset>-66675</wp:posOffset>
                </wp:positionH>
                <wp:positionV relativeFrom="paragraph">
                  <wp:posOffset>5715</wp:posOffset>
                </wp:positionV>
                <wp:extent cx="815340" cy="473075"/>
                <wp:effectExtent l="0" t="0" r="0" b="0"/>
                <wp:wrapNone/>
                <wp:docPr id="772" name="文本框 1027"/>
                <wp:cNvGraphicFramePr/>
                <a:graphic xmlns:a="http://schemas.openxmlformats.org/drawingml/2006/main">
                  <a:graphicData uri="http://schemas.microsoft.com/office/word/2010/wordprocessingShape">
                    <wps:wsp>
                      <wps:cNvSpPr txBox="1">
                        <a:spLocks noChangeArrowheads="1"/>
                      </wps:cNvSpPr>
                      <wps:spPr bwMode="auto">
                        <a:xfrm>
                          <a:off x="0" y="0"/>
                          <a:ext cx="815340" cy="473075"/>
                        </a:xfrm>
                        <a:prstGeom prst="rect">
                          <a:avLst/>
                        </a:prstGeom>
                        <a:noFill/>
                        <a:ln>
                          <a:noFill/>
                        </a:ln>
                        <a:effectLst/>
                      </wps:spPr>
                      <wps:txbx>
                        <w:txbxContent>
                          <w:p w14:paraId="7DCFE7A9">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合同价格调减事项的处理</w:t>
                            </w:r>
                          </w:p>
                        </w:txbxContent>
                      </wps:txbx>
                      <wps:bodyPr rot="0" vert="horz" wrap="square" lIns="91440" tIns="45720" rIns="91440" bIns="45720" anchor="t" anchorCtr="0" upright="1">
                        <a:noAutofit/>
                      </wps:bodyPr>
                    </wps:wsp>
                  </a:graphicData>
                </a:graphic>
              </wp:anchor>
            </w:drawing>
          </mc:Choice>
          <mc:Fallback>
            <w:pict>
              <v:shape id="文本框 1027" o:spid="_x0000_s1026" o:spt="202" type="#_x0000_t202" style="position:absolute;left:0pt;margin-left:-5.25pt;margin-top:0.45pt;height:37.25pt;width:64.2pt;z-index:252106752;mso-width-relative:page;mso-height-relative:page;" filled="f" stroked="f" coordsize="21600,21600" o:gfxdata="UEsDBAoAAAAAAIdO4kAAAAAAAAAAAAAAAAAEAAAAZHJzL1BLAwQUAAAACACHTuJAUK6S4dQAAAAH&#10;AQAADwAAAGRycy9kb3ducmV2LnhtbE2OzU7DMBCE70i8g7VI3Fo7qKE0ZNMDiCuI8iNx28bbJCJe&#10;R7HbhLfHPcFtRjOa+crt7Hp14jF0XhCypQHFUnvbSYPw/va0uAMVIoml3gsj/HCAbXV5UVJh/SSv&#10;fNrFRqURCQUhtDEOhdahbtlRWPqBJWUHPzqKyY6NtiNNadz1+saYW+2ok/TQ0sAPLdffu6ND+Hg+&#10;fH2uzEvz6PJh8rPR4jYa8foqM/egIs/xrwxn/IQOVWLa+6PYoHqERWbyVEXYgDrH2TqJPcI6X4Gu&#10;Sv2fv/oFUEsDBBQAAAAIAIdO4kAncB4LHwIAACcEAAAOAAAAZHJzL2Uyb0RvYy54bWytU82O0zAQ&#10;viPxDpbvNEm3pUvUdLVstQhp+ZEWHsB1nMYi8Zix22R5AHgDTly481x9DsZOtpTlsgculu0ZfzPf&#10;N5+XF33bsL1Cp8EUPJuknCkjodRmW/CPH66fnXPmvDClaMCogt8pxy9WT58sO5urKdTQlAoZgRiX&#10;d7bgtfc2TxIna9UKNwGrDAUrwFZ4OuI2KVF0hN42yTRNnycdYGkRpHKObtdDkI+I+BhAqCot1Rrk&#10;rlXGD6ioGuGJkqu1dXwVu60qJf27qnLKs6bgxNTHlYrQfhPWZLUU+RaFrbUcWxCPaeEBp1ZoQ0WP&#10;UGvhBduh/geq1RLBQeUnEtpkIBIVIRZZ+kCb21pYFbmQ1M4eRXf/D1a+3b9HpsuCLxZTzoxoaeSH&#10;798OP34dfn5lWTpdBI0663JKvbWU7PuX0JNzIl9nb0B+cszAVS3MVl0iQlcrUVKPWXiZnDwdcFwA&#10;2XRvoKRSYuchAvUVtkFAkoQROs3n7jgf1Xsm6fI8m5/NKCIpNFucpYt5rCDy+8cWnX+loGVhU3Ck&#10;8Udwsb9xPjQj8vuUUMvAtW6aaIHG/HVBicONih4aXwcqofuBh+83/SjNBso7IoUw+It+F21qwC+c&#10;deStgrvPO4GKs+a1IWFeZLNAw8fDbL6Y0gFPI5vTiDCSoAruORu2V34w8M6i3tZUaRiFgUsSs9KR&#10;aGh16GocAfkn8h+9Hgx6eo5Zf/73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QrpLh1AAAAAcB&#10;AAAPAAAAAAAAAAEAIAAAACIAAABkcnMvZG93bnJldi54bWxQSwECFAAUAAAACACHTuJAJ3AeCx8C&#10;AAAnBAAADgAAAAAAAAABACAAAAAjAQAAZHJzL2Uyb0RvYy54bWxQSwUGAAAAAAYABgBZAQAAtAUA&#10;AAAA&#10;">
                <v:fill on="f" focussize="0,0"/>
                <v:stroke on="f"/>
                <v:imagedata o:title=""/>
                <o:lock v:ext="edit" aspectratio="f"/>
                <v:textbox>
                  <w:txbxContent>
                    <w:p w14:paraId="7DCFE7A9">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合同价格调减事项的处理</w:t>
                      </w:r>
                    </w:p>
                  </w:txbxContent>
                </v:textbox>
              </v:shape>
            </w:pict>
          </mc:Fallback>
        </mc:AlternateContent>
      </w:r>
      <w:r>
        <w:rPr>
          <w:rFonts w:hint="eastAsia" w:ascii="仿宋" w:hAnsi="仿宋" w:eastAsia="仿宋" w:cs="仿宋"/>
          <w:color w:val="auto"/>
          <w:highlight w:val="none"/>
          <w:lang w:eastAsia="zh-CN"/>
        </w:rPr>
        <w:t>出现合同价格调减事项时，发包人可按照本条约定的时限和要求，向承包人提交合同价格调减报告以及调减的金额，但调减的金额应按照实际确定。</w:t>
      </w:r>
    </w:p>
    <w:p w14:paraId="6F3CC18D">
      <w:pPr>
        <w:pStyle w:val="2"/>
        <w:tabs>
          <w:tab w:val="left" w:pos="1800"/>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7305B86B">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0" w:name="_Toc2930"/>
      <w:r>
        <w:rPr>
          <w:rFonts w:hint="eastAsia" w:ascii="仿宋" w:hAnsi="仿宋" w:eastAsia="仿宋" w:cs="仿宋"/>
          <w:bCs w:val="0"/>
          <w:color w:val="auto"/>
          <w:sz w:val="24"/>
          <w:szCs w:val="24"/>
          <w:highlight w:val="none"/>
          <w:lang w:eastAsia="zh-CN"/>
        </w:rPr>
        <w:t>★71工作量或工程量</w:t>
      </w:r>
      <w:bookmarkEnd w:id="370"/>
    </w:p>
    <w:p w14:paraId="5A02E168">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71</w:t>
      </w:r>
      <w:r>
        <w:rPr>
          <w:rFonts w:ascii="仿宋" w:hAnsi="仿宋" w:eastAsia="仿宋" w:cs="仿宋"/>
          <w:b/>
          <w:bCs/>
          <w:color w:val="auto"/>
          <w:sz w:val="24"/>
          <w:szCs w:val="24"/>
          <w:highlight w:val="none"/>
          <w:lang w:eastAsia="zh-CN"/>
        </w:rPr>
        <w:t>.1</w:t>
      </w:r>
    </w:p>
    <w:p w14:paraId="44BE9B5F">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62016" behindDoc="0" locked="0" layoutInCell="1" allowOverlap="1">
                <wp:simplePos x="0" y="0"/>
                <wp:positionH relativeFrom="column">
                  <wp:posOffset>-114300</wp:posOffset>
                </wp:positionH>
                <wp:positionV relativeFrom="paragraph">
                  <wp:posOffset>75565</wp:posOffset>
                </wp:positionV>
                <wp:extent cx="832485" cy="537845"/>
                <wp:effectExtent l="0" t="0" r="0" b="0"/>
                <wp:wrapNone/>
                <wp:docPr id="773" name="文本框 959"/>
                <wp:cNvGraphicFramePr/>
                <a:graphic xmlns:a="http://schemas.openxmlformats.org/drawingml/2006/main">
                  <a:graphicData uri="http://schemas.microsoft.com/office/word/2010/wordprocessingShape">
                    <wps:wsp>
                      <wps:cNvSpPr txBox="1">
                        <a:spLocks noChangeArrowheads="1"/>
                      </wps:cNvSpPr>
                      <wps:spPr bwMode="auto">
                        <a:xfrm>
                          <a:off x="0" y="0"/>
                          <a:ext cx="832485" cy="537845"/>
                        </a:xfrm>
                        <a:prstGeom prst="rect">
                          <a:avLst/>
                        </a:prstGeom>
                        <a:noFill/>
                        <a:ln>
                          <a:noFill/>
                        </a:ln>
                        <a:effectLst/>
                      </wps:spPr>
                      <wps:txbx>
                        <w:txbxContent>
                          <w:p w14:paraId="30EB19D1">
                            <w:pPr>
                              <w:pStyle w:val="31"/>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清单工程量包括的工作内容</w:t>
                            </w:r>
                          </w:p>
                        </w:txbxContent>
                      </wps:txbx>
                      <wps:bodyPr rot="0" vert="horz" wrap="square" lIns="91440" tIns="45720" rIns="91440" bIns="45720" anchor="t" anchorCtr="0" upright="1">
                        <a:noAutofit/>
                      </wps:bodyPr>
                    </wps:wsp>
                  </a:graphicData>
                </a:graphic>
              </wp:anchor>
            </w:drawing>
          </mc:Choice>
          <mc:Fallback>
            <w:pict>
              <v:shape id="文本框 959" o:spid="_x0000_s1026" o:spt="202" type="#_x0000_t202" style="position:absolute;left:0pt;margin-left:-9pt;margin-top:5.95pt;height:42.35pt;width:65.55pt;z-index:251862016;mso-width-relative:page;mso-height-relative:page;" filled="f" stroked="f" coordsize="21600,21600" o:gfxdata="UEsDBAoAAAAAAIdO4kAAAAAAAAAAAAAAAAAEAAAAZHJzL1BLAwQUAAAACACHTuJAYTyZcNYAAAAJ&#10;AQAADwAAAGRycy9kb3ducmV2LnhtbE2PzU7DMBCE70i8g7VI3Frb/ERNGqcHEFcQLSBx28bbJGq8&#10;jmK3CW+Pe4LjaEYz35Sb2fXiTGPoPBvQSwWCuPa248bAx+5lsQIRIrLF3jMZ+KEAm+r6qsTC+onf&#10;6byNjUglHAo00MY4FFKGuiWHYekH4uQd/OgwJjk20o44pXLXyzulMumw47TQ4kBPLdXH7ckZ+Hw9&#10;fH89qLfm2T0Ok5+VZJdLY25vtFqDiDTHvzBc8BM6VIlp709sg+gNLPQqfYnJ0DmIS0DfaxB7A3mW&#10;gaxK+f9B9QtQSwMEFAAAAAgAh07iQMW4cMwfAgAAJgQAAA4AAABkcnMvZTJvRG9jLnhtbK1TS27b&#10;MBDdF+gdCO5r+VvbguUgjZGiQPoB0h6ApiiLqMRhh7Sl9ADNDbrqpvuey+fokFJcN91k0Q1BcoZv&#10;5r15XF20dcUOCp0Gk/HRYMiZMhJybXYZ//Tx+sWCM+eFyUUFRmX8Tjl+sX7+bNXYVI2hhCpXyAjE&#10;uLSxGS+9t2mSOFmqWrgBWGUoWADWwtMRd0mOoiH0ukrGw+HLpAHMLYJUztHtpgvyHhGfAghFoaXa&#10;gNzXyvgOFVUlPFFypbaOr2O3RaGkf18UTnlWZZyY+rhSEdpvw5qsVyLdobClln0L4iktPOJUC22o&#10;6AlqI7xge9T/QNVaIjgo/EBCnXREoiLEYjR8pM1tKayKXEhqZ0+iu/8HK98dPiDTecbn8wlnRtQ0&#10;8uP3++OPX8ef39hytgwSNdallHlrKde3r6Al40S6zt6A/OyYgatSmJ26RISmVCKnFkfhZXL2tMNx&#10;AWTbvIWcKom9hwjUFlgH/UgRRug0nrvTeFTrmaTLxWQ8Xcw4kxSaTeaL6SxWEOnDY4vOv1ZQs7DJ&#10;ONL0I7g43DgfmhHpQ0qoZeBaV1V0QGX+uqDE7kZFC/WvA5XQfcfDt9u2l2YL+R2RQujsRZ+LNiXg&#10;V84aslbG3Ze9QMVZ9caQMMvRdBq8GA/T2XxMBzyPbM8jwkiCyrjnrNte+c6/e4t6V1KlbhQGLknM&#10;QkeiodWuq34EZJ/Iv7d68Of5OWb9+d7r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E8mXDWAAAA&#10;CQEAAA8AAAAAAAAAAQAgAAAAIgAAAGRycy9kb3ducmV2LnhtbFBLAQIUABQAAAAIAIdO4kDFuHDM&#10;HwIAACYEAAAOAAAAAAAAAAEAIAAAACUBAABkcnMvZTJvRG9jLnhtbFBLBQYAAAAABgAGAFkBAAC2&#10;BQAAAAA=&#10;">
                <v:fill on="f" focussize="0,0"/>
                <v:stroke on="f"/>
                <v:imagedata o:title=""/>
                <o:lock v:ext="edit" aspectratio="f"/>
                <v:textbox>
                  <w:txbxContent>
                    <w:p w14:paraId="30EB19D1">
                      <w:pPr>
                        <w:pStyle w:val="31"/>
                        <w:spacing w:line="22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清单工程量包括的工作内容</w:t>
                      </w:r>
                    </w:p>
                  </w:txbxContent>
                </v:textbox>
              </v:shape>
            </w:pict>
          </mc:Fallback>
        </mc:AlternateContent>
      </w:r>
      <w:r>
        <w:rPr>
          <w:rFonts w:hint="eastAsia" w:ascii="仿宋" w:hAnsi="仿宋" w:eastAsia="仿宋" w:cs="仿宋"/>
          <w:color w:val="auto"/>
          <w:sz w:val="24"/>
          <w:szCs w:val="24"/>
          <w:highlight w:val="none"/>
          <w:lang w:eastAsia="zh-CN"/>
        </w:rPr>
        <w:t>合同价格清单包括勘察项目清单（如果有）、设计项目清单、BIM技术应用项目清单、设备及工器具购置项目清单（如果有）、建筑安装工程工程量清单及其它服务项目清单（如果有）。</w:t>
      </w:r>
    </w:p>
    <w:p w14:paraId="3830DC7B">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除专用条款另有约定外，合同价格清单中开列的工作量和工程量应包括由承包人完成合同工程总承包范围内的所有工作和工程内容。其任何遗漏或错误，既不能使合同无效，也不能免除承包人按照发包人要求、标准与规范、项目基础资料等实施、完成和保修合同工程的任何责任。合同履行过程中，如果合同约定允许的调整事项发生，可按约定增加或减少合同价格。</w:t>
      </w:r>
    </w:p>
    <w:p w14:paraId="14836F0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71</w:t>
      </w:r>
      <w:r>
        <w:rPr>
          <w:rFonts w:ascii="仿宋" w:hAnsi="仿宋" w:eastAsia="仿宋" w:cs="仿宋"/>
          <w:b/>
          <w:bCs/>
          <w:color w:val="auto"/>
          <w:highlight w:val="none"/>
          <w:lang w:eastAsia="zh-CN"/>
        </w:rPr>
        <w:t>.2</w:t>
      </w:r>
    </w:p>
    <w:p w14:paraId="193AA309">
      <w:pPr>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63040" behindDoc="0" locked="0" layoutInCell="1" allowOverlap="1">
                <wp:simplePos x="0" y="0"/>
                <wp:positionH relativeFrom="column">
                  <wp:posOffset>-114300</wp:posOffset>
                </wp:positionH>
                <wp:positionV relativeFrom="paragraph">
                  <wp:posOffset>11430</wp:posOffset>
                </wp:positionV>
                <wp:extent cx="762635" cy="628015"/>
                <wp:effectExtent l="0" t="0" r="0" b="0"/>
                <wp:wrapNone/>
                <wp:docPr id="774" name="文本框 960"/>
                <wp:cNvGraphicFramePr/>
                <a:graphic xmlns:a="http://schemas.openxmlformats.org/drawingml/2006/main">
                  <a:graphicData uri="http://schemas.microsoft.com/office/word/2010/wordprocessingShape">
                    <wps:wsp>
                      <wps:cNvSpPr txBox="1">
                        <a:spLocks noChangeArrowheads="1"/>
                      </wps:cNvSpPr>
                      <wps:spPr bwMode="auto">
                        <a:xfrm>
                          <a:off x="0" y="0"/>
                          <a:ext cx="762635" cy="628015"/>
                        </a:xfrm>
                        <a:prstGeom prst="rect">
                          <a:avLst/>
                        </a:prstGeom>
                        <a:noFill/>
                        <a:ln>
                          <a:noFill/>
                        </a:ln>
                        <a:effectLst/>
                      </wps:spPr>
                      <wps:txbx>
                        <w:txbxContent>
                          <w:p w14:paraId="4F8AB76E">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清单的工程量</w:t>
                            </w:r>
                          </w:p>
                        </w:txbxContent>
                      </wps:txbx>
                      <wps:bodyPr rot="0" vert="horz" wrap="square" lIns="91440" tIns="45720" rIns="91440" bIns="45720" anchor="t" anchorCtr="0" upright="1">
                        <a:noAutofit/>
                      </wps:bodyPr>
                    </wps:wsp>
                  </a:graphicData>
                </a:graphic>
              </wp:anchor>
            </w:drawing>
          </mc:Choice>
          <mc:Fallback>
            <w:pict>
              <v:shape id="文本框 960" o:spid="_x0000_s1026" o:spt="202" type="#_x0000_t202" style="position:absolute;left:0pt;margin-left:-9pt;margin-top:0.9pt;height:49.45pt;width:60.05pt;z-index:251863040;mso-width-relative:page;mso-height-relative:page;" filled="f" stroked="f" coordsize="21600,21600" o:gfxdata="UEsDBAoAAAAAAIdO4kAAAAAAAAAAAAAAAAAEAAAAZHJzL1BLAwQUAAAACACHTuJA/fbFHNUAAAAJ&#10;AQAADwAAAGRycy9kb3ducmV2LnhtbE2PTU/DMAyG70j8h8hI3LakEx9b13QHEFcQ40Pi5jVeW9E4&#10;VZOt5d/jnuBm67FeP2+xm3ynzjTENrCFbGlAEVfBtVxbeH97WqxBxYTssAtMFn4owq68vCgwd2Hk&#10;VzrvU60khGOOFpqU+lzrWDXkMS5DTyzsGAaPSdah1m7AUcJ9p1fG3GmPLcuHBnt6aKj63p+8hY/n&#10;49fnjXmpH/1tP4bJaPYbbe31VWa2oBJN6e8YZn1Rh1KcDuHELqrOwiJbS5ckQBrM3KwyUId5MPeg&#10;y0L/b1D+AlBLAwQUAAAACACHTuJAkTc7NR8CAAAmBAAADgAAAGRycy9lMm9Eb2MueG1srVNLbtsw&#10;EN0X6B0I7mtZrj+JYDlIY6QokH6AtAegKcoiKnLYIW3JPUB7g6666b7n8jk6omzHTTdZdCOQM8M3&#10;8948za9aU7OtQq/B5jwdDDlTVkKh7Trnnz7evrjgzAdhC1GDVTnfKc+vFs+fzRuXqRFUUBcKGYFY&#10;nzUu51UILksSLytlhB+AU5aSJaARga64TgoUDaGbOhkNh9OkASwcglTeU3TZJ/kBEZ8CCGWppVqC&#10;3BhlQ4+KqhaBKPlKO88XcdqyVDK8L0uvAqtzTkxD/FITOq+6b7KYi2yNwlVaHkYQTxnhEScjtKWm&#10;J6ilCIJtUP8DZbRE8FCGgQST9ESiIsQiHT7S5r4STkUuJLV3J9H9/4OV77YfkOki57PZmDMrDK18&#10;/+P7/ufv/a9v7HIaJWqcz6jy3lFtaF9BS8aJdL27A/nZMws3lbBrdY0ITaVEQSOmnbjJ2dNuKT7z&#10;HciqeQsFdRKbABGoLdF0+pEijNBpPbvTelQbmKTgbDqavpxwJik1HV0M00nsILLjY4c+vFZgWHfI&#10;OdL2I7jY3vnQDSOyY0nXy8KtruvogNr+FaDCPqKihQ6vj9P3PEK7aultF1xBsSNSCL296OeiQwX4&#10;lbOGrJVz/2UjUHFWv7EkzGU6HndejJfxZDaiC55nVucZYSVB5Txw1h9vQu/fjUO9rqhTvwoL1yRm&#10;qSPRh6kOKyD7RP4Hq3f+PL/Hqoffe/E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fbFHNUAAAAJ&#10;AQAADwAAAAAAAAABACAAAAAiAAAAZHJzL2Rvd25yZXYueG1sUEsBAhQAFAAAAAgAh07iQJE3OzUf&#10;AgAAJgQAAA4AAAAAAAAAAQAgAAAAJAEAAGRycy9lMm9Eb2MueG1sUEsFBgAAAAAGAAYAWQEAALUF&#10;AAAAAA==&#10;">
                <v:fill on="f" focussize="0,0"/>
                <v:stroke on="f"/>
                <v:imagedata o:title=""/>
                <o:lock v:ext="edit" aspectratio="f"/>
                <v:textbox>
                  <w:txbxContent>
                    <w:p w14:paraId="4F8AB76E">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清单的工程量</w:t>
                      </w:r>
                    </w:p>
                  </w:txbxContent>
                </v:textbox>
              </v:shape>
            </w:pict>
          </mc:Fallback>
        </mc:AlternateContent>
      </w:r>
      <w:r>
        <w:rPr>
          <w:rFonts w:hint="eastAsia" w:ascii="仿宋" w:hAnsi="仿宋" w:eastAsia="仿宋" w:cs="仿宋"/>
          <w:color w:val="auto"/>
          <w:highlight w:val="none"/>
          <w:lang w:eastAsia="zh-CN"/>
        </w:rPr>
        <w:t>合同价格清单中开列的工作量或工程量是根据发包人要求、标准与规范、项目基础资料等计列的工程量，不能作为承包人履行合同义务中应予完成合同工程的实际或准确工程量。</w:t>
      </w:r>
      <w:r>
        <w:rPr>
          <w:rFonts w:hint="eastAsia" w:ascii="仿宋" w:hAnsi="仿宋" w:eastAsia="仿宋"/>
          <w:color w:val="auto"/>
          <w:highlight w:val="none"/>
          <w:lang w:eastAsia="zh-CN"/>
        </w:rPr>
        <w:t>合同价格清单中列出的任何工作量和价格数据仅限用于变更和支付的参考资料，而不能用于其他目的。</w:t>
      </w:r>
    </w:p>
    <w:p w14:paraId="41BA7738">
      <w:pPr>
        <w:pStyle w:val="2"/>
        <w:widowControl w:val="0"/>
        <w:adjustRightInd w:val="0"/>
        <w:snapToGrid w:val="0"/>
        <w:spacing w:line="360" w:lineRule="auto"/>
        <w:ind w:left="1850" w:leftChars="771"/>
        <w:jc w:val="both"/>
        <w:rPr>
          <w:rFonts w:hint="eastAsia" w:ascii="仿宋" w:hAnsi="仿宋" w:eastAsia="仿宋" w:cs="仿宋"/>
          <w:b/>
          <w:bCs/>
          <w:color w:val="auto"/>
          <w:sz w:val="24"/>
          <w:szCs w:val="24"/>
          <w:highlight w:val="none"/>
          <w:lang w:eastAsia="zh-CN"/>
        </w:rPr>
      </w:pPr>
      <w:r>
        <w:rPr>
          <w:rFonts w:hint="eastAsia" w:ascii="仿宋" w:hAnsi="仿宋" w:eastAsia="仿宋"/>
          <w:color w:val="auto"/>
          <w:sz w:val="24"/>
          <w:szCs w:val="24"/>
          <w:highlight w:val="none"/>
          <w:lang w:eastAsia="zh-CN"/>
        </w:rPr>
        <w:t>承包人应按审查批准或备案的设计施工图、发包人要求、标准、规范等实施、完成并保修合同工程，不得以合同价格清单项目特征错误、描述不清、清单漏项、工作量偏差、工程量偏差等原因增减工作内容，也不免除承包人履行工程总承包合同应承担的责任。</w:t>
      </w:r>
    </w:p>
    <w:p w14:paraId="304F703D">
      <w:pPr>
        <w:pStyle w:val="2"/>
        <w:tabs>
          <w:tab w:val="left" w:pos="1800"/>
        </w:tabs>
        <w:adjustRightInd w:val="0"/>
        <w:snapToGrid w:val="0"/>
        <w:spacing w:line="360" w:lineRule="auto"/>
        <w:rPr>
          <w:rFonts w:hint="eastAsia" w:ascii="仿宋" w:hAnsi="仿宋" w:eastAsia="仿宋"/>
          <w:color w:val="auto"/>
          <w:sz w:val="24"/>
          <w:szCs w:val="24"/>
          <w:highlight w:val="none"/>
          <w:lang w:eastAsia="zh-CN"/>
        </w:rPr>
      </w:pPr>
    </w:p>
    <w:p w14:paraId="78B244A9">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1" w:name="_Toc19081"/>
      <w:r>
        <w:rPr>
          <w:rFonts w:hint="eastAsia" w:ascii="仿宋" w:hAnsi="仿宋" w:eastAsia="仿宋" w:cs="仿宋"/>
          <w:bCs w:val="0"/>
          <w:color w:val="auto"/>
          <w:sz w:val="24"/>
          <w:szCs w:val="24"/>
          <w:highlight w:val="none"/>
          <w:lang w:eastAsia="zh-CN"/>
        </w:rPr>
        <w:t>★72计量和计价</w:t>
      </w:r>
      <w:bookmarkEnd w:id="371"/>
    </w:p>
    <w:p w14:paraId="2E51C3D7">
      <w:pPr>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72</w:t>
      </w:r>
      <w:r>
        <w:rPr>
          <w:rFonts w:ascii="仿宋" w:hAnsi="仿宋" w:eastAsia="仿宋" w:cs="仿宋"/>
          <w:b/>
          <w:bCs/>
          <w:color w:val="auto"/>
          <w:highlight w:val="none"/>
          <w:lang w:eastAsia="zh-CN"/>
        </w:rPr>
        <w:t>.1</w:t>
      </w:r>
    </w:p>
    <w:p w14:paraId="54C0855B">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64064" behindDoc="0" locked="0" layoutInCell="1" allowOverlap="1">
                <wp:simplePos x="0" y="0"/>
                <wp:positionH relativeFrom="column">
                  <wp:posOffset>-114300</wp:posOffset>
                </wp:positionH>
                <wp:positionV relativeFrom="paragraph">
                  <wp:posOffset>12700</wp:posOffset>
                </wp:positionV>
                <wp:extent cx="842645" cy="556260"/>
                <wp:effectExtent l="0" t="0" r="0" b="0"/>
                <wp:wrapNone/>
                <wp:docPr id="775" name="文本框 961"/>
                <wp:cNvGraphicFramePr/>
                <a:graphic xmlns:a="http://schemas.openxmlformats.org/drawingml/2006/main">
                  <a:graphicData uri="http://schemas.microsoft.com/office/word/2010/wordprocessingShape">
                    <wps:wsp>
                      <wps:cNvSpPr txBox="1">
                        <a:spLocks noChangeArrowheads="1"/>
                      </wps:cNvSpPr>
                      <wps:spPr bwMode="auto">
                        <a:xfrm>
                          <a:off x="0" y="0"/>
                          <a:ext cx="842645" cy="556260"/>
                        </a:xfrm>
                        <a:prstGeom prst="rect">
                          <a:avLst/>
                        </a:prstGeom>
                        <a:noFill/>
                        <a:ln>
                          <a:noFill/>
                        </a:ln>
                        <a:effectLst/>
                      </wps:spPr>
                      <wps:txbx>
                        <w:txbxContent>
                          <w:p w14:paraId="4D27D014">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计量和计价的依据</w:t>
                            </w:r>
                          </w:p>
                        </w:txbxContent>
                      </wps:txbx>
                      <wps:bodyPr rot="0" vert="horz" wrap="square" lIns="91440" tIns="45720" rIns="91440" bIns="45720" anchor="t" anchorCtr="0" upright="1">
                        <a:noAutofit/>
                      </wps:bodyPr>
                    </wps:wsp>
                  </a:graphicData>
                </a:graphic>
              </wp:anchor>
            </w:drawing>
          </mc:Choice>
          <mc:Fallback>
            <w:pict>
              <v:shape id="文本框 961" o:spid="_x0000_s1026" o:spt="202" type="#_x0000_t202" style="position:absolute;left:0pt;margin-left:-9pt;margin-top:1pt;height:43.8pt;width:66.35pt;z-index:251864064;mso-width-relative:page;mso-height-relative:page;" filled="f" stroked="f" coordsize="21600,21600" o:gfxdata="UEsDBAoAAAAAAIdO4kAAAAAAAAAAAAAAAAAEAAAAZHJzL1BLAwQUAAAACACHTuJADghnj9YAAAAI&#10;AQAADwAAAGRycy9kb3ducmV2LnhtbE2PwW7CMBBE75X6D9ZW4gZ2EIUQsuHQqleqAq3EzcRLEjVe&#10;R7Eh6d/XnNrTaDWrmTf5drStuFHvG8cIyUyBIC6dabhCOB7epikIHzQb3TomhB/ysC0eH3KdGTfw&#10;B932oRIxhH2mEeoQukxKX9ZktZ+5jjh6F9dbHeLZV9L0eojhtpVzpZbS6oZjQ607eqmp/N5fLcLn&#10;7nL6Wqj36tU+d4MblWS7loiTp0RtQAQaw98z3PEjOhSR6eyubLxoEaZJGrcEhHmUu58sViDOCOl6&#10;CbLI5f8BxS9QSwMEFAAAAAgAh07iQLuz00wfAgAAJgQAAA4AAABkcnMvZTJvRG9jLnhtbK1TS27b&#10;MBDdF+gdCO5r2YY/iWA5SGOkKJB+gLQHoCnKIipx2CFtyT1Ae4Ouuum+5/I5OiQd1003WXQjcDjD&#10;N/PePC2u+rZhO4VOgyn4aDDkTBkJpTabgn/8cPvigjPnhSlFA0YVfK8cv1o+f7bobK7GUENTKmQE&#10;Ylze2YLX3ts8y5ysVSvcAKwylKwAW+EpxE1WougIvW2y8XA4yzrA0iJI5RzdrlKSHxHxKYBQVVqq&#10;Fchtq4xPqKga4YmSq7V1fBmnrSol/buqcsqzpuDE1McvNaHzOnyz5ULkGxS21vI4gnjKCI84tUIb&#10;anqCWgkv2Bb1P1CtlggOKj+Q0GaJSFSEWIyGj7S5r4VVkQtJ7exJdPf/YOXb3Xtkuiz4fD7lzIiW&#10;Vn74/u3w49fh51d2ORsFiTrrcqq8t1Tr+5fQk3EiXWfvQH5yzMBNLcxGXSNCVytR0ojxZXb2NOG4&#10;ALLu3kBJncTWQwTqK2yDfqQII3Raz/60HtV7JunyYjKeTWhISanpdDaexfVlIn94bNH5VwpaFg4F&#10;R9p+BBe7O+eJBpU+lIReBm5100QHNOavCypMNypa6Pg6UAnTJx6+X/dHadZQ7okUQrIX/Vx0qAG/&#10;cNaRtQruPm8FKs6a14aEuRxNJsGLMZhM52MK8DyzPs8IIwmq4J6zdLzxyb9bi3pTU6e0CgPXJGal&#10;I9EwapqKWIeA7BP5H60e/Hkex6o/v/f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4IZ4/WAAAA&#10;CAEAAA8AAAAAAAAAAQAgAAAAIgAAAGRycy9kb3ducmV2LnhtbFBLAQIUABQAAAAIAIdO4kC7s9NM&#10;HwIAACYEAAAOAAAAAAAAAAEAIAAAACUBAABkcnMvZTJvRG9jLnhtbFBLBQYAAAAABgAGAFkBAAC2&#10;BQAAAAA=&#10;">
                <v:fill on="f" focussize="0,0"/>
                <v:stroke on="f"/>
                <v:imagedata o:title=""/>
                <o:lock v:ext="edit" aspectratio="f"/>
                <v:textbox>
                  <w:txbxContent>
                    <w:p w14:paraId="4D27D014">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计量和计价的依据</w:t>
                      </w:r>
                    </w:p>
                  </w:txbxContent>
                </v:textbox>
              </v:shape>
            </w:pict>
          </mc:Fallback>
        </mc:AlternateContent>
      </w:r>
      <w:r>
        <w:rPr>
          <w:rFonts w:hint="eastAsia" w:ascii="仿宋" w:hAnsi="仿宋" w:eastAsia="仿宋" w:cs="仿宋"/>
          <w:color w:val="auto"/>
          <w:sz w:val="24"/>
          <w:szCs w:val="24"/>
          <w:highlight w:val="none"/>
          <w:lang w:eastAsia="zh-CN"/>
        </w:rPr>
        <w:t>72.1.1工程勘察费（如果有）的计量规则与计价办法，由合同当事人在专用条款中约定。专用条款中没有约定的，应结合市场行情，参照基准日期前相关价格指导文件，由双方协商确定。招标发包工程，按承包人的投标文件及有效澄清文件、招标文件规定的报价要求及相关澄清文件执行。</w:t>
      </w:r>
    </w:p>
    <w:p w14:paraId="61EAFB9C">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72.1.2 工程设计费的计量规则与计价办法，由合同当事人在专用条款中约定。专用条款中没有约定的，应结合市场行情，参照基准日期前国家、行业颁布的指导价文件或省级物价主管部门批准的收费文件，由双方协商确定。招标发包工程以承包人的投标文件及有效澄清文件、招标文件规定的报价要求及相关澄清文件执行。</w:t>
      </w:r>
    </w:p>
    <w:p w14:paraId="4CE11A2E">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72.1.3 BIM技术应用费的计量规则与计价办法，由合同当事人在专用条款中约定。专用条款中没有约定的，应结合市场行情，参照基准日期前国家、行业颁布的指导价文件或省级物价主管部门批准的收费文件，由双方协商确定。招标发包工程以承包人的投标文件及有效澄清文件、招标文件规定的报价要求及相关澄清文件执行。</w:t>
      </w:r>
    </w:p>
    <w:p w14:paraId="7D70C310">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72.1.4 设备及工器具购置费（如果有）的计量规则与计价办法，由合同当事人在专用条款中约定。招标发包工程以承包人的投标文件及有效澄清文件、招标文件规定的报价要求及相关澄清文件执行。</w:t>
      </w:r>
    </w:p>
    <w:p w14:paraId="0101E7CC">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72.1.5 建筑安装工程费的工程量计算规则和计价办法，由合同当事人在专用条款中约定。专用条款中没有约定的，应结合市场行情，参照基准日期前国家、行业相关规范、标准、定额及当地发布的政府指导价，由双方协商确定。招标发包工程以承包人的投标文件及有效的澄清文件、招标文件规定的报价要求及相关澄清文件执行。</w:t>
      </w:r>
    </w:p>
    <w:p w14:paraId="7AA50E17">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72.1.6 其它服务项目费用（如果有）的计量规则和计价办法，由合同当事人在专用条款中约定。专用条款中没有约定的，应结合市场行情，参照基准日期前国家、行业颁布的指导价文件或省级物价主管部门批准的收费文件，由双方协商确定。招标发包工程以承包人的投标文件及有效澄清文件、招标文件规定的报价要求及相关澄清文件执行。</w:t>
      </w:r>
    </w:p>
    <w:p w14:paraId="5F16A5E3">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72</w:t>
      </w:r>
      <w:r>
        <w:rPr>
          <w:rFonts w:ascii="仿宋" w:hAnsi="仿宋" w:eastAsia="仿宋" w:cs="仿宋"/>
          <w:b/>
          <w:bCs/>
          <w:color w:val="auto"/>
          <w:sz w:val="24"/>
          <w:szCs w:val="24"/>
          <w:highlight w:val="none"/>
          <w:lang w:eastAsia="zh-CN"/>
        </w:rPr>
        <w:t xml:space="preserve">.2  </w:t>
      </w:r>
    </w:p>
    <w:p w14:paraId="1BFE117E">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65088" behindDoc="0" locked="0" layoutInCell="1" allowOverlap="1">
                <wp:simplePos x="0" y="0"/>
                <wp:positionH relativeFrom="column">
                  <wp:posOffset>-114300</wp:posOffset>
                </wp:positionH>
                <wp:positionV relativeFrom="paragraph">
                  <wp:posOffset>50800</wp:posOffset>
                </wp:positionV>
                <wp:extent cx="823595" cy="489585"/>
                <wp:effectExtent l="0" t="0" r="0" b="0"/>
                <wp:wrapNone/>
                <wp:docPr id="776" name="文本框 962"/>
                <wp:cNvGraphicFramePr/>
                <a:graphic xmlns:a="http://schemas.openxmlformats.org/drawingml/2006/main">
                  <a:graphicData uri="http://schemas.microsoft.com/office/word/2010/wordprocessingShape">
                    <wps:wsp>
                      <wps:cNvSpPr txBox="1">
                        <a:spLocks noChangeArrowheads="1"/>
                      </wps:cNvSpPr>
                      <wps:spPr bwMode="auto">
                        <a:xfrm>
                          <a:off x="0" y="0"/>
                          <a:ext cx="823595" cy="489585"/>
                        </a:xfrm>
                        <a:prstGeom prst="rect">
                          <a:avLst/>
                        </a:prstGeom>
                        <a:noFill/>
                        <a:ln>
                          <a:noFill/>
                        </a:ln>
                        <a:effectLst/>
                      </wps:spPr>
                      <wps:txbx>
                        <w:txbxContent>
                          <w:p w14:paraId="577717BD">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计量和计价的要求</w:t>
                            </w:r>
                          </w:p>
                        </w:txbxContent>
                      </wps:txbx>
                      <wps:bodyPr rot="0" vert="horz" wrap="square" lIns="91440" tIns="45720" rIns="91440" bIns="45720" anchor="t" anchorCtr="0" upright="1">
                        <a:noAutofit/>
                      </wps:bodyPr>
                    </wps:wsp>
                  </a:graphicData>
                </a:graphic>
              </wp:anchor>
            </w:drawing>
          </mc:Choice>
          <mc:Fallback>
            <w:pict>
              <v:shape id="文本框 962" o:spid="_x0000_s1026" o:spt="202" type="#_x0000_t202" style="position:absolute;left:0pt;margin-left:-9pt;margin-top:4pt;height:38.55pt;width:64.85pt;z-index:251865088;mso-width-relative:page;mso-height-relative:page;" filled="f" stroked="f" coordsize="21600,21600" o:gfxdata="UEsDBAoAAAAAAIdO4kAAAAAAAAAAAAAAAAAEAAAAZHJzL1BLAwQUAAAACACHTuJAxjI6F9QAAAAI&#10;AQAADwAAAGRycy9kb3ducmV2LnhtbE2PwU7DMBBE70j9B2uRuLW2EaVtGqeHIq4gCkXito23SUS8&#10;jmK3CX+Pc4LTajSj2Tf5bnStuFIfGs8G9EKBIC69bbgy8PH+PF+DCBHZYuuZDPxQgF0xu8kxs37g&#10;N7oeYiVSCYcMDdQxdpmUoazJYVj4jjh5Z987jEn2lbQ9DqnctfJeqUfpsOH0ocaO9jWV34eLM3B8&#10;OX99PqjX6sktu8GPSrLbSGPubrXagog0xr8wTPgJHYrEdPIXtkG0BuZ6nbZEA9OZfK1XIE5JLzXI&#10;Ipf/BxS/UEsDBBQAAAAIAIdO4kDkAa8VIAIAACYEAAAOAAAAZHJzL2Uyb0RvYy54bWytU82O0zAQ&#10;viPxDpbvNG1pu23UdLVstQhp+ZEWHsB1nMYi8Zix26Q8APsGnLhw57n6HIydbCnLZQ9cLNsz/ma+&#10;bz4vL9u6YnuFToPJ+Ggw5EwZCbk224x/+njzYs6Z88LkogKjMn5Qjl+unj9bNjZVYyihyhUyAjEu&#10;bWzGS+9tmiROlqoWbgBWGQoWgLXwdMRtkqNoCL2ukvFwOEsawNwiSOUc3a67IO8R8SmAUBRaqjXI&#10;Xa2M71BRVcITJVdq6/gqdlsUSvr3ReGUZ1XGiamPKxWh/SasyWop0i0KW2rZtyCe0sIjTrXQhoqe&#10;oNbCC7ZD/Q9UrSWCg8IPJNRJRyQqQixGw0fa3JXCqsiFpHb2JLr7f7Dy3f4DMp1n/OJixpkRNY38&#10;+P3++OPX8ec3tpiNg0SNdSll3lnK9e0raMk4ka6ztyA/O2bguhRmq64QoSmVyKnFUXiZnD3tcFwA&#10;2TRvIadKYuchArUF1kE/UoQROo3ncBqPaj2TdDkfv5wuppxJCk3mi+l8GiuI9OGxRedfK6hZ2GQc&#10;afoRXOxvnQ/NiPQhJdQycKOrKjqgMn9dUGJ3o6KF+teBSui+4+HbTdtLs4H8QKQQOnvR56JNCfiV&#10;s4aslXH3ZSdQcVa9MSTMYjSZBC/Gw2R6MaYDnkc25xFhJEFl3HPWba9959+dRb0tqVI3CgNXJGah&#10;I9HQatdVPwKyT+TfWz348/wcs/5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jI6F9QAAAAI&#10;AQAADwAAAAAAAAABACAAAAAiAAAAZHJzL2Rvd25yZXYueG1sUEsBAhQAFAAAAAgAh07iQOQBrxUg&#10;AgAAJgQAAA4AAAAAAAAAAQAgAAAAIwEAAGRycy9lMm9Eb2MueG1sUEsFBgAAAAAGAAYAWQEAALUF&#10;AAAAAA==&#10;">
                <v:fill on="f" focussize="0,0"/>
                <v:stroke on="f"/>
                <v:imagedata o:title=""/>
                <o:lock v:ext="edit" aspectratio="f"/>
                <v:textbox>
                  <w:txbxContent>
                    <w:p w14:paraId="577717BD">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计量和计价的要求</w:t>
                      </w:r>
                    </w:p>
                  </w:txbxContent>
                </v:textbox>
              </v:shape>
            </w:pict>
          </mc:Fallback>
        </mc:AlternateContent>
      </w:r>
      <w:r>
        <w:rPr>
          <w:rFonts w:hint="eastAsia" w:ascii="仿宋" w:hAnsi="仿宋" w:eastAsia="仿宋" w:cs="仿宋"/>
          <w:color w:val="auto"/>
          <w:sz w:val="24"/>
          <w:szCs w:val="24"/>
          <w:highlight w:val="none"/>
          <w:lang w:eastAsia="zh-CN"/>
        </w:rPr>
        <w:t>合同双方当事人应按照专用条款约定的计量规则、计价办法、计价依据、允许调整事项及合同价格调整办法，进行工程计量和计价。</w:t>
      </w:r>
    </w:p>
    <w:p w14:paraId="4E2DB6AC">
      <w:pPr>
        <w:pStyle w:val="2"/>
        <w:adjustRightInd w:val="0"/>
        <w:snapToGrid w:val="0"/>
        <w:spacing w:line="360" w:lineRule="auto"/>
        <w:ind w:left="1850" w:leftChars="771"/>
        <w:rPr>
          <w:color w:val="auto"/>
          <w:highlight w:val="none"/>
          <w:lang w:eastAsia="zh-CN"/>
        </w:rPr>
      </w:pPr>
      <w:r>
        <w:rPr>
          <w:rFonts w:hint="eastAsia" w:ascii="仿宋" w:hAnsi="仿宋" w:eastAsia="仿宋" w:cs="仿宋"/>
          <w:color w:val="auto"/>
          <w:sz w:val="24"/>
          <w:szCs w:val="24"/>
          <w:highlight w:val="none"/>
          <w:lang w:eastAsia="zh-CN"/>
        </w:rPr>
        <w:t>监理人、造价咨询人负责工程计量和计价的核实工作。</w:t>
      </w:r>
    </w:p>
    <w:p w14:paraId="360166A4">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866112" behindDoc="0" locked="0" layoutInCell="1" allowOverlap="1">
                <wp:simplePos x="0" y="0"/>
                <wp:positionH relativeFrom="column">
                  <wp:posOffset>-95250</wp:posOffset>
                </wp:positionH>
                <wp:positionV relativeFrom="paragraph">
                  <wp:posOffset>247015</wp:posOffset>
                </wp:positionV>
                <wp:extent cx="851535" cy="650875"/>
                <wp:effectExtent l="0" t="0" r="0" b="0"/>
                <wp:wrapNone/>
                <wp:docPr id="777" name="文本框 963"/>
                <wp:cNvGraphicFramePr/>
                <a:graphic xmlns:a="http://schemas.openxmlformats.org/drawingml/2006/main">
                  <a:graphicData uri="http://schemas.microsoft.com/office/word/2010/wordprocessingShape">
                    <wps:wsp>
                      <wps:cNvSpPr txBox="1">
                        <a:spLocks noChangeArrowheads="1"/>
                      </wps:cNvSpPr>
                      <wps:spPr bwMode="auto">
                        <a:xfrm>
                          <a:off x="0" y="0"/>
                          <a:ext cx="851535" cy="650875"/>
                        </a:xfrm>
                        <a:prstGeom prst="rect">
                          <a:avLst/>
                        </a:prstGeom>
                        <a:noFill/>
                        <a:ln>
                          <a:noFill/>
                        </a:ln>
                        <a:effectLst/>
                      </wps:spPr>
                      <wps:txbx>
                        <w:txbxContent>
                          <w:p w14:paraId="335C2A84">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已完工作或工程款额报告的提交和核实</w:t>
                            </w:r>
                          </w:p>
                        </w:txbxContent>
                      </wps:txbx>
                      <wps:bodyPr rot="0" vert="horz" wrap="square" lIns="91440" tIns="45720" rIns="91440" bIns="45720" anchor="t" anchorCtr="0" upright="1">
                        <a:noAutofit/>
                      </wps:bodyPr>
                    </wps:wsp>
                  </a:graphicData>
                </a:graphic>
              </wp:anchor>
            </w:drawing>
          </mc:Choice>
          <mc:Fallback>
            <w:pict>
              <v:shape id="文本框 963" o:spid="_x0000_s1026" o:spt="202" type="#_x0000_t202" style="position:absolute;left:0pt;margin-left:-7.5pt;margin-top:19.45pt;height:51.25pt;width:67.05pt;z-index:251866112;mso-width-relative:page;mso-height-relative:page;" filled="f" stroked="f" coordsize="21600,21600" o:gfxdata="UEsDBAoAAAAAAIdO4kAAAAAAAAAAAAAAAAAEAAAAZHJzL1BLAwQUAAAACACHTuJANPIpq9cAAAAK&#10;AQAADwAAAGRycy9kb3ducmV2LnhtbE2PzU7DMBCE70i8g7VI3FrbkKImzaYHEFcQ5Ufi5sbbJGq8&#10;jmK3CW+Pe4LbrGY0+025nV0vzjSGzjOCXioQxLW3HTcIH+/PizWIEA1b03smhB8KsK2ur0pTWD/x&#10;G513sRGphENhENoYh0LKULfkTFj6gTh5Bz86E9M5NtKOZkrlrpd3Sj1IZzpOH1oz0GNL9XF3cgif&#10;L4fvr0y9Nk9uNUx+VpJdLhFvb7TagIg0x78wXPATOlSJae9PbIPoERZ6lbZEhPt1DuIS0LkGsU8i&#10;0xnIqpT/J1S/UEsDBBQAAAAIAIdO4kDaVdoXIAIAACYEAAAOAAAAZHJzL2Uyb0RvYy54bWytU0tu&#10;2zAQ3RfoHQjua9mOfxEsB2mMFAXSD5D2ADRFWUQlDjukLbkHaG/QVTfd91w+R4eU4rrpJotuCJIz&#10;fDPvzePyqq0rtlfoNJiMjwZDzpSRkGuzzfjHD7cvFpw5L0wuKjAq4wfl+NXq+bNlY1M1hhKqXCEj&#10;EOPSxma89N6mSeJkqWrhBmCVoWABWAtPR9wmOYqG0OsqGQ+Hs6QBzC2CVM7R7boL8h4RnwIIRaGl&#10;WoPc1cr4DhVVJTxRcqW2jq9it0WhpH9XFE55VmWcmPq4UhHab8KarJYi3aKwpZZ9C+IpLTziVAtt&#10;qOgJai28YDvU/0DVWiI4KPxAQp10RKIixGI0fKTNfSmsilxIamdPorv/Byvf7t8j03nG5/M5Z0bU&#10;NPLj92/HH7+OP7+yy9lFkKixLqXMe0u5vn0JLRkn0nX2DuQnxwzclMJs1TUiNKUSObU4Ci+Ts6cd&#10;jgsgm+YN5FRJ7DxEoLbAOuhHijBCp/EcTuNRrWeSLhfT0fRiypmk0Gw6XMynsYJIHx5bdP6VgpqF&#10;TcaRph/Bxf7O+dCMSB9SQi0Dt7qqogMq89cFJXY3Klqofx2ohO47Hr7dtL00G8gPRAqhsxd9LtqU&#10;gF84a8haGXefdwIVZ9VrQ8JcjiaT4MV4mEznYzrgeWRzHhFGElTGPWfd9sZ3/t1Z1NuSKnWjMHBN&#10;YhY6Eg2tdl31IyD7RP691YM/z88x68/3Xv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NPIpq9cA&#10;AAAKAQAADwAAAAAAAAABACAAAAAiAAAAZHJzL2Rvd25yZXYueG1sUEsBAhQAFAAAAAgAh07iQNpV&#10;2hcgAgAAJgQAAA4AAAAAAAAAAQAgAAAAJgEAAGRycy9lMm9Eb2MueG1sUEsFBgAAAAAGAAYAWQEA&#10;ALgFAAAAAA==&#10;">
                <v:fill on="f" focussize="0,0"/>
                <v:stroke on="f"/>
                <v:imagedata o:title=""/>
                <o:lock v:ext="edit" aspectratio="f"/>
                <v:textbox>
                  <w:txbxContent>
                    <w:p w14:paraId="335C2A84">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已完工作或工程款额报告的提交和核实</w:t>
                      </w:r>
                    </w:p>
                  </w:txbxContent>
                </v:textbox>
              </v:shape>
            </w:pict>
          </mc:Fallback>
        </mc:AlternateContent>
      </w:r>
      <w:r>
        <w:rPr>
          <w:rFonts w:hint="eastAsia" w:ascii="仿宋" w:hAnsi="仿宋" w:eastAsia="仿宋" w:cs="仿宋"/>
          <w:b/>
          <w:bCs/>
          <w:color w:val="auto"/>
          <w:highlight w:val="none"/>
          <w:lang w:eastAsia="zh-CN"/>
        </w:rPr>
        <w:t>72</w:t>
      </w:r>
      <w:r>
        <w:rPr>
          <w:rFonts w:ascii="仿宋" w:hAnsi="仿宋" w:eastAsia="仿宋" w:cs="仿宋"/>
          <w:b/>
          <w:bCs/>
          <w:color w:val="auto"/>
          <w:highlight w:val="none"/>
          <w:lang w:eastAsia="zh-CN"/>
        </w:rPr>
        <w:t>.3</w:t>
      </w:r>
    </w:p>
    <w:p w14:paraId="259B9C7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承包人应按照第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款约定向造价咨询人提交已完工作或工程款额报告。监理人、造价咨询人应在收到报告后的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天内核实工作量或工程量，并将核实结果通知承包人、抄报发包人，作为计价和支付的依据。</w:t>
      </w:r>
    </w:p>
    <w:p w14:paraId="7A0574CB">
      <w:pPr>
        <w:pStyle w:val="2"/>
        <w:adjustRightInd w:val="0"/>
        <w:snapToGrid w:val="0"/>
        <w:spacing w:line="360" w:lineRule="auto"/>
        <w:rPr>
          <w:color w:val="auto"/>
          <w:highlight w:val="none"/>
          <w:lang w:eastAsia="zh-CN"/>
        </w:rPr>
      </w:pPr>
      <w:r>
        <w:rPr>
          <w:rFonts w:hint="eastAsia" w:ascii="仿宋" w:hAnsi="仿宋" w:eastAsia="仿宋" w:cs="仿宋"/>
          <w:b/>
          <w:bCs/>
          <w:color w:val="auto"/>
          <w:sz w:val="24"/>
          <w:szCs w:val="24"/>
          <w:highlight w:val="none"/>
          <w:lang w:eastAsia="zh-CN"/>
        </w:rPr>
        <w:t>72</w:t>
      </w:r>
      <w:r>
        <w:rPr>
          <w:rFonts w:ascii="仿宋" w:hAnsi="仿宋" w:eastAsia="仿宋" w:cs="仿宋"/>
          <w:b/>
          <w:bCs/>
          <w:color w:val="auto"/>
          <w:sz w:val="24"/>
          <w:szCs w:val="24"/>
          <w:highlight w:val="none"/>
          <w:lang w:eastAsia="zh-CN"/>
        </w:rPr>
        <w:t xml:space="preserve">.4  </w:t>
      </w:r>
    </w:p>
    <w:p w14:paraId="59E2FF54">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67136" behindDoc="0" locked="0" layoutInCell="1" allowOverlap="1">
                <wp:simplePos x="0" y="0"/>
                <wp:positionH relativeFrom="column">
                  <wp:posOffset>-114300</wp:posOffset>
                </wp:positionH>
                <wp:positionV relativeFrom="paragraph">
                  <wp:posOffset>50165</wp:posOffset>
                </wp:positionV>
                <wp:extent cx="827405" cy="527685"/>
                <wp:effectExtent l="0" t="0" r="0" b="0"/>
                <wp:wrapNone/>
                <wp:docPr id="778" name="文本框 964"/>
                <wp:cNvGraphicFramePr/>
                <a:graphic xmlns:a="http://schemas.openxmlformats.org/drawingml/2006/main">
                  <a:graphicData uri="http://schemas.microsoft.com/office/word/2010/wordprocessingShape">
                    <wps:wsp>
                      <wps:cNvSpPr txBox="1">
                        <a:spLocks noChangeArrowheads="1"/>
                      </wps:cNvSpPr>
                      <wps:spPr bwMode="auto">
                        <a:xfrm>
                          <a:off x="0" y="0"/>
                          <a:ext cx="827405" cy="527685"/>
                        </a:xfrm>
                        <a:prstGeom prst="rect">
                          <a:avLst/>
                        </a:prstGeom>
                        <a:noFill/>
                        <a:ln>
                          <a:noFill/>
                        </a:ln>
                        <a:effectLst/>
                      </wps:spPr>
                      <wps:txbx>
                        <w:txbxContent>
                          <w:p w14:paraId="031A8F3A">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现场计量</w:t>
                            </w:r>
                          </w:p>
                        </w:txbxContent>
                      </wps:txbx>
                      <wps:bodyPr rot="0" vert="horz" wrap="square" lIns="91440" tIns="45720" rIns="91440" bIns="45720" anchor="t" anchorCtr="0" upright="1">
                        <a:noAutofit/>
                      </wps:bodyPr>
                    </wps:wsp>
                  </a:graphicData>
                </a:graphic>
              </wp:anchor>
            </w:drawing>
          </mc:Choice>
          <mc:Fallback>
            <w:pict>
              <v:shape id="文本框 964" o:spid="_x0000_s1026" o:spt="202" type="#_x0000_t202" style="position:absolute;left:0pt;margin-left:-9pt;margin-top:3.95pt;height:41.55pt;width:65.15pt;z-index:251867136;mso-width-relative:page;mso-height-relative:page;" filled="f" stroked="f" coordsize="21600,21600" o:gfxdata="UEsDBAoAAAAAAIdO4kAAAAAAAAAAAAAAAAAEAAAAZHJzL1BLAwQUAAAACACHTuJAIRc0f9YAAAAI&#10;AQAADwAAAGRycy9kb3ducmV2LnhtbE2PS0/DMBCE70j9D9ZW4tbaLq8mZNMDiCsV5SFxc+NtEhGv&#10;o9htwr+ve4LjaEYz3xSbyXXiRENoPSPopQJBXHnbco3w8f6yWIMI0bA1nWdC+KUAm3J2VZjc+pHf&#10;6LSLtUglHHKD0MTY51KGqiFnwtL3xMk7+MGZmORQSzuYMZW7Tq6UupfOtJwWGtPTU0PVz+7oED5f&#10;D99ft2pbP7u7fvSTkuwyiXg91+oRRKQp/oXhgp/QoUxMe39kG0SHsNDr9CUiPGQgLr5e3YDYI2Ra&#10;gSwL+f9AeQZQSwMEFAAAAAgAh07iQFJ8R88fAgAAJgQAAA4AAABkcnMvZTJvRG9jLnhtbK1TS27b&#10;MBDdF+gdCO5r2YZ/ESwHaYwUBdIPkPQANEVZRCUOO6QtuQdob9BVN933XD5HhpTiuukmi24IkjN8&#10;M+/N4/KyrSu2V+g0mIyPBkPOlJGQa7PN+Kf7m1cLzpwXJhcVGJXxg3L8cvXyxbKxqRpDCVWukBGI&#10;cWljM156b9MkcbJUtXADsMpQsACshacjbpMcRUPodZWMh8NZ0gDmFkEq5+h23QV5j4jPAYSi0FKt&#10;Qe5qZXyHiqoSnii5UlvHV7HbolDSfygKpzyrMk5MfVypCO03YU1WS5FuUdhSy74F8ZwWnnCqhTZU&#10;9AS1Fl6wHep/oGotERwUfiChTjoiURFiMRo+0eauFFZFLiS1syfR3f+Dle/3H5HpPOPzOQ3eiJpG&#10;fvzx/fjz9/HXN3YxmwSJGutSyryzlOvb19CScSJdZ29BfnbMwHUpzFZdIUJTKpFTi6PwMjl72uG4&#10;ALJp3kFOlcTOQwRqC6yDfqQII3Qaz+E0HtV6JulyMZ5PhlPOJIWm4/lsMY0VRPr42KLzbxTULGwy&#10;jjT9CC72t86HZkT6mBJqGbjRVRUdUJm/Liixu1HRQv3rQCV03/Hw7abtpdlAfiBSCJ296HPRpgT8&#10;yllD1sq4+7ITqDir3hoS5mI0mQQvxsNkOh/TAc8jm/OIMJKgMu4567bXvvPvzqLellSpG4WBKxKz&#10;0JFoaLXrqh8B2Sfy760e/Hl+jll/vvfq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EXNH/WAAAA&#10;CAEAAA8AAAAAAAAAAQAgAAAAIgAAAGRycy9kb3ducmV2LnhtbFBLAQIUABQAAAAIAIdO4kBSfEfP&#10;HwIAACYEAAAOAAAAAAAAAAEAIAAAACUBAABkcnMvZTJvRG9jLnhtbFBLBQYAAAAABgAGAFkBAAC2&#10;BQAAAAA=&#10;">
                <v:fill on="f" focussize="0,0"/>
                <v:stroke on="f"/>
                <v:imagedata o:title=""/>
                <o:lock v:ext="edit" aspectratio="f"/>
                <v:textbox>
                  <w:txbxContent>
                    <w:p w14:paraId="031A8F3A">
                      <w:pPr>
                        <w:rPr>
                          <w:rFonts w:hint="eastAsia" w:ascii="楷体_GB2312" w:hAnsi="宋体" w:eastAsia="楷体_GB2312" w:cs="楷体_GB2312"/>
                          <w:b/>
                          <w:bCs/>
                          <w:color w:val="000000"/>
                          <w:sz w:val="18"/>
                          <w:szCs w:val="18"/>
                        </w:rPr>
                      </w:pPr>
                      <w:r>
                        <w:rPr>
                          <w:rFonts w:hint="eastAsia" w:ascii="楷体_GB2312" w:hAnsi="宋体" w:eastAsia="楷体_GB2312" w:cs="楷体_GB2312"/>
                          <w:b/>
                          <w:bCs/>
                          <w:color w:val="000000"/>
                          <w:sz w:val="18"/>
                          <w:szCs w:val="18"/>
                        </w:rPr>
                        <w:t>现场计量</w:t>
                      </w:r>
                    </w:p>
                  </w:txbxContent>
                </v:textbox>
              </v:shape>
            </w:pict>
          </mc:Fallback>
        </mc:AlternateContent>
      </w:r>
      <w:r>
        <w:rPr>
          <w:rFonts w:hint="eastAsia" w:ascii="仿宋" w:hAnsi="仿宋" w:eastAsia="仿宋" w:cs="仿宋"/>
          <w:color w:val="auto"/>
          <w:sz w:val="24"/>
          <w:szCs w:val="24"/>
          <w:highlight w:val="none"/>
          <w:lang w:eastAsia="zh-CN"/>
        </w:rPr>
        <w:t>当造价咨询人进行现场计量时，应在计量前</w:t>
      </w:r>
      <w:r>
        <w:rPr>
          <w:rFonts w:ascii="仿宋" w:hAnsi="仿宋" w:eastAsia="仿宋" w:cs="仿宋"/>
          <w:color w:val="auto"/>
          <w:sz w:val="24"/>
          <w:szCs w:val="24"/>
          <w:highlight w:val="none"/>
          <w:lang w:eastAsia="zh-CN"/>
        </w:rPr>
        <w:t>24</w:t>
      </w:r>
      <w:r>
        <w:rPr>
          <w:rFonts w:hint="eastAsia" w:ascii="仿宋" w:hAnsi="仿宋" w:eastAsia="仿宋" w:cs="仿宋"/>
          <w:color w:val="auto"/>
          <w:sz w:val="24"/>
          <w:szCs w:val="24"/>
          <w:highlight w:val="none"/>
          <w:lang w:eastAsia="zh-CN"/>
        </w:rPr>
        <w:t>小时通知承包人，承包人应为计量提供便利条件并派人参加。承包人收到通知后不派人参加计量，视为认可计量结果。造价咨询人不按照约定时间通知承包人，致使承包人未能派人参加计量，计量结果无效。</w:t>
      </w:r>
    </w:p>
    <w:p w14:paraId="26A41ECA">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72</w:t>
      </w:r>
      <w:r>
        <w:rPr>
          <w:rFonts w:ascii="仿宋" w:hAnsi="仿宋" w:eastAsia="仿宋" w:cs="仿宋"/>
          <w:b/>
          <w:bCs/>
          <w:color w:val="auto"/>
          <w:highlight w:val="none"/>
          <w:lang w:eastAsia="zh-CN"/>
        </w:rPr>
        <w:t>.5</w:t>
      </w:r>
    </w:p>
    <w:p w14:paraId="54684E2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68160" behindDoc="0" locked="0" layoutInCell="1" allowOverlap="1">
                <wp:simplePos x="0" y="0"/>
                <wp:positionH relativeFrom="column">
                  <wp:posOffset>-114300</wp:posOffset>
                </wp:positionH>
                <wp:positionV relativeFrom="paragraph">
                  <wp:posOffset>44450</wp:posOffset>
                </wp:positionV>
                <wp:extent cx="775335" cy="598170"/>
                <wp:effectExtent l="0" t="0" r="0" b="0"/>
                <wp:wrapNone/>
                <wp:docPr id="779" name="文本框 965"/>
                <wp:cNvGraphicFramePr/>
                <a:graphic xmlns:a="http://schemas.openxmlformats.org/drawingml/2006/main">
                  <a:graphicData uri="http://schemas.microsoft.com/office/word/2010/wordprocessingShape">
                    <wps:wsp>
                      <wps:cNvSpPr txBox="1">
                        <a:spLocks noChangeArrowheads="1"/>
                      </wps:cNvSpPr>
                      <wps:spPr bwMode="auto">
                        <a:xfrm>
                          <a:off x="0" y="0"/>
                          <a:ext cx="775335" cy="598170"/>
                        </a:xfrm>
                        <a:prstGeom prst="rect">
                          <a:avLst/>
                        </a:prstGeom>
                        <a:noFill/>
                        <a:ln>
                          <a:noFill/>
                        </a:ln>
                        <a:effectLst/>
                      </wps:spPr>
                      <wps:txbx>
                        <w:txbxContent>
                          <w:p w14:paraId="78EBFB83">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收到已完工作或工程款额报告的限制</w:t>
                            </w:r>
                          </w:p>
                        </w:txbxContent>
                      </wps:txbx>
                      <wps:bodyPr rot="0" vert="horz" wrap="square" lIns="91440" tIns="45720" rIns="91440" bIns="45720" anchor="t" anchorCtr="0" upright="1">
                        <a:noAutofit/>
                      </wps:bodyPr>
                    </wps:wsp>
                  </a:graphicData>
                </a:graphic>
              </wp:anchor>
            </w:drawing>
          </mc:Choice>
          <mc:Fallback>
            <w:pict>
              <v:shape id="文本框 965" o:spid="_x0000_s1026" o:spt="202" type="#_x0000_t202" style="position:absolute;left:0pt;margin-left:-9pt;margin-top:3.5pt;height:47.1pt;width:61.05pt;z-index:251868160;mso-width-relative:page;mso-height-relative:page;" filled="f" stroked="f" coordsize="21600,21600" o:gfxdata="UEsDBAoAAAAAAIdO4kAAAAAAAAAAAAAAAAAEAAAAZHJzL1BLAwQUAAAACACHTuJAKD0/kdYAAAAJ&#10;AQAADwAAAGRycy9kb3ducmV2LnhtbE2PQU/DMAyF70j7D5EncduSTANGabrDJq4gNkDi5jVeW9E4&#10;VZOt5d+TnuBkW+/p+Xv5dnStuFIfGs8G9FKBIC69bbgy8H58XmxAhIhssfVMBn4owLaY3eSYWT/w&#10;G10PsRIphEOGBuoYu0zKUNbkMCx9R5y0s+8dxnT2lbQ9DinctXKl1L102HD6UGNHu5rK78PFGfh4&#10;OX99rtVrtXd33eBHJdk9SmNu51o9gYg0xj8zTPgJHYrEdPIXtkG0BhZ6k7pEAw9pTLpaaxCnadEr&#10;kEUu/zcofgFQSwMEFAAAAAgAh07iQHFbOEAgAgAAJgQAAA4AAABkcnMvZTJvRG9jLnhtbK1TS27b&#10;MBDdF+gdCO5r2Y4dxYLlII2RokD6AdIegKYoi6jEYYe0pfQA7Q266qb7nsvn6JBSXDfdZNENQXKG&#10;b+a9eVxedk3N9gqdBpPzyWjMmTISCm22Of/44ebFBWfOC1OIGozK+b1y/HL1/NmytZmaQgV1oZAR&#10;iHFZa3NeeW+zJHGyUo1wI7DKULAEbISnI26TAkVL6E2dTMfj86QFLCyCVM7R7boP8gERnwIIZaml&#10;WoPcNcr4HhVVLTxRcpW2jq9it2WppH9Xlk55VuecmPq4UhHab8KarJYi26KwlZZDC+IpLTzi1Aht&#10;qOgRai28YDvU/0A1WiI4KP1IQpP0RKIixGIyfqTNXSWsilxIamePorv/Byvf7t8j00XO03TBmREN&#10;jfzw/dvhx6/Dz69scT4PErXWZZR5ZynXdy+hI+NEus7egvzkmIHrSpitukKEtlKioBYn4WVy8rTH&#10;cQFk076BgiqJnYcI1JXYBP1IEUboNJ7743hU55mkyzSdn53NOZMUmi8uJmkcXyKyh8cWnX+loGFh&#10;k3Ok6Udwsb91PjQjsoeUUMvAja7r6IDa/HVBif2NihYaXgcqofueh+823SDNBop7IoXQ24s+F20q&#10;wC+ctWStnLvPO4GKs/q1IWEWk9kseDEeZvN0Sgc8jWxOI8JIgsq556zfXvvevzuLeltRpX4UBq5I&#10;zFJHoqHVvqthBGSfyH+wevDn6Tlm/fne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oPT+R1gAA&#10;AAkBAAAPAAAAAAAAAAEAIAAAACIAAABkcnMvZG93bnJldi54bWxQSwECFAAUAAAACACHTuJAcVs4&#10;QCACAAAmBAAADgAAAAAAAAABACAAAAAlAQAAZHJzL2Uyb0RvYy54bWxQSwUGAAAAAAYABgBZAQAA&#10;twUAAAAA&#10;">
                <v:fill on="f" focussize="0,0"/>
                <v:stroke on="f"/>
                <v:imagedata o:title=""/>
                <o:lock v:ext="edit" aspectratio="f"/>
                <v:textbox>
                  <w:txbxContent>
                    <w:p w14:paraId="78EBFB83">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收到已完工作或工程款额报告的限制</w:t>
                      </w:r>
                    </w:p>
                  </w:txbxContent>
                </v:textbox>
              </v:shape>
            </w:pict>
          </mc:Fallback>
        </mc:AlternateContent>
      </w:r>
      <w:r>
        <w:rPr>
          <w:rFonts w:hint="eastAsia" w:ascii="仿宋" w:hAnsi="仿宋" w:eastAsia="仿宋" w:cs="仿宋"/>
          <w:color w:val="auto"/>
          <w:sz w:val="24"/>
          <w:szCs w:val="24"/>
          <w:highlight w:val="none"/>
          <w:lang w:eastAsia="zh-CN"/>
        </w:rPr>
        <w:t>造价咨询人收到承包人按照第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款约定提交的已完工作或工程款额报告后</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天内，未进行计量或未向承包人通知计量结果的，从第</w:t>
      </w:r>
      <w:r>
        <w:rPr>
          <w:rFonts w:ascii="仿宋" w:hAnsi="仿宋" w:eastAsia="仿宋" w:cs="仿宋"/>
          <w:color w:val="auto"/>
          <w:sz w:val="24"/>
          <w:szCs w:val="24"/>
          <w:highlight w:val="none"/>
          <w:lang w:eastAsia="zh-CN"/>
        </w:rPr>
        <w:t>15</w:t>
      </w:r>
      <w:r>
        <w:rPr>
          <w:rFonts w:hint="eastAsia" w:ascii="仿宋" w:hAnsi="仿宋" w:eastAsia="仿宋" w:cs="仿宋"/>
          <w:color w:val="auto"/>
          <w:sz w:val="24"/>
          <w:szCs w:val="24"/>
          <w:highlight w:val="none"/>
          <w:lang w:eastAsia="zh-CN"/>
        </w:rPr>
        <w:t>天起，承包人报告中开列的工作量或工程量即视为被确认，作为计价和支付的依据。</w:t>
      </w:r>
    </w:p>
    <w:p w14:paraId="1EF1746B">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72</w:t>
      </w:r>
      <w:r>
        <w:rPr>
          <w:rFonts w:ascii="仿宋" w:hAnsi="仿宋" w:eastAsia="仿宋" w:cs="仿宋"/>
          <w:b/>
          <w:bCs/>
          <w:color w:val="auto"/>
          <w:highlight w:val="none"/>
          <w:lang w:eastAsia="zh-CN"/>
        </w:rPr>
        <w:t xml:space="preserve">.6  </w:t>
      </w:r>
    </w:p>
    <w:p w14:paraId="14A825BC">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69184" behindDoc="0" locked="0" layoutInCell="1" allowOverlap="1">
                <wp:simplePos x="0" y="0"/>
                <wp:positionH relativeFrom="column">
                  <wp:posOffset>-114300</wp:posOffset>
                </wp:positionH>
                <wp:positionV relativeFrom="paragraph">
                  <wp:posOffset>45720</wp:posOffset>
                </wp:positionV>
                <wp:extent cx="832485" cy="550545"/>
                <wp:effectExtent l="0" t="0" r="0" b="0"/>
                <wp:wrapNone/>
                <wp:docPr id="780" name="文本框 966"/>
                <wp:cNvGraphicFramePr/>
                <a:graphic xmlns:a="http://schemas.openxmlformats.org/drawingml/2006/main">
                  <a:graphicData uri="http://schemas.microsoft.com/office/word/2010/wordprocessingShape">
                    <wps:wsp>
                      <wps:cNvSpPr txBox="1">
                        <a:spLocks noChangeArrowheads="1"/>
                      </wps:cNvSpPr>
                      <wps:spPr bwMode="auto">
                        <a:xfrm>
                          <a:off x="0" y="0"/>
                          <a:ext cx="832485" cy="550545"/>
                        </a:xfrm>
                        <a:prstGeom prst="rect">
                          <a:avLst/>
                        </a:prstGeom>
                        <a:noFill/>
                        <a:ln>
                          <a:noFill/>
                        </a:ln>
                        <a:effectLst/>
                      </wps:spPr>
                      <wps:txbx>
                        <w:txbxContent>
                          <w:p w14:paraId="1BCE351B">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复核计量结果</w:t>
                            </w:r>
                          </w:p>
                        </w:txbxContent>
                      </wps:txbx>
                      <wps:bodyPr rot="0" vert="horz" wrap="square" lIns="91440" tIns="45720" rIns="91440" bIns="45720" anchor="t" anchorCtr="0" upright="1">
                        <a:noAutofit/>
                      </wps:bodyPr>
                    </wps:wsp>
                  </a:graphicData>
                </a:graphic>
              </wp:anchor>
            </w:drawing>
          </mc:Choice>
          <mc:Fallback>
            <w:pict>
              <v:shape id="文本框 966" o:spid="_x0000_s1026" o:spt="202" type="#_x0000_t202" style="position:absolute;left:0pt;margin-left:-9pt;margin-top:3.6pt;height:43.35pt;width:65.55pt;z-index:251869184;mso-width-relative:page;mso-height-relative:page;" filled="f" stroked="f" coordsize="21600,21600" o:gfxdata="UEsDBAoAAAAAAIdO4kAAAAAAAAAAAAAAAAAEAAAAZHJzL1BLAwQUAAAACACHTuJAP/1Uo9YAAAAI&#10;AQAADwAAAGRycy9kb3ducmV2LnhtbE2PwU7DMBBE70j8g7VI3FrbLdAmZNMDiCuIApW4ufE2iYjX&#10;Uew24e9xT/Q4mtHMm2IzuU6caAitZwQ9VyCIK29brhE+P15maxAhGram80wIvxRgU15fFSa3fuR3&#10;Om1jLVIJh9wgNDH2uZShasiZMPc9cfIOfnAmJjnU0g5mTOWukwulHqQzLaeFxvT01FD1sz06hK/X&#10;w/fuTr3Vz+6+H/2kJLtMIt7eaPUIItIU/8Nwxk/oUCamvT+yDaJDmOl1+hIRVgsQZ18vNYg9QrbM&#10;QJaFvDxQ/gFQSwMEFAAAAAgAh07iQDbQ6UsgAgAAJgQAAA4AAABkcnMvZTJvRG9jLnhtbK1TS27b&#10;MBDdF+gdCO5r2a7lOILlII2RokD6AdIegKYoi6jEYYe0pfQAzQ266qb7nsvn6JBSXDfdZNENQXKG&#10;b+a9eVxedE3N9gqdBpPzyWjMmTISCm22Of/08frFgjPnhSlEDUbl/E45frF6/mzZ2kxNoYK6UMgI&#10;xListTmvvLdZkjhZqUa4EVhlKFgCNsLTEbdJgaIl9KZOpuPxPGkBC4sglXN0u+6DfEDEpwBCWWqp&#10;1iB3jTK+R0VVC0+UXKWt46vYbVkq6d+XpVOe1Tknpj6uVIT2m7Amq6XItihspeXQgnhKC484NUIb&#10;KnqEWgsv2A71P1CNlggOSj+S0CQ9kagIsZiMH2lzWwmrIheS2tmj6O7/wcp3+w/IdJHzswVpYkRD&#10;Iz98vz/8+HX4+Y2dz+dBota6jDJvLeX67hV0ZJxI19kbkJ8dM3BVCbNVl4jQVkoU1OIkvExOnvY4&#10;LoBs2rdQUCWx8xCBuhKboB8pwgidWrk7jkd1nkm6XLyczhYpZ5JCaTpOZ2msILKHxxadf62gYWGT&#10;c6TpR3Cxv3E+NCOyh5RQy8C1ruvogNr8dUGJ/Y2KFhpeByqh+56H7zbdIM0GijsihdDbiz4XbSrA&#10;r5y1ZK2cuy87gYqz+o0hYc4ns1nwYjzM0rMpHfA0sjmNCCMJKuees3575Xv/7izqbUWV+lEYuCQx&#10;Sx2Jhlb7roYRkH0i/8HqwZ+n55j153u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VSj1gAA&#10;AAgBAAAPAAAAAAAAAAEAIAAAACIAAABkcnMvZG93bnJldi54bWxQSwECFAAUAAAACACHTuJANtDp&#10;SyACAAAmBAAADgAAAAAAAAABACAAAAAlAQAAZHJzL2Uyb0RvYy54bWxQSwUGAAAAAAYABgBZAQAA&#10;twUAAAAA&#10;">
                <v:fill on="f" focussize="0,0"/>
                <v:stroke on="f"/>
                <v:imagedata o:title=""/>
                <o:lock v:ext="edit" aspectratio="f"/>
                <v:textbox>
                  <w:txbxContent>
                    <w:p w14:paraId="1BCE351B">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复核计量结果</w:t>
                      </w:r>
                    </w:p>
                  </w:txbxContent>
                </v:textbox>
              </v:shape>
            </w:pict>
          </mc:Fallback>
        </mc:AlternateContent>
      </w:r>
      <w:r>
        <w:rPr>
          <w:rFonts w:hint="eastAsia" w:ascii="仿宋" w:hAnsi="仿宋" w:eastAsia="仿宋" w:cs="仿宋"/>
          <w:color w:val="auto"/>
          <w:sz w:val="24"/>
          <w:szCs w:val="24"/>
          <w:highlight w:val="none"/>
          <w:lang w:eastAsia="zh-CN"/>
        </w:rPr>
        <w:t>如果承包人认为造价咨询人的计量结果有误，应在收到计量结果通知后的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向造价咨询人提出书面意见，并附上其认为正确的计量结果和详细的计算过程等资料。造价咨询人收到书面意见后，应立即会同承包人对计量结果进行复核，并在签发支付证书前确定计量结果，同时通知承包人、抄报发包人。承包人对复核计量结果仍有异议或发包人对计量结果有异议的，按照第91条约定处理。</w:t>
      </w:r>
    </w:p>
    <w:p w14:paraId="4AFDDDFC">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72</w:t>
      </w:r>
      <w:r>
        <w:rPr>
          <w:rFonts w:ascii="仿宋" w:hAnsi="仿宋" w:eastAsia="仿宋" w:cs="仿宋"/>
          <w:b/>
          <w:bCs/>
          <w:color w:val="auto"/>
          <w:highlight w:val="none"/>
          <w:lang w:eastAsia="zh-CN"/>
        </w:rPr>
        <w:t xml:space="preserve">.7  </w:t>
      </w:r>
    </w:p>
    <w:p w14:paraId="439E1F3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70208" behindDoc="0" locked="0" layoutInCell="1" allowOverlap="1">
                <wp:simplePos x="0" y="0"/>
                <wp:positionH relativeFrom="column">
                  <wp:posOffset>-114300</wp:posOffset>
                </wp:positionH>
                <wp:positionV relativeFrom="paragraph">
                  <wp:posOffset>36195</wp:posOffset>
                </wp:positionV>
                <wp:extent cx="788670" cy="433705"/>
                <wp:effectExtent l="0" t="0" r="0" b="0"/>
                <wp:wrapNone/>
                <wp:docPr id="781" name="文本框 967"/>
                <wp:cNvGraphicFramePr/>
                <a:graphic xmlns:a="http://schemas.openxmlformats.org/drawingml/2006/main">
                  <a:graphicData uri="http://schemas.microsoft.com/office/word/2010/wordprocessingShape">
                    <wps:wsp>
                      <wps:cNvSpPr txBox="1">
                        <a:spLocks noChangeArrowheads="1"/>
                      </wps:cNvSpPr>
                      <wps:spPr bwMode="auto">
                        <a:xfrm>
                          <a:off x="0" y="0"/>
                          <a:ext cx="788670" cy="433705"/>
                        </a:xfrm>
                        <a:prstGeom prst="rect">
                          <a:avLst/>
                        </a:prstGeom>
                        <a:noFill/>
                        <a:ln>
                          <a:noFill/>
                        </a:ln>
                        <a:effectLst/>
                      </wps:spPr>
                      <wps:txbx>
                        <w:txbxContent>
                          <w:p w14:paraId="180A187B">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不予计量</w:t>
                            </w:r>
                          </w:p>
                        </w:txbxContent>
                      </wps:txbx>
                      <wps:bodyPr rot="0" vert="horz" wrap="square" lIns="91440" tIns="45720" rIns="91440" bIns="45720" anchor="t" anchorCtr="0" upright="1">
                        <a:noAutofit/>
                      </wps:bodyPr>
                    </wps:wsp>
                  </a:graphicData>
                </a:graphic>
              </wp:anchor>
            </w:drawing>
          </mc:Choice>
          <mc:Fallback>
            <w:pict>
              <v:shape id="文本框 967" o:spid="_x0000_s1026" o:spt="202" type="#_x0000_t202" style="position:absolute;left:0pt;margin-left:-9pt;margin-top:2.85pt;height:34.15pt;width:62.1pt;z-index:251870208;mso-width-relative:page;mso-height-relative:page;" filled="f" stroked="f" coordsize="21600,21600" o:gfxdata="UEsDBAoAAAAAAIdO4kAAAAAAAAAAAAAAAAAEAAAAZHJzL1BLAwQUAAAACACHTuJAMpPc79UAAAAI&#10;AQAADwAAAGRycy9kb3ducmV2LnhtbE2PS0/DMBCE70j8B2uRuLXrVH0RsukBxBVEeUjc3HibRMTr&#10;KHab8O9xT3AczWjmm2I3uU6deQitF4JsrkGxVN62UhO8vz3NtqBCNGJN54UJfjjArry+Kkxu/Siv&#10;fN7HWqUSCbkhaGLsc8RQNexMmPueJXlHPzgTkxxqtIMZU7nrcKH1Gp1pJS00pueHhqvv/ckRfDwf&#10;vz6X+qV+dKt+9JNGcXdIdHuT6XtQkaf4F4YLfkKHMjEd/ElsUB3BLNumL5FgtQF18fV6AepAsFlq&#10;wLLA/wfKX1BLAwQUAAAACACHTuJAu1gmUiACAAAmBAAADgAAAGRycy9lMm9Eb2MueG1srVNLbtsw&#10;EN0X6B0I7mvZjmM5guUgjZGiQPoB0h6ApiiLqMRhh7Sl9ADtDbrqpvuey+fokFJcN91k0Q1BcoZv&#10;5r15XF52Tc32Cp0Gk/PJaMyZMhIKbbY5//jh5sWCM+eFKUQNRuX8Xjl+uXr+bNnaTE2hgrpQyAjE&#10;uKy1Oa+8t1mSOFmpRrgRWGUoWAI2wtMRt0mBoiX0pk6m4/E8aQELiyCVc3S77oN8QMSnAEJZaqnW&#10;IHeNMr5HRVULT5Rcpa3jq9htWSrp35WlU57VOSemPq5UhPabsCarpci2KGyl5dCCeEoLjzg1Qhsq&#10;eoRaCy/YDvU/UI2WCA5KP5LQJD2RqAixmIwfaXNXCasiF5La2aPo7v/Byrf798h0kfN0MeHMiIZG&#10;fvj+7fDj1+HnV3YxT4NErXUZZd5ZyvXdS+jIOJGus7cgPzlm4LoSZquuEKGtlCioxUl4mZw87XFc&#10;ANm0b6CgSmLnIQJ1JTZBP1KEETqN5/44HtV5JukyXSzmKUUkhWZnZ+n4PFYQ2cNji86/UtCwsMk5&#10;0vQjuNjfOh+aEdlDSqhl4EbXdXRAbf66oMT+RkULDa8DldB9z8N3m26QZgPFPZFC6O1Fn4s2FeAX&#10;zlqyVs7d551AxVn92pAwF5PZLHgxHmbn6ZQOeBrZnEaEkQSVc89Zv732vX93FvW2okr9KAxckZil&#10;jkRDq31XwwjIPpH/YPXgz9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KT3O/VAAAA&#10;CAEAAA8AAAAAAAAAAQAgAAAAIgAAAGRycy9kb3ducmV2LnhtbFBLAQIUABQAAAAIAIdO4kC7WCZS&#10;IAIAACYEAAAOAAAAAAAAAAEAIAAAACQBAABkcnMvZTJvRG9jLnhtbFBLBQYAAAAABgAGAFkBAAC2&#10;BQAAAAA=&#10;">
                <v:fill on="f" focussize="0,0"/>
                <v:stroke on="f"/>
                <v:imagedata o:title=""/>
                <o:lock v:ext="edit" aspectratio="f"/>
                <v:textbox>
                  <w:txbxContent>
                    <w:p w14:paraId="180A187B">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不予计量</w:t>
                      </w:r>
                    </w:p>
                  </w:txbxContent>
                </v:textbox>
              </v:shape>
            </w:pict>
          </mc:Fallback>
        </mc:AlternateContent>
      </w:r>
      <w:r>
        <w:rPr>
          <w:rFonts w:hint="eastAsia" w:ascii="仿宋" w:hAnsi="仿宋" w:eastAsia="仿宋" w:cs="仿宋"/>
          <w:color w:val="auto"/>
          <w:sz w:val="24"/>
          <w:szCs w:val="24"/>
          <w:highlight w:val="none"/>
          <w:lang w:eastAsia="zh-CN"/>
        </w:rPr>
        <w:t>对承包人超出总承包范围的工程内容、服务内容或因承包人的原因造成返工的工作量或工程量，造价工程师均不予计量。</w:t>
      </w:r>
    </w:p>
    <w:p w14:paraId="7AE04420">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72</w:t>
      </w:r>
      <w:r>
        <w:rPr>
          <w:rFonts w:ascii="仿宋" w:hAnsi="仿宋" w:eastAsia="仿宋" w:cs="仿宋"/>
          <w:b/>
          <w:bCs/>
          <w:color w:val="auto"/>
          <w:highlight w:val="none"/>
          <w:lang w:eastAsia="zh-CN"/>
        </w:rPr>
        <w:t>.8</w:t>
      </w:r>
    </w:p>
    <w:p w14:paraId="1A08670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71232" behindDoc="0" locked="0" layoutInCell="1" allowOverlap="1">
                <wp:simplePos x="0" y="0"/>
                <wp:positionH relativeFrom="column">
                  <wp:posOffset>-114300</wp:posOffset>
                </wp:positionH>
                <wp:positionV relativeFrom="paragraph">
                  <wp:posOffset>24130</wp:posOffset>
                </wp:positionV>
                <wp:extent cx="785495" cy="501650"/>
                <wp:effectExtent l="0" t="0" r="0" b="0"/>
                <wp:wrapNone/>
                <wp:docPr id="782" name="文本框 968"/>
                <wp:cNvGraphicFramePr/>
                <a:graphic xmlns:a="http://schemas.openxmlformats.org/drawingml/2006/main">
                  <a:graphicData uri="http://schemas.microsoft.com/office/word/2010/wordprocessingShape">
                    <wps:wsp>
                      <wps:cNvSpPr txBox="1">
                        <a:spLocks noChangeArrowheads="1"/>
                      </wps:cNvSpPr>
                      <wps:spPr bwMode="auto">
                        <a:xfrm>
                          <a:off x="0" y="0"/>
                          <a:ext cx="785495" cy="501650"/>
                        </a:xfrm>
                        <a:prstGeom prst="rect">
                          <a:avLst/>
                        </a:prstGeom>
                        <a:noFill/>
                        <a:ln>
                          <a:noFill/>
                        </a:ln>
                        <a:effectLst/>
                      </wps:spPr>
                      <wps:txbx>
                        <w:txbxContent>
                          <w:p w14:paraId="3CD67261">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各项工作价款的计算</w:t>
                            </w:r>
                          </w:p>
                        </w:txbxContent>
                      </wps:txbx>
                      <wps:bodyPr rot="0" vert="horz" wrap="square" lIns="91440" tIns="45720" rIns="91440" bIns="45720" anchor="t" anchorCtr="0" upright="1">
                        <a:noAutofit/>
                      </wps:bodyPr>
                    </wps:wsp>
                  </a:graphicData>
                </a:graphic>
              </wp:anchor>
            </w:drawing>
          </mc:Choice>
          <mc:Fallback>
            <w:pict>
              <v:shape id="文本框 968" o:spid="_x0000_s1026" o:spt="202" type="#_x0000_t202" style="position:absolute;left:0pt;margin-left:-9pt;margin-top:1.9pt;height:39.5pt;width:61.85pt;z-index:251871232;mso-width-relative:page;mso-height-relative:page;" filled="f" stroked="f" coordsize="21600,21600" o:gfxdata="UEsDBAoAAAAAAIdO4kAAAAAAAAAAAAAAAAAEAAAAZHJzL1BLAwQUAAAACACHTuJA6AeKu9UAAAAI&#10;AQAADwAAAGRycy9kb3ducmV2LnhtbE2Py07DMBBF90j8gzVI7NpxCoUQMukCxBZEeUjs3HiaRMTj&#10;KHab8Pe4K1iO7ujec8rN7Hp15DF0XgiypQbFUnvbSUPw/va0yEGFaMSa3gsT/HCATXV+VprC+kle&#10;+biNjUolEgpD0MY4FIihbtmZsPQDS8r2fnQmpnNs0I5mSuWux5XWN+hMJ2mhNQM/tFx/bw+O4ON5&#10;//V5rV+aR7ceJj9rFHeHRJcXmb4HFXmOf89wwk/oUCWmnT+IDaonWGR5cokEV8nglOv1LagdQb7K&#10;AasS/wtUv1BLAwQUAAAACACHTuJAbygzvx8CAAAmBAAADgAAAGRycy9lMm9Eb2MueG1srVNLjhMx&#10;EN0jcQfLe9JJlG8rndEw0SCk4SMNHMBxu9MW3S5TdtIdDgA3YMWGPefKOSi7e0IYNrNgY9mu8qt6&#10;r55XV21dsYNCp8FkfDQYcqaMhFybXcY/frh9seDMeWFyUYFRGT8qx6/Wz5+tGpuqMZRQ5QoZgRiX&#10;Njbjpfc2TRInS1ULNwCrDAULwFp4OuIuyVE0hF5XyXg4nCUNYG4RpHKObjddkPeI+BRAKAot1Qbk&#10;vlbGd6ioKuGJkiu1dXwduy0KJf27onDKsyrjxNTHlYrQfhvWZL0S6Q6FLbXsWxBPaeERp1poQ0XP&#10;UBvhBduj/geq1hLBQeEHEuqkIxIVIRaj4SNt7kthVeRCUjt7Ft39P1j59vAemc4zPl+MOTOippGf&#10;vn87/fh1+vmVLWeLIFFjXUqZ95ZyffsSWjJOpOvsHchPjhm4KYXZqWtEaEolcmpxFF4mF087HBdA&#10;ts0byKmS2HuIQG2BddCPFGGETuM5nsejWs8kXc4X08lyypmk0HQ4mk3j+BKRPjy26PwrBTULm4wj&#10;TT+Ci8Od86EZkT6khFoGbnVVRQdU5q8LSuxuVLRQ/zpQCd13PHy7bXtptpAfiRRCZy/6XLQpAb9w&#10;1pC1Mu4+7wUqzqrXhoRZjiaT4MV4mEznYzrgZWR7GRFGElTGPWfd9sZ3/t1b1LuSKnWjMHBNYhY6&#10;Eg2tdl31IyD7RP691YM/L88x68/3Xv8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6AeKu9UAAAAI&#10;AQAADwAAAAAAAAABACAAAAAiAAAAZHJzL2Rvd25yZXYueG1sUEsBAhQAFAAAAAgAh07iQG8oM78f&#10;AgAAJgQAAA4AAAAAAAAAAQAgAAAAJAEAAGRycy9lMm9Eb2MueG1sUEsFBgAAAAAGAAYAWQEAALUF&#10;AAAAAA==&#10;">
                <v:fill on="f" focussize="0,0"/>
                <v:stroke on="f"/>
                <v:imagedata o:title=""/>
                <o:lock v:ext="edit" aspectratio="f"/>
                <v:textbox>
                  <w:txbxContent>
                    <w:p w14:paraId="3CD67261">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各项工作价款的计算</w:t>
                      </w:r>
                    </w:p>
                  </w:txbxContent>
                </v:textbox>
              </v:shape>
            </w:pict>
          </mc:Fallback>
        </mc:AlternateContent>
      </w:r>
      <w:r>
        <w:rPr>
          <w:rFonts w:hint="eastAsia" w:ascii="仿宋" w:hAnsi="仿宋" w:eastAsia="仿宋" w:cs="仿宋"/>
          <w:color w:val="auto"/>
          <w:sz w:val="24"/>
          <w:szCs w:val="24"/>
          <w:highlight w:val="none"/>
          <w:lang w:eastAsia="zh-CN"/>
        </w:rPr>
        <w:t>除按照第78条至第82条约定所做的调整外，应按照合同约定的该项工作的单价（费率），并按照本条约定计量得到的工作量或工程量与适用的单价（费率）的乘积确定该项工作的价款。造价咨询人根据各个支付期所有各项工作的价款计算该支付期工程款或服务费，并将各支付期的价款汇总计算合同价格。但专用条款约定总价包干的项目，其各支付期计算的价款及累计金额，不得超过合同约定的资金支付计划相应支付节点的金额及累计金额，且各支付期汇总金额不得超过合同约定的总价及允许调整金额。</w:t>
      </w:r>
    </w:p>
    <w:p w14:paraId="2F6B2B4F">
      <w:pPr>
        <w:pStyle w:val="2"/>
        <w:tabs>
          <w:tab w:val="left" w:pos="1620"/>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1E1A4DE8">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2" w:name="_Toc16794"/>
      <w:r>
        <w:rPr>
          <w:rFonts w:hint="eastAsia" w:ascii="仿宋" w:hAnsi="仿宋" w:eastAsia="仿宋" w:cs="仿宋"/>
          <w:bCs w:val="0"/>
          <w:color w:val="auto"/>
          <w:sz w:val="24"/>
          <w:szCs w:val="24"/>
          <w:highlight w:val="none"/>
          <w:lang w:eastAsia="zh-CN"/>
        </w:rPr>
        <w:t>★73暂列金额</w:t>
      </w:r>
      <w:bookmarkEnd w:id="372"/>
    </w:p>
    <w:p w14:paraId="3B3527EA">
      <w:pPr>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73</w:t>
      </w:r>
      <w:r>
        <w:rPr>
          <w:rFonts w:ascii="仿宋" w:hAnsi="仿宋" w:eastAsia="仿宋" w:cs="仿宋"/>
          <w:b/>
          <w:bCs/>
          <w:color w:val="auto"/>
          <w:highlight w:val="none"/>
          <w:lang w:eastAsia="zh-CN"/>
        </w:rPr>
        <w:t>.1</w:t>
      </w:r>
    </w:p>
    <w:p w14:paraId="387D074C">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872256" behindDoc="0" locked="0" layoutInCell="1" allowOverlap="1">
                <wp:simplePos x="0" y="0"/>
                <wp:positionH relativeFrom="column">
                  <wp:posOffset>-114300</wp:posOffset>
                </wp:positionH>
                <wp:positionV relativeFrom="paragraph">
                  <wp:posOffset>45720</wp:posOffset>
                </wp:positionV>
                <wp:extent cx="790575" cy="470535"/>
                <wp:effectExtent l="0" t="0" r="0" b="0"/>
                <wp:wrapNone/>
                <wp:docPr id="783" name="文本框 969"/>
                <wp:cNvGraphicFramePr/>
                <a:graphic xmlns:a="http://schemas.openxmlformats.org/drawingml/2006/main">
                  <a:graphicData uri="http://schemas.microsoft.com/office/word/2010/wordprocessingShape">
                    <wps:wsp>
                      <wps:cNvSpPr txBox="1">
                        <a:spLocks noChangeArrowheads="1"/>
                      </wps:cNvSpPr>
                      <wps:spPr bwMode="auto">
                        <a:xfrm>
                          <a:off x="0" y="0"/>
                          <a:ext cx="790575" cy="470535"/>
                        </a:xfrm>
                        <a:prstGeom prst="rect">
                          <a:avLst/>
                        </a:prstGeom>
                        <a:noFill/>
                        <a:ln>
                          <a:noFill/>
                        </a:ln>
                        <a:effectLst/>
                      </wps:spPr>
                      <wps:txbx>
                        <w:txbxContent>
                          <w:p w14:paraId="609FD1CA">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暂列金额的用途</w:t>
                            </w:r>
                          </w:p>
                        </w:txbxContent>
                      </wps:txbx>
                      <wps:bodyPr rot="0" vert="horz" wrap="square" lIns="91440" tIns="45720" rIns="91440" bIns="45720" anchor="t" anchorCtr="0" upright="1">
                        <a:noAutofit/>
                      </wps:bodyPr>
                    </wps:wsp>
                  </a:graphicData>
                </a:graphic>
              </wp:anchor>
            </w:drawing>
          </mc:Choice>
          <mc:Fallback>
            <w:pict>
              <v:shape id="文本框 969" o:spid="_x0000_s1026" o:spt="202" type="#_x0000_t202" style="position:absolute;left:0pt;margin-left:-9pt;margin-top:3.6pt;height:37.05pt;width:62.25pt;z-index:251872256;mso-width-relative:page;mso-height-relative:page;" filled="f" stroked="f" coordsize="21600,21600" o:gfxdata="UEsDBAoAAAAAAIdO4kAAAAAAAAAAAAAAAAAEAAAAZHJzL1BLAwQUAAAACACHTuJAUahxjtYAAAAI&#10;AQAADwAAAGRycy9kb3ducmV2LnhtbE2PQU/CQBSE7yb+h80j8Qa7RYFa+8pB41UjCgm3pftoG7pv&#10;m+5C6793OclxMpOZb/L1aFtxod43jhGSmQJBXDrTcIXw8/0+TUH4oNno1jEh/JKHdXF/l+vMuIG/&#10;6LIJlYgl7DONUIfQZVL6siar/cx1xNE7ut7qEGVfSdPrIZbbVs6VWkqrG44Lte7otabytDlbhO3H&#10;cb97Up/Vm110gxuVZPssER8miXoBEWgM/2G44kd0KCLTwZ3ZeNEiTJM0fgkIqzmIq6+WCxAHhDR5&#10;BFnk8vZA8QdQSwMEFAAAAAgAh07iQGGxZmEgAgAAJgQAAA4AAABkcnMvZTJvRG9jLnhtbK1TS27b&#10;MBDdF+gdCO5ryY4dx4LlII2RokD6AdIegKYoi6jEYYe0pfQA7Q266qb7nsvn6JBSXDfdZNENQXKG&#10;b+a9eVxedk3N9gqdBpPz8SjlTBkJhTbbnH/8cPPigjPnhSlEDUbl/F45frl6/mzZ2kxNoIK6UMgI&#10;xListTmvvLdZkjhZqUa4EVhlKFgCNsLTEbdJgaIl9KZOJml6nrSAhUWQyjm6XfdBPiDiUwChLLVU&#10;a5C7Rhnfo6KqhSdKrtLW8VXstiyV9O/K0inP6pwTUx9XKkL7TViT1VJkWxS20nJoQTylhUecGqEN&#10;FT1CrYUXbIf6H6hGSwQHpR9JaJKeSFSEWIzTR9rcVcKqyIWkdvYouvt/sPLt/j0yXeR8fnHGmREN&#10;jfzw/dvhx6/Dz69scb4IErXWZZR5ZynXdy+hI+NEus7egvzkmIHrSpitukKEtlKioBbH4WVy8rTH&#10;cQFk076BgiqJnYcI1JXYBP1IEUboNJ7743hU55mky/kinc1nnEkKTefp7GwWK4js4bFF518paFjY&#10;5Bxp+hFc7G+dD82I7CEl1DJwo+s6OqA2f11QYn+jooWG14FK6L7n4btNN0izgeKeSCH09qLPRZsK&#10;8AtnLVkr5+7zTqDirH5tSJjFeDoNXoyH6Ww+oQOeRjanEWEkQeXcc9Zvr33v351Fva2oUj8KA1ck&#10;Zqkj0dBq39UwArJP5D9YPfjz9Byz/nzv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RqHGO1gAA&#10;AAgBAAAPAAAAAAAAAAEAIAAAACIAAABkcnMvZG93bnJldi54bWxQSwECFAAUAAAACACHTuJAYbFm&#10;YSACAAAmBAAADgAAAAAAAAABACAAAAAlAQAAZHJzL2Uyb0RvYy54bWxQSwUGAAAAAAYABgBZAQAA&#10;twUAAAAA&#10;">
                <v:fill on="f" focussize="0,0"/>
                <v:stroke on="f"/>
                <v:imagedata o:title=""/>
                <o:lock v:ext="edit" aspectratio="f"/>
                <v:textbox>
                  <w:txbxContent>
                    <w:p w14:paraId="609FD1CA">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暂列金额的用途</w:t>
                      </w:r>
                    </w:p>
                  </w:txbxContent>
                </v:textbox>
              </v:shape>
            </w:pict>
          </mc:Fallback>
        </mc:AlternateContent>
      </w:r>
      <w:r>
        <w:rPr>
          <w:rFonts w:hint="eastAsia" w:ascii="仿宋" w:hAnsi="仿宋" w:eastAsia="仿宋" w:cs="仿宋"/>
          <w:color w:val="auto"/>
          <w:highlight w:val="none"/>
          <w:lang w:eastAsia="zh-CN"/>
        </w:rPr>
        <w:t>合同双方当事人应在专用条款中明确合同价格清单中开列的暂列金额。</w:t>
      </w:r>
    </w:p>
    <w:p w14:paraId="4E6F211C">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暂列金额是用于实施合同工程的任一增加部分，或用于提供不可预见的工程材料和工程设备，或用于工程变更等允许调整事项发生的工程款调增，以及经确认的索赔、现场签证，或用于提供相关服务或意外事项的一笔款项。</w:t>
      </w:r>
    </w:p>
    <w:p w14:paraId="675665C0">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73</w:t>
      </w:r>
      <w:r>
        <w:rPr>
          <w:rFonts w:ascii="仿宋" w:hAnsi="仿宋" w:eastAsia="仿宋" w:cs="仿宋"/>
          <w:b/>
          <w:bCs/>
          <w:color w:val="auto"/>
          <w:highlight w:val="none"/>
          <w:lang w:eastAsia="zh-CN"/>
        </w:rPr>
        <w:t>.2</w:t>
      </w:r>
    </w:p>
    <w:p w14:paraId="7D255255">
      <w:pPr>
        <w:pStyle w:val="2"/>
        <w:adjustRightInd w:val="0"/>
        <w:snapToGrid w:val="0"/>
        <w:spacing w:line="360" w:lineRule="auto"/>
        <w:ind w:left="1850" w:leftChars="771"/>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73280" behindDoc="0" locked="0" layoutInCell="1" allowOverlap="1">
                <wp:simplePos x="0" y="0"/>
                <wp:positionH relativeFrom="column">
                  <wp:posOffset>-133350</wp:posOffset>
                </wp:positionH>
                <wp:positionV relativeFrom="paragraph">
                  <wp:posOffset>99695</wp:posOffset>
                </wp:positionV>
                <wp:extent cx="857250" cy="537845"/>
                <wp:effectExtent l="0" t="0" r="0" b="0"/>
                <wp:wrapNone/>
                <wp:docPr id="784" name="文本框 970"/>
                <wp:cNvGraphicFramePr/>
                <a:graphic xmlns:a="http://schemas.openxmlformats.org/drawingml/2006/main">
                  <a:graphicData uri="http://schemas.microsoft.com/office/word/2010/wordprocessingShape">
                    <wps:wsp>
                      <wps:cNvSpPr txBox="1">
                        <a:spLocks noChangeArrowheads="1"/>
                      </wps:cNvSpPr>
                      <wps:spPr bwMode="auto">
                        <a:xfrm>
                          <a:off x="0" y="0"/>
                          <a:ext cx="857250" cy="537845"/>
                        </a:xfrm>
                        <a:prstGeom prst="rect">
                          <a:avLst/>
                        </a:prstGeom>
                        <a:noFill/>
                        <a:ln>
                          <a:noFill/>
                        </a:ln>
                        <a:effectLst/>
                      </wps:spPr>
                      <wps:txbx>
                        <w:txbxContent>
                          <w:p w14:paraId="3DC28897">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暂列金额的核实与支付</w:t>
                            </w:r>
                          </w:p>
                        </w:txbxContent>
                      </wps:txbx>
                      <wps:bodyPr rot="0" vert="horz" wrap="square" lIns="91440" tIns="45720" rIns="91440" bIns="45720" anchor="t" anchorCtr="0" upright="1">
                        <a:noAutofit/>
                      </wps:bodyPr>
                    </wps:wsp>
                  </a:graphicData>
                </a:graphic>
              </wp:anchor>
            </w:drawing>
          </mc:Choice>
          <mc:Fallback>
            <w:pict>
              <v:shape id="文本框 970" o:spid="_x0000_s1026" o:spt="202" type="#_x0000_t202" style="position:absolute;left:0pt;margin-left:-10.5pt;margin-top:7.85pt;height:42.35pt;width:67.5pt;z-index:251873280;mso-width-relative:page;mso-height-relative:page;" filled="f" stroked="f" coordsize="21600,21600" o:gfxdata="UEsDBAoAAAAAAIdO4kAAAAAAAAAAAAAAAAAEAAAAZHJzL1BLAwQUAAAACACHTuJA8gVETNYAAAAK&#10;AQAADwAAAGRycy9kb3ducmV2LnhtbE2PT0/DMAzF70h8h8hI3DanU8ef0nQHEFcQGyBxyxqvrWic&#10;qsnW8u3xTnCz/Z6ef6/czL5XJxpjF9hAttSgiOvgOm4MvO+eF3egYrLsbB+YDPxQhE11eVHawoWJ&#10;3+i0TY2SEI6FNdCmNBSIsW7J27gMA7FohzB6m2QdG3SjnSTc97jS+ga97Vg+tHagx5bq7+3RG/h4&#10;OXx95vq1efLrYQqzRvb3aMz1VaYfQCWa058ZzviCDpUw7cORXVS9gcUqky5JhPUtqLMhy+Wwl0Hr&#10;HLAq8X+F6hdQSwMEFAAAAAgAh07iQPwbdxAcAgAAJgQAAA4AAABkcnMvZTJvRG9jLnhtbK1TzY7T&#10;MBC+I/EOlu80bWlpN2q6WrZahLT8SAsP4DpOY5F4zNhtUh6AfQNOXLjzXH0Oxk7aLctlD1wie2b8&#10;zXzffFlctnXFdgqdBpPx0WDImTIScm02Gf/86ebFnDPnhclFBUZlfK8cv1w+f7ZobKrGUEKVK2QE&#10;Ylza2IyX3ts0SZwsVS3cAKwylCwAa+HpipskR9EQel0l4+HwVdIA5hZBKucouuqSvEfEpwBCUWip&#10;ViC3tTK+Q0VVCU+UXKmt48s4bVEo6T8UhVOeVRknpj5+qQmd1+GbLBci3aCwpZb9COIpIzziVAtt&#10;qOkJaiW8YFvU/0DVWiI4KPxAQp10RKIixGI0fKTNXSmsilxIamdPorv/Byvf7z4i03nGZ/MJZ0bU&#10;tPLDj/vDz9+HX9/ZxSxK1FiXUuWdpVrfvoaWjBPpOnsL8otjBq5LYTbqChGaUomcRhwFcZOzp2Ep&#10;LnUBZN28g5w6ia2HCNQWWAf9SBFG6LSe/Wk9qvVMUnA+nY2nlJGUmr6keaexg0iPjy06/0ZBzcIh&#10;40jbj+Bid+t8GEakx5LQy8CNrqrogMr8FaDCLqKihfrXx+k7Hr5dt/Q2BNeQ74kUQmcv+rnoUAJ+&#10;46wha2Xcfd0KVJxVbw0JczGaTIIX42VCpOiC55n1eUYYSVAZ95x1x2vf+XdrUW9K6tStwsAViVno&#10;SPRhqn4FZJ/Iv7d68Of5PVY9/N7L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IFREzWAAAACgEA&#10;AA8AAAAAAAAAAQAgAAAAIgAAAGRycy9kb3ducmV2LnhtbFBLAQIUABQAAAAIAIdO4kD8G3cQHAIA&#10;ACYEAAAOAAAAAAAAAAEAIAAAACUBAABkcnMvZTJvRG9jLnhtbFBLBQYAAAAABgAGAFkBAACzBQAA&#10;AAA=&#10;">
                <v:fill on="f" focussize="0,0"/>
                <v:stroke on="f"/>
                <v:imagedata o:title=""/>
                <o:lock v:ext="edit" aspectratio="f"/>
                <v:textbox>
                  <w:txbxContent>
                    <w:p w14:paraId="3DC28897">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暂列金额的核实与支付</w:t>
                      </w:r>
                    </w:p>
                  </w:txbxContent>
                </v:textbox>
              </v:shape>
            </w:pict>
          </mc:Fallback>
        </mc:AlternateContent>
      </w:r>
      <w:r>
        <w:rPr>
          <w:rFonts w:hint="eastAsia" w:ascii="仿宋" w:hAnsi="仿宋" w:eastAsia="仿宋" w:cs="仿宋"/>
          <w:color w:val="auto"/>
          <w:sz w:val="24"/>
          <w:szCs w:val="24"/>
          <w:highlight w:val="none"/>
          <w:lang w:eastAsia="zh-CN"/>
        </w:rPr>
        <w:t>经发包人批准后，监理人应就承包人实施第73</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款约定的工作发出书面指令。承包人应就此项指令提出所需价款，经造价咨询人核实并由其报发包人确认后，向承包人支付相关款项。</w:t>
      </w:r>
    </w:p>
    <w:p w14:paraId="702A9C59">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73</w:t>
      </w:r>
      <w:r>
        <w:rPr>
          <w:rFonts w:ascii="仿宋" w:hAnsi="仿宋" w:eastAsia="仿宋" w:cs="仿宋"/>
          <w:b/>
          <w:bCs/>
          <w:color w:val="auto"/>
          <w:highlight w:val="none"/>
          <w:lang w:eastAsia="zh-CN"/>
        </w:rPr>
        <w:t>.3</w:t>
      </w:r>
    </w:p>
    <w:p w14:paraId="0180B34B">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74304" behindDoc="0" locked="0" layoutInCell="1" allowOverlap="1">
                <wp:simplePos x="0" y="0"/>
                <wp:positionH relativeFrom="column">
                  <wp:posOffset>-114300</wp:posOffset>
                </wp:positionH>
                <wp:positionV relativeFrom="paragraph">
                  <wp:posOffset>15875</wp:posOffset>
                </wp:positionV>
                <wp:extent cx="831850" cy="459105"/>
                <wp:effectExtent l="0" t="0" r="0" b="0"/>
                <wp:wrapNone/>
                <wp:docPr id="785" name="文本框 971"/>
                <wp:cNvGraphicFramePr/>
                <a:graphic xmlns:a="http://schemas.openxmlformats.org/drawingml/2006/main">
                  <a:graphicData uri="http://schemas.microsoft.com/office/word/2010/wordprocessingShape">
                    <wps:wsp>
                      <wps:cNvSpPr txBox="1">
                        <a:spLocks noChangeArrowheads="1"/>
                      </wps:cNvSpPr>
                      <wps:spPr bwMode="auto">
                        <a:xfrm>
                          <a:off x="0" y="0"/>
                          <a:ext cx="831850" cy="459105"/>
                        </a:xfrm>
                        <a:prstGeom prst="rect">
                          <a:avLst/>
                        </a:prstGeom>
                        <a:noFill/>
                        <a:ln>
                          <a:noFill/>
                        </a:ln>
                        <a:effectLst/>
                      </wps:spPr>
                      <wps:txbx>
                        <w:txbxContent>
                          <w:p w14:paraId="38E1E0CF">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提供暂列金额支付票据</w:t>
                            </w:r>
                          </w:p>
                        </w:txbxContent>
                      </wps:txbx>
                      <wps:bodyPr rot="0" vert="horz" wrap="square" lIns="91440" tIns="45720" rIns="91440" bIns="45720" anchor="t" anchorCtr="0" upright="1">
                        <a:noAutofit/>
                      </wps:bodyPr>
                    </wps:wsp>
                  </a:graphicData>
                </a:graphic>
              </wp:anchor>
            </w:drawing>
          </mc:Choice>
          <mc:Fallback>
            <w:pict>
              <v:shape id="文本框 971" o:spid="_x0000_s1026" o:spt="202" type="#_x0000_t202" style="position:absolute;left:0pt;margin-left:-9pt;margin-top:1.25pt;height:36.15pt;width:65.5pt;z-index:251874304;mso-width-relative:page;mso-height-relative:page;" filled="f" stroked="f" coordsize="21600,21600" o:gfxdata="UEsDBAoAAAAAAIdO4kAAAAAAAAAAAAAAAAAEAAAAZHJzL1BLAwQUAAAACACHTuJAzK6imtUAAAAI&#10;AQAADwAAAGRycy9kb3ducmV2LnhtbE2PQU/CQBSE7yb+h80z8Qa7RZBa+spB41UjAom3pftoG7pv&#10;m+5C6793OclxMpOZb/L1aFtxod43jhGSqQJBXDrTcIWw/X6fpCB80Gx065gQfsnDuri/y3Vm3MBf&#10;dNmESsQS9plGqEPoMil9WZPVfuo64ugdXW91iLKvpOn1EMttK2dKPUurG44Lte7otabytDlbhN3H&#10;8Wc/V5/Vm110gxuVZPsiER8fErUCEWgM/2G44kd0KCLTwZ3ZeNEiTJI0fgkIswWIq588RX1AWM5T&#10;kEUubw8Uf1BLAwQUAAAACACHTuJAtvPtHR4CAAAmBAAADgAAAGRycy9lMm9Eb2MueG1srVPNjtMw&#10;EL4j8Q6W7zRNadm2arpatlqEtPxICw/gOk5jkXjM2G1SHgDegBMX7jxXn4Ox3S1lueyBS+TxjL+Z&#10;75svi8u+bdhOodNgCp4PhpwpI6HUZlPwjx9unk05c16YUjRgVMH3yvHL5dMni87O1QhqaEqFjECM&#10;m3e24LX3dp5lTtaqFW4AVhlKVoCt8BTiJitRdITeNtloOHyRdYClRZDKObpdpSQ/IuJjAKGqtFQr&#10;kNtWGZ9QUTXCEyVXa+v4Mk5bVUr6d1XllGdNwYmpj19qQud1+GbLhZhvUNhay+MI4jEjPODUCm2o&#10;6QlqJbxgW9T/QLVaIjio/EBCmyUiURFikQ8faHNXC6siF5La2ZPo7v/Byre798h0WfCL6YQzI1pa&#10;+eH7t8OPX4efX9nsIg8SddbNqfLOUq3vX0JPxol0nb0F+ckxA9e1MBt1hQhdrURJI8aX2dnThOMC&#10;yLp7AyV1ElsPEaivsA36kSKM0Gk9+9N6VO+ZpMvp83w6oYyk1Hgyy4eTMFsm5vePLTr/SkHLwqHg&#10;SNuP4GJ363wqvS8JvQzc6KaJDmjMXxeEmW5UtNDxdaASpk88fL/uj9KsodwTKYRkL/q56FADfuGs&#10;I2sV3H3eClScNa8NCTPLx+PgxRiMJxcjCvA8sz7PCCMJquCes3S89sm/W4t6U1OntAoDVyRmpSPR&#10;MGqaigQKAdknSnW0evDneRyr/vze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MrqKa1QAAAAgB&#10;AAAPAAAAAAAAAAEAIAAAACIAAABkcnMvZG93bnJldi54bWxQSwECFAAUAAAACACHTuJAtvPtHR4C&#10;AAAmBAAADgAAAAAAAAABACAAAAAkAQAAZHJzL2Uyb0RvYy54bWxQSwUGAAAAAAYABgBZAQAAtAUA&#10;AAAA&#10;">
                <v:fill on="f" focussize="0,0"/>
                <v:stroke on="f"/>
                <v:imagedata o:title=""/>
                <o:lock v:ext="edit" aspectratio="f"/>
                <v:textbox>
                  <w:txbxContent>
                    <w:p w14:paraId="38E1E0CF">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提供暂列金额支付票据</w:t>
                      </w:r>
                    </w:p>
                  </w:txbxContent>
                </v:textbox>
              </v:shape>
            </w:pict>
          </mc:Fallback>
        </mc:AlternateContent>
      </w:r>
      <w:r>
        <w:rPr>
          <w:rFonts w:hint="eastAsia" w:ascii="仿宋" w:hAnsi="仿宋" w:eastAsia="仿宋" w:cs="仿宋"/>
          <w:color w:val="auto"/>
          <w:sz w:val="24"/>
          <w:szCs w:val="24"/>
          <w:highlight w:val="none"/>
          <w:lang w:eastAsia="zh-CN"/>
        </w:rPr>
        <w:t>造价咨询人有要求时，承包人应提供使用暂列金额支付项目的所有报价单、发票、账单或收据。</w:t>
      </w:r>
    </w:p>
    <w:p w14:paraId="0464D112">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758BADFF">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3" w:name="_Toc18009"/>
      <w:r>
        <w:rPr>
          <w:rFonts w:hint="eastAsia" w:ascii="仿宋" w:hAnsi="仿宋" w:eastAsia="仿宋" w:cs="仿宋"/>
          <w:bCs w:val="0"/>
          <w:color w:val="auto"/>
          <w:sz w:val="24"/>
          <w:szCs w:val="24"/>
          <w:highlight w:val="none"/>
          <w:lang w:eastAsia="zh-CN"/>
        </w:rPr>
        <w:t>★74计日工</w:t>
      </w:r>
      <w:bookmarkEnd w:id="373"/>
    </w:p>
    <w:p w14:paraId="3BDF7C9F">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74</w:t>
      </w:r>
      <w:r>
        <w:rPr>
          <w:rFonts w:ascii="仿宋" w:hAnsi="仿宋" w:eastAsia="仿宋" w:cs="仿宋"/>
          <w:b/>
          <w:bCs/>
          <w:color w:val="auto"/>
          <w:sz w:val="24"/>
          <w:szCs w:val="24"/>
          <w:highlight w:val="none"/>
          <w:lang w:eastAsia="zh-CN"/>
        </w:rPr>
        <w:t>.1</w:t>
      </w:r>
    </w:p>
    <w:p w14:paraId="4203B5F4">
      <w:pPr>
        <w:pStyle w:val="2"/>
        <w:widowControl w:val="0"/>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75328" behindDoc="0" locked="0" layoutInCell="1" allowOverlap="1">
                <wp:simplePos x="0" y="0"/>
                <wp:positionH relativeFrom="column">
                  <wp:posOffset>-114300</wp:posOffset>
                </wp:positionH>
                <wp:positionV relativeFrom="paragraph">
                  <wp:posOffset>15875</wp:posOffset>
                </wp:positionV>
                <wp:extent cx="794385" cy="424815"/>
                <wp:effectExtent l="0" t="0" r="0" b="0"/>
                <wp:wrapNone/>
                <wp:docPr id="786" name="文本框 972"/>
                <wp:cNvGraphicFramePr/>
                <a:graphic xmlns:a="http://schemas.openxmlformats.org/drawingml/2006/main">
                  <a:graphicData uri="http://schemas.microsoft.com/office/word/2010/wordprocessingShape">
                    <wps:wsp>
                      <wps:cNvSpPr txBox="1">
                        <a:spLocks noChangeArrowheads="1"/>
                      </wps:cNvSpPr>
                      <wps:spPr bwMode="auto">
                        <a:xfrm>
                          <a:off x="0" y="0"/>
                          <a:ext cx="794385" cy="424815"/>
                        </a:xfrm>
                        <a:prstGeom prst="rect">
                          <a:avLst/>
                        </a:prstGeom>
                        <a:noFill/>
                        <a:ln>
                          <a:noFill/>
                        </a:ln>
                        <a:effectLst/>
                      </wps:spPr>
                      <wps:txbx>
                        <w:txbxContent>
                          <w:p w14:paraId="6FF66069">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计日工单价的用途</w:t>
                            </w:r>
                          </w:p>
                        </w:txbxContent>
                      </wps:txbx>
                      <wps:bodyPr rot="0" vert="horz" wrap="square" lIns="91440" tIns="45720" rIns="91440" bIns="45720" anchor="t" anchorCtr="0" upright="1">
                        <a:noAutofit/>
                      </wps:bodyPr>
                    </wps:wsp>
                  </a:graphicData>
                </a:graphic>
              </wp:anchor>
            </w:drawing>
          </mc:Choice>
          <mc:Fallback>
            <w:pict>
              <v:shape id="文本框 972" o:spid="_x0000_s1026" o:spt="202" type="#_x0000_t202" style="position:absolute;left:0pt;margin-left:-9pt;margin-top:1.25pt;height:33.45pt;width:62.55pt;z-index:251875328;mso-width-relative:page;mso-height-relative:page;" filled="f" stroked="f" coordsize="21600,21600" o:gfxdata="UEsDBAoAAAAAAIdO4kAAAAAAAAAAAAAAAAAEAAAAZHJzL1BLAwQUAAAACACHTuJAiQ28WNYAAAAI&#10;AQAADwAAAGRycy9kb3ducmV2LnhtbE2PzU7DMBCE70i8g7VI3Np1qra0IZseQFxBlB+Jmxtvk4h4&#10;HcVuE94e9wTH0Yxmvil2k+vUmYfQeiHI5hoUS+VtKzXB+9vTbAMqRCPWdF6Y4IcD7Mrrq8Lk1o/y&#10;yud9rFUqkZAbgibGPkcMVcPOhLnvWZJ39IMzMcmhRjuYMZW7Dhdar9GZVtJCY3p+aLj63p8cwcfz&#10;8etzqV/qR7fqRz9pFLdFotubTN+DijzFvzBc8BM6lInp4E9ig+oIZtkmfYkEixWoi6/vMlAHgvV2&#10;CVgW+P9A+QtQSwMEFAAAAAgAh07iQNDTV2EgAgAAJgQAAA4AAABkcnMvZTJvRG9jLnhtbK1TzY7T&#10;MBC+I/EOlu80bWm3bdR0tWy1CGn5kRYewHWcxiLxmLHbpDwA+wacuHDnufocjJ1sKctlD1ws2zP+&#10;Zr5vPi8v27pie4VOg8n4aDDkTBkJuTbbjH/6ePNizpnzwuSiAqMyflCOX66eP1s2NlVjKKHKFTIC&#10;MS5tbMZL722aJE6WqhZuAFYZChaAtfB0xG2So2gIva6S8XB4kTSAuUWQyjm6XXdB3iPiUwChKLRU&#10;a5C7WhnfoaKqhCdKrtTW8VXstiiU9O+LwinPqowTUx9XKkL7TViT1VKkWxS21LJvQTylhUecaqEN&#10;FT1BrYUXbIf6H6haSwQHhR9IqJOOSFSEWIyGj7S5K4VVkQtJ7exJdPf/YOW7/QdkOs/4bH7BmRE1&#10;jfz4/f7449fx5ze2mI2DRI11KWXeWcr17StoyTiRrrO3ID87ZuC6FGarrhChKZXIqcVReJmcPe1w&#10;XADZNG8hp0pi5yECtQXWQT9ShBE6jedwGo9qPZN0OVtMXs6nnEkKTcaT+WgaK4j04bFF518rqFnY&#10;ZBxp+hFc7G+dD82I9CEl1DJwo6sqOqAyf11QYnejooX614FK6L7j4dtN20uzgfxApBA6e9Hnok0J&#10;+JWzhqyVcfdlJ1BxVr0xJMxiNJkEL8bDZDob0wHPI5vziDCSoDLuOeu2177z786i3pZUqRuFgSsS&#10;s9CRaGi166ofAdkn8u+tHvx5fo5Zf7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JDbxY1gAA&#10;AAgBAAAPAAAAAAAAAAEAIAAAACIAAABkcnMvZG93bnJldi54bWxQSwECFAAUAAAACACHTuJA0NNX&#10;YSACAAAmBAAADgAAAAAAAAABACAAAAAlAQAAZHJzL2Uyb0RvYy54bWxQSwUGAAAAAAYABgBZAQAA&#10;twUAAAAA&#10;">
                <v:fill on="f" focussize="0,0"/>
                <v:stroke on="f"/>
                <v:imagedata o:title=""/>
                <o:lock v:ext="edit" aspectratio="f"/>
                <v:textbox>
                  <w:txbxContent>
                    <w:p w14:paraId="6FF66069">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计日工单价的用途</w:t>
                      </w:r>
                    </w:p>
                  </w:txbxContent>
                </v:textbox>
              </v:shape>
            </w:pict>
          </mc:Fallback>
        </mc:AlternateContent>
      </w:r>
      <w:r>
        <w:rPr>
          <w:rFonts w:hint="eastAsia" w:ascii="仿宋" w:hAnsi="仿宋" w:eastAsia="仿宋" w:cs="仿宋"/>
          <w:color w:val="auto"/>
          <w:sz w:val="24"/>
          <w:szCs w:val="24"/>
          <w:highlight w:val="none"/>
          <w:lang w:eastAsia="zh-CN"/>
        </w:rPr>
        <w:t>计日工单价是用于承包人实施发包人要求的合同以外零星工作项目所需的人工单价、工程材料单价、工程设备单价和施工设备机械台班单价。</w:t>
      </w:r>
    </w:p>
    <w:p w14:paraId="50ADDC67">
      <w:pPr>
        <w:pStyle w:val="2"/>
        <w:adjustRightInd w:val="0"/>
        <w:snapToGrid w:val="0"/>
        <w:spacing w:line="480" w:lineRule="auto"/>
        <w:rPr>
          <w:rFonts w:hint="eastAsia" w:ascii="仿宋" w:hAnsi="仿宋" w:eastAsia="仿宋"/>
          <w:color w:val="auto"/>
          <w:sz w:val="24"/>
          <w:szCs w:val="24"/>
          <w:highlight w:val="none"/>
          <w:lang w:eastAsia="zh-CN"/>
        </w:rPr>
      </w:pPr>
      <w:r>
        <w:rPr>
          <w:rFonts w:hint="eastAsia" w:ascii="仿宋" w:hAnsi="仿宋" w:eastAsia="仿宋" w:cs="仿宋"/>
          <w:b/>
          <w:bCs/>
          <w:color w:val="auto"/>
          <w:sz w:val="24"/>
          <w:szCs w:val="24"/>
          <w:highlight w:val="none"/>
          <w:lang w:eastAsia="zh-CN"/>
        </w:rPr>
        <w:t>74</w:t>
      </w:r>
      <w:r>
        <w:rPr>
          <w:rFonts w:ascii="仿宋" w:hAnsi="仿宋" w:eastAsia="仿宋" w:cs="仿宋"/>
          <w:b/>
          <w:bCs/>
          <w:color w:val="auto"/>
          <w:sz w:val="24"/>
          <w:szCs w:val="24"/>
          <w:highlight w:val="none"/>
          <w:lang w:eastAsia="zh-CN"/>
        </w:rPr>
        <w:t xml:space="preserve">.2 </w:t>
      </w:r>
    </w:p>
    <w:p w14:paraId="5908785A">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经发包人批准后，监理人应就使用计日工项目发出书面指令。</w:t>
      </w:r>
      <w:r>
        <w:rPr>
          <w:color w:val="auto"/>
          <w:highlight w:val="none"/>
          <w:lang w:eastAsia="zh-CN"/>
        </w:rPr>
        <mc:AlternateContent>
          <mc:Choice Requires="wps">
            <w:drawing>
              <wp:anchor distT="0" distB="0" distL="114300" distR="114300" simplePos="0" relativeHeight="251876352" behindDoc="0" locked="0" layoutInCell="1" allowOverlap="1">
                <wp:simplePos x="0" y="0"/>
                <wp:positionH relativeFrom="column">
                  <wp:posOffset>-114300</wp:posOffset>
                </wp:positionH>
                <wp:positionV relativeFrom="paragraph">
                  <wp:posOffset>14605</wp:posOffset>
                </wp:positionV>
                <wp:extent cx="861060" cy="506730"/>
                <wp:effectExtent l="0" t="0" r="0" b="0"/>
                <wp:wrapNone/>
                <wp:docPr id="787" name="文本框 973"/>
                <wp:cNvGraphicFramePr/>
                <a:graphic xmlns:a="http://schemas.openxmlformats.org/drawingml/2006/main">
                  <a:graphicData uri="http://schemas.microsoft.com/office/word/2010/wordprocessingShape">
                    <wps:wsp>
                      <wps:cNvSpPr txBox="1">
                        <a:spLocks noChangeArrowheads="1"/>
                      </wps:cNvSpPr>
                      <wps:spPr bwMode="auto">
                        <a:xfrm>
                          <a:off x="0" y="0"/>
                          <a:ext cx="861060" cy="506730"/>
                        </a:xfrm>
                        <a:prstGeom prst="rect">
                          <a:avLst/>
                        </a:prstGeom>
                        <a:noFill/>
                        <a:ln>
                          <a:noFill/>
                        </a:ln>
                        <a:effectLst/>
                      </wps:spPr>
                      <wps:txbx>
                        <w:txbxContent>
                          <w:p w14:paraId="3EE272A2">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计日工的确认</w:t>
                            </w:r>
                          </w:p>
                        </w:txbxContent>
                      </wps:txbx>
                      <wps:bodyPr rot="0" vert="horz" wrap="square" lIns="91440" tIns="45720" rIns="91440" bIns="45720" anchor="t" anchorCtr="0" upright="1">
                        <a:noAutofit/>
                      </wps:bodyPr>
                    </wps:wsp>
                  </a:graphicData>
                </a:graphic>
              </wp:anchor>
            </w:drawing>
          </mc:Choice>
          <mc:Fallback>
            <w:pict>
              <v:shape id="文本框 973" o:spid="_x0000_s1026" o:spt="202" type="#_x0000_t202" style="position:absolute;left:0pt;margin-left:-9pt;margin-top:1.15pt;height:39.9pt;width:67.8pt;z-index:251876352;mso-width-relative:page;mso-height-relative:page;" filled="f" stroked="f" coordsize="21600,21600" o:gfxdata="UEsDBAoAAAAAAIdO4kAAAAAAAAAAAAAAAAAEAAAAZHJzL1BLAwQUAAAACACHTuJApX+Z/9UAAAAI&#10;AQAADwAAAGRycy9kb3ducmV2LnhtbE2PwU7DMBBE70j8g7VI3FrbAdoQsukBxBVEgUrc3HibRMTr&#10;KHab8Pe4JziOZjTzptzMrhcnGkPnGUEvFQji2tuOG4SP9+dFDiJEw9b0ngnhhwJsqsuL0hTWT/xG&#10;p21sRCrhUBiENsahkDLULTkTln4gTt7Bj87EJMdG2tFMqdz1MlNqJZ3pOC20ZqDHlurv7dEhfL4c&#10;vna36rV5cnfD5Gcl2d1LxOsrrR5ARJrjXxjO+AkdqsS090e2QfQIC52nLxEhuwFx9vV6BWKPkGca&#10;ZFXK/weqX1BLAwQUAAAACACHTuJASfW0LyACAAAmBAAADgAAAGRycy9lMm9Eb2MueG1srVNLbtsw&#10;EN0X6B0I7mvJjmM7guUgjZGiQPoB0h6ApiiLqMRhh7Sl9ADtDbrqpvuey+fokFJcN91k0Q1BcoZv&#10;5r15XF52Tc32Cp0Gk/PxKOVMGQmFNtucf/xw82LBmfPCFKIGo3J+rxy/XD1/tmxtpiZQQV0oZARi&#10;XNbanFfe2yxJnKxUI9wIrDIULAEb4emI26RA0RJ6UyeTNJ0lLWBhEaRyjm7XfZAPiPgUQChLLdUa&#10;5K5RxveoqGrhiZKrtHV8FbstSyX9u7J0yrM658TUx5WK0H4T1mS1FNkWha20HFoQT2nhEadGaENF&#10;j1Br4QXbof4HqtESwUHpRxKapCcSFSEW4/SRNneVsCpyIamdPYru/h+sfLt/j0wXOZ8v5pwZ0dDI&#10;D9+/HX78Ovz8yi7mZ0Gi1rqMMu8s5fruJXRknEjX2VuQnxwzcF0Js1VXiNBWShTU4ji8TE6e9jgu&#10;gGzaN1BQJbHzEIG6EpugHynCCJ3Gc38cj+o8k3S5mI3TGUUkhc7T2fwsji8R2cNji86/UtCwsMk5&#10;0vQjuNjfOh+aEdlDSqhl4EbXdXRAbf66oMT+RkULDa8DldB9z8N3m26QZgPFPZFC6O1Fn4s2FeAX&#10;zlqyVs7d551AxVn92pAwF+PpNHgxHqbn8wkd8DSyOY0IIwkq556zfnvte//uLOptRZX6URi4IjFL&#10;HYmGVvuuhhGQfSL/werBn6fnmPXne6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V/mf/VAAAA&#10;CAEAAA8AAAAAAAAAAQAgAAAAIgAAAGRycy9kb3ducmV2LnhtbFBLAQIUABQAAAAIAIdO4kBJ9bQv&#10;IAIAACYEAAAOAAAAAAAAAAEAIAAAACQBAABkcnMvZTJvRG9jLnhtbFBLBQYAAAAABgAGAFkBAAC2&#10;BQAAAAA=&#10;">
                <v:fill on="f" focussize="0,0"/>
                <v:stroke on="f"/>
                <v:imagedata o:title=""/>
                <o:lock v:ext="edit" aspectratio="f"/>
                <v:textbox>
                  <w:txbxContent>
                    <w:p w14:paraId="3EE272A2">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计日工的确认</w:t>
                      </w:r>
                    </w:p>
                  </w:txbxContent>
                </v:textbox>
              </v:shape>
            </w:pict>
          </mc:Fallback>
        </mc:AlternateContent>
      </w:r>
      <w:r>
        <w:rPr>
          <w:rFonts w:hint="eastAsia" w:ascii="仿宋" w:hAnsi="仿宋" w:eastAsia="仿宋" w:cs="仿宋"/>
          <w:color w:val="auto"/>
          <w:sz w:val="24"/>
          <w:szCs w:val="24"/>
          <w:highlight w:val="none"/>
          <w:lang w:eastAsia="zh-CN"/>
        </w:rPr>
        <w:t>任一按照计日工方式计价的工作，承包人应在该项工作实施结束后的</w:t>
      </w:r>
      <w:r>
        <w:rPr>
          <w:rFonts w:ascii="仿宋" w:hAnsi="仿宋" w:eastAsia="仿宋" w:cs="仿宋"/>
          <w:color w:val="auto"/>
          <w:sz w:val="24"/>
          <w:szCs w:val="24"/>
          <w:highlight w:val="none"/>
          <w:lang w:eastAsia="zh-CN"/>
        </w:rPr>
        <w:t>24</w:t>
      </w:r>
      <w:r>
        <w:rPr>
          <w:rFonts w:hint="eastAsia" w:ascii="仿宋" w:hAnsi="仿宋" w:eastAsia="仿宋" w:cs="仿宋"/>
          <w:color w:val="auto"/>
          <w:sz w:val="24"/>
          <w:szCs w:val="24"/>
          <w:highlight w:val="none"/>
          <w:lang w:eastAsia="zh-CN"/>
        </w:rPr>
        <w:t>小时内，向监理人提交有计日工记录的现场签证报告一式两份。</w:t>
      </w:r>
    </w:p>
    <w:p w14:paraId="7FF5C2FF">
      <w:pPr>
        <w:pStyle w:val="2"/>
        <w:adjustRightInd w:val="0"/>
        <w:snapToGrid w:val="0"/>
        <w:spacing w:line="360" w:lineRule="auto"/>
        <w:ind w:left="1800" w:leftChars="750"/>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当此工作持续进行时，承包人应每天向监理人提交当天计日工记录完毕的现场签证报告。监理人在收到承包人提交现场签证报告后的</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天内予以确认并由其报发包人批准后，将其中一份返还给承包人，作为计日工计价和支付的依据。监理人逾期未确认也未提出修改意见的，视为承包人提交的现场签证报告已被认可。</w:t>
      </w:r>
    </w:p>
    <w:p w14:paraId="1CC91B30">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74</w:t>
      </w:r>
      <w:r>
        <w:rPr>
          <w:rFonts w:ascii="仿宋" w:hAnsi="仿宋" w:eastAsia="仿宋" w:cs="仿宋"/>
          <w:b/>
          <w:bCs/>
          <w:color w:val="auto"/>
          <w:highlight w:val="none"/>
          <w:lang w:eastAsia="zh-CN"/>
        </w:rPr>
        <w:t>.3</w:t>
      </w:r>
    </w:p>
    <w:p w14:paraId="437D6280">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77376" behindDoc="0" locked="0" layoutInCell="1" allowOverlap="1">
                <wp:simplePos x="0" y="0"/>
                <wp:positionH relativeFrom="column">
                  <wp:posOffset>-114300</wp:posOffset>
                </wp:positionH>
                <wp:positionV relativeFrom="paragraph">
                  <wp:posOffset>5080</wp:posOffset>
                </wp:positionV>
                <wp:extent cx="823595" cy="496570"/>
                <wp:effectExtent l="0" t="0" r="0" b="0"/>
                <wp:wrapNone/>
                <wp:docPr id="788" name="文本框 974"/>
                <wp:cNvGraphicFramePr/>
                <a:graphic xmlns:a="http://schemas.openxmlformats.org/drawingml/2006/main">
                  <a:graphicData uri="http://schemas.microsoft.com/office/word/2010/wordprocessingShape">
                    <wps:wsp>
                      <wps:cNvSpPr txBox="1">
                        <a:spLocks noChangeArrowheads="1"/>
                      </wps:cNvSpPr>
                      <wps:spPr bwMode="auto">
                        <a:xfrm>
                          <a:off x="0" y="0"/>
                          <a:ext cx="823595" cy="496570"/>
                        </a:xfrm>
                        <a:prstGeom prst="rect">
                          <a:avLst/>
                        </a:prstGeom>
                        <a:noFill/>
                        <a:ln>
                          <a:noFill/>
                        </a:ln>
                        <a:effectLst/>
                      </wps:spPr>
                      <wps:txbx>
                        <w:txbxContent>
                          <w:p w14:paraId="0F0C6B01">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计日工的支付</w:t>
                            </w:r>
                          </w:p>
                        </w:txbxContent>
                      </wps:txbx>
                      <wps:bodyPr rot="0" vert="horz" wrap="square" lIns="91440" tIns="45720" rIns="91440" bIns="45720" anchor="t" anchorCtr="0" upright="1">
                        <a:noAutofit/>
                      </wps:bodyPr>
                    </wps:wsp>
                  </a:graphicData>
                </a:graphic>
              </wp:anchor>
            </w:drawing>
          </mc:Choice>
          <mc:Fallback>
            <w:pict>
              <v:shape id="文本框 974" o:spid="_x0000_s1026" o:spt="202" type="#_x0000_t202" style="position:absolute;left:0pt;margin-left:-9pt;margin-top:0.4pt;height:39.1pt;width:64.85pt;z-index:251877376;mso-width-relative:page;mso-height-relative:page;" filled="f" stroked="f" coordsize="21600,21600" o:gfxdata="UEsDBAoAAAAAAIdO4kAAAAAAAAAAAAAAAAAEAAAAZHJzL1BLAwQUAAAACACHTuJAQe+bKNQAAAAH&#10;AQAADwAAAGRycy9kb3ducmV2LnhtbE2PwW7CMBBE75X4B2uRegPbqC0QsuFA1WurQlupNxMvSUS8&#10;jmJD0r+vObXH0Yxm3uTb0bXiSn1oPCPouQJBXHrbcIXwcXiZrUCEaNia1jMh/FCAbTG5y01m/cDv&#10;dN3HSqQSDplBqGPsMilDWZMzYe474uSdfO9MTLKvpO3NkMpdKxdKPUlnGk4LteloV1N53l8cwufr&#10;6fvrQb1Vz+6xG/yoJLu1RLyfarUBEWmMf2G44Sd0KBLT0V/YBtEizPQqfYkI6cDN1noJ4oiwXCuQ&#10;RS7/8xe/UEsDBBQAAAAIAIdO4kCPu5jXIAIAACYEAAAOAAAAZHJzL2Uyb0RvYy54bWytU82O0zAQ&#10;viPxDpbvNG1pt23UdLVstQhp+ZEWHsB1nMYi8Zix26Q8APsGnLhw57n6HIydbCnLZQ9cLNsz/ma+&#10;bz4vL9u6YnuFToPJ+Ggw5EwZCbk224x/+njzYs6Z88LkogKjMn5Qjl+unj9bNjZVYyihyhUyAjEu&#10;bWzGS+9tmiROlqoWbgBWGQoWgLXwdMRtkqNoCL2ukvFweJE0gLlFkMo5ul13Qd4j4lMAoSi0VGuQ&#10;u1oZ36GiqoQnSq7U1vFV7LYolPTvi8Ipz6qME1MfVypC+01Yk9VSpFsUttSyb0E8pYVHnGqhDRU9&#10;Qa2FF2yH+h+oWksEB4UfSKiTjkhUhFiMho+0uSuFVZELSe3sSXT3/2Dlu/0HZDrP+GxOgzeippEf&#10;v98ff/w6/vzGFrNJkKixLqXMO0u5vn0FLRkn0nX2FuRnxwxcl8Js1RUiNKUSObU4Ci+Ts6cdjgsg&#10;m+Yt5FRJ7DxEoLbAOuhHijBCp/EcTuNRrWeSLufjl9PFlDNJocniYjqL40tE+vDYovOvFdQsbDKO&#10;NP0ILva3zodmRPqQEmoZuNFVFR1Qmb8uKLG7UdFC/etAJXTf8fDtpu2l2UB+IFIInb3oc9GmBPzK&#10;WUPWyrj7shOoOKveGBJmMZpMghfjYTKdjemA55HNeUQYSVAZ95x122vf+XdnUW9LqtSNwsAViVno&#10;SDS02nXVj4DsE/n3Vg/+PD/HrD/fe/U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Qe+bKNQAAAAH&#10;AQAADwAAAAAAAAABACAAAAAiAAAAZHJzL2Rvd25yZXYueG1sUEsBAhQAFAAAAAgAh07iQI+7mNcg&#10;AgAAJgQAAA4AAAAAAAAAAQAgAAAAIwEAAGRycy9lMm9Eb2MueG1sUEsFBgAAAAAGAAYAWQEAALUF&#10;AAAAAA==&#10;">
                <v:fill on="f" focussize="0,0"/>
                <v:stroke on="f"/>
                <v:imagedata o:title=""/>
                <o:lock v:ext="edit" aspectratio="f"/>
                <v:textbox>
                  <w:txbxContent>
                    <w:p w14:paraId="0F0C6B01">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计日工的支付</w:t>
                      </w:r>
                    </w:p>
                  </w:txbxContent>
                </v:textbox>
              </v:shape>
            </w:pict>
          </mc:Fallback>
        </mc:AlternateContent>
      </w:r>
      <w:r>
        <w:rPr>
          <w:rFonts w:hint="eastAsia" w:ascii="仿宋" w:hAnsi="仿宋" w:eastAsia="仿宋" w:cs="仿宋"/>
          <w:color w:val="auto"/>
          <w:sz w:val="24"/>
          <w:szCs w:val="24"/>
          <w:highlight w:val="none"/>
          <w:lang w:eastAsia="zh-CN"/>
        </w:rPr>
        <w:t>计日工工作，应从暂列金额中支付。造价咨询人应按照监理人确认的现场签证报告核实该类项目的数量，并根据核实的数量和合同价格清单中填报的计日工单价的乘积计算应付价款，经合同双方当事人确认后，与工程进度款同期支付。</w:t>
      </w:r>
    </w:p>
    <w:p w14:paraId="66766C7A">
      <w:pPr>
        <w:pStyle w:val="2"/>
        <w:adjustRightInd w:val="0"/>
        <w:snapToGrid w:val="0"/>
        <w:spacing w:line="360" w:lineRule="auto"/>
        <w:ind w:left="1850" w:leftChars="771"/>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每个支付期末，承包人应按照第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款约定向发包人提交本期间所有计日工记录的签证汇总表，以说明本期间自己认为有权得到的计日工费用。</w:t>
      </w:r>
    </w:p>
    <w:p w14:paraId="3F093CD2">
      <w:pPr>
        <w:pStyle w:val="2"/>
        <w:tabs>
          <w:tab w:val="left" w:pos="540"/>
        </w:tabs>
        <w:adjustRightInd w:val="0"/>
        <w:snapToGrid w:val="0"/>
        <w:spacing w:line="360" w:lineRule="auto"/>
        <w:rPr>
          <w:rFonts w:hint="eastAsia" w:ascii="仿宋" w:hAnsi="仿宋" w:eastAsia="仿宋"/>
          <w:b/>
          <w:bCs/>
          <w:color w:val="auto"/>
          <w:sz w:val="24"/>
          <w:szCs w:val="24"/>
          <w:highlight w:val="none"/>
          <w:lang w:eastAsia="zh-CN"/>
        </w:rPr>
      </w:pPr>
    </w:p>
    <w:p w14:paraId="34151BA1">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4" w:name="_Toc9594"/>
      <w:r>
        <w:rPr>
          <w:rFonts w:hint="eastAsia" w:ascii="仿宋" w:hAnsi="仿宋" w:eastAsia="仿宋" w:cs="仿宋"/>
          <w:bCs w:val="0"/>
          <w:color w:val="auto"/>
          <w:sz w:val="24"/>
          <w:szCs w:val="24"/>
          <w:highlight w:val="none"/>
          <w:lang w:eastAsia="zh-CN"/>
        </w:rPr>
        <w:t>★75暂估价</w:t>
      </w:r>
      <w:bookmarkEnd w:id="374"/>
    </w:p>
    <w:p w14:paraId="05B501E9">
      <w:pPr>
        <w:pStyle w:val="2"/>
        <w:adjustRightInd w:val="0"/>
        <w:snapToGrid w:val="0"/>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56576" behindDoc="0" locked="0" layoutInCell="1" allowOverlap="1">
                <wp:simplePos x="0" y="0"/>
                <wp:positionH relativeFrom="column">
                  <wp:posOffset>-133350</wp:posOffset>
                </wp:positionH>
                <wp:positionV relativeFrom="paragraph">
                  <wp:posOffset>320040</wp:posOffset>
                </wp:positionV>
                <wp:extent cx="784225" cy="932180"/>
                <wp:effectExtent l="0" t="0" r="0" b="0"/>
                <wp:wrapNone/>
                <wp:docPr id="789" name="文本框 975"/>
                <wp:cNvGraphicFramePr/>
                <a:graphic xmlns:a="http://schemas.openxmlformats.org/drawingml/2006/main">
                  <a:graphicData uri="http://schemas.microsoft.com/office/word/2010/wordprocessingShape">
                    <wps:wsp>
                      <wps:cNvSpPr txBox="1">
                        <a:spLocks noChangeArrowheads="1"/>
                      </wps:cNvSpPr>
                      <wps:spPr bwMode="auto">
                        <a:xfrm>
                          <a:off x="0" y="0"/>
                          <a:ext cx="784225" cy="932180"/>
                        </a:xfrm>
                        <a:prstGeom prst="rect">
                          <a:avLst/>
                        </a:prstGeom>
                        <a:noFill/>
                        <a:ln>
                          <a:noFill/>
                        </a:ln>
                        <a:effectLst/>
                      </wps:spPr>
                      <wps:txbx>
                        <w:txbxContent>
                          <w:p w14:paraId="4DBCF260">
                            <w:pPr>
                              <w:pStyle w:val="28"/>
                              <w:spacing w:line="20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依法必须招标的工程材料、工程设备或专业工程暂估价的约定</w:t>
                            </w:r>
                          </w:p>
                          <w:p w14:paraId="28D01941">
                            <w:pPr>
                              <w:rPr>
                                <w:rFonts w:hint="eastAsia" w:ascii="楷体_GB2312" w:hAnsi="宋体" w:eastAsia="楷体_GB2312"/>
                                <w:b/>
                                <w:bCs/>
                                <w:color w:val="000000"/>
                                <w:sz w:val="18"/>
                                <w:szCs w:val="18"/>
                                <w:lang w:eastAsia="zh-CN"/>
                              </w:rPr>
                            </w:pPr>
                          </w:p>
                          <w:p w14:paraId="51FD38C0">
                            <w:pPr>
                              <w:rPr>
                                <w:sz w:val="18"/>
                                <w:szCs w:val="18"/>
                                <w:lang w:eastAsia="zh-CN"/>
                              </w:rPr>
                            </w:pPr>
                          </w:p>
                        </w:txbxContent>
                      </wps:txbx>
                      <wps:bodyPr rot="0" vert="horz" wrap="square" lIns="91440" tIns="45720" rIns="91440" bIns="45720" anchor="t" anchorCtr="0" upright="1">
                        <a:noAutofit/>
                      </wps:bodyPr>
                    </wps:wsp>
                  </a:graphicData>
                </a:graphic>
              </wp:anchor>
            </w:drawing>
          </mc:Choice>
          <mc:Fallback>
            <w:pict>
              <v:shape id="文本框 975" o:spid="_x0000_s1026" o:spt="202" type="#_x0000_t202" style="position:absolute;left:0pt;margin-left:-10.5pt;margin-top:25.2pt;height:73.4pt;width:61.75pt;z-index:252056576;mso-width-relative:page;mso-height-relative:page;" filled="f" stroked="f" coordsize="21600,21600" o:gfxdata="UEsDBAoAAAAAAIdO4kAAAAAAAAAAAAAAAAAEAAAAZHJzL1BLAwQUAAAACACHTuJATg+bTdgAAAAK&#10;AQAADwAAAGRycy9kb3ducmV2LnhtbE2PzW7CMBCE75V4B2srcQM7EWlLyIYDVa9UpT8SNxMvSdR4&#10;HcWGpG9fc2pvs5rR7DfFdrKduNLgW8cIyVKBIK6cablG+Hh/WTyB8EGz0Z1jQvghD9tydlfo3LiR&#10;3+h6CLWIJexzjdCE0OdS+qohq/3S9cTRO7vB6hDPoZZm0GMst51MlXqQVrccPzS6p11D1ffhYhE+&#10;9+fj10q91s8260c3Kcl2LRHn94nagAg0hb8w3PAjOpSR6eQubLzoEBZpErcEhEytQNwCKs1AnKJY&#10;P6Ygy0L+n1D+AlBLAwQUAAAACACHTuJAsfq4SCACAAAmBAAADgAAAGRycy9lMm9Eb2MueG1srVPN&#10;jtMwEL4j8Q6W7zRtaGkbNV0tWy1CWn6khQdwHaexSDxm7DZZHgDegBMX7jxXn4Oxky1lueyBi2V7&#10;xt/M983n1UXX1Oyg0GkwOZ+MxpwpI6HQZpfzjx+uny04c16YQtRgVM7vlOMX66dPVq3NVAoV1IVC&#10;RiDGZa3NeeW9zZLEyUo1wo3AKkPBErARno64SwoULaE3dZKOxy+SFrCwCFI5R7ebPsgHRHwMIJSl&#10;lmoDct8o43tUVLXwRMlV2jq+jt2WpZL+XVk65Vmdc2Lq40pFaL8Na7JeiWyHwlZaDi2Ix7TwgFMj&#10;tKGiJ6iN8ILtUf8D1WiJ4KD0IwlN0hOJihCLyfiBNreVsCpyIamdPYnu/h+sfHt4j0wXOZ8vlpwZ&#10;0dDIj9+/HX/8Ov78ypbzWZCotS6jzFtLub57CR0ZJ9J19gbkJ8cMXFXC7NQlIrSVEgW1OAkvk7On&#10;PY4LINv2DRRUSew9RKCuxCboR4owQqfx3J3GozrPJF3OF9M0nXEmKbR8nk4WcXyJyO4fW3T+lYKG&#10;hU3OkaYfwcXhxvnQjMjuU0ItA9e6rqMDavPXBSX2NypaaHgdqITuex6+23aDNFso7ogUQm8v+ly0&#10;qQC/cNaStXLuPu8FKs7q14aEWU6m0+DFeJjO5ikd8DyyPY8IIwkq556zfnvle//uLepdRZX6URi4&#10;JDFLHYmGVvuuhhGQfSL/werBn+fnmPXne6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4Pm03Y&#10;AAAACgEAAA8AAAAAAAAAAQAgAAAAIgAAAGRycy9kb3ducmV2LnhtbFBLAQIUABQAAAAIAIdO4kCx&#10;+rhIIAIAACYEAAAOAAAAAAAAAAEAIAAAACcBAABkcnMvZTJvRG9jLnhtbFBLBQYAAAAABgAGAFkB&#10;AAC5BQAAAAA=&#10;">
                <v:fill on="f" focussize="0,0"/>
                <v:stroke on="f"/>
                <v:imagedata o:title=""/>
                <o:lock v:ext="edit" aspectratio="f"/>
                <v:textbox>
                  <w:txbxContent>
                    <w:p w14:paraId="4DBCF260">
                      <w:pPr>
                        <w:pStyle w:val="28"/>
                        <w:spacing w:line="200" w:lineRule="exact"/>
                        <w:rPr>
                          <w:rFonts w:hint="eastAsia" w:ascii="楷体_GB2312" w:hAnsi="宋体" w:eastAsia="楷体_GB2312" w:cs="楷体_GB2312"/>
                          <w:b/>
                          <w:bCs/>
                          <w:color w:val="000000"/>
                          <w:sz w:val="18"/>
                          <w:szCs w:val="18"/>
                          <w:lang w:eastAsia="zh-CN"/>
                        </w:rPr>
                      </w:pPr>
                      <w:r>
                        <w:rPr>
                          <w:rFonts w:hint="eastAsia" w:ascii="楷体_GB2312" w:hAnsi="宋体" w:eastAsia="楷体_GB2312" w:cs="楷体_GB2312"/>
                          <w:b/>
                          <w:bCs/>
                          <w:color w:val="000000"/>
                          <w:sz w:val="18"/>
                          <w:szCs w:val="18"/>
                          <w:lang w:eastAsia="zh-CN"/>
                        </w:rPr>
                        <w:t>依法必须招标的工程材料、工程设备或专业工程暂估价的约定</w:t>
                      </w:r>
                    </w:p>
                    <w:p w14:paraId="28D01941">
                      <w:pPr>
                        <w:rPr>
                          <w:rFonts w:hint="eastAsia" w:ascii="楷体_GB2312" w:hAnsi="宋体" w:eastAsia="楷体_GB2312"/>
                          <w:b/>
                          <w:bCs/>
                          <w:color w:val="000000"/>
                          <w:sz w:val="18"/>
                          <w:szCs w:val="18"/>
                          <w:lang w:eastAsia="zh-CN"/>
                        </w:rPr>
                      </w:pPr>
                    </w:p>
                    <w:p w14:paraId="51FD38C0">
                      <w:pPr>
                        <w:rPr>
                          <w:sz w:val="18"/>
                          <w:szCs w:val="18"/>
                          <w:lang w:eastAsia="zh-CN"/>
                        </w:rPr>
                      </w:pPr>
                    </w:p>
                  </w:txbxContent>
                </v:textbox>
              </v:shape>
            </w:pict>
          </mc:Fallback>
        </mc:AlternateContent>
      </w:r>
      <w:r>
        <w:rPr>
          <w:rFonts w:hint="eastAsia" w:ascii="仿宋" w:hAnsi="仿宋" w:eastAsia="仿宋" w:cs="仿宋"/>
          <w:b/>
          <w:bCs/>
          <w:color w:val="auto"/>
          <w:sz w:val="24"/>
          <w:szCs w:val="24"/>
          <w:highlight w:val="none"/>
          <w:lang w:eastAsia="zh-CN"/>
        </w:rPr>
        <w:t>75</w:t>
      </w:r>
      <w:r>
        <w:rPr>
          <w:rFonts w:ascii="仿宋" w:hAnsi="仿宋" w:eastAsia="仿宋" w:cs="仿宋"/>
          <w:b/>
          <w:bCs/>
          <w:color w:val="auto"/>
          <w:sz w:val="24"/>
          <w:szCs w:val="24"/>
          <w:highlight w:val="none"/>
          <w:lang w:eastAsia="zh-CN"/>
        </w:rPr>
        <w:t>.1</w:t>
      </w:r>
    </w:p>
    <w:p w14:paraId="05C9515C">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在合同价格清单中给定暂估价的工程材料、工程设备或专业工程，达到依法必须招标的规模、标准的，由承包人作为招标主体会同发包人共同选择供应商或分包人。合同双方当事人应在专用条款中约定各自的权利和义务。供应商或分包人的中标价格以及相应的税金等其他费用，应代替</w:t>
      </w:r>
      <w:r>
        <w:rPr>
          <w:rFonts w:ascii="仿宋" w:hAnsi="仿宋" w:eastAsia="仿宋" w:cs="仿宋"/>
          <w:color w:val="auto"/>
          <w:sz w:val="24"/>
          <w:szCs w:val="24"/>
          <w:highlight w:val="none"/>
          <w:lang w:eastAsia="zh-CN"/>
        </w:rPr>
        <w:t>暂估价</w:t>
      </w:r>
      <w:r>
        <w:rPr>
          <w:rFonts w:hint="eastAsia" w:ascii="仿宋" w:hAnsi="仿宋" w:eastAsia="仿宋" w:cs="仿宋"/>
          <w:color w:val="auto"/>
          <w:sz w:val="24"/>
          <w:szCs w:val="24"/>
          <w:highlight w:val="none"/>
          <w:lang w:eastAsia="zh-CN"/>
        </w:rPr>
        <w:t>计入合同价格。</w:t>
      </w:r>
    </w:p>
    <w:p w14:paraId="1EE40F3B">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75</w:t>
      </w:r>
      <w:r>
        <w:rPr>
          <w:rFonts w:ascii="仿宋" w:hAnsi="仿宋" w:eastAsia="仿宋" w:cs="仿宋"/>
          <w:b/>
          <w:bCs/>
          <w:color w:val="auto"/>
          <w:sz w:val="24"/>
          <w:szCs w:val="24"/>
          <w:highlight w:val="none"/>
          <w:lang w:eastAsia="zh-CN"/>
        </w:rPr>
        <w:t xml:space="preserve">.2  </w:t>
      </w:r>
    </w:p>
    <w:p w14:paraId="573F3D0C">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78400" behindDoc="0" locked="0" layoutInCell="1" allowOverlap="1">
                <wp:simplePos x="0" y="0"/>
                <wp:positionH relativeFrom="column">
                  <wp:posOffset>-114300</wp:posOffset>
                </wp:positionH>
                <wp:positionV relativeFrom="paragraph">
                  <wp:posOffset>42545</wp:posOffset>
                </wp:positionV>
                <wp:extent cx="857250" cy="982345"/>
                <wp:effectExtent l="0" t="0" r="0" b="0"/>
                <wp:wrapNone/>
                <wp:docPr id="790" name="文本框 976"/>
                <wp:cNvGraphicFramePr/>
                <a:graphic xmlns:a="http://schemas.openxmlformats.org/drawingml/2006/main">
                  <a:graphicData uri="http://schemas.microsoft.com/office/word/2010/wordprocessingShape">
                    <wps:wsp>
                      <wps:cNvSpPr txBox="1">
                        <a:spLocks noChangeArrowheads="1"/>
                      </wps:cNvSpPr>
                      <wps:spPr bwMode="auto">
                        <a:xfrm>
                          <a:off x="0" y="0"/>
                          <a:ext cx="857250" cy="982345"/>
                        </a:xfrm>
                        <a:prstGeom prst="rect">
                          <a:avLst/>
                        </a:prstGeom>
                        <a:noFill/>
                        <a:ln>
                          <a:noFill/>
                        </a:ln>
                        <a:effectLst/>
                      </wps:spPr>
                      <wps:txbx>
                        <w:txbxContent>
                          <w:p w14:paraId="5E3B2C54">
                            <w:pPr>
                              <w:pStyle w:val="28"/>
                              <w:spacing w:line="200" w:lineRule="exact"/>
                              <w:rPr>
                                <w:lang w:eastAsia="zh-CN"/>
                              </w:rPr>
                            </w:pPr>
                            <w:r>
                              <w:rPr>
                                <w:rFonts w:hint="eastAsia" w:ascii="楷体_GB2312" w:hAnsi="宋体" w:eastAsia="楷体_GB2312" w:cs="楷体_GB2312"/>
                                <w:b/>
                                <w:bCs/>
                                <w:color w:val="000000"/>
                                <w:sz w:val="18"/>
                                <w:szCs w:val="18"/>
                                <w:lang w:eastAsia="zh-CN"/>
                              </w:rPr>
                              <w:t>依法不需要招标的工程材料和工程设备暂估价的约定</w:t>
                            </w:r>
                          </w:p>
                        </w:txbxContent>
                      </wps:txbx>
                      <wps:bodyPr rot="0" vert="horz" wrap="square" lIns="91440" tIns="45720" rIns="91440" bIns="45720" anchor="t" anchorCtr="0" upright="1">
                        <a:noAutofit/>
                      </wps:bodyPr>
                    </wps:wsp>
                  </a:graphicData>
                </a:graphic>
              </wp:anchor>
            </w:drawing>
          </mc:Choice>
          <mc:Fallback>
            <w:pict>
              <v:shape id="文本框 976" o:spid="_x0000_s1026" o:spt="202" type="#_x0000_t202" style="position:absolute;left:0pt;margin-left:-9pt;margin-top:3.35pt;height:77.35pt;width:67.5pt;z-index:251878400;mso-width-relative:page;mso-height-relative:page;" filled="f" stroked="f" coordsize="21600,21600" o:gfxdata="UEsDBAoAAAAAAIdO4kAAAAAAAAAAAAAAAAAEAAAAZHJzL1BLAwQUAAAACACHTuJAudK529YAAAAJ&#10;AQAADwAAAGRycy9kb3ducmV2LnhtbE2PzU7DMBCE70h9B2srcWttVyUtIU4PRVxBlB+Jmxtvk4h4&#10;HcVuE96e7QluO5rR7DfFbvKduOAQ20AG9FKBQKqCa6k28P72tNiCiMmSs10gNPCDEXbl7KawuQsj&#10;veLlkGrBJRRza6BJqc+ljFWD3sZl6JHYO4XB28RyqKUb7MjlvpMrpTLpbUv8obE97husvg9nb+Dj&#10;+fT1uVYv9aO/68cwKUn+XhpzO9fqAUTCKf2F4YrP6FAy0zGcyUXRGVjoLW9JBrINiKuvN6yPfGR6&#10;DbIs5P8F5S9QSwMEFAAAAAgAh07iQCZWjSIeAgAAJgQAAA4AAABkcnMvZTJvRG9jLnhtbK1TzY7T&#10;MBC+I/EOlu80bWm3bdR0tWy1CGn5kRYewHWcxiLxmLHbpDwA+wacuHDnufocjJ1sKctlD1ws2zP+&#10;5vu+GS8v27pie4VOg8n4aDDkTBkJuTbbjH/6ePNizpnzwuSiAqMyflCOX66eP1s2NlVjKKHKFTIC&#10;MS5tbMZL722aJE6WqhZuAFYZChaAtfB0xG2So2gIva6S8XB4kTSAuUWQyjm6XXdB3iPiUwChKLRU&#10;a5C7WhnfoaKqhCdJrtTW8VVkWxRK+vdF4ZRnVcZJqY8rFaH9JqzJainSLQpbatlTEE+h8EhTLbSh&#10;oieotfCC7VD/A1VrieCg8AMJddIJiY6QitHwkTd3pbAqaiGrnT2Z7v4frHy3/4BM5xmfLcgTI2pq&#10;+fH7/fHHr+PPb2wxuwgWNdallHlnKde3r6ClwYlynb0F+dkxA9elMFt1hQhNqUROFEfhZXL2tMNx&#10;AWTTvIWcKomdhwjUFlgH/8gRRuhE5XBqj2o9k3Q5n87GU4pICi3m45eTaawg0ofHFp1/raBmYZNx&#10;pO5HcLG/dT6QEelDSqhl4EZXVZyAyvx1QYndjYoj1L8OUgL7TodvN21vzQbyA4lC6MaLPhdtSsCv&#10;nDU0Whl3X3YCFWfVG0PGLEaTCcnw8TAhUXTA88jmPCKMJKiMe8667bXv5ndnUW9LqtS1wsAVmVno&#10;KDRQ7Vj1LaDxifr7UQ/zeX6OWX++9+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udK529YAAAAJ&#10;AQAADwAAAAAAAAABACAAAAAiAAAAZHJzL2Rvd25yZXYueG1sUEsBAhQAFAAAAAgAh07iQCZWjSIe&#10;AgAAJgQAAA4AAAAAAAAAAQAgAAAAJQEAAGRycy9lMm9Eb2MueG1sUEsFBgAAAAAGAAYAWQEAALUF&#10;AAAAAA==&#10;">
                <v:fill on="f" focussize="0,0"/>
                <v:stroke on="f"/>
                <v:imagedata o:title=""/>
                <o:lock v:ext="edit" aspectratio="f"/>
                <v:textbox>
                  <w:txbxContent>
                    <w:p w14:paraId="5E3B2C54">
                      <w:pPr>
                        <w:pStyle w:val="28"/>
                        <w:spacing w:line="200" w:lineRule="exact"/>
                        <w:rPr>
                          <w:lang w:eastAsia="zh-CN"/>
                        </w:rPr>
                      </w:pPr>
                      <w:r>
                        <w:rPr>
                          <w:rFonts w:hint="eastAsia" w:ascii="楷体_GB2312" w:hAnsi="宋体" w:eastAsia="楷体_GB2312" w:cs="楷体_GB2312"/>
                          <w:b/>
                          <w:bCs/>
                          <w:color w:val="000000"/>
                          <w:sz w:val="18"/>
                          <w:szCs w:val="18"/>
                          <w:lang w:eastAsia="zh-CN"/>
                        </w:rPr>
                        <w:t>依法不需要招标的工程材料和工程设备暂估价的约定</w:t>
                      </w:r>
                    </w:p>
                  </w:txbxContent>
                </v:textbox>
              </v:shape>
            </w:pict>
          </mc:Fallback>
        </mc:AlternateContent>
      </w:r>
      <w:r>
        <w:rPr>
          <w:rFonts w:hint="eastAsia" w:ascii="仿宋" w:hAnsi="仿宋" w:eastAsia="仿宋" w:cs="仿宋"/>
          <w:color w:val="auto"/>
          <w:sz w:val="24"/>
          <w:szCs w:val="24"/>
          <w:highlight w:val="none"/>
          <w:lang w:eastAsia="zh-CN"/>
        </w:rPr>
        <w:t>发包人在合同价格清单中给定暂估价的工程材料和工程设备，未达到依法必须招标的规模、标准的，由承包人按照第56条约定采购。经监理人、造价咨询人确认的工程材料和工程设备价格以及相应的税金等其他费用，应代替</w:t>
      </w:r>
      <w:r>
        <w:rPr>
          <w:rFonts w:ascii="仿宋" w:hAnsi="仿宋" w:eastAsia="仿宋" w:cs="仿宋"/>
          <w:color w:val="auto"/>
          <w:sz w:val="24"/>
          <w:szCs w:val="24"/>
          <w:highlight w:val="none"/>
          <w:lang w:eastAsia="zh-CN"/>
        </w:rPr>
        <w:t>暂估价</w:t>
      </w:r>
      <w:r>
        <w:rPr>
          <w:rFonts w:hint="eastAsia" w:ascii="仿宋" w:hAnsi="仿宋" w:eastAsia="仿宋" w:cs="仿宋"/>
          <w:color w:val="auto"/>
          <w:sz w:val="24"/>
          <w:szCs w:val="24"/>
          <w:highlight w:val="none"/>
          <w:lang w:eastAsia="zh-CN"/>
        </w:rPr>
        <w:t>计入合同价格。</w:t>
      </w:r>
    </w:p>
    <w:p w14:paraId="2002A85E">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75</w:t>
      </w:r>
      <w:r>
        <w:rPr>
          <w:rFonts w:ascii="仿宋" w:hAnsi="仿宋" w:eastAsia="仿宋" w:cs="仿宋"/>
          <w:b/>
          <w:bCs/>
          <w:color w:val="auto"/>
          <w:sz w:val="24"/>
          <w:szCs w:val="24"/>
          <w:highlight w:val="none"/>
          <w:lang w:eastAsia="zh-CN"/>
        </w:rPr>
        <w:t>.3</w:t>
      </w:r>
    </w:p>
    <w:p w14:paraId="31B6643E">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79424" behindDoc="0" locked="0" layoutInCell="1" allowOverlap="1">
                <wp:simplePos x="0" y="0"/>
                <wp:positionH relativeFrom="column">
                  <wp:posOffset>-66675</wp:posOffset>
                </wp:positionH>
                <wp:positionV relativeFrom="paragraph">
                  <wp:posOffset>71755</wp:posOffset>
                </wp:positionV>
                <wp:extent cx="845820" cy="819785"/>
                <wp:effectExtent l="0" t="0" r="0" b="0"/>
                <wp:wrapNone/>
                <wp:docPr id="791" name="文本框 977"/>
                <wp:cNvGraphicFramePr/>
                <a:graphic xmlns:a="http://schemas.openxmlformats.org/drawingml/2006/main">
                  <a:graphicData uri="http://schemas.microsoft.com/office/word/2010/wordprocessingShape">
                    <wps:wsp>
                      <wps:cNvSpPr txBox="1">
                        <a:spLocks noChangeArrowheads="1"/>
                      </wps:cNvSpPr>
                      <wps:spPr bwMode="auto">
                        <a:xfrm>
                          <a:off x="0" y="0"/>
                          <a:ext cx="845820" cy="819785"/>
                        </a:xfrm>
                        <a:prstGeom prst="rect">
                          <a:avLst/>
                        </a:prstGeom>
                        <a:noFill/>
                        <a:ln>
                          <a:noFill/>
                        </a:ln>
                        <a:effectLst/>
                      </wps:spPr>
                      <wps:txbx>
                        <w:txbxContent>
                          <w:p w14:paraId="21A8E460">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依法不需要招标的专业工程暂估价的约定</w:t>
                            </w:r>
                          </w:p>
                        </w:txbxContent>
                      </wps:txbx>
                      <wps:bodyPr rot="0" vert="horz" wrap="square" lIns="91440" tIns="45720" rIns="91440" bIns="45720" anchor="t" anchorCtr="0" upright="1">
                        <a:noAutofit/>
                      </wps:bodyPr>
                    </wps:wsp>
                  </a:graphicData>
                </a:graphic>
              </wp:anchor>
            </w:drawing>
          </mc:Choice>
          <mc:Fallback>
            <w:pict>
              <v:shape id="文本框 977" o:spid="_x0000_s1026" o:spt="202" type="#_x0000_t202" style="position:absolute;left:0pt;margin-left:-5.25pt;margin-top:5.65pt;height:64.55pt;width:66.6pt;z-index:251879424;mso-width-relative:page;mso-height-relative:page;" filled="f" stroked="f" coordsize="21600,21600" o:gfxdata="UEsDBAoAAAAAAIdO4kAAAAAAAAAAAAAAAAAEAAAAZHJzL1BLAwQUAAAACACHTuJA7KmIPtcAAAAK&#10;AQAADwAAAGRycy9kb3ducmV2LnhtbE2PwU7DMAyG70i8Q2QkblvS0g0oTXcAcWVijEm7ZY3XVjRO&#10;1WRreXu807jZ+j/9/lysJteJMw6h9aQhmSsQSJW3LdUatl/vsycQIRqypvOEGn4xwKq8vSlMbv1I&#10;n3jexFpwCYXcaGhi7HMpQ9WgM2HueyTOjn5wJvI61NIOZuRy18lUqaV0piW+0JgeXxusfjYnp+H7&#10;47jfZWpdv7lFP/pJSXLPUuv7u0S9gIg4xSsMF31Wh5KdDv5ENohOwyxRC0Y5SB5AXIA0fQRx4CFT&#10;GciykP9fKP8AUEsDBBQAAAAIAIdO4kC1ZV3XHgIAACYEAAAOAAAAZHJzL2Uyb0RvYy54bWytU82O&#10;0zAQviPxDpbvNE3V0jZqulq2WoS0/EgLD+A6TmOReMzYbbI8ALzBnrhw57n6HIydbCnLZQ9cLNsz&#10;/ma+bz6vLrqmZgeFToPJeToac6aMhEKbXc4/fbx+seDMeWEKUYNROb9Tjl+snz9btTZTE6igLhQy&#10;AjEua23OK+9tliROVqoRbgRWGQqWgI3wdMRdUqBoCb2pk8l4/DJpAQuLIJVzdLvpg3xAxKcAQllq&#10;qTYg940yvkdFVQtPlFylrePr2G1ZKunfl6VTntU5J6Y+rlSE9tuwJuuVyHYobKXl0IJ4SguPODVC&#10;Gyp6gtoIL9ge9T9QjZYIDko/ktAkPZGoCLFIx4+0ua2EVZELSe3sSXT3/2Dlu8MHZLrI+XyZcmZE&#10;QyM/3n8//vh1/PmNLefzIFFrXUaZt5ZyffcKOjJOpOvsDcjPjhm4qoTZqUtEaCslCmoxDS+Ts6c9&#10;jgsg2/YtFFRJ7D1EoK7EJuhHijBCp/HcncajOs8kXS6ms8WEIpJCi3Q5X8xiBZE9PLbo/GsFDQub&#10;nCNNP4KLw43zoRmRPaSEWgaudV1HB9TmrwtK7G9UtNDwOlAJ3fc8fLftBmm2UNwRKYTeXvS5aFMB&#10;fuWsJWvl3H3ZC1Sc1W8MCbNMp9PgxXiYzuaBE55HtucRYSRB5dxz1m+vfO/fvUW9q6hSPwoDlyRm&#10;qSPR0Grf1TACsk/kP1g9+PP8HLP+fO/1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ypiD7XAAAA&#10;CgEAAA8AAAAAAAAAAQAgAAAAIgAAAGRycy9kb3ducmV2LnhtbFBLAQIUABQAAAAIAIdO4kC1ZV3X&#10;HgIAACYEAAAOAAAAAAAAAAEAIAAAACYBAABkcnMvZTJvRG9jLnhtbFBLBQYAAAAABgAGAFkBAAC2&#10;BQAAAAA=&#10;">
                <v:fill on="f" focussize="0,0"/>
                <v:stroke on="f"/>
                <v:imagedata o:title=""/>
                <o:lock v:ext="edit" aspectratio="f"/>
                <v:textbox>
                  <w:txbxContent>
                    <w:p w14:paraId="21A8E460">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依法不需要招标的专业工程暂估价的约定</w:t>
                      </w:r>
                    </w:p>
                  </w:txbxContent>
                </v:textbox>
              </v:shape>
            </w:pict>
          </mc:Fallback>
        </mc:AlternateContent>
      </w:r>
      <w:r>
        <w:rPr>
          <w:rFonts w:hint="eastAsia" w:ascii="仿宋" w:hAnsi="仿宋" w:eastAsia="仿宋" w:cs="仿宋"/>
          <w:color w:val="auto"/>
          <w:sz w:val="24"/>
          <w:szCs w:val="24"/>
          <w:highlight w:val="none"/>
          <w:lang w:eastAsia="zh-CN"/>
        </w:rPr>
        <w:t>发包人在合同价格清单中给定暂估价的专业工程，未达到依法必须招标的规模及标准的，除专用条款另有约定外，由造价咨询人与承包人按照第79.3款约定确定专业工程价格。经确认的专业工程价格以及相应的税金等其他费用，应代替</w:t>
      </w:r>
      <w:r>
        <w:rPr>
          <w:rFonts w:ascii="仿宋" w:hAnsi="仿宋" w:eastAsia="仿宋" w:cs="仿宋"/>
          <w:color w:val="auto"/>
          <w:sz w:val="24"/>
          <w:szCs w:val="24"/>
          <w:highlight w:val="none"/>
          <w:lang w:eastAsia="zh-CN"/>
        </w:rPr>
        <w:t>暂估价</w:t>
      </w:r>
      <w:r>
        <w:rPr>
          <w:rFonts w:hint="eastAsia" w:ascii="仿宋" w:hAnsi="仿宋" w:eastAsia="仿宋" w:cs="仿宋"/>
          <w:color w:val="auto"/>
          <w:sz w:val="24"/>
          <w:szCs w:val="24"/>
          <w:highlight w:val="none"/>
          <w:lang w:eastAsia="zh-CN"/>
        </w:rPr>
        <w:t>计入合同价格。</w:t>
      </w:r>
    </w:p>
    <w:p w14:paraId="3435F76D">
      <w:pPr>
        <w:pStyle w:val="2"/>
        <w:tabs>
          <w:tab w:val="left" w:pos="3038"/>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77D08C52">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5" w:name="_Toc5425"/>
      <w:r>
        <w:rPr>
          <w:rFonts w:hint="eastAsia" w:ascii="仿宋" w:hAnsi="仿宋" w:eastAsia="仿宋" w:cs="仿宋"/>
          <w:bCs w:val="0"/>
          <w:color w:val="auto"/>
          <w:sz w:val="24"/>
          <w:szCs w:val="24"/>
          <w:highlight w:val="none"/>
          <w:lang w:eastAsia="zh-CN"/>
        </w:rPr>
        <w:t>★76提前竣工奖与误期赔偿费</w:t>
      </w:r>
      <w:bookmarkEnd w:id="375"/>
    </w:p>
    <w:p w14:paraId="6C5DA1CA">
      <w:pPr>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76</w:t>
      </w:r>
      <w:r>
        <w:rPr>
          <w:rFonts w:ascii="仿宋" w:hAnsi="仿宋" w:eastAsia="仿宋" w:cs="仿宋"/>
          <w:b/>
          <w:bCs/>
          <w:color w:val="auto"/>
          <w:highlight w:val="none"/>
          <w:lang w:eastAsia="zh-CN"/>
        </w:rPr>
        <w:t>.1</w:t>
      </w:r>
    </w:p>
    <w:p w14:paraId="0B5B71A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0448" behindDoc="0" locked="0" layoutInCell="1" allowOverlap="1">
                <wp:simplePos x="0" y="0"/>
                <wp:positionH relativeFrom="column">
                  <wp:posOffset>-114300</wp:posOffset>
                </wp:positionH>
                <wp:positionV relativeFrom="paragraph">
                  <wp:posOffset>30480</wp:posOffset>
                </wp:positionV>
                <wp:extent cx="800100" cy="415925"/>
                <wp:effectExtent l="0" t="0" r="0" b="0"/>
                <wp:wrapNone/>
                <wp:docPr id="792" name="文本框 978"/>
                <wp:cNvGraphicFramePr/>
                <a:graphic xmlns:a="http://schemas.openxmlformats.org/drawingml/2006/main">
                  <a:graphicData uri="http://schemas.microsoft.com/office/word/2010/wordprocessingShape">
                    <wps:wsp>
                      <wps:cNvSpPr txBox="1">
                        <a:spLocks noChangeArrowheads="1"/>
                      </wps:cNvSpPr>
                      <wps:spPr bwMode="auto">
                        <a:xfrm>
                          <a:off x="0" y="0"/>
                          <a:ext cx="800100" cy="415925"/>
                        </a:xfrm>
                        <a:prstGeom prst="rect">
                          <a:avLst/>
                        </a:prstGeom>
                        <a:noFill/>
                        <a:ln>
                          <a:noFill/>
                        </a:ln>
                        <a:effectLst/>
                      </wps:spPr>
                      <wps:txbx>
                        <w:txbxContent>
                          <w:p w14:paraId="090D0E06">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提前竣工奖</w:t>
                            </w:r>
                          </w:p>
                        </w:txbxContent>
                      </wps:txbx>
                      <wps:bodyPr rot="0" vert="horz" wrap="square" lIns="91440" tIns="45720" rIns="91440" bIns="45720" anchor="t" anchorCtr="0" upright="1">
                        <a:noAutofit/>
                      </wps:bodyPr>
                    </wps:wsp>
                  </a:graphicData>
                </a:graphic>
              </wp:anchor>
            </w:drawing>
          </mc:Choice>
          <mc:Fallback>
            <w:pict>
              <v:shape id="文本框 978" o:spid="_x0000_s1026" o:spt="202" type="#_x0000_t202" style="position:absolute;left:0pt;margin-left:-9pt;margin-top:2.4pt;height:32.75pt;width:63pt;z-index:251880448;mso-width-relative:page;mso-height-relative:page;" filled="f" stroked="f" coordsize="21600,21600" o:gfxdata="UEsDBAoAAAAAAIdO4kAAAAAAAAAAAAAAAAAEAAAAZHJzL1BLAwQUAAAACACHTuJAvquMe9QAAAAI&#10;AQAADwAAAGRycy9kb3ducmV2LnhtbE2Py07DMBBF90j8gzVI7Fo7UKCETLoAsQVRHhI7N54mEfE4&#10;it0m/D2TFV1e3dGdc4rN5Dt1pCG2gRGypQFFXAXXco3w8f68WIOKybKzXWBC+KUIm/L8rLC5CyO/&#10;0XGbaiUjHHOL0KTU51rHqiFv4zL0xNLtw+BtkjjU2g12lHHf6StjbrW3LcuHxvb02FD1sz14hM+X&#10;/ffXyrzWT/6mH8NkNPt7jXh5kZkHUImm9H8MM76gQylMu3BgF1WHsMjW4pIQVmIw92bOO4Q7cw26&#10;LPSpQPkHUEsDBBQAAAAIAIdO4kAXg7YWHgIAACYEAAAOAAAAZHJzL2Uyb0RvYy54bWytU8GO0zAQ&#10;vSPxD5bvNG3V0jZqulq2WoS0wEoLH+A6TmOReMzYbVI+AP5gT1y48139jh072VKWyx64WLZn/Gbe&#10;m+flRVtXbK/QaTAZHw2GnCkjIddmm/HPn65fzTlzXphcVGBUxg/K8YvVyxfLxqZqDCVUuUJGIMal&#10;jc146b1Nk8TJUtXCDcAqQ8ECsBaejrhNchQNoddVMh4OXycNYG4RpHKObtddkPeI+BxAKAot1Rrk&#10;rlbGd6ioKuGJkiu1dXwVuy0KJf3HonDKsyrjxNTHlYrQfhPWZLUU6RaFLbXsWxDPaeEJp1poQ0VP&#10;UGvhBduh/geq1hLBQeEHEuqkIxIVIRaj4RNt7kphVeRCUjt7Et39P1j5YX+LTOcZny3GnBlR08iP&#10;9z+OP38ff31ni9k8SNRYl1LmnaVc376BlowT6Tp7A/KLYwauSmG26hIRmlKJnFochZfJ2dMOxwWQ&#10;TfMecqokdh4iUFtgHfQjRRih03gOp/Go1jNJl/MhSUQRSaHJaLoYT2MFkT4+tuj8WwU1C5uMI00/&#10;gov9jfOhGZE+poRaBq51VUUHVOavC0rsblS0UP86UAnddzx8u2l7aTaQH4gUQmcv+ly0KQG/cdaQ&#10;tTLuvu4EKs6qd4aEWYwmk+DFeJhMZ2M64Hlkcx4RRhJUxj1n3fbKd/7dWdTbkip1ozBwSWIWOhIN&#10;rXZd9SMg+0T+vdWDP8/PMevP9149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6rjHvUAAAACAEA&#10;AA8AAAAAAAAAAQAgAAAAIgAAAGRycy9kb3ducmV2LnhtbFBLAQIUABQAAAAIAIdO4kAXg7YWHgIA&#10;ACYEAAAOAAAAAAAAAAEAIAAAACMBAABkcnMvZTJvRG9jLnhtbFBLBQYAAAAABgAGAFkBAACzBQAA&#10;AAA=&#10;">
                <v:fill on="f" focussize="0,0"/>
                <v:stroke on="f"/>
                <v:imagedata o:title=""/>
                <o:lock v:ext="edit" aspectratio="f"/>
                <v:textbox>
                  <w:txbxContent>
                    <w:p w14:paraId="090D0E06">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提前竣工奖</w:t>
                      </w:r>
                    </w:p>
                  </w:txbxContent>
                </v:textbox>
              </v:shape>
            </w:pict>
          </mc:Fallback>
        </mc:AlternateContent>
      </w:r>
      <w:r>
        <w:rPr>
          <w:rFonts w:hint="eastAsia" w:ascii="仿宋" w:hAnsi="仿宋" w:eastAsia="仿宋" w:cs="仿宋"/>
          <w:color w:val="auto"/>
          <w:sz w:val="24"/>
          <w:szCs w:val="24"/>
          <w:highlight w:val="none"/>
          <w:lang w:eastAsia="zh-CN"/>
        </w:rPr>
        <w:t>合同双方当事人可在专用条款中约定提前竣工奖，明确每日历天应奖额度。约定提前竣工奖的，如果承包人的实际竣工日期早于计划竣工日期，承包人有权向发包人提出并得到提前竣工天数和专用条款约定的每日历天应奖额度的乘积计算的提前竣工奖。除专用条款另有约定外，提前竣工奖的最高限额为合同价格的</w:t>
      </w:r>
      <w:r>
        <w:rPr>
          <w:rFonts w:ascii="仿宋" w:hAnsi="仿宋" w:eastAsia="仿宋" w:cs="仿宋"/>
          <w:color w:val="auto"/>
          <w:sz w:val="24"/>
          <w:szCs w:val="24"/>
          <w:highlight w:val="none"/>
          <w:lang w:eastAsia="zh-CN"/>
        </w:rPr>
        <w:t>5%</w:t>
      </w:r>
      <w:r>
        <w:rPr>
          <w:rFonts w:hint="eastAsia" w:ascii="仿宋" w:hAnsi="仿宋" w:eastAsia="仿宋" w:cs="仿宋"/>
          <w:color w:val="auto"/>
          <w:sz w:val="24"/>
          <w:szCs w:val="24"/>
          <w:highlight w:val="none"/>
          <w:lang w:eastAsia="zh-CN"/>
        </w:rPr>
        <w:t>。提前竣工奖列入竣工结算文件中，与结算款一并支付。</w:t>
      </w:r>
    </w:p>
    <w:p w14:paraId="6100D215">
      <w:pPr>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76</w:t>
      </w:r>
      <w:r>
        <w:rPr>
          <w:rFonts w:ascii="仿宋" w:hAnsi="仿宋" w:eastAsia="仿宋" w:cs="仿宋"/>
          <w:b/>
          <w:bCs/>
          <w:color w:val="auto"/>
          <w:highlight w:val="none"/>
          <w:lang w:eastAsia="zh-CN"/>
        </w:rPr>
        <w:t>.2</w:t>
      </w:r>
    </w:p>
    <w:p w14:paraId="01EF9C92">
      <w:pPr>
        <w:pStyle w:val="2"/>
        <w:widowControl w:val="0"/>
        <w:adjustRightInd w:val="0"/>
        <w:snapToGrid w:val="0"/>
        <w:spacing w:line="460" w:lineRule="exact"/>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1472" behindDoc="0" locked="0" layoutInCell="1" allowOverlap="1">
                <wp:simplePos x="0" y="0"/>
                <wp:positionH relativeFrom="column">
                  <wp:posOffset>-114300</wp:posOffset>
                </wp:positionH>
                <wp:positionV relativeFrom="paragraph">
                  <wp:posOffset>16510</wp:posOffset>
                </wp:positionV>
                <wp:extent cx="785495" cy="466090"/>
                <wp:effectExtent l="0" t="0" r="0" b="0"/>
                <wp:wrapNone/>
                <wp:docPr id="793" name="文本框 979"/>
                <wp:cNvGraphicFramePr/>
                <a:graphic xmlns:a="http://schemas.openxmlformats.org/drawingml/2006/main">
                  <a:graphicData uri="http://schemas.microsoft.com/office/word/2010/wordprocessingShape">
                    <wps:wsp>
                      <wps:cNvSpPr txBox="1">
                        <a:spLocks noChangeArrowheads="1"/>
                      </wps:cNvSpPr>
                      <wps:spPr bwMode="auto">
                        <a:xfrm>
                          <a:off x="0" y="0"/>
                          <a:ext cx="785495" cy="466090"/>
                        </a:xfrm>
                        <a:prstGeom prst="rect">
                          <a:avLst/>
                        </a:prstGeom>
                        <a:noFill/>
                        <a:ln>
                          <a:noFill/>
                        </a:ln>
                        <a:effectLst/>
                      </wps:spPr>
                      <wps:txbx>
                        <w:txbxContent>
                          <w:p w14:paraId="0105334E">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误期赔偿费</w:t>
                            </w:r>
                          </w:p>
                        </w:txbxContent>
                      </wps:txbx>
                      <wps:bodyPr rot="0" vert="horz" wrap="square" lIns="91440" tIns="45720" rIns="91440" bIns="45720" anchor="t" anchorCtr="0" upright="1">
                        <a:noAutofit/>
                      </wps:bodyPr>
                    </wps:wsp>
                  </a:graphicData>
                </a:graphic>
              </wp:anchor>
            </w:drawing>
          </mc:Choice>
          <mc:Fallback>
            <w:pict>
              <v:shape id="文本框 979" o:spid="_x0000_s1026" o:spt="202" type="#_x0000_t202" style="position:absolute;left:0pt;margin-left:-9pt;margin-top:1.3pt;height:36.7pt;width:61.85pt;z-index:251881472;mso-width-relative:page;mso-height-relative:page;" filled="f" stroked="f" coordsize="21600,21600" o:gfxdata="UEsDBAoAAAAAAIdO4kAAAAAAAAAAAAAAAAAEAAAAZHJzL1BLAwQUAAAACACHTuJA1y9DidYAAAAI&#10;AQAADwAAAGRycy9kb3ducmV2LnhtbE2PwW7CMBBE75X4B2uRegM7qAQI2XCg6rVVoa3Um4mXJCJe&#10;R7Eh6d/XnNrjaEYzb/LdaFtxo943jhGSuQJBXDrTcIXwcXyZrUH4oNno1jEh/JCHXTF5yHVm3MDv&#10;dDuESsQS9plGqEPoMil9WZPVfu464uidXW91iLKvpOn1EMttKxdKpdLqhuNCrTva11ReDleL8Pl6&#10;/v56Um/Vs112gxuVZLuRiI/TRG1BBBrDXxju+BEdish0clc2XrQIs2QdvwSERQri7qvlCsQJYZUq&#10;kEUu/x8ofgFQSwMEFAAAAAgAh07iQMqepcAgAgAAJgQAAA4AAABkcnMvZTJvRG9jLnhtbK1TS27b&#10;MBDdF+gdCO5r2a4/kWA5SGOkKJB+gLQHoCnKIipx2CFtyT1Ac4Ouuum+5/I5OqQc1003WXRDkJzh&#10;m3lvHheXXVOznUKnweR8NBhypoyEQptNzj99vHlxwZnzwhSiBqNyvleOXy6fP1u0NlNjqKAuFDIC&#10;MS5rbc4r722WJE5WqhFuAFYZCpaAjfB0xE1SoGgJvamT8XA4S1rAwiJI5RzdrvogPyLiUwChLLVU&#10;K5DbRhnfo6KqhSdKrtLW8WXstiyV9O/L0inP6pwTUx9XKkL7dViT5UJkGxS20vLYgnhKC484NUIb&#10;KnqCWgkv2Bb1P1CNlggOSj+Q0CQ9kagIsRgNH2lzVwmrIheS2tmT6O7/wcp3uw/IdJHzefqSMyMa&#10;Gvnh+/3hx6/Dz28snadBota6jDLvLOX67hV0ZJxI19lbkJ8dM3BdCbNRV4jQVkoU1OIovEzOnvY4&#10;LoCs27dQUCWx9RCBuhKboB8pwgidxrM/jUd1nkm6nF9MJ+mUM0mhyWw2TOP4EpE9PLbo/GsFDQub&#10;nCNNP4KL3a3zoRmRPaSEWgZudF1HB9TmrwtK7G9UtNDxdaASuu95+G7dHaVZQ7EnUgi9vehz0aYC&#10;/MpZS9bKufuyFag4q98YEiYdTSbBi/Ewmc7HdMDzyPo8IowkqJx7zvrtte/9u7WoNxVV6kdh4IrE&#10;LHUkGlrtuzqOgOwT+R+tHvx5fo5Zf7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XL0OJ1gAA&#10;AAgBAAAPAAAAAAAAAAEAIAAAACIAAABkcnMvZG93bnJldi54bWxQSwECFAAUAAAACACHTuJAyp6l&#10;wCACAAAmBAAADgAAAAAAAAABACAAAAAlAQAAZHJzL2Uyb0RvYy54bWxQSwUGAAAAAAYABgBZAQAA&#10;twUAAAAA&#10;">
                <v:fill on="f" focussize="0,0"/>
                <v:stroke on="f"/>
                <v:imagedata o:title=""/>
                <o:lock v:ext="edit" aspectratio="f"/>
                <v:textbox>
                  <w:txbxContent>
                    <w:p w14:paraId="0105334E">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误期赔偿费</w:t>
                      </w:r>
                    </w:p>
                  </w:txbxContent>
                </v:textbox>
              </v:shape>
            </w:pict>
          </mc:Fallback>
        </mc:AlternateContent>
      </w:r>
      <w:r>
        <w:rPr>
          <w:rFonts w:hint="eastAsia" w:ascii="仿宋" w:hAnsi="仿宋" w:eastAsia="仿宋" w:cs="仿宋"/>
          <w:color w:val="auto"/>
          <w:sz w:val="24"/>
          <w:szCs w:val="24"/>
          <w:highlight w:val="none"/>
          <w:lang w:eastAsia="zh-CN"/>
        </w:rPr>
        <w:t>合同双方当事人应在专用条款中约定勘察（如果有）、设计、BIM技术应用、设备及工器具购置（如果有）、施工等各阶段工期及合同总工期的误期赔偿费，明确每日历天应赔额度。如果承包人的实际进度迟于计划进度，发包人有权向承包人索取并得到实际延误天数和专用条款约定的每日历天应赔额度的乘积计算的误期赔偿费。除专用条款另有约定外，误期赔偿费的最高限额为合同价格的</w:t>
      </w:r>
      <w:r>
        <w:rPr>
          <w:rFonts w:ascii="仿宋" w:hAnsi="仿宋" w:eastAsia="仿宋" w:cs="仿宋"/>
          <w:color w:val="auto"/>
          <w:sz w:val="24"/>
          <w:szCs w:val="24"/>
          <w:highlight w:val="none"/>
          <w:lang w:eastAsia="zh-CN"/>
        </w:rPr>
        <w:t>5%</w:t>
      </w:r>
      <w:r>
        <w:rPr>
          <w:rFonts w:hint="eastAsia" w:ascii="仿宋" w:hAnsi="仿宋" w:eastAsia="仿宋" w:cs="仿宋"/>
          <w:color w:val="auto"/>
          <w:sz w:val="24"/>
          <w:szCs w:val="24"/>
          <w:highlight w:val="none"/>
          <w:lang w:eastAsia="zh-CN"/>
        </w:rPr>
        <w:t>。误期赔偿费列入进度支付文件或竣工结算文件中，在进度款或结算款中扣除。</w:t>
      </w:r>
    </w:p>
    <w:p w14:paraId="50CBFB85">
      <w:pPr>
        <w:pStyle w:val="2"/>
        <w:widowControl w:val="0"/>
        <w:adjustRightInd w:val="0"/>
        <w:snapToGrid w:val="0"/>
        <w:spacing w:line="460" w:lineRule="exact"/>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如果在工程竣工之前，合同工程内的某单项工程已通过了竣工验收或某项服务已通过合同约定的质量标准或发包人要求，且该单项工程接收证书中表明的竣工日期并未延误或某项服务的书面证明并未延误，而是合同工程的其他部分产生了工期延误，则误期赔偿费应按照已颁发工程接收证书的单位项工程造价或某项服务占合同价格的比例幅度予以扣减。</w:t>
      </w:r>
    </w:p>
    <w:p w14:paraId="68B99058">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794D90B2">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6" w:name="_Toc7667"/>
      <w:r>
        <w:rPr>
          <w:rFonts w:hint="eastAsia" w:ascii="仿宋" w:hAnsi="仿宋" w:eastAsia="仿宋" w:cs="仿宋"/>
          <w:bCs w:val="0"/>
          <w:color w:val="auto"/>
          <w:sz w:val="24"/>
          <w:szCs w:val="24"/>
          <w:highlight w:val="none"/>
          <w:lang w:eastAsia="zh-CN"/>
        </w:rPr>
        <w:t>★77优质优价费用</w:t>
      </w:r>
      <w:bookmarkEnd w:id="376"/>
    </w:p>
    <w:p w14:paraId="12FF85A8">
      <w:pPr>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77</w:t>
      </w:r>
      <w:r>
        <w:rPr>
          <w:rFonts w:ascii="仿宋" w:hAnsi="仿宋" w:eastAsia="仿宋" w:cs="仿宋"/>
          <w:b/>
          <w:bCs/>
          <w:color w:val="auto"/>
          <w:highlight w:val="none"/>
          <w:lang w:eastAsia="zh-CN"/>
        </w:rPr>
        <w:t>.1</w:t>
      </w:r>
    </w:p>
    <w:p w14:paraId="1372F531">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2496" behindDoc="0" locked="0" layoutInCell="1" allowOverlap="1">
                <wp:simplePos x="0" y="0"/>
                <wp:positionH relativeFrom="column">
                  <wp:posOffset>-114300</wp:posOffset>
                </wp:positionH>
                <wp:positionV relativeFrom="paragraph">
                  <wp:posOffset>30480</wp:posOffset>
                </wp:positionV>
                <wp:extent cx="818515" cy="511175"/>
                <wp:effectExtent l="0" t="0" r="0" b="0"/>
                <wp:wrapNone/>
                <wp:docPr id="794" name="文本框 980"/>
                <wp:cNvGraphicFramePr/>
                <a:graphic xmlns:a="http://schemas.openxmlformats.org/drawingml/2006/main">
                  <a:graphicData uri="http://schemas.microsoft.com/office/word/2010/wordprocessingShape">
                    <wps:wsp>
                      <wps:cNvSpPr txBox="1">
                        <a:spLocks noChangeArrowheads="1"/>
                      </wps:cNvSpPr>
                      <wps:spPr bwMode="auto">
                        <a:xfrm>
                          <a:off x="0" y="0"/>
                          <a:ext cx="818515" cy="511175"/>
                        </a:xfrm>
                        <a:prstGeom prst="rect">
                          <a:avLst/>
                        </a:prstGeom>
                        <a:noFill/>
                        <a:ln>
                          <a:noFill/>
                        </a:ln>
                        <a:effectLst/>
                      </wps:spPr>
                      <wps:txbx>
                        <w:txbxContent>
                          <w:p w14:paraId="11E57D6F">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lang w:eastAsia="zh-CN"/>
                              </w:rPr>
                              <w:t>优质优价费用</w:t>
                            </w:r>
                            <w:r>
                              <w:rPr>
                                <w:rFonts w:hint="eastAsia" w:ascii="楷体_GB2312" w:hAnsi="宋体" w:eastAsia="楷体_GB2312" w:cs="楷体_GB2312"/>
                                <w:b/>
                                <w:bCs/>
                                <w:color w:val="000000"/>
                                <w:sz w:val="18"/>
                                <w:szCs w:val="18"/>
                              </w:rPr>
                              <w:t>的约定</w:t>
                            </w:r>
                          </w:p>
                        </w:txbxContent>
                      </wps:txbx>
                      <wps:bodyPr rot="0" vert="horz" wrap="square" lIns="91440" tIns="45720" rIns="91440" bIns="45720" anchor="t" anchorCtr="0" upright="1">
                        <a:noAutofit/>
                      </wps:bodyPr>
                    </wps:wsp>
                  </a:graphicData>
                </a:graphic>
              </wp:anchor>
            </w:drawing>
          </mc:Choice>
          <mc:Fallback>
            <w:pict>
              <v:shape id="文本框 980" o:spid="_x0000_s1026" o:spt="202" type="#_x0000_t202" style="position:absolute;left:0pt;margin-left:-9pt;margin-top:2.4pt;height:40.25pt;width:64.45pt;z-index:251882496;mso-width-relative:page;mso-height-relative:page;" filled="f" stroked="f" coordsize="21600,21600" o:gfxdata="UEsDBAoAAAAAAIdO4kAAAAAAAAAAAAAAAAAEAAAAZHJzL1BLAwQUAAAACACHTuJAiAi13tUAAAAI&#10;AQAADwAAAGRycy9kb3ducmV2LnhtbE2Py07DMBBF90j8gzVI7Fo70KI0ZNIFiC2I8pDYTeNpEhGP&#10;o9htwt/jrmA5uqN7zym3s+vVicfQeUHIlgYUS+1tJw3C+9vTIgcVIoml3gsj/HCAbXV5UVJh/SSv&#10;fNrFRqUSCQUhtDEOhdahbtlRWPqBJWUHPzqK6RwbbUeaUrnr9Y0xd9pRJ2mhpYEfWq6/d0eH8PF8&#10;+PpcmZfm0a2Hyc9Gi9toxOurzNyDijzHv2c44yd0qBLT3h/FBtUjLLI8uUSEVTI455nZgNoj5Otb&#10;0FWp/wtUv1BLAwQUAAAACACHTuJA93ihch4CAAAmBAAADgAAAGRycy9lMm9Eb2MueG1srVPNjtMw&#10;EL4j8Q6W7zRN1dI2arpatlqEtPxICw/gOk5jkXjM2G1SHgDegBMX7jxXn4Ox03bLctkDl8ieGX8z&#10;3zdfFlddU7OdQqfB5DwdDDlTRkKhzSbnnz7evphx5rwwhajBqJzvleNXy+fPFq3N1AgqqAuFjECM&#10;y1qb88p7myWJk5VqhBuAVYaSJWAjPF1xkxQoWkJv6mQ0HL5MWsDCIkjlHEVXfZIfEfEpgFCWWqoV&#10;yG2jjO9RUdXCEyVXaev4Mk5blkr692XplGd1zompj19qQud1+CbLhcg2KGyl5XEE8ZQRHnFqhDbU&#10;9Ay1El6wLep/oBotERyUfiChSXoiURFikQ4faXNfCasiF5La2bPo7v/Byne7D8h0kfPpfMyZEQ2t&#10;/PDj++Hn78Ovb2w+ixK11mVUeW+p1nevoCPjRLrO3oH87JiBm0qYjbpGhLZSoqAR0yBucvE0LMVl&#10;LoCs27dQUCex9RCBuhKboB8pwgid1rM/r0d1nkkKztLZJJ1wJik1SdN0OokdRHZ6bNH51woaFg45&#10;R9p+BBe7O+fDMCI7lYReBm51XUcH1OavABX2ERUtdHx9mr7n4bt1R29DcA3Fnkgh9Pain4sOFeBX&#10;zlqyVs7dl61AxVn9xpAw83Q8Dl6Ml/FkOqILXmbWlxlhJEHl3HPWH29879+tRb2pqFO/CgPXJGap&#10;I9GHqY4rIPtE/kerB39e3mPVw++9/A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ICLXe1QAAAAgB&#10;AAAPAAAAAAAAAAEAIAAAACIAAABkcnMvZG93bnJldi54bWxQSwECFAAUAAAACACHTuJA93ihch4C&#10;AAAmBAAADgAAAAAAAAABACAAAAAkAQAAZHJzL2Uyb0RvYy54bWxQSwUGAAAAAAYABgBZAQAAtAUA&#10;AAAA&#10;">
                <v:fill on="f" focussize="0,0"/>
                <v:stroke on="f"/>
                <v:imagedata o:title=""/>
                <o:lock v:ext="edit" aspectratio="f"/>
                <v:textbox>
                  <w:txbxContent>
                    <w:p w14:paraId="11E57D6F">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lang w:eastAsia="zh-CN"/>
                        </w:rPr>
                        <w:t>优质优价费用</w:t>
                      </w:r>
                      <w:r>
                        <w:rPr>
                          <w:rFonts w:hint="eastAsia" w:ascii="楷体_GB2312" w:hAnsi="宋体" w:eastAsia="楷体_GB2312" w:cs="楷体_GB2312"/>
                          <w:b/>
                          <w:bCs/>
                          <w:color w:val="000000"/>
                          <w:sz w:val="18"/>
                          <w:szCs w:val="18"/>
                        </w:rPr>
                        <w:t>的约定</w:t>
                      </w:r>
                    </w:p>
                  </w:txbxContent>
                </v:textbox>
              </v:shape>
            </w:pict>
          </mc:Fallback>
        </mc:AlternateContent>
      </w:r>
      <w:r>
        <w:rPr>
          <w:rFonts w:hint="eastAsia" w:ascii="仿宋" w:hAnsi="仿宋" w:eastAsia="仿宋" w:cs="仿宋"/>
          <w:color w:val="auto"/>
          <w:sz w:val="24"/>
          <w:szCs w:val="24"/>
          <w:highlight w:val="none"/>
          <w:lang w:eastAsia="zh-CN"/>
        </w:rPr>
        <w:t>合同双方当事人可在专用条款中约定优质优价费用，明确合同优质优价费用的计算方法。约定优质优价费用的，如果承包人实施、完成合同质量高于国家规定或合同约定的质量验收合格标准的，承包人有权向发包人提出并得到专用条款约定的优质优价费用。</w:t>
      </w:r>
    </w:p>
    <w:p w14:paraId="0481F717">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77</w:t>
      </w:r>
      <w:r>
        <w:rPr>
          <w:rFonts w:ascii="仿宋" w:hAnsi="仿宋" w:eastAsia="仿宋" w:cs="仿宋"/>
          <w:b/>
          <w:bCs/>
          <w:color w:val="auto"/>
          <w:highlight w:val="none"/>
          <w:lang w:eastAsia="zh-CN"/>
        </w:rPr>
        <w:t>.2</w:t>
      </w:r>
    </w:p>
    <w:p w14:paraId="327EEB2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3520" behindDoc="0" locked="0" layoutInCell="1" allowOverlap="1">
                <wp:simplePos x="0" y="0"/>
                <wp:positionH relativeFrom="column">
                  <wp:posOffset>-114300</wp:posOffset>
                </wp:positionH>
                <wp:positionV relativeFrom="paragraph">
                  <wp:posOffset>12065</wp:posOffset>
                </wp:positionV>
                <wp:extent cx="775335" cy="800100"/>
                <wp:effectExtent l="0" t="0" r="0" b="0"/>
                <wp:wrapNone/>
                <wp:docPr id="795" name="文本框 981"/>
                <wp:cNvGraphicFramePr/>
                <a:graphic xmlns:a="http://schemas.openxmlformats.org/drawingml/2006/main">
                  <a:graphicData uri="http://schemas.microsoft.com/office/word/2010/wordprocessingShape">
                    <wps:wsp>
                      <wps:cNvSpPr txBox="1">
                        <a:spLocks noChangeArrowheads="1"/>
                      </wps:cNvSpPr>
                      <wps:spPr bwMode="auto">
                        <a:xfrm>
                          <a:off x="0" y="0"/>
                          <a:ext cx="775335" cy="800100"/>
                        </a:xfrm>
                        <a:prstGeom prst="rect">
                          <a:avLst/>
                        </a:prstGeom>
                        <a:noFill/>
                        <a:ln>
                          <a:noFill/>
                        </a:ln>
                        <a:effectLst/>
                      </wps:spPr>
                      <wps:txbx>
                        <w:txbxContent>
                          <w:p w14:paraId="7AD4ACB5">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优质优价费用计提与支付</w:t>
                            </w:r>
                          </w:p>
                        </w:txbxContent>
                      </wps:txbx>
                      <wps:bodyPr rot="0" vert="horz" wrap="square" lIns="91440" tIns="45720" rIns="91440" bIns="45720" anchor="t" anchorCtr="0" upright="1">
                        <a:noAutofit/>
                      </wps:bodyPr>
                    </wps:wsp>
                  </a:graphicData>
                </a:graphic>
              </wp:anchor>
            </w:drawing>
          </mc:Choice>
          <mc:Fallback>
            <w:pict>
              <v:shape id="文本框 981" o:spid="_x0000_s1026" o:spt="202" type="#_x0000_t202" style="position:absolute;left:0pt;margin-left:-9pt;margin-top:0.95pt;height:63pt;width:61.05pt;z-index:251883520;mso-width-relative:page;mso-height-relative:page;" filled="f" stroked="f" coordsize="21600,21600" o:gfxdata="UEsDBAoAAAAAAIdO4kAAAAAAAAAAAAAAAAAEAAAAZHJzL1BLAwQUAAAACACHTuJAA4CpnNYAAAAJ&#10;AQAADwAAAGRycy9kb3ducmV2LnhtbE2PTU/DMAyG70j8h8hI3Lak04C1NN0BxBXE+JC4eY3XVjRO&#10;1WRr+fd4J7jZeqzXz1tuZ9+rE42xC2whWxpQxHVwHTcW3t+eFhtQMSE77AOThR+KsK0uL0osXJj4&#10;lU671CgJ4VighTalodA61i15jMswEAs7hNFjknVstBtxknDf65Uxt9pjx/KhxYEeWqq/d0dv4eP5&#10;8PW5Ni/No78ZpjAbzT7X1l5fZeYeVKI5/R3DWV/UoRKnfTiyi6q3sMg20iUJyEGduVlnoPYyrO5y&#10;0FWp/zeofgFQSwMEFAAAAAgAh07iQEaJd3IfAgAAJgQAAA4AAABkcnMvZTJvRG9jLnhtbK1TzY7T&#10;MBC+I/EOlu80bbelbdR0tWy1CGn5kRYewHWcxiLxmLHbpDwA+wacuHDnufocjJ1sKctlD1wij2f8&#10;zXzffFletnXF9gqdBpPx0WDImTIScm22Gf/08ebFnDPnhclFBUZl/KAcv1w9f7ZsbKrGUEKVK2QE&#10;Ylza2IyX3ts0SZwsVS3cAKwylCwAa+EpxG2So2gIva6S8XD4MmkAc4sglXN0u+6SvEfEpwBCUWip&#10;1iB3tTK+Q0VVCU+UXKmt46s4bVEo6d8XhVOeVRknpj5+qQmdN+GbrJYi3aKwpZb9COIpIzziVAtt&#10;qOkJai28YDvU/0DVWiI4KPxAQp10RKIixGI0fKTNXSmsilxIamdPorv/Byvf7T8g03nGZ4spZ0bU&#10;tPLj9/vjj1/Hn9/YYj4KEjXWpVR5Z6nWt6+gJeNEus7egvzsmIHrUpitukKEplQipxHjy+TsaYfj&#10;AsimeQs5dRI7DxGoLbAO+pEijNBpPYfTelTrmaTL2Wx6cUFDSkrNhyRXXF8i0ofHFp1/raBm4ZBx&#10;pO1HcLG/dZ5oUOlDSehl4EZXVXRAZf66oMLuRkUL9a8DlTB9x8O3m7aXZgP5gUghdPain4sOJeBX&#10;zhqyVsbdl51AxVn1xpAwi9FkErwYg8l0NqYAzzOb84wwkqAy7jnrjte+8+/Oot6W1KlbhYErErPQ&#10;kWgYtZuKWIeA7BP591YP/jyPY9Wf3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OAqZzWAAAA&#10;CQEAAA8AAAAAAAAAAQAgAAAAIgAAAGRycy9kb3ducmV2LnhtbFBLAQIUABQAAAAIAIdO4kBGiXdy&#10;HwIAACYEAAAOAAAAAAAAAAEAIAAAACUBAABkcnMvZTJvRG9jLnhtbFBLBQYAAAAABgAGAFkBAAC2&#10;BQAAAAA=&#10;">
                <v:fill on="f" focussize="0,0"/>
                <v:stroke on="f"/>
                <v:imagedata o:title=""/>
                <o:lock v:ext="edit" aspectratio="f"/>
                <v:textbox>
                  <w:txbxContent>
                    <w:p w14:paraId="7AD4ACB5">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优质优价费用计提与支付</w:t>
                      </w:r>
                    </w:p>
                  </w:txbxContent>
                </v:textbox>
              </v:shape>
            </w:pict>
          </mc:Fallback>
        </mc:AlternateContent>
      </w:r>
      <w:r>
        <w:rPr>
          <w:rFonts w:hint="eastAsia" w:ascii="仿宋" w:hAnsi="仿宋" w:eastAsia="仿宋" w:cs="仿宋"/>
          <w:color w:val="auto"/>
          <w:sz w:val="24"/>
          <w:szCs w:val="24"/>
          <w:highlight w:val="none"/>
          <w:lang w:eastAsia="zh-CN"/>
        </w:rPr>
        <w:t>除专用条款另有约定外，工程质量的国家级质量奖、省级质量奖、市级质量奖、其他质量奖项的优质优价费用，按照招标发包工程的中标通知书日期（直接发包工程按合同签订日期）同时期执行的省、市有关的工程优质费计费标准计算。当合同工程同时获得上述多个奖项的，工程优质费只按最高奖项的额度计算。工程勘察设计及其它优质优价费用的计算标准在专用条款中约定，每一奖项只按最高奖项的额度计算。优质优价费用计入竣工结算文件中，与竣工结算款一并支付。在竣工结算后且在专用条款约定时间内获得优质奖项的，发包人应在获得奖项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天内支付；超过约定时间后获得的，发包人有权不予支付。</w:t>
      </w:r>
    </w:p>
    <w:p w14:paraId="13840968">
      <w:pPr>
        <w:pStyle w:val="2"/>
        <w:tabs>
          <w:tab w:val="left" w:pos="3480"/>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51734BBA">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7" w:name="_Toc18127"/>
      <w:r>
        <w:rPr>
          <w:rFonts w:hint="eastAsia" w:ascii="仿宋" w:hAnsi="仿宋" w:eastAsia="仿宋" w:cs="仿宋"/>
          <w:bCs w:val="0"/>
          <w:color w:val="auto"/>
          <w:sz w:val="24"/>
          <w:szCs w:val="24"/>
          <w:highlight w:val="none"/>
          <w:lang w:eastAsia="zh-CN"/>
        </w:rPr>
        <w:t>★78后继法律变化引起的价格调整</w:t>
      </w:r>
      <w:bookmarkEnd w:id="377"/>
    </w:p>
    <w:p w14:paraId="2141D086">
      <w:pPr>
        <w:rPr>
          <w:rFonts w:hint="eastAsia" w:ascii="仿宋" w:hAnsi="仿宋" w:eastAsia="仿宋" w:cs="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57600" behindDoc="0" locked="0" layoutInCell="1" allowOverlap="1">
                <wp:simplePos x="0" y="0"/>
                <wp:positionH relativeFrom="column">
                  <wp:posOffset>-133350</wp:posOffset>
                </wp:positionH>
                <wp:positionV relativeFrom="paragraph">
                  <wp:posOffset>273685</wp:posOffset>
                </wp:positionV>
                <wp:extent cx="812800" cy="608330"/>
                <wp:effectExtent l="0" t="0" r="0" b="0"/>
                <wp:wrapNone/>
                <wp:docPr id="796" name="文本框 986"/>
                <wp:cNvGraphicFramePr/>
                <a:graphic xmlns:a="http://schemas.openxmlformats.org/drawingml/2006/main">
                  <a:graphicData uri="http://schemas.microsoft.com/office/word/2010/wordprocessingShape">
                    <wps:wsp>
                      <wps:cNvSpPr txBox="1">
                        <a:spLocks noChangeArrowheads="1"/>
                      </wps:cNvSpPr>
                      <wps:spPr bwMode="auto">
                        <a:xfrm>
                          <a:off x="0" y="0"/>
                          <a:ext cx="812800" cy="608330"/>
                        </a:xfrm>
                        <a:prstGeom prst="rect">
                          <a:avLst/>
                        </a:prstGeom>
                        <a:noFill/>
                        <a:ln>
                          <a:noFill/>
                        </a:ln>
                        <a:effectLst/>
                      </wps:spPr>
                      <wps:txbx>
                        <w:txbxContent>
                          <w:p w14:paraId="7F659343">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后继法律变化的价款调整</w:t>
                            </w:r>
                          </w:p>
                        </w:txbxContent>
                      </wps:txbx>
                      <wps:bodyPr rot="0" vert="horz" wrap="square" lIns="91440" tIns="45720" rIns="91440" bIns="45720" anchor="t" anchorCtr="0" upright="1">
                        <a:noAutofit/>
                      </wps:bodyPr>
                    </wps:wsp>
                  </a:graphicData>
                </a:graphic>
              </wp:anchor>
            </w:drawing>
          </mc:Choice>
          <mc:Fallback>
            <w:pict>
              <v:shape id="文本框 986" o:spid="_x0000_s1026" o:spt="202" type="#_x0000_t202" style="position:absolute;left:0pt;margin-left:-10.5pt;margin-top:21.55pt;height:47.9pt;width:64pt;z-index:252057600;mso-width-relative:page;mso-height-relative:page;" filled="f" stroked="f" coordsize="21600,21600" o:gfxdata="UEsDBAoAAAAAAIdO4kAAAAAAAAAAAAAAAAAEAAAAZHJzL1BLAwQUAAAACACHTuJAuhQMhNcAAAAK&#10;AQAADwAAAGRycy9kb3ducmV2LnhtbE2PT0/DMAzF70h8h8hI3Lak24CtNN0BxBXE+CNx8xqvrWic&#10;qsnW8u3xTnCz/Z6ef6/YTr5TJxpiG9hCNjegiKvgWq4tvL89zdagYkJ22AUmCz8UYVteXhSYuzDy&#10;K512qVYSwjFHC01Kfa51rBryGOehJxbtEAaPSdah1m7AUcJ9pxfG3GqPLcuHBnt6aKj63h29hY/n&#10;w9fnyrzUj/6mH8NkNPuNtvb6KjP3oBJN6c8MZ3xBh1KY9uHILqrOwmyRSZdkYbXMQJ0N5k4OexmW&#10;6w3ostD/K5S/UEsDBBQAAAAIAIdO4kADCihTIAIAACYEAAAOAAAAZHJzL2Uyb0RvYy54bWytU0tu&#10;2zAQ3RfoHQjua8mO69iC5SCNkaJA+gHSHoCmKIuoxGGHtCX3AM0Nuuqm+54r5+iQUlw33WTRDUFy&#10;hm/mvXlcXnRNzfYKnQaT8/Eo5UwZCYU225x/+nj9Ys6Z88IUogajcn5Qjl+snj9btjZTE6igLhQy&#10;AjEua23OK+9tliROVqoRbgRWGQqWgI3wdMRtUqBoCb2pk0mazpIWsLAIUjlHt+s+yAdEfAoglKWW&#10;ag1y1yjje1RUtfBEyVXaOr6K3Zalkv59WTrlWZ1zYurjSkVovwlrslqKbIvCVloOLYintPCIUyO0&#10;oaJHqLXwgu1Q/wPVaIngoPQjCU3SE4mKEItx+kib20pYFbmQ1M4eRXf/D1a+239Apoucny9mnBnR&#10;0Mjvv9/d//h1//MbW8xnQaLWuowyby3l+u4VdGScSNfZG5CfHTNwVQmzVZeI0FZKFNTiOLxMTp72&#10;OC6AbNq3UFAlsfMQgboSm6AfKcIIncZzOI5HdZ5JupyPJ/OUIpJCs3R+dhbHl4js4bFF518raFjY&#10;5Bxp+hFc7G+cD82I7CEl1DJwres6OqA2f11QYn+jooWG14FK6L7n4btNN0izgeJApBB6e9Hnok0F&#10;+JWzlqyVc/dlJ1BxVr8xJMxiPJ0GL8bD9OX5hA54GtmcRoSRBJVzz1m/vfK9f3cW9baiSv0oDFyS&#10;mKWOREOrfVfDCMg+kf9g9eDP03PM+vO9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uhQMhNcA&#10;AAAKAQAADwAAAAAAAAABACAAAAAiAAAAZHJzL2Rvd25yZXYueG1sUEsBAhQAFAAAAAgAh07iQAMK&#10;KFMgAgAAJgQAAA4AAAAAAAAAAQAgAAAAJgEAAGRycy9lMm9Eb2MueG1sUEsFBgAAAAAGAAYAWQEA&#10;ALgFAAAAAA==&#10;">
                <v:fill on="f" focussize="0,0"/>
                <v:stroke on="f"/>
                <v:imagedata o:title=""/>
                <o:lock v:ext="edit" aspectratio="f"/>
                <v:textbox>
                  <w:txbxContent>
                    <w:p w14:paraId="7F659343">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后继法律变化的价款调整</w:t>
                      </w:r>
                    </w:p>
                  </w:txbxContent>
                </v:textbox>
              </v:shape>
            </w:pict>
          </mc:Fallback>
        </mc:AlternateContent>
      </w:r>
      <w:r>
        <w:rPr>
          <w:rFonts w:hint="eastAsia" w:ascii="仿宋" w:hAnsi="仿宋" w:eastAsia="仿宋" w:cs="仿宋"/>
          <w:b/>
          <w:bCs/>
          <w:color w:val="auto"/>
          <w:highlight w:val="none"/>
          <w:lang w:eastAsia="zh-CN"/>
        </w:rPr>
        <w:t>78</w:t>
      </w:r>
      <w:r>
        <w:rPr>
          <w:rFonts w:ascii="仿宋" w:hAnsi="仿宋" w:eastAsia="仿宋" w:cs="仿宋"/>
          <w:b/>
          <w:bCs/>
          <w:color w:val="auto"/>
          <w:highlight w:val="none"/>
          <w:lang w:eastAsia="zh-CN"/>
        </w:rPr>
        <w:t>.1</w:t>
      </w:r>
    </w:p>
    <w:p w14:paraId="7E950C9C">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合同履行期间，出现国家或省颁布的法律和政策在合同工程基准日期后发生变化，且因执行上述法律和政策引起除第82条约定以外的合同价格增减事项的，合同双方当事人应调整合同价格。</w:t>
      </w:r>
    </w:p>
    <w:p w14:paraId="55AD841C">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78</w:t>
      </w:r>
      <w:r>
        <w:rPr>
          <w:rFonts w:ascii="仿宋" w:hAnsi="仿宋" w:eastAsia="仿宋" w:cs="仿宋"/>
          <w:b/>
          <w:bCs/>
          <w:color w:val="auto"/>
          <w:highlight w:val="none"/>
          <w:lang w:eastAsia="zh-CN"/>
        </w:rPr>
        <w:t>.2</w:t>
      </w:r>
    </w:p>
    <w:p w14:paraId="3DB5D5D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4544" behindDoc="0" locked="0" layoutInCell="1" allowOverlap="1">
                <wp:simplePos x="0" y="0"/>
                <wp:positionH relativeFrom="column">
                  <wp:posOffset>-114300</wp:posOffset>
                </wp:positionH>
                <wp:positionV relativeFrom="paragraph">
                  <wp:posOffset>15875</wp:posOffset>
                </wp:positionV>
                <wp:extent cx="775970" cy="417830"/>
                <wp:effectExtent l="0" t="0" r="0" b="0"/>
                <wp:wrapNone/>
                <wp:docPr id="797" name="文本框 987"/>
                <wp:cNvGraphicFramePr/>
                <a:graphic xmlns:a="http://schemas.openxmlformats.org/drawingml/2006/main">
                  <a:graphicData uri="http://schemas.microsoft.com/office/word/2010/wordprocessingShape">
                    <wps:wsp>
                      <wps:cNvSpPr txBox="1">
                        <a:spLocks noChangeArrowheads="1"/>
                      </wps:cNvSpPr>
                      <wps:spPr bwMode="auto">
                        <a:xfrm>
                          <a:off x="0" y="0"/>
                          <a:ext cx="775970" cy="417830"/>
                        </a:xfrm>
                        <a:prstGeom prst="rect">
                          <a:avLst/>
                        </a:prstGeom>
                        <a:noFill/>
                        <a:ln>
                          <a:noFill/>
                        </a:ln>
                        <a:effectLst/>
                      </wps:spPr>
                      <wps:txbx>
                        <w:txbxContent>
                          <w:p w14:paraId="54BA4865">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调整价款的方法</w:t>
                            </w:r>
                          </w:p>
                        </w:txbxContent>
                      </wps:txbx>
                      <wps:bodyPr rot="0" vert="horz" wrap="square" lIns="91440" tIns="45720" rIns="91440" bIns="45720" anchor="t" anchorCtr="0" upright="1">
                        <a:noAutofit/>
                      </wps:bodyPr>
                    </wps:wsp>
                  </a:graphicData>
                </a:graphic>
              </wp:anchor>
            </w:drawing>
          </mc:Choice>
          <mc:Fallback>
            <w:pict>
              <v:shape id="文本框 987" o:spid="_x0000_s1026" o:spt="202" type="#_x0000_t202" style="position:absolute;left:0pt;margin-left:-9pt;margin-top:1.25pt;height:32.9pt;width:61.1pt;z-index:251884544;mso-width-relative:page;mso-height-relative:page;" filled="f" stroked="f" coordsize="21600,21600" o:gfxdata="UEsDBAoAAAAAAIdO4kAAAAAAAAAAAAAAAAAEAAAAZHJzL1BLAwQUAAAACACHTuJAYJevxtYAAAAI&#10;AQAADwAAAGRycy9kb3ducmV2LnhtbE2PzU7DMBCE70h9B2uRuLV2QluFkE0PRVxB9AeJmxtvk4h4&#10;HcVuE94e9wTH0Yxmvik2k+3ElQbfOkZIFgoEceVMyzXCYf86z0D4oNnozjEh/JCHTTm7K3Ru3Mgf&#10;dN2FWsQS9rlGaELocyl91ZDVfuF64uid3WB1iHKopRn0GMttJ1Ol1tLqluNCo3vaNlR97y4W4fh2&#10;/vpcqvf6xa760U1Ksn2SiA/3iXoGEWgKf2G44Ud0KCPTyV3YeNEhzJMsfgkI6QrEzVfLFMQJYZ09&#10;giwL+f9A+QtQSwMEFAAAAAgAh07iQGx7jkgfAgAAJgQAAA4AAABkcnMvZTJvRG9jLnhtbK1TzY7T&#10;MBC+I/EOlu80bemSNmq6WrZahLT8SAsP4DpOY5F4zNhtUh4A3oATF+48V5+DsZMtZbnsgYtle8bf&#10;zPfN5+Vl19Rsr9BpMDmfjMacKSOh0Gab848fbp7NOXNemELUYFTOD8rxy9XTJ8vWZmoKFdSFQkYg&#10;xmWtzXnlvc2SxMlKNcKNwCpDwRKwEZ6OuE0KFC2hN3UyHY9fJC1gYRGkco5u132QD4j4GEAoSy3V&#10;GuSuUcb3qKhq4YmSq7R1fBW7LUsl/buydMqzOufE1MeVitB+E9ZktRTZFoWttBxaEI9p4QGnRmhD&#10;RU9Qa+EF26H+B6rREsFB6UcSmqQnEhUhFpPxA23uKmFV5EJSO3sS3f0/WPl2/x6ZLnKeLlLOjGho&#10;5Mfv344/fh1/fmWLeRokaq3LKPPOUq7vXkJHxol0nb0F+ckxA9eVMFt1hQhtpURBLU7Cy+TsaY/j&#10;AsimfQMFVRI7DxGoK7EJ+pEijNBpPIfTeFTnmaTLNL1YpBSRFJpN0vnzOL5EZPePLTr/SkHDwibn&#10;SNOP4GJ/63xoRmT3KaGWgRtd19EBtfnrghL7GxUtNLwOVEL3PQ/fbbpBmg0UByKF0NuLPhdtKsAv&#10;nLVkrZy7zzuBirP6tSFhFpPZLHgxHmYX6ZQOeB7ZnEeEkQSVc89Zv732vX93FvW2okr9KAxckZil&#10;jkRDq31XwwjIPpH/YPXgz/NzzPrzvV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CXr8bWAAAA&#10;CAEAAA8AAAAAAAAAAQAgAAAAIgAAAGRycy9kb3ducmV2LnhtbFBLAQIUABQAAAAIAIdO4kBse45I&#10;HwIAACYEAAAOAAAAAAAAAAEAIAAAACUBAABkcnMvZTJvRG9jLnhtbFBLBQYAAAAABgAGAFkBAAC2&#10;BQAAAAA=&#10;">
                <v:fill on="f" focussize="0,0"/>
                <v:stroke on="f"/>
                <v:imagedata o:title=""/>
                <o:lock v:ext="edit" aspectratio="f"/>
                <v:textbox>
                  <w:txbxContent>
                    <w:p w14:paraId="54BA4865">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调整价款的方法</w:t>
                      </w:r>
                    </w:p>
                  </w:txbxContent>
                </v:textbox>
              </v:shape>
            </w:pict>
          </mc:Fallback>
        </mc:AlternateContent>
      </w:r>
      <w:r>
        <w:rPr>
          <w:rFonts w:hint="eastAsia" w:ascii="仿宋" w:hAnsi="仿宋" w:eastAsia="仿宋" w:cs="仿宋"/>
          <w:color w:val="auto"/>
          <w:sz w:val="24"/>
          <w:szCs w:val="24"/>
          <w:highlight w:val="none"/>
          <w:lang w:eastAsia="zh-CN"/>
        </w:rPr>
        <w:t>发生第78</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款情况的，应根据合同工程实际情况，按照上述法律和政策规定计算调整的合同价格。</w:t>
      </w:r>
    </w:p>
    <w:p w14:paraId="0F04DCB4">
      <w:pPr>
        <w:tabs>
          <w:tab w:val="left" w:pos="1620"/>
        </w:tabs>
        <w:spacing w:line="360" w:lineRule="auto"/>
        <w:rPr>
          <w:rFonts w:hint="eastAsia" w:ascii="仿宋" w:hAnsi="仿宋" w:eastAsia="仿宋"/>
          <w:b/>
          <w:bCs/>
          <w:color w:val="auto"/>
          <w:highlight w:val="none"/>
          <w:u w:val="single"/>
          <w:lang w:eastAsia="zh-CN"/>
        </w:rPr>
      </w:pPr>
    </w:p>
    <w:p w14:paraId="0931241D">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8" w:name="_Toc17477"/>
      <w:r>
        <w:rPr>
          <w:rFonts w:hint="eastAsia" w:ascii="仿宋" w:hAnsi="仿宋" w:eastAsia="仿宋" w:cs="仿宋"/>
          <w:bCs w:val="0"/>
          <w:color w:val="auto"/>
          <w:sz w:val="24"/>
          <w:szCs w:val="24"/>
          <w:highlight w:val="none"/>
          <w:lang w:eastAsia="zh-CN"/>
        </w:rPr>
        <w:t>★79 可调价变更定价</w:t>
      </w:r>
      <w:bookmarkEnd w:id="378"/>
    </w:p>
    <w:p w14:paraId="336171D9">
      <w:pPr>
        <w:pStyle w:val="2"/>
        <w:adjustRightInd w:val="0"/>
        <w:snapToGrid w:val="0"/>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109824" behindDoc="0" locked="0" layoutInCell="1" allowOverlap="1">
                <wp:simplePos x="0" y="0"/>
                <wp:positionH relativeFrom="column">
                  <wp:posOffset>-133350</wp:posOffset>
                </wp:positionH>
                <wp:positionV relativeFrom="paragraph">
                  <wp:posOffset>266065</wp:posOffset>
                </wp:positionV>
                <wp:extent cx="781050" cy="482600"/>
                <wp:effectExtent l="0" t="0" r="0" b="0"/>
                <wp:wrapNone/>
                <wp:docPr id="798" name="文本框 995"/>
                <wp:cNvGraphicFramePr/>
                <a:graphic xmlns:a="http://schemas.openxmlformats.org/drawingml/2006/main">
                  <a:graphicData uri="http://schemas.microsoft.com/office/word/2010/wordprocessingShape">
                    <wps:wsp>
                      <wps:cNvSpPr txBox="1">
                        <a:spLocks noChangeArrowheads="1"/>
                      </wps:cNvSpPr>
                      <wps:spPr bwMode="auto">
                        <a:xfrm>
                          <a:off x="0" y="0"/>
                          <a:ext cx="781050" cy="482600"/>
                        </a:xfrm>
                        <a:prstGeom prst="rect">
                          <a:avLst/>
                        </a:prstGeom>
                        <a:noFill/>
                        <a:ln>
                          <a:noFill/>
                        </a:ln>
                        <a:effectLst/>
                      </wps:spPr>
                      <wps:txbx>
                        <w:txbxContent>
                          <w:p w14:paraId="4BBB2ADE">
                            <w:pPr>
                              <w:pStyle w:val="28"/>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可调价工程变更的价款调整</w:t>
                            </w:r>
                          </w:p>
                        </w:txbxContent>
                      </wps:txbx>
                      <wps:bodyPr rot="0" vert="horz" wrap="square" lIns="91440" tIns="45720" rIns="91440" bIns="45720" anchor="t" anchorCtr="0" upright="1">
                        <a:noAutofit/>
                      </wps:bodyPr>
                    </wps:wsp>
                  </a:graphicData>
                </a:graphic>
              </wp:anchor>
            </w:drawing>
          </mc:Choice>
          <mc:Fallback>
            <w:pict>
              <v:shape id="文本框 995" o:spid="_x0000_s1026" o:spt="202" type="#_x0000_t202" style="position:absolute;left:0pt;margin-left:-10.5pt;margin-top:20.95pt;height:38pt;width:61.5pt;z-index:252109824;mso-width-relative:page;mso-height-relative:page;" filled="f" stroked="f" coordsize="21600,21600" o:gfxdata="UEsDBAoAAAAAAIdO4kAAAAAAAAAAAAAAAAAEAAAAZHJzL1BLAwQUAAAACACHTuJA6I74NNcAAAAK&#10;AQAADwAAAGRycy9kb3ducmV2LnhtbE2PQU/DMAyF70j8h8hI3LYk1YC1NN0BxBXEBki7ZY3XVjRO&#10;1WRr+fd4J7jZfk/P3ys3s+/FGcfYBTKglwoEUh1cR42Bj93LYg0iJkvO9oHQwA9G2FTXV6UtXJjo&#10;Hc/b1AgOoVhYA21KQyFlrFv0Ni7DgMTaMYzeJl7HRrrRThzue5kpdS+97Yg/tHbApxbr7+3JG/h8&#10;Pe6/VuqtefZ3wxRmJcnn0pjbG60eQSSc058ZLviMDhUzHcKJXBS9gUWmuUsysNI5iItBZXw48KAf&#10;cpBVKf9XqH4BUEsDBBQAAAAIAIdO4kAkQgNaHwIAACYEAAAOAAAAZHJzL2Uyb0RvYy54bWytU82O&#10;0zAQviPxDpbvNGnVbrdR09Wy1SKk5UdaeADXcRqLxGPGbpPyAPAGnLhw57n6HIydbCnLZQ9cLNsz&#10;/ma+bz4vr7qmZnuFToPJ+XiUcqaMhEKbbc4/frh9ccmZ88IUogajcn5Qjl+tnj9btjZTE6igLhQy&#10;AjEua23OK+9tliROVqoRbgRWGQqWgI3wdMRtUqBoCb2pk0maXiQtYGERpHKObtd9kA+I+BRAKEst&#10;1RrkrlHG96ioauGJkqu0dXwVuy1LJf27snTKszrnxNTHlYrQfhPWZLUU2RaFrbQcWhBPaeERp0Zo&#10;Q0VPUGvhBduh/geq0RLBQelHEpqkJxIVIRbj9JE295WwKnIhqZ09ie7+H6x8u3+PTBc5ny9o8EY0&#10;NPLj92/HH7+OP7+yxWIWJGqtyyjz3lKu715CR8aJdJ29A/nJMQM3lTBbdY0IbaVEQS2Ow8vk7GmP&#10;4wLIpn0DBVUSOw8RqCuxCfqRIozQaTyH03hU55mky/nlOJ1RRFJoejm5SOP4EpE9PLbo/CsFDQub&#10;nCNNP4KL/Z3zoRmRPaSEWgZudV1HB9TmrwtK7G9UtNDwOlAJ3fc8fLfpBmk2UByIFEJvL/pctKkA&#10;v3DWkrVy7j7vBCrO6teGhFmMp9PgxXiYzuYTOuB5ZHMeEUYSVM49Z/32xvf+3VnU24oq9aMwcE1i&#10;ljoSDa32XQ0jIPtE/oPVgz/PzzHrz/d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ojvg01wAA&#10;AAoBAAAPAAAAAAAAAAEAIAAAACIAAABkcnMvZG93bnJldi54bWxQSwECFAAUAAAACACHTuJAJEID&#10;Wh8CAAAmBAAADgAAAAAAAAABACAAAAAmAQAAZHJzL2Uyb0RvYy54bWxQSwUGAAAAAAYABgBZAQAA&#10;twUAAAAA&#10;">
                <v:fill on="f" focussize="0,0"/>
                <v:stroke on="f"/>
                <v:imagedata o:title=""/>
                <o:lock v:ext="edit" aspectratio="f"/>
                <v:textbox>
                  <w:txbxContent>
                    <w:p w14:paraId="4BBB2ADE">
                      <w:pPr>
                        <w:pStyle w:val="28"/>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可调价工程变更的价款调整</w:t>
                      </w:r>
                    </w:p>
                  </w:txbxContent>
                </v:textbox>
              </v:shape>
            </w:pict>
          </mc:Fallback>
        </mc:AlternateContent>
      </w:r>
      <w:r>
        <w:rPr>
          <w:rFonts w:hint="eastAsia" w:ascii="仿宋" w:hAnsi="仿宋" w:eastAsia="仿宋" w:cs="仿宋"/>
          <w:b/>
          <w:bCs/>
          <w:color w:val="auto"/>
          <w:sz w:val="24"/>
          <w:szCs w:val="24"/>
          <w:highlight w:val="none"/>
          <w:lang w:eastAsia="zh-CN"/>
        </w:rPr>
        <w:t>79</w:t>
      </w:r>
      <w:r>
        <w:rPr>
          <w:rFonts w:ascii="仿宋" w:hAnsi="仿宋" w:eastAsia="仿宋" w:cs="仿宋"/>
          <w:b/>
          <w:bCs/>
          <w:color w:val="auto"/>
          <w:sz w:val="24"/>
          <w:szCs w:val="24"/>
          <w:highlight w:val="none"/>
          <w:lang w:eastAsia="zh-CN"/>
        </w:rPr>
        <w:t>.1</w:t>
      </w:r>
    </w:p>
    <w:p w14:paraId="14F96002">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合同履行期间，出现第63条工程变更事项且符合第69.3款可调价条件的，合同双方当事人应调整合同价格。</w:t>
      </w:r>
    </w:p>
    <w:p w14:paraId="783A3CF9">
      <w:pPr>
        <w:spacing w:line="360" w:lineRule="auto"/>
        <w:rPr>
          <w:rFonts w:hint="eastAsia" w:ascii="仿宋" w:hAnsi="仿宋" w:eastAsia="仿宋" w:cs="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108800" behindDoc="0" locked="0" layoutInCell="1" allowOverlap="1">
                <wp:simplePos x="0" y="0"/>
                <wp:positionH relativeFrom="column">
                  <wp:posOffset>-114300</wp:posOffset>
                </wp:positionH>
                <wp:positionV relativeFrom="paragraph">
                  <wp:posOffset>302895</wp:posOffset>
                </wp:positionV>
                <wp:extent cx="823595" cy="750570"/>
                <wp:effectExtent l="0" t="0" r="0" b="0"/>
                <wp:wrapNone/>
                <wp:docPr id="799" name="文本框 1328"/>
                <wp:cNvGraphicFramePr/>
                <a:graphic xmlns:a="http://schemas.openxmlformats.org/drawingml/2006/main">
                  <a:graphicData uri="http://schemas.microsoft.com/office/word/2010/wordprocessingShape">
                    <wps:wsp>
                      <wps:cNvSpPr txBox="1">
                        <a:spLocks noChangeArrowheads="1"/>
                      </wps:cNvSpPr>
                      <wps:spPr bwMode="auto">
                        <a:xfrm>
                          <a:off x="0" y="0"/>
                          <a:ext cx="823595" cy="750570"/>
                        </a:xfrm>
                        <a:prstGeom prst="rect">
                          <a:avLst/>
                        </a:prstGeom>
                        <a:noFill/>
                        <a:ln>
                          <a:noFill/>
                        </a:ln>
                        <a:effectLst/>
                      </wps:spPr>
                      <wps:txbx>
                        <w:txbxContent>
                          <w:p w14:paraId="5BBA651D">
                            <w:pPr>
                              <w:pStyle w:val="28"/>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可调价变更工作项目的定价</w:t>
                            </w:r>
                          </w:p>
                        </w:txbxContent>
                      </wps:txbx>
                      <wps:bodyPr rot="0" vert="horz" wrap="square" lIns="91440" tIns="45720" rIns="91440" bIns="45720" anchor="t" anchorCtr="0" upright="1">
                        <a:noAutofit/>
                      </wps:bodyPr>
                    </wps:wsp>
                  </a:graphicData>
                </a:graphic>
              </wp:anchor>
            </w:drawing>
          </mc:Choice>
          <mc:Fallback>
            <w:pict>
              <v:shape id="文本框 1328" o:spid="_x0000_s1026" o:spt="202" type="#_x0000_t202" style="position:absolute;left:0pt;margin-left:-9pt;margin-top:23.85pt;height:59.1pt;width:64.85pt;z-index:252108800;mso-width-relative:page;mso-height-relative:page;" filled="f" stroked="f" coordsize="21600,21600" o:gfxdata="UEsDBAoAAAAAAIdO4kAAAAAAAAAAAAAAAAAEAAAAZHJzL1BLAwQUAAAACACHTuJAXYDoddYAAAAK&#10;AQAADwAAAGRycy9kb3ducmV2LnhtbE2PzU7DMBCE70h9B2uRuLW2UX9DnB6KuIIotBI3N94mEfE6&#10;it0mvD3bE9xmtKPZb/Lt6FtxxT42gQzomQKBVAbXUGXg8+NlugYRkyVn20Bo4AcjbIvJXW4zFwZ6&#10;x+s+VYJLKGbWQJ1Sl0kZyxq9jbPQIfHtHHpvE9u+kq63A5f7Vj4qtZTeNsQfatvhrsbye3/xBg6v&#10;56/jXL1Vz37RDWFUkvxGGvNwr9UTiIRj+gvDDZ/RoWCmU7iQi6I1MNVr3pIMzFcrELeA1ixOLJaL&#10;Dcgil/8nFL9QSwMEFAAAAAgAh07iQLDe+mMhAgAAJwQAAA4AAABkcnMvZTJvRG9jLnhtbK1TzY7T&#10;MBC+I/EOlu80bbelbdR0tWy1CGn5kRYewHWcxiLxmLHbpDwA+wacuHDnufocjJ1sKctlD1ws2zP+&#10;Zr5vPi8v27pie4VOg8n4aDDkTBkJuTbbjH/6ePNizpnzwuSiAqMyflCOX66eP1s2NlVjKKHKFTIC&#10;MS5tbMZL722aJE6WqhZuAFYZChaAtfB0xG2So2gIva6S8XD4MmkAc4sglXN0u+6CvEfEpwBCUWip&#10;1iB3tTK+Q0VVCU+UXKmt46vYbVEo6d8XhVOeVRknpj6uVIT2m7Amq6VItyhsqWXfgnhKC4841UIb&#10;KnqCWgsv2A71P1C1lggOCj+QUCcdkagIsRgNH2lzVwqrIheS2tmT6O7/wcp3+w/IdJ7x2WLBmRE1&#10;jfz4/f7449fx5zc2uhjPg0aNdSml3llK9u0raMk5ka+ztyA/O2bguhRmq64QoSmVyKnHUXiZnD3t&#10;cFwA2TRvIadSYuchArUF1kFAkoQROs3ncJqPaj2TdDkfX0wXU84khWbT4XQW55eI9OGxRedfK6hZ&#10;2GQcafwRXOxvnQ/NiPQhJdQycKOrKlqgMn9dUGJ3o6KH+teBSui+4+HbTdtLs4H8QKQQOn/R76JN&#10;CfiVs4a8lXH3ZSdQcVa9MSTMYjSZBDPGw2Q6G9MBzyOb84gwkqAy7jnrtte+M/DOot6WVKkbhYEr&#10;ErPQkWhoteuqHwH5J/LvvR4Men6OWX/+9+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XYDoddYA&#10;AAAKAQAADwAAAAAAAAABACAAAAAiAAAAZHJzL2Rvd25yZXYueG1sUEsBAhQAFAAAAAgAh07iQLDe&#10;+mMhAgAAJwQAAA4AAAAAAAAAAQAgAAAAJQEAAGRycy9lMm9Eb2MueG1sUEsFBgAAAAAGAAYAWQEA&#10;ALgFAAAAAA==&#10;">
                <v:fill on="f" focussize="0,0"/>
                <v:stroke on="f"/>
                <v:imagedata o:title=""/>
                <o:lock v:ext="edit" aspectratio="f"/>
                <v:textbox>
                  <w:txbxContent>
                    <w:p w14:paraId="5BBA651D">
                      <w:pPr>
                        <w:pStyle w:val="28"/>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可调价变更工作项目的定价</w:t>
                      </w:r>
                    </w:p>
                  </w:txbxContent>
                </v:textbox>
              </v:shape>
            </w:pict>
          </mc:Fallback>
        </mc:AlternateContent>
      </w:r>
      <w:r>
        <w:rPr>
          <w:rFonts w:hint="eastAsia" w:ascii="仿宋" w:hAnsi="仿宋" w:eastAsia="仿宋" w:cs="仿宋"/>
          <w:b/>
          <w:bCs/>
          <w:color w:val="auto"/>
          <w:highlight w:val="none"/>
          <w:lang w:eastAsia="zh-CN"/>
        </w:rPr>
        <w:t>79.2</w:t>
      </w:r>
    </w:p>
    <w:p w14:paraId="00BC6D05">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除专用条款另有约定外，非承包人原因，工程勘察、工程设计、BIM技术应用、设备及工器具购置等总承包工作内容发生变更，其增加或减少的工作项目单价按下列方法确定：</w:t>
      </w:r>
    </w:p>
    <w:p w14:paraId="7E0E9A8C">
      <w:pPr>
        <w:pStyle w:val="2"/>
        <w:widowControl w:val="0"/>
        <w:numPr>
          <w:ilvl w:val="1"/>
          <w:numId w:val="21"/>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合同价格清单中已有相同清单项目的，按照相同清单项目的单价确定</w:t>
      </w:r>
      <w:r>
        <w:rPr>
          <w:rFonts w:ascii="仿宋" w:hAnsi="仿宋" w:eastAsia="仿宋" w:cs="仿宋"/>
          <w:color w:val="auto"/>
          <w:sz w:val="24"/>
          <w:szCs w:val="24"/>
          <w:highlight w:val="none"/>
          <w:lang w:eastAsia="zh-CN"/>
        </w:rPr>
        <w:t>;</w:t>
      </w:r>
    </w:p>
    <w:p w14:paraId="071C33DC">
      <w:pPr>
        <w:pStyle w:val="2"/>
        <w:widowControl w:val="0"/>
        <w:numPr>
          <w:ilvl w:val="1"/>
          <w:numId w:val="21"/>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合同价格清单中没有相同、只有类似清单项目的，参照类似清单项目的单价调整确定</w:t>
      </w:r>
      <w:r>
        <w:rPr>
          <w:rFonts w:ascii="仿宋" w:hAnsi="仿宋" w:eastAsia="仿宋" w:cs="仿宋"/>
          <w:color w:val="auto"/>
          <w:sz w:val="24"/>
          <w:szCs w:val="24"/>
          <w:highlight w:val="none"/>
          <w:lang w:eastAsia="zh-CN"/>
        </w:rPr>
        <w:t>;</w:t>
      </w:r>
    </w:p>
    <w:p w14:paraId="7275FB10">
      <w:pPr>
        <w:pStyle w:val="2"/>
        <w:widowControl w:val="0"/>
        <w:numPr>
          <w:ilvl w:val="1"/>
          <w:numId w:val="21"/>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合同价格清单中没有相同也没有类似清单项目的，其计价依据、计量规则和计价办法、由合同双方当事人在专用条款中约定。可调价变更工作项目应包含合理的利润，专用条款约定的计价依据、计价办法中不含利润的，可按通用条款约定的利润率计算利润；</w:t>
      </w:r>
    </w:p>
    <w:p w14:paraId="6709780A">
      <w:pPr>
        <w:pStyle w:val="2"/>
        <w:widowControl w:val="0"/>
        <w:numPr>
          <w:ilvl w:val="1"/>
          <w:numId w:val="21"/>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关于“类似清单项目”的认定原则在合同专用条款中约定。</w:t>
      </w:r>
    </w:p>
    <w:p w14:paraId="7488BF86">
      <w:pPr>
        <w:spacing w:line="360" w:lineRule="auto"/>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79.3</w:t>
      </w:r>
    </w:p>
    <w:p w14:paraId="795273F1">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5568" behindDoc="0" locked="0" layoutInCell="1" allowOverlap="1">
                <wp:simplePos x="0" y="0"/>
                <wp:positionH relativeFrom="column">
                  <wp:posOffset>-114300</wp:posOffset>
                </wp:positionH>
                <wp:positionV relativeFrom="paragraph">
                  <wp:posOffset>6350</wp:posOffset>
                </wp:positionV>
                <wp:extent cx="831850" cy="563245"/>
                <wp:effectExtent l="0" t="0" r="0" b="0"/>
                <wp:wrapNone/>
                <wp:docPr id="800" name="文本框 996"/>
                <wp:cNvGraphicFramePr/>
                <a:graphic xmlns:a="http://schemas.openxmlformats.org/drawingml/2006/main">
                  <a:graphicData uri="http://schemas.microsoft.com/office/word/2010/wordprocessingShape">
                    <wps:wsp>
                      <wps:cNvSpPr txBox="1">
                        <a:spLocks noChangeArrowheads="1"/>
                      </wps:cNvSpPr>
                      <wps:spPr bwMode="auto">
                        <a:xfrm>
                          <a:off x="0" y="0"/>
                          <a:ext cx="831850" cy="563245"/>
                        </a:xfrm>
                        <a:prstGeom prst="rect">
                          <a:avLst/>
                        </a:prstGeom>
                        <a:noFill/>
                        <a:ln>
                          <a:noFill/>
                        </a:ln>
                        <a:effectLst/>
                      </wps:spPr>
                      <wps:txbx>
                        <w:txbxContent>
                          <w:p w14:paraId="3DCFA3CC">
                            <w:pPr>
                              <w:pStyle w:val="28"/>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可调价变更实体项目的定价</w:t>
                            </w:r>
                          </w:p>
                        </w:txbxContent>
                      </wps:txbx>
                      <wps:bodyPr rot="0" vert="horz" wrap="square" lIns="91440" tIns="45720" rIns="91440" bIns="45720" anchor="t" anchorCtr="0" upright="1">
                        <a:noAutofit/>
                      </wps:bodyPr>
                    </wps:wsp>
                  </a:graphicData>
                </a:graphic>
              </wp:anchor>
            </w:drawing>
          </mc:Choice>
          <mc:Fallback>
            <w:pict>
              <v:shape id="文本框 996" o:spid="_x0000_s1026" o:spt="202" type="#_x0000_t202" style="position:absolute;left:0pt;margin-left:-9pt;margin-top:0.5pt;height:44.35pt;width:65.5pt;z-index:251885568;mso-width-relative:page;mso-height-relative:page;" filled="f" stroked="f" coordsize="21600,21600" o:gfxdata="UEsDBAoAAAAAAIdO4kAAAAAAAAAAAAAAAAAEAAAAZHJzL1BLAwQUAAAACACHTuJA4wI41NUAAAAI&#10;AQAADwAAAGRycy9kb3ducmV2LnhtbE2PS0/DMBCE70j8B2uRuLV2eKYhTg8griDKQ+K2jbdJRLyO&#10;YrcJ/57tiZ52VzOa/aZcz75XBxpjF9hCtjSgiOvgOm4sfLw/L3JQMSE77AOThV+KsK7Oz0osXJj4&#10;jQ6b1CgJ4VighTalodA61i15jMswEIu2C6PHJOfYaDfiJOG+11fG3GmPHcuHFgd6bKn+2ey9hc+X&#10;3ffXjXltnvztMIXZaPYrbe3lRWYeQCWa078ZjviCDpUwbcOeXVS9hUWWS5ckgoyjnl3LsrWQr+5B&#10;V6U+LVD9AVBLAwQUAAAACACHTuJAibBwgh8CAAAmBAAADgAAAGRycy9lMm9Eb2MueG1srVPNjtMw&#10;EL4j8Q6W7zRtty1t1HS1bLUIafmRFh7AdZzGIvGYsdukPAD7Bpy4cOe5+hyMnWwpy2UPXCzbM/7m&#10;+74ZLy/bumJ7hU6DyfhoMORMGQm5NtuMf/p482LOmfPC5KICozJ+UI5frp4/WzY2VWMoocoVMgIx&#10;Lm1sxkvvbZokTpaqFm4AVhkKFoC18HTEbZKjaAi9rpLxcDhLGsDcIkjlHN2uuyDvEfEpgFAUWqo1&#10;yF2tjO9QUVXCkyRXauv4KrItCiX9+6JwyrMq46TUx5WK0H4T1mS1FOkWhS217CmIp1B4pKkW2lDR&#10;E9RaeMF2qP+BqrVEcFD4gYQ66YRER0jFaPjIm7tSWBW1kNXOnkx3/w9Wvtt/QKbzjM+H5IkRNbX8&#10;+P3++OPX8ec3tljMgkWNdSll3lnK9e0raGlwolxnb0F+dszAdSnMVl0hQlMqkRPFUXiZnD3tcFwA&#10;2TRvIadKYuchArUF1sE/coQROlE5nNqjWs8kXc4vRvMpRSSFprOL8WQaK4j04bFF518rqFnYZByp&#10;+xFc7G+dD2RE+pASahm40VUVJ6Ayf11QYnej4gj1r4OUwL7T4dtN21uzgfxAohC68aLPRZsS8Ctn&#10;DY1Wxt2XnUDFWfXGkDGL0WRCMnw8TKYvx3TA88jmPCKMJKiMe8667bXv5ndnUW9LqtS1wsAVmVno&#10;KDRQ7Vj1LaDxifr7UQ/zeX6OWX++9+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4wI41NUAAAAI&#10;AQAADwAAAAAAAAABACAAAAAiAAAAZHJzL2Rvd25yZXYueG1sUEsBAhQAFAAAAAgAh07iQImwcIIf&#10;AgAAJgQAAA4AAAAAAAAAAQAgAAAAJAEAAGRycy9lMm9Eb2MueG1sUEsFBgAAAAAGAAYAWQEAALUF&#10;AAAAAA==&#10;">
                <v:fill on="f" focussize="0,0"/>
                <v:stroke on="f"/>
                <v:imagedata o:title=""/>
                <o:lock v:ext="edit" aspectratio="f"/>
                <v:textbox>
                  <w:txbxContent>
                    <w:p w14:paraId="3DCFA3CC">
                      <w:pPr>
                        <w:pStyle w:val="28"/>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可调价变更实体项目的定价</w:t>
                      </w:r>
                    </w:p>
                  </w:txbxContent>
                </v:textbox>
              </v:shape>
            </w:pict>
          </mc:Fallback>
        </mc:AlternateContent>
      </w:r>
      <w:r>
        <w:rPr>
          <w:rFonts w:hint="eastAsia" w:ascii="仿宋" w:hAnsi="仿宋" w:eastAsia="仿宋" w:cs="仿宋"/>
          <w:color w:val="auto"/>
          <w:sz w:val="24"/>
          <w:szCs w:val="24"/>
          <w:highlight w:val="none"/>
          <w:lang w:eastAsia="zh-CN"/>
        </w:rPr>
        <w:t>除专用条款另有约定外，符合第69.3款约定可调价条件的实体项目变更，其增加或减少的实体项目单价按下列方法确定：</w:t>
      </w:r>
    </w:p>
    <w:p w14:paraId="5C776825">
      <w:pPr>
        <w:pStyle w:val="2"/>
        <w:widowControl w:val="0"/>
        <w:numPr>
          <w:ilvl w:val="1"/>
          <w:numId w:val="22"/>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合同价格清单中已有相同清单项目的，按照相同清单项目的单价确定</w:t>
      </w:r>
      <w:r>
        <w:rPr>
          <w:rFonts w:ascii="仿宋" w:hAnsi="仿宋" w:eastAsia="仿宋" w:cs="仿宋"/>
          <w:color w:val="auto"/>
          <w:sz w:val="24"/>
          <w:szCs w:val="24"/>
          <w:highlight w:val="none"/>
          <w:lang w:eastAsia="zh-CN"/>
        </w:rPr>
        <w:t>;</w:t>
      </w:r>
    </w:p>
    <w:p w14:paraId="1001D64B">
      <w:pPr>
        <w:pStyle w:val="2"/>
        <w:widowControl w:val="0"/>
        <w:numPr>
          <w:ilvl w:val="1"/>
          <w:numId w:val="22"/>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合同价格清单中没有相同、只有类似清单项目的，参照类似清单项目的单价调整确定</w:t>
      </w:r>
      <w:r>
        <w:rPr>
          <w:rFonts w:ascii="仿宋" w:hAnsi="仿宋" w:eastAsia="仿宋" w:cs="仿宋"/>
          <w:color w:val="auto"/>
          <w:sz w:val="24"/>
          <w:szCs w:val="24"/>
          <w:highlight w:val="none"/>
          <w:lang w:eastAsia="zh-CN"/>
        </w:rPr>
        <w:t>;</w:t>
      </w:r>
    </w:p>
    <w:p w14:paraId="7138B9A3">
      <w:pPr>
        <w:pStyle w:val="2"/>
        <w:widowControl w:val="0"/>
        <w:numPr>
          <w:ilvl w:val="1"/>
          <w:numId w:val="22"/>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合同价格清单中没有相同也没有类似清单项目的，其计价依据、计量规则和计价办法、由合同双方当事人在专用条款中约定。可调价变更实体项目应包含合理的利润，专用条款约定的计价依据、计价办法中不含利润的，可按通用条款约定的利润率计算利润；</w:t>
      </w:r>
    </w:p>
    <w:p w14:paraId="5828DAE5">
      <w:pPr>
        <w:pStyle w:val="2"/>
        <w:widowControl w:val="0"/>
        <w:numPr>
          <w:ilvl w:val="1"/>
          <w:numId w:val="22"/>
        </w:numPr>
        <w:tabs>
          <w:tab w:val="clear" w:pos="3285"/>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关于“类似清单项目”的认定原则在合同专用条款中约定。</w:t>
      </w:r>
    </w:p>
    <w:p w14:paraId="733F81E0">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79</w:t>
      </w:r>
      <w:r>
        <w:rPr>
          <w:rFonts w:ascii="仿宋" w:hAnsi="仿宋" w:eastAsia="仿宋" w:cs="仿宋"/>
          <w:b/>
          <w:bCs/>
          <w:color w:val="auto"/>
          <w:sz w:val="24"/>
          <w:szCs w:val="24"/>
          <w:highlight w:val="none"/>
          <w:lang w:eastAsia="zh-CN"/>
        </w:rPr>
        <w:t>.</w:t>
      </w:r>
      <w:r>
        <w:rPr>
          <w:rFonts w:hint="eastAsia" w:ascii="仿宋" w:hAnsi="仿宋" w:eastAsia="仿宋" w:cs="仿宋"/>
          <w:b/>
          <w:bCs/>
          <w:color w:val="auto"/>
          <w:sz w:val="24"/>
          <w:szCs w:val="24"/>
          <w:highlight w:val="none"/>
          <w:lang w:eastAsia="zh-CN"/>
        </w:rPr>
        <w:t>4</w:t>
      </w:r>
    </w:p>
    <w:p w14:paraId="114603F7">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6592" behindDoc="0" locked="0" layoutInCell="1" allowOverlap="1">
                <wp:simplePos x="0" y="0"/>
                <wp:positionH relativeFrom="column">
                  <wp:posOffset>-114300</wp:posOffset>
                </wp:positionH>
                <wp:positionV relativeFrom="paragraph">
                  <wp:posOffset>45720</wp:posOffset>
                </wp:positionV>
                <wp:extent cx="861060" cy="553085"/>
                <wp:effectExtent l="0" t="0" r="0" b="0"/>
                <wp:wrapNone/>
                <wp:docPr id="801" name="文本框 997"/>
                <wp:cNvGraphicFramePr/>
                <a:graphic xmlns:a="http://schemas.openxmlformats.org/drawingml/2006/main">
                  <a:graphicData uri="http://schemas.microsoft.com/office/word/2010/wordprocessingShape">
                    <wps:wsp>
                      <wps:cNvSpPr txBox="1">
                        <a:spLocks noChangeArrowheads="1"/>
                      </wps:cNvSpPr>
                      <wps:spPr bwMode="auto">
                        <a:xfrm>
                          <a:off x="0" y="0"/>
                          <a:ext cx="861060" cy="553085"/>
                        </a:xfrm>
                        <a:prstGeom prst="rect">
                          <a:avLst/>
                        </a:prstGeom>
                        <a:noFill/>
                        <a:ln>
                          <a:noFill/>
                        </a:ln>
                        <a:effectLst/>
                      </wps:spPr>
                      <wps:txbx>
                        <w:txbxContent>
                          <w:p w14:paraId="4AEBD10B">
                            <w:pPr>
                              <w:pStyle w:val="28"/>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可调价变更措施项目的定价</w:t>
                            </w:r>
                          </w:p>
                        </w:txbxContent>
                      </wps:txbx>
                      <wps:bodyPr rot="0" vert="horz" wrap="square" lIns="91440" tIns="45720" rIns="91440" bIns="45720" anchor="t" anchorCtr="0" upright="1">
                        <a:noAutofit/>
                      </wps:bodyPr>
                    </wps:wsp>
                  </a:graphicData>
                </a:graphic>
              </wp:anchor>
            </w:drawing>
          </mc:Choice>
          <mc:Fallback>
            <w:pict>
              <v:shape id="文本框 997" o:spid="_x0000_s1026" o:spt="202" type="#_x0000_t202" style="position:absolute;left:0pt;margin-left:-9pt;margin-top:3.6pt;height:43.55pt;width:67.8pt;z-index:251886592;mso-width-relative:page;mso-height-relative:page;" filled="f" stroked="f" coordsize="21600,21600" o:gfxdata="UEsDBAoAAAAAAIdO4kAAAAAAAAAAAAAAAAAEAAAAZHJzL1BLAwQUAAAACACHTuJAKvIH69YAAAAI&#10;AQAADwAAAGRycy9kb3ducmV2LnhtbE2PS2/CMBCE75X4D9Yi9QZ2KOURsuFA1Wur0ofEzcRLEhGv&#10;o9iQ9N/XnMpxNKOZb7LtYBtxpc7XjhGSqQJBXDhTc4nw9fk6WYHwQbPRjWNC+CUP23z0kOnUuJ4/&#10;6LoPpYgl7FONUIXQplL6oiKr/dS1xNE7uc7qEGVXStPpPpbbRs6UWkira44LlW5pV1Fx3l8swvfb&#10;6fAzV+/li31uezcoyXYtER/HidqACDSE/zDc8CM65JHp6C5svGgQJskqfgkIyxmIm58sFyCOCOv5&#10;E8g8k/cH8j9QSwMEFAAAAAgAh07iQLNn330fAgAAJgQAAA4AAABkcnMvZTJvRG9jLnhtbK1TzY7T&#10;MBC+I/EOlu80SWm7bdR0tWy1CGn5kRYewHWcxiLxGNttUh6AfQNOXLjzXH0Oxna2lOWyBy6W7Rl/&#10;M983n5eXfduQvTBWgipoNkopEYpDKdW2oJ8+3ryYU2IdUyVrQImCHoSll6vnz5adzsUYamhKYQiC&#10;KJt3uqC1czpPEstr0TI7Ai0UBiswLXN4NNukNKxD9LZJxmk6SzowpTbAhbV4u45BOiCapwBCVUku&#10;1sB3rVAuohrRMIeUbC21pavQbVUJ7t5XlRWONAVFpi6sWAT3G78mqyXLt4bpWvKhBfaUFh5xaplU&#10;WPQEtWaOkZ2R/0C1khuwULkRhzaJRIIiyCJLH2lzVzMtAheU2uqT6Pb/wfJ3+w+GyLKg8zSjRLEW&#10;R378fn/88ev48xtZLC68RJ22OWbeacx1/Svo0TiBrtW3wD9bouC6ZmorroyBrhasxBYz/zI5expx&#10;rAfZdG+hxEps5yAA9ZVpvX6oCEF0HM/hNB7RO8Lxcj7L0hlGOIam05fpfBoqsPzhsTbWvRbQEr8p&#10;qMHpB3C2v7XON8PyhxRfS8GNbJrggEb9dYGJ8UYECw2vPRXffeTh+k0/SLOB8oCkDER74efCTQ3m&#10;KyUdWqug9suOGUFJ80ahMItsMvFeDIfJ9GKMB3Me2ZxHmOIIVVBHSdxeu+jfnTZyW2OlOAoFVyhm&#10;JQNR32rsahgB2ifwH6zu/Xl+Dll/vvf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ryB+vWAAAA&#10;CAEAAA8AAAAAAAAAAQAgAAAAIgAAAGRycy9kb3ducmV2LnhtbFBLAQIUABQAAAAIAIdO4kCzZ999&#10;HwIAACYEAAAOAAAAAAAAAAEAIAAAACUBAABkcnMvZTJvRG9jLnhtbFBLBQYAAAAABgAGAFkBAAC2&#10;BQAAAAA=&#10;">
                <v:fill on="f" focussize="0,0"/>
                <v:stroke on="f"/>
                <v:imagedata o:title=""/>
                <o:lock v:ext="edit" aspectratio="f"/>
                <v:textbox>
                  <w:txbxContent>
                    <w:p w14:paraId="4AEBD10B">
                      <w:pPr>
                        <w:pStyle w:val="28"/>
                        <w:spacing w:line="20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可调价变更措施项目的定价</w:t>
                      </w:r>
                    </w:p>
                  </w:txbxContent>
                </v:textbox>
              </v:shape>
            </w:pict>
          </mc:Fallback>
        </mc:AlternateContent>
      </w:r>
      <w:r>
        <w:rPr>
          <w:rFonts w:hint="eastAsia" w:ascii="仿宋" w:hAnsi="仿宋" w:eastAsia="仿宋" w:cs="仿宋"/>
          <w:color w:val="auto"/>
          <w:sz w:val="24"/>
          <w:szCs w:val="24"/>
          <w:highlight w:val="none"/>
          <w:lang w:eastAsia="zh-CN"/>
        </w:rPr>
        <w:t>除专用条款另有约定外，符合第69.3款约定可调价条件的变更，引起措施项目发生变化的，合同不利一方当事人有权提出调整措施项目费。提出调整措施项目费的，应事先将拟实施的方案提交另一方当事人确认，并详细说明与原方案措施项目相比的变化情况。拟实施的方案，经合同双方当事人确认后执行。该情况下，增加或减少的措施项目费按下列约定计算：</w:t>
      </w:r>
    </w:p>
    <w:p w14:paraId="32AE74D9">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ascii="仿宋" w:hAnsi="仿宋" w:eastAsia="仿宋" w:cs="仿宋"/>
          <w:color w:val="auto"/>
          <w:sz w:val="24"/>
          <w:szCs w:val="24"/>
          <w:highlight w:val="none"/>
          <w:lang w:eastAsia="zh-CN"/>
        </w:rPr>
        <w:t xml:space="preserve">(1) </w:t>
      </w:r>
      <w:r>
        <w:rPr>
          <w:rFonts w:hint="eastAsia" w:ascii="仿宋" w:hAnsi="仿宋" w:eastAsia="仿宋" w:cs="仿宋"/>
          <w:color w:val="auto"/>
          <w:sz w:val="24"/>
          <w:szCs w:val="24"/>
          <w:highlight w:val="none"/>
          <w:lang w:eastAsia="zh-CN"/>
        </w:rPr>
        <w:t>绿色施工安全防护费，执行政府的相关计费文件规定的单价或费率，按照实际发生变化的措施项目计算确定。</w:t>
      </w:r>
    </w:p>
    <w:p w14:paraId="35B3F24F">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 xml:space="preserve"> 凡可计算工程量的措施项目，其单价按照第79.3款约定确定。</w:t>
      </w:r>
    </w:p>
    <w:p w14:paraId="49A17061">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 xml:space="preserve"> 凡按系数计算的措施项目费，除本款第</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点情形外，执行合同价格清单中标明的计费基础和系数计算确定。</w:t>
      </w:r>
    </w:p>
    <w:p w14:paraId="20F032DC">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如果不利一方当事人未按本款约定事先将拟实施的方案提交给另一方当事人，则认为工程变更不引起措施项目费的调整或不利一方当事人放弃调整措施项目费的权利。</w:t>
      </w:r>
    </w:p>
    <w:p w14:paraId="463EAFBE">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79</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5</w:t>
      </w:r>
    </w:p>
    <w:p w14:paraId="3A411573">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7616" behindDoc="0" locked="0" layoutInCell="1" allowOverlap="1">
                <wp:simplePos x="0" y="0"/>
                <wp:positionH relativeFrom="column">
                  <wp:posOffset>-114300</wp:posOffset>
                </wp:positionH>
                <wp:positionV relativeFrom="paragraph">
                  <wp:posOffset>45720</wp:posOffset>
                </wp:positionV>
                <wp:extent cx="775970" cy="393065"/>
                <wp:effectExtent l="0" t="0" r="0" b="0"/>
                <wp:wrapNone/>
                <wp:docPr id="802" name="文本框 999"/>
                <wp:cNvGraphicFramePr/>
                <a:graphic xmlns:a="http://schemas.openxmlformats.org/drawingml/2006/main">
                  <a:graphicData uri="http://schemas.microsoft.com/office/word/2010/wordprocessingShape">
                    <wps:wsp>
                      <wps:cNvSpPr txBox="1">
                        <a:spLocks noChangeArrowheads="1"/>
                      </wps:cNvSpPr>
                      <wps:spPr bwMode="auto">
                        <a:xfrm>
                          <a:off x="0" y="0"/>
                          <a:ext cx="775970" cy="393065"/>
                        </a:xfrm>
                        <a:prstGeom prst="rect">
                          <a:avLst/>
                        </a:prstGeom>
                        <a:noFill/>
                        <a:ln>
                          <a:noFill/>
                        </a:ln>
                        <a:effectLst/>
                      </wps:spPr>
                      <wps:txbx>
                        <w:txbxContent>
                          <w:p w14:paraId="53A9C4FD">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删减工作或工程的补偿</w:t>
                            </w:r>
                          </w:p>
                        </w:txbxContent>
                      </wps:txbx>
                      <wps:bodyPr rot="0" vert="horz" wrap="square" lIns="91440" tIns="45720" rIns="91440" bIns="45720" anchor="t" anchorCtr="0" upright="1">
                        <a:noAutofit/>
                      </wps:bodyPr>
                    </wps:wsp>
                  </a:graphicData>
                </a:graphic>
              </wp:anchor>
            </w:drawing>
          </mc:Choice>
          <mc:Fallback>
            <w:pict>
              <v:shape id="文本框 999" o:spid="_x0000_s1026" o:spt="202" type="#_x0000_t202" style="position:absolute;left:0pt;margin-left:-9pt;margin-top:3.6pt;height:30.95pt;width:61.1pt;z-index:251887616;mso-width-relative:page;mso-height-relative:page;" filled="f" stroked="f" coordsize="21600,21600" o:gfxdata="UEsDBAoAAAAAAIdO4kAAAAAAAAAAAAAAAAAEAAAAZHJzL1BLAwQUAAAACACHTuJAHshvZdYAAAAI&#10;AQAADwAAAGRycy9kb3ducmV2LnhtbE2PwU7DMBBE70j8g7VI3Fo7VSltyKYHEFcQLSBx28bbJCJe&#10;R7HbhL/HPcFtVrOaeVNsJ9epMw+h9YKQzQ0olsrbVmqE9/3zbA0qRBJLnRdG+OEA2/L6qqDc+lHe&#10;+LyLtUohEnJCaGLsc61D1bCjMPc9S/KOfnAU0znU2g40pnDX6YUxK+2oldTQUM+PDVffu5ND+Hg5&#10;fn0uzWv95O760U9Gi9toxNubzDyAijzFv2e44Cd0KBPTwZ/EBtUhzLJ12hIR7hegLr5ZJnFAWG0y&#10;0GWh/w8ofwFQSwMEFAAAAAgAh07iQPJ1mu4gAgAAJgQAAA4AAABkcnMvZTJvRG9jLnhtbK1TS27b&#10;MBDdF+gdCO5r2Y4dR4LlII2RokD6AdIegKYoi6jEYYe0pfQA7Q266qb7nsvn6JBSXDfdZNENQXKG&#10;b+a9eVxedk3N9gqdBpPzyWjMmTISCm22Of/44ebFBWfOC1OIGozK+b1y/HL1/NmytZmaQgV1oZAR&#10;iHFZa3NeeW+zJHGyUo1wI7DKULAEbISnI26TAkVL6E2dTMfj86QFLCyCVM7R7boP8gERnwIIZaml&#10;WoPcNcr4HhVVLTxRcpW2jq9it2WppH9Xlk55VuecmPq4UhHab8KarJYi26KwlZZDC+IpLTzi1Aht&#10;qOgRai28YDvU/0A1WiI4KP1IQpP0RKIixGIyfqTNXSWsilxIamePorv/Byvf7t8j00XOL8ZTzoxo&#10;aOSH798OP34dfn5laZoGiVrrMsq8s5Tru5fQkXEiXWdvQX5yzMB1JcxWXSFCWylRUIuT8DI5edrj&#10;uACyad9AQZXEzkME6kpsgn6kCCN0Gs/9cTyq80zS5WIxTxcUkRQ6S8/G5/NYQWQPjy06/0pBw8Im&#10;50jTj+Bif+t8aEZkDymhloEbXdfRAbX564IS+xsVLTS8DlRC9z0P3226QZoNFPdECqG3F30u2lSA&#10;XzhryVo5d593AhVn9WtDwqST2Sx4MR5m88WUDnga2ZxGhJEElXPPWb+99r1/dxb1tqJK/SgMXJGY&#10;pY5EQ6t9V8MIyD6R/2D14M/Tc8z6871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eyG9l1gAA&#10;AAgBAAAPAAAAAAAAAAEAIAAAACIAAABkcnMvZG93bnJldi54bWxQSwECFAAUAAAACACHTuJA8nWa&#10;7iACAAAmBAAADgAAAAAAAAABACAAAAAlAQAAZHJzL2Uyb0RvYy54bWxQSwUGAAAAAAYABgBZAQAA&#10;twUAAAAA&#10;">
                <v:fill on="f" focussize="0,0"/>
                <v:stroke on="f"/>
                <v:imagedata o:title=""/>
                <o:lock v:ext="edit" aspectratio="f"/>
                <v:textbox>
                  <w:txbxContent>
                    <w:p w14:paraId="53A9C4FD">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删减工作或工程的补偿</w:t>
                      </w:r>
                    </w:p>
                  </w:txbxContent>
                </v:textbox>
              </v:shape>
            </w:pict>
          </mc:Fallback>
        </mc:AlternateContent>
      </w:r>
      <w:r>
        <w:rPr>
          <w:rFonts w:hint="eastAsia" w:ascii="仿宋" w:hAnsi="仿宋" w:eastAsia="仿宋" w:cs="仿宋"/>
          <w:color w:val="auto"/>
          <w:sz w:val="24"/>
          <w:szCs w:val="24"/>
          <w:highlight w:val="none"/>
          <w:lang w:eastAsia="zh-CN"/>
        </w:rPr>
        <w:t>如果因为非承包人原因删减了合同中的某项原定工作或工程，致使承包人发生的费用或</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和</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得到的收益不能被包括在其他已支付或应支付的项目中，也未被包含在任何替代的工作或工程中，则承包人有权按照本条约定提出并得到补偿。</w:t>
      </w:r>
    </w:p>
    <w:p w14:paraId="2FC13720">
      <w:pPr>
        <w:tabs>
          <w:tab w:val="left" w:pos="1620"/>
        </w:tabs>
        <w:spacing w:line="360" w:lineRule="auto"/>
        <w:rPr>
          <w:rFonts w:hint="eastAsia" w:ascii="仿宋" w:hAnsi="仿宋" w:eastAsia="仿宋"/>
          <w:b/>
          <w:bCs/>
          <w:color w:val="auto"/>
          <w:highlight w:val="none"/>
          <w:u w:val="single"/>
          <w:lang w:eastAsia="zh-CN"/>
        </w:rPr>
      </w:pPr>
    </w:p>
    <w:p w14:paraId="75BBBC9B">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79" w:name="_Toc24433"/>
      <w:r>
        <w:rPr>
          <w:rFonts w:hint="eastAsia" w:ascii="仿宋" w:hAnsi="仿宋" w:eastAsia="仿宋" w:cs="仿宋"/>
          <w:bCs w:val="0"/>
          <w:color w:val="auto"/>
          <w:sz w:val="24"/>
          <w:szCs w:val="24"/>
          <w:highlight w:val="none"/>
          <w:lang w:eastAsia="zh-CN"/>
        </w:rPr>
        <w:t>★80费用索赔</w:t>
      </w:r>
      <w:bookmarkEnd w:id="379"/>
    </w:p>
    <w:p w14:paraId="2F64DC8A">
      <w:pPr>
        <w:pStyle w:val="2"/>
        <w:adjustRightInd w:val="0"/>
        <w:snapToGrid w:val="0"/>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8640" behindDoc="0" locked="0" layoutInCell="1" allowOverlap="1">
                <wp:simplePos x="0" y="0"/>
                <wp:positionH relativeFrom="column">
                  <wp:posOffset>-114300</wp:posOffset>
                </wp:positionH>
                <wp:positionV relativeFrom="paragraph">
                  <wp:posOffset>207010</wp:posOffset>
                </wp:positionV>
                <wp:extent cx="813435" cy="391795"/>
                <wp:effectExtent l="0" t="0" r="0" b="0"/>
                <wp:wrapNone/>
                <wp:docPr id="803" name="文本框 1003"/>
                <wp:cNvGraphicFramePr/>
                <a:graphic xmlns:a="http://schemas.openxmlformats.org/drawingml/2006/main">
                  <a:graphicData uri="http://schemas.microsoft.com/office/word/2010/wordprocessingShape">
                    <wps:wsp>
                      <wps:cNvSpPr txBox="1">
                        <a:spLocks noChangeArrowheads="1"/>
                      </wps:cNvSpPr>
                      <wps:spPr bwMode="auto">
                        <a:xfrm>
                          <a:off x="0" y="0"/>
                          <a:ext cx="813435" cy="391795"/>
                        </a:xfrm>
                        <a:prstGeom prst="rect">
                          <a:avLst/>
                        </a:prstGeom>
                        <a:noFill/>
                        <a:ln>
                          <a:noFill/>
                        </a:ln>
                        <a:effectLst/>
                      </wps:spPr>
                      <wps:txbx>
                        <w:txbxContent>
                          <w:p w14:paraId="4A79F3BF">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索赔的价款调整</w:t>
                            </w:r>
                          </w:p>
                        </w:txbxContent>
                      </wps:txbx>
                      <wps:bodyPr rot="0" vert="horz" wrap="square" lIns="91440" tIns="45720" rIns="91440" bIns="45720" anchor="t" anchorCtr="0" upright="1">
                        <a:noAutofit/>
                      </wps:bodyPr>
                    </wps:wsp>
                  </a:graphicData>
                </a:graphic>
              </wp:anchor>
            </w:drawing>
          </mc:Choice>
          <mc:Fallback>
            <w:pict>
              <v:shape id="文本框 1003" o:spid="_x0000_s1026" o:spt="202" type="#_x0000_t202" style="position:absolute;left:0pt;margin-left:-9pt;margin-top:16.3pt;height:30.85pt;width:64.05pt;z-index:251888640;mso-width-relative:page;mso-height-relative:page;" filled="f" stroked="f" coordsize="21600,21600" o:gfxdata="UEsDBAoAAAAAAIdO4kAAAAAAAAAAAAAAAAAEAAAAZHJzL1BLAwQUAAAACACHTuJA0pASMNcAAAAJ&#10;AQAADwAAAGRycy9kb3ducmV2LnhtbE2PzW7CMBCE75X6DtZW4ga2gSJIs+HQqldQ6Y/Um4mXJGq8&#10;jmJDwtvXnNrjaEYz3+Tb0bXiQn1oPCPomQJBXHrbcIXw8f46XYMI0bA1rWdCuFKAbXF/l5vM+oHf&#10;6HKIlUglHDKDUMfYZVKGsiZnwsx3xMk7+d6ZmGRfSdubIZW7Vs6VWklnGk4Ltenouaby53B2CJ+7&#10;0/fXUu2rF/fYDX5Ukt1GIk4etHoCEWmMf2G44Sd0KBLT0Z/ZBtEiTPU6fYkIi/kKxC2glQZxRNgs&#10;FyCLXP5/UPwCUEsDBBQAAAAIAIdO4kBzJm4RIAIAACcEAAAOAAAAZHJzL2Uyb0RvYy54bWytU0tu&#10;2zAQ3RfoHQjua0n+NLZgOUhjpCiQfoC0B6ApyiIqcliStuQeoLlBV91033P5HB1Siuummyy6EciZ&#10;4Zt5b56Wl51qyF5YJ0EXNBullAjNoZR6W9BPH29ezClxnumSNaBFQQ/C0cvV82fL1uRiDDU0pbAE&#10;QbTLW1PQ2nuTJ4njtVDMjcAIjckKrGIer3ablJa1iK6aZJymL5MWbGkscOEcRtd9kg6I9imAUFWS&#10;izXwnRLa96hWNMwjJVdL4+gqTltVgvv3VeWEJ01BkamPX2yC5034Jqsly7eWmVryYQT2lBEecVJM&#10;amx6glozz8jOyn+glOQWHFR+xEElPZGoCLLI0kfa3NXMiMgFpXbmJLr7f7D83f6DJbIs6DydUKKZ&#10;wpUfv98ff/w6/vxGshSjqFFrXI6ldwaLffcKOnRO5OvMLfDPjmi4rpneiitroa0FK3HGLLxMzp72&#10;OC6AbNq3UGIrtvMQgbrKqiAgSkIQHfdzOO1HdJ5wDM6zyXQyo4RjarLILhaz2IHlD4+Ndf61AEXC&#10;oaAW1x/B2f7W+TAMyx9KQi8NN7JpogUa/VcAC/uIiB4aXgcqYfqeh+823SDNBsoDkrLQ+wv/LjzU&#10;YL9S0qK3Cuq+7JgVlDRvNAqzyKbTYMZ4mc4uxnix55nNeYZpjlAF9ZT0x2vfG3hnrNzW2KlfhYYr&#10;FLOSkWgYtZ9qWAH6J/IfvB4Men6PVX/+79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0pASMNcA&#10;AAAJAQAADwAAAAAAAAABACAAAAAiAAAAZHJzL2Rvd25yZXYueG1sUEsBAhQAFAAAAAgAh07iQHMm&#10;bhEgAgAAJwQAAA4AAAAAAAAAAQAgAAAAJgEAAGRycy9lMm9Eb2MueG1sUEsFBgAAAAAGAAYAWQEA&#10;ALgFAAAAAA==&#10;">
                <v:fill on="f" focussize="0,0"/>
                <v:stroke on="f"/>
                <v:imagedata o:title=""/>
                <o:lock v:ext="edit" aspectratio="f"/>
                <v:textbox>
                  <w:txbxContent>
                    <w:p w14:paraId="4A79F3BF">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索赔的价款调整</w:t>
                      </w:r>
                    </w:p>
                  </w:txbxContent>
                </v:textbox>
              </v:shape>
            </w:pict>
          </mc:Fallback>
        </mc:AlternateContent>
      </w:r>
      <w:r>
        <w:rPr>
          <w:rFonts w:hint="eastAsia" w:ascii="仿宋" w:hAnsi="仿宋" w:eastAsia="仿宋" w:cs="仿宋"/>
          <w:b/>
          <w:bCs/>
          <w:color w:val="auto"/>
          <w:sz w:val="24"/>
          <w:szCs w:val="24"/>
          <w:highlight w:val="none"/>
          <w:lang w:eastAsia="zh-CN"/>
        </w:rPr>
        <w:t>80</w:t>
      </w:r>
      <w:r>
        <w:rPr>
          <w:rFonts w:ascii="仿宋" w:hAnsi="仿宋" w:eastAsia="仿宋" w:cs="仿宋"/>
          <w:b/>
          <w:bCs/>
          <w:color w:val="auto"/>
          <w:sz w:val="24"/>
          <w:szCs w:val="24"/>
          <w:highlight w:val="none"/>
          <w:lang w:eastAsia="zh-CN"/>
        </w:rPr>
        <w:t>.1</w:t>
      </w:r>
    </w:p>
    <w:p w14:paraId="6CF6EFCD">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合同履行期间，出现费用索赔事项的，合同双方当事人应调整合同价格。</w:t>
      </w:r>
    </w:p>
    <w:p w14:paraId="5009EA8B">
      <w:pPr>
        <w:spacing w:line="360" w:lineRule="auto"/>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80</w:t>
      </w:r>
      <w:r>
        <w:rPr>
          <w:rFonts w:ascii="仿宋" w:hAnsi="仿宋" w:eastAsia="仿宋" w:cs="仿宋"/>
          <w:b/>
          <w:bCs/>
          <w:color w:val="auto"/>
          <w:highlight w:val="none"/>
          <w:lang w:eastAsia="zh-CN"/>
        </w:rPr>
        <w:t>.2</w:t>
      </w:r>
    </w:p>
    <w:p w14:paraId="17CE2F9C">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89664" behindDoc="0" locked="0" layoutInCell="1" allowOverlap="1">
                <wp:simplePos x="0" y="0"/>
                <wp:positionH relativeFrom="column">
                  <wp:posOffset>-114300</wp:posOffset>
                </wp:positionH>
                <wp:positionV relativeFrom="paragraph">
                  <wp:posOffset>15875</wp:posOffset>
                </wp:positionV>
                <wp:extent cx="775970" cy="363220"/>
                <wp:effectExtent l="0" t="0" r="0" b="0"/>
                <wp:wrapNone/>
                <wp:docPr id="804" name="文本框 1004"/>
                <wp:cNvGraphicFramePr/>
                <a:graphic xmlns:a="http://schemas.openxmlformats.org/drawingml/2006/main">
                  <a:graphicData uri="http://schemas.microsoft.com/office/word/2010/wordprocessingShape">
                    <wps:wsp>
                      <wps:cNvSpPr txBox="1">
                        <a:spLocks noChangeArrowheads="1"/>
                      </wps:cNvSpPr>
                      <wps:spPr bwMode="auto">
                        <a:xfrm>
                          <a:off x="0" y="0"/>
                          <a:ext cx="775970" cy="363220"/>
                        </a:xfrm>
                        <a:prstGeom prst="rect">
                          <a:avLst/>
                        </a:prstGeom>
                        <a:noFill/>
                        <a:ln>
                          <a:noFill/>
                        </a:ln>
                        <a:effectLst/>
                      </wps:spPr>
                      <wps:txbx>
                        <w:txbxContent>
                          <w:p w14:paraId="3BF1EC3E">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发出索赔意向书</w:t>
                            </w:r>
                          </w:p>
                        </w:txbxContent>
                      </wps:txbx>
                      <wps:bodyPr rot="0" vert="horz" wrap="square" lIns="91440" tIns="45720" rIns="91440" bIns="45720" anchor="t" anchorCtr="0" upright="1">
                        <a:noAutofit/>
                      </wps:bodyPr>
                    </wps:wsp>
                  </a:graphicData>
                </a:graphic>
              </wp:anchor>
            </w:drawing>
          </mc:Choice>
          <mc:Fallback>
            <w:pict>
              <v:shape id="文本框 1004" o:spid="_x0000_s1026" o:spt="202" type="#_x0000_t202" style="position:absolute;left:0pt;margin-left:-9pt;margin-top:1.25pt;height:28.6pt;width:61.1pt;z-index:251889664;mso-width-relative:page;mso-height-relative:page;" filled="f" stroked="f" coordsize="21600,21600" o:gfxdata="UEsDBAoAAAAAAIdO4kAAAAAAAAAAAAAAAAAEAAAAZHJzL1BLAwQUAAAACACHTuJAJyO+MdYAAAAI&#10;AQAADwAAAGRycy9kb3ducmV2LnhtbE2PwU7DMBBE70j9B2uRuLV2ooa2IZseiriCaAsSNzfeJhHx&#10;OordJvw97gmOoxnNvCm2k+3ElQbfOkZIFgoEceVMyzXC8fAyX4PwQbPRnWNC+CEP23J2V+jcuJHf&#10;6boPtYgl7HON0ITQ51L6qiGr/cL1xNE7u8HqEOVQSzPoMZbbTqZKPUqrW44Lje5p11D1vb9YhI/X&#10;89fnUr3VzzbrRzcpyXYjER/uE/UEItAU/sJww4/oUEamk7uw8aJDmCfr+CUgpBmIm6+WKYgTQrZZ&#10;gSwL+f9A+QtQSwMEFAAAAAgAh07iQHS79lUgAgAAJwQAAA4AAABkcnMvZTJvRG9jLnhtbK1TwXLT&#10;MBC9M8M/aHQndtK0aT1xOqWZMswU6EzhAxRZjjXYWrFSYocPgD/gxIV7vyvfwUp2QyiXHrh4pN3V&#10;231vn+eXXVOzrUKnweR8PEo5U0ZCoc06558+3rw658x5YQpRg1E53ynHLxcvX8xbm6kJVFAXChmB&#10;GJe1NueV9zZLEicr1Qg3AqsMJUvARni64jopULSE3tTJJE3PkhawsAhSOUfRZZ/kAyI+BxDKUku1&#10;BLlplPE9KqpaeKLkKm0dX8Rpy1JJ/6EsnfKszjkx9fFLTei8Ct9kMRfZGoWttBxGEM8Z4QmnRmhD&#10;TQ9QS+EF26D+B6rREsFB6UcSmqQnEhUhFuP0iTb3lbAqciGpnT2I7v4frHy/vUOmi5yfp1POjGho&#10;5fsf3/c/H/a/vrFxSlHSqLUuo9J7S8W+ew0dOSfydfYW5GfHDFxXwqzVFSK0lRIFzTgOL5Ojpz2O&#10;CyCr9h0U1EpsPESgrsQmCEiSMEKn/ewO+1GdZ5KCs9npxYwyklInZyeTSdxfIrLHxxadf6OgYeGQ&#10;c6T1R3CxvXU+DCOyx5LQy8CNrutogdr8FaDCPqKih4bXgUqYvufhu1U3SLOCYkekEHp/0d9Fhwrw&#10;K2cteSvn7stGoOKsfmtImIvxdBrMGC/T0xnxYHicWR1nhJEElXPPWX+89r2BNxb1uqJO/SoMXJGY&#10;pY5Ew6j9VMMKyD+R/+D1YNDje6z6838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nI74x1gAA&#10;AAgBAAAPAAAAAAAAAAEAIAAAACIAAABkcnMvZG93bnJldi54bWxQSwECFAAUAAAACACHTuJAdLv2&#10;VSACAAAnBAAADgAAAAAAAAABACAAAAAlAQAAZHJzL2Uyb0RvYy54bWxQSwUGAAAAAAYABgBZAQAA&#10;twUAAAAA&#10;">
                <v:fill on="f" focussize="0,0"/>
                <v:stroke on="f"/>
                <v:imagedata o:title=""/>
                <o:lock v:ext="edit" aspectratio="f"/>
                <v:textbox>
                  <w:txbxContent>
                    <w:p w14:paraId="3BF1EC3E">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发出索赔意向书</w:t>
                      </w:r>
                    </w:p>
                  </w:txbxContent>
                </v:textbox>
              </v:shape>
            </w:pict>
          </mc:Fallback>
        </mc:AlternateContent>
      </w:r>
      <w:r>
        <w:rPr>
          <w:rFonts w:hint="eastAsia" w:ascii="仿宋" w:hAnsi="仿宋" w:eastAsia="仿宋" w:cs="仿宋"/>
          <w:color w:val="auto"/>
          <w:sz w:val="24"/>
          <w:szCs w:val="24"/>
          <w:highlight w:val="none"/>
          <w:lang w:eastAsia="zh-CN"/>
        </w:rPr>
        <w:t>如果承包人根据合同约定提出任何费用或其它形式的损失索赔时，应在该索赔事项发生之后的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天内向监理人、造价咨询人发出索赔意向书，并抄送发包人。</w:t>
      </w:r>
    </w:p>
    <w:p w14:paraId="37F23FD4">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80</w:t>
      </w:r>
      <w:r>
        <w:rPr>
          <w:rFonts w:ascii="仿宋" w:hAnsi="仿宋" w:eastAsia="仿宋" w:cs="仿宋"/>
          <w:b/>
          <w:bCs/>
          <w:color w:val="auto"/>
          <w:highlight w:val="none"/>
          <w:lang w:eastAsia="zh-CN"/>
        </w:rPr>
        <w:t>.3</w:t>
      </w:r>
    </w:p>
    <w:p w14:paraId="100C0482">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0688" behindDoc="0" locked="0" layoutInCell="1" allowOverlap="1">
                <wp:simplePos x="0" y="0"/>
                <wp:positionH relativeFrom="column">
                  <wp:posOffset>-114300</wp:posOffset>
                </wp:positionH>
                <wp:positionV relativeFrom="paragraph">
                  <wp:posOffset>635</wp:posOffset>
                </wp:positionV>
                <wp:extent cx="823595" cy="490220"/>
                <wp:effectExtent l="0" t="0" r="0" b="0"/>
                <wp:wrapNone/>
                <wp:docPr id="805" name="文本框 1005"/>
                <wp:cNvGraphicFramePr/>
                <a:graphic xmlns:a="http://schemas.openxmlformats.org/drawingml/2006/main">
                  <a:graphicData uri="http://schemas.microsoft.com/office/word/2010/wordprocessingShape">
                    <wps:wsp>
                      <wps:cNvSpPr txBox="1">
                        <a:spLocks noChangeArrowheads="1"/>
                      </wps:cNvSpPr>
                      <wps:spPr bwMode="auto">
                        <a:xfrm>
                          <a:off x="0" y="0"/>
                          <a:ext cx="823595" cy="490220"/>
                        </a:xfrm>
                        <a:prstGeom prst="rect">
                          <a:avLst/>
                        </a:prstGeom>
                        <a:noFill/>
                        <a:ln>
                          <a:noFill/>
                        </a:ln>
                        <a:effectLst/>
                      </wps:spPr>
                      <wps:txbx>
                        <w:txbxContent>
                          <w:p w14:paraId="23E750CD">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索赔记录的保存和审查</w:t>
                            </w:r>
                          </w:p>
                        </w:txbxContent>
                      </wps:txbx>
                      <wps:bodyPr rot="0" vert="horz" wrap="square" lIns="91440" tIns="45720" rIns="91440" bIns="45720" anchor="t" anchorCtr="0" upright="1">
                        <a:noAutofit/>
                      </wps:bodyPr>
                    </wps:wsp>
                  </a:graphicData>
                </a:graphic>
              </wp:anchor>
            </w:drawing>
          </mc:Choice>
          <mc:Fallback>
            <w:pict>
              <v:shape id="文本框 1005" o:spid="_x0000_s1026" o:spt="202" type="#_x0000_t202" style="position:absolute;left:0pt;margin-left:-9pt;margin-top:0.05pt;height:38.6pt;width:64.85pt;z-index:251890688;mso-width-relative:page;mso-height-relative:page;" filled="f" stroked="f" coordsize="21600,21600" o:gfxdata="UEsDBAoAAAAAAIdO4kAAAAAAAAAAAAAAAAAEAAAAZHJzL1BLAwQUAAAACACHTuJANEfld9QAAAAH&#10;AQAADwAAAGRycy9kb3ducmV2LnhtbE2Py07DMBBF90j8gzVI7FrbvFJCJl2A2IIoUKk7N54mEfE4&#10;it0m/D3Oii5H5+reM8V6cp040RBazwh6qUAQV962XCN8fb4uViBCNGxN55kQfinAury8KExu/cgf&#10;dNrEWqQSDrlBaGLscylD1ZAzYel74sQOfnAmpnOopR3MmMpdJ2+UepDOtJwWGtPTc0PVz+boEL7f&#10;DrvtnXqvX9x9P/pJSXaPEvH6SqsnEJGm+B+GWT+pQ5mc9v7INogOYaFX6Zc4AzFjrTMQe4QsuwVZ&#10;FvLcv/wDUEsDBBQAAAAIAIdO4kC1mrcSHwIAACcEAAAOAAAAZHJzL2Uyb0RvYy54bWytU82O0zAQ&#10;viPxDpbvNGlpoY2arpatFiEtP9LCA7iO01gkHjN2m5QHYN+AExfuPFefg7GTLWW57IFLZM+Mv5nv&#10;my/Li66p2V6h02ByPh6lnCkjodBmm/NPH6+fzTlzXphC1GBUzg/K8YvV0yfL1mZqAhXUhUJGIMZl&#10;rc155b3NksTJSjXCjcAqQ8kSsBGerrhNChQtoTd1MknTF0kLWFgEqZyj6LpP8gERHwMIZamlWoPc&#10;Ncr4HhVVLTxRcpW2jq/itGWppH9flk55VuecmPr4pSZ03oRvslqKbIvCVloOI4jHjPCAUyO0oaYn&#10;qLXwgu1Q/wPVaIngoPQjCU3SE4mKEItx+kCb20pYFbmQ1M6eRHf/D1a+239Apoucz9MZZ0Y0tPLj&#10;97vjj1/Hn9/YOKUoadRal1HpraVi372CjpwT+Tp7A/KzYwauKmG26hIR2kqJgmYch5fJ2dMexwWQ&#10;TfsWCmoldh4iUFdiEwQkSRih034Op/2ozjNJwfnk+WxBU0pKTRfpZBL3l4js/rFF518raFg45Bxp&#10;/RFc7G+cD8OI7L4k9DJwres6WqA2fwWosI+o6KHhdaASpu95+G7TDdJsoDgQKYTeX/R30aEC/MpZ&#10;S97KufuyE6g4q98YEmYxnk6DGeNlOntJPBieZzbnGWEkQeXcc9Yfr3xv4J1Fva2oU78KA5ckZqkj&#10;0TBqP9WwAvJP5D94PRj0/B6r/vzfq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0R+V31AAAAAcB&#10;AAAPAAAAAAAAAAEAIAAAACIAAABkcnMvZG93bnJldi54bWxQSwECFAAUAAAACACHTuJAtZq3Eh8C&#10;AAAnBAAADgAAAAAAAAABACAAAAAjAQAAZHJzL2Uyb0RvYy54bWxQSwUGAAAAAAYABgBZAQAAtAUA&#10;AAAA&#10;">
                <v:fill on="f" focussize="0,0"/>
                <v:stroke on="f"/>
                <v:imagedata o:title=""/>
                <o:lock v:ext="edit" aspectratio="f"/>
                <v:textbox>
                  <w:txbxContent>
                    <w:p w14:paraId="23E750CD">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索赔记录的保存和审查</w:t>
                      </w:r>
                    </w:p>
                  </w:txbxContent>
                </v:textbox>
              </v:shape>
            </w:pict>
          </mc:Fallback>
        </mc:AlternateContent>
      </w:r>
      <w:r>
        <w:rPr>
          <w:rFonts w:hint="eastAsia" w:ascii="仿宋" w:hAnsi="仿宋" w:eastAsia="仿宋" w:cs="仿宋"/>
          <w:color w:val="auto"/>
          <w:sz w:val="24"/>
          <w:szCs w:val="24"/>
          <w:highlight w:val="none"/>
          <w:lang w:eastAsia="zh-CN"/>
        </w:rPr>
        <w:t>在索赔事项发生时，承包人应保存当时的记录，作为申请索赔的凭证。造价咨询人在接到索赔意向书时，无需确认是否属于发包人责任，应先审查记录并可要求承包人进一步作好补充记录。承包人应配合造价咨询人审查其记录，在造价咨询人有要求时，应当向造价咨询人提供记录的复印件。</w:t>
      </w:r>
    </w:p>
    <w:p w14:paraId="7423DF7F">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80</w:t>
      </w:r>
      <w:r>
        <w:rPr>
          <w:rFonts w:ascii="仿宋" w:hAnsi="仿宋" w:eastAsia="仿宋" w:cs="仿宋"/>
          <w:b/>
          <w:bCs/>
          <w:color w:val="auto"/>
          <w:highlight w:val="none"/>
          <w:lang w:eastAsia="zh-CN"/>
        </w:rPr>
        <w:t xml:space="preserve">.4 </w:t>
      </w:r>
    </w:p>
    <w:p w14:paraId="4A6FC550">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1712" behindDoc="0" locked="0" layoutInCell="1" allowOverlap="1">
                <wp:simplePos x="0" y="0"/>
                <wp:positionH relativeFrom="column">
                  <wp:posOffset>-114300</wp:posOffset>
                </wp:positionH>
                <wp:positionV relativeFrom="paragraph">
                  <wp:posOffset>5080</wp:posOffset>
                </wp:positionV>
                <wp:extent cx="800100" cy="501650"/>
                <wp:effectExtent l="0" t="0" r="0" b="0"/>
                <wp:wrapNone/>
                <wp:docPr id="806" name="文本框 1006"/>
                <wp:cNvGraphicFramePr/>
                <a:graphic xmlns:a="http://schemas.openxmlformats.org/drawingml/2006/main">
                  <a:graphicData uri="http://schemas.microsoft.com/office/word/2010/wordprocessingShape">
                    <wps:wsp>
                      <wps:cNvSpPr txBox="1">
                        <a:spLocks noChangeArrowheads="1"/>
                      </wps:cNvSpPr>
                      <wps:spPr bwMode="auto">
                        <a:xfrm>
                          <a:off x="0" y="0"/>
                          <a:ext cx="800100" cy="501650"/>
                        </a:xfrm>
                        <a:prstGeom prst="rect">
                          <a:avLst/>
                        </a:prstGeom>
                        <a:noFill/>
                        <a:ln>
                          <a:noFill/>
                        </a:ln>
                        <a:effectLst/>
                      </wps:spPr>
                      <wps:txbx>
                        <w:txbxContent>
                          <w:p w14:paraId="0B4F53E8">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提交费用索赔报告</w:t>
                            </w:r>
                          </w:p>
                        </w:txbxContent>
                      </wps:txbx>
                      <wps:bodyPr rot="0" vert="horz" wrap="square" lIns="91440" tIns="45720" rIns="91440" bIns="45720" anchor="t" anchorCtr="0" upright="1">
                        <a:noAutofit/>
                      </wps:bodyPr>
                    </wps:wsp>
                  </a:graphicData>
                </a:graphic>
              </wp:anchor>
            </w:drawing>
          </mc:Choice>
          <mc:Fallback>
            <w:pict>
              <v:shape id="文本框 1006" o:spid="_x0000_s1026" o:spt="202" type="#_x0000_t202" style="position:absolute;left:0pt;margin-left:-9pt;margin-top:0.4pt;height:39.5pt;width:63pt;z-index:251891712;mso-width-relative:page;mso-height-relative:page;" filled="f" stroked="f" coordsize="21600,21600" o:gfxdata="UEsDBAoAAAAAAIdO4kAAAAAAAAAAAAAAAAAEAAAAZHJzL1BLAwQUAAAACACHTuJAk3jynNMAAAAH&#10;AQAADwAAAGRycy9kb3ducmV2LnhtbE2PS0/DMBCE70j8B2uRuLV2EI80ZNMDiCuI8pC4beNtEhGv&#10;o9htwr/HOcFxNKOZb8rt7Hp14jF0XhCytQHFUnvbSYPw/va0ykGFSGKp98IIPxxgW52flVRYP8kr&#10;n3axUalEQkEIbYxDoXWoW3YU1n5gSd7Bj45ikmOj7UhTKne9vjLmVjvqJC20NPBDy/X37ugQPp4P&#10;X5/X5qV5dDfD5GejxW004uVFZu5BRZ7jXxgW/IQOVWLa+6PYoHqEVZanLxEhHVhss8g9wt0mB12V&#10;+j9/9QtQSwMEFAAAAAgAh07iQA8Er4IdAgAAJwQAAA4AAABkcnMvZTJvRG9jLnhtbK1TzY7TMBC+&#10;I/EOlu80SdWWJWq6WrZahLT8SAsP4DpOY5F4zNhtUh4A3oATF+48V5+DsZMtZbnsgYtle8bfzPfN&#10;5+Vl3zZsr9BpMAXPJilnykgotdkW/OOHm2cXnDkvTCkaMKrgB+X45erpk2VnczWFGppSISMQ4/LO&#10;Frz23uZJ4mStWuEmYJWhYAXYCk9H3CYlio7Q2yaZpuki6QBLiyCVc3S7HoJ8RMTHAEJVaanWIHet&#10;Mn5ARdUIT5Rcra3jq9htVSnp31WVU541BSemPq5UhPabsCarpci3KGyt5diCeEwLDzi1QhsqeoJa&#10;Cy/YDvU/UK2WCA4qP5HQJgORqAixyNIH2tzVwqrIhaR29iS6+3+w8u3+PTJdFvwiXXBmREsjP37/&#10;dvzx6/jzK8toYEGjzrqcUu8sJfv+JfTknMjX2VuQnxwzcF0Ls1VXiNDVSpTUYxZeJmdPBxwXQDbd&#10;GyiplNh5iEB9hW0QkCRhhE7zOZzmo3rPJF1epKQRRSSF5mm2mMf5JSK/f2zR+VcKWhY2BUcafwQX&#10;+1vnQzMiv08JtQzc6KaJFmjMXxeUONyo6KHxdaASuh94+H7Tj9JsoDwQKYTBX/S7aFMDfuGsI28V&#10;3H3eCVScNa8NCfMim82CGeNhNn8+pQOeRzbnEWEkQRXcczZsr/1g4J1Fva2p0jAKA1ckZqUj0dDq&#10;0NU4AvJP5D96PRj0/Byz/vzv1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TePKc0wAAAAcBAAAP&#10;AAAAAAAAAAEAIAAAACIAAABkcnMvZG93bnJldi54bWxQSwECFAAUAAAACACHTuJADwSvgh0CAAAn&#10;BAAADgAAAAAAAAABACAAAAAiAQAAZHJzL2Uyb0RvYy54bWxQSwUGAAAAAAYABgBZAQAAsQUAAAAA&#10;">
                <v:fill on="f" focussize="0,0"/>
                <v:stroke on="f"/>
                <v:imagedata o:title=""/>
                <o:lock v:ext="edit" aspectratio="f"/>
                <v:textbox>
                  <w:txbxContent>
                    <w:p w14:paraId="0B4F53E8">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提交费用索赔报告</w:t>
                      </w:r>
                    </w:p>
                  </w:txbxContent>
                </v:textbox>
              </v:shape>
            </w:pict>
          </mc:Fallback>
        </mc:AlternateContent>
      </w:r>
      <w:r>
        <w:rPr>
          <w:rFonts w:hint="eastAsia" w:ascii="仿宋" w:hAnsi="仿宋" w:eastAsia="仿宋" w:cs="仿宋"/>
          <w:color w:val="auto"/>
          <w:sz w:val="24"/>
          <w:szCs w:val="24"/>
          <w:highlight w:val="none"/>
          <w:lang w:eastAsia="zh-CN"/>
        </w:rPr>
        <w:t>在发出索赔意向书后的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天内，承包人应向造价咨询人提交费用索赔报告和有关资料。如果索赔事项持续进行，承包人应每隔</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天向造价咨询人发出索赔意向书，在索赔事项终结后的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天内，提交最终费用索赔报告和有关资料。</w:t>
      </w:r>
    </w:p>
    <w:p w14:paraId="148B5102">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80</w:t>
      </w:r>
      <w:r>
        <w:rPr>
          <w:rFonts w:ascii="仿宋" w:hAnsi="仿宋" w:eastAsia="仿宋" w:cs="仿宋"/>
          <w:b/>
          <w:bCs/>
          <w:color w:val="auto"/>
          <w:highlight w:val="none"/>
          <w:lang w:eastAsia="zh-CN"/>
        </w:rPr>
        <w:t>.5</w:t>
      </w:r>
    </w:p>
    <w:p w14:paraId="4BAC1A78">
      <w:pPr>
        <w:pStyle w:val="2"/>
        <w:widowControl w:val="0"/>
        <w:adjustRightInd w:val="0"/>
        <w:snapToGrid w:val="0"/>
        <w:spacing w:line="360" w:lineRule="auto"/>
        <w:ind w:left="1850" w:leftChars="771"/>
        <w:jc w:val="both"/>
        <w:rPr>
          <w:rFonts w:hint="eastAsia" w:ascii="仿宋" w:hAnsi="仿宋" w:eastAsia="仿宋"/>
          <w:b/>
          <w:bCs/>
          <w:color w:val="auto"/>
          <w:sz w:val="24"/>
          <w:szCs w:val="24"/>
          <w:highlight w:val="none"/>
          <w:lang w:eastAsia="zh-CN"/>
        </w:rPr>
      </w:pPr>
      <w:r>
        <w:rPr>
          <w:rFonts w:ascii="仿宋" w:hAnsi="仿宋" w:eastAsia="仿宋" w:cs="仿宋"/>
          <w:b/>
          <w:bCs/>
          <w:color w:val="auto"/>
          <w:highlight w:val="none"/>
          <w:lang w:eastAsia="zh-CN"/>
        </w:rPr>
        <mc:AlternateContent>
          <mc:Choice Requires="wps">
            <w:drawing>
              <wp:anchor distT="0" distB="0" distL="114300" distR="114300" simplePos="0" relativeHeight="252058624" behindDoc="0" locked="0" layoutInCell="1" allowOverlap="1">
                <wp:simplePos x="0" y="0"/>
                <wp:positionH relativeFrom="column">
                  <wp:posOffset>-47625</wp:posOffset>
                </wp:positionH>
                <wp:positionV relativeFrom="paragraph">
                  <wp:posOffset>15875</wp:posOffset>
                </wp:positionV>
                <wp:extent cx="845820" cy="327025"/>
                <wp:effectExtent l="0" t="0" r="0" b="0"/>
                <wp:wrapNone/>
                <wp:docPr id="807" name="文本框 1007"/>
                <wp:cNvGraphicFramePr/>
                <a:graphic xmlns:a="http://schemas.openxmlformats.org/drawingml/2006/main">
                  <a:graphicData uri="http://schemas.microsoft.com/office/word/2010/wordprocessingShape">
                    <wps:wsp>
                      <wps:cNvSpPr txBox="1">
                        <a:spLocks noChangeArrowheads="1"/>
                      </wps:cNvSpPr>
                      <wps:spPr bwMode="auto">
                        <a:xfrm>
                          <a:off x="0" y="0"/>
                          <a:ext cx="845820" cy="327025"/>
                        </a:xfrm>
                        <a:prstGeom prst="rect">
                          <a:avLst/>
                        </a:prstGeom>
                        <a:noFill/>
                        <a:ln>
                          <a:noFill/>
                        </a:ln>
                        <a:effectLst/>
                      </wps:spPr>
                      <wps:txbx>
                        <w:txbxContent>
                          <w:p w14:paraId="363B3971">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无权索赔</w:t>
                            </w:r>
                          </w:p>
                        </w:txbxContent>
                      </wps:txbx>
                      <wps:bodyPr rot="0" vert="horz" wrap="square" lIns="91440" tIns="45720" rIns="91440" bIns="45720" anchor="t" anchorCtr="0" upright="1">
                        <a:noAutofit/>
                      </wps:bodyPr>
                    </wps:wsp>
                  </a:graphicData>
                </a:graphic>
              </wp:anchor>
            </w:drawing>
          </mc:Choice>
          <mc:Fallback>
            <w:pict>
              <v:shape id="文本框 1007" o:spid="_x0000_s1026" o:spt="202" type="#_x0000_t202" style="position:absolute;left:0pt;margin-left:-3.75pt;margin-top:1.25pt;height:25.75pt;width:66.6pt;z-index:252058624;mso-width-relative:page;mso-height-relative:page;" filled="f" stroked="f" coordsize="21600,21600" o:gfxdata="UEsDBAoAAAAAAIdO4kAAAAAAAAAAAAAAAAAEAAAAZHJzL1BLAwQUAAAACACHTuJAHwfNAtQAAAAH&#10;AQAADwAAAGRycy9kb3ducmV2LnhtbE2OzU7DMBCE70i8g7VI3Fq7UUMhZNMDiCuI8iNx28bbJCJe&#10;R7HbhLfHPcFpNJrRzFduZ9erE4+h84KwWhpQLLW3nTQI729Pi1tQIZJY6r0wwg8H2FaXFyUV1k/y&#10;yqddbFQakVAQQhvjUGgd6pYdhaUfWFJ28KOjmOzYaDvSlMZdrzNjbrSjTtJDSwM/tFx/744O4eP5&#10;8PW5Ni/No8uHyc9Gi7vTiNdXK3MPKvIc/8pwxk/oUCWmvT+KDapHWGzy1ETIkpzjLN+A2iPkawO6&#10;KvV//uoXUEsDBBQAAAAIAIdO4kC+aTk8HgIAACcEAAAOAAAAZHJzL2Uyb0RvYy54bWytU82O0zAQ&#10;viPxDpbvNGlpaYmarpatFiEtP9LCA7iO01gkHjN2m5QHYN+AExfuPFefg7GTLWW57IFLZM+Mv5nv&#10;my/Li66p2V6h02ByPh6lnCkjodBmm/NPH6+fLThzXphC1GBUzg/K8YvV0yfL1mZqAhXUhUJGIMZl&#10;rc155b3NksTJSjXCjcAqQ8kSsBGerrhNChQtoTd1MknTF0kLWFgEqZyj6LpP8gERHwMIZamlWoPc&#10;Ncr4HhVVLTxRcpW2jq/itGWppH9flk55VuecmPr4pSZ03oRvslqKbIvCVloOI4jHjPCAUyO0oaYn&#10;qLXwgu1Q/wPVaIngoPQjCU3SE4mKEItx+kCb20pYFbmQ1M6eRHf/D1a+239ApoucL9I5Z0Y0tPLj&#10;97vjj1/Hn9/YOKUoadRal1HpraVi372CjpwT+Tp7A/KzYwauKmG26hIR2kqJgmYch5fJ2dMexwWQ&#10;TfsWCmoldh4iUFdiEwQkSRih034Op/2ozjNJwcV0tphQRlLq+WSeTmaxg8juH1t0/rWChoVDzpHW&#10;H8HF/sb5MIzI7ktCLwPXuq6jBWrzV4AK+4iKHhpeByph+p6H7zbdIM0GigORQuj9RX8XHSrAr5y1&#10;5K2cuy87gYqz+o0hYV6Op9NgxniZzuaBE55nNucZYSRB5dxz1h+vfG/gnUW9rahTvwoDlyRmqSPR&#10;MGo/1bAC8k/kP3g9GPT8Hqv+/N+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8HzQLUAAAABwEA&#10;AA8AAAAAAAAAAQAgAAAAIgAAAGRycy9kb3ducmV2LnhtbFBLAQIUABQAAAAIAIdO4kC+aTk8HgIA&#10;ACcEAAAOAAAAAAAAAAEAIAAAACMBAABkcnMvZTJvRG9jLnhtbFBLBQYAAAAABgAGAFkBAACzBQAA&#10;AAA=&#10;">
                <v:fill on="f" focussize="0,0"/>
                <v:stroke on="f"/>
                <v:imagedata o:title=""/>
                <o:lock v:ext="edit" aspectratio="f"/>
                <v:textbox>
                  <w:txbxContent>
                    <w:p w14:paraId="363B3971">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无权索赔</w:t>
                      </w:r>
                    </w:p>
                  </w:txbxContent>
                </v:textbox>
              </v:shape>
            </w:pict>
          </mc:Fallback>
        </mc:AlternateContent>
      </w:r>
      <w:r>
        <w:rPr>
          <w:rFonts w:hint="eastAsia" w:ascii="仿宋" w:hAnsi="仿宋" w:eastAsia="仿宋" w:cs="仿宋"/>
          <w:color w:val="auto"/>
          <w:sz w:val="24"/>
          <w:szCs w:val="24"/>
          <w:highlight w:val="none"/>
          <w:lang w:eastAsia="zh-CN"/>
        </w:rPr>
        <w:t>如果承包人提出的索赔未能遵守第80</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款至第80</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款约定，则承包人无权获得索赔或只限于获得由造价咨询人按照提供记录予以核实的部分款额。</w:t>
      </w:r>
    </w:p>
    <w:p w14:paraId="5B678C10">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80</w:t>
      </w:r>
      <w:r>
        <w:rPr>
          <w:rFonts w:ascii="仿宋" w:hAnsi="仿宋" w:eastAsia="仿宋" w:cs="仿宋"/>
          <w:b/>
          <w:bCs/>
          <w:color w:val="auto"/>
          <w:highlight w:val="none"/>
          <w:lang w:eastAsia="zh-CN"/>
        </w:rPr>
        <w:t xml:space="preserve">.6  </w:t>
      </w:r>
    </w:p>
    <w:p w14:paraId="6046F0B2">
      <w:pPr>
        <w:pStyle w:val="2"/>
        <w:widowControl w:val="0"/>
        <w:adjustRightInd w:val="0"/>
        <w:snapToGrid w:val="0"/>
        <w:spacing w:line="360" w:lineRule="auto"/>
        <w:ind w:left="1850" w:leftChars="771"/>
        <w:jc w:val="both"/>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3760" behindDoc="0" locked="0" layoutInCell="1" allowOverlap="1">
                <wp:simplePos x="0" y="0"/>
                <wp:positionH relativeFrom="column">
                  <wp:posOffset>-114300</wp:posOffset>
                </wp:positionH>
                <wp:positionV relativeFrom="paragraph">
                  <wp:posOffset>8255</wp:posOffset>
                </wp:positionV>
                <wp:extent cx="823595" cy="494665"/>
                <wp:effectExtent l="0" t="0" r="0" b="0"/>
                <wp:wrapNone/>
                <wp:docPr id="808" name="文本框 1008"/>
                <wp:cNvGraphicFramePr/>
                <a:graphic xmlns:a="http://schemas.openxmlformats.org/drawingml/2006/main">
                  <a:graphicData uri="http://schemas.microsoft.com/office/word/2010/wordprocessingShape">
                    <wps:wsp>
                      <wps:cNvSpPr txBox="1">
                        <a:spLocks noChangeArrowheads="1"/>
                      </wps:cNvSpPr>
                      <wps:spPr bwMode="auto">
                        <a:xfrm>
                          <a:off x="0" y="0"/>
                          <a:ext cx="823595" cy="494665"/>
                        </a:xfrm>
                        <a:prstGeom prst="rect">
                          <a:avLst/>
                        </a:prstGeom>
                        <a:noFill/>
                        <a:ln>
                          <a:noFill/>
                        </a:ln>
                        <a:effectLst/>
                      </wps:spPr>
                      <wps:txbx>
                        <w:txbxContent>
                          <w:p w14:paraId="6D62FD3D">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核实费用索赔报告的限制</w:t>
                            </w:r>
                          </w:p>
                        </w:txbxContent>
                      </wps:txbx>
                      <wps:bodyPr rot="0" vert="horz" wrap="square" lIns="91440" tIns="45720" rIns="91440" bIns="45720" anchor="t" anchorCtr="0" upright="1">
                        <a:noAutofit/>
                      </wps:bodyPr>
                    </wps:wsp>
                  </a:graphicData>
                </a:graphic>
              </wp:anchor>
            </w:drawing>
          </mc:Choice>
          <mc:Fallback>
            <w:pict>
              <v:shape id="文本框 1008" o:spid="_x0000_s1026" o:spt="202" type="#_x0000_t202" style="position:absolute;left:0pt;margin-left:-9pt;margin-top:0.65pt;height:38.95pt;width:64.85pt;z-index:251893760;mso-width-relative:page;mso-height-relative:page;" filled="f" stroked="f" coordsize="21600,21600" o:gfxdata="UEsDBAoAAAAAAIdO4kAAAAAAAAAAAAAAAAAEAAAAZHJzL1BLAwQUAAAACACHTuJANcf5E9YAAAAI&#10;AQAADwAAAGRycy9kb3ducmV2LnhtbE2Py27CMBBF95X4B2uQugPb9AGkcViAum1V+pC6G+IhiRqP&#10;o9iQ9O9rVmU5OqN7z803o2vFmfrQeDag5woEceltw5WBj/fn2QpEiMgWW89k4JcCbIrJTY6Z9QO/&#10;0XkfK5FCOGRooI6xy6QMZU0Ow9x3xIkdfe8wprOvpO1xSOGulQulHqXDhlNDjR1tayp/9idn4PPl&#10;+P11r16rnXvoBj8qyW4tjbmdavUEItIY/5/hop/UoUhOB39iG0RrYKZXaUtM4A7EhWu9BHEwsFwv&#10;QBa5vB5Q/AFQSwMEFAAAAAgAh07iQLv/KqIgAgAAJwQAAA4AAABkcnMvZTJvRG9jLnhtbK1TzY7T&#10;MBC+I/EOlu80aWlLGzVdLVstQlp+pIUHcB2nsUg8Zuw2WR4A3oATF+48V5+DsZMtZbnsgUtkz4y/&#10;me+bL6uLrqnZQaHTYHI+HqWcKSOh0GaX848frp8tOHNemELUYFTO75TjF+unT1atzdQEKqgLhYxA&#10;jMtam/PKe5sliZOVaoQbgVWGkiVgIzxdcZcUKFpCb+pkkqbzpAUsLIJUzlF00yf5gIiPAYSy1FJt&#10;QO4bZXyPiqoWnii5SlvH13HaslTSvytLpzyrc05MffxSEzpvwzdZr0S2Q2ErLYcRxGNGeMCpEdpQ&#10;0xPURnjB9qj/gWq0RHBQ+pGEJumJREWIxTh9oM1tJayKXEhqZ0+iu/8HK98e3iPTRc4XKS3eiIZW&#10;fvz+7fjj1/HnVzZOKUoatdZlVHprqdh3L6Ej50S+zt6A/OSYgatKmJ26RIS2UqKgGcfhZXL2tMdx&#10;AWTbvoGCWom9hwjUldgEAUkSRui0n7vTflTnmaTgYvJ8tpxxJik1XU7n81nsILL7xxadf6WgYeGQ&#10;c6T1R3BxuHE+DCOy+5LQy8C1rutogdr8FaDCPqKih4bXgUqYvufhu203SLOF4o5IIfT+or+LDhXg&#10;F85a8lbO3ee9QMVZ/dqQMMvxdBrMGC/T2YsJXfA8sz3PCCMJKuees/545XsD7y3qXUWd+lUYuCQx&#10;Sx2JhlH7qYYVkH8i/8HrwaDn91j15/9e/w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1x/kT1gAA&#10;AAgBAAAPAAAAAAAAAAEAIAAAACIAAABkcnMvZG93bnJldi54bWxQSwECFAAUAAAACACHTuJAu/8q&#10;oiACAAAnBAAADgAAAAAAAAABACAAAAAlAQAAZHJzL2Uyb0RvYy54bWxQSwUGAAAAAAYABgBZAQAA&#10;twUAAAAA&#10;">
                <v:fill on="f" focussize="0,0"/>
                <v:stroke on="f"/>
                <v:imagedata o:title=""/>
                <o:lock v:ext="edit" aspectratio="f"/>
                <v:textbox>
                  <w:txbxContent>
                    <w:p w14:paraId="6D62FD3D">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核实费用索赔报告的限制</w:t>
                      </w:r>
                    </w:p>
                  </w:txbxContent>
                </v:textbox>
              </v:shape>
            </w:pict>
          </mc:Fallback>
        </mc:AlternateContent>
      </w:r>
      <w:r>
        <w:rPr>
          <w:rFonts w:hint="eastAsia" w:ascii="仿宋" w:hAnsi="仿宋" w:eastAsia="仿宋" w:cs="仿宋"/>
          <w:color w:val="auto"/>
          <w:sz w:val="24"/>
          <w:szCs w:val="24"/>
          <w:highlight w:val="none"/>
          <w:lang w:eastAsia="zh-CN"/>
        </w:rPr>
        <w:t>造价咨询人应在收到承包人提交的费用索赔报告和有关资料后的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予以核实或要求承包人进一步补充索赔理由和证据，并与合同双方当事人协商确定承包人有权获得的全部或部分的索赔款额；协商不能达成一致的，由造价咨询人暂定，通知承包人并抄报发包人。如果造价咨询人在约定期限内未予答复也未对承包人作出进一步要求，视为该费用索赔报告已经被认可。</w:t>
      </w:r>
    </w:p>
    <w:p w14:paraId="036D417B">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80</w:t>
      </w:r>
      <w:r>
        <w:rPr>
          <w:rFonts w:ascii="仿宋" w:hAnsi="仿宋" w:eastAsia="仿宋" w:cs="仿宋"/>
          <w:b/>
          <w:bCs/>
          <w:color w:val="auto"/>
          <w:highlight w:val="none"/>
          <w:lang w:eastAsia="zh-CN"/>
        </w:rPr>
        <w:t xml:space="preserve">.7  </w:t>
      </w:r>
    </w:p>
    <w:p w14:paraId="51BBE38C">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2736" behindDoc="0" locked="0" layoutInCell="1" allowOverlap="1">
                <wp:simplePos x="0" y="0"/>
                <wp:positionH relativeFrom="column">
                  <wp:posOffset>-114300</wp:posOffset>
                </wp:positionH>
                <wp:positionV relativeFrom="paragraph">
                  <wp:posOffset>38735</wp:posOffset>
                </wp:positionV>
                <wp:extent cx="589915" cy="325755"/>
                <wp:effectExtent l="0" t="0" r="0" b="0"/>
                <wp:wrapNone/>
                <wp:docPr id="809" name="文本框 1009"/>
                <wp:cNvGraphicFramePr/>
                <a:graphic xmlns:a="http://schemas.openxmlformats.org/drawingml/2006/main">
                  <a:graphicData uri="http://schemas.microsoft.com/office/word/2010/wordprocessingShape">
                    <wps:wsp>
                      <wps:cNvSpPr txBox="1">
                        <a:spLocks noChangeArrowheads="1"/>
                      </wps:cNvSpPr>
                      <wps:spPr bwMode="auto">
                        <a:xfrm>
                          <a:off x="0" y="0"/>
                          <a:ext cx="589915" cy="325755"/>
                        </a:xfrm>
                        <a:prstGeom prst="rect">
                          <a:avLst/>
                        </a:prstGeom>
                        <a:noFill/>
                        <a:ln>
                          <a:noFill/>
                        </a:ln>
                        <a:effectLst/>
                      </wps:spPr>
                      <wps:txbx>
                        <w:txbxContent>
                          <w:p w14:paraId="57954B23">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反索赔</w:t>
                            </w:r>
                          </w:p>
                        </w:txbxContent>
                      </wps:txbx>
                      <wps:bodyPr rot="0" vert="horz" wrap="square" lIns="91440" tIns="45720" rIns="91440" bIns="45720" anchor="t" anchorCtr="0" upright="1">
                        <a:noAutofit/>
                      </wps:bodyPr>
                    </wps:wsp>
                  </a:graphicData>
                </a:graphic>
              </wp:anchor>
            </w:drawing>
          </mc:Choice>
          <mc:Fallback>
            <w:pict>
              <v:shape id="文本框 1009" o:spid="_x0000_s1026" o:spt="202" type="#_x0000_t202" style="position:absolute;left:0pt;margin-left:-9pt;margin-top:3.05pt;height:25.65pt;width:46.45pt;z-index:251892736;mso-width-relative:page;mso-height-relative:page;" filled="f" stroked="f" coordsize="21600,21600" o:gfxdata="UEsDBAoAAAAAAIdO4kAAAAAAAAAAAAAAAAAEAAAAZHJzL1BLAwQUAAAACACHTuJAJpHlLtYAAAAH&#10;AQAADwAAAGRycy9kb3ducmV2LnhtbE2PS0/DMBCE70j8B2uRuLV2qvSVZtNDEVcQfSBxc+NtEjVe&#10;R7HbhH+POcFxNKOZb/LtaFtxp943jhGSqQJBXDrTcIVwPLxOViB80Gx065gQvsnDtnh8yHVm3MAf&#10;dN+HSsQS9plGqEPoMil9WZPVfuo64uhdXG91iLKvpOn1EMttK2dKLaTVDceFWne0q6m87m8W4fR2&#10;+fpM1Xv1Yufd4EYl2a4l4vNTojYgAo3hLwy/+BEdish0djc2XrQIk2QVvwSERQIi+st0DeKMMF+m&#10;IItc/ucvfgBQSwMEFAAAAAgAh07iQDRhGaUgAgAAJwQAAA4AAABkcnMvZTJvRG9jLnhtbK1TzY7T&#10;MBC+I/EOlu80SWnYNmq6WrZahLT8SAsP4DpOY5F4jO02KQ8Ab8CJC3eeq8/B2M6Wslz2wCWyZ8bf&#10;zPfNl+Xl0LVkL4yVoEqaTVJKhOJQSbUt6ccPN8/mlFjHVMVaUKKkB2Hp5erpk2WvCzGFBtpKGIIg&#10;yha9LmnjnC6SxPJGdMxOQAuFyRpMxxxezTapDOsRvWuTaZq+SHowlTbAhbUYXcckHRHNYwChriUX&#10;a+C7TigXUY1omUNKtpHa0lWYtq4Fd+/q2gpH2pIiUxe+2ATPG/9NVktWbA3TjeTjCOwxIzzg1DGp&#10;sOkJas0cIzsj/4HqJDdgoXYTDl0SiQRFkEWWPtDmrmFaBC4otdUn0e3/g+Vv9+8NkVVJ5+mCEsU6&#10;XPnx+7fjj1/Hn19JlmIUNeq1LbD0TmOxG17CgM4JfK2+Bf7JEgXXDVNbcWUM9I1gFc6Y+ZfJ2dOI&#10;Yz3Ipn8DFbZiOwcBaKhN5wVESQii434Op/2IwRGOwXy+WGQ5JRxTz6f5RZ6HDqy4f6yNda8EdMQf&#10;Smpw/QGc7W+t88Ow4r7E91JwI9s2WKBVfwWwMEZE8ND42lPx00cebtgMozQbqA5IykD0F/5deGjA&#10;fKGkR2+V1H7eMSMoaV8rFGaRzWbejOEyyy+meDHnmc15himOUCV1lMTjtYsG3mkjtw12iqtQcIVi&#10;1jIQ9aPGqcYVoH8C/9Hr3qDn91D15/9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mkeUu1gAA&#10;AAcBAAAPAAAAAAAAAAEAIAAAACIAAABkcnMvZG93bnJldi54bWxQSwECFAAUAAAACACHTuJANGEZ&#10;pSACAAAnBAAADgAAAAAAAAABACAAAAAlAQAAZHJzL2Uyb0RvYy54bWxQSwUGAAAAAAYABgBZAQAA&#10;twUAAAAA&#10;">
                <v:fill on="f" focussize="0,0"/>
                <v:stroke on="f"/>
                <v:imagedata o:title=""/>
                <o:lock v:ext="edit" aspectratio="f"/>
                <v:textbox>
                  <w:txbxContent>
                    <w:p w14:paraId="57954B23">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反索赔</w:t>
                      </w:r>
                    </w:p>
                  </w:txbxContent>
                </v:textbox>
              </v:shape>
            </w:pict>
          </mc:Fallback>
        </mc:AlternateContent>
      </w:r>
      <w:r>
        <w:rPr>
          <w:rFonts w:hint="eastAsia" w:ascii="仿宋" w:hAnsi="仿宋" w:eastAsia="仿宋" w:cs="仿宋"/>
          <w:color w:val="auto"/>
          <w:sz w:val="24"/>
          <w:szCs w:val="24"/>
          <w:highlight w:val="none"/>
          <w:lang w:eastAsia="zh-CN"/>
        </w:rPr>
        <w:t>承包人未能按照合同约定履行各项义务或发生错误，给发包人造成损失，发包人可按照本条约定的时限和要求向承包人提出索赔。</w:t>
      </w:r>
    </w:p>
    <w:p w14:paraId="42ECE6CA">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80</w:t>
      </w:r>
      <w:r>
        <w:rPr>
          <w:rFonts w:ascii="仿宋" w:hAnsi="仿宋" w:eastAsia="仿宋" w:cs="仿宋"/>
          <w:b/>
          <w:bCs/>
          <w:color w:val="auto"/>
          <w:highlight w:val="none"/>
          <w:lang w:eastAsia="zh-CN"/>
        </w:rPr>
        <w:t>.8</w:t>
      </w:r>
    </w:p>
    <w:p w14:paraId="248E8CDE">
      <w:pPr>
        <w:pStyle w:val="2"/>
        <w:widowControl w:val="0"/>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3760" behindDoc="0" locked="0" layoutInCell="1" allowOverlap="1">
                <wp:simplePos x="0" y="0"/>
                <wp:positionH relativeFrom="column">
                  <wp:posOffset>-114300</wp:posOffset>
                </wp:positionH>
                <wp:positionV relativeFrom="paragraph">
                  <wp:posOffset>18415</wp:posOffset>
                </wp:positionV>
                <wp:extent cx="775970" cy="487045"/>
                <wp:effectExtent l="0" t="0" r="0" b="0"/>
                <wp:wrapNone/>
                <wp:docPr id="810" name="文本框 1010"/>
                <wp:cNvGraphicFramePr/>
                <a:graphic xmlns:a="http://schemas.openxmlformats.org/drawingml/2006/main">
                  <a:graphicData uri="http://schemas.microsoft.com/office/word/2010/wordprocessingShape">
                    <wps:wsp>
                      <wps:cNvSpPr txBox="1">
                        <a:spLocks noChangeArrowheads="1"/>
                      </wps:cNvSpPr>
                      <wps:spPr bwMode="auto">
                        <a:xfrm>
                          <a:off x="0" y="0"/>
                          <a:ext cx="775970" cy="487045"/>
                        </a:xfrm>
                        <a:prstGeom prst="rect">
                          <a:avLst/>
                        </a:prstGeom>
                        <a:noFill/>
                        <a:ln>
                          <a:noFill/>
                        </a:ln>
                        <a:effectLst/>
                      </wps:spPr>
                      <wps:txbx>
                        <w:txbxContent>
                          <w:p w14:paraId="5D5BBFEC">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调整价格的确认与支付</w:t>
                            </w:r>
                          </w:p>
                        </w:txbxContent>
                      </wps:txbx>
                      <wps:bodyPr rot="0" vert="horz" wrap="square" lIns="91440" tIns="45720" rIns="91440" bIns="45720" anchor="t" anchorCtr="0" upright="1">
                        <a:noAutofit/>
                      </wps:bodyPr>
                    </wps:wsp>
                  </a:graphicData>
                </a:graphic>
              </wp:anchor>
            </w:drawing>
          </mc:Choice>
          <mc:Fallback>
            <w:pict>
              <v:shape id="文本框 1010" o:spid="_x0000_s1026" o:spt="202" type="#_x0000_t202" style="position:absolute;left:0pt;margin-left:-9pt;margin-top:1.45pt;height:38.35pt;width:61.1pt;z-index:251893760;mso-width-relative:page;mso-height-relative:page;" filled="f" stroked="f" coordsize="21600,21600" o:gfxdata="UEsDBAoAAAAAAIdO4kAAAAAAAAAAAAAAAAAEAAAAZHJzL1BLAwQUAAAACACHTuJAu0toStYAAAAI&#10;AQAADwAAAGRycy9kb3ducmV2LnhtbE2PwU7DMBBE70j9B2uRuLV2otI2IZseiriCaAsSNzfeJhHx&#10;OordJvw97gmOoxnNvCm2k+3ElQbfOkZIFgoEceVMyzXC8fAy34DwQbPRnWNC+CEP23J2V+jcuJHf&#10;6boPtYgl7HON0ITQ51L6qiGr/cL1xNE7u8HqEOVQSzPoMZbbTqZKraTVLceFRve0a6j63l8swsfr&#10;+etzqd7qZ/vYj25Skm0mER/uE/UEItAU/sJww4/oUEamk7uw8aJDmCeb+CUgpBmIm6+WKYgTwjpb&#10;gSwL+f9A+QtQSwMEFAAAAAgAh07iQNJeqzMeAgAAJwQAAA4AAABkcnMvZTJvRG9jLnhtbK1TzY7T&#10;MBC+I/EOlu80TdXSbtR0tWy1CGn5kRYewHWcxiLxmLHbpDwAvMGeuHDnufocjJ1sKctlD1ws2zP+&#10;5vu+GS8vu6Zme4VOg8l5OhpzpoyEQpttzj99vHmx4Mx5YQpRg1E5PyjHL1fPny1bm6kJVFAXChmB&#10;GJe1NueV9zZLEicr1Qg3AqsMBUvARng64jYpULSE3tTJZDx+mbSAhUWQyjm6XfdBPiDiUwChLLVU&#10;a5C7Rhnfo6KqhSdJrtLW8VVkW5ZK+vdl6ZRndc5JqY8rFaH9JqzJaimyLQpbaTlQEE+h8EhTI7Sh&#10;oieotfCC7VD/A9VoieCg9CMJTdILiY6QinT8yJu7SlgVtZDVzp5Md/8PVr7bf0Cmi5wvUvLEiIZa&#10;frz/fvzx6/jzG0uJVPCotS6j1DtLyb57BR1NTtTr7C3Iz44ZuK6E2aorRGgrJQrimIaXydnTHscF&#10;kE37FgoqJXYeIlBXYhMMJEsYoROXw6k/qvNM0uV8PruYU0RSaLqYj6ezWEFkD48tOv9aQcPCJudI&#10;7Y/gYn/rfCAjsoeUUMvAja7rOAK1+euCEvsbFWdoeB2kBPa9Dt9tusGaDRQHEoXQzxf9LtpUgF85&#10;a2m2cu6+7AQqzuo3hoy5SKdTkuHjYTqbT+iA55HNeUQYSVA595z122vfD/DOot5WVKlvhYErMrPU&#10;UWig2rMaWkDzE/UPsx4G9Pwcs/7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u0toStYAAAAI&#10;AQAADwAAAAAAAAABACAAAAAiAAAAZHJzL2Rvd25yZXYueG1sUEsBAhQAFAAAAAgAh07iQNJeqzMe&#10;AgAAJwQAAA4AAAAAAAAAAQAgAAAAJQEAAGRycy9lMm9Eb2MueG1sUEsFBgAAAAAGAAYAWQEAALUF&#10;AAAAAA==&#10;">
                <v:fill on="f" focussize="0,0"/>
                <v:stroke on="f"/>
                <v:imagedata o:title=""/>
                <o:lock v:ext="edit" aspectratio="f"/>
                <v:textbox>
                  <w:txbxContent>
                    <w:p w14:paraId="5D5BBFEC">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调整价格的确认与支付</w:t>
                      </w:r>
                    </w:p>
                  </w:txbxContent>
                </v:textbox>
              </v:shape>
            </w:pict>
          </mc:Fallback>
        </mc:AlternateContent>
      </w:r>
      <w:r>
        <w:rPr>
          <w:rFonts w:hint="eastAsia" w:ascii="仿宋" w:hAnsi="仿宋" w:eastAsia="仿宋" w:cs="仿宋"/>
          <w:color w:val="auto"/>
          <w:sz w:val="24"/>
          <w:szCs w:val="24"/>
          <w:highlight w:val="none"/>
          <w:lang w:eastAsia="zh-CN"/>
        </w:rPr>
        <w:t>费用索赔报告被认可，则表明该事项已索赔成功，合同双方当事人应确认由此引起调整的合同价格，并作为追加（减）合同价格，与工程进度款或结算款同期支付。</w:t>
      </w:r>
    </w:p>
    <w:p w14:paraId="37ED3DE5">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15489146">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0" w:name="_Toc8242"/>
      <w:r>
        <w:rPr>
          <w:rFonts w:hint="eastAsia" w:ascii="仿宋" w:hAnsi="仿宋" w:eastAsia="仿宋" w:cs="仿宋"/>
          <w:bCs w:val="0"/>
          <w:color w:val="auto"/>
          <w:sz w:val="24"/>
          <w:szCs w:val="24"/>
          <w:highlight w:val="none"/>
          <w:lang w:eastAsia="zh-CN"/>
        </w:rPr>
        <w:t>★81现场签证价格的确定</w:t>
      </w:r>
      <w:bookmarkEnd w:id="380"/>
    </w:p>
    <w:p w14:paraId="045E92C6">
      <w:pPr>
        <w:widowControl w:val="0"/>
        <w:rPr>
          <w:rFonts w:hint="eastAsia" w:ascii="仿宋" w:hAnsi="仿宋" w:eastAsia="仿宋"/>
          <w:b/>
          <w:bCs/>
          <w:color w:val="auto"/>
          <w:highlight w:val="none"/>
          <w:u w:val="dotted"/>
          <w:lang w:eastAsia="zh-CN"/>
        </w:rPr>
      </w:pPr>
      <w:r>
        <w:rPr>
          <w:rFonts w:hint="eastAsia" w:ascii="仿宋" w:hAnsi="仿宋" w:eastAsia="仿宋" w:cs="仿宋"/>
          <w:b/>
          <w:bCs/>
          <w:color w:val="auto"/>
          <w:highlight w:val="none"/>
          <w:lang w:eastAsia="zh-CN"/>
        </w:rPr>
        <w:t>81</w:t>
      </w:r>
      <w:r>
        <w:rPr>
          <w:rFonts w:ascii="仿宋" w:hAnsi="仿宋" w:eastAsia="仿宋" w:cs="仿宋"/>
          <w:b/>
          <w:bCs/>
          <w:color w:val="auto"/>
          <w:highlight w:val="none"/>
          <w:lang w:eastAsia="zh-CN"/>
        </w:rPr>
        <w:t>.1</w:t>
      </w:r>
    </w:p>
    <w:p w14:paraId="0287E3A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4784" behindDoc="0" locked="0" layoutInCell="1" allowOverlap="1">
                <wp:simplePos x="0" y="0"/>
                <wp:positionH relativeFrom="column">
                  <wp:posOffset>-114300</wp:posOffset>
                </wp:positionH>
                <wp:positionV relativeFrom="paragraph">
                  <wp:posOffset>69850</wp:posOffset>
                </wp:positionV>
                <wp:extent cx="785495" cy="389255"/>
                <wp:effectExtent l="0" t="0" r="0" b="0"/>
                <wp:wrapNone/>
                <wp:docPr id="811" name="文本框 1011"/>
                <wp:cNvGraphicFramePr/>
                <a:graphic xmlns:a="http://schemas.openxmlformats.org/drawingml/2006/main">
                  <a:graphicData uri="http://schemas.microsoft.com/office/word/2010/wordprocessingShape">
                    <wps:wsp>
                      <wps:cNvSpPr txBox="1">
                        <a:spLocks noChangeArrowheads="1"/>
                      </wps:cNvSpPr>
                      <wps:spPr bwMode="auto">
                        <a:xfrm>
                          <a:off x="0" y="0"/>
                          <a:ext cx="785495" cy="389255"/>
                        </a:xfrm>
                        <a:prstGeom prst="rect">
                          <a:avLst/>
                        </a:prstGeom>
                        <a:noFill/>
                        <a:ln>
                          <a:noFill/>
                        </a:ln>
                        <a:effectLst/>
                      </wps:spPr>
                      <wps:txbx>
                        <w:txbxContent>
                          <w:p w14:paraId="6B5385A4">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现场签证的价格调整</w:t>
                            </w:r>
                          </w:p>
                          <w:p w14:paraId="34BBC980"/>
                        </w:txbxContent>
                      </wps:txbx>
                      <wps:bodyPr rot="0" vert="horz" wrap="square" lIns="91440" tIns="45720" rIns="91440" bIns="45720" anchor="t" anchorCtr="0" upright="1">
                        <a:noAutofit/>
                      </wps:bodyPr>
                    </wps:wsp>
                  </a:graphicData>
                </a:graphic>
              </wp:anchor>
            </w:drawing>
          </mc:Choice>
          <mc:Fallback>
            <w:pict>
              <v:shape id="文本框 1011" o:spid="_x0000_s1026" o:spt="202" type="#_x0000_t202" style="position:absolute;left:0pt;margin-left:-9pt;margin-top:5.5pt;height:30.65pt;width:61.85pt;z-index:251894784;mso-width-relative:page;mso-height-relative:page;" filled="f" stroked="f" coordsize="21600,21600" o:gfxdata="UEsDBAoAAAAAAIdO4kAAAAAAAAAAAAAAAAAEAAAAZHJzL1BLAwQUAAAACACHTuJAJLkD7NcAAAAJ&#10;AQAADwAAAGRycy9kb3ducmV2LnhtbE2PzU7DMBCE70i8g7VI3Fo7hdISsukBxBVE+ZG4ufE2iYjX&#10;Uew24e3ZnuhpNZrR7DfFZvKdOtIQ28AI2dyAIq6Ca7lG+Hh/nq1BxWTZ2S4wIfxShE15eVHY3IWR&#10;3+i4TbWSEo65RWhS6nOtY9WQt3EeemLx9mHwNokcau0GO0q57/TCmDvtbcvyobE9PTZU/WwPHuHz&#10;Zf/9dWte6ye/7McwGc3+XiNeX2XmAVSiKf2H4YQv6FAK0y4c2EXVIcyytWxJYmRyTwGzXIHaIawW&#10;N6DLQp8vKP8AUEsDBBQAAAAIAIdO4kAYGijRHwIAACcEAAAOAAAAZHJzL2Uyb0RvYy54bWytU0uO&#10;EzEQ3SNxB8t70umQMEmUzmiYaBDS8JEGDuC43WmLbpcpO+kOB4AbsGLDnnPlHJTtTAjDZhZsWq6P&#10;X9V7fr247NuG7RQ6Dabg+WDImTISSm02Bf/44ebZlDPnhSlFA0YVfK8cv1w+fbLo7FyNoIamVMgI&#10;xLh5Zwtee2/nWeZkrVrhBmCVoWIF2ApPIW6yEkVH6G2TjYbDF1kHWFoEqZyj7CoV+RERHwMIVaWl&#10;WoHctsr4hIqqEZ4ouVpbx5dx26pS0r+rKqc8awpOTH380hA6r8M3Wy7EfIPC1loeVxCPWeEBp1Zo&#10;Q0NPUCvhBdui/geq1RLBQeUHEtosEYmKEIt8+ECbu1pYFbmQ1M6eRHf/D1a+3b1HpsuCT/OcMyNa&#10;evLD92+HH78OP7+yfEhZ0qizbk6td5aaff8SenJO5OvsLchPjhm4roXZqCtE6GolStox3szOriYc&#10;F0DW3RsoaZTYeohAfYVtEJAkYYRO77M/vY/qPZOUvJhOxrMJZ5JKz6ez0WQSdsvE/P6yRedfKWhZ&#10;OBQc6fkjuNjdOp9a71vCLAM3ummiBRrzV4IwU0ZFDx1vByph+8TD9+v+KM0ayj2RQkj+or+LDjXg&#10;F8468lbB3eetQMVZ89qQMLN8PA5mjMF4cjGiAM8r6/OKMJKgCu45S8drnwy8tag3NU1KT2HgisSs&#10;dCQaVk1bkUAhIP9EqY5eDwY9j2PXn/97+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kuQPs1wAA&#10;AAkBAAAPAAAAAAAAAAEAIAAAACIAAABkcnMvZG93bnJldi54bWxQSwECFAAUAAAACACHTuJAGBoo&#10;0R8CAAAnBAAADgAAAAAAAAABACAAAAAmAQAAZHJzL2Uyb0RvYy54bWxQSwUGAAAAAAYABgBZAQAA&#10;twUAAAAA&#10;">
                <v:fill on="f" focussize="0,0"/>
                <v:stroke on="f"/>
                <v:imagedata o:title=""/>
                <o:lock v:ext="edit" aspectratio="f"/>
                <v:textbox>
                  <w:txbxContent>
                    <w:p w14:paraId="6B5385A4">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现场签证的价格调整</w:t>
                      </w:r>
                    </w:p>
                    <w:p w14:paraId="34BBC980"/>
                  </w:txbxContent>
                </v:textbox>
              </v:shape>
            </w:pict>
          </mc:Fallback>
        </mc:AlternateContent>
      </w:r>
      <w:r>
        <w:rPr>
          <w:rFonts w:hint="eastAsia" w:ascii="仿宋" w:hAnsi="仿宋" w:eastAsia="仿宋" w:cs="仿宋"/>
          <w:color w:val="auto"/>
          <w:sz w:val="24"/>
          <w:szCs w:val="24"/>
          <w:highlight w:val="none"/>
          <w:lang w:eastAsia="zh-CN"/>
        </w:rPr>
        <w:t>合同履行期间，由于非承包人责任产生的现场签证费用，合同双方当事人应调整合同价格。</w:t>
      </w:r>
    </w:p>
    <w:p w14:paraId="28AE14C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81</w:t>
      </w:r>
      <w:r>
        <w:rPr>
          <w:rFonts w:ascii="仿宋" w:hAnsi="仿宋" w:eastAsia="仿宋" w:cs="仿宋"/>
          <w:b/>
          <w:bCs/>
          <w:color w:val="auto"/>
          <w:highlight w:val="none"/>
          <w:lang w:eastAsia="zh-CN"/>
        </w:rPr>
        <w:t>.2</w:t>
      </w:r>
    </w:p>
    <w:p w14:paraId="3D9BCC91">
      <w:pPr>
        <w:pStyle w:val="2"/>
        <w:adjustRightInd w:val="0"/>
        <w:snapToGrid w:val="0"/>
        <w:spacing w:line="360" w:lineRule="auto"/>
        <w:ind w:left="1848" w:leftChars="770" w:firstLine="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5808" behindDoc="0" locked="0" layoutInCell="1" allowOverlap="1">
                <wp:simplePos x="0" y="0"/>
                <wp:positionH relativeFrom="column">
                  <wp:posOffset>-114300</wp:posOffset>
                </wp:positionH>
                <wp:positionV relativeFrom="paragraph">
                  <wp:posOffset>18415</wp:posOffset>
                </wp:positionV>
                <wp:extent cx="850900" cy="615315"/>
                <wp:effectExtent l="0" t="0" r="0" b="0"/>
                <wp:wrapNone/>
                <wp:docPr id="812" name="文本框 1012"/>
                <wp:cNvGraphicFramePr/>
                <a:graphic xmlns:a="http://schemas.openxmlformats.org/drawingml/2006/main">
                  <a:graphicData uri="http://schemas.microsoft.com/office/word/2010/wordprocessingShape">
                    <wps:wsp>
                      <wps:cNvSpPr txBox="1">
                        <a:spLocks noChangeArrowheads="1"/>
                      </wps:cNvSpPr>
                      <wps:spPr bwMode="auto">
                        <a:xfrm>
                          <a:off x="0" y="0"/>
                          <a:ext cx="850900" cy="615315"/>
                        </a:xfrm>
                        <a:prstGeom prst="rect">
                          <a:avLst/>
                        </a:prstGeom>
                        <a:noFill/>
                        <a:ln>
                          <a:noFill/>
                        </a:ln>
                        <a:effectLst/>
                      </wps:spPr>
                      <wps:txbx>
                        <w:txbxContent>
                          <w:p w14:paraId="35E39297">
                            <w:pPr>
                              <w:pStyle w:val="28"/>
                              <w:spacing w:line="200" w:lineRule="exact"/>
                            </w:pPr>
                            <w:r>
                              <w:rPr>
                                <w:rFonts w:hint="eastAsia" w:ascii="楷体_GB2312" w:hAnsi="宋体" w:eastAsia="楷体_GB2312" w:cs="楷体_GB2312"/>
                                <w:b/>
                                <w:bCs/>
                                <w:color w:val="000000"/>
                                <w:sz w:val="18"/>
                                <w:szCs w:val="18"/>
                              </w:rPr>
                              <w:t>现场签证的提出</w:t>
                            </w:r>
                          </w:p>
                        </w:txbxContent>
                      </wps:txbx>
                      <wps:bodyPr rot="0" vert="horz" wrap="square" lIns="91440" tIns="45720" rIns="91440" bIns="45720" anchor="t" anchorCtr="0" upright="1">
                        <a:noAutofit/>
                      </wps:bodyPr>
                    </wps:wsp>
                  </a:graphicData>
                </a:graphic>
              </wp:anchor>
            </w:drawing>
          </mc:Choice>
          <mc:Fallback>
            <w:pict>
              <v:shape id="文本框 1012" o:spid="_x0000_s1026" o:spt="202" type="#_x0000_t202" style="position:absolute;left:0pt;margin-left:-9pt;margin-top:1.45pt;height:48.45pt;width:67pt;z-index:251895808;mso-width-relative:page;mso-height-relative:page;" filled="f" stroked="f" coordsize="21600,21600" o:gfxdata="UEsDBAoAAAAAAIdO4kAAAAAAAAAAAAAAAAAEAAAAZHJzL1BLAwQUAAAACACHTuJAAUSusNUAAAAI&#10;AQAADwAAAGRycy9kb3ducmV2LnhtbE2PwW7CMBBE75X4B2uRegM7qEVJmg0Hql5blQJSbyZekoh4&#10;HcWGpH9fc2qPoxnNvCk2k+3EjQbfOkZIlgoEceVMyzXC/uttkYLwQbPRnWNC+CEPm3L2UOjcuJE/&#10;6bYLtYgl7HON0ITQ51L6qiGr/dL1xNE7u8HqEOVQSzPoMZbbTq6UWkurW44Lje5p21B12V0twuH9&#10;/H18Uh/1q33uRzcpyTaTiI/zRL2ACDSFvzDc8SM6lJHp5K5svOgQFkkavwSEVQbi7ifrqE8IWZaC&#10;LAv5/0D5C1BLAwQUAAAACACHTuJAsAxucB8CAAAnBAAADgAAAGRycy9lMm9Eb2MueG1srVPNjtMw&#10;EL4j8Q6W7zRJaZdu1HS1bLUIafmRFh7AdZzGIvGYsdtkeQB4A05cuPNcfQ7GTraU5bIHLpE9M/5m&#10;vm++LC/6tmF7hU6DKXg2STlTRkKpzbbgHz9cP1tw5rwwpWjAqILfKccvVk+fLDubqynU0JQKGYEY&#10;l3e24LX3Nk8SJ2vVCjcBqwwlK8BWeLriNilRdITeNsk0Tc+SDrC0CFI5R9H1kOQjIj4GEKpKS7UG&#10;uWuV8QMqqkZ4ouRqbR1fxWmrSkn/rqqc8qwpODH18UtN6LwJ32S1FPkWha21HEcQjxnhAadWaENN&#10;j1Br4QXbof4HqtUSwUHlJxLaZCASFSEWWfpAm9taWBW5kNTOHkV3/w9Wvt2/R6bLgi+yKWdGtLTy&#10;w/dvhx+/Dj+/siylKGnUWZdT6a2lYt+/hJ6cE/k6ewPyk2MGrmphtuoSEbpaiZJmzMLL5OTpgOMC&#10;yKZ7AyW1EjsPEaivsA0CkiSM0Gk/d8f9qN4zScHFPD1PKSMpdZbNn2fz2EHk948tOv9KQcvCoeBI&#10;64/gYn/jfBhG5PcloZeBa9000QKN+StAhUNERQ+NrwOVMP3Aw/ebfpRmA+UdkUIY/EV/Fx1qwC+c&#10;deStgrvPO4GKs+a1IWHOs9ksmDFeZvMXU7rgaWZzmhFGElTBPWfD8coPBt5Z1NuaOg2rMHBJYlY6&#10;Eg2jDlONKyD/RP6j14NBT++x6s//vfo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AUSusNUAAAAI&#10;AQAADwAAAAAAAAABACAAAAAiAAAAZHJzL2Rvd25yZXYueG1sUEsBAhQAFAAAAAgAh07iQLAMbnAf&#10;AgAAJwQAAA4AAAAAAAAAAQAgAAAAJAEAAGRycy9lMm9Eb2MueG1sUEsFBgAAAAAGAAYAWQEAALUF&#10;AAAAAA==&#10;">
                <v:fill on="f" focussize="0,0"/>
                <v:stroke on="f"/>
                <v:imagedata o:title=""/>
                <o:lock v:ext="edit" aspectratio="f"/>
                <v:textbox>
                  <w:txbxContent>
                    <w:p w14:paraId="35E39297">
                      <w:pPr>
                        <w:pStyle w:val="28"/>
                        <w:spacing w:line="200" w:lineRule="exact"/>
                      </w:pPr>
                      <w:r>
                        <w:rPr>
                          <w:rFonts w:hint="eastAsia" w:ascii="楷体_GB2312" w:hAnsi="宋体" w:eastAsia="楷体_GB2312" w:cs="楷体_GB2312"/>
                          <w:b/>
                          <w:bCs/>
                          <w:color w:val="000000"/>
                          <w:sz w:val="18"/>
                          <w:szCs w:val="18"/>
                        </w:rPr>
                        <w:t>现场签证的提出</w:t>
                      </w:r>
                    </w:p>
                  </w:txbxContent>
                </v:textbox>
              </v:shape>
            </w:pict>
          </mc:Fallback>
        </mc:AlternateContent>
      </w:r>
      <w:r>
        <w:rPr>
          <w:rFonts w:hint="eastAsia" w:ascii="仿宋" w:hAnsi="仿宋" w:eastAsia="仿宋" w:cs="仿宋"/>
          <w:color w:val="auto"/>
          <w:sz w:val="24"/>
          <w:szCs w:val="24"/>
          <w:highlight w:val="none"/>
          <w:lang w:eastAsia="zh-CN"/>
        </w:rPr>
        <w:t>承包人应发包人要求完成合同以外的零星项目、非承包人责任事项等工作的，发包人应通知监理人及时以书面形式向承包人发出工作指令，提供所需的相关资料；承包人在收到监理人书面通知后，应及时向发包人提出现场签证要求。</w:t>
      </w:r>
    </w:p>
    <w:p w14:paraId="137BC8F7">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81</w:t>
      </w:r>
      <w:r>
        <w:rPr>
          <w:rFonts w:ascii="仿宋" w:hAnsi="仿宋" w:eastAsia="仿宋" w:cs="仿宋"/>
          <w:b/>
          <w:bCs/>
          <w:color w:val="auto"/>
          <w:highlight w:val="none"/>
          <w:lang w:eastAsia="zh-CN"/>
        </w:rPr>
        <w:t>.3</w:t>
      </w:r>
    </w:p>
    <w:p w14:paraId="6ACA1A2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6832" behindDoc="0" locked="0" layoutInCell="1" allowOverlap="1">
                <wp:simplePos x="0" y="0"/>
                <wp:positionH relativeFrom="column">
                  <wp:posOffset>-114300</wp:posOffset>
                </wp:positionH>
                <wp:positionV relativeFrom="paragraph">
                  <wp:posOffset>5080</wp:posOffset>
                </wp:positionV>
                <wp:extent cx="804545" cy="530860"/>
                <wp:effectExtent l="0" t="0" r="0" b="0"/>
                <wp:wrapNone/>
                <wp:docPr id="813" name="文本框 1013"/>
                <wp:cNvGraphicFramePr/>
                <a:graphic xmlns:a="http://schemas.openxmlformats.org/drawingml/2006/main">
                  <a:graphicData uri="http://schemas.microsoft.com/office/word/2010/wordprocessingShape">
                    <wps:wsp>
                      <wps:cNvSpPr txBox="1">
                        <a:spLocks noChangeArrowheads="1"/>
                      </wps:cNvSpPr>
                      <wps:spPr bwMode="auto">
                        <a:xfrm>
                          <a:off x="0" y="0"/>
                          <a:ext cx="804545" cy="530860"/>
                        </a:xfrm>
                        <a:prstGeom prst="rect">
                          <a:avLst/>
                        </a:prstGeom>
                        <a:noFill/>
                        <a:ln>
                          <a:noFill/>
                        </a:ln>
                        <a:effectLst/>
                      </wps:spPr>
                      <wps:txbx>
                        <w:txbxContent>
                          <w:p w14:paraId="25F769E6">
                            <w:pPr>
                              <w:pStyle w:val="28"/>
                              <w:spacing w:line="200" w:lineRule="exact"/>
                            </w:pPr>
                            <w:r>
                              <w:rPr>
                                <w:rFonts w:hint="eastAsia" w:ascii="楷体_GB2312" w:hAnsi="宋体" w:eastAsia="楷体_GB2312" w:cs="楷体_GB2312"/>
                                <w:b/>
                                <w:bCs/>
                                <w:color w:val="000000"/>
                                <w:sz w:val="18"/>
                                <w:szCs w:val="18"/>
                              </w:rPr>
                              <w:t>现场签证报告的确认</w:t>
                            </w:r>
                          </w:p>
                        </w:txbxContent>
                      </wps:txbx>
                      <wps:bodyPr rot="0" vert="horz" wrap="square" lIns="91440" tIns="45720" rIns="91440" bIns="45720" anchor="t" anchorCtr="0" upright="1">
                        <a:noAutofit/>
                      </wps:bodyPr>
                    </wps:wsp>
                  </a:graphicData>
                </a:graphic>
              </wp:anchor>
            </w:drawing>
          </mc:Choice>
          <mc:Fallback>
            <w:pict>
              <v:shape id="文本框 1013" o:spid="_x0000_s1026" o:spt="202" type="#_x0000_t202" style="position:absolute;left:0pt;margin-left:-9pt;margin-top:0.4pt;height:41.8pt;width:63.35pt;z-index:251896832;mso-width-relative:page;mso-height-relative:page;" filled="f" stroked="f" coordsize="21600,21600" o:gfxdata="UEsDBAoAAAAAAIdO4kAAAAAAAAAAAAAAAAAEAAAAZHJzL1BLAwQUAAAACACHTuJA8aeqVNMAAAAH&#10;AQAADwAAAGRycy9kb3ducmV2LnhtbE2PzU7DMBCE70i8g7VI3Fo7KEAIcXoAcQVRfiRu23ibRMTr&#10;KHab8PZsT3AczWjmm2qz+EEdaYp9YAvZ2oAiboLrubXw/va0KkDFhOxwCEwWfijCpj4/q7B0YeZX&#10;Om5Tq6SEY4kWupTGUuvYdOQxrsNILN4+TB6TyKnVbsJZyv2gr4y50R57loUOR3roqPneHryFj+f9&#10;12duXtpHfz3OYTGa/Z229vIiM/egEi3pLwwnfEGHWph24cAuqsHCKivkS7IgB062KW5B7UTmOei6&#10;0v/5619QSwMEFAAAAAgAh07iQMkzerwgAgAAJwQAAA4AAABkcnMvZTJvRG9jLnhtbK1TzY7TMBC+&#10;I/EOlu80SbddStR0tWy1CGn5kRYewHWcxiLxmLHbZHkAeANOXLjzXH0Oxk62lOWyBy6RPTP+Zr5v&#10;viwv+rZhe4VOgyl4Nkk5U0ZCqc224B8/XD9bcOa8MKVowKiC3ynHL1ZPnyw7m6sp1NCUChmBGJd3&#10;tuC19zZPEidr1Qo3AasMJSvAVni64jYpUXSE3jbJNE3Pkw6wtAhSOUfR9ZDkIyI+BhCqSku1Brlr&#10;lfEDKqpGeKLkam0dX8Vpq0pJ/66qnPKsKTgx9fFLTei8Cd9ktRT5FoWttRxHEI8Z4QGnVmhDTY9Q&#10;a+EF26H+B6rVEsFB5ScS2mQgEhUhFln6QJvbWlgVuZDUzh5Fd/8PVr7dv0emy4IvsjPOjGhp5Yfv&#10;3w4/fh1+fmVZSlHSqLMup9JbS8W+fwk9OSfydfYG5CfHDFzVwmzVJSJ0tRIlzZiFl8nJ0wHHBZBN&#10;9wZKaiV2HiJQX2EbBCRJGKHTfu6O+1G9Z5KCi3Q2n805k5San6WL87i/ROT3jy06/0pBy8Kh4Ejr&#10;j+Bif+N8GEbk9yWhl4Fr3TTRAo35K0CFQ0RFD42vA5Uw/cDD95t+lGYD5R2RQhj8RX8XHWrAL5x1&#10;5K2Cu887gYqz5rUhYV5ks1kwY7zM5s+ndMHTzOY0I4wkqIJ7zobjlR8MvLOotzV1GlZh4JLErHQk&#10;GkYdphpXQP6J/EevB4Oe3mPVn/979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xp6pU0wAAAAcB&#10;AAAPAAAAAAAAAAEAIAAAACIAAABkcnMvZG93bnJldi54bWxQSwECFAAUAAAACACHTuJAyTN6vCAC&#10;AAAnBAAADgAAAAAAAAABACAAAAAiAQAAZHJzL2Uyb0RvYy54bWxQSwUGAAAAAAYABgBZAQAAtAUA&#10;AAAA&#10;">
                <v:fill on="f" focussize="0,0"/>
                <v:stroke on="f"/>
                <v:imagedata o:title=""/>
                <o:lock v:ext="edit" aspectratio="f"/>
                <v:textbox>
                  <w:txbxContent>
                    <w:p w14:paraId="25F769E6">
                      <w:pPr>
                        <w:pStyle w:val="28"/>
                        <w:spacing w:line="200" w:lineRule="exact"/>
                      </w:pPr>
                      <w:r>
                        <w:rPr>
                          <w:rFonts w:hint="eastAsia" w:ascii="楷体_GB2312" w:hAnsi="宋体" w:eastAsia="楷体_GB2312" w:cs="楷体_GB2312"/>
                          <w:b/>
                          <w:bCs/>
                          <w:color w:val="000000"/>
                          <w:sz w:val="18"/>
                          <w:szCs w:val="18"/>
                        </w:rPr>
                        <w:t>现场签证报告的确认</w:t>
                      </w:r>
                    </w:p>
                  </w:txbxContent>
                </v:textbox>
              </v:shape>
            </w:pict>
          </mc:Fallback>
        </mc:AlternateContent>
      </w:r>
      <w:r>
        <w:rPr>
          <w:rFonts w:hint="eastAsia" w:ascii="仿宋" w:hAnsi="仿宋" w:eastAsia="仿宋" w:cs="仿宋"/>
          <w:color w:val="auto"/>
          <w:sz w:val="24"/>
          <w:szCs w:val="24"/>
          <w:highlight w:val="none"/>
          <w:lang w:eastAsia="zh-CN"/>
        </w:rPr>
        <w:t>除专用条款另有约定外，承包人应在收到监理人书面通知后的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天内，向发包人提交现场签证报告，并抄送监理人、造价咨询人。发包人在收到承包人的现场签证报告后，应通知监理人、造价咨询人对报告内容予以核实，并在收到现场签证报告后的</w:t>
      </w:r>
      <w:r>
        <w:rPr>
          <w:rFonts w:ascii="仿宋" w:hAnsi="仿宋" w:eastAsia="仿宋" w:cs="仿宋"/>
          <w:color w:val="auto"/>
          <w:sz w:val="24"/>
          <w:szCs w:val="24"/>
          <w:highlight w:val="none"/>
          <w:lang w:eastAsia="zh-CN"/>
        </w:rPr>
        <w:t>48</w:t>
      </w:r>
      <w:r>
        <w:rPr>
          <w:rFonts w:hint="eastAsia" w:ascii="仿宋" w:hAnsi="仿宋" w:eastAsia="仿宋" w:cs="仿宋"/>
          <w:color w:val="auto"/>
          <w:sz w:val="24"/>
          <w:szCs w:val="24"/>
          <w:highlight w:val="none"/>
          <w:lang w:eastAsia="zh-CN"/>
        </w:rPr>
        <w:t>小时内予以确认或提出修改意见。发包人在收到承包人现场签证报告后的</w:t>
      </w:r>
      <w:r>
        <w:rPr>
          <w:rFonts w:ascii="仿宋" w:hAnsi="仿宋" w:eastAsia="仿宋" w:cs="仿宋"/>
          <w:color w:val="auto"/>
          <w:sz w:val="24"/>
          <w:szCs w:val="24"/>
          <w:highlight w:val="none"/>
          <w:lang w:eastAsia="zh-CN"/>
        </w:rPr>
        <w:t>48</w:t>
      </w:r>
      <w:r>
        <w:rPr>
          <w:rFonts w:hint="eastAsia" w:ascii="仿宋" w:hAnsi="仿宋" w:eastAsia="仿宋" w:cs="仿宋"/>
          <w:color w:val="auto"/>
          <w:sz w:val="24"/>
          <w:szCs w:val="24"/>
          <w:highlight w:val="none"/>
          <w:lang w:eastAsia="zh-CN"/>
        </w:rPr>
        <w:t>小时内未确认也未提出修改意见的，视为承包人提交的现场签证报告已被认可。</w:t>
      </w:r>
    </w:p>
    <w:p w14:paraId="5FFBE91B">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81</w:t>
      </w:r>
      <w:r>
        <w:rPr>
          <w:rFonts w:ascii="仿宋" w:hAnsi="仿宋" w:eastAsia="仿宋" w:cs="仿宋"/>
          <w:b/>
          <w:bCs/>
          <w:color w:val="auto"/>
          <w:highlight w:val="none"/>
          <w:lang w:eastAsia="zh-CN"/>
        </w:rPr>
        <w:t xml:space="preserve">.4  </w:t>
      </w:r>
    </w:p>
    <w:p w14:paraId="56D66C2B">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7856" behindDoc="0" locked="0" layoutInCell="1" allowOverlap="1">
                <wp:simplePos x="0" y="0"/>
                <wp:positionH relativeFrom="column">
                  <wp:posOffset>-114300</wp:posOffset>
                </wp:positionH>
                <wp:positionV relativeFrom="paragraph">
                  <wp:posOffset>34290</wp:posOffset>
                </wp:positionV>
                <wp:extent cx="813435" cy="530860"/>
                <wp:effectExtent l="0" t="0" r="0" b="0"/>
                <wp:wrapNone/>
                <wp:docPr id="814" name="文本框 1014"/>
                <wp:cNvGraphicFramePr/>
                <a:graphic xmlns:a="http://schemas.openxmlformats.org/drawingml/2006/main">
                  <a:graphicData uri="http://schemas.microsoft.com/office/word/2010/wordprocessingShape">
                    <wps:wsp>
                      <wps:cNvSpPr txBox="1">
                        <a:spLocks noChangeArrowheads="1"/>
                      </wps:cNvSpPr>
                      <wps:spPr bwMode="auto">
                        <a:xfrm>
                          <a:off x="0" y="0"/>
                          <a:ext cx="813435" cy="530860"/>
                        </a:xfrm>
                        <a:prstGeom prst="rect">
                          <a:avLst/>
                        </a:prstGeom>
                        <a:noFill/>
                        <a:ln>
                          <a:noFill/>
                        </a:ln>
                        <a:effectLst/>
                      </wps:spPr>
                      <wps:txbx>
                        <w:txbxContent>
                          <w:p w14:paraId="51A33824">
                            <w:pPr>
                              <w:pStyle w:val="28"/>
                              <w:spacing w:line="200" w:lineRule="exact"/>
                            </w:pPr>
                            <w:r>
                              <w:rPr>
                                <w:rFonts w:hint="eastAsia" w:ascii="楷体_GB2312" w:hAnsi="宋体" w:eastAsia="楷体_GB2312" w:cs="楷体_GB2312"/>
                                <w:b/>
                                <w:bCs/>
                                <w:color w:val="000000"/>
                                <w:sz w:val="18"/>
                                <w:szCs w:val="18"/>
                              </w:rPr>
                              <w:t>现场签证的要求</w:t>
                            </w:r>
                          </w:p>
                          <w:p w14:paraId="0F495CE0"/>
                        </w:txbxContent>
                      </wps:txbx>
                      <wps:bodyPr rot="0" vert="horz" wrap="square" lIns="91440" tIns="45720" rIns="91440" bIns="45720" anchor="t" anchorCtr="0" upright="1">
                        <a:noAutofit/>
                      </wps:bodyPr>
                    </wps:wsp>
                  </a:graphicData>
                </a:graphic>
              </wp:anchor>
            </w:drawing>
          </mc:Choice>
          <mc:Fallback>
            <w:pict>
              <v:shape id="文本框 1014" o:spid="_x0000_s1026" o:spt="202" type="#_x0000_t202" style="position:absolute;left:0pt;margin-left:-9pt;margin-top:2.7pt;height:41.8pt;width:64.05pt;z-index:251897856;mso-width-relative:page;mso-height-relative:page;" filled="f" stroked="f" coordsize="21600,21600" o:gfxdata="UEsDBAoAAAAAAIdO4kAAAAAAAAAAAAAAAAAEAAAAZHJzL1BLAwQUAAAACACHTuJA5ptXpNUAAAAI&#10;AQAADwAAAGRycy9kb3ducmV2LnhtbE2PwU7DMBBE70j9B2uRemttoxalIZseirhSUQoSNzfeJhHx&#10;OordJvw97gmOoxnNvCm2k+vElYbQekbQSwWCuPK25Rrh+P6yyECEaNiazjMh/FCAbTm7K0xu/chv&#10;dD3EWqQSDrlBaGLscylD1ZAzYel74uSd/eBMTHKopR3MmMpdJx+UepTOtJwWGtPTrqHq+3BxCB+v&#10;56/PldrXz27dj35Skt1GIs7vtXoCEWmKf2G44Sd0KBPTyV/YBtEhLHSWvkSE9QrEzddKgzghZBsF&#10;sizk/wPlL1BLAwQUAAAACACHTuJAXxQVbCACAAAnBAAADgAAAGRycy9lMm9Eb2MueG1srVPNjtMw&#10;EL4j8Q6W7zRJf5YSNV0tWy1CWn6khQdwHaexSDxm7DYpDwBvwIkLd56rz8HY6ZayXPbAJbJnxt/M&#10;982XxWXfNmyn0GkwBc9GKWfKSCi12RT844ebZ3POnBemFA0YVfC9cvxy+fTJorO5GkMNTamQEYhx&#10;eWcLXntv8yRxslatcCOwylCyAmyFpytukhJFR+htk4zT9CLpAEuLIJVzFF0NSX5ExMcAQlVpqVYg&#10;t60yfkBF1QhPlFytrePLOG1VKenfVZVTnjUFJ6Y+fqkJndfhmywXIt+gsLWWxxHEY0Z4wKkV2lDT&#10;E9RKeMG2qP+BarVEcFD5kYQ2GYhERYhFlj7Q5q4WVkUuJLWzJ9Hd/4OVb3fvkemy4PNsypkRLa38&#10;8P3b4cevw8+vLEspShp11uVUemep2PcvoSfnRL7O3oL85JiB61qYjbpChK5WoqQZs/AyOXs64LgA&#10;su7eQEmtxNZDBOorbIOAJAkjdNrP/rQf1XsmKTjPJtPJjDNJqdkknV/E/SUiv39s0flXCloWDgVH&#10;Wn8EF7tb58MwIr8vCb0M3OimiRZozF8BKhwiKnro+DpQCdMPPHy/7o/SrKHcEymEwV/0d9GhBvzC&#10;WUfeKrj7vBWoOGteGxLmRTadBjPGy3T2fEwXPM+szzPCSIIquOdsOF77wcBbi3pTU6dhFQauSMxK&#10;R6Jh1GGq4wrIP5H/0evBoOf3WPXn/17+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abV6TVAAAA&#10;CAEAAA8AAAAAAAAAAQAgAAAAIgAAAGRycy9kb3ducmV2LnhtbFBLAQIUABQAAAAIAIdO4kBfFBVs&#10;IAIAACcEAAAOAAAAAAAAAAEAIAAAACQBAABkcnMvZTJvRG9jLnhtbFBLBQYAAAAABgAGAFkBAAC2&#10;BQAAAAA=&#10;">
                <v:fill on="f" focussize="0,0"/>
                <v:stroke on="f"/>
                <v:imagedata o:title=""/>
                <o:lock v:ext="edit" aspectratio="f"/>
                <v:textbox>
                  <w:txbxContent>
                    <w:p w14:paraId="51A33824">
                      <w:pPr>
                        <w:pStyle w:val="28"/>
                        <w:spacing w:line="200" w:lineRule="exact"/>
                      </w:pPr>
                      <w:r>
                        <w:rPr>
                          <w:rFonts w:hint="eastAsia" w:ascii="楷体_GB2312" w:hAnsi="宋体" w:eastAsia="楷体_GB2312" w:cs="楷体_GB2312"/>
                          <w:b/>
                          <w:bCs/>
                          <w:color w:val="000000"/>
                          <w:sz w:val="18"/>
                          <w:szCs w:val="18"/>
                        </w:rPr>
                        <w:t>现场签证的要求</w:t>
                      </w:r>
                    </w:p>
                    <w:p w14:paraId="0F495CE0"/>
                  </w:txbxContent>
                </v:textbox>
              </v:shape>
            </w:pict>
          </mc:Fallback>
        </mc:AlternateContent>
      </w:r>
      <w:r>
        <w:rPr>
          <w:rFonts w:hint="eastAsia" w:ascii="仿宋" w:hAnsi="仿宋" w:eastAsia="仿宋" w:cs="仿宋"/>
          <w:color w:val="auto"/>
          <w:sz w:val="24"/>
          <w:szCs w:val="24"/>
          <w:highlight w:val="none"/>
          <w:lang w:eastAsia="zh-CN"/>
        </w:rPr>
        <w:t>计日工有相应单价或合同中有适用单价的项目，合同双方当事人仅在现场签证报告中列明完成该类项目所需的人工、工程材料、工程设备和施工设备机械台班的数量。</w:t>
      </w:r>
    </w:p>
    <w:p w14:paraId="6B12E5CC">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计日工没有相应单价或合同中没有适用单价的项目，合同双方当事人应在现场签证报告中列明完成这类项目所需的人工、工程材料、工程设备和施工设备机械台班的数量和单价。</w:t>
      </w:r>
    </w:p>
    <w:p w14:paraId="7AD7756B">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81</w:t>
      </w:r>
      <w:r>
        <w:rPr>
          <w:rFonts w:ascii="仿宋" w:hAnsi="仿宋" w:eastAsia="仿宋" w:cs="仿宋"/>
          <w:b/>
          <w:bCs/>
          <w:color w:val="auto"/>
          <w:highlight w:val="none"/>
          <w:lang w:eastAsia="zh-CN"/>
        </w:rPr>
        <w:t>.5</w:t>
      </w:r>
    </w:p>
    <w:p w14:paraId="7A15D32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8880" behindDoc="0" locked="0" layoutInCell="1" allowOverlap="1">
                <wp:simplePos x="0" y="0"/>
                <wp:positionH relativeFrom="column">
                  <wp:posOffset>-114300</wp:posOffset>
                </wp:positionH>
                <wp:positionV relativeFrom="paragraph">
                  <wp:posOffset>77470</wp:posOffset>
                </wp:positionV>
                <wp:extent cx="823595" cy="492760"/>
                <wp:effectExtent l="0" t="0" r="0" b="0"/>
                <wp:wrapNone/>
                <wp:docPr id="815" name="文本框 1015"/>
                <wp:cNvGraphicFramePr/>
                <a:graphic xmlns:a="http://schemas.openxmlformats.org/drawingml/2006/main">
                  <a:graphicData uri="http://schemas.microsoft.com/office/word/2010/wordprocessingShape">
                    <wps:wsp>
                      <wps:cNvSpPr txBox="1">
                        <a:spLocks noChangeArrowheads="1"/>
                      </wps:cNvSpPr>
                      <wps:spPr bwMode="auto">
                        <a:xfrm>
                          <a:off x="0" y="0"/>
                          <a:ext cx="823595" cy="492760"/>
                        </a:xfrm>
                        <a:prstGeom prst="rect">
                          <a:avLst/>
                        </a:prstGeom>
                        <a:noFill/>
                        <a:ln>
                          <a:noFill/>
                        </a:ln>
                        <a:effectLst/>
                      </wps:spPr>
                      <wps:txbx>
                        <w:txbxContent>
                          <w:p w14:paraId="1261AF33">
                            <w:pPr>
                              <w:pStyle w:val="28"/>
                              <w:spacing w:line="200" w:lineRule="exact"/>
                              <w:rPr>
                                <w:rFonts w:eastAsia="楷体_GB2312"/>
                                <w:b/>
                                <w:bCs/>
                                <w:sz w:val="18"/>
                                <w:szCs w:val="18"/>
                              </w:rPr>
                            </w:pPr>
                            <w:r>
                              <w:rPr>
                                <w:rFonts w:hint="eastAsia" w:ascii="楷体_GB2312" w:hAnsi="宋体" w:eastAsia="楷体_GB2312" w:cs="楷体_GB2312"/>
                                <w:b/>
                                <w:bCs/>
                                <w:color w:val="000000"/>
                                <w:sz w:val="18"/>
                                <w:szCs w:val="18"/>
                              </w:rPr>
                              <w:t>现场签证工作的实施</w:t>
                            </w:r>
                          </w:p>
                          <w:p w14:paraId="7B193BE2"/>
                        </w:txbxContent>
                      </wps:txbx>
                      <wps:bodyPr rot="0" vert="horz" wrap="square" lIns="91440" tIns="45720" rIns="91440" bIns="45720" anchor="t" anchorCtr="0" upright="1">
                        <a:noAutofit/>
                      </wps:bodyPr>
                    </wps:wsp>
                  </a:graphicData>
                </a:graphic>
              </wp:anchor>
            </w:drawing>
          </mc:Choice>
          <mc:Fallback>
            <w:pict>
              <v:shape id="文本框 1015" o:spid="_x0000_s1026" o:spt="202" type="#_x0000_t202" style="position:absolute;left:0pt;margin-left:-9pt;margin-top:6.1pt;height:38.8pt;width:64.85pt;z-index:251898880;mso-width-relative:page;mso-height-relative:page;" filled="f" stroked="f" coordsize="21600,21600" o:gfxdata="UEsDBAoAAAAAAIdO4kAAAAAAAAAAAAAAAAAEAAAAZHJzL1BLAwQUAAAACACHTuJABYuy9tYAAAAJ&#10;AQAADwAAAGRycy9kb3ducmV2LnhtbE2PzU7DMBCE70i8g7VI3FrbET9pmk0PIK4gWkDqzY23SUS8&#10;jmK3CW+Pe4LjaEYz35Sb2fXiTGPoPCPopQJBXHvbcYPwsXtZ5CBCNGxN75kQfijAprq+Kk1h/cTv&#10;dN7GRqQSDoVBaGMcCilD3ZIzYekH4uQd/ehMTHJspB3NlMpdLzOlHqQzHaeF1gz01FL9vT05hM/X&#10;4/7rTr01z+5+mPysJLuVRLy90WoNItIc/8JwwU/oUCWmgz+xDaJHWOg8fYnJyDIQl4DWjyAOCPkq&#10;B1mV8v+D6hdQSwMEFAAAAAgAh07iQD2XrJogAgAAJwQAAA4AAABkcnMvZTJvRG9jLnhtbK1TS27b&#10;MBDdF+gdCO5rWa6d2ILlII2RokD6AdIegKYoi6jEYYe0pfQAzQ266qb7nsvn6JBSXDfdZNGNQM4M&#10;38x787S86Jqa7RU6DSbn6WjMmTISCm22Of/08frFnDPnhSlEDUbl/E45frF6/mzZ2kxNoIK6UMgI&#10;xListTmvvLdZkjhZqUa4EVhlKFkCNsLTFbdJgaIl9KZOJuPxWdICFhZBKucouu6TfEDEpwBCWWqp&#10;1iB3jTK+R0VVC0+UXKWt46s4bVkq6d+XpVOe1Tknpj5+qQmdN+GbrJYi26KwlZbDCOIpIzzi1Aht&#10;qOkRai28YDvU/0A1WiI4KP1IQpP0RKIixCIdP9LmthJWRS4ktbNH0d3/g5Xv9h+Q6SLn83TGmREN&#10;rfzw/f7w49fh5zeWjilKGrXWZVR6a6nYd6+gI+dEvs7egPzsmIGrSpitukSEtlKioBnT8DI5edrj&#10;uACyad9CQa3EzkME6kpsgoAkCSN02s/dcT+q80xScD55OVvQlJJS08Xk/CzuLxHZw2OLzr9W0LBw&#10;yDnS+iO42N84H4YR2UNJ6GXgWtd1tEBt/gpQYR9R0UPD60AlTN/z8N2mG6TZQHFHpBB6f9HfRYcK&#10;8CtnLXkr5+7LTqDirH5jSJhFOp0GM8bLdHY+oQueZjanGWEkQeXcc9Yfr3xv4J1Fva2oU78KA5ck&#10;Zqkj0TBqP9WwAvJP5D94PRj09B6r/vzf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Fi7L21gAA&#10;AAkBAAAPAAAAAAAAAAEAIAAAACIAAABkcnMvZG93bnJldi54bWxQSwECFAAUAAAACACHTuJAPZes&#10;miACAAAnBAAADgAAAAAAAAABACAAAAAlAQAAZHJzL2Uyb0RvYy54bWxQSwUGAAAAAAYABgBZAQAA&#10;twUAAAAA&#10;">
                <v:fill on="f" focussize="0,0"/>
                <v:stroke on="f"/>
                <v:imagedata o:title=""/>
                <o:lock v:ext="edit" aspectratio="f"/>
                <v:textbox>
                  <w:txbxContent>
                    <w:p w14:paraId="1261AF33">
                      <w:pPr>
                        <w:pStyle w:val="28"/>
                        <w:spacing w:line="200" w:lineRule="exact"/>
                        <w:rPr>
                          <w:rFonts w:eastAsia="楷体_GB2312"/>
                          <w:b/>
                          <w:bCs/>
                          <w:sz w:val="18"/>
                          <w:szCs w:val="18"/>
                        </w:rPr>
                      </w:pPr>
                      <w:r>
                        <w:rPr>
                          <w:rFonts w:hint="eastAsia" w:ascii="楷体_GB2312" w:hAnsi="宋体" w:eastAsia="楷体_GB2312" w:cs="楷体_GB2312"/>
                          <w:b/>
                          <w:bCs/>
                          <w:color w:val="000000"/>
                          <w:sz w:val="18"/>
                          <w:szCs w:val="18"/>
                        </w:rPr>
                        <w:t>现场签证工作的实施</w:t>
                      </w:r>
                    </w:p>
                    <w:p w14:paraId="7B193BE2"/>
                  </w:txbxContent>
                </v:textbox>
              </v:shape>
            </w:pict>
          </mc:Fallback>
        </mc:AlternateContent>
      </w:r>
      <w:r>
        <w:rPr>
          <w:rFonts w:hint="eastAsia" w:ascii="仿宋" w:hAnsi="仿宋" w:eastAsia="仿宋" w:cs="仿宋"/>
          <w:color w:val="auto"/>
          <w:sz w:val="24"/>
          <w:szCs w:val="24"/>
          <w:highlight w:val="none"/>
          <w:lang w:eastAsia="zh-CN"/>
        </w:rPr>
        <w:t>承包人应在发包人确认现场签证报告后的</w:t>
      </w:r>
      <w:r>
        <w:rPr>
          <w:rFonts w:ascii="仿宋" w:hAnsi="仿宋" w:eastAsia="仿宋" w:cs="仿宋"/>
          <w:color w:val="auto"/>
          <w:sz w:val="24"/>
          <w:szCs w:val="24"/>
          <w:highlight w:val="none"/>
          <w:lang w:eastAsia="zh-CN"/>
        </w:rPr>
        <w:t>48</w:t>
      </w:r>
      <w:r>
        <w:rPr>
          <w:rFonts w:hint="eastAsia" w:ascii="仿宋" w:hAnsi="仿宋" w:eastAsia="仿宋" w:cs="仿宋"/>
          <w:color w:val="auto"/>
          <w:sz w:val="24"/>
          <w:szCs w:val="24"/>
          <w:highlight w:val="none"/>
          <w:lang w:eastAsia="zh-CN"/>
        </w:rPr>
        <w:t>小时内，按照监理人发出的工作指令及时组织实施相关工作。否则，由此引起的损失和（或）延误的工期由承包人承担。</w:t>
      </w:r>
    </w:p>
    <w:p w14:paraId="1C3F5118">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81</w:t>
      </w:r>
      <w:r>
        <w:rPr>
          <w:rFonts w:ascii="仿宋" w:hAnsi="仿宋" w:eastAsia="仿宋" w:cs="仿宋"/>
          <w:b/>
          <w:bCs/>
          <w:color w:val="auto"/>
          <w:highlight w:val="none"/>
          <w:lang w:eastAsia="zh-CN"/>
        </w:rPr>
        <w:t xml:space="preserve">.6  </w:t>
      </w:r>
    </w:p>
    <w:p w14:paraId="6AB96E4E">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899904" behindDoc="0" locked="0" layoutInCell="1" allowOverlap="1">
                <wp:simplePos x="0" y="0"/>
                <wp:positionH relativeFrom="column">
                  <wp:posOffset>-114300</wp:posOffset>
                </wp:positionH>
                <wp:positionV relativeFrom="paragraph">
                  <wp:posOffset>77470</wp:posOffset>
                </wp:positionV>
                <wp:extent cx="785495" cy="425450"/>
                <wp:effectExtent l="0" t="0" r="0" b="0"/>
                <wp:wrapNone/>
                <wp:docPr id="816" name="文本框 1016"/>
                <wp:cNvGraphicFramePr/>
                <a:graphic xmlns:a="http://schemas.openxmlformats.org/drawingml/2006/main">
                  <a:graphicData uri="http://schemas.microsoft.com/office/word/2010/wordprocessingShape">
                    <wps:wsp>
                      <wps:cNvSpPr txBox="1">
                        <a:spLocks noChangeArrowheads="1"/>
                      </wps:cNvSpPr>
                      <wps:spPr bwMode="auto">
                        <a:xfrm>
                          <a:off x="0" y="0"/>
                          <a:ext cx="785495" cy="425450"/>
                        </a:xfrm>
                        <a:prstGeom prst="rect">
                          <a:avLst/>
                        </a:prstGeom>
                        <a:noFill/>
                        <a:ln>
                          <a:noFill/>
                        </a:ln>
                        <a:effectLst/>
                      </wps:spPr>
                      <wps:txbx>
                        <w:txbxContent>
                          <w:p w14:paraId="5AB5ADAC">
                            <w:r>
                              <w:rPr>
                                <w:rFonts w:hint="eastAsia" w:ascii="楷体_GB2312" w:hAnsi="宋体" w:eastAsia="楷体_GB2312" w:cs="楷体_GB2312"/>
                                <w:b/>
                                <w:bCs/>
                                <w:color w:val="000000"/>
                                <w:sz w:val="18"/>
                                <w:szCs w:val="18"/>
                              </w:rPr>
                              <w:t>现场签证的限制</w:t>
                            </w:r>
                          </w:p>
                        </w:txbxContent>
                      </wps:txbx>
                      <wps:bodyPr rot="0" vert="horz" wrap="square" lIns="91440" tIns="45720" rIns="91440" bIns="45720" anchor="t" anchorCtr="0" upright="1">
                        <a:noAutofit/>
                      </wps:bodyPr>
                    </wps:wsp>
                  </a:graphicData>
                </a:graphic>
              </wp:anchor>
            </w:drawing>
          </mc:Choice>
          <mc:Fallback>
            <w:pict>
              <v:shape id="文本框 1016" o:spid="_x0000_s1026" o:spt="202" type="#_x0000_t202" style="position:absolute;left:0pt;margin-left:-9pt;margin-top:6.1pt;height:33.5pt;width:61.85pt;z-index:251899904;mso-width-relative:page;mso-height-relative:page;" filled="f" stroked="f" coordsize="21600,21600" o:gfxdata="UEsDBAoAAAAAAIdO4kAAAAAAAAAAAAAAAAAEAAAAZHJzL1BLAwQUAAAACACHTuJADzJiotYAAAAJ&#10;AQAADwAAAGRycy9kb3ducmV2LnhtbE2PwW7CMBBE75X4B2uRegM7USkQ4nAA9dqq0FbqzcRLEhGv&#10;o9iQ9O+7nNrjaEYzb/Lt6Fpxwz40njQkcwUCqfS2oUrDx/FltgIRoiFrWk+o4QcDbIvJQ24y6wd6&#10;x9shVoJLKGRGQx1jl0kZyhqdCXPfIbF39r0zkWVfSdubgctdK1OlnqUzDfFCbTrc1VheDlen4fP1&#10;/P31pN6qvVt0gx+VJLeWWj9OE7UBEXGMf2G44zM6FMx08leyQbQaZsmKv0Q20hTEPaAWSxAnDct1&#10;CrLI5f8HxS9QSwMEFAAAAAgAh07iQFByH5QgAgAAJwQAAA4AAABkcnMvZTJvRG9jLnhtbK1TzY7T&#10;MBC+I/EOlu80TZXuT9R0tWy1CGn5kRYewHWcxiLxmLHbpDwAvAEnLtx5rj4HYydbynLZA5fInhl/&#10;M983XxZXfduwnUKnwRQ8nUw5U0ZCqc2m4B8/3L644Mx5YUrRgFEF3yvHr5bPny06m6sZ1NCUChmB&#10;GJd3tuC19zZPEidr1Qo3AasMJSvAVni64iYpUXSE3jbJbDo9SzrA0iJI5RxFV0OSj4j4FECoKi3V&#10;CuS2VcYPqKga4YmSq7V1fBmnrSol/buqcsqzpuDE1McvNaHzOnyT5ULkGxS21nIcQTxlhEecWqEN&#10;NT1CrYQXbIv6H6hWSwQHlZ9IaJOBSFSEWKTTR9rc18KqyIWkdvYouvt/sPLt7j0yXRb8Ij3jzIiW&#10;Vn74/u3w49fh51eWTilKGnXW5VR6b6nY9y+hJ+dEvs7egfzkmIGbWpiNukaErlaipBnT8DI5eTrg&#10;uACy7t5ASa3E1kME6itsg4AkCSN02s/+uB/VeyYpeH4xzy7nnElKZbN5No/7S0T+8Nii868UtCwc&#10;Co60/ggudnfOh2FE/lASehm41U0TLdCYvwJUOERU9ND4OlAJ0w88fL/uR2nWUO6JFMLgL/q76FAD&#10;fuGsI28V3H3eClScNa8NCXOZZlkwY7xk8/MZXfA0sz7NCCMJquCes+F44wcDby3qTU2dhlUYuCYx&#10;Kx2JhlGHqcYVkH8i/9HrwaCn91j15/9e/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PMmKi1gAA&#10;AAkBAAAPAAAAAAAAAAEAIAAAACIAAABkcnMvZG93bnJldi54bWxQSwECFAAUAAAACACHTuJAUHIf&#10;lCACAAAnBAAADgAAAAAAAAABACAAAAAlAQAAZHJzL2Uyb0RvYy54bWxQSwUGAAAAAAYABgBZAQAA&#10;twUAAAAA&#10;">
                <v:fill on="f" focussize="0,0"/>
                <v:stroke on="f"/>
                <v:imagedata o:title=""/>
                <o:lock v:ext="edit" aspectratio="f"/>
                <v:textbox>
                  <w:txbxContent>
                    <w:p w14:paraId="5AB5ADAC">
                      <w:r>
                        <w:rPr>
                          <w:rFonts w:hint="eastAsia" w:ascii="楷体_GB2312" w:hAnsi="宋体" w:eastAsia="楷体_GB2312" w:cs="楷体_GB2312"/>
                          <w:b/>
                          <w:bCs/>
                          <w:color w:val="000000"/>
                          <w:sz w:val="18"/>
                          <w:szCs w:val="18"/>
                        </w:rPr>
                        <w:t>现场签证的限制</w:t>
                      </w:r>
                    </w:p>
                  </w:txbxContent>
                </v:textbox>
              </v:shape>
            </w:pict>
          </mc:Fallback>
        </mc:AlternateContent>
      </w:r>
      <w:r>
        <w:rPr>
          <w:rFonts w:hint="eastAsia" w:ascii="仿宋" w:hAnsi="仿宋" w:eastAsia="仿宋" w:cs="仿宋"/>
          <w:color w:val="auto"/>
          <w:sz w:val="24"/>
          <w:szCs w:val="24"/>
          <w:highlight w:val="none"/>
          <w:lang w:eastAsia="zh-CN"/>
        </w:rPr>
        <w:t>合同工程发生现场签证事项，未经发包人签证、确认，承包人便擅自实施相关工作的，除非征得发包人同意，否则发生的费用由承包人承担。</w:t>
      </w:r>
    </w:p>
    <w:p w14:paraId="6CADEC36">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81</w:t>
      </w:r>
      <w:r>
        <w:rPr>
          <w:rFonts w:ascii="仿宋" w:hAnsi="仿宋" w:eastAsia="仿宋" w:cs="仿宋"/>
          <w:b/>
          <w:bCs/>
          <w:color w:val="auto"/>
          <w:highlight w:val="none"/>
          <w:lang w:eastAsia="zh-CN"/>
        </w:rPr>
        <w:t>.7</w:t>
      </w:r>
    </w:p>
    <w:p w14:paraId="64FB8B62">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00928" behindDoc="0" locked="0" layoutInCell="1" allowOverlap="1">
                <wp:simplePos x="0" y="0"/>
                <wp:positionH relativeFrom="column">
                  <wp:posOffset>-114300</wp:posOffset>
                </wp:positionH>
                <wp:positionV relativeFrom="paragraph">
                  <wp:posOffset>77470</wp:posOffset>
                </wp:positionV>
                <wp:extent cx="861695" cy="463550"/>
                <wp:effectExtent l="0" t="0" r="0" b="0"/>
                <wp:wrapNone/>
                <wp:docPr id="817" name="文本框 1017"/>
                <wp:cNvGraphicFramePr/>
                <a:graphic xmlns:a="http://schemas.openxmlformats.org/drawingml/2006/main">
                  <a:graphicData uri="http://schemas.microsoft.com/office/word/2010/wordprocessingShape">
                    <wps:wsp>
                      <wps:cNvSpPr txBox="1">
                        <a:spLocks noChangeArrowheads="1"/>
                      </wps:cNvSpPr>
                      <wps:spPr bwMode="auto">
                        <a:xfrm>
                          <a:off x="0" y="0"/>
                          <a:ext cx="861695" cy="463550"/>
                        </a:xfrm>
                        <a:prstGeom prst="rect">
                          <a:avLst/>
                        </a:prstGeom>
                        <a:noFill/>
                        <a:ln>
                          <a:noFill/>
                        </a:ln>
                        <a:effectLst/>
                      </wps:spPr>
                      <wps:txbx>
                        <w:txbxContent>
                          <w:p w14:paraId="533F9AAC">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价格确认与支付</w:t>
                            </w:r>
                          </w:p>
                          <w:p w14:paraId="62B7C6F2">
                            <w:pPr>
                              <w:pStyle w:val="2"/>
                              <w:adjustRightInd w:val="0"/>
                              <w:snapToGrid w:val="0"/>
                              <w:rPr>
                                <w:rFonts w:ascii="Times New Roman" w:hAnsi="Times New Roman" w:eastAsia="楷体_GB2312"/>
                                <w:b/>
                                <w:bCs/>
                                <w:sz w:val="18"/>
                                <w:szCs w:val="18"/>
                              </w:rPr>
                            </w:pPr>
                          </w:p>
                          <w:p w14:paraId="1DDC09C9">
                            <w:pPr>
                              <w:pStyle w:val="2"/>
                              <w:adjustRightInd w:val="0"/>
                              <w:snapToGrid w:val="0"/>
                              <w:spacing w:line="360" w:lineRule="auto"/>
                              <w:rPr>
                                <w:rFonts w:ascii="Times New Roman" w:hAnsi="Times New Roman" w:eastAsia="楷体_GB2312"/>
                                <w:b/>
                                <w:bCs/>
                                <w:sz w:val="18"/>
                                <w:szCs w:val="18"/>
                              </w:rPr>
                            </w:pPr>
                          </w:p>
                          <w:p w14:paraId="59EAE6F8"/>
                        </w:txbxContent>
                      </wps:txbx>
                      <wps:bodyPr rot="0" vert="horz" wrap="square" lIns="91440" tIns="45720" rIns="91440" bIns="45720" anchor="t" anchorCtr="0" upright="1">
                        <a:noAutofit/>
                      </wps:bodyPr>
                    </wps:wsp>
                  </a:graphicData>
                </a:graphic>
              </wp:anchor>
            </w:drawing>
          </mc:Choice>
          <mc:Fallback>
            <w:pict>
              <v:shape id="文本框 1017" o:spid="_x0000_s1026" o:spt="202" type="#_x0000_t202" style="position:absolute;left:0pt;margin-left:-9pt;margin-top:6.1pt;height:36.5pt;width:67.85pt;z-index:251900928;mso-width-relative:page;mso-height-relative:page;" filled="f" stroked="f" coordsize="21600,21600" o:gfxdata="UEsDBAoAAAAAAIdO4kAAAAAAAAAAAAAAAAAEAAAAZHJzL1BLAwQUAAAACACHTuJA1KMtXdcAAAAJ&#10;AQAADwAAAGRycy9kb3ducmV2LnhtbE2PzW7CMBCE75X6DtZW6g3sRAXSNA4HUK9FpT9Sb0u8JFHj&#10;dRQbEt6+5kSPoxnNfFOsJ9uJMw2+dawhmSsQxJUzLdcaPj9eZxkIH5ANdo5Jw4U8rMv7uwJz40Z+&#10;p/M+1CKWsM9RQxNCn0vpq4Ys+rnriaN3dIPFEOVQSzPgGMttJ1OlltJiy3GhwZ42DVW/+5PV8PV2&#10;/Pl+Urt6axf96CYl2T5LrR8fEvUCItAUbmG44kd0KCPTwZ3YeNFpmCVZ/BKikaYgroFktQJx0JAt&#10;UpBlIf8/KP8AUEsDBBQAAAAIAIdO4kCIGdbbIQIAACcEAAAOAAAAZHJzL2Uyb0RvYy54bWytU0tu&#10;2zAQ3RfoHQjua1mu7TiC5SCNkaJA+gHSHoCmKIuoxGGHtKX0AM0Nuuqm+57L5+iQUlw33WTRjUDO&#10;DN/Me/O0vOiamu0VOg0m5+lozJkyEgpttjn/9PH6xYIz54UpRA1G5fxOOX6xev5s2dpMTaCCulDI&#10;CMS4rLU5r7y3WZI4WalGuBFYZShZAjbC0xW3SYGiJfSmTibj8TxpAQuLIJVzFF33ST4g4lMAoSy1&#10;VGuQu0YZ36OiqoUnSq7S1vFVnLYslfTvy9Ipz+qcE1Mfv9SEzpvwTVZLkW1R2ErLYQTxlBEecWqE&#10;NtT0CLUWXrAd6n+gGi0RHJR+JKFJeiJREWKRjh9pc1sJqyIXktrZo+ju/8HKd/sPyHSR80V6xpkR&#10;Da388P3+8OPX4ec3lo4pShq11mVUemup2HevoCPnRL7O3oD87JiBq0qYrbpEhLZSoqAZ0/AyOXna&#10;47gAsmnfQkGtxM5DBOpKbIKAJAkjdNrP3XE/qvNMUnAxT+fnM84kpabzl7NZ3F8isofHFp1/raBh&#10;4ZBzpPVHcLG/cT4MI7KHktDLwLWu62iB2vwVoMI+oqKHhteBSpi+5+G7TTdIs4Hijkgh9P6iv4sO&#10;FeBXzlryVs7dl51AxVn9xpAw5+l0GswYL9PZ2YQueJrZnGaEkQSVc89Zf7zyvYF3FvW2ok79Kgxc&#10;kpiljkTDqP1UwwrIP5H/4PVg0NN7rPrzf6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SjLV3X&#10;AAAACQEAAA8AAAAAAAAAAQAgAAAAIgAAAGRycy9kb3ducmV2LnhtbFBLAQIUABQAAAAIAIdO4kCI&#10;GdbbIQIAACcEAAAOAAAAAAAAAAEAIAAAACYBAABkcnMvZTJvRG9jLnhtbFBLBQYAAAAABgAGAFkB&#10;AAC5BQAAAAA=&#10;">
                <v:fill on="f" focussize="0,0"/>
                <v:stroke on="f"/>
                <v:imagedata o:title=""/>
                <o:lock v:ext="edit" aspectratio="f"/>
                <v:textbox>
                  <w:txbxContent>
                    <w:p w14:paraId="533F9AAC">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价格确认与支付</w:t>
                      </w:r>
                    </w:p>
                    <w:p w14:paraId="62B7C6F2">
                      <w:pPr>
                        <w:pStyle w:val="2"/>
                        <w:adjustRightInd w:val="0"/>
                        <w:snapToGrid w:val="0"/>
                        <w:rPr>
                          <w:rFonts w:ascii="Times New Roman" w:hAnsi="Times New Roman" w:eastAsia="楷体_GB2312"/>
                          <w:b/>
                          <w:bCs/>
                          <w:sz w:val="18"/>
                          <w:szCs w:val="18"/>
                        </w:rPr>
                      </w:pPr>
                    </w:p>
                    <w:p w14:paraId="1DDC09C9">
                      <w:pPr>
                        <w:pStyle w:val="2"/>
                        <w:adjustRightInd w:val="0"/>
                        <w:snapToGrid w:val="0"/>
                        <w:spacing w:line="360" w:lineRule="auto"/>
                        <w:rPr>
                          <w:rFonts w:ascii="Times New Roman" w:hAnsi="Times New Roman" w:eastAsia="楷体_GB2312"/>
                          <w:b/>
                          <w:bCs/>
                          <w:sz w:val="18"/>
                          <w:szCs w:val="18"/>
                        </w:rPr>
                      </w:pPr>
                    </w:p>
                    <w:p w14:paraId="59EAE6F8"/>
                  </w:txbxContent>
                </v:textbox>
              </v:shape>
            </w:pict>
          </mc:Fallback>
        </mc:AlternateContent>
      </w:r>
      <w:r>
        <w:rPr>
          <w:rFonts w:hint="eastAsia" w:ascii="仿宋" w:hAnsi="仿宋" w:eastAsia="仿宋" w:cs="仿宋"/>
          <w:color w:val="auto"/>
          <w:sz w:val="24"/>
          <w:szCs w:val="24"/>
          <w:highlight w:val="none"/>
          <w:lang w:eastAsia="zh-CN"/>
        </w:rPr>
        <w:t>现场签证工作完成后的</w:t>
      </w:r>
      <w:r>
        <w:rPr>
          <w:rFonts w:ascii="仿宋" w:hAnsi="仿宋" w:eastAsia="仿宋" w:cs="仿宋"/>
          <w:color w:val="auto"/>
          <w:sz w:val="24"/>
          <w:szCs w:val="24"/>
          <w:highlight w:val="none"/>
          <w:lang w:eastAsia="zh-CN"/>
        </w:rPr>
        <w:t>48</w:t>
      </w:r>
      <w:r>
        <w:rPr>
          <w:rFonts w:hint="eastAsia" w:ascii="仿宋" w:hAnsi="仿宋" w:eastAsia="仿宋" w:cs="仿宋"/>
          <w:color w:val="auto"/>
          <w:sz w:val="24"/>
          <w:szCs w:val="24"/>
          <w:highlight w:val="none"/>
          <w:lang w:eastAsia="zh-CN"/>
        </w:rPr>
        <w:t>小时内，合同双方当事人应确认由此引起调整的合同价格，并作为追加合同价格，与工程进度款同期支付。</w:t>
      </w:r>
    </w:p>
    <w:p w14:paraId="51AAD5DD">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6F310F0E">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1" w:name="_Toc81"/>
      <w:r>
        <w:rPr>
          <w:rFonts w:hint="eastAsia" w:ascii="仿宋" w:hAnsi="仿宋" w:eastAsia="仿宋" w:cs="仿宋"/>
          <w:bCs w:val="0"/>
          <w:color w:val="auto"/>
          <w:sz w:val="24"/>
          <w:szCs w:val="24"/>
          <w:highlight w:val="none"/>
          <w:lang w:eastAsia="zh-CN"/>
        </w:rPr>
        <w:t>★82物价涨落的价格调整</w:t>
      </w:r>
      <w:bookmarkEnd w:id="381"/>
    </w:p>
    <w:p w14:paraId="189ADEED">
      <w:pPr>
        <w:pStyle w:val="2"/>
        <w:widowControl w:val="0"/>
        <w:adjustRightInd w:val="0"/>
        <w:snapToGrid w:val="0"/>
        <w:spacing w:line="360" w:lineRule="auto"/>
        <w:rPr>
          <w:rFonts w:hint="eastAsia" w:ascii="仿宋" w:hAnsi="仿宋" w:eastAsia="仿宋" w:cs="仿宋"/>
          <w:b/>
          <w:bCs/>
          <w:color w:val="auto"/>
          <w:sz w:val="24"/>
          <w:szCs w:val="24"/>
          <w:highlight w:val="none"/>
          <w:lang w:eastAsia="zh-CN"/>
        </w:rPr>
      </w:pPr>
      <w:r>
        <w:rPr>
          <w:b/>
          <w:color w:val="auto"/>
          <w:highlight w:val="none"/>
          <w:lang w:eastAsia="zh-CN"/>
        </w:rPr>
        <mc:AlternateContent>
          <mc:Choice Requires="wps">
            <w:drawing>
              <wp:anchor distT="0" distB="0" distL="114300" distR="114300" simplePos="0" relativeHeight="252059648" behindDoc="0" locked="0" layoutInCell="1" allowOverlap="1">
                <wp:simplePos x="0" y="0"/>
                <wp:positionH relativeFrom="column">
                  <wp:posOffset>-114300</wp:posOffset>
                </wp:positionH>
                <wp:positionV relativeFrom="paragraph">
                  <wp:posOffset>274320</wp:posOffset>
                </wp:positionV>
                <wp:extent cx="850900" cy="551815"/>
                <wp:effectExtent l="0" t="0" r="0" b="0"/>
                <wp:wrapNone/>
                <wp:docPr id="818" name="文本框 1018"/>
                <wp:cNvGraphicFramePr/>
                <a:graphic xmlns:a="http://schemas.openxmlformats.org/drawingml/2006/main">
                  <a:graphicData uri="http://schemas.microsoft.com/office/word/2010/wordprocessingShape">
                    <wps:wsp>
                      <wps:cNvSpPr txBox="1">
                        <a:spLocks noChangeArrowheads="1"/>
                      </wps:cNvSpPr>
                      <wps:spPr bwMode="auto">
                        <a:xfrm>
                          <a:off x="0" y="0"/>
                          <a:ext cx="850900" cy="551815"/>
                        </a:xfrm>
                        <a:prstGeom prst="rect">
                          <a:avLst/>
                        </a:prstGeom>
                        <a:noFill/>
                        <a:ln>
                          <a:noFill/>
                        </a:ln>
                        <a:effectLst/>
                      </wps:spPr>
                      <wps:txbx>
                        <w:txbxContent>
                          <w:p w14:paraId="161A01DA">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物价涨落的价格调整</w:t>
                            </w:r>
                          </w:p>
                        </w:txbxContent>
                      </wps:txbx>
                      <wps:bodyPr rot="0" vert="horz" wrap="square" lIns="91440" tIns="45720" rIns="91440" bIns="45720" anchor="t" anchorCtr="0" upright="1">
                        <a:noAutofit/>
                      </wps:bodyPr>
                    </wps:wsp>
                  </a:graphicData>
                </a:graphic>
              </wp:anchor>
            </w:drawing>
          </mc:Choice>
          <mc:Fallback>
            <w:pict>
              <v:shape id="文本框 1018" o:spid="_x0000_s1026" o:spt="202" type="#_x0000_t202" style="position:absolute;left:0pt;margin-left:-9pt;margin-top:21.6pt;height:43.45pt;width:67pt;z-index:252059648;mso-width-relative:page;mso-height-relative:page;" filled="f" stroked="f" coordsize="21600,21600" o:gfxdata="UEsDBAoAAAAAAIdO4kAAAAAAAAAAAAAAAAAEAAAAZHJzL1BLAwQUAAAACACHTuJA54ycmdcAAAAK&#10;AQAADwAAAGRycy9kb3ducmV2LnhtbE2PzU7DMBCE70i8g7VIvbW221KVEKcHENci+oPEzY23SUS8&#10;jmK3CW/P9gS33Z3R7Df5ZvStuGIfm0AG9EyBQCqDa6gycNi/TdcgYrLkbBsIDfxghE1xf5fbzIWB&#10;PvC6S5XgEIqZNVCn1GVSxrJGb+MsdEisnUPvbeK1r6Tr7cDhvpVzpVbS24b4Q207fKmx/N5dvIHj&#10;9vz1uVTv1at/7IYwKkn+SRozedDqGUTCMf2Z4YbP6FAw0ylcyEXRGpjqNXdJBpaLOYibQa/4cOJh&#10;oTTIIpf/KxS/UEsDBBQAAAAIAIdO4kAuFIMEHgIAACcEAAAOAAAAZHJzL2Uyb0RvYy54bWytU82O&#10;0zAQviPxDpbvNEnVQjdqulq2WoS0/EgLD+A6TmOReMzYbVIeAN6AExfuPFefg7GTLWW57IFLZM+M&#10;v5nvmy/Ly75t2F6h02AKnk1SzpSRUGqzLfjHDzfPFpw5L0wpGjCq4Afl+OXq6ZNlZ3M1hRqaUiEj&#10;EOPyzha89t7mSeJkrVrhJmCVoWQF2ApPV9wmJYqO0Nsmmabp86QDLC2CVM5RdD0k+YiIjwGEqtJS&#10;rUHuWmX8gIqqEZ4ouVpbx1dx2qpS0r+rKqc8awpOTH38UhM6b8I3WS1FvkVhay3HEcRjRnjAqRXa&#10;UNMT1Fp4wXao/4FqtURwUPmJhDYZiERFiEWWPtDmrhZWRS4ktbMn0d3/g5Vv9++R6bLgi4wWb0RL&#10;Kz9+/3b88ev48yvLUoqSRp11OZXeWSr2/UvoyTmRr7O3ID85ZuC6FmarrhChq5UoacYsvEzOng44&#10;LoBsujdQUiux8xCB+grbICBJwgid9nM47Uf1nkkKLubpRUoZSan5PFtk89hB5PePLTr/SkHLwqHg&#10;SOuP4GJ/63wYRuT3JaGXgRvdNNECjfkrQIVDREUPja8DlTD9wMP3m36UZgPlgUghDP6iv4sONeAX&#10;zjryVsHd551AxVnz2pAwF9lsFswYL7P5iyld8DyzOc8IIwmq4J6z4XjtBwPvLOptTZ2GVRi4IjEr&#10;HYmGUYepxhWQfyL/0evBoOf3WPXn/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OeMnJnXAAAA&#10;CgEAAA8AAAAAAAAAAQAgAAAAIgAAAGRycy9kb3ducmV2LnhtbFBLAQIUABQAAAAIAIdO4kAuFIME&#10;HgIAACcEAAAOAAAAAAAAAAEAIAAAACYBAABkcnMvZTJvRG9jLnhtbFBLBQYAAAAABgAGAFkBAAC2&#10;BQAAAAA=&#10;">
                <v:fill on="f" focussize="0,0"/>
                <v:stroke on="f"/>
                <v:imagedata o:title=""/>
                <o:lock v:ext="edit" aspectratio="f"/>
                <v:textbox>
                  <w:txbxContent>
                    <w:p w14:paraId="161A01DA">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物价涨落的价格调整</w:t>
                      </w:r>
                    </w:p>
                  </w:txbxContent>
                </v:textbox>
              </v:shape>
            </w:pict>
          </mc:Fallback>
        </mc:AlternateContent>
      </w:r>
      <w:r>
        <w:rPr>
          <w:rFonts w:hint="eastAsia" w:ascii="仿宋" w:hAnsi="仿宋" w:eastAsia="仿宋" w:cs="仿宋"/>
          <w:b/>
          <w:bCs/>
          <w:color w:val="auto"/>
          <w:sz w:val="24"/>
          <w:szCs w:val="24"/>
          <w:highlight w:val="none"/>
          <w:lang w:eastAsia="zh-CN"/>
        </w:rPr>
        <w:t>82</w:t>
      </w:r>
      <w:r>
        <w:rPr>
          <w:rFonts w:ascii="仿宋" w:hAnsi="仿宋" w:eastAsia="仿宋" w:cs="仿宋"/>
          <w:b/>
          <w:bCs/>
          <w:color w:val="auto"/>
          <w:sz w:val="24"/>
          <w:szCs w:val="24"/>
          <w:highlight w:val="none"/>
          <w:lang w:eastAsia="zh-CN"/>
        </w:rPr>
        <w:t>.1</w:t>
      </w:r>
    </w:p>
    <w:p w14:paraId="01B7FBA7">
      <w:pPr>
        <w:pStyle w:val="2"/>
        <w:widowControl w:val="0"/>
        <w:adjustRightInd w:val="0"/>
        <w:snapToGrid w:val="0"/>
        <w:spacing w:line="420" w:lineRule="exact"/>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履行期间，除专用合同条款另有约定外，市场价格波动超过合同当事人约定的涨跌幅度，合同价格应当调整。因承包人责任造成的工期延误期间的价格上涨，其差价不予调整，价格下跌的价差相应扣减。合同当事人可以在专用条款中约定按第82</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款选择一种方式对合同价格进行调整。</w:t>
      </w:r>
    </w:p>
    <w:p w14:paraId="049FAEDD">
      <w:pPr>
        <w:pStyle w:val="2"/>
        <w:widowControl w:val="0"/>
        <w:tabs>
          <w:tab w:val="left" w:pos="540"/>
        </w:tabs>
        <w:adjustRightInd w:val="0"/>
        <w:snapToGrid w:val="0"/>
        <w:spacing w:line="360" w:lineRule="auto"/>
        <w:rPr>
          <w:rFonts w:hint="eastAsia" w:ascii="仿宋" w:hAnsi="仿宋" w:eastAsia="仿宋" w:cs="仿宋"/>
          <w:b/>
          <w:bCs/>
          <w:color w:val="auto"/>
          <w:sz w:val="24"/>
          <w:szCs w:val="24"/>
          <w:highlight w:val="none"/>
          <w:u w:val="dotted"/>
          <w:lang w:eastAsia="zh-CN"/>
        </w:rPr>
      </w:pPr>
      <w:r>
        <w:rPr>
          <w:color w:val="auto"/>
          <w:highlight w:val="none"/>
          <w:lang w:eastAsia="zh-CN"/>
        </w:rPr>
        <mc:AlternateContent>
          <mc:Choice Requires="wps">
            <w:drawing>
              <wp:anchor distT="0" distB="0" distL="114300" distR="114300" simplePos="0" relativeHeight="252060672" behindDoc="0" locked="0" layoutInCell="1" allowOverlap="1">
                <wp:simplePos x="0" y="0"/>
                <wp:positionH relativeFrom="column">
                  <wp:posOffset>-66675</wp:posOffset>
                </wp:positionH>
                <wp:positionV relativeFrom="paragraph">
                  <wp:posOffset>295275</wp:posOffset>
                </wp:positionV>
                <wp:extent cx="813435" cy="647065"/>
                <wp:effectExtent l="0" t="0" r="0" b="0"/>
                <wp:wrapNone/>
                <wp:docPr id="819" name="文本框 1019"/>
                <wp:cNvGraphicFramePr/>
                <a:graphic xmlns:a="http://schemas.openxmlformats.org/drawingml/2006/main">
                  <a:graphicData uri="http://schemas.microsoft.com/office/word/2010/wordprocessingShape">
                    <wps:wsp>
                      <wps:cNvSpPr txBox="1">
                        <a:spLocks noChangeArrowheads="1"/>
                      </wps:cNvSpPr>
                      <wps:spPr bwMode="auto">
                        <a:xfrm>
                          <a:off x="0" y="0"/>
                          <a:ext cx="813435" cy="647065"/>
                        </a:xfrm>
                        <a:prstGeom prst="rect">
                          <a:avLst/>
                        </a:prstGeom>
                        <a:noFill/>
                        <a:ln>
                          <a:noFill/>
                        </a:ln>
                        <a:effectLst/>
                      </wps:spPr>
                      <wps:txbx>
                        <w:txbxContent>
                          <w:p w14:paraId="1F4ACC0E">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人工费的调整方法</w:t>
                            </w:r>
                          </w:p>
                        </w:txbxContent>
                      </wps:txbx>
                      <wps:bodyPr rot="0" vert="horz" wrap="square" lIns="91440" tIns="45720" rIns="91440" bIns="45720" anchor="t" anchorCtr="0" upright="1">
                        <a:noAutofit/>
                      </wps:bodyPr>
                    </wps:wsp>
                  </a:graphicData>
                </a:graphic>
              </wp:anchor>
            </w:drawing>
          </mc:Choice>
          <mc:Fallback>
            <w:pict>
              <v:shape id="文本框 1019" o:spid="_x0000_s1026" o:spt="202" type="#_x0000_t202" style="position:absolute;left:0pt;margin-left:-5.25pt;margin-top:23.25pt;height:50.95pt;width:64.05pt;z-index:252060672;mso-width-relative:page;mso-height-relative:page;" filled="f" stroked="f" coordsize="21600,21600" o:gfxdata="UEsDBAoAAAAAAIdO4kAAAAAAAAAAAAAAAAAEAAAAZHJzL1BLAwQUAAAACACHTuJADrxo39cAAAAK&#10;AQAADwAAAGRycy9kb3ducmV2LnhtbE2PwU7DMAyG70i8Q+RJ3LakqOu2rukOIK4gBkPiljVeW61x&#10;qiZby9vjneBkW/70+3Oxm1wnrjiE1pOGZKFAIFXetlRr+Px4ma9BhGjIms4TavjBALvy/q4wufUj&#10;veN1H2vBIRRyo6GJsc+lDFWDzoSF75F4d/KDM5HHoZZ2MCOHu04+KpVJZ1riC43p8anB6ry/OA2H&#10;19P3V6re6me37Ec/KUluI7V+mCVqCyLiFP9guOmzOpTsdPQXskF0GuaJWjKqIc243oBklYE4cpOu&#10;U5BlIf+/UP4CUEsDBBQAAAAIAIdO4kDABBs6IQIAACcEAAAOAAAAZHJzL2Uyb0RvYy54bWytU0tu&#10;2zAQ3RfoHQjua1mO7TiC5SCNkaJA+gHSHoCmKIuoxGGHtKX0AO0Nuuqm+57L5+iQUlw33WTRjUDO&#10;DN/Me/O0vOyamu0VOg0m5+lozJkyEgpttjn/+OHmxYIz54UpRA1G5fxeOX65ev5s2dpMTaCCulDI&#10;CMS4rLU5r7y3WZI4WalGuBFYZShZAjbC0xW3SYGiJfSmTibj8TxpAQuLIJVzFF33ST4g4lMAoSy1&#10;VGuQu0YZ36OiqoUnSq7S1vFVnLYslfTvytIpz+qcE1Mfv9SEzpvwTVZLkW1R2ErLYQTxlBEecWqE&#10;NtT0CLUWXrAd6n+gGi0RHJR+JKFJeiJREWKRjh9pc1cJqyIXktrZo+ju/8HKt/v3yHSR80V6wZkR&#10;Da388P3b4cevw8+vLB1TlDRqrcuo9M5Sse9eQkfOiXydvQX5yTED15UwW3WFCG2lREEzpuFlcvK0&#10;x3EBZNO+gYJaiZ2HCNSV2AQBSRJG6LSf++N+VOeZpOAiPZuezTiTlJpPz8fzWewgsofHFp1/paBh&#10;4ZBzpPVHcLG/dT4MI7KHktDLwI2u62iB2vwVoMI+oqKHhteBSpi+5+G7TTdIs4Hinkgh9P6iv4sO&#10;FeAXzlryVs7d551AxVn92pAwF+l0GswYL9PZ+YQueJrZnGaEkQSVc89Zf7z2vYF3FvW2ok79Kgxc&#10;kZiljkTDqP1UwwrIP5H/4PVg0NN7rPrzf6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68aN/X&#10;AAAACgEAAA8AAAAAAAAAAQAgAAAAIgAAAGRycy9kb3ducmV2LnhtbFBLAQIUABQAAAAIAIdO4kDA&#10;BBs6IQIAACcEAAAOAAAAAAAAAAEAIAAAACYBAABkcnMvZTJvRG9jLnhtbFBLBQYAAAAABgAGAFkB&#10;AAC5BQAAAAA=&#10;">
                <v:fill on="f" focussize="0,0"/>
                <v:stroke on="f"/>
                <v:imagedata o:title=""/>
                <o:lock v:ext="edit" aspectratio="f"/>
                <v:textbox>
                  <w:txbxContent>
                    <w:p w14:paraId="1F4ACC0E">
                      <w:pPr>
                        <w:pStyle w:val="28"/>
                        <w:spacing w:line="200" w:lineRule="exact"/>
                        <w:rPr>
                          <w:rFonts w:hint="eastAsia" w:ascii="楷体_GB2312" w:hAnsi="宋体" w:eastAsia="楷体_GB2312"/>
                          <w:b/>
                          <w:bCs/>
                          <w:color w:val="000000"/>
                          <w:sz w:val="18"/>
                          <w:szCs w:val="18"/>
                        </w:rPr>
                      </w:pPr>
                      <w:r>
                        <w:rPr>
                          <w:rFonts w:hint="eastAsia" w:ascii="楷体_GB2312" w:hAnsi="宋体" w:eastAsia="楷体_GB2312" w:cs="楷体_GB2312"/>
                          <w:b/>
                          <w:bCs/>
                          <w:color w:val="000000"/>
                          <w:sz w:val="18"/>
                          <w:szCs w:val="18"/>
                        </w:rPr>
                        <w:t>人工费的调整方法</w:t>
                      </w:r>
                    </w:p>
                  </w:txbxContent>
                </v:textbox>
              </v:shape>
            </w:pict>
          </mc:Fallback>
        </mc:AlternateContent>
      </w:r>
      <w:r>
        <w:rPr>
          <w:rFonts w:hint="eastAsia" w:ascii="仿宋" w:hAnsi="仿宋" w:eastAsia="仿宋" w:cs="仿宋"/>
          <w:b/>
          <w:bCs/>
          <w:color w:val="auto"/>
          <w:sz w:val="24"/>
          <w:szCs w:val="24"/>
          <w:highlight w:val="none"/>
          <w:lang w:eastAsia="zh-CN"/>
        </w:rPr>
        <w:t>82</w:t>
      </w:r>
      <w:r>
        <w:rPr>
          <w:rFonts w:ascii="仿宋" w:hAnsi="仿宋" w:eastAsia="仿宋" w:cs="仿宋"/>
          <w:b/>
          <w:bCs/>
          <w:color w:val="auto"/>
          <w:sz w:val="24"/>
          <w:szCs w:val="24"/>
          <w:highlight w:val="none"/>
          <w:lang w:eastAsia="zh-CN"/>
        </w:rPr>
        <w:t xml:space="preserve">.2  </w:t>
      </w:r>
    </w:p>
    <w:p w14:paraId="5FEB6005">
      <w:pPr>
        <w:pStyle w:val="2"/>
        <w:widowControl w:val="0"/>
        <w:adjustRightInd w:val="0"/>
        <w:snapToGrid w:val="0"/>
        <w:spacing w:line="420" w:lineRule="exact"/>
        <w:ind w:left="1850" w:leftChars="771"/>
        <w:jc w:val="both"/>
        <w:rPr>
          <w:color w:val="auto"/>
          <w:highlight w:val="none"/>
          <w:lang w:eastAsia="zh-CN"/>
        </w:rPr>
      </w:pPr>
      <w:r>
        <w:rPr>
          <w:rFonts w:hint="eastAsia" w:ascii="仿宋" w:hAnsi="仿宋" w:eastAsia="仿宋" w:cs="仿宋"/>
          <w:color w:val="auto"/>
          <w:sz w:val="24"/>
          <w:szCs w:val="24"/>
          <w:highlight w:val="none"/>
          <w:lang w:eastAsia="zh-CN"/>
        </w:rPr>
        <w:t>执行第82</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种方式：采用本地造价管理机构发布的价格指导文件进行价格调整”约定的</w:t>
      </w:r>
      <w:r>
        <w:rPr>
          <w:rFonts w:hint="eastAsia"/>
          <w:color w:val="auto"/>
          <w:highlight w:val="none"/>
          <w:lang w:eastAsia="zh-CN"/>
        </w:rPr>
        <w:t>，</w:t>
      </w:r>
      <w:r>
        <w:rPr>
          <w:rFonts w:hint="eastAsia" w:ascii="仿宋" w:hAnsi="仿宋" w:eastAsia="仿宋" w:cs="仿宋"/>
          <w:color w:val="auto"/>
          <w:sz w:val="24"/>
          <w:szCs w:val="24"/>
          <w:highlight w:val="none"/>
          <w:lang w:eastAsia="zh-CN"/>
        </w:rPr>
        <w:t>合同当事人应按文件规定调整合同价格，但承包人对人工费或人工单价的报价高于发布价格的除外；或由合同当事人在专用条款中约定人工费、人工单价调整条件。</w:t>
      </w:r>
    </w:p>
    <w:p w14:paraId="648D4C6B">
      <w:pPr>
        <w:pStyle w:val="2"/>
        <w:widowControl w:val="0"/>
        <w:tabs>
          <w:tab w:val="left" w:pos="540"/>
        </w:tabs>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82</w:t>
      </w:r>
      <w:r>
        <w:rPr>
          <w:rFonts w:ascii="仿宋" w:hAnsi="仿宋" w:eastAsia="仿宋" w:cs="仿宋"/>
          <w:b/>
          <w:bCs/>
          <w:color w:val="auto"/>
          <w:sz w:val="24"/>
          <w:szCs w:val="24"/>
          <w:highlight w:val="none"/>
          <w:lang w:eastAsia="zh-CN"/>
        </w:rPr>
        <w:t xml:space="preserve">.3  </w:t>
      </w:r>
    </w:p>
    <w:p w14:paraId="773F1319">
      <w:pPr>
        <w:widowControl w:val="0"/>
        <w:spacing w:line="360" w:lineRule="auto"/>
        <w:ind w:left="1850" w:leftChars="771"/>
        <w:jc w:val="both"/>
        <w:rPr>
          <w:rFonts w:eastAsia="仿宋_GB2312"/>
          <w:color w:val="auto"/>
          <w:sz w:val="30"/>
          <w:szCs w:val="30"/>
          <w:highlight w:val="none"/>
          <w:lang w:eastAsia="zh-CN"/>
        </w:rPr>
      </w:pPr>
      <w:r>
        <w:rPr>
          <w:rFonts w:hint="eastAsia" w:ascii="仿宋" w:hAnsi="仿宋" w:eastAsia="仿宋" w:cs="仿宋"/>
          <w:color w:val="auto"/>
          <w:highlight w:val="none"/>
          <w:lang w:eastAsia="zh-CN"/>
        </w:rPr>
        <w:t>第</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种方式：采用本地造价管理机构发布的价格指导文件进行价格调整。</w:t>
      </w:r>
    </w:p>
    <w:p w14:paraId="26027A7C">
      <w:pPr>
        <w:widowControl w:val="0"/>
        <w:spacing w:line="360" w:lineRule="auto"/>
        <w:ind w:left="1850" w:leftChars="771"/>
        <w:jc w:val="both"/>
        <w:rPr>
          <w:color w:val="auto"/>
          <w:highlight w:val="none"/>
          <w:lang w:eastAsia="zh-CN"/>
        </w:rPr>
      </w:pPr>
      <w:r>
        <w:rPr>
          <w:rFonts w:hint="eastAsia" w:ascii="仿宋" w:hAnsi="仿宋" w:eastAsia="仿宋" w:cs="仿宋"/>
          <w:color w:val="auto"/>
          <w:highlight w:val="none"/>
          <w:lang w:eastAsia="zh-CN"/>
        </w:rPr>
        <w:t>合同履行期间，因人工、工程材料、工程设备和施工机具台班价格波动影响合同</w:t>
      </w:r>
      <w:r>
        <w:rPr>
          <w:color w:val="auto"/>
          <w:highlight w:val="none"/>
          <w:lang w:eastAsia="zh-CN" w:bidi="ar-SA"/>
        </w:rPr>
        <mc:AlternateContent>
          <mc:Choice Requires="wps">
            <w:drawing>
              <wp:anchor distT="0" distB="0" distL="114300" distR="114300" simplePos="0" relativeHeight="251901952" behindDoc="0" locked="0" layoutInCell="1" allowOverlap="1">
                <wp:simplePos x="0" y="0"/>
                <wp:positionH relativeFrom="column">
                  <wp:posOffset>-47625</wp:posOffset>
                </wp:positionH>
                <wp:positionV relativeFrom="paragraph">
                  <wp:posOffset>66675</wp:posOffset>
                </wp:positionV>
                <wp:extent cx="785495" cy="1030605"/>
                <wp:effectExtent l="0" t="0" r="0" b="0"/>
                <wp:wrapNone/>
                <wp:docPr id="820" name="文本框 1020"/>
                <wp:cNvGraphicFramePr/>
                <a:graphic xmlns:a="http://schemas.openxmlformats.org/drawingml/2006/main">
                  <a:graphicData uri="http://schemas.microsoft.com/office/word/2010/wordprocessingShape">
                    <wps:wsp>
                      <wps:cNvSpPr txBox="1">
                        <a:spLocks noChangeArrowheads="1"/>
                      </wps:cNvSpPr>
                      <wps:spPr bwMode="auto">
                        <a:xfrm>
                          <a:off x="0" y="0"/>
                          <a:ext cx="785495" cy="1030605"/>
                        </a:xfrm>
                        <a:prstGeom prst="rect">
                          <a:avLst/>
                        </a:prstGeom>
                        <a:noFill/>
                        <a:ln>
                          <a:noFill/>
                        </a:ln>
                        <a:effectLst/>
                      </wps:spPr>
                      <wps:txbx>
                        <w:txbxContent>
                          <w:p w14:paraId="79228C56">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承包人采购工程材料和工程设备的材料设备费、施工机具使用费调整方法</w:t>
                            </w:r>
                          </w:p>
                        </w:txbxContent>
                      </wps:txbx>
                      <wps:bodyPr rot="0" vert="horz" wrap="square" lIns="91440" tIns="45720" rIns="91440" bIns="45720" anchor="t" anchorCtr="0" upright="1">
                        <a:noAutofit/>
                      </wps:bodyPr>
                    </wps:wsp>
                  </a:graphicData>
                </a:graphic>
              </wp:anchor>
            </w:drawing>
          </mc:Choice>
          <mc:Fallback>
            <w:pict>
              <v:shape id="文本框 1020" o:spid="_x0000_s1026" o:spt="202" type="#_x0000_t202" style="position:absolute;left:0pt;margin-left:-3.75pt;margin-top:5.25pt;height:81.15pt;width:61.85pt;z-index:251901952;mso-width-relative:page;mso-height-relative:page;" filled="f" stroked="f" coordsize="21600,21600" o:gfxdata="UEsDBAoAAAAAAIdO4kAAAAAAAAAAAAAAAAAEAAAAZHJzL1BLAwQUAAAACACHTuJAXWby79YAAAAJ&#10;AQAADwAAAGRycy9kb3ducmV2LnhtbE2Py07DMBBF90j9B2sqsWvtRPSVxumiiC2IFpDYufE0iRqP&#10;o9htwt8zXcFqHvfqzpl8N7pW3LAPjScNyVyBQCq9bajS8HF8ma1BhGjImtYTavjBALti8pCbzPqB&#10;3vF2iJXgEAqZ0VDH2GVShrJGZ8Lcd0isnX3vTOSxr6TtzcDhrpWpUkvpTEN8oTYd7mssL4er0/D5&#10;ev7+elJv1bNbdIMflSS3kVo/ThO1BRFxjH9muOMzOhTMdPJXskG0GmarBTt5r7je9WSZgjhxs0rX&#10;IItc/v+g+AVQSwMEFAAAAAgAh07iQDJO8wsgAgAAKAQAAA4AAABkcnMvZTJvRG9jLnhtbK1TS27b&#10;MBDdF+gdCO5rya6dOILlII2RokD6AdIegKYoi6jEYYe0JfcAzQ266qb7nsvn6JBSXDfdZNGNQM4M&#10;38x787S47Jqa7RQ6DSbn41HKmTISCm02Of/08ebFnDPnhSlEDUblfK8cv1w+f7ZobaYmUEFdKGQE&#10;YlzW2pxX3tssSZysVCPcCKwylCwBG+HpipukQNESelMnkzQ9S1rAwiJI5RxFV32SD4j4FEAoSy3V&#10;CuS2Ucb3qKhq4YmSq7R1fBmnLUsl/fuydMqzOufE1McvNaHzOnyT5UJkGxS20nIYQTxlhEecGqEN&#10;NT1CrYQXbIv6H6hGSwQHpR9JaJKeSFSEWIzTR9rcVcKqyIWkdvYouvt/sPLd7gMyXeR8PiFNjGho&#10;5Yfv94cfvw4/v7FxSlHSqLUuo9I7S8W+ewUdOSfydfYW5GfHDFxXwmzUFSK0lRIFzTgOL5OTpz2O&#10;CyDr9i0U1EpsPUSgrsQmCEiSMEKnWfbH/ajOM0nB8/lsejHjTFJqnL5Mz9JZbCGyh9cWnX+toGHh&#10;kHOk/Ud0sbt1PkwjsoeS0MzAja7r6IHa/BWgwj6ioomG14FLGL8n4rt1N2izhmJPrBB6g9HvRYcK&#10;8CtnLZkr5+7LVqDirH5jSJmL8XQa3Bgv09l5kB5PM+vTjDCSoHLuOeuP17538Nai3lTUqd+FgStS&#10;s9SRaBi1n2rYARko8h/MHhx6eo9Vf37w5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dZvLv1gAA&#10;AAkBAAAPAAAAAAAAAAEAIAAAACIAAABkcnMvZG93bnJldi54bWxQSwECFAAUAAAACACHTuJAMk7z&#10;CyACAAAoBAAADgAAAAAAAAABACAAAAAlAQAAZHJzL2Uyb0RvYy54bWxQSwUGAAAAAAYABgBZAQAA&#10;twUAAAAA&#10;">
                <v:fill on="f" focussize="0,0"/>
                <v:stroke on="f"/>
                <v:imagedata o:title=""/>
                <o:lock v:ext="edit" aspectratio="f"/>
                <v:textbox>
                  <w:txbxContent>
                    <w:p w14:paraId="79228C56">
                      <w:pPr>
                        <w:pStyle w:val="28"/>
                        <w:spacing w:line="200" w:lineRule="exact"/>
                        <w:rPr>
                          <w:rFonts w:hint="eastAsia" w:ascii="楷体_GB2312" w:hAnsi="宋体" w:eastAsia="楷体_GB2312"/>
                          <w:b/>
                          <w:bCs/>
                          <w:color w:val="000000"/>
                          <w:sz w:val="18"/>
                          <w:szCs w:val="18"/>
                          <w:lang w:eastAsia="zh-CN"/>
                        </w:rPr>
                      </w:pPr>
                      <w:r>
                        <w:rPr>
                          <w:rFonts w:hint="eastAsia" w:ascii="楷体_GB2312" w:hAnsi="宋体" w:eastAsia="楷体_GB2312" w:cs="楷体_GB2312"/>
                          <w:b/>
                          <w:bCs/>
                          <w:color w:val="000000"/>
                          <w:sz w:val="18"/>
                          <w:szCs w:val="18"/>
                          <w:lang w:eastAsia="zh-CN"/>
                        </w:rPr>
                        <w:t>承包人采购工程材料和工程设备的材料设备费、施工机具使用费调整方法</w:t>
                      </w:r>
                    </w:p>
                  </w:txbxContent>
                </v:textbox>
              </v:shape>
            </w:pict>
          </mc:Fallback>
        </mc:AlternateContent>
      </w:r>
      <w:r>
        <w:rPr>
          <w:rFonts w:hint="eastAsia" w:ascii="仿宋" w:hAnsi="仿宋" w:eastAsia="仿宋" w:cs="仿宋"/>
          <w:color w:val="auto"/>
          <w:highlight w:val="none"/>
          <w:lang w:eastAsia="zh-CN"/>
        </w:rPr>
        <w:t>价格时，人工、施工机具使用费按照文件规定进行调整；需要进行价格调整的工程材料、工程设备，其单价和采购数量应由发包人审批，审批</w:t>
      </w:r>
      <w:r>
        <w:rPr>
          <w:rFonts w:ascii="仿宋" w:hAnsi="仿宋" w:eastAsia="仿宋" w:cs="仿宋"/>
          <w:color w:val="auto"/>
          <w:highlight w:val="none"/>
          <w:lang w:eastAsia="zh-CN"/>
        </w:rPr>
        <w:t>文件</w:t>
      </w:r>
      <w:r>
        <w:rPr>
          <w:rFonts w:hint="eastAsia" w:ascii="仿宋" w:hAnsi="仿宋" w:eastAsia="仿宋" w:cs="仿宋"/>
          <w:color w:val="auto"/>
          <w:highlight w:val="none"/>
          <w:lang w:eastAsia="zh-CN"/>
        </w:rPr>
        <w:t>作为调整合同价格的依据。</w:t>
      </w:r>
    </w:p>
    <w:p w14:paraId="0F3A86F7">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）工程材料、工程设备价格调整按照发包人提供的基准价格，按以下约定</w:t>
      </w:r>
      <w:r>
        <w:rPr>
          <w:rFonts w:ascii="仿宋" w:hAnsi="仿宋" w:eastAsia="仿宋" w:cs="仿宋"/>
          <w:color w:val="auto"/>
          <w:highlight w:val="none"/>
          <w:lang w:eastAsia="zh-CN"/>
        </w:rPr>
        <w:t>：</w:t>
      </w:r>
    </w:p>
    <w:p w14:paraId="56C714F9">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①承包人在合同价格清单中载明工程材料、工程设备单价低于基准价格的：除专用合同条款另有约定外，合同履行期间工程材料、工程设备单价涨幅以基准价格为基础超</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时，或工程材料、工程设备单价跌幅以在合同价格清单中载明工程材料单价、工程设备为基础超过</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时，其超过5%以上的部分据实调整（示例：涨跌幅为6%的，据实调整的部分为1%，下同）。</w:t>
      </w:r>
    </w:p>
    <w:p w14:paraId="75DD6C61">
      <w:pPr>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②承包人在合同价格清单中载明工程材料、工程设备单价高于基准价格的：除专用合同条款另有约定外，合同履行期间工程材料、工程设备单价跌幅以基准价格为基础超过</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时，或工程材料、工程设备单价涨幅以在合同价格清单中载明工程材料单价、工程设备为基础超过</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时，其超过5%以上的部分据实调整。</w:t>
      </w:r>
    </w:p>
    <w:p w14:paraId="7934FCED">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③承包人在合同价格清单中载明工程材料、工程设备单价等于基准价格的：除专用合同条款另有约定外，合同履行期间工程材料、工程设备单价涨跌幅以基准价格为基础超过±</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时，其超过±5%以上的部分据实调整。</w:t>
      </w:r>
    </w:p>
    <w:p w14:paraId="5B67CE2A">
      <w:pPr>
        <w:spacing w:line="360" w:lineRule="auto"/>
        <w:ind w:left="1850" w:leftChars="771"/>
        <w:jc w:val="both"/>
        <w:rPr>
          <w:rFonts w:eastAsia="仿宋"/>
          <w:color w:val="auto"/>
          <w:sz w:val="30"/>
          <w:szCs w:val="30"/>
          <w:highlight w:val="none"/>
          <w:lang w:eastAsia="zh-CN"/>
        </w:rPr>
      </w:pPr>
      <w:r>
        <w:rPr>
          <w:rFonts w:hint="eastAsia" w:ascii="仿宋" w:hAnsi="仿宋" w:eastAsia="仿宋" w:cs="仿宋"/>
          <w:color w:val="auto"/>
          <w:highlight w:val="none"/>
          <w:lang w:eastAsia="zh-CN"/>
        </w:rPr>
        <w:t>前述基准价格是指由发包人在招标文件或专用合同条款中给定的工程材料、工程设备的价格，该价格原则上应当按照本地造价管理机构发布的价格指导文件编制。如本地造价管理机构价格指导文件没有发布的工程材料、工程设备，由发包人在招标文件或专用合同条款中给定基准价，并明确该基准价格的计算依据、计算方式以及工程材料单价涨跌幅的确定方法。</w:t>
      </w:r>
    </w:p>
    <w:p w14:paraId="553A8166">
      <w:pPr>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施工机具台班单价发生变化超过本地造价管理机构发布的价格指导文件规定的幅度时，按规定调整合同价格。如本地造价管理机构价格指导文件没有发布施工机具台班单价变化幅度的，由发包人在招标文件或专用合同条款中明确可以调整合同价格的变化幅度，以及变化幅度、施工机具台班单价的计算依据、计算方式。</w:t>
      </w:r>
    </w:p>
    <w:p w14:paraId="4C2FEC32">
      <w:pPr>
        <w:spacing w:line="360" w:lineRule="auto"/>
        <w:ind w:left="1850" w:leftChars="771"/>
        <w:jc w:val="both"/>
        <w:rPr>
          <w:color w:val="auto"/>
          <w:highlight w:val="none"/>
          <w:lang w:eastAsia="zh-CN"/>
        </w:rPr>
      </w:pPr>
      <w:r>
        <w:rPr>
          <w:rFonts w:hint="eastAsia" w:ascii="仿宋" w:hAnsi="仿宋" w:eastAsia="仿宋" w:cs="仿宋"/>
          <w:color w:val="auto"/>
          <w:highlight w:val="none"/>
          <w:lang w:eastAsia="zh-CN"/>
        </w:rPr>
        <w:t>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种方式：专用合同条款约定的其他方式。</w:t>
      </w:r>
    </w:p>
    <w:p w14:paraId="001F9707">
      <w:pPr>
        <w:pStyle w:val="2"/>
        <w:widowControl w:val="0"/>
        <w:tabs>
          <w:tab w:val="left" w:pos="540"/>
        </w:tabs>
        <w:adjustRightInd w:val="0"/>
        <w:snapToGrid w:val="0"/>
        <w:spacing w:line="360" w:lineRule="auto"/>
        <w:rPr>
          <w:rFonts w:hint="eastAsia" w:ascii="仿宋" w:hAnsi="仿宋" w:eastAsia="仿宋" w:cs="仿宋"/>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82</w:t>
      </w:r>
      <w:r>
        <w:rPr>
          <w:rFonts w:ascii="仿宋" w:hAnsi="仿宋" w:eastAsia="仿宋" w:cs="仿宋"/>
          <w:b/>
          <w:bCs/>
          <w:color w:val="auto"/>
          <w:sz w:val="24"/>
          <w:szCs w:val="24"/>
          <w:highlight w:val="none"/>
          <w:lang w:eastAsia="zh-CN"/>
        </w:rPr>
        <w:t>.4</w:t>
      </w:r>
    </w:p>
    <w:p w14:paraId="7C4DE4C7">
      <w:pPr>
        <w:pStyle w:val="2"/>
        <w:widowControl w:val="0"/>
        <w:adjustRightInd w:val="0"/>
        <w:snapToGrid w:val="0"/>
        <w:spacing w:line="360" w:lineRule="auto"/>
        <w:ind w:left="1850" w:leftChars="771"/>
        <w:rPr>
          <w:rFonts w:hint="eastAsia" w:ascii="仿宋" w:hAnsi="仿宋" w:eastAsia="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2110848" behindDoc="0" locked="0" layoutInCell="1" allowOverlap="1">
                <wp:simplePos x="0" y="0"/>
                <wp:positionH relativeFrom="column">
                  <wp:posOffset>-102235</wp:posOffset>
                </wp:positionH>
                <wp:positionV relativeFrom="paragraph">
                  <wp:posOffset>79375</wp:posOffset>
                </wp:positionV>
                <wp:extent cx="776605" cy="972820"/>
                <wp:effectExtent l="0" t="0" r="0" b="0"/>
                <wp:wrapNone/>
                <wp:docPr id="821" name="文本框 1022"/>
                <wp:cNvGraphicFramePr/>
                <a:graphic xmlns:a="http://schemas.openxmlformats.org/drawingml/2006/main">
                  <a:graphicData uri="http://schemas.microsoft.com/office/word/2010/wordprocessingShape">
                    <wps:wsp>
                      <wps:cNvSpPr txBox="1">
                        <a:spLocks noChangeArrowheads="1"/>
                      </wps:cNvSpPr>
                      <wps:spPr bwMode="auto">
                        <a:xfrm>
                          <a:off x="0" y="0"/>
                          <a:ext cx="776605" cy="972820"/>
                        </a:xfrm>
                        <a:prstGeom prst="rect">
                          <a:avLst/>
                        </a:prstGeom>
                        <a:noFill/>
                        <a:ln>
                          <a:noFill/>
                        </a:ln>
                        <a:effectLst/>
                      </wps:spPr>
                      <wps:txbx>
                        <w:txbxContent>
                          <w:p w14:paraId="0F456986">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承包人采购工程材料和工程设备的调价限制</w:t>
                            </w:r>
                          </w:p>
                        </w:txbxContent>
                      </wps:txbx>
                      <wps:bodyPr rot="0" vert="horz" wrap="square" lIns="91440" tIns="45720" rIns="91440" bIns="45720" anchor="t" anchorCtr="0" upright="1">
                        <a:noAutofit/>
                      </wps:bodyPr>
                    </wps:wsp>
                  </a:graphicData>
                </a:graphic>
              </wp:anchor>
            </w:drawing>
          </mc:Choice>
          <mc:Fallback>
            <w:pict>
              <v:shape id="文本框 1022" o:spid="_x0000_s1026" o:spt="202" type="#_x0000_t202" style="position:absolute;left:0pt;margin-left:-8.05pt;margin-top:6.25pt;height:76.6pt;width:61.15pt;z-index:252110848;mso-width-relative:page;mso-height-relative:page;" filled="f" stroked="f" coordsize="21600,21600" o:gfxdata="UEsDBAoAAAAAAIdO4kAAAAAAAAAAAAAAAAAEAAAAZHJzL1BLAwQUAAAACACHTuJA8Nl4u9YAAAAK&#10;AQAADwAAAGRycy9kb3ducmV2LnhtbE2PwU7DMAyG70h7h8iTuG1JK1qgNN1hiCuIDZC4ZY3XVmuc&#10;qsnW8vZ4J7jZ+j/9/lxuZteLC46h86QhWSsQSLW3HTUaPvYvqwcQIRqypveEGn4wwKZa3JSmsH6i&#10;d7zsYiO4hEJhNLQxDoWUoW7RmbD2AxJnRz86E3kdG2lHM3G562WqVC6d6YgvtGbAbYv1aXd2Gj5f&#10;j99fd+qteXbZMPlZSXKPUuvbZaKeQESc4x8MV31Wh4qdDv5MNohewyrJE0Y5SDMQV0DlKYgDD3l2&#10;D7Iq5f8Xql9QSwMEFAAAAAgAh07iQOFVyTAgAgAAJwQAAA4AAABkcnMvZTJvRG9jLnhtbK1TS44T&#10;MRDdI3EHy3vSH2WSTCud0TDRIKThIw0cwHG70xZtl7GddIcDwA1YsWHPuXIOyu6eEIbNLNhYtqv8&#10;qt6r5+VVr1qyF9ZJ0CXNJiklQnOopN6W9OOH2xcLSpxnumItaFHSg3D0avX82bIzhcihgbYSliCI&#10;dkVnStp4b4okcbwRirkJGKExWINVzOPRbpPKsg7RVZvkaTpLOrCVscCFc3i7HoJ0RLRPAYS6llys&#10;ge+U0H5AtaJlHim5RhpHV7Hbuhbcv6trJzxpS4pMfVyxCO43YU1WS1ZsLTON5GML7CktPOKkmNRY&#10;9AS1Zp6RnZX/QCnJLTio/YSDSgYiURFkkaWPtLlvmBGRC0rtzEl09/9g+dv9e0tkVdJFnlGimcKR&#10;H79/O/74dfz5lWRpngeNOuMKTL03mOz7l9CjcyJfZ+6Af3JEw03D9FZcWwtdI1iFPWbhZXL2dMBx&#10;AWTTvYEKS7GdhwjU11YFAVESgug4n8NpPqL3hOPlfD6bpReUcAxdzvNFHueXsOLhsbHOvxKgSNiU&#10;1OL4Izjb3zkfmmHFQ0qopeFWtm20QKv/usDE4UZED42vA5XQ/cDD95t+lGYD1QFJWRj8hb8LNw3Y&#10;L5R06K2Sus87ZgUl7WuNwlxm02kwYzxML+bIg9jzyOY8wjRHqJJ6SobtjR8MvDNWbhusNIxCwzWK&#10;WctINLQ6dDWOAP0T+Y9eDwY9P8esP/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w2Xi71gAA&#10;AAoBAAAPAAAAAAAAAAEAIAAAACIAAABkcnMvZG93bnJldi54bWxQSwECFAAUAAAACACHTuJA4VXJ&#10;MCACAAAnBAAADgAAAAAAAAABACAAAAAlAQAAZHJzL2Uyb0RvYy54bWxQSwUGAAAAAAYABgBZAQAA&#10;twUAAAAA&#10;">
                <v:fill on="f" focussize="0,0"/>
                <v:stroke on="f"/>
                <v:imagedata o:title=""/>
                <o:lock v:ext="edit" aspectratio="f"/>
                <v:textbox>
                  <w:txbxContent>
                    <w:p w14:paraId="0F456986">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承包人采购工程材料和工程设备的调价限制</w:t>
                      </w:r>
                    </w:p>
                  </w:txbxContent>
                </v:textbox>
              </v:shape>
            </w:pict>
          </mc:Fallback>
        </mc:AlternateContent>
      </w:r>
      <w:r>
        <w:rPr>
          <w:rFonts w:hint="eastAsia" w:ascii="仿宋" w:hAnsi="仿宋" w:eastAsia="仿宋" w:cs="仿宋"/>
          <w:color w:val="auto"/>
          <w:sz w:val="24"/>
          <w:szCs w:val="24"/>
          <w:highlight w:val="none"/>
          <w:lang w:eastAsia="zh-CN"/>
        </w:rPr>
        <w:t>执行第82</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种方式：采用</w:t>
      </w:r>
      <w:r>
        <w:rPr>
          <w:rFonts w:hint="eastAsia" w:ascii="仿宋" w:hAnsi="仿宋" w:eastAsia="仿宋" w:cs="仿宋"/>
          <w:color w:val="auto"/>
          <w:sz w:val="24"/>
          <w:szCs w:val="24"/>
          <w:highlight w:val="none"/>
          <w:lang w:eastAsia="zh-CN" w:bidi="en-US"/>
        </w:rPr>
        <w:t>工本地造价管理机构发布的价格指导文件</w:t>
      </w:r>
      <w:r>
        <w:rPr>
          <w:rFonts w:hint="eastAsia" w:ascii="仿宋" w:hAnsi="仿宋" w:eastAsia="仿宋" w:cs="仿宋"/>
          <w:color w:val="auto"/>
          <w:sz w:val="24"/>
          <w:szCs w:val="24"/>
          <w:highlight w:val="none"/>
          <w:lang w:eastAsia="zh-CN"/>
        </w:rPr>
        <w:t>进行价格调整”约定的，承包人应在采购工程材料前将采购数量和新的工程材料单价报发包人核对，发包人确认用于工程时，发包人应确认采购工程材料的数量和单价。发包人在收到承包人报送的确认资料后7天内不予答复的视为认可，作为调整合同价格的依据。未经发包人事先核对，承包人自行采购工程材料的，发包人有权不予调整合同价格。</w:t>
      </w:r>
    </w:p>
    <w:p w14:paraId="041045CB">
      <w:pPr>
        <w:pStyle w:val="2"/>
        <w:widowControl w:val="0"/>
        <w:tabs>
          <w:tab w:val="left" w:pos="540"/>
        </w:tabs>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82</w:t>
      </w:r>
      <w:r>
        <w:rPr>
          <w:rFonts w:ascii="仿宋" w:hAnsi="仿宋" w:eastAsia="仿宋" w:cs="仿宋"/>
          <w:b/>
          <w:bCs/>
          <w:color w:val="auto"/>
          <w:sz w:val="24"/>
          <w:szCs w:val="24"/>
          <w:highlight w:val="none"/>
          <w:lang w:eastAsia="zh-CN"/>
        </w:rPr>
        <w:t xml:space="preserve">.5 </w:t>
      </w:r>
    </w:p>
    <w:p w14:paraId="63B1B75B">
      <w:pPr>
        <w:pStyle w:val="2"/>
        <w:widowControl w:val="0"/>
        <w:adjustRightInd w:val="0"/>
        <w:snapToGrid w:val="0"/>
        <w:spacing w:line="420" w:lineRule="exact"/>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02976" behindDoc="0" locked="0" layoutInCell="1" allowOverlap="1">
                <wp:simplePos x="0" y="0"/>
                <wp:positionH relativeFrom="column">
                  <wp:posOffset>-114300</wp:posOffset>
                </wp:positionH>
                <wp:positionV relativeFrom="paragraph">
                  <wp:posOffset>15875</wp:posOffset>
                </wp:positionV>
                <wp:extent cx="804545" cy="532130"/>
                <wp:effectExtent l="0" t="0" r="0" b="0"/>
                <wp:wrapNone/>
                <wp:docPr id="822" name="文本框 1022"/>
                <wp:cNvGraphicFramePr/>
                <a:graphic xmlns:a="http://schemas.openxmlformats.org/drawingml/2006/main">
                  <a:graphicData uri="http://schemas.microsoft.com/office/word/2010/wordprocessingShape">
                    <wps:wsp>
                      <wps:cNvSpPr txBox="1">
                        <a:spLocks noChangeArrowheads="1"/>
                      </wps:cNvSpPr>
                      <wps:spPr bwMode="auto">
                        <a:xfrm>
                          <a:off x="0" y="0"/>
                          <a:ext cx="804545" cy="532130"/>
                        </a:xfrm>
                        <a:prstGeom prst="rect">
                          <a:avLst/>
                        </a:prstGeom>
                        <a:noFill/>
                        <a:ln>
                          <a:noFill/>
                        </a:ln>
                        <a:effectLst/>
                      </wps:spPr>
                      <wps:txbx>
                        <w:txbxContent>
                          <w:p w14:paraId="5EA228DC">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发包人供应材料设备的价格调整</w:t>
                            </w:r>
                          </w:p>
                        </w:txbxContent>
                      </wps:txbx>
                      <wps:bodyPr rot="0" vert="horz" wrap="square" lIns="91440" tIns="45720" rIns="91440" bIns="45720" anchor="t" anchorCtr="0" upright="1">
                        <a:noAutofit/>
                      </wps:bodyPr>
                    </wps:wsp>
                  </a:graphicData>
                </a:graphic>
              </wp:anchor>
            </w:drawing>
          </mc:Choice>
          <mc:Fallback>
            <w:pict>
              <v:shape id="文本框 1022" o:spid="_x0000_s1026" o:spt="202" type="#_x0000_t202" style="position:absolute;left:0pt;margin-left:-9pt;margin-top:1.25pt;height:41.9pt;width:63.35pt;z-index:251902976;mso-width-relative:page;mso-height-relative:page;" filled="f" stroked="f" coordsize="21600,21600" o:gfxdata="UEsDBAoAAAAAAIdO4kAAAAAAAAAAAAAAAAAEAAAAZHJzL1BLAwQUAAAACACHTuJAL7wtCNYAAAAI&#10;AQAADwAAAGRycy9kb3ducmV2LnhtbE2PQU/CQBSE7yb+h80j8Qa7RYFa+8pB41UjCgm3pftoG7pv&#10;m+5C6793OclxMpOZb/L1aFtxod43jhGSmQJBXDrTcIXw8/0+TUH4oNno1jEh/JKHdXF/l+vMuIG/&#10;6LIJlYgl7DONUIfQZVL6siar/cx1xNE7ut7qEGVfSdPrIZbbVs6VWkqrG44Lte7otabytDlbhO3H&#10;cb97Up/Vm110gxuVZPssER8miXoBEWgM/2G44kd0KCLTwZ3ZeNEiTJM0fgkI8wWIq6/SFYgDQrp8&#10;BFnk8vZA8QdQSwMEFAAAAAgAh07iQDMdn7AgAgAAJwQAAA4AAABkcnMvZTJvRG9jLnhtbK1TzY7T&#10;MBC+I/EOlu80SbeFEjVdLVstQlp+pIUHcB2nsUg8Zuw2WR6AfQNOXLjzXH0Oxk62lOWyBy6RPTP+&#10;Zr5vvizP+7Zhe4VOgyl4Nkk5U0ZCqc224J8+Xj1bcOa8MKVowKiC3yrHz1dPnyw7m6sp1NCUChmB&#10;GJd3tuC19zZPEidr1Qo3AasMJSvAVni64jYpUXSE3jbJNE2fJx1gaRGkco6i6yHJR0R8DCBUlZZq&#10;DXLXKuMHVFSN8ETJ1do6vorTVpWS/n1VOeVZU3Bi6uOXmtB5E77JainyLQpbazmOIB4zwgNOrdCG&#10;mh6h1sILtkP9D1SrJYKDyk8ktMlAJCpCLLL0gTY3tbAqciGpnT2K7v4frHy3/4BMlwVfTKecGdHS&#10;yg/f7w4/fh1+fmNZSlHSqLMup9IbS8W+fwU9OSfydfYa5GfHDFzWwmzVBSJ0tRIlzZiFl8nJ0wHH&#10;BZBN9xZKaiV2HiJQX2EbBCRJGKHTfm6P+1G9Z5KCi3Q2n805k5San02zs7i/ROT3jy06/1pBy8Kh&#10;4Ejrj+Bif+18GEbk9yWhl4Er3TTRAo35K0CFQ0RFD42vA5Uw/cDD95t+lGYD5S2RQhj8RX8XHWrA&#10;r5x15K2Cuy87gYqz5o0hYV5ms1kwY7zM5i+mdMHTzOY0I4wkqIJ7zobjpR8MvLOotzV1GlZh4ILE&#10;rHQkGkYdphpXQP6J/EevB4Oe3mPVn/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vvC0I1gAA&#10;AAgBAAAPAAAAAAAAAAEAIAAAACIAAABkcnMvZG93bnJldi54bWxQSwECFAAUAAAACACHTuJAMx2f&#10;sCACAAAnBAAADgAAAAAAAAABACAAAAAlAQAAZHJzL2Uyb0RvYy54bWxQSwUGAAAAAAYABgBZAQAA&#10;twUAAAAA&#10;">
                <v:fill on="f" focussize="0,0"/>
                <v:stroke on="f"/>
                <v:imagedata o:title=""/>
                <o:lock v:ext="edit" aspectratio="f"/>
                <v:textbox>
                  <w:txbxContent>
                    <w:p w14:paraId="5EA228DC">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发包人供应材料设备的价格调整</w:t>
                      </w:r>
                    </w:p>
                  </w:txbxContent>
                </v:textbox>
              </v:shape>
            </w:pict>
          </mc:Fallback>
        </mc:AlternateContent>
      </w:r>
      <w:r>
        <w:rPr>
          <w:rFonts w:hint="eastAsia" w:ascii="仿宋" w:hAnsi="仿宋" w:eastAsia="仿宋" w:cs="仿宋"/>
          <w:color w:val="auto"/>
          <w:sz w:val="24"/>
          <w:szCs w:val="24"/>
          <w:highlight w:val="none"/>
          <w:lang w:eastAsia="zh-CN"/>
        </w:rPr>
        <w:t>发包人供应工程材料和工程设备的，由发包人按照实际变化调整，列入合同工程的建筑安装工程费内。</w:t>
      </w:r>
    </w:p>
    <w:p w14:paraId="6D42401F">
      <w:pPr>
        <w:pStyle w:val="2"/>
        <w:adjustRightInd w:val="0"/>
        <w:snapToGrid w:val="0"/>
        <w:spacing w:line="360" w:lineRule="auto"/>
        <w:rPr>
          <w:rFonts w:hint="eastAsia" w:ascii="仿宋" w:hAnsi="仿宋" w:eastAsia="仿宋"/>
          <w:b/>
          <w:bCs/>
          <w:color w:val="auto"/>
          <w:sz w:val="24"/>
          <w:szCs w:val="24"/>
          <w:highlight w:val="none"/>
          <w:u w:val="single"/>
          <w:lang w:eastAsia="zh-CN"/>
        </w:rPr>
      </w:pPr>
    </w:p>
    <w:p w14:paraId="3A206667">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2" w:name="_Toc11581"/>
      <w:r>
        <w:rPr>
          <w:rFonts w:hint="eastAsia" w:ascii="仿宋" w:hAnsi="仿宋" w:eastAsia="仿宋" w:cs="仿宋"/>
          <w:bCs w:val="0"/>
          <w:color w:val="auto"/>
          <w:sz w:val="24"/>
          <w:szCs w:val="24"/>
          <w:highlight w:val="none"/>
          <w:lang w:eastAsia="zh-CN"/>
        </w:rPr>
        <w:t>★83支付事项</w:t>
      </w:r>
      <w:bookmarkEnd w:id="382"/>
    </w:p>
    <w:p w14:paraId="40EC1F9A">
      <w:pPr>
        <w:pStyle w:val="2"/>
        <w:widowControl w:val="0"/>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83</w:t>
      </w:r>
      <w:r>
        <w:rPr>
          <w:rFonts w:ascii="仿宋" w:hAnsi="仿宋" w:eastAsia="仿宋" w:cs="仿宋"/>
          <w:b/>
          <w:bCs/>
          <w:color w:val="auto"/>
          <w:sz w:val="24"/>
          <w:szCs w:val="24"/>
          <w:highlight w:val="none"/>
          <w:lang w:eastAsia="zh-CN"/>
        </w:rPr>
        <w:t>.1</w:t>
      </w:r>
    </w:p>
    <w:p w14:paraId="7CAB9642">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04000" behindDoc="0" locked="0" layoutInCell="1" allowOverlap="1">
                <wp:simplePos x="0" y="0"/>
                <wp:positionH relativeFrom="column">
                  <wp:posOffset>-114300</wp:posOffset>
                </wp:positionH>
                <wp:positionV relativeFrom="paragraph">
                  <wp:posOffset>21590</wp:posOffset>
                </wp:positionV>
                <wp:extent cx="843280" cy="558800"/>
                <wp:effectExtent l="0" t="0" r="0" b="0"/>
                <wp:wrapNone/>
                <wp:docPr id="823" name="文本框 1028"/>
                <wp:cNvGraphicFramePr/>
                <a:graphic xmlns:a="http://schemas.openxmlformats.org/drawingml/2006/main">
                  <a:graphicData uri="http://schemas.microsoft.com/office/word/2010/wordprocessingShape">
                    <wps:wsp>
                      <wps:cNvSpPr txBox="1">
                        <a:spLocks noChangeArrowheads="1"/>
                      </wps:cNvSpPr>
                      <wps:spPr bwMode="auto">
                        <a:xfrm>
                          <a:off x="0" y="0"/>
                          <a:ext cx="843280" cy="558800"/>
                        </a:xfrm>
                        <a:prstGeom prst="rect">
                          <a:avLst/>
                        </a:prstGeom>
                        <a:noFill/>
                        <a:ln>
                          <a:noFill/>
                        </a:ln>
                        <a:effectLst/>
                      </wps:spPr>
                      <wps:txbx>
                        <w:txbxContent>
                          <w:p w14:paraId="6FC700F1">
                            <w:pPr>
                              <w:pStyle w:val="66"/>
                              <w:spacing w:line="200" w:lineRule="exact"/>
                              <w:rPr>
                                <w:rFonts w:hint="eastAsia" w:ascii="楷体_GB2312" w:hAnsi="宋体"/>
                                <w:sz w:val="18"/>
                                <w:szCs w:val="18"/>
                              </w:rPr>
                            </w:pPr>
                            <w:r>
                              <w:rPr>
                                <w:rFonts w:hint="eastAsia" w:ascii="楷体_GB2312" w:hAnsi="宋体" w:cs="楷体_GB2312"/>
                                <w:sz w:val="18"/>
                                <w:szCs w:val="18"/>
                              </w:rPr>
                              <w:t>支付合同价款</w:t>
                            </w:r>
                          </w:p>
                        </w:txbxContent>
                      </wps:txbx>
                      <wps:bodyPr rot="0" vert="horz" wrap="square" lIns="91440" tIns="45720" rIns="91440" bIns="45720" anchor="t" anchorCtr="0" upright="1">
                        <a:noAutofit/>
                      </wps:bodyPr>
                    </wps:wsp>
                  </a:graphicData>
                </a:graphic>
              </wp:anchor>
            </w:drawing>
          </mc:Choice>
          <mc:Fallback>
            <w:pict>
              <v:shape id="文本框 1028" o:spid="_x0000_s1026" o:spt="202" type="#_x0000_t202" style="position:absolute;left:0pt;margin-left:-9pt;margin-top:1.7pt;height:44pt;width:66.4pt;z-index:251904000;mso-width-relative:page;mso-height-relative:page;" filled="f" stroked="f" coordsize="21600,21600" o:gfxdata="UEsDBAoAAAAAAIdO4kAAAAAAAAAAAAAAAAAEAAAAZHJzL1BLAwQUAAAACACHTuJAV4QlUdUAAAAI&#10;AQAADwAAAGRycy9kb3ducmV2LnhtbE2Py07DMBBF90j8gzVI7FrbEKo2ZNIFiC2oD5DYufE0iYjH&#10;Uew24e/rrmA5uqN7zynWk+vEmYbQekbQcwWCuPK25Rphv3ubLUGEaNiazjMh/FKAdXl7U5jc+pE3&#10;dN7GWqQSDrlBaGLscylD1ZAzYe574pQd/eBMTOdQSzuYMZW7Tj4otZDOtJwWGtPTS0PVz/bkED7f&#10;j99fmfqoX91TP/pJSXYriXh/p9UziEhT/HuGK35ChzIxHfyJbRAdwkwvk0tEeMxAXHOdJZUDwkpn&#10;IMtC/hcoL1BLAwQUAAAACACHTuJAJxV4zSACAAAnBAAADgAAAGRycy9lMm9Eb2MueG1srVPNjtMw&#10;EL4j8Q6W7zRpt4UQNV0tWy1CWn6khQdwHaexSDxm7DZZHoB9A05cuPNcfQ7GTraU5bIHLpbtGX8z&#10;3zefl+d927C9QqfBFHw6STlTRkKpzbbgnz5ePcs4c16YUjRgVMFvlePnq6dPlp3N1QxqaEqFjECM&#10;yztb8Np7myeJk7VqhZuAVYaCFWArPB1xm5QoOkJvm2SWps+TDrC0CFI5R7frIchHRHwMIFSVlmoN&#10;ctcq4wdUVI3wRMnV2jq+it1WlZL+fVU55VlTcGLq40pFaL8Ja7JainyLwtZaji2Ix7TwgFMrtKGi&#10;R6i18ILtUP8D1WqJ4KDyEwltMhCJihCLafpAm5taWBW5kNTOHkV3/w9Wvtt/QKbLgmezM86MaGnk&#10;h+93hx+/Dj+/sWk6y4JGnXU5pd5YSvb9K+jJOZGvs9cgPztm4LIWZqsuEKGrlSipx2l4mZw8HXBc&#10;ANl0b6GkUmLnIQL1FbZBQJKEETrN5/Y4H9V7Jukym5/NMopICi0WWZbG+SUiv39s0fnXCloWNgVH&#10;Gn8EF/tr50MzIr9PCbUMXOmmiRZozF8XlDjcqOih8XWgErofePh+04/SbKC8JVIIg7/od9GmBvzK&#10;WUfeKrj7shOoOGveGBLm5XQ+D2aMh/nixYwOeBrZnEaEkQRVcM/ZsL30g4F3FvW2pkrDKAxckJiV&#10;jkRDq0NX4wjIP5H/6PVg0NNzzPrzv1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eEJVHVAAAA&#10;CAEAAA8AAAAAAAAAAQAgAAAAIgAAAGRycy9kb3ducmV2LnhtbFBLAQIUABQAAAAIAIdO4kAnFXjN&#10;IAIAACcEAAAOAAAAAAAAAAEAIAAAACQBAABkcnMvZTJvRG9jLnhtbFBLBQYAAAAABgAGAFkBAAC2&#10;BQAAAAA=&#10;">
                <v:fill on="f" focussize="0,0"/>
                <v:stroke on="f"/>
                <v:imagedata o:title=""/>
                <o:lock v:ext="edit" aspectratio="f"/>
                <v:textbox>
                  <w:txbxContent>
                    <w:p w14:paraId="6FC700F1">
                      <w:pPr>
                        <w:pStyle w:val="66"/>
                        <w:spacing w:line="200" w:lineRule="exact"/>
                        <w:rPr>
                          <w:rFonts w:hint="eastAsia" w:ascii="楷体_GB2312" w:hAnsi="宋体"/>
                          <w:sz w:val="18"/>
                          <w:szCs w:val="18"/>
                        </w:rPr>
                      </w:pPr>
                      <w:r>
                        <w:rPr>
                          <w:rFonts w:hint="eastAsia" w:ascii="楷体_GB2312" w:hAnsi="宋体" w:cs="楷体_GB2312"/>
                          <w:sz w:val="18"/>
                          <w:szCs w:val="18"/>
                        </w:rPr>
                        <w:t>支付合同价款</w:t>
                      </w:r>
                    </w:p>
                  </w:txbxContent>
                </v:textbox>
              </v:shape>
            </w:pict>
          </mc:Fallback>
        </mc:AlternateContent>
      </w:r>
      <w:r>
        <w:rPr>
          <w:rFonts w:hint="eastAsia" w:ascii="仿宋" w:hAnsi="仿宋" w:eastAsia="仿宋" w:cs="仿宋"/>
          <w:color w:val="auto"/>
          <w:highlight w:val="none"/>
          <w:lang w:eastAsia="zh-CN"/>
        </w:rPr>
        <w:t>发包人应按照下列约定向承包人支付工程勘察费、工程设计费、BIM技术应用费、设备及工器具购置费、建筑安装工程费及其他各种款项：</w:t>
      </w:r>
    </w:p>
    <w:p w14:paraId="74F64E8E">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预付款按照第84条的约定支付；</w:t>
      </w:r>
    </w:p>
    <w:p w14:paraId="15F7B51B">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绿色施工安全防护费按照第</w:t>
      </w:r>
      <w:r>
        <w:rPr>
          <w:rFonts w:ascii="仿宋" w:hAnsi="仿宋" w:eastAsia="仿宋" w:cs="仿宋"/>
          <w:color w:val="auto"/>
          <w:highlight w:val="none"/>
          <w:lang w:eastAsia="zh-CN"/>
        </w:rPr>
        <w:t>8</w:t>
      </w:r>
      <w:r>
        <w:rPr>
          <w:rFonts w:hint="eastAsia" w:ascii="仿宋" w:hAnsi="仿宋" w:eastAsia="仿宋" w:cs="仿宋"/>
          <w:color w:val="auto"/>
          <w:highlight w:val="none"/>
          <w:lang w:eastAsia="zh-CN"/>
        </w:rPr>
        <w:t>5条约定支付；</w:t>
      </w:r>
    </w:p>
    <w:p w14:paraId="79282D64">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进度款按照第</w:t>
      </w:r>
      <w:r>
        <w:rPr>
          <w:rFonts w:ascii="仿宋" w:hAnsi="仿宋" w:eastAsia="仿宋" w:cs="仿宋"/>
          <w:color w:val="auto"/>
          <w:highlight w:val="none"/>
          <w:lang w:eastAsia="zh-CN"/>
        </w:rPr>
        <w:t>8</w:t>
      </w:r>
      <w:r>
        <w:rPr>
          <w:rFonts w:hint="eastAsia" w:ascii="仿宋" w:hAnsi="仿宋" w:eastAsia="仿宋" w:cs="仿宋"/>
          <w:color w:val="auto"/>
          <w:highlight w:val="none"/>
          <w:lang w:eastAsia="zh-CN"/>
        </w:rPr>
        <w:t>6条的约定支付；</w:t>
      </w:r>
    </w:p>
    <w:p w14:paraId="467104B0">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结算款按照第</w:t>
      </w:r>
      <w:r>
        <w:rPr>
          <w:rFonts w:ascii="仿宋" w:hAnsi="仿宋" w:eastAsia="仿宋" w:cs="仿宋"/>
          <w:color w:val="auto"/>
          <w:highlight w:val="none"/>
          <w:lang w:eastAsia="zh-CN"/>
        </w:rPr>
        <w:t>8</w:t>
      </w:r>
      <w:r>
        <w:rPr>
          <w:rFonts w:hint="eastAsia" w:ascii="仿宋" w:hAnsi="仿宋" w:eastAsia="仿宋" w:cs="仿宋"/>
          <w:color w:val="auto"/>
          <w:highlight w:val="none"/>
          <w:lang w:eastAsia="zh-CN"/>
        </w:rPr>
        <w:t>8条的约定支付；</w:t>
      </w:r>
    </w:p>
    <w:p w14:paraId="1C4A2BB6">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质量保证金按照第89条的约定支付；</w:t>
      </w:r>
    </w:p>
    <w:p w14:paraId="50279B8E">
      <w:pPr>
        <w:widowControl w:val="0"/>
        <w:numPr>
          <w:ilvl w:val="1"/>
          <w:numId w:val="2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最终清算款按照第90条的约定支付。</w:t>
      </w:r>
    </w:p>
    <w:p w14:paraId="59903E89">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83</w:t>
      </w:r>
      <w:r>
        <w:rPr>
          <w:rFonts w:ascii="仿宋" w:hAnsi="仿宋" w:eastAsia="仿宋" w:cs="仿宋"/>
          <w:b/>
          <w:bCs/>
          <w:color w:val="auto"/>
          <w:highlight w:val="none"/>
          <w:lang w:eastAsia="zh-CN"/>
        </w:rPr>
        <w:t>.2</w:t>
      </w:r>
    </w:p>
    <w:p w14:paraId="59F7C77D">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05024" behindDoc="0" locked="0" layoutInCell="1" allowOverlap="1">
                <wp:simplePos x="0" y="0"/>
                <wp:positionH relativeFrom="column">
                  <wp:posOffset>-114300</wp:posOffset>
                </wp:positionH>
                <wp:positionV relativeFrom="paragraph">
                  <wp:posOffset>43815</wp:posOffset>
                </wp:positionV>
                <wp:extent cx="785495" cy="517525"/>
                <wp:effectExtent l="0" t="0" r="0" b="0"/>
                <wp:wrapNone/>
                <wp:docPr id="824" name="文本框 1029"/>
                <wp:cNvGraphicFramePr/>
                <a:graphic xmlns:a="http://schemas.openxmlformats.org/drawingml/2006/main">
                  <a:graphicData uri="http://schemas.microsoft.com/office/word/2010/wordprocessingShape">
                    <wps:wsp>
                      <wps:cNvSpPr txBox="1">
                        <a:spLocks noChangeArrowheads="1"/>
                      </wps:cNvSpPr>
                      <wps:spPr bwMode="auto">
                        <a:xfrm>
                          <a:off x="0" y="0"/>
                          <a:ext cx="785495" cy="517525"/>
                        </a:xfrm>
                        <a:prstGeom prst="rect">
                          <a:avLst/>
                        </a:prstGeom>
                        <a:noFill/>
                        <a:ln>
                          <a:noFill/>
                        </a:ln>
                        <a:effectLst/>
                      </wps:spPr>
                      <wps:txbx>
                        <w:txbxContent>
                          <w:p w14:paraId="4922CDEE">
                            <w:pPr>
                              <w:pStyle w:val="66"/>
                              <w:spacing w:line="200" w:lineRule="exact"/>
                              <w:rPr>
                                <w:rFonts w:hint="eastAsia" w:ascii="楷体_GB2312" w:hAnsi="宋体"/>
                                <w:sz w:val="18"/>
                                <w:szCs w:val="18"/>
                              </w:rPr>
                            </w:pPr>
                            <w:r>
                              <w:rPr>
                                <w:rFonts w:hint="eastAsia" w:ascii="楷体_GB2312" w:hAnsi="宋体" w:cs="楷体_GB2312"/>
                                <w:sz w:val="18"/>
                                <w:szCs w:val="18"/>
                              </w:rPr>
                              <w:t>延迟支付的利息计算</w:t>
                            </w:r>
                          </w:p>
                        </w:txbxContent>
                      </wps:txbx>
                      <wps:bodyPr rot="0" vert="horz" wrap="square" lIns="91440" tIns="45720" rIns="91440" bIns="45720" anchor="t" anchorCtr="0" upright="1">
                        <a:noAutofit/>
                      </wps:bodyPr>
                    </wps:wsp>
                  </a:graphicData>
                </a:graphic>
              </wp:anchor>
            </w:drawing>
          </mc:Choice>
          <mc:Fallback>
            <w:pict>
              <v:shape id="文本框 1029" o:spid="_x0000_s1026" o:spt="202" type="#_x0000_t202" style="position:absolute;left:0pt;margin-left:-9pt;margin-top:3.45pt;height:40.75pt;width:61.85pt;z-index:251905024;mso-width-relative:page;mso-height-relative:page;" filled="f" stroked="f" coordsize="21600,21600" o:gfxdata="UEsDBAoAAAAAAIdO4kAAAAAAAAAAAAAAAAAEAAAAZHJzL1BLAwQUAAAACACHTuJAhCKFd9YAAAAI&#10;AQAADwAAAGRycy9kb3ducmV2LnhtbE2PzW7CMBCE75V4B2sr9QZ2Kn5CyIYDVa+tCrQSNxMvSdR4&#10;HcWGpG9fc2qPoxnNfJNvR9uKG/W+cYyQzBQI4tKZhiuE4+F1moLwQbPRrWNC+CEP22LykOvMuIE/&#10;6LYPlYgl7DONUIfQZVL6siar/cx1xNG7uN7qEGVfSdPrIZbbVj4rtZRWNxwXat3Rrqbye3+1CJ9v&#10;l9PXXL1XL3bRDW5Uku1aIj49JmoDItAY/sJwx4/oUESms7uy8aJFmCZp/BIQlmsQd18tViDOCGk6&#10;B1nk8v+B4hdQSwMEFAAAAAgAh07iQGwzkywgAgAAJwQAAA4AAABkcnMvZTJvRG9jLnhtbK1TzY7T&#10;MBC+I/EOlu80TdTQbdR0tWy1CGn5kRYewHWcxiL2GNttUh4A3mBPXLjzXH0Oxk62lOWyBy6W7Rl/&#10;M983n5eXvWrJXlgnQZc0nUwpEZpDJfW2pJ8+3ry4oMR5pivWghYlPQhHL1fPny07U4gMGmgrYQmC&#10;aFd0pqSN96ZIEscboZibgBEagzVYxTwe7TapLOsQXbVJNp2+TDqwlbHAhXN4ux6CdES0TwGEupZc&#10;rIHvlNB+QLWiZR4puUYaR1ex27oW3L+vayc8aUuKTH1csQjuN2FNVktWbC0zjeRjC+wpLTzipJjU&#10;WPQEtWaekZ2V/0ApyS04qP2Eg0oGIlERZJFOH2lz1zAjIheU2pmT6O7/wfJ3+w+WyKqkF9mMEs0U&#10;jvx4//3449fx5zeSTrNF0KgzrsDUO4PJvn8FPTon8nXmFvhnRzRcN0xvxZW10DWCVdhjGl4mZ08H&#10;HBdANt1bqLAU23mIQH1tVRAQJSGIjvM5nOYjek84Xs4v8tkip4RjKE/neZbHCqx4eGys868FKBI2&#10;JbU4/gjO9rfOh2ZY8ZASamm4kW0bLdDqvy4wcbgR0UPj60AldD/w8P2mH6XZQHVAUhYGf+Hvwk0D&#10;9islHXqrpO7LjllBSftGozCLdDYLZoyHWT7P8GDPI5vzCNMcoUrqKRm2134w8M5YuW2w0jAKDVco&#10;Zi0j0dDq0NU4AvRP5D96PRj0/Byz/vzv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EIoV31gAA&#10;AAgBAAAPAAAAAAAAAAEAIAAAACIAAABkcnMvZG93bnJldi54bWxQSwECFAAUAAAACACHTuJAbDOT&#10;LCACAAAnBAAADgAAAAAAAAABACAAAAAlAQAAZHJzL2Uyb0RvYy54bWxQSwUGAAAAAAYABgBZAQAA&#10;twUAAAAA&#10;">
                <v:fill on="f" focussize="0,0"/>
                <v:stroke on="f"/>
                <v:imagedata o:title=""/>
                <o:lock v:ext="edit" aspectratio="f"/>
                <v:textbox>
                  <w:txbxContent>
                    <w:p w14:paraId="4922CDEE">
                      <w:pPr>
                        <w:pStyle w:val="66"/>
                        <w:spacing w:line="200" w:lineRule="exact"/>
                        <w:rPr>
                          <w:rFonts w:hint="eastAsia" w:ascii="楷体_GB2312" w:hAnsi="宋体"/>
                          <w:sz w:val="18"/>
                          <w:szCs w:val="18"/>
                        </w:rPr>
                      </w:pPr>
                      <w:r>
                        <w:rPr>
                          <w:rFonts w:hint="eastAsia" w:ascii="楷体_GB2312" w:hAnsi="宋体" w:cs="楷体_GB2312"/>
                          <w:sz w:val="18"/>
                          <w:szCs w:val="18"/>
                        </w:rPr>
                        <w:t>延迟支付的利息计算</w:t>
                      </w:r>
                    </w:p>
                  </w:txbxContent>
                </v:textbox>
              </v:shape>
            </w:pict>
          </mc:Fallback>
        </mc:AlternateContent>
      </w:r>
      <w:r>
        <w:rPr>
          <w:rFonts w:hint="eastAsia" w:ascii="仿宋" w:hAnsi="仿宋" w:eastAsia="仿宋" w:cs="仿宋"/>
          <w:color w:val="auto"/>
          <w:sz w:val="24"/>
          <w:szCs w:val="24"/>
          <w:highlight w:val="none"/>
          <w:lang w:eastAsia="zh-CN"/>
        </w:rPr>
        <w:t>如果发包人延迟支付款项，则承包人有权按照专用条款约定的利率计算和得到利息。计息时间从应支付之日起直到该笔延迟款额支付之日止。除专用条款另有约定外，利息的利率按照全国银行间同业拆借中心公布的贷款市场报价利率（LPR）计算。</w:t>
      </w:r>
    </w:p>
    <w:p w14:paraId="422238B4">
      <w:pPr>
        <w:widowControl w:val="0"/>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83</w:t>
      </w:r>
      <w:r>
        <w:rPr>
          <w:rFonts w:ascii="仿宋" w:hAnsi="仿宋" w:eastAsia="仿宋" w:cs="仿宋"/>
          <w:b/>
          <w:bCs/>
          <w:color w:val="auto"/>
          <w:highlight w:val="none"/>
          <w:lang w:eastAsia="zh-CN"/>
        </w:rPr>
        <w:t>.3</w:t>
      </w:r>
    </w:p>
    <w:p w14:paraId="0E46C8A7">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06048" behindDoc="0" locked="0" layoutInCell="1" allowOverlap="1">
                <wp:simplePos x="0" y="0"/>
                <wp:positionH relativeFrom="column">
                  <wp:posOffset>-114300</wp:posOffset>
                </wp:positionH>
                <wp:positionV relativeFrom="paragraph">
                  <wp:posOffset>4445</wp:posOffset>
                </wp:positionV>
                <wp:extent cx="785495" cy="532765"/>
                <wp:effectExtent l="0" t="0" r="0" b="0"/>
                <wp:wrapNone/>
                <wp:docPr id="825" name="文本框 1030"/>
                <wp:cNvGraphicFramePr/>
                <a:graphic xmlns:a="http://schemas.openxmlformats.org/drawingml/2006/main">
                  <a:graphicData uri="http://schemas.microsoft.com/office/word/2010/wordprocessingShape">
                    <wps:wsp>
                      <wps:cNvSpPr txBox="1">
                        <a:spLocks noChangeArrowheads="1"/>
                      </wps:cNvSpPr>
                      <wps:spPr bwMode="auto">
                        <a:xfrm>
                          <a:off x="0" y="0"/>
                          <a:ext cx="785495" cy="532765"/>
                        </a:xfrm>
                        <a:prstGeom prst="rect">
                          <a:avLst/>
                        </a:prstGeom>
                        <a:noFill/>
                        <a:ln>
                          <a:noFill/>
                        </a:ln>
                        <a:effectLst/>
                      </wps:spPr>
                      <wps:txbx>
                        <w:txbxContent>
                          <w:p w14:paraId="13A8036A">
                            <w:pPr>
                              <w:pStyle w:val="66"/>
                              <w:spacing w:line="200" w:lineRule="exact"/>
                              <w:rPr>
                                <w:rFonts w:hint="eastAsia" w:ascii="楷体_GB2312" w:hAnsi="宋体"/>
                                <w:sz w:val="18"/>
                                <w:szCs w:val="18"/>
                              </w:rPr>
                            </w:pPr>
                            <w:r>
                              <w:rPr>
                                <w:rFonts w:hint="eastAsia" w:ascii="楷体_GB2312" w:hAnsi="宋体" w:cs="楷体_GB2312"/>
                                <w:sz w:val="18"/>
                                <w:szCs w:val="18"/>
                              </w:rPr>
                              <w:t>承包人提供支付凭证</w:t>
                            </w:r>
                          </w:p>
                        </w:txbxContent>
                      </wps:txbx>
                      <wps:bodyPr rot="0" vert="horz" wrap="square" lIns="91440" tIns="45720" rIns="91440" bIns="45720" anchor="t" anchorCtr="0" upright="1">
                        <a:noAutofit/>
                      </wps:bodyPr>
                    </wps:wsp>
                  </a:graphicData>
                </a:graphic>
              </wp:anchor>
            </w:drawing>
          </mc:Choice>
          <mc:Fallback>
            <w:pict>
              <v:shape id="文本框 1030" o:spid="_x0000_s1026" o:spt="202" type="#_x0000_t202" style="position:absolute;left:0pt;margin-left:-9pt;margin-top:0.35pt;height:41.95pt;width:61.85pt;z-index:251906048;mso-width-relative:page;mso-height-relative:page;" filled="f" stroked="f" coordsize="21600,21600" o:gfxdata="UEsDBAoAAAAAAIdO4kAAAAAAAAAAAAAAAAAEAAAAZHJzL1BLAwQUAAAACACHTuJAxtLDBtUAAAAH&#10;AQAADwAAAGRycy9kb3ducmV2LnhtbE2PzU7DMBCE70i8g7VI3Fo7qC0hZNMDiCuI8iNxc+NtEhGv&#10;o9htwtuzPcFtRzOa+bbczr5XJxpjFxghWxpQxHVwHTcI729PixxUTJad7QMTwg9F2FaXF6UtXJj4&#10;lU671Cgp4VhYhDalodA61i15G5dhIBbvEEZvk8ix0W60k5T7Xt8Ys9HediwLrR3ooaX6e3f0CB/P&#10;h6/PlXlpHv16mMJsNPs7jXh9lZl7UInm9BeGM76gQyVM+3BkF1WPsMhy+SUh3II622Ytxx4hX21A&#10;V6X+z1/9AlBLAwQUAAAACACHTuJASX3LGCACAAAnBAAADgAAAGRycy9lMm9Eb2MueG1srVNBbtsw&#10;ELwX6B8I3mvZjh07guUgjZGiQNoUSPsAmqIsoiKXXdKW3Ac0P+ipl97zLr+jK8p23PSSQy8Cubuc&#10;3ZkdzS4bU7GNQq/BZnzQ63OmrIRc21XGv3y+eTPlzAdhc1GBVRnfKs8v569fzWqXqiGUUOUKGYFY&#10;n9Yu42UILk0SL0tlhO+BU5aSBaARga64SnIUNaGbKhn2++dJDZg7BKm8p+iiS/I9Ir4EEIpCS7UA&#10;uTbKhg4VVSUCUfKldp7P47RFoWS4KwqvAqsyTkxD/FITOi/bbzKfiXSFwpVa7kcQLxnhGScjtKWm&#10;R6iFCIKtUf8DZbRE8FCEngSTdESiIsRi0H+mzX0pnIpcSGrvjqL7/wcrP24+IdN5xqfDMWdWGFr5&#10;7ufD7tfj7vcPNuifRY1q51MqvXdUHJq30JBzIl/vbkF+9czCdSnsSl0hQl0qkdOMg1bd5ORpuxWf&#10;+hZkWX+AnFqJdYAI1BRoWgFJEkbotJ/tcT+qCUxScDIdjy5oSkmp8dlwcj6OHUR6eOzQh3cKDGsP&#10;GUdafwQXm1sf2mFEeihpe1m40VUVLVDZvwJU2EVU9ND+9WH6jkdolg29bYNLyLdECqHzF/1ddCgB&#10;v3NWk7cy7r+tBSrOqveWhLkYjEatGeNlNJ4M6YKnmeVpRlhJUBkPnHXH69AZeO1Qr0rq1K3CwhWJ&#10;WehI9Gmq/QrIP5H/3uutQU/vserp/57/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bSwwbVAAAA&#10;BwEAAA8AAAAAAAAAAQAgAAAAIgAAAGRycy9kb3ducmV2LnhtbFBLAQIUABQAAAAIAIdO4kBJfcsY&#10;IAIAACcEAAAOAAAAAAAAAAEAIAAAACQBAABkcnMvZTJvRG9jLnhtbFBLBQYAAAAABgAGAFkBAAC2&#10;BQAAAAA=&#10;">
                <v:fill on="f" focussize="0,0"/>
                <v:stroke on="f"/>
                <v:imagedata o:title=""/>
                <o:lock v:ext="edit" aspectratio="f"/>
                <v:textbox>
                  <w:txbxContent>
                    <w:p w14:paraId="13A8036A">
                      <w:pPr>
                        <w:pStyle w:val="66"/>
                        <w:spacing w:line="200" w:lineRule="exact"/>
                        <w:rPr>
                          <w:rFonts w:hint="eastAsia" w:ascii="楷体_GB2312" w:hAnsi="宋体"/>
                          <w:sz w:val="18"/>
                          <w:szCs w:val="18"/>
                        </w:rPr>
                      </w:pPr>
                      <w:r>
                        <w:rPr>
                          <w:rFonts w:hint="eastAsia" w:ascii="楷体_GB2312" w:hAnsi="宋体" w:cs="楷体_GB2312"/>
                          <w:sz w:val="18"/>
                          <w:szCs w:val="18"/>
                        </w:rPr>
                        <w:t>承包人提供支付凭证</w:t>
                      </w:r>
                    </w:p>
                  </w:txbxContent>
                </v:textbox>
              </v:shape>
            </w:pict>
          </mc:Fallback>
        </mc:AlternateContent>
      </w:r>
      <w:r>
        <w:rPr>
          <w:rFonts w:hint="eastAsia" w:ascii="仿宋" w:hAnsi="仿宋" w:eastAsia="仿宋" w:cs="仿宋"/>
          <w:color w:val="auto"/>
          <w:sz w:val="24"/>
          <w:szCs w:val="24"/>
          <w:highlight w:val="none"/>
          <w:lang w:eastAsia="zh-CN"/>
        </w:rPr>
        <w:t>发包人或受其委托的造价咨询人有权要求，承包人向发包人或造价咨询人提供其对雇员劳务工资、分包人已完工程款以及工程材料和工程设备供应商货款的支付凭证。如果承包人未能提供上述凭证，视为承包人未向雇员、分包人、供应商支付相关款项。</w:t>
      </w:r>
    </w:p>
    <w:p w14:paraId="6CCD0CB2">
      <w:pPr>
        <w:pStyle w:val="2"/>
        <w:widowControl w:val="0"/>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83</w:t>
      </w:r>
      <w:r>
        <w:rPr>
          <w:rFonts w:ascii="仿宋" w:hAnsi="仿宋" w:eastAsia="仿宋" w:cs="仿宋"/>
          <w:b/>
          <w:bCs/>
          <w:color w:val="auto"/>
          <w:sz w:val="24"/>
          <w:szCs w:val="24"/>
          <w:highlight w:val="none"/>
          <w:lang w:eastAsia="zh-CN"/>
        </w:rPr>
        <w:t xml:space="preserve">.4  </w:t>
      </w:r>
    </w:p>
    <w:p w14:paraId="269219EF">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07072" behindDoc="0" locked="0" layoutInCell="1" allowOverlap="1">
                <wp:simplePos x="0" y="0"/>
                <wp:positionH relativeFrom="column">
                  <wp:posOffset>-114300</wp:posOffset>
                </wp:positionH>
                <wp:positionV relativeFrom="paragraph">
                  <wp:posOffset>22225</wp:posOffset>
                </wp:positionV>
                <wp:extent cx="823595" cy="631825"/>
                <wp:effectExtent l="0" t="0" r="0" b="0"/>
                <wp:wrapNone/>
                <wp:docPr id="826" name="文本框 1031"/>
                <wp:cNvGraphicFramePr/>
                <a:graphic xmlns:a="http://schemas.openxmlformats.org/drawingml/2006/main">
                  <a:graphicData uri="http://schemas.microsoft.com/office/word/2010/wordprocessingShape">
                    <wps:wsp>
                      <wps:cNvSpPr txBox="1">
                        <a:spLocks noChangeArrowheads="1"/>
                      </wps:cNvSpPr>
                      <wps:spPr bwMode="auto">
                        <a:xfrm>
                          <a:off x="0" y="0"/>
                          <a:ext cx="823595" cy="631825"/>
                        </a:xfrm>
                        <a:prstGeom prst="rect">
                          <a:avLst/>
                        </a:prstGeom>
                        <a:noFill/>
                        <a:ln>
                          <a:noFill/>
                        </a:ln>
                        <a:effectLst/>
                      </wps:spPr>
                      <wps:txbx>
                        <w:txbxContent>
                          <w:p w14:paraId="2CE54440">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承包人未按约定支付款项的限制</w:t>
                            </w:r>
                          </w:p>
                        </w:txbxContent>
                      </wps:txbx>
                      <wps:bodyPr rot="0" vert="horz" wrap="square" lIns="91440" tIns="45720" rIns="91440" bIns="45720" anchor="t" anchorCtr="0" upright="1">
                        <a:noAutofit/>
                      </wps:bodyPr>
                    </wps:wsp>
                  </a:graphicData>
                </a:graphic>
              </wp:anchor>
            </w:drawing>
          </mc:Choice>
          <mc:Fallback>
            <w:pict>
              <v:shape id="文本框 1031" o:spid="_x0000_s1026" o:spt="202" type="#_x0000_t202" style="position:absolute;left:0pt;margin-left:-9pt;margin-top:1.75pt;height:49.75pt;width:64.85pt;z-index:251907072;mso-width-relative:page;mso-height-relative:page;" filled="f" stroked="f" coordsize="21600,21600" o:gfxdata="UEsDBAoAAAAAAIdO4kAAAAAAAAAAAAAAAAAEAAAAZHJzL1BLAwQUAAAACACHTuJADafjl9cAAAAJ&#10;AQAADwAAAGRycy9kb3ducmV2LnhtbE2PwU7DMBBE75X4B2uRuLW2KS0lZNMDiCuopVTqzY23SUS8&#10;jmK3CX+Pe4LbrGY18yZfj64VF+pD4xlBzxQI4tLbhiuE3efbdAUiRMPWtJ4J4YcCrIubSW4y6wfe&#10;0GUbK5FCOGQGoY6xy6QMZU3OhJnviJN38r0zMZ19JW1vhhTuWnmv1FI603BqqE1HLzWV39uzQ/h6&#10;Px32D+qjenWLbvCjkuyeJOLdrVbPICKN8e8ZrvgJHYrEdPRntkG0CFO9SlsiwnwB4upr/QjimISa&#10;K5BFLv8vKH4BUEsDBBQAAAAIAIdO4kCxi1pLIAIAACcEAAAOAAAAZHJzL2Uyb0RvYy54bWytU0tu&#10;2zAQ3RfoHQjua338qSNYDtIYKQqkHyDtAWiKsohKHJakLbkHaG7QVTfd91w+R4ek47rpJotuBA5n&#10;+Gbem6fF5dC1ZCeMlaBKmo1SSoTiUEm1Kemnjzcv5pRYx1TFWlCipHth6eXy+bNFrwuRQwNtJQxB&#10;EGWLXpe0cU4XSWJ5IzpmR6CFwmQNpmMOQ7NJKsN6RO/aJE/TWdKDqbQBLqzF21VM0iOieQog1LXk&#10;YgV82wnlIqoRLXNIyTZSW7oM09a14O59XVvhSFtSZOrCF5vgee2/yXLBio1hupH8OAJ7ygiPOHVM&#10;Kmx6gloxx8jWyH+gOskNWKjdiEOXRCJBEWSRpY+0uWuYFoELSm31SXT7/2D5u90HQ2RV0nk+o0Sx&#10;Dld++H5/+PHr8PMbydJx5jXqtS2w9E5jsRtewYDOCXytvgX+2RIF1w1TG3FlDPSNYBXOGF4mZ08j&#10;jvUg6/4tVNiKbR0EoKE2nRcQJSGIjvvZn/YjBkc4Xs7z8fRiSgnH1GyczfOpny1hxcNjbax7LaAj&#10;/lBSg+sP4Gx3a10sfSjxvRTcyLYNFmjVXxeIGW9E8NDxtafip4883LAejtKsodojKQPRX/h34aEB&#10;85WSHr1VUvtly4ygpH2jUJiLbDLxZgzBZPoyx8CcZ9bnGaY4QpXUURKP1y4aeKuN3DTYKa5CwRWK&#10;WctA1I8ap0KBfID+CVIdve4Neh6Hqj//9/I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afjl9cA&#10;AAAJAQAADwAAAAAAAAABACAAAAAiAAAAZHJzL2Rvd25yZXYueG1sUEsBAhQAFAAAAAgAh07iQLGL&#10;WksgAgAAJwQAAA4AAAAAAAAAAQAgAAAAJgEAAGRycy9lMm9Eb2MueG1sUEsFBgAAAAAGAAYAWQEA&#10;ALgFAAAAAA==&#10;">
                <v:fill on="f" focussize="0,0"/>
                <v:stroke on="f"/>
                <v:imagedata o:title=""/>
                <o:lock v:ext="edit" aspectratio="f"/>
                <v:textbox>
                  <w:txbxContent>
                    <w:p w14:paraId="2CE54440">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承包人未按约定支付款项的限制</w:t>
                      </w:r>
                    </w:p>
                  </w:txbxContent>
                </v:textbox>
              </v:shape>
            </w:pict>
          </mc:Fallback>
        </mc:AlternateContent>
      </w:r>
      <w:r>
        <w:rPr>
          <w:rFonts w:hint="eastAsia" w:ascii="仿宋" w:hAnsi="仿宋" w:eastAsia="仿宋" w:cs="仿宋"/>
          <w:color w:val="auto"/>
          <w:sz w:val="24"/>
          <w:szCs w:val="24"/>
          <w:highlight w:val="none"/>
          <w:lang w:eastAsia="zh-CN"/>
        </w:rPr>
        <w:t>如果承包人未按照雇员劳务合同和政府有关规定支付雇员劳务工资，或未按照分包合同支付分包人工程款，或未按照购销合同支付工程材料和工程设备供应商货款，均视为承包人违约。若在造价咨询人书面通知改正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天内，承包人仍未采取措施补救的，发包人可在不损害承包人其他权利的前提下，实施下列工作：</w:t>
      </w:r>
    </w:p>
    <w:p w14:paraId="05CAA352">
      <w:pPr>
        <w:pStyle w:val="2"/>
        <w:widowControl w:val="0"/>
        <w:numPr>
          <w:ilvl w:val="0"/>
          <w:numId w:val="24"/>
        </w:numPr>
        <w:tabs>
          <w:tab w:val="left" w:pos="960"/>
          <w:tab w:val="left" w:pos="216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立即停止向承包人支付应付的款项；</w:t>
      </w:r>
    </w:p>
    <w:p w14:paraId="08740DBB">
      <w:pPr>
        <w:pStyle w:val="2"/>
        <w:widowControl w:val="0"/>
        <w:numPr>
          <w:ilvl w:val="0"/>
          <w:numId w:val="24"/>
        </w:numPr>
        <w:tabs>
          <w:tab w:val="left" w:pos="960"/>
          <w:tab w:val="left" w:pos="2160"/>
        </w:tabs>
        <w:adjustRightInd w:val="0"/>
        <w:snapToGrid w:val="0"/>
        <w:spacing w:line="360" w:lineRule="auto"/>
        <w:ind w:left="1849" w:leftChars="770" w:hanging="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在相应支付期应付的工程款范围内，直接向雇员、分包人和工程材料供应商、工程设备供应商支付承包人应付的款项。</w:t>
      </w:r>
    </w:p>
    <w:p w14:paraId="40AE756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发包人在实施上述工作后的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天内应以书面形式通知承包人，抄送造价咨询人。造价咨询人在签发下期支付证书时，应扣除已由发包人直接支付的款项。由于上述工作原因发生的费用由承包人承担；给发包人造成损失的，承包人应予赔偿。</w:t>
      </w:r>
    </w:p>
    <w:p w14:paraId="05F0C866">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31EA8D74">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3" w:name="_Toc24911"/>
      <w:r>
        <w:rPr>
          <w:rFonts w:hint="eastAsia" w:ascii="仿宋" w:hAnsi="仿宋" w:eastAsia="仿宋" w:cs="仿宋"/>
          <w:bCs w:val="0"/>
          <w:color w:val="auto"/>
          <w:sz w:val="24"/>
          <w:szCs w:val="24"/>
          <w:highlight w:val="none"/>
          <w:lang w:eastAsia="zh-CN"/>
        </w:rPr>
        <w:t>★84预付款</w:t>
      </w:r>
      <w:bookmarkEnd w:id="383"/>
    </w:p>
    <w:p w14:paraId="3954586F">
      <w:pPr>
        <w:pStyle w:val="2"/>
        <w:widowControl w:val="0"/>
        <w:adjustRightInd w:val="0"/>
        <w:snapToGrid w:val="0"/>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61696" behindDoc="0" locked="0" layoutInCell="1" allowOverlap="1">
                <wp:simplePos x="0" y="0"/>
                <wp:positionH relativeFrom="column">
                  <wp:posOffset>-114300</wp:posOffset>
                </wp:positionH>
                <wp:positionV relativeFrom="paragraph">
                  <wp:posOffset>226695</wp:posOffset>
                </wp:positionV>
                <wp:extent cx="863600" cy="353060"/>
                <wp:effectExtent l="0" t="0" r="0" b="0"/>
                <wp:wrapNone/>
                <wp:docPr id="827" name="文本框 1032"/>
                <wp:cNvGraphicFramePr/>
                <a:graphic xmlns:a="http://schemas.openxmlformats.org/drawingml/2006/main">
                  <a:graphicData uri="http://schemas.microsoft.com/office/word/2010/wordprocessingShape">
                    <wps:wsp>
                      <wps:cNvSpPr txBox="1">
                        <a:spLocks noChangeArrowheads="1"/>
                      </wps:cNvSpPr>
                      <wps:spPr bwMode="auto">
                        <a:xfrm>
                          <a:off x="0" y="0"/>
                          <a:ext cx="863600" cy="353060"/>
                        </a:xfrm>
                        <a:prstGeom prst="rect">
                          <a:avLst/>
                        </a:prstGeom>
                        <a:noFill/>
                        <a:ln>
                          <a:noFill/>
                        </a:ln>
                      </wps:spPr>
                      <wps:txbx>
                        <w:txbxContent>
                          <w:p w14:paraId="7006A3E6">
                            <w:pPr>
                              <w:pStyle w:val="66"/>
                              <w:spacing w:line="200" w:lineRule="exact"/>
                              <w:rPr>
                                <w:rFonts w:hint="eastAsia" w:ascii="楷体_GB2312" w:hAnsi="宋体"/>
                                <w:sz w:val="18"/>
                                <w:szCs w:val="18"/>
                              </w:rPr>
                            </w:pPr>
                            <w:r>
                              <w:rPr>
                                <w:rFonts w:hint="eastAsia" w:ascii="楷体_GB2312" w:hAnsi="宋体" w:cs="楷体_GB2312"/>
                                <w:sz w:val="18"/>
                                <w:szCs w:val="18"/>
                              </w:rPr>
                              <w:t>预付款的约定</w:t>
                            </w:r>
                          </w:p>
                          <w:p w14:paraId="523BAEBC">
                            <w:pPr>
                              <w:pStyle w:val="66"/>
                              <w:spacing w:line="200" w:lineRule="exact"/>
                              <w:rPr>
                                <w:rFonts w:hint="eastAsia" w:ascii="楷体_GB2312" w:hAnsi="宋体"/>
                                <w:sz w:val="18"/>
                                <w:szCs w:val="18"/>
                              </w:rPr>
                            </w:pPr>
                            <w:r>
                              <w:rPr>
                                <w:rFonts w:hint="eastAsia" w:ascii="楷体_GB2312" w:hAnsi="宋体" w:cs="楷体_GB2312"/>
                                <w:sz w:val="18"/>
                                <w:szCs w:val="18"/>
                              </w:rPr>
                              <w:t>及管理</w:t>
                            </w:r>
                          </w:p>
                        </w:txbxContent>
                      </wps:txbx>
                      <wps:bodyPr rot="0" vert="horz" wrap="square" lIns="91440" tIns="45720" rIns="91440" bIns="45720" anchor="t" anchorCtr="0" upright="1">
                        <a:noAutofit/>
                      </wps:bodyPr>
                    </wps:wsp>
                  </a:graphicData>
                </a:graphic>
              </wp:anchor>
            </w:drawing>
          </mc:Choice>
          <mc:Fallback>
            <w:pict>
              <v:shape id="文本框 1032" o:spid="_x0000_s1026" o:spt="202" type="#_x0000_t202" style="position:absolute;left:0pt;margin-left:-9pt;margin-top:17.85pt;height:27.8pt;width:68pt;z-index:252061696;mso-width-relative:page;mso-height-relative:page;" filled="f" stroked="f" coordsize="21600,21600" o:gfxdata="UEsDBAoAAAAAAIdO4kAAAAAAAAAAAAAAAAAEAAAAZHJzL1BLAwQUAAAACACHTuJALg752dYAAAAJ&#10;AQAADwAAAGRycy9kb3ducmV2LnhtbE2PzU7DMBCE70i8g7VI3Np1KIU2ZNMDiCuI8iNxc+NtEhGv&#10;o9htwtvjcoHj7Ixmvyk2k+vUkYfQeiHI5hoUS+VtKzXB2+vjbAUqRCPWdF6Y4JsDbMrzs8Lk1o/y&#10;wsdtrFUqkZAbgibGPkcMVcPOhLnvWZK394MzMcmhRjuYMZW7Dq+0vkFnWkkfGtPzfcPV1/bgCN6f&#10;9p8f1/q5fnDLfvSTRnFrJLq8yPQdqMhT/AvDCT+hQ5mYdv4gNqiOYJat0pZIsFjegjoFfg87gnW2&#10;ACwL/L+g/AFQSwMEFAAAAAgAh07iQA07G7MbAgAAGQQAAA4AAABkcnMvZTJvRG9jLnhtbK1TzW4T&#10;MRC+I/EOlu9kNz9NwyqbqjQqQioUqfAAjtebtdj1mLGT3fAA9A04ceHe58pzMPamIZRLD1ws2zP+&#10;5vu+Gc8vuqZmW4VOg8n5cJBypoyEQpt1zj9/un4148x5YQpRg1E53ynHLxYvX8xbm6kRVFAXChmB&#10;GJe1NueV9zZLEicr1Qg3AKsMBUvARng64jopULSE3tTJKE2nSQtYWASpnKPbZR/kB0R8DiCUpZZq&#10;CXLTKON7VFS18CTJVdo6vohsy1JJf1uWTnlW55yU+rhSEdqvwpos5iJbo7CVlgcK4jkUnmhqhDZU&#10;9Ai1FF6wDep/oBotERyUfiChSXoh0RFSMUyfeHNXCauiFrLa2aPp7v/Byg/bj8h0kfPZ6JwzIxpq&#10;+f7H/f7nw/7XdzZMx6PgUWtdRql3lpJ99wY6mpyo19kbkF8cM3BVCbNWl4jQVkoUxHEYXiYnT3sc&#10;F0BW7XsoqJTYeIhAXYlNMJAsYYRO/dkd+6M6zyRdzqbjaUoRSaHx2Tidxv4lInt8bNH5twoaFjY5&#10;R2p/BBfbG+cDGZE9poRaBq51XccRqM1fF5QYbiL5wLdn7rtVdzBjBcWOZCD0E0X/iTYV4DfOWpqm&#10;nLuvG4GKs/qdISteDyeTMH7xMDk7H9EBTyOr04gwkqBy7jnrt1e+H9mNRb2uqFJvvoFLsq/UUVrw&#10;uWd14E0TExUfpjuM5Ok5Zv350Yv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Lg752dYAAAAJAQAA&#10;DwAAAAAAAAABACAAAAAiAAAAZHJzL2Rvd25yZXYueG1sUEsBAhQAFAAAAAgAh07iQA07G7MbAgAA&#10;GQQAAA4AAAAAAAAAAQAgAAAAJQEAAGRycy9lMm9Eb2MueG1sUEsFBgAAAAAGAAYAWQEAALIFAAAA&#10;AA==&#10;">
                <v:fill on="f" focussize="0,0"/>
                <v:stroke on="f"/>
                <v:imagedata o:title=""/>
                <o:lock v:ext="edit" aspectratio="f"/>
                <v:textbox>
                  <w:txbxContent>
                    <w:p w14:paraId="7006A3E6">
                      <w:pPr>
                        <w:pStyle w:val="66"/>
                        <w:spacing w:line="200" w:lineRule="exact"/>
                        <w:rPr>
                          <w:rFonts w:hint="eastAsia" w:ascii="楷体_GB2312" w:hAnsi="宋体"/>
                          <w:sz w:val="18"/>
                          <w:szCs w:val="18"/>
                        </w:rPr>
                      </w:pPr>
                      <w:r>
                        <w:rPr>
                          <w:rFonts w:hint="eastAsia" w:ascii="楷体_GB2312" w:hAnsi="宋体" w:cs="楷体_GB2312"/>
                          <w:sz w:val="18"/>
                          <w:szCs w:val="18"/>
                        </w:rPr>
                        <w:t>预付款的约定</w:t>
                      </w:r>
                    </w:p>
                    <w:p w14:paraId="523BAEBC">
                      <w:pPr>
                        <w:pStyle w:val="66"/>
                        <w:spacing w:line="200" w:lineRule="exact"/>
                        <w:rPr>
                          <w:rFonts w:hint="eastAsia" w:ascii="楷体_GB2312" w:hAnsi="宋体"/>
                          <w:sz w:val="18"/>
                          <w:szCs w:val="18"/>
                        </w:rPr>
                      </w:pPr>
                      <w:r>
                        <w:rPr>
                          <w:rFonts w:hint="eastAsia" w:ascii="楷体_GB2312" w:hAnsi="宋体" w:cs="楷体_GB2312"/>
                          <w:sz w:val="18"/>
                          <w:szCs w:val="18"/>
                        </w:rPr>
                        <w:t>及管理</w:t>
                      </w:r>
                    </w:p>
                  </w:txbxContent>
                </v:textbox>
              </v:shape>
            </w:pict>
          </mc:Fallback>
        </mc:AlternateContent>
      </w:r>
      <w:r>
        <w:rPr>
          <w:rFonts w:hint="eastAsia" w:ascii="仿宋" w:hAnsi="仿宋" w:eastAsia="仿宋" w:cs="仿宋"/>
          <w:b/>
          <w:bCs/>
          <w:color w:val="auto"/>
          <w:sz w:val="24"/>
          <w:szCs w:val="24"/>
          <w:highlight w:val="none"/>
          <w:lang w:eastAsia="zh-CN"/>
        </w:rPr>
        <w:t>84</w:t>
      </w:r>
      <w:r>
        <w:rPr>
          <w:rFonts w:ascii="仿宋" w:hAnsi="仿宋" w:eastAsia="仿宋" w:cs="仿宋"/>
          <w:b/>
          <w:bCs/>
          <w:color w:val="auto"/>
          <w:sz w:val="24"/>
          <w:szCs w:val="24"/>
          <w:highlight w:val="none"/>
          <w:lang w:eastAsia="zh-CN"/>
        </w:rPr>
        <w:t>.1</w:t>
      </w:r>
    </w:p>
    <w:p w14:paraId="0DEC97A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除专用条款另有约定外，合同双方当事人应约定预付款，并在专用条款中明确预付款金额、支付办法和抵扣方式。</w:t>
      </w:r>
    </w:p>
    <w:p w14:paraId="13BAE0B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预付款专款专用，承包人应在财务账目中表明专用于合同工程勘察（如果有）、设计、BIM技术应用、设备及工器具购置（如果有），以及采购工程材料、工程设备、施工设备、修建临时设施以及组织施工队伍进场等所需的款项，不得挪作他用。除专用条款另有约定外，预付款的预付比例不低于（含本数）合同价格（扣除暂列金额、暂估价、绿色安全防护措施费等）的</w:t>
      </w:r>
      <w:r>
        <w:rPr>
          <w:rFonts w:ascii="仿宋" w:hAnsi="仿宋" w:eastAsia="仿宋" w:cs="仿宋"/>
          <w:color w:val="auto"/>
          <w:sz w:val="24"/>
          <w:szCs w:val="24"/>
          <w:highlight w:val="none"/>
          <w:lang w:eastAsia="zh-CN"/>
        </w:rPr>
        <w:t>10%</w:t>
      </w:r>
      <w:r>
        <w:rPr>
          <w:rFonts w:hint="eastAsia" w:ascii="仿宋" w:hAnsi="仿宋" w:eastAsia="仿宋" w:cs="仿宋"/>
          <w:color w:val="auto"/>
          <w:sz w:val="24"/>
          <w:szCs w:val="24"/>
          <w:highlight w:val="none"/>
          <w:lang w:eastAsia="zh-CN"/>
        </w:rPr>
        <w:t>，不高于（含本数）合同价格（扣除暂列金额、暂估价、绿色安全防护措施费等）的</w:t>
      </w:r>
      <w:r>
        <w:rPr>
          <w:rFonts w:ascii="仿宋" w:hAnsi="仿宋" w:eastAsia="仿宋" w:cs="仿宋"/>
          <w:color w:val="auto"/>
          <w:sz w:val="24"/>
          <w:szCs w:val="24"/>
          <w:highlight w:val="none"/>
          <w:lang w:eastAsia="zh-CN"/>
        </w:rPr>
        <w:t>30%</w:t>
      </w:r>
      <w:r>
        <w:rPr>
          <w:rFonts w:hint="eastAsia" w:ascii="仿宋" w:hAnsi="仿宋" w:eastAsia="仿宋" w:cs="仿宋"/>
          <w:color w:val="auto"/>
          <w:sz w:val="24"/>
          <w:szCs w:val="24"/>
          <w:highlight w:val="none"/>
          <w:lang w:eastAsia="zh-CN"/>
        </w:rPr>
        <w:t>。</w:t>
      </w:r>
    </w:p>
    <w:p w14:paraId="2472A33C">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84</w:t>
      </w:r>
      <w:r>
        <w:rPr>
          <w:rFonts w:ascii="仿宋" w:hAnsi="仿宋" w:eastAsia="仿宋" w:cs="仿宋"/>
          <w:b/>
          <w:bCs/>
          <w:color w:val="auto"/>
          <w:highlight w:val="none"/>
          <w:lang w:eastAsia="zh-CN"/>
        </w:rPr>
        <w:t xml:space="preserve">.2  </w:t>
      </w:r>
    </w:p>
    <w:p w14:paraId="2416E2FA">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08096" behindDoc="0" locked="0" layoutInCell="1" allowOverlap="1">
                <wp:simplePos x="0" y="0"/>
                <wp:positionH relativeFrom="column">
                  <wp:posOffset>-114300</wp:posOffset>
                </wp:positionH>
                <wp:positionV relativeFrom="paragraph">
                  <wp:posOffset>19685</wp:posOffset>
                </wp:positionV>
                <wp:extent cx="765810" cy="629285"/>
                <wp:effectExtent l="0" t="0" r="0" b="0"/>
                <wp:wrapNone/>
                <wp:docPr id="828" name="文本框 1033"/>
                <wp:cNvGraphicFramePr/>
                <a:graphic xmlns:a="http://schemas.openxmlformats.org/drawingml/2006/main">
                  <a:graphicData uri="http://schemas.microsoft.com/office/word/2010/wordprocessingShape">
                    <wps:wsp>
                      <wps:cNvSpPr txBox="1">
                        <a:spLocks noChangeArrowheads="1"/>
                      </wps:cNvSpPr>
                      <wps:spPr bwMode="auto">
                        <a:xfrm>
                          <a:off x="0" y="0"/>
                          <a:ext cx="765810" cy="629285"/>
                        </a:xfrm>
                        <a:prstGeom prst="rect">
                          <a:avLst/>
                        </a:prstGeom>
                        <a:noFill/>
                        <a:ln>
                          <a:noFill/>
                        </a:ln>
                        <a:effectLst/>
                      </wps:spPr>
                      <wps:txbx>
                        <w:txbxContent>
                          <w:p w14:paraId="7D02B941">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预付款支付申请的提交、核实与支付</w:t>
                            </w:r>
                          </w:p>
                        </w:txbxContent>
                      </wps:txbx>
                      <wps:bodyPr rot="0" vert="horz" wrap="square" lIns="91440" tIns="45720" rIns="91440" bIns="45720" anchor="t" anchorCtr="0" upright="1">
                        <a:noAutofit/>
                      </wps:bodyPr>
                    </wps:wsp>
                  </a:graphicData>
                </a:graphic>
              </wp:anchor>
            </w:drawing>
          </mc:Choice>
          <mc:Fallback>
            <w:pict>
              <v:shape id="文本框 1033" o:spid="_x0000_s1026" o:spt="202" type="#_x0000_t202" style="position:absolute;left:0pt;margin-left:-9pt;margin-top:1.55pt;height:49.55pt;width:60.3pt;z-index:251908096;mso-width-relative:page;mso-height-relative:page;" filled="f" stroked="f" coordsize="21600,21600" o:gfxdata="UEsDBAoAAAAAAIdO4kAAAAAAAAAAAAAAAAAEAAAAZHJzL1BLAwQUAAAACACHTuJAfLm+cNUAAAAJ&#10;AQAADwAAAGRycy9kb3ducmV2LnhtbE2PzU7DMBCE70i8g7VI3Np1AlQlxOkBxBVE+ZG4beNtEhGv&#10;o9htwtvjcoHbrGY18025mV2vjjyGzouBbKlBsdTedtIYeHt9XKxBhUhiqffCBr45wKY6PyupsH6S&#10;Fz5uY6NSiISCDLQxDgViqFt2FJZ+YEne3o+OYjrHBu1IUwp3PeZar9BRJ6mhpYHvW66/tgdn4P1p&#10;//lxrZ+bB3czTH7WKO4Wjbm8yPQdqMhz/HuGE35Chyox7fxBbFC9gUW2TluigasM1MnX+QrU7lfk&#10;gFWJ/xdUP1BLAwQUAAAACACHTuJAkuzKIiACAAAnBAAADgAAAGRycy9lMm9Eb2MueG1srVNLbtsw&#10;EN0X6B0I7mvZiu04guUgjZGiQPoB0h6ApiiLqMRhh7Sl9ADtDbrqpvuey+fokFJcN91k0Q1BcoZv&#10;5r15XF52Tc32Cp0Gk/PJaMyZMhIKbbY5//jh5sWCM+eFKUQNRuX8Xjl+uXr+bNnaTKVQQV0oZARi&#10;XNbanFfe2yxJnKxUI9wIrDIULAEb4emI26RA0RJ6UyfpeDxPWsDCIkjlHN2u+yAfEPEpgFCWWqo1&#10;yF2jjO9RUdXCEyVXaev4KnZblkr6d2XplGd1zompjysVof0mrMlqKbItCltpObQgntLCI06N0IaK&#10;HqHWwgu2Q/0PVKMlgoPSjyQ0SU8kKkIsJuNH2txVwqrIhaR29ii6+3+w8u3+PTJd5HyR0uCNaGjk&#10;h+/fDj9+HX5+ZZPx2VnQqLUuo9Q7S8m+ewkdOSfydfYW5CfHDFxXwmzVFSK0lRIF9TgJL5OTpz2O&#10;CyCb9g0UVErsPESgrsQmCEiSMEKn+dwf56M6zyRdns9niwlFJIXm6UW6mMUKInt4bNH5VwoaFjY5&#10;Rxp/BBf7W+dDMyJ7SAm1DNzouo4WqM1fF5TY36jooeF1oBK673n4btMN0myguCdSCL2/6HfRpgL8&#10;wllL3sq5+7wTqDirXxsS5mIynQYzxsN0dp7SAU8jm9OIMJKgcu4567fXvjfwzqLeVlSpH4WBKxKz&#10;1JFoaLXvahgB+SfyH7weDHp6jll//vf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y5vnDVAAAA&#10;CQEAAA8AAAAAAAAAAQAgAAAAIgAAAGRycy9kb3ducmV2LnhtbFBLAQIUABQAAAAIAIdO4kCS7Moi&#10;IAIAACcEAAAOAAAAAAAAAAEAIAAAACQBAABkcnMvZTJvRG9jLnhtbFBLBQYAAAAABgAGAFkBAAC2&#10;BQAAAAA=&#10;">
                <v:fill on="f" focussize="0,0"/>
                <v:stroke on="f"/>
                <v:imagedata o:title=""/>
                <o:lock v:ext="edit" aspectratio="f"/>
                <v:textbox>
                  <w:txbxContent>
                    <w:p w14:paraId="7D02B941">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预付款支付申请的提交、核实与支付</w:t>
                      </w:r>
                    </w:p>
                  </w:txbxContent>
                </v:textbox>
              </v:shape>
            </w:pict>
          </mc:Fallback>
        </mc:AlternateContent>
      </w:r>
      <w:r>
        <w:rPr>
          <w:rFonts w:hint="eastAsia" w:ascii="仿宋" w:hAnsi="仿宋" w:eastAsia="仿宋" w:cs="仿宋"/>
          <w:color w:val="auto"/>
          <w:sz w:val="24"/>
          <w:szCs w:val="24"/>
          <w:highlight w:val="none"/>
          <w:lang w:eastAsia="zh-CN"/>
        </w:rPr>
        <w:t>承包人在完成下列工作后，应在专用条款约定的期限内向造价咨询人提交预付款支付申请，并抄送发包人。</w:t>
      </w:r>
    </w:p>
    <w:p w14:paraId="022646C0">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）签订本合同；</w:t>
      </w:r>
    </w:p>
    <w:p w14:paraId="42FDEDB3">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）按照第32</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款约定提供履约担保；</w:t>
      </w:r>
    </w:p>
    <w:p w14:paraId="3D3D9C7D">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）向发包人提供与预付款等额的预付款保函的正本。</w:t>
      </w:r>
    </w:p>
    <w:p w14:paraId="6B34B2EA">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造价咨询人应对支付申请进行核实，并在收到支付申请后的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天内报发包人确认后向发包人发出支付证书，同时抄送承包人。</w:t>
      </w:r>
    </w:p>
    <w:p w14:paraId="4AFCECCB">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发包人在造价咨询人签发支付证书后的28天内向承包人支付预付款，并通知造价咨询人。</w:t>
      </w:r>
    </w:p>
    <w:p w14:paraId="3DE3E3CF">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84</w:t>
      </w:r>
      <w:r>
        <w:rPr>
          <w:rFonts w:ascii="仿宋" w:hAnsi="仿宋" w:eastAsia="仿宋" w:cs="仿宋"/>
          <w:b/>
          <w:bCs/>
          <w:color w:val="auto"/>
          <w:highlight w:val="none"/>
          <w:lang w:eastAsia="zh-CN"/>
        </w:rPr>
        <w:t>.3</w:t>
      </w:r>
    </w:p>
    <w:p w14:paraId="7D6112DD">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09120" behindDoc="0" locked="0" layoutInCell="1" allowOverlap="1">
                <wp:simplePos x="0" y="0"/>
                <wp:positionH relativeFrom="column">
                  <wp:posOffset>-114300</wp:posOffset>
                </wp:positionH>
                <wp:positionV relativeFrom="paragraph">
                  <wp:posOffset>10795</wp:posOffset>
                </wp:positionV>
                <wp:extent cx="794385" cy="662305"/>
                <wp:effectExtent l="0" t="0" r="0" b="0"/>
                <wp:wrapNone/>
                <wp:docPr id="829" name="文本框 1034"/>
                <wp:cNvGraphicFramePr/>
                <a:graphic xmlns:a="http://schemas.openxmlformats.org/drawingml/2006/main">
                  <a:graphicData uri="http://schemas.microsoft.com/office/word/2010/wordprocessingShape">
                    <wps:wsp>
                      <wps:cNvSpPr txBox="1">
                        <a:spLocks noChangeArrowheads="1"/>
                      </wps:cNvSpPr>
                      <wps:spPr bwMode="auto">
                        <a:xfrm>
                          <a:off x="0" y="0"/>
                          <a:ext cx="794385" cy="662305"/>
                        </a:xfrm>
                        <a:prstGeom prst="rect">
                          <a:avLst/>
                        </a:prstGeom>
                        <a:noFill/>
                        <a:ln>
                          <a:noFill/>
                        </a:ln>
                        <a:effectLst/>
                      </wps:spPr>
                      <wps:txbx>
                        <w:txbxContent>
                          <w:p w14:paraId="36FCF317">
                            <w:pPr>
                              <w:pStyle w:val="66"/>
                              <w:spacing w:line="200" w:lineRule="exact"/>
                              <w:rPr>
                                <w:rFonts w:hint="eastAsia" w:ascii="楷体_GB2312" w:hAnsi="宋体"/>
                                <w:sz w:val="18"/>
                                <w:szCs w:val="18"/>
                              </w:rPr>
                            </w:pPr>
                            <w:r>
                              <w:rPr>
                                <w:rFonts w:hint="eastAsia" w:ascii="楷体_GB2312" w:hAnsi="宋体" w:cs="楷体_GB2312"/>
                                <w:sz w:val="18"/>
                                <w:szCs w:val="18"/>
                              </w:rPr>
                              <w:t>预付款支付的限制</w:t>
                            </w:r>
                          </w:p>
                        </w:txbxContent>
                      </wps:txbx>
                      <wps:bodyPr rot="0" vert="horz" wrap="square" lIns="91440" tIns="45720" rIns="91440" bIns="45720" anchor="t" anchorCtr="0" upright="1">
                        <a:noAutofit/>
                      </wps:bodyPr>
                    </wps:wsp>
                  </a:graphicData>
                </a:graphic>
              </wp:anchor>
            </w:drawing>
          </mc:Choice>
          <mc:Fallback>
            <w:pict>
              <v:shape id="文本框 1034" o:spid="_x0000_s1026" o:spt="202" type="#_x0000_t202" style="position:absolute;left:0pt;margin-left:-9pt;margin-top:0.85pt;height:52.15pt;width:62.55pt;z-index:251909120;mso-width-relative:page;mso-height-relative:page;" filled="f" stroked="f" coordsize="21600,21600" o:gfxdata="UEsDBAoAAAAAAIdO4kAAAAAAAAAAAAAAAAAEAAAAZHJzL1BLAwQUAAAACACHTuJAN58lDtQAAAAJ&#10;AQAADwAAAGRycy9kb3ducmV2LnhtbE2PwU7DMAyG70i8Q2QkbptTBNsoTXcAcQWxARI3r/Haisap&#10;mmwtb096gputz/r9/cV2cp068xBaLwaypQbFUnnbSm3gff+82IAKkcRS54UN/HCAbXl5UVBu/Shv&#10;fN7FWqUQCTkZaGLsc8RQNewoLH3PktjRD45iWoca7UBjCncd3mi9QketpA8N9fzYcPW9OzkDHy/H&#10;r89b/Vo/ubt+9JNGcfdozPVVph9ARZ7i3zHM+kkdyuR08CexQXUGFtkmdYkJrEHNXK8zUId5WGnA&#10;ssD/DcpfUEsDBBQAAAAIAIdO4kBRHBUPIAIAACcEAAAOAAAAZHJzL2Uyb0RvYy54bWytU0tu2zAQ&#10;3RfoHQjua8nf2ILlII2RokD6AdIegKYoi6jEYYe0pfQA7Q266qb7nsvn6JByXDfdZNENQXKGb+a9&#10;eVxedk3N9gqdBpPz4SDlTBkJhTbbnH/8cPNizpnzwhSiBqNyfq8cv1w9f7ZsbaZGUEFdKGQEYlzW&#10;2pxX3tssSZysVCPcAKwyFCwBG+HpiNukQNESelMnozSdJS1gYRGkco5u132QHxHxKYBQllqqNchd&#10;o4zvUVHVwhMlV2nr+Cp2W5ZK+ndl6ZRndc6JqY8rFaH9JqzJaimyLQpbaXlsQTylhUecGqENFT1B&#10;rYUXbIf6H6hGSwQHpR9IaJKeSFSEWAzTR9rcVcKqyIWkdvYkuvt/sPLt/j0yXeR8PlpwZkRDIz98&#10;/3b48evw8ysbpuNJ0Ki1LqPUO0vJvnsJHTkn8nX2FuQnxwxcV8Js1RUitJUSBfU4DC+Ts6c9jgsg&#10;m/YNFFRK7DxEoK7EJghIkjBCp/ncn+ajOs8kXV4sJuP5lDNJodlsNE6nsYLIHh5bdP6VgoaFTc6R&#10;xh/Bxf7W+dCMyB5SQi0DN7quowVq89cFJfY3Knro+DpQCd33PHy36Y7SbKC4J1IIvb/od9GmAvzC&#10;WUveyrn7vBOoOKtfGxJmMZxMghnjYTK9GNEBzyOb84gwkqBy7jnrt9e+N/DOot5WVKkfhYErErPU&#10;kWhote/qOALyT+R/9How6Pk5Zv3536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58lDtQAAAAJ&#10;AQAADwAAAAAAAAABACAAAAAiAAAAZHJzL2Rvd25yZXYueG1sUEsBAhQAFAAAAAgAh07iQFEcFQ8g&#10;AgAAJwQAAA4AAAAAAAAAAQAgAAAAIwEAAGRycy9lMm9Eb2MueG1sUEsFBgAAAAAGAAYAWQEAALUF&#10;AAAAAA==&#10;">
                <v:fill on="f" focussize="0,0"/>
                <v:stroke on="f"/>
                <v:imagedata o:title=""/>
                <o:lock v:ext="edit" aspectratio="f"/>
                <v:textbox>
                  <w:txbxContent>
                    <w:p w14:paraId="36FCF317">
                      <w:pPr>
                        <w:pStyle w:val="66"/>
                        <w:spacing w:line="200" w:lineRule="exact"/>
                        <w:rPr>
                          <w:rFonts w:hint="eastAsia" w:ascii="楷体_GB2312" w:hAnsi="宋体"/>
                          <w:sz w:val="18"/>
                          <w:szCs w:val="18"/>
                        </w:rPr>
                      </w:pPr>
                      <w:r>
                        <w:rPr>
                          <w:rFonts w:hint="eastAsia" w:ascii="楷体_GB2312" w:hAnsi="宋体" w:cs="楷体_GB2312"/>
                          <w:sz w:val="18"/>
                          <w:szCs w:val="18"/>
                        </w:rPr>
                        <w:t>预付款支付的限制</w:t>
                      </w:r>
                    </w:p>
                  </w:txbxContent>
                </v:textbox>
              </v:shape>
            </w:pict>
          </mc:Fallback>
        </mc:AlternateContent>
      </w:r>
      <w:r>
        <w:rPr>
          <w:rFonts w:hint="eastAsia" w:ascii="仿宋" w:hAnsi="仿宋" w:eastAsia="仿宋" w:cs="仿宋"/>
          <w:color w:val="auto"/>
          <w:sz w:val="24"/>
          <w:szCs w:val="24"/>
          <w:highlight w:val="none"/>
          <w:lang w:eastAsia="zh-CN"/>
        </w:rPr>
        <w:t>发包人没有按时支付预付款的，承包人应在付款期满后的7天内向发包人发出要求支付的通知；发包人收到通知后仍不按要求支付，承包人可在发出通知</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天后暂停勘察（如果有）、设计、BIM技术应用、设备及工器具购置（如果有）或施工。发包人可与承包人协商签订延期支付协议，经承包人同意后可延期支付，承包人有权按照第83</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款约定获得延期支付的利息。发包人承担由此增加的费用和（或）延误的工期，并向承包人支付合理利润。</w:t>
      </w:r>
    </w:p>
    <w:p w14:paraId="63B20477">
      <w:pPr>
        <w:pStyle w:val="2"/>
        <w:tabs>
          <w:tab w:val="left" w:pos="1320"/>
        </w:tabs>
        <w:adjustRightInd w:val="0"/>
        <w:snapToGrid w:val="0"/>
        <w:spacing w:line="360" w:lineRule="auto"/>
        <w:rPr>
          <w:rFonts w:hint="eastAsia" w:ascii="仿宋" w:hAnsi="仿宋" w:eastAsia="仿宋"/>
          <w:color w:val="auto"/>
          <w:sz w:val="24"/>
          <w:szCs w:val="24"/>
          <w:highlight w:val="none"/>
          <w:lang w:eastAsia="zh-CN"/>
        </w:rPr>
      </w:pPr>
      <w:r>
        <w:rPr>
          <w:rFonts w:hint="eastAsia" w:ascii="仿宋" w:hAnsi="仿宋" w:eastAsia="仿宋" w:cs="仿宋"/>
          <w:b/>
          <w:bCs/>
          <w:color w:val="auto"/>
          <w:sz w:val="24"/>
          <w:szCs w:val="24"/>
          <w:highlight w:val="none"/>
          <w:lang w:eastAsia="zh-CN"/>
        </w:rPr>
        <w:t>84</w:t>
      </w:r>
      <w:r>
        <w:rPr>
          <w:rFonts w:ascii="仿宋" w:hAnsi="仿宋" w:eastAsia="仿宋" w:cs="仿宋"/>
          <w:b/>
          <w:bCs/>
          <w:color w:val="auto"/>
          <w:sz w:val="24"/>
          <w:szCs w:val="24"/>
          <w:highlight w:val="none"/>
          <w:lang w:eastAsia="zh-CN"/>
        </w:rPr>
        <w:t xml:space="preserve">.4 </w:t>
      </w:r>
    </w:p>
    <w:p w14:paraId="1BBAB146">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10144" behindDoc="0" locked="0" layoutInCell="1" allowOverlap="1">
                <wp:simplePos x="0" y="0"/>
                <wp:positionH relativeFrom="column">
                  <wp:posOffset>-114300</wp:posOffset>
                </wp:positionH>
                <wp:positionV relativeFrom="paragraph">
                  <wp:posOffset>46355</wp:posOffset>
                </wp:positionV>
                <wp:extent cx="866140" cy="457200"/>
                <wp:effectExtent l="0" t="0" r="0" b="0"/>
                <wp:wrapNone/>
                <wp:docPr id="830" name="文本框 1035"/>
                <wp:cNvGraphicFramePr/>
                <a:graphic xmlns:a="http://schemas.openxmlformats.org/drawingml/2006/main">
                  <a:graphicData uri="http://schemas.microsoft.com/office/word/2010/wordprocessingShape">
                    <wps:wsp>
                      <wps:cNvSpPr txBox="1">
                        <a:spLocks noChangeArrowheads="1"/>
                      </wps:cNvSpPr>
                      <wps:spPr bwMode="auto">
                        <a:xfrm>
                          <a:off x="0" y="0"/>
                          <a:ext cx="866140" cy="457200"/>
                        </a:xfrm>
                        <a:prstGeom prst="rect">
                          <a:avLst/>
                        </a:prstGeom>
                        <a:noFill/>
                        <a:ln>
                          <a:noFill/>
                        </a:ln>
                        <a:effectLst/>
                      </wps:spPr>
                      <wps:txbx>
                        <w:txbxContent>
                          <w:p w14:paraId="427AB6B6">
                            <w:pPr>
                              <w:pStyle w:val="66"/>
                              <w:spacing w:line="200" w:lineRule="exact"/>
                              <w:rPr>
                                <w:rFonts w:hint="eastAsia" w:ascii="楷体_GB2312" w:hAnsi="宋体"/>
                                <w:sz w:val="18"/>
                                <w:szCs w:val="18"/>
                              </w:rPr>
                            </w:pPr>
                            <w:r>
                              <w:rPr>
                                <w:rFonts w:hint="eastAsia" w:ascii="楷体_GB2312" w:hAnsi="宋体" w:cs="楷体_GB2312"/>
                                <w:sz w:val="18"/>
                                <w:szCs w:val="18"/>
                              </w:rPr>
                              <w:t>预付款的扣回</w:t>
                            </w:r>
                          </w:p>
                        </w:txbxContent>
                      </wps:txbx>
                      <wps:bodyPr rot="0" vert="horz" wrap="square" lIns="91440" tIns="45720" rIns="91440" bIns="45720" anchor="t" anchorCtr="0" upright="1">
                        <a:noAutofit/>
                      </wps:bodyPr>
                    </wps:wsp>
                  </a:graphicData>
                </a:graphic>
              </wp:anchor>
            </w:drawing>
          </mc:Choice>
          <mc:Fallback>
            <w:pict>
              <v:shape id="文本框 1035" o:spid="_x0000_s1026" o:spt="202" type="#_x0000_t202" style="position:absolute;left:0pt;margin-left:-9pt;margin-top:3.65pt;height:36pt;width:68.2pt;z-index:251910144;mso-width-relative:page;mso-height-relative:page;" filled="f" stroked="f" coordsize="21600,21600" o:gfxdata="UEsDBAoAAAAAAIdO4kAAAAAAAAAAAAAAAAAEAAAAZHJzL1BLAwQUAAAACACHTuJAmwFXz9YAAAAI&#10;AQAADwAAAGRycy9kb3ducmV2LnhtbE2PQU/CQBSE7yb+h80j8QZvKyildstB41UjAom3pftoG7pv&#10;m+5C6793OclxMpOZb/L1aFtxod43jhUkMwmCuHSm4UrB9vt9moLwQbPRrWNS8Ese1sX9Xa4z4wb+&#10;ossmVCKWsM+0gjqELkP0ZU1W+5nriKN3dL3VIcq+QtPrIZbbFh+lfEarG44Lte7otabytDlbBbuP&#10;489+IT+rN/vUDW6UyHaFSj1MEvkCItAY/sNwxY/oUESmgzuz8aJVME3S+CUoWM5BXP0kXYA4RL2a&#10;AxY53h4o/gBQSwMEFAAAAAgAh07iQG2LdxkcAgAAJwQAAA4AAABkcnMvZTJvRG9jLnhtbK1TzY7T&#10;MBC+I/EOlu80yW63lKjpatlqEdLyIy08gOs4jUXiMWO3SXkAeANOXLjzXH0Oxk62lOWyBy6W7Rl/&#10;M983nxeXfduwnUKnwRQ8m6ScKSOh1GZT8I8fbp7NOXNemFI0YFTB98rxy+XTJ4vO5uoMamhKhYxA&#10;jMs7W/Dae5sniZO1aoWbgFWGghVgKzwdcZOUKDpCb5vkLE1nSQdYWgSpnKPb1RDkIyI+BhCqSku1&#10;ArltlfEDKqpGeKLkam0dX8Zuq0pJ/66qnPKsKTgx9XGlIrRfhzVZLkS+QWFrLccWxGNaeMCpFdpQ&#10;0SPUSnjBtqj/gWq1RHBQ+YmENhmIREWIRZY+0OauFlZFLiS1s0fR3f+DlW9375HpsuDzc9LEiJZG&#10;fvj+7fDj1+HnV5al5xdBo866nFLvLCX7/iX05JzI19lbkJ8cM3BdC7NRV4jQ1UqU1GMWXiYnTwcc&#10;F0DW3RsoqZTYeohAfYVtEJAkYYROveyP81G9Z5Iu57NZNqWIpND04jm5KVYQ+f1ji86/UtCysCk4&#10;0vgjuNjdOh+aEfl9Sqhl4EY3TbRAY/66oMThRkUPja8DldD9wMP3636UZg3lnkghDP6i30WbGvAL&#10;Zx15q+Du81ag4qx5bUiYF9k00PDxEIlwhqeR9WlEGElQBfecDdtrPxh4a1Fvaqo0jMLAFYlZ6Ug0&#10;tDp0NY6A/BP5j14PBj09x6w//3v5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sBV8/WAAAACAEA&#10;AA8AAAAAAAAAAQAgAAAAIgAAAGRycy9kb3ducmV2LnhtbFBLAQIUABQAAAAIAIdO4kBti3cZHAIA&#10;ACcEAAAOAAAAAAAAAAEAIAAAACUBAABkcnMvZTJvRG9jLnhtbFBLBQYAAAAABgAGAFkBAACzBQAA&#10;AAA=&#10;">
                <v:fill on="f" focussize="0,0"/>
                <v:stroke on="f"/>
                <v:imagedata o:title=""/>
                <o:lock v:ext="edit" aspectratio="f"/>
                <v:textbox>
                  <w:txbxContent>
                    <w:p w14:paraId="427AB6B6">
                      <w:pPr>
                        <w:pStyle w:val="66"/>
                        <w:spacing w:line="200" w:lineRule="exact"/>
                        <w:rPr>
                          <w:rFonts w:hint="eastAsia" w:ascii="楷体_GB2312" w:hAnsi="宋体"/>
                          <w:sz w:val="18"/>
                          <w:szCs w:val="18"/>
                        </w:rPr>
                      </w:pPr>
                      <w:r>
                        <w:rPr>
                          <w:rFonts w:hint="eastAsia" w:ascii="楷体_GB2312" w:hAnsi="宋体" w:cs="楷体_GB2312"/>
                          <w:sz w:val="18"/>
                          <w:szCs w:val="18"/>
                        </w:rPr>
                        <w:t>预付款的扣回</w:t>
                      </w:r>
                    </w:p>
                  </w:txbxContent>
                </v:textbox>
              </v:shape>
            </w:pict>
          </mc:Fallback>
        </mc:AlternateContent>
      </w:r>
      <w:r>
        <w:rPr>
          <w:rFonts w:hint="eastAsia" w:ascii="仿宋" w:hAnsi="仿宋" w:eastAsia="仿宋" w:cs="仿宋"/>
          <w:color w:val="auto"/>
          <w:sz w:val="24"/>
          <w:szCs w:val="24"/>
          <w:highlight w:val="none"/>
          <w:lang w:eastAsia="zh-CN"/>
        </w:rPr>
        <w:t>预付款应从每支付期应支付给承包人的进度款中扣回，直到扣回的金额达到专用条款约定的预付款金额为止。造价咨询人应依据专用条款约定的抵扣方式，在签发支付证书时从应支付给承包人的款项中扣回。</w:t>
      </w:r>
    </w:p>
    <w:p w14:paraId="2B36E851">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84</w:t>
      </w:r>
      <w:r>
        <w:rPr>
          <w:rFonts w:ascii="仿宋" w:hAnsi="仿宋" w:eastAsia="仿宋" w:cs="仿宋"/>
          <w:b/>
          <w:bCs/>
          <w:color w:val="auto"/>
          <w:highlight w:val="none"/>
          <w:lang w:eastAsia="zh-CN"/>
        </w:rPr>
        <w:t>.5</w:t>
      </w:r>
    </w:p>
    <w:p w14:paraId="251446DE">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11168" behindDoc="0" locked="0" layoutInCell="1" allowOverlap="1">
                <wp:simplePos x="0" y="0"/>
                <wp:positionH relativeFrom="column">
                  <wp:posOffset>-114300</wp:posOffset>
                </wp:positionH>
                <wp:positionV relativeFrom="paragraph">
                  <wp:posOffset>13335</wp:posOffset>
                </wp:positionV>
                <wp:extent cx="832485" cy="627380"/>
                <wp:effectExtent l="0" t="0" r="0" b="0"/>
                <wp:wrapNone/>
                <wp:docPr id="831" name="文本框 1036"/>
                <wp:cNvGraphicFramePr/>
                <a:graphic xmlns:a="http://schemas.openxmlformats.org/drawingml/2006/main">
                  <a:graphicData uri="http://schemas.microsoft.com/office/word/2010/wordprocessingShape">
                    <wps:wsp>
                      <wps:cNvSpPr txBox="1">
                        <a:spLocks noChangeArrowheads="1"/>
                      </wps:cNvSpPr>
                      <wps:spPr bwMode="auto">
                        <a:xfrm>
                          <a:off x="0" y="0"/>
                          <a:ext cx="832485" cy="627380"/>
                        </a:xfrm>
                        <a:prstGeom prst="rect">
                          <a:avLst/>
                        </a:prstGeom>
                        <a:noFill/>
                        <a:ln>
                          <a:noFill/>
                        </a:ln>
                        <a:effectLst/>
                      </wps:spPr>
                      <wps:txbx>
                        <w:txbxContent>
                          <w:p w14:paraId="64DE54AA">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预付款保函的有效与退还</w:t>
                            </w:r>
                          </w:p>
                        </w:txbxContent>
                      </wps:txbx>
                      <wps:bodyPr rot="0" vert="horz" wrap="square" lIns="91440" tIns="45720" rIns="91440" bIns="45720" anchor="t" anchorCtr="0" upright="1">
                        <a:noAutofit/>
                      </wps:bodyPr>
                    </wps:wsp>
                  </a:graphicData>
                </a:graphic>
              </wp:anchor>
            </w:drawing>
          </mc:Choice>
          <mc:Fallback>
            <w:pict>
              <v:shape id="文本框 1036" o:spid="_x0000_s1026" o:spt="202" type="#_x0000_t202" style="position:absolute;left:0pt;margin-left:-9pt;margin-top:1.05pt;height:49.4pt;width:65.55pt;z-index:251911168;mso-width-relative:page;mso-height-relative:page;" filled="f" stroked="f" coordsize="21600,21600" o:gfxdata="UEsDBAoAAAAAAIdO4kAAAAAAAAAAAAAAAAAEAAAAZHJzL1BLAwQUAAAACACHTuJAQWBhxtYAAAAJ&#10;AQAADwAAAGRycy9kb3ducmV2LnhtbE2PzW7CMBCE75V4B2sr9Qa26Y8gxOFA1WsroK3EzcRLEjVe&#10;R7Eh6duznNrbrGY0+02+Hn0rLtjHJpABPVMgkMrgGqoMfO7fpgsQMVlytg2EBn4xwrqY3OU2c2Gg&#10;LV52qRJcQjGzBuqUukzKWNbobZyFDom9U+i9TXz2lXS9Hbjct3Ku1Iv0tiH+UNsONzWWP7uzN/D1&#10;fjp8P6mP6tU/d0MYlSS/lMY83Gu1ApFwTH9huOEzOhTMdAxnclG0BqZ6wVuSgbkGcfP1I4sjC6WW&#10;IItc/l9QXAFQSwMEFAAAAAgAh07iQA5UvXohAgAAJwQAAA4AAABkcnMvZTJvRG9jLnhtbK1TS27b&#10;MBDdF+gdCO5rWbbjuILlII2RokD6AdIegKYoi6jEYYe0pfQAzQ266qb7nsvn6JBSXDfdZNENQXKG&#10;b+a9eVxedE3N9gqdBpPzdDTmTBkJhTbbnH/6eP1iwZnzwhSiBqNyfqccv1g9f7ZsbaYmUEFdKGQE&#10;YlzW2pxX3tssSZysVCPcCKwyFCwBG+HpiNukQNESelMnk/F4nrSAhUWQyjm6XfdBPiDiUwChLLVU&#10;a5C7Rhnfo6KqhSdKrtLW8VXstiyV9O/L0inP6pwTUx9XKkL7TViT1VJkWxS20nJoQTylhUecGqEN&#10;FT1CrYUXbIf6H6hGSwQHpR9JaJKeSFSEWKTjR9rcVsKqyIWkdvYouvt/sPLd/gMyXeR8MU05M6Kh&#10;kR++3x9+/Dr8/MbS8XQeNGqtyyj11lKy715BR86JfJ29AfnZMQNXlTBbdYkIbaVEQT2m4WVy8rTH&#10;cQFk076FgkqJnYcI1JXYBAFJEkboNJ+743xU55mky8V0MluccSYpNJ+cTxdxfonIHh5bdP61goaF&#10;Tc6Rxh/Bxf7G+dCMyB5SQi0D17quowVq89cFJfY3KnpoeB2ohO57Hr7bdIM0GyjuiBRC7y/6XbSp&#10;AL9y1pK3cu6+7AQqzuo3hoR5mc5mwYzxMDs7n9ABTyOb04gwkqBy7jnrt1e+N/DOot5WVKkfhYFL&#10;ErPUkWhote9qGAH5J/IfvB4MenqOWX/+9+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QWBhxtYA&#10;AAAJAQAADwAAAAAAAAABACAAAAAiAAAAZHJzL2Rvd25yZXYueG1sUEsBAhQAFAAAAAgAh07iQA5U&#10;vXohAgAAJwQAAA4AAAAAAAAAAQAgAAAAJQEAAGRycy9lMm9Eb2MueG1sUEsFBgAAAAAGAAYAWQEA&#10;ALgFAAAAAA==&#10;">
                <v:fill on="f" focussize="0,0"/>
                <v:stroke on="f"/>
                <v:imagedata o:title=""/>
                <o:lock v:ext="edit" aspectratio="f"/>
                <v:textbox>
                  <w:txbxContent>
                    <w:p w14:paraId="64DE54AA">
                      <w:pPr>
                        <w:pStyle w:val="66"/>
                        <w:spacing w:line="200" w:lineRule="exact"/>
                        <w:rPr>
                          <w:rFonts w:hint="eastAsia" w:ascii="楷体_GB2312" w:hAnsi="宋体"/>
                          <w:sz w:val="18"/>
                          <w:szCs w:val="18"/>
                          <w:lang w:eastAsia="zh-CN"/>
                        </w:rPr>
                      </w:pPr>
                      <w:r>
                        <w:rPr>
                          <w:rFonts w:hint="eastAsia" w:ascii="楷体_GB2312" w:hAnsi="宋体" w:cs="楷体_GB2312"/>
                          <w:sz w:val="18"/>
                          <w:szCs w:val="18"/>
                          <w:lang w:eastAsia="zh-CN"/>
                        </w:rPr>
                        <w:t>预付款保函的有效与退还</w:t>
                      </w:r>
                    </w:p>
                  </w:txbxContent>
                </v:textbox>
              </v:shape>
            </w:pict>
          </mc:Fallback>
        </mc:AlternateContent>
      </w:r>
      <w:r>
        <w:rPr>
          <w:rFonts w:hint="eastAsia" w:ascii="仿宋" w:hAnsi="仿宋" w:eastAsia="仿宋" w:cs="仿宋"/>
          <w:color w:val="auto"/>
          <w:sz w:val="24"/>
          <w:szCs w:val="24"/>
          <w:highlight w:val="none"/>
          <w:lang w:eastAsia="zh-CN"/>
        </w:rPr>
        <w:t>承包人应保持预付款保函在预付款全部扣回之前一直有效。发包人应在预付款扣完后的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天内将预付款保函退还承包人，并不得向承包人收取预付款的任何利息。</w:t>
      </w:r>
    </w:p>
    <w:p w14:paraId="77615802">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05A92EF3">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4" w:name="_Toc27786"/>
      <w:r>
        <w:rPr>
          <w:rFonts w:hint="eastAsia" w:ascii="仿宋" w:hAnsi="仿宋" w:eastAsia="仿宋" w:cs="仿宋"/>
          <w:bCs w:val="0"/>
          <w:color w:val="auto"/>
          <w:sz w:val="24"/>
          <w:szCs w:val="24"/>
          <w:highlight w:val="none"/>
          <w:lang w:eastAsia="zh-CN"/>
        </w:rPr>
        <w:t>★85绿色施工安全防护费</w:t>
      </w:r>
      <w:bookmarkEnd w:id="384"/>
    </w:p>
    <w:p w14:paraId="3ED8EBFD">
      <w:pPr>
        <w:widowControl w:val="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85</w:t>
      </w:r>
      <w:r>
        <w:rPr>
          <w:rFonts w:ascii="仿宋" w:hAnsi="仿宋" w:eastAsia="仿宋" w:cs="仿宋"/>
          <w:b/>
          <w:bCs/>
          <w:color w:val="auto"/>
          <w:highlight w:val="none"/>
          <w:lang w:eastAsia="zh-CN"/>
        </w:rPr>
        <w:t>.1</w:t>
      </w:r>
    </w:p>
    <w:p w14:paraId="348D24D2">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12192" behindDoc="0" locked="0" layoutInCell="1" allowOverlap="1">
                <wp:simplePos x="0" y="0"/>
                <wp:positionH relativeFrom="column">
                  <wp:posOffset>-114300</wp:posOffset>
                </wp:positionH>
                <wp:positionV relativeFrom="paragraph">
                  <wp:posOffset>17780</wp:posOffset>
                </wp:positionV>
                <wp:extent cx="809625" cy="495300"/>
                <wp:effectExtent l="0" t="0" r="0" b="0"/>
                <wp:wrapNone/>
                <wp:docPr id="832" name="文本框 1037"/>
                <wp:cNvGraphicFramePr/>
                <a:graphic xmlns:a="http://schemas.openxmlformats.org/drawingml/2006/main">
                  <a:graphicData uri="http://schemas.microsoft.com/office/word/2010/wordprocessingShape">
                    <wps:wsp>
                      <wps:cNvSpPr txBox="1">
                        <a:spLocks noChangeArrowheads="1"/>
                      </wps:cNvSpPr>
                      <wps:spPr bwMode="auto">
                        <a:xfrm>
                          <a:off x="0" y="0"/>
                          <a:ext cx="809625" cy="495300"/>
                        </a:xfrm>
                        <a:prstGeom prst="rect">
                          <a:avLst/>
                        </a:prstGeom>
                        <a:noFill/>
                        <a:ln>
                          <a:noFill/>
                        </a:ln>
                        <a:effectLst/>
                      </wps:spPr>
                      <wps:txbx>
                        <w:txbxContent>
                          <w:p w14:paraId="10B7E4EF">
                            <w:pPr>
                              <w:pStyle w:val="66"/>
                              <w:spacing w:line="200" w:lineRule="exact"/>
                              <w:rPr>
                                <w:rFonts w:hint="eastAsia" w:ascii="楷体_GB2312" w:hAnsi="宋体"/>
                                <w:sz w:val="18"/>
                                <w:szCs w:val="18"/>
                              </w:rPr>
                            </w:pPr>
                            <w:r>
                              <w:rPr>
                                <w:rFonts w:hint="eastAsia" w:ascii="楷体_GB2312" w:hAnsi="宋体" w:cs="楷体_GB2312"/>
                                <w:sz w:val="18"/>
                                <w:szCs w:val="18"/>
                              </w:rPr>
                              <w:t>内容、范围和金额</w:t>
                            </w:r>
                          </w:p>
                        </w:txbxContent>
                      </wps:txbx>
                      <wps:bodyPr rot="0" vert="horz" wrap="square" lIns="91440" tIns="45720" rIns="91440" bIns="45720" anchor="t" anchorCtr="0" upright="1">
                        <a:noAutofit/>
                      </wps:bodyPr>
                    </wps:wsp>
                  </a:graphicData>
                </a:graphic>
              </wp:anchor>
            </w:drawing>
          </mc:Choice>
          <mc:Fallback>
            <w:pict>
              <v:shape id="文本框 1037" o:spid="_x0000_s1026" o:spt="202" type="#_x0000_t202" style="position:absolute;left:0pt;margin-left:-9pt;margin-top:1.4pt;height:39pt;width:63.75pt;z-index:251912192;mso-width-relative:page;mso-height-relative:page;" filled="f" stroked="f" coordsize="21600,21600" o:gfxdata="UEsDBAoAAAAAAIdO4kAAAAAAAAAAAAAAAAAEAAAAZHJzL1BLAwQUAAAACACHTuJAZUzUJ9UAAAAI&#10;AQAADwAAAGRycy9kb3ducmV2LnhtbE2PwU7DMBBE70j8g7VI3Np1KorSkE0PIK4gSkHi5sbbJCJe&#10;R7HbhL/HPcFxNauZ98rt7Hp15jF0XgiypQbFUnvbSUOwf39e5KBCNGJN74UJfjjAtrq+Kk1h/SRv&#10;fN7FRqUSCYUhaGMcCsRQt+xMWPqBJWVHPzoT0zk2aEczpXLX40rre3Smk7TQmoEfW66/dydH8PFy&#10;/Pq806/Nk1sPk581itsg0e1Nph9ARZ7j3zNc8BM6VInp4E9ig+oJFlmeXCLBKhlccr1ZgzoQ5DoH&#10;rEr8L1D9AlBLAwQUAAAACACHTuJA3ALnXCECAAAnBAAADgAAAGRycy9lMm9Eb2MueG1srVNLbtsw&#10;EN0X6B0I7mvJv8QWLAdpjBQF0g+Q9gA0RVlEJQ47pC25B2hv0FU33fdcPkeHlOO66SaLbgiSM3wz&#10;783j4qprarZT6DSYnA8HKWfKSCi02eT844fbFzPOnBemEDUYlfO9cvxq+fzZorWZGkEFdaGQEYhx&#10;WWtzXnlvsyRxslKNcAOwylCwBGyEpyNukgJFS+hNnYzS9CJpAQuLIJVzdLvqg/yIiE8BhLLUUq1A&#10;bhtlfI+KqhaeKLlKW8eXsduyVNK/K0unPKtzTkx9XKkI7ddhTZYLkW1Q2ErLYwviKS084tQIbajo&#10;CWolvGBb1P9ANVoiOCj9QEKT9ESiIsRimD7S5r4SVkUuJLWzJ9Hd/4OVb3fvkeki57PxiDMjGhr5&#10;4fu3w49fh59f2TAdXwaNWusySr23lOy7l9CRcyJfZ+9AfnLMwE0lzEZdI0JbKVFQj8PwMjl72uO4&#10;ALJu30BBpcTWQwTqSmyCgCQJI3Saz/40H9V5Julyls4vRlPOJIUm8+k4jfNLRPbw2KLzrxQ0LGxy&#10;jjT+CC52d86HZkT2kBJqGbjVdR0tUJu/Liixv1HRQ8fXgUrovufhu3V3lGYNxZ5IIfT+ot9Fmwrw&#10;C2cteSvn7vNWoOKsfm1ImPlwMglmjIfJ9HJEBzyPrM8jwkiCyrnnrN/e+N7AW4t6U1GlfhQGrknM&#10;UkeiodW+q+MIyD+R/9HrwaDn55j1538v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lTNQn1QAA&#10;AAgBAAAPAAAAAAAAAAEAIAAAACIAAABkcnMvZG93bnJldi54bWxQSwECFAAUAAAACACHTuJA3ALn&#10;XCECAAAnBAAADgAAAAAAAAABACAAAAAkAQAAZHJzL2Uyb0RvYy54bWxQSwUGAAAAAAYABgBZAQAA&#10;twUAAAAA&#10;">
                <v:fill on="f" focussize="0,0"/>
                <v:stroke on="f"/>
                <v:imagedata o:title=""/>
                <o:lock v:ext="edit" aspectratio="f"/>
                <v:textbox>
                  <w:txbxContent>
                    <w:p w14:paraId="10B7E4EF">
                      <w:pPr>
                        <w:pStyle w:val="66"/>
                        <w:spacing w:line="200" w:lineRule="exact"/>
                        <w:rPr>
                          <w:rFonts w:hint="eastAsia" w:ascii="楷体_GB2312" w:hAnsi="宋体"/>
                          <w:sz w:val="18"/>
                          <w:szCs w:val="18"/>
                        </w:rPr>
                      </w:pPr>
                      <w:r>
                        <w:rPr>
                          <w:rFonts w:hint="eastAsia" w:ascii="楷体_GB2312" w:hAnsi="宋体" w:cs="楷体_GB2312"/>
                          <w:sz w:val="18"/>
                          <w:szCs w:val="18"/>
                        </w:rPr>
                        <w:t>内容、范围和金额</w:t>
                      </w:r>
                    </w:p>
                  </w:txbxContent>
                </v:textbox>
              </v:shape>
            </w:pict>
          </mc:Fallback>
        </mc:AlternateContent>
      </w:r>
      <w:r>
        <w:rPr>
          <w:rFonts w:hint="eastAsia" w:ascii="仿宋" w:hAnsi="仿宋" w:eastAsia="仿宋" w:cs="仿宋"/>
          <w:color w:val="auto"/>
          <w:sz w:val="24"/>
          <w:szCs w:val="24"/>
          <w:highlight w:val="none"/>
          <w:lang w:eastAsia="zh-CN"/>
        </w:rPr>
        <w:t>合同双方当事人应在专用条款中约定绿色施工安全防护费的内容、范围和金额，并按照第52条约定实施绿色施工安全防护。除专用条款另有约定外，绿色施工安全防护费的内容和范围，应以省、市</w:t>
      </w:r>
      <w:r>
        <w:rPr>
          <w:rFonts w:ascii="仿宋" w:hAnsi="仿宋" w:eastAsia="仿宋" w:cs="仿宋"/>
          <w:color w:val="auto"/>
          <w:sz w:val="24"/>
          <w:szCs w:val="24"/>
          <w:highlight w:val="none"/>
          <w:lang w:eastAsia="zh-CN"/>
        </w:rPr>
        <w:t>建设</w:t>
      </w:r>
      <w:r>
        <w:rPr>
          <w:rFonts w:hint="eastAsia" w:ascii="仿宋" w:hAnsi="仿宋" w:eastAsia="仿宋" w:cs="仿宋"/>
          <w:color w:val="auto"/>
          <w:sz w:val="24"/>
          <w:szCs w:val="24"/>
          <w:highlight w:val="none"/>
          <w:lang w:eastAsia="zh-CN"/>
        </w:rPr>
        <w:t>行政主管</w:t>
      </w:r>
      <w:r>
        <w:rPr>
          <w:rFonts w:ascii="仿宋" w:hAnsi="仿宋" w:eastAsia="仿宋" w:cs="仿宋"/>
          <w:color w:val="auto"/>
          <w:sz w:val="24"/>
          <w:szCs w:val="24"/>
          <w:highlight w:val="none"/>
          <w:lang w:eastAsia="zh-CN"/>
        </w:rPr>
        <w:t>部门</w:t>
      </w:r>
      <w:r>
        <w:rPr>
          <w:rFonts w:hint="eastAsia" w:ascii="仿宋" w:hAnsi="仿宋" w:eastAsia="仿宋" w:cs="仿宋"/>
          <w:color w:val="auto"/>
          <w:sz w:val="24"/>
          <w:szCs w:val="24"/>
          <w:highlight w:val="none"/>
          <w:lang w:eastAsia="zh-CN"/>
        </w:rPr>
        <w:t>的相关文件规定为准。</w:t>
      </w:r>
    </w:p>
    <w:p w14:paraId="55F9D38F">
      <w:pPr>
        <w:spacing w:line="360" w:lineRule="auto"/>
        <w:rPr>
          <w:rFonts w:hint="eastAsia" w:ascii="仿宋" w:hAnsi="仿宋" w:eastAsia="仿宋" w:cs="仿宋"/>
          <w:color w:val="auto"/>
          <w:highlight w:val="none"/>
          <w:u w:val="dotted"/>
          <w:lang w:eastAsia="zh-CN"/>
        </w:rPr>
      </w:pPr>
      <w:r>
        <w:rPr>
          <w:rFonts w:hint="eastAsia" w:ascii="仿宋" w:hAnsi="仿宋" w:eastAsia="仿宋" w:cs="仿宋"/>
          <w:b/>
          <w:bCs/>
          <w:color w:val="auto"/>
          <w:highlight w:val="none"/>
          <w:lang w:eastAsia="zh-CN"/>
        </w:rPr>
        <w:t>85</w:t>
      </w:r>
      <w:r>
        <w:rPr>
          <w:rFonts w:ascii="仿宋" w:hAnsi="仿宋" w:eastAsia="仿宋" w:cs="仿宋"/>
          <w:b/>
          <w:bCs/>
          <w:color w:val="auto"/>
          <w:highlight w:val="none"/>
          <w:lang w:eastAsia="zh-CN"/>
        </w:rPr>
        <w:t>.2</w:t>
      </w:r>
    </w:p>
    <w:p w14:paraId="23B99EAB">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13216" behindDoc="0" locked="0" layoutInCell="1" allowOverlap="1">
                <wp:simplePos x="0" y="0"/>
                <wp:positionH relativeFrom="column">
                  <wp:posOffset>-114300</wp:posOffset>
                </wp:positionH>
                <wp:positionV relativeFrom="paragraph">
                  <wp:posOffset>34290</wp:posOffset>
                </wp:positionV>
                <wp:extent cx="870585" cy="648970"/>
                <wp:effectExtent l="0" t="0" r="0" b="0"/>
                <wp:wrapNone/>
                <wp:docPr id="833" name="文本框 1038"/>
                <wp:cNvGraphicFramePr/>
                <a:graphic xmlns:a="http://schemas.openxmlformats.org/drawingml/2006/main">
                  <a:graphicData uri="http://schemas.microsoft.com/office/word/2010/wordprocessingShape">
                    <wps:wsp>
                      <wps:cNvSpPr txBox="1">
                        <a:spLocks noChangeArrowheads="1"/>
                      </wps:cNvSpPr>
                      <wps:spPr bwMode="auto">
                        <a:xfrm>
                          <a:off x="0" y="0"/>
                          <a:ext cx="870585" cy="648970"/>
                        </a:xfrm>
                        <a:prstGeom prst="rect">
                          <a:avLst/>
                        </a:prstGeom>
                        <a:noFill/>
                        <a:ln>
                          <a:noFill/>
                        </a:ln>
                        <a:effectLst/>
                      </wps:spPr>
                      <wps:txbx>
                        <w:txbxContent>
                          <w:p w14:paraId="48444734">
                            <w:pPr>
                              <w:pStyle w:val="66"/>
                              <w:spacing w:line="200" w:lineRule="exact"/>
                              <w:rPr>
                                <w:rFonts w:hint="eastAsia" w:ascii="楷体_GB2312" w:hAnsi="宋体"/>
                                <w:sz w:val="18"/>
                                <w:szCs w:val="18"/>
                              </w:rPr>
                            </w:pPr>
                            <w:r>
                              <w:rPr>
                                <w:rFonts w:hint="eastAsia" w:ascii="楷体_GB2312" w:hAnsi="宋体" w:cs="楷体_GB2312"/>
                                <w:sz w:val="18"/>
                                <w:szCs w:val="18"/>
                              </w:rPr>
                              <w:t>支付申请的提交与核实</w:t>
                            </w:r>
                          </w:p>
                        </w:txbxContent>
                      </wps:txbx>
                      <wps:bodyPr rot="0" vert="horz" wrap="square" lIns="91440" tIns="45720" rIns="91440" bIns="45720" anchor="t" anchorCtr="0" upright="1">
                        <a:noAutofit/>
                      </wps:bodyPr>
                    </wps:wsp>
                  </a:graphicData>
                </a:graphic>
              </wp:anchor>
            </w:drawing>
          </mc:Choice>
          <mc:Fallback>
            <w:pict>
              <v:shape id="文本框 1038" o:spid="_x0000_s1026" o:spt="202" type="#_x0000_t202" style="position:absolute;left:0pt;margin-left:-9pt;margin-top:2.7pt;height:51.1pt;width:68.55pt;z-index:251913216;mso-width-relative:page;mso-height-relative:page;" filled="f" stroked="f" coordsize="21600,21600" o:gfxdata="UEsDBAoAAAAAAIdO4kAAAAAAAAAAAAAAAAAEAAAAZHJzL1BLAwQUAAAACACHTuJAepuS9NcAAAAJ&#10;AQAADwAAAGRycy9kb3ducmV2LnhtbE2PwW7CMBBE75X4B2uReoO1K6CQxuFA1WurQlupNxMvSUS8&#10;jmJD0r+vObW3Wc1q5k2+HV0rrtSHxrMGNZcgiEtvG640fBxeZmsQIRq2pvVMGn4owLaY3OUms37g&#10;d7ruYyVSCIfMaKhj7DLEUNbkTJj7jjh5J987E9PZV2h7M6Rw1+KDlCt0puHUUJuOdjWV5/3Fafh8&#10;PX1/LeRb9eyW3eBHiew2qPX9VMknEJHG+PcMN/yEDkViOvoL2yBaDTO1TluihuUCxM1XGwXimIR8&#10;XAEWOf5fUPwCUEsDBBQAAAAIAIdO4kDRY+JLIQIAACcEAAAOAAAAZHJzL2Uyb0RvYy54bWytU0tu&#10;2zAQ3RfoHQjua8m/WBEsB2mMFAXSD5D2ADRFWUQlDkvSltwDtDfoqpvuey6fo0NScd10k0U3BMkZ&#10;vpn35nF51bcN2QtjJaiCjkcpJUJxKKXaFvTjh9sXGSXWMVWyBpQo6EFYerV6/mzZ6VxMoIamFIYg&#10;iLJ5pwtaO6fzJLG8Fi2zI9BCYbAC0zKHR7NNSsM6RG+bZJKmF0kHptQGuLAWb9cxSAdE8xRAqCrJ&#10;xRr4rhXKRVQjGuaQkq2ltnQVuq0qwd27qrLCkaagyNSFFYvgfuPXZLVk+dYwXUs+tMCe0sIjTi2T&#10;CoueoNbMMbIz8h+oVnIDFio34tAmkUhQBFmM00fa3NdMi8AFpbb6JLr9f7D87f69IbIsaDadUqJY&#10;iyM/fv92/PHr+PMrGafTzGvUaZtj6r3GZNe/hB6dE/hafQf8kyUKbmqmtuLaGOhqwUrscexfJmdP&#10;I471IJvuDZRYiu0cBKC+Mq0XECUhiI7zOZzmI3pHOF5mi3SezSnhGLqYZZeLML+E5Q+PtbHulYCW&#10;+E1BDY4/gLP9nXW+GZY/pPhaCm5l0wQLNOqvC0yMNyJ4aHjtqfjuIw/Xb/pBmg2UByRlIPoLfxdu&#10;ajBfKOnQWwW1n3fMCEqa1wqFuRzPZt6M4TCbLyZ4MOeRzXmEKY5QBXWUxO2NiwbeaSO3NVaKo1Bw&#10;jWJWMhD1rcauhhGgfwL/weveoOfnkPXnf6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qbkvTX&#10;AAAACQEAAA8AAAAAAAAAAQAgAAAAIgAAAGRycy9kb3ducmV2LnhtbFBLAQIUABQAAAAIAIdO4kDR&#10;Y+JLIQIAACcEAAAOAAAAAAAAAAEAIAAAACYBAABkcnMvZTJvRG9jLnhtbFBLBQYAAAAABgAGAFkB&#10;AAC5BQAAAAA=&#10;">
                <v:fill on="f" focussize="0,0"/>
                <v:stroke on="f"/>
                <v:imagedata o:title=""/>
                <o:lock v:ext="edit" aspectratio="f"/>
                <v:textbox>
                  <w:txbxContent>
                    <w:p w14:paraId="48444734">
                      <w:pPr>
                        <w:pStyle w:val="66"/>
                        <w:spacing w:line="200" w:lineRule="exact"/>
                        <w:rPr>
                          <w:rFonts w:hint="eastAsia" w:ascii="楷体_GB2312" w:hAnsi="宋体"/>
                          <w:sz w:val="18"/>
                          <w:szCs w:val="18"/>
                        </w:rPr>
                      </w:pPr>
                      <w:r>
                        <w:rPr>
                          <w:rFonts w:hint="eastAsia" w:ascii="楷体_GB2312" w:hAnsi="宋体" w:cs="楷体_GB2312"/>
                          <w:sz w:val="18"/>
                          <w:szCs w:val="18"/>
                        </w:rPr>
                        <w:t>支付申请的提交与核实</w:t>
                      </w:r>
                    </w:p>
                  </w:txbxContent>
                </v:textbox>
              </v:shape>
            </w:pict>
          </mc:Fallback>
        </mc:AlternateContent>
      </w:r>
      <w:r>
        <w:rPr>
          <w:rFonts w:hint="eastAsia" w:ascii="仿宋" w:hAnsi="仿宋" w:eastAsia="仿宋" w:cs="仿宋"/>
          <w:color w:val="auto"/>
          <w:sz w:val="24"/>
          <w:szCs w:val="24"/>
          <w:highlight w:val="none"/>
          <w:lang w:eastAsia="zh-CN"/>
        </w:rPr>
        <w:t>专用条款没有约定的，承包人应在接到监理人按照第41</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款约定发出开工令后的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天内向造价咨询人提交绿色施工安全防护费支付申请，并抄送发包人。造价咨询人应对支付申请进行核实，并在收到支付申请后的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天内报发包人确认后向发包人发出支付证书，同时抄送承包人。</w:t>
      </w:r>
    </w:p>
    <w:p w14:paraId="70B73805">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85</w:t>
      </w:r>
      <w:r>
        <w:rPr>
          <w:rFonts w:ascii="仿宋" w:hAnsi="仿宋" w:eastAsia="仿宋" w:cs="仿宋"/>
          <w:b/>
          <w:bCs/>
          <w:color w:val="auto"/>
          <w:highlight w:val="none"/>
          <w:lang w:eastAsia="zh-CN"/>
        </w:rPr>
        <w:t>.3</w:t>
      </w:r>
    </w:p>
    <w:p w14:paraId="7CD987D6">
      <w:pPr>
        <w:pStyle w:val="2"/>
        <w:adjustRightInd w:val="0"/>
        <w:snapToGrid w:val="0"/>
        <w:spacing w:line="360" w:lineRule="auto"/>
        <w:ind w:left="1850" w:leftChars="771"/>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合同双方当事人应按照建设行政主管部门的规定，在专用条款中约定绿色施工安全防护费的支付办法和抵扣方式。除专用条款另有约定外，</w:t>
      </w: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14240" behindDoc="0" locked="0" layoutInCell="1" allowOverlap="1">
                <wp:simplePos x="0" y="0"/>
                <wp:positionH relativeFrom="column">
                  <wp:posOffset>-114300</wp:posOffset>
                </wp:positionH>
                <wp:positionV relativeFrom="paragraph">
                  <wp:posOffset>71755</wp:posOffset>
                </wp:positionV>
                <wp:extent cx="790575" cy="421005"/>
                <wp:effectExtent l="0" t="0" r="0" b="0"/>
                <wp:wrapNone/>
                <wp:docPr id="834" name="文本框 1039"/>
                <wp:cNvGraphicFramePr/>
                <a:graphic xmlns:a="http://schemas.openxmlformats.org/drawingml/2006/main">
                  <a:graphicData uri="http://schemas.microsoft.com/office/word/2010/wordprocessingShape">
                    <wps:wsp>
                      <wps:cNvSpPr txBox="1">
                        <a:spLocks noChangeArrowheads="1"/>
                      </wps:cNvSpPr>
                      <wps:spPr bwMode="auto">
                        <a:xfrm>
                          <a:off x="0" y="0"/>
                          <a:ext cx="790575" cy="421005"/>
                        </a:xfrm>
                        <a:prstGeom prst="rect">
                          <a:avLst/>
                        </a:prstGeom>
                        <a:noFill/>
                        <a:ln>
                          <a:noFill/>
                        </a:ln>
                        <a:effectLst/>
                      </wps:spPr>
                      <wps:txbx>
                        <w:txbxContent>
                          <w:p w14:paraId="09BA0DB1">
                            <w:pPr>
                              <w:rPr>
                                <w:rFonts w:hint="eastAsia" w:ascii="楷体_GB2312" w:hAnsi="宋体" w:eastAsia="楷体_GB2312"/>
                                <w:b/>
                                <w:bCs/>
                                <w:sz w:val="18"/>
                                <w:szCs w:val="18"/>
                              </w:rPr>
                            </w:pPr>
                            <w:r>
                              <w:rPr>
                                <w:rFonts w:hint="eastAsia" w:ascii="楷体_GB2312" w:hAnsi="宋体" w:eastAsia="楷体_GB2312" w:cs="楷体_GB2312"/>
                                <w:b/>
                                <w:bCs/>
                                <w:sz w:val="18"/>
                                <w:szCs w:val="18"/>
                              </w:rPr>
                              <w:t>费用支付</w:t>
                            </w:r>
                          </w:p>
                        </w:txbxContent>
                      </wps:txbx>
                      <wps:bodyPr rot="0" vert="horz" wrap="square" lIns="91440" tIns="45720" rIns="91440" bIns="45720" anchor="t" anchorCtr="0" upright="1">
                        <a:noAutofit/>
                      </wps:bodyPr>
                    </wps:wsp>
                  </a:graphicData>
                </a:graphic>
              </wp:anchor>
            </w:drawing>
          </mc:Choice>
          <mc:Fallback>
            <w:pict>
              <v:shape id="文本框 1039" o:spid="_x0000_s1026" o:spt="202" type="#_x0000_t202" style="position:absolute;left:0pt;margin-left:-9pt;margin-top:5.65pt;height:33.15pt;width:62.25pt;z-index:251914240;mso-width-relative:page;mso-height-relative:page;" filled="f" stroked="f" coordsize="21600,21600" o:gfxdata="UEsDBAoAAAAAAIdO4kAAAAAAAAAAAAAAAAAEAAAAZHJzL1BLAwQUAAAACACHTuJA2q4lQtcAAAAJ&#10;AQAADwAAAGRycy9kb3ducmV2LnhtbE2PzW7CMBCE70h9B2sr9QZ22hIgZMOhVa+toD8SNxMvSUS8&#10;jmJD0revOZXjaEYz3+Sb0bbiQr1vHCMkMwWCuHSm4Qrh6/NtugThg2ajW8eE8EseNsXdJNeZcQNv&#10;6bILlYgl7DONUIfQZVL6siar/cx1xNE7ut7qEGVfSdPrIZbbVj4qlUqrG44Lte7opabytDtbhO/3&#10;4/7nWX1Ur3beDW5Uku1KIj7cJ2oNItAY/sNwxY/oUESmgzuz8aJFmCbL+CVEI3kCcQ2odA7igLBY&#10;pCCLXN4+KP4AUEsDBBQAAAAIAIdO4kDNS5/pIQIAACcEAAAOAAAAZHJzL2Uyb0RvYy54bWytU0tu&#10;2zAQ3RfoHQjua8mO3cSC5SCNkaJA+gHSHoCmKIuoxGGHtCX3AM0Nuuqm+57L5+iQUlw33WTRDUFy&#10;hm/mvXlcXHZNzXYKnQaT8/Eo5UwZCYU2m5x/+njz4oIz54UpRA1G5XyvHL9cPn+2aG2mJlBBXShk&#10;BGJc1tqcV97bLEmcrFQj3AisMhQsARvh6YibpEDREnpTJ5M0fZm0gIVFkMo5ul31QT4g4lMAoSy1&#10;VCuQ20YZ36OiqoUnSq7S1vFl7LYslfTvy9Ipz+qcE1MfVypC+3VYk+VCZBsUttJyaEE8pYVHnBqh&#10;DRU9Qq2EF2yL+h+oRksEB6UfSWiSnkhUhFiM00fa3FXCqsiFpHb2KLr7f7Dy3e4DMl3k/OJsypkR&#10;DY388P3+8OPX4ec3Nk7P5kGj1rqMUu8sJfvuFXTknMjX2VuQnx0zcF0Js1FXiNBWShTU4zi8TE6e&#10;9jgugKzbt1BQKbH1EIG6EpsgIEnCCJ3msz/OR3WeSbo8n6ez8xlnkkLTyThNZ7GCyB4eW3T+tYKG&#10;hU3OkcYfwcXu1vnQjMgeUkItAze6rqMFavPXBSX2Nyp6aHgdqITuex6+W3eDNGso9kQKofcX/S7a&#10;VIBfOWvJWzl3X7YCFWf1G0PCzMfTaTBjPExn5xM64GlkfRoRRhJUzj1n/fba9wbeWtSbiir1ozBw&#10;RWKWOhINrfZdDSMg/0T+g9eDQU/PMevP/17+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quJULX&#10;AAAACQEAAA8AAAAAAAAAAQAgAAAAIgAAAGRycy9kb3ducmV2LnhtbFBLAQIUABQAAAAIAIdO4kDN&#10;S5/pIQIAACcEAAAOAAAAAAAAAAEAIAAAACYBAABkcnMvZTJvRG9jLnhtbFBLBQYAAAAABgAGAFkB&#10;AAC5BQAAAAA=&#10;">
                <v:fill on="f" focussize="0,0"/>
                <v:stroke on="f"/>
                <v:imagedata o:title=""/>
                <o:lock v:ext="edit" aspectratio="f"/>
                <v:textbox>
                  <w:txbxContent>
                    <w:p w14:paraId="09BA0DB1">
                      <w:pPr>
                        <w:rPr>
                          <w:rFonts w:hint="eastAsia" w:ascii="楷体_GB2312" w:hAnsi="宋体" w:eastAsia="楷体_GB2312"/>
                          <w:b/>
                          <w:bCs/>
                          <w:sz w:val="18"/>
                          <w:szCs w:val="18"/>
                        </w:rPr>
                      </w:pPr>
                      <w:r>
                        <w:rPr>
                          <w:rFonts w:hint="eastAsia" w:ascii="楷体_GB2312" w:hAnsi="宋体" w:eastAsia="楷体_GB2312" w:cs="楷体_GB2312"/>
                          <w:b/>
                          <w:bCs/>
                          <w:sz w:val="18"/>
                          <w:szCs w:val="18"/>
                        </w:rPr>
                        <w:t>费用支付</w:t>
                      </w:r>
                    </w:p>
                  </w:txbxContent>
                </v:textbox>
              </v:shape>
            </w:pict>
          </mc:Fallback>
        </mc:AlternateContent>
      </w:r>
      <w:r>
        <w:rPr>
          <w:rFonts w:hint="eastAsia" w:ascii="仿宋" w:hAnsi="仿宋" w:eastAsia="仿宋" w:cs="仿宋"/>
          <w:color w:val="auto"/>
          <w:sz w:val="24"/>
          <w:szCs w:val="24"/>
          <w:highlight w:val="none"/>
          <w:lang w:eastAsia="zh-CN"/>
        </w:rPr>
        <w:t>发包人应在造价咨询人签发支付证书后的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天内向承包人支付绿色施工安全防护费，并保证在工程开工后的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天内支付绿色施工安全防护费金额的</w:t>
      </w:r>
      <w:r>
        <w:rPr>
          <w:rFonts w:ascii="仿宋" w:hAnsi="仿宋" w:eastAsia="仿宋" w:cs="仿宋"/>
          <w:color w:val="auto"/>
          <w:sz w:val="24"/>
          <w:szCs w:val="24"/>
          <w:highlight w:val="none"/>
          <w:lang w:eastAsia="zh-CN"/>
        </w:rPr>
        <w:t>50%</w:t>
      </w:r>
      <w:r>
        <w:rPr>
          <w:rFonts w:hint="eastAsia" w:ascii="仿宋" w:hAnsi="仿宋" w:eastAsia="仿宋" w:cs="仿宋"/>
          <w:color w:val="auto"/>
          <w:sz w:val="24"/>
          <w:szCs w:val="24"/>
          <w:highlight w:val="none"/>
          <w:lang w:eastAsia="zh-CN"/>
        </w:rPr>
        <w:t>，同时通知造价咨询人。其余部分与进度款同期支付。</w:t>
      </w:r>
    </w:p>
    <w:p w14:paraId="5512D21A">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85</w:t>
      </w:r>
      <w:r>
        <w:rPr>
          <w:rFonts w:ascii="仿宋" w:hAnsi="仿宋" w:eastAsia="仿宋" w:cs="仿宋"/>
          <w:b/>
          <w:bCs/>
          <w:color w:val="auto"/>
          <w:highlight w:val="none"/>
          <w:lang w:eastAsia="zh-CN"/>
        </w:rPr>
        <w:t>.4</w:t>
      </w:r>
    </w:p>
    <w:p w14:paraId="0839920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15264" behindDoc="0" locked="0" layoutInCell="1" allowOverlap="1">
                <wp:simplePos x="0" y="0"/>
                <wp:positionH relativeFrom="column">
                  <wp:posOffset>-114300</wp:posOffset>
                </wp:positionH>
                <wp:positionV relativeFrom="paragraph">
                  <wp:posOffset>10795</wp:posOffset>
                </wp:positionV>
                <wp:extent cx="727710" cy="480060"/>
                <wp:effectExtent l="0" t="0" r="0" b="0"/>
                <wp:wrapNone/>
                <wp:docPr id="835" name="文本框 1040"/>
                <wp:cNvGraphicFramePr/>
                <a:graphic xmlns:a="http://schemas.openxmlformats.org/drawingml/2006/main">
                  <a:graphicData uri="http://schemas.microsoft.com/office/word/2010/wordprocessingShape">
                    <wps:wsp>
                      <wps:cNvSpPr txBox="1">
                        <a:spLocks noChangeArrowheads="1"/>
                      </wps:cNvSpPr>
                      <wps:spPr bwMode="auto">
                        <a:xfrm>
                          <a:off x="0" y="0"/>
                          <a:ext cx="727710" cy="480060"/>
                        </a:xfrm>
                        <a:prstGeom prst="rect">
                          <a:avLst/>
                        </a:prstGeom>
                        <a:noFill/>
                        <a:ln>
                          <a:noFill/>
                        </a:ln>
                        <a:effectLst/>
                      </wps:spPr>
                      <wps:txbx>
                        <w:txbxContent>
                          <w:p w14:paraId="68B4E5F0">
                            <w:pPr>
                              <w:rPr>
                                <w:rFonts w:hint="eastAsia" w:ascii="楷体_GB2312" w:hAnsi="宋体" w:eastAsia="楷体_GB2312"/>
                                <w:b/>
                                <w:bCs/>
                                <w:sz w:val="18"/>
                                <w:szCs w:val="18"/>
                              </w:rPr>
                            </w:pPr>
                            <w:r>
                              <w:rPr>
                                <w:rFonts w:hint="eastAsia" w:ascii="楷体_GB2312" w:hAnsi="宋体" w:eastAsia="楷体_GB2312" w:cs="楷体_GB2312"/>
                                <w:b/>
                                <w:bCs/>
                                <w:sz w:val="18"/>
                                <w:szCs w:val="18"/>
                              </w:rPr>
                              <w:t>支付限制</w:t>
                            </w:r>
                          </w:p>
                        </w:txbxContent>
                      </wps:txbx>
                      <wps:bodyPr rot="0" vert="horz" wrap="square" lIns="91440" tIns="45720" rIns="91440" bIns="45720" anchor="t" anchorCtr="0" upright="1">
                        <a:noAutofit/>
                      </wps:bodyPr>
                    </wps:wsp>
                  </a:graphicData>
                </a:graphic>
              </wp:anchor>
            </w:drawing>
          </mc:Choice>
          <mc:Fallback>
            <w:pict>
              <v:shape id="文本框 1040" o:spid="_x0000_s1026" o:spt="202" type="#_x0000_t202" style="position:absolute;left:0pt;margin-left:-9pt;margin-top:0.85pt;height:37.8pt;width:57.3pt;z-index:251915264;mso-width-relative:page;mso-height-relative:page;" filled="f" stroked="f" coordsize="21600,21600" o:gfxdata="UEsDBAoAAAAAAIdO4kAAAAAAAAAAAAAAAAAEAAAAZHJzL1BLAwQUAAAACACHTuJABz35PNYAAAAH&#10;AQAADwAAAGRycy9kb3ducmV2LnhtbE2Py07DMBBF90j9B2sqsWvt8EjaEKcLEFsQpa3UnRtPk4h4&#10;HMVuE/6eYQXL0bm690yxmVwnrjiE1pOGZKlAIFXetlRr2H2+LlYgQjRkTecJNXxjgE05uylMbv1I&#10;H3jdxlpwCYXcaGhi7HMpQ9WgM2HpeyRmZz84E/kcamkHM3K56+SdUql0piVeaEyPzw1WX9uL07B/&#10;Ox8PD+q9fnGP/egnJcmtpda380Q9gYg4xb8w/OqzOpTsdPIXskF0GhbJin+JDDIQzNdpCuKkIcvu&#10;QZaF/O9f/gBQSwMEFAAAAAgAh07iQBQdFbceAgAAJwQAAA4AAABkcnMvZTJvRG9jLnhtbK1TzY7T&#10;MBC+I/EOlu80SenSEjVdLVstQlp+pIUHcB2nsYg9Zuw2KQ8Ab8CJC3eeq8/BxGm7ZbnsgUtkz4y/&#10;me+bL/PLzjRsq9BrsAXPRilnykootV0X/NPHm2czznwQthQNWFXwnfL8cvH0ybx1uRpDDU2pkBGI&#10;9XnrCl6H4PIk8bJWRvgROGUpWQEaEeiK66RE0RK6aZJxmr5IWsDSIUjlPUWXQ5IfEPExgFBVWqol&#10;yI1RNgyoqBoRiJKvtfN8EaetKiXD+6ryKrCm4MQ0xC81ofOq/yaLucjXKFyt5WEE8ZgRHnAyQltq&#10;eoJaiiDYBvU/UEZLBA9VGEkwyUAkKkIssvSBNne1cCpyIam9O4nu/x+sfLf9gEyXBZ89v+DMCkMr&#10;3//4vv/5e//rG8vSSdSodT6n0jtHxaF7BR05J/L17hbkZ88sXNfCrtUVIrS1EiXNmPXqJmdP+634&#10;3Pcgq/YtlNRKbAJEoK5C0wtIkjBCp/3sTvtRXWCSgtPxdJpRRlJqMiMvxdkSkR8fO/ThtQLD+kPB&#10;kdYfwcX21od+GJEfS/peFm5000QLNPavABUOERU9dHh9nH7gEbpVR2/74ArKHZFCGPxFfxcdasCv&#10;nLXkrYL7LxuBirPmjSVhXmYTkpWFeJlcTMd0wfPM6jwjrCSoggfOhuN1GAy8cajXNXUaVmHhisSs&#10;dCR6P9VhBeSfyP/g9d6g5/dYdf9/L/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z35PNYAAAAH&#10;AQAADwAAAAAAAAABACAAAAAiAAAAZHJzL2Rvd25yZXYueG1sUEsBAhQAFAAAAAgAh07iQBQdFbce&#10;AgAAJwQAAA4AAAAAAAAAAQAgAAAAJQEAAGRycy9lMm9Eb2MueG1sUEsFBgAAAAAGAAYAWQEAALUF&#10;AAAAAA==&#10;">
                <v:fill on="f" focussize="0,0"/>
                <v:stroke on="f"/>
                <v:imagedata o:title=""/>
                <o:lock v:ext="edit" aspectratio="f"/>
                <v:textbox>
                  <w:txbxContent>
                    <w:p w14:paraId="68B4E5F0">
                      <w:pPr>
                        <w:rPr>
                          <w:rFonts w:hint="eastAsia" w:ascii="楷体_GB2312" w:hAnsi="宋体" w:eastAsia="楷体_GB2312"/>
                          <w:b/>
                          <w:bCs/>
                          <w:sz w:val="18"/>
                          <w:szCs w:val="18"/>
                        </w:rPr>
                      </w:pPr>
                      <w:r>
                        <w:rPr>
                          <w:rFonts w:hint="eastAsia" w:ascii="楷体_GB2312" w:hAnsi="宋体" w:eastAsia="楷体_GB2312" w:cs="楷体_GB2312"/>
                          <w:b/>
                          <w:bCs/>
                          <w:sz w:val="18"/>
                          <w:szCs w:val="18"/>
                        </w:rPr>
                        <w:t>支付限制</w:t>
                      </w:r>
                    </w:p>
                  </w:txbxContent>
                </v:textbox>
              </v:shape>
            </w:pict>
          </mc:Fallback>
        </mc:AlternateContent>
      </w:r>
      <w:r>
        <w:rPr>
          <w:rFonts w:hint="eastAsia" w:ascii="仿宋" w:hAnsi="仿宋" w:eastAsia="仿宋" w:cs="仿宋"/>
          <w:color w:val="auto"/>
          <w:sz w:val="24"/>
          <w:szCs w:val="24"/>
          <w:highlight w:val="none"/>
          <w:lang w:eastAsia="zh-CN"/>
        </w:rPr>
        <w:t>发包人没有按时支付绿色施工安全防护费的，承包人应在付款期满后的7天内向发包人发出要求支付的通知；发包人收到通知后仍不按要求支付，承包人可在发出通知</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天后暂停施工。发包人应承担由此增加的费用和（或）延误的工期，并向承包人支付合理利润。</w:t>
      </w:r>
    </w:p>
    <w:p w14:paraId="3F5E1CB1">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85</w:t>
      </w:r>
      <w:r>
        <w:rPr>
          <w:rFonts w:ascii="仿宋" w:hAnsi="仿宋" w:eastAsia="仿宋" w:cs="仿宋"/>
          <w:b/>
          <w:bCs/>
          <w:color w:val="auto"/>
          <w:highlight w:val="none"/>
          <w:lang w:eastAsia="zh-CN"/>
        </w:rPr>
        <w:t xml:space="preserve">.5  </w:t>
      </w:r>
    </w:p>
    <w:p w14:paraId="383E72F2">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16288" behindDoc="0" locked="0" layoutInCell="1" allowOverlap="1">
                <wp:simplePos x="0" y="0"/>
                <wp:positionH relativeFrom="column">
                  <wp:posOffset>-114300</wp:posOffset>
                </wp:positionH>
                <wp:positionV relativeFrom="paragraph">
                  <wp:posOffset>1905</wp:posOffset>
                </wp:positionV>
                <wp:extent cx="718820" cy="400685"/>
                <wp:effectExtent l="0" t="0" r="0" b="0"/>
                <wp:wrapNone/>
                <wp:docPr id="836" name="文本框 1041"/>
                <wp:cNvGraphicFramePr/>
                <a:graphic xmlns:a="http://schemas.openxmlformats.org/drawingml/2006/main">
                  <a:graphicData uri="http://schemas.microsoft.com/office/word/2010/wordprocessingShape">
                    <wps:wsp>
                      <wps:cNvSpPr txBox="1">
                        <a:spLocks noChangeArrowheads="1"/>
                      </wps:cNvSpPr>
                      <wps:spPr bwMode="auto">
                        <a:xfrm>
                          <a:off x="0" y="0"/>
                          <a:ext cx="718820" cy="400685"/>
                        </a:xfrm>
                        <a:prstGeom prst="rect">
                          <a:avLst/>
                        </a:prstGeom>
                        <a:noFill/>
                        <a:ln>
                          <a:noFill/>
                        </a:ln>
                        <a:effectLst/>
                      </wps:spPr>
                      <wps:txbx>
                        <w:txbxContent>
                          <w:p w14:paraId="5E53C743">
                            <w:pPr>
                              <w:spacing w:line="240" w:lineRule="exact"/>
                              <w:rPr>
                                <w:rFonts w:ascii="宋体"/>
                              </w:rPr>
                            </w:pPr>
                            <w:r>
                              <w:rPr>
                                <w:rFonts w:hint="eastAsia" w:ascii="楷体_GB2312" w:hAnsi="宋体" w:eastAsia="楷体_GB2312" w:cs="楷体_GB2312"/>
                                <w:b/>
                                <w:bCs/>
                                <w:sz w:val="18"/>
                                <w:szCs w:val="18"/>
                              </w:rPr>
                              <w:t>管理要求</w:t>
                            </w:r>
                          </w:p>
                        </w:txbxContent>
                      </wps:txbx>
                      <wps:bodyPr rot="0" vert="horz" wrap="square" lIns="91440" tIns="45720" rIns="91440" bIns="45720" anchor="t" anchorCtr="0" upright="1">
                        <a:noAutofit/>
                      </wps:bodyPr>
                    </wps:wsp>
                  </a:graphicData>
                </a:graphic>
              </wp:anchor>
            </w:drawing>
          </mc:Choice>
          <mc:Fallback>
            <w:pict>
              <v:shape id="文本框 1041" o:spid="_x0000_s1026" o:spt="202" type="#_x0000_t202" style="position:absolute;left:0pt;margin-left:-9pt;margin-top:0.15pt;height:31.55pt;width:56.6pt;z-index:251916288;mso-width-relative:page;mso-height-relative:page;" filled="f" stroked="f" coordsize="21600,21600" o:gfxdata="UEsDBAoAAAAAAIdO4kAAAAAAAAAAAAAAAAAEAAAAZHJzL1BLAwQUAAAACACHTuJA9Km/BNUAAAAG&#10;AQAADwAAAGRycy9kb3ducmV2LnhtbE2PS0/DMBCE70j8B2uRuLXr9KU2ZNMDiCuI8pC4ufE2iYjX&#10;Uew24d9jTnAczWjmm2I/uU5deAitF4JsrkGxVN62UhO8vT7OtqBCNGJN54UJvjnAvry+Kkxu/Sgv&#10;fDnEWqUSCbkhaGLsc8RQNexMmPueJXknPzgTkxxqtIMZU7nrcKH1Bp1pJS00puf7hquvw9kRvD+d&#10;Pj9W+rl+cOt+9JNGcTskur3J9B2oyFP8C8MvfkKHMjEd/VlsUB3BLNumL5FgCSrZu/UC1JFgs1wB&#10;lgX+xy9/AFBLAwQUAAAACACHTuJAdVT7oh4CAAAnBAAADgAAAGRycy9lMm9Eb2MueG1srVPNbhMx&#10;EL4j8Q6W72SzIW3DKpuqNCpCKj9S4QEcrzdrsesxYye74QHgDThx4c5z5TkY22kI5dIDF8v2jL+Z&#10;75vP88uha9lWodNgSp6PxpwpI6HSZl3yjx9uns04c16YSrRgVMl3yvHLxdMn894WagINtJVCRiDG&#10;Fb0teeO9LbLMyUZ1wo3AKkPBGrATno64zioUPaF3bTYZj8+zHrCyCFI5R7fLFOQHRHwMINS1lmoJ&#10;ctMp4xMqqlZ4ouQabR1fxG7rWkn/rq6d8qwtOTH1caUitF+FNVvMRbFGYRstDy2Ix7TwgFMntKGi&#10;R6il8IJtUP8D1WmJ4KD2IwldlohERYhFPn6gzV0jrIpcSGpnj6K7/wcr327fI9NVyWfPzzkzoqOR&#10;779/2//4tf/5leXjaR406q0rKPXOUrIfXsJAzol8nb0F+ckxA9eNMGt1hQh9o0RFPcaX2cnThOMC&#10;yKp/AxWVEhsPEWiosQsCkiSM0Gk+u+N81OCZpMuLfDabUERSaEpWmp2F3jJR3D+26PwrBR0Lm5Ij&#10;jT+Ci+2t8yn1PiXUMnCj2zZaoDV/XRBmulHRQ4fXgUroPvHww2o4SLOCakekEJK/6HfRpgH8wllP&#10;3iq5+7wRqDhrXxsS5kU+nQYzxsP07CJwwtPI6jQijCSoknvO0vbaJwNvLOp1Q5XSKAxckZi1jkRD&#10;q6krEigcyD9RqoPXg0FPzzHrz/9e/AZ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0qb8E1QAAAAYB&#10;AAAPAAAAAAAAAAEAIAAAACIAAABkcnMvZG93bnJldi54bWxQSwECFAAUAAAACACHTuJAdVT7oh4C&#10;AAAnBAAADgAAAAAAAAABACAAAAAkAQAAZHJzL2Uyb0RvYy54bWxQSwUGAAAAAAYABgBZAQAAtAUA&#10;AAAA&#10;">
                <v:fill on="f" focussize="0,0"/>
                <v:stroke on="f"/>
                <v:imagedata o:title=""/>
                <o:lock v:ext="edit" aspectratio="f"/>
                <v:textbox>
                  <w:txbxContent>
                    <w:p w14:paraId="5E53C743">
                      <w:pPr>
                        <w:spacing w:line="240" w:lineRule="exact"/>
                        <w:rPr>
                          <w:rFonts w:ascii="宋体"/>
                        </w:rPr>
                      </w:pPr>
                      <w:r>
                        <w:rPr>
                          <w:rFonts w:hint="eastAsia" w:ascii="楷体_GB2312" w:hAnsi="宋体" w:eastAsia="楷体_GB2312" w:cs="楷体_GB2312"/>
                          <w:b/>
                          <w:bCs/>
                          <w:sz w:val="18"/>
                          <w:szCs w:val="18"/>
                        </w:rPr>
                        <w:t>管理要求</w:t>
                      </w:r>
                    </w:p>
                  </w:txbxContent>
                </v:textbox>
              </v:shape>
            </w:pict>
          </mc:Fallback>
        </mc:AlternateContent>
      </w:r>
      <w:r>
        <w:rPr>
          <w:rFonts w:hint="eastAsia" w:ascii="仿宋" w:hAnsi="仿宋" w:eastAsia="仿宋" w:cs="仿宋"/>
          <w:color w:val="auto"/>
          <w:sz w:val="24"/>
          <w:szCs w:val="24"/>
          <w:highlight w:val="none"/>
          <w:lang w:eastAsia="zh-CN"/>
        </w:rPr>
        <w:t>绿色施工安全防护费专款专用，承包人应在财务账目中单独列项备查，不得挪作他用，否则造价咨询人有权责令其限期改正；逾期未改正的，可以责令其暂停施工，由此造成的损失和延误的工期由承包人承担。</w:t>
      </w:r>
    </w:p>
    <w:p w14:paraId="098652A9">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85</w:t>
      </w:r>
      <w:r>
        <w:rPr>
          <w:rFonts w:ascii="仿宋" w:hAnsi="仿宋" w:eastAsia="仿宋" w:cs="仿宋"/>
          <w:b/>
          <w:bCs/>
          <w:color w:val="auto"/>
          <w:highlight w:val="none"/>
          <w:lang w:eastAsia="zh-CN"/>
        </w:rPr>
        <w:t xml:space="preserve">.6  </w:t>
      </w:r>
    </w:p>
    <w:p w14:paraId="7559F836">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62720" behindDoc="0" locked="0" layoutInCell="1" allowOverlap="1">
                <wp:simplePos x="0" y="0"/>
                <wp:positionH relativeFrom="column">
                  <wp:posOffset>-95250</wp:posOffset>
                </wp:positionH>
                <wp:positionV relativeFrom="paragraph">
                  <wp:posOffset>11430</wp:posOffset>
                </wp:positionV>
                <wp:extent cx="813435" cy="630555"/>
                <wp:effectExtent l="0" t="0" r="0" b="0"/>
                <wp:wrapNone/>
                <wp:docPr id="837" name="文本框 1042"/>
                <wp:cNvGraphicFramePr/>
                <a:graphic xmlns:a="http://schemas.openxmlformats.org/drawingml/2006/main">
                  <a:graphicData uri="http://schemas.microsoft.com/office/word/2010/wordprocessingShape">
                    <wps:wsp>
                      <wps:cNvSpPr txBox="1">
                        <a:spLocks noChangeArrowheads="1"/>
                      </wps:cNvSpPr>
                      <wps:spPr bwMode="auto">
                        <a:xfrm>
                          <a:off x="0" y="0"/>
                          <a:ext cx="813435" cy="630555"/>
                        </a:xfrm>
                        <a:prstGeom prst="rect">
                          <a:avLst/>
                        </a:prstGeom>
                        <a:noFill/>
                        <a:ln>
                          <a:noFill/>
                        </a:ln>
                        <a:effectLst/>
                      </wps:spPr>
                      <wps:txbx>
                        <w:txbxContent>
                          <w:p w14:paraId="59297DBE">
                            <w:pPr>
                              <w:pStyle w:val="28"/>
                              <w:spacing w:line="200" w:lineRule="exact"/>
                              <w:rPr>
                                <w:rFonts w:hint="eastAsia" w:ascii="楷体" w:hAnsi="楷体" w:eastAsia="楷体"/>
                                <w:b/>
                                <w:bCs/>
                                <w:sz w:val="18"/>
                                <w:szCs w:val="18"/>
                                <w:lang w:eastAsia="zh-CN"/>
                              </w:rPr>
                            </w:pPr>
                            <w:r>
                              <w:rPr>
                                <w:rFonts w:hint="eastAsia" w:ascii="楷体" w:hAnsi="楷体" w:eastAsia="楷体" w:cs="楷体"/>
                                <w:b/>
                                <w:bCs/>
                                <w:sz w:val="18"/>
                                <w:szCs w:val="18"/>
                                <w:lang w:eastAsia="zh-CN"/>
                              </w:rPr>
                              <w:t>工程</w:t>
                            </w:r>
                            <w:r>
                              <w:rPr>
                                <w:rFonts w:hint="eastAsia" w:ascii="楷体" w:hAnsi="楷体" w:eastAsia="楷体" w:cs="楷体"/>
                                <w:b/>
                                <w:bCs/>
                                <w:caps/>
                                <w:sz w:val="18"/>
                                <w:szCs w:val="18"/>
                                <w:lang w:eastAsia="zh-CN"/>
                              </w:rPr>
                              <w:t>文明工地增加费</w:t>
                            </w:r>
                            <w:r>
                              <w:rPr>
                                <w:rFonts w:hint="eastAsia" w:ascii="楷体" w:hAnsi="楷体" w:eastAsia="楷体" w:cs="楷体"/>
                                <w:b/>
                                <w:bCs/>
                                <w:sz w:val="18"/>
                                <w:szCs w:val="18"/>
                                <w:lang w:eastAsia="zh-CN"/>
                              </w:rPr>
                              <w:t>计提与支付</w:t>
                            </w:r>
                          </w:p>
                        </w:txbxContent>
                      </wps:txbx>
                      <wps:bodyPr rot="0" vert="horz" wrap="square" lIns="91440" tIns="45720" rIns="91440" bIns="45720" anchor="t" anchorCtr="0" upright="1">
                        <a:noAutofit/>
                      </wps:bodyPr>
                    </wps:wsp>
                  </a:graphicData>
                </a:graphic>
              </wp:anchor>
            </w:drawing>
          </mc:Choice>
          <mc:Fallback>
            <w:pict>
              <v:shape id="文本框 1042" o:spid="_x0000_s1026" o:spt="202" type="#_x0000_t202" style="position:absolute;left:0pt;margin-left:-7.5pt;margin-top:0.9pt;height:49.65pt;width:64.05pt;z-index:252062720;mso-width-relative:page;mso-height-relative:page;" filled="f" stroked="f" coordsize="21600,21600" o:gfxdata="UEsDBAoAAAAAAIdO4kAAAAAAAAAAAAAAAAAEAAAAZHJzL1BLAwQUAAAACACHTuJAnC6i59QAAAAJ&#10;AQAADwAAAGRycy9kb3ducmV2LnhtbE2PwU7DMAyG70i8Q2QkblsSYAhK0x1AXEFsgMTNa7y2onGq&#10;JlvL2+Od4Gbrs35/f7meQ6+ONKYusgO7NKCI6+g7bhy8b58Xd6BSRvbYRyYHP5RgXZ2flVj4OPEb&#10;HTe5URLCqUAHbc5DoXWqWwqYlnEgFraPY8As69hoP+Ik4aHXV8bc6oAdy4cWB3psqf7eHIKDj5f9&#10;1+eNeW2ewmqY4mw0h3vt3OWFNQ+gMs357xhO+qIOlTjt4oF9Ur2DhV1JlyxAGpy4vbagdjIYa0FX&#10;pf7foPoFUEsDBBQAAAAIAIdO4kAi5aI9IAIAACcEAAAOAAAAZHJzL2Uyb0RvYy54bWytU0tu2zAQ&#10;3RfoHQjua8m/xBUsB2mMFAXSD5D2ADRFWUQlDjukLaUHaG7QVTfd91w+R4eU4rrpJotuCJIzfDPv&#10;zePyomtqtlfoNJicj0cpZ8pIKLTZ5vzTx+sXC86cF6YQNRiV8zvl+MXq+bNlazM1gQrqQiEjEOOy&#10;1ua88t5mSeJkpRrhRmCVoWAJ2AhPR9wmBYqW0Js6maTpWdICFhZBKufodt0H+YCITwGEstRSrUHu&#10;GmV8j4qqFp4ouUpbx1ex27JU0r8vS6c8q3NOTH1cqQjtN2FNVkuRbVHYSsuhBfGUFh5xaoQ2VPQI&#10;tRZesB3qf6AaLREclH4koUl6IlERYjFOH2lzWwmrIheS2tmj6O7/wcp3+w/IdJHzxfScMyMaGvnh&#10;+/3hx6/Dz29snM4mQaPWuoxSby0l++4VdOScyNfZG5CfHTNwVQmzVZeI0FZKFNTjOLxMTp72OC6A&#10;bNq3UFApsfMQgboSmyAgScIIneZzd5yP6jyTdLkYT2fTOWeSQmfTdD6fxwoie3hs0fnXChoWNjlH&#10;Gn8EF/sb50MzIntICbUMXOu6jhaozV8XlNjfqOih4XWgErrvefhu0w3SbKC4I1IIvb/od9GmAvzK&#10;WUveyrn7shOoOKvfGBLm5Xg2C2aMh9n8fEIHPI1sTiPCSILKuees31753sA7i3pbUaV+FAYuScxS&#10;R6Kh1b6rYQTkn8h/8How6Ok5Zv3536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nC6i59QAAAAJ&#10;AQAADwAAAAAAAAABACAAAAAiAAAAZHJzL2Rvd25yZXYueG1sUEsBAhQAFAAAAAgAh07iQCLloj0g&#10;AgAAJwQAAA4AAAAAAAAAAQAgAAAAIwEAAGRycy9lMm9Eb2MueG1sUEsFBgAAAAAGAAYAWQEAALUF&#10;AAAAAA==&#10;">
                <v:fill on="f" focussize="0,0"/>
                <v:stroke on="f"/>
                <v:imagedata o:title=""/>
                <o:lock v:ext="edit" aspectratio="f"/>
                <v:textbox>
                  <w:txbxContent>
                    <w:p w14:paraId="59297DBE">
                      <w:pPr>
                        <w:pStyle w:val="28"/>
                        <w:spacing w:line="200" w:lineRule="exact"/>
                        <w:rPr>
                          <w:rFonts w:hint="eastAsia" w:ascii="楷体" w:hAnsi="楷体" w:eastAsia="楷体"/>
                          <w:b/>
                          <w:bCs/>
                          <w:sz w:val="18"/>
                          <w:szCs w:val="18"/>
                          <w:lang w:eastAsia="zh-CN"/>
                        </w:rPr>
                      </w:pPr>
                      <w:r>
                        <w:rPr>
                          <w:rFonts w:hint="eastAsia" w:ascii="楷体" w:hAnsi="楷体" w:eastAsia="楷体" w:cs="楷体"/>
                          <w:b/>
                          <w:bCs/>
                          <w:sz w:val="18"/>
                          <w:szCs w:val="18"/>
                          <w:lang w:eastAsia="zh-CN"/>
                        </w:rPr>
                        <w:t>工程</w:t>
                      </w:r>
                      <w:r>
                        <w:rPr>
                          <w:rFonts w:hint="eastAsia" w:ascii="楷体" w:hAnsi="楷体" w:eastAsia="楷体" w:cs="楷体"/>
                          <w:b/>
                          <w:bCs/>
                          <w:caps/>
                          <w:sz w:val="18"/>
                          <w:szCs w:val="18"/>
                          <w:lang w:eastAsia="zh-CN"/>
                        </w:rPr>
                        <w:t>文明工地增加费</w:t>
                      </w:r>
                      <w:r>
                        <w:rPr>
                          <w:rFonts w:hint="eastAsia" w:ascii="楷体" w:hAnsi="楷体" w:eastAsia="楷体" w:cs="楷体"/>
                          <w:b/>
                          <w:bCs/>
                          <w:sz w:val="18"/>
                          <w:szCs w:val="18"/>
                          <w:lang w:eastAsia="zh-CN"/>
                        </w:rPr>
                        <w:t>计提与支付</w:t>
                      </w:r>
                    </w:p>
                  </w:txbxContent>
                </v:textbox>
              </v:shape>
            </w:pict>
          </mc:Fallback>
        </mc:AlternateContent>
      </w:r>
      <w:r>
        <w:rPr>
          <w:rFonts w:hint="eastAsia" w:ascii="仿宋" w:hAnsi="仿宋" w:eastAsia="仿宋" w:cs="仿宋"/>
          <w:color w:val="auto"/>
          <w:sz w:val="24"/>
          <w:szCs w:val="24"/>
          <w:highlight w:val="none"/>
          <w:lang w:eastAsia="zh-CN"/>
        </w:rPr>
        <w:t>除专用条款另有约定外，获得省、市级或其它级别文明工地的文明工地增加费，招标发包工程按照中标通知书日期（直接发包工程按照合同签订日期）的同时期省、市</w:t>
      </w:r>
      <w:r>
        <w:rPr>
          <w:rFonts w:ascii="仿宋" w:hAnsi="仿宋" w:eastAsia="仿宋" w:cs="仿宋"/>
          <w:color w:val="auto"/>
          <w:sz w:val="24"/>
          <w:szCs w:val="24"/>
          <w:highlight w:val="none"/>
          <w:lang w:eastAsia="zh-CN"/>
        </w:rPr>
        <w:t>建设</w:t>
      </w:r>
      <w:r>
        <w:rPr>
          <w:rFonts w:hint="eastAsia" w:ascii="仿宋" w:hAnsi="仿宋" w:eastAsia="仿宋" w:cs="仿宋"/>
          <w:color w:val="auto"/>
          <w:sz w:val="24"/>
          <w:szCs w:val="24"/>
          <w:highlight w:val="none"/>
          <w:lang w:eastAsia="zh-CN"/>
        </w:rPr>
        <w:t>行政主管</w:t>
      </w:r>
      <w:r>
        <w:rPr>
          <w:rFonts w:ascii="仿宋" w:hAnsi="仿宋" w:eastAsia="仿宋" w:cs="仿宋"/>
          <w:color w:val="auto"/>
          <w:sz w:val="24"/>
          <w:szCs w:val="24"/>
          <w:highlight w:val="none"/>
          <w:lang w:eastAsia="zh-CN"/>
        </w:rPr>
        <w:t>部门</w:t>
      </w:r>
      <w:r>
        <w:rPr>
          <w:rFonts w:hint="eastAsia" w:ascii="仿宋" w:hAnsi="仿宋" w:eastAsia="仿宋" w:cs="仿宋"/>
          <w:color w:val="auto"/>
          <w:sz w:val="24"/>
          <w:szCs w:val="24"/>
          <w:highlight w:val="none"/>
          <w:lang w:eastAsia="zh-CN"/>
        </w:rPr>
        <w:t>的相关文件规定计算。当合同工程同时获得上述多个奖项的，文明工地增加费只按最高奖项的额度计算。文明工地增加费计入竣工结算中，与竣工结算款一并支付。在竣工结算后获得奖项的，发包人应在获得奖项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天内支付。</w:t>
      </w:r>
    </w:p>
    <w:p w14:paraId="30B990F2">
      <w:pPr>
        <w:pStyle w:val="2"/>
        <w:tabs>
          <w:tab w:val="left" w:pos="1620"/>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3BF9F320">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5" w:name="_Toc3255"/>
      <w:r>
        <w:rPr>
          <w:rFonts w:hint="eastAsia" w:ascii="仿宋" w:hAnsi="仿宋" w:eastAsia="仿宋" w:cs="仿宋"/>
          <w:bCs w:val="0"/>
          <w:color w:val="auto"/>
          <w:sz w:val="24"/>
          <w:szCs w:val="24"/>
          <w:highlight w:val="none"/>
          <w:lang w:eastAsia="zh-CN"/>
        </w:rPr>
        <w:t>★86进度款</w:t>
      </w:r>
      <w:bookmarkEnd w:id="385"/>
    </w:p>
    <w:p w14:paraId="339CD9A2">
      <w:pPr>
        <w:pStyle w:val="2"/>
        <w:widowControl w:val="0"/>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86</w:t>
      </w:r>
      <w:r>
        <w:rPr>
          <w:rFonts w:ascii="仿宋" w:hAnsi="仿宋" w:eastAsia="仿宋" w:cs="仿宋"/>
          <w:b/>
          <w:bCs/>
          <w:color w:val="auto"/>
          <w:sz w:val="24"/>
          <w:szCs w:val="24"/>
          <w:highlight w:val="none"/>
          <w:lang w:eastAsia="zh-CN"/>
        </w:rPr>
        <w:t>.1</w:t>
      </w:r>
    </w:p>
    <w:p w14:paraId="49D77518">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17312" behindDoc="0" locked="0" layoutInCell="1" allowOverlap="1">
                <wp:simplePos x="0" y="0"/>
                <wp:positionH relativeFrom="column">
                  <wp:posOffset>-114300</wp:posOffset>
                </wp:positionH>
                <wp:positionV relativeFrom="paragraph">
                  <wp:posOffset>8255</wp:posOffset>
                </wp:positionV>
                <wp:extent cx="775970" cy="680085"/>
                <wp:effectExtent l="0" t="0" r="0" b="0"/>
                <wp:wrapNone/>
                <wp:docPr id="838" name="文本框 1043"/>
                <wp:cNvGraphicFramePr/>
                <a:graphic xmlns:a="http://schemas.openxmlformats.org/drawingml/2006/main">
                  <a:graphicData uri="http://schemas.microsoft.com/office/word/2010/wordprocessingShape">
                    <wps:wsp>
                      <wps:cNvSpPr txBox="1">
                        <a:spLocks noChangeArrowheads="1"/>
                      </wps:cNvSpPr>
                      <wps:spPr bwMode="auto">
                        <a:xfrm>
                          <a:off x="0" y="0"/>
                          <a:ext cx="775970" cy="680085"/>
                        </a:xfrm>
                        <a:prstGeom prst="rect">
                          <a:avLst/>
                        </a:prstGeom>
                        <a:noFill/>
                        <a:ln>
                          <a:noFill/>
                        </a:ln>
                        <a:effectLst/>
                      </wps:spPr>
                      <wps:txbx>
                        <w:txbxContent>
                          <w:p w14:paraId="00578C08">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约定支付期限、比例和提交支付申请</w:t>
                            </w:r>
                          </w:p>
                        </w:txbxContent>
                      </wps:txbx>
                      <wps:bodyPr rot="0" vert="horz" wrap="square" lIns="91440" tIns="45720" rIns="91440" bIns="45720" anchor="t" anchorCtr="0" upright="1">
                        <a:noAutofit/>
                      </wps:bodyPr>
                    </wps:wsp>
                  </a:graphicData>
                </a:graphic>
              </wp:anchor>
            </w:drawing>
          </mc:Choice>
          <mc:Fallback>
            <w:pict>
              <v:shape id="文本框 1043" o:spid="_x0000_s1026" o:spt="202" type="#_x0000_t202" style="position:absolute;left:0pt;margin-left:-9pt;margin-top:0.65pt;height:53.55pt;width:61.1pt;z-index:251917312;mso-width-relative:page;mso-height-relative:page;" filled="f" stroked="f" coordsize="21600,21600" o:gfxdata="UEsDBAoAAAAAAIdO4kAAAAAAAAAAAAAAAAAEAAAAZHJzL1BLAwQUAAAACACHTuJARuMwN9UAAAAJ&#10;AQAADwAAAGRycy9kb3ducmV2LnhtbE2PwU7DMAyG70i8Q2Sk3bako0ylNN0BxHWIbSBx8xqvrWic&#10;qsnW8vakJ7jZ+qzf319sJ9uJKw2+dawhWSkQxJUzLdcajofXZQbCB2SDnWPS8EMetuXtTYG5cSO/&#10;03UfahFD2OeooQmhz6X0VUMW/cr1xJGd3WAxxHWopRlwjOG2k2ulNtJiy/FDgz09N1R97y9Ww8fu&#10;/PWZqrf6xT70o5uUZPsotV7cJeoJRKAp/B3DrB/VoYxOJ3dh40WnYZlksUuI4B7EzFW6BnGahywF&#10;WRbyf4PyF1BLAwQUAAAACACHTuJA8JFZZyACAAAnBAAADgAAAGRycy9lMm9Eb2MueG1srVNLbtsw&#10;EN0X6B0I7mvJjh07guUgjZGiQPoB0h6ApiiLqMRhh7Sl9ADtDbrqpvuey+fokFJcN91k0Q1BcoZv&#10;5r15XF52Tc32Cp0Gk/PxKOVMGQmFNtucf/xw82LBmfPCFKIGo3J+rxy/XD1/tmxtpiZQQV0oZARi&#10;XNbanFfe2yxJnKxUI9wIrDIULAEb4emI26RA0RJ6UyeTND1PWsDCIkjlHN2u+yAfEPEpgFCWWqo1&#10;yF2jjO9RUdXCEyVXaev4KnZblkr6d2XplGd1zompjysVof0mrMlqKbItCltpObQgntLCI06N0IaK&#10;HqHWwgu2Q/0PVKMlgoPSjyQ0SU8kKkIsxukjbe4qYVXkQlI7exTd/T9Y+Xb/Hpkucr44o8Eb0dDI&#10;D9+/HX78Ovz8ysbp9Cxo1FqXUeqdpWTfvYSOnBP5OnsL8pNjBq4rYbbqChHaSomCehyHl8nJ0x7H&#10;BZBN+wYKKiV2HiJQV2ITBCRJGKHTfO6P81GdZ5Iu5/PZxZwikkLnizRdzGIFkT08tuj8KwUNC5uc&#10;I40/gov9rfOhGZE9pIRaBm50XUcL1OavC0rsb1T00PA6UAnd9zx8t+kGaTZQ3BMphN5f9LtoUwF+&#10;4awlb+Xcfd4JVJzVrw0JczGeToMZ42E6m0/ogKeRzWlEGElQOfec9dtr3xt4Z1FvK6rUj8LAFYlZ&#10;6kg0tNp3NYyA/BP5D14PBj09x6w//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bjMDfVAAAA&#10;CQEAAA8AAAAAAAAAAQAgAAAAIgAAAGRycy9kb3ducmV2LnhtbFBLAQIUABQAAAAIAIdO4kDwkVln&#10;IAIAACcEAAAOAAAAAAAAAAEAIAAAACQBAABkcnMvZTJvRG9jLnhtbFBLBQYAAAAABgAGAFkBAAC2&#10;BQAAAAA=&#10;">
                <v:fill on="f" focussize="0,0"/>
                <v:stroke on="f"/>
                <v:imagedata o:title=""/>
                <o:lock v:ext="edit" aspectratio="f"/>
                <v:textbox>
                  <w:txbxContent>
                    <w:p w14:paraId="00578C08">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约定支付期限、比例和提交支付申请</w:t>
                      </w:r>
                    </w:p>
                  </w:txbxContent>
                </v:textbox>
              </v:shape>
            </w:pict>
          </mc:Fallback>
        </mc:AlternateContent>
      </w:r>
      <w:r>
        <w:rPr>
          <w:rFonts w:hint="eastAsia" w:ascii="仿宋" w:hAnsi="仿宋" w:eastAsia="仿宋" w:cs="仿宋"/>
          <w:color w:val="auto"/>
          <w:sz w:val="24"/>
          <w:szCs w:val="24"/>
          <w:highlight w:val="none"/>
          <w:lang w:eastAsia="zh-CN"/>
        </w:rPr>
        <w:t>合同双方当事人应在专用条款中明确进度款的支付期限及比例。专用条款没有约定期限的，支付期限以月为单位。涉及政府投资资金的工程，支付期限、支付方法等需调整的，应在专用条款中约定。</w:t>
      </w:r>
    </w:p>
    <w:p w14:paraId="3906C383">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承包人应在每个支付期结束后的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天内向造价咨询人提交由承包人代表签署的支付申请和已完工作或工程款额报告一式四份，详细说明此支付期间自己认为有权得到的款项，包括分包人已完工程款，同时抄送发包人。该支付申请的内容包括：</w:t>
      </w:r>
    </w:p>
    <w:p w14:paraId="32B84661">
      <w:pPr>
        <w:pStyle w:val="2"/>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highlight w:val="none"/>
        </w:rPr>
      </w:pPr>
      <w:r>
        <w:rPr>
          <w:rFonts w:hint="eastAsia" w:ascii="仿宋" w:hAnsi="仿宋" w:eastAsia="仿宋" w:cs="仿宋"/>
          <w:color w:val="auto"/>
          <w:sz w:val="24"/>
          <w:szCs w:val="24"/>
          <w:highlight w:val="none"/>
        </w:rPr>
        <w:t>已完工作或工程款；</w:t>
      </w:r>
    </w:p>
    <w:p w14:paraId="4DC21E2D">
      <w:pPr>
        <w:pStyle w:val="2"/>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已实际支付的工作或工程款；</w:t>
      </w:r>
    </w:p>
    <w:p w14:paraId="04856D46">
      <w:pPr>
        <w:pStyle w:val="2"/>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本期间完成的工作或工程款；</w:t>
      </w:r>
    </w:p>
    <w:p w14:paraId="6B8C4169">
      <w:pPr>
        <w:pStyle w:val="2"/>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本期间完成的计日工费用；</w:t>
      </w:r>
    </w:p>
    <w:p w14:paraId="1D970EFD">
      <w:pPr>
        <w:pStyle w:val="2"/>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根据第78条至第82条约定本期间已确认的调整价款；</w:t>
      </w:r>
    </w:p>
    <w:p w14:paraId="23FF042A">
      <w:pPr>
        <w:pStyle w:val="2"/>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本期间暂列金额的使用情况；</w:t>
      </w:r>
    </w:p>
    <w:p w14:paraId="37A45801">
      <w:pPr>
        <w:pStyle w:val="2"/>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根据第76条约定本期间应扣除的误期赔偿费；</w:t>
      </w:r>
    </w:p>
    <w:p w14:paraId="04D2BCCE">
      <w:pPr>
        <w:pStyle w:val="2"/>
        <w:widowControl w:val="0"/>
        <w:numPr>
          <w:ilvl w:val="0"/>
          <w:numId w:val="25"/>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根据第84条本期间应扣回的预付款；</w:t>
      </w:r>
    </w:p>
    <w:p w14:paraId="185680D2">
      <w:pPr>
        <w:pStyle w:val="2"/>
        <w:widowControl w:val="0"/>
        <w:numPr>
          <w:ilvl w:val="0"/>
          <w:numId w:val="25"/>
        </w:numPr>
        <w:tabs>
          <w:tab w:val="left" w:pos="216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5条约定本期间应支付或扣回的绿色施工安全防护费；</w:t>
      </w:r>
    </w:p>
    <w:p w14:paraId="072C42DB">
      <w:pPr>
        <w:pStyle w:val="2"/>
        <w:widowControl w:val="0"/>
        <w:numPr>
          <w:ilvl w:val="0"/>
          <w:numId w:val="25"/>
        </w:numPr>
        <w:tabs>
          <w:tab w:val="left" w:pos="216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根据第89条本期间应扣留的质量保证金；</w:t>
      </w:r>
    </w:p>
    <w:p w14:paraId="6F47838C">
      <w:pPr>
        <w:pStyle w:val="2"/>
        <w:widowControl w:val="0"/>
        <w:numPr>
          <w:ilvl w:val="0"/>
          <w:numId w:val="25"/>
        </w:numPr>
        <w:tabs>
          <w:tab w:val="left" w:pos="2160"/>
        </w:tabs>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olor w:val="auto"/>
          <w:sz w:val="24"/>
          <w:szCs w:val="24"/>
          <w:highlight w:val="none"/>
          <w:lang w:eastAsia="zh-CN"/>
        </w:rPr>
        <w:t>根据</w:t>
      </w:r>
      <w:r>
        <w:rPr>
          <w:rFonts w:hint="eastAsia" w:ascii="仿宋" w:hAnsi="仿宋" w:eastAsia="仿宋" w:cs="仿宋"/>
          <w:color w:val="auto"/>
          <w:sz w:val="24"/>
          <w:szCs w:val="24"/>
          <w:highlight w:val="none"/>
          <w:lang w:eastAsia="zh-CN"/>
        </w:rPr>
        <w:t>合同约定，本期间应支付或扣留（回）的其他款项；</w:t>
      </w:r>
    </w:p>
    <w:p w14:paraId="3616670E">
      <w:pPr>
        <w:pStyle w:val="2"/>
        <w:widowControl w:val="0"/>
        <w:numPr>
          <w:ilvl w:val="0"/>
          <w:numId w:val="25"/>
        </w:numPr>
        <w:tabs>
          <w:tab w:val="left" w:pos="2160"/>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olor w:val="auto"/>
          <w:sz w:val="24"/>
          <w:szCs w:val="24"/>
          <w:highlight w:val="none"/>
          <w:lang w:eastAsia="zh-CN"/>
        </w:rPr>
        <w:t>本期</w:t>
      </w:r>
      <w:r>
        <w:rPr>
          <w:rFonts w:hint="eastAsia" w:ascii="仿宋" w:hAnsi="仿宋" w:eastAsia="仿宋" w:cs="仿宋"/>
          <w:color w:val="auto"/>
          <w:sz w:val="24"/>
          <w:szCs w:val="24"/>
          <w:highlight w:val="none"/>
          <w:lang w:eastAsia="zh-CN"/>
        </w:rPr>
        <w:t>间应支付的进度款。</w:t>
      </w:r>
    </w:p>
    <w:p w14:paraId="05BF71D1">
      <w:pPr>
        <w:pStyle w:val="2"/>
        <w:tabs>
          <w:tab w:val="left" w:pos="1320"/>
        </w:tabs>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86</w:t>
      </w:r>
      <w:r>
        <w:rPr>
          <w:rFonts w:ascii="仿宋" w:hAnsi="仿宋" w:eastAsia="仿宋" w:cs="仿宋"/>
          <w:b/>
          <w:bCs/>
          <w:color w:val="auto"/>
          <w:sz w:val="24"/>
          <w:szCs w:val="24"/>
          <w:highlight w:val="none"/>
          <w:lang w:eastAsia="zh-CN"/>
        </w:rPr>
        <w:t xml:space="preserve">.2 </w:t>
      </w:r>
    </w:p>
    <w:p w14:paraId="341D455F">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18336" behindDoc="0" locked="0" layoutInCell="1" allowOverlap="1">
                <wp:simplePos x="0" y="0"/>
                <wp:positionH relativeFrom="column">
                  <wp:posOffset>-114300</wp:posOffset>
                </wp:positionH>
                <wp:positionV relativeFrom="paragraph">
                  <wp:posOffset>0</wp:posOffset>
                </wp:positionV>
                <wp:extent cx="756920" cy="584200"/>
                <wp:effectExtent l="0" t="0" r="0" b="0"/>
                <wp:wrapNone/>
                <wp:docPr id="839" name="文本框 1045"/>
                <wp:cNvGraphicFramePr/>
                <a:graphic xmlns:a="http://schemas.openxmlformats.org/drawingml/2006/main">
                  <a:graphicData uri="http://schemas.microsoft.com/office/word/2010/wordprocessingShape">
                    <wps:wsp>
                      <wps:cNvSpPr txBox="1">
                        <a:spLocks noChangeArrowheads="1"/>
                      </wps:cNvSpPr>
                      <wps:spPr bwMode="auto">
                        <a:xfrm>
                          <a:off x="0" y="0"/>
                          <a:ext cx="756920" cy="584200"/>
                        </a:xfrm>
                        <a:prstGeom prst="rect">
                          <a:avLst/>
                        </a:prstGeom>
                        <a:noFill/>
                        <a:ln>
                          <a:noFill/>
                        </a:ln>
                        <a:effectLst/>
                      </wps:spPr>
                      <wps:txbx>
                        <w:txbxContent>
                          <w:p w14:paraId="2FC17DA4">
                            <w:pPr>
                              <w:rPr>
                                <w:rFonts w:hint="eastAsia" w:ascii="楷体_GB2312" w:hAnsi="宋体" w:eastAsia="楷体_GB2312"/>
                                <w:b/>
                                <w:bCs/>
                                <w:sz w:val="18"/>
                                <w:szCs w:val="18"/>
                              </w:rPr>
                            </w:pPr>
                            <w:r>
                              <w:rPr>
                                <w:rFonts w:hint="eastAsia" w:ascii="楷体_GB2312" w:hAnsi="宋体" w:eastAsia="楷体_GB2312" w:cs="楷体_GB2312"/>
                                <w:b/>
                                <w:bCs/>
                                <w:sz w:val="18"/>
                                <w:szCs w:val="18"/>
                              </w:rPr>
                              <w:t>签发期中支付证书</w:t>
                            </w:r>
                          </w:p>
                        </w:txbxContent>
                      </wps:txbx>
                      <wps:bodyPr rot="0" vert="horz" wrap="square" lIns="91440" tIns="45720" rIns="91440" bIns="45720" anchor="t" anchorCtr="0" upright="1">
                        <a:noAutofit/>
                      </wps:bodyPr>
                    </wps:wsp>
                  </a:graphicData>
                </a:graphic>
              </wp:anchor>
            </w:drawing>
          </mc:Choice>
          <mc:Fallback>
            <w:pict>
              <v:shape id="文本框 1045" o:spid="_x0000_s1026" o:spt="202" type="#_x0000_t202" style="position:absolute;left:0pt;margin-left:-9pt;margin-top:0pt;height:46pt;width:59.6pt;z-index:251918336;mso-width-relative:page;mso-height-relative:page;" filled="f" stroked="f" coordsize="21600,21600" o:gfxdata="UEsDBAoAAAAAAIdO4kAAAAAAAAAAAAAAAAAEAAAAZHJzL1BLAwQUAAAACACHTuJAh2BM1dUAAAAH&#10;AQAADwAAAGRycy9kb3ducmV2LnhtbE2PzU7DMBCE70i8g7VI3Fo7EaA2zaYHEFcQ5Ufi5sbbJGq8&#10;jmK3CW/P9gSXlUYzmvm23M6+V2caYxcYIVsaUMR1cB03CB/vz4sVqJgsO9sHJoQfirCtrq9KW7gw&#10;8Rudd6lRUsKxsAhtSkOhdaxb8jYuw0As3iGM3iaRY6PdaCcp973OjXnQ3nYsC60d6LGl+rg7eYTP&#10;l8P31515bZ78/TCF2Wj2a414e5OZDahEc/oLwwVf0KESpn04sYuqR1hkK/klIci92CbLQe0R1rkB&#10;XZX6P3/1C1BLAwQUAAAACACHTuJA/erOvx8CAAAnBAAADgAAAGRycy9lMm9Eb2MueG1srVPBbhMx&#10;EL0j8Q+W72STkLTJKpuqNCpCKhSp8AGO15u12PWYsZPd8AH0Dzhx4d7vyncw9m5DKJceuFi2Z/xm&#10;3pvnxUVbV2yn0GkwGR8NhpwpIyHXZpPxz5+uX804c16YXFRgVMb3yvGL5csXi8amagwlVLlCRiDG&#10;pY3NeOm9TZPEyVLVwg3AKkPBArAWno64SXIUDaHXVTIeDs+SBjC3CFI5R7erLsh7RHwOIBSFlmoF&#10;clsr4ztUVJXwRMmV2jq+jN0WhZL+tiic8qzKODH1caUitF+HNVkuRLpBYUst+xbEc1p4wqkW2lDR&#10;I9RKeMG2qP+BqrVEcFD4gYQ66YhERYjFaPhEm7tSWBW5kNTOHkV3/w9Wfth9RKbzjM9ezzkzoqaR&#10;H37cH34+HH59Z6PhZBo0aqxLKfXOUrJv30BLzol8nb0B+cUxA1elMBt1iQhNqUROPY7Cy+TkaYfj&#10;Asi6eQ85lRJbDxGoLbAOApIkjNBpPvvjfFTrmaTL8+nZfEwRSaHpbEJuihVE+vjYovNvFdQsbDKO&#10;NP4ILnY3zodmRPqYEmoZuNZVFS1Qmb8uKLG7UdFD/etAJXTf8fDtuu2lWUO+J1IInb/od9GmBPzG&#10;WUPeyrj7uhWoOKveGRJmPppMghnjYTI9D5zwNLI+jQgjCSrjnrNue+U7A28t6k1JlbpRGLgkMQsd&#10;iYZWu676EZB/Iv/e68Ggp+eY9ed/L3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h2BM1dUAAAAH&#10;AQAADwAAAAAAAAABACAAAAAiAAAAZHJzL2Rvd25yZXYueG1sUEsBAhQAFAAAAAgAh07iQP3qzr8f&#10;AgAAJwQAAA4AAAAAAAAAAQAgAAAAJAEAAGRycy9lMm9Eb2MueG1sUEsFBgAAAAAGAAYAWQEAALUF&#10;AAAAAA==&#10;">
                <v:fill on="f" focussize="0,0"/>
                <v:stroke on="f"/>
                <v:imagedata o:title=""/>
                <o:lock v:ext="edit" aspectratio="f"/>
                <v:textbox>
                  <w:txbxContent>
                    <w:p w14:paraId="2FC17DA4">
                      <w:pPr>
                        <w:rPr>
                          <w:rFonts w:hint="eastAsia" w:ascii="楷体_GB2312" w:hAnsi="宋体" w:eastAsia="楷体_GB2312"/>
                          <w:b/>
                          <w:bCs/>
                          <w:sz w:val="18"/>
                          <w:szCs w:val="18"/>
                        </w:rPr>
                      </w:pPr>
                      <w:r>
                        <w:rPr>
                          <w:rFonts w:hint="eastAsia" w:ascii="楷体_GB2312" w:hAnsi="宋体" w:eastAsia="楷体_GB2312" w:cs="楷体_GB2312"/>
                          <w:b/>
                          <w:bCs/>
                          <w:sz w:val="18"/>
                          <w:szCs w:val="18"/>
                        </w:rPr>
                        <w:t>签发期中支付证书</w:t>
                      </w:r>
                    </w:p>
                  </w:txbxContent>
                </v:textbox>
              </v:shape>
            </w:pict>
          </mc:Fallback>
        </mc:AlternateContent>
      </w:r>
      <w:r>
        <w:rPr>
          <w:rFonts w:hint="eastAsia" w:ascii="仿宋" w:hAnsi="仿宋" w:eastAsia="仿宋" w:cs="仿宋"/>
          <w:color w:val="auto"/>
          <w:sz w:val="24"/>
          <w:szCs w:val="24"/>
          <w:highlight w:val="none"/>
          <w:lang w:eastAsia="zh-CN"/>
        </w:rPr>
        <w:t>造价咨询人在收到第86.1款所述资料后，应按照第72条约定进行计量，并根据计量结果和合同约定对资料内容予以核实。在收到上述资料后的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天内报发包人确认后向发包人签发期中支付证书，同时抄送承包人。</w:t>
      </w:r>
    </w:p>
    <w:p w14:paraId="582547D7">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如果该支付期间应支付金额少于专用条款约定的期中支付证书的最低限额时，造价咨询人不必按照本款开具任何支付证书，但应通知发包人和承包人。上述款额转期结算，直到应支付的款额累计达到专用条款约定的期中支付证书的最低限额为止。</w:t>
      </w:r>
    </w:p>
    <w:p w14:paraId="41776FFB">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造价咨询人签发期中支付证书，不应视为发包人已同意、批准或接受了承包人完成该部分工作。</w:t>
      </w:r>
    </w:p>
    <w:p w14:paraId="0152BD58">
      <w:pPr>
        <w:widowControl w:val="0"/>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86</w:t>
      </w:r>
      <w:r>
        <w:rPr>
          <w:rFonts w:ascii="仿宋" w:hAnsi="仿宋" w:eastAsia="仿宋" w:cs="仿宋"/>
          <w:b/>
          <w:bCs/>
          <w:color w:val="auto"/>
          <w:highlight w:val="none"/>
          <w:lang w:eastAsia="zh-CN"/>
        </w:rPr>
        <w:t>.3</w:t>
      </w:r>
    </w:p>
    <w:p w14:paraId="420ACF96">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19360" behindDoc="0" locked="0" layoutInCell="1" allowOverlap="1">
                <wp:simplePos x="0" y="0"/>
                <wp:positionH relativeFrom="column">
                  <wp:posOffset>-114300</wp:posOffset>
                </wp:positionH>
                <wp:positionV relativeFrom="paragraph">
                  <wp:posOffset>6350</wp:posOffset>
                </wp:positionV>
                <wp:extent cx="819150" cy="406400"/>
                <wp:effectExtent l="0" t="0" r="0" b="0"/>
                <wp:wrapNone/>
                <wp:docPr id="840" name="文本框 1046"/>
                <wp:cNvGraphicFramePr/>
                <a:graphic xmlns:a="http://schemas.openxmlformats.org/drawingml/2006/main">
                  <a:graphicData uri="http://schemas.microsoft.com/office/word/2010/wordprocessingShape">
                    <wps:wsp>
                      <wps:cNvSpPr txBox="1">
                        <a:spLocks noChangeArrowheads="1"/>
                      </wps:cNvSpPr>
                      <wps:spPr bwMode="auto">
                        <a:xfrm>
                          <a:off x="0" y="0"/>
                          <a:ext cx="819150" cy="406400"/>
                        </a:xfrm>
                        <a:prstGeom prst="rect">
                          <a:avLst/>
                        </a:prstGeom>
                        <a:noFill/>
                        <a:ln>
                          <a:noFill/>
                        </a:ln>
                        <a:effectLst/>
                      </wps:spPr>
                      <wps:txbx>
                        <w:txbxContent>
                          <w:p w14:paraId="7A6FBB49">
                            <w:pPr>
                              <w:rPr>
                                <w:rFonts w:hint="eastAsia" w:ascii="楷体_GB2312" w:hAnsi="宋体" w:eastAsia="楷体_GB2312"/>
                                <w:b/>
                                <w:bCs/>
                                <w:sz w:val="18"/>
                                <w:szCs w:val="18"/>
                              </w:rPr>
                            </w:pPr>
                            <w:r>
                              <w:rPr>
                                <w:rFonts w:hint="eastAsia" w:ascii="楷体_GB2312" w:hAnsi="宋体" w:eastAsia="楷体_GB2312" w:cs="楷体_GB2312"/>
                                <w:b/>
                                <w:bCs/>
                                <w:sz w:val="18"/>
                                <w:szCs w:val="18"/>
                              </w:rPr>
                              <w:t>进度款支付</w:t>
                            </w:r>
                          </w:p>
                        </w:txbxContent>
                      </wps:txbx>
                      <wps:bodyPr rot="0" vert="horz" wrap="square" lIns="91440" tIns="45720" rIns="91440" bIns="45720" anchor="t" anchorCtr="0" upright="1">
                        <a:noAutofit/>
                      </wps:bodyPr>
                    </wps:wsp>
                  </a:graphicData>
                </a:graphic>
              </wp:anchor>
            </w:drawing>
          </mc:Choice>
          <mc:Fallback>
            <w:pict>
              <v:shape id="文本框 1046" o:spid="_x0000_s1026" o:spt="202" type="#_x0000_t202" style="position:absolute;left:0pt;margin-left:-9pt;margin-top:0.5pt;height:32pt;width:64.5pt;z-index:251919360;mso-width-relative:page;mso-height-relative:page;" filled="f" stroked="f" coordsize="21600,21600" o:gfxdata="UEsDBAoAAAAAAIdO4kAAAAAAAAAAAAAAAAAEAAAAZHJzL1BLAwQUAAAACACHTuJAyUKUndQAAAAI&#10;AQAADwAAAGRycy9kb3ducmV2LnhtbE2PT0/DMAzF70h8h8hI3DaniE1b13QHEFcQ44/ELWu8tqJx&#10;qiZby7fHPcHJtt7T8+8V+8l36kJDbAMbyJYaFHEVXMu1gfe3p8UGVEyWne0Ck4EfirAvr68Km7sw&#10;8itdDqlWEsIxtwaalPocMVYNeRuXoScW7RQGb5OcQ41usKOE+w7vtF6jty3Lh8b29NBQ9X04ewMf&#10;z6evz3v9Uj/6VT+GSSP7LRpze5PpHahEU/ozw4wv6FAK0zGc2UXVGVhkG+mSRJAx69m8HA2sVxqw&#10;LPB/gfIXUEsDBBQAAAAIAIdO4kCsG0WBHwIAACcEAAAOAAAAZHJzL2Uyb0RvYy54bWytU0tu2zAQ&#10;3RfoHQjua0mG4yaC5SCNkaJA+gHSHoCmKIuoxGGHtCX3AO0Nsuqm+57L5+iQUlw33WTRDUFyhm/e&#10;ezNcXPZtw3YKnQZT8GyScqaMhFKbTcE/fbx5cc6Z88KUogGjCr5Xjl8unz9bdDZXU6ihKRUyAjEu&#10;72zBa+9tniRO1qoVbgJWGQpWgK3wdMRNUqLoCL1tkmmazpMOsLQIUjlHt6shyEdEfAogVJWWagVy&#10;2yrjB1RUjfAkydXaOr6MbKtKSf++qpzyrCk4KfVxpSK0X4c1WS5EvkFhay1HCuIpFB5paoU2VPQI&#10;tRJesC3qf6BaLREcVH4ioU0GIdERUpGlj7y5q4VVUQtZ7ezRdPf/YOW73Qdkuiz4+Yw8MaKllh/u&#10;vx9+/Dr8/MaydDYPHnXW5ZR6ZynZ96+gp8mJep29BfnZMQPXtTAbdYUIXa1ESRyz8DI5eTrguACy&#10;7t5CSaXE1kME6itsg4FkCSN04rI/9kf1nkm6PM8usjOKSArN0vksjf1LRP7w2KLzrxW0LGwKjtT+&#10;CC52t84HMiJ/SAm1DNzopokj0Ji/LihxuFFxhsbXQUpgP+jw/bofrVlDuSdRCMN80e+iTQ34lbOO&#10;Zqvg7stWoOKseWPImItsFsz28TA7ezmlA55G1qcRYSRBFdxzNmyv/TDAW4t6U1OloRUGrsjMSkeh&#10;gerAamwBzU/UP856GNDTc8z687+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JQpSd1AAAAAgB&#10;AAAPAAAAAAAAAAEAIAAAACIAAABkcnMvZG93bnJldi54bWxQSwECFAAUAAAACACHTuJArBtFgR8C&#10;AAAnBAAADgAAAAAAAAABACAAAAAjAQAAZHJzL2Uyb0RvYy54bWxQSwUGAAAAAAYABgBZAQAAtAUA&#10;AAAA&#10;">
                <v:fill on="f" focussize="0,0"/>
                <v:stroke on="f"/>
                <v:imagedata o:title=""/>
                <o:lock v:ext="edit" aspectratio="f"/>
                <v:textbox>
                  <w:txbxContent>
                    <w:p w14:paraId="7A6FBB49">
                      <w:pPr>
                        <w:rPr>
                          <w:rFonts w:hint="eastAsia" w:ascii="楷体_GB2312" w:hAnsi="宋体" w:eastAsia="楷体_GB2312"/>
                          <w:b/>
                          <w:bCs/>
                          <w:sz w:val="18"/>
                          <w:szCs w:val="18"/>
                        </w:rPr>
                      </w:pPr>
                      <w:r>
                        <w:rPr>
                          <w:rFonts w:hint="eastAsia" w:ascii="楷体_GB2312" w:hAnsi="宋体" w:eastAsia="楷体_GB2312" w:cs="楷体_GB2312"/>
                          <w:b/>
                          <w:bCs/>
                          <w:sz w:val="18"/>
                          <w:szCs w:val="18"/>
                        </w:rPr>
                        <w:t>进度款支付</w:t>
                      </w:r>
                    </w:p>
                  </w:txbxContent>
                </v:textbox>
              </v:shape>
            </w:pict>
          </mc:Fallback>
        </mc:AlternateContent>
      </w:r>
      <w:r>
        <w:rPr>
          <w:rFonts w:hint="eastAsia" w:ascii="仿宋" w:hAnsi="仿宋" w:eastAsia="仿宋" w:cs="仿宋"/>
          <w:color w:val="auto"/>
          <w:sz w:val="24"/>
          <w:szCs w:val="24"/>
          <w:highlight w:val="none"/>
          <w:lang w:eastAsia="zh-CN"/>
        </w:rPr>
        <w:t>发包人应在造价咨询人签发期中支付证书后的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天内，按照期中支付证书列明的金额向承包人支付进度款，并通知造价咨询人。</w:t>
      </w:r>
    </w:p>
    <w:p w14:paraId="0DCD593F">
      <w:pPr>
        <w:widowControl w:val="0"/>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86</w:t>
      </w:r>
      <w:r>
        <w:rPr>
          <w:rFonts w:ascii="仿宋" w:hAnsi="仿宋" w:eastAsia="仿宋" w:cs="仿宋"/>
          <w:b/>
          <w:bCs/>
          <w:color w:val="auto"/>
          <w:highlight w:val="none"/>
          <w:lang w:eastAsia="zh-CN"/>
        </w:rPr>
        <w:t>.4</w:t>
      </w:r>
    </w:p>
    <w:p w14:paraId="27DC645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20384" behindDoc="0" locked="0" layoutInCell="1" allowOverlap="1">
                <wp:simplePos x="0" y="0"/>
                <wp:positionH relativeFrom="column">
                  <wp:posOffset>-114300</wp:posOffset>
                </wp:positionH>
                <wp:positionV relativeFrom="paragraph">
                  <wp:posOffset>8255</wp:posOffset>
                </wp:positionV>
                <wp:extent cx="842645" cy="693420"/>
                <wp:effectExtent l="0" t="0" r="0" b="0"/>
                <wp:wrapNone/>
                <wp:docPr id="841" name="文本框 1047"/>
                <wp:cNvGraphicFramePr/>
                <a:graphic xmlns:a="http://schemas.openxmlformats.org/drawingml/2006/main">
                  <a:graphicData uri="http://schemas.microsoft.com/office/word/2010/wordprocessingShape">
                    <wps:wsp>
                      <wps:cNvSpPr txBox="1">
                        <a:spLocks noChangeArrowheads="1"/>
                      </wps:cNvSpPr>
                      <wps:spPr bwMode="auto">
                        <a:xfrm>
                          <a:off x="0" y="0"/>
                          <a:ext cx="842645" cy="693420"/>
                        </a:xfrm>
                        <a:prstGeom prst="rect">
                          <a:avLst/>
                        </a:prstGeom>
                        <a:noFill/>
                        <a:ln>
                          <a:noFill/>
                        </a:ln>
                        <a:effectLst/>
                      </wps:spPr>
                      <wps:txbx>
                        <w:txbxContent>
                          <w:p w14:paraId="547D2C4B">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签发期中支付证书的限制</w:t>
                            </w:r>
                          </w:p>
                        </w:txbxContent>
                      </wps:txbx>
                      <wps:bodyPr rot="0" vert="horz" wrap="square" lIns="91440" tIns="45720" rIns="91440" bIns="45720" anchor="t" anchorCtr="0" upright="1">
                        <a:noAutofit/>
                      </wps:bodyPr>
                    </wps:wsp>
                  </a:graphicData>
                </a:graphic>
              </wp:anchor>
            </w:drawing>
          </mc:Choice>
          <mc:Fallback>
            <w:pict>
              <v:shape id="文本框 1047" o:spid="_x0000_s1026" o:spt="202" type="#_x0000_t202" style="position:absolute;left:0pt;margin-left:-9pt;margin-top:0.65pt;height:54.6pt;width:66.35pt;z-index:251920384;mso-width-relative:page;mso-height-relative:page;" filled="f" stroked="f" coordsize="21600,21600" o:gfxdata="UEsDBAoAAAAAAIdO4kAAAAAAAAAAAAAAAAAEAAAAZHJzL1BLAwQUAAAACACHTuJAU9zR2dUAAAAJ&#10;AQAADwAAAGRycy9kb3ducmV2LnhtbE2PTU/DMAyG70j8h8hI3DansMEoTXcAcQUxPiRuWeO1FY1T&#10;Ndla/j3uCW62Huv18xbbyXfqRENsAxvIlhoUcRVcy7WB97enxQZUTJad7QKTgR+KsC3PzwqbuzDy&#10;K512qVYSwjG3BpqU+hwxVg15G5ehJxZ2CIO3SdahRjfYUcJ9h1da36C3LcuHxvb00FD1vTt6Ax/P&#10;h6/PlX6pH/26H8Okkf0dGnN5kel7UImm9HcMs76oQylO+3BkF1VnYJFtpEsScA1q5tnqFtR+HvQa&#10;sCzwf4PyF1BLAwQUAAAACACHTuJA265oySECAAAnBAAADgAAAGRycy9lMm9Eb2MueG1srVNLbtsw&#10;EN0X6B0I7mvZruI4guUgjZGiQPoB0h6ApiiLqMRhh7Ql9wDNDbrqpvuey+fokFJcN91k0Q1BcoZv&#10;5r15XFx2Tc12Cp0Gk/PJaMyZMhIKbTY5//Tx5sWcM+eFKUQNRuV8rxy/XD5/tmhtpqZQQV0oZARi&#10;XNbanFfe2yxJnKxUI9wIrDIULAEb4emIm6RA0RJ6UyfT8XiWtICFRZDKObpd9UE+IOJTAKEstVQr&#10;kNtGGd+joqqFJ0qu0tbxZey2LJX078vSKc/qnBNTH1cqQvt1WJPlQmQbFLbScmhBPKWFR5waoQ0V&#10;PUKthBdsi/ofqEZLBAelH0lokp5IVIRYTMaPtLmrhFWRC0nt7FF09/9g5bvdB2S6yPk8nXBmREMj&#10;P3y/P/z4dfj5jU3G6XnQqLUuo9Q7S8m+ewUdOSfydfYW5GfHDFxXwmzUFSK0lRIF9TgJL5OTpz2O&#10;CyDr9i0UVEpsPUSgrsQmCEiSMEKn+eyP81GdZ5Iu5+l0lp5xJik0u3iZTuP8EpE9PLbo/GsFDQub&#10;nCONP4KL3a3zoRmRPaSEWgZudF1HC9TmrwtK7G9U9NDwOlAJ3fc8fLfuBmnWUOyJFELvL/pdtKkA&#10;v3LWkrdy7r5sBSrO6jeGhLmYpGkwYzykZ+fEg+FpZH0aEUYSVM49Z/322vcG3lrUm4oq9aMwcEVi&#10;ljoSDa32XQ0jIP9E/oPXg0FPzzHrz/9e/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T3NHZ1QAA&#10;AAkBAAAPAAAAAAAAAAEAIAAAACIAAABkcnMvZG93bnJldi54bWxQSwECFAAUAAAACACHTuJA265o&#10;ySECAAAnBAAADgAAAAAAAAABACAAAAAkAQAAZHJzL2Uyb0RvYy54bWxQSwUGAAAAAAYABgBZAQAA&#10;twUAAAAA&#10;">
                <v:fill on="f" focussize="0,0"/>
                <v:stroke on="f"/>
                <v:imagedata o:title=""/>
                <o:lock v:ext="edit" aspectratio="f"/>
                <v:textbox>
                  <w:txbxContent>
                    <w:p w14:paraId="547D2C4B">
                      <w:pPr>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签发期中支付证书的限制</w:t>
                      </w:r>
                    </w:p>
                  </w:txbxContent>
                </v:textbox>
              </v:shape>
            </w:pict>
          </mc:Fallback>
        </mc:AlternateContent>
      </w:r>
      <w:r>
        <w:rPr>
          <w:rFonts w:hint="eastAsia" w:ascii="仿宋" w:hAnsi="仿宋" w:eastAsia="仿宋" w:cs="仿宋"/>
          <w:color w:val="auto"/>
          <w:sz w:val="24"/>
          <w:szCs w:val="24"/>
          <w:highlight w:val="none"/>
          <w:lang w:eastAsia="zh-CN"/>
        </w:rPr>
        <w:t>如果造价咨询人未在第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款约定的期限内签发期中支付证书的，则视为承包人提交的支付申请已被认可，承包人应及时向发包人发出要求支付的通知。发包人应在收到通知后的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天内，按照承包人支付申请列明的金额向承包人支付进度款。</w:t>
      </w:r>
    </w:p>
    <w:p w14:paraId="40318DE9">
      <w:pPr>
        <w:widowControl w:val="0"/>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86</w:t>
      </w:r>
      <w:r>
        <w:rPr>
          <w:rFonts w:ascii="仿宋" w:hAnsi="仿宋" w:eastAsia="仿宋" w:cs="仿宋"/>
          <w:b/>
          <w:bCs/>
          <w:color w:val="auto"/>
          <w:highlight w:val="none"/>
          <w:lang w:eastAsia="zh-CN"/>
        </w:rPr>
        <w:t>.5</w:t>
      </w:r>
    </w:p>
    <w:p w14:paraId="5FA23B0D">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21408" behindDoc="0" locked="0" layoutInCell="1" allowOverlap="1">
                <wp:simplePos x="0" y="0"/>
                <wp:positionH relativeFrom="column">
                  <wp:posOffset>-114300</wp:posOffset>
                </wp:positionH>
                <wp:positionV relativeFrom="paragraph">
                  <wp:posOffset>12065</wp:posOffset>
                </wp:positionV>
                <wp:extent cx="823595" cy="635000"/>
                <wp:effectExtent l="0" t="0" r="0" b="0"/>
                <wp:wrapNone/>
                <wp:docPr id="842" name="文本框 1048"/>
                <wp:cNvGraphicFramePr/>
                <a:graphic xmlns:a="http://schemas.openxmlformats.org/drawingml/2006/main">
                  <a:graphicData uri="http://schemas.microsoft.com/office/word/2010/wordprocessingShape">
                    <wps:wsp>
                      <wps:cNvSpPr txBox="1">
                        <a:spLocks noChangeArrowheads="1"/>
                      </wps:cNvSpPr>
                      <wps:spPr bwMode="auto">
                        <a:xfrm>
                          <a:off x="0" y="0"/>
                          <a:ext cx="823595" cy="635000"/>
                        </a:xfrm>
                        <a:prstGeom prst="rect">
                          <a:avLst/>
                        </a:prstGeom>
                        <a:noFill/>
                        <a:ln>
                          <a:noFill/>
                        </a:ln>
                        <a:effectLst/>
                      </wps:spPr>
                      <wps:txbx>
                        <w:txbxContent>
                          <w:p w14:paraId="3F9AA414">
                            <w:pPr>
                              <w:rPr>
                                <w:rFonts w:hint="eastAsia" w:ascii="楷体_GB2312" w:hAnsi="宋体" w:eastAsia="楷体_GB2312"/>
                                <w:b/>
                                <w:bCs/>
                                <w:sz w:val="18"/>
                                <w:szCs w:val="18"/>
                              </w:rPr>
                            </w:pPr>
                            <w:r>
                              <w:rPr>
                                <w:rFonts w:hint="eastAsia" w:ascii="楷体_GB2312" w:hAnsi="宋体" w:eastAsia="楷体_GB2312" w:cs="楷体_GB2312"/>
                                <w:b/>
                                <w:bCs/>
                                <w:sz w:val="18"/>
                                <w:szCs w:val="18"/>
                              </w:rPr>
                              <w:t>进度款支付的限制</w:t>
                            </w:r>
                          </w:p>
                        </w:txbxContent>
                      </wps:txbx>
                      <wps:bodyPr rot="0" vert="horz" wrap="square" lIns="91440" tIns="45720" rIns="91440" bIns="45720" anchor="t" anchorCtr="0" upright="1">
                        <a:noAutofit/>
                      </wps:bodyPr>
                    </wps:wsp>
                  </a:graphicData>
                </a:graphic>
              </wp:anchor>
            </w:drawing>
          </mc:Choice>
          <mc:Fallback>
            <w:pict>
              <v:shape id="文本框 1048" o:spid="_x0000_s1026" o:spt="202" type="#_x0000_t202" style="position:absolute;left:0pt;margin-left:-9pt;margin-top:0.95pt;height:50pt;width:64.85pt;z-index:251921408;mso-width-relative:page;mso-height-relative:page;" filled="f" stroked="f" coordsize="21600,21600" o:gfxdata="UEsDBAoAAAAAAIdO4kAAAAAAAAAAAAAAAAAEAAAAZHJzL1BLAwQUAAAACACHTuJAGEr78dUAAAAJ&#10;AQAADwAAAGRycy9kb3ducmV2LnhtbE2PS0/DMBCE70j8B2uRuLVrIx5tiNMDiCuI8pC4ufE2iYjX&#10;Uew24d+zPcFtd2c0+025mUOvjjSmLrIFs9SgiOvoO24svL89LVagUnbsXR+ZLPxQgk11fla6wseJ&#10;X+m4zY2SEE6Fs9DmPBSIqW4puLSMA7Fo+zgGl2UdG/SjmyQ89Hil9S0G17F8aN1ADy3V39tDsPDx&#10;vP/6vNYvzWO4GaY4a+SwRmsvL4y+B5Vpzn9mOOELOlTCtIsH9kn1FhZmJV2yCGtQJ92YO1A7GbRc&#10;sCrxf4PqF1BLAwQUAAAACACHTuJAyC6JkyECAAAnBAAADgAAAGRycy9lMm9Eb2MueG1srVNLbtsw&#10;EN0X6B0I7mvJjp06guUgjZGiQPoB0h6ApiiLqMRhh7Ql9wDNDbrqpvuey+fokFJcN91k0Q1BcoZv&#10;5r15XFx2Tc12Cp0Gk/PxKOVMGQmFNpucf/p482LOmfPCFKIGo3K+V45fLp8/W7Q2UxOooC4UMgIx&#10;LmttzivvbZYkTlaqEW4EVhkKloCN8HTETVKgaAm9qZNJmp4nLWBhEaRyjm5XfZAPiPgUQChLLdUK&#10;5LZRxveoqGrhiZKrtHV8GbstSyX9+7J0yrM658TUx5WK0H4d1mS5ENkGha20HFoQT2nhEadGaENF&#10;j1Ar4QXbov4HqtESwUHpRxKapCcSFSEW4/SRNneVsCpyIamdPYru/h+sfLf7gEwXOZ9PJ5wZ0dDI&#10;D9/vDz9+HX5+Y+N0Og8atdZllHpnKdl3r6Aj50S+zt6C/OyYgetKmI26QoS2UqKgHsfhZXLytMdx&#10;AWTdvoWCSomthwjUldgEAUkSRug0n/1xPqrzTNLlfHI2u5hxJil0fjZL0zi/RGQPjy06/1pBw8Im&#10;50jjj+Bid+t8aEZkDymhloEbXdfRArX564IS+xsVPTS8DlRC9z0P3627QZo1FHsihdD7i34XbSrA&#10;r5y15K2cuy9bgYqz+o0hYS7G02kwYzxMZy8ndMDTyPo0IowkqJx7zvrtte8NvLWoNxVV6kdh4IrE&#10;LHUkGlrtuxpGQP6J/AevB4OenmPWn/+9/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YSvvx1QAA&#10;AAkBAAAPAAAAAAAAAAEAIAAAACIAAABkcnMvZG93bnJldi54bWxQSwECFAAUAAAACACHTuJAyC6J&#10;kyECAAAnBAAADgAAAAAAAAABACAAAAAkAQAAZHJzL2Uyb0RvYy54bWxQSwUGAAAAAAYABgBZAQAA&#10;twUAAAAA&#10;">
                <v:fill on="f" focussize="0,0"/>
                <v:stroke on="f"/>
                <v:imagedata o:title=""/>
                <o:lock v:ext="edit" aspectratio="f"/>
                <v:textbox>
                  <w:txbxContent>
                    <w:p w14:paraId="3F9AA414">
                      <w:pPr>
                        <w:rPr>
                          <w:rFonts w:hint="eastAsia" w:ascii="楷体_GB2312" w:hAnsi="宋体" w:eastAsia="楷体_GB2312"/>
                          <w:b/>
                          <w:bCs/>
                          <w:sz w:val="18"/>
                          <w:szCs w:val="18"/>
                        </w:rPr>
                      </w:pPr>
                      <w:r>
                        <w:rPr>
                          <w:rFonts w:hint="eastAsia" w:ascii="楷体_GB2312" w:hAnsi="宋体" w:eastAsia="楷体_GB2312" w:cs="楷体_GB2312"/>
                          <w:b/>
                          <w:bCs/>
                          <w:sz w:val="18"/>
                          <w:szCs w:val="18"/>
                        </w:rPr>
                        <w:t>进度款支付的限制</w:t>
                      </w:r>
                    </w:p>
                  </w:txbxContent>
                </v:textbox>
              </v:shape>
            </w:pict>
          </mc:Fallback>
        </mc:AlternateContent>
      </w:r>
      <w:r>
        <w:rPr>
          <w:rFonts w:hint="eastAsia" w:ascii="仿宋" w:hAnsi="仿宋" w:eastAsia="仿宋" w:cs="仿宋"/>
          <w:color w:val="auto"/>
          <w:sz w:val="24"/>
          <w:szCs w:val="24"/>
          <w:highlight w:val="none"/>
          <w:lang w:eastAsia="zh-CN"/>
        </w:rPr>
        <w:t>发包人未按照第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款和第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6</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款约定支付进度款的，承包人应及时向发包人发出要求支付的通知；发包人收到通知后仍不按要求支付的，可与承包人协商签订延期支付协议，经承包人同意后可延期支付，承包人有权按照第83</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款约定获得延期支付的利息。</w:t>
      </w:r>
    </w:p>
    <w:p w14:paraId="2A2D9CF0">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发包人未按照合同约定支付进度款，合同双方当事人又未达成延期支付协议，导致无法继续工作或施工的，承包人可停止工作或施工。发包人应承担由此增加的费用和（或）延误的工期，并向承包人支付合理利润。</w:t>
      </w:r>
    </w:p>
    <w:p w14:paraId="212DE9C0">
      <w:pPr>
        <w:widowControl w:val="0"/>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86</w:t>
      </w:r>
      <w:r>
        <w:rPr>
          <w:rFonts w:ascii="仿宋" w:hAnsi="仿宋" w:eastAsia="仿宋" w:cs="仿宋"/>
          <w:b/>
          <w:bCs/>
          <w:color w:val="auto"/>
          <w:highlight w:val="none"/>
          <w:lang w:eastAsia="zh-CN"/>
        </w:rPr>
        <w:t>.6</w:t>
      </w:r>
    </w:p>
    <w:p w14:paraId="35506044">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22432" behindDoc="0" locked="0" layoutInCell="1" allowOverlap="1">
                <wp:simplePos x="0" y="0"/>
                <wp:positionH relativeFrom="column">
                  <wp:posOffset>-114300</wp:posOffset>
                </wp:positionH>
                <wp:positionV relativeFrom="paragraph">
                  <wp:posOffset>15875</wp:posOffset>
                </wp:positionV>
                <wp:extent cx="789940" cy="424815"/>
                <wp:effectExtent l="0" t="0" r="0" b="0"/>
                <wp:wrapNone/>
                <wp:docPr id="843" name="文本框 1049"/>
                <wp:cNvGraphicFramePr/>
                <a:graphic xmlns:a="http://schemas.openxmlformats.org/drawingml/2006/main">
                  <a:graphicData uri="http://schemas.microsoft.com/office/word/2010/wordprocessingShape">
                    <wps:wsp>
                      <wps:cNvSpPr txBox="1">
                        <a:spLocks noChangeArrowheads="1"/>
                      </wps:cNvSpPr>
                      <wps:spPr bwMode="auto">
                        <a:xfrm>
                          <a:off x="0" y="0"/>
                          <a:ext cx="789940" cy="424815"/>
                        </a:xfrm>
                        <a:prstGeom prst="rect">
                          <a:avLst/>
                        </a:prstGeom>
                        <a:noFill/>
                        <a:ln>
                          <a:noFill/>
                        </a:ln>
                        <a:effectLst/>
                      </wps:spPr>
                      <wps:txbx>
                        <w:txbxContent>
                          <w:p w14:paraId="5407E45E">
                            <w:pPr>
                              <w:rPr>
                                <w:rFonts w:hint="eastAsia" w:ascii="楷体_GB2312" w:hAnsi="宋体" w:eastAsia="楷体_GB2312"/>
                                <w:b/>
                                <w:bCs/>
                                <w:sz w:val="18"/>
                                <w:szCs w:val="18"/>
                              </w:rPr>
                            </w:pPr>
                            <w:r>
                              <w:rPr>
                                <w:rFonts w:hint="eastAsia" w:ascii="楷体_GB2312" w:hAnsi="宋体" w:eastAsia="楷体_GB2312" w:cs="楷体_GB2312"/>
                                <w:b/>
                                <w:bCs/>
                                <w:sz w:val="18"/>
                                <w:szCs w:val="18"/>
                              </w:rPr>
                              <w:t>修正支付证书</w:t>
                            </w:r>
                          </w:p>
                        </w:txbxContent>
                      </wps:txbx>
                      <wps:bodyPr rot="0" vert="horz" wrap="square" lIns="91440" tIns="45720" rIns="91440" bIns="45720" anchor="t" anchorCtr="0" upright="1">
                        <a:noAutofit/>
                      </wps:bodyPr>
                    </wps:wsp>
                  </a:graphicData>
                </a:graphic>
              </wp:anchor>
            </w:drawing>
          </mc:Choice>
          <mc:Fallback>
            <w:pict>
              <v:shape id="文本框 1049" o:spid="_x0000_s1026" o:spt="202" type="#_x0000_t202" style="position:absolute;left:0pt;margin-left:-9pt;margin-top:1.25pt;height:33.45pt;width:62.2pt;z-index:251922432;mso-width-relative:page;mso-height-relative:page;" filled="f" stroked="f" coordsize="21600,21600" o:gfxdata="UEsDBAoAAAAAAIdO4kAAAAAAAAAAAAAAAAAEAAAAZHJzL1BLAwQUAAAACACHTuJAkIDEVtYAAAAI&#10;AQAADwAAAGRycy9kb3ducmV2LnhtbE2PwW7CMBBE75X4B2srcQM7KESQZsOBqleqUlqpNxMvSdR4&#10;HcWGpH9fc2qPoxnNvCl2k+3EjQbfOkZIlgoEceVMyzXC6f1lsQHhg2ajO8eE8EMeduXsodC5cSO/&#10;0e0YahFL2OcaoQmhz6X0VUNW+6XriaN3cYPVIcqhlmbQYyy3nVwplUmrW44Lje5p31D1fbxahI/D&#10;5eszVa/1s133o5uUZLuViPPHRD2BCDSFvzDc8SM6lJHp7K5svOgQFskmfgkIqzWIu6+yFMQZIdum&#10;IMtC/j9Q/gJQSwMEFAAAAAgAh07iQF6fEz4fAgAAJwQAAA4AAABkcnMvZTJvRG9jLnhtbK1TzY7T&#10;MBC+I/EOlu80TcmybdR0tWy1CGn5kRYewHWcxiLxmLHbZHkAeANOXLjzXH0Oxk62lOWyBy6W7Rl/&#10;M983n5cXfduwvUKnwRQ8nUw5U0ZCqc224B8/XD+bc+a8MKVowKiC3ynHL1ZPnyw7m6sZ1NCUChmB&#10;GJd3tuC19zZPEidr1Qo3AasMBSvAVng64jYpUXSE3jbJbDp9kXSApUWQyjm6XQ9BPiLiYwChqrRU&#10;a5C7Vhk/oKJqhCdKrtbW8VXstqqU9O+qyinPmoITUx9XKkL7TViT1VLkWxS21nJsQTymhQecWqEN&#10;FT1CrYUXbIf6H6hWSwQHlZ9IaJOBSFSEWKTTB9rc1sKqyIWkdvYouvt/sPLt/j0yXRZ8nj3nzIiW&#10;Rn74/u3w49fh51eWTrNF0KizLqfUW0vJvn8JPTkn8nX2BuQnxwxc1cJs1SUidLUSJfWYhpfJydMB&#10;xwWQTfcGSioldh4iUF9hGwQkSRih03zujvNRvWeSLs/ni0VGEUmhbJbN07NYQeT3jy06/0pBy8Km&#10;4Ejjj+Bif+N8aEbk9ymhloFr3TTRAo3564IShxsVPTS+DlRC9wMP32/6UZoNlHdECmHwF/0u2tSA&#10;XzjryFsFd593AhVnzWtDwizSLNDw8ZCdnc/ogKeRzWlEGElQBfecDdsrPxh4Z1Fva6o0jMLAJYlZ&#10;6Ug0tDp0NY6A/BP5j14PBj09x6w//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CAxFbWAAAA&#10;CAEAAA8AAAAAAAAAAQAgAAAAIgAAAGRycy9kb3ducmV2LnhtbFBLAQIUABQAAAAIAIdO4kBenxM+&#10;HwIAACcEAAAOAAAAAAAAAAEAIAAAACUBAABkcnMvZTJvRG9jLnhtbFBLBQYAAAAABgAGAFkBAAC2&#10;BQAAAAA=&#10;">
                <v:fill on="f" focussize="0,0"/>
                <v:stroke on="f"/>
                <v:imagedata o:title=""/>
                <o:lock v:ext="edit" aspectratio="f"/>
                <v:textbox>
                  <w:txbxContent>
                    <w:p w14:paraId="5407E45E">
                      <w:pPr>
                        <w:rPr>
                          <w:rFonts w:hint="eastAsia" w:ascii="楷体_GB2312" w:hAnsi="宋体" w:eastAsia="楷体_GB2312"/>
                          <w:b/>
                          <w:bCs/>
                          <w:sz w:val="18"/>
                          <w:szCs w:val="18"/>
                        </w:rPr>
                      </w:pPr>
                      <w:r>
                        <w:rPr>
                          <w:rFonts w:hint="eastAsia" w:ascii="楷体_GB2312" w:hAnsi="宋体" w:eastAsia="楷体_GB2312" w:cs="楷体_GB2312"/>
                          <w:b/>
                          <w:bCs/>
                          <w:sz w:val="18"/>
                          <w:szCs w:val="18"/>
                        </w:rPr>
                        <w:t>修正支付证书</w:t>
                      </w:r>
                    </w:p>
                  </w:txbxContent>
                </v:textbox>
              </v:shape>
            </w:pict>
          </mc:Fallback>
        </mc:AlternateContent>
      </w:r>
      <w:r>
        <w:rPr>
          <w:rFonts w:hint="eastAsia" w:ascii="仿宋" w:hAnsi="仿宋" w:eastAsia="仿宋" w:cs="仿宋"/>
          <w:color w:val="auto"/>
          <w:sz w:val="24"/>
          <w:szCs w:val="24"/>
          <w:highlight w:val="none"/>
          <w:lang w:eastAsia="zh-CN"/>
        </w:rPr>
        <w:t>发现以前签发的任何支付证书有错、漏或重复的，造价咨询人有权在期中支付证书中修正以前签发的任何支付证书，承包人也有权提出修正申请。经合同双方当事人复核同意修正的，应在该支付期的进度款中支付或扣除。如果总承包范围内的工作、工程或其任何部分没有达到质量要求，造价咨询人有权按照合同约定处理，并在任何期中支付证书中扣除相应价款。</w:t>
      </w:r>
    </w:p>
    <w:p w14:paraId="4A5B8602">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319331CD">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6" w:name="_Toc32258"/>
      <w:r>
        <w:rPr>
          <w:rFonts w:hint="eastAsia" w:ascii="仿宋" w:hAnsi="仿宋" w:eastAsia="仿宋" w:cs="仿宋"/>
          <w:bCs w:val="0"/>
          <w:color w:val="auto"/>
          <w:sz w:val="24"/>
          <w:szCs w:val="24"/>
          <w:highlight w:val="none"/>
          <w:lang w:eastAsia="zh-CN"/>
        </w:rPr>
        <w:t>★</w:t>
      </w:r>
      <w:r>
        <w:rPr>
          <w:rFonts w:ascii="仿宋" w:hAnsi="仿宋" w:eastAsia="仿宋" w:cs="仿宋"/>
          <w:bCs w:val="0"/>
          <w:color w:val="auto"/>
          <w:sz w:val="24"/>
          <w:szCs w:val="24"/>
          <w:highlight w:val="none"/>
          <w:lang w:eastAsia="zh-CN"/>
        </w:rPr>
        <w:t>8</w:t>
      </w:r>
      <w:r>
        <w:rPr>
          <w:rFonts w:hint="eastAsia" w:ascii="仿宋" w:hAnsi="仿宋" w:eastAsia="仿宋" w:cs="仿宋"/>
          <w:bCs w:val="0"/>
          <w:color w:val="auto"/>
          <w:sz w:val="24"/>
          <w:szCs w:val="24"/>
          <w:highlight w:val="none"/>
          <w:lang w:eastAsia="zh-CN"/>
        </w:rPr>
        <w:t>7竣工结算</w:t>
      </w:r>
      <w:bookmarkEnd w:id="386"/>
    </w:p>
    <w:p w14:paraId="1FEFA65C">
      <w:pPr>
        <w:widowControl w:val="0"/>
        <w:rPr>
          <w:rFonts w:hint="eastAsia" w:ascii="仿宋" w:hAnsi="仿宋" w:eastAsia="仿宋" w:cs="仿宋"/>
          <w:b/>
          <w:bCs/>
          <w:color w:val="auto"/>
          <w:highlight w:val="none"/>
          <w:lang w:eastAsia="zh-CN"/>
        </w:rPr>
      </w:pPr>
      <w:r>
        <w:rPr>
          <w:rFonts w:ascii="仿宋" w:hAnsi="仿宋" w:eastAsia="仿宋" w:cs="仿宋"/>
          <w:b/>
          <w:bCs/>
          <w:color w:val="auto"/>
          <w:highlight w:val="none"/>
          <w:lang w:eastAsia="zh-CN"/>
        </w:rPr>
        <w:t>8</w:t>
      </w:r>
      <w:r>
        <w:rPr>
          <w:rFonts w:hint="eastAsia" w:ascii="仿宋" w:hAnsi="仿宋" w:eastAsia="仿宋" w:cs="仿宋"/>
          <w:b/>
          <w:bCs/>
          <w:color w:val="auto"/>
          <w:highlight w:val="none"/>
          <w:lang w:eastAsia="zh-CN"/>
        </w:rPr>
        <w:t>7</w:t>
      </w:r>
      <w:r>
        <w:rPr>
          <w:rFonts w:ascii="仿宋" w:hAnsi="仿宋" w:eastAsia="仿宋" w:cs="仿宋"/>
          <w:b/>
          <w:bCs/>
          <w:color w:val="auto"/>
          <w:highlight w:val="none"/>
          <w:lang w:eastAsia="zh-CN"/>
        </w:rPr>
        <w:t>.1</w:t>
      </w:r>
    </w:p>
    <w:p w14:paraId="0C9B39EA">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mc:AlternateContent>
          <mc:Choice Requires="wps">
            <w:drawing>
              <wp:anchor distT="0" distB="0" distL="114300" distR="114300" simplePos="0" relativeHeight="251923456" behindDoc="0" locked="0" layoutInCell="1" allowOverlap="1">
                <wp:simplePos x="0" y="0"/>
                <wp:positionH relativeFrom="column">
                  <wp:posOffset>-114300</wp:posOffset>
                </wp:positionH>
                <wp:positionV relativeFrom="paragraph">
                  <wp:posOffset>38735</wp:posOffset>
                </wp:positionV>
                <wp:extent cx="756920" cy="467995"/>
                <wp:effectExtent l="0" t="0" r="0" b="0"/>
                <wp:wrapNone/>
                <wp:docPr id="844" name="文本框 1050"/>
                <wp:cNvGraphicFramePr/>
                <a:graphic xmlns:a="http://schemas.openxmlformats.org/drawingml/2006/main">
                  <a:graphicData uri="http://schemas.microsoft.com/office/word/2010/wordprocessingShape">
                    <wps:wsp>
                      <wps:cNvSpPr txBox="1">
                        <a:spLocks noChangeArrowheads="1"/>
                      </wps:cNvSpPr>
                      <wps:spPr bwMode="auto">
                        <a:xfrm>
                          <a:off x="0" y="0"/>
                          <a:ext cx="756920" cy="467995"/>
                        </a:xfrm>
                        <a:prstGeom prst="rect">
                          <a:avLst/>
                        </a:prstGeom>
                        <a:noFill/>
                        <a:ln>
                          <a:noFill/>
                        </a:ln>
                        <a:effectLst/>
                      </wps:spPr>
                      <wps:txbx>
                        <w:txbxContent>
                          <w:p w14:paraId="74A71FC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约定结算程序和期限</w:t>
                            </w:r>
                          </w:p>
                        </w:txbxContent>
                      </wps:txbx>
                      <wps:bodyPr rot="0" vert="horz" wrap="square" lIns="91440" tIns="45720" rIns="91440" bIns="45720" anchor="t" anchorCtr="0" upright="1">
                        <a:noAutofit/>
                      </wps:bodyPr>
                    </wps:wsp>
                  </a:graphicData>
                </a:graphic>
              </wp:anchor>
            </w:drawing>
          </mc:Choice>
          <mc:Fallback>
            <w:pict>
              <v:shape id="文本框 1050" o:spid="_x0000_s1026" o:spt="202" type="#_x0000_t202" style="position:absolute;left:0pt;margin-left:-9pt;margin-top:3.05pt;height:36.85pt;width:59.6pt;z-index:251923456;mso-width-relative:page;mso-height-relative:page;" filled="f" stroked="f" coordsize="21600,21600" o:gfxdata="UEsDBAoAAAAAAIdO4kAAAAAAAAAAAAAAAAAEAAAAZHJzL1BLAwQUAAAACACHTuJA1bOEx9UAAAAI&#10;AQAADwAAAGRycy9kb3ducmV2LnhtbE2PwU7DMBBE70j9B2srcWttV9CmIZseQFxBFIrEzY23SUS8&#10;jmK3CX+Pe4LjaEYzb4rd5DpxoSG0nhH0UoEgrrxtuUb4eH9eZCBCNGxN55kQfijArpzdFCa3fuQ3&#10;uuxjLVIJh9wgNDH2uZShasiZsPQ9cfJOfnAmJjnU0g5mTOWukyul1tKZltNCY3p6bKj63p8dwuHl&#10;9PV5p17rJ3ffj35Skt1WIt7OtXoAEWmKf2G44id0KBPT0Z/ZBtEhLHSWvkSEtQZx9ZVegTgibLYZ&#10;yLKQ/w+Uv1BLAwQUAAAACACHTuJAMo07hx8CAAAnBAAADgAAAGRycy9lMm9Eb2MueG1srVNLbtsw&#10;EN0X6B0I7mvZhmzHguUgjZGiQPoB0h6ApiiLqMRhh7Sl9ADtDbLqpvuey+fokLIdN91k0Y1Azgzf&#10;zHvztLjsmprtFDoNJuejwZAzZSQU2mxy/vnTzasLzpwXphA1GJXze+X45fLli0VrMzWGCupCISMQ&#10;47LW5rzy3mZJ4mSlGuEGYJWhZAnYCE9X3CQFipbQmzoZD4fTpAUsLIJUzlF01Sf5ARGfAwhlqaVa&#10;gdw2yvgeFVUtPFFylbaOL+O0Zamk/1CWTnlW55yY+vilJnReh2+yXIhsg8JWWh5GEM8Z4QmnRmhD&#10;TU9QK+EF26L+B6rREsFB6QcSmqQnEhUhFqPhE23uKmFV5EJSO3sS3f0/WPl+9xGZLnJ+kaacGdHQ&#10;yvcPP/Y/f+9/fWej4SRq1FqXUemdpWLfvYaOnBP5OnsL8otjBq4rYTbqChHaSomCZhwFdZOzp2Er&#10;LnMBZN2+g4Jaia2HCNSV2AQBSRJG6LSf+9N+VOeZpOBsMp2PKSMplU5n8/kkdhDZ8bFF598oaFg4&#10;5Bxp/RFc7G6dD8OI7FgSehm40XUdLVCbvwJU2EdU9NDh9XH6nofv1h29DcE1FPdECqH3F/1ddKgA&#10;v3HWkrdy7r5uBSrO6reGhJmP0jSYMV7SySxwwvPM+jwjjCSonHvO+uO17w28tag3FXXqV2HgisQs&#10;dST6ONVhBeSfyP/g9WDQ83usevy/l3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1bOEx9UAAAAI&#10;AQAADwAAAAAAAAABACAAAAAiAAAAZHJzL2Rvd25yZXYueG1sUEsBAhQAFAAAAAgAh07iQDKNO4cf&#10;AgAAJwQAAA4AAAAAAAAAAQAgAAAAJAEAAGRycy9lMm9Eb2MueG1sUEsFBgAAAAAGAAYAWQEAALUF&#10;AAAAAA==&#10;">
                <v:fill on="f" focussize="0,0"/>
                <v:stroke on="f"/>
                <v:imagedata o:title=""/>
                <o:lock v:ext="edit" aspectratio="f"/>
                <v:textbox>
                  <w:txbxContent>
                    <w:p w14:paraId="74A71FC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约定结算程序和期限</w:t>
                      </w:r>
                    </w:p>
                  </w:txbxContent>
                </v:textbox>
              </v:shape>
            </w:pict>
          </mc:Fallback>
        </mc:AlternateContent>
      </w:r>
      <w:r>
        <w:rPr>
          <w:rFonts w:hint="eastAsia" w:ascii="仿宋" w:hAnsi="仿宋" w:eastAsia="仿宋" w:cs="仿宋"/>
          <w:color w:val="auto"/>
          <w:sz w:val="24"/>
          <w:szCs w:val="24"/>
          <w:highlight w:val="none"/>
          <w:lang w:eastAsia="zh-CN"/>
        </w:rPr>
        <w:t>合同双方当事人应遵守法律或规范在专用条款中明确办理竣工结算的程序和时限。专用条款没有约定的，竣工结算按照第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款至第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.5</w:t>
      </w:r>
      <w:r>
        <w:rPr>
          <w:rFonts w:hint="eastAsia" w:ascii="仿宋" w:hAnsi="仿宋" w:eastAsia="仿宋" w:cs="仿宋"/>
          <w:color w:val="auto"/>
          <w:sz w:val="24"/>
          <w:szCs w:val="24"/>
          <w:highlight w:val="none"/>
          <w:lang w:eastAsia="zh-CN"/>
        </w:rPr>
        <w:t>款约定办理。</w:t>
      </w:r>
    </w:p>
    <w:p w14:paraId="1C7BB9F2">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过程结算是指在建设工程总承包合同范围内，合同双方当事人结合项目实际，依据合同约定的支付周期或工程进度节点，对已完成的勘察（如果有）、设计、BIM技术应用、设备及工器具购置（如果有）和施工阶段的主要工作、分部工程或标志性节点形象工程的价款进行的计算、调整、确认和支付等活动。实施过程结算的，合同双方当事人应在合同专用</w:t>
      </w:r>
      <w:r>
        <w:rPr>
          <w:rFonts w:ascii="仿宋" w:hAnsi="仿宋" w:eastAsia="仿宋" w:cs="仿宋"/>
          <w:color w:val="auto"/>
          <w:sz w:val="24"/>
          <w:szCs w:val="24"/>
          <w:highlight w:val="none"/>
          <w:lang w:eastAsia="zh-CN"/>
        </w:rPr>
        <w:t>条款</w:t>
      </w:r>
      <w:r>
        <w:rPr>
          <w:rFonts w:hint="eastAsia" w:ascii="仿宋" w:hAnsi="仿宋" w:eastAsia="仿宋" w:cs="仿宋"/>
          <w:color w:val="auto"/>
          <w:sz w:val="24"/>
          <w:szCs w:val="24"/>
          <w:highlight w:val="none"/>
          <w:lang w:eastAsia="zh-CN"/>
        </w:rPr>
        <w:t>中约定过程结算的支付周期或完成进度节点，进行工作或工程价款结算和支付的依据、程序和方法，明确合同履行过程工作或工程价款的计量、计价、支付等事项。过程结算节点可根据总承包范围、工作内容、工程特点、工作界面、工程界面、工期及分部（工程）验收需要等由发承包双方在合同专用</w:t>
      </w:r>
      <w:r>
        <w:rPr>
          <w:rFonts w:ascii="仿宋" w:hAnsi="仿宋" w:eastAsia="仿宋" w:cs="仿宋"/>
          <w:color w:val="auto"/>
          <w:sz w:val="24"/>
          <w:szCs w:val="24"/>
          <w:highlight w:val="none"/>
          <w:lang w:eastAsia="zh-CN"/>
        </w:rPr>
        <w:t>条款</w:t>
      </w:r>
      <w:r>
        <w:rPr>
          <w:rFonts w:hint="eastAsia" w:ascii="仿宋" w:hAnsi="仿宋" w:eastAsia="仿宋" w:cs="仿宋"/>
          <w:color w:val="auto"/>
          <w:sz w:val="24"/>
          <w:szCs w:val="24"/>
          <w:highlight w:val="none"/>
          <w:lang w:eastAsia="zh-CN"/>
        </w:rPr>
        <w:t>中约定。过程结算文件是工程竣工结算文件的重要内容与组成部分。</w:t>
      </w:r>
    </w:p>
    <w:p w14:paraId="29E4BFD6">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在办理竣工结算期间，发包人按照第83条约定应向承包人支付的工程款及其他款项不停止。</w:t>
      </w:r>
    </w:p>
    <w:p w14:paraId="39F12B4B">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8</w:t>
      </w:r>
      <w:r>
        <w:rPr>
          <w:rFonts w:hint="eastAsia" w:ascii="仿宋" w:hAnsi="仿宋" w:eastAsia="仿宋" w:cs="仿宋"/>
          <w:b/>
          <w:bCs/>
          <w:color w:val="auto"/>
          <w:sz w:val="24"/>
          <w:szCs w:val="24"/>
          <w:highlight w:val="none"/>
          <w:lang w:eastAsia="zh-CN"/>
        </w:rPr>
        <w:t>7</w:t>
      </w:r>
      <w:r>
        <w:rPr>
          <w:rFonts w:ascii="仿宋" w:hAnsi="仿宋" w:eastAsia="仿宋" w:cs="仿宋"/>
          <w:b/>
          <w:bCs/>
          <w:color w:val="auto"/>
          <w:sz w:val="24"/>
          <w:szCs w:val="24"/>
          <w:highlight w:val="none"/>
          <w:lang w:eastAsia="zh-CN"/>
        </w:rPr>
        <w:t xml:space="preserve">.2  </w:t>
      </w:r>
    </w:p>
    <w:p w14:paraId="49272684">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24480" behindDoc="0" locked="0" layoutInCell="1" allowOverlap="1">
                <wp:simplePos x="0" y="0"/>
                <wp:positionH relativeFrom="column">
                  <wp:posOffset>-114300</wp:posOffset>
                </wp:positionH>
                <wp:positionV relativeFrom="paragraph">
                  <wp:posOffset>23495</wp:posOffset>
                </wp:positionV>
                <wp:extent cx="776605" cy="584200"/>
                <wp:effectExtent l="0" t="0" r="0" b="0"/>
                <wp:wrapNone/>
                <wp:docPr id="845" name="文本框 1051"/>
                <wp:cNvGraphicFramePr/>
                <a:graphic xmlns:a="http://schemas.openxmlformats.org/drawingml/2006/main">
                  <a:graphicData uri="http://schemas.microsoft.com/office/word/2010/wordprocessingShape">
                    <wps:wsp>
                      <wps:cNvSpPr txBox="1">
                        <a:spLocks noChangeArrowheads="1"/>
                      </wps:cNvSpPr>
                      <wps:spPr bwMode="auto">
                        <a:xfrm>
                          <a:off x="0" y="0"/>
                          <a:ext cx="776605" cy="584200"/>
                        </a:xfrm>
                        <a:prstGeom prst="rect">
                          <a:avLst/>
                        </a:prstGeom>
                        <a:noFill/>
                        <a:ln>
                          <a:noFill/>
                        </a:ln>
                        <a:effectLst/>
                      </wps:spPr>
                      <wps:txbx>
                        <w:txbxContent>
                          <w:p w14:paraId="3A1F687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递交结算文件及其限制</w:t>
                            </w:r>
                          </w:p>
                        </w:txbxContent>
                      </wps:txbx>
                      <wps:bodyPr rot="0" vert="horz" wrap="square" lIns="91440" tIns="45720" rIns="91440" bIns="45720" anchor="t" anchorCtr="0" upright="1">
                        <a:noAutofit/>
                      </wps:bodyPr>
                    </wps:wsp>
                  </a:graphicData>
                </a:graphic>
              </wp:anchor>
            </w:drawing>
          </mc:Choice>
          <mc:Fallback>
            <w:pict>
              <v:shape id="文本框 1051" o:spid="_x0000_s1026" o:spt="202" type="#_x0000_t202" style="position:absolute;left:0pt;margin-left:-9pt;margin-top:1.85pt;height:46pt;width:61.15pt;z-index:251924480;mso-width-relative:page;mso-height-relative:page;" filled="f" stroked="f" coordsize="21600,21600" o:gfxdata="UEsDBAoAAAAAAIdO4kAAAAAAAAAAAAAAAAAEAAAAZHJzL1BLAwQUAAAACACHTuJANLBvytYAAAAI&#10;AQAADwAAAGRycy9kb3ducmV2LnhtbE2PzU7DMBCE70i8g7VI3Fo7/W/IpociriBaqNSbG2+TiHgd&#10;xW4T3h73RI+jGc18k20G24grdb52jJCMFQjiwpmaS4Sv/dtoBcIHzUY3jgnhlzxs8seHTKfG9fxJ&#10;110oRSxhn2qEKoQ2ldIXFVntx64ljt7ZdVaHKLtSmk73sdw2cqLUQlpdc1yodEvbioqf3cUifL+f&#10;j4eZ+ihf7bzt3aAk27VEfH5K1AuIQEP4D8MNP6JDHplO7sLGiwZhlKzil4AwXYK4+Wo2BXFCWM+X&#10;IPNM3h/I/wBQSwMEFAAAAAgAh07iQHG2vpIfAgAAJwQAAA4AAABkcnMvZTJvRG9jLnhtbK1TS27b&#10;MBDdF+gdCO5r2YY/qWA5SGOkKJB+gLQHoCnKIipx2CFtyT1Ae4Osuum+5/I5OiQd1003WXQjcDjD&#10;N/PePC0u+7ZhO4VOgyn4aDDkTBkJpTabgn/6ePPigjPnhSlFA0YVfK8cv1w+f7bobK7GUENTKmQE&#10;Ylze2YLX3ts8y5ysVSvcAKwylKwAW+EpxE1WougIvW2y8XA4yzrA0iJI5RzdrlKSHxHxKYBQVVqq&#10;Fchtq4xPqKga4YmSq7V1fBmnrSol/fuqcsqzpuDE1McvNaHzOnyz5ULkGxS21vI4gnjKCI84tUIb&#10;anqCWgkv2Bb1P1CtlggOKj+Q0GaJSFSEWIyGj7S5q4VVkQtJ7exJdPf/YOW73Qdkuiz4xWTKmREt&#10;rfxw//3w49fh5zc2Gk5HQaPOupxK7ywV+/4V9OScyNfZW5CfHTNwXQuzUVeI0NVKlDRjfJmdPU04&#10;LoCsu7dQUiux9RCB+grbICBJwgid9rM/7Uf1nkm6nM9nsyFNKSk1vZiQm8JsmcgfHlt0/rWCloVD&#10;wZHWH8HF7tb5VPpQEnoZuNFNEy3QmL8uCDPdqOih4+tAJUyfePh+3R+lWUO5J1IIyV/0d9GhBvzK&#10;WUfeKrj7shWoOGveGBLm5WgyCWaMwWQ6H1OA55n1eUYYSVAF95yl47VPBt5a1JuaOqVVGLgiMSsd&#10;iYZR01QkUAjIP1Gqo9eDQc/jWPXn/17+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Swb8rWAAAA&#10;CAEAAA8AAAAAAAAAAQAgAAAAIgAAAGRycy9kb3ducmV2LnhtbFBLAQIUABQAAAAIAIdO4kBxtr6S&#10;HwIAACcEAAAOAAAAAAAAAAEAIAAAACUBAABkcnMvZTJvRG9jLnhtbFBLBQYAAAAABgAGAFkBAAC2&#10;BQAAAAA=&#10;">
                <v:fill on="f" focussize="0,0"/>
                <v:stroke on="f"/>
                <v:imagedata o:title=""/>
                <o:lock v:ext="edit" aspectratio="f"/>
                <v:textbox>
                  <w:txbxContent>
                    <w:p w14:paraId="3A1F687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递交结算文件及其限制</w:t>
                      </w:r>
                    </w:p>
                  </w:txbxContent>
                </v:textbox>
              </v:shape>
            </w:pict>
          </mc:Fallback>
        </mc:AlternateContent>
      </w:r>
      <w:r>
        <w:rPr>
          <w:rFonts w:hint="eastAsia" w:ascii="仿宋" w:hAnsi="仿宋" w:eastAsia="仿宋" w:cs="仿宋"/>
          <w:color w:val="auto"/>
          <w:sz w:val="24"/>
          <w:szCs w:val="24"/>
          <w:highlight w:val="none"/>
          <w:lang w:eastAsia="zh-CN"/>
        </w:rPr>
        <w:t>承包人应在提交竣工验收申请报告前编制完成竣工结算文件，并在提交竣工验收申请报告的同时向造价咨询人递交竣工结算文件。竣工结算文件清单由双方在专用条款中约定。</w:t>
      </w:r>
    </w:p>
    <w:p w14:paraId="1D4A7415">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未在本款约定的时间内递交竣工结算文件，经发包人催促后仍未递交或没有明确答复的，造价咨询人可根据自己掌握的资料编制竣工结算文件，在报经发包人批准后，作为办理竣工结算和支付结算款的依据，承包人应予以认可。</w:t>
      </w:r>
    </w:p>
    <w:p w14:paraId="3C747FA8">
      <w:pPr>
        <w:pStyle w:val="2"/>
        <w:adjustRightInd w:val="0"/>
        <w:snapToGrid w:val="0"/>
        <w:spacing w:line="360" w:lineRule="auto"/>
        <w:rPr>
          <w:rFonts w:hint="eastAsia" w:ascii="仿宋" w:hAnsi="仿宋" w:eastAsia="仿宋"/>
          <w:b/>
          <w:bCs/>
          <w:color w:val="auto"/>
          <w:sz w:val="24"/>
          <w:szCs w:val="24"/>
          <w:highlight w:val="none"/>
          <w:u w:val="single"/>
          <w:lang w:eastAsia="zh-CN"/>
        </w:rPr>
      </w:pPr>
      <w:r>
        <w:rPr>
          <w:rFonts w:ascii="仿宋" w:hAnsi="仿宋" w:eastAsia="仿宋" w:cs="仿宋"/>
          <w:b/>
          <w:bCs/>
          <w:color w:val="auto"/>
          <w:sz w:val="24"/>
          <w:szCs w:val="24"/>
          <w:highlight w:val="none"/>
          <w:lang w:eastAsia="zh-CN"/>
        </w:rPr>
        <w:t>8</w:t>
      </w:r>
      <w:r>
        <w:rPr>
          <w:rFonts w:hint="eastAsia" w:ascii="仿宋" w:hAnsi="仿宋" w:eastAsia="仿宋" w:cs="仿宋"/>
          <w:b/>
          <w:bCs/>
          <w:color w:val="auto"/>
          <w:sz w:val="24"/>
          <w:szCs w:val="24"/>
          <w:highlight w:val="none"/>
          <w:lang w:eastAsia="zh-CN"/>
        </w:rPr>
        <w:t>7</w:t>
      </w:r>
      <w:r>
        <w:rPr>
          <w:rFonts w:ascii="仿宋" w:hAnsi="仿宋" w:eastAsia="仿宋" w:cs="仿宋"/>
          <w:b/>
          <w:bCs/>
          <w:color w:val="auto"/>
          <w:sz w:val="24"/>
          <w:szCs w:val="24"/>
          <w:highlight w:val="none"/>
          <w:lang w:eastAsia="zh-CN"/>
        </w:rPr>
        <w:t xml:space="preserve">.3  </w:t>
      </w:r>
    </w:p>
    <w:p w14:paraId="65864F62">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25504" behindDoc="0" locked="0" layoutInCell="1" allowOverlap="1">
                <wp:simplePos x="0" y="0"/>
                <wp:positionH relativeFrom="column">
                  <wp:posOffset>-114300</wp:posOffset>
                </wp:positionH>
                <wp:positionV relativeFrom="paragraph">
                  <wp:posOffset>38735</wp:posOffset>
                </wp:positionV>
                <wp:extent cx="794385" cy="491490"/>
                <wp:effectExtent l="0" t="0" r="0" b="0"/>
                <wp:wrapNone/>
                <wp:docPr id="846" name="文本框 1052"/>
                <wp:cNvGraphicFramePr/>
                <a:graphic xmlns:a="http://schemas.openxmlformats.org/drawingml/2006/main">
                  <a:graphicData uri="http://schemas.microsoft.com/office/word/2010/wordprocessingShape">
                    <wps:wsp>
                      <wps:cNvSpPr txBox="1">
                        <a:spLocks noChangeArrowheads="1"/>
                      </wps:cNvSpPr>
                      <wps:spPr bwMode="auto">
                        <a:xfrm>
                          <a:off x="0" y="0"/>
                          <a:ext cx="794385" cy="491490"/>
                        </a:xfrm>
                        <a:prstGeom prst="rect">
                          <a:avLst/>
                        </a:prstGeom>
                        <a:noFill/>
                        <a:ln>
                          <a:noFill/>
                        </a:ln>
                        <a:effectLst/>
                      </wps:spPr>
                      <wps:txbx>
                        <w:txbxContent>
                          <w:p w14:paraId="70D1DC86">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核实结算文件及其限制</w:t>
                            </w:r>
                          </w:p>
                        </w:txbxContent>
                      </wps:txbx>
                      <wps:bodyPr rot="0" vert="horz" wrap="square" lIns="91440" tIns="45720" rIns="91440" bIns="45720" anchor="t" anchorCtr="0" upright="1">
                        <a:noAutofit/>
                      </wps:bodyPr>
                    </wps:wsp>
                  </a:graphicData>
                </a:graphic>
              </wp:anchor>
            </w:drawing>
          </mc:Choice>
          <mc:Fallback>
            <w:pict>
              <v:shape id="文本框 1052" o:spid="_x0000_s1026" o:spt="202" type="#_x0000_t202" style="position:absolute;left:0pt;margin-left:-9pt;margin-top:3.05pt;height:38.7pt;width:62.55pt;z-index:251925504;mso-width-relative:page;mso-height-relative:page;" filled="f" stroked="f" coordsize="21600,21600" o:gfxdata="UEsDBAoAAAAAAIdO4kAAAAAAAAAAAAAAAAAEAAAAZHJzL1BLAwQUAAAACACHTuJAdy+HXdYAAAAI&#10;AQAADwAAAGRycy9kb3ducmV2LnhtbE2PzU7DMBCE70i8g7VI3Fo7QEsI2fQA4gqi/EjctvE2iYjX&#10;Uew24e1xT3Cb1axmvik3s+vVkcfQeUHIlgYUS+1tJw3C+9vTIgcVIoml3gsj/HCATXV+VlJh/SSv&#10;fNzGRqUQCQUhtDEOhdahbtlRWPqBJXl7PzqK6RwbbUeaUrjr9ZUxa+2ok9TQ0sAPLdff24ND+Hje&#10;f33emJfm0a2Gyc9Gi7vTiJcXmbkHFXmOf89wwk/oUCWmnT+IDapHWGR52hIR1hmok29uk9gh5Ncr&#10;0FWp/w+ofgFQSwMEFAAAAAgAh07iQKT9nuIgAgAAJwQAAA4AAABkcnMvZTJvRG9jLnhtbK1TS27b&#10;MBDdF+gdCO5r2a6c2ILlII2RokD6AdIegKYoi6jEYYe0pfQAzQ266qb7nsvn6JBSXDfdZNENQXKG&#10;b+a9eVxedE3N9gqdBpPzyWjMmTISCm22Of/08frFnDPnhSlEDUbl/E45frF6/mzZ2kxNoYK6UMgI&#10;xListTmvvLdZkjhZqUa4EVhlKFgCNsLTEbdJgaIl9KZOpuPxWdICFhZBKufodt0H+YCITwGEstRS&#10;rUHuGmV8j4qqFp4ouUpbx1ex27JU0r8vS6c8q3NOTH1cqQjtN2FNVkuRbVHYSsuhBfGUFh5xaoQ2&#10;VPQItRZesB3qf6AaLREclH4koUl6IlERYjEZP9LmthJWRS4ktbNH0d3/g5Xv9h+Q6SLn8/SMMyMa&#10;Gvnh+/3hx6/Dz29sMp5Ng0atdRml3lpK9t0r6Mg5ka+zNyA/O2bgqhJmqy4Roa2UKKjHSXiZnDzt&#10;cVwA2bRvoaBSYuchAnUlNkFAkoQROs3n7jgf1Xkm6fJ8kb6czziTFEoXk3QR55eI7OGxRedfK2hY&#10;2OQcafwRXOxvnA/NiOwhJdQycK3rOlqgNn9dUGJ/o6KHhteBSui+5+G7TTdIs4Hijkgh9P6i30Wb&#10;CvArZy15K+fuy06g4qx+Y0gYaj0NZoyHdHY+pQOeRjanEWEkQeXcc9Zvr3xv4J1Fva2oUj8KA5ck&#10;Zqkj0dBq39UwAvJP5D94PRj09Byz/vzv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3L4dd1gAA&#10;AAgBAAAPAAAAAAAAAAEAIAAAACIAAABkcnMvZG93bnJldi54bWxQSwECFAAUAAAACACHTuJApP2e&#10;4iACAAAnBAAADgAAAAAAAAABACAAAAAlAQAAZHJzL2Uyb0RvYy54bWxQSwUGAAAAAAYABgBZAQAA&#10;twUAAAAA&#10;">
                <v:fill on="f" focussize="0,0"/>
                <v:stroke on="f"/>
                <v:imagedata o:title=""/>
                <o:lock v:ext="edit" aspectratio="f"/>
                <v:textbox>
                  <w:txbxContent>
                    <w:p w14:paraId="70D1DC86">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核实结算文件及其限制</w:t>
                      </w:r>
                    </w:p>
                  </w:txbxContent>
                </v:textbox>
              </v:shape>
            </w:pict>
          </mc:Fallback>
        </mc:AlternateContent>
      </w:r>
      <w:r>
        <w:rPr>
          <w:rFonts w:hint="eastAsia" w:ascii="仿宋" w:hAnsi="仿宋" w:eastAsia="仿宋" w:cs="仿宋"/>
          <w:color w:val="auto"/>
          <w:sz w:val="24"/>
          <w:szCs w:val="24"/>
          <w:highlight w:val="none"/>
          <w:lang w:eastAsia="zh-CN"/>
        </w:rPr>
        <w:t>造价咨询人应在收到承包人按照第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款约定递交的竣工结算文件后的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天内予以核实，并向承包人提出完整的核实意见（包括进一步补充资料和修改结算文件），同时抄报发包人。承包人在收到核实意见后的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天内按照造价咨询人提出的合理要求补充资料，修改竣工结算文件，并再次递交给造价咨询人。</w:t>
      </w:r>
    </w:p>
    <w:p w14:paraId="665EE3B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造价咨询人在收到竣工结算文件后的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天内，不核实竣工结算或未提出核实意见的，视为承包人递交的竣工结算已被认可。</w:t>
      </w:r>
    </w:p>
    <w:p w14:paraId="11478B87">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承包人在收到造价咨询人提出的核实意见后的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天内，不确认也未提出异议的，视为造价咨询人提出的核实意见已被认可，竣工结算办理完毕。</w:t>
      </w:r>
    </w:p>
    <w:p w14:paraId="063A3344">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对组成合同价格任一部分的过程结算计量计价有争议的，争议部分按第91.4款约定进行调解或认定，若合同双方或一方当事人在收到争议调解或认定机构的书面结果后明确表示不同意，或在28天内没有书面确认，任何一方均可向广州建设工程仲裁院提出仲裁申请。仲裁机构对争议部分裁决的价款与无争议部分的过程结算价款之和，即作为该合同价格组成部分的阶段结算价款。</w:t>
      </w:r>
    </w:p>
    <w:p w14:paraId="715CED13">
      <w:pPr>
        <w:pStyle w:val="2"/>
        <w:adjustRightInd w:val="0"/>
        <w:snapToGrid w:val="0"/>
        <w:spacing w:line="360" w:lineRule="auto"/>
        <w:rPr>
          <w:rFonts w:hint="eastAsia" w:ascii="仿宋" w:hAnsi="仿宋" w:eastAsia="仿宋"/>
          <w:b/>
          <w:bCs/>
          <w:color w:val="auto"/>
          <w:sz w:val="24"/>
          <w:szCs w:val="24"/>
          <w:highlight w:val="none"/>
          <w:u w:val="single"/>
          <w:lang w:eastAsia="zh-CN"/>
        </w:rPr>
      </w:pPr>
      <w:r>
        <w:rPr>
          <w:rFonts w:ascii="仿宋" w:hAnsi="仿宋" w:eastAsia="仿宋" w:cs="仿宋"/>
          <w:b/>
          <w:bCs/>
          <w:color w:val="auto"/>
          <w:sz w:val="24"/>
          <w:szCs w:val="24"/>
          <w:highlight w:val="none"/>
          <w:lang w:eastAsia="zh-CN"/>
        </w:rPr>
        <w:t>8</w:t>
      </w:r>
      <w:r>
        <w:rPr>
          <w:rFonts w:hint="eastAsia" w:ascii="仿宋" w:hAnsi="仿宋" w:eastAsia="仿宋" w:cs="仿宋"/>
          <w:b/>
          <w:bCs/>
          <w:color w:val="auto"/>
          <w:sz w:val="24"/>
          <w:szCs w:val="24"/>
          <w:highlight w:val="none"/>
          <w:lang w:eastAsia="zh-CN"/>
        </w:rPr>
        <w:t>7</w:t>
      </w:r>
      <w:r>
        <w:rPr>
          <w:rFonts w:ascii="仿宋" w:hAnsi="仿宋" w:eastAsia="仿宋" w:cs="仿宋"/>
          <w:b/>
          <w:bCs/>
          <w:color w:val="auto"/>
          <w:sz w:val="24"/>
          <w:szCs w:val="24"/>
          <w:highlight w:val="none"/>
          <w:lang w:eastAsia="zh-CN"/>
        </w:rPr>
        <w:t xml:space="preserve">.4  </w:t>
      </w:r>
    </w:p>
    <w:p w14:paraId="69748F8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u w:val="single"/>
          <w:lang w:eastAsia="zh-CN"/>
        </w:rPr>
      </w:pPr>
      <w:r>
        <w:rPr>
          <w:color w:val="auto"/>
          <w:highlight w:val="none"/>
          <w:lang w:eastAsia="zh-CN"/>
        </w:rPr>
        <mc:AlternateContent>
          <mc:Choice Requires="wps">
            <w:drawing>
              <wp:anchor distT="0" distB="0" distL="114300" distR="114300" simplePos="0" relativeHeight="251926528" behindDoc="0" locked="0" layoutInCell="1" allowOverlap="1">
                <wp:simplePos x="0" y="0"/>
                <wp:positionH relativeFrom="column">
                  <wp:posOffset>-114300</wp:posOffset>
                </wp:positionH>
                <wp:positionV relativeFrom="paragraph">
                  <wp:posOffset>15875</wp:posOffset>
                </wp:positionV>
                <wp:extent cx="832485" cy="822325"/>
                <wp:effectExtent l="0" t="0" r="0" b="0"/>
                <wp:wrapNone/>
                <wp:docPr id="847" name="文本框 1053"/>
                <wp:cNvGraphicFramePr/>
                <a:graphic xmlns:a="http://schemas.openxmlformats.org/drawingml/2006/main">
                  <a:graphicData uri="http://schemas.microsoft.com/office/word/2010/wordprocessingShape">
                    <wps:wsp>
                      <wps:cNvSpPr txBox="1">
                        <a:spLocks noChangeArrowheads="1"/>
                      </wps:cNvSpPr>
                      <wps:spPr bwMode="auto">
                        <a:xfrm>
                          <a:off x="0" y="0"/>
                          <a:ext cx="832485" cy="822325"/>
                        </a:xfrm>
                        <a:prstGeom prst="rect">
                          <a:avLst/>
                        </a:prstGeom>
                        <a:noFill/>
                        <a:ln>
                          <a:noFill/>
                        </a:ln>
                        <a:effectLst/>
                      </wps:spPr>
                      <wps:txbx>
                        <w:txbxContent>
                          <w:p w14:paraId="5BFCC62C">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复核再次递交结算文件</w:t>
                            </w:r>
                          </w:p>
                        </w:txbxContent>
                      </wps:txbx>
                      <wps:bodyPr rot="0" vert="horz" wrap="square" lIns="91440" tIns="45720" rIns="91440" bIns="45720" anchor="t" anchorCtr="0" upright="1">
                        <a:noAutofit/>
                      </wps:bodyPr>
                    </wps:wsp>
                  </a:graphicData>
                </a:graphic>
              </wp:anchor>
            </w:drawing>
          </mc:Choice>
          <mc:Fallback>
            <w:pict>
              <v:shape id="文本框 1053" o:spid="_x0000_s1026" o:spt="202" type="#_x0000_t202" style="position:absolute;left:0pt;margin-left:-9pt;margin-top:1.25pt;height:64.75pt;width:65.55pt;z-index:251926528;mso-width-relative:page;mso-height-relative:page;" filled="f" stroked="f" coordsize="21600,21600" o:gfxdata="UEsDBAoAAAAAAIdO4kAAAAAAAAAAAAAAAAAEAAAAZHJzL1BLAwQUAAAACACHTuJATF+hx9YAAAAJ&#10;AQAADwAAAGRycy9kb3ducmV2LnhtbE2PwU7DMBBE70j9B2uRuLW2U1qVEKeHIq4gCkXito23SUS8&#10;jmK3CX+Pe4LbrGY186bYTq4TFxpC69mAXigQxJW3LdcGPt6f5xsQISJb7DyTgR8KsC1nNwXm1o/8&#10;Rpd9rEUK4ZCjgSbGPpcyVA05DAvfEyfv5AeHMZ1DLe2AYwp3ncyUWkuHLaeGBnvaNVR978/OwOHl&#10;9PV5r17rJ7fqRz8pye5BGnN3q9UjiEhT/HuGK35ChzIxHf2ZbRCdgbnepC3RQLYCcfX1UoM4JrHM&#10;FMiykP8XlL9QSwMEFAAAAAgAh07iQMqX/IEgAgAAJwQAAA4AAABkcnMvZTJvRG9jLnhtbK1TzY7T&#10;MBC+I/EOlu80bdqyJWq6WrZahLT8SAsP4DpOY5F4zNhtUh4A3oATF+48V5+DsZMtZbnsgYtle8bf&#10;zPfN5+Vl19Rsr9BpMDmfjMacKSOh0Gab848fbp4tOHNemELUYFTOD8rxy9XTJ8vWZiqFCupCISMQ&#10;47LW5rzy3mZJ4mSlGuFGYJWhYAnYCE9H3CYFipbQmzpJx+PnSQtYWASpnKPbdR/kAyI+BhDKUku1&#10;BrlrlPE9KqpaeKLkKm0dX8Vuy1JJ/64snfKszjkx9XGlIrTfhDVZLUW2RWErLYcWxGNaeMCpEdpQ&#10;0RPUWnjBdqj/gWq0RHBQ+pGEJumJREWIxWT8QJu7SlgVuZDUzp5Ed/8PVr7dv0emi5wvZhecGdHQ&#10;yI/fvx1//Dr+/Mom4/k0aNRal1HqnaVk372EjpwT+Tp7C/KTYwauK2G26goR2kqJgnqchJfJ2dMe&#10;xwWQTfsGCioldh4iUFdiEwQkSRih03wOp/mozjNJl4tpOlvMOZMUWqTpNJ3HCiK7f2zR+VcKGhY2&#10;OUcafwQX+1vnQzMiu08JtQzc6LqOFqjNXxeU2N+o6KHhdaASuu95+G7TDdJsoDgQKYTeX/S7aFMB&#10;fuGsJW/l3H3eCVSc1a8NCfNiMpsFM8bDbH6R0gHPI5vziDCSoHLuOeu317438M6i3lZUqR+FgSsS&#10;s9SRaGi172oYAfkn8h+8Hgx6fo5Zf/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MX6HH1gAA&#10;AAkBAAAPAAAAAAAAAAEAIAAAACIAAABkcnMvZG93bnJldi54bWxQSwECFAAUAAAACACHTuJAypf8&#10;gSACAAAnBAAADgAAAAAAAAABACAAAAAlAQAAZHJzL2Uyb0RvYy54bWxQSwUGAAAAAAYABgBZAQAA&#10;twUAAAAA&#10;">
                <v:fill on="f" focussize="0,0"/>
                <v:stroke on="f"/>
                <v:imagedata o:title=""/>
                <o:lock v:ext="edit" aspectratio="f"/>
                <v:textbox>
                  <w:txbxContent>
                    <w:p w14:paraId="5BFCC62C">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复核再次递交结算文件</w:t>
                      </w:r>
                    </w:p>
                  </w:txbxContent>
                </v:textbox>
              </v:shape>
            </w:pict>
          </mc:Fallback>
        </mc:AlternateContent>
      </w:r>
      <w:r>
        <w:rPr>
          <w:rFonts w:hint="eastAsia" w:ascii="仿宋" w:hAnsi="仿宋" w:eastAsia="仿宋" w:cs="仿宋"/>
          <w:color w:val="auto"/>
          <w:sz w:val="24"/>
          <w:szCs w:val="24"/>
          <w:highlight w:val="none"/>
          <w:lang w:eastAsia="zh-CN"/>
        </w:rPr>
        <w:t>造价咨询人应在收到承包人按照第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款约定再次递交的竣工结算文件后的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天内予以复核，并将复核结果通知承包人、抄报发包人。</w:t>
      </w:r>
    </w:p>
    <w:p w14:paraId="7447D8D7">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）经复核无误的，除属于第91条约定的争议外，发包人应在</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天内在竣工结算文件上签字确认，竣工结算办理完毕。</w:t>
      </w:r>
    </w:p>
    <w:p w14:paraId="0D90C2A7">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u w:val="singl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）经复核认为有误的：无误部分按照本款第</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点约定办理不完全竣工结算；有误部分由造价咨询人与合同双方当事人协商解决，或按照第91条约定处理。</w:t>
      </w:r>
    </w:p>
    <w:p w14:paraId="2DBECD29">
      <w:pPr>
        <w:pStyle w:val="2"/>
        <w:adjustRightInd w:val="0"/>
        <w:snapToGrid w:val="0"/>
        <w:spacing w:line="360" w:lineRule="auto"/>
        <w:rPr>
          <w:rFonts w:hint="eastAsia" w:ascii="仿宋" w:hAnsi="仿宋" w:eastAsia="仿宋"/>
          <w:color w:val="auto"/>
          <w:sz w:val="24"/>
          <w:szCs w:val="24"/>
          <w:highlight w:val="none"/>
          <w:lang w:eastAsia="zh-CN"/>
        </w:rPr>
      </w:pPr>
      <w:r>
        <w:rPr>
          <w:rFonts w:ascii="仿宋" w:hAnsi="仿宋" w:eastAsia="仿宋" w:cs="仿宋"/>
          <w:b/>
          <w:bCs/>
          <w:color w:val="auto"/>
          <w:sz w:val="24"/>
          <w:szCs w:val="24"/>
          <w:highlight w:val="none"/>
          <w:lang w:eastAsia="zh-CN"/>
        </w:rPr>
        <w:t>8</w:t>
      </w:r>
      <w:r>
        <w:rPr>
          <w:rFonts w:hint="eastAsia" w:ascii="仿宋" w:hAnsi="仿宋" w:eastAsia="仿宋" w:cs="仿宋"/>
          <w:b/>
          <w:bCs/>
          <w:color w:val="auto"/>
          <w:sz w:val="24"/>
          <w:szCs w:val="24"/>
          <w:highlight w:val="none"/>
          <w:lang w:eastAsia="zh-CN"/>
        </w:rPr>
        <w:t>7</w:t>
      </w:r>
      <w:r>
        <w:rPr>
          <w:rFonts w:ascii="仿宋" w:hAnsi="仿宋" w:eastAsia="仿宋" w:cs="仿宋"/>
          <w:b/>
          <w:bCs/>
          <w:color w:val="auto"/>
          <w:sz w:val="24"/>
          <w:szCs w:val="24"/>
          <w:highlight w:val="none"/>
          <w:lang w:eastAsia="zh-CN"/>
        </w:rPr>
        <w:t>.5</w:t>
      </w:r>
    </w:p>
    <w:p w14:paraId="5B0EF74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27552" behindDoc="0" locked="0" layoutInCell="1" allowOverlap="1">
                <wp:simplePos x="0" y="0"/>
                <wp:positionH relativeFrom="column">
                  <wp:posOffset>-114300</wp:posOffset>
                </wp:positionH>
                <wp:positionV relativeFrom="paragraph">
                  <wp:posOffset>5715</wp:posOffset>
                </wp:positionV>
                <wp:extent cx="737235" cy="354330"/>
                <wp:effectExtent l="0" t="0" r="0" b="0"/>
                <wp:wrapNone/>
                <wp:docPr id="848" name="文本框 1054"/>
                <wp:cNvGraphicFramePr/>
                <a:graphic xmlns:a="http://schemas.openxmlformats.org/drawingml/2006/main">
                  <a:graphicData uri="http://schemas.microsoft.com/office/word/2010/wordprocessingShape">
                    <wps:wsp>
                      <wps:cNvSpPr txBox="1">
                        <a:spLocks noChangeArrowheads="1"/>
                      </wps:cNvSpPr>
                      <wps:spPr bwMode="auto">
                        <a:xfrm>
                          <a:off x="0" y="0"/>
                          <a:ext cx="737235" cy="354330"/>
                        </a:xfrm>
                        <a:prstGeom prst="rect">
                          <a:avLst/>
                        </a:prstGeom>
                        <a:noFill/>
                        <a:ln>
                          <a:noFill/>
                        </a:ln>
                        <a:effectLst/>
                      </wps:spPr>
                      <wps:txbx>
                        <w:txbxContent>
                          <w:p w14:paraId="42996A0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交付工程</w:t>
                            </w:r>
                          </w:p>
                        </w:txbxContent>
                      </wps:txbx>
                      <wps:bodyPr rot="0" vert="horz" wrap="square" lIns="91440" tIns="45720" rIns="91440" bIns="45720" anchor="t" anchorCtr="0" upright="1">
                        <a:noAutofit/>
                      </wps:bodyPr>
                    </wps:wsp>
                  </a:graphicData>
                </a:graphic>
              </wp:anchor>
            </w:drawing>
          </mc:Choice>
          <mc:Fallback>
            <w:pict>
              <v:shape id="文本框 1054" o:spid="_x0000_s1026" o:spt="202" type="#_x0000_t202" style="position:absolute;left:0pt;margin-left:-9pt;margin-top:0.45pt;height:27.9pt;width:58.05pt;z-index:251927552;mso-width-relative:page;mso-height-relative:page;" filled="f" stroked="f" coordsize="21600,21600" o:gfxdata="UEsDBAoAAAAAAIdO4kAAAAAAAAAAAAAAAAAEAAAAZHJzL1BLAwQUAAAACACHTuJANzkswNUAAAAG&#10;AQAADwAAAGRycy9kb3ducmV2LnhtbE2PwU7DMBBE70j9B2uRuLV2EG2TNJseiriCaAtSb268TSLi&#10;dRS7Tfh7zAmOoxnNvCm2k+3EjQbfOkZIFgoEceVMyzXC8fAyT0H4oNnozjEhfJOHbTm7K3Ru3Mjv&#10;dNuHWsQS9rlGaELocyl91ZDVfuF64uhd3GB1iHKopRn0GMttJx+VWkmrW44Lje5p11D1tb9ahI/X&#10;y+nzSb3Vz3bZj25Skm0mER/uE7UBEWgKf2H4xY/oUEams7uy8aJDmCdp/BIQMhDRztIExBlhuVqD&#10;LAv5H7/8AVBLAwQUAAAACACHTuJAjD60hiACAAAnBAAADgAAAGRycy9lMm9Eb2MueG1srVPNjtMw&#10;EL4j8Q6W7zT9SekSNV0tWy1CWn6khQdwHaexSDxm7DYpDwBvwIkLd56rz8HYyZayXPbAxbI942/m&#10;++bz8rJrarZX6DSYnE9GY86UkVBos835xw83zy44c16YQtRgVM4PyvHL1dMny9ZmagoV1IVCRiDG&#10;Za3NeeW9zZLEyUo1wo3AKkPBErARno64TQoULaE3dTIdj58nLWBhEaRyjm7XfZAPiPgYQChLLdUa&#10;5K5RxveoqGrhiZKrtHV8FbstSyX9u7J0yrM658TUx5WK0H4T1mS1FNkWha20HFoQj2nhAadGaENF&#10;T1Br4QXbof4HqtESwUHpRxKapCcSFSEWk/EDbe4qYVXkQlI7exLd/T9Y+Xb/Hpkucn6R0uCNaGjk&#10;x+/fjj9+HX9+ZZPxPA0atdZllHpnKdl3L6Ej50S+zt6C/OSYgetKmK26QoS2UqKgHifhZXL2tMdx&#10;AWTTvoGCSomdhwjUldgEAUkSRug0n8NpPqrzTNLlYraYzuacSQrN5ulsFueXiOz+sUXnXyloWNjk&#10;HGn8EVzsb50PzYjsPiXUMnCj6zpaoDZ/XVBif6Oih4bXgUrovufhu003SLOB4kCkEHp/0e+iTQX4&#10;hbOWvJVz93knUHFWvzYkzItJmgYzxkM6X0zpgOeRzXlEGElQOfec9dtr3xt4Z1FvK6rUj8LAFYlZ&#10;6kg0tNp3NYyA/BP5D14PBj0/x6w//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c5LMDVAAAA&#10;BgEAAA8AAAAAAAAAAQAgAAAAIgAAAGRycy9kb3ducmV2LnhtbFBLAQIUABQAAAAIAIdO4kCMPrSG&#10;IAIAACcEAAAOAAAAAAAAAAEAIAAAACQBAABkcnMvZTJvRG9jLnhtbFBLBQYAAAAABgAGAFkBAAC2&#10;BQAAAAA=&#10;">
                <v:fill on="f" focussize="0,0"/>
                <v:stroke on="f"/>
                <v:imagedata o:title=""/>
                <o:lock v:ext="edit" aspectratio="f"/>
                <v:textbox>
                  <w:txbxContent>
                    <w:p w14:paraId="42996A0F">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交付工程</w:t>
                      </w:r>
                    </w:p>
                  </w:txbxContent>
                </v:textbox>
              </v:shape>
            </w:pict>
          </mc:Fallback>
        </mc:AlternateContent>
      </w:r>
      <w:r>
        <w:rPr>
          <w:rFonts w:hint="eastAsia" w:ascii="仿宋" w:hAnsi="仿宋" w:eastAsia="仿宋" w:cs="仿宋"/>
          <w:color w:val="auto"/>
          <w:sz w:val="24"/>
          <w:szCs w:val="24"/>
          <w:highlight w:val="none"/>
          <w:lang w:eastAsia="zh-CN"/>
        </w:rPr>
        <w:t>发包人应在已核实无误的竣工结算文件上签名确认，拒不签认的，承包人可不交付竣工工程。</w:t>
      </w:r>
    </w:p>
    <w:p w14:paraId="2C347E9E">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承包人未及时递交竣工结算文件的，发包人要求交付竣工工程，承包人应当交付；发包人不要求交付竣工工程，承包人承担照管永久工程责任。</w:t>
      </w:r>
    </w:p>
    <w:p w14:paraId="16BB69B1">
      <w:pPr>
        <w:pStyle w:val="2"/>
        <w:adjustRightInd w:val="0"/>
        <w:snapToGrid w:val="0"/>
        <w:spacing w:line="360" w:lineRule="auto"/>
        <w:rPr>
          <w:rFonts w:hint="eastAsia" w:ascii="仿宋" w:hAnsi="仿宋" w:eastAsia="仿宋"/>
          <w:b/>
          <w:bCs/>
          <w:color w:val="auto"/>
          <w:sz w:val="24"/>
          <w:szCs w:val="24"/>
          <w:highlight w:val="none"/>
          <w:u w:val="single"/>
          <w:lang w:eastAsia="zh-CN"/>
        </w:rPr>
      </w:pPr>
    </w:p>
    <w:p w14:paraId="6127E6B2">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7" w:name="_Toc11864"/>
      <w:r>
        <w:rPr>
          <w:rFonts w:hint="eastAsia" w:ascii="仿宋" w:hAnsi="仿宋" w:eastAsia="仿宋" w:cs="仿宋"/>
          <w:bCs w:val="0"/>
          <w:color w:val="auto"/>
          <w:sz w:val="24"/>
          <w:szCs w:val="24"/>
          <w:highlight w:val="none"/>
          <w:lang w:eastAsia="zh-CN"/>
        </w:rPr>
        <w:t>★</w:t>
      </w:r>
      <w:r>
        <w:rPr>
          <w:rFonts w:ascii="仿宋" w:hAnsi="仿宋" w:eastAsia="仿宋" w:cs="仿宋"/>
          <w:bCs w:val="0"/>
          <w:color w:val="auto"/>
          <w:sz w:val="24"/>
          <w:szCs w:val="24"/>
          <w:highlight w:val="none"/>
          <w:lang w:eastAsia="zh-CN"/>
        </w:rPr>
        <w:t>8</w:t>
      </w:r>
      <w:r>
        <w:rPr>
          <w:rFonts w:hint="eastAsia" w:ascii="仿宋" w:hAnsi="仿宋" w:eastAsia="仿宋" w:cs="仿宋"/>
          <w:bCs w:val="0"/>
          <w:color w:val="auto"/>
          <w:sz w:val="24"/>
          <w:szCs w:val="24"/>
          <w:highlight w:val="none"/>
          <w:lang w:eastAsia="zh-CN"/>
        </w:rPr>
        <w:t>8结算款</w:t>
      </w:r>
      <w:bookmarkEnd w:id="387"/>
    </w:p>
    <w:p w14:paraId="4849DF76">
      <w:pPr>
        <w:rPr>
          <w:rFonts w:hint="eastAsia" w:ascii="仿宋" w:hAnsi="仿宋" w:eastAsia="仿宋" w:cs="仿宋"/>
          <w:color w:val="auto"/>
          <w:highlight w:val="none"/>
          <w:lang w:eastAsia="zh-CN"/>
        </w:rPr>
      </w:pPr>
      <w:r>
        <w:rPr>
          <w:rFonts w:ascii="仿宋" w:hAnsi="仿宋" w:eastAsia="仿宋" w:cs="仿宋"/>
          <w:b/>
          <w:bCs/>
          <w:color w:val="auto"/>
          <w:highlight w:val="none"/>
          <w:lang w:eastAsia="zh-CN"/>
        </w:rPr>
        <w:t>8</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.1</w:t>
      </w:r>
    </w:p>
    <w:p w14:paraId="369EB8A9">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28576" behindDoc="0" locked="0" layoutInCell="1" allowOverlap="1">
                <wp:simplePos x="0" y="0"/>
                <wp:positionH relativeFrom="column">
                  <wp:posOffset>-114300</wp:posOffset>
                </wp:positionH>
                <wp:positionV relativeFrom="paragraph">
                  <wp:posOffset>36195</wp:posOffset>
                </wp:positionV>
                <wp:extent cx="861060" cy="612140"/>
                <wp:effectExtent l="0" t="0" r="0" b="0"/>
                <wp:wrapNone/>
                <wp:docPr id="849" name="文本框 1055"/>
                <wp:cNvGraphicFramePr/>
                <a:graphic xmlns:a="http://schemas.openxmlformats.org/drawingml/2006/main">
                  <a:graphicData uri="http://schemas.microsoft.com/office/word/2010/wordprocessingShape">
                    <wps:wsp>
                      <wps:cNvSpPr txBox="1">
                        <a:spLocks noChangeArrowheads="1"/>
                      </wps:cNvSpPr>
                      <wps:spPr bwMode="auto">
                        <a:xfrm>
                          <a:off x="0" y="0"/>
                          <a:ext cx="861060" cy="612140"/>
                        </a:xfrm>
                        <a:prstGeom prst="rect">
                          <a:avLst/>
                        </a:prstGeom>
                        <a:noFill/>
                        <a:ln>
                          <a:noFill/>
                        </a:ln>
                        <a:effectLst/>
                      </wps:spPr>
                      <wps:txbx>
                        <w:txbxContent>
                          <w:p w14:paraId="0C285B1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提交竣工支付申请</w:t>
                            </w:r>
                          </w:p>
                        </w:txbxContent>
                      </wps:txbx>
                      <wps:bodyPr rot="0" vert="horz" wrap="square" lIns="91440" tIns="45720" rIns="91440" bIns="45720" anchor="t" anchorCtr="0" upright="1">
                        <a:noAutofit/>
                      </wps:bodyPr>
                    </wps:wsp>
                  </a:graphicData>
                </a:graphic>
              </wp:anchor>
            </w:drawing>
          </mc:Choice>
          <mc:Fallback>
            <w:pict>
              <v:shape id="文本框 1055" o:spid="_x0000_s1026" o:spt="202" type="#_x0000_t202" style="position:absolute;left:0pt;margin-left:-9pt;margin-top:2.85pt;height:48.2pt;width:67.8pt;z-index:251928576;mso-width-relative:page;mso-height-relative:page;" filled="f" stroked="f" coordsize="21600,21600" o:gfxdata="UEsDBAoAAAAAAIdO4kAAAAAAAAAAAAAAAAAEAAAAZHJzL1BLAwQUAAAACACHTuJAJhnz9NcAAAAJ&#10;AQAADwAAAGRycy9kb3ducmV2LnhtbE2PS0/DMBCE70j9D9YicWttV/RBiNNDEVcQfSBx28bbJCJe&#10;R7HbhH+Pe4LbrGY1802+GV0rrtSHxrMBPVMgiEtvG64MHPav0zWIEJEttp7JwA8F2BSTuxwz6wf+&#10;oOsuViKFcMjQQB1jl0kZypochpnviJN39r3DmM6+krbHIYW7Vs6VWkqHDaeGGjva1lR+7y7OwPHt&#10;/PX5qN6rF7foBj8qye5JGvNwr9UziEhj/HuGG35ChyIxnfyFbRCtgalepy3RwGIF4ubr1RLEKQk1&#10;1yCLXP5fUPwCUEsDBBQAAAAIAIdO4kAwxNXTIAIAACcEAAAOAAAAZHJzL2Uyb0RvYy54bWytU82O&#10;0zAQviPxDpbvNE3Vlm7UdLVstQhp+ZEWHsB1nMYi8Zix26Q8ALzBnrhw57n6HIydbCnLZQ9cLNsz&#10;/ub7vhkvL7umZnuFToPJeToac6aMhEKbbc4/fbx5seDMeWEKUYNROT8oxy9Xz58tW5upCVRQFwoZ&#10;gRiXtTbnlfc2SxInK9UINwKrDAVLwEZ4OuI2KVC0hN7UyWQ8nictYGERpHKObtd9kA+I+BRAKEst&#10;1RrkrlHG96ioauFJkqu0dXwV2Zalkv59WTrlWZ1zUurjSkVovwlrslqKbIvCVloOFMRTKDzS1Aht&#10;qOgJai28YDvU/0A1WiI4KP1IQpP0QqIjpCIdP/LmrhJWRS1ktbMn093/g5Xv9h+Q6SLni+kFZ0Y0&#10;1PLj/ffjj1/Hn99YOp7NgketdRml3llK9t0r6Ghyol5nb0F+dszAdSXMVl0hQlspURDHNLxMzp72&#10;OC6AbNq3UFApsfMQgboSm2AgWcIInfpzOPVHdZ5JulzM0/GcIpJC83SSTmP/EpE9PLbo/GsFDQub&#10;nCO1P4KL/a3zgYzIHlJCLQM3uq7jCNTmrwtK7G9UnKHhdZAS2Pc6fLfpBms2UBxIFEI/X/S7aFMB&#10;fuWspdnKufuyE6g4q98YMuYinRJ15uNhOns5oQOeRzbnEWEkQeXcc9Zvr30/wDuLeltRpb4VBq7I&#10;zFJHoYFqz2poAc1P1D/MehjQ83PM+vO/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hnz9NcA&#10;AAAJAQAADwAAAAAAAAABACAAAAAiAAAAZHJzL2Rvd25yZXYueG1sUEsBAhQAFAAAAAgAh07iQDDE&#10;1dMgAgAAJwQAAA4AAAAAAAAAAQAgAAAAJgEAAGRycy9lMm9Eb2MueG1sUEsFBgAAAAAGAAYAWQEA&#10;ALgFAAAAAA==&#10;">
                <v:fill on="f" focussize="0,0"/>
                <v:stroke on="f"/>
                <v:imagedata o:title=""/>
                <o:lock v:ext="edit" aspectratio="f"/>
                <v:textbox>
                  <w:txbxContent>
                    <w:p w14:paraId="0C285B1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提交竣工支付申请</w:t>
                      </w:r>
                    </w:p>
                  </w:txbxContent>
                </v:textbox>
              </v:shape>
            </w:pict>
          </mc:Fallback>
        </mc:AlternateContent>
      </w:r>
      <w:r>
        <w:rPr>
          <w:rFonts w:hint="eastAsia" w:ascii="仿宋" w:hAnsi="仿宋" w:eastAsia="仿宋" w:cs="仿宋"/>
          <w:color w:val="auto"/>
          <w:sz w:val="24"/>
          <w:szCs w:val="24"/>
          <w:highlight w:val="none"/>
          <w:lang w:eastAsia="zh-CN"/>
        </w:rPr>
        <w:t>合同双方当事人应在专用条款中明确结算款的支付时限。专用条款没有约定的，结算款支付按照第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8</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款至第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8</w:t>
      </w:r>
      <w:r>
        <w:rPr>
          <w:rFonts w:ascii="仿宋" w:hAnsi="仿宋" w:eastAsia="仿宋" w:cs="仿宋"/>
          <w:color w:val="auto"/>
          <w:sz w:val="24"/>
          <w:szCs w:val="24"/>
          <w:highlight w:val="none"/>
          <w:lang w:eastAsia="zh-CN"/>
        </w:rPr>
        <w:t>.5</w:t>
      </w:r>
      <w:r>
        <w:rPr>
          <w:rFonts w:hint="eastAsia" w:ascii="仿宋" w:hAnsi="仿宋" w:eastAsia="仿宋" w:cs="仿宋"/>
          <w:color w:val="auto"/>
          <w:sz w:val="24"/>
          <w:szCs w:val="24"/>
          <w:highlight w:val="none"/>
          <w:lang w:eastAsia="zh-CN"/>
        </w:rPr>
        <w:t>款约定办理。涉及政府投资资金的工程</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支付期、支付方法等需调整的，应在专用条款中约定。</w:t>
      </w:r>
    </w:p>
    <w:p w14:paraId="10FC80F6">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在向造价咨询人递交竣工结算文件时，根据国家、省规定的格式向造价咨询人递交由承包人代表签认的竣工结算支付申请和竣工结算款额报告一式四份，并附上完整的结算资料，详细列出下列内容，同时抄送发包人、监理人各一份。</w:t>
      </w:r>
    </w:p>
    <w:p w14:paraId="3922E04B">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）根据合同完成总承包范围内所有工作和全部工程的竣工结算总价；</w:t>
      </w:r>
    </w:p>
    <w:p w14:paraId="3532E9A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）根据合同约定发包人应付的剩余所有款项，包括工程勘察费、工程设计费、BIM技术应用费、设备及工器具购置费（如果有）和建筑安装工程费等应付未付金额。</w:t>
      </w:r>
    </w:p>
    <w:p w14:paraId="5F306AFC">
      <w:pPr>
        <w:spacing w:line="360" w:lineRule="auto"/>
        <w:rPr>
          <w:rFonts w:hint="eastAsia" w:ascii="仿宋" w:hAnsi="仿宋" w:eastAsia="仿宋"/>
          <w:b/>
          <w:bCs/>
          <w:color w:val="auto"/>
          <w:highlight w:val="none"/>
          <w:u w:val="single"/>
          <w:lang w:eastAsia="zh-CN"/>
        </w:rPr>
      </w:pPr>
      <w:r>
        <w:rPr>
          <w:rFonts w:ascii="仿宋" w:hAnsi="仿宋" w:eastAsia="仿宋" w:cs="仿宋"/>
          <w:b/>
          <w:bCs/>
          <w:color w:val="auto"/>
          <w:highlight w:val="none"/>
          <w:lang w:eastAsia="zh-CN"/>
        </w:rPr>
        <w:t>8</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.2</w:t>
      </w:r>
    </w:p>
    <w:p w14:paraId="18D5EEA3">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u w:val="single"/>
          <w:lang w:eastAsia="zh-CN"/>
        </w:rPr>
      </w:pPr>
      <w:r>
        <w:rPr>
          <w:color w:val="auto"/>
          <w:highlight w:val="none"/>
          <w:lang w:eastAsia="zh-CN"/>
        </w:rPr>
        <mc:AlternateContent>
          <mc:Choice Requires="wps">
            <w:drawing>
              <wp:anchor distT="0" distB="0" distL="114300" distR="114300" simplePos="0" relativeHeight="251929600" behindDoc="0" locked="0" layoutInCell="1" allowOverlap="1">
                <wp:simplePos x="0" y="0"/>
                <wp:positionH relativeFrom="column">
                  <wp:posOffset>-114300</wp:posOffset>
                </wp:positionH>
                <wp:positionV relativeFrom="paragraph">
                  <wp:posOffset>15875</wp:posOffset>
                </wp:positionV>
                <wp:extent cx="842645" cy="622935"/>
                <wp:effectExtent l="0" t="0" r="0" b="0"/>
                <wp:wrapNone/>
                <wp:docPr id="850" name="文本框 1056"/>
                <wp:cNvGraphicFramePr/>
                <a:graphic xmlns:a="http://schemas.openxmlformats.org/drawingml/2006/main">
                  <a:graphicData uri="http://schemas.microsoft.com/office/word/2010/wordprocessingShape">
                    <wps:wsp>
                      <wps:cNvSpPr txBox="1">
                        <a:spLocks noChangeArrowheads="1"/>
                      </wps:cNvSpPr>
                      <wps:spPr bwMode="auto">
                        <a:xfrm>
                          <a:off x="0" y="0"/>
                          <a:ext cx="842645" cy="622935"/>
                        </a:xfrm>
                        <a:prstGeom prst="rect">
                          <a:avLst/>
                        </a:prstGeom>
                        <a:noFill/>
                        <a:ln>
                          <a:noFill/>
                        </a:ln>
                        <a:effectLst/>
                      </wps:spPr>
                      <wps:txbx>
                        <w:txbxContent>
                          <w:p w14:paraId="77C74F2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签发竣工结算支付证书</w:t>
                            </w:r>
                          </w:p>
                        </w:txbxContent>
                      </wps:txbx>
                      <wps:bodyPr rot="0" vert="horz" wrap="square" lIns="91440" tIns="45720" rIns="91440" bIns="45720" anchor="t" anchorCtr="0" upright="1">
                        <a:noAutofit/>
                      </wps:bodyPr>
                    </wps:wsp>
                  </a:graphicData>
                </a:graphic>
              </wp:anchor>
            </w:drawing>
          </mc:Choice>
          <mc:Fallback>
            <w:pict>
              <v:shape id="文本框 1056" o:spid="_x0000_s1026" o:spt="202" type="#_x0000_t202" style="position:absolute;left:0pt;margin-left:-9pt;margin-top:1.25pt;height:49.05pt;width:66.35pt;z-index:251929600;mso-width-relative:page;mso-height-relative:page;" filled="f" stroked="f" coordsize="21600,21600" o:gfxdata="UEsDBAoAAAAAAIdO4kAAAAAAAAAAAAAAAAAEAAAAZHJzL1BLAwQUAAAACACHTuJAw6d3HNYAAAAJ&#10;AQAADwAAAGRycy9kb3ducmV2LnhtbE2PzU7DMBCE70i8g7VI3Fo7VQttGqcHEFcQ5Ufito23SUS8&#10;jmK3CW/P9gS3Xc1o5ptiN/lOnWmIbWAL2dyAIq6Ca7m28P72NFuDignZYReYLPxQhF15fVVg7sLI&#10;r3Tep1pJCMccLTQp9bnWsWrIY5yHnli0Yxg8JnmHWrsBRwn3nV4Yc6c9tiwNDfb00FD1vT95Cx/P&#10;x6/PpXmpH/2qH8NkNPuNtvb2JjNbUImm9GeGC76gQylMh3BiF1VnYZatZUuysFiBuujZ8h7UQQ6p&#10;BV0W+v+C8hdQSwMEFAAAAAgAh07iQI28KYsgAgAAJwQAAA4AAABkcnMvZTJvRG9jLnhtbK1TzY7T&#10;MBC+I/EOlu80bWhLN2q6WrZahLT8SAsP4DpOY5F4zNhtUh4A3oATF+48V5+DsZMtZbnsgYtle8bf&#10;zPfN5+Vl19Rsr9BpMDmfjMacKSOh0Gab848fbp4tOHNemELUYFTOD8rxy9XTJ8vWZiqFCupCISMQ&#10;47LW5rzy3mZJ4mSlGuFGYJWhYAnYCE9H3CYFipbQmzpJx+N50gIWFkEq5+h23Qf5gIiPAYSy1FKt&#10;Qe4aZXyPiqoWnii5SlvHV7HbslTSvytLpzyrc05MfVypCO03YU1WS5FtUdhKy6EF8ZgWHnBqhDZU&#10;9AS1Fl6wHep/oBotERyUfiShSXoiURFiMRk/0OauElZFLiS1syfR3f+DlW/375HpIueLGWliREMj&#10;P37/dvzx6/jzK5uMZ/OgUWtdRql3lpJ99xI6ck7k6+wtyE+OGbiuhNmqK0RoKyUK6nESXiZnT3sc&#10;F0A27RsoqJTYeYhAXYlNEJAkYYROvRxO81GdZ5IuF9N0Pp1xJik0T9OL57NYQWT3jy06/0pBw8Im&#10;50jjj+Bif+t8aEZk9ymhloEbXdfRArX564IS+xsVPTS8DlRC9z0P3226QZoNFAcihdD7i34XbSrA&#10;L5y15K2cu887gYqz+rUhYS4m02kwYzxMZy9SOuB5ZHMeEUYSVM49Z/322vcG3lnU24oq9aMwcEVi&#10;ljoSDa32XQ0jIP9E/oPXg0HPzzHrz/9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Dp3cc1gAA&#10;AAkBAAAPAAAAAAAAAAEAIAAAACIAAABkcnMvZG93bnJldi54bWxQSwECFAAUAAAACACHTuJAjbwp&#10;iyACAAAnBAAADgAAAAAAAAABACAAAAAlAQAAZHJzL2Uyb0RvYy54bWxQSwUGAAAAAAYABgBZAQAA&#10;twUAAAAA&#10;">
                <v:fill on="f" focussize="0,0"/>
                <v:stroke on="f"/>
                <v:imagedata o:title=""/>
                <o:lock v:ext="edit" aspectratio="f"/>
                <v:textbox>
                  <w:txbxContent>
                    <w:p w14:paraId="77C74F2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签发竣工结算支付证书</w:t>
                      </w:r>
                    </w:p>
                  </w:txbxContent>
                </v:textbox>
              </v:shape>
            </w:pict>
          </mc:Fallback>
        </mc:AlternateContent>
      </w:r>
      <w:r>
        <w:rPr>
          <w:rFonts w:hint="eastAsia" w:ascii="仿宋" w:hAnsi="仿宋" w:eastAsia="仿宋" w:cs="仿宋"/>
          <w:color w:val="auto"/>
          <w:sz w:val="24"/>
          <w:szCs w:val="24"/>
          <w:highlight w:val="none"/>
          <w:lang w:eastAsia="zh-CN"/>
        </w:rPr>
        <w:t>造价咨询人在收到第89.1款所述资料后，应按照第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款约定核实竣工结算文件，并在发包人签字确认竣工结算文件后的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天内，向发包人签发竣工结算支付证书，同时抄送承包人。</w:t>
      </w:r>
    </w:p>
    <w:p w14:paraId="0586C8DD">
      <w:pPr>
        <w:spacing w:line="360" w:lineRule="auto"/>
        <w:rPr>
          <w:rFonts w:hint="eastAsia" w:ascii="仿宋" w:hAnsi="仿宋" w:eastAsia="仿宋"/>
          <w:color w:val="auto"/>
          <w:highlight w:val="none"/>
          <w:lang w:eastAsia="zh-CN"/>
        </w:rPr>
      </w:pPr>
      <w:r>
        <w:rPr>
          <w:rFonts w:ascii="仿宋" w:hAnsi="仿宋" w:eastAsia="仿宋" w:cs="仿宋"/>
          <w:b/>
          <w:bCs/>
          <w:color w:val="auto"/>
          <w:highlight w:val="none"/>
          <w:lang w:eastAsia="zh-CN"/>
        </w:rPr>
        <w:t>8</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.3</w:t>
      </w:r>
    </w:p>
    <w:p w14:paraId="2585FA0F">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30624" behindDoc="0" locked="0" layoutInCell="1" allowOverlap="1">
                <wp:simplePos x="0" y="0"/>
                <wp:positionH relativeFrom="column">
                  <wp:posOffset>-114300</wp:posOffset>
                </wp:positionH>
                <wp:positionV relativeFrom="paragraph">
                  <wp:posOffset>5715</wp:posOffset>
                </wp:positionV>
                <wp:extent cx="832485" cy="459105"/>
                <wp:effectExtent l="0" t="0" r="0" b="0"/>
                <wp:wrapNone/>
                <wp:docPr id="851" name="文本框 1057"/>
                <wp:cNvGraphicFramePr/>
                <a:graphic xmlns:a="http://schemas.openxmlformats.org/drawingml/2006/main">
                  <a:graphicData uri="http://schemas.microsoft.com/office/word/2010/wordprocessingShape">
                    <wps:wsp>
                      <wps:cNvSpPr txBox="1">
                        <a:spLocks noChangeArrowheads="1"/>
                      </wps:cNvSpPr>
                      <wps:spPr bwMode="auto">
                        <a:xfrm>
                          <a:off x="0" y="0"/>
                          <a:ext cx="832485" cy="459105"/>
                        </a:xfrm>
                        <a:prstGeom prst="rect">
                          <a:avLst/>
                        </a:prstGeom>
                        <a:noFill/>
                        <a:ln>
                          <a:noFill/>
                        </a:ln>
                        <a:effectLst/>
                      </wps:spPr>
                      <wps:txbx>
                        <w:txbxContent>
                          <w:p w14:paraId="2C9DAA0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竣工结算款支付</w:t>
                            </w:r>
                          </w:p>
                        </w:txbxContent>
                      </wps:txbx>
                      <wps:bodyPr rot="0" vert="horz" wrap="square" lIns="91440" tIns="45720" rIns="91440" bIns="45720" anchor="t" anchorCtr="0" upright="1">
                        <a:noAutofit/>
                      </wps:bodyPr>
                    </wps:wsp>
                  </a:graphicData>
                </a:graphic>
              </wp:anchor>
            </w:drawing>
          </mc:Choice>
          <mc:Fallback>
            <w:pict>
              <v:shape id="文本框 1057" o:spid="_x0000_s1026" o:spt="202" type="#_x0000_t202" style="position:absolute;left:0pt;margin-left:-9pt;margin-top:0.45pt;height:36.15pt;width:65.55pt;z-index:251930624;mso-width-relative:page;mso-height-relative:page;" filled="f" stroked="f" coordsize="21600,21600" o:gfxdata="UEsDBAoAAAAAAIdO4kAAAAAAAAAAAAAAAAAEAAAAZHJzL1BLAwQUAAAACACHTuJA5jp4IdUAAAAH&#10;AQAADwAAAGRycy9kb3ducmV2LnhtbE2PS2/CMBCE75X4D9Yi9Qa2oQ9Is+FA1Wur0ofUm4mXJCJe&#10;R7Eh6b+vOZXjaEYz3+Sb0bXiTH1oPCPouQJBXHrbcIXw+fEyW4EI0bA1rWdC+KUAm2Jyk5vM+oHf&#10;6byLlUglHDKDUMfYZVKGsiZnwtx3xMk7+N6ZmGRfSdubIZW7Vi6UepDONJwWatPRtqbyuDs5hK/X&#10;w8/3nXqrnt19N/hRSXZriXg71eoJRKQx/ofhgp/QoUhMe39iG0SLMNOr9CUirEFcbL3UIPYIj8sF&#10;yCKX1/zFH1BLAwQUAAAACACHTuJAgI0FJh8CAAAnBAAADgAAAGRycy9lMm9Eb2MueG1srVPBjtMw&#10;EL0j8Q+W7zRNadlu1HS1bLUIaYGVFj7AdZzGIvGYsdukfAD8AScu3Pe7+h2MnWwpy2UPXCzbM34z&#10;783z4qJrarZT6DSYnKejMWfKSCi02eT808frF3POnBemEDUYlfO9cvxi+fzZorWZmkAFdaGQEYhx&#10;WWtzXnlvsyRxslKNcCOwylCwBGyEpyNukgJFS+hNnUzG41dJC1hYBKmco9tVH+QDIj4FEMpSS7UC&#10;uW2U8T0qqlp4ouQqbR1fxm7LUkn/oSyd8qzOOTH1caUitF+HNVkuRLZBYSsthxbEU1p4xKkR2lDR&#10;I9RKeMG2qP+BarREcFD6kYQm6YlERYhFOn6kzV0lrIpcSGpnj6K7/wcr3+9ukeki5/NZypkRDY38&#10;8OP74ef94dc3lo5nZ0Gj1rqMUu8sJfvuNXTknMjX2RuQnx0zcFUJs1GXiNBWShTUYxpeJidPexwX&#10;QNbtOyiolNh6iEBdiU0QkCRhhE7z2R/nozrPJF3OX06m8xlnkkLT2Tk1FyuI7OGxReffKGhY2OQc&#10;afwRXOxunA/NiOwhJdQycK3rOlqgNn9dUGJ/o6KHhteBSui+5+G7dTdIs4ZiT6QQen/R76JNBfiV&#10;s5a8lXP3ZStQcVa/NSTMeTqdBjPGw3R2NqEDnkbWpxFhJEHl3HPWb698b+CtRb2pqFI/CgOXJGap&#10;I9HQat/VMALyT+Q/eD0Y9PQcs/787+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5jp4IdUAAAAH&#10;AQAADwAAAAAAAAABACAAAAAiAAAAZHJzL2Rvd25yZXYueG1sUEsBAhQAFAAAAAgAh07iQICNBSYf&#10;AgAAJwQAAA4AAAAAAAAAAQAgAAAAJAEAAGRycy9lMm9Eb2MueG1sUEsFBgAAAAAGAAYAWQEAALUF&#10;AAAAAA==&#10;">
                <v:fill on="f" focussize="0,0"/>
                <v:stroke on="f"/>
                <v:imagedata o:title=""/>
                <o:lock v:ext="edit" aspectratio="f"/>
                <v:textbox>
                  <w:txbxContent>
                    <w:p w14:paraId="2C9DAA0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竣工结算款支付</w:t>
                      </w:r>
                    </w:p>
                  </w:txbxContent>
                </v:textbox>
              </v:shape>
            </w:pict>
          </mc:Fallback>
        </mc:AlternateContent>
      </w:r>
      <w:r>
        <w:rPr>
          <w:rFonts w:hint="eastAsia" w:ascii="仿宋" w:hAnsi="仿宋" w:eastAsia="仿宋" w:cs="仿宋"/>
          <w:color w:val="auto"/>
          <w:sz w:val="24"/>
          <w:szCs w:val="24"/>
          <w:highlight w:val="none"/>
          <w:lang w:eastAsia="zh-CN"/>
        </w:rPr>
        <w:t>发包人应在造价咨询人签发竣工结算支付证书后的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天内，按照竣工结算支付证书列明的金额向承包人支付结算款，并通知造价咨询人。</w:t>
      </w:r>
    </w:p>
    <w:p w14:paraId="07347DCA">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8</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 xml:space="preserve">.4  </w:t>
      </w:r>
    </w:p>
    <w:p w14:paraId="045C702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31648" behindDoc="0" locked="0" layoutInCell="1" allowOverlap="1">
                <wp:simplePos x="0" y="0"/>
                <wp:positionH relativeFrom="column">
                  <wp:posOffset>-66675</wp:posOffset>
                </wp:positionH>
                <wp:positionV relativeFrom="paragraph">
                  <wp:posOffset>12065</wp:posOffset>
                </wp:positionV>
                <wp:extent cx="764540" cy="579120"/>
                <wp:effectExtent l="0" t="0" r="0" b="0"/>
                <wp:wrapNone/>
                <wp:docPr id="852" name="文本框 1058"/>
                <wp:cNvGraphicFramePr/>
                <a:graphic xmlns:a="http://schemas.openxmlformats.org/drawingml/2006/main">
                  <a:graphicData uri="http://schemas.microsoft.com/office/word/2010/wordprocessingShape">
                    <wps:wsp>
                      <wps:cNvSpPr txBox="1">
                        <a:spLocks noChangeArrowheads="1"/>
                      </wps:cNvSpPr>
                      <wps:spPr bwMode="auto">
                        <a:xfrm>
                          <a:off x="0" y="0"/>
                          <a:ext cx="764540" cy="579120"/>
                        </a:xfrm>
                        <a:prstGeom prst="rect">
                          <a:avLst/>
                        </a:prstGeom>
                        <a:noFill/>
                        <a:ln>
                          <a:noFill/>
                        </a:ln>
                        <a:effectLst/>
                      </wps:spPr>
                      <wps:txbx>
                        <w:txbxContent>
                          <w:p w14:paraId="4C3E07B3">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签发竣工结算支付证书的限制</w:t>
                            </w:r>
                          </w:p>
                        </w:txbxContent>
                      </wps:txbx>
                      <wps:bodyPr rot="0" vert="horz" wrap="square" lIns="91440" tIns="45720" rIns="91440" bIns="45720" anchor="t" anchorCtr="0" upright="1">
                        <a:noAutofit/>
                      </wps:bodyPr>
                    </wps:wsp>
                  </a:graphicData>
                </a:graphic>
              </wp:anchor>
            </w:drawing>
          </mc:Choice>
          <mc:Fallback>
            <w:pict>
              <v:shape id="文本框 1058" o:spid="_x0000_s1026" o:spt="202" type="#_x0000_t202" style="position:absolute;left:0pt;margin-left:-5.25pt;margin-top:0.95pt;height:45.6pt;width:60.2pt;z-index:251931648;mso-width-relative:page;mso-height-relative:page;" filled="f" stroked="f" coordsize="21600,21600" o:gfxdata="UEsDBAoAAAAAAIdO4kAAAAAAAAAAAAAAAAAEAAAAZHJzL1BLAwQUAAAACACHTuJA0acrr9QAAAAI&#10;AQAADwAAAGRycy9kb3ducmV2LnhtbE2PTU/DMAyG70j8h8hI3LakwBDtmu4A4gpifEi7eY3XVjRO&#10;1WRr+fd4J7jZel69flxuZt+rE42xC2whWxpQxHVwHTcWPt6fFw+gYkJ22AcmCz8UYVNdXpRYuDDx&#10;G522qVFSwrFAC21KQ6F1rFvyGJdhIBZ2CKPHJOvYaDfiJOW+1zfG3GuPHcuFFgd6bKn+3h69hc+X&#10;w+7rzrw2T341TGE2mn2urb2+yswaVKI5/YXhrC/qUInTPhzZRdVbWGRmJVEBOagzN7kMewv5bQa6&#10;KvX/B6pfUEsDBBQAAAAIAIdO4kAPSmOpHwIAACcEAAAOAAAAZHJzL2Uyb0RvYy54bWytU82O0zAQ&#10;viPxDpbvNE3VbrtR09Wy1SKk5UdaeADXcRqLxGPGbpPyAPAGnLhw57n6HIydbCnLZQ9cLNsz/ma+&#10;bz4vr7qmZnuFToPJeToac6aMhEKbbc4/frh9seDMeWEKUYNROT8ox69Wz58tW5upCVRQFwoZgRiX&#10;tTbnlfc2SxInK9UINwKrDAVLwEZ4OuI2KVC0hN7UyWQ8vkhawMIiSOUc3a77IB8Q8SmAUJZaqjXI&#10;XaOM71FR1cITJVdp6/gqdluWSvp3ZemUZ3XOiamPKxWh/SasyWopsi0KW2k5tCCe0sIjTo3Qhoqe&#10;oNbCC7ZD/Q9UoyWCg9KPJDRJTyQqQizS8SNt7ithVeRCUjt7Et39P1j5dv8emS5yvphNODOioZEf&#10;v387/vh1/PmVpePZImjUWpdR6r2lZN+9hI6cE/k6ewfyk2MGbiphtuoaEdpKiYJ6TMPL5Oxpj+MC&#10;yKZ9AwWVEjsPEagrsQkCkiSM0Gk+h9N8VOeZpMv5xXQ2pYik0Gx+mU7i/BKRPTy26PwrBQ0Lm5wj&#10;jT+Ci/2d86EZkT2khFoGbnVdRwvU5q8LSuxvVPTQ8DpQCd33PHy36QZpNlAciBRC7y/6XbSpAL9w&#10;1pK3cu4+7wQqzurXhoS5TKeBho+H6WxOPBieRzbnEWEkQeXcc9Zvb3xv4J1Fva2oUj8KA9ckZqkj&#10;0dBq39UwAvJP5D94PRj0/Byz/vzv1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Rpyuv1AAAAAgB&#10;AAAPAAAAAAAAAAEAIAAAACIAAABkcnMvZG93bnJldi54bWxQSwECFAAUAAAACACHTuJAD0pjqR8C&#10;AAAnBAAADgAAAAAAAAABACAAAAAjAQAAZHJzL2Uyb0RvYy54bWxQSwUGAAAAAAYABgBZAQAAtAUA&#10;AAAA&#10;">
                <v:fill on="f" focussize="0,0"/>
                <v:stroke on="f"/>
                <v:imagedata o:title=""/>
                <o:lock v:ext="edit" aspectratio="f"/>
                <v:textbox>
                  <w:txbxContent>
                    <w:p w14:paraId="4C3E07B3">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签发竣工结算支付证书的限制</w:t>
                      </w:r>
                    </w:p>
                  </w:txbxContent>
                </v:textbox>
              </v:shape>
            </w:pict>
          </mc:Fallback>
        </mc:AlternateContent>
      </w:r>
      <w:r>
        <w:rPr>
          <w:rFonts w:hint="eastAsia" w:ascii="仿宋" w:hAnsi="仿宋" w:eastAsia="仿宋" w:cs="仿宋"/>
          <w:color w:val="auto"/>
          <w:sz w:val="24"/>
          <w:szCs w:val="24"/>
          <w:highlight w:val="none"/>
          <w:lang w:eastAsia="zh-CN"/>
        </w:rPr>
        <w:t>如果造价咨询人未在第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8</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款约定的期限内签发竣工结算支付证书的，则视为承包人提交的竣工支付申请已被认可，承包人应及时向发包人发出要求支付竣工结算款的通知。发包人应在收到通知后的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天内，按照承包人支付申请列明的金额向承包人支付竣工结算款。</w:t>
      </w:r>
    </w:p>
    <w:p w14:paraId="632ADC04">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8</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 xml:space="preserve">.5  </w:t>
      </w:r>
    </w:p>
    <w:p w14:paraId="3C2E8AF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32672" behindDoc="0" locked="0" layoutInCell="1" allowOverlap="1">
                <wp:simplePos x="0" y="0"/>
                <wp:positionH relativeFrom="column">
                  <wp:posOffset>-114300</wp:posOffset>
                </wp:positionH>
                <wp:positionV relativeFrom="paragraph">
                  <wp:posOffset>58420</wp:posOffset>
                </wp:positionV>
                <wp:extent cx="756920" cy="580390"/>
                <wp:effectExtent l="0" t="0" r="0" b="0"/>
                <wp:wrapNone/>
                <wp:docPr id="853" name="文本框 1059"/>
                <wp:cNvGraphicFramePr/>
                <a:graphic xmlns:a="http://schemas.openxmlformats.org/drawingml/2006/main">
                  <a:graphicData uri="http://schemas.microsoft.com/office/word/2010/wordprocessingShape">
                    <wps:wsp>
                      <wps:cNvSpPr txBox="1">
                        <a:spLocks noChangeArrowheads="1"/>
                      </wps:cNvSpPr>
                      <wps:spPr bwMode="auto">
                        <a:xfrm>
                          <a:off x="0" y="0"/>
                          <a:ext cx="756920" cy="580390"/>
                        </a:xfrm>
                        <a:prstGeom prst="rect">
                          <a:avLst/>
                        </a:prstGeom>
                        <a:noFill/>
                        <a:ln>
                          <a:noFill/>
                        </a:ln>
                        <a:effectLst/>
                      </wps:spPr>
                      <wps:txbx>
                        <w:txbxContent>
                          <w:p w14:paraId="6365BF0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竣工结算款支付的限制</w:t>
                            </w:r>
                          </w:p>
                        </w:txbxContent>
                      </wps:txbx>
                      <wps:bodyPr rot="0" vert="horz" wrap="square" lIns="91440" tIns="45720" rIns="91440" bIns="45720" anchor="t" anchorCtr="0" upright="1">
                        <a:noAutofit/>
                      </wps:bodyPr>
                    </wps:wsp>
                  </a:graphicData>
                </a:graphic>
              </wp:anchor>
            </w:drawing>
          </mc:Choice>
          <mc:Fallback>
            <w:pict>
              <v:shape id="文本框 1059" o:spid="_x0000_s1026" o:spt="202" type="#_x0000_t202" style="position:absolute;left:0pt;margin-left:-9pt;margin-top:4.6pt;height:45.7pt;width:59.6pt;z-index:251932672;mso-width-relative:page;mso-height-relative:page;" filled="f" stroked="f" coordsize="21600,21600" o:gfxdata="UEsDBAoAAAAAAIdO4kAAAAAAAAAAAAAAAAAEAAAAZHJzL1BLAwQUAAAACACHTuJAeWWn3dUAAAAJ&#10;AQAADwAAAGRycy9kb3ducmV2LnhtbE2PwU7DMBBE70j8g7VI3Fo7FVRtyKYHEFcQpSBx28bbJCJe&#10;R7HbhL/HOcFtVjOafVPsJtepCw+h9YKQLQ0olsrbVmqEw/vzYgMqRBJLnRdG+OEAu/L6qqDc+lHe&#10;+LKPtUolEnJCaGLsc61D1bCjsPQ9S/JOfnAU0znU2g40pnLX6ZUxa+2olfShoZ4fG66+92eH8PFy&#10;+vq8M6/1k7vvRz8ZLW6rEW9vMvMAKvIU/8Iw4yd0KBPT0Z/FBtUhLLJN2hIRtitQs2+yJI6zMGvQ&#10;ZaH/Lyh/AVBLAwQUAAAACACHTuJAFHjrvSACAAAnBAAADgAAAGRycy9lMm9Eb2MueG1srVNLbtsw&#10;EN0X6B0I7mvJjp3YguUgjZGiQPoB0h6ApiiLqMRhh7Sl9ADtDbrqpvuey+fokFJcN91k0Q1BcoZv&#10;5r15XF52Tc32Cp0Gk/PxKOVMGQmFNtucf/xw82LOmfPCFKIGo3J+rxy/XD1/tmxtpiZQQV0oZARi&#10;XNbanFfe2yxJnKxUI9wIrDIULAEb4emI26RA0RJ6UyeTND1PWsDCIkjlHN2u+yAfEPEpgFCWWqo1&#10;yF2jjO9RUdXCEyVXaev4KnZblkr6d2XplGd1zompjysVof0mrMlqKbItCltpObQgntLCI06N0IaK&#10;HqHWwgu2Q/0PVKMlgoPSjyQ0SU8kKkIsxukjbe4qYVXkQlI7exTd/T9Y+Xb/Hpkucj6fnXFmREMj&#10;P3z/dvjx6/DzKxuns0XQqLUuo9Q7S8m+ewkdOSfydfYW5CfHDFxXwmzVFSK0lRIF9TgOL5OTpz2O&#10;CyCb9g0UVErsPESgrsQmCEiSMEKn+dwf56M6zyRdXszOFxOKSArN5unZIs4vEdnDY4vOv1LQsLDJ&#10;OdL4I7jY3zofmhHZQ0qoZeBG13W0QG3+uqDE/kZFDw2vA5XQfc/Dd5tukGYDxT2RQuj9Rb+LNhXg&#10;F85a8lbO3eedQMVZ/dqQMIvxdBrMGA/T2UXghKeRzWlEGElQOfec9dtr3xt4Z1FvK6rUj8LAFYlZ&#10;6kg0tNp3NYyA/BP5D14PBj09x6w//3v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Hllp93VAAAA&#10;CQEAAA8AAAAAAAAAAQAgAAAAIgAAAGRycy9kb3ducmV2LnhtbFBLAQIUABQAAAAIAIdO4kAUeOu9&#10;IAIAACcEAAAOAAAAAAAAAAEAIAAAACQBAABkcnMvZTJvRG9jLnhtbFBLBQYAAAAABgAGAFkBAAC2&#10;BQAAAAA=&#10;">
                <v:fill on="f" focussize="0,0"/>
                <v:stroke on="f"/>
                <v:imagedata o:title=""/>
                <o:lock v:ext="edit" aspectratio="f"/>
                <v:textbox>
                  <w:txbxContent>
                    <w:p w14:paraId="6365BF0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竣工结算款支付的限制</w:t>
                      </w:r>
                    </w:p>
                  </w:txbxContent>
                </v:textbox>
              </v:shape>
            </w:pict>
          </mc:Fallback>
        </mc:AlternateContent>
      </w:r>
      <w:r>
        <w:rPr>
          <w:rFonts w:hint="eastAsia" w:ascii="仿宋" w:hAnsi="仿宋" w:eastAsia="仿宋" w:cs="仿宋"/>
          <w:color w:val="auto"/>
          <w:sz w:val="24"/>
          <w:szCs w:val="24"/>
          <w:highlight w:val="none"/>
          <w:lang w:eastAsia="zh-CN"/>
        </w:rPr>
        <w:t>发包人未按照第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8</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款和第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8</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款约定支付竣工结算款的，承包人可催告发包人支付竣工结算款，如双方达成延期支付协议，承包人有权按照第83</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款约定获得延期支付的利息。</w:t>
      </w:r>
    </w:p>
    <w:p w14:paraId="15742CD2">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发包人在收到竣工结算支付证书后的</w:t>
      </w:r>
      <w:r>
        <w:rPr>
          <w:rFonts w:ascii="仿宋" w:hAnsi="仿宋" w:eastAsia="仿宋" w:cs="仿宋"/>
          <w:color w:val="auto"/>
          <w:sz w:val="24"/>
          <w:szCs w:val="24"/>
          <w:highlight w:val="none"/>
          <w:lang w:eastAsia="zh-CN"/>
        </w:rPr>
        <w:t>56</w:t>
      </w:r>
      <w:r>
        <w:rPr>
          <w:rFonts w:hint="eastAsia" w:ascii="仿宋" w:hAnsi="仿宋" w:eastAsia="仿宋" w:cs="仿宋"/>
          <w:color w:val="auto"/>
          <w:sz w:val="24"/>
          <w:szCs w:val="24"/>
          <w:highlight w:val="none"/>
          <w:lang w:eastAsia="zh-CN"/>
        </w:rPr>
        <w:t>天内仍未支付竣工结算款，合同双方当事人又未达成延期支付协议的，除法律另有规定外，承包人可与发包人协商将该永久工程折价，也可直接向人民法院申请将该永久工程依法拍卖。承包人就该永久工程折价或拍卖的价款优先受偿。</w:t>
      </w:r>
    </w:p>
    <w:p w14:paraId="5F614C00">
      <w:pPr>
        <w:pStyle w:val="2"/>
        <w:adjustRightInd w:val="0"/>
        <w:snapToGrid w:val="0"/>
        <w:spacing w:line="360" w:lineRule="auto"/>
        <w:rPr>
          <w:rFonts w:hint="eastAsia" w:ascii="仿宋" w:hAnsi="仿宋" w:eastAsia="仿宋"/>
          <w:b/>
          <w:bCs/>
          <w:color w:val="auto"/>
          <w:sz w:val="24"/>
          <w:szCs w:val="24"/>
          <w:highlight w:val="none"/>
          <w:u w:val="single"/>
          <w:lang w:eastAsia="zh-CN"/>
        </w:rPr>
      </w:pPr>
    </w:p>
    <w:p w14:paraId="6645786E">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8" w:name="_Toc25503"/>
      <w:r>
        <w:rPr>
          <w:rFonts w:hint="eastAsia" w:ascii="仿宋" w:hAnsi="仿宋" w:eastAsia="仿宋" w:cs="仿宋"/>
          <w:bCs w:val="0"/>
          <w:color w:val="auto"/>
          <w:sz w:val="24"/>
          <w:szCs w:val="24"/>
          <w:highlight w:val="none"/>
          <w:lang w:eastAsia="zh-CN"/>
        </w:rPr>
        <w:t>★89质量保证金</w:t>
      </w:r>
      <w:bookmarkEnd w:id="388"/>
    </w:p>
    <w:p w14:paraId="4D827401">
      <w:pPr>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89</w:t>
      </w:r>
      <w:r>
        <w:rPr>
          <w:rFonts w:ascii="仿宋" w:hAnsi="仿宋" w:eastAsia="仿宋" w:cs="仿宋"/>
          <w:b/>
          <w:bCs/>
          <w:color w:val="auto"/>
          <w:highlight w:val="none"/>
          <w:lang w:eastAsia="zh-CN"/>
        </w:rPr>
        <w:t>.1</w:t>
      </w:r>
    </w:p>
    <w:p w14:paraId="4EEF8E6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33696" behindDoc="0" locked="0" layoutInCell="1" allowOverlap="1">
                <wp:simplePos x="0" y="0"/>
                <wp:positionH relativeFrom="column">
                  <wp:posOffset>-114300</wp:posOffset>
                </wp:positionH>
                <wp:positionV relativeFrom="paragraph">
                  <wp:posOffset>8255</wp:posOffset>
                </wp:positionV>
                <wp:extent cx="756920" cy="610235"/>
                <wp:effectExtent l="0" t="0" r="0" b="0"/>
                <wp:wrapNone/>
                <wp:docPr id="854" name="文本框 1060"/>
                <wp:cNvGraphicFramePr/>
                <a:graphic xmlns:a="http://schemas.openxmlformats.org/drawingml/2006/main">
                  <a:graphicData uri="http://schemas.microsoft.com/office/word/2010/wordprocessingShape">
                    <wps:wsp>
                      <wps:cNvSpPr txBox="1">
                        <a:spLocks noChangeArrowheads="1"/>
                      </wps:cNvSpPr>
                      <wps:spPr bwMode="auto">
                        <a:xfrm>
                          <a:off x="0" y="0"/>
                          <a:ext cx="756920" cy="610235"/>
                        </a:xfrm>
                        <a:prstGeom prst="rect">
                          <a:avLst/>
                        </a:prstGeom>
                        <a:noFill/>
                        <a:ln>
                          <a:noFill/>
                        </a:ln>
                        <a:effectLst/>
                      </wps:spPr>
                      <wps:txbx>
                        <w:txbxContent>
                          <w:p w14:paraId="7F0B9BA8">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质量保证金的用途和限制</w:t>
                            </w:r>
                          </w:p>
                        </w:txbxContent>
                      </wps:txbx>
                      <wps:bodyPr rot="0" vert="horz" wrap="square" lIns="91440" tIns="45720" rIns="91440" bIns="45720" anchor="t" anchorCtr="0" upright="1">
                        <a:noAutofit/>
                      </wps:bodyPr>
                    </wps:wsp>
                  </a:graphicData>
                </a:graphic>
              </wp:anchor>
            </w:drawing>
          </mc:Choice>
          <mc:Fallback>
            <w:pict>
              <v:shape id="文本框 1060" o:spid="_x0000_s1026" o:spt="202" type="#_x0000_t202" style="position:absolute;left:0pt;margin-left:-9pt;margin-top:0.65pt;height:48.05pt;width:59.6pt;z-index:251933696;mso-width-relative:page;mso-height-relative:page;" filled="f" stroked="f" coordsize="21600,21600" o:gfxdata="UEsDBAoAAAAAAIdO4kAAAAAAAAAAAAAAAAAEAAAAZHJzL1BLAwQUAAAACACHTuJA0SLYKNYAAAAI&#10;AQAADwAAAGRycy9kb3ducmV2LnhtbE2Py07DMBBF90j8gzVI7NpxSoE2xOkCxBZEeUjspvE0iYjH&#10;Uew24e9xV3Q5OqN7zy02k+vUkYfQejGQzTUolsrbVmoDH+/PsxWoEEksdV7YwC8H2JSXFwXl1o/y&#10;xsdtrFUKkZCTgSbGPkcMVcOOwtz3LInt/eAopnOo0Q40pnDX4ULrO3TUSmpoqOfHhquf7cEZ+HzZ&#10;f38t9Wv95G770U8axa3RmOurTD+AijzF/2c46Sd1KJPTzh/EBtUZmGWrtCUmcAPqxHW2ALUzsL5f&#10;ApYFng8o/wBQSwMEFAAAAAgAh07iQLoVk84fAgAAJwQAAA4AAABkcnMvZTJvRG9jLnhtbK1TS27b&#10;MBDdF+gdCO5rSa7tJILlII2RokD6AdIegKYoi6jEYYe0pfQA7Q266qb7nsvn6JCyHTfdZNGNQM4M&#10;38x78zS/7NuGbRU6Dabg2SjlTBkJpTbrgn/6ePPinDPnhSlFA0YV/F45frl4/mze2VyNoYamVMgI&#10;xLi8swWvvbd5kjhZq1a4EVhlKFkBtsLTFddJiaIj9LZJxmk6SzrA0iJI5RxFl0OS7xHxKYBQVVqq&#10;JchNq4wfUFE1whMlV2vr+CJOW1VK+vdV5ZRnTcGJqY9fakLnVfgmi7nI1yhsreV+BPGUER5xaoU2&#10;1PQItRResA3qf6BaLREcVH4koU0GIlERYpGlj7S5q4VVkQtJ7exRdPf/YOW77Qdkuiz4+XTCmREt&#10;rXz34/vu5+/dr28sS2dRo866nErvLBX7/hX05JzI19lbkJ8dM3BdC7NWV4jQ1UqUNGMW1E1Onoat&#10;uNwFkFX3FkpqJTYeIlBfYRsEJEkYodN+7o/7Ub1nkoJn09nFmDKSUrMsHb+cxg4iPzy26PxrBS0L&#10;h4IjrT+Ci+2t82EYkR9KQi8DN7ppogUa81eACoeIih7avz5MP/Dw/aqntyG4gvKeSCEM/qK/iw41&#10;4FfOOvJWwd2XjUDFWfPGkDAX2WQSzBgvk+lZ4ISnmdVpRhhJUAX3nA3Haz8YeGNRr2vqNKzCwBWJ&#10;WelI9GGq/QrIP5H/3uvBoKf3WPXwfy/+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Ei2CjWAAAA&#10;CAEAAA8AAAAAAAAAAQAgAAAAIgAAAGRycy9kb3ducmV2LnhtbFBLAQIUABQAAAAIAIdO4kC6FZPO&#10;HwIAACcEAAAOAAAAAAAAAAEAIAAAACUBAABkcnMvZTJvRG9jLnhtbFBLBQYAAAAABgAGAFkBAAC2&#10;BQAAAAA=&#10;">
                <v:fill on="f" focussize="0,0"/>
                <v:stroke on="f"/>
                <v:imagedata o:title=""/>
                <o:lock v:ext="edit" aspectratio="f"/>
                <v:textbox>
                  <w:txbxContent>
                    <w:p w14:paraId="7F0B9BA8">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质量保证金的用途和限制</w:t>
                      </w:r>
                    </w:p>
                  </w:txbxContent>
                </v:textbox>
              </v:shape>
            </w:pict>
          </mc:Fallback>
        </mc:AlternateContent>
      </w:r>
      <w:r>
        <w:rPr>
          <w:rFonts w:hint="eastAsia" w:ascii="仿宋" w:hAnsi="仿宋" w:eastAsia="仿宋" w:cs="仿宋"/>
          <w:color w:val="auto"/>
          <w:sz w:val="24"/>
          <w:szCs w:val="24"/>
          <w:highlight w:val="none"/>
          <w:lang w:eastAsia="zh-CN"/>
        </w:rPr>
        <w:t>质量保证金用于承包人对合同工程质量的担保。承包人未按照法律有关规定和合同约定履行质量保修义务的，发包人有权从质量保证金中扣留用于质量保修的各项支出。</w:t>
      </w:r>
    </w:p>
    <w:p w14:paraId="7E35B395">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89</w:t>
      </w:r>
      <w:r>
        <w:rPr>
          <w:rFonts w:ascii="仿宋" w:hAnsi="仿宋" w:eastAsia="仿宋" w:cs="仿宋"/>
          <w:b/>
          <w:bCs/>
          <w:color w:val="auto"/>
          <w:highlight w:val="none"/>
          <w:lang w:eastAsia="zh-CN"/>
        </w:rPr>
        <w:t>.2</w:t>
      </w:r>
    </w:p>
    <w:p w14:paraId="3C47BE01">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34720" behindDoc="0" locked="0" layoutInCell="1" allowOverlap="1">
                <wp:simplePos x="0" y="0"/>
                <wp:positionH relativeFrom="column">
                  <wp:posOffset>-66675</wp:posOffset>
                </wp:positionH>
                <wp:positionV relativeFrom="paragraph">
                  <wp:posOffset>8255</wp:posOffset>
                </wp:positionV>
                <wp:extent cx="804545" cy="612140"/>
                <wp:effectExtent l="0" t="0" r="0" b="0"/>
                <wp:wrapNone/>
                <wp:docPr id="855" name="文本框 1061"/>
                <wp:cNvGraphicFramePr/>
                <a:graphic xmlns:a="http://schemas.openxmlformats.org/drawingml/2006/main">
                  <a:graphicData uri="http://schemas.microsoft.com/office/word/2010/wordprocessingShape">
                    <wps:wsp>
                      <wps:cNvSpPr txBox="1">
                        <a:spLocks noChangeArrowheads="1"/>
                      </wps:cNvSpPr>
                      <wps:spPr bwMode="auto">
                        <a:xfrm>
                          <a:off x="0" y="0"/>
                          <a:ext cx="804545" cy="612140"/>
                        </a:xfrm>
                        <a:prstGeom prst="rect">
                          <a:avLst/>
                        </a:prstGeom>
                        <a:noFill/>
                        <a:ln>
                          <a:noFill/>
                        </a:ln>
                        <a:effectLst/>
                      </wps:spPr>
                      <wps:txbx>
                        <w:txbxContent>
                          <w:p w14:paraId="0E06C6E7">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质量保证金的约定与扣留</w:t>
                            </w:r>
                          </w:p>
                        </w:txbxContent>
                      </wps:txbx>
                      <wps:bodyPr rot="0" vert="horz" wrap="square" lIns="91440" tIns="45720" rIns="91440" bIns="45720" anchor="t" anchorCtr="0" upright="1">
                        <a:noAutofit/>
                      </wps:bodyPr>
                    </wps:wsp>
                  </a:graphicData>
                </a:graphic>
              </wp:anchor>
            </w:drawing>
          </mc:Choice>
          <mc:Fallback>
            <w:pict>
              <v:shape id="文本框 1061" o:spid="_x0000_s1026" o:spt="202" type="#_x0000_t202" style="position:absolute;left:0pt;margin-left:-5.25pt;margin-top:0.65pt;height:48.2pt;width:63.35pt;z-index:251934720;mso-width-relative:page;mso-height-relative:page;" filled="f" stroked="f" coordsize="21600,21600" o:gfxdata="UEsDBAoAAAAAAIdO4kAAAAAAAAAAAAAAAAAEAAAAZHJzL1BLAwQUAAAACACHTuJACGCd5tYAAAAI&#10;AQAADwAAAGRycy9kb3ducmV2LnhtbE2Py07DMBBF90j8gzVI7Fo7hbY0xOkCxBZEeUjspvE0iYjH&#10;Uew24e+ZrmA5Olf3nim2k+/UiYbYBraQzQ0o4iq4lmsL729PsztQMSE77AKThR+KsC0vLwrMXRj5&#10;lU67VCsp4ZijhSalPtc6Vg15jPPQEws7hMFjknOotRtwlHLf6YUxK+2xZVlosKeHhqrv3dFb+Hg+&#10;fH3empf60S/7MUxGs99oa6+vMnMPKtGU/sJw1hd1KMVpH47souoszDKzlKiAG1Bnnq0WoPYWNus1&#10;6LLQ/x8ofwFQSwMEFAAAAAgAh07iQF7a4FogAgAAJwQAAA4AAABkcnMvZTJvRG9jLnhtbK1TzY7T&#10;MBC+I/EOlu80SdWWbtR0tWy1CGn5kRYewHWcxiL2mLHbpDwAvAEnLtx5rj7HTpxuKctlD1wij2f8&#10;zXzffFlcdqZhO4Vegy14Nko5U1ZCqe2m4J8+3ryYc+aDsKVowKqC75Xnl8vnzxaty9UYamhKhYxA&#10;rM9bV/A6BJcniZe1MsKPwClLyQrQiEAhbpISRUvopknGaTpLWsDSIUjlPd2uhiQ/IuJTAKGqtFQr&#10;kFujbBhQUTUiECVfa+f5Mk5bVUqG91XlVWBNwYlpiF9qQud1/02WC5FvULhay+MI4ikjPOJkhLbU&#10;9AS1EkGwLep/oIyWCB6qMJJgkoFIVIRYZOkjbe5q4VTkQlJ7dxLd/z9Y+W73AZkuCz6fTjmzwtDK&#10;Dz++H37+Pvz6xrJ0lvUatc7nVHrnqDh0r6Aj50S+3t2C/OyZheta2I26QoS2VqKkGePL5OzpgON7&#10;kHX7FkpqJbYBIlBXoekFJEkYodN+9qf9qC4wSZfzdDKd0JSSUrNsnE3i/hKRPzx26MNrBYb1h4Ij&#10;rT+Ci92tD0SDSh9K+l4WbnTTRAs09q8LKhxuVPTQ8XVPpZ9+4BG6dXeUZg3lnkghDP6iv4sONeBX&#10;zlryVsH9l61AxVnzxpIwF9mERmchBpPpyzEFeJ5Zn2eElQRV8MDZcLwOg4G3DvWmpk7DKixckZiV&#10;jkT7UYepiHUfkH8i/6PXe4Oex7Hqz/+9vA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IYJ3m1gAA&#10;AAgBAAAPAAAAAAAAAAEAIAAAACIAAABkcnMvZG93bnJldi54bWxQSwECFAAUAAAACACHTuJAXtrg&#10;WiACAAAnBAAADgAAAAAAAAABACAAAAAlAQAAZHJzL2Uyb0RvYy54bWxQSwUGAAAAAAYABgBZAQAA&#10;twUAAAAA&#10;">
                <v:fill on="f" focussize="0,0"/>
                <v:stroke on="f"/>
                <v:imagedata o:title=""/>
                <o:lock v:ext="edit" aspectratio="f"/>
                <v:textbox>
                  <w:txbxContent>
                    <w:p w14:paraId="0E06C6E7">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质量保证金的约定与扣留</w:t>
                      </w:r>
                    </w:p>
                  </w:txbxContent>
                </v:textbox>
              </v:shape>
            </w:pict>
          </mc:Fallback>
        </mc:AlternateContent>
      </w:r>
      <w:r>
        <w:rPr>
          <w:rFonts w:hint="eastAsia" w:ascii="仿宋" w:hAnsi="仿宋" w:eastAsia="仿宋" w:cs="仿宋"/>
          <w:color w:val="auto"/>
          <w:sz w:val="24"/>
          <w:szCs w:val="24"/>
          <w:highlight w:val="none"/>
          <w:lang w:eastAsia="zh-CN"/>
        </w:rPr>
        <w:t>89.2.1质量保证金预留方式</w:t>
      </w:r>
    </w:p>
    <w:p w14:paraId="57E4E388">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除专用合同条款另有约定外，质量保证金的预留方式原则上采用银行保函、担保、保险等方式。</w:t>
      </w:r>
    </w:p>
    <w:p w14:paraId="6D0F047D">
      <w:pPr>
        <w:pStyle w:val="2"/>
        <w:widowControl w:val="0"/>
        <w:adjustRightInd w:val="0"/>
        <w:snapToGrid w:val="0"/>
        <w:spacing w:line="360" w:lineRule="auto"/>
        <w:ind w:left="1850" w:leftChars="771"/>
        <w:jc w:val="both"/>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89.2.2质量保证金预留比例</w:t>
      </w:r>
    </w:p>
    <w:p w14:paraId="7314F346">
      <w:pPr>
        <w:pStyle w:val="2"/>
        <w:widowControl w:val="0"/>
        <w:adjustRightInd w:val="0"/>
        <w:snapToGrid w:val="0"/>
        <w:spacing w:line="360" w:lineRule="auto"/>
        <w:ind w:left="1850" w:leftChars="77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highlight w:val="none"/>
          <w:lang w:eastAsia="zh-CN"/>
        </w:rPr>
        <w:t>发包人累计预留的质量保证金不得超过合同价格中建筑安装工程费、设备及工器具购置费（如果有）部分结算总额的3％。如承包人在发包人签发竣工付款证书后28天内提交质量保证金保函、担保或保险，发包人应同时退还扣留的作为质量保证金的工程价款；保函、担保或保险金额不得超过合同价格中建筑安装工程费、设备及工器具购置费（如果有）部分结算总额的3%。</w:t>
      </w:r>
    </w:p>
    <w:p w14:paraId="3A04BB8C">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89</w:t>
      </w:r>
      <w:r>
        <w:rPr>
          <w:rFonts w:ascii="仿宋" w:hAnsi="仿宋" w:eastAsia="仿宋" w:cs="仿宋"/>
          <w:b/>
          <w:bCs/>
          <w:color w:val="auto"/>
          <w:highlight w:val="none"/>
          <w:lang w:eastAsia="zh-CN"/>
        </w:rPr>
        <w:t>.3</w:t>
      </w:r>
    </w:p>
    <w:p w14:paraId="738EDABA">
      <w:pPr>
        <w:pStyle w:val="2"/>
        <w:widowControl w:val="0"/>
        <w:adjustRightInd w:val="0"/>
        <w:snapToGrid w:val="0"/>
        <w:spacing w:line="360" w:lineRule="auto"/>
        <w:ind w:left="1850" w:leftChars="771"/>
        <w:rPr>
          <w:rFonts w:hint="eastAsia" w:ascii="仿宋" w:hAnsi="仿宋" w:eastAsia="仿宋" w:cs="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35744" behindDoc="0" locked="0" layoutInCell="1" allowOverlap="1">
                <wp:simplePos x="0" y="0"/>
                <wp:positionH relativeFrom="column">
                  <wp:posOffset>-114300</wp:posOffset>
                </wp:positionH>
                <wp:positionV relativeFrom="paragraph">
                  <wp:posOffset>45720</wp:posOffset>
                </wp:positionV>
                <wp:extent cx="765810" cy="624205"/>
                <wp:effectExtent l="0" t="0" r="0" b="0"/>
                <wp:wrapNone/>
                <wp:docPr id="856" name="文本框 1062"/>
                <wp:cNvGraphicFramePr/>
                <a:graphic xmlns:a="http://schemas.openxmlformats.org/drawingml/2006/main">
                  <a:graphicData uri="http://schemas.microsoft.com/office/word/2010/wordprocessingShape">
                    <wps:wsp>
                      <wps:cNvSpPr txBox="1">
                        <a:spLocks noChangeArrowheads="1"/>
                      </wps:cNvSpPr>
                      <wps:spPr bwMode="auto">
                        <a:xfrm>
                          <a:off x="0" y="0"/>
                          <a:ext cx="765810" cy="624205"/>
                        </a:xfrm>
                        <a:prstGeom prst="rect">
                          <a:avLst/>
                        </a:prstGeom>
                        <a:noFill/>
                        <a:ln>
                          <a:noFill/>
                        </a:ln>
                        <a:effectLst/>
                      </wps:spPr>
                      <wps:txbx>
                        <w:txbxContent>
                          <w:p w14:paraId="24FE8CA4">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质量保证金返还</w:t>
                            </w:r>
                          </w:p>
                        </w:txbxContent>
                      </wps:txbx>
                      <wps:bodyPr rot="0" vert="horz" wrap="square" lIns="91440" tIns="45720" rIns="91440" bIns="45720" anchor="t" anchorCtr="0" upright="1">
                        <a:noAutofit/>
                      </wps:bodyPr>
                    </wps:wsp>
                  </a:graphicData>
                </a:graphic>
              </wp:anchor>
            </w:drawing>
          </mc:Choice>
          <mc:Fallback>
            <w:pict>
              <v:shape id="文本框 1062" o:spid="_x0000_s1026" o:spt="202" type="#_x0000_t202" style="position:absolute;left:0pt;margin-left:-9pt;margin-top:3.6pt;height:49.15pt;width:60.3pt;z-index:251935744;mso-width-relative:page;mso-height-relative:page;" filled="f" stroked="f" coordsize="21600,21600" o:gfxdata="UEsDBAoAAAAAAIdO4kAAAAAAAAAAAAAAAAAEAAAAZHJzL1BLAwQUAAAACACHTuJAj1YV2tYAAAAJ&#10;AQAADwAAAGRycy9kb3ducmV2LnhtbE2PzU7DMBCE70h9B2uRemvtRE0pIZseiriCKD8SNzfeJhHx&#10;OordJrw9zglus5rVzDfFfrKduNLgW8cIyVqBIK6cablGeH97Wu1A+KDZ6M4xIfyQh325uCl0btzI&#10;r3Q9hlrEEPa5RmhC6HMpfdWQ1X7teuLond1gdYjnUEsz6DGG206mSm2l1S3Hhkb3dGio+j5eLMLH&#10;8/nrc6Ne6keb9aOblGR7LxGXt4l6ABFoCn/PMONHdCgj08ld2HjRIaySXdwSEO5SELOv0i2I0yyy&#10;DGRZyP8Lyl9QSwMEFAAAAAgAh07iQPvhAC4fAgAAJwQAAA4AAABkcnMvZTJvRG9jLnhtbK1TS44T&#10;MRDdI3EHy3vSHyWZ0EpnNEw0CGn4SAMHcNzutEXbZWwn3eEAcINZsWHPuXIOyu6eEIbNLNhYtqv8&#10;qt6r5+Vlr1qyF9ZJ0CXNJiklQnOopN6W9NPHmxcLSpxnumItaFHSg3D0cvX82bIzhcihgbYSliCI&#10;dkVnStp4b4okcbwRirkJGKExWINVzOPRbpPKsg7RVZvkaTpPOrCVscCFc3i7HoJ0RLRPAYS6llys&#10;ge+U0H5AtaJlHim5RhpHV7Hbuhbcv69rJzxpS4pMfVyxCO43YU1WS1ZsLTON5GML7CktPOKkmNRY&#10;9AS1Zp6RnZX/QCnJLTio/YSDSgYiURFkkaWPtLlrmBGRC0rtzEl09/9g+bv9B0tkVdLFbE6JZgpH&#10;frz/fvzx6/jzG8nSeR406owrMPXOYLLvX0GPzol8nbkF/tkRDdcN01txZS10jWAV9piFl8nZ0wHH&#10;BZBN9xYqLMV2HiJQX1sVBERJCKLjfA6n+YjeE46XF/PZIsMIx9A8n+bpLFZgxcNjY51/LUCRsCmp&#10;xfFHcLa/dT40w4qHlFBLw41s22iBVv91gYnDjYgeGl8HKqH7gYfvN/0ozQaqA5KyMPgLfxduGrBf&#10;KenQWyV1X3bMCkraNxqFeZlNp8GM8TCdXeR4sOeRzXmEaY5QJfWUDNtrPxh4Z6zcNlhpGIWGKxSz&#10;lpFoaHXoahwB+ifyH70eDHp+jll//vf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9WFdrWAAAA&#10;CQEAAA8AAAAAAAAAAQAgAAAAIgAAAGRycy9kb3ducmV2LnhtbFBLAQIUABQAAAAIAIdO4kD74QAu&#10;HwIAACcEAAAOAAAAAAAAAAEAIAAAACUBAABkcnMvZTJvRG9jLnhtbFBLBQYAAAAABgAGAFkBAAC2&#10;BQAAAAA=&#10;">
                <v:fill on="f" focussize="0,0"/>
                <v:stroke on="f"/>
                <v:imagedata o:title=""/>
                <o:lock v:ext="edit" aspectratio="f"/>
                <v:textbox>
                  <w:txbxContent>
                    <w:p w14:paraId="24FE8CA4">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质量保证金返还</w:t>
                      </w:r>
                    </w:p>
                  </w:txbxContent>
                </v:textbox>
              </v:shape>
            </w:pict>
          </mc:Fallback>
        </mc:AlternateContent>
      </w:r>
      <w:r>
        <w:rPr>
          <w:rFonts w:hint="eastAsia" w:ascii="仿宋" w:hAnsi="仿宋" w:eastAsia="仿宋" w:cs="仿宋"/>
          <w:color w:val="auto"/>
          <w:sz w:val="24"/>
          <w:szCs w:val="24"/>
          <w:highlight w:val="none"/>
          <w:lang w:eastAsia="zh-CN"/>
        </w:rPr>
        <w:t>缺陷责任期（包括第66</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款延长的期限）满时，承包人应向发包人申请到期应返还的剩余质量保证金金额。发包人如无异议，应在缺陷责任期满后的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将剩余的质量保证金返还给承包人。逾期返还的，除专用条款另有约定外，从逾期之日起，按照全国银行间同业拆借中心公布的贷款市场报价利率（LPR）计付利息，并承担违约责任。剩余质量保证金的返还，并不能免除承包人按照合同约定应承担的质量保修责任和应履行的质量保修义务。</w:t>
      </w:r>
    </w:p>
    <w:p w14:paraId="6E7E5FF2">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89</w:t>
      </w:r>
      <w:r>
        <w:rPr>
          <w:rFonts w:ascii="仿宋" w:hAnsi="仿宋" w:eastAsia="仿宋" w:cs="仿宋"/>
          <w:b/>
          <w:bCs/>
          <w:color w:val="auto"/>
          <w:highlight w:val="none"/>
          <w:lang w:eastAsia="zh-CN"/>
        </w:rPr>
        <w:t xml:space="preserve">.4  </w:t>
      </w:r>
    </w:p>
    <w:p w14:paraId="294851D1">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36768" behindDoc="0" locked="0" layoutInCell="1" allowOverlap="1">
                <wp:simplePos x="0" y="0"/>
                <wp:positionH relativeFrom="column">
                  <wp:posOffset>-114300</wp:posOffset>
                </wp:positionH>
                <wp:positionV relativeFrom="paragraph">
                  <wp:posOffset>45720</wp:posOffset>
                </wp:positionV>
                <wp:extent cx="775970" cy="548640"/>
                <wp:effectExtent l="0" t="0" r="0" b="0"/>
                <wp:wrapNone/>
                <wp:docPr id="857" name="文本框 1063"/>
                <wp:cNvGraphicFramePr/>
                <a:graphic xmlns:a="http://schemas.openxmlformats.org/drawingml/2006/main">
                  <a:graphicData uri="http://schemas.microsoft.com/office/word/2010/wordprocessingShape">
                    <wps:wsp>
                      <wps:cNvSpPr txBox="1">
                        <a:spLocks noChangeArrowheads="1"/>
                      </wps:cNvSpPr>
                      <wps:spPr bwMode="auto">
                        <a:xfrm>
                          <a:off x="0" y="0"/>
                          <a:ext cx="775970" cy="548640"/>
                        </a:xfrm>
                        <a:prstGeom prst="rect">
                          <a:avLst/>
                        </a:prstGeom>
                        <a:noFill/>
                        <a:ln>
                          <a:noFill/>
                        </a:ln>
                        <a:effectLst/>
                      </wps:spPr>
                      <wps:txbx>
                        <w:txbxContent>
                          <w:p w14:paraId="72C1987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质量保证金扣留</w:t>
                            </w:r>
                          </w:p>
                        </w:txbxContent>
                      </wps:txbx>
                      <wps:bodyPr rot="0" vert="horz" wrap="square" lIns="91440" tIns="45720" rIns="91440" bIns="45720" anchor="t" anchorCtr="0" upright="1">
                        <a:noAutofit/>
                      </wps:bodyPr>
                    </wps:wsp>
                  </a:graphicData>
                </a:graphic>
              </wp:anchor>
            </w:drawing>
          </mc:Choice>
          <mc:Fallback>
            <w:pict>
              <v:shape id="文本框 1063" o:spid="_x0000_s1026" o:spt="202" type="#_x0000_t202" style="position:absolute;left:0pt;margin-left:-9pt;margin-top:3.6pt;height:43.2pt;width:61.1pt;z-index:251936768;mso-width-relative:page;mso-height-relative:page;" filled="f" stroked="f" coordsize="21600,21600" o:gfxdata="UEsDBAoAAAAAAIdO4kAAAAAAAAAAAAAAAAAEAAAAZHJzL1BLAwQUAAAACACHTuJARWxRNNYAAAAI&#10;AQAADwAAAGRycy9kb3ducmV2LnhtbE2PzU7DMBCE70i8g7VI3Np1SiltyKYHEFcQ5Ufi5sbbJCJe&#10;R7HbhLfHPcFtVrOa+abYTq5TJx5C64Ugm2tQLJW3rdQE729PszWoEI1Y03lhgh8OsC0vLwqTWz/K&#10;K592sVYpREJuCJoY+xwxVA07E+a+Z0newQ/OxHQONdrBjCncdbjQeoXOtJIaGtPzQ8PV9+7oCD6e&#10;D1+fS/1SP7rbfvSTRnEbJLq+yvQ9qMhT/HuGM35ChzIx7f1RbFAdwSxbpy2R4G4B6uzrZRJ7gs3N&#10;CrAs8P+A8hdQSwMEFAAAAAgAh07iQGZr0uAgAgAAJwQAAA4AAABkcnMvZTJvRG9jLnhtbK1TS27b&#10;MBDdF+gdCO5r2a5/ESwHaYwUBdIPkPYANEVZRCUOO6QtuQdobtBVN933XD5Hh5Tiuukmi24IkjN8&#10;896b4fKyrSu2V+g0mIyPBkPOlJGQa7PN+KePNy8WnDkvTC4qMCrjB+X45er5s2VjUzWGEqpcISMQ&#10;49LGZrz03qZJ4mSpauEGYJWhYAFYC09H3CY5iobQ6yoZD4ezpAHMLYJUztHtugvyHhGfAghFoaVa&#10;g9zVyvgOFVUlPElypbaOryLbolDSvy8KpzyrMk5KfVypCO03YU1WS5FuUdhSy56CeAqFR5pqoQ0V&#10;PUGthRdsh/ofqFpLBAeFH0iok05IdIRUjIaPvLkrhVVRC1nt7Ml09/9g5bv9B2Q6z/hiOufMiJpa&#10;fvx+f/zx6/jzGxsNZy+DR411KaXeWUr27StoaXKiXmdvQX52zMB1KcxWXSFCUyqRE8dReJmcPe1w&#10;XADZNG8hp1Ji5yECtQXWwUCyhBE69edw6o9qPZN0OZ9PL+YUkRSaThazSexfItKHxxadf62gZmGT&#10;caT2R3Cxv3U+kBHpQ0qoZeBGV1Ucgcr8dUGJ3Y2KM9S/DlIC+06Hbzdtb80G8gOJQujmi34XbUrA&#10;r5w1NFsZd192AhVn1RtDxlyMJkSd+XiYTOdjOuB5ZHMeEUYSVMY9Z9322ncDvLOotyVV6lph4IrM&#10;LHQUGqh2rPoW0PxE/f2shwE9P8esP/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FbFE01gAA&#10;AAgBAAAPAAAAAAAAAAEAIAAAACIAAABkcnMvZG93bnJldi54bWxQSwECFAAUAAAACACHTuJAZmvS&#10;4CACAAAnBAAADgAAAAAAAAABACAAAAAlAQAAZHJzL2Uyb0RvYy54bWxQSwUGAAAAAAYABgBZAQAA&#10;twUAAAAA&#10;">
                <v:fill on="f" focussize="0,0"/>
                <v:stroke on="f"/>
                <v:imagedata o:title=""/>
                <o:lock v:ext="edit" aspectratio="f"/>
                <v:textbox>
                  <w:txbxContent>
                    <w:p w14:paraId="72C1987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质量保证金扣留</w:t>
                      </w:r>
                    </w:p>
                  </w:txbxContent>
                </v:textbox>
              </v:shape>
            </w:pict>
          </mc:Fallback>
        </mc:AlternateContent>
      </w:r>
      <w:r>
        <w:rPr>
          <w:rFonts w:hint="eastAsia" w:ascii="仿宋" w:hAnsi="仿宋" w:eastAsia="仿宋" w:cs="仿宋"/>
          <w:color w:val="auto"/>
          <w:sz w:val="24"/>
          <w:szCs w:val="24"/>
          <w:highlight w:val="none"/>
          <w:lang w:eastAsia="zh-CN"/>
        </w:rPr>
        <w:t>缺陷责任期（包括第66</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款延长的期限）届满时，承包人没有全面</w:t>
      </w:r>
      <w:r>
        <w:rPr>
          <w:rFonts w:ascii="仿宋" w:hAnsi="仿宋" w:eastAsia="仿宋" w:cs="仿宋"/>
          <w:color w:val="auto"/>
          <w:sz w:val="24"/>
          <w:szCs w:val="24"/>
          <w:highlight w:val="none"/>
          <w:lang w:eastAsia="zh-CN"/>
        </w:rPr>
        <w:t>履行</w:t>
      </w:r>
      <w:r>
        <w:rPr>
          <w:rFonts w:hint="eastAsia" w:ascii="仿宋" w:hAnsi="仿宋" w:eastAsia="仿宋" w:cs="仿宋"/>
          <w:color w:val="auto"/>
          <w:sz w:val="24"/>
          <w:szCs w:val="24"/>
          <w:highlight w:val="none"/>
          <w:lang w:eastAsia="zh-CN"/>
        </w:rPr>
        <w:t>缺陷修复责任的，发包人有权扣留承包人未履行</w:t>
      </w:r>
      <w:r>
        <w:rPr>
          <w:rFonts w:ascii="仿宋" w:hAnsi="仿宋" w:eastAsia="仿宋" w:cs="仿宋"/>
          <w:color w:val="auto"/>
          <w:sz w:val="24"/>
          <w:szCs w:val="24"/>
          <w:highlight w:val="none"/>
          <w:lang w:eastAsia="zh-CN"/>
        </w:rPr>
        <w:t>部分相应质量保证金</w:t>
      </w:r>
      <w:r>
        <w:rPr>
          <w:rFonts w:hint="eastAsia" w:ascii="仿宋" w:hAnsi="仿宋" w:eastAsia="仿宋" w:cs="仿宋"/>
          <w:color w:val="auto"/>
          <w:sz w:val="24"/>
          <w:szCs w:val="24"/>
          <w:highlight w:val="none"/>
          <w:lang w:eastAsia="zh-CN"/>
        </w:rPr>
        <w:t>，并有权根据第66</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款约定要求延长缺陷责任期，直到完成剩余工作为止。</w:t>
      </w:r>
    </w:p>
    <w:p w14:paraId="490197CB">
      <w:pPr>
        <w:pStyle w:val="2"/>
        <w:adjustRightInd w:val="0"/>
        <w:snapToGrid w:val="0"/>
        <w:spacing w:line="360" w:lineRule="auto"/>
        <w:rPr>
          <w:rFonts w:hint="eastAsia" w:ascii="仿宋" w:hAnsi="仿宋" w:eastAsia="仿宋"/>
          <w:b/>
          <w:bCs/>
          <w:color w:val="auto"/>
          <w:sz w:val="24"/>
          <w:szCs w:val="24"/>
          <w:highlight w:val="none"/>
          <w:u w:val="single"/>
          <w:lang w:eastAsia="zh-CN"/>
        </w:rPr>
      </w:pPr>
    </w:p>
    <w:p w14:paraId="4F111E04">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89" w:name="_Toc14372"/>
      <w:r>
        <w:rPr>
          <w:rFonts w:hint="eastAsia" w:ascii="仿宋" w:hAnsi="仿宋" w:eastAsia="仿宋" w:cs="仿宋"/>
          <w:bCs w:val="0"/>
          <w:color w:val="auto"/>
          <w:sz w:val="24"/>
          <w:szCs w:val="24"/>
          <w:highlight w:val="none"/>
          <w:lang w:eastAsia="zh-CN"/>
        </w:rPr>
        <w:t>90最终清算款</w:t>
      </w:r>
      <w:bookmarkEnd w:id="389"/>
    </w:p>
    <w:p w14:paraId="185AA689">
      <w:pPr>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90</w:t>
      </w:r>
      <w:r>
        <w:rPr>
          <w:rFonts w:ascii="仿宋" w:hAnsi="仿宋" w:eastAsia="仿宋" w:cs="仿宋"/>
          <w:b/>
          <w:bCs/>
          <w:color w:val="auto"/>
          <w:highlight w:val="none"/>
          <w:lang w:eastAsia="zh-CN"/>
        </w:rPr>
        <w:t>.1</w:t>
      </w:r>
    </w:p>
    <w:p w14:paraId="464EC717">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37792" behindDoc="0" locked="0" layoutInCell="1" allowOverlap="1">
                <wp:simplePos x="0" y="0"/>
                <wp:positionH relativeFrom="column">
                  <wp:posOffset>-114300</wp:posOffset>
                </wp:positionH>
                <wp:positionV relativeFrom="paragraph">
                  <wp:posOffset>74295</wp:posOffset>
                </wp:positionV>
                <wp:extent cx="756920" cy="659130"/>
                <wp:effectExtent l="0" t="0" r="0" b="0"/>
                <wp:wrapNone/>
                <wp:docPr id="858" name="文本框 1064"/>
                <wp:cNvGraphicFramePr/>
                <a:graphic xmlns:a="http://schemas.openxmlformats.org/drawingml/2006/main">
                  <a:graphicData uri="http://schemas.microsoft.com/office/word/2010/wordprocessingShape">
                    <wps:wsp>
                      <wps:cNvSpPr txBox="1">
                        <a:spLocks noChangeArrowheads="1"/>
                      </wps:cNvSpPr>
                      <wps:spPr bwMode="auto">
                        <a:xfrm>
                          <a:off x="0" y="0"/>
                          <a:ext cx="756920" cy="659130"/>
                        </a:xfrm>
                        <a:prstGeom prst="rect">
                          <a:avLst/>
                        </a:prstGeom>
                        <a:noFill/>
                        <a:ln>
                          <a:noFill/>
                        </a:ln>
                        <a:effectLst/>
                      </wps:spPr>
                      <wps:txbx>
                        <w:txbxContent>
                          <w:p w14:paraId="788FB3F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提交最终清算支付申请</w:t>
                            </w:r>
                          </w:p>
                        </w:txbxContent>
                      </wps:txbx>
                      <wps:bodyPr rot="0" vert="horz" wrap="square" lIns="91440" tIns="45720" rIns="91440" bIns="45720" anchor="t" anchorCtr="0" upright="1">
                        <a:noAutofit/>
                      </wps:bodyPr>
                    </wps:wsp>
                  </a:graphicData>
                </a:graphic>
              </wp:anchor>
            </w:drawing>
          </mc:Choice>
          <mc:Fallback>
            <w:pict>
              <v:shape id="文本框 1064" o:spid="_x0000_s1026" o:spt="202" type="#_x0000_t202" style="position:absolute;left:0pt;margin-left:-9pt;margin-top:5.85pt;height:51.9pt;width:59.6pt;z-index:251937792;mso-width-relative:page;mso-height-relative:page;" filled="f" stroked="f" coordsize="21600,21600" o:gfxdata="UEsDBAoAAAAAAIdO4kAAAAAAAAAAAAAAAAAEAAAAZHJzL1BLAwQUAAAACACHTuJAgd/I89YAAAAK&#10;AQAADwAAAGRycy9kb3ducmV2LnhtbE2PwU7DMBBE70j8g7VI3FrbFYE2xOkBxBVEC0i9beNtEhGv&#10;o9htwt/jnOC4M6PZN8V2cp240BBazwb0UoEgrrxtuTbwsX9ZrEGEiGyx80wGfijAtry+KjC3fuR3&#10;uuxiLVIJhxwNNDH2uZShashhWPqeOHknPziM6RxqaQccU7nr5Eqpe+mw5fShwZ6eGqq+d2dn4PP1&#10;dPi6U2/1s8v60U9KsttIY25vtHoEEWmKf2GY8RM6lInp6M9sg+gMLPQ6bYnJ0A8g5oDSKxDHWcgy&#10;kGUh/08ofwFQSwMEFAAAAAgAh07iQCqSIMggAgAAJwQAAA4AAABkcnMvZTJvRG9jLnhtbK1TS27b&#10;MBDdF+gdCO5rWa7txILlII2RokD6AdIegKYoi6jEYYe0pfQAzQ266qb7nsvn6JBSXDfdZNENQXKG&#10;b+a9eVxedE3N9gqdBpPzdDTmTBkJhTbbnH/6eP3inDPnhSlEDUbl/E45frF6/mzZ2kxNoIK6UMgI&#10;xListTmvvLdZkjhZqUa4EVhlKFgCNsLTEbdJgaIl9KZOJuPxPGkBC4sglXN0u+6DfEDEpwBCWWqp&#10;1iB3jTK+R0VVC0+UXKWt46vYbVkq6d+XpVOe1Tknpj6uVIT2m7Amq6XItihspeXQgnhKC484NUIb&#10;KnqEWgsv2A71P1CNlggOSj+S0CQ9kagIsUjHj7S5rYRVkQtJ7exRdPf/YOW7/Qdkusj5+YwGb0RD&#10;Iz98vz/8+HX4+Y2l4/k0aNRal1HqraVk372CjpwT+Tp7A/KzYwauKmG26hIR2kqJgnpMw8vk5GmP&#10;4wLIpn0LBZUSOw8RqCuxCQKSJIzQaT53x/mozjNJl2ez+WJCEUmh+WyRvozzS0T28Nii868VNCxs&#10;co40/ggu9jfOh2ZE9pASahm41nUdLVCbvy4osb9R0UPD60AldN/z8N2mG6TZQHFHpBB6f9Hvok0F&#10;+JWzlryVc/dlJ1BxVr8xJMwinU6DGeNhOjsLnPA0sjmNCCMJKuees3575XsD7yzqbUWV+lEYuCQx&#10;Sx2Jhlb7roYRkH8i/8HrwaCn55j153+v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B38jz1gAA&#10;AAoBAAAPAAAAAAAAAAEAIAAAACIAAABkcnMvZG93bnJldi54bWxQSwECFAAUAAAACACHTuJAKpIg&#10;yCACAAAnBAAADgAAAAAAAAABACAAAAAlAQAAZHJzL2Uyb0RvYy54bWxQSwUGAAAAAAYABgBZAQAA&#10;twUAAAAA&#10;">
                <v:fill on="f" focussize="0,0"/>
                <v:stroke on="f"/>
                <v:imagedata o:title=""/>
                <o:lock v:ext="edit" aspectratio="f"/>
                <v:textbox>
                  <w:txbxContent>
                    <w:p w14:paraId="788FB3F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提交最终清算支付申请</w:t>
                      </w:r>
                    </w:p>
                  </w:txbxContent>
                </v:textbox>
              </v:shape>
            </w:pict>
          </mc:Fallback>
        </mc:AlternateContent>
      </w:r>
      <w:r>
        <w:rPr>
          <w:rFonts w:hint="eastAsia" w:ascii="仿宋" w:hAnsi="仿宋" w:eastAsia="仿宋" w:cs="仿宋"/>
          <w:color w:val="auto"/>
          <w:highlight w:val="none"/>
          <w:lang w:eastAsia="zh-CN"/>
        </w:rPr>
        <w:t>合同双方当事人应在专用条款中明确最终清算款的支付时限。专用条款没有约定的</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最终清算款按照第90</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款至第90</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款约定办理。涉及政府投资资金的工程，支付期、支付方法等需调整的，应在专用条款中约定。</w:t>
      </w:r>
    </w:p>
    <w:p w14:paraId="67F53E42">
      <w:pPr>
        <w:widowControl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缺陷责任期终止证书签发后，承包人应按照专用条款约定的份数和期限向造价咨询人提交最终清算支付申请，并提供相关证明材料。发包人对最终清算支付申请有异议的，有权要求承包人进一步修正和提供补充资料。承包人修正后，应再次向造价咨询人提交修正后的最终清算支付申请。</w:t>
      </w:r>
    </w:p>
    <w:p w14:paraId="50D94694">
      <w:pPr>
        <w:pStyle w:val="2"/>
        <w:tabs>
          <w:tab w:val="left" w:pos="900"/>
        </w:tabs>
        <w:adjustRightInd w:val="0"/>
        <w:snapToGrid w:val="0"/>
        <w:spacing w:line="360" w:lineRule="auto"/>
        <w:rPr>
          <w:rFonts w:hint="eastAsia" w:ascii="仿宋" w:hAnsi="仿宋" w:eastAsia="仿宋"/>
          <w:color w:val="auto"/>
          <w:sz w:val="24"/>
          <w:szCs w:val="24"/>
          <w:highlight w:val="none"/>
          <w:lang w:eastAsia="zh-CN"/>
        </w:rPr>
      </w:pPr>
      <w:r>
        <w:rPr>
          <w:rFonts w:hint="eastAsia" w:ascii="仿宋" w:hAnsi="仿宋" w:eastAsia="仿宋" w:cs="仿宋"/>
          <w:b/>
          <w:bCs/>
          <w:color w:val="auto"/>
          <w:sz w:val="24"/>
          <w:szCs w:val="24"/>
          <w:highlight w:val="none"/>
          <w:lang w:eastAsia="zh-CN"/>
        </w:rPr>
        <w:t>90</w:t>
      </w:r>
      <w:r>
        <w:rPr>
          <w:rFonts w:ascii="仿宋" w:hAnsi="仿宋" w:eastAsia="仿宋" w:cs="仿宋"/>
          <w:b/>
          <w:bCs/>
          <w:color w:val="auto"/>
          <w:sz w:val="24"/>
          <w:szCs w:val="24"/>
          <w:highlight w:val="none"/>
          <w:lang w:eastAsia="zh-CN"/>
        </w:rPr>
        <w:t>.2</w:t>
      </w:r>
    </w:p>
    <w:p w14:paraId="50524F8F">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u w:val="single"/>
          <w:lang w:eastAsia="zh-CN"/>
        </w:rPr>
      </w:pPr>
      <w:r>
        <w:rPr>
          <w:color w:val="auto"/>
          <w:highlight w:val="none"/>
          <w:lang w:eastAsia="zh-CN"/>
        </w:rPr>
        <mc:AlternateContent>
          <mc:Choice Requires="wps">
            <w:drawing>
              <wp:anchor distT="0" distB="0" distL="114300" distR="114300" simplePos="0" relativeHeight="251938816" behindDoc="0" locked="0" layoutInCell="1" allowOverlap="1">
                <wp:simplePos x="0" y="0"/>
                <wp:positionH relativeFrom="column">
                  <wp:posOffset>-114300</wp:posOffset>
                </wp:positionH>
                <wp:positionV relativeFrom="paragraph">
                  <wp:posOffset>8890</wp:posOffset>
                </wp:positionV>
                <wp:extent cx="762635" cy="577215"/>
                <wp:effectExtent l="0" t="0" r="0" b="0"/>
                <wp:wrapNone/>
                <wp:docPr id="859" name="文本框 1065"/>
                <wp:cNvGraphicFramePr/>
                <a:graphic xmlns:a="http://schemas.openxmlformats.org/drawingml/2006/main">
                  <a:graphicData uri="http://schemas.microsoft.com/office/word/2010/wordprocessingShape">
                    <wps:wsp>
                      <wps:cNvSpPr txBox="1">
                        <a:spLocks noChangeArrowheads="1"/>
                      </wps:cNvSpPr>
                      <wps:spPr bwMode="auto">
                        <a:xfrm>
                          <a:off x="0" y="0"/>
                          <a:ext cx="762635" cy="577215"/>
                        </a:xfrm>
                        <a:prstGeom prst="rect">
                          <a:avLst/>
                        </a:prstGeom>
                        <a:noFill/>
                        <a:ln>
                          <a:noFill/>
                        </a:ln>
                        <a:effectLst/>
                      </wps:spPr>
                      <wps:txbx>
                        <w:txbxContent>
                          <w:p w14:paraId="3ACB1166">
                            <w:pPr>
                              <w:spacing w:line="240" w:lineRule="exact"/>
                              <w:rPr>
                                <w:rFonts w:ascii="宋体"/>
                                <w:b/>
                                <w:bCs/>
                                <w:sz w:val="18"/>
                                <w:szCs w:val="18"/>
                              </w:rPr>
                            </w:pPr>
                            <w:r>
                              <w:rPr>
                                <w:rFonts w:hint="eastAsia" w:ascii="楷体_GB2312" w:hAnsi="宋体" w:eastAsia="楷体_GB2312" w:cs="楷体_GB2312"/>
                                <w:b/>
                                <w:bCs/>
                                <w:sz w:val="18"/>
                                <w:szCs w:val="18"/>
                              </w:rPr>
                              <w:t>签发最终清算支付证书</w:t>
                            </w:r>
                          </w:p>
                        </w:txbxContent>
                      </wps:txbx>
                      <wps:bodyPr rot="0" vert="horz" wrap="square" lIns="91440" tIns="45720" rIns="91440" bIns="45720" anchor="t" anchorCtr="0" upright="1">
                        <a:noAutofit/>
                      </wps:bodyPr>
                    </wps:wsp>
                  </a:graphicData>
                </a:graphic>
              </wp:anchor>
            </w:drawing>
          </mc:Choice>
          <mc:Fallback>
            <w:pict>
              <v:shape id="文本框 1065" o:spid="_x0000_s1026" o:spt="202" type="#_x0000_t202" style="position:absolute;left:0pt;margin-left:-9pt;margin-top:0.7pt;height:45.45pt;width:60.05pt;z-index:251938816;mso-width-relative:page;mso-height-relative:page;" filled="f" stroked="f" coordsize="21600,21600" o:gfxdata="UEsDBAoAAAAAAIdO4kAAAAAAAAAAAAAAAAAEAAAAZHJzL1BLAwQUAAAACACHTuJACHCWpNUAAAAI&#10;AQAADwAAAGRycy9kb3ducmV2LnhtbE2Py07DMBBF90j8gzVI7NpxQkFtiNMFiC2I8pDYufE0iYjH&#10;Uew24e+ZrmA5OqN7zy23s+/VicbYBTaQLTUo4jq4jhsD729PizWomCw72wcmAz8UYVtdXpS2cGHi&#10;VzrtUqMkhGNhDbQpDQVirFvyNi7DQCzsEEZvk5xjg260k4T7HnOt79DbjqWhtQM9tFR/747ewMfz&#10;4etzpV+aR387TGHWyH6DxlxfZfoeVKI5/T3DWV/UoRKnfTiyi6o3sMjWsiUJWIE6c51noPYGNvkN&#10;YFXi/wHVL1BLAwQUAAAACACHTuJAkYTbmyECAAAnBAAADgAAAGRycy9lMm9Eb2MueG1srVNLbtsw&#10;EN0X6B0I7mtZrj+JYDlIY6QokH6AtAegKcoiKnHYIW0pPUBzg6666b7n8jk6pBTXTTdZdEOQnOGb&#10;eW8elxddU7O9QqfB5DwdjTlTRkKhzTbnnz5evzjjzHlhClGDUTm/U45frJ4/W7Y2UxOooC4UMgIx&#10;LmttzivvbZYkTlaqEW4EVhkKloCN8HTEbVKgaAm9qZPJeDxPWsDCIkjlHN2u+yAfEPEpgFCWWqo1&#10;yF2jjO9RUdXCEyVXaev4KnZblkr692XplGd1zompjysVof0mrMlqKbItCltpObQgntLCI06N0IaK&#10;HqHWwgu2Q/0PVKMlgoPSjyQ0SU8kKkIs0vEjbW4rYVXkQlI7exTd/T9Y+W7/AZkucn42O+fMiIZG&#10;fvh+f/jx6/DzG0vH81nQqLUuo9RbS8m+ewUdOSfydfYG5GfHDFxVwmzVJSK0lRIF9ZiGl8nJ0x7H&#10;BZBN+xYKKiV2HiJQV2ITBCRJGKHTfO6O81GdZ5IuF/PJ/OWMM0mh2WIxSWNvicgeHlt0/rWChoVN&#10;zpHGH8HF/sb50IzIHlJCLQPXuq6jBWrz1wUl9jcqemh4HaiE7nsevtt0gzQbKO6IFELvL/pdtKkA&#10;v3LWkrdy7r7sBCrO6jeGhDlPp9NgxniYzhYTOuBpZHMaEUYSVM49Z/32yvcG3lnU24oq9aMwcEli&#10;ljoSDa32XQ0jIP9E/oPXg0FPzzHrz/9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IcJak1QAA&#10;AAgBAAAPAAAAAAAAAAEAIAAAACIAAABkcnMvZG93bnJldi54bWxQSwECFAAUAAAACACHTuJAkYTb&#10;myECAAAnBAAADgAAAAAAAAABACAAAAAkAQAAZHJzL2Uyb0RvYy54bWxQSwUGAAAAAAYABgBZAQAA&#10;twUAAAAA&#10;">
                <v:fill on="f" focussize="0,0"/>
                <v:stroke on="f"/>
                <v:imagedata o:title=""/>
                <o:lock v:ext="edit" aspectratio="f"/>
                <v:textbox>
                  <w:txbxContent>
                    <w:p w14:paraId="3ACB1166">
                      <w:pPr>
                        <w:spacing w:line="240" w:lineRule="exact"/>
                        <w:rPr>
                          <w:rFonts w:ascii="宋体"/>
                          <w:b/>
                          <w:bCs/>
                          <w:sz w:val="18"/>
                          <w:szCs w:val="18"/>
                        </w:rPr>
                      </w:pPr>
                      <w:r>
                        <w:rPr>
                          <w:rFonts w:hint="eastAsia" w:ascii="楷体_GB2312" w:hAnsi="宋体" w:eastAsia="楷体_GB2312" w:cs="楷体_GB2312"/>
                          <w:b/>
                          <w:bCs/>
                          <w:sz w:val="18"/>
                          <w:szCs w:val="18"/>
                        </w:rPr>
                        <w:t>签发最终清算支付证书</w:t>
                      </w:r>
                    </w:p>
                  </w:txbxContent>
                </v:textbox>
              </v:shape>
            </w:pict>
          </mc:Fallback>
        </mc:AlternateContent>
      </w:r>
      <w:r>
        <w:rPr>
          <w:rFonts w:hint="eastAsia" w:ascii="仿宋" w:hAnsi="仿宋" w:eastAsia="仿宋" w:cs="仿宋"/>
          <w:color w:val="auto"/>
          <w:sz w:val="24"/>
          <w:szCs w:val="24"/>
          <w:highlight w:val="none"/>
          <w:lang w:eastAsia="zh-CN"/>
        </w:rPr>
        <w:t>造价咨询人应在收到最终清算支付申请后的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天内予以计量、核实，并将核实结果通知承包人、抄报发包人。发包人应在收到核实结果后的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天内在最终清算文件上签字确认。造价咨询人应在发包人签字确认最终清算文件后的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天内，向发包人签发最终清算支付证书，同时抄送承包人。</w:t>
      </w:r>
    </w:p>
    <w:p w14:paraId="75551FFF">
      <w:pPr>
        <w:pStyle w:val="2"/>
        <w:tabs>
          <w:tab w:val="left" w:pos="900"/>
        </w:tabs>
        <w:adjustRightInd w:val="0"/>
        <w:snapToGrid w:val="0"/>
        <w:spacing w:line="360" w:lineRule="auto"/>
        <w:rPr>
          <w:rFonts w:hint="eastAsia" w:ascii="仿宋" w:hAnsi="仿宋" w:eastAsia="仿宋"/>
          <w:color w:val="auto"/>
          <w:sz w:val="24"/>
          <w:szCs w:val="24"/>
          <w:highlight w:val="none"/>
          <w:lang w:eastAsia="zh-CN"/>
        </w:rPr>
      </w:pPr>
      <w:r>
        <w:rPr>
          <w:rFonts w:hint="eastAsia" w:ascii="仿宋" w:hAnsi="仿宋" w:eastAsia="仿宋" w:cs="仿宋"/>
          <w:b/>
          <w:bCs/>
          <w:color w:val="auto"/>
          <w:sz w:val="24"/>
          <w:szCs w:val="24"/>
          <w:highlight w:val="none"/>
          <w:lang w:eastAsia="zh-CN"/>
        </w:rPr>
        <w:t>90</w:t>
      </w:r>
      <w:r>
        <w:rPr>
          <w:rFonts w:ascii="仿宋" w:hAnsi="仿宋" w:eastAsia="仿宋" w:cs="仿宋"/>
          <w:b/>
          <w:bCs/>
          <w:color w:val="auto"/>
          <w:sz w:val="24"/>
          <w:szCs w:val="24"/>
          <w:highlight w:val="none"/>
          <w:lang w:eastAsia="zh-CN"/>
        </w:rPr>
        <w:t>.3</w:t>
      </w:r>
    </w:p>
    <w:p w14:paraId="27EE4E3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sz w:val="24"/>
          <w:szCs w:val="24"/>
          <w:highlight w:val="none"/>
          <w:lang w:eastAsia="zh-CN"/>
        </w:rPr>
        <mc:AlternateContent>
          <mc:Choice Requires="wps">
            <w:drawing>
              <wp:anchor distT="0" distB="0" distL="114300" distR="114300" simplePos="0" relativeHeight="252063744" behindDoc="0" locked="0" layoutInCell="1" allowOverlap="1">
                <wp:simplePos x="0" y="0"/>
                <wp:positionH relativeFrom="column">
                  <wp:posOffset>-114300</wp:posOffset>
                </wp:positionH>
                <wp:positionV relativeFrom="paragraph">
                  <wp:posOffset>39370</wp:posOffset>
                </wp:positionV>
                <wp:extent cx="775970" cy="453390"/>
                <wp:effectExtent l="0" t="0" r="0" b="0"/>
                <wp:wrapNone/>
                <wp:docPr id="860" name="文本框 1066"/>
                <wp:cNvGraphicFramePr/>
                <a:graphic xmlns:a="http://schemas.openxmlformats.org/drawingml/2006/main">
                  <a:graphicData uri="http://schemas.microsoft.com/office/word/2010/wordprocessingShape">
                    <wps:wsp>
                      <wps:cNvSpPr txBox="1">
                        <a:spLocks noChangeArrowheads="1"/>
                      </wps:cNvSpPr>
                      <wps:spPr bwMode="auto">
                        <a:xfrm>
                          <a:off x="0" y="0"/>
                          <a:ext cx="775970" cy="453390"/>
                        </a:xfrm>
                        <a:prstGeom prst="rect">
                          <a:avLst/>
                        </a:prstGeom>
                        <a:noFill/>
                        <a:ln>
                          <a:noFill/>
                        </a:ln>
                        <a:effectLst/>
                      </wps:spPr>
                      <wps:txbx>
                        <w:txbxContent>
                          <w:p w14:paraId="3151B96A">
                            <w:pPr>
                              <w:spacing w:line="240" w:lineRule="exact"/>
                              <w:rPr>
                                <w:rFonts w:ascii="宋体"/>
                                <w:b/>
                                <w:bCs/>
                                <w:sz w:val="18"/>
                                <w:szCs w:val="18"/>
                              </w:rPr>
                            </w:pPr>
                            <w:r>
                              <w:rPr>
                                <w:rFonts w:hint="eastAsia" w:ascii="楷体_GB2312" w:hAnsi="宋体" w:eastAsia="楷体_GB2312" w:cs="楷体_GB2312"/>
                                <w:b/>
                                <w:bCs/>
                                <w:sz w:val="18"/>
                                <w:szCs w:val="18"/>
                              </w:rPr>
                              <w:t>最终清算款支付</w:t>
                            </w:r>
                          </w:p>
                        </w:txbxContent>
                      </wps:txbx>
                      <wps:bodyPr rot="0" vert="horz" wrap="square" lIns="91440" tIns="45720" rIns="91440" bIns="45720" anchor="t" anchorCtr="0" upright="1">
                        <a:noAutofit/>
                      </wps:bodyPr>
                    </wps:wsp>
                  </a:graphicData>
                </a:graphic>
              </wp:anchor>
            </w:drawing>
          </mc:Choice>
          <mc:Fallback>
            <w:pict>
              <v:shape id="文本框 1066" o:spid="_x0000_s1026" o:spt="202" type="#_x0000_t202" style="position:absolute;left:0pt;margin-left:-9pt;margin-top:3.1pt;height:35.7pt;width:61.1pt;z-index:252063744;mso-width-relative:page;mso-height-relative:page;" filled="f" stroked="f" coordsize="21600,21600" o:gfxdata="UEsDBAoAAAAAAIdO4kAAAAAAAAAAAAAAAAAEAAAAZHJzL1BLAwQUAAAACACHTuJAs5yDKdYAAAAI&#10;AQAADwAAAGRycy9kb3ducmV2LnhtbE2PwW7CMBBE75X4B2uRegM7iAYI2XCg6rVVoa3Um4mXJCJe&#10;R7Eh6d/XnNrbrGY18ybfjbYVN+p94xghmSsQxKUzDVcIH8eX2RqED5qNbh0Twg952BWTh1xnxg38&#10;TrdDqEQMYZ9phDqELpPSlzVZ7eeuI47e2fVWh3j2lTS9HmK4beVCqVRa3XBsqHVH+5rKy+FqET5f&#10;z99fS/VWPdunbnCjkmw3EvFxmqgtiEBj+HuGO35EhyIyndyVjRctwixZxy0BIV2AuPtqGcUJYbVK&#10;QRa5/D+g+AVQSwMEFAAAAAgAh07iQMBCP6cgAgAAJwQAAA4AAABkcnMvZTJvRG9jLnhtbK1TS27b&#10;MBDdF+gdCO5r2Y4/sWA5SGOkKJB+gLQHoCnKIipx2CFtyT1Ae4Ouuum+5/I5OqQU1003WXRDkJzh&#10;m/feDJdXbV2xvUKnwWR8NBhypoyEXJttxj9+uH1xyZnzwuSiAqMyflCOX62eP1s2NlVjKKHKFTIC&#10;MS5tbMZL722aJE6WqhZuAFYZChaAtfB0xG2So2gIva6S8XA4SxrA3CJI5Rzdrrsg7xHxKYBQFFqq&#10;NchdrYzvUFFVwpMkV2rr+CqyLQol/buicMqzKuOk1MeVitB+E9ZktRTpFoUttewpiKdQeKSpFtpQ&#10;0RPUWnjBdqj/gaq1RHBQ+IGEOumEREdIxWj4yJv7UlgVtZDVzp5Md/8PVr7dv0em84xfzsgTI2pq&#10;+fH7t+OPX8efX9loOJsFjxrrUkq9t5Ts25fQ0uREvc7egfzkmIGbUpitukaEplQiJ46j8DI5e9rh&#10;uACyad5ATqXEzkMEagusg4FkCSN04nI49Ue1nkm6nM+nizlFJIUm04uLRexfItKHxxadf6WgZmGT&#10;caT2R3Cxv3M+kBHpQ0qoZeBWV1Ucgcr8dUGJ3Y2KM9S/DlIC+06Hbzdtb80G8gOJQujmi34XbUrA&#10;L5w1NFsZd593AhVn1WtDxixGkwnJ8PEwmc7HdMDzyOY8IowkqIx7zrrtje8GeGdRb0uq1LXCwDWZ&#10;WegoNFDtWPUtoPmJ+vtZDwN6fo5Zf/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znIMp1gAA&#10;AAgBAAAPAAAAAAAAAAEAIAAAACIAAABkcnMvZG93bnJldi54bWxQSwECFAAUAAAACACHTuJAwEI/&#10;pyACAAAnBAAADgAAAAAAAAABACAAAAAlAQAAZHJzL2Uyb0RvYy54bWxQSwUGAAAAAAYABgBZAQAA&#10;twUAAAAA&#10;">
                <v:fill on="f" focussize="0,0"/>
                <v:stroke on="f"/>
                <v:imagedata o:title=""/>
                <o:lock v:ext="edit" aspectratio="f"/>
                <v:textbox>
                  <w:txbxContent>
                    <w:p w14:paraId="3151B96A">
                      <w:pPr>
                        <w:spacing w:line="240" w:lineRule="exact"/>
                        <w:rPr>
                          <w:rFonts w:ascii="宋体"/>
                          <w:b/>
                          <w:bCs/>
                          <w:sz w:val="18"/>
                          <w:szCs w:val="18"/>
                        </w:rPr>
                      </w:pPr>
                      <w:r>
                        <w:rPr>
                          <w:rFonts w:hint="eastAsia" w:ascii="楷体_GB2312" w:hAnsi="宋体" w:eastAsia="楷体_GB2312" w:cs="楷体_GB2312"/>
                          <w:b/>
                          <w:bCs/>
                          <w:sz w:val="18"/>
                          <w:szCs w:val="18"/>
                        </w:rPr>
                        <w:t>最终清算款支付</w:t>
                      </w:r>
                    </w:p>
                  </w:txbxContent>
                </v:textbox>
              </v:shape>
            </w:pict>
          </mc:Fallback>
        </mc:AlternateContent>
      </w:r>
      <w:r>
        <w:rPr>
          <w:rFonts w:hint="eastAsia" w:ascii="仿宋" w:hAnsi="仿宋" w:eastAsia="仿宋" w:cs="仿宋"/>
          <w:color w:val="auto"/>
          <w:sz w:val="24"/>
          <w:szCs w:val="24"/>
          <w:highlight w:val="none"/>
          <w:lang w:eastAsia="zh-CN"/>
        </w:rPr>
        <w:t>发包人应在造价咨询人签发最终清算支付证书后的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天内，按照最终清算支付证书列明的金额向承包人支付最终清算款，并通知造价咨询人。</w:t>
      </w:r>
    </w:p>
    <w:p w14:paraId="17A7FAC3">
      <w:pPr>
        <w:pStyle w:val="2"/>
        <w:adjustRightInd w:val="0"/>
        <w:snapToGrid w:val="0"/>
        <w:spacing w:line="480" w:lineRule="auto"/>
        <w:rPr>
          <w:rFonts w:hint="eastAsia" w:ascii="仿宋" w:hAnsi="仿宋" w:eastAsia="仿宋"/>
          <w:color w:val="auto"/>
          <w:sz w:val="24"/>
          <w:szCs w:val="24"/>
          <w:highlight w:val="none"/>
          <w:lang w:eastAsia="zh-CN"/>
        </w:rPr>
      </w:pPr>
      <w:r>
        <w:rPr>
          <w:rFonts w:hint="eastAsia" w:ascii="仿宋" w:hAnsi="仿宋" w:eastAsia="仿宋" w:cs="仿宋"/>
          <w:b/>
          <w:bCs/>
          <w:color w:val="auto"/>
          <w:sz w:val="24"/>
          <w:szCs w:val="24"/>
          <w:highlight w:val="none"/>
          <w:lang w:eastAsia="zh-CN"/>
        </w:rPr>
        <w:t>90</w:t>
      </w:r>
      <w:r>
        <w:rPr>
          <w:rFonts w:ascii="仿宋" w:hAnsi="仿宋" w:eastAsia="仿宋" w:cs="仿宋"/>
          <w:b/>
          <w:bCs/>
          <w:color w:val="auto"/>
          <w:sz w:val="24"/>
          <w:szCs w:val="24"/>
          <w:highlight w:val="none"/>
          <w:lang w:eastAsia="zh-CN"/>
        </w:rPr>
        <w:t xml:space="preserve">.4 </w:t>
      </w:r>
    </w:p>
    <w:p w14:paraId="72886217">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64768" behindDoc="0" locked="0" layoutInCell="1" allowOverlap="1">
                <wp:simplePos x="0" y="0"/>
                <wp:positionH relativeFrom="column">
                  <wp:posOffset>-114300</wp:posOffset>
                </wp:positionH>
                <wp:positionV relativeFrom="paragraph">
                  <wp:posOffset>53340</wp:posOffset>
                </wp:positionV>
                <wp:extent cx="756920" cy="539115"/>
                <wp:effectExtent l="0" t="0" r="0" b="0"/>
                <wp:wrapNone/>
                <wp:docPr id="861" name="文本框 1067"/>
                <wp:cNvGraphicFramePr/>
                <a:graphic xmlns:a="http://schemas.openxmlformats.org/drawingml/2006/main">
                  <a:graphicData uri="http://schemas.microsoft.com/office/word/2010/wordprocessingShape">
                    <wps:wsp>
                      <wps:cNvSpPr txBox="1">
                        <a:spLocks noChangeArrowheads="1"/>
                      </wps:cNvSpPr>
                      <wps:spPr bwMode="auto">
                        <a:xfrm>
                          <a:off x="0" y="0"/>
                          <a:ext cx="756920" cy="539115"/>
                        </a:xfrm>
                        <a:prstGeom prst="rect">
                          <a:avLst/>
                        </a:prstGeom>
                        <a:noFill/>
                        <a:ln>
                          <a:noFill/>
                        </a:ln>
                        <a:effectLst/>
                      </wps:spPr>
                      <wps:txbx>
                        <w:txbxContent>
                          <w:p w14:paraId="204E4C69">
                            <w:pPr>
                              <w:spacing w:line="240" w:lineRule="exact"/>
                              <w:rPr>
                                <w:rFonts w:ascii="宋体"/>
                                <w:b/>
                                <w:bCs/>
                                <w:sz w:val="18"/>
                                <w:szCs w:val="18"/>
                                <w:lang w:eastAsia="zh-CN"/>
                              </w:rPr>
                            </w:pPr>
                            <w:r>
                              <w:rPr>
                                <w:rFonts w:hint="eastAsia" w:ascii="楷体_GB2312" w:hAnsi="宋体" w:eastAsia="楷体_GB2312" w:cs="楷体_GB2312"/>
                                <w:b/>
                                <w:bCs/>
                                <w:sz w:val="18"/>
                                <w:szCs w:val="18"/>
                                <w:lang w:eastAsia="zh-CN"/>
                              </w:rPr>
                              <w:t>签发最终清算支付证书限制</w:t>
                            </w:r>
                          </w:p>
                        </w:txbxContent>
                      </wps:txbx>
                      <wps:bodyPr rot="0" vert="horz" wrap="square" lIns="91440" tIns="45720" rIns="91440" bIns="45720" anchor="t" anchorCtr="0" upright="1">
                        <a:noAutofit/>
                      </wps:bodyPr>
                    </wps:wsp>
                  </a:graphicData>
                </a:graphic>
              </wp:anchor>
            </w:drawing>
          </mc:Choice>
          <mc:Fallback>
            <w:pict>
              <v:shape id="文本框 1067" o:spid="_x0000_s1026" o:spt="202" type="#_x0000_t202" style="position:absolute;left:0pt;margin-left:-9pt;margin-top:4.2pt;height:42.45pt;width:59.6pt;z-index:252064768;mso-width-relative:page;mso-height-relative:page;" filled="f" stroked="f" coordsize="21600,21600" o:gfxdata="UEsDBAoAAAAAAIdO4kAAAAAAAAAAAAAAAAAEAAAAZHJzL1BLAwQUAAAACACHTuJAy9vtLNYAAAAI&#10;AQAADwAAAGRycy9kb3ducmV2LnhtbE2PwW7CMBBE75X4B2sr9QZ2gKIQsuFA1WurAq3EzcRLEjVe&#10;R7Eh6d/XnNrjaEYzb/LtaFtxo943jhGSmQJBXDrTcIVwPLxOUxA+aDa6dUwIP+RhW0wecp0ZN/AH&#10;3fahErGEfaYR6hC6TEpf1mS1n7mOOHoX11sdouwraXo9xHLbyrlSK2l1w3Gh1h3taiq/91eL8Pl2&#10;OX0t1Xv1Yp+7wY1Ksl1LxKfHRG1ABBrDXxju+BEdish0dlc2XrQI0ySNXwJCugRx91UyB3FGWC8W&#10;IItc/j9Q/AJQSwMEFAAAAAgAh07iQDV8b2cfAgAAJwQAAA4AAABkcnMvZTJvRG9jLnhtbK1TS27b&#10;MBDdF+gdCO5rWa4/sWA5SGOkKJB+gLQHoCnKIipx2CFtyT1Ac4Ouuum+5/I5OqQc1003WXRDkJzh&#10;m3lvHheXXVOznUKnweQ8HQw5U0ZCoc0m558+3ry44Mx5YQpRg1E53yvHL5fPny1am6kRVFAXChmB&#10;GJe1NueV9zZLEicr1Qg3AKsMBUvARng64iYpULSE3tTJaDicJi1gYRGkco5uV32QHxHxKYBQllqq&#10;Fchto4zvUVHVwhMlV2nr+DJ2W5ZK+vdl6ZRndc6JqY8rFaH9OqzJciGyDQpbaXlsQTylhUecGqEN&#10;FT1BrYQXbIv6H6hGSwQHpR9IaJKeSFSEWKTDR9rcVcKqyIWkdvYkuvt/sPLd7gMyXeT8YppyZkRD&#10;Iz98vz/8+HX4+Y2lw+ksaNRal1HqnaVk372CjpwT+Tp7C/KzYwauK2E26goR2kqJgnpMw8vk7GmP&#10;4wLIun0LBZUSWw8RqCuxCQKSJIzQaT7703xU55mky9lkOh9RRFJo8nKeppNYQWQPjy06/1pBw8Im&#10;50jjj+Bid+t8aEZkDymhloEbXdfRArX564IS+xsVPXR8HaiE7nsevlt3R2nWUOyJFELvL/pdtKkA&#10;v3LWkrdy7r5sBSrO6jeGhJmn43EwYzyMJ7PACc8j6/OIMJKgcu4567fXvjfw1qLeVFSpH4WBKxKz&#10;1JFoaLXv6jgC8k/kf/R6MOj5OWb9+d/L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vb7SzWAAAA&#10;CAEAAA8AAAAAAAAAAQAgAAAAIgAAAGRycy9kb3ducmV2LnhtbFBLAQIUABQAAAAIAIdO4kA1fG9n&#10;HwIAACcEAAAOAAAAAAAAAAEAIAAAACUBAABkcnMvZTJvRG9jLnhtbFBLBQYAAAAABgAGAFkBAAC2&#10;BQAAAAA=&#10;">
                <v:fill on="f" focussize="0,0"/>
                <v:stroke on="f"/>
                <v:imagedata o:title=""/>
                <o:lock v:ext="edit" aspectratio="f"/>
                <v:textbox>
                  <w:txbxContent>
                    <w:p w14:paraId="204E4C69">
                      <w:pPr>
                        <w:spacing w:line="240" w:lineRule="exact"/>
                        <w:rPr>
                          <w:rFonts w:ascii="宋体"/>
                          <w:b/>
                          <w:bCs/>
                          <w:sz w:val="18"/>
                          <w:szCs w:val="18"/>
                          <w:lang w:eastAsia="zh-CN"/>
                        </w:rPr>
                      </w:pPr>
                      <w:r>
                        <w:rPr>
                          <w:rFonts w:hint="eastAsia" w:ascii="楷体_GB2312" w:hAnsi="宋体" w:eastAsia="楷体_GB2312" w:cs="楷体_GB2312"/>
                          <w:b/>
                          <w:bCs/>
                          <w:sz w:val="18"/>
                          <w:szCs w:val="18"/>
                          <w:lang w:eastAsia="zh-CN"/>
                        </w:rPr>
                        <w:t>签发最终清算支付证书限制</w:t>
                      </w:r>
                    </w:p>
                  </w:txbxContent>
                </v:textbox>
              </v:shape>
            </w:pict>
          </mc:Fallback>
        </mc:AlternateContent>
      </w:r>
      <w:r>
        <w:rPr>
          <w:rFonts w:hint="eastAsia" w:ascii="仿宋" w:hAnsi="仿宋" w:eastAsia="仿宋" w:cs="仿宋"/>
          <w:color w:val="auto"/>
          <w:sz w:val="24"/>
          <w:szCs w:val="24"/>
          <w:highlight w:val="none"/>
          <w:lang w:eastAsia="zh-CN"/>
        </w:rPr>
        <w:t>如果造价咨询人未在第90</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款约定的期限内签发最终清算支付证书的，则视为承包人提交的最终清算支付申请已被认可，承包人应及时向发包人发出要求支付最终清算款的通知。发包人应在收到通知后的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天内，按照承包人提交最终清算支付申请列明的金额向承包人支付最终清算款。</w:t>
      </w:r>
    </w:p>
    <w:p w14:paraId="018F65DD">
      <w:pPr>
        <w:pStyle w:val="2"/>
        <w:adjustRightInd w:val="0"/>
        <w:snapToGrid w:val="0"/>
        <w:spacing w:line="360" w:lineRule="auto"/>
        <w:rPr>
          <w:rFonts w:hint="eastAsia" w:ascii="仿宋" w:hAnsi="仿宋" w:eastAsia="仿宋"/>
          <w:color w:val="auto"/>
          <w:sz w:val="24"/>
          <w:szCs w:val="24"/>
          <w:highlight w:val="none"/>
          <w:lang w:eastAsia="zh-CN"/>
        </w:rPr>
      </w:pPr>
      <w:r>
        <w:rPr>
          <w:rFonts w:hint="eastAsia" w:ascii="仿宋" w:hAnsi="仿宋" w:eastAsia="仿宋" w:cs="仿宋"/>
          <w:b/>
          <w:bCs/>
          <w:color w:val="auto"/>
          <w:sz w:val="24"/>
          <w:szCs w:val="24"/>
          <w:highlight w:val="none"/>
          <w:lang w:eastAsia="zh-CN"/>
        </w:rPr>
        <w:t>90</w:t>
      </w:r>
      <w:r>
        <w:rPr>
          <w:rFonts w:ascii="仿宋" w:hAnsi="仿宋" w:eastAsia="仿宋" w:cs="仿宋"/>
          <w:b/>
          <w:bCs/>
          <w:color w:val="auto"/>
          <w:sz w:val="24"/>
          <w:szCs w:val="24"/>
          <w:highlight w:val="none"/>
          <w:lang w:eastAsia="zh-CN"/>
        </w:rPr>
        <w:t xml:space="preserve">.5 </w:t>
      </w:r>
    </w:p>
    <w:p w14:paraId="6646C0C1">
      <w:pPr>
        <w:widowControl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39840" behindDoc="0" locked="0" layoutInCell="1" allowOverlap="1">
                <wp:simplePos x="0" y="0"/>
                <wp:positionH relativeFrom="column">
                  <wp:posOffset>-114300</wp:posOffset>
                </wp:positionH>
                <wp:positionV relativeFrom="paragraph">
                  <wp:posOffset>8255</wp:posOffset>
                </wp:positionV>
                <wp:extent cx="790575" cy="628015"/>
                <wp:effectExtent l="0" t="0" r="0" b="0"/>
                <wp:wrapNone/>
                <wp:docPr id="862" name="文本框 1068"/>
                <wp:cNvGraphicFramePr/>
                <a:graphic xmlns:a="http://schemas.openxmlformats.org/drawingml/2006/main">
                  <a:graphicData uri="http://schemas.microsoft.com/office/word/2010/wordprocessingShape">
                    <wps:wsp>
                      <wps:cNvSpPr txBox="1">
                        <a:spLocks noChangeArrowheads="1"/>
                      </wps:cNvSpPr>
                      <wps:spPr bwMode="auto">
                        <a:xfrm>
                          <a:off x="0" y="0"/>
                          <a:ext cx="790575" cy="628015"/>
                        </a:xfrm>
                        <a:prstGeom prst="rect">
                          <a:avLst/>
                        </a:prstGeom>
                        <a:noFill/>
                        <a:ln>
                          <a:noFill/>
                        </a:ln>
                        <a:effectLst/>
                      </wps:spPr>
                      <wps:txbx>
                        <w:txbxContent>
                          <w:p w14:paraId="75FA9D9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最终清算款支付的限制</w:t>
                            </w:r>
                          </w:p>
                        </w:txbxContent>
                      </wps:txbx>
                      <wps:bodyPr rot="0" vert="horz" wrap="square" lIns="91440" tIns="45720" rIns="91440" bIns="45720" anchor="t" anchorCtr="0" upright="1">
                        <a:noAutofit/>
                      </wps:bodyPr>
                    </wps:wsp>
                  </a:graphicData>
                </a:graphic>
              </wp:anchor>
            </w:drawing>
          </mc:Choice>
          <mc:Fallback>
            <w:pict>
              <v:shape id="文本框 1068" o:spid="_x0000_s1026" o:spt="202" type="#_x0000_t202" style="position:absolute;left:0pt;margin-left:-9pt;margin-top:0.65pt;height:49.45pt;width:62.25pt;z-index:251939840;mso-width-relative:page;mso-height-relative:page;" filled="f" stroked="f" coordsize="21600,21600" o:gfxdata="UEsDBAoAAAAAAIdO4kAAAAAAAAAAAAAAAAAEAAAAZHJzL1BLAwQUAAAACACHTuJA/H8x9dUAAAAJ&#10;AQAADwAAAGRycy9kb3ducmV2LnhtbE2PTU/DMAyG70j8h8hI3Lakg02jNN0BxBXE+JC4eY3XVjRO&#10;1WRr+fe4J7jZeqzXz1vsJt+pMw2xDWwhWxpQxFVwLdcW3t+eFltQMSE77AKThR+KsCsvLwrMXRj5&#10;lc77VCsJ4ZijhSalPtc6Vg15jMvQEws7hsFjknWotRtwlHDf6ZUxG+2xZfnQYE8PDVXf+5O38PF8&#10;/Pq8NS/1o1/3Y5iMZn+nrb2+ysw9qERT+juGWV/UoRSnQzixi6qzsMi20iUJuAE1c7NZgzrMg1mB&#10;Lgv9v0H5C1BLAwQUAAAACACHTuJA9LCF5iACAAAnBAAADgAAAGRycy9lMm9Eb2MueG1srVNLbtsw&#10;EN0X6B0I7mtJhn8RLAdpjBQF0g+Q9gA0RVlEJQ47pC2lB2hv0FU33fdcPkeHlOO66SaLbgiSM3wz&#10;783j8rJvG7ZX6DSYgmejlDNlJJTabAv+8cPNiwVnzgtTigaMKvi9cvxy9fzZsrO5GkMNTamQEYhx&#10;eWcLXntv8yRxslatcCOwylCwAmyFpyNukxJFR+htk4zTdJZ0gKVFkMo5ul0PQX5ExKcAQlVpqdYg&#10;d60yfkBF1QhPlFytreOr2G1VKenfVZVTnjUFJ6Y+rlSE9puwJqulyLcobK3lsQXxlBYecWqFNlT0&#10;BLUWXrAd6n+gWi0RHFR+JKFNBiJREWKRpY+0uauFVZELSe3sSXT3/2Dl2/17ZLos+GI25syIlkZ+&#10;+P7t8OPX4edXlqWzRdCosy6n1DtLyb5/CT05J/J19hbkJ8cMXNfCbNUVInS1EiX1mIWXydnTAccF&#10;kE33BkoqJXYeIlBfYRsEJEkYodN87k/zUb1nki7nF+l0PuVMUmg2XqTZNFYQ+cNji86/UtCysCk4&#10;0vgjuNjfOh+aEflDSqhl4EY3TbRAY/66oMThRkUPHV8HKqH7gYfvN/1Rmg2U90QKYfAX/S7a1IBf&#10;OOvIWwV3n3cCFWfNa0PCXGSTSTBjPEym8zEd8DyyOY8IIwmq4J6zYXvtBwPvLOptTZWGURi4IjEr&#10;HYmGVoeujiMg/0T+R68Hg56fY9af/73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x/MfXVAAAA&#10;CQEAAA8AAAAAAAAAAQAgAAAAIgAAAGRycy9kb3ducmV2LnhtbFBLAQIUABQAAAAIAIdO4kD0sIXm&#10;IAIAACcEAAAOAAAAAAAAAAEAIAAAACQBAABkcnMvZTJvRG9jLnhtbFBLBQYAAAAABgAGAFkBAAC2&#10;BQAAAAA=&#10;">
                <v:fill on="f" focussize="0,0"/>
                <v:stroke on="f"/>
                <v:imagedata o:title=""/>
                <o:lock v:ext="edit" aspectratio="f"/>
                <v:textbox>
                  <w:txbxContent>
                    <w:p w14:paraId="75FA9D9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最终清算款支付的限制</w:t>
                      </w:r>
                    </w:p>
                  </w:txbxContent>
                </v:textbox>
              </v:shape>
            </w:pict>
          </mc:Fallback>
        </mc:AlternateContent>
      </w:r>
      <w:r>
        <w:rPr>
          <w:rFonts w:hint="eastAsia" w:ascii="仿宋" w:hAnsi="仿宋" w:eastAsia="仿宋" w:cs="仿宋"/>
          <w:color w:val="auto"/>
          <w:highlight w:val="none"/>
          <w:lang w:eastAsia="zh-CN"/>
        </w:rPr>
        <w:t>发包人未按照第90</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款和第90</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款约定支付最终清算款的，承包人可催告发包人支付最终清算款，如双方达成延期支付协议，承包人有权按照第83</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款约定获得延期支付的利息。若该永久工程按照第</w:t>
      </w:r>
      <w:r>
        <w:rPr>
          <w:rFonts w:ascii="仿宋" w:hAnsi="仿宋" w:eastAsia="仿宋" w:cs="仿宋"/>
          <w:color w:val="auto"/>
          <w:highlight w:val="none"/>
          <w:lang w:eastAsia="zh-CN"/>
        </w:rPr>
        <w:t>8</w:t>
      </w:r>
      <w:r>
        <w:rPr>
          <w:rFonts w:hint="eastAsia" w:ascii="仿宋" w:hAnsi="仿宋" w:eastAsia="仿宋" w:cs="仿宋"/>
          <w:color w:val="auto"/>
          <w:highlight w:val="none"/>
          <w:lang w:eastAsia="zh-CN"/>
        </w:rPr>
        <w:t>8</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款约定进行折价或依法拍卖的，承包人就该工程折价或拍卖的价款优先受偿。</w:t>
      </w:r>
    </w:p>
    <w:p w14:paraId="76F260E6">
      <w:pPr>
        <w:pStyle w:val="2"/>
        <w:adjustRightInd w:val="0"/>
        <w:snapToGrid w:val="0"/>
        <w:spacing w:line="360" w:lineRule="auto"/>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65792" behindDoc="0" locked="0" layoutInCell="1" allowOverlap="1">
                <wp:simplePos x="0" y="0"/>
                <wp:positionH relativeFrom="column">
                  <wp:posOffset>-114300</wp:posOffset>
                </wp:positionH>
                <wp:positionV relativeFrom="paragraph">
                  <wp:posOffset>259715</wp:posOffset>
                </wp:positionV>
                <wp:extent cx="775970" cy="500380"/>
                <wp:effectExtent l="0" t="0" r="0" b="0"/>
                <wp:wrapNone/>
                <wp:docPr id="863" name="文本框 1069"/>
                <wp:cNvGraphicFramePr/>
                <a:graphic xmlns:a="http://schemas.openxmlformats.org/drawingml/2006/main">
                  <a:graphicData uri="http://schemas.microsoft.com/office/word/2010/wordprocessingShape">
                    <wps:wsp>
                      <wps:cNvSpPr txBox="1">
                        <a:spLocks noChangeArrowheads="1"/>
                      </wps:cNvSpPr>
                      <wps:spPr bwMode="auto">
                        <a:xfrm>
                          <a:off x="0" y="0"/>
                          <a:ext cx="775970" cy="500380"/>
                        </a:xfrm>
                        <a:prstGeom prst="rect">
                          <a:avLst/>
                        </a:prstGeom>
                        <a:noFill/>
                        <a:ln>
                          <a:noFill/>
                        </a:ln>
                        <a:effectLst/>
                      </wps:spPr>
                      <wps:txbx>
                        <w:txbxContent>
                          <w:p w14:paraId="2EC9E21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最终清算款争议的处理</w:t>
                            </w:r>
                          </w:p>
                        </w:txbxContent>
                      </wps:txbx>
                      <wps:bodyPr rot="0" vert="horz" wrap="square" lIns="91440" tIns="45720" rIns="91440" bIns="45720" anchor="t" anchorCtr="0" upright="1">
                        <a:noAutofit/>
                      </wps:bodyPr>
                    </wps:wsp>
                  </a:graphicData>
                </a:graphic>
              </wp:anchor>
            </w:drawing>
          </mc:Choice>
          <mc:Fallback>
            <w:pict>
              <v:shape id="文本框 1069" o:spid="_x0000_s1026" o:spt="202" type="#_x0000_t202" style="position:absolute;left:0pt;margin-left:-9pt;margin-top:20.45pt;height:39.4pt;width:61.1pt;z-index:252065792;mso-width-relative:page;mso-height-relative:page;" filled="f" stroked="f" coordsize="21600,21600" o:gfxdata="UEsDBAoAAAAAAIdO4kAAAAAAAAAAAAAAAAAEAAAAZHJzL1BLAwQUAAAACACHTuJAflITKtgAAAAK&#10;AQAADwAAAGRycy9kb3ducmV2LnhtbE2PwU7DMBBE70j9B2srcWvtVIE2aZweQFxBFIrEzY23SdR4&#10;HcVuE/6e7Qlus5rR7JtiN7lOXHEIrScNyVKBQKq8banW8PnxstiACNGQNZ0n1PCDAXbl7K4wufUj&#10;veN1H2vBJRRyo6GJsc+lDFWDzoSl75HYO/nBmcjnUEs7mJHLXSdXSj1KZ1riD43p8anB6ry/OA2H&#10;19P3V6re6mf30I9+UpJcJrW+nydqCyLiFP/CcMNndCiZ6egvZIPoNCySDW+JGlKVgbgFVLoCcWSR&#10;ZGuQZSH/Tyh/AVBLAwQUAAAACACHTuJA8s2kpCACAAAnBAAADgAAAGRycy9lMm9Eb2MueG1srVNL&#10;btswEN0X6B0I7mvJjr+C5SCNkaJA+gHSHoCmKIuoxGGHtKX0AO0Nuuqm+57L5+iQclw33WTRDUFy&#10;hm/mvXlcXnZNzfYKnQaT8+Eg5UwZCYU225x//HDzYs6Z88IUogajcn6vHL9cPX+2bG2mRlBBXShk&#10;BGJc1tqcV97bLEmcrFQj3ACsMhQsARvh6YjbpEDREnpTJ6M0nSYtYGERpHKObtd9kB8R8SmAUJZa&#10;qjXIXaOM71FR1cITJVdp6/gqdluWSvp3ZemUZ3XOiamPKxWh/SasyWopsi0KW2l5bEE8pYVHnBqh&#10;DRU9Qa2FF2yH+h+oRksEB6UfSGiSnkhUhFgM00fa3FXCqsiFpHb2JLr7f7Dy7f49Ml3kfD694MyI&#10;hkZ++P7t8OPX4edXNkyni6BRa11GqXeWkn33EjpyTuTr7C3IT44ZuK6E2aorRGgrJQrqcRheJmdP&#10;exwXQDbtGyiolNh5iEBdiU0QkCRhhE7zuT/NR3WeSbqczSaLGUUkhSZpejGP80tE9vDYovOvFDQs&#10;bHKONP4ILva3zodmRPaQEmoZuNF1HS1Qm78uKLG/UdFDx9eBSui+5+G7TXeUZgPFPZFC6P1Fv4s2&#10;FeAXzlryVs7d551AxVn92pAwi+F4HMwYD+PJbEQHPI9sziPCSILKuees31773sA7i3pbUaV+FAau&#10;SMxSR6Kh1b6r4wjIP5H/0evBoOfnmPXnf6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5SEyrY&#10;AAAACgEAAA8AAAAAAAAAAQAgAAAAIgAAAGRycy9kb3ducmV2LnhtbFBLAQIUABQAAAAIAIdO4kDy&#10;zaSkIAIAACcEAAAOAAAAAAAAAAEAIAAAACcBAABkcnMvZTJvRG9jLnhtbFBLBQYAAAAABgAGAFkB&#10;AAC5BQAAAAA=&#10;">
                <v:fill on="f" focussize="0,0"/>
                <v:stroke on="f"/>
                <v:imagedata o:title=""/>
                <o:lock v:ext="edit" aspectratio="f"/>
                <v:textbox>
                  <w:txbxContent>
                    <w:p w14:paraId="2EC9E21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最终清算款争议的处理</w:t>
                      </w:r>
                    </w:p>
                  </w:txbxContent>
                </v:textbox>
              </v:shape>
            </w:pict>
          </mc:Fallback>
        </mc:AlternateContent>
      </w:r>
      <w:r>
        <w:rPr>
          <w:rFonts w:hint="eastAsia" w:ascii="仿宋" w:hAnsi="仿宋" w:eastAsia="仿宋" w:cs="仿宋"/>
          <w:b/>
          <w:bCs/>
          <w:color w:val="auto"/>
          <w:sz w:val="24"/>
          <w:szCs w:val="24"/>
          <w:highlight w:val="none"/>
          <w:lang w:eastAsia="zh-CN"/>
        </w:rPr>
        <w:t>90</w:t>
      </w:r>
      <w:r>
        <w:rPr>
          <w:rFonts w:ascii="仿宋" w:hAnsi="仿宋" w:eastAsia="仿宋" w:cs="仿宋"/>
          <w:b/>
          <w:bCs/>
          <w:color w:val="auto"/>
          <w:sz w:val="24"/>
          <w:szCs w:val="24"/>
          <w:highlight w:val="none"/>
          <w:lang w:eastAsia="zh-CN"/>
        </w:rPr>
        <w:t xml:space="preserve">.6 </w:t>
      </w:r>
    </w:p>
    <w:p w14:paraId="08C3335B">
      <w:pPr>
        <w:widowControl w:val="0"/>
        <w:spacing w:line="360" w:lineRule="auto"/>
        <w:ind w:left="1850" w:leftChars="7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承包人对发包人支付的最终清算款有异议的，按照第91条约定的争议处理。</w:t>
      </w:r>
    </w:p>
    <w:p w14:paraId="7866E4F7">
      <w:pPr>
        <w:spacing w:line="360" w:lineRule="auto"/>
        <w:rPr>
          <w:color w:val="auto"/>
          <w:highlight w:val="none"/>
          <w:lang w:eastAsia="zh-CN"/>
        </w:rPr>
      </w:pPr>
    </w:p>
    <w:p w14:paraId="0F7FD958">
      <w:pPr>
        <w:pStyle w:val="2"/>
        <w:adjustRightInd w:val="0"/>
        <w:snapToGrid w:val="0"/>
        <w:spacing w:line="360" w:lineRule="auto"/>
        <w:jc w:val="center"/>
        <w:outlineLvl w:val="1"/>
        <w:rPr>
          <w:rFonts w:hint="eastAsia" w:ascii="仿宋" w:hAnsi="仿宋" w:eastAsia="仿宋"/>
          <w:b/>
          <w:bCs/>
          <w:color w:val="auto"/>
          <w:sz w:val="24"/>
          <w:szCs w:val="24"/>
          <w:highlight w:val="none"/>
          <w:lang w:eastAsia="zh-CN"/>
        </w:rPr>
      </w:pPr>
      <w:bookmarkStart w:id="390" w:name="_Toc18428"/>
      <w:r>
        <w:rPr>
          <w:rFonts w:hint="eastAsia" w:ascii="仿宋" w:hAnsi="仿宋" w:eastAsia="仿宋" w:cs="仿宋"/>
          <w:b/>
          <w:bCs/>
          <w:color w:val="auto"/>
          <w:sz w:val="24"/>
          <w:szCs w:val="24"/>
          <w:highlight w:val="none"/>
          <w:lang w:eastAsia="zh-CN"/>
        </w:rPr>
        <w:t>八、合同争议、解除与终止</w:t>
      </w:r>
      <w:bookmarkEnd w:id="390"/>
    </w:p>
    <w:p w14:paraId="78BB96A0">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91" w:name="_Toc28907"/>
      <w:r>
        <w:rPr>
          <w:rFonts w:hint="eastAsia" w:ascii="仿宋" w:hAnsi="仿宋" w:eastAsia="仿宋" w:cs="仿宋"/>
          <w:bCs w:val="0"/>
          <w:color w:val="auto"/>
          <w:sz w:val="24"/>
          <w:szCs w:val="24"/>
          <w:highlight w:val="none"/>
          <w:lang w:eastAsia="zh-CN"/>
        </w:rPr>
        <w:t>91合同争议</w:t>
      </w:r>
      <w:bookmarkEnd w:id="391"/>
    </w:p>
    <w:p w14:paraId="00C845F2">
      <w:pPr>
        <w:pStyle w:val="2"/>
        <w:adjustRightInd w:val="0"/>
        <w:snapToGrid w:val="0"/>
        <w:rPr>
          <w:rFonts w:hint="eastAsia" w:ascii="仿宋" w:hAnsi="仿宋" w:eastAsia="仿宋" w:cs="仿宋"/>
          <w:b/>
          <w:bCs/>
          <w:color w:val="auto"/>
          <w:sz w:val="24"/>
          <w:szCs w:val="24"/>
          <w:highlight w:val="none"/>
          <w:lang w:eastAsia="zh-CN"/>
        </w:rPr>
      </w:pPr>
      <w:r>
        <w:rPr>
          <w:b/>
          <w:color w:val="auto"/>
          <w:highlight w:val="none"/>
          <w:lang w:eastAsia="zh-CN"/>
        </w:rPr>
        <mc:AlternateContent>
          <mc:Choice Requires="wps">
            <w:drawing>
              <wp:anchor distT="0" distB="0" distL="114300" distR="114300" simplePos="0" relativeHeight="252066816" behindDoc="0" locked="0" layoutInCell="1" allowOverlap="1">
                <wp:simplePos x="0" y="0"/>
                <wp:positionH relativeFrom="column">
                  <wp:posOffset>-114300</wp:posOffset>
                </wp:positionH>
                <wp:positionV relativeFrom="paragraph">
                  <wp:posOffset>284480</wp:posOffset>
                </wp:positionV>
                <wp:extent cx="804545" cy="723265"/>
                <wp:effectExtent l="0" t="0" r="0" b="0"/>
                <wp:wrapNone/>
                <wp:docPr id="864" name="文本框 1072"/>
                <wp:cNvGraphicFramePr/>
                <a:graphic xmlns:a="http://schemas.openxmlformats.org/drawingml/2006/main">
                  <a:graphicData uri="http://schemas.microsoft.com/office/word/2010/wordprocessingShape">
                    <wps:wsp>
                      <wps:cNvSpPr txBox="1">
                        <a:spLocks noChangeArrowheads="1"/>
                      </wps:cNvSpPr>
                      <wps:spPr bwMode="auto">
                        <a:xfrm>
                          <a:off x="0" y="0"/>
                          <a:ext cx="804545" cy="723265"/>
                        </a:xfrm>
                        <a:prstGeom prst="rect">
                          <a:avLst/>
                        </a:prstGeom>
                        <a:noFill/>
                        <a:ln>
                          <a:noFill/>
                        </a:ln>
                        <a:effectLst/>
                      </wps:spPr>
                      <wps:txbx>
                        <w:txbxContent>
                          <w:p w14:paraId="120F1328">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认可暂定结果或产生争议</w:t>
                            </w:r>
                          </w:p>
                        </w:txbxContent>
                      </wps:txbx>
                      <wps:bodyPr rot="0" vert="horz" wrap="square" lIns="91440" tIns="45720" rIns="91440" bIns="45720" anchor="t" anchorCtr="0" upright="1">
                        <a:noAutofit/>
                      </wps:bodyPr>
                    </wps:wsp>
                  </a:graphicData>
                </a:graphic>
              </wp:anchor>
            </w:drawing>
          </mc:Choice>
          <mc:Fallback>
            <w:pict>
              <v:shape id="文本框 1072" o:spid="_x0000_s1026" o:spt="202" type="#_x0000_t202" style="position:absolute;left:0pt;margin-left:-9pt;margin-top:22.4pt;height:56.95pt;width:63.35pt;z-index:252066816;mso-width-relative:page;mso-height-relative:page;" filled="f" stroked="f" coordsize="21600,21600" o:gfxdata="UEsDBAoAAAAAAIdO4kAAAAAAAAAAAAAAAAAEAAAAZHJzL1BLAwQUAAAACACHTuJAzSkdeNYAAAAK&#10;AQAADwAAAGRycy9kb3ducmV2LnhtbE2PwU7DMBBE70j9B2srcWvtVCmkIU4PRVxBtIDUmxtvk4h4&#10;HcVuE/6e7QluM9rR7LxiO7lOXHEIrScNyVKBQKq8banW8HF4WWQgQjRkTecJNfxggG05uytMbv1I&#10;73jdx1pwCYXcaGhi7HMpQ9WgM2HpeyS+nf3gTGQ71NIOZuRy18mVUg/SmZb4Q2N63DVYfe8vTsPn&#10;6/n4laq3+tmt+9FPSpLbSK3v54l6AhFxin9huM3n6VDyppO/kA2i07BIMmaJGtKUEW4BlT2COLFY&#10;s5BlIf8jlL9QSwMEFAAAAAgAh07iQJY7w+ogAgAAJwQAAA4AAABkcnMvZTJvRG9jLnhtbK1TzY7T&#10;MBC+I/EOlu80aUh/iJqulq0WIS0/0sIDuI7TWMQeY7tNygPAG3Diwp3n2udg7GRLWS574GLZnvE3&#10;833zeXXRq5YchHUSdEmnk5QSoTlUUu9K+vHD9bMlJc4zXbEWtCjpUTh6sX76ZNWZQmTQQFsJSxBE&#10;u6IzJW28N0WSON4IxdwEjNAYrMEq5vFod0llWYfoqk2yNJ0nHdjKWODCObzdDEE6ItrHAEJdSy42&#10;wPdKaD+gWtEyj5RcI42j69htXQvu39W1E560JUWmPq5YBPfbsCbrFSt2lplG8rEF9pgWHnBSTGos&#10;eoLaMM/I3sp/oJTkFhzUfsJBJQORqAiymKYPtLltmBGRC0rtzEl09/9g+dvDe0tkVdLlPKdEM4Uj&#10;v/v+7e7Hr7ufX8k0XWRBo864AlNvDSb7/iX06JzI15kb4J8c0XDVML0Tl9ZC1whWYY/T8DI5ezrg&#10;uACy7d5AhaXY3kME6murgoAoCUF0nM/xNB/Re8Lxcpnms3xGCcfQInuezWexAivuHxvr/CsBioRN&#10;SS2OP4Kzw43zoRlW3KeEWhquZdtGC7T6rwtMHG5E9ND4OlAJ3Q88fL/tR2m2UB2RlIXBX/i7cNOA&#10;/UJJh94qqfu8Z1ZQ0r7WKMyLaZ4HM8ZDPltkeLDnke15hGmOUCX1lAzbKz8YeG+s3DVYaRiFhksU&#10;s5aRaGh16GocAfon8h+9Hgx6fo5Zf/73+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NKR141gAA&#10;AAoBAAAPAAAAAAAAAAEAIAAAACIAAABkcnMvZG93bnJldi54bWxQSwECFAAUAAAACACHTuJAljvD&#10;6iACAAAnBAAADgAAAAAAAAABACAAAAAlAQAAZHJzL2Uyb0RvYy54bWxQSwUGAAAAAAYABgBZAQAA&#10;twUAAAAA&#10;">
                <v:fill on="f" focussize="0,0"/>
                <v:stroke on="f"/>
                <v:imagedata o:title=""/>
                <o:lock v:ext="edit" aspectratio="f"/>
                <v:textbox>
                  <w:txbxContent>
                    <w:p w14:paraId="120F1328">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认可暂定结果或产生争议</w:t>
                      </w:r>
                    </w:p>
                  </w:txbxContent>
                </v:textbox>
              </v:shape>
            </w:pict>
          </mc:Fallback>
        </mc:AlternateContent>
      </w:r>
      <w:r>
        <w:rPr>
          <w:rFonts w:hint="eastAsia" w:ascii="仿宋" w:hAnsi="仿宋" w:eastAsia="仿宋" w:cs="仿宋"/>
          <w:b/>
          <w:bCs/>
          <w:color w:val="auto"/>
          <w:sz w:val="24"/>
          <w:szCs w:val="24"/>
          <w:highlight w:val="none"/>
          <w:lang w:eastAsia="zh-CN"/>
        </w:rPr>
        <w:t>91</w:t>
      </w:r>
      <w:r>
        <w:rPr>
          <w:rFonts w:ascii="仿宋" w:hAnsi="仿宋" w:eastAsia="仿宋" w:cs="仿宋"/>
          <w:b/>
          <w:bCs/>
          <w:color w:val="auto"/>
          <w:sz w:val="24"/>
          <w:szCs w:val="24"/>
          <w:highlight w:val="none"/>
          <w:lang w:eastAsia="zh-CN"/>
        </w:rPr>
        <w:t>.1</w:t>
      </w:r>
    </w:p>
    <w:p w14:paraId="4B1CBE36">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本合同履行期间，合同双方当事人应在收到监理人或造价咨询人依据合同约定作出暂定结果之后的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对暂定结果予以确认或提出意见。合同双方对暂定结果认可的，应以书面形式予以确认，暂定结果成为最终决定，对合同双方当事人都有约束力；合同双方或一方当事人不同意暂定结果的，应以书面形式向监理人或造价咨询人提出，说明自己认为正确的结果，同时抄送另一方当事人，此时该暂定结果成为争议。除非本合同已解除，在暂定结果不实质影响合同双方当事人履约的前提下，合同双方当事人应实施该结果，直到其被改变为止。</w:t>
      </w:r>
    </w:p>
    <w:p w14:paraId="16193E55">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合同双方当事人在收到监理人或造价咨询人的暂定结果之日起，超过</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天，未对暂定结果予以确认也未提出意见的，视为合同双方当事人已认可暂定结果。</w:t>
      </w:r>
    </w:p>
    <w:p w14:paraId="6A06FCEC">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91</w:t>
      </w:r>
      <w:r>
        <w:rPr>
          <w:rFonts w:ascii="仿宋" w:hAnsi="仿宋" w:eastAsia="仿宋" w:cs="仿宋"/>
          <w:b/>
          <w:bCs/>
          <w:color w:val="auto"/>
          <w:highlight w:val="none"/>
          <w:lang w:eastAsia="zh-CN"/>
        </w:rPr>
        <w:t>.2</w:t>
      </w:r>
    </w:p>
    <w:p w14:paraId="159301C6">
      <w:pPr>
        <w:pStyle w:val="2"/>
        <w:tabs>
          <w:tab w:val="left" w:pos="1320"/>
        </w:tabs>
        <w:adjustRightInd w:val="0"/>
        <w:snapToGrid w:val="0"/>
        <w:spacing w:line="360" w:lineRule="auto"/>
        <w:ind w:left="1920" w:leftChars="800"/>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40864" behindDoc="0" locked="0" layoutInCell="1" allowOverlap="1">
                <wp:simplePos x="0" y="0"/>
                <wp:positionH relativeFrom="column">
                  <wp:posOffset>-114300</wp:posOffset>
                </wp:positionH>
                <wp:positionV relativeFrom="paragraph">
                  <wp:posOffset>26670</wp:posOffset>
                </wp:positionV>
                <wp:extent cx="788035" cy="338455"/>
                <wp:effectExtent l="0" t="0" r="0" b="0"/>
                <wp:wrapNone/>
                <wp:docPr id="865" name="文本框 1073"/>
                <wp:cNvGraphicFramePr/>
                <a:graphic xmlns:a="http://schemas.openxmlformats.org/drawingml/2006/main">
                  <a:graphicData uri="http://schemas.microsoft.com/office/word/2010/wordprocessingShape">
                    <wps:wsp>
                      <wps:cNvSpPr txBox="1">
                        <a:spLocks noChangeArrowheads="1"/>
                      </wps:cNvSpPr>
                      <wps:spPr bwMode="auto">
                        <a:xfrm>
                          <a:off x="0" y="0"/>
                          <a:ext cx="788035" cy="338455"/>
                        </a:xfrm>
                        <a:prstGeom prst="rect">
                          <a:avLst/>
                        </a:prstGeom>
                        <a:noFill/>
                        <a:ln>
                          <a:noFill/>
                        </a:ln>
                        <a:effectLst/>
                      </wps:spPr>
                      <wps:txbx>
                        <w:txbxContent>
                          <w:p w14:paraId="2162F37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双方协商</w:t>
                            </w:r>
                          </w:p>
                        </w:txbxContent>
                      </wps:txbx>
                      <wps:bodyPr rot="0" vert="horz" wrap="square" lIns="91440" tIns="45720" rIns="91440" bIns="45720" anchor="t" anchorCtr="0" upright="1">
                        <a:noAutofit/>
                      </wps:bodyPr>
                    </wps:wsp>
                  </a:graphicData>
                </a:graphic>
              </wp:anchor>
            </w:drawing>
          </mc:Choice>
          <mc:Fallback>
            <w:pict>
              <v:shape id="文本框 1073" o:spid="_x0000_s1026" o:spt="202" type="#_x0000_t202" style="position:absolute;left:0pt;margin-left:-9pt;margin-top:2.1pt;height:26.65pt;width:62.05pt;z-index:251940864;mso-width-relative:page;mso-height-relative:page;" filled="f" stroked="f" coordsize="21600,21600" o:gfxdata="UEsDBAoAAAAAAIdO4kAAAAAAAAAAAAAAAAAEAAAAZHJzL1BLAwQUAAAACACHTuJA4eR/BNYAAAAI&#10;AQAADwAAAGRycy9kb3ducmV2LnhtbE2PwW7CMBBE75X4B2uRegM7iFBIs+EA6rVVoa3EzcRLEjVe&#10;R7Eh6d/XnNrjaEYzb/LtaFtxo943jhGSuQJBXDrTcIXwcXyZrUH4oNno1jEh/JCHbTF5yHVm3MDv&#10;dDuESsQS9plGqEPoMil9WZPVfu464uhdXG91iLKvpOn1EMttKxdKraTVDceFWne0q6n8Plwtwufr&#10;5fS1VG/V3qbd4EYl2W4k4uM0Uc8gAo3hLwx3/IgORWQ6uysbL1qEWbKOXwLCcgHi7qtVAuKMkD6l&#10;IItc/j9Q/AJQSwMEFAAAAAgAh07iQGmmyvMgAgAAJwQAAA4AAABkcnMvZTJvRG9jLnhtbK1TS27b&#10;MBDdF+gdCO5ryb/YFSwHaYwUBdIPkPYANEVZRCUOO6QtuQdobtBVN933XD5Hh5Tjuukmi24IkjN8&#10;M+/N4+Kya2q2U+g0mJwPBylnykgotNnk/NPHmxdzzpwXphA1GJXzvXL8cvn82aK1mRpBBXWhkBGI&#10;cVlrc155b7MkcbJSjXADsMpQsARshKcjbpICRUvoTZ2M0vQiaQELiyCVc3S76oP8iIhPAYSy1FKt&#10;QG4bZXyPiqoWnii5SlvHl7HbslTSvy9Lpzyrc05MfVypCO3XYU2WC5FtUNhKy2ML4iktPOLUCG2o&#10;6AlqJbxgW9T/QDVaIjgo/UBCk/REoiLEYpg+0uauElZFLiS1syfR3f+Dle92H5DpIufziylnRjQ0&#10;8sP3+8OPX4ef39gwnY2DRq11GaXeWUr23SvoyDmRr7O3ID87ZuC6EmajrhChrZQoqMdheJmcPe1x&#10;XABZt2+hoFJi6yECdSU2QUCShBE6zWd/mo/qPJN0OZvP0zF1KSk0Hs8n02msILKHxxadf62gYWGT&#10;c6TxR3Cxu3U+NCOyh5RQy8CNrutogdr8dUGJ/Y2KHjq+DlRC9z0P3627ozRrKPZECqH3F/0u2lSA&#10;XzlryVs5d1+2AhVn9RtDwrwcTibBjPEwmc5GdMDzyPo8IowkqJx7zvrtte8NvLWoNxVV6kdh4IrE&#10;LHUkGlrtuzqOgPwT+R+9Hgx6fo5Zf/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h5H8E1gAA&#10;AAgBAAAPAAAAAAAAAAEAIAAAACIAAABkcnMvZG93bnJldi54bWxQSwECFAAUAAAACACHTuJAaabK&#10;8yACAAAnBAAADgAAAAAAAAABACAAAAAlAQAAZHJzL2Uyb0RvYy54bWxQSwUGAAAAAAYABgBZAQAA&#10;twUAAAAA&#10;">
                <v:fill on="f" focussize="0,0"/>
                <v:stroke on="f"/>
                <v:imagedata o:title=""/>
                <o:lock v:ext="edit" aspectratio="f"/>
                <v:textbox>
                  <w:txbxContent>
                    <w:p w14:paraId="2162F37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双方协商</w:t>
                      </w:r>
                    </w:p>
                  </w:txbxContent>
                </v:textbox>
              </v:shape>
            </w:pict>
          </mc:Fallback>
        </mc:AlternateContent>
      </w:r>
      <w:r>
        <w:rPr>
          <w:rFonts w:hint="eastAsia" w:ascii="仿宋" w:hAnsi="仿宋" w:eastAsia="仿宋" w:cs="仿宋"/>
          <w:color w:val="auto"/>
          <w:sz w:val="24"/>
          <w:szCs w:val="24"/>
          <w:highlight w:val="none"/>
          <w:lang w:eastAsia="zh-CN"/>
        </w:rPr>
        <w:t>争议发生后的</w:t>
      </w:r>
      <w:r>
        <w:rPr>
          <w:rFonts w:ascii="仿宋" w:hAnsi="仿宋" w:eastAsia="仿宋" w:cs="仿宋"/>
          <w:color w:val="auto"/>
          <w:sz w:val="24"/>
          <w:szCs w:val="24"/>
          <w:highlight w:val="none"/>
          <w:lang w:eastAsia="zh-CN"/>
        </w:rPr>
        <w:t>14</w:t>
      </w:r>
      <w:r>
        <w:rPr>
          <w:rFonts w:hint="eastAsia" w:ascii="仿宋" w:hAnsi="仿宋" w:eastAsia="仿宋" w:cs="仿宋"/>
          <w:color w:val="auto"/>
          <w:sz w:val="24"/>
          <w:szCs w:val="24"/>
          <w:highlight w:val="none"/>
          <w:lang w:eastAsia="zh-CN"/>
        </w:rPr>
        <w:t>天内，合同双方当事人可进一步进行协商。协商达成一致的，合同双方当事人应签订书面协议，经双方签字并盖章后作为合同补充文件，双方均应遵照执行，并将结果抄送监理人或造价咨询人；协商仍不能达成一致的，按照第91</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款至第91</w:t>
      </w:r>
      <w:r>
        <w:rPr>
          <w:rFonts w:ascii="仿宋" w:hAnsi="仿宋" w:eastAsia="仿宋" w:cs="仿宋"/>
          <w:color w:val="auto"/>
          <w:sz w:val="24"/>
          <w:szCs w:val="24"/>
          <w:highlight w:val="none"/>
          <w:lang w:eastAsia="zh-CN"/>
        </w:rPr>
        <w:t>.6</w:t>
      </w:r>
      <w:r>
        <w:rPr>
          <w:rFonts w:hint="eastAsia" w:ascii="仿宋" w:hAnsi="仿宋" w:eastAsia="仿宋" w:cs="仿宋"/>
          <w:color w:val="auto"/>
          <w:sz w:val="24"/>
          <w:szCs w:val="24"/>
          <w:highlight w:val="none"/>
          <w:lang w:eastAsia="zh-CN"/>
        </w:rPr>
        <w:t>款约定进行调解或认定、仲裁或诉讼。</w:t>
      </w:r>
    </w:p>
    <w:p w14:paraId="12339242">
      <w:pPr>
        <w:pStyle w:val="2"/>
        <w:tabs>
          <w:tab w:val="left" w:pos="1320"/>
        </w:tabs>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91</w:t>
      </w:r>
      <w:r>
        <w:rPr>
          <w:rFonts w:ascii="仿宋" w:hAnsi="仿宋" w:eastAsia="仿宋" w:cs="仿宋"/>
          <w:b/>
          <w:bCs/>
          <w:color w:val="auto"/>
          <w:sz w:val="24"/>
          <w:szCs w:val="24"/>
          <w:highlight w:val="none"/>
          <w:lang w:eastAsia="zh-CN"/>
        </w:rPr>
        <w:t xml:space="preserve">.3  </w:t>
      </w:r>
    </w:p>
    <w:p w14:paraId="36A1CCF8">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41888" behindDoc="0" locked="0" layoutInCell="1" allowOverlap="1">
                <wp:simplePos x="0" y="0"/>
                <wp:positionH relativeFrom="column">
                  <wp:posOffset>-114300</wp:posOffset>
                </wp:positionH>
                <wp:positionV relativeFrom="paragraph">
                  <wp:posOffset>11430</wp:posOffset>
                </wp:positionV>
                <wp:extent cx="781050" cy="450850"/>
                <wp:effectExtent l="0" t="0" r="0" b="0"/>
                <wp:wrapNone/>
                <wp:docPr id="866" name="文本框 1074"/>
                <wp:cNvGraphicFramePr/>
                <a:graphic xmlns:a="http://schemas.openxmlformats.org/drawingml/2006/main">
                  <a:graphicData uri="http://schemas.microsoft.com/office/word/2010/wordprocessingShape">
                    <wps:wsp>
                      <wps:cNvSpPr txBox="1">
                        <a:spLocks noChangeArrowheads="1"/>
                      </wps:cNvSpPr>
                      <wps:spPr bwMode="auto">
                        <a:xfrm>
                          <a:off x="0" y="0"/>
                          <a:ext cx="781050" cy="450850"/>
                        </a:xfrm>
                        <a:prstGeom prst="rect">
                          <a:avLst/>
                        </a:prstGeom>
                        <a:noFill/>
                        <a:ln>
                          <a:noFill/>
                        </a:ln>
                        <a:effectLst/>
                      </wps:spPr>
                      <wps:txbx>
                        <w:txbxContent>
                          <w:p w14:paraId="157A550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解决争议方式</w:t>
                            </w:r>
                          </w:p>
                        </w:txbxContent>
                      </wps:txbx>
                      <wps:bodyPr rot="0" vert="horz" wrap="square" lIns="91440" tIns="45720" rIns="91440" bIns="45720" anchor="t" anchorCtr="0" upright="1">
                        <a:noAutofit/>
                      </wps:bodyPr>
                    </wps:wsp>
                  </a:graphicData>
                </a:graphic>
              </wp:anchor>
            </w:drawing>
          </mc:Choice>
          <mc:Fallback>
            <w:pict>
              <v:shape id="文本框 1074" o:spid="_x0000_s1026" o:spt="202" type="#_x0000_t202" style="position:absolute;left:0pt;margin-left:-9pt;margin-top:0.9pt;height:35.5pt;width:61.5pt;z-index:251941888;mso-width-relative:page;mso-height-relative:page;" filled="f" stroked="f" coordsize="21600,21600" o:gfxdata="UEsDBAoAAAAAAIdO4kAAAAAAAAAAAAAAAAAEAAAAZHJzL1BLAwQUAAAACACHTuJAP+bb/9QAAAAI&#10;AQAADwAAAGRycy9kb3ducmV2LnhtbE2PwU7DMBBE70j8g7VI3Fo7FYUQ4vQA4gqiBSRu23ibRMTr&#10;KHab8PdsT3AczWr2vXIz+16daIxdYAvZ0oAiroPruLHwvnte5KBiQnbYByYLPxRhU11elFi4MPEb&#10;nbapUTLCsUALbUpDoXWsW/IYl2Eglu4QRo9J4thoN+Ik477XK2NutceO5UOLAz22VH9vj97Cx8vh&#10;6/PGvDZPfj1MYTaa/b229voqMw+gEs3p7xjO+IIOlTDtw5FdVL2FRZaLS5JCDM69WUveW7hb5aCr&#10;Uv8XqH4BUEsDBBQAAAAIAIdO4kDO4+MvHQIAACcEAAAOAAAAZHJzL2Uyb0RvYy54bWytU0tu2zAQ&#10;3RfoHQjua0mGfxUsB2mMFAXSD5D2ADRFWUQlDjukLaUHaG/QVTfd91w+R4eU47jpJotuhOF83sx7&#10;M1pe9G3D9gqdBlPwbJRypoyEUpttwT99vH6x4Mx5YUrRgFEFv1OOX6yeP1t2NldjqKEpFTICMS7v&#10;bMFr722eJE7WqhVuBFYZClaArfD0xG1SougIvW2ScZrOkg6wtAhSOUfe9RDkR0R8CiBUlZZqDXLX&#10;KuMHVFSN8ETJ1do6vorTVpWS/n1VOeVZU3Bi6uOXmpC9Cd9ktRT5FoWttTyOIJ4ywiNOrdCGmp6g&#10;1sILtkP9D1SrJYKDyo8ktMlAJCpCLLL0kTa3tbAqciGpnT2J7v4frHy3/4BMlwVfzGacGdHSyg8/&#10;vh9+/j78+saydD4JGnXW5ZR6aynZ96+gp8uJfJ29AfnZMQNXtTBbdYkIXa1ESTNmoTI5Kx1wXADZ&#10;dG+hpFZi5yEC9RW2QUCShBE67efutB/VeybJOV9k6ZQikkKTabogO3QQ+X2xRedfK2hZMAqOtP4I&#10;LvY3zg+p9ymhl4Fr3TTkF3lj/nIQ5uBR8YaO1YFKmH7g4ftNT7XBuYHyjkghDPdFfxcZNeBXzjq6&#10;rYK7LzuBirPmjSFhXmaTSTjG+JhM52N64Hlkcx4RRhJUwT1ng3nlhwPeWdTbmjoNqzBwSWJWOhJ9&#10;mOq4ArqfKNXx1sOBnr9j1sP/vfo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P+bb/9QAAAAIAQAA&#10;DwAAAAAAAAABACAAAAAiAAAAZHJzL2Rvd25yZXYueG1sUEsBAhQAFAAAAAgAh07iQM7j4y8dAgAA&#10;JwQAAA4AAAAAAAAAAQAgAAAAIwEAAGRycy9lMm9Eb2MueG1sUEsFBgAAAAAGAAYAWQEAALIFAAAA&#10;AA==&#10;">
                <v:fill on="f" focussize="0,0"/>
                <v:stroke on="f"/>
                <v:imagedata o:title=""/>
                <o:lock v:ext="edit" aspectratio="f"/>
                <v:textbox>
                  <w:txbxContent>
                    <w:p w14:paraId="157A550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解决争议方式</w:t>
                      </w:r>
                    </w:p>
                  </w:txbxContent>
                </v:textbox>
              </v:shape>
            </w:pict>
          </mc:Fallback>
        </mc:AlternateContent>
      </w:r>
      <w:r>
        <w:rPr>
          <w:rFonts w:hint="eastAsia" w:ascii="仿宋" w:hAnsi="仿宋" w:eastAsia="仿宋" w:cs="仿宋"/>
          <w:color w:val="auto"/>
          <w:sz w:val="24"/>
          <w:szCs w:val="24"/>
          <w:highlight w:val="none"/>
          <w:lang w:eastAsia="zh-CN"/>
        </w:rPr>
        <w:t>合同双方当事人没有按照第91</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款约定进一步协商的，或虽然协商但未在约定期限内达成一致的，合同双方或一方当事人可在争议发生后的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天内，将争议提交争议调解或认定机构处理，或直接按照专用条款第91</w:t>
      </w:r>
      <w:r>
        <w:rPr>
          <w:rFonts w:ascii="仿宋" w:hAnsi="仿宋" w:eastAsia="仿宋" w:cs="仿宋"/>
          <w:color w:val="auto"/>
          <w:sz w:val="24"/>
          <w:szCs w:val="24"/>
          <w:highlight w:val="none"/>
          <w:lang w:eastAsia="zh-CN"/>
        </w:rPr>
        <w:t>.6</w:t>
      </w:r>
      <w:r>
        <w:rPr>
          <w:rFonts w:hint="eastAsia" w:ascii="仿宋" w:hAnsi="仿宋" w:eastAsia="仿宋" w:cs="仿宋"/>
          <w:color w:val="auto"/>
          <w:sz w:val="24"/>
          <w:szCs w:val="24"/>
          <w:highlight w:val="none"/>
          <w:lang w:eastAsia="zh-CN"/>
        </w:rPr>
        <w:t>款约定提请仲裁或诉讼。</w:t>
      </w:r>
    </w:p>
    <w:p w14:paraId="4505A98D">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91</w:t>
      </w:r>
      <w:r>
        <w:rPr>
          <w:rFonts w:ascii="仿宋" w:hAnsi="仿宋" w:eastAsia="仿宋" w:cs="仿宋"/>
          <w:b/>
          <w:bCs/>
          <w:color w:val="auto"/>
          <w:highlight w:val="none"/>
          <w:lang w:eastAsia="zh-CN"/>
        </w:rPr>
        <w:t>.4</w:t>
      </w:r>
    </w:p>
    <w:p w14:paraId="14B7F098">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42912" behindDoc="0" locked="0" layoutInCell="1" allowOverlap="1">
                <wp:simplePos x="0" y="0"/>
                <wp:positionH relativeFrom="column">
                  <wp:posOffset>-114300</wp:posOffset>
                </wp:positionH>
                <wp:positionV relativeFrom="paragraph">
                  <wp:posOffset>59690</wp:posOffset>
                </wp:positionV>
                <wp:extent cx="894715" cy="370840"/>
                <wp:effectExtent l="0" t="0" r="0" b="0"/>
                <wp:wrapNone/>
                <wp:docPr id="867" name="文本框 1075"/>
                <wp:cNvGraphicFramePr/>
                <a:graphic xmlns:a="http://schemas.openxmlformats.org/drawingml/2006/main">
                  <a:graphicData uri="http://schemas.microsoft.com/office/word/2010/wordprocessingShape">
                    <wps:wsp>
                      <wps:cNvSpPr txBox="1">
                        <a:spLocks noChangeArrowheads="1"/>
                      </wps:cNvSpPr>
                      <wps:spPr bwMode="auto">
                        <a:xfrm>
                          <a:off x="0" y="0"/>
                          <a:ext cx="894715" cy="370840"/>
                        </a:xfrm>
                        <a:prstGeom prst="rect">
                          <a:avLst/>
                        </a:prstGeom>
                        <a:noFill/>
                        <a:ln>
                          <a:noFill/>
                        </a:ln>
                        <a:effectLst/>
                      </wps:spPr>
                      <wps:txbx>
                        <w:txbxContent>
                          <w:p w14:paraId="73A85BC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调解或认定</w:t>
                            </w:r>
                          </w:p>
                        </w:txbxContent>
                      </wps:txbx>
                      <wps:bodyPr rot="0" vert="horz" wrap="square" lIns="91440" tIns="45720" rIns="91440" bIns="45720" anchor="t" anchorCtr="0" upright="1">
                        <a:noAutofit/>
                      </wps:bodyPr>
                    </wps:wsp>
                  </a:graphicData>
                </a:graphic>
              </wp:anchor>
            </w:drawing>
          </mc:Choice>
          <mc:Fallback>
            <w:pict>
              <v:shape id="文本框 1075" o:spid="_x0000_s1026" o:spt="202" type="#_x0000_t202" style="position:absolute;left:0pt;margin-left:-9pt;margin-top:4.7pt;height:29.2pt;width:70.45pt;z-index:251942912;mso-width-relative:page;mso-height-relative:page;" filled="f" stroked="f" coordsize="21600,21600" o:gfxdata="UEsDBAoAAAAAAIdO4kAAAAAAAAAAAAAAAAAEAAAAZHJzL1BLAwQUAAAACACHTuJAqX3VsdYAAAAI&#10;AQAADwAAAGRycy9kb3ducmV2LnhtbE2PwU7DMBBE70j8g7VI3Fo7USlJmk0PIK4gWkDqzY23SUS8&#10;jmK3CX+Pe4LjaEYzb8rtbHtxodF3jhGSpQJBXDvTcYPwsX9ZZCB80Gx075gQfsjDtrq9KXVh3MTv&#10;dNmFRsQS9oVGaEMYCil93ZLVfukG4uid3Gh1iHJspBn1FMttL1Ol1tLqjuNCqwd6aqn+3p0twufr&#10;6fC1Um/Ns30YJjcryTaXiPd3idqACDSHvzBc8SM6VJHp6M5svOgRFkkWvwSEfAXi6qdpDuKIsH7M&#10;QFal/H+g+gVQSwMEFAAAAAgAh07iQIgI/z8hAgAAJwQAAA4AAABkcnMvZTJvRG9jLnhtbK1TS27b&#10;MBDdF+gdCO5rWa4dO4LlII2RokD6AdIegKYoi6jEYYe0pfQAzQ266qb7nsvn6JBSXDfdZNENQXKG&#10;b957M1xedE3N9gqdBpPzdDTmTBkJhTbbnH/6eP1iwZnzwhSiBqNyfqccv1g9f7ZsbaYmUEFdKGQE&#10;YlzW2pxX3tssSZysVCPcCKwyFCwBG+HpiNukQNESelMnk/H4LGkBC4sglXN0u+6DfEDEpwBCWWqp&#10;1iB3jTK+R0VVC0+SXKWt46vItiyV9O/L0inP6pyTUh9XKkL7TViT1VJkWxS20nKgIJ5C4ZGmRmhD&#10;RY9Qa+EF26H+B6rREsFB6UcSmqQXEh0hFen4kTe3lbAqaiGrnT2a7v4frHy3/4BMFzlfnM05M6Kh&#10;lh++3x9+/Dr8/MbS8XwWPGqtyyj11lKy715BR5MT9Tp7A/KzYwauKmG26hIR2kqJgjim4WVy8rTH&#10;cQFk076FgkqJnYcI1JXYBAPJEkbo1J+7Y39U55mky8X5dJ7OOJMUejkfL6axf4nIHh5bdP61goaF&#10;Tc6R2h/Bxf7G+UBGZA8poZaBa13XcQRq89cFJfY3Ks7Q8DpICex7Hb7bdIM1GyjuSBRCP1/0u2hT&#10;AX7lrKXZyrn7shOoOKvfGDLmPJ0SdebjYTqbT+iAp5HNaUQYSVA595z12yvfD/DOot5WVKlvhYFL&#10;MrPUUWig2rMaWkDzE/UPsx4G9PQcs/7879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qX3VsdYA&#10;AAAIAQAADwAAAAAAAAABACAAAAAiAAAAZHJzL2Rvd25yZXYueG1sUEsBAhQAFAAAAAgAh07iQIgI&#10;/z8hAgAAJwQAAA4AAAAAAAAAAQAgAAAAJQEAAGRycy9lMm9Eb2MueG1sUEsFBgAAAAAGAAYAWQEA&#10;ALgFAAAAAA==&#10;">
                <v:fill on="f" focussize="0,0"/>
                <v:stroke on="f"/>
                <v:imagedata o:title=""/>
                <o:lock v:ext="edit" aspectratio="f"/>
                <v:textbox>
                  <w:txbxContent>
                    <w:p w14:paraId="73A85BC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调解或认定</w:t>
                      </w:r>
                    </w:p>
                  </w:txbxContent>
                </v:textbox>
              </v:shape>
            </w:pict>
          </mc:Fallback>
        </mc:AlternateContent>
      </w:r>
      <w:r>
        <w:rPr>
          <w:rFonts w:hint="eastAsia" w:ascii="仿宋" w:hAnsi="仿宋" w:eastAsia="仿宋" w:cs="仿宋"/>
          <w:color w:val="auto"/>
          <w:sz w:val="24"/>
          <w:szCs w:val="24"/>
          <w:highlight w:val="none"/>
          <w:lang w:eastAsia="zh-CN"/>
        </w:rPr>
        <w:t>争议调解或认定机构在收到争议调解或认定请求后，可组织调查、勘查、计量等工作，合同双方当事人应为其开展工作提供便利和协助。争议调解或认定机构应就争议做出书面调解或认定结果，并通知合同双方当事人。除合同双方当事人认可并在专用条款约定外，下列机构为争议调解或认定机构：</w:t>
      </w:r>
    </w:p>
    <w:p w14:paraId="5A36B818">
      <w:pPr>
        <w:pStyle w:val="2"/>
        <w:widowControl w:val="0"/>
        <w:numPr>
          <w:ilvl w:val="1"/>
          <w:numId w:val="26"/>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建设工程安全监督机构、行业协会或其他第三方调解机构，负责有关工程安全方面争议的调解或认定；</w:t>
      </w:r>
    </w:p>
    <w:p w14:paraId="4A5CC0B8">
      <w:pPr>
        <w:pStyle w:val="2"/>
        <w:widowControl w:val="0"/>
        <w:numPr>
          <w:ilvl w:val="1"/>
          <w:numId w:val="26"/>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建设工程质量监督机构、行业协会或其他第三方调解机构，负责有关工程质量方面争议的调解或认定；</w:t>
      </w:r>
    </w:p>
    <w:p w14:paraId="4CF84461">
      <w:pPr>
        <w:pStyle w:val="2"/>
        <w:widowControl w:val="0"/>
        <w:numPr>
          <w:ilvl w:val="1"/>
          <w:numId w:val="26"/>
        </w:numPr>
        <w:tabs>
          <w:tab w:val="clear" w:pos="3285"/>
        </w:tabs>
        <w:adjustRightInd w:val="0"/>
        <w:snapToGrid w:val="0"/>
        <w:spacing w:line="360" w:lineRule="auto"/>
        <w:ind w:left="1850" w:leftChars="771" w:firstLine="0"/>
        <w:jc w:val="both"/>
        <w:rPr>
          <w:rFonts w:hint="eastAsia" w:ascii="仿宋" w:hAnsi="仿宋" w:eastAsia="仿宋"/>
          <w:b/>
          <w:bCs/>
          <w:color w:val="auto"/>
          <w:sz w:val="24"/>
          <w:szCs w:val="24"/>
          <w:highlight w:val="none"/>
          <w:lang w:eastAsia="zh-CN"/>
        </w:rPr>
      </w:pPr>
      <w:r>
        <w:rPr>
          <w:rFonts w:hint="eastAsia" w:ascii="仿宋" w:hAnsi="仿宋" w:eastAsia="仿宋" w:cs="仿宋"/>
          <w:color w:val="auto"/>
          <w:sz w:val="24"/>
          <w:szCs w:val="24"/>
          <w:highlight w:val="none"/>
          <w:lang w:eastAsia="zh-CN"/>
        </w:rPr>
        <w:t>建设工程造价管理机构、行业协会或其他第三方调解机构，负责有关工程造价方面争议的调解或认定。</w:t>
      </w:r>
    </w:p>
    <w:p w14:paraId="2556F8FA">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91</w:t>
      </w:r>
      <w:r>
        <w:rPr>
          <w:rFonts w:ascii="仿宋" w:hAnsi="仿宋" w:eastAsia="仿宋" w:cs="仿宋"/>
          <w:b/>
          <w:bCs/>
          <w:color w:val="auto"/>
          <w:highlight w:val="none"/>
          <w:lang w:eastAsia="zh-CN"/>
        </w:rPr>
        <w:t>.5</w:t>
      </w:r>
    </w:p>
    <w:p w14:paraId="6089B776">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43936" behindDoc="0" locked="0" layoutInCell="1" allowOverlap="1">
                <wp:simplePos x="0" y="0"/>
                <wp:positionH relativeFrom="column">
                  <wp:posOffset>-114300</wp:posOffset>
                </wp:positionH>
                <wp:positionV relativeFrom="paragraph">
                  <wp:posOffset>32385</wp:posOffset>
                </wp:positionV>
                <wp:extent cx="861060" cy="521335"/>
                <wp:effectExtent l="0" t="0" r="0" b="0"/>
                <wp:wrapNone/>
                <wp:docPr id="868" name="文本框 1076"/>
                <wp:cNvGraphicFramePr/>
                <a:graphic xmlns:a="http://schemas.openxmlformats.org/drawingml/2006/main">
                  <a:graphicData uri="http://schemas.microsoft.com/office/word/2010/wordprocessingShape">
                    <wps:wsp>
                      <wps:cNvSpPr txBox="1">
                        <a:spLocks noChangeArrowheads="1"/>
                      </wps:cNvSpPr>
                      <wps:spPr bwMode="auto">
                        <a:xfrm>
                          <a:off x="0" y="0"/>
                          <a:ext cx="861060" cy="521335"/>
                        </a:xfrm>
                        <a:prstGeom prst="rect">
                          <a:avLst/>
                        </a:prstGeom>
                        <a:noFill/>
                        <a:ln>
                          <a:noFill/>
                        </a:ln>
                        <a:effectLst/>
                      </wps:spPr>
                      <wps:txbx>
                        <w:txbxContent>
                          <w:p w14:paraId="17EB8BB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调解或认定结果的确认</w:t>
                            </w:r>
                          </w:p>
                        </w:txbxContent>
                      </wps:txbx>
                      <wps:bodyPr rot="0" vert="horz" wrap="square" lIns="91440" tIns="45720" rIns="91440" bIns="45720" anchor="t" anchorCtr="0" upright="1">
                        <a:noAutofit/>
                      </wps:bodyPr>
                    </wps:wsp>
                  </a:graphicData>
                </a:graphic>
              </wp:anchor>
            </w:drawing>
          </mc:Choice>
          <mc:Fallback>
            <w:pict>
              <v:shape id="文本框 1076" o:spid="_x0000_s1026" o:spt="202" type="#_x0000_t202" style="position:absolute;left:0pt;margin-left:-9pt;margin-top:2.55pt;height:41.05pt;width:67.8pt;z-index:251943936;mso-width-relative:page;mso-height-relative:page;" filled="f" stroked="f" coordsize="21600,21600" o:gfxdata="UEsDBAoAAAAAAIdO4kAAAAAAAAAAAAAAAAAEAAAAZHJzL1BLAwQUAAAACACHTuJAp+/nstYAAAAI&#10;AQAADwAAAGRycy9kb3ducmV2LnhtbE2PwU7DMBBE70j8g7VI3FrbFW3TNJseQFxBtIDEzY23SUS8&#10;jmK3CX+Pe4LjaEYzb4rd5DpxoSG0nhH0XIEgrrxtuUZ4PzzPMhAhGram80wIPxRgV97eFCa3fuQ3&#10;uuxjLVIJh9wgNDH2uZShasiZMPc9cfJOfnAmJjnU0g5mTOWukwulVtKZltNCY3p6bKj63p8dwsfL&#10;6evzQb3WT27Zj35Skt1GIt7fabUFEWmKf2G44id0KBPT0Z/ZBtEhzHSWvkSEpQZx9fV6BeKIkK0X&#10;IMtC/j9Q/gJQSwMEFAAAAAgAh07iQANuS9QgAgAAJwQAAA4AAABkcnMvZTJvRG9jLnhtbK1TS27b&#10;MBDdF+gdCO5rSY7tuILlII2RokD6AdIegKYoi6jEYYe0pfQAzQ266qb7nsvn6JByXDfdZNENQXKG&#10;b+a9eVxc9G3DdgqdBlPwbJRypoyEUptNwT99vH4x58x5YUrRgFEFv1OOXyyfP1t0NldjqKEpFTIC&#10;MS7vbMFr722eJE7WqhVuBFYZClaArfB0xE1SougIvW2ScZrOkg6wtAhSOUe3qyHID4j4FECoKi3V&#10;CuS2VcYPqKga4YmSq7V1fBm7rSol/fuqcsqzpuDE1MeVitB+HdZkuRD5BoWttTy0IJ7SwiNOrdCG&#10;ih6hVsILtkX9D1SrJYKDyo8ktMlAJCpCLLL0kTa3tbAqciGpnT2K7v4frHy3+4BMlwWfz2jwRrQ0&#10;8v33+/2PX/uf31iWns+CRp11OaXeWkr2/SvoyTmRr7M3ID87ZuCqFmajLhGhq5UoqccsvExOng44&#10;LoCsu7dQUimx9RCB+grbICBJwgid5nN3nI/qPZN0OZ9l6YwikkLTcXZ2No0VRP7w2KLzrxW0LGwK&#10;jjT+CC52N86HZkT+kBJqGbjWTRMt0Ji/LihxuFHRQ4fXgUrofuDh+3V/kGYN5R2RQhj8Rb+LNjXg&#10;V8468lbB3ZetQMVZ88aQMC+zySSYMR4m0/MxHfA0sj6NCCMJquCes2F75QcDby3qTU2VhlEYuCQx&#10;Kx2JhlaHrg4jIP9E/gevB4OenmPWn/+9/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n7+ey1gAA&#10;AAgBAAAPAAAAAAAAAAEAIAAAACIAAABkcnMvZG93bnJldi54bWxQSwECFAAUAAAACACHTuJAA25L&#10;1CACAAAnBAAADgAAAAAAAAABACAAAAAlAQAAZHJzL2Uyb0RvYy54bWxQSwUGAAAAAAYABgBZAQAA&#10;twUAAAAA&#10;">
                <v:fill on="f" focussize="0,0"/>
                <v:stroke on="f"/>
                <v:imagedata o:title=""/>
                <o:lock v:ext="edit" aspectratio="f"/>
                <v:textbox>
                  <w:txbxContent>
                    <w:p w14:paraId="17EB8BB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调解或认定结果的确认</w:t>
                      </w:r>
                    </w:p>
                  </w:txbxContent>
                </v:textbox>
              </v:shape>
            </w:pict>
          </mc:Fallback>
        </mc:AlternateContent>
      </w:r>
      <w:r>
        <w:rPr>
          <w:rFonts w:hint="eastAsia" w:ascii="仿宋" w:hAnsi="仿宋" w:eastAsia="仿宋" w:cs="仿宋"/>
          <w:color w:val="auto"/>
          <w:sz w:val="24"/>
          <w:szCs w:val="24"/>
          <w:highlight w:val="none"/>
          <w:lang w:eastAsia="zh-CN"/>
        </w:rPr>
        <w:t>合同双方当事人应在收到争议调解或认定机构书面结果后的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天内，对调解或认定结果以书面形式予以确认。调解或认定结果经双方签字盖章后作为合同补充文件，双方均应遵照执行。</w:t>
      </w:r>
    </w:p>
    <w:p w14:paraId="60368D0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91</w:t>
      </w:r>
      <w:r>
        <w:rPr>
          <w:rFonts w:ascii="仿宋" w:hAnsi="仿宋" w:eastAsia="仿宋" w:cs="仿宋"/>
          <w:b/>
          <w:bCs/>
          <w:color w:val="auto"/>
          <w:highlight w:val="none"/>
          <w:lang w:eastAsia="zh-CN"/>
        </w:rPr>
        <w:t xml:space="preserve">.6  </w:t>
      </w:r>
    </w:p>
    <w:p w14:paraId="03A061D5">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44960" behindDoc="0" locked="0" layoutInCell="1" allowOverlap="1">
                <wp:simplePos x="0" y="0"/>
                <wp:positionH relativeFrom="column">
                  <wp:posOffset>-114300</wp:posOffset>
                </wp:positionH>
                <wp:positionV relativeFrom="paragraph">
                  <wp:posOffset>12065</wp:posOffset>
                </wp:positionV>
                <wp:extent cx="828040" cy="391795"/>
                <wp:effectExtent l="0" t="0" r="0" b="0"/>
                <wp:wrapNone/>
                <wp:docPr id="869" name="文本框 1077"/>
                <wp:cNvGraphicFramePr/>
                <a:graphic xmlns:a="http://schemas.openxmlformats.org/drawingml/2006/main">
                  <a:graphicData uri="http://schemas.microsoft.com/office/word/2010/wordprocessingShape">
                    <wps:wsp>
                      <wps:cNvSpPr txBox="1">
                        <a:spLocks noChangeArrowheads="1"/>
                      </wps:cNvSpPr>
                      <wps:spPr bwMode="auto">
                        <a:xfrm>
                          <a:off x="0" y="0"/>
                          <a:ext cx="828040" cy="391795"/>
                        </a:xfrm>
                        <a:prstGeom prst="rect">
                          <a:avLst/>
                        </a:prstGeom>
                        <a:noFill/>
                        <a:ln>
                          <a:noFill/>
                        </a:ln>
                        <a:effectLst/>
                      </wps:spPr>
                      <wps:txbx>
                        <w:txbxContent>
                          <w:p w14:paraId="7AE8B41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仲裁或诉讼</w:t>
                            </w:r>
                          </w:p>
                        </w:txbxContent>
                      </wps:txbx>
                      <wps:bodyPr rot="0" vert="horz" wrap="square" lIns="91440" tIns="45720" rIns="91440" bIns="45720" anchor="t" anchorCtr="0" upright="1">
                        <a:noAutofit/>
                      </wps:bodyPr>
                    </wps:wsp>
                  </a:graphicData>
                </a:graphic>
              </wp:anchor>
            </w:drawing>
          </mc:Choice>
          <mc:Fallback>
            <w:pict>
              <v:shape id="文本框 1077" o:spid="_x0000_s1026" o:spt="202" type="#_x0000_t202" style="position:absolute;left:0pt;margin-left:-9pt;margin-top:0.95pt;height:30.85pt;width:65.2pt;z-index:251944960;mso-width-relative:page;mso-height-relative:page;" filled="f" stroked="f" coordsize="21600,21600" o:gfxdata="UEsDBAoAAAAAAIdO4kAAAAAAAAAAAAAAAAAEAAAAZHJzL1BLAwQUAAAACACHTuJA1t0kAtUAAAAI&#10;AQAADwAAAGRycy9kb3ducmV2LnhtbE2PwW7CMBBE75X4B2uRegM7lEYQsuEA6rVVoa3Um4mXJCJe&#10;R7Eh6d/XnNrj6q1m3uTb0bbiRr1vHCMkcwWCuHSm4Qrh4/gyW4HwQbPRrWNC+CEP22LykOvMuIHf&#10;6XYIlYgh7DONUIfQZVL6siar/dx1xJGdXW91iGdfSdPrIYbbVi6USqXVDceGWne0q6m8HK4W4fP1&#10;/P21VG/V3j53gxuVZLuWiI/TRG1ABBrD3zPc9aM6FNHp5K5svGgRZskqbgkRrEHcebJYgjghpE8p&#10;yCKX/wcUv1BLAwQUAAAACACHTuJAy6qVhyACAAAnBAAADgAAAGRycy9lMm9Eb2MueG1srVNLbtsw&#10;EN0X6B0I7mtZrhPbguUgjZGiQPoB0h6ApiiLqMRhh7Sl9ADNDbrqpvuey+fokFJcN91k0Q1BcoZv&#10;5r15XF50Tc32Cp0Gk/N0NOZMGQmFNtucf/p4/WLOmfPCFKIGo3J+pxy/WD1/tmxtpiZQQV0oZARi&#10;XNbanFfe2yxJnKxUI9wIrDIULAEb4emI26RA0RJ6UyeT8fg8aQELiyCVc3S77oN8QMSnAEJZaqnW&#10;IHeNMr5HRVULT5Rcpa3jq9htWSrp35elU57VOSemPq5UhPabsCarpci2KGyl5dCCeEoLjzg1Qhsq&#10;eoRaCy/YDvU/UI2WCA5KP5LQJD2RqAixSMePtLmthFWRC0nt7FF09/9g5bv9B2S6yPn8fMGZEQ2N&#10;/PD9/vDj1+HnN5aOZ7OgUWtdRqm3lpJ99wo6ck7k6+wNyM+OGbiqhNmqS0RoKyUK6jENL5OTpz2O&#10;CyCb9i0UVErsPESgrsQmCEiSMEKn+dwd56M6zyRdzifz8ZQikkIvF+lscRYriOzhsUXnXytoWNjk&#10;HGn8EVzsb5wPzYjsISXUMnCt6zpaoDZ/XVBif6Oih4bXgUrovufhu003SLOB4o5IIfT+ot9Fmwrw&#10;K2cteSvn7stOoOKsfmNImEU6DTR8PEzPZhM64GlkcxoRRhJUzj1n/fbK9wbeWdTbiir1ozBwSWKW&#10;OhINrfZdDSMg/0T+g9eDQU/PMevP/17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bdJALVAAAA&#10;CAEAAA8AAAAAAAAAAQAgAAAAIgAAAGRycy9kb3ducmV2LnhtbFBLAQIUABQAAAAIAIdO4kDLqpWH&#10;IAIAACcEAAAOAAAAAAAAAAEAIAAAACQBAABkcnMvZTJvRG9jLnhtbFBLBQYAAAAABgAGAFkBAAC2&#10;BQAAAAA=&#10;">
                <v:fill on="f" focussize="0,0"/>
                <v:stroke on="f"/>
                <v:imagedata o:title=""/>
                <o:lock v:ext="edit" aspectratio="f"/>
                <v:textbox>
                  <w:txbxContent>
                    <w:p w14:paraId="7AE8B41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仲裁或诉讼</w:t>
                      </w:r>
                    </w:p>
                  </w:txbxContent>
                </v:textbox>
              </v:shape>
            </w:pict>
          </mc:Fallback>
        </mc:AlternateContent>
      </w:r>
      <w:r>
        <w:rPr>
          <w:rFonts w:hint="eastAsia" w:ascii="仿宋" w:hAnsi="仿宋" w:eastAsia="仿宋" w:cs="仿宋"/>
          <w:color w:val="auto"/>
          <w:sz w:val="24"/>
          <w:szCs w:val="24"/>
          <w:highlight w:val="none"/>
          <w:lang w:eastAsia="zh-CN"/>
        </w:rPr>
        <w:t>若合同双方或一方当事人在收到争议调解或认定机构的书面结果后明确表示不同意，或在</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天内没有书面确认，任何一方均可按照专用条款约定的下列（</w:t>
      </w:r>
      <w:r>
        <w:rPr>
          <w:rFonts w:hint="eastAsia" w:ascii="仿宋" w:hAnsi="仿宋" w:eastAsia="仿宋" w:cs="仿宋"/>
          <w:color w:val="auto"/>
          <w:sz w:val="24"/>
          <w:szCs w:val="24"/>
          <w:highlight w:val="none"/>
          <w:lang w:val="en-US" w:eastAsia="zh-CN"/>
        </w:rPr>
        <w:t>2</w:t>
      </w:r>
      <w:r>
        <w:rPr>
          <w:rFonts w:hint="eastAsia" w:ascii="仿宋" w:hAnsi="仿宋" w:eastAsia="仿宋" w:cs="仿宋"/>
          <w:color w:val="auto"/>
          <w:sz w:val="24"/>
          <w:szCs w:val="24"/>
          <w:highlight w:val="none"/>
          <w:lang w:eastAsia="zh-CN"/>
        </w:rPr>
        <w:t>）方式解决争议：</w:t>
      </w:r>
    </w:p>
    <w:p w14:paraId="29FF9A0D">
      <w:pPr>
        <w:pStyle w:val="2"/>
        <w:widowControl w:val="0"/>
        <w:numPr>
          <w:ilvl w:val="1"/>
          <w:numId w:val="27"/>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向约定的仲裁委员会申请仲裁；</w:t>
      </w:r>
    </w:p>
    <w:p w14:paraId="607E43B2">
      <w:pPr>
        <w:pStyle w:val="2"/>
        <w:widowControl w:val="0"/>
        <w:numPr>
          <w:ilvl w:val="1"/>
          <w:numId w:val="27"/>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向</w:t>
      </w:r>
      <w:r>
        <w:rPr>
          <w:rFonts w:hint="eastAsia" w:ascii="仿宋" w:hAnsi="仿宋" w:eastAsia="仿宋" w:cs="仿宋"/>
          <w:color w:val="auto"/>
          <w:sz w:val="24"/>
          <w:szCs w:val="24"/>
          <w:highlight w:val="none"/>
          <w:lang w:val="en-US" w:eastAsia="zh-CN"/>
        </w:rPr>
        <w:t>广州市从化区</w:t>
      </w:r>
      <w:r>
        <w:rPr>
          <w:rFonts w:hint="eastAsia" w:ascii="仿宋" w:hAnsi="仿宋" w:eastAsia="仿宋" w:cs="仿宋"/>
          <w:color w:val="auto"/>
          <w:sz w:val="24"/>
          <w:szCs w:val="24"/>
          <w:highlight w:val="none"/>
          <w:lang w:eastAsia="zh-CN"/>
        </w:rPr>
        <w:t>人民法院提起诉讼。</w:t>
      </w:r>
    </w:p>
    <w:p w14:paraId="1C1FE0B6">
      <w:pPr>
        <w:pStyle w:val="2"/>
        <w:tabs>
          <w:tab w:val="left" w:pos="1320"/>
        </w:tabs>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91</w:t>
      </w:r>
      <w:r>
        <w:rPr>
          <w:rFonts w:ascii="仿宋" w:hAnsi="仿宋" w:eastAsia="仿宋" w:cs="仿宋"/>
          <w:b/>
          <w:bCs/>
          <w:color w:val="auto"/>
          <w:sz w:val="24"/>
          <w:szCs w:val="24"/>
          <w:highlight w:val="none"/>
          <w:lang w:eastAsia="zh-CN"/>
        </w:rPr>
        <w:t xml:space="preserve">.7  </w:t>
      </w:r>
    </w:p>
    <w:p w14:paraId="0355FF0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45984" behindDoc="0" locked="0" layoutInCell="1" allowOverlap="1">
                <wp:simplePos x="0" y="0"/>
                <wp:positionH relativeFrom="column">
                  <wp:posOffset>-114300</wp:posOffset>
                </wp:positionH>
                <wp:positionV relativeFrom="paragraph">
                  <wp:posOffset>15875</wp:posOffset>
                </wp:positionV>
                <wp:extent cx="832485" cy="536575"/>
                <wp:effectExtent l="0" t="0" r="0" b="0"/>
                <wp:wrapNone/>
                <wp:docPr id="870" name="文本框 1078"/>
                <wp:cNvGraphicFramePr/>
                <a:graphic xmlns:a="http://schemas.openxmlformats.org/drawingml/2006/main">
                  <a:graphicData uri="http://schemas.microsoft.com/office/word/2010/wordprocessingShape">
                    <wps:wsp>
                      <wps:cNvSpPr txBox="1">
                        <a:spLocks noChangeArrowheads="1"/>
                      </wps:cNvSpPr>
                      <wps:spPr bwMode="auto">
                        <a:xfrm>
                          <a:off x="0" y="0"/>
                          <a:ext cx="832485" cy="536575"/>
                        </a:xfrm>
                        <a:prstGeom prst="rect">
                          <a:avLst/>
                        </a:prstGeom>
                        <a:noFill/>
                        <a:ln>
                          <a:noFill/>
                        </a:ln>
                        <a:effectLst/>
                      </wps:spPr>
                      <wps:txbx>
                        <w:txbxContent>
                          <w:p w14:paraId="4D7DCCE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争议期间继续施工</w:t>
                            </w:r>
                          </w:p>
                        </w:txbxContent>
                      </wps:txbx>
                      <wps:bodyPr rot="0" vert="horz" wrap="square" lIns="91440" tIns="45720" rIns="91440" bIns="45720" anchor="t" anchorCtr="0" upright="1">
                        <a:noAutofit/>
                      </wps:bodyPr>
                    </wps:wsp>
                  </a:graphicData>
                </a:graphic>
              </wp:anchor>
            </w:drawing>
          </mc:Choice>
          <mc:Fallback>
            <w:pict>
              <v:shape id="文本框 1078" o:spid="_x0000_s1026" o:spt="202" type="#_x0000_t202" style="position:absolute;left:0pt;margin-left:-9pt;margin-top:1.25pt;height:42.25pt;width:65.55pt;z-index:251945984;mso-width-relative:page;mso-height-relative:page;" filled="f" stroked="f" coordsize="21600,21600" o:gfxdata="UEsDBAoAAAAAAIdO4kAAAAAAAAAAAAAAAAAEAAAAZHJzL1BLAwQUAAAACACHTuJA7GozHtYAAAAI&#10;AQAADwAAAGRycy9kb3ducmV2LnhtbE2PzU7DMBCE75V4B2srcWttFwohZNMDiCuo5Ufi5sbbJGq8&#10;jmK3CW+Pe4LjaEYz3xSbyXXiTENoPSPopQJBXHnbco3w8f6yyECEaNiazjMh/FCATXk1K0xu/chb&#10;Ou9iLVIJh9wgNDH2uZShasiZsPQ9cfIOfnAmJjnU0g5mTOWukyul7qQzLaeFxvT01FB13J0cwufr&#10;4fvrVr3Vz27dj35Skt2DRLyea/UIItIU/8JwwU/oUCamvT+xDaJDWOgsfYkIqzWIi69vNIg9Qnav&#10;QJaF/H+g/AVQSwMEFAAAAAgAh07iQP/1pU0gAgAAJwQAAA4AAABkcnMvZTJvRG9jLnhtbK1TwW4T&#10;MRC9I/EPlu9kkzRpwiqbqjQqQioUqfABjtebtdj1mLGT3fAB9A84ceHe78p3MPZuQyiXHrhYtmf8&#10;Zt6b58VFW1dsp9BpMBkfDYacKSMh12aT8c+frl/NOXNemFxUYFTG98rxi+XLF4vGpmoMJVS5QkYg&#10;xqWNzXjpvU2TxMlS1cINwCpDwQKwFp6OuElyFA2h11UyHg7PkwYwtwhSOUe3qy7Ie0R8DiAUhZZq&#10;BXJbK+M7VFSV8ETJldo6vozdFoWS/rYonPKsyjgx9XGlIrRfhzVZLkS6QWFLLfsWxHNaeMKpFtpQ&#10;0SPUSnjBtqj/gaq1RHBQ+IGEOumIREWIxWj4RJu7UlgVuZDUzh5Fd/8PVn7YfUSm84zPZ6SJETWN&#10;/PDj/vDz4fDrOxsNZ/OgUWNdSql3lpJ9+wZack7k6+wNyC+OGbgqhdmoS0RoSiVy6nEUXiYnTzsc&#10;F0DWzXvIqZTYeohAbYF1EJAkYYROveyP81GtZ5Iu52fjyXzKmaTQ9Ox8OpvGCiJ9fGzR+bcKahY2&#10;GUcafwQXuxvnQzMifUwJtQxc66qKFqjMXxeU2N2o6KH+daASuu94+Hbd9tKsId8TKYTOX/S7aFMC&#10;fuOsIW9l3H3dClScVe8MCfN6NJkEM8bDZDob0wFPI+vTiDCSoDLuOeu2V74z8Nai3pRUqRuFgUsS&#10;s9CRaGi166ofAfkn8u+9Hgx6eo5Zf/73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sajMe1gAA&#10;AAgBAAAPAAAAAAAAAAEAIAAAACIAAABkcnMvZG93bnJldi54bWxQSwECFAAUAAAACACHTuJA//Wl&#10;TSACAAAnBAAADgAAAAAAAAABACAAAAAlAQAAZHJzL2Uyb0RvYy54bWxQSwUGAAAAAAYABgBZAQAA&#10;twUAAAAA&#10;">
                <v:fill on="f" focussize="0,0"/>
                <v:stroke on="f"/>
                <v:imagedata o:title=""/>
                <o:lock v:ext="edit" aspectratio="f"/>
                <v:textbox>
                  <w:txbxContent>
                    <w:p w14:paraId="4D7DCCE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争议期间继续施工</w:t>
                      </w:r>
                    </w:p>
                  </w:txbxContent>
                </v:textbox>
              </v:shape>
            </w:pict>
          </mc:Fallback>
        </mc:AlternateContent>
      </w:r>
      <w:r>
        <w:rPr>
          <w:rFonts w:hint="eastAsia" w:ascii="仿宋" w:hAnsi="仿宋" w:eastAsia="仿宋" w:cs="仿宋"/>
          <w:color w:val="auto"/>
          <w:sz w:val="24"/>
          <w:szCs w:val="24"/>
          <w:highlight w:val="none"/>
          <w:lang w:eastAsia="zh-CN"/>
        </w:rPr>
        <w:t>争议期间，除下列情况停止施工外，合同双方当事人应继续履行合同，保持工程连续施工，保护好已完工程：</w:t>
      </w:r>
    </w:p>
    <w:p w14:paraId="054A1520">
      <w:pPr>
        <w:pStyle w:val="2"/>
        <w:widowControl w:val="0"/>
        <w:numPr>
          <w:ilvl w:val="1"/>
          <w:numId w:val="28"/>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合同双方当事人协商同意；</w:t>
      </w:r>
    </w:p>
    <w:p w14:paraId="09F39440">
      <w:pPr>
        <w:pStyle w:val="2"/>
        <w:widowControl w:val="0"/>
        <w:numPr>
          <w:ilvl w:val="1"/>
          <w:numId w:val="28"/>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合同一方当事人违约导致合同无法履行；</w:t>
      </w:r>
    </w:p>
    <w:p w14:paraId="1EB4C4AD">
      <w:pPr>
        <w:pStyle w:val="2"/>
        <w:widowControl w:val="0"/>
        <w:numPr>
          <w:ilvl w:val="1"/>
          <w:numId w:val="28"/>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工程造价调解机构调解需要，且合同双方当事人同意；</w:t>
      </w:r>
    </w:p>
    <w:p w14:paraId="3648A609">
      <w:pPr>
        <w:pStyle w:val="2"/>
        <w:widowControl w:val="0"/>
        <w:numPr>
          <w:ilvl w:val="1"/>
          <w:numId w:val="28"/>
        </w:numPr>
        <w:tabs>
          <w:tab w:val="clear" w:pos="3285"/>
        </w:tabs>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仲裁委员会仲裁需要，且合同双方当事人同意；</w:t>
      </w:r>
    </w:p>
    <w:p w14:paraId="4F1F4D75">
      <w:pPr>
        <w:pStyle w:val="2"/>
        <w:widowControl w:val="0"/>
        <w:numPr>
          <w:ilvl w:val="1"/>
          <w:numId w:val="28"/>
        </w:numPr>
        <w:tabs>
          <w:tab w:val="clear" w:pos="3285"/>
        </w:tabs>
        <w:adjustRightInd w:val="0"/>
        <w:snapToGrid w:val="0"/>
        <w:spacing w:line="360" w:lineRule="auto"/>
        <w:ind w:left="1850" w:leftChars="771"/>
        <w:jc w:val="both"/>
        <w:rPr>
          <w:color w:val="auto"/>
          <w:highlight w:val="none"/>
          <w:lang w:eastAsia="zh-CN"/>
        </w:rPr>
      </w:pPr>
      <w:r>
        <w:rPr>
          <w:rFonts w:hint="eastAsia" w:ascii="仿宋" w:hAnsi="仿宋" w:eastAsia="仿宋" w:cs="仿宋"/>
          <w:color w:val="auto"/>
          <w:sz w:val="24"/>
          <w:szCs w:val="24"/>
          <w:highlight w:val="none"/>
          <w:lang w:eastAsia="zh-CN"/>
        </w:rPr>
        <w:t>人民法院诉讼需要。</w:t>
      </w:r>
    </w:p>
    <w:p w14:paraId="5FE68991">
      <w:pPr>
        <w:pStyle w:val="2"/>
        <w:tabs>
          <w:tab w:val="left" w:pos="1620"/>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20FE24B3">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92" w:name="_Toc10921"/>
      <w:r>
        <w:rPr>
          <w:rFonts w:hint="eastAsia" w:ascii="仿宋" w:hAnsi="仿宋" w:eastAsia="仿宋" w:cs="仿宋"/>
          <w:bCs w:val="0"/>
          <w:color w:val="auto"/>
          <w:sz w:val="24"/>
          <w:szCs w:val="24"/>
          <w:highlight w:val="none"/>
          <w:lang w:eastAsia="zh-CN"/>
        </w:rPr>
        <w:t>92合同解除</w:t>
      </w:r>
      <w:bookmarkEnd w:id="392"/>
    </w:p>
    <w:p w14:paraId="123F30CD">
      <w:pPr>
        <w:rPr>
          <w:rFonts w:hint="eastAsia" w:ascii="仿宋" w:hAnsi="仿宋" w:eastAsia="仿宋" w:cs="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947008" behindDoc="0" locked="0" layoutInCell="1" allowOverlap="1">
                <wp:simplePos x="0" y="0"/>
                <wp:positionH relativeFrom="column">
                  <wp:posOffset>-114300</wp:posOffset>
                </wp:positionH>
                <wp:positionV relativeFrom="paragraph">
                  <wp:posOffset>165100</wp:posOffset>
                </wp:positionV>
                <wp:extent cx="790575" cy="450215"/>
                <wp:effectExtent l="0" t="0" r="0" b="0"/>
                <wp:wrapNone/>
                <wp:docPr id="871" name="文本框 1079"/>
                <wp:cNvGraphicFramePr/>
                <a:graphic xmlns:a="http://schemas.openxmlformats.org/drawingml/2006/main">
                  <a:graphicData uri="http://schemas.microsoft.com/office/word/2010/wordprocessingShape">
                    <wps:wsp>
                      <wps:cNvSpPr txBox="1">
                        <a:spLocks noChangeArrowheads="1"/>
                      </wps:cNvSpPr>
                      <wps:spPr bwMode="auto">
                        <a:xfrm>
                          <a:off x="0" y="0"/>
                          <a:ext cx="790575" cy="450215"/>
                        </a:xfrm>
                        <a:prstGeom prst="rect">
                          <a:avLst/>
                        </a:prstGeom>
                        <a:noFill/>
                        <a:ln>
                          <a:noFill/>
                        </a:ln>
                        <a:effectLst/>
                      </wps:spPr>
                      <wps:txbx>
                        <w:txbxContent>
                          <w:p w14:paraId="18511D1C">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协商一致解除</w:t>
                            </w:r>
                          </w:p>
                        </w:txbxContent>
                      </wps:txbx>
                      <wps:bodyPr rot="0" vert="horz" wrap="square" lIns="91440" tIns="45720" rIns="91440" bIns="45720" anchor="t" anchorCtr="0" upright="1">
                        <a:noAutofit/>
                      </wps:bodyPr>
                    </wps:wsp>
                  </a:graphicData>
                </a:graphic>
              </wp:anchor>
            </w:drawing>
          </mc:Choice>
          <mc:Fallback>
            <w:pict>
              <v:shape id="文本框 1079" o:spid="_x0000_s1026" o:spt="202" type="#_x0000_t202" style="position:absolute;left:0pt;margin-left:-9pt;margin-top:13pt;height:35.45pt;width:62.25pt;z-index:251947008;mso-width-relative:page;mso-height-relative:page;" filled="f" stroked="f" coordsize="21600,21600" o:gfxdata="UEsDBAoAAAAAAIdO4kAAAAAAAAAAAAAAAAAEAAAAZHJzL1BLAwQUAAAACACHTuJApB0oqtcAAAAJ&#10;AQAADwAAAGRycy9kb3ducmV2LnhtbE2PzW7CMBCE75X6DtZW4gZ2EEQkZMMB1Gur0h+pNxMvSUS8&#10;jmJD0revObWn0WpGs98Uu8l24kaDbx0jJAsFgrhypuUa4eP9eb4B4YNmozvHhPBDHnbl40Ohc+NG&#10;fqPbMdQilrDPNUITQp9L6auGrPYL1xNH7+wGq0M8h1qaQY+x3HZyqVQqrW45fmh0T/uGqsvxahE+&#10;X87fXyv1Wh/suh/dpCTbTCLOnhK1BRFoCn9huONHdCgj08ld2XjRIcyTTdwSEJZp1HtApWsQJ4Qs&#10;zUCWhfy/oPwFUEsDBBQAAAAIAIdO4kCU4A5ZIAIAACcEAAAOAAAAZHJzL2Uyb0RvYy54bWytU82O&#10;0zAQviPxDpbvNEnV0m3UdLVstQhp+ZEWHsB1nMYi8Zix26Q8ALzBnrhw57n6HIydbinLZQ9cLNsz&#10;/ma+bz4vLvu2YTuFToMpeDZKOVNGQqnNpuCfPt68uODMeWFK0YBRBd8rxy+Xz58tOpurMdTQlAoZ&#10;gRiXd7bgtfc2TxIna9UKNwKrDAUrwFZ4OuImKVF0hN42yThNXyYdYGkRpHKObldDkB8R8SmAUFVa&#10;qhXIbauMH1BRNcITJVdr6/gydltVSvr3VeWUZ03BiamPKxWh/TqsyXIh8g0KW2t5bEE8pYVHnFqh&#10;DRU9Qa2EF2yL+h+oVksEB5UfSWiTgUhUhFhk6SNt7mphVeRCUjt7Et39P1j5bvcBmS4LfjHLODOi&#10;pZEf7r8ffvw6/PzGsnQ2Dxp11uWUemcp2fevoCfnRL7O3oL87JiB61qYjbpChK5WoqQes/AyOXs6&#10;4LgAsu7eQkmlxNZDBOorbIOAJAkjdJrP/jQf1Xsm6XI2T6ezKWeSQpNpOs6msYLIHx5bdP61gpaF&#10;TcGRxh/Bxe7W+dCMyB9SQi0DN7ppogUa89cFJQ43Knro+DpQCd0PPHy/7o/SrKHcEymEwV/0u2hT&#10;A37lrCNvFdx92QpUnDVvDAkzzyaTYMZ4mExnYzrgeWR9HhFGElTBPWfD9toPBt5a1JuaKg2jMHBF&#10;YlY6Eg2tDl0dR0D+ifyPXg8GPT/HrD//e/k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B0oqtcA&#10;AAAJAQAADwAAAAAAAAABACAAAAAiAAAAZHJzL2Rvd25yZXYueG1sUEsBAhQAFAAAAAgAh07iQJTg&#10;DlkgAgAAJwQAAA4AAAAAAAAAAQAgAAAAJgEAAGRycy9lMm9Eb2MueG1sUEsFBgAAAAAGAAYAWQEA&#10;ALgFAAAAAA==&#10;">
                <v:fill on="f" focussize="0,0"/>
                <v:stroke on="f"/>
                <v:imagedata o:title=""/>
                <o:lock v:ext="edit" aspectratio="f"/>
                <v:textbox>
                  <w:txbxContent>
                    <w:p w14:paraId="18511D1C">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协商一致解除</w:t>
                      </w:r>
                    </w:p>
                  </w:txbxContent>
                </v:textbox>
              </v:shape>
            </w:pict>
          </mc:Fallback>
        </mc:AlternateContent>
      </w:r>
      <w:r>
        <w:rPr>
          <w:rFonts w:hint="eastAsia" w:ascii="仿宋" w:hAnsi="仿宋" w:eastAsia="仿宋" w:cs="仿宋"/>
          <w:b/>
          <w:bCs/>
          <w:color w:val="auto"/>
          <w:highlight w:val="none"/>
          <w:lang w:eastAsia="zh-CN"/>
        </w:rPr>
        <w:t>92</w:t>
      </w:r>
      <w:r>
        <w:rPr>
          <w:rFonts w:ascii="仿宋" w:hAnsi="仿宋" w:eastAsia="仿宋" w:cs="仿宋"/>
          <w:b/>
          <w:bCs/>
          <w:color w:val="auto"/>
          <w:highlight w:val="none"/>
          <w:lang w:eastAsia="zh-CN"/>
        </w:rPr>
        <w:t>.1</w:t>
      </w:r>
    </w:p>
    <w:p w14:paraId="23039C01">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合同双方当事人协商一致，可以解除合同。</w:t>
      </w:r>
    </w:p>
    <w:p w14:paraId="4A965CA1">
      <w:pPr>
        <w:pStyle w:val="2"/>
        <w:tabs>
          <w:tab w:val="left" w:pos="1320"/>
        </w:tabs>
        <w:adjustRightInd w:val="0"/>
        <w:snapToGrid w:val="0"/>
        <w:spacing w:line="360" w:lineRule="auto"/>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67840" behindDoc="0" locked="0" layoutInCell="1" allowOverlap="1">
                <wp:simplePos x="0" y="0"/>
                <wp:positionH relativeFrom="column">
                  <wp:posOffset>-89535</wp:posOffset>
                </wp:positionH>
                <wp:positionV relativeFrom="paragraph">
                  <wp:posOffset>217170</wp:posOffset>
                </wp:positionV>
                <wp:extent cx="795020" cy="578485"/>
                <wp:effectExtent l="0" t="0" r="0" b="0"/>
                <wp:wrapNone/>
                <wp:docPr id="872" name="文本框 1080"/>
                <wp:cNvGraphicFramePr/>
                <a:graphic xmlns:a="http://schemas.openxmlformats.org/drawingml/2006/main">
                  <a:graphicData uri="http://schemas.microsoft.com/office/word/2010/wordprocessingShape">
                    <wps:wsp>
                      <wps:cNvSpPr txBox="1">
                        <a:spLocks noChangeArrowheads="1"/>
                      </wps:cNvSpPr>
                      <wps:spPr bwMode="auto">
                        <a:xfrm>
                          <a:off x="0" y="0"/>
                          <a:ext cx="795020" cy="578485"/>
                        </a:xfrm>
                        <a:prstGeom prst="rect">
                          <a:avLst/>
                        </a:prstGeom>
                        <a:noFill/>
                        <a:ln>
                          <a:noFill/>
                        </a:ln>
                        <a:effectLst/>
                      </wps:spPr>
                      <wps:txbx>
                        <w:txbxContent>
                          <w:p w14:paraId="5F6F211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不可抗力导致解除</w:t>
                            </w:r>
                          </w:p>
                        </w:txbxContent>
                      </wps:txbx>
                      <wps:bodyPr rot="0" vert="horz" wrap="square" lIns="91440" tIns="45720" rIns="91440" bIns="45720" anchor="t" anchorCtr="0" upright="1">
                        <a:noAutofit/>
                      </wps:bodyPr>
                    </wps:wsp>
                  </a:graphicData>
                </a:graphic>
              </wp:anchor>
            </w:drawing>
          </mc:Choice>
          <mc:Fallback>
            <w:pict>
              <v:shape id="文本框 1080" o:spid="_x0000_s1026" o:spt="202" type="#_x0000_t202" style="position:absolute;left:0pt;margin-left:-7.05pt;margin-top:17.1pt;height:45.55pt;width:62.6pt;z-index:252067840;mso-width-relative:page;mso-height-relative:page;" filled="f" stroked="f" coordsize="21600,21600" o:gfxdata="UEsDBAoAAAAAAIdO4kAAAAAAAAAAAAAAAAAEAAAAZHJzL1BLAwQUAAAACACHTuJAXnRSQdcAAAAK&#10;AQAADwAAAGRycy9kb3ducmV2LnhtbE2PTW/CMAyG75P2HyJP2g2SljJtpSmHTbsywT6k3UJj2orG&#10;qZpAy7+fOTGfbPnR68fFenKdOOMQWk8akrkCgVR521Kt4evzffYMIkRD1nSeUMMFA6zL+7vC5NaP&#10;tMXzLtaCQyjkRkMTY59LGaoGnQlz3yPx7uAHZyKPQy3tYEYOd51MlXqSzrTEFxrT42uD1XF3chq+&#10;N4ffn0x91G9u2Y9+UpLci9T68SFRKxARp3iD4arP6lCy096fyAbRaZglWcKohkWWgrgCXCD23KTL&#10;BciykP9fKP8AUEsDBBQAAAAIAIdO4kDL6yApHgIAACcEAAAOAAAAZHJzL2Uyb0RvYy54bWytU0tu&#10;2zAQ3RfoHQjua8mGXTuC5SCNkaJA+gGSHoCmKIuoxGGHtCX3AO0Nuuqm+57L58iQsh033WTRjUDO&#10;DN/Me/M0v+yamm0VOg0m58NBypkyEgpt1jn/fH/zasaZ88IUogajcr5Tjl8uXr6YtzZTI6igLhQy&#10;AjEua23OK+9tliROVqoRbgBWGUqWgI3wdMV1UqBoCb2pk1Gavk5awMIiSOUcRZd9kh8Q8TmAUJZa&#10;qiXITaOM71FR1cITJVdp6/giTluWSvqPZemUZ3XOiamPX2pC51X4Jou5yNYobKXlYQTxnBGecGqE&#10;NtT0BLUUXrAN6n+gGi0RHJR+IKFJeiJREWIxTJ9oc1cJqyIXktrZk+ju/8HKD9tPyHSR89l0xJkR&#10;Da18//PH/tef/e/vbJjOokatdRmV3lkq9t0b6Mg5ka+ztyC/OGbguhJmra4Qoa2UKGjGYVA3OXsa&#10;tuIyF0BW7XsoqJXYeIhAXYlNEJAkYYRO+9md9qM6zyQFpxeTdEQZSanJdDaeTWIHkR0fW3T+rYKG&#10;hUPOkdYfwcX21vkwjMiOJaGXgRtd19ECtfkrQIV9REUPHV4fp+95+G7V0dsQXEGxI1IIvb/o76JD&#10;BfiNs5a8lXP3dSNQcVa/MyTMxXA8DmaMl/FkGjjheWZ1nhFGElTOPWf98dr3Bt5Y1OuKOvWrMHBF&#10;YpY6En2c6rAC8k/kf/B6MOj5PVY9/t+L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50UkHXAAAA&#10;CgEAAA8AAAAAAAAAAQAgAAAAIgAAAGRycy9kb3ducmV2LnhtbFBLAQIUABQAAAAIAIdO4kDL6yAp&#10;HgIAACcEAAAOAAAAAAAAAAEAIAAAACYBAABkcnMvZTJvRG9jLnhtbFBLBQYAAAAABgAGAFkBAAC2&#10;BQAAAAA=&#10;">
                <v:fill on="f" focussize="0,0"/>
                <v:stroke on="f"/>
                <v:imagedata o:title=""/>
                <o:lock v:ext="edit" aspectratio="f"/>
                <v:textbox>
                  <w:txbxContent>
                    <w:p w14:paraId="5F6F211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不可抗力导致解除</w:t>
                      </w:r>
                    </w:p>
                  </w:txbxContent>
                </v:textbox>
              </v:shape>
            </w:pict>
          </mc:Fallback>
        </mc:AlternateContent>
      </w:r>
      <w:r>
        <w:rPr>
          <w:rFonts w:hint="eastAsia" w:ascii="仿宋" w:hAnsi="仿宋" w:eastAsia="仿宋" w:cs="仿宋"/>
          <w:b/>
          <w:bCs/>
          <w:color w:val="auto"/>
          <w:sz w:val="24"/>
          <w:szCs w:val="24"/>
          <w:highlight w:val="none"/>
          <w:lang w:eastAsia="zh-CN"/>
        </w:rPr>
        <w:t>92</w:t>
      </w:r>
      <w:r>
        <w:rPr>
          <w:rFonts w:ascii="仿宋" w:hAnsi="仿宋" w:eastAsia="仿宋" w:cs="仿宋"/>
          <w:b/>
          <w:bCs/>
          <w:color w:val="auto"/>
          <w:sz w:val="24"/>
          <w:szCs w:val="24"/>
          <w:highlight w:val="none"/>
          <w:lang w:eastAsia="zh-CN"/>
        </w:rPr>
        <w:t xml:space="preserve">.2  </w:t>
      </w:r>
    </w:p>
    <w:p w14:paraId="1C2A70F3">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因单次不可抗力导致合同无法履行连续超过84天或累计超过140天的，合同双方当事人有权解除合同。</w:t>
      </w:r>
    </w:p>
    <w:p w14:paraId="1BF2F2CB">
      <w:pPr>
        <w:widowControl w:val="0"/>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92</w:t>
      </w:r>
      <w:r>
        <w:rPr>
          <w:rFonts w:ascii="仿宋" w:hAnsi="仿宋" w:eastAsia="仿宋" w:cs="仿宋"/>
          <w:b/>
          <w:bCs/>
          <w:color w:val="auto"/>
          <w:highlight w:val="none"/>
          <w:lang w:eastAsia="zh-CN"/>
        </w:rPr>
        <w:t>.3</w:t>
      </w:r>
    </w:p>
    <w:p w14:paraId="2EAEFFB9">
      <w:pPr>
        <w:pStyle w:val="2"/>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48032" behindDoc="0" locked="0" layoutInCell="1" allowOverlap="1">
                <wp:simplePos x="0" y="0"/>
                <wp:positionH relativeFrom="column">
                  <wp:posOffset>-114300</wp:posOffset>
                </wp:positionH>
                <wp:positionV relativeFrom="paragraph">
                  <wp:posOffset>37465</wp:posOffset>
                </wp:positionV>
                <wp:extent cx="803275" cy="749300"/>
                <wp:effectExtent l="0" t="0" r="0" b="0"/>
                <wp:wrapNone/>
                <wp:docPr id="873" name="文本框 1081"/>
                <wp:cNvGraphicFramePr/>
                <a:graphic xmlns:a="http://schemas.openxmlformats.org/drawingml/2006/main">
                  <a:graphicData uri="http://schemas.microsoft.com/office/word/2010/wordprocessingShape">
                    <wps:wsp>
                      <wps:cNvSpPr txBox="1">
                        <a:spLocks noChangeArrowheads="1"/>
                      </wps:cNvSpPr>
                      <wps:spPr bwMode="auto">
                        <a:xfrm>
                          <a:off x="0" y="0"/>
                          <a:ext cx="803275" cy="749300"/>
                        </a:xfrm>
                        <a:prstGeom prst="rect">
                          <a:avLst/>
                        </a:prstGeom>
                        <a:noFill/>
                        <a:ln>
                          <a:noFill/>
                        </a:ln>
                        <a:effectLst/>
                      </wps:spPr>
                      <wps:txbx>
                        <w:txbxContent>
                          <w:p w14:paraId="614E3607">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因承包人的原因解除</w:t>
                            </w:r>
                          </w:p>
                        </w:txbxContent>
                      </wps:txbx>
                      <wps:bodyPr rot="0" vert="horz" wrap="square" lIns="91440" tIns="45720" rIns="91440" bIns="45720" anchor="t" anchorCtr="0" upright="1">
                        <a:noAutofit/>
                      </wps:bodyPr>
                    </wps:wsp>
                  </a:graphicData>
                </a:graphic>
              </wp:anchor>
            </w:drawing>
          </mc:Choice>
          <mc:Fallback>
            <w:pict>
              <v:shape id="文本框 1081" o:spid="_x0000_s1026" o:spt="202" type="#_x0000_t202" style="position:absolute;left:0pt;margin-left:-9pt;margin-top:2.95pt;height:59pt;width:63.25pt;z-index:251948032;mso-width-relative:page;mso-height-relative:page;" filled="f" stroked="f" coordsize="21600,21600" o:gfxdata="UEsDBAoAAAAAAIdO4kAAAAAAAAAAAAAAAAAEAAAAZHJzL1BLAwQUAAAACACHTuJAFsWRdtcAAAAJ&#10;AQAADwAAAGRycy9kb3ducmV2LnhtbE2PzU7DMBCE70i8g7VIvbV2CkFJiNNDK65FlB+J2zbeJhHx&#10;OordJrw97glus5rVzDflZra9uNDoO8cakpUCQVw703Gj4f3teZmB8AHZYO+YNPyQh011e1NiYdzE&#10;r3Q5hEbEEPYFamhDGAopfd2SRb9yA3H0Tm60GOI5NtKMOMVw28u1Uo/SYsexocWBti3V34ez1fCx&#10;P319PqiXZmfTYXKzkmxzqfXiLlFPIALN4e8ZrvgRHarIdHRnNl70GpZJFrcEDWkO4uqrLAVxjGJ9&#10;n4OsSvl/QfULUEsDBBQAAAAIAIdO4kB5MDSbIQIAACcEAAAOAAAAZHJzL2Uyb0RvYy54bWytU0tu&#10;2zAQ3RfoHQjua8mf1I5gOUhjpCiQNgXSHoCmKIuoxGGHtCX3AM0Nuuqm+5zL5+iQclw33WTRjcDh&#10;DN/Me/M0v+iamm0VOg0m58NBypkyEgpt1jn//On61Ywz54UpRA1G5XynHL9YvHwxb22mRlBBXShk&#10;BGJc1tqcV97bLEmcrFQj3ACsMpQsARvhKcR1UqBoCb2pk1Gavk5awMIiSOUc3S77JD8g4nMAoSy1&#10;VEuQm0YZ36OiqoUnSq7S1vFFnLYslfS3ZemUZ3XOiamPX2pC51X4Jou5yNYobKXlYQTxnBGecGqE&#10;NtT0CLUUXrAN6n+gGi0RHJR+IKFJeiJREWIxTJ9oc1cJqyIXktrZo+ju/8HKD9uPyHSR89l0zJkR&#10;Da18/+N+//Nh/+s7G6azYdCotS6j0jtLxb57Ax05J/J19gbkF8cMXFXCrNUlIrSVEgXNGF8mJ097&#10;HBdAVu17KKiV2HiIQF2JTRCQJGGETvvZHfejOs8kXc7S8Wh6xpmk1HRyPk7j/hKRPT626PxbBQ0L&#10;h5wjrT+Ci+2N80SDSh9LQi8D17quowVq89cFFfY3Knro8DpQCdP3PHy36g7SrKDYESmE3l/0d9Gh&#10;AvzGWUveyrn7uhGoOKvfGRLmfDiZBDPGYHI2HVGAp5nVaUYYSVA595z1xyvfG3hjUa8r6tSvwsAl&#10;iVnqSDSM2k9FrENA/on8D14PBj2NY9Wf/3vx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BbFkXbX&#10;AAAACQEAAA8AAAAAAAAAAQAgAAAAIgAAAGRycy9kb3ducmV2LnhtbFBLAQIUABQAAAAIAIdO4kB5&#10;MDSbIQIAACcEAAAOAAAAAAAAAAEAIAAAACYBAABkcnMvZTJvRG9jLnhtbFBLBQYAAAAABgAGAFkB&#10;AAC5BQAAAAA=&#10;">
                <v:fill on="f" focussize="0,0"/>
                <v:stroke on="f"/>
                <v:imagedata o:title=""/>
                <o:lock v:ext="edit" aspectratio="f"/>
                <v:textbox>
                  <w:txbxContent>
                    <w:p w14:paraId="614E3607">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因承包人的原因解除</w:t>
                      </w:r>
                    </w:p>
                  </w:txbxContent>
                </v:textbox>
              </v:shape>
            </w:pict>
          </mc:Fallback>
        </mc:AlternateContent>
      </w:r>
      <w:r>
        <w:rPr>
          <w:rFonts w:hint="eastAsia" w:ascii="仿宋" w:hAnsi="仿宋" w:eastAsia="仿宋" w:cs="仿宋"/>
          <w:color w:val="auto"/>
          <w:sz w:val="24"/>
          <w:szCs w:val="24"/>
          <w:highlight w:val="none"/>
          <w:lang w:eastAsia="zh-CN"/>
        </w:rPr>
        <w:t>承包人有下列情形之一的，发包人可以解除合同：</w:t>
      </w:r>
    </w:p>
    <w:p w14:paraId="6EAFD956">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承包人未能按照第41</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款约定的开工期限内开展勘察（如果有）、设计、BIM技术应用、设备及工器具购置（如果有）和施工等阶段的总承包范围内工作，经设计顾问人或监理人催告后的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天内仍未开工的；</w:t>
      </w:r>
    </w:p>
    <w:p w14:paraId="2D1C0B8E">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按照第40条约定的进度计划未表明有停工且监理人也未按照第42</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款约定发出暂停施工令，但承包人停止施工时间持续达</w:t>
      </w:r>
      <w:r>
        <w:rPr>
          <w:rFonts w:ascii="仿宋" w:hAnsi="仿宋" w:eastAsia="仿宋" w:cs="仿宋"/>
          <w:color w:val="auto"/>
          <w:sz w:val="24"/>
          <w:szCs w:val="24"/>
          <w:highlight w:val="none"/>
          <w:lang w:eastAsia="zh-CN"/>
        </w:rPr>
        <w:t>56</w:t>
      </w:r>
      <w:r>
        <w:rPr>
          <w:rFonts w:hint="eastAsia" w:ascii="仿宋" w:hAnsi="仿宋" w:eastAsia="仿宋" w:cs="仿宋"/>
          <w:color w:val="auto"/>
          <w:sz w:val="24"/>
          <w:szCs w:val="24"/>
          <w:highlight w:val="none"/>
          <w:lang w:eastAsia="zh-CN"/>
        </w:rPr>
        <w:t>天或累计停止施工时间达</w:t>
      </w:r>
      <w:r>
        <w:rPr>
          <w:rFonts w:ascii="仿宋" w:hAnsi="仿宋" w:eastAsia="仿宋" w:cs="仿宋"/>
          <w:color w:val="auto"/>
          <w:sz w:val="24"/>
          <w:szCs w:val="24"/>
          <w:highlight w:val="none"/>
          <w:lang w:eastAsia="zh-CN"/>
        </w:rPr>
        <w:t>70</w:t>
      </w:r>
      <w:r>
        <w:rPr>
          <w:rFonts w:hint="eastAsia" w:ascii="仿宋" w:hAnsi="仿宋" w:eastAsia="仿宋" w:cs="仿宋"/>
          <w:color w:val="auto"/>
          <w:sz w:val="24"/>
          <w:szCs w:val="24"/>
          <w:highlight w:val="none"/>
          <w:lang w:eastAsia="zh-CN"/>
        </w:rPr>
        <w:t>天的；</w:t>
      </w:r>
    </w:p>
    <w:p w14:paraId="7B4FCD45">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承包人违反第21</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款或第58</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款约定未经监理人批准，擅自将已按照合同约定进入施工现场的施工设备、临时设施、工程材料、工程设备运出施工现场的；</w:t>
      </w:r>
    </w:p>
    <w:p w14:paraId="28375C64">
      <w:pPr>
        <w:pStyle w:val="2"/>
        <w:widowControl w:val="0"/>
        <w:numPr>
          <w:ilvl w:val="0"/>
          <w:numId w:val="29"/>
        </w:numPr>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承包人拖延完工且能偿付的误期赔偿费已达到专用条款约定最高限额的；</w:t>
      </w:r>
    </w:p>
    <w:p w14:paraId="0BCD6473">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承包人转包工程、违法分包或未经发</w:t>
      </w:r>
      <w:r>
        <w:rPr>
          <w:rFonts w:ascii="仿宋" w:hAnsi="仿宋" w:eastAsia="仿宋" w:cs="仿宋"/>
          <w:color w:val="auto"/>
          <w:sz w:val="24"/>
          <w:szCs w:val="24"/>
          <w:highlight w:val="none"/>
          <w:lang w:eastAsia="zh-CN"/>
        </w:rPr>
        <w:t>包人同意</w:t>
      </w:r>
      <w:r>
        <w:rPr>
          <w:rFonts w:hint="eastAsia" w:ascii="仿宋" w:hAnsi="仿宋" w:eastAsia="仿宋" w:cs="仿宋"/>
          <w:color w:val="auto"/>
          <w:sz w:val="24"/>
          <w:szCs w:val="24"/>
          <w:highlight w:val="none"/>
          <w:lang w:eastAsia="zh-CN"/>
        </w:rPr>
        <w:t>擅自分包工程的；</w:t>
      </w:r>
    </w:p>
    <w:p w14:paraId="1CD805FD">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承包人未按照合同约定或设计顾问人、监理人的指令，经监理人、设计顾问人书面指出后仍未按要求改正的；</w:t>
      </w:r>
    </w:p>
    <w:p w14:paraId="7F3F8DBE">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承包人履行合同期间有欺诈行为的；</w:t>
      </w:r>
    </w:p>
    <w:p w14:paraId="1C6879ED">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承包人向任何人给付或企图给付任何贿赂、礼品、赏金、回扣或其他贵重物品，以引诱或报偿他人，但给付承包人雇员的奖励则属例外；</w:t>
      </w:r>
    </w:p>
    <w:p w14:paraId="22F63D1A">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承包人在缺陷责任期内未能对发生的缺陷进行修复，且又拒绝按照监理人指令再进行修补的；</w:t>
      </w:r>
    </w:p>
    <w:p w14:paraId="1C0B1AF2">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承包人明确表示或以行为表明不履行合同约定主要义务的；</w:t>
      </w:r>
    </w:p>
    <w:p w14:paraId="2847E32D">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承包人延迟履行合同约定主要义务，经催告后在合理期限内仍未履行的；</w:t>
      </w:r>
    </w:p>
    <w:p w14:paraId="4CFEE89F">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承包人破产或清算的，但以机构重组或联合为目的的除外；</w:t>
      </w:r>
    </w:p>
    <w:p w14:paraId="1D5D6260">
      <w:pPr>
        <w:pStyle w:val="2"/>
        <w:widowControl w:val="0"/>
        <w:numPr>
          <w:ilvl w:val="0"/>
          <w:numId w:val="29"/>
        </w:numPr>
        <w:adjustRightInd w:val="0"/>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承包人被认为有严重违反合同的其他违约行为；</w:t>
      </w:r>
    </w:p>
    <w:p w14:paraId="56C7AD0B">
      <w:pPr>
        <w:pStyle w:val="2"/>
        <w:widowControl w:val="0"/>
        <w:numPr>
          <w:ilvl w:val="0"/>
          <w:numId w:val="29"/>
        </w:numPr>
        <w:adjustRightInd w:val="0"/>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olor w:val="auto"/>
          <w:sz w:val="24"/>
          <w:szCs w:val="24"/>
          <w:highlight w:val="none"/>
          <w:lang w:eastAsia="zh-CN"/>
        </w:rPr>
        <w:t>承包人不配合发包人对本合同工程进行检查。</w:t>
      </w:r>
    </w:p>
    <w:p w14:paraId="7CFA6B79">
      <w:pPr>
        <w:pStyle w:val="2"/>
        <w:widowControl w:val="0"/>
        <w:adjustRightInd w:val="0"/>
        <w:snapToGrid w:val="0"/>
        <w:spacing w:line="360" w:lineRule="auto"/>
        <w:ind w:left="1850" w:leftChars="771"/>
        <w:jc w:val="both"/>
        <w:rPr>
          <w:rFonts w:hint="eastAsia" w:ascii="仿宋" w:hAnsi="仿宋" w:eastAsia="仿宋"/>
          <w:b/>
          <w:bCs/>
          <w:color w:val="auto"/>
          <w:sz w:val="24"/>
          <w:szCs w:val="24"/>
          <w:highlight w:val="none"/>
          <w:lang w:eastAsia="zh-CN"/>
        </w:rPr>
      </w:pPr>
      <w:r>
        <w:rPr>
          <w:rFonts w:hint="eastAsia" w:ascii="仿宋" w:hAnsi="仿宋" w:eastAsia="仿宋" w:cs="仿宋"/>
          <w:color w:val="auto"/>
          <w:sz w:val="24"/>
          <w:szCs w:val="24"/>
          <w:highlight w:val="none"/>
          <w:lang w:eastAsia="zh-CN"/>
        </w:rPr>
        <w:t>在这种情况下，发包人可自行或委托第三方实施、完成合同工程或其任何部分，并可使用根据第21</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款留下的承包人临时工程，直至永久工程完工为止。</w:t>
      </w:r>
    </w:p>
    <w:p w14:paraId="18D967F2">
      <w:pPr>
        <w:widowControl w:val="0"/>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92</w:t>
      </w:r>
      <w:r>
        <w:rPr>
          <w:rFonts w:ascii="仿宋" w:hAnsi="仿宋" w:eastAsia="仿宋" w:cs="仿宋"/>
          <w:b/>
          <w:bCs/>
          <w:color w:val="auto"/>
          <w:highlight w:val="none"/>
          <w:lang w:eastAsia="zh-CN"/>
        </w:rPr>
        <w:t>.4</w:t>
      </w:r>
    </w:p>
    <w:p w14:paraId="2C361AAC">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49056" behindDoc="0" locked="0" layoutInCell="1" allowOverlap="1">
                <wp:simplePos x="0" y="0"/>
                <wp:positionH relativeFrom="column">
                  <wp:posOffset>-114300</wp:posOffset>
                </wp:positionH>
                <wp:positionV relativeFrom="paragraph">
                  <wp:posOffset>29845</wp:posOffset>
                </wp:positionV>
                <wp:extent cx="813435" cy="725805"/>
                <wp:effectExtent l="0" t="0" r="0" b="0"/>
                <wp:wrapNone/>
                <wp:docPr id="874" name="文本框 1082"/>
                <wp:cNvGraphicFramePr/>
                <a:graphic xmlns:a="http://schemas.openxmlformats.org/drawingml/2006/main">
                  <a:graphicData uri="http://schemas.microsoft.com/office/word/2010/wordprocessingShape">
                    <wps:wsp>
                      <wps:cNvSpPr txBox="1">
                        <a:spLocks noChangeArrowheads="1"/>
                      </wps:cNvSpPr>
                      <wps:spPr bwMode="auto">
                        <a:xfrm>
                          <a:off x="0" y="0"/>
                          <a:ext cx="813435" cy="725805"/>
                        </a:xfrm>
                        <a:prstGeom prst="rect">
                          <a:avLst/>
                        </a:prstGeom>
                        <a:noFill/>
                        <a:ln>
                          <a:noFill/>
                        </a:ln>
                        <a:effectLst/>
                      </wps:spPr>
                      <wps:txbx>
                        <w:txbxContent>
                          <w:p w14:paraId="5264F5A7">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因发包人的原因解除</w:t>
                            </w:r>
                          </w:p>
                        </w:txbxContent>
                      </wps:txbx>
                      <wps:bodyPr rot="0" vert="horz" wrap="square" lIns="91440" tIns="45720" rIns="91440" bIns="45720" anchor="t" anchorCtr="0" upright="1">
                        <a:noAutofit/>
                      </wps:bodyPr>
                    </wps:wsp>
                  </a:graphicData>
                </a:graphic>
              </wp:anchor>
            </w:drawing>
          </mc:Choice>
          <mc:Fallback>
            <w:pict>
              <v:shape id="文本框 1082" o:spid="_x0000_s1026" o:spt="202" type="#_x0000_t202" style="position:absolute;left:0pt;margin-left:-9pt;margin-top:2.35pt;height:57.15pt;width:64.05pt;z-index:251949056;mso-width-relative:page;mso-height-relative:page;" filled="f" stroked="f" coordsize="21600,21600" o:gfxdata="UEsDBAoAAAAAAIdO4kAAAAAAAAAAAAAAAAAEAAAAZHJzL1BLAwQUAAAACACHTuJAlIZe9dYAAAAJ&#10;AQAADwAAAGRycy9kb3ducmV2LnhtbE2PwU7DMBBE70j8g7VIvbW2UaFtiNMDqFcQbUHito23SUS8&#10;jmK3CX+Pc4LbrGY18ybfjq4VV+pD49mAXigQxKW3DVcGjofdfA0iRGSLrWcy8EMBtsXtTY6Z9QO/&#10;03UfK5FCOGRooI6xy6QMZU0Ow8J3xMk7+95hTGdfSdvjkMJdK++VepQOG04NNXb0XFP5vb84Ax+v&#10;56/PpXqrXtxDN/hRSXYbaczsTqsnEJHG+PcME35ChyIxnfyFbRCtgblepy3RwHIFYvK10iBOk9go&#10;kEUu/y8ofgFQSwMEFAAAAAgAh07iQJ511isgAgAAJwQAAA4AAABkcnMvZTJvRG9jLnhtbK1TzY7T&#10;MBC+I/EOlu80abelJWq6WrZahLT8SAsP4DpOY5F4zNhtUh4A3oATF+48V5+DsZMtZbnsgYtle8bf&#10;zPfN5+Vl19Rsr9BpMDkfj1LOlJFQaLPN+ccPN88WnDkvTCFqMCrnB+X45erpk2VrMzWBCupCISMQ&#10;47LW5rzy3mZJ4mSlGuFGYJWhYAnYCE9H3CYFipbQmzqZpOnzpAUsLIJUztHtug/yAREfAwhlqaVa&#10;g9w1yvgeFVUtPFFylbaOr2K3Zamkf1eWTnlW55yY+rhSEdpvwpqsliLborCVlkML4jEtPODUCG2o&#10;6AlqLbxgO9T/QDVaIjgo/UhCk/REoiLEYpw+0OauElZFLiS1syfR3f+DlW/375HpIueL+ZQzIxoa&#10;+fH7t+OPX8efX9k4XUyCRq11GaXeWUr23UvoyDmRr7O3ID85ZuC6EmarrhChrZQoqMdxeJmcPe1x&#10;XADZtG+goFJi5yECdSU2QUCShBE6zedwmo/qPJN0uRhfTC9mnEkKzSezRTqLFUR2/9ii868UNCxs&#10;co40/ggu9rfOh2ZEdp8Sahm40XUdLVCbvy4osb9R0UPD60AldN/z8N2mG6TZQHEgUgi9v+h30aYC&#10;/MJZS97Kufu8E6g4q18bEubFeDoNZoyH6Ww+oQOeRzbnEWEkQeXcc9Zvr31v4J1Fva2oUj8KA1ck&#10;Zqkj0dBq39UwAvJP5D94PRj0/Byz/vzv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Uhl711gAA&#10;AAkBAAAPAAAAAAAAAAEAIAAAACIAAABkcnMvZG93bnJldi54bWxQSwECFAAUAAAACACHTuJAnnXW&#10;KyACAAAnBAAADgAAAAAAAAABACAAAAAlAQAAZHJzL2Uyb0RvYy54bWxQSwUGAAAAAAYABgBZAQAA&#10;twUAAAAA&#10;">
                <v:fill on="f" focussize="0,0"/>
                <v:stroke on="f"/>
                <v:imagedata o:title=""/>
                <o:lock v:ext="edit" aspectratio="f"/>
                <v:textbox>
                  <w:txbxContent>
                    <w:p w14:paraId="5264F5A7">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因发包人的原因解除</w:t>
                      </w:r>
                    </w:p>
                  </w:txbxContent>
                </v:textbox>
              </v:shape>
            </w:pict>
          </mc:Fallback>
        </mc:AlternateContent>
      </w:r>
      <w:r>
        <w:rPr>
          <w:rFonts w:hint="eastAsia" w:ascii="仿宋" w:hAnsi="仿宋" w:eastAsia="仿宋" w:cs="仿宋"/>
          <w:color w:val="auto"/>
          <w:sz w:val="24"/>
          <w:szCs w:val="24"/>
          <w:highlight w:val="none"/>
          <w:lang w:eastAsia="zh-CN"/>
        </w:rPr>
        <w:t>发包人有下列情形之一的，承包人可以解除合同：</w:t>
      </w:r>
    </w:p>
    <w:p w14:paraId="37872F63">
      <w:pPr>
        <w:pStyle w:val="2"/>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非承包人原因未按照第41</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款约定期限内发出开工令，经承包人催告后</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天内仍未发出开工令的；</w:t>
      </w:r>
    </w:p>
    <w:p w14:paraId="2A6348C0">
      <w:pPr>
        <w:pStyle w:val="2"/>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按照第42</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款约定非承包人原因造成暂停施工持续</w:t>
      </w:r>
      <w:r>
        <w:rPr>
          <w:rFonts w:ascii="仿宋" w:hAnsi="仿宋" w:eastAsia="仿宋" w:cs="仿宋"/>
          <w:color w:val="auto"/>
          <w:sz w:val="24"/>
          <w:szCs w:val="24"/>
          <w:highlight w:val="none"/>
          <w:lang w:eastAsia="zh-CN"/>
        </w:rPr>
        <w:t>56</w:t>
      </w:r>
      <w:r>
        <w:rPr>
          <w:rFonts w:hint="eastAsia" w:ascii="仿宋" w:hAnsi="仿宋" w:eastAsia="仿宋" w:cs="仿宋"/>
          <w:color w:val="auto"/>
          <w:sz w:val="24"/>
          <w:szCs w:val="24"/>
          <w:highlight w:val="none"/>
          <w:lang w:eastAsia="zh-CN"/>
        </w:rPr>
        <w:t>天以上或累计停工时间超过了</w:t>
      </w:r>
      <w:r>
        <w:rPr>
          <w:rFonts w:ascii="仿宋" w:hAnsi="仿宋" w:eastAsia="仿宋" w:cs="仿宋"/>
          <w:color w:val="auto"/>
          <w:sz w:val="24"/>
          <w:szCs w:val="24"/>
          <w:highlight w:val="none"/>
          <w:lang w:eastAsia="zh-CN"/>
        </w:rPr>
        <w:t>70</w:t>
      </w:r>
      <w:r>
        <w:rPr>
          <w:rFonts w:hint="eastAsia" w:ascii="仿宋" w:hAnsi="仿宋" w:eastAsia="仿宋" w:cs="仿宋"/>
          <w:color w:val="auto"/>
          <w:sz w:val="24"/>
          <w:szCs w:val="24"/>
          <w:highlight w:val="none"/>
          <w:lang w:eastAsia="zh-CN"/>
        </w:rPr>
        <w:t>天的；</w:t>
      </w:r>
    </w:p>
    <w:p w14:paraId="12B90CB9">
      <w:pPr>
        <w:pStyle w:val="2"/>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发包人按照第55条约定供应的工程材料和工程设备不符合强制性标准，致使承包人无法施工，经承包人催告后</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天内仍未更换的；</w:t>
      </w:r>
    </w:p>
    <w:p w14:paraId="7B24A7DE">
      <w:pPr>
        <w:pStyle w:val="2"/>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设计顾问人或监理人未按照合同约定及时发出工作指令，导致承包人无法继续工作或施工的；</w:t>
      </w:r>
    </w:p>
    <w:p w14:paraId="21DF88DC">
      <w:pPr>
        <w:pStyle w:val="2"/>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发包人未按照第83</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款约定向承包人支付工程款，经承包人催告后</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天内仍未支付的；</w:t>
      </w:r>
    </w:p>
    <w:p w14:paraId="0A139744">
      <w:pPr>
        <w:pStyle w:val="2"/>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发包人无法继续履行、明确表示或以行为表明不履行合同约定主要义务的；</w:t>
      </w:r>
    </w:p>
    <w:p w14:paraId="35B4A779">
      <w:pPr>
        <w:pStyle w:val="2"/>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发包人延迟履行合同约定主要义务，经催告后在合理期限内仍未履行的；</w:t>
      </w:r>
    </w:p>
    <w:p w14:paraId="40AA3C14">
      <w:pPr>
        <w:pStyle w:val="2"/>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发包人破产或清算的，但以机构重组或联合为目的的除外；</w:t>
      </w:r>
    </w:p>
    <w:p w14:paraId="691920C3">
      <w:pPr>
        <w:pStyle w:val="2"/>
        <w:widowControl w:val="0"/>
        <w:numPr>
          <w:ilvl w:val="0"/>
          <w:numId w:val="30"/>
        </w:numPr>
        <w:tabs>
          <w:tab w:val="clear" w:pos="1560"/>
        </w:tabs>
        <w:adjustRightInd w:val="0"/>
        <w:snapToGrid w:val="0"/>
        <w:spacing w:line="360" w:lineRule="auto"/>
        <w:ind w:left="1850" w:leftChars="771" w:firstLine="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发包人被认为有严重违反合同的其他违约行为。</w:t>
      </w:r>
    </w:p>
    <w:p w14:paraId="602A18D1">
      <w:pPr>
        <w:pStyle w:val="2"/>
        <w:tabs>
          <w:tab w:val="left" w:pos="1320"/>
        </w:tabs>
        <w:adjustRightInd w:val="0"/>
        <w:snapToGrid w:val="0"/>
        <w:spacing w:line="36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68864" behindDoc="0" locked="0" layoutInCell="1" allowOverlap="1">
                <wp:simplePos x="0" y="0"/>
                <wp:positionH relativeFrom="column">
                  <wp:posOffset>-114300</wp:posOffset>
                </wp:positionH>
                <wp:positionV relativeFrom="paragraph">
                  <wp:posOffset>202565</wp:posOffset>
                </wp:positionV>
                <wp:extent cx="803910" cy="534035"/>
                <wp:effectExtent l="0" t="0" r="0" b="0"/>
                <wp:wrapNone/>
                <wp:docPr id="875" name="文本框 1083"/>
                <wp:cNvGraphicFramePr/>
                <a:graphic xmlns:a="http://schemas.openxmlformats.org/drawingml/2006/main">
                  <a:graphicData uri="http://schemas.microsoft.com/office/word/2010/wordprocessingShape">
                    <wps:wsp>
                      <wps:cNvSpPr txBox="1">
                        <a:spLocks noChangeArrowheads="1"/>
                      </wps:cNvSpPr>
                      <wps:spPr bwMode="auto">
                        <a:xfrm>
                          <a:off x="0" y="0"/>
                          <a:ext cx="803910" cy="534035"/>
                        </a:xfrm>
                        <a:prstGeom prst="rect">
                          <a:avLst/>
                        </a:prstGeom>
                        <a:noFill/>
                        <a:ln>
                          <a:noFill/>
                        </a:ln>
                        <a:effectLst/>
                      </wps:spPr>
                      <wps:txbx>
                        <w:txbxContent>
                          <w:p w14:paraId="0014BE4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书面通知合同解除</w:t>
                            </w:r>
                          </w:p>
                        </w:txbxContent>
                      </wps:txbx>
                      <wps:bodyPr rot="0" vert="horz" wrap="square" lIns="91440" tIns="45720" rIns="91440" bIns="45720" anchor="t" anchorCtr="0" upright="1">
                        <a:noAutofit/>
                      </wps:bodyPr>
                    </wps:wsp>
                  </a:graphicData>
                </a:graphic>
              </wp:anchor>
            </w:drawing>
          </mc:Choice>
          <mc:Fallback>
            <w:pict>
              <v:shape id="文本框 1083" o:spid="_x0000_s1026" o:spt="202" type="#_x0000_t202" style="position:absolute;left:0pt;margin-left:-9pt;margin-top:15.95pt;height:42.05pt;width:63.3pt;z-index:252068864;mso-width-relative:page;mso-height-relative:page;" filled="f" stroked="f" coordsize="21600,21600" o:gfxdata="UEsDBAoAAAAAAIdO4kAAAAAAAAAAAAAAAAAEAAAAZHJzL1BLAwQUAAAACACHTuJA7zORXNcAAAAK&#10;AQAADwAAAGRycy9kb3ducmV2LnhtbE2PzU7DMBCE70i8g7VI3Frb/ERpGqcHEFcQLSBxc+NtEjVe&#10;R7HbhLdne4LbrGY0+025mX0vzjjGLpABvVQgkOrgOmoMfOxeFjmImCw52wdCAz8YYVNdX5W2cGGi&#10;dzxvUyO4hGJhDbQpDYWUsW7R27gMAxJ7hzB6m/gcG+lGO3G57+WdUpn0tiP+0NoBn1qsj9uTN/D5&#10;evj+elBvzbN/HKYwK0l+JY25vdFqDSLhnP7CcMFndKiYaR9O5KLoDSx0zluSgXu9AnEJqDwDsWeh&#10;MwWyKuX/CdUvUEsDBBQAAAAIAIdO4kBS52bvIAIAACcEAAAOAAAAZHJzL2Uyb0RvYy54bWytU0tu&#10;2zAQ3RfoHQjua8m/xhEsB2mMFAXSD5D2ADRFWUQlDjukLaUHaG7QVTfd91w+R4eU4rrpJotuCJIz&#10;fDPvzePyomtqtlfoNJicj0cpZ8pIKLTZ5vzTx+sXC86cF6YQNRiV8zvl+MXq+bNlazM1gQrqQiEj&#10;EOOy1ua88t5mSeJkpRrhRmCVoWAJ2AhPR9wmBYqW0Js6maTpy6QFLCyCVM7R7boP8gERnwIIZaml&#10;WoPcNcr4HhVVLTxRcpW2jq9it2WppH9flk55VuecmPq4UhHab8KarJYi26KwlZZDC+IpLTzi1Aht&#10;qOgRai28YDvU/0A1WiI4KP1IQpP0RKIixGKcPtLmthJWRS4ktbNH0d3/g5Xv9h+Q6SLni7M5Z0Y0&#10;NPLD9/vDj1+Hn9/YOF1Mg0atdRml3lpK9t0r6Mg5ka+zNyA/O2bgqhJmqy4Roa2UKKjHcXiZnDzt&#10;cVwA2bRvoaBSYuchAnUlNkFAkoQROs3n7jgf1Xkm6XKRTs/HFJEUmk9n6XQeK4js4bFF518raFjY&#10;5Bxp/BFc7G+cD82I7CEl1DJwres6WqA2f11QYn+jooeG14FK6L7n4btNN0izgeKOSCH0/qLfRZsK&#10;8CtnLXkr5+7LTqDirH5jSJjz8WwWzBgPs/nZhA54GtmcRoSRBJVzz1m/vfK9gXcW9baiSv0oDFyS&#10;mKWOREOrfVfDCMg/kf/g9WDQ03PM+vO/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7zORXNcA&#10;AAAKAQAADwAAAAAAAAABACAAAAAiAAAAZHJzL2Rvd25yZXYueG1sUEsBAhQAFAAAAAgAh07iQFLn&#10;Zu8gAgAAJwQAAA4AAAAAAAAAAQAgAAAAJgEAAGRycy9lMm9Eb2MueG1sUEsFBgAAAAAGAAYAWQEA&#10;ALgFAAAAAA==&#10;">
                <v:fill on="f" focussize="0,0"/>
                <v:stroke on="f"/>
                <v:imagedata o:title=""/>
                <o:lock v:ext="edit" aspectratio="f"/>
                <v:textbox>
                  <w:txbxContent>
                    <w:p w14:paraId="0014BE4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书面通知合同解除</w:t>
                      </w:r>
                    </w:p>
                  </w:txbxContent>
                </v:textbox>
              </v:shape>
            </w:pict>
          </mc:Fallback>
        </mc:AlternateContent>
      </w:r>
      <w:r>
        <w:rPr>
          <w:rFonts w:hint="eastAsia" w:ascii="仿宋" w:hAnsi="仿宋" w:eastAsia="仿宋" w:cs="仿宋"/>
          <w:b/>
          <w:bCs/>
          <w:color w:val="auto"/>
          <w:sz w:val="24"/>
          <w:szCs w:val="24"/>
          <w:highlight w:val="none"/>
          <w:lang w:eastAsia="zh-CN"/>
        </w:rPr>
        <w:t>92</w:t>
      </w:r>
      <w:r>
        <w:rPr>
          <w:rFonts w:ascii="仿宋" w:hAnsi="仿宋" w:eastAsia="仿宋" w:cs="仿宋"/>
          <w:b/>
          <w:bCs/>
          <w:color w:val="auto"/>
          <w:sz w:val="24"/>
          <w:szCs w:val="24"/>
          <w:highlight w:val="none"/>
          <w:lang w:eastAsia="zh-CN"/>
        </w:rPr>
        <w:t xml:space="preserve">.5  </w:t>
      </w:r>
    </w:p>
    <w:p w14:paraId="0A4020F9">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根据第92</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款至第92</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款约定要求解除合同的，解除方应以书面形式向另一方当事人发出解除合同的通知，自通知到达对方时合同解除。对解除合同有争议的，应按照第91条约定处理。</w:t>
      </w:r>
    </w:p>
    <w:p w14:paraId="15E231EB">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92</w:t>
      </w:r>
      <w:r>
        <w:rPr>
          <w:rFonts w:ascii="仿宋" w:hAnsi="仿宋" w:eastAsia="仿宋" w:cs="仿宋"/>
          <w:b/>
          <w:bCs/>
          <w:color w:val="auto"/>
          <w:highlight w:val="none"/>
          <w:lang w:eastAsia="zh-CN"/>
        </w:rPr>
        <w:t>.6</w:t>
      </w:r>
    </w:p>
    <w:p w14:paraId="24382C22">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50080" behindDoc="0" locked="0" layoutInCell="1" allowOverlap="1">
                <wp:simplePos x="0" y="0"/>
                <wp:positionH relativeFrom="column">
                  <wp:posOffset>-114300</wp:posOffset>
                </wp:positionH>
                <wp:positionV relativeFrom="paragraph">
                  <wp:posOffset>6985</wp:posOffset>
                </wp:positionV>
                <wp:extent cx="794385" cy="582930"/>
                <wp:effectExtent l="0" t="0" r="0" b="0"/>
                <wp:wrapNone/>
                <wp:docPr id="876" name="文本框 1084"/>
                <wp:cNvGraphicFramePr/>
                <a:graphic xmlns:a="http://schemas.openxmlformats.org/drawingml/2006/main">
                  <a:graphicData uri="http://schemas.microsoft.com/office/word/2010/wordprocessingShape">
                    <wps:wsp>
                      <wps:cNvSpPr txBox="1">
                        <a:spLocks noChangeArrowheads="1"/>
                      </wps:cNvSpPr>
                      <wps:spPr bwMode="auto">
                        <a:xfrm>
                          <a:off x="0" y="0"/>
                          <a:ext cx="794385" cy="582930"/>
                        </a:xfrm>
                        <a:prstGeom prst="rect">
                          <a:avLst/>
                        </a:prstGeom>
                        <a:noFill/>
                        <a:ln>
                          <a:noFill/>
                        </a:ln>
                        <a:effectLst/>
                      </wps:spPr>
                      <wps:txbx>
                        <w:txbxContent>
                          <w:p w14:paraId="5760632C">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合同解除后双方的责任和义务</w:t>
                            </w:r>
                          </w:p>
                        </w:txbxContent>
                      </wps:txbx>
                      <wps:bodyPr rot="0" vert="horz" wrap="square" lIns="91440" tIns="45720" rIns="91440" bIns="45720" anchor="t" anchorCtr="0" upright="1">
                        <a:noAutofit/>
                      </wps:bodyPr>
                    </wps:wsp>
                  </a:graphicData>
                </a:graphic>
              </wp:anchor>
            </w:drawing>
          </mc:Choice>
          <mc:Fallback>
            <w:pict>
              <v:shape id="文本框 1084" o:spid="_x0000_s1026" o:spt="202" type="#_x0000_t202" style="position:absolute;left:0pt;margin-left:-9pt;margin-top:0.55pt;height:45.9pt;width:62.55pt;z-index:251950080;mso-width-relative:page;mso-height-relative:page;" filled="f" stroked="f" coordsize="21600,21600" o:gfxdata="UEsDBAoAAAAAAIdO4kAAAAAAAAAAAAAAAAAEAAAAZHJzL1BLAwQUAAAACACHTuJAF+7Bc9UAAAAI&#10;AQAADwAAAGRycy9kb3ducmV2LnhtbE2PTU/DMAyG70j8h8hI3LakEx9raboDiCuIDZC4eY3XVjRO&#10;1WRr+fd4J7jZeqzXz1tuZt+rE42xC2whWxpQxHVwHTcW3nfPizWomJAd9oHJwg9F2FSXFyUWLkz8&#10;RqdtapSEcCzQQpvSUGgd65Y8xmUYiIUdwugxyTo22o04Sbjv9cqYO+2xY/nQ4kCPLdXf26O38PFy&#10;+Pq8Ma/Nk78dpjAbzT7X1l5fZeYBVKI5/R3DWV/UoRKnfTiyi6q3sMjW0iUJyECdubmXYW8hX+Wg&#10;q1L/L1D9AlBLAwQUAAAACACHTuJAVbHvhiECAAAnBAAADgAAAGRycy9lMm9Eb2MueG1srVPNjtMw&#10;EL4j8Q6W7zRtt922UdPVstUipOVHWngA13Eai8Rjxm6T8gDwBpy4cOe5+hyMnWwpy2UPXCzbM/5m&#10;vm8+L6/aumJ7hU6DyfhoMORMGQm5NtuMf/xw+2LOmfPC5KICozJ+UI5frZ4/WzY2VWMoocoVMgIx&#10;Lm1sxkvvbZokTpaqFm4AVhkKFoC18HTEbZKjaAi9rpLxcHiZNIC5RZDKObpdd0HeI+JTAKEotFRr&#10;kLtaGd+hoqqEJ0qu1NbxVey2KJT074rCKc+qjBNTH1cqQvtNWJPVUqRbFLbUsm9BPKWFR5xqoQ0V&#10;PUGthRdsh/ofqFpLBAeFH0iok45IVIRYjIaPtLkvhVWRC0nt7El09/9g5dv9e2Q6z/h8dsmZETWN&#10;/Pj92/HHr+PPr2w0nE+CRo11KaXeW0r27UtoyTmRr7N3ID85ZuCmFGarrhGhKZXIqcdReJmcPe1w&#10;XADZNG8gp1Ji5yECtQXWQUCShBE6zedwmo9qPZN0OVtMLuZTziSFpvPx4iLOLxHpw2OLzr9SULOw&#10;yTjS+CO42N85H5oR6UNKqGXgVldVtEBl/rqgxO5GRQ/1rwOV0H3Hw7ebtpdmA/mBSCF0/qLfRZsS&#10;8AtnDXkr4+7zTqDirHptSJjFaDIJZoyHyXQ2pgOeRzbnEWEkQWXcc9Ztb3xn4J1FvS2pUjcKA9ck&#10;ZqEj0dBq11U/AvJP5N97PRj0/Byz/vzv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X7sFz1QAA&#10;AAgBAAAPAAAAAAAAAAEAIAAAACIAAABkcnMvZG93bnJldi54bWxQSwECFAAUAAAACACHTuJAVbHv&#10;hiECAAAnBAAADgAAAAAAAAABACAAAAAkAQAAZHJzL2Uyb0RvYy54bWxQSwUGAAAAAAYABgBZAQAA&#10;twUAAAAA&#10;">
                <v:fill on="f" focussize="0,0"/>
                <v:stroke on="f"/>
                <v:imagedata o:title=""/>
                <o:lock v:ext="edit" aspectratio="f"/>
                <v:textbox>
                  <w:txbxContent>
                    <w:p w14:paraId="5760632C">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合同解除后双方的责任和义务</w:t>
                      </w:r>
                    </w:p>
                  </w:txbxContent>
                </v:textbox>
              </v:shape>
            </w:pict>
          </mc:Fallback>
        </mc:AlternateContent>
      </w:r>
      <w:r>
        <w:rPr>
          <w:rFonts w:hint="eastAsia" w:ascii="仿宋" w:hAnsi="仿宋" w:eastAsia="仿宋" w:cs="仿宋"/>
          <w:color w:val="auto"/>
          <w:sz w:val="24"/>
          <w:szCs w:val="24"/>
          <w:highlight w:val="none"/>
          <w:lang w:eastAsia="zh-CN"/>
        </w:rPr>
        <w:t>合同一旦解除，承包人应立即停止施工，保证现场安全，保护已完工程和已购工程材料、工程设备，尽快撤离现场，并将所有与本合同有关的勘察资料、施工文件、设计文件移交给监理人。发包人应为承包人的撤离提供便利和协助。</w:t>
      </w:r>
    </w:p>
    <w:p w14:paraId="28F8BF98">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1E6842EB">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93" w:name="_Toc26107"/>
      <w:r>
        <w:rPr>
          <w:rFonts w:hint="eastAsia" w:ascii="仿宋" w:hAnsi="仿宋" w:eastAsia="仿宋" w:cs="仿宋"/>
          <w:bCs w:val="0"/>
          <w:color w:val="auto"/>
          <w:sz w:val="24"/>
          <w:szCs w:val="24"/>
          <w:highlight w:val="none"/>
          <w:lang w:eastAsia="zh-CN"/>
        </w:rPr>
        <w:t>93合同解除的支付</w:t>
      </w:r>
      <w:bookmarkEnd w:id="393"/>
    </w:p>
    <w:p w14:paraId="4F5ED6E4">
      <w:pPr>
        <w:pStyle w:val="2"/>
        <w:adjustRightInd w:val="0"/>
        <w:snapToGrid w:val="0"/>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69888" behindDoc="0" locked="0" layoutInCell="1" allowOverlap="1">
                <wp:simplePos x="0" y="0"/>
                <wp:positionH relativeFrom="column">
                  <wp:posOffset>-66675</wp:posOffset>
                </wp:positionH>
                <wp:positionV relativeFrom="paragraph">
                  <wp:posOffset>188595</wp:posOffset>
                </wp:positionV>
                <wp:extent cx="765810" cy="429895"/>
                <wp:effectExtent l="0" t="0" r="0" b="0"/>
                <wp:wrapNone/>
                <wp:docPr id="877" name="文本框 1085"/>
                <wp:cNvGraphicFramePr/>
                <a:graphic xmlns:a="http://schemas.openxmlformats.org/drawingml/2006/main">
                  <a:graphicData uri="http://schemas.microsoft.com/office/word/2010/wordprocessingShape">
                    <wps:wsp>
                      <wps:cNvSpPr txBox="1">
                        <a:spLocks noChangeArrowheads="1"/>
                      </wps:cNvSpPr>
                      <wps:spPr bwMode="auto">
                        <a:xfrm>
                          <a:off x="0" y="0"/>
                          <a:ext cx="765810" cy="429895"/>
                        </a:xfrm>
                        <a:prstGeom prst="rect">
                          <a:avLst/>
                        </a:prstGeom>
                        <a:noFill/>
                        <a:ln>
                          <a:noFill/>
                        </a:ln>
                        <a:effectLst/>
                      </wps:spPr>
                      <wps:txbx>
                        <w:txbxContent>
                          <w:p w14:paraId="07BA804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协商一致解除的支付</w:t>
                            </w:r>
                          </w:p>
                        </w:txbxContent>
                      </wps:txbx>
                      <wps:bodyPr rot="0" vert="horz" wrap="square" lIns="91440" tIns="45720" rIns="91440" bIns="45720" anchor="t" anchorCtr="0" upright="1">
                        <a:noAutofit/>
                      </wps:bodyPr>
                    </wps:wsp>
                  </a:graphicData>
                </a:graphic>
              </wp:anchor>
            </w:drawing>
          </mc:Choice>
          <mc:Fallback>
            <w:pict>
              <v:shape id="文本框 1085" o:spid="_x0000_s1026" o:spt="202" type="#_x0000_t202" style="position:absolute;left:0pt;margin-left:-5.25pt;margin-top:14.85pt;height:33.85pt;width:60.3pt;z-index:252069888;mso-width-relative:page;mso-height-relative:page;" filled="f" stroked="f" coordsize="21600,21600" o:gfxdata="UEsDBAoAAAAAAIdO4kAAAAAAAAAAAAAAAAAEAAAAZHJzL1BLAwQUAAAACACHTuJAd2XU1dYAAAAJ&#10;AQAADwAAAGRycy9kb3ducmV2LnhtbE2PwU7DMBBE70j8g7VI3FrbVUtJmk0PIK4gWkDqzY23SUS8&#10;jmK3CX+Pe4Ljap5m3hbbyXXiQkNoPSPouQJBXHnbco3wsX+ZPYII0bA1nWdC+KEA2/L2pjC59SO/&#10;02UXa5FKOOQGoYmxz6UMVUPOhLnviVN28oMzMZ1DLe1gxlTuOrlQ6kE603JaaExPTw1V37uzQ/h8&#10;PR2+luqtfnarfvSTkuwyiXh/p9UGRKQp/sFw1U/qUCanoz+zDaJDmGm1SijCIluDuAJaaRBHhGy9&#10;BFkW8v8H5S9QSwMEFAAAAAgAh07iQIWfF1sgAgAAJwQAAA4AAABkcnMvZTJvRG9jLnhtbK1TzY7T&#10;MBC+I/EOlu80TdVu26jpatlqEdLyIy08gOs4jUXiMWO3yfIA8AacuHDnufocjJ1sKctlD1ws2zP+&#10;Zr5vPq8uu6ZmB4VOg8l5OhpzpoyEQptdzj9+uHmx4Mx5YQpRg1E5v1eOX66fP1u1NlMTqKAuFDIC&#10;MS5rbc4r722WJE5WqhFuBFYZCpaAjfB0xF1SoGgJvamTyXh8kbSAhUWQyjm63fRBPiDiUwChLLVU&#10;G5D7Rhnfo6KqhSdKrtLW8XXstiyV9O/K0inP6pwTUx9XKkL7bViT9UpkOxS20nJoQTylhUecGqEN&#10;FT1BbYQXbI/6H6hGSwQHpR9JaJKeSFSEWKTjR9rcVcKqyIWkdvYkuvt/sPLt4T0yXeR8MZ9zZkRD&#10;Iz9+/3b88ev48ytLx4tZ0Ki1LqPUO0vJvnsJHTkn8nX2FuQnxwxcV8Ls1BUitJUSBfWYhpfJ2dMe&#10;xwWQbfsGCiol9h4iUFdiEwQkSRih03zuT/NRnWeSLucXs0VKEUmh6WS5WMbeEpE9PLbo/CsFDQub&#10;nCONP4KLw63zoRmRPaSEWgZudF1HC9TmrwtK7G9U9NDwOlAJ3fc8fLftBmm2UNwTKYTeX/S7aFMB&#10;fuGsJW/l3H3eC1Sc1a8NCbNMp9NgxniYzuYTOuB5ZHseEUYSVM49Z/322vcG3lvUu4oq9aMwcEVi&#10;ljoSDa32XQ0jIP9E/oPXg0HPzzHrz/9e/w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3ZdTV1gAA&#10;AAkBAAAPAAAAAAAAAAEAIAAAACIAAABkcnMvZG93bnJldi54bWxQSwECFAAUAAAACACHTuJAhZ8X&#10;WyACAAAnBAAADgAAAAAAAAABACAAAAAlAQAAZHJzL2Uyb0RvYy54bWxQSwUGAAAAAAYABgBZAQAA&#10;twUAAAAA&#10;">
                <v:fill on="f" focussize="0,0"/>
                <v:stroke on="f"/>
                <v:imagedata o:title=""/>
                <o:lock v:ext="edit" aspectratio="f"/>
                <v:textbox>
                  <w:txbxContent>
                    <w:p w14:paraId="07BA804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协商一致解除的支付</w:t>
                      </w:r>
                    </w:p>
                  </w:txbxContent>
                </v:textbox>
              </v:shape>
            </w:pict>
          </mc:Fallback>
        </mc:AlternateContent>
      </w:r>
      <w:r>
        <w:rPr>
          <w:rFonts w:hint="eastAsia" w:ascii="仿宋" w:hAnsi="仿宋" w:eastAsia="仿宋" w:cs="仿宋"/>
          <w:b/>
          <w:bCs/>
          <w:color w:val="auto"/>
          <w:sz w:val="24"/>
          <w:szCs w:val="24"/>
          <w:highlight w:val="none"/>
          <w:lang w:eastAsia="zh-CN"/>
        </w:rPr>
        <w:t>93</w:t>
      </w:r>
      <w:r>
        <w:rPr>
          <w:rFonts w:ascii="仿宋" w:hAnsi="仿宋" w:eastAsia="仿宋" w:cs="仿宋"/>
          <w:b/>
          <w:bCs/>
          <w:color w:val="auto"/>
          <w:sz w:val="24"/>
          <w:szCs w:val="24"/>
          <w:highlight w:val="none"/>
          <w:lang w:eastAsia="zh-CN"/>
        </w:rPr>
        <w:t>.1</w:t>
      </w:r>
    </w:p>
    <w:p w14:paraId="6D49ECB5">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根据第92</w:t>
      </w:r>
      <w:r>
        <w:rPr>
          <w:rFonts w:ascii="仿宋" w:hAnsi="仿宋" w:eastAsia="仿宋" w:cs="仿宋"/>
          <w:color w:val="auto"/>
          <w:sz w:val="24"/>
          <w:szCs w:val="24"/>
          <w:highlight w:val="none"/>
          <w:lang w:eastAsia="zh-CN"/>
        </w:rPr>
        <w:t>.1</w:t>
      </w:r>
      <w:r>
        <w:rPr>
          <w:rFonts w:hint="eastAsia" w:ascii="仿宋" w:hAnsi="仿宋" w:eastAsia="仿宋" w:cs="仿宋"/>
          <w:color w:val="auto"/>
          <w:sz w:val="24"/>
          <w:szCs w:val="24"/>
          <w:highlight w:val="none"/>
          <w:lang w:eastAsia="zh-CN"/>
        </w:rPr>
        <w:t>款约定解除合同的，按照达成的协议办理结算和支付工程款。</w:t>
      </w:r>
    </w:p>
    <w:p w14:paraId="1D75FF05">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93</w:t>
      </w:r>
      <w:r>
        <w:rPr>
          <w:rFonts w:ascii="仿宋" w:hAnsi="仿宋" w:eastAsia="仿宋" w:cs="仿宋"/>
          <w:b/>
          <w:bCs/>
          <w:color w:val="auto"/>
          <w:highlight w:val="none"/>
          <w:lang w:eastAsia="zh-CN"/>
        </w:rPr>
        <w:t>.2</w:t>
      </w:r>
    </w:p>
    <w:p w14:paraId="7F516FFF">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51104" behindDoc="0" locked="0" layoutInCell="1" allowOverlap="1">
                <wp:simplePos x="0" y="0"/>
                <wp:positionH relativeFrom="column">
                  <wp:posOffset>-114300</wp:posOffset>
                </wp:positionH>
                <wp:positionV relativeFrom="paragraph">
                  <wp:posOffset>15875</wp:posOffset>
                </wp:positionV>
                <wp:extent cx="775970" cy="607060"/>
                <wp:effectExtent l="0" t="0" r="0" b="0"/>
                <wp:wrapNone/>
                <wp:docPr id="878" name="文本框 1086"/>
                <wp:cNvGraphicFramePr/>
                <a:graphic xmlns:a="http://schemas.openxmlformats.org/drawingml/2006/main">
                  <a:graphicData uri="http://schemas.microsoft.com/office/word/2010/wordprocessingShape">
                    <wps:wsp>
                      <wps:cNvSpPr txBox="1">
                        <a:spLocks noChangeArrowheads="1"/>
                      </wps:cNvSpPr>
                      <wps:spPr bwMode="auto">
                        <a:xfrm>
                          <a:off x="0" y="0"/>
                          <a:ext cx="775970" cy="607060"/>
                        </a:xfrm>
                        <a:prstGeom prst="rect">
                          <a:avLst/>
                        </a:prstGeom>
                        <a:noFill/>
                        <a:ln>
                          <a:noFill/>
                        </a:ln>
                        <a:effectLst/>
                      </wps:spPr>
                      <wps:txbx>
                        <w:txbxContent>
                          <w:p w14:paraId="5C16854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不可抗力解除的支付</w:t>
                            </w:r>
                          </w:p>
                        </w:txbxContent>
                      </wps:txbx>
                      <wps:bodyPr rot="0" vert="horz" wrap="square" lIns="91440" tIns="45720" rIns="91440" bIns="45720" anchor="t" anchorCtr="0" upright="1">
                        <a:noAutofit/>
                      </wps:bodyPr>
                    </wps:wsp>
                  </a:graphicData>
                </a:graphic>
              </wp:anchor>
            </w:drawing>
          </mc:Choice>
          <mc:Fallback>
            <w:pict>
              <v:shape id="文本框 1086" o:spid="_x0000_s1026" o:spt="202" type="#_x0000_t202" style="position:absolute;left:0pt;margin-left:-9pt;margin-top:1.25pt;height:47.8pt;width:61.1pt;z-index:251951104;mso-width-relative:page;mso-height-relative:page;" filled="f" stroked="f" coordsize="21600,21600" o:gfxdata="UEsDBAoAAAAAAIdO4kAAAAAAAAAAAAAAAAAEAAAAZHJzL1BLAwQUAAAACACHTuJAvx4O/tYAAAAI&#10;AQAADwAAAGRycy9kb3ducmV2LnhtbE2PwW7CMBBE75X6D9ZW4gZ2IqhCmg0HUK9FhbZSbyZekqjx&#10;OooNSf++5lSOoxnNvCk2k+3ElQbfOkZIFgoEceVMyzXCx/F1noHwQbPRnWNC+CUPm/LxodC5cSO/&#10;0/UQahFL2OcaoQmhz6X0VUNW+4XriaN3doPVIcqhlmbQYyy3nUyVepZWtxwXGt3TtqHq53CxCJ9v&#10;5++vpdrXO7vqRzcpyXYtEWdPiXoBEWgK/2G44Ud0KCPTyV3YeNEhzJMsfgkI6QrEzVfLFMQJYZ0l&#10;IMtC3h8o/wBQSwMEFAAAAAgAh07iQLEFrc4fAgAAJwQAAA4AAABkcnMvZTJvRG9jLnhtbK1TzY7T&#10;MBC+I/EOlu80adVtulHT1bLVIqTlR1p4ANdxGovEY8Zuk/IA8AacuHDnufocjJ1uKctlD1ws2zP+&#10;Zr5vPi+u+rZhO4VOgyn4eJRypoyEUptNwT9+uH0x58x5YUrRgFEF3yvHr5bPny06m6sJ1NCUChmB&#10;GJd3tuC19zZPEidr1Qo3AqsMBSvAVng64iYpUXSE3jbJJE1nSQdYWgSpnKPb1RDkR0R8CiBUlZZq&#10;BXLbKuMHVFSN8ETJ1do6vozdVpWS/l1VOeVZU3Bi6uNKRWi/DmuyXIh8g8LWWh5bEE9p4RGnVmhD&#10;RU9QK+EF26L+B6rVEsFB5UcS2mQgEhUhFuP0kTb3tbAqciGpnT2J7v4frHy7e49MlwWfZzR4I1oa&#10;+eH7t8OPX4efX9k4nc+CRp11OaXeW0r2/UvoyTmRr7N3ID85ZuCmFmajrhGhq5UoqcdxeJmcPR1w&#10;XABZd2+gpFJi6yEC9RW2QUCShBE6zWd/mo/qPZN0mWUXlxlFJIVmaZbO4vwSkT88tuj8KwUtC5uC&#10;I40/govdnfOhGZE/pIRaBm5100QLNOavC0ocblT00PF1oBK6H3j4ft0fpVlDuSdSCIO/6HfRpgb8&#10;wllH3iq4+7wVqDhrXhsS5nI8nQYzxsP0IpvQAc8j6/OIMJKgCu45G7Y3fjDw1qLe1FRpGIWBaxKz&#10;0pFoaHXo6jgC8k/kf/R6MOj5OWb9+d/L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8eDv7WAAAA&#10;CAEAAA8AAAAAAAAAAQAgAAAAIgAAAGRycy9kb3ducmV2LnhtbFBLAQIUABQAAAAIAIdO4kCxBa3O&#10;HwIAACcEAAAOAAAAAAAAAAEAIAAAACUBAABkcnMvZTJvRG9jLnhtbFBLBQYAAAAABgAGAFkBAAC2&#10;BQAAAAA=&#10;">
                <v:fill on="f" focussize="0,0"/>
                <v:stroke on="f"/>
                <v:imagedata o:title=""/>
                <o:lock v:ext="edit" aspectratio="f"/>
                <v:textbox>
                  <w:txbxContent>
                    <w:p w14:paraId="5C16854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不可抗力解除的支付</w:t>
                      </w:r>
                    </w:p>
                  </w:txbxContent>
                </v:textbox>
              </v:shape>
            </w:pict>
          </mc:Fallback>
        </mc:AlternateContent>
      </w:r>
      <w:r>
        <w:rPr>
          <w:rFonts w:hint="eastAsia" w:ascii="仿宋" w:hAnsi="仿宋" w:eastAsia="仿宋" w:cs="仿宋"/>
          <w:color w:val="auto"/>
          <w:sz w:val="24"/>
          <w:szCs w:val="24"/>
          <w:highlight w:val="none"/>
          <w:lang w:eastAsia="zh-CN"/>
        </w:rPr>
        <w:t>根据第92</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款约定解除合同的，发包人应向承包人支付合同解除之日前已完成工程但尚未支付的工程款。此外，发包人还应支付下列款项：</w:t>
      </w:r>
    </w:p>
    <w:p w14:paraId="68F5F7D8">
      <w:pPr>
        <w:pStyle w:val="2"/>
        <w:widowControl w:val="0"/>
        <w:numPr>
          <w:ilvl w:val="0"/>
          <w:numId w:val="31"/>
        </w:numPr>
        <w:adjustRightInd w:val="0"/>
        <w:snapToGrid w:val="0"/>
        <w:spacing w:line="360" w:lineRule="auto"/>
        <w:ind w:left="2327" w:leftChars="771" w:hanging="477" w:hangingChars="199"/>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已实施或部分实施的措施项目应付款项；</w:t>
      </w:r>
    </w:p>
    <w:p w14:paraId="70EA7349">
      <w:pPr>
        <w:pStyle w:val="2"/>
        <w:widowControl w:val="0"/>
        <w:numPr>
          <w:ilvl w:val="0"/>
          <w:numId w:val="31"/>
        </w:numPr>
        <w:adjustRightInd w:val="0"/>
        <w:snapToGrid w:val="0"/>
        <w:spacing w:line="360" w:lineRule="auto"/>
        <w:ind w:left="1849" w:leftChars="770" w:hanging="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承包人为合同工程合理订购且已交付的工程材料和工程设备货款。发包人一经支付此项货款，该工程材料和工程设备即成为发包人的财产；</w:t>
      </w:r>
    </w:p>
    <w:p w14:paraId="13257424">
      <w:pPr>
        <w:pStyle w:val="2"/>
        <w:widowControl w:val="0"/>
        <w:numPr>
          <w:ilvl w:val="0"/>
          <w:numId w:val="31"/>
        </w:numPr>
        <w:adjustRightInd w:val="0"/>
        <w:snapToGrid w:val="0"/>
        <w:spacing w:line="360" w:lineRule="auto"/>
        <w:ind w:left="1849" w:leftChars="770" w:hanging="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承包人为完成合同工程而预期开支的任何合理款项，且该项款项未包括在本款其他各项支付之内；</w:t>
      </w:r>
    </w:p>
    <w:p w14:paraId="52F18C22">
      <w:pPr>
        <w:pStyle w:val="2"/>
        <w:widowControl w:val="0"/>
        <w:numPr>
          <w:ilvl w:val="0"/>
          <w:numId w:val="31"/>
        </w:numPr>
        <w:adjustRightInd w:val="0"/>
        <w:snapToGrid w:val="0"/>
        <w:spacing w:line="360" w:lineRule="auto"/>
        <w:ind w:left="2327" w:leftChars="771" w:hanging="477" w:hangingChars="199"/>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5</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款约定的任何工作应支付的款项；</w:t>
      </w:r>
    </w:p>
    <w:p w14:paraId="1C0008B5">
      <w:pPr>
        <w:pStyle w:val="2"/>
        <w:widowControl w:val="0"/>
        <w:numPr>
          <w:ilvl w:val="0"/>
          <w:numId w:val="31"/>
        </w:numPr>
        <w:tabs>
          <w:tab w:val="left" w:pos="1980"/>
        </w:tabs>
        <w:adjustRightInd w:val="0"/>
        <w:snapToGrid w:val="0"/>
        <w:spacing w:line="360" w:lineRule="auto"/>
        <w:ind w:left="1849" w:leftChars="770" w:hanging="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根据第92</w:t>
      </w:r>
      <w:r>
        <w:rPr>
          <w:rFonts w:ascii="仿宋" w:hAnsi="仿宋" w:eastAsia="仿宋" w:cs="仿宋"/>
          <w:color w:val="auto"/>
          <w:sz w:val="24"/>
          <w:szCs w:val="24"/>
          <w:highlight w:val="none"/>
          <w:lang w:eastAsia="zh-CN"/>
        </w:rPr>
        <w:t>.6</w:t>
      </w:r>
      <w:r>
        <w:rPr>
          <w:rFonts w:hint="eastAsia" w:ascii="仿宋" w:hAnsi="仿宋" w:eastAsia="仿宋" w:cs="仿宋"/>
          <w:color w:val="auto"/>
          <w:sz w:val="24"/>
          <w:szCs w:val="24"/>
          <w:highlight w:val="none"/>
          <w:lang w:eastAsia="zh-CN"/>
        </w:rPr>
        <w:t>款约定承包人撤离现场所需的合理款项，包括雇员遣散费和临时工程拆除、施工设备运离现场的款项。</w:t>
      </w:r>
    </w:p>
    <w:p w14:paraId="5DD7C990">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合同双方当事人按照第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7条、第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8条约定办理结算工程款，但应扣除合同解除之日前发包人向承包人收回的任何款项。如果发包人应扣除的款项超过了应支付的款项，则承包人应在合同解除后的</w:t>
      </w:r>
      <w:r>
        <w:rPr>
          <w:rFonts w:ascii="仿宋" w:hAnsi="仿宋" w:eastAsia="仿宋" w:cs="仿宋"/>
          <w:color w:val="auto"/>
          <w:sz w:val="24"/>
          <w:szCs w:val="24"/>
          <w:highlight w:val="none"/>
          <w:lang w:eastAsia="zh-CN"/>
        </w:rPr>
        <w:t>56</w:t>
      </w:r>
      <w:r>
        <w:rPr>
          <w:rFonts w:hint="eastAsia" w:ascii="仿宋" w:hAnsi="仿宋" w:eastAsia="仿宋" w:cs="仿宋"/>
          <w:color w:val="auto"/>
          <w:sz w:val="24"/>
          <w:szCs w:val="24"/>
          <w:highlight w:val="none"/>
          <w:lang w:eastAsia="zh-CN"/>
        </w:rPr>
        <w:t>天内将其差额退还给发包人。</w:t>
      </w:r>
    </w:p>
    <w:p w14:paraId="696BC21E">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93</w:t>
      </w:r>
      <w:r>
        <w:rPr>
          <w:rFonts w:ascii="仿宋" w:hAnsi="仿宋" w:eastAsia="仿宋" w:cs="仿宋"/>
          <w:b/>
          <w:bCs/>
          <w:color w:val="auto"/>
          <w:sz w:val="24"/>
          <w:szCs w:val="24"/>
          <w:highlight w:val="none"/>
          <w:lang w:eastAsia="zh-CN"/>
        </w:rPr>
        <w:t xml:space="preserve">.3  </w:t>
      </w:r>
    </w:p>
    <w:p w14:paraId="08E2E55B">
      <w:pPr>
        <w:pStyle w:val="2"/>
        <w:widowControl w:val="0"/>
        <w:adjustRightInd w:val="0"/>
        <w:snapToGrid w:val="0"/>
        <w:spacing w:line="360" w:lineRule="auto"/>
        <w:ind w:left="1850" w:leftChars="771"/>
        <w:jc w:val="both"/>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52128" behindDoc="0" locked="0" layoutInCell="1" allowOverlap="1">
                <wp:simplePos x="0" y="0"/>
                <wp:positionH relativeFrom="column">
                  <wp:posOffset>-114300</wp:posOffset>
                </wp:positionH>
                <wp:positionV relativeFrom="paragraph">
                  <wp:posOffset>49530</wp:posOffset>
                </wp:positionV>
                <wp:extent cx="765810" cy="560070"/>
                <wp:effectExtent l="0" t="0" r="0" b="0"/>
                <wp:wrapNone/>
                <wp:docPr id="879" name="文本框 1087"/>
                <wp:cNvGraphicFramePr/>
                <a:graphic xmlns:a="http://schemas.openxmlformats.org/drawingml/2006/main">
                  <a:graphicData uri="http://schemas.microsoft.com/office/word/2010/wordprocessingShape">
                    <wps:wsp>
                      <wps:cNvSpPr txBox="1">
                        <a:spLocks noChangeArrowheads="1"/>
                      </wps:cNvSpPr>
                      <wps:spPr bwMode="auto">
                        <a:xfrm>
                          <a:off x="0" y="0"/>
                          <a:ext cx="765810" cy="560070"/>
                        </a:xfrm>
                        <a:prstGeom prst="rect">
                          <a:avLst/>
                        </a:prstGeom>
                        <a:noFill/>
                        <a:ln>
                          <a:noFill/>
                        </a:ln>
                        <a:effectLst/>
                      </wps:spPr>
                      <wps:txbx>
                        <w:txbxContent>
                          <w:p w14:paraId="596CC62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因承包人的原因解除的支付</w:t>
                            </w:r>
                          </w:p>
                        </w:txbxContent>
                      </wps:txbx>
                      <wps:bodyPr rot="0" vert="horz" wrap="square" lIns="91440" tIns="45720" rIns="91440" bIns="45720" anchor="t" anchorCtr="0" upright="1">
                        <a:noAutofit/>
                      </wps:bodyPr>
                    </wps:wsp>
                  </a:graphicData>
                </a:graphic>
              </wp:anchor>
            </w:drawing>
          </mc:Choice>
          <mc:Fallback>
            <w:pict>
              <v:shape id="文本框 1087" o:spid="_x0000_s1026" o:spt="202" type="#_x0000_t202" style="position:absolute;left:0pt;margin-left:-9pt;margin-top:3.9pt;height:44.1pt;width:60.3pt;z-index:251952128;mso-width-relative:page;mso-height-relative:page;" filled="f" stroked="f" coordsize="21600,21600" o:gfxdata="UEsDBAoAAAAAAIdO4kAAAAAAAAAAAAAAAAAEAAAAZHJzL1BLAwQUAAAACACHTuJAB8zKZ9UAAAAI&#10;AQAADwAAAGRycy9kb3ducmV2LnhtbE2Py07DMBBF90j8gzVI7Fo7FYQ2ZNIFiC2I8pDYufE0iYjH&#10;Uew24e+ZrmA5uqN7zym3s+/VicbYBUbIlgYUcR1cxw3C+9vTYg0qJsvO9oEJ4YcibKvLi9IWLkz8&#10;SqddapSUcCwsQpvSUGgd65a8jcswEEt2CKO3Sc6x0W60k5T7Xq+MybW3HctCawd6aKn+3h09wsfz&#10;4evzxrw0j/52mMJsNPuNRry+ysw9qERz+nuGM76gQyVM+3BkF1WPsMjW4pIQ7sTgnJtVDmqPsMkN&#10;6KrU/wWqX1BLAwQUAAAACACHTuJARbxekh8CAAAnBAAADgAAAGRycy9lMm9Eb2MueG1srVNLbtsw&#10;EN0X6B0I7mtJhn8RLAdpjBQF0g+Q9gA0RVlEJQ47pC2lB2hv0FU33fdcPkeHlOO66SaLbgiSM3wz&#10;783j8rJvG7ZX6DSYgmejlDNlJJTabAv+8cPNiwVnzgtTigaMKvi9cvxy9fzZsrO5GkMNTamQEYhx&#10;eWcLXntv8yRxslatcCOwylCwAmyFpyNukxJFR+htk4zTdJZ0gKVFkMo5ul0PQX5ExKcAQlVpqdYg&#10;d60yfkBF1QhPlFytreOr2G1VKenfVZVTnjUFJ6Y+rlSE9puwJqulyLcobK3lsQXxlBYecWqFNlT0&#10;BLUWXrAd6n+gWi0RHFR+JKFNBiJREWKRpY+0uauFVZELSe3sSXT3/2Dl2/17ZLos+GJ+wZkRLY38&#10;8P3b4cevw8+vLEsX86BRZ11OqXeWkn3/EnpyTuTr7C3IT44ZuK6F2aorROhqJUrqMQsvk7OnA44L&#10;IJvuDZRUSuw8RKC+wjYISJIwQqf53J/mo3rPJF3OZ9NFRhFJoeksTedxfonIHx5bdP6VgpaFTcGR&#10;xh/Bxf7W+dCMyB9SQi0DN7ppogUa89cFJQ43Knro+DpQCd0PPHy/6Y/SbKC8J1IIg7/od9GmBvzC&#10;WUfeKrj7vBOoOGteGxLmIptMghnjYTKdj+mA55HNeUQYSVAF95wN22s/GHhnUW9rqjSMwsAViVnp&#10;SDS0OnR1HAH5J/I/ej0Y9Pwcs/7879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8zKZ9UAAAAI&#10;AQAADwAAAAAAAAABACAAAAAiAAAAZHJzL2Rvd25yZXYueG1sUEsBAhQAFAAAAAgAh07iQEW8XpIf&#10;AgAAJwQAAA4AAAAAAAAAAQAgAAAAJAEAAGRycy9lMm9Eb2MueG1sUEsFBgAAAAAGAAYAWQEAALUF&#10;AAAAAA==&#10;">
                <v:fill on="f" focussize="0,0"/>
                <v:stroke on="f"/>
                <v:imagedata o:title=""/>
                <o:lock v:ext="edit" aspectratio="f"/>
                <v:textbox>
                  <w:txbxContent>
                    <w:p w14:paraId="596CC62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因承包人的原因解除的支付</w:t>
                      </w:r>
                    </w:p>
                  </w:txbxContent>
                </v:textbox>
              </v:shape>
            </w:pict>
          </mc:Fallback>
        </mc:AlternateContent>
      </w:r>
      <w:r>
        <w:rPr>
          <w:rFonts w:hint="eastAsia" w:ascii="仿宋" w:hAnsi="仿宋" w:eastAsia="仿宋" w:cs="仿宋"/>
          <w:color w:val="auto"/>
          <w:sz w:val="24"/>
          <w:szCs w:val="24"/>
          <w:highlight w:val="none"/>
          <w:lang w:eastAsia="zh-CN"/>
        </w:rPr>
        <w:t>根据第92</w:t>
      </w:r>
      <w:r>
        <w:rPr>
          <w:rFonts w:ascii="仿宋" w:hAnsi="仿宋" w:eastAsia="仿宋" w:cs="仿宋"/>
          <w:color w:val="auto"/>
          <w:sz w:val="24"/>
          <w:szCs w:val="24"/>
          <w:highlight w:val="none"/>
          <w:lang w:eastAsia="zh-CN"/>
        </w:rPr>
        <w:t>.3</w:t>
      </w:r>
      <w:r>
        <w:rPr>
          <w:rFonts w:hint="eastAsia" w:ascii="仿宋" w:hAnsi="仿宋" w:eastAsia="仿宋" w:cs="仿宋"/>
          <w:color w:val="auto"/>
          <w:sz w:val="24"/>
          <w:szCs w:val="24"/>
          <w:highlight w:val="none"/>
          <w:lang w:eastAsia="zh-CN"/>
        </w:rPr>
        <w:t>款约定解除合同的，发包人暂停向承包人支付任何款项，造价咨询人应在合同解除后</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核实合同解除时承包人已完成的全部工程款以及已运至现场的工程材料和工程设备货款，并扣除误期赔偿费（如果有）和发包人已支付给承包人的各项款项，同时将结果通知承包人并抄报发包人。合同双方当事人应在收到核实结果后的</w:t>
      </w:r>
      <w:r>
        <w:rPr>
          <w:rFonts w:ascii="仿宋" w:hAnsi="仿宋" w:eastAsia="仿宋" w:cs="仿宋"/>
          <w:color w:val="auto"/>
          <w:sz w:val="24"/>
          <w:szCs w:val="24"/>
          <w:highlight w:val="none"/>
          <w:lang w:eastAsia="zh-CN"/>
        </w:rPr>
        <w:t>28</w:t>
      </w:r>
      <w:r>
        <w:rPr>
          <w:rFonts w:hint="eastAsia" w:ascii="仿宋" w:hAnsi="仿宋" w:eastAsia="仿宋" w:cs="仿宋"/>
          <w:color w:val="auto"/>
          <w:sz w:val="24"/>
          <w:szCs w:val="24"/>
          <w:highlight w:val="none"/>
          <w:lang w:eastAsia="zh-CN"/>
        </w:rPr>
        <w:t>天内予以确认或提出意见，并按照第</w:t>
      </w:r>
      <w:r>
        <w:rPr>
          <w:rFonts w:ascii="仿宋" w:hAnsi="仿宋" w:eastAsia="仿宋" w:cs="仿宋"/>
          <w:color w:val="auto"/>
          <w:sz w:val="24"/>
          <w:szCs w:val="24"/>
          <w:highlight w:val="none"/>
          <w:lang w:eastAsia="zh-CN"/>
        </w:rPr>
        <w:t>8</w:t>
      </w:r>
      <w:r>
        <w:rPr>
          <w:rFonts w:hint="eastAsia" w:ascii="仿宋" w:hAnsi="仿宋" w:eastAsia="仿宋" w:cs="仿宋"/>
          <w:color w:val="auto"/>
          <w:sz w:val="24"/>
          <w:szCs w:val="24"/>
          <w:highlight w:val="none"/>
          <w:lang w:eastAsia="zh-CN"/>
        </w:rPr>
        <w:t>7</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款约定办理工程款结算。如果发包人应扣除的款项超过了应支付的款项，则承包人应在合同解除后的</w:t>
      </w:r>
      <w:r>
        <w:rPr>
          <w:rFonts w:ascii="仿宋" w:hAnsi="仿宋" w:eastAsia="仿宋" w:cs="仿宋"/>
          <w:color w:val="auto"/>
          <w:sz w:val="24"/>
          <w:szCs w:val="24"/>
          <w:highlight w:val="none"/>
          <w:lang w:eastAsia="zh-CN"/>
        </w:rPr>
        <w:t>56</w:t>
      </w:r>
      <w:r>
        <w:rPr>
          <w:rFonts w:hint="eastAsia" w:ascii="仿宋" w:hAnsi="仿宋" w:eastAsia="仿宋" w:cs="仿宋"/>
          <w:color w:val="auto"/>
          <w:sz w:val="24"/>
          <w:szCs w:val="24"/>
          <w:highlight w:val="none"/>
          <w:lang w:eastAsia="zh-CN"/>
        </w:rPr>
        <w:t>天内将其差额退还给发包人。</w:t>
      </w:r>
    </w:p>
    <w:p w14:paraId="57BF70AE">
      <w:pPr>
        <w:spacing w:line="360" w:lineRule="auto"/>
        <w:rPr>
          <w:rFonts w:hint="eastAsia" w:ascii="仿宋" w:hAnsi="仿宋" w:eastAsia="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2070912" behindDoc="0" locked="0" layoutInCell="1" allowOverlap="1">
                <wp:simplePos x="0" y="0"/>
                <wp:positionH relativeFrom="column">
                  <wp:posOffset>-114300</wp:posOffset>
                </wp:positionH>
                <wp:positionV relativeFrom="paragraph">
                  <wp:posOffset>259715</wp:posOffset>
                </wp:positionV>
                <wp:extent cx="775970" cy="569595"/>
                <wp:effectExtent l="0" t="0" r="0" b="0"/>
                <wp:wrapNone/>
                <wp:docPr id="880" name="文本框 1088"/>
                <wp:cNvGraphicFramePr/>
                <a:graphic xmlns:a="http://schemas.openxmlformats.org/drawingml/2006/main">
                  <a:graphicData uri="http://schemas.microsoft.com/office/word/2010/wordprocessingShape">
                    <wps:wsp>
                      <wps:cNvSpPr txBox="1">
                        <a:spLocks noChangeArrowheads="1"/>
                      </wps:cNvSpPr>
                      <wps:spPr bwMode="auto">
                        <a:xfrm>
                          <a:off x="0" y="0"/>
                          <a:ext cx="775970" cy="569595"/>
                        </a:xfrm>
                        <a:prstGeom prst="rect">
                          <a:avLst/>
                        </a:prstGeom>
                        <a:noFill/>
                        <a:ln>
                          <a:noFill/>
                        </a:ln>
                        <a:effectLst/>
                      </wps:spPr>
                      <wps:txbx>
                        <w:txbxContent>
                          <w:p w14:paraId="021B7A1F">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因发包人的原因解除的支付</w:t>
                            </w:r>
                          </w:p>
                        </w:txbxContent>
                      </wps:txbx>
                      <wps:bodyPr rot="0" vert="horz" wrap="square" lIns="91440" tIns="45720" rIns="91440" bIns="45720" anchor="t" anchorCtr="0" upright="1">
                        <a:noAutofit/>
                      </wps:bodyPr>
                    </wps:wsp>
                  </a:graphicData>
                </a:graphic>
              </wp:anchor>
            </w:drawing>
          </mc:Choice>
          <mc:Fallback>
            <w:pict>
              <v:shape id="文本框 1088" o:spid="_x0000_s1026" o:spt="202" type="#_x0000_t202" style="position:absolute;left:0pt;margin-left:-9pt;margin-top:20.45pt;height:44.85pt;width:61.1pt;z-index:252070912;mso-width-relative:page;mso-height-relative:page;" filled="f" stroked="f" coordsize="21600,21600" o:gfxdata="UEsDBAoAAAAAAIdO4kAAAAAAAAAAAAAAAAAEAAAAZHJzL1BLAwQUAAAACACHTuJArz6J4dcAAAAK&#10;AQAADwAAAGRycy9kb3ducmV2LnhtbE2PwW7CMBBE75X4B2uRegM7NEUQsuHQqtdWQFupNxMvSUS8&#10;jmJD0r/HnNrbrGY0+ybfjrYVV+p94xghmSsQxKUzDVcIn4e32QqED5qNbh0Twi952BaTh1xnxg28&#10;o+s+VCKWsM80Qh1Cl0npy5qs9nPXEUfv5HqrQzz7SppeD7HctnKh1FJa3XD8UOuOXmoqz/uLRfh6&#10;P/18p+qjerXP3eBGJdmuJeLjNFEbEIHG8BeGO35EhyIyHd2FjRctwixZxS0BIVVrEPeAShcgjlE8&#10;qSXIIpf/JxQ3UEsDBBQAAAAIAIdO4kCwc7ZhIAIAACcEAAAOAAAAZHJzL2Uyb0RvYy54bWytU0tu&#10;2zAQ3RfoHQjua9mGHduC5SCNkaJA+gGSHoCmKIuoxGGHtCX3AO0Nuuqm+57L58iQUlw33WTRDUFy&#10;hm/eezNcXrZ1xfYKnQaT8dFgyJkyEnJtthn/dH/zas6Z88LkogKjMn5Qjl+uXr5YNjZVYyihyhUy&#10;AjEubWzGS+9tmiROlqoWbgBWGQoWgLXwdMRtkqNoCL2ukvFweJE0gLlFkMo5ul13Qd4j4nMAoSi0&#10;VGuQu1oZ36GiqoQnSa7U1vFVZFsUSvoPReGUZ1XGSamPKxWh/SasyWop0i0KW2rZUxDPofBEUy20&#10;oaInqLXwgu1Q/wNVa4ngoPADCXXSCYmOkIrR8Ik3d6WwKmohq509me7+H6x8v/+ITOcZn8/JEyNq&#10;avnxx/fjz9/HX9/YaDifB48a61JKvbOU7NvX0NLkRL3O3oL87JiB61KYrbpChKZUIieOo/AyOXva&#10;4bgAsmneQU6lxM5DBGoLrIOBZAkjdOJyOPVHtZ5JupzNposZRSSFpheL6WIaK4j08bFF598oqFnY&#10;ZByp/RFc7G+dD2RE+pgSahm40VUVR6Ayf11QYnej4gz1r4OUwL7T4dtN21uzgfxAohC6+aLfRZsS&#10;8CtnDc1Wxt2XnUDFWfXWkDGL0WRCMnw8TKazMR3wPLI5jwgjCSrjnrNue+27Ad5Z1NuSKnWtMHBF&#10;ZhY6Cg1UO1Z9C2h+ov5+1sOAnp9j1p//vXo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rz6J4dcA&#10;AAAKAQAADwAAAAAAAAABACAAAAAiAAAAZHJzL2Rvd25yZXYueG1sUEsBAhQAFAAAAAgAh07iQLBz&#10;tmEgAgAAJwQAAA4AAAAAAAAAAQAgAAAAJgEAAGRycy9lMm9Eb2MueG1sUEsFBgAAAAAGAAYAWQEA&#10;ALgFAAAAAA==&#10;">
                <v:fill on="f" focussize="0,0"/>
                <v:stroke on="f"/>
                <v:imagedata o:title=""/>
                <o:lock v:ext="edit" aspectratio="f"/>
                <v:textbox>
                  <w:txbxContent>
                    <w:p w14:paraId="021B7A1F">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因发包人的原因解除的支付</w:t>
                      </w:r>
                    </w:p>
                  </w:txbxContent>
                </v:textbox>
              </v:shape>
            </w:pict>
          </mc:Fallback>
        </mc:AlternateContent>
      </w:r>
      <w:r>
        <w:rPr>
          <w:rFonts w:hint="eastAsia" w:ascii="仿宋" w:hAnsi="仿宋" w:eastAsia="仿宋" w:cs="仿宋"/>
          <w:b/>
          <w:bCs/>
          <w:color w:val="auto"/>
          <w:highlight w:val="none"/>
          <w:lang w:eastAsia="zh-CN"/>
        </w:rPr>
        <w:t>93</w:t>
      </w:r>
      <w:r>
        <w:rPr>
          <w:rFonts w:ascii="仿宋" w:hAnsi="仿宋" w:eastAsia="仿宋" w:cs="仿宋"/>
          <w:b/>
          <w:bCs/>
          <w:color w:val="auto"/>
          <w:highlight w:val="none"/>
          <w:lang w:eastAsia="zh-CN"/>
        </w:rPr>
        <w:t>.4</w:t>
      </w:r>
    </w:p>
    <w:p w14:paraId="0F9B09CE">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根据第92</w:t>
      </w:r>
      <w:r>
        <w:rPr>
          <w:rFonts w:ascii="仿宋" w:hAnsi="仿宋" w:eastAsia="仿宋" w:cs="仿宋"/>
          <w:color w:val="auto"/>
          <w:sz w:val="24"/>
          <w:szCs w:val="24"/>
          <w:highlight w:val="none"/>
          <w:lang w:eastAsia="zh-CN"/>
        </w:rPr>
        <w:t>.4</w:t>
      </w:r>
      <w:r>
        <w:rPr>
          <w:rFonts w:hint="eastAsia" w:ascii="仿宋" w:hAnsi="仿宋" w:eastAsia="仿宋" w:cs="仿宋"/>
          <w:color w:val="auto"/>
          <w:sz w:val="24"/>
          <w:szCs w:val="24"/>
          <w:highlight w:val="none"/>
          <w:lang w:eastAsia="zh-CN"/>
        </w:rPr>
        <w:t>款约定解除合同的，发包人除应按照第93</w:t>
      </w:r>
      <w:r>
        <w:rPr>
          <w:rFonts w:ascii="仿宋" w:hAnsi="仿宋" w:eastAsia="仿宋" w:cs="仿宋"/>
          <w:color w:val="auto"/>
          <w:sz w:val="24"/>
          <w:szCs w:val="24"/>
          <w:highlight w:val="none"/>
          <w:lang w:eastAsia="zh-CN"/>
        </w:rPr>
        <w:t>.2</w:t>
      </w:r>
      <w:r>
        <w:rPr>
          <w:rFonts w:hint="eastAsia" w:ascii="仿宋" w:hAnsi="仿宋" w:eastAsia="仿宋" w:cs="仿宋"/>
          <w:color w:val="auto"/>
          <w:sz w:val="24"/>
          <w:szCs w:val="24"/>
          <w:highlight w:val="none"/>
          <w:lang w:eastAsia="zh-CN"/>
        </w:rPr>
        <w:t>款约定向承包人支付各项款项外，还应支付给承包人由于解除合同而引起的损失或损害的款项。该笔款项由承包人提出，造价咨询人核实后与合同双方当事人协商确定，并在确定后的</w:t>
      </w:r>
      <w:r>
        <w:rPr>
          <w:rFonts w:ascii="仿宋" w:hAnsi="仿宋" w:eastAsia="仿宋" w:cs="仿宋"/>
          <w:color w:val="auto"/>
          <w:sz w:val="24"/>
          <w:szCs w:val="24"/>
          <w:highlight w:val="none"/>
          <w:lang w:eastAsia="zh-CN"/>
        </w:rPr>
        <w:t>7</w:t>
      </w:r>
      <w:r>
        <w:rPr>
          <w:rFonts w:hint="eastAsia" w:ascii="仿宋" w:hAnsi="仿宋" w:eastAsia="仿宋" w:cs="仿宋"/>
          <w:color w:val="auto"/>
          <w:sz w:val="24"/>
          <w:szCs w:val="24"/>
          <w:highlight w:val="none"/>
          <w:lang w:eastAsia="zh-CN"/>
        </w:rPr>
        <w:t>天内由造价咨询人向发包人签发支付证书，抄送承包人。协商不能达成一致的，按照第91条约定处理。</w:t>
      </w:r>
    </w:p>
    <w:p w14:paraId="61810733">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34EED721">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94" w:name="_Toc10191"/>
      <w:r>
        <w:rPr>
          <w:rFonts w:hint="eastAsia" w:ascii="仿宋" w:hAnsi="仿宋" w:eastAsia="仿宋" w:cs="仿宋"/>
          <w:bCs w:val="0"/>
          <w:color w:val="auto"/>
          <w:sz w:val="24"/>
          <w:szCs w:val="24"/>
          <w:highlight w:val="none"/>
          <w:lang w:eastAsia="zh-CN"/>
        </w:rPr>
        <w:t>94合同终止</w:t>
      </w:r>
      <w:bookmarkEnd w:id="394"/>
    </w:p>
    <w:p w14:paraId="5049A750">
      <w:pPr>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94</w:t>
      </w:r>
      <w:r>
        <w:rPr>
          <w:rFonts w:ascii="仿宋" w:hAnsi="仿宋" w:eastAsia="仿宋" w:cs="仿宋"/>
          <w:b/>
          <w:bCs/>
          <w:color w:val="auto"/>
          <w:highlight w:val="none"/>
          <w:lang w:eastAsia="zh-CN"/>
        </w:rPr>
        <w:t>.1</w:t>
      </w:r>
    </w:p>
    <w:p w14:paraId="6C4FC915">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53152" behindDoc="0" locked="0" layoutInCell="1" allowOverlap="1">
                <wp:simplePos x="0" y="0"/>
                <wp:positionH relativeFrom="column">
                  <wp:posOffset>-114300</wp:posOffset>
                </wp:positionH>
                <wp:positionV relativeFrom="paragraph">
                  <wp:posOffset>15875</wp:posOffset>
                </wp:positionV>
                <wp:extent cx="832485" cy="440055"/>
                <wp:effectExtent l="0" t="0" r="0" b="0"/>
                <wp:wrapNone/>
                <wp:docPr id="881" name="文本框 1089"/>
                <wp:cNvGraphicFramePr/>
                <a:graphic xmlns:a="http://schemas.openxmlformats.org/drawingml/2006/main">
                  <a:graphicData uri="http://schemas.microsoft.com/office/word/2010/wordprocessingShape">
                    <wps:wsp>
                      <wps:cNvSpPr txBox="1">
                        <a:spLocks noChangeArrowheads="1"/>
                      </wps:cNvSpPr>
                      <wps:spPr bwMode="auto">
                        <a:xfrm>
                          <a:off x="0" y="0"/>
                          <a:ext cx="832485" cy="440055"/>
                        </a:xfrm>
                        <a:prstGeom prst="rect">
                          <a:avLst/>
                        </a:prstGeom>
                        <a:noFill/>
                        <a:ln>
                          <a:noFill/>
                        </a:ln>
                        <a:effectLst/>
                      </wps:spPr>
                      <wps:txbx>
                        <w:txbxContent>
                          <w:p w14:paraId="13345F9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合同解除后的终止</w:t>
                            </w:r>
                          </w:p>
                        </w:txbxContent>
                      </wps:txbx>
                      <wps:bodyPr rot="0" vert="horz" wrap="square" lIns="91440" tIns="45720" rIns="91440" bIns="45720" anchor="t" anchorCtr="0" upright="1">
                        <a:noAutofit/>
                      </wps:bodyPr>
                    </wps:wsp>
                  </a:graphicData>
                </a:graphic>
              </wp:anchor>
            </w:drawing>
          </mc:Choice>
          <mc:Fallback>
            <w:pict>
              <v:shape id="文本框 1089" o:spid="_x0000_s1026" o:spt="202" type="#_x0000_t202" style="position:absolute;left:0pt;margin-left:-9pt;margin-top:1.25pt;height:34.65pt;width:65.55pt;z-index:251953152;mso-width-relative:page;mso-height-relative:page;" filled="f" stroked="f" coordsize="21600,21600" o:gfxdata="UEsDBAoAAAAAAIdO4kAAAAAAAAAAAAAAAAAEAAAAZHJzL1BLAwQUAAAACACHTuJAkmWk39YAAAAI&#10;AQAADwAAAGRycy9kb3ducmV2LnhtbE2PzU7DMBCE75V4B2srcWttFwohZNMDiCuo5Ufi5sbbJGq8&#10;jmK3CW+Pe4LjaEYz3xSbyXXiTENoPSPopQJBXHnbco3w8f6yyECEaNiazjMh/FCATXk1K0xu/chb&#10;Ou9iLVIJh9wgNDH2uZShasiZsPQ9cfIOfnAmJjnU0g5mTOWukyul7qQzLaeFxvT01FB13J0cwufr&#10;4fvrVr3Vz27dj35Skt2DRLyea/UIItIU/8JwwU/oUCamvT+xDaJDWOgsfYkIqzWIi69vNIg9wr3O&#10;QJaF/H+g/AVQSwMEFAAAAAgAh07iQH1Wu6wgAgAAJwQAAA4AAABkcnMvZTJvRG9jLnhtbK1TzY7T&#10;MBC+I/EOlu80aWkhGzVdLVstQlp+pIUHcB2nsUg8Zuw2WR6AfQNOXLjzXH0Oxk62lOWyBy6W7Rl/&#10;M983n5fnfduwvUKnwRR8Okk5U0ZCqc224J8+Xj3LOHNemFI0YFTBb5Xj56unT5adzdUMamhKhYxA&#10;jMs7W/Dae5sniZO1aoWbgFWGghVgKzwdcZuUKDpCb5tklqYvkg6wtAhSOUe36yHIR0R8DCBUlZZq&#10;DXLXKuMHVFSN8ETJ1do6vordVpWS/n1VOeVZU3Bi6uNKRWi/CWuyWop8i8LWWo4tiMe08IBTK7Sh&#10;okeotfCC7VD/A9VqieCg8hMJbTIQiYoQi2n6QJubWlgVuZDUzh5Fd/8PVr7bf0Cmy4Jn2ZQzI1oa&#10;+eH73eHHr8PPb2yaZmdBo866nFJvLCX7/hX05JzI19lrkJ8dM3BZC7NVF4jQ1UqU1OM0vExOng44&#10;LoBsurdQUimx8xCB+grbICBJwgid5nN7nI/qPZN0mT2fzbMFZ5JC83maLhaxgsjvH1t0/rWCloVN&#10;wZHGH8HF/tr50IzI71NCLQNXummiBRrz1wUlDjcqemh8HaiE7gcevt/0ozQbKG+JFMLgL/pdtKkB&#10;v3LWkbcK7r7sBCrOmjeGhDmbUvdkxniYL17O6ICnkc1pRBhJUAX3nA3bSz8YeGdRb2uqNIzCwAWJ&#10;WelINLQ6dDWOgPwT+Y9eDwY9PcesP/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SZaTf1gAA&#10;AAgBAAAPAAAAAAAAAAEAIAAAACIAAABkcnMvZG93bnJldi54bWxQSwECFAAUAAAACACHTuJAfVa7&#10;rCACAAAnBAAADgAAAAAAAAABACAAAAAlAQAAZHJzL2Uyb0RvYy54bWxQSwUGAAAAAAYABgBZAQAA&#10;twUAAAAA&#10;">
                <v:fill on="f" focussize="0,0"/>
                <v:stroke on="f"/>
                <v:imagedata o:title=""/>
                <o:lock v:ext="edit" aspectratio="f"/>
                <v:textbox>
                  <w:txbxContent>
                    <w:p w14:paraId="13345F9B">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合同解除后的终止</w:t>
                      </w:r>
                    </w:p>
                  </w:txbxContent>
                </v:textbox>
              </v:shape>
            </w:pict>
          </mc:Fallback>
        </mc:AlternateContent>
      </w:r>
      <w:r>
        <w:rPr>
          <w:rFonts w:hint="eastAsia" w:ascii="仿宋" w:hAnsi="仿宋" w:eastAsia="仿宋" w:cs="仿宋"/>
          <w:color w:val="auto"/>
          <w:sz w:val="24"/>
          <w:szCs w:val="24"/>
          <w:highlight w:val="none"/>
          <w:lang w:eastAsia="zh-CN"/>
        </w:rPr>
        <w:t>合同解除后，除合同双方当事人享有第91条至第93条约定的权利外，本合同的权利</w:t>
      </w:r>
      <w:r>
        <w:rPr>
          <w:rFonts w:ascii="仿宋" w:hAnsi="仿宋" w:eastAsia="仿宋" w:cs="仿宋"/>
          <w:color w:val="auto"/>
          <w:sz w:val="24"/>
          <w:szCs w:val="24"/>
          <w:highlight w:val="none"/>
          <w:lang w:eastAsia="zh-CN"/>
        </w:rPr>
        <w:t>义务</w:t>
      </w:r>
      <w:r>
        <w:rPr>
          <w:rFonts w:hint="eastAsia" w:ascii="仿宋" w:hAnsi="仿宋" w:eastAsia="仿宋" w:cs="仿宋"/>
          <w:color w:val="auto"/>
          <w:sz w:val="24"/>
          <w:szCs w:val="24"/>
          <w:highlight w:val="none"/>
          <w:lang w:eastAsia="zh-CN"/>
        </w:rPr>
        <w:t>关系</w:t>
      </w:r>
      <w:r>
        <w:rPr>
          <w:rFonts w:ascii="仿宋" w:hAnsi="仿宋" w:eastAsia="仿宋" w:cs="仿宋"/>
          <w:color w:val="auto"/>
          <w:sz w:val="24"/>
          <w:szCs w:val="24"/>
          <w:highlight w:val="none"/>
          <w:lang w:eastAsia="zh-CN"/>
        </w:rPr>
        <w:t>终止</w:t>
      </w:r>
      <w:r>
        <w:rPr>
          <w:rFonts w:hint="eastAsia" w:ascii="仿宋" w:hAnsi="仿宋" w:eastAsia="仿宋" w:cs="仿宋"/>
          <w:color w:val="auto"/>
          <w:sz w:val="24"/>
          <w:szCs w:val="24"/>
          <w:highlight w:val="none"/>
          <w:lang w:eastAsia="zh-CN"/>
        </w:rPr>
        <w:t>，但不影响一方当事人在此以前的任何违约而损害另一方当事人应享有的权利，也不影响合同双方当事人履行本合同结算和清算条款的效力。</w:t>
      </w:r>
    </w:p>
    <w:p w14:paraId="1396C202">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94</w:t>
      </w:r>
      <w:r>
        <w:rPr>
          <w:rFonts w:ascii="仿宋" w:hAnsi="仿宋" w:eastAsia="仿宋" w:cs="仿宋"/>
          <w:b/>
          <w:bCs/>
          <w:color w:val="auto"/>
          <w:highlight w:val="none"/>
          <w:lang w:eastAsia="zh-CN"/>
        </w:rPr>
        <w:t>.2</w:t>
      </w:r>
    </w:p>
    <w:p w14:paraId="07059BED">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54176" behindDoc="0" locked="0" layoutInCell="1" allowOverlap="1">
                <wp:simplePos x="0" y="0"/>
                <wp:positionH relativeFrom="column">
                  <wp:posOffset>-114300</wp:posOffset>
                </wp:positionH>
                <wp:positionV relativeFrom="paragraph">
                  <wp:posOffset>635</wp:posOffset>
                </wp:positionV>
                <wp:extent cx="765810" cy="707390"/>
                <wp:effectExtent l="0" t="0" r="0" b="0"/>
                <wp:wrapNone/>
                <wp:docPr id="882" name="文本框 1090"/>
                <wp:cNvGraphicFramePr/>
                <a:graphic xmlns:a="http://schemas.openxmlformats.org/drawingml/2006/main">
                  <a:graphicData uri="http://schemas.microsoft.com/office/word/2010/wordprocessingShape">
                    <wps:wsp>
                      <wps:cNvSpPr txBox="1">
                        <a:spLocks noChangeArrowheads="1"/>
                      </wps:cNvSpPr>
                      <wps:spPr bwMode="auto">
                        <a:xfrm>
                          <a:off x="0" y="0"/>
                          <a:ext cx="765810" cy="707390"/>
                        </a:xfrm>
                        <a:prstGeom prst="rect">
                          <a:avLst/>
                        </a:prstGeom>
                        <a:noFill/>
                        <a:ln>
                          <a:noFill/>
                        </a:ln>
                        <a:effectLst/>
                      </wps:spPr>
                      <wps:txbx>
                        <w:txbxContent>
                          <w:p w14:paraId="34F93D1C">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双方履行完全部义务后的终止</w:t>
                            </w:r>
                          </w:p>
                        </w:txbxContent>
                      </wps:txbx>
                      <wps:bodyPr rot="0" vert="horz" wrap="square" lIns="91440" tIns="45720" rIns="91440" bIns="45720" anchor="t" anchorCtr="0" upright="1">
                        <a:noAutofit/>
                      </wps:bodyPr>
                    </wps:wsp>
                  </a:graphicData>
                </a:graphic>
              </wp:anchor>
            </w:drawing>
          </mc:Choice>
          <mc:Fallback>
            <w:pict>
              <v:shape id="文本框 1090" o:spid="_x0000_s1026" o:spt="202" type="#_x0000_t202" style="position:absolute;left:0pt;margin-left:-9pt;margin-top:0.05pt;height:55.7pt;width:60.3pt;z-index:251954176;mso-width-relative:page;mso-height-relative:page;" filled="f" stroked="f" coordsize="21600,21600" o:gfxdata="UEsDBAoAAAAAAIdO4kAAAAAAAAAAAAAAAAAEAAAAZHJzL1BLAwQUAAAACACHTuJAeTLJ0dQAAAAI&#10;AQAADwAAAGRycy9kb3ducmV2LnhtbE2PwU7DMAyG70i8Q2Sk3TYn0zaN0nSHTVxBjIHELWu8tqJx&#10;qiZby9uTnuBm67N+f3++G10rbtSHxrMGtZAgiEtvG640nN6f51sQIRq2pvVMGn4owK64v8tNZv3A&#10;b3Q7xkqkEA6Z0VDH2GWIoazJmbDwHXFiF987E9PaV2h7M6Rw1+JSyg0603D6UJuO9jWV38er0/Dx&#10;cvn6XMnX6uDW3eBHieweUevZg5JPICKN8e8YJv2kDkVyOvsr2yBaDXO1TV3iBMSE5XID4pwGpdaA&#10;RY7/CxS/UEsDBBQAAAAIAIdO4kCX1gxuHgIAACcEAAAOAAAAZHJzL2Uyb0RvYy54bWytU0tu2zAQ&#10;3RfoHQjua0muEzuC5SCNkaJA+gHSHoCmKIuoxGGHtKX0AO0Nuuqm+57L5+iQsh033WTRjUDODN/M&#10;e/M0v+zbhm0VOg2m4Nko5UwZCaU264J/+njzYsaZ88KUogGjCn6vHL9cPH8272yuxlBDUypkBGJc&#10;3tmC197bPEmcrFUr3AisMpSsAFvh6YrrpETREXrbJOM0PU86wNIiSOUcRZdDku8R8SmAUFVaqiXI&#10;TauMH1BRNcITJVdr6/giTltVSvr3VeWUZ03BiamPX2pC51X4Jou5yNcobK3lfgTxlBEecWqFNtT0&#10;CLUUXrAN6n+gWi0RHFR+JKFNBiJREWKRpY+0uauFVZELSe3sUXT3/2Dlu+0HZLos+Gw25syIlla+&#10;+/F99/P37tc3lqUXUaPOupxK7ywV+/4V9OScyNfZW5CfHTNwXQuzVleI0NVKlDRjFtRNTp6Grbjc&#10;BZBV9xZKaiU2HiJQX2EbBCRJGKHTfu6P+1G9Z5KC0/OzWUYZSalpOn05zJaI/PDYovOvFbQsHAqO&#10;tP4ILra3zodhRH4oCb0M3OimiRZozF8BKhwiKnpo//ow/cDD96ue3obgCsp7IoUw+Iv+LjrUgF85&#10;68hbBXdfNgIVZ80bQ8JcZJNJMGO8TM6mY7rgaWZ1mhFGElTBPWfD8doPBt5Y1OuaOg2rMHBFYlY6&#10;En2Yar8C8k/kv/d6MOjpPVY9/N+L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kyydHUAAAACAEA&#10;AA8AAAAAAAAAAQAgAAAAIgAAAGRycy9kb3ducmV2LnhtbFBLAQIUABQAAAAIAIdO4kCX1gxuHgIA&#10;ACcEAAAOAAAAAAAAAAEAIAAAACMBAABkcnMvZTJvRG9jLnhtbFBLBQYAAAAABgAGAFkBAACzBQAA&#10;AAA=&#10;">
                <v:fill on="f" focussize="0,0"/>
                <v:stroke on="f"/>
                <v:imagedata o:title=""/>
                <o:lock v:ext="edit" aspectratio="f"/>
                <v:textbox>
                  <w:txbxContent>
                    <w:p w14:paraId="34F93D1C">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双方履行完全部义务后的终止</w:t>
                      </w:r>
                    </w:p>
                  </w:txbxContent>
                </v:textbox>
              </v:shape>
            </w:pict>
          </mc:Fallback>
        </mc:AlternateContent>
      </w:r>
      <w:r>
        <w:rPr>
          <w:rFonts w:hint="eastAsia" w:ascii="仿宋" w:hAnsi="仿宋" w:eastAsia="仿宋" w:cs="仿宋"/>
          <w:color w:val="auto"/>
          <w:sz w:val="24"/>
          <w:szCs w:val="24"/>
          <w:highlight w:val="none"/>
          <w:lang w:eastAsia="zh-CN"/>
        </w:rPr>
        <w:t>除第66条和第89条约定的质量保修条款外，合同双方当事人履行完本合同全部义务，发包人向承包人支付完竣工结算款，承包人向发包人交付竣工工程后，本合同即告终止。</w:t>
      </w:r>
    </w:p>
    <w:p w14:paraId="04C40D23">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94</w:t>
      </w:r>
      <w:r>
        <w:rPr>
          <w:rFonts w:ascii="仿宋" w:hAnsi="仿宋" w:eastAsia="仿宋" w:cs="仿宋"/>
          <w:b/>
          <w:bCs/>
          <w:color w:val="auto"/>
          <w:highlight w:val="none"/>
          <w:lang w:eastAsia="zh-CN"/>
        </w:rPr>
        <w:t>.3</w:t>
      </w:r>
    </w:p>
    <w:p w14:paraId="62DA4663">
      <w:pPr>
        <w:pStyle w:val="2"/>
        <w:widowControl w:val="0"/>
        <w:adjustRightInd w:val="0"/>
        <w:snapToGrid w:val="0"/>
        <w:spacing w:line="360" w:lineRule="auto"/>
        <w:ind w:left="1850" w:leftChars="771"/>
        <w:jc w:val="both"/>
        <w:rPr>
          <w:rFonts w:hint="eastAsia" w:ascii="仿宋" w:hAnsi="仿宋" w:eastAsia="仿宋"/>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55200" behindDoc="0" locked="0" layoutInCell="1" allowOverlap="1">
                <wp:simplePos x="0" y="0"/>
                <wp:positionH relativeFrom="column">
                  <wp:posOffset>-114300</wp:posOffset>
                </wp:positionH>
                <wp:positionV relativeFrom="paragraph">
                  <wp:posOffset>13335</wp:posOffset>
                </wp:positionV>
                <wp:extent cx="832485" cy="565785"/>
                <wp:effectExtent l="0" t="0" r="0" b="0"/>
                <wp:wrapNone/>
                <wp:docPr id="883" name="文本框 1091"/>
                <wp:cNvGraphicFramePr/>
                <a:graphic xmlns:a="http://schemas.openxmlformats.org/drawingml/2006/main">
                  <a:graphicData uri="http://schemas.microsoft.com/office/word/2010/wordprocessingShape">
                    <wps:wsp>
                      <wps:cNvSpPr txBox="1">
                        <a:spLocks noChangeArrowheads="1"/>
                      </wps:cNvSpPr>
                      <wps:spPr bwMode="auto">
                        <a:xfrm>
                          <a:off x="0" y="0"/>
                          <a:ext cx="832485" cy="565785"/>
                        </a:xfrm>
                        <a:prstGeom prst="rect">
                          <a:avLst/>
                        </a:prstGeom>
                        <a:noFill/>
                        <a:ln>
                          <a:noFill/>
                        </a:ln>
                        <a:effectLst/>
                      </wps:spPr>
                      <wps:txbx>
                        <w:txbxContent>
                          <w:p w14:paraId="191B27C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合同终止后双方的义务</w:t>
                            </w:r>
                          </w:p>
                        </w:txbxContent>
                      </wps:txbx>
                      <wps:bodyPr rot="0" vert="horz" wrap="square" lIns="91440" tIns="45720" rIns="91440" bIns="45720" anchor="t" anchorCtr="0" upright="1">
                        <a:noAutofit/>
                      </wps:bodyPr>
                    </wps:wsp>
                  </a:graphicData>
                </a:graphic>
              </wp:anchor>
            </w:drawing>
          </mc:Choice>
          <mc:Fallback>
            <w:pict>
              <v:shape id="文本框 1091" o:spid="_x0000_s1026" o:spt="202" type="#_x0000_t202" style="position:absolute;left:0pt;margin-left:-9pt;margin-top:1.05pt;height:44.55pt;width:65.55pt;z-index:251955200;mso-width-relative:page;mso-height-relative:page;" filled="f" stroked="f" coordsize="21600,21600" o:gfxdata="UEsDBAoAAAAAAIdO4kAAAAAAAAAAAAAAAAAEAAAAZHJzL1BLAwQUAAAACACHTuJAwSouSdUAAAAI&#10;AQAADwAAAGRycy9kb3ducmV2LnhtbE2PzU7DMBCE70i8g7VI3FrbAao2ZNMDiCuoPyBxc+NtEhGv&#10;o9htwtvXPcFtVrOa+aZYT64TZxpC6xlBzxUI4srblmuE/e5ttgQRomFrOs+E8EsB1uXtTWFy60fe&#10;0Hkba5FCOOQGoYmxz6UMVUPOhLnviZN39IMzMZ1DLe1gxhTuOpkptZDOtJwaGtPTS0PVz/bkED7f&#10;j99fj+qjfnVP/egnJdmtJOL9nVbPICJN8e8ZrvgJHcrEdPAntkF0CDO9TFsiQqZBXH39kMQBYaUz&#10;kGUh/w8oL1BLAwQUAAAACACHTuJAFygwZiACAAAnBAAADgAAAGRycy9lMm9Eb2MueG1srVNLbtsw&#10;EN0X6B0I7mvZjp04guUgjZGiQPoB0h6ApiiLqMRhh7Ql9wDtDbrqpvuey+fokHRcN91k0Y0wwxm+&#10;mff4NL/q24ZtFToNpuCjwZAzZSSU2qwL/vHD7YsZZ84LU4oGjCr4Tjl+tXj+bN7ZXI2hhqZUyAjE&#10;uLyzBa+9t3mWOVmrVrgBWGWoWAG2wlOK66xE0RF622Tj4fA86wBLiyCVc3S6TEV+QMSnAEJVaamW&#10;IDetMj6homqEJ0qu1tbxRdy2qpT076rKKc+aghNTH780hOJV+GaLucjXKGyt5WEF8ZQVHnFqhTY0&#10;9Ai1FF6wDep/oFotERxUfiChzRKRqAixGA0faXNfC6siF5La2aPo7v/Byrfb98h0WfDZ7IwzI1p6&#10;8v33b/sfv/Y/v7LR8HIUNOqsy6n13lKz719CT86JfJ29A/nJMQM3tTBrdY0IXa1ESTvGm9nJ1YTj&#10;AsiqewMljRIbDxGor7ANApIkjNDpfXbH91G9Z5IOZ2fjyWzKmaTS9Hx6QTHtlon84bJF518paFkI&#10;Co70/BFcbO+cT60PLWGWgVvdNNECjfnrgDDTiYoeOtwOVML2iYfvV/1BmhWUOyKFkPxFfxcFNeAX&#10;zjryVsHd541AxVnz2pAwl6PJJJgxJpPpxZgSPK2sTivCSIIquOcshTc+GXhjUa9rmpSewsA1iVnp&#10;SDSsmrYigUJC/olSHbweDHqax64///fi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MEqLknVAAAA&#10;CAEAAA8AAAAAAAAAAQAgAAAAIgAAAGRycy9kb3ducmV2LnhtbFBLAQIUABQAAAAIAIdO4kAXKDBm&#10;IAIAACcEAAAOAAAAAAAAAAEAIAAAACQBAABkcnMvZTJvRG9jLnhtbFBLBQYAAAAABgAGAFkBAAC2&#10;BQAAAAA=&#10;">
                <v:fill on="f" focussize="0,0"/>
                <v:stroke on="f"/>
                <v:imagedata o:title=""/>
                <o:lock v:ext="edit" aspectratio="f"/>
                <v:textbox>
                  <w:txbxContent>
                    <w:p w14:paraId="191B27C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合同终止后双方的义务</w:t>
                      </w:r>
                    </w:p>
                  </w:txbxContent>
                </v:textbox>
              </v:shape>
            </w:pict>
          </mc:Fallback>
        </mc:AlternateContent>
      </w:r>
      <w:r>
        <w:rPr>
          <w:rFonts w:hint="eastAsia" w:ascii="仿宋" w:hAnsi="仿宋" w:eastAsia="仿宋" w:cs="仿宋"/>
          <w:color w:val="auto"/>
          <w:sz w:val="24"/>
          <w:szCs w:val="24"/>
          <w:highlight w:val="none"/>
          <w:lang w:eastAsia="zh-CN"/>
        </w:rPr>
        <w:t>本合同的权利义务终止后，合同双方当事人仍应遵循诚实信用原则，继续履行合同约定的通知、协助、保密等义务。</w:t>
      </w:r>
    </w:p>
    <w:p w14:paraId="242C934C">
      <w:pPr>
        <w:pStyle w:val="2"/>
        <w:adjustRightInd w:val="0"/>
        <w:snapToGrid w:val="0"/>
        <w:spacing w:line="480" w:lineRule="auto"/>
        <w:ind w:right="-238"/>
        <w:rPr>
          <w:rFonts w:hint="eastAsia" w:ascii="仿宋" w:hAnsi="仿宋" w:eastAsia="仿宋" w:cs="仿宋"/>
          <w:color w:val="auto"/>
          <w:sz w:val="24"/>
          <w:szCs w:val="24"/>
          <w:highlight w:val="none"/>
          <w:u w:val="single"/>
          <w:lang w:eastAsia="zh-CN"/>
        </w:rPr>
      </w:pPr>
    </w:p>
    <w:p w14:paraId="73FF7BFA">
      <w:pPr>
        <w:pStyle w:val="2"/>
        <w:adjustRightInd w:val="0"/>
        <w:snapToGrid w:val="0"/>
        <w:spacing w:line="360" w:lineRule="auto"/>
        <w:jc w:val="center"/>
        <w:outlineLvl w:val="1"/>
        <w:rPr>
          <w:rFonts w:hint="eastAsia" w:ascii="仿宋" w:hAnsi="仿宋" w:eastAsia="仿宋" w:cs="仿宋"/>
          <w:b/>
          <w:bCs/>
          <w:color w:val="auto"/>
          <w:sz w:val="24"/>
          <w:szCs w:val="24"/>
          <w:highlight w:val="none"/>
          <w:lang w:eastAsia="zh-CN"/>
        </w:rPr>
      </w:pPr>
      <w:bookmarkStart w:id="395" w:name="_Toc16038"/>
      <w:r>
        <w:rPr>
          <w:rFonts w:hint="eastAsia" w:ascii="仿宋" w:hAnsi="仿宋" w:eastAsia="仿宋" w:cs="仿宋"/>
          <w:b/>
          <w:bCs/>
          <w:color w:val="auto"/>
          <w:sz w:val="24"/>
          <w:szCs w:val="24"/>
          <w:highlight w:val="none"/>
          <w:lang w:eastAsia="zh-CN"/>
        </w:rPr>
        <w:t>九、违约</w:t>
      </w:r>
      <w:bookmarkEnd w:id="395"/>
    </w:p>
    <w:p w14:paraId="154E11AD">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96" w:name="_Toc32285"/>
      <w:r>
        <w:rPr>
          <w:rFonts w:hint="eastAsia" w:ascii="仿宋" w:hAnsi="仿宋" w:eastAsia="仿宋" w:cs="仿宋"/>
          <w:bCs w:val="0"/>
          <w:color w:val="auto"/>
          <w:sz w:val="24"/>
          <w:szCs w:val="24"/>
          <w:highlight w:val="none"/>
          <w:lang w:eastAsia="zh-CN"/>
        </w:rPr>
        <w:t>★95承包人违约</w:t>
      </w:r>
      <w:bookmarkEnd w:id="396"/>
    </w:p>
    <w:p w14:paraId="1CE0355A">
      <w:pPr>
        <w:rPr>
          <w:rFonts w:hint="eastAsia" w:ascii="仿宋" w:hAnsi="仿宋" w:eastAsia="仿宋" w:cs="仿宋"/>
          <w:b/>
          <w:bCs/>
          <w:color w:val="auto"/>
          <w:highlight w:val="none"/>
          <w:lang w:eastAsia="zh-CN"/>
        </w:rPr>
      </w:pPr>
      <w:r>
        <w:rPr>
          <w:color w:val="auto"/>
          <w:highlight w:val="none"/>
          <w:lang w:eastAsia="zh-CN" w:bidi="ar-SA"/>
        </w:rPr>
        <mc:AlternateContent>
          <mc:Choice Requires="wps">
            <w:drawing>
              <wp:anchor distT="0" distB="0" distL="114300" distR="114300" simplePos="0" relativeHeight="251966464" behindDoc="0" locked="0" layoutInCell="1" allowOverlap="1">
                <wp:simplePos x="0" y="0"/>
                <wp:positionH relativeFrom="column">
                  <wp:posOffset>-114300</wp:posOffset>
                </wp:positionH>
                <wp:positionV relativeFrom="paragraph">
                  <wp:posOffset>187960</wp:posOffset>
                </wp:positionV>
                <wp:extent cx="775970" cy="459105"/>
                <wp:effectExtent l="0" t="0" r="0" b="0"/>
                <wp:wrapNone/>
                <wp:docPr id="884" name="文本框 1106"/>
                <wp:cNvGraphicFramePr/>
                <a:graphic xmlns:a="http://schemas.openxmlformats.org/drawingml/2006/main">
                  <a:graphicData uri="http://schemas.microsoft.com/office/word/2010/wordprocessingShape">
                    <wps:wsp>
                      <wps:cNvSpPr txBox="1">
                        <a:spLocks noChangeArrowheads="1"/>
                      </wps:cNvSpPr>
                      <wps:spPr bwMode="auto">
                        <a:xfrm>
                          <a:off x="0" y="0"/>
                          <a:ext cx="775970" cy="459105"/>
                        </a:xfrm>
                        <a:prstGeom prst="rect">
                          <a:avLst/>
                        </a:prstGeom>
                        <a:noFill/>
                        <a:ln>
                          <a:noFill/>
                        </a:ln>
                        <a:effectLst/>
                      </wps:spPr>
                      <wps:txbx>
                        <w:txbxContent>
                          <w:p w14:paraId="37188F02">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rPr>
                              <w:t>承包人</w:t>
                            </w:r>
                            <w:r>
                              <w:rPr>
                                <w:rFonts w:hint="eastAsia" w:ascii="楷体_GB2312" w:hAnsi="宋体" w:eastAsia="楷体_GB2312" w:cs="楷体_GB2312"/>
                                <w:b/>
                                <w:bCs/>
                                <w:sz w:val="18"/>
                                <w:szCs w:val="18"/>
                                <w:lang w:eastAsia="zh-CN"/>
                              </w:rPr>
                              <w:t>违约情形</w:t>
                            </w:r>
                          </w:p>
                        </w:txbxContent>
                      </wps:txbx>
                      <wps:bodyPr rot="0" vert="horz" wrap="square" lIns="91440" tIns="45720" rIns="91440" bIns="45720" anchor="t" anchorCtr="0" upright="1">
                        <a:noAutofit/>
                      </wps:bodyPr>
                    </wps:wsp>
                  </a:graphicData>
                </a:graphic>
              </wp:anchor>
            </w:drawing>
          </mc:Choice>
          <mc:Fallback>
            <w:pict>
              <v:shape id="文本框 1106" o:spid="_x0000_s1026" o:spt="202" type="#_x0000_t202" style="position:absolute;left:0pt;margin-left:-9pt;margin-top:14.8pt;height:36.15pt;width:61.1pt;z-index:251966464;mso-width-relative:page;mso-height-relative:page;" filled="f" stroked="f" coordsize="21600,21600" o:gfxdata="UEsDBAoAAAAAAIdO4kAAAAAAAAAAAAAAAAAEAAAAZHJzL1BLAwQUAAAACACHTuJApu1VEtcAAAAK&#10;AQAADwAAAGRycy9kb3ducmV2LnhtbE2PwU7DMBBE70j8g7VI3Fo7UamaEKeHVlxBFKjU2zbeJhHx&#10;OordJvw9zglus5rR7JtiO9lO3GjwrWMNyVKBIK6cabnW8PnxstiA8AHZYOeYNPyQh215f1dgbtzI&#10;73Q7hFrEEvY5amhC6HMpfdWQRb90PXH0Lm6wGOI51NIMOMZy28lUqbW02HL80GBPu4aq78PVavh6&#10;vZyOK/VW7+1TP7pJSbaZ1PrxIVHPIAJN4S8MM35EhzIynd2VjRedhkWyiVuChjRbg5gDapWCOM8i&#10;yUCWhfw/ofwFUEsDBBQAAAAIAIdO4kD1FX9mIAIAACcEAAAOAAAAZHJzL2Uyb0RvYy54bWytU82O&#10;0zAQviPxDpbvNE3VbrdR09Wy1SKk5UdaeADXcRqLxGPGbpPyAPAGnLhw57n6HIydbCnLZQ9cLNsz&#10;/ma+bz4vr7qmZnuFToPJeToac6aMhEKbbc4/frh9ccmZ88IUogajcn5Qjl+tnj9btjZTE6igLhQy&#10;AjEua23OK+9tliROVqoRbgRWGQqWgI3wdMRtUqBoCb2pk8l4fJG0gIVFkMo5ul33QT4g4lMAoSy1&#10;VGuQu0YZ36OiqoUnSq7S1vFV7LYslfTvytIpz+qcE1MfVypC+01Yk9VSZFsUttJyaEE8pYVHnBqh&#10;DRU9Qa2FF2yH+h+oRksEB6UfSWiSnkhUhFik40fa3FfCqsiFpHb2JLr7f7Dy7f49Ml3k/PJyypkR&#10;DY38+P3b8cev48+vLE3HF0Gj1rqMUu8tJfvuJXTknMjX2TuQnxwzcFMJs1XXiNBWShTUYxpeJmdP&#10;exwXQDbtGyiolNh5iEBdiU0QkCRhhE7zOZzmozrPJF3O57PFnCKSQtPZIh3PYgWRPTy26PwrBQ0L&#10;m5wjjT+Ci/2d86EZkT2khFoGbnVdRwvU5q8LSuxvVPTQ8DpQCd33PHy36QZpNlAciBRC7y/6XbSp&#10;AL9w1pK3cu4+7wQqzurXhoRZpNNpMGM8TGfzCR3wPLI5jwgjCSrnnrN+e+N7A+8s6m1FlfpRGLgm&#10;MUsdiYZW+66GEZB/Iv/B68Gg5+eY9ed/r3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u1VEtcA&#10;AAAKAQAADwAAAAAAAAABACAAAAAiAAAAZHJzL2Rvd25yZXYueG1sUEsBAhQAFAAAAAgAh07iQPUV&#10;f2YgAgAAJwQAAA4AAAAAAAAAAQAgAAAAJgEAAGRycy9lMm9Eb2MueG1sUEsFBgAAAAAGAAYAWQEA&#10;ALgFAAAAAA==&#10;">
                <v:fill on="f" focussize="0,0"/>
                <v:stroke on="f"/>
                <v:imagedata o:title=""/>
                <o:lock v:ext="edit" aspectratio="f"/>
                <v:textbox>
                  <w:txbxContent>
                    <w:p w14:paraId="37188F02">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rPr>
                        <w:t>承包人</w:t>
                      </w:r>
                      <w:r>
                        <w:rPr>
                          <w:rFonts w:hint="eastAsia" w:ascii="楷体_GB2312" w:hAnsi="宋体" w:eastAsia="楷体_GB2312" w:cs="楷体_GB2312"/>
                          <w:b/>
                          <w:bCs/>
                          <w:sz w:val="18"/>
                          <w:szCs w:val="18"/>
                          <w:lang w:eastAsia="zh-CN"/>
                        </w:rPr>
                        <w:t>违约情形</w:t>
                      </w:r>
                    </w:p>
                  </w:txbxContent>
                </v:textbox>
              </v:shape>
            </w:pict>
          </mc:Fallback>
        </mc:AlternateContent>
      </w:r>
      <w:r>
        <w:rPr>
          <w:rFonts w:hint="eastAsia" w:ascii="仿宋" w:hAnsi="仿宋" w:eastAsia="仿宋" w:cs="仿宋"/>
          <w:b/>
          <w:bCs/>
          <w:color w:val="auto"/>
          <w:highlight w:val="none"/>
          <w:lang w:eastAsia="zh-CN"/>
        </w:rPr>
        <w:t>95</w:t>
      </w:r>
      <w:r>
        <w:rPr>
          <w:rFonts w:ascii="仿宋" w:hAnsi="仿宋" w:eastAsia="仿宋" w:cs="仿宋"/>
          <w:b/>
          <w:bCs/>
          <w:color w:val="auto"/>
          <w:highlight w:val="none"/>
          <w:lang w:eastAsia="zh-CN"/>
        </w:rPr>
        <w:t>.1</w:t>
      </w:r>
    </w:p>
    <w:p w14:paraId="3BBC8418">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在合同履行过程中发生的下列情形，属于承包人违约：</w:t>
      </w:r>
    </w:p>
    <w:p w14:paraId="20113B9D">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承包人的设计、承包人文件、实施和竣工的工程不符合法律以及合同约定；</w:t>
      </w:r>
    </w:p>
    <w:p w14:paraId="45EBF4B0">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ab/>
      </w:r>
      <w:r>
        <w:rPr>
          <w:rFonts w:hint="eastAsia" w:ascii="仿宋" w:hAnsi="仿宋" w:eastAsia="仿宋" w:cs="仿宋"/>
          <w:color w:val="auto"/>
          <w:highlight w:val="none"/>
          <w:lang w:eastAsia="zh-CN"/>
        </w:rPr>
        <w:t>承包人违反合同约定进行转包或违法分包的；</w:t>
      </w:r>
    </w:p>
    <w:p w14:paraId="66ECB896">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承包人违反约定采购和使用不合格工程材料或工程设备；</w:t>
      </w:r>
    </w:p>
    <w:p w14:paraId="23714187">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因承包人原因导致工程质量不符合合同约定的；</w:t>
      </w:r>
    </w:p>
    <w:p w14:paraId="722AFA9D">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承包人未经工程师批准，擅自将已按合同约定进入施工现场的施工设备、临时设施、工程材料、工程设备撤离施工现场；</w:t>
      </w:r>
    </w:p>
    <w:p w14:paraId="3F1853A1">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承包人未能按项目进度计划及时完成合同约定的工作，造成工期延误；</w:t>
      </w:r>
    </w:p>
    <w:p w14:paraId="5082AC0E">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由于承包人原因未能通过竣工试验或竣工后试验的；</w:t>
      </w:r>
    </w:p>
    <w:p w14:paraId="74B6FD41">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承包人在缺陷责任期及保修期内，未能在合理期限对工程缺陷进行修复，或拒绝按发包人指示进行修复的；</w:t>
      </w:r>
    </w:p>
    <w:p w14:paraId="4240D238">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承包人明确表示或者以其行为表明不履行合同主要义务的；</w:t>
      </w:r>
    </w:p>
    <w:p w14:paraId="23069F4A">
      <w:pPr>
        <w:widowControl w:val="0"/>
        <w:numPr>
          <w:ilvl w:val="1"/>
          <w:numId w:val="32"/>
        </w:numPr>
        <w:tabs>
          <w:tab w:val="clear" w:pos="3285"/>
        </w:tabs>
        <w:adjustRightInd w:val="0"/>
        <w:snapToGrid w:val="0"/>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承包人未能按照合同约定履行其他义务的。</w:t>
      </w:r>
    </w:p>
    <w:p w14:paraId="2F1CEEF5">
      <w:pPr>
        <w:spacing w:line="360" w:lineRule="auto"/>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95</w:t>
      </w:r>
      <w:r>
        <w:rPr>
          <w:rFonts w:ascii="仿宋" w:hAnsi="仿宋" w:eastAsia="仿宋" w:cs="仿宋"/>
          <w:b/>
          <w:bCs/>
          <w:color w:val="auto"/>
          <w:highlight w:val="none"/>
          <w:lang w:eastAsia="zh-CN"/>
        </w:rPr>
        <w:t xml:space="preserve">.2  </w:t>
      </w:r>
    </w:p>
    <w:p w14:paraId="51A52B28">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ascii="仿宋" w:hAnsi="仿宋" w:eastAsia="仿宋" w:cs="仿宋"/>
          <w:color w:val="auto"/>
          <w:highlight w:val="none"/>
          <w:lang w:eastAsia="zh-CN" w:bidi="ar-SA"/>
        </w:rPr>
        <mc:AlternateContent>
          <mc:Choice Requires="wps">
            <w:drawing>
              <wp:anchor distT="0" distB="0" distL="114300" distR="114300" simplePos="0" relativeHeight="252112896" behindDoc="0" locked="0" layoutInCell="1" allowOverlap="1">
                <wp:simplePos x="0" y="0"/>
                <wp:positionH relativeFrom="column">
                  <wp:posOffset>-77470</wp:posOffset>
                </wp:positionH>
                <wp:positionV relativeFrom="paragraph">
                  <wp:posOffset>62230</wp:posOffset>
                </wp:positionV>
                <wp:extent cx="746760" cy="432435"/>
                <wp:effectExtent l="0" t="0" r="0" b="0"/>
                <wp:wrapNone/>
                <wp:docPr id="885" name="文本框 1107"/>
                <wp:cNvGraphicFramePr/>
                <a:graphic xmlns:a="http://schemas.openxmlformats.org/drawingml/2006/main">
                  <a:graphicData uri="http://schemas.microsoft.com/office/word/2010/wordprocessingShape">
                    <wps:wsp>
                      <wps:cNvSpPr txBox="1">
                        <a:spLocks noChangeArrowheads="1"/>
                      </wps:cNvSpPr>
                      <wps:spPr bwMode="auto">
                        <a:xfrm>
                          <a:off x="0" y="0"/>
                          <a:ext cx="746760" cy="432435"/>
                        </a:xfrm>
                        <a:prstGeom prst="rect">
                          <a:avLst/>
                        </a:prstGeom>
                        <a:noFill/>
                        <a:ln>
                          <a:noFill/>
                        </a:ln>
                        <a:effectLst/>
                      </wps:spPr>
                      <wps:txbx>
                        <w:txbxContent>
                          <w:p w14:paraId="4E3208A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通知改正</w:t>
                            </w:r>
                          </w:p>
                        </w:txbxContent>
                      </wps:txbx>
                      <wps:bodyPr rot="0" vert="horz" wrap="square" lIns="91440" tIns="45720" rIns="91440" bIns="45720" anchor="t" anchorCtr="0" upright="1">
                        <a:noAutofit/>
                      </wps:bodyPr>
                    </wps:wsp>
                  </a:graphicData>
                </a:graphic>
              </wp:anchor>
            </w:drawing>
          </mc:Choice>
          <mc:Fallback>
            <w:pict>
              <v:shape id="文本框 1107" o:spid="_x0000_s1026" o:spt="202" type="#_x0000_t202" style="position:absolute;left:0pt;margin-left:-6.1pt;margin-top:4.9pt;height:34.05pt;width:58.8pt;z-index:252112896;mso-width-relative:page;mso-height-relative:page;" filled="f" stroked="f" coordsize="21600,21600" o:gfxdata="UEsDBAoAAAAAAIdO4kAAAAAAAAAAAAAAAAAEAAAAZHJzL1BLAwQUAAAACACHTuJAICgT7tYAAAAI&#10;AQAADwAAAGRycy9kb3ducmV2LnhtbE2PzU7DMBCE70i8g7VIvbV2opaSkE0PIK5F9AeJmxtvk4h4&#10;HcVuE94e9wTH0Yxmvik2k+3ElQbfOkZIFgoEceVMyzXCYf82fwLhg2ajO8eE8EMeNuX9XaFz40b+&#10;oOsu1CKWsM81QhNCn0vpq4as9gvXE0fv7AarQ5RDLc2gx1huO5kq9SitbjkuNLqnl4aq793FIhy3&#10;56/PpXqvX+2qH92kJNtMIs4eEvUMItAU/sJww4/oUEamk7uw8aJDmCdpGqMIWXxw89VqCeKEsF5n&#10;IMtC/j9Q/gJQSwMEFAAAAAgAh07iQGpkntMgAgAAJwQAAA4AAABkcnMvZTJvRG9jLnhtbK1TS27b&#10;MBDdF+gdCO5rWY78qWA5SGOkKJB+gLQHoCnKIipxWJK25B6guUFX3XTfc/kcHZKK66abLLohSM7w&#10;zbw3j8vLvm3IXhgrQRU0HY0pEYpDKdW2oJ8+3rxYUGIdUyVrQImCHoSll6vnz5adzsUEamhKYQiC&#10;KJt3uqC1czpPEstr0TI7Ai0UBiswLXN4NNukNKxD9LZJJuPxLOnAlNoAF9bi7ToG6YBongIIVSW5&#10;WAPftUK5iGpEwxxSsrXUlq5Ct1UluHtfVVY40hQUmbqwYhHcb/yarJYs3xqma8mHFthTWnjEqWVS&#10;YdET1Jo5RnZG/gPVSm7AQuVGHNokEgmKIIt0/Eibu5ppEbig1FafRLf/D5a/238wRJYFXSymlCjW&#10;4siP3++PP34df34jaTqee406bXNMvdOY7PpX0KNzAl+rb4F/tkTBdc3UVlwZA10tWIk9pv5lcvY0&#10;4lgPsuneQoml2M5BAOor03oBURKC6Difw2k+oneE4+U8m81nGOEYyi4m2cU0VGD5w2NtrHstoCV+&#10;U1CD4w/gbH9rnW+G5Q8pvpaCG9k0wQKN+usCE+ONCB4aXnsqvvvIw/WbfpBmA+UBSRmI/sLfhZsa&#10;zFdKOvRWQe2XHTOCkuaNQmFeplnmzRgO2XQ+wYM5j2zOI0xxhCqooyRur1008E4bua2xUhyFgisU&#10;s5KBqG81djWMAP0T+A9e9wY9P4esP/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gKBPu1gAA&#10;AAgBAAAPAAAAAAAAAAEAIAAAACIAAABkcnMvZG93bnJldi54bWxQSwECFAAUAAAACACHTuJAamSe&#10;0yACAAAnBAAADgAAAAAAAAABACAAAAAlAQAAZHJzL2Uyb0RvYy54bWxQSwUGAAAAAAYABgBZAQAA&#10;twUAAAAA&#10;">
                <v:fill on="f" focussize="0,0"/>
                <v:stroke on="f"/>
                <v:imagedata o:title=""/>
                <o:lock v:ext="edit" aspectratio="f"/>
                <v:textbox>
                  <w:txbxContent>
                    <w:p w14:paraId="4E3208A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通知改正</w:t>
                      </w:r>
                    </w:p>
                  </w:txbxContent>
                </v:textbox>
              </v:shape>
            </w:pict>
          </mc:Fallback>
        </mc:AlternateContent>
      </w:r>
      <w:r>
        <w:rPr>
          <w:rFonts w:hint="eastAsia" w:ascii="仿宋" w:hAnsi="仿宋" w:eastAsia="仿宋" w:cs="仿宋"/>
          <w:color w:val="auto"/>
          <w:highlight w:val="none"/>
          <w:lang w:eastAsia="zh-CN"/>
        </w:rPr>
        <w:t>承包人发生除第95.1款第（7）目、第（9）目约定以外的其他违约情况时，设计顾问人、监理人和造价咨询人可向承包人发出整改通知，要求其在指定的期限内改正。</w:t>
      </w:r>
    </w:p>
    <w:p w14:paraId="2BB31360">
      <w:pPr>
        <w:spacing w:line="360" w:lineRule="auto"/>
        <w:rPr>
          <w:rFonts w:hint="eastAsia" w:ascii="仿宋" w:hAnsi="仿宋" w:eastAsia="仿宋" w:cs="仿宋"/>
          <w:b/>
          <w:bCs/>
          <w:color w:val="auto"/>
          <w:highlight w:val="none"/>
          <w:u w:val="dotted"/>
          <w:lang w:eastAsia="zh-CN"/>
        </w:rPr>
      </w:pPr>
      <w:r>
        <w:rPr>
          <w:rFonts w:ascii="仿宋" w:hAnsi="仿宋" w:eastAsia="仿宋" w:cs="仿宋"/>
          <w:b/>
          <w:bCs/>
          <w:color w:val="auto"/>
          <w:highlight w:val="none"/>
          <w:u w:val="dotted"/>
          <w:lang w:eastAsia="zh-CN" w:bidi="ar-SA"/>
        </w:rPr>
        <mc:AlternateContent>
          <mc:Choice Requires="wps">
            <w:drawing>
              <wp:anchor distT="0" distB="0" distL="114300" distR="114300" simplePos="0" relativeHeight="252113920" behindDoc="0" locked="0" layoutInCell="1" allowOverlap="1">
                <wp:simplePos x="0" y="0"/>
                <wp:positionH relativeFrom="column">
                  <wp:posOffset>-81915</wp:posOffset>
                </wp:positionH>
                <wp:positionV relativeFrom="paragraph">
                  <wp:posOffset>282575</wp:posOffset>
                </wp:positionV>
                <wp:extent cx="794385" cy="518160"/>
                <wp:effectExtent l="0" t="0" r="0" b="0"/>
                <wp:wrapNone/>
                <wp:docPr id="886" name="文本框 1107"/>
                <wp:cNvGraphicFramePr/>
                <a:graphic xmlns:a="http://schemas.openxmlformats.org/drawingml/2006/main">
                  <a:graphicData uri="http://schemas.microsoft.com/office/word/2010/wordprocessingShape">
                    <wps:wsp>
                      <wps:cNvSpPr txBox="1">
                        <a:spLocks noChangeArrowheads="1"/>
                      </wps:cNvSpPr>
                      <wps:spPr bwMode="auto">
                        <a:xfrm>
                          <a:off x="0" y="0"/>
                          <a:ext cx="794385" cy="518160"/>
                        </a:xfrm>
                        <a:prstGeom prst="rect">
                          <a:avLst/>
                        </a:prstGeom>
                        <a:noFill/>
                        <a:ln>
                          <a:noFill/>
                        </a:ln>
                        <a:effectLst/>
                      </wps:spPr>
                      <wps:txbx>
                        <w:txbxContent>
                          <w:p w14:paraId="124729AB">
                            <w:pPr>
                              <w:spacing w:line="240" w:lineRule="exact"/>
                              <w:rPr>
                                <w:rFonts w:hint="eastAsia" w:ascii="楷体_GB2312" w:hAnsi="宋体" w:eastAsia="楷体_GB2312" w:cs="楷体_GB2312"/>
                                <w:b/>
                                <w:bCs/>
                                <w:sz w:val="18"/>
                                <w:szCs w:val="18"/>
                              </w:rPr>
                            </w:pPr>
                            <w:r>
                              <w:rPr>
                                <w:rFonts w:hint="eastAsia" w:ascii="楷体_GB2312" w:hAnsi="宋体" w:eastAsia="楷体_GB2312" w:cs="楷体_GB2312"/>
                                <w:b/>
                                <w:bCs/>
                                <w:sz w:val="18"/>
                                <w:szCs w:val="18"/>
                              </w:rPr>
                              <w:t>承包人</w:t>
                            </w:r>
                            <w:r>
                              <w:rPr>
                                <w:rFonts w:hint="eastAsia" w:ascii="楷体_GB2312" w:hAnsi="宋体" w:eastAsia="楷体_GB2312" w:cs="楷体_GB2312"/>
                                <w:b/>
                                <w:bCs/>
                                <w:sz w:val="18"/>
                                <w:szCs w:val="18"/>
                                <w:lang w:eastAsia="zh-CN"/>
                              </w:rPr>
                              <w:t>违约的责任</w:t>
                            </w:r>
                          </w:p>
                          <w:p w14:paraId="67C1731C">
                            <w:pPr>
                              <w:spacing w:line="240" w:lineRule="exact"/>
                              <w:rPr>
                                <w:rFonts w:hint="eastAsia" w:ascii="楷体_GB2312" w:hAnsi="宋体" w:eastAsia="楷体_GB2312"/>
                                <w:b/>
                                <w:bCs/>
                                <w:sz w:val="18"/>
                                <w:szCs w:val="18"/>
                                <w:lang w:eastAsia="zh-CN"/>
                              </w:rPr>
                            </w:pPr>
                          </w:p>
                        </w:txbxContent>
                      </wps:txbx>
                      <wps:bodyPr rot="0" vert="horz" wrap="square" lIns="91440" tIns="45720" rIns="91440" bIns="45720" anchor="t" anchorCtr="0" upright="1">
                        <a:noAutofit/>
                      </wps:bodyPr>
                    </wps:wsp>
                  </a:graphicData>
                </a:graphic>
              </wp:anchor>
            </w:drawing>
          </mc:Choice>
          <mc:Fallback>
            <w:pict>
              <v:shape id="文本框 1107" o:spid="_x0000_s1026" o:spt="202" type="#_x0000_t202" style="position:absolute;left:0pt;margin-left:-6.45pt;margin-top:22.25pt;height:40.8pt;width:62.55pt;z-index:252113920;mso-width-relative:page;mso-height-relative:page;" filled="f" stroked="f" coordsize="21600,21600" o:gfxdata="UEsDBAoAAAAAAIdO4kAAAAAAAAAAAAAAAAAEAAAAZHJzL1BLAwQUAAAACACHTuJAYwBH/NcAAAAK&#10;AQAADwAAAGRycy9kb3ducmV2LnhtbE2Py27CMBBF90j9B2uQ2IEfCqikcVi06paq0FbqzsRDEhGP&#10;o9iQ9O9rVu1uRnN059xiN7mO3XAIrScNciWAIVXetlRr+Di+Lh+BhWjIms4TavjBALvyYVaY3PqR&#10;3vF2iDVLIRRyo6GJsc85D1WDzoSV75HS7ewHZ2Jah5rbwYwp3HVcCbHhzrSUPjSmx+cGq8vh6jR8&#10;7s/fX5l4q1/cuh/9JDi5Ldd6MZfiCVjEKf7BcNdP6lAmp5O/kg2s07CUaptQDVm2BnYHpFLATmlQ&#10;Gwm8LPj/CuUvUEsDBBQAAAAIAIdO4kDFwg37IAIAACcEAAAOAAAAZHJzL2Uyb0RvYy54bWytU0tu&#10;2zAQ3RfoHQjua1mufxEsB2mMFAXSD5D2ADRFWUQlDjukLbkHaG7QVTfd91w+R4eU47rpJotuCJIz&#10;fDPvzePismtqtlPoNJicp4MhZ8pIKLTZ5PzTx5sXc86cF6YQNRiV871y/HL5/NmitZkaQQV1oZAR&#10;iHFZa3NeeW+zJHGyUo1wA7DKULAEbISnI26SAkVL6E2djIbDadICFhZBKufodtUH+RERnwIIZaml&#10;WoHcNsr4HhVVLTxRcpW2ji9jt2WppH9flk55VuecmPq4UhHar8OaLBci26CwlZbHFsRTWnjEqRHa&#10;UNET1Ep4wbao/4FqtERwUPqBhCbpiURFiEU6fKTNXSWsilxIamdPorv/Byvf7T4g00XO5/MpZ0Y0&#10;NPLD9/vDj1+Hn99Ymg5nQaPWuoxS7ywl++4VdOScyNfZW5CfHTNwXQmzUVeI0FZKFNRjGl4mZ097&#10;HBdA1u1bKKiU2HqIQF2JTRCQJGGETvPZn+ajOs8kXc4uxi/nE84khSbpPJ3G+SUie3hs0fnXChoW&#10;NjlHGn8EF7tb50MzIntICbUM3Oi6jhaozV8XlNjfqOih4+tAJXTf8/DdujtKs4ZiT6QQen/R76JN&#10;BfiVs5a8lXP3ZStQcVa/MSTMRToeBzPGw3gyG9EBzyPr84gwkqBy7jnrt9e+N/DWot5UVKkfhYEr&#10;ErPUkWhote/qOALyT+R/9How6Pk5Zv3538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YwBH/NcA&#10;AAAKAQAADwAAAAAAAAABACAAAAAiAAAAZHJzL2Rvd25yZXYueG1sUEsBAhQAFAAAAAgAh07iQMXC&#10;DfsgAgAAJwQAAA4AAAAAAAAAAQAgAAAAJgEAAGRycy9lMm9Eb2MueG1sUEsFBgAAAAAGAAYAWQEA&#10;ALgFAAAAAA==&#10;">
                <v:fill on="f" focussize="0,0"/>
                <v:stroke on="f"/>
                <v:imagedata o:title=""/>
                <o:lock v:ext="edit" aspectratio="f"/>
                <v:textbox>
                  <w:txbxContent>
                    <w:p w14:paraId="124729AB">
                      <w:pPr>
                        <w:spacing w:line="240" w:lineRule="exact"/>
                        <w:rPr>
                          <w:rFonts w:hint="eastAsia" w:ascii="楷体_GB2312" w:hAnsi="宋体" w:eastAsia="楷体_GB2312" w:cs="楷体_GB2312"/>
                          <w:b/>
                          <w:bCs/>
                          <w:sz w:val="18"/>
                          <w:szCs w:val="18"/>
                        </w:rPr>
                      </w:pPr>
                      <w:r>
                        <w:rPr>
                          <w:rFonts w:hint="eastAsia" w:ascii="楷体_GB2312" w:hAnsi="宋体" w:eastAsia="楷体_GB2312" w:cs="楷体_GB2312"/>
                          <w:b/>
                          <w:bCs/>
                          <w:sz w:val="18"/>
                          <w:szCs w:val="18"/>
                        </w:rPr>
                        <w:t>承包人</w:t>
                      </w:r>
                      <w:r>
                        <w:rPr>
                          <w:rFonts w:hint="eastAsia" w:ascii="楷体_GB2312" w:hAnsi="宋体" w:eastAsia="楷体_GB2312" w:cs="楷体_GB2312"/>
                          <w:b/>
                          <w:bCs/>
                          <w:sz w:val="18"/>
                          <w:szCs w:val="18"/>
                          <w:lang w:eastAsia="zh-CN"/>
                        </w:rPr>
                        <w:t>违约的责任</w:t>
                      </w:r>
                    </w:p>
                    <w:p w14:paraId="67C1731C">
                      <w:pPr>
                        <w:spacing w:line="240" w:lineRule="exact"/>
                        <w:rPr>
                          <w:rFonts w:hint="eastAsia" w:ascii="楷体_GB2312" w:hAnsi="宋体" w:eastAsia="楷体_GB2312"/>
                          <w:b/>
                          <w:bCs/>
                          <w:sz w:val="18"/>
                          <w:szCs w:val="18"/>
                          <w:lang w:eastAsia="zh-CN"/>
                        </w:rPr>
                      </w:pPr>
                    </w:p>
                  </w:txbxContent>
                </v:textbox>
              </v:shape>
            </w:pict>
          </mc:Fallback>
        </mc:AlternateContent>
      </w:r>
      <w:r>
        <w:rPr>
          <w:rFonts w:hint="eastAsia" w:ascii="仿宋" w:hAnsi="仿宋" w:eastAsia="仿宋" w:cs="仿宋"/>
          <w:b/>
          <w:bCs/>
          <w:color w:val="auto"/>
          <w:highlight w:val="none"/>
          <w:lang w:eastAsia="zh-CN"/>
        </w:rPr>
        <w:t>95</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3</w:t>
      </w:r>
    </w:p>
    <w:p w14:paraId="76AAE2D1">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bidi="ar-SA"/>
        </w:rPr>
        <w:t>承包人应承担因其违约行为而增加的费用和（或）延误的工期。此外，合同当事人可在合同专用条款中另行约定承包人违约责任的承担方式和计算方法。</w:t>
      </w:r>
    </w:p>
    <w:p w14:paraId="07796CC3">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95</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4</w:t>
      </w:r>
    </w:p>
    <w:p w14:paraId="51CA5E95">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color w:val="auto"/>
          <w:highlight w:val="none"/>
          <w:lang w:eastAsia="zh-CN" w:bidi="ar-SA"/>
        </w:rPr>
        <mc:AlternateContent>
          <mc:Choice Requires="wps">
            <w:drawing>
              <wp:anchor distT="0" distB="0" distL="114300" distR="114300" simplePos="0" relativeHeight="252071936" behindDoc="0" locked="0" layoutInCell="1" allowOverlap="1">
                <wp:simplePos x="0" y="0"/>
                <wp:positionH relativeFrom="column">
                  <wp:posOffset>-114300</wp:posOffset>
                </wp:positionH>
                <wp:positionV relativeFrom="paragraph">
                  <wp:posOffset>20955</wp:posOffset>
                </wp:positionV>
                <wp:extent cx="794385" cy="632460"/>
                <wp:effectExtent l="0" t="0" r="0" b="0"/>
                <wp:wrapNone/>
                <wp:docPr id="887" name="文本框 1107"/>
                <wp:cNvGraphicFramePr/>
                <a:graphic xmlns:a="http://schemas.openxmlformats.org/drawingml/2006/main">
                  <a:graphicData uri="http://schemas.microsoft.com/office/word/2010/wordprocessingShape">
                    <wps:wsp>
                      <wps:cNvSpPr txBox="1">
                        <a:spLocks noChangeArrowheads="1"/>
                      </wps:cNvSpPr>
                      <wps:spPr bwMode="auto">
                        <a:xfrm>
                          <a:off x="0" y="0"/>
                          <a:ext cx="794385" cy="632460"/>
                        </a:xfrm>
                        <a:prstGeom prst="rect">
                          <a:avLst/>
                        </a:prstGeom>
                        <a:noFill/>
                        <a:ln>
                          <a:noFill/>
                        </a:ln>
                        <a:effectLst/>
                      </wps:spPr>
                      <wps:txbx>
                        <w:txbxContent>
                          <w:p w14:paraId="78C83E9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采购合同权益转让</w:t>
                            </w:r>
                          </w:p>
                          <w:p w14:paraId="1B43DFA7">
                            <w:pPr>
                              <w:spacing w:line="240" w:lineRule="exact"/>
                              <w:rPr>
                                <w:rFonts w:hint="eastAsia" w:ascii="楷体_GB2312" w:hAnsi="宋体" w:eastAsia="楷体_GB2312"/>
                                <w:b/>
                                <w:bCs/>
                                <w:sz w:val="18"/>
                                <w:szCs w:val="18"/>
                              </w:rPr>
                            </w:pPr>
                          </w:p>
                        </w:txbxContent>
                      </wps:txbx>
                      <wps:bodyPr rot="0" vert="horz" wrap="square" lIns="91440" tIns="45720" rIns="91440" bIns="45720" anchor="t" anchorCtr="0" upright="1">
                        <a:noAutofit/>
                      </wps:bodyPr>
                    </wps:wsp>
                  </a:graphicData>
                </a:graphic>
              </wp:anchor>
            </w:drawing>
          </mc:Choice>
          <mc:Fallback>
            <w:pict>
              <v:shape id="文本框 1107" o:spid="_x0000_s1026" o:spt="202" type="#_x0000_t202" style="position:absolute;left:0pt;margin-left:-9pt;margin-top:1.65pt;height:49.8pt;width:62.55pt;z-index:252071936;mso-width-relative:page;mso-height-relative:page;" filled="f" stroked="f" coordsize="21600,21600" o:gfxdata="UEsDBAoAAAAAAIdO4kAAAAAAAAAAAAAAAAAEAAAAZHJzL1BLAwQUAAAACACHTuJAiUK4MNYAAAAJ&#10;AQAADwAAAGRycy9kb3ducmV2LnhtbE2PwW7CMBBE75X6D9Yi9QZ2oC2QxuHQqtdWpYDU2xIvSUS8&#10;jmJD0r+vcyq3Wc1q5k22GWwjrtT52rGGZKZAEBfO1Fxq2H2/T1cgfEA22DgmDb/kYZPf32WYGtfz&#10;F123oRQxhH2KGqoQ2lRKX1Rk0c9cSxy9k+sshnh2pTQd9jHcNnKu1LO0WHNsqLCl14qK8/ZiNew/&#10;Tj+HR/VZvtmntneDkmzXUuuHSaJeQAQawv8zjPgRHfLIdHQXNl40GqbJKm4JGhYLEKOvlgmI4yjm&#10;a5B5Jm8X5H9QSwMEFAAAAAgAh07iQMZolbIhAgAAJwQAAA4AAABkcnMvZTJvRG9jLnhtbK1TS27b&#10;MBDdF+gdCO5rWY5jO4LlII2RokD6AdIegKYoi6jEYYe0pfQA7Q266qb7nsvn6JBSXDfdZNENQXKG&#10;b+a9eVxedk3N9gqdBpPzdDTmTBkJhTbbnH/8cPNiwZnzwhSiBqNyfq8cv1w9f7ZsbaYmUEFdKGQE&#10;YlzW2pxX3tssSZysVCPcCKwyFCwBG+HpiNukQNESelMnk/F4lrSAhUWQyjm6XfdBPiDiUwChLLVU&#10;a5C7Rhnfo6KqhSdKrtLW8VXstiyV9O/K0inP6pwTUx9XKkL7TViT1VJkWxS20nJoQTylhUecGqEN&#10;FT1CrYUXbIf6H6hGSwQHpR9JaJKeSFSEWKTjR9rcVcKqyIWkdvYouvt/sPLt/j0yXeR8sZhzZkRD&#10;Iz98/3b48evw8ytL0/E8aNRal1HqnaVk372EjpwT+Tp7C/KTYwauK2G26goR2kqJgnpMw8vk5GmP&#10;4wLIpn0DBZUSOw8RqCuxCQKSJIzQaT73x/mozjNJl/OL6dninDNJodnZZDqL80tE9vDYovOvFDQs&#10;bHKONP4ILva3zodmRPaQEmoZuNF1HS1Qm78uKLG/UdFDw+tAJXTf8/Ddphuk2UBxT6QQen/R76JN&#10;BfiFs5a8lXP3eSdQcVa/NiTMRTqdBjPGw/R8PqEDnkY2pxFhJEHl3HPWb699b+CdRb2tqFI/CgNX&#10;JGapI9HQat/VMALyT+Q/eD0Y9PQcs/7879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iUK4MNYA&#10;AAAJAQAADwAAAAAAAAABACAAAAAiAAAAZHJzL2Rvd25yZXYueG1sUEsBAhQAFAAAAAgAh07iQMZo&#10;lbIhAgAAJwQAAA4AAAAAAAAAAQAgAAAAJQEAAGRycy9lMm9Eb2MueG1sUEsFBgAAAAAGAAYAWQEA&#10;ALgFAAAAAA==&#10;">
                <v:fill on="f" focussize="0,0"/>
                <v:stroke on="f"/>
                <v:imagedata o:title=""/>
                <o:lock v:ext="edit" aspectratio="f"/>
                <v:textbox>
                  <w:txbxContent>
                    <w:p w14:paraId="78C83E9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采购合同权益转让</w:t>
                      </w:r>
                    </w:p>
                    <w:p w14:paraId="1B43DFA7">
                      <w:pPr>
                        <w:spacing w:line="240" w:lineRule="exact"/>
                        <w:rPr>
                          <w:rFonts w:hint="eastAsia" w:ascii="楷体_GB2312" w:hAnsi="宋体" w:eastAsia="楷体_GB2312"/>
                          <w:b/>
                          <w:bCs/>
                          <w:sz w:val="18"/>
                          <w:szCs w:val="18"/>
                        </w:rPr>
                      </w:pPr>
                    </w:p>
                  </w:txbxContent>
                </v:textbox>
              </v:shape>
            </w:pict>
          </mc:Fallback>
        </mc:AlternateContent>
      </w:r>
      <w:r>
        <w:rPr>
          <w:rFonts w:hint="eastAsia" w:ascii="仿宋" w:hAnsi="仿宋" w:eastAsia="仿宋" w:cs="仿宋"/>
          <w:color w:val="auto"/>
          <w:highlight w:val="none"/>
          <w:lang w:eastAsia="zh-CN"/>
        </w:rPr>
        <w:t>因承包人违约解除合同的，发包人有权要求承包人将其为实施合同而签订的工程材料和工程设备的采购合同的权益转让给发包人，承包人应在收到解除合同通知后14 天内，协助发包人与采购合同的供应商达成相关的转让协议。</w:t>
      </w:r>
    </w:p>
    <w:p w14:paraId="0219BC6B">
      <w:pPr>
        <w:pStyle w:val="2"/>
        <w:adjustRightInd w:val="0"/>
        <w:snapToGrid w:val="0"/>
        <w:spacing w:line="360" w:lineRule="auto"/>
        <w:ind w:right="-238"/>
        <w:rPr>
          <w:rFonts w:hint="eastAsia" w:ascii="仿宋" w:hAnsi="仿宋" w:eastAsia="仿宋"/>
          <w:color w:val="auto"/>
          <w:highlight w:val="none"/>
          <w:lang w:eastAsia="zh-CN"/>
        </w:rPr>
      </w:pPr>
    </w:p>
    <w:p w14:paraId="1E646D10">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97" w:name="_Toc10485"/>
      <w:r>
        <w:rPr>
          <w:rFonts w:hint="eastAsia" w:ascii="仿宋" w:hAnsi="仿宋" w:eastAsia="仿宋" w:cs="仿宋"/>
          <w:bCs w:val="0"/>
          <w:color w:val="auto"/>
          <w:sz w:val="24"/>
          <w:szCs w:val="24"/>
          <w:highlight w:val="none"/>
          <w:lang w:eastAsia="zh-CN"/>
        </w:rPr>
        <w:t>★96 发包人违约</w:t>
      </w:r>
      <w:bookmarkEnd w:id="397"/>
    </w:p>
    <w:p w14:paraId="09AF40ED">
      <w:pPr>
        <w:pStyle w:val="2"/>
        <w:adjustRightInd w:val="0"/>
        <w:snapToGrid w:val="0"/>
        <w:spacing w:line="360" w:lineRule="auto"/>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72960" behindDoc="0" locked="0" layoutInCell="1" allowOverlap="1">
                <wp:simplePos x="0" y="0"/>
                <wp:positionH relativeFrom="column">
                  <wp:posOffset>-81280</wp:posOffset>
                </wp:positionH>
                <wp:positionV relativeFrom="paragraph">
                  <wp:posOffset>254000</wp:posOffset>
                </wp:positionV>
                <wp:extent cx="813435" cy="629285"/>
                <wp:effectExtent l="0" t="0" r="0" b="0"/>
                <wp:wrapNone/>
                <wp:docPr id="888" name="文本框 1108"/>
                <wp:cNvGraphicFramePr/>
                <a:graphic xmlns:a="http://schemas.openxmlformats.org/drawingml/2006/main">
                  <a:graphicData uri="http://schemas.microsoft.com/office/word/2010/wordprocessingShape">
                    <wps:wsp>
                      <wps:cNvSpPr txBox="1">
                        <a:spLocks noChangeArrowheads="1"/>
                      </wps:cNvSpPr>
                      <wps:spPr bwMode="auto">
                        <a:xfrm>
                          <a:off x="0" y="0"/>
                          <a:ext cx="813435" cy="629285"/>
                        </a:xfrm>
                        <a:prstGeom prst="rect">
                          <a:avLst/>
                        </a:prstGeom>
                        <a:noFill/>
                        <a:ln>
                          <a:noFill/>
                        </a:ln>
                        <a:effectLst/>
                      </wps:spPr>
                      <wps:txbx>
                        <w:txbxContent>
                          <w:p w14:paraId="014392E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发包人违约的情形</w:t>
                            </w:r>
                          </w:p>
                        </w:txbxContent>
                      </wps:txbx>
                      <wps:bodyPr rot="0" vert="horz" wrap="square" lIns="91440" tIns="45720" rIns="91440" bIns="45720" anchor="t" anchorCtr="0" upright="1">
                        <a:noAutofit/>
                      </wps:bodyPr>
                    </wps:wsp>
                  </a:graphicData>
                </a:graphic>
              </wp:anchor>
            </w:drawing>
          </mc:Choice>
          <mc:Fallback>
            <w:pict>
              <v:shape id="文本框 1108" o:spid="_x0000_s1026" o:spt="202" type="#_x0000_t202" style="position:absolute;left:0pt;margin-left:-6.4pt;margin-top:20pt;height:49.55pt;width:64.05pt;z-index:252072960;mso-width-relative:page;mso-height-relative:page;" filled="f" stroked="f" coordsize="21600,21600" o:gfxdata="UEsDBAoAAAAAAIdO4kAAAAAAAAAAAAAAAAAEAAAAZHJzL1BLAwQUAAAACACHTuJA25NU+tcAAAAK&#10;AQAADwAAAGRycy9kb3ducmV2LnhtbE2PzU7DMBCE70i8g7VI3Frb/RMNcXpoxRVEW5C4ufE2iYjX&#10;Uew24e3ZnuA2qxnNfpNvRt+KK/axCWRATxUIpDK4hioDx8PL5AlETJacbQOhgR+MsCnu73KbuTDQ&#10;O173qRJcQjGzBuqUukzKWNbobZyGDom9c+i9TXz2lXS9Hbjct3Km1Ep62xB/qG2H2xrL7/3FG/h4&#10;PX99LtRbtfPLbgijkuTX0pjHB62eQSQc018YbviMDgUzncKFXBStgYmeMXoysFC86RbQyzmIE4v5&#10;WoMscvl/QvELUEsDBBQAAAAIAIdO4kD3UrHfIQIAACcEAAAOAAAAZHJzL2Uyb0RvYy54bWytU0tu&#10;2zAQ3RfoHQjua1mOnSqC5SCNkaJA+gHSHoCmKIuoxGGHtCX3AM0Nuuqm+57L5+iQclw33WTRDUFy&#10;hm/mvXmcX/Ztw7YKnQZT8HQ05kwZCaU264J/+njzIuPMeWFK0YBRBd8pxy8Xz5/NO5urCdTQlAoZ&#10;gRiXd7bgtfc2TxIna9UKNwKrDAUrwFZ4OuI6KVF0hN42yWQ8Pk86wNIiSOUc3S6HID8g4lMAoaq0&#10;VEuQm1YZP6CiaoQnSq7W1vFF7LaqlPTvq8opz5qCE1MfVypC+1VYk8Vc5GsUttby0IJ4SguPOLVC&#10;Gyp6hFoKL9gG9T9QrZYIDio/ktAmA5GoCLFIx4+0uauFVZELSe3sUXT3/2Dlu+0HZLoseJbR4I1o&#10;aeT77/f7H7/2P7+xNB1nQaPOupxS7ywl+/4V9OScyNfZW5CfHTNwXQuzVleI0NVKlNRjGl4mJ08H&#10;HBdAVt1bKKmU2HiIQH2FbRCQJGGETvPZHeejes8kXWbp2fRsxpmk0PnkYpLNYgWRPzy26PxrBS0L&#10;m4IjjT+Ci+2t86EZkT+khFoGbnTTRAs05q8LShxuVPTQ4XWgErofePh+1R+kWUG5I1IIg7/od9Gm&#10;BvzKWUfeKrj7shGoOGveGBLmIp1OgxnjYTp7OaEDnkZWpxFhJEEV3HM2bK/9YOCNRb2uqdIwCgNX&#10;JGalI9HQ6tDVYQTkn8j/4PVg0NNzzPrzvx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TVPrX&#10;AAAACgEAAA8AAAAAAAAAAQAgAAAAIgAAAGRycy9kb3ducmV2LnhtbFBLAQIUABQAAAAIAIdO4kD3&#10;UrHfIQIAACcEAAAOAAAAAAAAAAEAIAAAACYBAABkcnMvZTJvRG9jLnhtbFBLBQYAAAAABgAGAFkB&#10;AAC5BQAAAAA=&#10;">
                <v:fill on="f" focussize="0,0"/>
                <v:stroke on="f"/>
                <v:imagedata o:title=""/>
                <o:lock v:ext="edit" aspectratio="f"/>
                <v:textbox>
                  <w:txbxContent>
                    <w:p w14:paraId="014392E8">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发包人违约的情形</w:t>
                      </w:r>
                    </w:p>
                  </w:txbxContent>
                </v:textbox>
              </v:shape>
            </w:pict>
          </mc:Fallback>
        </mc:AlternateContent>
      </w:r>
      <w:r>
        <w:rPr>
          <w:rFonts w:hint="eastAsia" w:ascii="仿宋" w:hAnsi="仿宋" w:eastAsia="仿宋" w:cs="仿宋"/>
          <w:b/>
          <w:bCs/>
          <w:color w:val="auto"/>
          <w:sz w:val="24"/>
          <w:szCs w:val="24"/>
          <w:highlight w:val="none"/>
          <w:lang w:eastAsia="zh-CN"/>
        </w:rPr>
        <w:t>96</w:t>
      </w:r>
      <w:r>
        <w:rPr>
          <w:rFonts w:ascii="仿宋" w:hAnsi="仿宋" w:eastAsia="仿宋" w:cs="仿宋"/>
          <w:b/>
          <w:bCs/>
          <w:color w:val="auto"/>
          <w:sz w:val="24"/>
          <w:szCs w:val="24"/>
          <w:highlight w:val="none"/>
          <w:lang w:eastAsia="zh-CN"/>
        </w:rPr>
        <w:t>.1</w:t>
      </w:r>
    </w:p>
    <w:p w14:paraId="2FD4AD62">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除合同专用条款另有约定外，在合同履行过程中发生的下列情形，属于发包人违约：</w:t>
      </w:r>
    </w:p>
    <w:p w14:paraId="57C385E9">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因发包人原因导致开始工作日期延误的； </w:t>
      </w:r>
    </w:p>
    <w:p w14:paraId="0C273F0B">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因发包人原因未能按合同约定支付合同价款的；</w:t>
      </w:r>
    </w:p>
    <w:p w14:paraId="67D0F347">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发包人违反第13.1.1项约定，自行实施被取消的工作或转由他人实施的；</w:t>
      </w:r>
    </w:p>
    <w:p w14:paraId="2C524911">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ab/>
      </w:r>
      <w:r>
        <w:rPr>
          <w:rFonts w:hint="eastAsia" w:ascii="仿宋" w:hAnsi="仿宋" w:eastAsia="仿宋" w:cs="仿宋"/>
          <w:color w:val="auto"/>
          <w:highlight w:val="none"/>
          <w:lang w:eastAsia="zh-CN"/>
        </w:rPr>
        <w:t>因发包人违反合同约定造成工程暂停施工的；</w:t>
      </w:r>
    </w:p>
    <w:p w14:paraId="08F0882A">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监理人无正当理由没有在约定期限内发出复工指示，导致承包人无法复工的；</w:t>
      </w:r>
    </w:p>
    <w:p w14:paraId="007C886D">
      <w:pPr>
        <w:widowControl w:val="0"/>
        <w:numPr>
          <w:ilvl w:val="1"/>
          <w:numId w:val="33"/>
        </w:numPr>
        <w:tabs>
          <w:tab w:val="clear" w:pos="3285"/>
        </w:tabs>
        <w:spacing w:line="360" w:lineRule="auto"/>
        <w:ind w:left="1850" w:leftChars="771" w:firstLine="0"/>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发包人明确表示或者以其行为表明不履行合同主要义务的；</w:t>
      </w:r>
    </w:p>
    <w:p w14:paraId="7C08232B">
      <w:pPr>
        <w:widowControl w:val="0"/>
        <w:numPr>
          <w:ilvl w:val="1"/>
          <w:numId w:val="33"/>
        </w:numPr>
        <w:tabs>
          <w:tab w:val="clear" w:pos="3285"/>
        </w:tabs>
        <w:adjustRightInd w:val="0"/>
        <w:snapToGrid w:val="0"/>
        <w:spacing w:line="360" w:lineRule="auto"/>
        <w:ind w:left="1850" w:leftChars="771" w:firstLine="0"/>
        <w:jc w:val="both"/>
        <w:rPr>
          <w:rFonts w:hint="eastAsia" w:ascii="仿宋" w:hAnsi="仿宋" w:eastAsia="仿宋"/>
          <w:b/>
          <w:bCs/>
          <w:color w:val="auto"/>
          <w:highlight w:val="none"/>
          <w:lang w:eastAsia="zh-CN"/>
        </w:rPr>
      </w:pPr>
      <w:r>
        <w:rPr>
          <w:rFonts w:hint="eastAsia" w:ascii="仿宋" w:hAnsi="仿宋" w:eastAsia="仿宋" w:cs="仿宋"/>
          <w:color w:val="auto"/>
          <w:highlight w:val="none"/>
          <w:lang w:eastAsia="zh-CN"/>
        </w:rPr>
        <w:tab/>
      </w:r>
      <w:r>
        <w:rPr>
          <w:rFonts w:hint="eastAsia" w:ascii="仿宋" w:hAnsi="仿宋" w:eastAsia="仿宋" w:cs="仿宋"/>
          <w:color w:val="auto"/>
          <w:highlight w:val="none"/>
          <w:lang w:eastAsia="zh-CN"/>
        </w:rPr>
        <w:t>发包人未能按照合同约定履行其他义务的。</w:t>
      </w:r>
    </w:p>
    <w:p w14:paraId="6BF06791">
      <w:pPr>
        <w:spacing w:line="360" w:lineRule="auto"/>
        <w:rPr>
          <w:rFonts w:hint="eastAsia" w:ascii="仿宋" w:hAnsi="仿宋" w:eastAsia="仿宋" w:cs="仿宋"/>
          <w:b/>
          <w:bCs/>
          <w:color w:val="auto"/>
          <w:highlight w:val="none"/>
          <w:u w:val="dotted"/>
          <w:lang w:eastAsia="zh-CN"/>
        </w:rPr>
      </w:pPr>
      <w:r>
        <w:rPr>
          <w:color w:val="auto"/>
          <w:highlight w:val="none"/>
          <w:lang w:eastAsia="zh-CN" w:bidi="ar-SA"/>
        </w:rPr>
        <mc:AlternateContent>
          <mc:Choice Requires="wps">
            <w:drawing>
              <wp:anchor distT="0" distB="0" distL="114300" distR="114300" simplePos="0" relativeHeight="252073984" behindDoc="0" locked="0" layoutInCell="1" allowOverlap="1">
                <wp:simplePos x="0" y="0"/>
                <wp:positionH relativeFrom="column">
                  <wp:posOffset>-114300</wp:posOffset>
                </wp:positionH>
                <wp:positionV relativeFrom="paragraph">
                  <wp:posOffset>235585</wp:posOffset>
                </wp:positionV>
                <wp:extent cx="775970" cy="547370"/>
                <wp:effectExtent l="0" t="0" r="0" b="0"/>
                <wp:wrapNone/>
                <wp:docPr id="889" name="文本框 1109"/>
                <wp:cNvGraphicFramePr/>
                <a:graphic xmlns:a="http://schemas.openxmlformats.org/drawingml/2006/main">
                  <a:graphicData uri="http://schemas.microsoft.com/office/word/2010/wordprocessingShape">
                    <wps:wsp>
                      <wps:cNvSpPr txBox="1">
                        <a:spLocks noChangeArrowheads="1"/>
                      </wps:cNvSpPr>
                      <wps:spPr bwMode="auto">
                        <a:xfrm>
                          <a:off x="0" y="0"/>
                          <a:ext cx="775970" cy="547370"/>
                        </a:xfrm>
                        <a:prstGeom prst="rect">
                          <a:avLst/>
                        </a:prstGeom>
                        <a:noFill/>
                        <a:ln>
                          <a:noFill/>
                        </a:ln>
                        <a:effectLst/>
                      </wps:spPr>
                      <wps:txbx>
                        <w:txbxContent>
                          <w:p w14:paraId="24002E9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lang w:eastAsia="zh-CN"/>
                              </w:rPr>
                              <w:t>通知改正</w:t>
                            </w:r>
                          </w:p>
                        </w:txbxContent>
                      </wps:txbx>
                      <wps:bodyPr rot="0" vert="horz" wrap="square" lIns="91440" tIns="45720" rIns="91440" bIns="45720" anchor="t" anchorCtr="0" upright="1">
                        <a:noAutofit/>
                      </wps:bodyPr>
                    </wps:wsp>
                  </a:graphicData>
                </a:graphic>
              </wp:anchor>
            </w:drawing>
          </mc:Choice>
          <mc:Fallback>
            <w:pict>
              <v:shape id="文本框 1109" o:spid="_x0000_s1026" o:spt="202" type="#_x0000_t202" style="position:absolute;left:0pt;margin-left:-9pt;margin-top:18.55pt;height:43.1pt;width:61.1pt;z-index:252073984;mso-width-relative:page;mso-height-relative:page;" filled="f" stroked="f" coordsize="21600,21600" o:gfxdata="UEsDBAoAAAAAAIdO4kAAAAAAAAAAAAAAAAAEAAAAZHJzL1BLAwQUAAAACACHTuJADRlAF9gAAAAK&#10;AQAADwAAAGRycy9kb3ducmV2LnhtbE2PzU7DMBCE70h9B2srcWvXSQqUNE4PIK4gyo/EzY23SdR4&#10;HcVuE94e90Rvs5rR7DfFdrKdONPgW8cKkqUEQVw503Kt4PPjZbEG4YNmozvHpOCXPGzL2U2hc+NG&#10;fqfzLtQilrDPtYImhD5H9FVDVvul64mjd3CD1SGeQ41m0GMstx2mUt6j1S3HD43u6amh6rg7WQVf&#10;r4ef75V8q5/tXT+6SSLbR1Tqdp7IDYhAU/gPwwU/okMZmfbuxMaLTsEiWcctQUH2kIC4BOQqBbGP&#10;Is0ywLLA6wnlH1BLAwQUAAAACACHTuJA2Uxn4B4CAAAnBAAADgAAAGRycy9lMm9Eb2MueG1srVPN&#10;jtMwEL4j8Q6W7zRNaWkbNV0tWy1CWn6khQdwHaexSDxm7DYpD8C+AScu3HmuPgdjp9sty2UPXKLx&#10;/Hwz3zeTxUXX1Gyn0GkwOU8HQ86UkVBos8n550/XL2acOS9MIWowKud75fjF8vmzRWszNYIK6kIh&#10;IxDjstbmvPLeZkniZKUa4QZglaFgCdgIT0/cJAWKltCbOhkNh6+SFrCwCFI5R95VH+RHRHwKIJSl&#10;lmoFctso43tUVLXwRMlV2jq+jNOWpZL+Q1k65Vmdc2Lq45eakL0O32S5ENkGha20PI4gnjLCI06N&#10;0IaanqBWwgu2Rf0PVKMlgoPSDyQ0SU8kKkIs0uEjbW4rYVXkQlI7exLd/T9Y+X73EZkucj6bzTkz&#10;oqGVH37cHX7+Pvz6ztJ0OA8atdZllHprKdl3r6Gjy4l8nb0B+cUxA1eVMBt1iQhtpURBM6ahMjkr&#10;7XFcAFm376CgVmLrIQJ1JTZBQJKEETrtZ3/aj+o8k+ScTifzKUUkhSbj6UuyQweR3RdbdP6NgoYF&#10;I+dI64/gYnfjfJ96nxJ6GbjWdU1+kdXmLwdh9h4Vb+hYHaiE6Xsevlt3VBucayj2RAqhvy/6u8io&#10;AL9x1tJt5dx93QpUnNVvDQkzT8fjcIzxMZ5MR/TA88j6PCKMJKice85688r3B7y1qDcVdepXYeCS&#10;xCx1JPow1XEFdD9RquOthwM9f8esh/97+Q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NGUAX2AAA&#10;AAoBAAAPAAAAAAAAAAEAIAAAACIAAABkcnMvZG93bnJldi54bWxQSwECFAAUAAAACACHTuJA2Uxn&#10;4B4CAAAnBAAADgAAAAAAAAABACAAAAAnAQAAZHJzL2Uyb0RvYy54bWxQSwUGAAAAAAYABgBZAQAA&#10;twUAAAAA&#10;">
                <v:fill on="f" focussize="0,0"/>
                <v:stroke on="f"/>
                <v:imagedata o:title=""/>
                <o:lock v:ext="edit" aspectratio="f"/>
                <v:textbox>
                  <w:txbxContent>
                    <w:p w14:paraId="24002E93">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lang w:eastAsia="zh-CN"/>
                        </w:rPr>
                        <w:t>通知改正</w:t>
                      </w:r>
                    </w:p>
                  </w:txbxContent>
                </v:textbox>
              </v:shape>
            </w:pict>
          </mc:Fallback>
        </mc:AlternateContent>
      </w:r>
      <w:r>
        <w:rPr>
          <w:rFonts w:hint="eastAsia" w:ascii="仿宋" w:hAnsi="仿宋" w:eastAsia="仿宋" w:cs="仿宋"/>
          <w:b/>
          <w:bCs/>
          <w:color w:val="auto"/>
          <w:highlight w:val="none"/>
          <w:lang w:eastAsia="zh-CN"/>
        </w:rPr>
        <w:t>96</w:t>
      </w:r>
      <w:r>
        <w:rPr>
          <w:rFonts w:ascii="仿宋" w:hAnsi="仿宋" w:eastAsia="仿宋" w:cs="仿宋"/>
          <w:b/>
          <w:bCs/>
          <w:color w:val="auto"/>
          <w:highlight w:val="none"/>
          <w:lang w:eastAsia="zh-CN"/>
        </w:rPr>
        <w:t>.2</w:t>
      </w:r>
    </w:p>
    <w:p w14:paraId="192C2FBB">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发生除第96.2款第（6）项以外的违约情况时，承包人可向发包人发出通知，要求发包人采取有效措施纠正违约行为。发包人收到承包人通知后28天内仍不纠正违约行为的，承包人有权暂停相应部位工程实施，并通知设计顾问人、监理人和造价咨询人。</w:t>
      </w:r>
    </w:p>
    <w:p w14:paraId="0AA9E703">
      <w:pPr>
        <w:spacing w:line="360" w:lineRule="auto"/>
        <w:rPr>
          <w:rFonts w:hint="eastAsia" w:ascii="仿宋" w:hAnsi="仿宋" w:eastAsia="仿宋" w:cs="仿宋"/>
          <w:b/>
          <w:bCs/>
          <w:color w:val="auto"/>
          <w:highlight w:val="none"/>
          <w:u w:val="dotted"/>
          <w:lang w:eastAsia="zh-CN"/>
        </w:rPr>
      </w:pPr>
      <w:r>
        <w:rPr>
          <w:color w:val="auto"/>
          <w:highlight w:val="none"/>
          <w:lang w:eastAsia="zh-CN" w:bidi="ar-SA"/>
        </w:rPr>
        <mc:AlternateContent>
          <mc:Choice Requires="wps">
            <w:drawing>
              <wp:anchor distT="0" distB="0" distL="114300" distR="114300" simplePos="0" relativeHeight="252114944" behindDoc="0" locked="0" layoutInCell="1" allowOverlap="1">
                <wp:simplePos x="0" y="0"/>
                <wp:positionH relativeFrom="column">
                  <wp:posOffset>-114300</wp:posOffset>
                </wp:positionH>
                <wp:positionV relativeFrom="paragraph">
                  <wp:posOffset>235585</wp:posOffset>
                </wp:positionV>
                <wp:extent cx="803910" cy="536575"/>
                <wp:effectExtent l="0" t="0" r="0" b="0"/>
                <wp:wrapNone/>
                <wp:docPr id="890" name="文本框 1109"/>
                <wp:cNvGraphicFramePr/>
                <a:graphic xmlns:a="http://schemas.openxmlformats.org/drawingml/2006/main">
                  <a:graphicData uri="http://schemas.microsoft.com/office/word/2010/wordprocessingShape">
                    <wps:wsp>
                      <wps:cNvSpPr txBox="1">
                        <a:spLocks noChangeArrowheads="1"/>
                      </wps:cNvSpPr>
                      <wps:spPr bwMode="auto">
                        <a:xfrm>
                          <a:off x="0" y="0"/>
                          <a:ext cx="803910" cy="536575"/>
                        </a:xfrm>
                        <a:prstGeom prst="rect">
                          <a:avLst/>
                        </a:prstGeom>
                        <a:noFill/>
                        <a:ln>
                          <a:noFill/>
                        </a:ln>
                        <a:effectLst/>
                      </wps:spPr>
                      <wps:txbx>
                        <w:txbxContent>
                          <w:p w14:paraId="597F2EE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发包人违约</w:t>
                            </w:r>
                            <w:r>
                              <w:rPr>
                                <w:rFonts w:hint="eastAsia" w:ascii="楷体_GB2312" w:hAnsi="宋体" w:eastAsia="楷体_GB2312" w:cs="楷体_GB2312"/>
                                <w:b/>
                                <w:bCs/>
                                <w:sz w:val="18"/>
                                <w:szCs w:val="18"/>
                                <w:lang w:eastAsia="zh-CN"/>
                              </w:rPr>
                              <w:t>的责任</w:t>
                            </w:r>
                          </w:p>
                        </w:txbxContent>
                      </wps:txbx>
                      <wps:bodyPr rot="0" vert="horz" wrap="square" lIns="91440" tIns="45720" rIns="91440" bIns="45720" anchor="t" anchorCtr="0" upright="1">
                        <a:noAutofit/>
                      </wps:bodyPr>
                    </wps:wsp>
                  </a:graphicData>
                </a:graphic>
              </wp:anchor>
            </w:drawing>
          </mc:Choice>
          <mc:Fallback>
            <w:pict>
              <v:shape id="文本框 1109" o:spid="_x0000_s1026" o:spt="202" type="#_x0000_t202" style="position:absolute;left:0pt;margin-left:-9pt;margin-top:18.55pt;height:42.25pt;width:63.3pt;z-index:252114944;mso-width-relative:page;mso-height-relative:page;" filled="f" stroked="f" coordsize="21600,21600" o:gfxdata="UEsDBAoAAAAAAIdO4kAAAAAAAAAAAAAAAAAEAAAAZHJzL1BLAwQUAAAACACHTuJAPLFhHNcAAAAK&#10;AQAADwAAAGRycy9kb3ducmV2LnhtbE2PwU7DMBBE70j8g7VI3FrbBdIQsukBxBVEgUrc3HibRMTr&#10;KHab8Pe4J7jNakazb8rN7HpxojF0nhH0UoEgrr3tuEH4eH9e5CBCNGxN75kQfijAprq8KE1h/cRv&#10;dNrGRqQSDoVBaGMcCilD3ZIzYekH4uQd/OhMTOfYSDuaKZW7Xq6UyqQzHacPrRnosaX6e3t0CJ8v&#10;h6/drXptntzdMPlZSXb3EvH6SqsHEJHm+BeGM35Chyox7f2RbRA9wkLnaUtEuFlrEOeAyjMQ+yRW&#10;OgNZlfL/hOoXUEsDBBQAAAAIAIdO4kCJegMKIAIAACcEAAAOAAAAZHJzL2Uyb0RvYy54bWytU0tu&#10;2zAQ3RfoHQjua1mOndiC5SCNkaJA+gHSHoCmKIuoxGGHtKX0AO0Nuuqm+57L5+iQUlw33WTRDUFy&#10;hm/eezNcXnZNzfYKnQaT83Q05kwZCYU225x//HDzYs6Z88IUogajcn6vHL9cPX+2bG2mJlBBXShk&#10;BGJc1tqcV97bLEmcrFQj3AisMhQsARvh6YjbpEDREnpTJ5Px+DxpAQuLIJVzdLvug3xAxKcAQllq&#10;qdYgd40yvkdFVQtPklylreOryLYslfTvytIpz+qck1IfVypC+01Yk9VSZFsUttJyoCCeQuGRpkZo&#10;Q0WPUGvhBduh/geq0RLBQelHEpqkFxIdIRXp+JE3d5WwKmohq509mu7+H6x8u3+PTBc5ny/IEyMa&#10;avnh+7fDj1+Hn19Zmo4XwaPWuoxS7ywl++4ldDQ5Ua+ztyA/OWbguhJmq64Qoa2UKIhjGl4mJ097&#10;HBdANu0bKKiU2HmIQF2JTTCQLGGETlzuj/1RnWeSLufjs0VKEUmh2dn57GIWK4js4bFF518paFjY&#10;5Byp/RFc7G+dD2RE9pASahm40XUdR6A2f11QYn+j4gwNr4OUwL7X4btNN1izgeKeRCH080W/izYV&#10;4BfOWpqtnLvPO4GKs/q1IWMW6XRKMnw8TGcXEzrgaWRzGhFGElTOPWf99tr3A7yzqLcVVepbYeCK&#10;zCx1FBqo9qyGFtD8RP3DrIcBPT3HrD//e/U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LFhHNcA&#10;AAAKAQAADwAAAAAAAAABACAAAAAiAAAAZHJzL2Rvd25yZXYueG1sUEsBAhQAFAAAAAgAh07iQIl6&#10;AwogAgAAJwQAAA4AAAAAAAAAAQAgAAAAJgEAAGRycy9lMm9Eb2MueG1sUEsFBgAAAAAGAAYAWQEA&#10;ALgFAAAAAA==&#10;">
                <v:fill on="f" focussize="0,0"/>
                <v:stroke on="f"/>
                <v:imagedata o:title=""/>
                <o:lock v:ext="edit" aspectratio="f"/>
                <v:textbox>
                  <w:txbxContent>
                    <w:p w14:paraId="597F2EE5">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发包人违约</w:t>
                      </w:r>
                      <w:r>
                        <w:rPr>
                          <w:rFonts w:hint="eastAsia" w:ascii="楷体_GB2312" w:hAnsi="宋体" w:eastAsia="楷体_GB2312" w:cs="楷体_GB2312"/>
                          <w:b/>
                          <w:bCs/>
                          <w:sz w:val="18"/>
                          <w:szCs w:val="18"/>
                          <w:lang w:eastAsia="zh-CN"/>
                        </w:rPr>
                        <w:t>的责任</w:t>
                      </w:r>
                    </w:p>
                  </w:txbxContent>
                </v:textbox>
              </v:shape>
            </w:pict>
          </mc:Fallback>
        </mc:AlternateContent>
      </w:r>
      <w:r>
        <w:rPr>
          <w:rFonts w:hint="eastAsia" w:ascii="仿宋" w:hAnsi="仿宋" w:eastAsia="仿宋" w:cs="仿宋"/>
          <w:b/>
          <w:bCs/>
          <w:color w:val="auto"/>
          <w:highlight w:val="none"/>
          <w:lang w:eastAsia="zh-CN"/>
        </w:rPr>
        <w:t>96</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3</w:t>
      </w:r>
    </w:p>
    <w:p w14:paraId="2C2BBF1F">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发包人应承担因其违约给承包人增加的费用和（或）延误的工期，并支付承包人合理的利润。此外，合同当事人可在合同专用条款中另行约定发包人违约责任的承担方式和计算方法。</w:t>
      </w:r>
    </w:p>
    <w:p w14:paraId="28DE7BD0">
      <w:pPr>
        <w:pStyle w:val="2"/>
        <w:adjustRightInd w:val="0"/>
        <w:snapToGrid w:val="0"/>
        <w:spacing w:line="360" w:lineRule="auto"/>
        <w:ind w:right="-238"/>
        <w:rPr>
          <w:rFonts w:hint="eastAsia" w:ascii="仿宋" w:hAnsi="仿宋" w:eastAsia="仿宋"/>
          <w:color w:val="auto"/>
          <w:highlight w:val="none"/>
          <w:lang w:eastAsia="zh-CN"/>
        </w:rPr>
      </w:pPr>
    </w:p>
    <w:p w14:paraId="6196A42F">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98" w:name="_Toc19749"/>
      <w:r>
        <w:rPr>
          <w:rFonts w:hint="eastAsia" w:ascii="仿宋" w:hAnsi="仿宋" w:eastAsia="仿宋" w:cs="仿宋"/>
          <w:bCs w:val="0"/>
          <w:color w:val="auto"/>
          <w:sz w:val="24"/>
          <w:szCs w:val="24"/>
          <w:highlight w:val="none"/>
          <w:lang w:eastAsia="zh-CN"/>
        </w:rPr>
        <w:t>★</w:t>
      </w:r>
      <w:r>
        <w:rPr>
          <w:rFonts w:ascii="仿宋" w:hAnsi="仿宋" w:eastAsia="仿宋" w:cs="仿宋"/>
          <w:bCs w:val="0"/>
          <w:color w:val="auto"/>
          <w:sz w:val="24"/>
          <w:szCs w:val="24"/>
          <w:highlight w:val="none"/>
          <w:lang w:eastAsia="zh-CN"/>
        </w:rPr>
        <w:t>9</w:t>
      </w:r>
      <w:r>
        <w:rPr>
          <w:rFonts w:hint="eastAsia" w:ascii="仿宋" w:hAnsi="仿宋" w:eastAsia="仿宋" w:cs="仿宋"/>
          <w:bCs w:val="0"/>
          <w:color w:val="auto"/>
          <w:sz w:val="24"/>
          <w:szCs w:val="24"/>
          <w:highlight w:val="none"/>
          <w:lang w:eastAsia="zh-CN"/>
        </w:rPr>
        <w:t>7第三方违约与除外责任</w:t>
      </w:r>
      <w:bookmarkEnd w:id="398"/>
    </w:p>
    <w:p w14:paraId="11304584">
      <w:pPr>
        <w:spacing w:line="360" w:lineRule="auto"/>
        <w:rPr>
          <w:rFonts w:hint="eastAsia" w:ascii="仿宋" w:hAnsi="仿宋" w:eastAsia="仿宋" w:cs="仿宋"/>
          <w:b/>
          <w:bCs/>
          <w:color w:val="auto"/>
          <w:highlight w:val="none"/>
          <w:u w:val="dotted"/>
          <w:lang w:eastAsia="zh-CN"/>
        </w:rPr>
      </w:pPr>
      <w:r>
        <w:rPr>
          <w:color w:val="auto"/>
          <w:highlight w:val="none"/>
          <w:lang w:eastAsia="zh-CN" w:bidi="ar-SA"/>
        </w:rPr>
        <mc:AlternateContent>
          <mc:Choice Requires="wps">
            <w:drawing>
              <wp:anchor distT="0" distB="0" distL="114300" distR="114300" simplePos="0" relativeHeight="252115968" behindDoc="0" locked="0" layoutInCell="1" allowOverlap="1">
                <wp:simplePos x="0" y="0"/>
                <wp:positionH relativeFrom="column">
                  <wp:posOffset>-114300</wp:posOffset>
                </wp:positionH>
                <wp:positionV relativeFrom="paragraph">
                  <wp:posOffset>235585</wp:posOffset>
                </wp:positionV>
                <wp:extent cx="833120" cy="584835"/>
                <wp:effectExtent l="0" t="0" r="0" b="0"/>
                <wp:wrapNone/>
                <wp:docPr id="891" name="文本框 1109"/>
                <wp:cNvGraphicFramePr/>
                <a:graphic xmlns:a="http://schemas.openxmlformats.org/drawingml/2006/main">
                  <a:graphicData uri="http://schemas.microsoft.com/office/word/2010/wordprocessingShape">
                    <wps:wsp>
                      <wps:cNvSpPr txBox="1">
                        <a:spLocks noChangeArrowheads="1"/>
                      </wps:cNvSpPr>
                      <wps:spPr bwMode="auto">
                        <a:xfrm>
                          <a:off x="0" y="0"/>
                          <a:ext cx="833120" cy="584835"/>
                        </a:xfrm>
                        <a:prstGeom prst="rect">
                          <a:avLst/>
                        </a:prstGeom>
                        <a:noFill/>
                        <a:ln>
                          <a:noFill/>
                        </a:ln>
                        <a:effectLst/>
                      </wps:spPr>
                      <wps:txbx>
                        <w:txbxContent>
                          <w:p w14:paraId="0880335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lang w:eastAsia="zh-CN"/>
                              </w:rPr>
                              <w:t>第三方违约</w:t>
                            </w:r>
                          </w:p>
                        </w:txbxContent>
                      </wps:txbx>
                      <wps:bodyPr rot="0" vert="horz" wrap="square" lIns="91440" tIns="45720" rIns="91440" bIns="45720" anchor="t" anchorCtr="0" upright="1">
                        <a:noAutofit/>
                      </wps:bodyPr>
                    </wps:wsp>
                  </a:graphicData>
                </a:graphic>
              </wp:anchor>
            </w:drawing>
          </mc:Choice>
          <mc:Fallback>
            <w:pict>
              <v:shape id="文本框 1109" o:spid="_x0000_s1026" o:spt="202" type="#_x0000_t202" style="position:absolute;left:0pt;margin-left:-9pt;margin-top:18.55pt;height:46.05pt;width:65.6pt;z-index:252115968;mso-width-relative:page;mso-height-relative:page;" filled="f" stroked="f" coordsize="21600,21600" o:gfxdata="UEsDBAoAAAAAAIdO4kAAAAAAAAAAAAAAAAAEAAAAZHJzL1BLAwQUAAAACACHTuJA3tOxWdgAAAAK&#10;AQAADwAAAGRycy9kb3ducmV2LnhtbE2PwU7DMBBE70j8g7VI3FrbKdA2xOkBxBVEgUrc3HibRMTr&#10;KHab8PdsT/Q2qxnNvik2k+/ECYfYBjKg5woEUhVcS7WBz4+X2QpETJac7QKhgV+MsCmvrwqbuzDS&#10;O562qRZcQjG3BpqU+lzKWDXobZyHHom9Qxi8TXwOtXSDHbncdzJT6kF62xJ/aGyPTw1WP9ujN/D1&#10;evje3am3+tnf92OYlCS/lsbc3mj1CCLhlP7DcMZndCiZaR+O5KLoDMz0irckA4ulBnEO6EUGYs8i&#10;W2cgy0JeTij/AFBLAwQUAAAACACHTuJAjdfykB8CAAAnBAAADgAAAGRycy9lMm9Eb2MueG1srVPN&#10;jtMwEL4j8Q6W7zRNf6CNmq6WrRYhLT/SwgO4jtNYJB4zdpssDwBvwIkLd56rz8HYyZayXPbAxbI9&#10;42/m++bz6qJranZQ6DSYnKejMWfKSCi02eX844frZwvOnBemEDUYlfM75fjF+umTVWszNYEK6kIh&#10;IxDjstbmvPLeZkniZKUa4UZglaFgCdgIT0fcJQWKltCbOpmMx8+TFrCwCFI5R7ebPsgHRHwMIJSl&#10;lmoDct8o43tUVLXwRMlV2jq+jt2WpZL+XVk65Vmdc2Lq40pFaL8Na7JeiWyHwlZaDi2Ix7TwgFMj&#10;tKGiJ6iN8ILtUf8D1WiJ4KD0IwlN0hOJihCLdPxAm9tKWBW5kNTOnkR3/w9Wvj28R6aLnC+WKWdG&#10;NDTy4/dvxx+/jj+/sjQdL4NGrXUZpd5aSvbdS+jIOZGvszcgPzlm4KoSZqcuEaGtlCioxzS8TM6e&#10;9jgugGzbN1BQKbH3EIG6EpsgIEnCCJ3mc3eaj+o8k3S5mE7TCUUkheaL2WI6jxVEdv/YovOvFDQs&#10;bHKONP4ILg43zodmRHafEmoZuNZ1HS1Qm78uKLG/UdFDw+tAJXTf8/Ddthuk2UJxR6QQen/R76JN&#10;BfiFs5a8lXP3eS9QcVa/NiTMMp3NghnjYTZ/ETjheWR7HhFGElTOPWf99sr3Bt5b1LuKKvWjMHBJ&#10;YpY6Eg2t9l0NIyD/RP6D14NBz88x68//Xv8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3tOxWdgA&#10;AAAKAQAADwAAAAAAAAABACAAAAAiAAAAZHJzL2Rvd25yZXYueG1sUEsBAhQAFAAAAAgAh07iQI3X&#10;8pAfAgAAJwQAAA4AAAAAAAAAAQAgAAAAJwEAAGRycy9lMm9Eb2MueG1sUEsFBgAAAAAGAAYAWQEA&#10;ALgFAAAAAA==&#10;">
                <v:fill on="f" focussize="0,0"/>
                <v:stroke on="f"/>
                <v:imagedata o:title=""/>
                <o:lock v:ext="edit" aspectratio="f"/>
                <v:textbox>
                  <w:txbxContent>
                    <w:p w14:paraId="08803351">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lang w:eastAsia="zh-CN"/>
                        </w:rPr>
                        <w:t>第三方违约</w:t>
                      </w:r>
                    </w:p>
                  </w:txbxContent>
                </v:textbox>
              </v:shape>
            </w:pict>
          </mc:Fallback>
        </mc:AlternateContent>
      </w:r>
      <w:r>
        <w:rPr>
          <w:rFonts w:hint="eastAsia" w:ascii="仿宋" w:hAnsi="仿宋" w:eastAsia="仿宋" w:cs="仿宋"/>
          <w:b/>
          <w:bCs/>
          <w:color w:val="auto"/>
          <w:highlight w:val="none"/>
          <w:lang w:eastAsia="zh-CN"/>
        </w:rPr>
        <w:t>97</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1</w:t>
      </w:r>
    </w:p>
    <w:p w14:paraId="11590D1D">
      <w:pPr>
        <w:widowControl w:val="0"/>
        <w:adjustRightInd w:val="0"/>
        <w:snapToGrid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在履行合同过程中，一方当事人因第三人的原因造成违约的，应当向对方当事人承担违约责任。一方当事人和第三人之间的纠纷，依照法律规定或者按照约定解决。</w:t>
      </w:r>
    </w:p>
    <w:p w14:paraId="619A9CE9">
      <w:pPr>
        <w:spacing w:line="360" w:lineRule="auto"/>
        <w:rPr>
          <w:color w:val="auto"/>
          <w:highlight w:val="none"/>
          <w:lang w:eastAsia="zh-CN" w:bidi="ar-SA"/>
        </w:rPr>
      </w:pPr>
      <w:r>
        <w:rPr>
          <w:rFonts w:hint="eastAsia" w:ascii="仿宋" w:hAnsi="仿宋" w:eastAsia="仿宋" w:cs="仿宋"/>
          <w:b/>
          <w:bCs/>
          <w:color w:val="auto"/>
          <w:highlight w:val="none"/>
          <w:lang w:eastAsia="zh-CN"/>
        </w:rPr>
        <w:t>97</w:t>
      </w:r>
      <w:r>
        <w:rPr>
          <w:rFonts w:ascii="仿宋" w:hAnsi="仿宋" w:eastAsia="仿宋" w:cs="仿宋"/>
          <w:b/>
          <w:bCs/>
          <w:color w:val="auto"/>
          <w:highlight w:val="none"/>
          <w:lang w:eastAsia="zh-CN"/>
        </w:rPr>
        <w:t>.</w:t>
      </w:r>
      <w:r>
        <w:rPr>
          <w:rFonts w:hint="eastAsia" w:ascii="仿宋" w:hAnsi="仿宋" w:eastAsia="仿宋" w:cs="仿宋"/>
          <w:b/>
          <w:bCs/>
          <w:color w:val="auto"/>
          <w:highlight w:val="none"/>
          <w:lang w:eastAsia="zh-CN"/>
        </w:rPr>
        <w:t>2</w:t>
      </w:r>
    </w:p>
    <w:p w14:paraId="6BA29361">
      <w:pPr>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67488" behindDoc="0" locked="0" layoutInCell="1" allowOverlap="1">
                <wp:simplePos x="0" y="0"/>
                <wp:positionH relativeFrom="column">
                  <wp:posOffset>-114300</wp:posOffset>
                </wp:positionH>
                <wp:positionV relativeFrom="paragraph">
                  <wp:posOffset>15875</wp:posOffset>
                </wp:positionV>
                <wp:extent cx="736600" cy="506095"/>
                <wp:effectExtent l="0" t="0" r="0" b="0"/>
                <wp:wrapNone/>
                <wp:docPr id="892" name="文本框 1110"/>
                <wp:cNvGraphicFramePr/>
                <a:graphic xmlns:a="http://schemas.openxmlformats.org/drawingml/2006/main">
                  <a:graphicData uri="http://schemas.microsoft.com/office/word/2010/wordprocessingShape">
                    <wps:wsp>
                      <wps:cNvSpPr txBox="1">
                        <a:spLocks noChangeArrowheads="1"/>
                      </wps:cNvSpPr>
                      <wps:spPr bwMode="auto">
                        <a:xfrm>
                          <a:off x="0" y="0"/>
                          <a:ext cx="736600" cy="506095"/>
                        </a:xfrm>
                        <a:prstGeom prst="rect">
                          <a:avLst/>
                        </a:prstGeom>
                        <a:noFill/>
                        <a:ln>
                          <a:noFill/>
                        </a:ln>
                        <a:effectLst/>
                      </wps:spPr>
                      <wps:txbx>
                        <w:txbxContent>
                          <w:p w14:paraId="5BCB77F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非发、承包人责任</w:t>
                            </w:r>
                          </w:p>
                        </w:txbxContent>
                      </wps:txbx>
                      <wps:bodyPr rot="0" vert="horz" wrap="square" lIns="91440" tIns="45720" rIns="91440" bIns="45720" anchor="t" anchorCtr="0" upright="1">
                        <a:noAutofit/>
                      </wps:bodyPr>
                    </wps:wsp>
                  </a:graphicData>
                </a:graphic>
              </wp:anchor>
            </w:drawing>
          </mc:Choice>
          <mc:Fallback>
            <w:pict>
              <v:shape id="文本框 1110" o:spid="_x0000_s1026" o:spt="202" type="#_x0000_t202" style="position:absolute;left:0pt;margin-left:-9pt;margin-top:1.25pt;height:39.85pt;width:58pt;z-index:251967488;mso-width-relative:page;mso-height-relative:page;" filled="f" stroked="f" coordsize="21600,21600" o:gfxdata="UEsDBAoAAAAAAIdO4kAAAAAAAAAAAAAAAAAEAAAAZHJzL1BLAwQUAAAACACHTuJAIAtjGNQAAAAH&#10;AQAADwAAAGRycy9kb3ducmV2LnhtbE2PwW7CMBBE75X4B2uRegM7UalCmg0Hql5blQJSbyZekoh4&#10;HcWGpH9fc2qPoxnNvCk2k+3EjQbfOkZIlgoEceVMyzXC/uttkYHwQbPRnWNC+CEPm3L2UOjcuJE/&#10;6bYLtYgl7HON0ITQ51L6qiGr/dL1xNE7u8HqEOVQSzPoMZbbTqZKPUurW44Lje5p21B12V0twuH9&#10;/H18Uh/1q131o5uUZLuWiI/zRL2ACDSFvzDc8SM6lJHp5K5svOgQFkkWvwSEdAUi+uu7PCFkaQqy&#10;LOR//vIXUEsDBBQAAAAIAIdO4kAIVwNKHwIAACcEAAAOAAAAZHJzL2Uyb0RvYy54bWytU82O0zAQ&#10;viPxDpbvNElpu9uo6WrZahHS8iMtPIDrOI1F4jFjt0l5AHgDTly481x9DiZO2i3LZQ9cIntm/M18&#10;33xZXLV1xXYKnQaT8WQUc6aMhFybTcY/fbx9ccmZ88LkogKjMr5Xjl8tnz9bNDZVYyihyhUyAjEu&#10;bWzGS+9tGkVOlqoWbgRWGUoWgLXwdMVNlKNoCL2uonEcz6IGMLcIUjlH0VWf5AMiPgUQikJLtQK5&#10;rZXxPSqqSnii5EptHV+GaYtCSf++KJzyrMo4MfXhS03ovO6+0XIh0g0KW2o5jCCeMsIjTrXQhpqe&#10;oFbCC7ZF/Q9UrSWCg8KPJNRRTyQoQiyS+JE296WwKnAhqZ09ie7+H6x8t/uATOcZv5yPOTOippUf&#10;fnw//Px9+PWNJUkSNGqsS6n03lKxb19BS84JfJ29A/nZMQM3pTAbdY0ITalETjMmnbrR2dNuKy51&#10;Hci6eQs5tRJbDwGoLbDuBCRJGKHTfvan/ajWM0nBi5ezWUwZSalpPIvn09BBpMfHFp1/raBm3SHj&#10;SOsP4GJ353w3jEiPJV0vA7e6qoIFKvNXgAr7iAoeGl4fp+95+Hbd0tsuuIZ8T6QQen/R30WHEvAr&#10;Zw15K+Puy1ag4qx6Y0iYeTKZdGYMl8n0YkwXPM+szzPCSILKuOesP9743sBbi3pTUqd+FQauScxC&#10;B6IPUw0rIP8E/oPXO4Oe30PVw/+9/A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gC2MY1AAAAAcB&#10;AAAPAAAAAAAAAAEAIAAAACIAAABkcnMvZG93bnJldi54bWxQSwECFAAUAAAACACHTuJACFcDSh8C&#10;AAAnBAAADgAAAAAAAAABACAAAAAjAQAAZHJzL2Uyb0RvYy54bWxQSwUGAAAAAAYABgBZAQAAtAUA&#10;AAAA&#10;">
                <v:fill on="f" focussize="0,0"/>
                <v:stroke on="f"/>
                <v:imagedata o:title=""/>
                <o:lock v:ext="edit" aspectratio="f"/>
                <v:textbox>
                  <w:txbxContent>
                    <w:p w14:paraId="5BCB77F2">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非发、承包人责任</w:t>
                      </w:r>
                    </w:p>
                  </w:txbxContent>
                </v:textbox>
              </v:shape>
            </w:pict>
          </mc:Fallback>
        </mc:AlternateContent>
      </w:r>
      <w:r>
        <w:rPr>
          <w:rFonts w:hint="eastAsia" w:ascii="仿宋" w:hAnsi="仿宋" w:eastAsia="仿宋" w:cs="仿宋"/>
          <w:color w:val="auto"/>
          <w:highlight w:val="none"/>
          <w:lang w:eastAsia="zh-CN"/>
        </w:rPr>
        <w:t>非承包人的原因，且承包人无过错，而产生的各类损失，承包人不承担赔偿责任。</w:t>
      </w:r>
    </w:p>
    <w:p w14:paraId="10EA60AD">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因不可抗力导致本合同全部或部分不能履行时，双方各自承担损失。</w:t>
      </w:r>
    </w:p>
    <w:p w14:paraId="71EE5CB7">
      <w:pPr>
        <w:pStyle w:val="2"/>
        <w:adjustRightInd w:val="0"/>
        <w:snapToGrid w:val="0"/>
        <w:spacing w:line="360" w:lineRule="auto"/>
        <w:ind w:right="-238"/>
        <w:rPr>
          <w:rFonts w:hint="eastAsia" w:ascii="仿宋" w:hAnsi="仿宋" w:eastAsia="仿宋"/>
          <w:color w:val="auto"/>
          <w:sz w:val="24"/>
          <w:szCs w:val="24"/>
          <w:highlight w:val="none"/>
          <w:u w:val="single"/>
          <w:lang w:eastAsia="zh-CN"/>
        </w:rPr>
      </w:pPr>
    </w:p>
    <w:p w14:paraId="646D37FB">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399" w:name="_Toc4382"/>
      <w:r>
        <w:rPr>
          <w:rFonts w:ascii="仿宋" w:hAnsi="仿宋" w:eastAsia="仿宋" w:cs="仿宋"/>
          <w:bCs w:val="0"/>
          <w:color w:val="auto"/>
          <w:sz w:val="24"/>
          <w:szCs w:val="24"/>
          <w:highlight w:val="none"/>
          <w:lang w:eastAsia="zh-CN"/>
        </w:rPr>
        <w:t>9</w:t>
      </w:r>
      <w:r>
        <w:rPr>
          <w:rFonts w:hint="eastAsia" w:ascii="仿宋" w:hAnsi="仿宋" w:eastAsia="仿宋" w:cs="仿宋"/>
          <w:bCs w:val="0"/>
          <w:color w:val="auto"/>
          <w:sz w:val="24"/>
          <w:szCs w:val="24"/>
          <w:highlight w:val="none"/>
          <w:lang w:eastAsia="zh-CN"/>
        </w:rPr>
        <w:t>8缴纳税费</w:t>
      </w:r>
      <w:bookmarkEnd w:id="399"/>
    </w:p>
    <w:p w14:paraId="18809D38">
      <w:pPr>
        <w:pStyle w:val="2"/>
        <w:tabs>
          <w:tab w:val="left" w:pos="1320"/>
        </w:tabs>
        <w:adjustRightInd w:val="0"/>
        <w:snapToGrid w:val="0"/>
        <w:spacing w:line="360" w:lineRule="auto"/>
        <w:rPr>
          <w:rFonts w:hint="eastAsia" w:ascii="仿宋" w:hAnsi="仿宋" w:eastAsia="仿宋" w:cs="仿宋"/>
          <w:b/>
          <w:bCs/>
          <w:color w:val="auto"/>
          <w:sz w:val="24"/>
          <w:szCs w:val="24"/>
          <w:highlight w:val="none"/>
          <w:lang w:eastAsia="zh-CN"/>
        </w:rPr>
      </w:pPr>
      <w:r>
        <w:rPr>
          <w:rFonts w:ascii="仿宋" w:hAnsi="仿宋" w:eastAsia="仿宋" w:cs="仿宋"/>
          <w:b/>
          <w:bCs/>
          <w:color w:val="auto"/>
          <w:sz w:val="24"/>
          <w:szCs w:val="24"/>
          <w:highlight w:val="none"/>
          <w:lang w:eastAsia="zh-CN"/>
        </w:rPr>
        <w:t>9</w:t>
      </w:r>
      <w:r>
        <w:rPr>
          <w:rFonts w:hint="eastAsia" w:ascii="仿宋" w:hAnsi="仿宋" w:eastAsia="仿宋" w:cs="仿宋"/>
          <w:b/>
          <w:bCs/>
          <w:color w:val="auto"/>
          <w:sz w:val="24"/>
          <w:szCs w:val="24"/>
          <w:highlight w:val="none"/>
          <w:lang w:eastAsia="zh-CN"/>
        </w:rPr>
        <w:t>8</w:t>
      </w:r>
      <w:r>
        <w:rPr>
          <w:rFonts w:ascii="仿宋" w:hAnsi="仿宋" w:eastAsia="仿宋" w:cs="仿宋"/>
          <w:b/>
          <w:bCs/>
          <w:color w:val="auto"/>
          <w:sz w:val="24"/>
          <w:szCs w:val="24"/>
          <w:highlight w:val="none"/>
          <w:lang w:eastAsia="zh-CN"/>
        </w:rPr>
        <w:t>.1</w:t>
      </w:r>
    </w:p>
    <w:p w14:paraId="6D47C7B2">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w:t>
      </w:r>
      <w:r>
        <w:rPr>
          <w:color w:val="auto"/>
          <w:highlight w:val="none"/>
          <w:lang w:eastAsia="zh-CN" w:bidi="ar-SA"/>
        </w:rPr>
        <mc:AlternateContent>
          <mc:Choice Requires="wps">
            <w:drawing>
              <wp:anchor distT="0" distB="0" distL="114300" distR="114300" simplePos="0" relativeHeight="252121088" behindDoc="0" locked="0" layoutInCell="1" allowOverlap="1">
                <wp:simplePos x="0" y="0"/>
                <wp:positionH relativeFrom="column">
                  <wp:posOffset>-114300</wp:posOffset>
                </wp:positionH>
                <wp:positionV relativeFrom="paragraph">
                  <wp:posOffset>635</wp:posOffset>
                </wp:positionV>
                <wp:extent cx="813435" cy="466725"/>
                <wp:effectExtent l="0" t="0" r="0" b="0"/>
                <wp:wrapNone/>
                <wp:docPr id="893" name="文本框 1092"/>
                <wp:cNvGraphicFramePr/>
                <a:graphic xmlns:a="http://schemas.openxmlformats.org/drawingml/2006/main">
                  <a:graphicData uri="http://schemas.microsoft.com/office/word/2010/wordprocessingShape">
                    <wps:wsp>
                      <wps:cNvSpPr txBox="1">
                        <a:spLocks noChangeArrowheads="1"/>
                      </wps:cNvSpPr>
                      <wps:spPr bwMode="auto">
                        <a:xfrm>
                          <a:off x="0" y="0"/>
                          <a:ext cx="813435" cy="466725"/>
                        </a:xfrm>
                        <a:prstGeom prst="rect">
                          <a:avLst/>
                        </a:prstGeom>
                        <a:noFill/>
                        <a:ln>
                          <a:noFill/>
                        </a:ln>
                        <a:effectLst/>
                      </wps:spPr>
                      <wps:txbx>
                        <w:txbxContent>
                          <w:p w14:paraId="2EF353F4">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约定缴纳一切税费</w:t>
                            </w:r>
                          </w:p>
                        </w:txbxContent>
                      </wps:txbx>
                      <wps:bodyPr rot="0" vert="horz" wrap="square" lIns="91440" tIns="45720" rIns="91440" bIns="45720" anchor="t" anchorCtr="0" upright="1">
                        <a:noAutofit/>
                      </wps:bodyPr>
                    </wps:wsp>
                  </a:graphicData>
                </a:graphic>
              </wp:anchor>
            </w:drawing>
          </mc:Choice>
          <mc:Fallback>
            <w:pict>
              <v:shape id="文本框 1092" o:spid="_x0000_s1026" o:spt="202" type="#_x0000_t202" style="position:absolute;left:0pt;margin-left:-9pt;margin-top:0.05pt;height:36.75pt;width:64.05pt;z-index:252121088;mso-width-relative:page;mso-height-relative:page;" filled="f" stroked="f" coordsize="21600,21600" o:gfxdata="UEsDBAoAAAAAAIdO4kAAAAAAAAAAAAAAAAAEAAAAZHJzL1BLAwQUAAAACACHTuJADYFuutQAAAAH&#10;AQAADwAAAGRycy9kb3ducmV2LnhtbE2PTU/DMAyG70j8h8hI3LakfIxRmu4A4gpifEjcvMZrKxqn&#10;arK1/HvcE7vZel69flxsJt+pIw2xDWwhWxpQxFVwLdcWPt6fF2tQMSE77AKThV+KsCnPzwrMXRj5&#10;jY7bVCsp4ZijhSalPtc6Vg15jMvQEwvbh8FjknWotRtwlHLf6StjVtpjy3KhwZ4eG6p+tgdv4fNl&#10;//11Y17rJ3/bj2Eymv29tvbyIjMPoBJN6T8Ms76oQylOu3BgF1VnYZGt5Zc0AzXjzMiws3B3vQJd&#10;FvrUv/wDUEsDBBQAAAAIAIdO4kCkPya1IAIAACcEAAAOAAAAZHJzL2Uyb0RvYy54bWytU0tu2zAQ&#10;3RfoHQjua/kfW7AcpDFSFEg/QNoD0BRlEZU47JC2lB6gvUFX3XTfc/kcHVKK66abLLohSM7wzbw3&#10;j6vLtq7YQaHTYDI+Ggw5U0ZCrs0u4x8/3LxYcOa8MLmowKiM3yvHL9fPn60am6oxlFDlChmBGJc2&#10;NuOl9zZNEidLVQs3AKsMBQvAWng64i7JUTSEXlfJeDicJw1gbhGkco5uN12Q94j4FEAoCi3VBuS+&#10;VsZ3qKgq4YmSK7V1fB27LQol/buicMqzKuPE1MeVitB+G9ZkvRLpDoUttexbEE9p4RGnWmhDRU9Q&#10;G+EF26P+B6rWEsFB4QcS6qQjEhUhFqPhI23uSmFV5EJSO3sS3f0/WPn28B6ZzjO+WE44M6KmkR+/&#10;fzv++HX8+ZWNhstx0KixLqXUO0vJvn0JLTkn8nX2FuQnxwxcl8Ls1BUiNKUSOfU4Ci+Ts6cdjgsg&#10;2+YN5FRK7D1EoLbAOghIkjBCp/ncn+ajWs8kXS5Gk+lkxpmk0HQ+vxjPYgWRPjy26PwrBTULm4wj&#10;jT+Ci8Ot86EZkT6khFoGbnRVRQtU5q8LSuxuVPRQ/zpQCd13PHy7bXtptpDfEymEzl/0u2hTAn7h&#10;rCFvZdx93gtUnFWvDQmzHE2nwYzxMJ1djOmA55HteUQYSVAZ95x122vfGXhvUe9KqtSNwsAViVno&#10;SDS02nXVj4D8E/n3Xg8GPT/HrD//e/0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DYFuutQAAAAH&#10;AQAADwAAAAAAAAABACAAAAAiAAAAZHJzL2Rvd25yZXYueG1sUEsBAhQAFAAAAAgAh07iQKQ/JrUg&#10;AgAAJwQAAA4AAAAAAAAAAQAgAAAAIwEAAGRycy9lMm9Eb2MueG1sUEsFBgAAAAAGAAYAWQEAALUF&#10;AAAAAA==&#10;">
                <v:fill on="f" focussize="0,0"/>
                <v:stroke on="f"/>
                <v:imagedata o:title=""/>
                <o:lock v:ext="edit" aspectratio="f"/>
                <v:textbox>
                  <w:txbxContent>
                    <w:p w14:paraId="2EF353F4">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约定缴纳一切税费</w:t>
                      </w:r>
                    </w:p>
                  </w:txbxContent>
                </v:textbox>
              </v:shape>
            </w:pict>
          </mc:Fallback>
        </mc:AlternateContent>
      </w:r>
      <w:r>
        <w:rPr>
          <w:rFonts w:hint="eastAsia" w:ascii="仿宋" w:hAnsi="仿宋" w:eastAsia="仿宋" w:cs="仿宋"/>
          <w:color w:val="auto"/>
          <w:highlight w:val="none"/>
          <w:lang w:eastAsia="zh-CN"/>
        </w:rPr>
        <w:t>应按照国家现行税法和有关部门现行规定缴纳合同工程需缴的一切税费。</w:t>
      </w:r>
    </w:p>
    <w:p w14:paraId="16571EB0">
      <w:pPr>
        <w:spacing w:line="360" w:lineRule="auto"/>
        <w:rPr>
          <w:rFonts w:hint="eastAsia" w:ascii="仿宋" w:hAnsi="仿宋" w:eastAsia="仿宋"/>
          <w:b/>
          <w:bCs/>
          <w:color w:val="auto"/>
          <w:highlight w:val="none"/>
          <w:lang w:eastAsia="zh-CN"/>
        </w:rPr>
      </w:pPr>
      <w:r>
        <w:rPr>
          <w:rFonts w:ascii="仿宋" w:hAnsi="仿宋" w:eastAsia="仿宋" w:cs="仿宋"/>
          <w:b/>
          <w:bCs/>
          <w:color w:val="auto"/>
          <w:highlight w:val="none"/>
          <w:lang w:eastAsia="zh-CN"/>
        </w:rPr>
        <w:t>9</w:t>
      </w:r>
      <w:r>
        <w:rPr>
          <w:rFonts w:hint="eastAsia" w:ascii="仿宋" w:hAnsi="仿宋" w:eastAsia="仿宋" w:cs="仿宋"/>
          <w:b/>
          <w:bCs/>
          <w:color w:val="auto"/>
          <w:highlight w:val="none"/>
          <w:lang w:eastAsia="zh-CN"/>
        </w:rPr>
        <w:t>8</w:t>
      </w:r>
      <w:r>
        <w:rPr>
          <w:rFonts w:ascii="仿宋" w:hAnsi="仿宋" w:eastAsia="仿宋" w:cs="仿宋"/>
          <w:b/>
          <w:bCs/>
          <w:color w:val="auto"/>
          <w:highlight w:val="none"/>
          <w:lang w:eastAsia="zh-CN"/>
        </w:rPr>
        <w:t xml:space="preserve">.2  </w:t>
      </w:r>
    </w:p>
    <w:p w14:paraId="2E24D64C">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2122112" behindDoc="0" locked="0" layoutInCell="1" allowOverlap="1">
                <wp:simplePos x="0" y="0"/>
                <wp:positionH relativeFrom="column">
                  <wp:posOffset>-114300</wp:posOffset>
                </wp:positionH>
                <wp:positionV relativeFrom="paragraph">
                  <wp:posOffset>32385</wp:posOffset>
                </wp:positionV>
                <wp:extent cx="842645" cy="535305"/>
                <wp:effectExtent l="0" t="0" r="0" b="0"/>
                <wp:wrapNone/>
                <wp:docPr id="894" name="文本框 1093"/>
                <wp:cNvGraphicFramePr/>
                <a:graphic xmlns:a="http://schemas.openxmlformats.org/drawingml/2006/main">
                  <a:graphicData uri="http://schemas.microsoft.com/office/word/2010/wordprocessingShape">
                    <wps:wsp>
                      <wps:cNvSpPr txBox="1">
                        <a:spLocks noChangeArrowheads="1"/>
                      </wps:cNvSpPr>
                      <wps:spPr bwMode="auto">
                        <a:xfrm>
                          <a:off x="0" y="0"/>
                          <a:ext cx="842645" cy="535305"/>
                        </a:xfrm>
                        <a:prstGeom prst="rect">
                          <a:avLst/>
                        </a:prstGeom>
                        <a:noFill/>
                        <a:ln>
                          <a:noFill/>
                        </a:ln>
                        <a:effectLst/>
                      </wps:spPr>
                      <wps:txbx>
                        <w:txbxContent>
                          <w:p w14:paraId="4AB0FCC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没交或少交税费的责任</w:t>
                            </w:r>
                          </w:p>
                        </w:txbxContent>
                      </wps:txbx>
                      <wps:bodyPr rot="0" vert="horz" wrap="square" lIns="91440" tIns="45720" rIns="91440" bIns="45720" anchor="t" anchorCtr="0" upright="1">
                        <a:noAutofit/>
                      </wps:bodyPr>
                    </wps:wsp>
                  </a:graphicData>
                </a:graphic>
              </wp:anchor>
            </w:drawing>
          </mc:Choice>
          <mc:Fallback>
            <w:pict>
              <v:shape id="文本框 1093" o:spid="_x0000_s1026" o:spt="202" type="#_x0000_t202" style="position:absolute;left:0pt;margin-left:-9pt;margin-top:2.55pt;height:42.15pt;width:66.35pt;z-index:252122112;mso-width-relative:page;mso-height-relative:page;" filled="f" stroked="f" coordsize="21600,21600" o:gfxdata="UEsDBAoAAAAAAIdO4kAAAAAAAAAAAAAAAAAEAAAAZHJzL1BLAwQUAAAACACHTuJAtbORWtYAAAAI&#10;AQAADwAAAGRycy9kb3ducmV2LnhtbE2PzU7DMBCE70i8g7VI3FrbKIU0zaYHEFcQ5Ufi5sbbJGq8&#10;jmK3CW+Pe4LjaEYz35Tb2fXiTGPoPCPopQJBXHvbcYPw8f68yEGEaNia3jMh/FCAbXV9VZrC+onf&#10;6LyLjUglHAqD0MY4FFKGuiVnwtIPxMk7+NGZmOTYSDuaKZW7Xt4pdS+d6TgttGagx5bq4+7kED5f&#10;Dt9fmXptntxqmPysJLu1RLy90WoDItIc/8JwwU/oUCWmvT+xDaJHWOg8fYkIKw3i4uvsAcQeIV9n&#10;IKtS/j9Q/QJQSwMEFAAAAAgAh07iQGaM/EghAgAAJwQAAA4AAABkcnMvZTJvRG9jLnhtbK1TzY7T&#10;MBC+I/EOlu80aZsubdR0tWy1CGn5kRYewHWcxiL2GNttUh6AfQNOXLjzXH0Oxk62lOWyBy6W7Rl/&#10;M983n5eXnWrIXlgnQRd0PEopEZpDKfW2oJ8+3ryYU+I80yVrQIuCHoSjl6vnz5atycUEamhKYQmC&#10;aJe3pqC19yZPEsdroZgbgREagxVYxTwe7TYpLWsRXTXJJE0vkhZsaSxw4RzervsgHRDtUwChqiQX&#10;a+A7JbTvUa1omEdKrpbG0VXstqoE9++ryglPmoIiUx9XLIL7TViT1ZLlW8tMLfnQAntKC484KSY1&#10;Fj1BrZlnZGflP1BKcgsOKj/ioJKeSFQEWYzTR9rc1cyIyAWlduYkuvt/sPzd/oMlsizofJFRopnC&#10;kR+/3x9//Dr+/EbG6WIaNGqNyzH1zmCy715Bh86JfJ25Bf7ZEQ3XNdNbcWUttLVgJfY4Di+Ts6c9&#10;jgsgm/YtlFiK7TxEoK6yKgiIkhBEx/kcTvMRnSccL+fZ5CKbUcIxNJvOpuksVmD5w2NjnX8tQJGw&#10;KajF8Udwtr91PjTD8oeUUEvDjWyaaIFG/3WBif2NiB4aXgcqofueh+823SDNBsoDkrLQ+wt/F25q&#10;sF8padFbBXVfdswKSpo3GoVZjLMsmDEestnLCR7seWRzHmGaI1RBPSX99tr3Bt4ZK7c1VupHoeEK&#10;xaxkJBpa7bsaRoD+ifwHrweDnp9j1p//vf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bORWtYA&#10;AAAIAQAADwAAAAAAAAABACAAAAAiAAAAZHJzL2Rvd25yZXYueG1sUEsBAhQAFAAAAAgAh07iQGaM&#10;/EghAgAAJwQAAA4AAAAAAAAAAQAgAAAAJQEAAGRycy9lMm9Eb2MueG1sUEsFBgAAAAAGAAYAWQEA&#10;ALgFAAAAAA==&#10;">
                <v:fill on="f" focussize="0,0"/>
                <v:stroke on="f"/>
                <v:imagedata o:title=""/>
                <o:lock v:ext="edit" aspectratio="f"/>
                <v:textbox>
                  <w:txbxContent>
                    <w:p w14:paraId="4AB0FCCE">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没交或少交税费的责任</w:t>
                      </w:r>
                    </w:p>
                  </w:txbxContent>
                </v:textbox>
              </v:shape>
            </w:pict>
          </mc:Fallback>
        </mc:AlternateContent>
      </w:r>
      <w:r>
        <w:rPr>
          <w:rFonts w:hint="eastAsia" w:ascii="仿宋" w:hAnsi="仿宋" w:eastAsia="仿宋" w:cs="仿宋"/>
          <w:color w:val="auto"/>
          <w:highlight w:val="none"/>
          <w:lang w:eastAsia="zh-CN"/>
        </w:rPr>
        <w:t>合同任何一方当事人没交或少交合同工程需缴税费的，违法方应足额补交，并承担相应的法律责任；给另一方当事人造成损失的，违法方应赔偿损失。</w:t>
      </w:r>
    </w:p>
    <w:p w14:paraId="4707B22E">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48AD6BC9">
      <w:pPr>
        <w:pStyle w:val="2"/>
        <w:adjustRightInd w:val="0"/>
        <w:snapToGrid w:val="0"/>
        <w:spacing w:line="360" w:lineRule="auto"/>
        <w:jc w:val="center"/>
        <w:outlineLvl w:val="1"/>
        <w:rPr>
          <w:rFonts w:hint="eastAsia" w:ascii="仿宋" w:hAnsi="仿宋" w:eastAsia="仿宋"/>
          <w:b/>
          <w:bCs/>
          <w:color w:val="auto"/>
          <w:sz w:val="24"/>
          <w:szCs w:val="24"/>
          <w:highlight w:val="none"/>
          <w:lang w:eastAsia="zh-CN"/>
        </w:rPr>
      </w:pPr>
      <w:bookmarkStart w:id="400" w:name="_Toc6026"/>
      <w:r>
        <w:rPr>
          <w:rFonts w:hint="eastAsia" w:ascii="仿宋" w:hAnsi="仿宋" w:eastAsia="仿宋" w:cs="仿宋"/>
          <w:b/>
          <w:bCs/>
          <w:color w:val="auto"/>
          <w:sz w:val="24"/>
          <w:szCs w:val="24"/>
          <w:highlight w:val="none"/>
          <w:lang w:eastAsia="zh-CN"/>
        </w:rPr>
        <w:t>十、其他</w:t>
      </w:r>
      <w:bookmarkEnd w:id="400"/>
    </w:p>
    <w:p w14:paraId="1AE95B06">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401" w:name="_Toc8561"/>
      <w:r>
        <w:rPr>
          <w:rFonts w:hint="eastAsia" w:ascii="仿宋" w:hAnsi="仿宋" w:eastAsia="仿宋" w:cs="仿宋"/>
          <w:bCs w:val="0"/>
          <w:color w:val="auto"/>
          <w:sz w:val="24"/>
          <w:szCs w:val="24"/>
          <w:highlight w:val="none"/>
          <w:lang w:eastAsia="zh-CN"/>
        </w:rPr>
        <w:t>99保密要求</w:t>
      </w:r>
      <w:bookmarkEnd w:id="401"/>
    </w:p>
    <w:p w14:paraId="31E06CEF">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99</w:t>
      </w:r>
      <w:r>
        <w:rPr>
          <w:rFonts w:ascii="仿宋" w:hAnsi="仿宋" w:eastAsia="仿宋" w:cs="仿宋"/>
          <w:b/>
          <w:bCs/>
          <w:color w:val="auto"/>
          <w:sz w:val="24"/>
          <w:szCs w:val="24"/>
          <w:highlight w:val="none"/>
          <w:lang w:eastAsia="zh-CN"/>
        </w:rPr>
        <w:t>.1</w:t>
      </w:r>
    </w:p>
    <w:p w14:paraId="2818FCAD">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56224" behindDoc="0" locked="0" layoutInCell="1" allowOverlap="1">
                <wp:simplePos x="0" y="0"/>
                <wp:positionH relativeFrom="column">
                  <wp:posOffset>-114300</wp:posOffset>
                </wp:positionH>
                <wp:positionV relativeFrom="paragraph">
                  <wp:posOffset>34290</wp:posOffset>
                </wp:positionV>
                <wp:extent cx="813435" cy="592455"/>
                <wp:effectExtent l="0" t="0" r="0" b="0"/>
                <wp:wrapNone/>
                <wp:docPr id="895" name="文本框 1094"/>
                <wp:cNvGraphicFramePr/>
                <a:graphic xmlns:a="http://schemas.openxmlformats.org/drawingml/2006/main">
                  <a:graphicData uri="http://schemas.microsoft.com/office/word/2010/wordprocessingShape">
                    <wps:wsp>
                      <wps:cNvSpPr txBox="1">
                        <a:spLocks noChangeArrowheads="1"/>
                      </wps:cNvSpPr>
                      <wps:spPr bwMode="auto">
                        <a:xfrm>
                          <a:off x="0" y="0"/>
                          <a:ext cx="813435" cy="592455"/>
                        </a:xfrm>
                        <a:prstGeom prst="rect">
                          <a:avLst/>
                        </a:prstGeom>
                        <a:noFill/>
                        <a:ln>
                          <a:noFill/>
                        </a:ln>
                        <a:effectLst/>
                      </wps:spPr>
                      <wps:txbx>
                        <w:txbxContent>
                          <w:p w14:paraId="724D8BD2">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提供保密信息和履行保密义务</w:t>
                            </w:r>
                          </w:p>
                        </w:txbxContent>
                      </wps:txbx>
                      <wps:bodyPr rot="0" vert="horz" wrap="square" lIns="91440" tIns="45720" rIns="91440" bIns="45720" anchor="t" anchorCtr="0" upright="1">
                        <a:noAutofit/>
                      </wps:bodyPr>
                    </wps:wsp>
                  </a:graphicData>
                </a:graphic>
              </wp:anchor>
            </w:drawing>
          </mc:Choice>
          <mc:Fallback>
            <w:pict>
              <v:shape id="文本框 1094" o:spid="_x0000_s1026" o:spt="202" type="#_x0000_t202" style="position:absolute;left:0pt;margin-left:-9pt;margin-top:2.7pt;height:46.65pt;width:64.05pt;z-index:251956224;mso-width-relative:page;mso-height-relative:page;" filled="f" stroked="f" coordsize="21600,21600" o:gfxdata="UEsDBAoAAAAAAIdO4kAAAAAAAAAAAAAAAAAEAAAAZHJzL1BLAwQUAAAACACHTuJAdajUFNYAAAAI&#10;AQAADwAAAGRycy9kb3ducmV2LnhtbE2PzU7DMBCE70i8g7VI3FrbVVvSkE0PRVxBlB+Jmxtvk4h4&#10;HcVuE94e91SOoxnNfFNsJ9eJMw2h9Yyg5woEceVtyzXCx/vzLAMRomFrOs+E8EsBtuXtTWFy60d+&#10;o/M+1iKVcMgNQhNjn0sZqoacCXPfEyfv6AdnYpJDLe1gxlTuOrlQai2daTktNKanXUPVz/7kED5f&#10;jt9fS/VaP7lVP/pJSXYbiXh/p9UjiEhTvIbhgp/QoUxMB39iG0SHMNNZ+hIRVksQF18rDeKAsMke&#10;QJaF/H+g/ANQSwMEFAAAAAgAh07iQOtbg+EgAgAAJwQAAA4AAABkcnMvZTJvRG9jLnhtbK1TzY7T&#10;MBC+I/EOlu80TbeFNmq6WrZahLT8SAsP4DpOY5F4zNhtUh4A3oATF+48V5+DsZMtZbnsgYtle8bf&#10;zPfN5+Vl19Rsr9BpMDlPR2POlJFQaLPN+ccPN8/mnDkvTCFqMCrnB+X45erpk2VrMzWBCupCISMQ&#10;47LW5rzy3mZJ4mSlGuFGYJWhYAnYCE9H3CYFipbQmzqZjMfPkxawsAhSOUe36z7IB0R8DCCUpZZq&#10;DXLXKON7VFS18ETJVdo6vordlqWS/l1ZOuVZnXNi6uNKRWi/CWuyWopsi8JWWg4tiMe08IBTI7Sh&#10;oieotfCC7VD/A9VoieCg9CMJTdITiYoQi3T8QJu7SlgVuZDUzp5Ed/8PVr7dv0emi5zPFzPOjGho&#10;5Mfv344/fh1/fmXpeDENGrXWZZR6ZynZdy+hI+dEvs7egvzkmIHrSpitukKEtlKioB7T8DI5e9rj&#10;uACyad9AQaXEzkME6kpsgoAkCSN0ms/hNB/VeSbpcp5eTC+oS0mh2WIync1iBZHdP7bo/CsFDQub&#10;nCONP4KL/a3zoRmR3aeEWgZudF1HC9TmrwtK7G9U9NDwOlAJ3fc8fLfpBmk2UByIFELvL/pdtKkA&#10;v3DWkrdy7j7vBCrO6teGhFmk02kwYzxMZy8mdMDzyOY8IowkqJx7zvrtte8NvLOotxVV6kdh4IrE&#10;LHUkGlrtuxpGQP6J/AevB4Oen2PWn/+9+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1qNQU1gAA&#10;AAgBAAAPAAAAAAAAAAEAIAAAACIAAABkcnMvZG93bnJldi54bWxQSwECFAAUAAAACACHTuJA61uD&#10;4SACAAAnBAAADgAAAAAAAAABACAAAAAlAQAAZHJzL2Uyb0RvYy54bWxQSwUGAAAAAAYABgBZAQAA&#10;twUAAAAA&#10;">
                <v:fill on="f" focussize="0,0"/>
                <v:stroke on="f"/>
                <v:imagedata o:title=""/>
                <o:lock v:ext="edit" aspectratio="f"/>
                <v:textbox>
                  <w:txbxContent>
                    <w:p w14:paraId="724D8BD2">
                      <w:pPr>
                        <w:spacing w:line="240" w:lineRule="exact"/>
                        <w:rPr>
                          <w:rFonts w:hint="eastAsia" w:ascii="楷体_GB2312" w:hAnsi="宋体" w:eastAsia="楷体_GB2312"/>
                          <w:b/>
                          <w:bCs/>
                          <w:sz w:val="18"/>
                          <w:szCs w:val="18"/>
                          <w:lang w:eastAsia="zh-CN"/>
                        </w:rPr>
                      </w:pPr>
                      <w:r>
                        <w:rPr>
                          <w:rFonts w:hint="eastAsia" w:ascii="楷体_GB2312" w:hAnsi="宋体" w:eastAsia="楷体_GB2312" w:cs="楷体_GB2312"/>
                          <w:b/>
                          <w:bCs/>
                          <w:sz w:val="18"/>
                          <w:szCs w:val="18"/>
                          <w:lang w:eastAsia="zh-CN"/>
                        </w:rPr>
                        <w:t>提供保密信息和履行保密义务</w:t>
                      </w:r>
                    </w:p>
                  </w:txbxContent>
                </v:textbox>
              </v:shape>
            </w:pict>
          </mc:Fallback>
        </mc:AlternateContent>
      </w:r>
      <w:r>
        <w:rPr>
          <w:rFonts w:hint="eastAsia" w:ascii="仿宋" w:hAnsi="仿宋" w:eastAsia="仿宋" w:cs="仿宋"/>
          <w:color w:val="auto"/>
          <w:highlight w:val="none"/>
          <w:lang w:eastAsia="zh-CN"/>
        </w:rPr>
        <w:t>合同双方当事人应在合同专用条款约定期限内提供保密信息。自收到对方当事人提供的保密信息之日起，应履行保密义务。合同双方当事人履行保密义务，并不因本合同终止而结束。</w:t>
      </w:r>
    </w:p>
    <w:p w14:paraId="7A10B71E">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99</w:t>
      </w:r>
      <w:r>
        <w:rPr>
          <w:rFonts w:ascii="仿宋" w:hAnsi="仿宋" w:eastAsia="仿宋" w:cs="仿宋"/>
          <w:b/>
          <w:bCs/>
          <w:color w:val="auto"/>
          <w:highlight w:val="none"/>
          <w:lang w:eastAsia="zh-CN"/>
        </w:rPr>
        <w:t>.2</w:t>
      </w:r>
    </w:p>
    <w:p w14:paraId="70813DFA">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57248" behindDoc="0" locked="0" layoutInCell="1" allowOverlap="1">
                <wp:simplePos x="0" y="0"/>
                <wp:positionH relativeFrom="column">
                  <wp:posOffset>-114300</wp:posOffset>
                </wp:positionH>
                <wp:positionV relativeFrom="paragraph">
                  <wp:posOffset>68580</wp:posOffset>
                </wp:positionV>
                <wp:extent cx="785495" cy="594360"/>
                <wp:effectExtent l="0" t="0" r="0" b="0"/>
                <wp:wrapNone/>
                <wp:docPr id="896" name="文本框 1095"/>
                <wp:cNvGraphicFramePr/>
                <a:graphic xmlns:a="http://schemas.openxmlformats.org/drawingml/2006/main">
                  <a:graphicData uri="http://schemas.microsoft.com/office/word/2010/wordprocessingShape">
                    <wps:wsp>
                      <wps:cNvSpPr txBox="1">
                        <a:spLocks noChangeArrowheads="1"/>
                      </wps:cNvSpPr>
                      <wps:spPr bwMode="auto">
                        <a:xfrm>
                          <a:off x="0" y="0"/>
                          <a:ext cx="785495" cy="594360"/>
                        </a:xfrm>
                        <a:prstGeom prst="rect">
                          <a:avLst/>
                        </a:prstGeom>
                        <a:noFill/>
                        <a:ln>
                          <a:noFill/>
                        </a:ln>
                        <a:effectLst/>
                      </wps:spPr>
                      <wps:txbx>
                        <w:txbxContent>
                          <w:p w14:paraId="5664953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保密信息知悉权限</w:t>
                            </w:r>
                          </w:p>
                        </w:txbxContent>
                      </wps:txbx>
                      <wps:bodyPr rot="0" vert="horz" wrap="square" lIns="91440" tIns="45720" rIns="91440" bIns="45720" anchor="t" anchorCtr="0" upright="1">
                        <a:noAutofit/>
                      </wps:bodyPr>
                    </wps:wsp>
                  </a:graphicData>
                </a:graphic>
              </wp:anchor>
            </w:drawing>
          </mc:Choice>
          <mc:Fallback>
            <w:pict>
              <v:shape id="文本框 1095" o:spid="_x0000_s1026" o:spt="202" type="#_x0000_t202" style="position:absolute;left:0pt;margin-left:-9pt;margin-top:5.4pt;height:46.8pt;width:61.85pt;z-index:251957248;mso-width-relative:page;mso-height-relative:page;" filled="f" stroked="f" coordsize="21600,21600" o:gfxdata="UEsDBAoAAAAAAIdO4kAAAAAAAAAAAAAAAAAEAAAAZHJzL1BLAwQUAAAACACHTuJA+rWH69YAAAAK&#10;AQAADwAAAGRycy9kb3ducmV2LnhtbE2PwU7DMBBE70j9B2srcWvtVCm0IU4PRVxBtIDUmxtvk4h4&#10;HcVuE/6ezQluO5rR7Lx8N7pW3LAPjScNyVKBQCq9bajS8HF8WWxAhGjImtYTavjBALtidpebzPqB&#10;3vF2iJXgEgqZ0VDH2GVShrJGZ8LSd0jsXXzvTGTZV9L2ZuBy18qVUg/SmYb4Q2063NdYfh+uTsPn&#10;6+X0laq36tmtu8GPSpLbSq3v54l6AhFxjH9hmObzdCh409lfyQbRalgkG2aJbChGmAJq/QjiPB1p&#10;CrLI5X+E4hdQSwMEFAAAAAgAh07iQH23pdQhAgAAJwQAAA4AAABkcnMvZTJvRG9jLnhtbK1TzY7T&#10;MBC+I/EOlu80bWm7bdR0tWy1CGn5kRYewHWcxiLxmLHbpDwA+wacuHDnufocjJ1sKctlD1ws2zP+&#10;Zr5vPi8v27pie4VOg8n4aDDkTBkJuTbbjH/6ePNizpnzwuSiAqMyflCOX66eP1s2NlVjKKHKFTIC&#10;MS5tbMZL722aJE6WqhZuAFYZChaAtfB0xG2So2gIva6S8XA4SxrA3CJI5Rzdrrsg7xHxKYBQFFqq&#10;NchdrYzvUFFVwhMlV2rr+Cp2WxRK+vdF4ZRnVcaJqY8rFaH9JqzJainSLQpbatm3IJ7SwiNOtdCG&#10;ip6g1sILtkP9D1StJYKDwg8k1ElHJCpCLEbDR9rclcKqyIWkdvYkuvt/sPLd/gMynWd8vphxZkRN&#10;Iz9+vz/++HX8+Y2Nhotp0KixLqXUO0vJvn0FLTkn8nX2FuRnxwxcl8Js1RUiNKUSOfU4Ci+Ts6cd&#10;jgsgm+Yt5FRK7DxEoLbAOghIkjBCp/kcTvNRrWeSLi/m0wn1wySFpovJy1mcXyLSh8cWnX+toGZh&#10;k3Gk8Udwsb91PjQj0oeUUMvAja6qaIHK/HVBid2Nih7qXwcqofuOh283bS/NBvIDkULo/EW/izYl&#10;4FfOGvJWxt2XnUDFWfXGkDCL0WQSzBgPk+nFmA54HtmcR4SRBJVxz1m3vfadgXcW9bakSt0oDFyR&#10;mIWOREOrXVf9CMg/kX/v9WDQ83PM+vO/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rWH69YA&#10;AAAKAQAADwAAAAAAAAABACAAAAAiAAAAZHJzL2Rvd25yZXYueG1sUEsBAhQAFAAAAAgAh07iQH23&#10;pdQhAgAAJwQAAA4AAAAAAAAAAQAgAAAAJQEAAGRycy9lMm9Eb2MueG1sUEsFBgAAAAAGAAYAWQEA&#10;ALgFAAAAAA==&#10;">
                <v:fill on="f" focussize="0,0"/>
                <v:stroke on="f"/>
                <v:imagedata o:title=""/>
                <o:lock v:ext="edit" aspectratio="f"/>
                <v:textbox>
                  <w:txbxContent>
                    <w:p w14:paraId="5664953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保密信息知悉权限</w:t>
                      </w:r>
                    </w:p>
                  </w:txbxContent>
                </v:textbox>
              </v:shape>
            </w:pict>
          </mc:Fallback>
        </mc:AlternateContent>
      </w:r>
      <w:r>
        <w:rPr>
          <w:rFonts w:hint="eastAsia" w:ascii="仿宋" w:hAnsi="仿宋" w:eastAsia="仿宋" w:cs="仿宋"/>
          <w:color w:val="auto"/>
          <w:highlight w:val="none"/>
          <w:lang w:eastAsia="zh-CN"/>
        </w:rPr>
        <w:t>合同双方当事人仅允许因履行本合同而使用另一方当事人提供的保密信息。除合同双方当事人书面委派履行本合同应知悉保密信息的人员外，合同任何一方当事人不得将另一方当事人相关的或属于另一方当事人所有的保密信息泄露或提供给第三方，也不得超出允许范围从另一方当事人复制、摘录或转移任何保密信息。任何保密信息的公布，均应事先征得提供方的书面同意。</w:t>
      </w:r>
    </w:p>
    <w:p w14:paraId="09795739">
      <w:pPr>
        <w:pStyle w:val="2"/>
        <w:adjustRightInd w:val="0"/>
        <w:snapToGrid w:val="0"/>
        <w:spacing w:line="36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1958272" behindDoc="0" locked="0" layoutInCell="1" allowOverlap="1">
                <wp:simplePos x="0" y="0"/>
                <wp:positionH relativeFrom="column">
                  <wp:posOffset>-114300</wp:posOffset>
                </wp:positionH>
                <wp:positionV relativeFrom="paragraph">
                  <wp:posOffset>299720</wp:posOffset>
                </wp:positionV>
                <wp:extent cx="790575" cy="525780"/>
                <wp:effectExtent l="0" t="0" r="0" b="0"/>
                <wp:wrapNone/>
                <wp:docPr id="897" name="文本框 1096"/>
                <wp:cNvGraphicFramePr/>
                <a:graphic xmlns:a="http://schemas.openxmlformats.org/drawingml/2006/main">
                  <a:graphicData uri="http://schemas.microsoft.com/office/word/2010/wordprocessingShape">
                    <wps:wsp>
                      <wps:cNvSpPr txBox="1">
                        <a:spLocks noChangeArrowheads="1"/>
                      </wps:cNvSpPr>
                      <wps:spPr bwMode="auto">
                        <a:xfrm>
                          <a:off x="0" y="0"/>
                          <a:ext cx="790575" cy="525780"/>
                        </a:xfrm>
                        <a:prstGeom prst="rect">
                          <a:avLst/>
                        </a:prstGeom>
                        <a:noFill/>
                        <a:ln>
                          <a:noFill/>
                        </a:ln>
                        <a:effectLst/>
                      </wps:spPr>
                      <wps:txbx>
                        <w:txbxContent>
                          <w:p w14:paraId="1B4ADF77">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签订保密协议</w:t>
                            </w:r>
                          </w:p>
                        </w:txbxContent>
                      </wps:txbx>
                      <wps:bodyPr rot="0" vert="horz" wrap="square" lIns="91440" tIns="45720" rIns="91440" bIns="45720" anchor="t" anchorCtr="0" upright="1">
                        <a:noAutofit/>
                      </wps:bodyPr>
                    </wps:wsp>
                  </a:graphicData>
                </a:graphic>
              </wp:anchor>
            </w:drawing>
          </mc:Choice>
          <mc:Fallback>
            <w:pict>
              <v:shape id="文本框 1096" o:spid="_x0000_s1026" o:spt="202" type="#_x0000_t202" style="position:absolute;left:0pt;margin-left:-9pt;margin-top:23.6pt;height:41.4pt;width:62.25pt;z-index:251958272;mso-width-relative:page;mso-height-relative:page;" filled="f" stroked="f" coordsize="21600,21600" o:gfxdata="UEsDBAoAAAAAAIdO4kAAAAAAAAAAAAAAAAAEAAAAZHJzL1BLAwQUAAAACACHTuJAlRvMLtgAAAAK&#10;AQAADwAAAGRycy9kb3ducmV2LnhtbE2PzU7DMBCE70i8g7VI3Np1SltKiNMDiCuI8iNx28bbJCJe&#10;R7HbhLfHPcFtVjOa/abYTq5TJx5C68VANtegWCpvW6kNvL89zTagQiSx1HlhAz8cYFteXhSUWz/K&#10;K592sVapREJOBpoY+xwxVA07CnPfsyTv4AdHMZ1DjXagMZW7Dhdar9FRK+lDQz0/NFx9747OwMfz&#10;4etzqV/qR7fqRz9pFHeHxlxfZfoeVOQp/oXhjJ/QoUxMe38UG1RnYJZt0pZoYHm7AHUO6PUK1D6J&#10;G60BywL/Tyh/AVBLAwQUAAAACACHTuJAbMl3ziECAAAnBAAADgAAAGRycy9lMm9Eb2MueG1srVPN&#10;jtMwEL4j8Q6W7zRp1W63UdPVstUipOVHWngA13Eai8Rjxm6T8gDwBpy4cOe5+hyMnWwpy2UPXCzb&#10;M/5mvm8+L6+6pmZ7hU6Dyfl4lHKmjIRCm23OP364fXHJmfPCFKIGo3J+UI5frZ4/W7Y2UxOooC4U&#10;MgIxLmttzivvbZYkTlaqEW4EVhkKloCN8HTEbVKgaAm9qZNJml4kLWBhEaRyjm7XfZAPiPgUQChL&#10;LdUa5K5RxveoqGrhiZKrtHV8FbstSyX9u7J0yrM658TUx5WK0H4T1mS1FNkWha20HFoQT2nhEadG&#10;aENFT1Br4QXbof4HqtESwUHpRxKapCcSFSEW4/SRNveVsCpyIamdPYnu/h+sfLt/j0wXOb9czDkz&#10;oqGRH79/O/74dfz5lY3TxUXQqLUuo9R7S8m+ewkdOSfydfYO5CfHDNxUwmzVNSK0lRIF9TgOL5Oz&#10;pz2OCyCb9g0UVErsPESgrsQmCEiSMEKn+RxO81GdZ5Iu54t0Np9xJik0m8zml3F+icgeHlt0/pWC&#10;hoVNzpHGH8HF/s750IzIHlJCLQO3uq6jBWrz1wUl9jcqemh4HaiE7nsevtt0gzQbKA5ECqH3F/0u&#10;2lSAXzhryVs5d593AhVn9WtDwizG02kwYzxMZ/MJHfA8sjmPCCMJKuees35743sD7yzqbUWV+lEY&#10;uCYxSx2Jhlb7roYRkH8i/8HrwaDn55j153+v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VG8wu&#10;2AAAAAoBAAAPAAAAAAAAAAEAIAAAACIAAABkcnMvZG93bnJldi54bWxQSwECFAAUAAAACACHTuJA&#10;bMl3ziECAAAnBAAADgAAAAAAAAABACAAAAAnAQAAZHJzL2Uyb0RvYy54bWxQSwUGAAAAAAYABgBZ&#10;AQAAugUAAAAA&#10;">
                <v:fill on="f" focussize="0,0"/>
                <v:stroke on="f"/>
                <v:imagedata o:title=""/>
                <o:lock v:ext="edit" aspectratio="f"/>
                <v:textbox>
                  <w:txbxContent>
                    <w:p w14:paraId="1B4ADF77">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签订保密协议</w:t>
                      </w:r>
                    </w:p>
                  </w:txbxContent>
                </v:textbox>
              </v:shape>
            </w:pict>
          </mc:Fallback>
        </mc:AlternateContent>
      </w:r>
      <w:r>
        <w:rPr>
          <w:rFonts w:hint="eastAsia" w:ascii="仿宋" w:hAnsi="仿宋" w:eastAsia="仿宋" w:cs="仿宋"/>
          <w:b/>
          <w:bCs/>
          <w:color w:val="auto"/>
          <w:sz w:val="24"/>
          <w:szCs w:val="24"/>
          <w:highlight w:val="none"/>
          <w:lang w:eastAsia="zh-CN"/>
        </w:rPr>
        <w:t>99</w:t>
      </w:r>
      <w:r>
        <w:rPr>
          <w:rFonts w:ascii="仿宋" w:hAnsi="仿宋" w:eastAsia="仿宋" w:cs="仿宋"/>
          <w:b/>
          <w:bCs/>
          <w:color w:val="auto"/>
          <w:sz w:val="24"/>
          <w:szCs w:val="24"/>
          <w:highlight w:val="none"/>
          <w:lang w:eastAsia="zh-CN"/>
        </w:rPr>
        <w:t xml:space="preserve">.3  </w:t>
      </w:r>
    </w:p>
    <w:p w14:paraId="58ECBB80">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应与履行本合同知悉保密信息的人员签订保密协议，并将其中一份及时提交给另一方当事人。合同双方当事人应以保护自身秘密的谨慎态度采取有效措施保护另一方当事人的保密信息，避免保密信息被不当公开或使用。合同任何一方当事人发现有第三方盗用或滥用另一方当事人保密信息的，应及时通知另一方当事人。</w:t>
      </w:r>
    </w:p>
    <w:p w14:paraId="2703DE0D">
      <w:pPr>
        <w:spacing w:line="360" w:lineRule="auto"/>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99</w:t>
      </w:r>
      <w:r>
        <w:rPr>
          <w:rFonts w:ascii="仿宋" w:hAnsi="仿宋" w:eastAsia="仿宋" w:cs="仿宋"/>
          <w:b/>
          <w:bCs/>
          <w:color w:val="auto"/>
          <w:highlight w:val="none"/>
          <w:lang w:eastAsia="zh-CN"/>
        </w:rPr>
        <w:t>.4</w:t>
      </w:r>
    </w:p>
    <w:p w14:paraId="710DA504">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59296" behindDoc="0" locked="0" layoutInCell="1" allowOverlap="1">
                <wp:simplePos x="0" y="0"/>
                <wp:positionH relativeFrom="column">
                  <wp:posOffset>-114300</wp:posOffset>
                </wp:positionH>
                <wp:positionV relativeFrom="paragraph">
                  <wp:posOffset>65405</wp:posOffset>
                </wp:positionV>
                <wp:extent cx="803910" cy="777875"/>
                <wp:effectExtent l="0" t="0" r="0" b="0"/>
                <wp:wrapNone/>
                <wp:docPr id="898" name="文本框 1097"/>
                <wp:cNvGraphicFramePr/>
                <a:graphic xmlns:a="http://schemas.openxmlformats.org/drawingml/2006/main">
                  <a:graphicData uri="http://schemas.microsoft.com/office/word/2010/wordprocessingShape">
                    <wps:wsp>
                      <wps:cNvSpPr txBox="1">
                        <a:spLocks noChangeArrowheads="1"/>
                      </wps:cNvSpPr>
                      <wps:spPr bwMode="auto">
                        <a:xfrm>
                          <a:off x="0" y="0"/>
                          <a:ext cx="803910" cy="777875"/>
                        </a:xfrm>
                        <a:prstGeom prst="rect">
                          <a:avLst/>
                        </a:prstGeom>
                        <a:noFill/>
                        <a:ln>
                          <a:noFill/>
                        </a:ln>
                        <a:effectLst/>
                      </wps:spPr>
                      <wps:txbx>
                        <w:txbxContent>
                          <w:p w14:paraId="54F0C16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配合政府要求并做好保密工作</w:t>
                            </w:r>
                          </w:p>
                        </w:txbxContent>
                      </wps:txbx>
                      <wps:bodyPr rot="0" vert="horz" wrap="square" lIns="91440" tIns="45720" rIns="91440" bIns="45720" anchor="t" anchorCtr="0" upright="1">
                        <a:noAutofit/>
                      </wps:bodyPr>
                    </wps:wsp>
                  </a:graphicData>
                </a:graphic>
              </wp:anchor>
            </w:drawing>
          </mc:Choice>
          <mc:Fallback>
            <w:pict>
              <v:shape id="文本框 1097" o:spid="_x0000_s1026" o:spt="202" type="#_x0000_t202" style="position:absolute;left:0pt;margin-left:-9pt;margin-top:5.15pt;height:61.25pt;width:63.3pt;z-index:251959296;mso-width-relative:page;mso-height-relative:page;" filled="f" stroked="f" coordsize="21600,21600" o:gfxdata="UEsDBAoAAAAAAIdO4kAAAAAAAAAAAAAAAAAEAAAAZHJzL1BLAwQUAAAACACHTuJA/6u06dcAAAAK&#10;AQAADwAAAGRycy9kb3ducmV2LnhtbE2PzU7DMBCE70i8g7VI3Fo7LVQhxOkBxBVE+ZG4beNtEhGv&#10;o9htwtuzPcFtRzOa/abczr5XJxpjF9hCtjSgiOvgOm4svL89LXJQMSE77AOThR+KsK0uL0osXJj4&#10;lU671Cgp4VighTalodA61i15jMswEIt3CKPHJHJstBtxknLf65UxG+2xY/nQ4kAPLdXfu6O38PF8&#10;+Pq8MS/No78dpjAbzf5OW3t9lZl7UInm9BeGM76gQyVM+3BkF1VvYZHlsiWJYdagzgGTb0Dt5Viv&#10;ctBVqf9PqH4BUEsDBBQAAAAIAIdO4kCFzRAUHwIAACcEAAAOAAAAZHJzL2Uyb0RvYy54bWytU82O&#10;0zAQviPxDpbvNEnpkjZqulq2WoS0/EgLD+A6TmOReIztNikPAG/AiQt3nqvPwdjOlrJc9sDFsj3j&#10;b+b75vPycuhashfGSlAlzSYpJUJxqKTalvTjh5tnc0qsY6piLShR0oOw9HL19Mmy14WYQgNtJQxB&#10;EGWLXpe0cU4XSWJ5IzpmJ6CFwmANpmMOj2abVIb1iN61yTRNXyQ9mEob4MJavF3HIB0RzWMAoa4l&#10;F2vgu04oF1GNaJlDSraR2tJV6LauBXfv6toKR9qSIlMXViyC+41fk9WSFVvDdCP52AJ7TAsPOHVM&#10;Kix6glozx8jOyH+gOskNWKjdhEOXRCJBEWSRpQ+0uWuYFoELSm31SXT7/2D52/17Q2RV0vkCB69Y&#10;hyM/fv92/PHr+PMrydJF7jXqtS0w9U5jshtewoDOCXytvgX+yRIF1w1TW3FlDPSNYBX2mPmXydnT&#10;iGM9yKZ/AxWWYjsHAWioTecFREkIouN8Dqf5iMERjpfz9PkiwwjHUJ7n8/wiVGDF/WNtrHsloCN+&#10;U1KD4w/gbH9rnW+GFfcpvpaCG9m2wQKt+usCE+ONCB4aX3sqvvvIww2bYZRmA9UBSRmI/sLfhZsG&#10;zBdKevRWSe3nHTOCkva1QmEW2WzmzRgOs4t8igdzHtmcR5jiCFVSR0ncXrto4J02cttgpTgKBVco&#10;Zi0DUd9q7GocAfon8B+97g16fg5Zf/736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q7Tp1wAA&#10;AAoBAAAPAAAAAAAAAAEAIAAAACIAAABkcnMvZG93bnJldi54bWxQSwECFAAUAAAACACHTuJAhc0Q&#10;FB8CAAAnBAAADgAAAAAAAAABACAAAAAmAQAAZHJzL2Uyb0RvYy54bWxQSwUGAAAAAAYABgBZAQAA&#10;twUAAAAA&#10;">
                <v:fill on="f" focussize="0,0"/>
                <v:stroke on="f"/>
                <v:imagedata o:title=""/>
                <o:lock v:ext="edit" aspectratio="f"/>
                <v:textbox>
                  <w:txbxContent>
                    <w:p w14:paraId="54F0C16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配合政府要求并做好保密工作</w:t>
                      </w:r>
                    </w:p>
                  </w:txbxContent>
                </v:textbox>
              </v:shape>
            </w:pict>
          </mc:Fallback>
        </mc:AlternateContent>
      </w:r>
      <w:r>
        <w:rPr>
          <w:rFonts w:hint="eastAsia" w:ascii="仿宋" w:hAnsi="仿宋" w:eastAsia="仿宋" w:cs="仿宋"/>
          <w:color w:val="auto"/>
          <w:highlight w:val="none"/>
          <w:lang w:eastAsia="zh-CN"/>
        </w:rPr>
        <w:t>如果法律或政府执法、监督管理等有要求，合同双方当事人应予配合和支持，并提供需要的保密信息。需提供另一方当事人保密信息的，应立即书面通知另一方当事人，以便另一方当事人及时履行义务。若另一方当事人未能及时作出回应的，除依法应提供另一方当事人信息外，应积极维护另一方当事人合法权益。</w:t>
      </w:r>
    </w:p>
    <w:p w14:paraId="12210E54">
      <w:pPr>
        <w:pStyle w:val="2"/>
        <w:adjustRightInd w:val="0"/>
        <w:snapToGrid w:val="0"/>
        <w:spacing w:line="360" w:lineRule="auto"/>
        <w:rPr>
          <w:rFonts w:hint="eastAsia" w:ascii="仿宋" w:hAnsi="仿宋" w:eastAsia="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99</w:t>
      </w:r>
      <w:r>
        <w:rPr>
          <w:rFonts w:ascii="仿宋" w:hAnsi="仿宋" w:eastAsia="仿宋" w:cs="仿宋"/>
          <w:b/>
          <w:bCs/>
          <w:color w:val="auto"/>
          <w:sz w:val="24"/>
          <w:szCs w:val="24"/>
          <w:highlight w:val="none"/>
          <w:lang w:eastAsia="zh-CN"/>
        </w:rPr>
        <w:t xml:space="preserve">.5  </w:t>
      </w:r>
    </w:p>
    <w:p w14:paraId="18B584FB">
      <w:pPr>
        <w:widowControl w:val="0"/>
        <w:adjustRightInd w:val="0"/>
        <w:snapToGrid w:val="0"/>
        <w:spacing w:line="360" w:lineRule="auto"/>
        <w:ind w:left="1850" w:leftChars="771"/>
        <w:jc w:val="both"/>
        <w:rPr>
          <w:rFonts w:hint="eastAsia" w:ascii="仿宋" w:hAnsi="仿宋" w:eastAsia="仿宋"/>
          <w:color w:val="auto"/>
          <w:highlight w:val="none"/>
        </w:rPr>
      </w:pPr>
      <w:r>
        <w:rPr>
          <w:color w:val="auto"/>
          <w:highlight w:val="none"/>
          <w:lang w:eastAsia="zh-CN" w:bidi="ar-SA"/>
        </w:rPr>
        <mc:AlternateContent>
          <mc:Choice Requires="wps">
            <w:drawing>
              <wp:anchor distT="0" distB="0" distL="114300" distR="114300" simplePos="0" relativeHeight="251960320" behindDoc="0" locked="0" layoutInCell="1" allowOverlap="1">
                <wp:simplePos x="0" y="0"/>
                <wp:positionH relativeFrom="column">
                  <wp:posOffset>-114300</wp:posOffset>
                </wp:positionH>
                <wp:positionV relativeFrom="paragraph">
                  <wp:posOffset>22225</wp:posOffset>
                </wp:positionV>
                <wp:extent cx="804545" cy="663575"/>
                <wp:effectExtent l="0" t="0" r="0" b="0"/>
                <wp:wrapNone/>
                <wp:docPr id="899" name="文本框 1098"/>
                <wp:cNvGraphicFramePr/>
                <a:graphic xmlns:a="http://schemas.openxmlformats.org/drawingml/2006/main">
                  <a:graphicData uri="http://schemas.microsoft.com/office/word/2010/wordprocessingShape">
                    <wps:wsp>
                      <wps:cNvSpPr txBox="1">
                        <a:spLocks noChangeArrowheads="1"/>
                      </wps:cNvSpPr>
                      <wps:spPr bwMode="auto">
                        <a:xfrm>
                          <a:off x="0" y="0"/>
                          <a:ext cx="804545" cy="663575"/>
                        </a:xfrm>
                        <a:prstGeom prst="rect">
                          <a:avLst/>
                        </a:prstGeom>
                        <a:noFill/>
                        <a:ln>
                          <a:noFill/>
                        </a:ln>
                        <a:effectLst/>
                      </wps:spPr>
                      <wps:txbx>
                        <w:txbxContent>
                          <w:p w14:paraId="2AC6E4B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书面说明保密程度</w:t>
                            </w:r>
                          </w:p>
                        </w:txbxContent>
                      </wps:txbx>
                      <wps:bodyPr rot="0" vert="horz" wrap="square" lIns="91440" tIns="45720" rIns="91440" bIns="45720" anchor="t" anchorCtr="0" upright="1">
                        <a:noAutofit/>
                      </wps:bodyPr>
                    </wps:wsp>
                  </a:graphicData>
                </a:graphic>
              </wp:anchor>
            </w:drawing>
          </mc:Choice>
          <mc:Fallback>
            <w:pict>
              <v:shape id="文本框 1098" o:spid="_x0000_s1026" o:spt="202" type="#_x0000_t202" style="position:absolute;left:0pt;margin-left:-9pt;margin-top:1.75pt;height:52.25pt;width:63.35pt;z-index:251960320;mso-width-relative:page;mso-height-relative:page;" filled="f" stroked="f" coordsize="21600,21600" o:gfxdata="UEsDBAoAAAAAAIdO4kAAAAAAAAAAAAAAAAAEAAAAZHJzL1BLAwQUAAAACACHTuJA+8MqVNUAAAAJ&#10;AQAADwAAAGRycy9kb3ducmV2LnhtbE2PzU7DMBCE70i8g7VI3Fo7QCGEbHoAcQVRfiRu23ibRMTr&#10;KHab8Pa4XOA2q1nNfFOuZ9erA4+h84KQLQ0oltrbThqEt9fHRQ4qRBJLvRdG+OYA6+r0pKTC+kle&#10;+LCJjUohEgpCaGMcCq1D3bKjsPQDS/J2fnQU0zk22o40pXDX6wtjrrWjTlJDSwPft1x/bfYO4f1p&#10;9/lxZZ6bB7caJj8bLe5WI56fZeYOVOQ5/j3DET+hQ5WYtn4vNqgeYZHlaUtEuFyBOvomvwG1/RUG&#10;dFXq/wuqH1BLAwQUAAAACACHTuJAgxR0FyECAAAnBAAADgAAAGRycy9lMm9Eb2MueG1srVPNjtMw&#10;EL4j8Q6W7zRtabtt1HS1bLUIafmRFh7AdZzGIvGYsdukPAD7Bpy4cOe5+hyMnWwpy2UPXCzbM/5m&#10;vm8+Ly/bumJ7hU6DyfhoMORMGQm5NtuMf/p482LOmfPC5KICozJ+UI5frp4/WzY2VWMoocoVMgIx&#10;Lm1sxkvvbZokTpaqFm4AVhkKFoC18HTEbZKjaAi9rpLxcDhLGsDcIkjlHN2uuyDvEfEpgFAUWqo1&#10;yF2tjO9QUVXCEyVXauv4KnZbFEr690XhlGdVxompjysVof0mrMlqKdItCltq2bcgntLCI0610IaK&#10;nqDWwgu2Q/0PVK0lgoPCDyTUSUckKkIsRsNH2tyVwqrIhaR29iS6+3+w8t3+AzKdZ3y+WHBmRE0j&#10;P36/P/74dfz5jY2Gi3nQqLEupdQ7S8m+fQUtOSfydfYW5GfHDFyXwmzVFSI0pRI59TgKL5Ozpx2O&#10;CyCb5i3kVErsPESgtsA6CEiSMEKn+RxO81GtZ5Iu58PJdDLlTFJoNns5vZjGCiJ9eGzR+dcKahY2&#10;GUcafwQX+1vnQzMifUgJtQzc6KqKFqjMXxeU2N2o6KH+daASuu94+HbT9tJsID8QKYTOX/S7aFMC&#10;fuWsIW9l3H3ZCVScVW8MCbMYTSbBjPEwmV6M6YDnkc15RBhJUBn3nHXba98ZeGdRb0uq1I3CwBWJ&#10;WehINLTaddWPgPwT+fdeDwY9P8esP/979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7wypU1QAA&#10;AAkBAAAPAAAAAAAAAAEAIAAAACIAAABkcnMvZG93bnJldi54bWxQSwECFAAUAAAACACHTuJAgxR0&#10;FyECAAAnBAAADgAAAAAAAAABACAAAAAkAQAAZHJzL2Uyb0RvYy54bWxQSwUGAAAAAAYABgBZAQAA&#10;twUAAAAA&#10;">
                <v:fill on="f" focussize="0,0"/>
                <v:stroke on="f"/>
                <v:imagedata o:title=""/>
                <o:lock v:ext="edit" aspectratio="f"/>
                <v:textbox>
                  <w:txbxContent>
                    <w:p w14:paraId="2AC6E4B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书面说明保密程度</w:t>
                      </w:r>
                    </w:p>
                  </w:txbxContent>
                </v:textbox>
              </v:shape>
            </w:pict>
          </mc:Fallback>
        </mc:AlternateContent>
      </w:r>
      <w:r>
        <w:rPr>
          <w:rFonts w:hint="eastAsia" w:ascii="仿宋" w:hAnsi="仿宋" w:eastAsia="仿宋" w:cs="仿宋"/>
          <w:color w:val="auto"/>
          <w:highlight w:val="none"/>
          <w:lang w:eastAsia="zh-CN"/>
        </w:rPr>
        <w:t>保密信息应由提供方以书面形式说明保密程度；以口头形式提供的，则提供方应在提供后</w:t>
      </w:r>
      <w:r>
        <w:rPr>
          <w:rFonts w:ascii="仿宋" w:hAnsi="仿宋" w:eastAsia="仿宋" w:cs="仿宋"/>
          <w:color w:val="auto"/>
          <w:highlight w:val="none"/>
          <w:lang w:eastAsia="zh-CN"/>
        </w:rPr>
        <w:t>28</w:t>
      </w:r>
      <w:r>
        <w:rPr>
          <w:rFonts w:hint="eastAsia" w:ascii="仿宋" w:hAnsi="仿宋" w:eastAsia="仿宋" w:cs="仿宋"/>
          <w:color w:val="auto"/>
          <w:highlight w:val="none"/>
          <w:lang w:eastAsia="zh-CN"/>
        </w:rPr>
        <w:t>天内以书面形式予以确认。保密信息不但包括合同双方当事人确认的信息，还包括与工程材料和工程设备、价格、工程设计、图纸、技术、工艺和财务等相关信息。</w:t>
      </w:r>
      <w:r>
        <w:rPr>
          <w:rFonts w:hint="eastAsia" w:ascii="仿宋" w:hAnsi="仿宋" w:eastAsia="仿宋" w:cs="仿宋"/>
          <w:color w:val="auto"/>
          <w:highlight w:val="none"/>
        </w:rPr>
        <w:t>但不包括下述信息：</w:t>
      </w:r>
    </w:p>
    <w:p w14:paraId="6B3E3A8E">
      <w:pPr>
        <w:pStyle w:val="2"/>
        <w:widowControl w:val="0"/>
        <w:numPr>
          <w:ilvl w:val="0"/>
          <w:numId w:val="34"/>
        </w:numPr>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提供前已由合同双方当事人所持有的；</w:t>
      </w:r>
    </w:p>
    <w:p w14:paraId="10178B15">
      <w:pPr>
        <w:pStyle w:val="2"/>
        <w:widowControl w:val="0"/>
        <w:numPr>
          <w:ilvl w:val="0"/>
          <w:numId w:val="34"/>
        </w:numPr>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已公开发表或非对方当事人原因向公众公开的；</w:t>
      </w:r>
    </w:p>
    <w:p w14:paraId="0542CFD6">
      <w:pPr>
        <w:pStyle w:val="2"/>
        <w:widowControl w:val="0"/>
        <w:numPr>
          <w:ilvl w:val="0"/>
          <w:numId w:val="34"/>
        </w:numPr>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已由各相关方书面同意其公开的；</w:t>
      </w:r>
    </w:p>
    <w:p w14:paraId="70FBBABC">
      <w:pPr>
        <w:pStyle w:val="2"/>
        <w:widowControl w:val="0"/>
        <w:numPr>
          <w:ilvl w:val="0"/>
          <w:numId w:val="34"/>
        </w:numPr>
        <w:snapToGrid w:val="0"/>
        <w:spacing w:line="360" w:lineRule="auto"/>
        <w:ind w:left="1850" w:leftChars="771" w:firstLine="0"/>
        <w:jc w:val="both"/>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在未获取保密信息前由对方当事人独立开发的；</w:t>
      </w:r>
    </w:p>
    <w:p w14:paraId="40D306A7">
      <w:pPr>
        <w:pStyle w:val="2"/>
        <w:widowControl w:val="0"/>
        <w:numPr>
          <w:ilvl w:val="0"/>
          <w:numId w:val="34"/>
        </w:numPr>
        <w:snapToGrid w:val="0"/>
        <w:spacing w:line="360" w:lineRule="auto"/>
        <w:ind w:left="1850" w:leftChars="771" w:firstLine="0"/>
        <w:jc w:val="both"/>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对方当事人从对保密信息不承担保密义务的第三方处合法获得的。</w:t>
      </w:r>
    </w:p>
    <w:p w14:paraId="1D0F163D">
      <w:pPr>
        <w:pStyle w:val="2"/>
        <w:tabs>
          <w:tab w:val="left" w:pos="1620"/>
        </w:tabs>
        <w:adjustRightInd w:val="0"/>
        <w:snapToGrid w:val="0"/>
        <w:spacing w:line="360" w:lineRule="auto"/>
        <w:rPr>
          <w:rFonts w:hint="eastAsia" w:ascii="仿宋" w:hAnsi="仿宋" w:eastAsia="仿宋" w:cs="仿宋"/>
          <w:b/>
          <w:bCs/>
          <w:color w:val="auto"/>
          <w:sz w:val="24"/>
          <w:szCs w:val="24"/>
          <w:highlight w:val="none"/>
          <w:u w:val="single"/>
          <w:lang w:eastAsia="zh-CN"/>
        </w:rPr>
      </w:pPr>
    </w:p>
    <w:p w14:paraId="01EFEEDD">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402" w:name="_Toc12205"/>
      <w:r>
        <w:rPr>
          <w:rFonts w:hint="eastAsia" w:ascii="仿宋" w:hAnsi="仿宋" w:eastAsia="仿宋" w:cs="仿宋"/>
          <w:bCs w:val="0"/>
          <w:color w:val="auto"/>
          <w:sz w:val="24"/>
          <w:szCs w:val="24"/>
          <w:highlight w:val="none"/>
          <w:lang w:eastAsia="zh-CN"/>
        </w:rPr>
        <w:t>100 廉政建设</w:t>
      </w:r>
      <w:bookmarkEnd w:id="402"/>
    </w:p>
    <w:p w14:paraId="2415BCDD">
      <w:pPr>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100</w:t>
      </w:r>
      <w:r>
        <w:rPr>
          <w:rFonts w:ascii="仿宋" w:hAnsi="仿宋" w:eastAsia="仿宋" w:cs="仿宋"/>
          <w:b/>
          <w:bCs/>
          <w:color w:val="auto"/>
          <w:highlight w:val="none"/>
          <w:lang w:eastAsia="zh-CN"/>
        </w:rPr>
        <w:t>.1</w:t>
      </w:r>
    </w:p>
    <w:p w14:paraId="3DEF9323">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61344" behindDoc="0" locked="0" layoutInCell="1" allowOverlap="1">
                <wp:simplePos x="0" y="0"/>
                <wp:positionH relativeFrom="column">
                  <wp:posOffset>-114300</wp:posOffset>
                </wp:positionH>
                <wp:positionV relativeFrom="paragraph">
                  <wp:posOffset>15875</wp:posOffset>
                </wp:positionV>
                <wp:extent cx="894080" cy="396240"/>
                <wp:effectExtent l="0" t="0" r="0" b="0"/>
                <wp:wrapNone/>
                <wp:docPr id="900" name="文本框 1099"/>
                <wp:cNvGraphicFramePr/>
                <a:graphic xmlns:a="http://schemas.openxmlformats.org/drawingml/2006/main">
                  <a:graphicData uri="http://schemas.microsoft.com/office/word/2010/wordprocessingShape">
                    <wps:wsp>
                      <wps:cNvSpPr txBox="1">
                        <a:spLocks noChangeArrowheads="1"/>
                      </wps:cNvSpPr>
                      <wps:spPr bwMode="auto">
                        <a:xfrm>
                          <a:off x="0" y="0"/>
                          <a:ext cx="894080" cy="396240"/>
                        </a:xfrm>
                        <a:prstGeom prst="rect">
                          <a:avLst/>
                        </a:prstGeom>
                        <a:noFill/>
                        <a:ln>
                          <a:noFill/>
                        </a:ln>
                        <a:effectLst/>
                      </wps:spPr>
                      <wps:txbx>
                        <w:txbxContent>
                          <w:p w14:paraId="47B08A19">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廉政建设</w:t>
                            </w:r>
                          </w:p>
                        </w:txbxContent>
                      </wps:txbx>
                      <wps:bodyPr rot="0" vert="horz" wrap="square" lIns="91440" tIns="45720" rIns="91440" bIns="45720" anchor="t" anchorCtr="0" upright="1">
                        <a:noAutofit/>
                      </wps:bodyPr>
                    </wps:wsp>
                  </a:graphicData>
                </a:graphic>
              </wp:anchor>
            </w:drawing>
          </mc:Choice>
          <mc:Fallback>
            <w:pict>
              <v:shape id="文本框 1099" o:spid="_x0000_s1026" o:spt="202" type="#_x0000_t202" style="position:absolute;left:0pt;margin-left:-9pt;margin-top:1.25pt;height:31.2pt;width:70.4pt;z-index:251961344;mso-width-relative:page;mso-height-relative:page;" filled="f" stroked="f" coordsize="21600,21600" o:gfxdata="UEsDBAoAAAAAAIdO4kAAAAAAAAAAAAAAAAAEAAAAZHJzL1BLAwQUAAAACACHTuJA8e2ltNUAAAAI&#10;AQAADwAAAGRycy9kb3ducmV2LnhtbE2PwW7CMBBE75X4B2uRuIGdCBCk2XCg6pWqlFbqzcRLEhGv&#10;o9iQ9O9rTu1xNauZ9/LdaFtxp943jhGShQJBXDrTcIVw+nidb0D4oNno1jEh/JCHXTF5ynVm3MDv&#10;dD+GSsQS9plGqEPoMil9WZPVfuE64phdXG91iGdfSdPrIZbbVqZKraXVDceFWne0r6m8Hm8W4fNw&#10;+f5aqrfqxa66wY1Kst1KxNk0Uc8gAo3h7xke+BEdish0djc2XrQI82QTXQJCugLxyNM0qpwR1sst&#10;yCKX/wWKX1BLAwQUAAAACACHTuJA6cKSxB8CAAAnBAAADgAAAGRycy9lMm9Eb2MueG1srVPNjtMw&#10;EL4j8Q6W7zRpKUsTNV0tWy1CWn6khQdwHaexSDxm7DZZHoB9A05cuPNcfQ7GTraU5bIHLpbtGX/z&#10;fd+Ml+d927C9QqfBFHw6STlTRkKpzbbgnz5ePVtw5rwwpWjAqILfKsfPV0+fLDubqxnU0JQKGYEY&#10;l3e24LX3Nk8SJ2vVCjcBqwwFK8BWeDriNilRdITeNsksTc+SDrC0CFI5R7frIchHRHwMIFSVlmoN&#10;ctcq4wdUVI3wJMnV2jq+imyrSkn/vqqc8qwpOCn1caUitN+ENVktRb5FYWstRwriMRQeaGqFNlT0&#10;CLUWXrAd6n+gWi0RHFR+IqFNBiHREVIxTR94c1MLq6IWstrZo+nu/8HKd/sPyHRZ8CwlT4xoqeWH&#10;73eHH78OP7+xaZplwaPOupxSbywl+/4V9DQ5Ua+z1yA/O2bgshZmqy4QoauVKInjNLxMTp4OOC6A&#10;bLq3UFIpsfMQgfoK22AgWcIInbjcHvujes8kXS6yebqgiKTQ8+xsNo/9S0R+/9ii868VtCxsCo7U&#10;/ggu9tfOBzIiv08JtQxc6aaJI9CYvy4ocbhRcYbG10FKYD/o8P2mH63ZQHlLohCG+aLfRZsa8Ctn&#10;Hc1Wwd2XnUDFWfPGkDHZdE7UmY+H+YuXMzrgaWRzGhFGElTBPWfD9tIPA7yzqLc1VRpaYeCCzKx0&#10;FBqoDqzGFtD8RP3jrIcBPT3HrD//e/U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8e2ltNUAAAAI&#10;AQAADwAAAAAAAAABACAAAAAiAAAAZHJzL2Rvd25yZXYueG1sUEsBAhQAFAAAAAgAh07iQOnCksQf&#10;AgAAJwQAAA4AAAAAAAAAAQAgAAAAJAEAAGRycy9lMm9Eb2MueG1sUEsFBgAAAAAGAAYAWQEAALUF&#10;AAAAAA==&#10;">
                <v:fill on="f" focussize="0,0"/>
                <v:stroke on="f"/>
                <v:imagedata o:title=""/>
                <o:lock v:ext="edit" aspectratio="f"/>
                <v:textbox>
                  <w:txbxContent>
                    <w:p w14:paraId="47B08A19">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廉政建设</w:t>
                      </w:r>
                    </w:p>
                  </w:txbxContent>
                </v:textbox>
              </v:shape>
            </w:pict>
          </mc:Fallback>
        </mc:AlternateContent>
      </w:r>
      <w:r>
        <w:rPr>
          <w:rFonts w:hint="eastAsia" w:ascii="仿宋" w:hAnsi="仿宋" w:eastAsia="仿宋" w:cs="仿宋"/>
          <w:color w:val="auto"/>
          <w:highlight w:val="none"/>
          <w:lang w:eastAsia="zh-CN"/>
        </w:rPr>
        <w:t>合同双方当事人在签订本合同时，应同时签订廉政合同，作为本合同的附件（详见附件三和附件六）。合同双方当事人在合同履行期间应遵守有关廉政方面的规定和要求，禁止任何腐败行为。</w:t>
      </w:r>
    </w:p>
    <w:p w14:paraId="146FF178">
      <w:pPr>
        <w:pStyle w:val="2"/>
        <w:adjustRightInd w:val="0"/>
        <w:snapToGrid w:val="0"/>
        <w:spacing w:line="360" w:lineRule="auto"/>
        <w:rPr>
          <w:rFonts w:hint="eastAsia" w:ascii="仿宋" w:hAnsi="仿宋" w:eastAsia="仿宋" w:cs="仿宋"/>
          <w:b/>
          <w:bCs/>
          <w:color w:val="auto"/>
          <w:sz w:val="24"/>
          <w:szCs w:val="24"/>
          <w:highlight w:val="none"/>
          <w:u w:val="dotted"/>
          <w:lang w:eastAsia="zh-CN"/>
        </w:rPr>
      </w:pPr>
      <w:r>
        <w:rPr>
          <w:rFonts w:hint="eastAsia" w:ascii="仿宋" w:hAnsi="仿宋" w:eastAsia="仿宋" w:cs="仿宋"/>
          <w:b/>
          <w:bCs/>
          <w:color w:val="auto"/>
          <w:sz w:val="24"/>
          <w:szCs w:val="24"/>
          <w:highlight w:val="none"/>
          <w:lang w:eastAsia="zh-CN"/>
        </w:rPr>
        <w:t>100</w:t>
      </w:r>
      <w:r>
        <w:rPr>
          <w:rFonts w:ascii="仿宋" w:hAnsi="仿宋" w:eastAsia="仿宋" w:cs="仿宋"/>
          <w:b/>
          <w:bCs/>
          <w:color w:val="auto"/>
          <w:sz w:val="24"/>
          <w:szCs w:val="24"/>
          <w:highlight w:val="none"/>
          <w:lang w:eastAsia="zh-CN"/>
        </w:rPr>
        <w:t xml:space="preserve">.2  </w:t>
      </w:r>
    </w:p>
    <w:p w14:paraId="48ECBDB4">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53975</wp:posOffset>
                </wp:positionV>
                <wp:extent cx="807720" cy="408940"/>
                <wp:effectExtent l="0" t="0" r="0" b="0"/>
                <wp:wrapNone/>
                <wp:docPr id="901" name="文本框 1100"/>
                <wp:cNvGraphicFramePr/>
                <a:graphic xmlns:a="http://schemas.openxmlformats.org/drawingml/2006/main">
                  <a:graphicData uri="http://schemas.microsoft.com/office/word/2010/wordprocessingShape">
                    <wps:wsp>
                      <wps:cNvSpPr txBox="1">
                        <a:spLocks noChangeArrowheads="1"/>
                      </wps:cNvSpPr>
                      <wps:spPr bwMode="auto">
                        <a:xfrm>
                          <a:off x="0" y="0"/>
                          <a:ext cx="807720" cy="408940"/>
                        </a:xfrm>
                        <a:prstGeom prst="rect">
                          <a:avLst/>
                        </a:prstGeom>
                        <a:noFill/>
                        <a:ln>
                          <a:noFill/>
                        </a:ln>
                        <a:effectLst/>
                      </wps:spPr>
                      <wps:txbx>
                        <w:txbxContent>
                          <w:p w14:paraId="5D046D3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违反责任</w:t>
                            </w:r>
                          </w:p>
                        </w:txbxContent>
                      </wps:txbx>
                      <wps:bodyPr rot="0" vert="horz" wrap="square" lIns="91440" tIns="45720" rIns="91440" bIns="45720" anchor="t" anchorCtr="0" upright="1">
                        <a:noAutofit/>
                      </wps:bodyPr>
                    </wps:wsp>
                  </a:graphicData>
                </a:graphic>
              </wp:anchor>
            </w:drawing>
          </mc:Choice>
          <mc:Fallback>
            <w:pict>
              <v:shape id="文本框 1100" o:spid="_x0000_s1026" o:spt="202" type="#_x0000_t202" style="position:absolute;left:0pt;margin-left:-9pt;margin-top:4.25pt;height:32.2pt;width:63.6pt;z-index:251962368;mso-width-relative:page;mso-height-relative:page;" filled="f" stroked="f" coordsize="21600,21600" o:gfxdata="UEsDBAoAAAAAAIdO4kAAAAAAAAAAAAAAAAAEAAAAZHJzL1BLAwQUAAAACACHTuJANMuPf9YAAAAI&#10;AQAADwAAAGRycy9kb3ducmV2LnhtbE2PzU7DMBCE70i8g7VIvbV2IlqSkE0PIK5FlB+Jmxtvk4h4&#10;HcVuE94e91SOoxnNfFNuZ9uLM42+c4yQrBQI4tqZjhuEj/eXZQbCB81G944J4Zc8bKvbm1IXxk38&#10;Rud9aEQsYV9ohDaEoZDS1y1Z7VduII7e0Y1WhyjHRppRT7Hc9jJVaiOt7jgutHqgp5bqn/3JInzu&#10;jt9f9+q1ebbrYXKzkmxzibi4S9QjiEBzuIbhgh/RoYpMB3di40WPsEyy+CUgZGsQF1/lKYgDwkOa&#10;g6xK+f9A9QdQSwMEFAAAAAgAh07iQLySjM0dAgAAJwQAAA4AAABkcnMvZTJvRG9jLnhtbK1TzY7T&#10;MBC+I/EOlu80SVXYNmq6WrZahLT8SAsP4DpOYxF7zNhtUh4A3mBPXLjzXH0OJk7bLctlD1wie2b8&#10;zfd9M5lfdqZhW4Vegy14Nko5U1ZCqe264J8/3byYcuaDsKVowKqC75Tnl4vnz+aty9UYamhKhYxA&#10;rM9bV/A6BJcniZe1MsKPwClLyQrQiEBXXCclipbQTZOM0/RV0gKWDkEq7ym6HJL8gIhPAYSq0lIt&#10;QW6MsmFARdWIQJJ8rZ3ni8i2qpQMH6rKq8CagpPSEL/UhM6r/pss5iJfo3C1lgcK4ikUHmkyQltq&#10;eoJaiiDYBvU/UEZLBA9VGEkwySAkOkIqsvSRN3e1cCpqIau9O5nu/x+sfL/9iEyXBZ+lGWdWGBr5&#10;/v7H/ufv/a/vLMvS6FHrfE6ld46KQ/caOtqcqNe7W5BfPLNwXQu7VleI0NZKlMQx691Nzp72U/G5&#10;70FW7TsoqZXYBIhAXYWmN5AsYYRO89md5qO6wCQFp+nFxZgyklKTdDqbRG6JyI+PHfrwRoFh/aHg&#10;SOOP4GJ760NPRuTHkr6XhRvdNHEFGvtXgAqHiIo7dHh9ZD/oCN2qo7d9cAXljkQhDPtFfxcdasBv&#10;nLW0WwX3XzcCFWfNW0vGzLIJUWchXiYvoyY8z6zOM8JKgip44Gw4XodhgTcO9bqmTsMoLFyRmZWO&#10;Qh9YHUZA+xP1H3a9X9Dze6x6+L8X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0y49/1gAAAAgB&#10;AAAPAAAAAAAAAAEAIAAAACIAAABkcnMvZG93bnJldi54bWxQSwECFAAUAAAACACHTuJAvJKMzR0C&#10;AAAnBAAADgAAAAAAAAABACAAAAAlAQAAZHJzL2Uyb0RvYy54bWxQSwUGAAAAAAYABgBZAQAAtAUA&#10;AAAA&#10;">
                <v:fill on="f" focussize="0,0"/>
                <v:stroke on="f"/>
                <v:imagedata o:title=""/>
                <o:lock v:ext="edit" aspectratio="f"/>
                <v:textbox>
                  <w:txbxContent>
                    <w:p w14:paraId="5D046D3D">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违反责任</w:t>
                      </w:r>
                    </w:p>
                  </w:txbxContent>
                </v:textbox>
              </v:shape>
            </w:pict>
          </mc:Fallback>
        </mc:AlternateContent>
      </w:r>
      <w:r>
        <w:rPr>
          <w:rFonts w:hint="eastAsia" w:ascii="仿宋" w:hAnsi="仿宋" w:eastAsia="仿宋" w:cs="仿宋"/>
          <w:color w:val="auto"/>
          <w:highlight w:val="none"/>
          <w:lang w:eastAsia="zh-CN"/>
        </w:rPr>
        <w:t>如果承包人违反廉政建设有关规定，采用不正当手段，贿赂或变相贿赂了包括监理工程师、造价工程师在内的发包人工作人员，以求获得或已获得不当利益的，则发包人除保留追究其工作人员责任外，因承包人上述行为造成发包人损失或工程损害的，承包人应予赔偿，并承担相应的法律责任。发包人有权按照第92</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款约定解除合同，并按照第93</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款约定办理合同解除的支付。</w:t>
      </w:r>
    </w:p>
    <w:p w14:paraId="59B846D4">
      <w:pPr>
        <w:pStyle w:val="2"/>
        <w:adjustRightInd w:val="0"/>
        <w:snapToGrid w:val="0"/>
        <w:spacing w:line="360" w:lineRule="auto"/>
        <w:rPr>
          <w:rFonts w:hint="eastAsia" w:ascii="仿宋" w:hAnsi="仿宋" w:eastAsia="仿宋" w:cs="仿宋"/>
          <w:b/>
          <w:bCs/>
          <w:color w:val="auto"/>
          <w:sz w:val="24"/>
          <w:szCs w:val="24"/>
          <w:highlight w:val="none"/>
          <w:u w:val="single"/>
          <w:lang w:eastAsia="zh-CN"/>
        </w:rPr>
      </w:pPr>
    </w:p>
    <w:p w14:paraId="5B361BD5">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403" w:name="_Toc14035"/>
      <w:r>
        <w:rPr>
          <w:rFonts w:hint="eastAsia" w:ascii="仿宋" w:hAnsi="仿宋" w:eastAsia="仿宋" w:cs="仿宋"/>
          <w:bCs w:val="0"/>
          <w:color w:val="auto"/>
          <w:sz w:val="24"/>
          <w:szCs w:val="24"/>
          <w:highlight w:val="none"/>
          <w:lang w:eastAsia="zh-CN"/>
        </w:rPr>
        <w:t>101禁止转让</w:t>
      </w:r>
      <w:bookmarkEnd w:id="403"/>
    </w:p>
    <w:p w14:paraId="60560846">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b/>
          <w:bCs/>
          <w:color w:val="auto"/>
          <w:sz w:val="24"/>
          <w:szCs w:val="24"/>
          <w:highlight w:val="none"/>
          <w:lang w:eastAsia="zh-CN"/>
        </w:rPr>
        <w:t>101</w:t>
      </w:r>
      <w:r>
        <w:rPr>
          <w:rFonts w:ascii="仿宋" w:hAnsi="仿宋" w:eastAsia="仿宋" w:cs="仿宋"/>
          <w:b/>
          <w:bCs/>
          <w:color w:val="auto"/>
          <w:sz w:val="24"/>
          <w:szCs w:val="24"/>
          <w:highlight w:val="none"/>
          <w:lang w:eastAsia="zh-CN"/>
        </w:rPr>
        <w:t>.1</w:t>
      </w:r>
    </w:p>
    <w:p w14:paraId="5FE7E8AD">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63392" behindDoc="0" locked="0" layoutInCell="1" allowOverlap="1">
                <wp:simplePos x="0" y="0"/>
                <wp:positionH relativeFrom="column">
                  <wp:posOffset>-114300</wp:posOffset>
                </wp:positionH>
                <wp:positionV relativeFrom="paragraph">
                  <wp:posOffset>15875</wp:posOffset>
                </wp:positionV>
                <wp:extent cx="883920" cy="357505"/>
                <wp:effectExtent l="0" t="0" r="0" b="0"/>
                <wp:wrapNone/>
                <wp:docPr id="902" name="文本框 1101"/>
                <wp:cNvGraphicFramePr/>
                <a:graphic xmlns:a="http://schemas.openxmlformats.org/drawingml/2006/main">
                  <a:graphicData uri="http://schemas.microsoft.com/office/word/2010/wordprocessingShape">
                    <wps:wsp>
                      <wps:cNvSpPr txBox="1">
                        <a:spLocks noChangeArrowheads="1"/>
                      </wps:cNvSpPr>
                      <wps:spPr bwMode="auto">
                        <a:xfrm>
                          <a:off x="0" y="0"/>
                          <a:ext cx="883920" cy="357505"/>
                        </a:xfrm>
                        <a:prstGeom prst="rect">
                          <a:avLst/>
                        </a:prstGeom>
                        <a:noFill/>
                        <a:ln>
                          <a:noFill/>
                        </a:ln>
                        <a:effectLst/>
                      </wps:spPr>
                      <wps:txbx>
                        <w:txbxContent>
                          <w:p w14:paraId="63DE76B2">
                            <w:pPr>
                              <w:spacing w:line="240" w:lineRule="exact"/>
                              <w:rPr>
                                <w:rFonts w:ascii="宋体"/>
                                <w:b/>
                                <w:bCs/>
                                <w:sz w:val="18"/>
                                <w:szCs w:val="18"/>
                              </w:rPr>
                            </w:pPr>
                            <w:r>
                              <w:rPr>
                                <w:rFonts w:hint="eastAsia" w:ascii="楷体_GB2312" w:hAnsi="宋体" w:eastAsia="楷体_GB2312" w:cs="楷体_GB2312"/>
                                <w:b/>
                                <w:bCs/>
                                <w:sz w:val="18"/>
                                <w:szCs w:val="18"/>
                              </w:rPr>
                              <w:t>履行合同</w:t>
                            </w:r>
                          </w:p>
                        </w:txbxContent>
                      </wps:txbx>
                      <wps:bodyPr rot="0" vert="horz" wrap="square" lIns="91440" tIns="45720" rIns="91440" bIns="45720" anchor="t" anchorCtr="0" upright="1">
                        <a:noAutofit/>
                      </wps:bodyPr>
                    </wps:wsp>
                  </a:graphicData>
                </a:graphic>
              </wp:anchor>
            </w:drawing>
          </mc:Choice>
          <mc:Fallback>
            <w:pict>
              <v:shape id="文本框 1101" o:spid="_x0000_s1026" o:spt="202" type="#_x0000_t202" style="position:absolute;left:0pt;margin-left:-9pt;margin-top:1.25pt;height:28.15pt;width:69.6pt;z-index:251963392;mso-width-relative:page;mso-height-relative:page;" filled="f" stroked="f" coordsize="21600,21600" o:gfxdata="UEsDBAoAAAAAAIdO4kAAAAAAAAAAAAAAAAAEAAAAZHJzL1BLAwQUAAAACACHTuJAjjUr1tYAAAAI&#10;AQAADwAAAGRycy9kb3ducmV2LnhtbE2PzW6DMBCE75X6DtZWyi2xQaGilCWHVr0mavoj9ebgDaDi&#10;NcJOIG8f59QeRzOa+abczLYXZxp95xghWSkQxLUzHTcInx9vyxyED5qN7h0TwoU8bKr7u1IXxk38&#10;Tud9aEQsYV9ohDaEoZDS1y1Z7VduII7e0Y1WhyjHRppRT7Hc9jJV6lFa3XFcaPVALy3Vv/uTRfja&#10;Hn++12rXvNpsmNysJNsnibh4SNQziEBz+AvDDT+iQxWZDu7ExoseYZnk8UtASDMQNz9NUhAHhCzP&#10;QVal/H+gugJQSwMEFAAAAAgAh07iQLsTb9cfAgAAJwQAAA4AAABkcnMvZTJvRG9jLnhtbK1TzW4T&#10;MRC+I/EOlu9kd9OEJqtsqtKoCKn8SIUHcLzerMXaY2wnu+UB6Btw4sKd58pzMLbTEMqlBy6W7Rl/&#10;M983nxcXg+rITlgnQVe0GOWUCM2hlnpT0U8fr1/MKHGe6Zp1oEVF74SjF8vnzxa9KcUYWuhqYQmC&#10;aFf2pqKt96bMMsdboZgbgREagw1YxTwe7SarLesRXXXZOM9fZj3Y2ljgwjm8XaUgPSDapwBC00gu&#10;VsC3SmifUK3omEdKrpXG0WXstmkE9++bxglPuooiUx9XLIL7dViz5YKVG8tMK/mhBfaUFh5xUkxq&#10;LHqEWjHPyNbKf6CU5BYcNH7EQWWJSFQEWRT5I21uW2ZE5IJSO3MU3f0/WP5u98ESWVd0no8p0Uzh&#10;yPff7/c/fu1/fiNFkRdBo964ElNvDSb74RUM6JzI15kb4J8d0XDVMr0Rl9ZC3wpWY4/xZXbyNOG4&#10;ALLu30KNpdjWQwQaGquCgCgJQXScz91xPmLwhOPlbHY2H2OEY+hsej7Np6G3jJUPj411/rUARcKm&#10;ohbHH8HZ7sb5lPqQEmppuJZdFy3Q6b8uEDPdiOihw+tAJXSfePhhPRykWUN9h6QsJH/h78JNC/Yr&#10;JT16q6Luy5ZZQUn3RqMw82IyCWaMh8n0PHCyp5H1aYRpjlAV9ZSk7ZVPBt4aKzctVkqj0HCJYjYy&#10;Eg2tpq5QoHBA/0SpDl4PBj09x6w//3v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41K9bWAAAA&#10;CAEAAA8AAAAAAAAAAQAgAAAAIgAAAGRycy9kb3ducmV2LnhtbFBLAQIUABQAAAAIAIdO4kC7E2/X&#10;HwIAACcEAAAOAAAAAAAAAAEAIAAAACUBAABkcnMvZTJvRG9jLnhtbFBLBQYAAAAABgAGAFkBAAC2&#10;BQAAAAA=&#10;">
                <v:fill on="f" focussize="0,0"/>
                <v:stroke on="f"/>
                <v:imagedata o:title=""/>
                <o:lock v:ext="edit" aspectratio="f"/>
                <v:textbox>
                  <w:txbxContent>
                    <w:p w14:paraId="63DE76B2">
                      <w:pPr>
                        <w:spacing w:line="240" w:lineRule="exact"/>
                        <w:rPr>
                          <w:rFonts w:ascii="宋体"/>
                          <w:b/>
                          <w:bCs/>
                          <w:sz w:val="18"/>
                          <w:szCs w:val="18"/>
                        </w:rPr>
                      </w:pPr>
                      <w:r>
                        <w:rPr>
                          <w:rFonts w:hint="eastAsia" w:ascii="楷体_GB2312" w:hAnsi="宋体" w:eastAsia="楷体_GB2312" w:cs="楷体_GB2312"/>
                          <w:b/>
                          <w:bCs/>
                          <w:sz w:val="18"/>
                          <w:szCs w:val="18"/>
                        </w:rPr>
                        <w:t>履行合同</w:t>
                      </w:r>
                    </w:p>
                  </w:txbxContent>
                </v:textbox>
              </v:shape>
            </w:pict>
          </mc:Fallback>
        </mc:AlternateContent>
      </w:r>
      <w:r>
        <w:rPr>
          <w:rFonts w:hint="eastAsia" w:ascii="仿宋" w:hAnsi="仿宋" w:eastAsia="仿宋" w:cs="仿宋"/>
          <w:color w:val="auto"/>
          <w:highlight w:val="none"/>
          <w:lang w:eastAsia="zh-CN"/>
        </w:rPr>
        <w:t>本合同一经签署，合同双方当事人均应按照本合同约定行使各自的权利、履行各自的义务。</w:t>
      </w:r>
    </w:p>
    <w:p w14:paraId="5D5C6565">
      <w:pPr>
        <w:spacing w:line="360" w:lineRule="auto"/>
        <w:rPr>
          <w:rFonts w:hint="eastAsia" w:ascii="仿宋" w:hAnsi="仿宋" w:eastAsia="仿宋" w:cs="仿宋"/>
          <w:b/>
          <w:bCs/>
          <w:color w:val="auto"/>
          <w:highlight w:val="none"/>
          <w:u w:val="dotted"/>
          <w:lang w:eastAsia="zh-CN"/>
        </w:rPr>
      </w:pPr>
      <w:r>
        <w:rPr>
          <w:rFonts w:hint="eastAsia" w:ascii="仿宋" w:hAnsi="仿宋" w:eastAsia="仿宋" w:cs="仿宋"/>
          <w:b/>
          <w:bCs/>
          <w:color w:val="auto"/>
          <w:highlight w:val="none"/>
          <w:lang w:eastAsia="zh-CN"/>
        </w:rPr>
        <w:t>101</w:t>
      </w:r>
      <w:r>
        <w:rPr>
          <w:rFonts w:ascii="仿宋" w:hAnsi="仿宋" w:eastAsia="仿宋" w:cs="仿宋"/>
          <w:b/>
          <w:bCs/>
          <w:color w:val="auto"/>
          <w:highlight w:val="none"/>
          <w:lang w:eastAsia="zh-CN"/>
        </w:rPr>
        <w:t>.2</w:t>
      </w:r>
    </w:p>
    <w:p w14:paraId="0C723D55">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64416" behindDoc="0" locked="0" layoutInCell="1" allowOverlap="1">
                <wp:simplePos x="0" y="0"/>
                <wp:positionH relativeFrom="column">
                  <wp:posOffset>-114300</wp:posOffset>
                </wp:positionH>
                <wp:positionV relativeFrom="paragraph">
                  <wp:posOffset>98425</wp:posOffset>
                </wp:positionV>
                <wp:extent cx="760095" cy="424180"/>
                <wp:effectExtent l="0" t="0" r="0" b="0"/>
                <wp:wrapNone/>
                <wp:docPr id="903" name="文本框 1102"/>
                <wp:cNvGraphicFramePr/>
                <a:graphic xmlns:a="http://schemas.openxmlformats.org/drawingml/2006/main">
                  <a:graphicData uri="http://schemas.microsoft.com/office/word/2010/wordprocessingShape">
                    <wps:wsp>
                      <wps:cNvSpPr txBox="1">
                        <a:spLocks noChangeArrowheads="1"/>
                      </wps:cNvSpPr>
                      <wps:spPr bwMode="auto">
                        <a:xfrm>
                          <a:off x="0" y="0"/>
                          <a:ext cx="760095" cy="424180"/>
                        </a:xfrm>
                        <a:prstGeom prst="rect">
                          <a:avLst/>
                        </a:prstGeom>
                        <a:noFill/>
                        <a:ln>
                          <a:noFill/>
                        </a:ln>
                        <a:effectLst/>
                      </wps:spPr>
                      <wps:txbx>
                        <w:txbxContent>
                          <w:p w14:paraId="7060093C">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不得转让</w:t>
                            </w:r>
                          </w:p>
                        </w:txbxContent>
                      </wps:txbx>
                      <wps:bodyPr rot="0" vert="horz" wrap="square" lIns="91440" tIns="45720" rIns="91440" bIns="45720" anchor="t" anchorCtr="0" upright="1">
                        <a:noAutofit/>
                      </wps:bodyPr>
                    </wps:wsp>
                  </a:graphicData>
                </a:graphic>
              </wp:anchor>
            </w:drawing>
          </mc:Choice>
          <mc:Fallback>
            <w:pict>
              <v:shape id="文本框 1102" o:spid="_x0000_s1026" o:spt="202" type="#_x0000_t202" style="position:absolute;left:0pt;margin-left:-9pt;margin-top:7.75pt;height:33.4pt;width:59.85pt;z-index:251964416;mso-width-relative:page;mso-height-relative:page;" filled="f" stroked="f" coordsize="21600,21600" o:gfxdata="UEsDBAoAAAAAAIdO4kAAAAAAAAAAAAAAAAAEAAAAZHJzL1BLAwQUAAAACACHTuJAwxiyZdYAAAAJ&#10;AQAADwAAAGRycy9kb3ducmV2LnhtbE2PwU7DMBBE70j9B2uRuLV2CikhxOmhiCuIUir15sbbJCJe&#10;R7HbhL9ne4LjaEYzb4r15DpxwSG0njQkCwUCqfK2pVrD7vN1noEI0ZA1nSfU8IMB1uXspjC59SN9&#10;4GUba8ElFHKjoYmxz6UMVYPOhIXvkdg7+cGZyHKopR3MyOWuk0ulVtKZlnihMT1uGqy+t2en4evt&#10;dNg/qPf6xaX96CclyT1Jre9uE/UMIuIU/8JwxWd0KJnp6M9kg+g0zJOMv0Q20hTENaCSRxBHDdny&#10;HmRZyP8Pyl9QSwMEFAAAAAgAh07iQEUZpPMgAgAAJwQAAA4AAABkcnMvZTJvRG9jLnhtbK1TS27b&#10;MBDdF+gdCO5rSa7zsWA5SGOkKJB+gLQHoCnKIipx2CFtKT1Ac4Ouuum+5/I5OqQU1003WXRDkJzh&#10;m3lvHhcXfduwnUKnwRQ8m6ScKSOh1GZT8E8fr1+cc+a8MKVowKiC3ynHL5bPny06m6sp1NCUChmB&#10;GJd3tuC19zZPEidr1Qo3AasMBSvAVng64iYpUXSE3jbJNE1Pkw6wtAhSOUe3qyHIR0R8CiBUlZZq&#10;BXLbKuMHVFSN8ETJ1do6vozdVpWS/n1VOeVZU3Bi6uNKRWi/DmuyXIh8g8LWWo4tiKe08IhTK7Sh&#10;ogeolfCCbVH/A9VqieCg8hMJbTIQiYoQiyx9pM1tLayKXEhqZw+iu/8HK9/tPiDTZcHn6UvOjGhp&#10;5Pvv9/sfv/Y/v7EsS6dBo866nFJvLSX7/hX05JzI19kbkJ8dM3BVC7NRl4jQ1UqU1GMWXiZHTwcc&#10;F0DW3VsoqZTYeohAfYVtEJAkYYRO87k7zEf1nkm6PDtN0/kJZ5JCs+ksO4/zS0T+8Nii868VtCxs&#10;Co40/ggudjfOh2ZE/pASahm41k0TLdCYvy4ocbhR0UPj60AldD/w8P26H6VZQ3lHpBAGf9Hvok0N&#10;+JWzjrxVcPdlK1Bx1rwxJMw8m82CGeNhdnI2pQMeR9bHEWEkQRXcczZsr/xg4K1Fvamp0jAKA5ck&#10;ZqUj0dDq0NU4AvJP5D96PRj0+Byz/vzv5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DGLJl1gAA&#10;AAkBAAAPAAAAAAAAAAEAIAAAACIAAABkcnMvZG93bnJldi54bWxQSwECFAAUAAAACACHTuJARRmk&#10;8yACAAAnBAAADgAAAAAAAAABACAAAAAlAQAAZHJzL2Uyb0RvYy54bWxQSwUGAAAAAAYABgBZAQAA&#10;twUAAAAA&#10;">
                <v:fill on="f" focussize="0,0"/>
                <v:stroke on="f"/>
                <v:imagedata o:title=""/>
                <o:lock v:ext="edit" aspectratio="f"/>
                <v:textbox>
                  <w:txbxContent>
                    <w:p w14:paraId="7060093C">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不得转让</w:t>
                      </w:r>
                    </w:p>
                  </w:txbxContent>
                </v:textbox>
              </v:shape>
            </w:pict>
          </mc:Fallback>
        </mc:AlternateContent>
      </w:r>
      <w:r>
        <w:rPr>
          <w:rFonts w:hint="eastAsia" w:ascii="仿宋" w:hAnsi="仿宋" w:eastAsia="仿宋" w:cs="仿宋"/>
          <w:color w:val="auto"/>
          <w:highlight w:val="none"/>
          <w:lang w:eastAsia="zh-CN"/>
        </w:rPr>
        <w:t>除合同另有约定外，未经另一方当事人同意，合同一方当事人不得将本合同的全部或部分权利、义务转让给第三方。</w:t>
      </w:r>
    </w:p>
    <w:p w14:paraId="67253F99">
      <w:pPr>
        <w:pStyle w:val="2"/>
        <w:adjustRightInd w:val="0"/>
        <w:snapToGrid w:val="0"/>
        <w:spacing w:line="480" w:lineRule="auto"/>
        <w:rPr>
          <w:rFonts w:hint="eastAsia" w:ascii="仿宋" w:hAnsi="仿宋" w:eastAsia="仿宋"/>
          <w:b/>
          <w:bCs/>
          <w:color w:val="auto"/>
          <w:sz w:val="24"/>
          <w:szCs w:val="24"/>
          <w:highlight w:val="none"/>
          <w:lang w:eastAsia="zh-CN"/>
        </w:rPr>
      </w:pPr>
    </w:p>
    <w:p w14:paraId="163E389F">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404" w:name="_Toc10944"/>
      <w:r>
        <w:rPr>
          <w:rFonts w:hint="eastAsia" w:ascii="仿宋" w:hAnsi="仿宋" w:eastAsia="仿宋" w:cs="仿宋"/>
          <w:bCs w:val="0"/>
          <w:color w:val="auto"/>
          <w:sz w:val="24"/>
          <w:szCs w:val="24"/>
          <w:highlight w:val="none"/>
          <w:lang w:eastAsia="zh-CN"/>
        </w:rPr>
        <w:t>102合同份数</w:t>
      </w:r>
      <w:bookmarkEnd w:id="404"/>
    </w:p>
    <w:p w14:paraId="68678DE5">
      <w:pPr>
        <w:pStyle w:val="2"/>
        <w:adjustRightInd w:val="0"/>
        <w:snapToGrid w:val="0"/>
        <w:spacing w:line="360" w:lineRule="auto"/>
        <w:ind w:left="1312" w:hanging="1312" w:hangingChars="656"/>
        <w:rPr>
          <w:rFonts w:hint="eastAsia" w:ascii="仿宋" w:hAnsi="仿宋" w:eastAsia="仿宋" w:cs="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75008" behindDoc="0" locked="0" layoutInCell="1" allowOverlap="1">
                <wp:simplePos x="0" y="0"/>
                <wp:positionH relativeFrom="column">
                  <wp:posOffset>-66675</wp:posOffset>
                </wp:positionH>
                <wp:positionV relativeFrom="paragraph">
                  <wp:posOffset>273685</wp:posOffset>
                </wp:positionV>
                <wp:extent cx="775970" cy="439420"/>
                <wp:effectExtent l="0" t="0" r="0" b="0"/>
                <wp:wrapNone/>
                <wp:docPr id="904" name="文本框 1103"/>
                <wp:cNvGraphicFramePr/>
                <a:graphic xmlns:a="http://schemas.openxmlformats.org/drawingml/2006/main">
                  <a:graphicData uri="http://schemas.microsoft.com/office/word/2010/wordprocessingShape">
                    <wps:wsp>
                      <wps:cNvSpPr txBox="1">
                        <a:spLocks noChangeArrowheads="1"/>
                      </wps:cNvSpPr>
                      <wps:spPr bwMode="auto">
                        <a:xfrm>
                          <a:off x="0" y="0"/>
                          <a:ext cx="775970" cy="439420"/>
                        </a:xfrm>
                        <a:prstGeom prst="rect">
                          <a:avLst/>
                        </a:prstGeom>
                        <a:noFill/>
                        <a:ln>
                          <a:noFill/>
                        </a:ln>
                        <a:effectLst/>
                      </wps:spPr>
                      <wps:txbx>
                        <w:txbxContent>
                          <w:p w14:paraId="50A844D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约定提供合同文本</w:t>
                            </w:r>
                          </w:p>
                        </w:txbxContent>
                      </wps:txbx>
                      <wps:bodyPr rot="0" vert="horz" wrap="square" lIns="91440" tIns="45720" rIns="91440" bIns="45720" anchor="t" anchorCtr="0" upright="1">
                        <a:noAutofit/>
                      </wps:bodyPr>
                    </wps:wsp>
                  </a:graphicData>
                </a:graphic>
              </wp:anchor>
            </w:drawing>
          </mc:Choice>
          <mc:Fallback>
            <w:pict>
              <v:shape id="文本框 1103" o:spid="_x0000_s1026" o:spt="202" type="#_x0000_t202" style="position:absolute;left:0pt;margin-left:-5.25pt;margin-top:21.55pt;height:34.6pt;width:61.1pt;z-index:252075008;mso-width-relative:page;mso-height-relative:page;" filled="f" stroked="f" coordsize="21600,21600" o:gfxdata="UEsDBAoAAAAAAIdO4kAAAAAAAAAAAAAAAAAEAAAAZHJzL1BLAwQUAAAACACHTuJAzGvfZ9YAAAAK&#10;AQAADwAAAGRycy9kb3ducmV2LnhtbE2PTU/DMAyG70j8h8hI3LYk+2BQmu4A4gpiwCRuXuO1FY1T&#10;Ndla/j3pid1s+dHr5823o2vFmfrQeDag5woEceltw5WBz4+X2T2IEJEttp7JwC8F2BbXVzlm1g/8&#10;TuddrEQK4ZChgTrGLpMylDU5DHPfEafb0fcOY1r7StoehxTuWrlQ6k46bDh9qLGjp5rKn93JGfh6&#10;PX7vV+qtenbrbvCjkuwepDG3N1o9gog0xn8YJv2kDkVyOvgT2yBaAzOt1gk1sFpqEBOg9QbEYRoW&#10;S5BFLi8rFH9QSwMEFAAAAAgAh07iQFO4WccgAgAAJwQAAA4AAABkcnMvZTJvRG9jLnhtbK1TzY7T&#10;MBC+I/EOlu80SbdLadR0tWy1CGn5kRYewHWcxiLxmLHbZHkAeANOXLjzXH0Oxk62lOWyBy6W7Rl/&#10;M983n5cXfduwvUKnwRQ8m6ScKSOh1GZb8I8frp+94Mx5YUrRgFEFv1OOX6yePll2NldTqKEpFTIC&#10;MS7vbMFr722eJE7WqhVuAlYZClaArfB0xG1SougIvW2SaZo+TzrA0iJI5RzdrocgHxHxMYBQVVqq&#10;Nchdq4wfUFE1whMlV2vr+Cp2W1VK+ndV5ZRnTcGJqY8rFaH9JqzJainyLQpbazm2IB7TwgNOrdCG&#10;ih6h1sILtkP9D1SrJYKDyk8ktMlAJCpCLLL0gTa3tbAqciGpnT2K7v4frHy7f49MlwVfpDPOjGhp&#10;5Ifv3w4/fh1+fmVZlp4FjTrrckq9tZTs+5fQk3MiX2dvQH5yzMBVLcxWXSJCVytRUo9ZeJmcPB1w&#10;XADZdG+gpFJi5yEC9RW2QUCShBE6zefuOB/Veybpcj4/X8wpIik0O1vMpnF+icjvH1t0/pWCloVN&#10;wZHGH8HF/sb50IzI71NCLQPXummiBRrz1wUlDjcqemh8HaiE7gcevt/0ozQbKO+IFMLgL/pdtKkB&#10;v3DWkbcK7j7vBCrOmteGhFlks1kwYzzMzufEg+FpZHMaEUYSVME9Z8P2yg8G3lnU25oqDaMwcEli&#10;VjoSDa0OXY0jIP9E/qPXg0FPzzHrz/9e/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Ma99n1gAA&#10;AAoBAAAPAAAAAAAAAAEAIAAAACIAAABkcnMvZG93bnJldi54bWxQSwECFAAUAAAACACHTuJAU7hZ&#10;xyACAAAnBAAADgAAAAAAAAABACAAAAAlAQAAZHJzL2Uyb0RvYy54bWxQSwUGAAAAAAYABgBZAQAA&#10;twUAAAAA&#10;">
                <v:fill on="f" focussize="0,0"/>
                <v:stroke on="f"/>
                <v:imagedata o:title=""/>
                <o:lock v:ext="edit" aspectratio="f"/>
                <v:textbox>
                  <w:txbxContent>
                    <w:p w14:paraId="50A844DA">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约定提供合同文本</w:t>
                      </w:r>
                    </w:p>
                  </w:txbxContent>
                </v:textbox>
              </v:shape>
            </w:pict>
          </mc:Fallback>
        </mc:AlternateContent>
      </w:r>
      <w:r>
        <w:rPr>
          <w:rFonts w:hint="eastAsia" w:ascii="仿宋" w:hAnsi="仿宋" w:eastAsia="仿宋" w:cs="仿宋"/>
          <w:b/>
          <w:bCs/>
          <w:color w:val="auto"/>
          <w:sz w:val="24"/>
          <w:szCs w:val="24"/>
          <w:highlight w:val="none"/>
          <w:lang w:eastAsia="zh-CN"/>
        </w:rPr>
        <w:t>102</w:t>
      </w:r>
      <w:r>
        <w:rPr>
          <w:rFonts w:ascii="仿宋" w:hAnsi="仿宋" w:eastAsia="仿宋" w:cs="仿宋"/>
          <w:b/>
          <w:bCs/>
          <w:color w:val="auto"/>
          <w:sz w:val="24"/>
          <w:szCs w:val="24"/>
          <w:highlight w:val="none"/>
          <w:lang w:eastAsia="zh-CN"/>
        </w:rPr>
        <w:t>.1</w:t>
      </w:r>
    </w:p>
    <w:p w14:paraId="563DA0D5">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除合同专用条款另有约定外，发包人应按照第102</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款约定的份数免费为承包人提供合同文本。</w:t>
      </w:r>
    </w:p>
    <w:p w14:paraId="3195FFCA">
      <w:pPr>
        <w:spacing w:line="360" w:lineRule="auto"/>
        <w:rPr>
          <w:rFonts w:hint="eastAsia" w:ascii="仿宋" w:hAnsi="仿宋" w:eastAsia="仿宋"/>
          <w:color w:val="auto"/>
          <w:highlight w:val="none"/>
          <w:lang w:eastAsia="zh-CN"/>
        </w:rPr>
      </w:pPr>
      <w:r>
        <w:rPr>
          <w:rFonts w:hint="eastAsia" w:ascii="仿宋" w:hAnsi="仿宋" w:eastAsia="仿宋" w:cs="仿宋"/>
          <w:b/>
          <w:bCs/>
          <w:color w:val="auto"/>
          <w:highlight w:val="none"/>
          <w:lang w:eastAsia="zh-CN"/>
        </w:rPr>
        <w:t>102</w:t>
      </w:r>
      <w:r>
        <w:rPr>
          <w:rFonts w:ascii="仿宋" w:hAnsi="仿宋" w:eastAsia="仿宋" w:cs="仿宋"/>
          <w:b/>
          <w:bCs/>
          <w:color w:val="auto"/>
          <w:highlight w:val="none"/>
          <w:lang w:eastAsia="zh-CN"/>
        </w:rPr>
        <w:t>.2</w:t>
      </w:r>
    </w:p>
    <w:p w14:paraId="792B2E03">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color w:val="auto"/>
          <w:highlight w:val="none"/>
          <w:lang w:eastAsia="zh-CN" w:bidi="ar-SA"/>
        </w:rPr>
        <mc:AlternateContent>
          <mc:Choice Requires="wps">
            <w:drawing>
              <wp:anchor distT="0" distB="0" distL="114300" distR="114300" simplePos="0" relativeHeight="251965440" behindDoc="0" locked="0" layoutInCell="1" allowOverlap="1">
                <wp:simplePos x="0" y="0"/>
                <wp:positionH relativeFrom="column">
                  <wp:posOffset>-114300</wp:posOffset>
                </wp:positionH>
                <wp:positionV relativeFrom="paragraph">
                  <wp:posOffset>8255</wp:posOffset>
                </wp:positionV>
                <wp:extent cx="788670" cy="502285"/>
                <wp:effectExtent l="0" t="0" r="0" b="0"/>
                <wp:wrapNone/>
                <wp:docPr id="905" name="文本框 1104"/>
                <wp:cNvGraphicFramePr/>
                <a:graphic xmlns:a="http://schemas.openxmlformats.org/drawingml/2006/main">
                  <a:graphicData uri="http://schemas.microsoft.com/office/word/2010/wordprocessingShape">
                    <wps:wsp>
                      <wps:cNvSpPr txBox="1">
                        <a:spLocks noChangeArrowheads="1"/>
                      </wps:cNvSpPr>
                      <wps:spPr bwMode="auto">
                        <a:xfrm>
                          <a:off x="0" y="0"/>
                          <a:ext cx="788670" cy="502285"/>
                        </a:xfrm>
                        <a:prstGeom prst="rect">
                          <a:avLst/>
                        </a:prstGeom>
                        <a:noFill/>
                        <a:ln>
                          <a:noFill/>
                        </a:ln>
                        <a:effectLst/>
                      </wps:spPr>
                      <wps:txbx>
                        <w:txbxContent>
                          <w:p w14:paraId="476F52C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正副本效力</w:t>
                            </w:r>
                          </w:p>
                        </w:txbxContent>
                      </wps:txbx>
                      <wps:bodyPr rot="0" vert="horz" wrap="square" lIns="91440" tIns="45720" rIns="91440" bIns="45720" anchor="t" anchorCtr="0" upright="1">
                        <a:noAutofit/>
                      </wps:bodyPr>
                    </wps:wsp>
                  </a:graphicData>
                </a:graphic>
              </wp:anchor>
            </w:drawing>
          </mc:Choice>
          <mc:Fallback>
            <w:pict>
              <v:shape id="文本框 1104" o:spid="_x0000_s1026" o:spt="202" type="#_x0000_t202" style="position:absolute;left:0pt;margin-left:-9pt;margin-top:0.65pt;height:39.55pt;width:62.1pt;z-index:251965440;mso-width-relative:page;mso-height-relative:page;" filled="f" stroked="f" coordsize="21600,21600" o:gfxdata="UEsDBAoAAAAAAIdO4kAAAAAAAAAAAAAAAAAEAAAAZHJzL1BLAwQUAAAACACHTuJAj/RPUtUAAAAI&#10;AQAADwAAAGRycy9kb3ducmV2LnhtbE2Py07DMBBF90j8gzVI7Fo7pVQhxOkCxBZEeUjspvE0iYjH&#10;Uew24e+ZrmA5OqN7zy23s+/VicbYBbaQLQ0o4jq4jhsL729PixxUTMgO+8Bk4YcibKvLixILFyZ+&#10;pdMuNUpCOBZooU1pKLSOdUse4zIMxMIOYfSY5Bwb7UacJNz3emXMRnvsWBpaHOihpfp7d/QWPp4P&#10;X59r89I8+tthCrPR7O+0tddXmbkHlWhOf89w1hd1qMRpH47souotLLJctiQBN6DO3GxWoPYWcrMG&#10;XZX6/4DqF1BLAwQUAAAACACHTuJA/7fDPSACAAAnBAAADgAAAGRycy9lMm9Eb2MueG1srVPNjtMw&#10;EL4j8Q6W7zRJ1W67UdPVstUipOVHWngA13Eai8Rjxm6T8gDwBpy4cOe5+hyMnW4py2UPXCzbM/5m&#10;vm8+L676tmE7hU6DKXg2SjlTRkKpzabgHz/cvphz5rwwpWjAqILvleNXy+fPFp3N1RhqaEqFjECM&#10;yztb8Np7myeJk7VqhRuBVYaCFWArPB1xk5QoOkJvm2ScphdJB1haBKmco9vVEORHRHwKIFSVlmoF&#10;ctsq4wdUVI3wRMnV2jq+jN1WlZL+XVU55VlTcGLq40pFaL8Oa7JciHyDwtZaHlsQT2nhEadWaENF&#10;T1Ar4QXbov4HqtUSwUHlRxLaZCASFSEWWfpIm/taWBW5kNTOnkR3/w9Wvt29R6bLgl+mU86MaGnk&#10;h+/fDj9+HX5+ZVmWToJGnXU5pd5bSvb9S+jJOZGvs3cgPzlm4KYWZqOuEaGrlSipxyy8TM6eDjgu&#10;gKy7N1BSKbH1EIH6CtsgIEnCCJ3msz/NR/WeSbqczecXM4pICk3T8Xg+jRVE/vDYovOvFLQsbAqO&#10;NP4ILnZ3zodmRP6QEmoZuNVNEy3QmL8uKHG4UdFDx9eBSuh+4OH7dX+UZg3lnkghDP6i30WbGvAL&#10;Zx15q+Du81ag4qx5bUiYy2wyCWaMh8l0NqYDnkfW5xFhJEEV3HM2bG/8YOCtRb2pqdIwCgPXJGal&#10;I9HQ6tDVcQTkn8j/6PVg0PNzzPrzv5e/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0T1LVAAAA&#10;CAEAAA8AAAAAAAAAAQAgAAAAIgAAAGRycy9kb3ducmV2LnhtbFBLAQIUABQAAAAIAIdO4kD/t8M9&#10;IAIAACcEAAAOAAAAAAAAAAEAIAAAACQBAABkcnMvZTJvRG9jLnhtbFBLBQYAAAAABgAGAFkBAAC2&#10;BQAAAAA=&#10;">
                <v:fill on="f" focussize="0,0"/>
                <v:stroke on="f"/>
                <v:imagedata o:title=""/>
                <o:lock v:ext="edit" aspectratio="f"/>
                <v:textbox>
                  <w:txbxContent>
                    <w:p w14:paraId="476F52C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正副本效力</w:t>
                      </w:r>
                    </w:p>
                  </w:txbxContent>
                </v:textbox>
              </v:shape>
            </w:pict>
          </mc:Fallback>
        </mc:AlternateContent>
      </w:r>
      <w:r>
        <w:rPr>
          <w:rFonts w:hint="eastAsia" w:ascii="仿宋" w:hAnsi="仿宋" w:eastAsia="仿宋" w:cs="仿宋"/>
          <w:color w:val="auto"/>
          <w:highlight w:val="none"/>
          <w:lang w:eastAsia="zh-CN"/>
        </w:rPr>
        <w:t>本合同正、副本份数，由合同双方当事人根据需要在专用条款中约定。正本与副本具有同等效力，当正本与副本不一致时，以正本为准。</w:t>
      </w:r>
    </w:p>
    <w:p w14:paraId="63ACD91C">
      <w:pPr>
        <w:pStyle w:val="2"/>
        <w:adjustRightInd w:val="0"/>
        <w:snapToGrid w:val="0"/>
        <w:spacing w:line="480" w:lineRule="auto"/>
        <w:rPr>
          <w:rFonts w:hint="eastAsia" w:ascii="仿宋" w:hAnsi="仿宋" w:eastAsia="仿宋" w:cs="仿宋"/>
          <w:b/>
          <w:bCs/>
          <w:color w:val="auto"/>
          <w:sz w:val="24"/>
          <w:szCs w:val="24"/>
          <w:highlight w:val="none"/>
          <w:u w:val="single"/>
          <w:lang w:eastAsia="zh-CN"/>
        </w:rPr>
      </w:pPr>
    </w:p>
    <w:p w14:paraId="293EBD9F">
      <w:pPr>
        <w:pStyle w:val="6"/>
        <w:tabs>
          <w:tab w:val="left" w:pos="420"/>
        </w:tabs>
        <w:spacing w:before="120" w:beforeLines="50" w:after="120" w:afterLines="50" w:line="360" w:lineRule="auto"/>
        <w:rPr>
          <w:rFonts w:hint="eastAsia" w:ascii="仿宋" w:hAnsi="仿宋" w:eastAsia="仿宋" w:cs="仿宋"/>
          <w:bCs w:val="0"/>
          <w:color w:val="auto"/>
          <w:sz w:val="24"/>
          <w:szCs w:val="24"/>
          <w:highlight w:val="none"/>
          <w:lang w:eastAsia="zh-CN"/>
        </w:rPr>
      </w:pPr>
      <w:bookmarkStart w:id="405" w:name="_Toc5643"/>
      <w:r>
        <w:rPr>
          <w:rFonts w:hint="eastAsia" w:ascii="仿宋" w:hAnsi="仿宋" w:eastAsia="仿宋" w:cs="仿宋"/>
          <w:bCs w:val="0"/>
          <w:color w:val="auto"/>
          <w:sz w:val="24"/>
          <w:szCs w:val="24"/>
          <w:highlight w:val="none"/>
          <w:lang w:eastAsia="zh-CN"/>
        </w:rPr>
        <w:t>103合同管理</w:t>
      </w:r>
      <w:bookmarkEnd w:id="405"/>
    </w:p>
    <w:p w14:paraId="1815DAB6">
      <w:pPr>
        <w:pStyle w:val="2"/>
        <w:adjustRightInd w:val="0"/>
        <w:snapToGrid w:val="0"/>
        <w:spacing w:line="360" w:lineRule="auto"/>
        <w:rPr>
          <w:rFonts w:hint="eastAsia" w:ascii="仿宋" w:hAnsi="仿宋" w:eastAsia="仿宋"/>
          <w:b/>
          <w:bCs/>
          <w:color w:val="auto"/>
          <w:sz w:val="24"/>
          <w:szCs w:val="24"/>
          <w:highlight w:val="none"/>
          <w:lang w:eastAsia="zh-CN"/>
        </w:rPr>
      </w:pPr>
      <w:r>
        <w:rPr>
          <w:color w:val="auto"/>
          <w:highlight w:val="none"/>
          <w:lang w:eastAsia="zh-CN"/>
        </w:rPr>
        <mc:AlternateContent>
          <mc:Choice Requires="wps">
            <w:drawing>
              <wp:anchor distT="0" distB="0" distL="114300" distR="114300" simplePos="0" relativeHeight="252076032" behindDoc="0" locked="0" layoutInCell="1" allowOverlap="1">
                <wp:simplePos x="0" y="0"/>
                <wp:positionH relativeFrom="column">
                  <wp:posOffset>-114300</wp:posOffset>
                </wp:positionH>
                <wp:positionV relativeFrom="paragraph">
                  <wp:posOffset>208915</wp:posOffset>
                </wp:positionV>
                <wp:extent cx="796925" cy="361950"/>
                <wp:effectExtent l="0" t="0" r="0" b="0"/>
                <wp:wrapNone/>
                <wp:docPr id="906" name="文本框 1105"/>
                <wp:cNvGraphicFramePr/>
                <a:graphic xmlns:a="http://schemas.openxmlformats.org/drawingml/2006/main">
                  <a:graphicData uri="http://schemas.microsoft.com/office/word/2010/wordprocessingShape">
                    <wps:wsp>
                      <wps:cNvSpPr txBox="1">
                        <a:spLocks noChangeArrowheads="1"/>
                      </wps:cNvSpPr>
                      <wps:spPr bwMode="auto">
                        <a:xfrm>
                          <a:off x="0" y="0"/>
                          <a:ext cx="796925" cy="361950"/>
                        </a:xfrm>
                        <a:prstGeom prst="rect">
                          <a:avLst/>
                        </a:prstGeom>
                        <a:noFill/>
                        <a:ln>
                          <a:noFill/>
                        </a:ln>
                        <a:effectLst/>
                      </wps:spPr>
                      <wps:txbx>
                        <w:txbxContent>
                          <w:p w14:paraId="440E400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合同管理</w:t>
                            </w:r>
                          </w:p>
                        </w:txbxContent>
                      </wps:txbx>
                      <wps:bodyPr rot="0" vert="horz" wrap="square" lIns="91440" tIns="45720" rIns="91440" bIns="45720" anchor="t" anchorCtr="0" upright="1">
                        <a:noAutofit/>
                      </wps:bodyPr>
                    </wps:wsp>
                  </a:graphicData>
                </a:graphic>
              </wp:anchor>
            </w:drawing>
          </mc:Choice>
          <mc:Fallback>
            <w:pict>
              <v:shape id="文本框 1105" o:spid="_x0000_s1026" o:spt="202" type="#_x0000_t202" style="position:absolute;left:0pt;margin-left:-9pt;margin-top:16.45pt;height:28.5pt;width:62.75pt;z-index:252076032;mso-width-relative:page;mso-height-relative:page;" filled="f" stroked="f" coordsize="21600,21600" o:gfxdata="UEsDBAoAAAAAAIdO4kAAAAAAAAAAAAAAAAAEAAAAZHJzL1BLAwQUAAAACACHTuJA4N3TTtcAAAAJ&#10;AQAADwAAAGRycy9kb3ducmV2LnhtbE2PwU7DMBBE70j8g7WVuLV2CoUkZNMDiCuI0iJxc+NtEjVe&#10;R7HbhL/HPdHjaEYzb4r1ZDtxpsG3jhGShQJBXDnTco2w/XqbpyB80Gx055gQfsnDury9KXRu3Mif&#10;dN6EWsQS9rlGaELocyl91ZDVfuF64ugd3GB1iHKopRn0GMttJ5dKPUqrW44Lje7ppaHquDlZhN37&#10;4ef7QX3Ur3bVj25Skm0mEe9miXoGEWgK/2G44Ed0KCPT3p3YeNEhzJM0fgkI98sMxCWgnlYg9ghp&#10;loEsC3n9oPwDUEsDBBQAAAAIAIdO4kB8xcPcIAIAACcEAAAOAAAAZHJzL2Uyb0RvYy54bWytU82O&#10;0zAQviPxDpbvNE1puzRqulq2WoS0/EgLD+A6TmOReMzYbVIeAN6AExfuPFefg7GTLWW57IGLZXvG&#10;38z3zeflZdfUbK/QaTA5T0djzpSRUGizzfnHDzfPXnDmvDCFqMGonB+U45erp0+Wrc3UBCqoC4WM&#10;QIzLWpvzynubJYmTlWqEG4FVhoIlYCM8HXGbFChaQm/qZDIez5MWsLAIUjlHt+s+yAdEfAwglKWW&#10;ag1y1yjje1RUtfBEyVXaOr6K3Zalkv5dWTrlWZ1zYurjSkVovwlrslqKbIvCVloOLYjHtPCAUyO0&#10;oaInqLXwgu1Q/wPVaIngoPQjCU3SE4mKEIt0/ECbu0pYFbmQ1M6eRHf/D1a+3b9HpoucL8Zzzoxo&#10;aOTH79+OP34df35laTqeBY1a6zJKvbOU7LuX0JFzIl9nb0F+cszAdSXMVl0hQlspUVCPaXiZnD3t&#10;cVwA2bRvoKBSYuchAnUlNkFAkoQROs3ncJqP6jyTdHmxmC8mM84khZ7P08Uszi8R2f1ji86/UtCw&#10;sMk50vgjuNjfOh+aEdl9Sqhl4EbXdbRAbf66oMT+RkUPDa8DldB9z8N3m26QZgPFgUgh9P6i30Wb&#10;CvALZy15K+fu806g4qx+bUiYRTqdBjPGw3R2MaEDnkc25xFhJEHl3HPWb699b+CdRb2tqFI/CgNX&#10;JGapI9HQat/VMALyT+Q/eD0Y9Pwcs/7879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4N3TTtcA&#10;AAAJAQAADwAAAAAAAAABACAAAAAiAAAAZHJzL2Rvd25yZXYueG1sUEsBAhQAFAAAAAgAh07iQHzF&#10;w9wgAgAAJwQAAA4AAAAAAAAAAQAgAAAAJgEAAGRycy9lMm9Eb2MueG1sUEsFBgAAAAAGAAYAWQEA&#10;ALgFAAAAAA==&#10;">
                <v:fill on="f" focussize="0,0"/>
                <v:stroke on="f"/>
                <v:imagedata o:title=""/>
                <o:lock v:ext="edit" aspectratio="f"/>
                <v:textbox>
                  <w:txbxContent>
                    <w:p w14:paraId="440E4000">
                      <w:pPr>
                        <w:spacing w:line="24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合同管理</w:t>
                      </w:r>
                    </w:p>
                  </w:txbxContent>
                </v:textbox>
              </v:shape>
            </w:pict>
          </mc:Fallback>
        </mc:AlternateContent>
      </w:r>
      <w:r>
        <w:rPr>
          <w:rFonts w:hint="eastAsia" w:ascii="仿宋" w:hAnsi="仿宋" w:eastAsia="仿宋" w:cs="仿宋"/>
          <w:b/>
          <w:bCs/>
          <w:color w:val="auto"/>
          <w:sz w:val="24"/>
          <w:szCs w:val="24"/>
          <w:highlight w:val="none"/>
          <w:lang w:eastAsia="zh-CN"/>
        </w:rPr>
        <w:t>103</w:t>
      </w:r>
      <w:r>
        <w:rPr>
          <w:rFonts w:ascii="仿宋" w:hAnsi="仿宋" w:eastAsia="仿宋" w:cs="仿宋"/>
          <w:b/>
          <w:bCs/>
          <w:color w:val="auto"/>
          <w:sz w:val="24"/>
          <w:szCs w:val="24"/>
          <w:highlight w:val="none"/>
          <w:lang w:eastAsia="zh-CN"/>
        </w:rPr>
        <w:t>.1</w:t>
      </w:r>
    </w:p>
    <w:p w14:paraId="0CF7B206">
      <w:pPr>
        <w:widowControl w:val="0"/>
        <w:adjustRightInd w:val="0"/>
        <w:snapToGrid w:val="0"/>
        <w:spacing w:line="360" w:lineRule="auto"/>
        <w:ind w:left="1850" w:leftChars="771"/>
        <w:jc w:val="both"/>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合同双方当事人应按照第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5条至第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9条的职责划分，督促各自人员认真履行合同管理职责，加强合同管理。</w:t>
      </w:r>
    </w:p>
    <w:p w14:paraId="46917B73">
      <w:pPr>
        <w:widowControl w:val="0"/>
        <w:spacing w:line="360" w:lineRule="auto"/>
        <w:ind w:left="1850" w:leftChars="771"/>
        <w:jc w:val="both"/>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涉及国有资金</w:t>
      </w:r>
      <w:r>
        <w:rPr>
          <w:rFonts w:hint="eastAsia" w:ascii="仿宋" w:hAnsi="仿宋" w:eastAsia="仿宋"/>
          <w:color w:val="auto"/>
          <w:highlight w:val="none"/>
          <w:lang w:eastAsia="zh-CN"/>
        </w:rPr>
        <w:t>投资</w:t>
      </w:r>
      <w:r>
        <w:rPr>
          <w:rFonts w:hint="eastAsia" w:ascii="仿宋" w:hAnsi="仿宋" w:eastAsia="仿宋" w:cs="仿宋"/>
          <w:color w:val="auto"/>
          <w:highlight w:val="none"/>
          <w:lang w:eastAsia="zh-CN"/>
        </w:rPr>
        <w:t>的工程，建设行政主管部门应依据建设行政主管部门存档合同实施合同监督管理；合同双方当事人应随时接受执法人员对本合同的监督管理，并为监督管理活动提供配合和协助。</w:t>
      </w:r>
    </w:p>
    <w:p w14:paraId="2C95B3AA">
      <w:pPr>
        <w:spacing w:line="360" w:lineRule="auto"/>
        <w:rPr>
          <w:rFonts w:hint="eastAsia" w:ascii="仿宋" w:hAnsi="仿宋" w:eastAsia="仿宋" w:cs="仿宋"/>
          <w:b/>
          <w:bCs/>
          <w:color w:val="auto"/>
          <w:highlight w:val="none"/>
          <w:u w:val="single"/>
          <w:lang w:eastAsia="zh-CN"/>
        </w:rPr>
      </w:pPr>
    </w:p>
    <w:p w14:paraId="134ECF48">
      <w:pPr>
        <w:spacing w:line="360" w:lineRule="auto"/>
        <w:rPr>
          <w:rFonts w:hint="eastAsia" w:ascii="仿宋" w:hAnsi="仿宋" w:eastAsia="仿宋" w:cs="仿宋"/>
          <w:b/>
          <w:bCs/>
          <w:color w:val="auto"/>
          <w:highlight w:val="none"/>
          <w:u w:val="single"/>
          <w:lang w:eastAsia="zh-CN"/>
        </w:rPr>
      </w:pPr>
    </w:p>
    <w:p w14:paraId="139F7EF4">
      <w:pPr>
        <w:spacing w:line="360" w:lineRule="auto"/>
        <w:rPr>
          <w:color w:val="auto"/>
          <w:highlight w:val="none"/>
          <w:lang w:eastAsia="zh-CN"/>
        </w:rPr>
        <w:sectPr>
          <w:footerReference r:id="rId9" w:type="first"/>
          <w:footerReference r:id="rId8" w:type="default"/>
          <w:endnotePr>
            <w:numFmt w:val="decimal"/>
          </w:endnotePr>
          <w:pgSz w:w="11906" w:h="16838"/>
          <w:pgMar w:top="1440" w:right="1440" w:bottom="1440" w:left="1440" w:header="0" w:footer="210" w:gutter="0"/>
          <w:cols w:space="720" w:num="1"/>
        </w:sectPr>
      </w:pPr>
    </w:p>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14:paraId="579BD144">
      <w:pPr>
        <w:pStyle w:val="4"/>
        <w:tabs>
          <w:tab w:val="left" w:pos="420"/>
        </w:tabs>
        <w:ind w:left="494" w:leftChars="206" w:firstLine="177" w:firstLineChars="49"/>
        <w:jc w:val="center"/>
        <w:rPr>
          <w:rFonts w:hint="eastAsia" w:hAnsi="宋体"/>
          <w:bCs w:val="0"/>
          <w:color w:val="auto"/>
          <w:sz w:val="36"/>
          <w:szCs w:val="36"/>
          <w:highlight w:val="none"/>
          <w:lang w:eastAsia="zh-CN"/>
        </w:rPr>
      </w:pPr>
      <w:bookmarkStart w:id="406" w:name="_Toc19928"/>
      <w:bookmarkStart w:id="407" w:name="_Toc21242"/>
      <w:bookmarkStart w:id="408" w:name="_Toc4266"/>
      <w:bookmarkStart w:id="409" w:name="_Toc27168"/>
      <w:bookmarkStart w:id="410" w:name="_Toc15337"/>
      <w:bookmarkStart w:id="411" w:name="_Toc13710"/>
      <w:bookmarkStart w:id="412" w:name="_Toc149731543"/>
      <w:bookmarkStart w:id="413" w:name="_Toc2017"/>
      <w:bookmarkStart w:id="414" w:name="_Toc27278"/>
      <w:bookmarkStart w:id="415" w:name="_Toc6493"/>
      <w:bookmarkStart w:id="416" w:name="_Toc6391"/>
      <w:bookmarkStart w:id="417" w:name="_Toc2827"/>
      <w:bookmarkStart w:id="418" w:name="_Toc20194"/>
      <w:bookmarkStart w:id="419" w:name="_Toc2134"/>
      <w:bookmarkStart w:id="420" w:name="_Toc20579"/>
      <w:bookmarkStart w:id="421" w:name="_Toc18133"/>
      <w:r>
        <w:rPr>
          <w:rFonts w:hint="eastAsia" w:hAnsi="宋体"/>
          <w:bCs w:val="0"/>
          <w:color w:val="auto"/>
          <w:sz w:val="36"/>
          <w:szCs w:val="36"/>
          <w:highlight w:val="none"/>
          <w:lang w:eastAsia="zh-CN"/>
        </w:rPr>
        <w:t>第三部分  专用条款</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0FB7FC91">
      <w:pPr>
        <w:pStyle w:val="5"/>
        <w:spacing w:before="0" w:after="0" w:line="360" w:lineRule="auto"/>
        <w:ind w:firstLine="562"/>
        <w:jc w:val="center"/>
        <w:rPr>
          <w:rFonts w:hint="eastAsia" w:ascii="仿宋" w:hAnsi="仿宋" w:eastAsia="仿宋"/>
          <w:snapToGrid w:val="0"/>
          <w:color w:val="auto"/>
          <w:highlight w:val="none"/>
          <w:lang w:eastAsia="zh-CN"/>
        </w:rPr>
      </w:pPr>
      <w:bookmarkStart w:id="422" w:name="_Toc104979584"/>
      <w:bookmarkStart w:id="423" w:name="_Toc520902826"/>
      <w:bookmarkStart w:id="424" w:name="_Toc518481731"/>
      <w:bookmarkStart w:id="425" w:name="_Toc520902604"/>
      <w:bookmarkStart w:id="426" w:name="_Toc520901459"/>
      <w:bookmarkStart w:id="427" w:name="_Toc514663857"/>
      <w:bookmarkStart w:id="428" w:name="_Toc514664859"/>
      <w:bookmarkStart w:id="429" w:name="_Toc517954572"/>
      <w:bookmarkStart w:id="430" w:name="_Toc35083094"/>
      <w:bookmarkStart w:id="431" w:name="_Toc514681762"/>
      <w:bookmarkStart w:id="432" w:name="_Toc520902755"/>
      <w:bookmarkStart w:id="433" w:name="_Toc519503079"/>
      <w:bookmarkStart w:id="434" w:name="_Toc520358229"/>
      <w:bookmarkStart w:id="435" w:name="_Toc514681181"/>
      <w:bookmarkStart w:id="436" w:name="_Toc520358053"/>
      <w:bookmarkStart w:id="437" w:name="_Toc514665142"/>
      <w:bookmarkStart w:id="438" w:name="_Toc519502249"/>
      <w:bookmarkStart w:id="439" w:name="_Toc517774559"/>
      <w:bookmarkStart w:id="440" w:name="_Toc516495975"/>
      <w:bookmarkStart w:id="441" w:name="_Toc514665281"/>
      <w:bookmarkStart w:id="442" w:name="_Toc514666972"/>
    </w:p>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14:paraId="2060F881">
      <w:pPr>
        <w:pStyle w:val="5"/>
        <w:tabs>
          <w:tab w:val="left" w:pos="420"/>
        </w:tabs>
        <w:spacing w:before="0" w:after="0" w:line="360" w:lineRule="auto"/>
        <w:rPr>
          <w:rFonts w:hint="eastAsia" w:ascii="仿宋" w:hAnsi="仿宋" w:eastAsia="仿宋"/>
          <w:i w:val="0"/>
          <w:iCs w:val="0"/>
          <w:color w:val="auto"/>
          <w:sz w:val="24"/>
          <w:szCs w:val="24"/>
          <w:highlight w:val="none"/>
          <w:lang w:eastAsia="zh-CN"/>
        </w:rPr>
      </w:pPr>
      <w:bookmarkStart w:id="443" w:name="_Toc13733"/>
      <w:bookmarkStart w:id="444" w:name="_Toc9780"/>
      <w:bookmarkStart w:id="445" w:name="_Toc25657"/>
      <w:bookmarkStart w:id="446" w:name="_Toc13883"/>
      <w:bookmarkStart w:id="447" w:name="_Toc5144"/>
      <w:bookmarkStart w:id="448" w:name="_Toc28409"/>
      <w:bookmarkStart w:id="449" w:name="_Toc631"/>
      <w:bookmarkStart w:id="450" w:name="_Toc18483"/>
      <w:bookmarkStart w:id="451" w:name="_Toc149731545"/>
      <w:bookmarkStart w:id="452" w:name="_Toc15928"/>
      <w:bookmarkStart w:id="453" w:name="_Toc23153"/>
      <w:bookmarkStart w:id="454" w:name="_Toc19559"/>
      <w:bookmarkStart w:id="455" w:name="_Toc8239"/>
      <w:bookmarkStart w:id="456" w:name="_Toc18241"/>
      <w:bookmarkStart w:id="457" w:name="_Toc32740"/>
      <w:bookmarkStart w:id="458" w:name="_Toc28719"/>
      <w:r>
        <w:rPr>
          <w:rFonts w:hint="eastAsia" w:ascii="仿宋" w:hAnsi="仿宋" w:eastAsia="仿宋" w:cs="仿宋"/>
          <w:i w:val="0"/>
          <w:iCs w:val="0"/>
          <w:color w:val="auto"/>
          <w:sz w:val="24"/>
          <w:szCs w:val="24"/>
          <w:highlight w:val="none"/>
          <w:lang w:eastAsia="zh-CN"/>
        </w:rPr>
        <w:t>1．定义</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32A3EAF">
      <w:pPr>
        <w:autoSpaceDE w:val="0"/>
        <w:autoSpaceDN w:val="0"/>
        <w:adjustRightInd w:val="0"/>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1.43 </w:t>
      </w:r>
      <w:r>
        <w:rPr>
          <w:rFonts w:hint="eastAsia" w:ascii="仿宋" w:hAnsi="仿宋" w:eastAsia="仿宋" w:cs="仿宋"/>
          <w:color w:val="auto"/>
          <w:highlight w:val="none"/>
          <w:lang w:eastAsia="zh-CN"/>
        </w:rPr>
        <w:t>单位工程</w:t>
      </w:r>
    </w:p>
    <w:p w14:paraId="46B3A6E6">
      <w:pPr>
        <w:autoSpaceDE w:val="0"/>
        <w:autoSpaceDN w:val="0"/>
        <w:adjustRightInd w:val="0"/>
        <w:spacing w:line="360" w:lineRule="auto"/>
        <w:ind w:firstLine="360" w:firstLineChars="1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名称：</w:t>
      </w:r>
      <w:r>
        <w:rPr>
          <w:rFonts w:hint="eastAsia" w:ascii="仿宋" w:hAnsi="仿宋" w:eastAsia="仿宋" w:cs="仿宋"/>
          <w:color w:val="auto"/>
          <w:highlight w:val="none"/>
          <w:u w:val="single"/>
          <w:lang w:eastAsia="zh-CN"/>
        </w:rPr>
        <w:t>以协议书为准</w:t>
      </w:r>
      <w:r>
        <w:rPr>
          <w:rFonts w:ascii="仿宋" w:hAnsi="仿宋" w:eastAsia="仿宋" w:cs="仿宋"/>
          <w:color w:val="auto"/>
          <w:highlight w:val="none"/>
          <w:u w:val="single"/>
          <w:lang w:eastAsia="zh-CN"/>
        </w:rPr>
        <w:t xml:space="preserve">     </w:t>
      </w:r>
    </w:p>
    <w:p w14:paraId="7516B1E6">
      <w:pPr>
        <w:autoSpaceDE w:val="0"/>
        <w:autoSpaceDN w:val="0"/>
        <w:adjustRightInd w:val="0"/>
        <w:spacing w:line="360" w:lineRule="auto"/>
        <w:ind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内容：</w:t>
      </w:r>
      <w:r>
        <w:rPr>
          <w:rFonts w:hint="eastAsia" w:ascii="仿宋" w:hAnsi="仿宋" w:eastAsia="仿宋" w:cs="仿宋"/>
          <w:color w:val="auto"/>
          <w:highlight w:val="none"/>
          <w:u w:val="single"/>
          <w:lang w:eastAsia="zh-CN"/>
        </w:rPr>
        <w:t>以协议书为准</w:t>
      </w:r>
      <w:r>
        <w:rPr>
          <w:rFonts w:ascii="仿宋" w:hAnsi="仿宋" w:eastAsia="仿宋" w:cs="仿宋"/>
          <w:color w:val="auto"/>
          <w:highlight w:val="none"/>
          <w:u w:val="single"/>
          <w:lang w:eastAsia="zh-CN"/>
        </w:rPr>
        <w:t xml:space="preserve">     </w:t>
      </w:r>
    </w:p>
    <w:p w14:paraId="02B3B76D">
      <w:pPr>
        <w:autoSpaceDE w:val="0"/>
        <w:autoSpaceDN w:val="0"/>
        <w:adjustRightInd w:val="0"/>
        <w:spacing w:line="360" w:lineRule="auto"/>
        <w:ind w:firstLine="360" w:firstLineChars="1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范围：</w:t>
      </w:r>
      <w:r>
        <w:rPr>
          <w:rFonts w:hint="eastAsia" w:ascii="仿宋" w:hAnsi="仿宋" w:eastAsia="仿宋" w:cs="仿宋"/>
          <w:color w:val="auto"/>
          <w:highlight w:val="none"/>
          <w:u w:val="single"/>
          <w:lang w:eastAsia="zh-CN"/>
        </w:rPr>
        <w:t>以协议书为准</w:t>
      </w:r>
      <w:r>
        <w:rPr>
          <w:rFonts w:ascii="仿宋" w:hAnsi="仿宋" w:eastAsia="仿宋" w:cs="仿宋"/>
          <w:color w:val="auto"/>
          <w:highlight w:val="none"/>
          <w:u w:val="single"/>
          <w:lang w:eastAsia="zh-CN"/>
        </w:rPr>
        <w:t xml:space="preserve">     </w:t>
      </w:r>
    </w:p>
    <w:p w14:paraId="43906F3E">
      <w:pPr>
        <w:autoSpaceDE w:val="0"/>
        <w:autoSpaceDN w:val="0"/>
        <w:adjustRightInd w:val="0"/>
        <w:spacing w:line="360" w:lineRule="auto"/>
        <w:ind w:firstLine="240" w:firstLineChars="10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1.53  </w:t>
      </w:r>
      <w:r>
        <w:rPr>
          <w:rFonts w:hint="eastAsia" w:ascii="仿宋" w:hAnsi="仿宋" w:eastAsia="仿宋" w:cs="仿宋"/>
          <w:color w:val="auto"/>
          <w:highlight w:val="none"/>
          <w:lang w:eastAsia="zh-CN"/>
        </w:rPr>
        <w:t>所采用的书面形式包括：</w:t>
      </w:r>
      <w:r>
        <w:rPr>
          <w:rFonts w:ascii="仿宋" w:hAnsi="仿宋" w:eastAsia="仿宋" w:cs="仿宋"/>
          <w:color w:val="auto"/>
          <w:highlight w:val="none"/>
          <w:lang w:eastAsia="zh-CN"/>
        </w:rPr>
        <w:t xml:space="preserve"> </w:t>
      </w:r>
    </w:p>
    <w:p w14:paraId="17088288">
      <w:pPr>
        <w:autoSpaceDE w:val="0"/>
        <w:autoSpaceDN w:val="0"/>
        <w:adjustRightInd w:val="0"/>
        <w:spacing w:line="360" w:lineRule="auto"/>
        <w:ind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文书；</w:t>
      </w:r>
      <w:r>
        <w:rPr>
          <w:rFonts w:ascii="仿宋" w:hAnsi="仿宋" w:eastAsia="仿宋" w:cs="仿宋"/>
          <w:color w:val="auto"/>
          <w:highlight w:val="none"/>
          <w:lang w:eastAsia="zh-CN"/>
        </w:rPr>
        <w:t xml:space="preserve"> </w:t>
      </w:r>
    </w:p>
    <w:p w14:paraId="3C846031">
      <w:pPr>
        <w:autoSpaceDE w:val="0"/>
        <w:autoSpaceDN w:val="0"/>
        <w:adjustRightInd w:val="0"/>
        <w:spacing w:line="360" w:lineRule="auto"/>
        <w:ind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信件；</w:t>
      </w:r>
      <w:r>
        <w:rPr>
          <w:rFonts w:ascii="仿宋" w:hAnsi="仿宋" w:eastAsia="仿宋" w:cs="仿宋"/>
          <w:color w:val="auto"/>
          <w:highlight w:val="none"/>
          <w:lang w:eastAsia="zh-CN"/>
        </w:rPr>
        <w:t xml:space="preserve"> </w:t>
      </w:r>
    </w:p>
    <w:p w14:paraId="3D6B07E6">
      <w:pPr>
        <w:autoSpaceDE w:val="0"/>
        <w:autoSpaceDN w:val="0"/>
        <w:adjustRightInd w:val="0"/>
        <w:spacing w:line="360" w:lineRule="auto"/>
        <w:ind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电报；</w:t>
      </w:r>
      <w:r>
        <w:rPr>
          <w:rFonts w:ascii="仿宋" w:hAnsi="仿宋" w:eastAsia="仿宋" w:cs="仿宋"/>
          <w:color w:val="auto"/>
          <w:highlight w:val="none"/>
          <w:lang w:eastAsia="zh-CN"/>
        </w:rPr>
        <w:t xml:space="preserve"> </w:t>
      </w:r>
    </w:p>
    <w:p w14:paraId="4E1AE310">
      <w:pPr>
        <w:autoSpaceDE w:val="0"/>
        <w:autoSpaceDN w:val="0"/>
        <w:adjustRightInd w:val="0"/>
        <w:spacing w:line="360" w:lineRule="auto"/>
        <w:ind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传真；</w:t>
      </w:r>
      <w:r>
        <w:rPr>
          <w:rFonts w:ascii="仿宋" w:hAnsi="仿宋" w:eastAsia="仿宋" w:cs="仿宋"/>
          <w:color w:val="auto"/>
          <w:highlight w:val="none"/>
          <w:lang w:eastAsia="zh-CN"/>
        </w:rPr>
        <w:t xml:space="preserve"> </w:t>
      </w:r>
    </w:p>
    <w:p w14:paraId="7885B4DA">
      <w:pPr>
        <w:autoSpaceDE w:val="0"/>
        <w:autoSpaceDN w:val="0"/>
        <w:adjustRightInd w:val="0"/>
        <w:spacing w:line="360" w:lineRule="auto"/>
        <w:ind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电子邮件；</w:t>
      </w:r>
      <w:r>
        <w:rPr>
          <w:rFonts w:ascii="仿宋" w:hAnsi="仿宋" w:eastAsia="仿宋" w:cs="仿宋"/>
          <w:color w:val="auto"/>
          <w:highlight w:val="none"/>
          <w:lang w:eastAsia="zh-CN"/>
        </w:rPr>
        <w:t xml:space="preserve"> </w:t>
      </w:r>
    </w:p>
    <w:p w14:paraId="3C77F972">
      <w:pPr>
        <w:autoSpaceDE w:val="0"/>
        <w:autoSpaceDN w:val="0"/>
        <w:adjustRightInd w:val="0"/>
        <w:spacing w:line="360" w:lineRule="auto"/>
        <w:ind w:firstLine="360" w:firstLineChars="1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其他：</w:t>
      </w:r>
      <w:r>
        <w:rPr>
          <w:rFonts w:ascii="仿宋" w:hAnsi="仿宋" w:eastAsia="仿宋" w:cs="仿宋"/>
          <w:color w:val="auto"/>
          <w:highlight w:val="none"/>
          <w:u w:val="single"/>
          <w:lang w:eastAsia="zh-CN"/>
        </w:rPr>
        <w:t xml:space="preserve">                                                                          </w:t>
      </w:r>
    </w:p>
    <w:p w14:paraId="61A953C4">
      <w:pPr>
        <w:autoSpaceDE w:val="0"/>
        <w:autoSpaceDN w:val="0"/>
        <w:adjustRightInd w:val="0"/>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1.55 专业承包工程：指由发包人另行发包，后续专业承包人与发包人签订合同的工程。</w:t>
      </w:r>
    </w:p>
    <w:p w14:paraId="37FF7FBD">
      <w:pPr>
        <w:pStyle w:val="5"/>
        <w:tabs>
          <w:tab w:val="left" w:pos="420"/>
        </w:tabs>
        <w:spacing w:before="0" w:after="0" w:line="360" w:lineRule="auto"/>
        <w:rPr>
          <w:rFonts w:hint="eastAsia" w:ascii="仿宋" w:hAnsi="仿宋" w:eastAsia="仿宋" w:cs="仿宋"/>
          <w:i w:val="0"/>
          <w:iCs w:val="0"/>
          <w:color w:val="auto"/>
          <w:sz w:val="24"/>
          <w:szCs w:val="24"/>
          <w:highlight w:val="none"/>
          <w:lang w:eastAsia="zh-CN"/>
        </w:rPr>
      </w:pPr>
      <w:bookmarkStart w:id="459" w:name="_Toc31960"/>
      <w:bookmarkStart w:id="460" w:name="_Toc8537"/>
      <w:bookmarkStart w:id="461" w:name="_Toc31841"/>
      <w:bookmarkStart w:id="462" w:name="_Toc9927"/>
      <w:bookmarkStart w:id="463" w:name="_Toc19412"/>
      <w:bookmarkStart w:id="464" w:name="_Toc14959"/>
      <w:bookmarkStart w:id="465" w:name="_Toc149731546"/>
      <w:bookmarkStart w:id="466" w:name="_Toc26763"/>
      <w:bookmarkStart w:id="467" w:name="_Toc31343"/>
      <w:bookmarkStart w:id="468" w:name="_Toc10265"/>
      <w:bookmarkStart w:id="469" w:name="_Toc3972"/>
      <w:bookmarkStart w:id="470" w:name="_Toc5481"/>
      <w:bookmarkStart w:id="471" w:name="_Toc15751"/>
      <w:bookmarkStart w:id="472" w:name="_Toc14168"/>
      <w:bookmarkStart w:id="473" w:name="_Toc27813"/>
      <w:bookmarkStart w:id="474" w:name="_Toc1875"/>
      <w:r>
        <w:rPr>
          <w:rFonts w:hint="eastAsia" w:ascii="仿宋" w:hAnsi="仿宋" w:eastAsia="仿宋" w:cs="仿宋"/>
          <w:i w:val="0"/>
          <w:iCs w:val="0"/>
          <w:color w:val="auto"/>
          <w:sz w:val="24"/>
          <w:szCs w:val="24"/>
          <w:highlight w:val="none"/>
          <w:lang w:eastAsia="zh-CN"/>
        </w:rPr>
        <w:t>2.合同文件及解释</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5FD440F6">
      <w:pPr>
        <w:spacing w:line="360" w:lineRule="auto"/>
        <w:ind w:firstLine="480" w:firstLineChars="200"/>
        <w:rPr>
          <w:rFonts w:hint="eastAsia" w:ascii="仿宋" w:hAnsi="仿宋" w:eastAsia="仿宋" w:cs="仿宋"/>
          <w:b/>
          <w:bCs/>
          <w:color w:val="auto"/>
          <w:highlight w:val="none"/>
          <w:lang w:eastAsia="zh-CN"/>
        </w:rPr>
      </w:pPr>
      <w:bookmarkStart w:id="475" w:name="_Toc20134"/>
      <w:r>
        <w:rPr>
          <w:rFonts w:hint="eastAsia" w:ascii="仿宋" w:hAnsi="仿宋" w:eastAsia="仿宋" w:cs="仿宋"/>
          <w:color w:val="auto"/>
          <w:highlight w:val="none"/>
          <w:lang w:eastAsia="zh-CN"/>
        </w:rPr>
        <w:t xml:space="preserve">2.2 </w:t>
      </w:r>
      <w:r>
        <w:rPr>
          <w:rFonts w:hint="eastAsia" w:ascii="仿宋" w:hAnsi="仿宋" w:eastAsia="仿宋" w:cs="仿宋"/>
          <w:b/>
          <w:bCs/>
          <w:color w:val="auto"/>
          <w:highlight w:val="none"/>
          <w:lang w:eastAsia="zh-CN"/>
        </w:rPr>
        <w:t>合同文件组成及优先顺序</w:t>
      </w:r>
      <w:bookmarkEnd w:id="475"/>
    </w:p>
    <w:p w14:paraId="6CCD0C42">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合同文件组成及优先顺序为： </w:t>
      </w:r>
    </w:p>
    <w:p w14:paraId="115C399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（1）补充合同（协议）或修正文件；</w:t>
      </w:r>
    </w:p>
    <w:p w14:paraId="1A1A01D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（2）协议书；</w:t>
      </w:r>
    </w:p>
    <w:p w14:paraId="72C5607B">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（3）中标通知书；</w:t>
      </w:r>
    </w:p>
    <w:p w14:paraId="1913448C">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（4）本合同专用条款；</w:t>
      </w:r>
    </w:p>
    <w:p w14:paraId="13397E10">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5</w:t>
      </w:r>
      <w:r>
        <w:rPr>
          <w:rFonts w:hint="eastAsia" w:ascii="仿宋" w:hAnsi="仿宋" w:eastAsia="仿宋" w:cs="仿宋"/>
          <w:color w:val="auto"/>
          <w:highlight w:val="none"/>
          <w:u w:val="single"/>
          <w:lang w:eastAsia="zh-CN"/>
        </w:rPr>
        <w:t>）发包人针对本工程管理的各项制度、规定；</w:t>
      </w:r>
    </w:p>
    <w:p w14:paraId="1FA5DF11">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6</w:t>
      </w:r>
      <w:r>
        <w:rPr>
          <w:rFonts w:hint="eastAsia" w:ascii="仿宋" w:hAnsi="仿宋" w:eastAsia="仿宋" w:cs="仿宋"/>
          <w:color w:val="auto"/>
          <w:highlight w:val="none"/>
          <w:u w:val="single"/>
          <w:lang w:eastAsia="zh-CN"/>
        </w:rPr>
        <w:t>）合同附件[属本条第（1）项和第（</w:t>
      </w:r>
      <w:r>
        <w:rPr>
          <w:rFonts w:ascii="仿宋" w:hAnsi="仿宋" w:eastAsia="仿宋" w:cs="仿宋"/>
          <w:color w:val="auto"/>
          <w:highlight w:val="none"/>
          <w:u w:val="single"/>
          <w:lang w:eastAsia="zh-CN"/>
        </w:rPr>
        <w:t>5</w:t>
      </w:r>
      <w:r>
        <w:rPr>
          <w:rFonts w:hint="eastAsia" w:ascii="仿宋" w:hAnsi="仿宋" w:eastAsia="仿宋" w:cs="仿宋"/>
          <w:color w:val="auto"/>
          <w:highlight w:val="none"/>
          <w:u w:val="single"/>
          <w:lang w:eastAsia="zh-CN"/>
        </w:rPr>
        <w:t>）项内容的除外]；</w:t>
      </w:r>
    </w:p>
    <w:p w14:paraId="396B4BF1">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7</w:t>
      </w:r>
      <w:r>
        <w:rPr>
          <w:rFonts w:hint="eastAsia" w:ascii="仿宋" w:hAnsi="仿宋" w:eastAsia="仿宋" w:cs="仿宋"/>
          <w:color w:val="auto"/>
          <w:highlight w:val="none"/>
          <w:u w:val="single"/>
          <w:lang w:eastAsia="zh-CN"/>
        </w:rPr>
        <w:t>）本合同通用条款；</w:t>
      </w:r>
    </w:p>
    <w:p w14:paraId="644D424D">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8</w:t>
      </w:r>
      <w:r>
        <w:rPr>
          <w:rFonts w:hint="eastAsia" w:ascii="仿宋" w:hAnsi="仿宋" w:eastAsia="仿宋" w:cs="仿宋"/>
          <w:color w:val="auto"/>
          <w:highlight w:val="none"/>
          <w:u w:val="single"/>
          <w:lang w:eastAsia="zh-CN"/>
        </w:rPr>
        <w:t>）招标文件[含招标文件补充文件、澄清文件、答疑文件、招标图等，属本条第（</w:t>
      </w:r>
      <w:r>
        <w:rPr>
          <w:rFonts w:ascii="仿宋" w:hAnsi="仿宋" w:eastAsia="仿宋" w:cs="仿宋"/>
          <w:color w:val="auto"/>
          <w:highlight w:val="none"/>
          <w:u w:val="single"/>
          <w:lang w:eastAsia="zh-CN"/>
        </w:rPr>
        <w:t>6</w:t>
      </w:r>
      <w:r>
        <w:rPr>
          <w:rFonts w:hint="eastAsia" w:ascii="仿宋" w:hAnsi="仿宋" w:eastAsia="仿宋" w:cs="仿宋"/>
          <w:color w:val="auto"/>
          <w:highlight w:val="none"/>
          <w:u w:val="single"/>
          <w:lang w:eastAsia="zh-CN"/>
        </w:rPr>
        <w:t>）项内容的除外]；</w:t>
      </w:r>
    </w:p>
    <w:p w14:paraId="02F57771">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9</w:t>
      </w:r>
      <w:r>
        <w:rPr>
          <w:rFonts w:hint="eastAsia" w:ascii="仿宋" w:hAnsi="仿宋" w:eastAsia="仿宋" w:cs="仿宋"/>
          <w:color w:val="auto"/>
          <w:highlight w:val="none"/>
          <w:u w:val="single"/>
          <w:lang w:eastAsia="zh-CN"/>
        </w:rPr>
        <w:t>）承包人投标文件及其附件[含投标文件澄清等，属本条第（</w:t>
      </w:r>
      <w:r>
        <w:rPr>
          <w:rFonts w:ascii="仿宋" w:hAnsi="仿宋" w:eastAsia="仿宋" w:cs="仿宋"/>
          <w:color w:val="auto"/>
          <w:highlight w:val="none"/>
          <w:u w:val="single"/>
          <w:lang w:eastAsia="zh-CN"/>
        </w:rPr>
        <w:t>6</w:t>
      </w:r>
      <w:r>
        <w:rPr>
          <w:rFonts w:hint="eastAsia" w:ascii="仿宋" w:hAnsi="仿宋" w:eastAsia="仿宋" w:cs="仿宋"/>
          <w:color w:val="auto"/>
          <w:highlight w:val="none"/>
          <w:u w:val="single"/>
          <w:lang w:eastAsia="zh-CN"/>
        </w:rPr>
        <w:t>）项内容的除外]；</w:t>
      </w:r>
    </w:p>
    <w:p w14:paraId="1DF3DA02">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（10）相关政府主管部门关于本工程的有关文件；</w:t>
      </w:r>
    </w:p>
    <w:p w14:paraId="2EFF3BCC">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（11）国家及广东省、广州市的标准、规范及有关技术文件；</w:t>
      </w:r>
    </w:p>
    <w:p w14:paraId="10A5CD04">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u w:val="single"/>
          <w:lang w:eastAsia="zh-CN"/>
        </w:rPr>
        <w:t>（12）组成合同的其他文件。</w:t>
      </w:r>
    </w:p>
    <w:p w14:paraId="43B6C601">
      <w:pPr>
        <w:pStyle w:val="5"/>
        <w:tabs>
          <w:tab w:val="left" w:pos="420"/>
        </w:tabs>
        <w:spacing w:before="0" w:after="0" w:line="360" w:lineRule="auto"/>
        <w:rPr>
          <w:rFonts w:hint="eastAsia" w:ascii="仿宋" w:hAnsi="仿宋" w:eastAsia="仿宋"/>
          <w:i w:val="0"/>
          <w:iCs w:val="0"/>
          <w:color w:val="auto"/>
          <w:sz w:val="24"/>
          <w:szCs w:val="24"/>
          <w:highlight w:val="none"/>
          <w:lang w:eastAsia="zh-CN"/>
        </w:rPr>
      </w:pPr>
      <w:bookmarkStart w:id="476" w:name="_Toc26636"/>
      <w:bookmarkStart w:id="477" w:name="_Toc7890"/>
      <w:bookmarkStart w:id="478" w:name="_Toc15439"/>
      <w:bookmarkStart w:id="479" w:name="_Toc3998"/>
      <w:bookmarkStart w:id="480" w:name="_Toc1828"/>
      <w:bookmarkStart w:id="481" w:name="_Toc19599"/>
      <w:bookmarkStart w:id="482" w:name="_Toc20723"/>
      <w:bookmarkStart w:id="483" w:name="_Toc13158"/>
      <w:bookmarkStart w:id="484" w:name="_Toc23753"/>
      <w:bookmarkStart w:id="485" w:name="_Toc29627"/>
      <w:bookmarkStart w:id="486" w:name="_Toc14509"/>
      <w:bookmarkStart w:id="487" w:name="_Toc30145"/>
      <w:bookmarkStart w:id="488" w:name="_Toc21296"/>
      <w:bookmarkStart w:id="489" w:name="_Toc9863"/>
      <w:bookmarkStart w:id="490" w:name="_Toc149731547"/>
      <w:bookmarkStart w:id="491" w:name="_Toc19987"/>
      <w:r>
        <w:rPr>
          <w:rFonts w:hint="eastAsia" w:ascii="仿宋" w:hAnsi="仿宋" w:eastAsia="仿宋" w:cs="仿宋"/>
          <w:i w:val="0"/>
          <w:iCs w:val="0"/>
          <w:color w:val="auto"/>
          <w:sz w:val="24"/>
          <w:szCs w:val="24"/>
          <w:highlight w:val="none"/>
          <w:lang w:eastAsia="zh-CN"/>
        </w:rPr>
        <w:t>3.语言及适用的法律、标准与</w:t>
      </w:r>
      <w:r>
        <w:rPr>
          <w:rFonts w:hint="eastAsia" w:ascii="仿宋" w:hAnsi="仿宋" w:eastAsia="仿宋"/>
          <w:i w:val="0"/>
          <w:iCs w:val="0"/>
          <w:color w:val="auto"/>
          <w:sz w:val="24"/>
          <w:szCs w:val="24"/>
          <w:highlight w:val="none"/>
          <w:lang w:eastAsia="zh-CN"/>
        </w:rPr>
        <w:t>规范</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5D6ED01">
      <w:pPr>
        <w:spacing w:line="360" w:lineRule="auto"/>
        <w:ind w:firstLine="480" w:firstLineChars="20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4.3 </w:t>
      </w:r>
      <w:r>
        <w:rPr>
          <w:rFonts w:hint="eastAsia" w:ascii="仿宋" w:hAnsi="仿宋" w:eastAsia="仿宋" w:cs="仿宋"/>
          <w:color w:val="auto"/>
          <w:highlight w:val="none"/>
          <w:lang w:eastAsia="zh-CN"/>
        </w:rPr>
        <w:t>约定适用的标准、规范的名称：</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以通用条款为准</w:t>
      </w:r>
      <w:r>
        <w:rPr>
          <w:rFonts w:ascii="仿宋" w:hAnsi="仿宋" w:eastAsia="仿宋" w:cs="仿宋"/>
          <w:color w:val="auto"/>
          <w:highlight w:val="none"/>
          <w:u w:val="single"/>
          <w:lang w:eastAsia="zh-CN"/>
        </w:rPr>
        <w:t xml:space="preserve">  </w:t>
      </w:r>
    </w:p>
    <w:p w14:paraId="314F14A2">
      <w:pPr>
        <w:pStyle w:val="5"/>
        <w:tabs>
          <w:tab w:val="left" w:pos="420"/>
        </w:tabs>
        <w:spacing w:before="0" w:after="0" w:line="360" w:lineRule="auto"/>
        <w:rPr>
          <w:rFonts w:hint="eastAsia" w:ascii="仿宋" w:hAnsi="仿宋" w:eastAsia="仿宋"/>
          <w:i w:val="0"/>
          <w:iCs w:val="0"/>
          <w:color w:val="auto"/>
          <w:sz w:val="24"/>
          <w:szCs w:val="24"/>
          <w:highlight w:val="none"/>
          <w:lang w:eastAsia="zh-CN"/>
        </w:rPr>
      </w:pPr>
      <w:bookmarkStart w:id="492" w:name="_Toc24428"/>
      <w:bookmarkStart w:id="493" w:name="_Toc8662"/>
      <w:bookmarkStart w:id="494" w:name="_Toc936"/>
      <w:bookmarkStart w:id="495" w:name="_Toc23068"/>
      <w:bookmarkStart w:id="496" w:name="_Toc11773"/>
      <w:bookmarkStart w:id="497" w:name="_Toc20333"/>
      <w:bookmarkStart w:id="498" w:name="_Toc5133"/>
      <w:bookmarkStart w:id="499" w:name="_Toc22740"/>
      <w:bookmarkStart w:id="500" w:name="_Toc19846"/>
      <w:bookmarkStart w:id="501" w:name="_Toc6913"/>
      <w:bookmarkStart w:id="502" w:name="_Toc13567"/>
      <w:bookmarkStart w:id="503" w:name="_Toc5138"/>
      <w:bookmarkStart w:id="504" w:name="_Toc26986"/>
      <w:bookmarkStart w:id="505" w:name="_Toc529"/>
      <w:bookmarkStart w:id="506" w:name="_Toc25910"/>
      <w:bookmarkStart w:id="507" w:name="_Toc29095"/>
      <w:bookmarkStart w:id="508" w:name="_Toc10624930"/>
      <w:bookmarkStart w:id="509" w:name="_Toc8255"/>
      <w:bookmarkStart w:id="510" w:name="_Toc469384086"/>
      <w:r>
        <w:rPr>
          <w:rFonts w:hint="eastAsia" w:ascii="仿宋" w:hAnsi="仿宋" w:eastAsia="仿宋" w:cs="仿宋"/>
          <w:i w:val="0"/>
          <w:iCs w:val="0"/>
          <w:color w:val="auto"/>
          <w:sz w:val="24"/>
          <w:szCs w:val="24"/>
          <w:highlight w:val="none"/>
          <w:lang w:eastAsia="zh-CN"/>
        </w:rPr>
        <w:t>4.项目基础资料的提供</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41D75974">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4.1发包人提供项目基础资料：发包人在合同签署后3天内，向承包人提供发包人既有的基础资料；其他属于发包人提供的基础资料，发包人在取得后提供给承包人，且发包人无需因此承担任何费用。承包人应尽早认真阅读、复核项目基础资料，发现错误的，应及时书面通知发包人补正。</w:t>
      </w:r>
    </w:p>
    <w:p w14:paraId="7D8F7F5E">
      <w:pPr>
        <w:pStyle w:val="2"/>
        <w:rPr>
          <w:color w:val="auto"/>
          <w:highlight w:val="none"/>
          <w:lang w:eastAsia="zh-CN"/>
        </w:rPr>
      </w:pPr>
    </w:p>
    <w:p w14:paraId="05163D40">
      <w:pPr>
        <w:pStyle w:val="5"/>
        <w:tabs>
          <w:tab w:val="left" w:pos="420"/>
        </w:tabs>
        <w:spacing w:before="0" w:after="0" w:line="360" w:lineRule="auto"/>
        <w:rPr>
          <w:rFonts w:hint="eastAsia" w:ascii="仿宋" w:hAnsi="仿宋" w:eastAsia="仿宋" w:cs="仿宋"/>
          <w:i w:val="0"/>
          <w:iCs w:val="0"/>
          <w:color w:val="auto"/>
          <w:sz w:val="24"/>
          <w:szCs w:val="24"/>
          <w:highlight w:val="none"/>
          <w:lang w:eastAsia="zh-CN"/>
        </w:rPr>
      </w:pPr>
      <w:bookmarkStart w:id="511" w:name="_Toc29968"/>
      <w:bookmarkStart w:id="512" w:name="_Toc29020"/>
      <w:bookmarkStart w:id="513" w:name="_Toc3645"/>
      <w:bookmarkStart w:id="514" w:name="_Toc74"/>
      <w:bookmarkStart w:id="515" w:name="_Toc25264"/>
      <w:bookmarkStart w:id="516" w:name="_Toc9591"/>
      <w:bookmarkStart w:id="517" w:name="_Toc9862"/>
      <w:bookmarkStart w:id="518" w:name="_Toc26029"/>
      <w:bookmarkStart w:id="519" w:name="_Toc3763"/>
      <w:bookmarkStart w:id="520" w:name="_Toc23219"/>
      <w:bookmarkStart w:id="521" w:name="_Toc6448"/>
      <w:bookmarkStart w:id="522" w:name="_Toc32577"/>
      <w:bookmarkStart w:id="523" w:name="_Toc21051"/>
      <w:bookmarkStart w:id="524" w:name="_Toc1748"/>
      <w:r>
        <w:rPr>
          <w:rFonts w:hint="eastAsia" w:ascii="仿宋" w:hAnsi="仿宋" w:eastAsia="仿宋" w:cs="仿宋"/>
          <w:i w:val="0"/>
          <w:iCs w:val="0"/>
          <w:color w:val="auto"/>
          <w:sz w:val="24"/>
          <w:szCs w:val="24"/>
          <w:highlight w:val="none"/>
          <w:lang w:eastAsia="zh-CN"/>
        </w:rPr>
        <w:t>5.勘察报告、设计文件、建筑信息模型（BIM）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41387CB8">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5.1 承包人提供勘察报告</w:t>
      </w:r>
    </w:p>
    <w:p w14:paraId="2F1568B9">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①提供的时间：</w:t>
      </w:r>
      <w:r>
        <w:rPr>
          <w:rFonts w:hint="eastAsia" w:ascii="仿宋" w:hAnsi="仿宋" w:eastAsia="仿宋" w:cs="仿宋"/>
          <w:color w:val="auto"/>
          <w:highlight w:val="none"/>
          <w:u w:val="single"/>
          <w:lang w:eastAsia="zh-CN"/>
        </w:rPr>
        <w:t xml:space="preserve">不涉及 </w:t>
      </w:r>
    </w:p>
    <w:p w14:paraId="635F5ECA">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②提供的数量：</w:t>
      </w:r>
      <w:r>
        <w:rPr>
          <w:rFonts w:hint="eastAsia" w:ascii="仿宋" w:hAnsi="仿宋" w:eastAsia="仿宋" w:cs="仿宋"/>
          <w:color w:val="auto"/>
          <w:highlight w:val="none"/>
          <w:u w:val="single"/>
          <w:lang w:eastAsia="zh-CN"/>
        </w:rPr>
        <w:t xml:space="preserve">不涉及  </w:t>
      </w:r>
    </w:p>
    <w:p w14:paraId="5CC46690">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③发包人或设计顾问人答复的时间：</w:t>
      </w:r>
      <w:r>
        <w:rPr>
          <w:rFonts w:hint="eastAsia" w:ascii="仿宋" w:hAnsi="仿宋" w:eastAsia="仿宋" w:cs="仿宋"/>
          <w:color w:val="auto"/>
          <w:highlight w:val="none"/>
          <w:u w:val="single"/>
          <w:lang w:eastAsia="zh-CN"/>
        </w:rPr>
        <w:t xml:space="preserve"> 不涉及 </w:t>
      </w:r>
    </w:p>
    <w:p w14:paraId="759F93D3">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5.2 承包人提供设计文件</w:t>
      </w:r>
    </w:p>
    <w:p w14:paraId="05F70CF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方案设计文件：</w:t>
      </w:r>
    </w:p>
    <w:p w14:paraId="71B98817">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①提供的时间：</w:t>
      </w:r>
    </w:p>
    <w:p w14:paraId="75A6E02D">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②提供的数量：</w:t>
      </w:r>
    </w:p>
    <w:p w14:paraId="1DF30813">
      <w:pPr>
        <w:spacing w:line="360" w:lineRule="auto"/>
        <w:ind w:firstLine="480" w:firstLineChars="200"/>
        <w:rPr>
          <w:color w:val="auto"/>
          <w:highlight w:val="none"/>
          <w:lang w:eastAsia="zh-CN"/>
        </w:rPr>
      </w:pPr>
      <w:r>
        <w:rPr>
          <w:rFonts w:hint="eastAsia" w:ascii="仿宋" w:hAnsi="仿宋" w:eastAsia="仿宋" w:cs="仿宋"/>
          <w:color w:val="auto"/>
          <w:highlight w:val="none"/>
          <w:lang w:eastAsia="zh-CN"/>
        </w:rPr>
        <w:t>③发包人或设计顾问人答复的时间：</w:t>
      </w:r>
    </w:p>
    <w:p w14:paraId="0F897FC5">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初步设计文件：</w:t>
      </w:r>
    </w:p>
    <w:p w14:paraId="28F76B41">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①提供的时间：</w:t>
      </w:r>
    </w:p>
    <w:p w14:paraId="36DA696A">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②提供的数量：</w:t>
      </w:r>
    </w:p>
    <w:p w14:paraId="740AE850">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③发包人或设计顾问人答复的时间：</w:t>
      </w:r>
    </w:p>
    <w:p w14:paraId="617F38FA">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rPr>
        <w:sym w:font="Wingdings 2" w:char="F052"/>
      </w:r>
      <w:r>
        <w:rPr>
          <w:rFonts w:hint="eastAsia" w:ascii="仿宋" w:hAnsi="仿宋" w:eastAsia="仿宋" w:cs="仿宋"/>
          <w:color w:val="auto"/>
          <w:highlight w:val="none"/>
          <w:lang w:eastAsia="zh-CN"/>
        </w:rPr>
        <w:t xml:space="preserve">  承包人提供施工图设计文件（适用于初步设计批准后或备案发包）</w:t>
      </w:r>
    </w:p>
    <w:tbl>
      <w:tblPr>
        <w:tblStyle w:val="78"/>
        <w:tblW w:w="919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23"/>
        <w:gridCol w:w="4160"/>
        <w:gridCol w:w="1984"/>
        <w:gridCol w:w="2227"/>
      </w:tblGrid>
      <w:tr w14:paraId="1462F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6" w:hRule="atLeast"/>
          <w:jc w:val="center"/>
        </w:trPr>
        <w:tc>
          <w:tcPr>
            <w:tcW w:w="823" w:type="dxa"/>
            <w:vAlign w:val="center"/>
          </w:tcPr>
          <w:p w14:paraId="68B9A8A8">
            <w:pPr>
              <w:pStyle w:val="225"/>
              <w:keepNext w:val="0"/>
              <w:keepLines w:val="0"/>
              <w:suppressLineNumbers w:val="0"/>
              <w:spacing w:before="0" w:beforeAutospacing="0" w:after="0" w:afterAutospacing="0"/>
              <w:ind w:left="0" w:right="50" w:rightChars="21"/>
              <w:jc w:val="center"/>
              <w:rPr>
                <w:rFonts w:hint="eastAsia" w:ascii="仿宋" w:hAnsi="仿宋" w:eastAsia="仿宋"/>
                <w:b/>
                <w:color w:val="auto"/>
                <w:sz w:val="21"/>
                <w:szCs w:val="21"/>
                <w:highlight w:val="none"/>
              </w:rPr>
            </w:pPr>
            <w:r>
              <w:rPr>
                <w:rFonts w:hint="eastAsia" w:ascii="仿宋" w:hAnsi="仿宋" w:eastAsia="仿宋"/>
                <w:b/>
                <w:color w:val="auto"/>
                <w:sz w:val="21"/>
                <w:szCs w:val="21"/>
                <w:highlight w:val="none"/>
              </w:rPr>
              <w:t>序号</w:t>
            </w:r>
          </w:p>
        </w:tc>
        <w:tc>
          <w:tcPr>
            <w:tcW w:w="4160" w:type="dxa"/>
            <w:vAlign w:val="center"/>
          </w:tcPr>
          <w:p w14:paraId="35882D11">
            <w:pPr>
              <w:pStyle w:val="225"/>
              <w:keepNext w:val="0"/>
              <w:keepLines w:val="0"/>
              <w:suppressLineNumbers w:val="0"/>
              <w:spacing w:before="0" w:beforeAutospacing="0" w:after="0" w:afterAutospacing="0"/>
              <w:ind w:left="0" w:right="50" w:rightChars="21"/>
              <w:jc w:val="center"/>
              <w:rPr>
                <w:rFonts w:hint="eastAsia" w:ascii="仿宋" w:hAnsi="仿宋" w:eastAsia="仿宋"/>
                <w:b/>
                <w:color w:val="auto"/>
                <w:sz w:val="21"/>
                <w:szCs w:val="21"/>
                <w:highlight w:val="none"/>
              </w:rPr>
            </w:pPr>
            <w:r>
              <w:rPr>
                <w:rFonts w:hint="eastAsia" w:ascii="仿宋" w:hAnsi="仿宋" w:eastAsia="仿宋"/>
                <w:b/>
                <w:color w:val="auto"/>
                <w:sz w:val="21"/>
                <w:szCs w:val="21"/>
                <w:highlight w:val="none"/>
              </w:rPr>
              <w:t>项目名称</w:t>
            </w:r>
          </w:p>
        </w:tc>
        <w:tc>
          <w:tcPr>
            <w:tcW w:w="1984" w:type="dxa"/>
            <w:vAlign w:val="center"/>
          </w:tcPr>
          <w:p w14:paraId="4435BE91">
            <w:pPr>
              <w:pStyle w:val="225"/>
              <w:keepNext w:val="0"/>
              <w:keepLines w:val="0"/>
              <w:suppressLineNumbers w:val="0"/>
              <w:spacing w:before="0" w:beforeAutospacing="0" w:after="0" w:afterAutospacing="0"/>
              <w:ind w:left="0" w:right="50" w:rightChars="21"/>
              <w:jc w:val="center"/>
              <w:rPr>
                <w:rFonts w:hint="eastAsia" w:ascii="仿宋" w:hAnsi="仿宋" w:eastAsia="仿宋"/>
                <w:b/>
                <w:color w:val="auto"/>
                <w:sz w:val="21"/>
                <w:szCs w:val="21"/>
                <w:highlight w:val="none"/>
              </w:rPr>
            </w:pPr>
            <w:r>
              <w:rPr>
                <w:rFonts w:hint="eastAsia" w:ascii="仿宋" w:hAnsi="仿宋" w:eastAsia="仿宋"/>
                <w:b/>
                <w:color w:val="auto"/>
                <w:sz w:val="21"/>
                <w:szCs w:val="21"/>
                <w:highlight w:val="none"/>
              </w:rPr>
              <w:t>完成时间</w:t>
            </w:r>
          </w:p>
        </w:tc>
        <w:tc>
          <w:tcPr>
            <w:tcW w:w="2227" w:type="dxa"/>
            <w:vAlign w:val="center"/>
          </w:tcPr>
          <w:p w14:paraId="5CDC8EE6">
            <w:pPr>
              <w:pStyle w:val="225"/>
              <w:keepNext w:val="0"/>
              <w:keepLines w:val="0"/>
              <w:suppressLineNumbers w:val="0"/>
              <w:spacing w:before="0" w:beforeAutospacing="0" w:after="0" w:afterAutospacing="0"/>
              <w:ind w:left="0" w:right="50" w:rightChars="21"/>
              <w:jc w:val="center"/>
              <w:rPr>
                <w:rFonts w:hint="eastAsia" w:ascii="仿宋" w:hAnsi="仿宋" w:eastAsia="仿宋"/>
                <w:b/>
                <w:color w:val="auto"/>
                <w:sz w:val="21"/>
                <w:szCs w:val="21"/>
                <w:highlight w:val="none"/>
              </w:rPr>
            </w:pPr>
            <w:r>
              <w:rPr>
                <w:rFonts w:hint="eastAsia" w:ascii="仿宋" w:hAnsi="仿宋" w:eastAsia="仿宋"/>
                <w:b/>
                <w:color w:val="auto"/>
                <w:sz w:val="21"/>
                <w:szCs w:val="21"/>
                <w:highlight w:val="none"/>
              </w:rPr>
              <w:t>备注</w:t>
            </w:r>
          </w:p>
        </w:tc>
      </w:tr>
      <w:tr w14:paraId="6BED07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0" w:hRule="atLeast"/>
          <w:jc w:val="center"/>
        </w:trPr>
        <w:tc>
          <w:tcPr>
            <w:tcW w:w="823" w:type="dxa"/>
            <w:vAlign w:val="center"/>
          </w:tcPr>
          <w:p w14:paraId="34F73576">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lang w:val="en-US"/>
              </w:rPr>
            </w:pPr>
            <w:r>
              <w:rPr>
                <w:rFonts w:hint="eastAsia" w:ascii="仿宋" w:hAnsi="仿宋" w:eastAsia="仿宋"/>
                <w:color w:val="auto"/>
                <w:sz w:val="21"/>
                <w:szCs w:val="21"/>
                <w:highlight w:val="none"/>
                <w:lang w:val="en-US"/>
              </w:rPr>
              <w:t>1</w:t>
            </w:r>
          </w:p>
        </w:tc>
        <w:tc>
          <w:tcPr>
            <w:tcW w:w="4160" w:type="dxa"/>
            <w:vAlign w:val="center"/>
          </w:tcPr>
          <w:p w14:paraId="0ACAD0C1">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lang w:val="en-US"/>
              </w:rPr>
            </w:pPr>
            <w:r>
              <w:rPr>
                <w:rFonts w:hint="eastAsia" w:ascii="仿宋" w:hAnsi="仿宋" w:eastAsia="仿宋"/>
                <w:color w:val="auto"/>
                <w:sz w:val="21"/>
                <w:szCs w:val="21"/>
                <w:highlight w:val="none"/>
              </w:rPr>
              <w:t>根据发包人</w:t>
            </w:r>
            <w:r>
              <w:rPr>
                <w:rFonts w:hint="eastAsia" w:ascii="仿宋" w:hAnsi="仿宋" w:eastAsia="仿宋"/>
                <w:color w:val="auto"/>
                <w:sz w:val="21"/>
                <w:szCs w:val="21"/>
                <w:highlight w:val="none"/>
                <w:lang w:val="en-US"/>
              </w:rPr>
              <w:t>设计任务书</w:t>
            </w:r>
            <w:r>
              <w:rPr>
                <w:rFonts w:hint="eastAsia" w:ascii="仿宋" w:hAnsi="仿宋" w:eastAsia="仿宋"/>
                <w:color w:val="auto"/>
                <w:sz w:val="21"/>
                <w:szCs w:val="21"/>
                <w:highlight w:val="none"/>
              </w:rPr>
              <w:t>进行</w:t>
            </w:r>
            <w:r>
              <w:rPr>
                <w:rFonts w:hint="eastAsia" w:ascii="仿宋" w:hAnsi="仿宋" w:eastAsia="仿宋"/>
                <w:color w:val="auto"/>
                <w:sz w:val="21"/>
                <w:szCs w:val="21"/>
                <w:highlight w:val="none"/>
                <w:lang w:val="en-US"/>
              </w:rPr>
              <w:t>方案比选</w:t>
            </w:r>
          </w:p>
        </w:tc>
        <w:tc>
          <w:tcPr>
            <w:tcW w:w="1984" w:type="dxa"/>
            <w:vAlign w:val="center"/>
          </w:tcPr>
          <w:p w14:paraId="21B72A45">
            <w:pPr>
              <w:keepNext w:val="0"/>
              <w:keepLines w:val="0"/>
              <w:widowControl/>
              <w:suppressLineNumbers w:val="0"/>
              <w:spacing w:before="0" w:beforeAutospacing="0" w:after="0" w:afterAutospacing="0"/>
              <w:ind w:left="-1" w:leftChars="-42" w:right="50" w:rightChars="21" w:hanging="100" w:hangingChars="48"/>
              <w:rPr>
                <w:rFonts w:hint="eastAsia" w:ascii="仿宋" w:hAnsi="仿宋" w:eastAsia="仿宋"/>
                <w:color w:val="auto"/>
                <w:sz w:val="21"/>
                <w:szCs w:val="21"/>
                <w:highlight w:val="none"/>
                <w:lang w:eastAsia="zh-CN"/>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eastAsia="zh-CN"/>
              </w:rPr>
              <w:t>要求</w:t>
            </w:r>
          </w:p>
        </w:tc>
        <w:tc>
          <w:tcPr>
            <w:tcW w:w="2227" w:type="dxa"/>
            <w:vAlign w:val="center"/>
          </w:tcPr>
          <w:p w14:paraId="0ADD6EB7">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p>
        </w:tc>
      </w:tr>
      <w:tr w14:paraId="406352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0" w:hRule="atLeast"/>
          <w:jc w:val="center"/>
        </w:trPr>
        <w:tc>
          <w:tcPr>
            <w:tcW w:w="823" w:type="dxa"/>
            <w:vAlign w:val="center"/>
          </w:tcPr>
          <w:p w14:paraId="7F39E326">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lang w:val="en-US"/>
              </w:rPr>
            </w:pPr>
            <w:r>
              <w:rPr>
                <w:rFonts w:hint="eastAsia" w:ascii="仿宋" w:hAnsi="仿宋" w:eastAsia="仿宋"/>
                <w:color w:val="auto"/>
                <w:sz w:val="21"/>
                <w:szCs w:val="21"/>
                <w:highlight w:val="none"/>
                <w:lang w:val="en-US"/>
              </w:rPr>
              <w:t>2</w:t>
            </w:r>
          </w:p>
        </w:tc>
        <w:tc>
          <w:tcPr>
            <w:tcW w:w="4160" w:type="dxa"/>
            <w:vAlign w:val="center"/>
          </w:tcPr>
          <w:p w14:paraId="6ACC2ED9">
            <w:pPr>
              <w:pStyle w:val="225"/>
              <w:keepNext w:val="0"/>
              <w:keepLines w:val="0"/>
              <w:suppressLineNumbers w:val="0"/>
              <w:spacing w:before="0" w:beforeAutospacing="0" w:after="0" w:afterAutospacing="0"/>
              <w:ind w:left="0" w:right="50" w:rightChars="21"/>
              <w:rPr>
                <w:rFonts w:hint="default" w:ascii="仿宋" w:hAnsi="仿宋" w:eastAsia="仿宋"/>
                <w:color w:val="auto"/>
                <w:sz w:val="21"/>
                <w:szCs w:val="21"/>
                <w:highlight w:val="none"/>
                <w:lang w:val="en-US" w:eastAsia="zh-CN"/>
              </w:rPr>
            </w:pPr>
            <w:r>
              <w:rPr>
                <w:rFonts w:hint="eastAsia" w:ascii="仿宋" w:hAnsi="仿宋" w:eastAsia="仿宋"/>
                <w:color w:val="auto"/>
                <w:sz w:val="21"/>
                <w:szCs w:val="21"/>
                <w:highlight w:val="none"/>
                <w:lang w:val="en-US"/>
              </w:rPr>
              <w:t>根据可研报告进行方案设计</w:t>
            </w:r>
          </w:p>
        </w:tc>
        <w:tc>
          <w:tcPr>
            <w:tcW w:w="1984" w:type="dxa"/>
            <w:vAlign w:val="center"/>
          </w:tcPr>
          <w:p w14:paraId="362E3963">
            <w:pPr>
              <w:keepNext w:val="0"/>
              <w:keepLines w:val="0"/>
              <w:widowControl/>
              <w:suppressLineNumbers w:val="0"/>
              <w:spacing w:before="0" w:beforeAutospacing="0" w:after="0" w:afterAutospacing="0"/>
              <w:ind w:left="-1" w:leftChars="-42" w:right="50" w:rightChars="21" w:hanging="100" w:hangingChars="48"/>
              <w:rPr>
                <w:rFonts w:hint="eastAsia" w:ascii="仿宋" w:hAnsi="仿宋" w:eastAsia="仿宋"/>
                <w:color w:val="auto"/>
                <w:sz w:val="21"/>
                <w:szCs w:val="21"/>
                <w:highlight w:val="none"/>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eastAsia="zh-CN"/>
              </w:rPr>
              <w:t>要求</w:t>
            </w:r>
          </w:p>
        </w:tc>
        <w:tc>
          <w:tcPr>
            <w:tcW w:w="2227" w:type="dxa"/>
            <w:vAlign w:val="center"/>
          </w:tcPr>
          <w:p w14:paraId="265C5CDD">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p>
        </w:tc>
      </w:tr>
      <w:tr w14:paraId="0D2EAF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0" w:hRule="atLeast"/>
          <w:jc w:val="center"/>
        </w:trPr>
        <w:tc>
          <w:tcPr>
            <w:tcW w:w="823" w:type="dxa"/>
            <w:vAlign w:val="center"/>
          </w:tcPr>
          <w:p w14:paraId="3D55F035">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lang w:val="en-US"/>
              </w:rPr>
            </w:pPr>
            <w:r>
              <w:rPr>
                <w:rFonts w:hint="eastAsia" w:ascii="仿宋" w:hAnsi="仿宋" w:eastAsia="仿宋"/>
                <w:color w:val="auto"/>
                <w:sz w:val="21"/>
                <w:szCs w:val="21"/>
                <w:highlight w:val="none"/>
                <w:lang w:val="en-US"/>
              </w:rPr>
              <w:t>3</w:t>
            </w:r>
          </w:p>
        </w:tc>
        <w:tc>
          <w:tcPr>
            <w:tcW w:w="4160" w:type="dxa"/>
            <w:vAlign w:val="center"/>
          </w:tcPr>
          <w:p w14:paraId="24ECEE22">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eastAsia" w:ascii="仿宋" w:hAnsi="仿宋" w:eastAsia="仿宋"/>
                <w:color w:val="auto"/>
                <w:sz w:val="21"/>
                <w:szCs w:val="21"/>
                <w:highlight w:val="none"/>
                <w:lang w:val="en-US"/>
              </w:rPr>
              <w:t>根据方案设计进行</w:t>
            </w:r>
            <w:r>
              <w:rPr>
                <w:rFonts w:hint="eastAsia" w:ascii="仿宋" w:hAnsi="仿宋" w:eastAsia="仿宋"/>
                <w:color w:val="auto"/>
                <w:sz w:val="21"/>
                <w:szCs w:val="21"/>
                <w:highlight w:val="none"/>
              </w:rPr>
              <w:t>初步设计</w:t>
            </w:r>
          </w:p>
        </w:tc>
        <w:tc>
          <w:tcPr>
            <w:tcW w:w="1984" w:type="dxa"/>
            <w:vAlign w:val="center"/>
          </w:tcPr>
          <w:p w14:paraId="30784FC4">
            <w:pPr>
              <w:keepNext w:val="0"/>
              <w:keepLines w:val="0"/>
              <w:widowControl/>
              <w:suppressLineNumbers w:val="0"/>
              <w:spacing w:before="0" w:beforeAutospacing="0" w:after="0" w:afterAutospacing="0"/>
              <w:ind w:left="-1" w:leftChars="-42" w:right="50" w:rightChars="21" w:hanging="100" w:hangingChars="48"/>
              <w:rPr>
                <w:rFonts w:hint="eastAsia" w:ascii="仿宋" w:hAnsi="仿宋" w:eastAsia="仿宋"/>
                <w:color w:val="auto"/>
                <w:sz w:val="21"/>
                <w:szCs w:val="21"/>
                <w:highlight w:val="none"/>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eastAsia="zh-CN"/>
              </w:rPr>
              <w:t>要求</w:t>
            </w:r>
          </w:p>
        </w:tc>
        <w:tc>
          <w:tcPr>
            <w:tcW w:w="2227" w:type="dxa"/>
            <w:vAlign w:val="center"/>
          </w:tcPr>
          <w:p w14:paraId="1298DBA3">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p>
        </w:tc>
      </w:tr>
      <w:tr w14:paraId="5781A3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6" w:hRule="atLeast"/>
          <w:jc w:val="center"/>
        </w:trPr>
        <w:tc>
          <w:tcPr>
            <w:tcW w:w="823" w:type="dxa"/>
            <w:vAlign w:val="center"/>
          </w:tcPr>
          <w:p w14:paraId="53226A74">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lang w:val="en-US"/>
              </w:rPr>
            </w:pPr>
            <w:r>
              <w:rPr>
                <w:rFonts w:hint="eastAsia" w:ascii="仿宋" w:hAnsi="仿宋" w:eastAsia="仿宋"/>
                <w:color w:val="auto"/>
                <w:sz w:val="21"/>
                <w:szCs w:val="21"/>
                <w:highlight w:val="none"/>
                <w:lang w:val="en-US"/>
              </w:rPr>
              <w:t>4</w:t>
            </w:r>
          </w:p>
        </w:tc>
        <w:tc>
          <w:tcPr>
            <w:tcW w:w="4160" w:type="dxa"/>
            <w:vAlign w:val="center"/>
          </w:tcPr>
          <w:p w14:paraId="6A5AD368">
            <w:pPr>
              <w:pStyle w:val="225"/>
              <w:keepNext w:val="0"/>
              <w:keepLines w:val="0"/>
              <w:suppressLineNumbers w:val="0"/>
              <w:spacing w:before="0" w:beforeAutospacing="0" w:after="0" w:afterAutospacing="0"/>
              <w:ind w:left="0" w:right="50" w:rightChars="21"/>
              <w:rPr>
                <w:rFonts w:hint="default" w:ascii="仿宋" w:hAnsi="仿宋" w:eastAsia="仿宋"/>
                <w:color w:val="auto"/>
                <w:sz w:val="21"/>
                <w:szCs w:val="21"/>
                <w:highlight w:val="none"/>
                <w:lang w:val="en-US" w:eastAsia="zh-CN"/>
              </w:rPr>
            </w:pPr>
            <w:r>
              <w:rPr>
                <w:rFonts w:hint="eastAsia" w:ascii="仿宋" w:hAnsi="仿宋" w:eastAsia="仿宋"/>
                <w:color w:val="auto"/>
                <w:sz w:val="21"/>
                <w:szCs w:val="21"/>
                <w:highlight w:val="none"/>
              </w:rPr>
              <w:t>基坑施工图</w:t>
            </w:r>
            <w:r>
              <w:rPr>
                <w:rFonts w:hint="eastAsia" w:ascii="仿宋" w:hAnsi="仿宋" w:eastAsia="仿宋"/>
                <w:color w:val="auto"/>
                <w:sz w:val="21"/>
                <w:szCs w:val="21"/>
                <w:highlight w:val="none"/>
                <w:lang w:eastAsia="zh-CN"/>
              </w:rPr>
              <w:t>（</w:t>
            </w:r>
            <w:r>
              <w:rPr>
                <w:rFonts w:hint="eastAsia" w:ascii="仿宋" w:hAnsi="仿宋" w:eastAsia="仿宋"/>
                <w:color w:val="auto"/>
                <w:sz w:val="21"/>
                <w:szCs w:val="21"/>
                <w:highlight w:val="none"/>
                <w:lang w:val="en-US" w:eastAsia="zh-CN"/>
              </w:rPr>
              <w:t>如有）</w:t>
            </w:r>
          </w:p>
        </w:tc>
        <w:tc>
          <w:tcPr>
            <w:tcW w:w="1984" w:type="dxa"/>
            <w:vAlign w:val="center"/>
          </w:tcPr>
          <w:p w14:paraId="396D32DE">
            <w:pPr>
              <w:keepNext w:val="0"/>
              <w:keepLines w:val="0"/>
              <w:widowControl/>
              <w:suppressLineNumbers w:val="0"/>
              <w:spacing w:before="0" w:beforeAutospacing="0" w:after="0" w:afterAutospacing="0"/>
              <w:ind w:left="-1" w:leftChars="-42" w:right="50" w:rightChars="21" w:hanging="100" w:hangingChars="48"/>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eastAsia="zh-CN"/>
              </w:rPr>
              <w:t>要求</w:t>
            </w:r>
          </w:p>
        </w:tc>
        <w:tc>
          <w:tcPr>
            <w:tcW w:w="2227" w:type="dxa"/>
            <w:vAlign w:val="center"/>
          </w:tcPr>
          <w:p w14:paraId="2D4552AE">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p>
        </w:tc>
      </w:tr>
      <w:tr w14:paraId="0A73C1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6" w:hRule="atLeast"/>
          <w:jc w:val="center"/>
        </w:trPr>
        <w:tc>
          <w:tcPr>
            <w:tcW w:w="823" w:type="dxa"/>
            <w:vAlign w:val="center"/>
          </w:tcPr>
          <w:p w14:paraId="236A0127">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lang w:val="en-US"/>
              </w:rPr>
              <w:t>5</w:t>
            </w:r>
          </w:p>
        </w:tc>
        <w:tc>
          <w:tcPr>
            <w:tcW w:w="4160" w:type="dxa"/>
            <w:vAlign w:val="center"/>
          </w:tcPr>
          <w:p w14:paraId="34BAE99E">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eastAsia" w:ascii="仿宋" w:hAnsi="仿宋" w:eastAsia="仿宋"/>
                <w:color w:val="auto"/>
                <w:sz w:val="21"/>
                <w:szCs w:val="21"/>
                <w:highlight w:val="none"/>
              </w:rPr>
              <w:t>建筑、结构施工图</w:t>
            </w:r>
          </w:p>
        </w:tc>
        <w:tc>
          <w:tcPr>
            <w:tcW w:w="1984" w:type="dxa"/>
            <w:vAlign w:val="center"/>
          </w:tcPr>
          <w:p w14:paraId="01A131F0">
            <w:pPr>
              <w:keepNext w:val="0"/>
              <w:keepLines w:val="0"/>
              <w:widowControl/>
              <w:suppressLineNumbers w:val="0"/>
              <w:spacing w:before="0" w:beforeAutospacing="0" w:after="0" w:afterAutospacing="0"/>
              <w:ind w:left="-1" w:leftChars="-42" w:right="50" w:rightChars="21" w:hanging="100" w:hangingChars="48"/>
              <w:jc w:val="center"/>
              <w:rPr>
                <w:rFonts w:hint="eastAsia" w:ascii="仿宋" w:hAnsi="仿宋" w:eastAsia="仿宋" w:cs="宋体"/>
                <w:color w:val="auto"/>
                <w:sz w:val="21"/>
                <w:szCs w:val="21"/>
                <w:highlight w:val="none"/>
                <w:lang w:bidi="zh-CN"/>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eastAsia="zh-CN"/>
              </w:rPr>
              <w:t>要求</w:t>
            </w:r>
          </w:p>
        </w:tc>
        <w:tc>
          <w:tcPr>
            <w:tcW w:w="2227" w:type="dxa"/>
            <w:vAlign w:val="center"/>
          </w:tcPr>
          <w:p w14:paraId="20056801">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eastAsia" w:ascii="仿宋" w:hAnsi="仿宋" w:eastAsia="仿宋"/>
                <w:color w:val="auto"/>
                <w:sz w:val="21"/>
                <w:szCs w:val="21"/>
                <w:highlight w:val="none"/>
              </w:rPr>
              <w:t>完成所有送审施工图的机构及行政审查</w:t>
            </w:r>
          </w:p>
        </w:tc>
      </w:tr>
      <w:tr w14:paraId="5E681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06" w:hRule="atLeast"/>
          <w:jc w:val="center"/>
        </w:trPr>
        <w:tc>
          <w:tcPr>
            <w:tcW w:w="823" w:type="dxa"/>
            <w:vAlign w:val="center"/>
          </w:tcPr>
          <w:p w14:paraId="15D19BB5">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lang w:val="en-US"/>
              </w:rPr>
              <w:t>6</w:t>
            </w:r>
          </w:p>
        </w:tc>
        <w:tc>
          <w:tcPr>
            <w:tcW w:w="4160" w:type="dxa"/>
            <w:vAlign w:val="center"/>
          </w:tcPr>
          <w:p w14:paraId="254F23B1">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eastAsia" w:ascii="仿宋" w:hAnsi="仿宋" w:eastAsia="仿宋"/>
                <w:color w:val="auto"/>
                <w:sz w:val="21"/>
                <w:szCs w:val="21"/>
                <w:highlight w:val="none"/>
              </w:rPr>
              <w:t>完成全部送审施工图、地上地下室内外标识工程、电梯专项设计等及自审报告</w:t>
            </w:r>
          </w:p>
        </w:tc>
        <w:tc>
          <w:tcPr>
            <w:tcW w:w="1984" w:type="dxa"/>
            <w:vAlign w:val="center"/>
          </w:tcPr>
          <w:p w14:paraId="68191095">
            <w:pPr>
              <w:pStyle w:val="225"/>
              <w:keepNext w:val="0"/>
              <w:keepLines w:val="0"/>
              <w:suppressLineNumbers w:val="0"/>
              <w:spacing w:before="0" w:beforeAutospacing="0" w:after="0" w:afterAutospacing="0"/>
              <w:ind w:left="-1" w:leftChars="-42" w:right="50" w:rightChars="21" w:hanging="100" w:hangingChars="48"/>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val="en-US"/>
              </w:rPr>
              <w:t>要求</w:t>
            </w:r>
          </w:p>
        </w:tc>
        <w:tc>
          <w:tcPr>
            <w:tcW w:w="2227" w:type="dxa"/>
            <w:vAlign w:val="center"/>
          </w:tcPr>
          <w:p w14:paraId="249E0D11">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eastAsia" w:ascii="仿宋" w:hAnsi="仿宋" w:eastAsia="仿宋"/>
                <w:color w:val="auto"/>
                <w:sz w:val="21"/>
                <w:szCs w:val="21"/>
                <w:highlight w:val="none"/>
              </w:rPr>
              <w:t>完成所有送审施工图的机构及行政审查</w:t>
            </w:r>
          </w:p>
        </w:tc>
      </w:tr>
      <w:tr w14:paraId="347D95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5" w:hRule="atLeast"/>
          <w:jc w:val="center"/>
        </w:trPr>
        <w:tc>
          <w:tcPr>
            <w:tcW w:w="823" w:type="dxa"/>
            <w:vAlign w:val="center"/>
          </w:tcPr>
          <w:p w14:paraId="5AD6D57F">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lang w:val="en-US"/>
              </w:rPr>
              <w:t>7</w:t>
            </w:r>
          </w:p>
        </w:tc>
        <w:tc>
          <w:tcPr>
            <w:tcW w:w="4160" w:type="dxa"/>
            <w:vAlign w:val="center"/>
          </w:tcPr>
          <w:p w14:paraId="7EC9473E">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eastAsia" w:ascii="仿宋" w:hAnsi="仿宋" w:eastAsia="仿宋"/>
                <w:color w:val="auto"/>
                <w:sz w:val="21"/>
                <w:szCs w:val="21"/>
                <w:highlight w:val="none"/>
              </w:rPr>
              <w:t>设计变更及估算修改</w:t>
            </w:r>
          </w:p>
        </w:tc>
        <w:tc>
          <w:tcPr>
            <w:tcW w:w="1984" w:type="dxa"/>
            <w:vAlign w:val="center"/>
          </w:tcPr>
          <w:p w14:paraId="0ABF1B20">
            <w:pPr>
              <w:pStyle w:val="225"/>
              <w:keepNext w:val="0"/>
              <w:keepLines w:val="0"/>
              <w:suppressLineNumbers w:val="0"/>
              <w:spacing w:before="0" w:beforeAutospacing="0" w:after="0" w:afterAutospacing="0"/>
              <w:ind w:left="-1" w:leftChars="-42" w:right="50" w:rightChars="21" w:hanging="100" w:hangingChars="48"/>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val="en-US"/>
              </w:rPr>
              <w:t>要求</w:t>
            </w:r>
          </w:p>
        </w:tc>
        <w:tc>
          <w:tcPr>
            <w:tcW w:w="2227" w:type="dxa"/>
            <w:vAlign w:val="center"/>
          </w:tcPr>
          <w:p w14:paraId="60804901">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default" w:ascii="仿宋" w:hAnsi="仿宋" w:eastAsia="仿宋"/>
                <w:color w:val="auto"/>
                <w:sz w:val="21"/>
                <w:szCs w:val="21"/>
                <w:highlight w:val="none"/>
              </w:rPr>
              <w:t>如承包人为联合体单位，</w:t>
            </w:r>
            <w:r>
              <w:rPr>
                <w:rFonts w:hint="eastAsia" w:ascii="仿宋" w:hAnsi="仿宋" w:eastAsia="仿宋"/>
                <w:color w:val="auto"/>
                <w:sz w:val="21"/>
                <w:szCs w:val="21"/>
                <w:highlight w:val="none"/>
              </w:rPr>
              <w:t>应由联合体各方确认后提交发包人</w:t>
            </w:r>
            <w:r>
              <w:rPr>
                <w:rFonts w:hint="default" w:ascii="仿宋" w:hAnsi="仿宋" w:eastAsia="仿宋"/>
                <w:color w:val="auto"/>
                <w:sz w:val="21"/>
                <w:szCs w:val="21"/>
                <w:highlight w:val="none"/>
              </w:rPr>
              <w:t>。</w:t>
            </w:r>
          </w:p>
        </w:tc>
      </w:tr>
      <w:tr w14:paraId="71CEBE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4" w:hRule="atLeast"/>
          <w:jc w:val="center"/>
        </w:trPr>
        <w:tc>
          <w:tcPr>
            <w:tcW w:w="823" w:type="dxa"/>
            <w:vAlign w:val="center"/>
          </w:tcPr>
          <w:p w14:paraId="50ECF0B9">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lang w:val="en-US"/>
              </w:rPr>
              <w:t>8</w:t>
            </w:r>
          </w:p>
        </w:tc>
        <w:tc>
          <w:tcPr>
            <w:tcW w:w="4160" w:type="dxa"/>
            <w:vAlign w:val="center"/>
          </w:tcPr>
          <w:p w14:paraId="2CDBC452">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eastAsia" w:ascii="仿宋" w:hAnsi="仿宋" w:eastAsia="仿宋"/>
                <w:color w:val="auto"/>
                <w:sz w:val="21"/>
                <w:szCs w:val="21"/>
                <w:highlight w:val="none"/>
              </w:rPr>
              <w:t>其他专项设计及园林绿化工程、室外安装等及自审报告</w:t>
            </w:r>
          </w:p>
        </w:tc>
        <w:tc>
          <w:tcPr>
            <w:tcW w:w="1984" w:type="dxa"/>
            <w:vAlign w:val="center"/>
          </w:tcPr>
          <w:p w14:paraId="060752D6">
            <w:pPr>
              <w:pStyle w:val="225"/>
              <w:keepNext w:val="0"/>
              <w:keepLines w:val="0"/>
              <w:suppressLineNumbers w:val="0"/>
              <w:spacing w:before="0" w:beforeAutospacing="0" w:after="0" w:afterAutospacing="0"/>
              <w:ind w:left="0" w:right="50" w:rightChars="21" w:firstLine="210" w:firstLineChars="100"/>
              <w:jc w:val="both"/>
              <w:rPr>
                <w:rFonts w:hint="eastAsia" w:ascii="仿宋" w:hAnsi="仿宋" w:eastAsia="仿宋"/>
                <w:color w:val="auto"/>
                <w:sz w:val="21"/>
                <w:szCs w:val="21"/>
                <w:highlight w:val="none"/>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val="en-US"/>
              </w:rPr>
              <w:t>要求</w:t>
            </w:r>
          </w:p>
        </w:tc>
        <w:tc>
          <w:tcPr>
            <w:tcW w:w="2227" w:type="dxa"/>
            <w:vAlign w:val="center"/>
          </w:tcPr>
          <w:p w14:paraId="6201956F">
            <w:pPr>
              <w:pStyle w:val="225"/>
              <w:keepNext w:val="0"/>
              <w:keepLines w:val="0"/>
              <w:suppressLineNumbers w:val="0"/>
              <w:spacing w:before="0" w:beforeAutospacing="0" w:after="0" w:afterAutospacing="0"/>
              <w:ind w:left="0" w:right="50" w:rightChars="21" w:firstLine="422" w:firstLineChars="201"/>
              <w:rPr>
                <w:rFonts w:hint="eastAsia" w:ascii="仿宋" w:hAnsi="仿宋" w:eastAsia="仿宋"/>
                <w:color w:val="auto"/>
                <w:sz w:val="21"/>
                <w:szCs w:val="21"/>
                <w:highlight w:val="none"/>
              </w:rPr>
            </w:pPr>
          </w:p>
        </w:tc>
      </w:tr>
      <w:tr w14:paraId="7229D1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5" w:hRule="atLeast"/>
          <w:jc w:val="center"/>
        </w:trPr>
        <w:tc>
          <w:tcPr>
            <w:tcW w:w="823" w:type="dxa"/>
            <w:vAlign w:val="center"/>
          </w:tcPr>
          <w:p w14:paraId="2366ACC5">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lang w:val="en-US"/>
              </w:rPr>
              <w:t>9</w:t>
            </w:r>
          </w:p>
        </w:tc>
        <w:tc>
          <w:tcPr>
            <w:tcW w:w="4160" w:type="dxa"/>
            <w:vAlign w:val="center"/>
          </w:tcPr>
          <w:p w14:paraId="34FEC886">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eastAsia" w:ascii="仿宋" w:hAnsi="仿宋" w:eastAsia="仿宋"/>
                <w:color w:val="auto"/>
                <w:sz w:val="21"/>
                <w:szCs w:val="21"/>
                <w:highlight w:val="none"/>
              </w:rPr>
              <w:t>施工图预算</w:t>
            </w:r>
          </w:p>
        </w:tc>
        <w:tc>
          <w:tcPr>
            <w:tcW w:w="1984" w:type="dxa"/>
            <w:vAlign w:val="center"/>
          </w:tcPr>
          <w:p w14:paraId="2D5F970B">
            <w:pPr>
              <w:pStyle w:val="225"/>
              <w:keepNext w:val="0"/>
              <w:keepLines w:val="0"/>
              <w:suppressLineNumbers w:val="0"/>
              <w:spacing w:before="0" w:beforeAutospacing="0" w:after="0" w:afterAutospacing="0"/>
              <w:ind w:left="-1" w:leftChars="-42" w:right="50" w:rightChars="21" w:hanging="100" w:hangingChars="48"/>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val="en-US"/>
              </w:rPr>
              <w:t>要求</w:t>
            </w:r>
          </w:p>
        </w:tc>
        <w:tc>
          <w:tcPr>
            <w:tcW w:w="2227" w:type="dxa"/>
            <w:vAlign w:val="center"/>
          </w:tcPr>
          <w:p w14:paraId="47325D15">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default" w:ascii="仿宋" w:hAnsi="仿宋" w:eastAsia="仿宋"/>
                <w:color w:val="auto"/>
                <w:sz w:val="21"/>
                <w:szCs w:val="21"/>
                <w:highlight w:val="none"/>
              </w:rPr>
              <w:t>如承包人为联合体单位，由</w:t>
            </w:r>
            <w:r>
              <w:rPr>
                <w:rFonts w:hint="eastAsia" w:ascii="仿宋" w:hAnsi="仿宋" w:eastAsia="仿宋"/>
                <w:color w:val="auto"/>
                <w:sz w:val="21"/>
                <w:szCs w:val="21"/>
                <w:highlight w:val="none"/>
              </w:rPr>
              <w:t>施工</w:t>
            </w:r>
            <w:r>
              <w:rPr>
                <w:rFonts w:hint="default" w:ascii="仿宋" w:hAnsi="仿宋" w:eastAsia="仿宋"/>
                <w:color w:val="auto"/>
                <w:sz w:val="21"/>
                <w:szCs w:val="21"/>
                <w:highlight w:val="none"/>
              </w:rPr>
              <w:t>方按发包人要求编制、提供。</w:t>
            </w:r>
          </w:p>
        </w:tc>
      </w:tr>
      <w:tr w14:paraId="32749B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823" w:type="dxa"/>
            <w:vAlign w:val="center"/>
          </w:tcPr>
          <w:p w14:paraId="4958459E">
            <w:pPr>
              <w:pStyle w:val="225"/>
              <w:keepNext w:val="0"/>
              <w:keepLines w:val="0"/>
              <w:suppressLineNumbers w:val="0"/>
              <w:spacing w:before="0" w:beforeAutospacing="0" w:after="0" w:afterAutospacing="0"/>
              <w:ind w:left="0" w:right="50" w:rightChars="21"/>
              <w:jc w:val="center"/>
              <w:rPr>
                <w:rFonts w:hint="eastAsia" w:ascii="仿宋" w:hAnsi="仿宋" w:eastAsia="仿宋"/>
                <w:color w:val="auto"/>
                <w:sz w:val="21"/>
                <w:szCs w:val="21"/>
                <w:highlight w:val="none"/>
                <w:lang w:val="en-US"/>
              </w:rPr>
            </w:pPr>
            <w:r>
              <w:rPr>
                <w:rFonts w:hint="eastAsia" w:ascii="仿宋" w:hAnsi="仿宋" w:eastAsia="仿宋"/>
                <w:color w:val="auto"/>
                <w:sz w:val="21"/>
                <w:szCs w:val="21"/>
                <w:highlight w:val="none"/>
                <w:lang w:val="en-US"/>
              </w:rPr>
              <w:t>10</w:t>
            </w:r>
          </w:p>
        </w:tc>
        <w:tc>
          <w:tcPr>
            <w:tcW w:w="4160" w:type="dxa"/>
            <w:vAlign w:val="center"/>
          </w:tcPr>
          <w:p w14:paraId="5A7397F0">
            <w:pPr>
              <w:pStyle w:val="225"/>
              <w:keepNext w:val="0"/>
              <w:keepLines w:val="0"/>
              <w:suppressLineNumbers w:val="0"/>
              <w:spacing w:before="0" w:beforeAutospacing="0" w:after="0" w:afterAutospacing="0"/>
              <w:ind w:left="0" w:right="50" w:rightChars="21"/>
              <w:rPr>
                <w:rFonts w:hint="eastAsia" w:ascii="仿宋" w:hAnsi="仿宋" w:eastAsia="仿宋"/>
                <w:color w:val="auto"/>
                <w:sz w:val="21"/>
                <w:szCs w:val="21"/>
                <w:highlight w:val="none"/>
              </w:rPr>
            </w:pPr>
            <w:r>
              <w:rPr>
                <w:rFonts w:hint="eastAsia" w:ascii="仿宋" w:hAnsi="仿宋" w:eastAsia="仿宋"/>
                <w:color w:val="auto"/>
                <w:sz w:val="21"/>
                <w:szCs w:val="21"/>
                <w:highlight w:val="none"/>
              </w:rPr>
              <w:t>其他设计图纸</w:t>
            </w:r>
          </w:p>
        </w:tc>
        <w:tc>
          <w:tcPr>
            <w:tcW w:w="1984" w:type="dxa"/>
            <w:vAlign w:val="center"/>
          </w:tcPr>
          <w:p w14:paraId="1F98AE5A">
            <w:pPr>
              <w:pStyle w:val="225"/>
              <w:keepNext w:val="0"/>
              <w:keepLines w:val="0"/>
              <w:suppressLineNumbers w:val="0"/>
              <w:spacing w:before="0" w:beforeAutospacing="0" w:after="0" w:afterAutospacing="0"/>
              <w:ind w:left="-1" w:leftChars="-42" w:right="50" w:rightChars="21" w:hanging="100" w:hangingChars="48"/>
              <w:jc w:val="center"/>
              <w:rPr>
                <w:rFonts w:hint="eastAsia" w:ascii="仿宋" w:hAnsi="仿宋" w:eastAsia="仿宋"/>
                <w:color w:val="auto"/>
                <w:sz w:val="21"/>
                <w:szCs w:val="21"/>
                <w:highlight w:val="none"/>
              </w:rPr>
            </w:pPr>
            <w:r>
              <w:rPr>
                <w:rFonts w:hint="eastAsia" w:ascii="仿宋" w:hAnsi="仿宋" w:eastAsia="仿宋"/>
                <w:color w:val="auto"/>
                <w:sz w:val="21"/>
                <w:szCs w:val="21"/>
                <w:highlight w:val="none"/>
              </w:rPr>
              <w:t>按发包人</w:t>
            </w:r>
            <w:r>
              <w:rPr>
                <w:rFonts w:hint="eastAsia" w:ascii="仿宋" w:hAnsi="仿宋" w:eastAsia="仿宋"/>
                <w:color w:val="auto"/>
                <w:sz w:val="21"/>
                <w:szCs w:val="21"/>
                <w:highlight w:val="none"/>
                <w:lang w:val="en-US"/>
              </w:rPr>
              <w:t>要求</w:t>
            </w:r>
          </w:p>
        </w:tc>
        <w:tc>
          <w:tcPr>
            <w:tcW w:w="2227" w:type="dxa"/>
            <w:vAlign w:val="center"/>
          </w:tcPr>
          <w:p w14:paraId="3F657635">
            <w:pPr>
              <w:pStyle w:val="225"/>
              <w:keepNext w:val="0"/>
              <w:keepLines w:val="0"/>
              <w:suppressLineNumbers w:val="0"/>
              <w:spacing w:before="0" w:beforeAutospacing="0" w:after="0" w:afterAutospacing="0"/>
              <w:ind w:left="0" w:right="50" w:rightChars="21" w:firstLine="422" w:firstLineChars="201"/>
              <w:rPr>
                <w:rFonts w:hint="eastAsia" w:ascii="仿宋" w:hAnsi="仿宋" w:eastAsia="仿宋"/>
                <w:color w:val="auto"/>
                <w:sz w:val="21"/>
                <w:szCs w:val="21"/>
                <w:highlight w:val="none"/>
              </w:rPr>
            </w:pPr>
          </w:p>
        </w:tc>
      </w:tr>
    </w:tbl>
    <w:p w14:paraId="3E90C606">
      <w:pPr>
        <w:spacing w:line="360" w:lineRule="auto"/>
        <w:ind w:firstLine="480" w:firstLineChars="200"/>
        <w:rPr>
          <w:rFonts w:hint="default" w:ascii="仿宋" w:hAnsi="仿宋" w:eastAsia="仿宋" w:cs="仿宋"/>
          <w:color w:val="auto"/>
          <w:highlight w:val="none"/>
          <w:lang w:val="en-US" w:eastAsia="zh-CN"/>
        </w:rPr>
      </w:pPr>
      <w:r>
        <w:rPr>
          <w:rFonts w:hint="eastAsia" w:ascii="仿宋" w:hAnsi="仿宋" w:eastAsia="仿宋" w:cs="仿宋"/>
          <w:color w:val="auto"/>
          <w:highlight w:val="none"/>
          <w:lang w:eastAsia="zh-CN"/>
        </w:rPr>
        <w:t>5.3 承包人提供建筑信息模型（BIM）及技术应用（</w:t>
      </w:r>
      <w:r>
        <w:rPr>
          <w:rFonts w:hint="eastAsia" w:ascii="仿宋" w:hAnsi="仿宋" w:eastAsia="仿宋" w:cs="仿宋"/>
          <w:color w:val="auto"/>
          <w:highlight w:val="none"/>
          <w:lang w:val="en-US" w:eastAsia="zh-CN"/>
        </w:rPr>
        <w:t>不涉及）</w:t>
      </w:r>
    </w:p>
    <w:p w14:paraId="5309A5DA">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  勘察</w:t>
      </w:r>
    </w:p>
    <w:p w14:paraId="342C7596">
      <w:pPr>
        <w:spacing w:line="360" w:lineRule="auto"/>
        <w:ind w:firstLine="720" w:firstLineChars="3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xml:space="preserve">  ①提供的时间：</w:t>
      </w:r>
    </w:p>
    <w:p w14:paraId="28A7C9B8">
      <w:pPr>
        <w:spacing w:line="360" w:lineRule="auto"/>
        <w:ind w:firstLine="720" w:firstLineChars="3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  ②发包人或设计顾问人答复的时间：</w:t>
      </w:r>
    </w:p>
    <w:p w14:paraId="47F26399">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lang w:eastAsia="zh-CN"/>
        </w:rPr>
        <w:t xml:space="preserve">  设计阶段</w:t>
      </w:r>
    </w:p>
    <w:p w14:paraId="38E3B08F">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初步设计（适用于可行性研究报告批准后发包）：</w:t>
      </w:r>
    </w:p>
    <w:p w14:paraId="11F93ED6">
      <w:pPr>
        <w:spacing w:line="360" w:lineRule="auto"/>
        <w:ind w:firstLine="720" w:firstLineChars="3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  ①提供的时间：</w:t>
      </w:r>
    </w:p>
    <w:p w14:paraId="21EC45E6">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②发包人或设计顾问人答复的时间：</w:t>
      </w:r>
    </w:p>
    <w:p w14:paraId="00425E34">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lang w:eastAsia="zh-CN"/>
        </w:rPr>
        <w:t xml:space="preserve">  施工图设计（适用于初步设计批准后或备案发包）</w:t>
      </w:r>
    </w:p>
    <w:p w14:paraId="0D24959C">
      <w:pPr>
        <w:numPr>
          <w:ilvl w:val="0"/>
          <w:numId w:val="35"/>
        </w:numPr>
        <w:spacing w:line="360" w:lineRule="auto"/>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提供的时间：</w:t>
      </w:r>
      <w:r>
        <w:rPr>
          <w:rFonts w:hint="eastAsia" w:ascii="仿宋" w:hAnsi="仿宋" w:eastAsia="仿宋" w:cs="仿宋"/>
          <w:color w:val="auto"/>
          <w:highlight w:val="none"/>
          <w:u w:val="single"/>
          <w:lang w:eastAsia="zh-CN"/>
        </w:rPr>
        <w:t xml:space="preserve">与施工图设计文件同步提交。  </w:t>
      </w:r>
    </w:p>
    <w:p w14:paraId="4F8C354C">
      <w:pPr>
        <w:numPr>
          <w:ilvl w:val="0"/>
          <w:numId w:val="35"/>
        </w:numPr>
        <w:spacing w:line="360" w:lineRule="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发包人或设计顾问人答复的时间：</w:t>
      </w:r>
      <w:r>
        <w:rPr>
          <w:rFonts w:hint="eastAsia" w:ascii="仿宋" w:hAnsi="仿宋" w:eastAsia="仿宋" w:cs="仿宋"/>
          <w:color w:val="auto"/>
          <w:highlight w:val="none"/>
          <w:u w:val="single"/>
          <w:lang w:eastAsia="zh-CN"/>
        </w:rPr>
        <w:t xml:space="preserve">（以监理工程师书面答复为准）  </w:t>
      </w:r>
    </w:p>
    <w:p w14:paraId="50E59298">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lang w:eastAsia="zh-CN"/>
        </w:rPr>
        <w:t xml:space="preserve">  施工阶段</w:t>
      </w:r>
    </w:p>
    <w:p w14:paraId="1235B4A7">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lang w:eastAsia="zh-CN"/>
        </w:rPr>
        <w:t xml:space="preserve">  深化设计  </w:t>
      </w:r>
    </w:p>
    <w:p w14:paraId="31601F92">
      <w:pPr>
        <w:spacing w:line="360" w:lineRule="auto"/>
        <w:ind w:firstLine="960" w:firstLineChars="4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①提供的时间：</w:t>
      </w:r>
      <w:r>
        <w:rPr>
          <w:rFonts w:hint="eastAsia" w:ascii="仿宋" w:hAnsi="仿宋" w:eastAsia="仿宋" w:cs="仿宋"/>
          <w:color w:val="auto"/>
          <w:highlight w:val="none"/>
          <w:u w:val="single"/>
          <w:lang w:eastAsia="zh-CN"/>
        </w:rPr>
        <w:t>（以满足经发包人批准的施工进度计划要求为准）</w:t>
      </w:r>
    </w:p>
    <w:p w14:paraId="4FA7E0A8">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②发包人或监理人答复的时间：</w:t>
      </w:r>
      <w:r>
        <w:rPr>
          <w:rFonts w:hint="eastAsia" w:ascii="仿宋" w:hAnsi="仿宋" w:eastAsia="仿宋" w:cs="仿宋"/>
          <w:color w:val="auto"/>
          <w:highlight w:val="none"/>
          <w:u w:val="single"/>
          <w:lang w:eastAsia="zh-CN"/>
        </w:rPr>
        <w:t xml:space="preserve">（以监理工程师书面答复为准）  </w:t>
      </w:r>
    </w:p>
    <w:p w14:paraId="766264D8">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lang w:eastAsia="zh-CN"/>
        </w:rPr>
        <w:t xml:space="preserve">  施工方案</w:t>
      </w:r>
    </w:p>
    <w:p w14:paraId="37C3AE2D">
      <w:pPr>
        <w:spacing w:line="360" w:lineRule="auto"/>
        <w:ind w:firstLine="960" w:firstLineChars="4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①提供的时间：</w:t>
      </w:r>
      <w:r>
        <w:rPr>
          <w:rFonts w:hint="eastAsia" w:ascii="仿宋" w:hAnsi="仿宋" w:eastAsia="仿宋" w:cs="仿宋"/>
          <w:color w:val="auto"/>
          <w:highlight w:val="none"/>
          <w:u w:val="single"/>
          <w:lang w:eastAsia="zh-CN"/>
        </w:rPr>
        <w:t>（以满足经发包人批准的施工进度计划要求为准）</w:t>
      </w:r>
    </w:p>
    <w:p w14:paraId="68FDC9FD">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②发包人或监理人答复的时间：</w:t>
      </w:r>
      <w:r>
        <w:rPr>
          <w:rFonts w:hint="eastAsia" w:ascii="仿宋" w:hAnsi="仿宋" w:eastAsia="仿宋" w:cs="仿宋"/>
          <w:color w:val="auto"/>
          <w:highlight w:val="none"/>
          <w:u w:val="single"/>
          <w:lang w:eastAsia="zh-CN"/>
        </w:rPr>
        <w:t>（以监理工程师书面答复为准）</w:t>
      </w:r>
    </w:p>
    <w:p w14:paraId="6B3AE059">
      <w:pPr>
        <w:spacing w:line="360" w:lineRule="auto"/>
        <w:ind w:firstLine="708" w:firstLineChars="295"/>
        <w:rPr>
          <w:rFonts w:hint="eastAsia" w:ascii="仿宋" w:hAnsi="仿宋" w:eastAsia="仿宋" w:cs="仿宋"/>
          <w:color w:val="auto"/>
          <w:highlight w:val="none"/>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rPr>
        <w:t xml:space="preserve">  进度管理 </w:t>
      </w:r>
    </w:p>
    <w:p w14:paraId="4CBDB6AF">
      <w:pPr>
        <w:numPr>
          <w:ilvl w:val="0"/>
          <w:numId w:val="36"/>
        </w:numPr>
        <w:spacing w:line="360" w:lineRule="auto"/>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提供的时间：</w:t>
      </w:r>
      <w:r>
        <w:rPr>
          <w:rFonts w:hint="eastAsia" w:ascii="仿宋" w:hAnsi="仿宋" w:eastAsia="仿宋" w:cs="仿宋"/>
          <w:color w:val="auto"/>
          <w:highlight w:val="none"/>
          <w:u w:val="single"/>
          <w:lang w:eastAsia="zh-CN"/>
        </w:rPr>
        <w:t xml:space="preserve"> 施工开工前7天。</w:t>
      </w:r>
    </w:p>
    <w:p w14:paraId="25163742">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②发包人或监理人答复的时间：</w:t>
      </w:r>
      <w:r>
        <w:rPr>
          <w:rFonts w:hint="eastAsia" w:ascii="仿宋" w:hAnsi="仿宋" w:eastAsia="仿宋" w:cs="仿宋"/>
          <w:color w:val="auto"/>
          <w:highlight w:val="none"/>
          <w:u w:val="single"/>
          <w:lang w:eastAsia="zh-CN"/>
        </w:rPr>
        <w:t>（以监理工程师书面答复为准）</w:t>
      </w:r>
    </w:p>
    <w:p w14:paraId="6052B717">
      <w:pPr>
        <w:spacing w:line="360" w:lineRule="auto"/>
        <w:ind w:firstLine="708" w:firstLineChars="295"/>
        <w:rPr>
          <w:rFonts w:hint="eastAsia" w:ascii="仿宋" w:hAnsi="仿宋" w:eastAsia="仿宋" w:cs="仿宋"/>
          <w:color w:val="auto"/>
          <w:highlight w:val="none"/>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rPr>
        <w:t xml:space="preserve">  造价管理 </w:t>
      </w:r>
    </w:p>
    <w:p w14:paraId="6046DE92">
      <w:pPr>
        <w:numPr>
          <w:ilvl w:val="0"/>
          <w:numId w:val="37"/>
        </w:numPr>
        <w:spacing w:line="360" w:lineRule="auto"/>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提供的时间：</w:t>
      </w:r>
      <w:r>
        <w:rPr>
          <w:rFonts w:hint="eastAsia" w:ascii="仿宋" w:hAnsi="仿宋" w:eastAsia="仿宋" w:cs="仿宋"/>
          <w:color w:val="auto"/>
          <w:highlight w:val="none"/>
          <w:u w:val="single"/>
          <w:lang w:eastAsia="zh-CN"/>
        </w:rPr>
        <w:t xml:space="preserve">与预算成果同步提交。 </w:t>
      </w:r>
    </w:p>
    <w:p w14:paraId="19D5727D">
      <w:pPr>
        <w:numPr>
          <w:ilvl w:val="0"/>
          <w:numId w:val="37"/>
        </w:numPr>
        <w:spacing w:line="360" w:lineRule="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发包人或监理人答复的时间：</w:t>
      </w:r>
      <w:r>
        <w:rPr>
          <w:rFonts w:hint="eastAsia" w:ascii="仿宋" w:hAnsi="仿宋" w:eastAsia="仿宋" w:cs="仿宋"/>
          <w:color w:val="auto"/>
          <w:highlight w:val="none"/>
          <w:u w:val="single"/>
          <w:lang w:eastAsia="zh-CN"/>
        </w:rPr>
        <w:t>（以发包人书面答复为准）</w:t>
      </w:r>
    </w:p>
    <w:p w14:paraId="2C95EB05">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lang w:eastAsia="zh-CN"/>
        </w:rPr>
        <w:t xml:space="preserve">  质量与安全管理</w:t>
      </w:r>
    </w:p>
    <w:p w14:paraId="0E65EED8">
      <w:pPr>
        <w:spacing w:line="360" w:lineRule="auto"/>
        <w:ind w:firstLine="960" w:firstLineChars="4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①提供的时间：</w:t>
      </w:r>
      <w:r>
        <w:rPr>
          <w:rFonts w:hint="eastAsia" w:ascii="仿宋" w:hAnsi="仿宋" w:eastAsia="仿宋" w:cs="仿宋"/>
          <w:color w:val="auto"/>
          <w:highlight w:val="none"/>
          <w:u w:val="single"/>
          <w:lang w:eastAsia="zh-CN"/>
        </w:rPr>
        <w:t xml:space="preserve">（以满足经发包人批准的施工进度计划要求为准）  </w:t>
      </w:r>
    </w:p>
    <w:p w14:paraId="778887A4">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②发包人或监理人答复的时间：</w:t>
      </w:r>
      <w:r>
        <w:rPr>
          <w:rFonts w:hint="eastAsia" w:ascii="仿宋" w:hAnsi="仿宋" w:eastAsia="仿宋" w:cs="仿宋"/>
          <w:color w:val="auto"/>
          <w:highlight w:val="none"/>
          <w:u w:val="single"/>
          <w:lang w:eastAsia="zh-CN"/>
        </w:rPr>
        <w:t>（以监理工程师书面答复为准）</w:t>
      </w:r>
    </w:p>
    <w:p w14:paraId="4BC8A11A">
      <w:pPr>
        <w:spacing w:line="360" w:lineRule="auto"/>
        <w:ind w:firstLine="708" w:firstLineChars="295"/>
        <w:rPr>
          <w:rFonts w:hint="eastAsia" w:ascii="仿宋" w:hAnsi="仿宋" w:eastAsia="仿宋" w:cs="仿宋"/>
          <w:strike/>
          <w:dstrike w:val="0"/>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lang w:eastAsia="zh-CN"/>
        </w:rPr>
        <w:t xml:space="preserve"> </w:t>
      </w:r>
      <w:r>
        <w:rPr>
          <w:rFonts w:hint="eastAsia" w:ascii="仿宋" w:hAnsi="仿宋" w:eastAsia="仿宋" w:cs="仿宋"/>
          <w:strike/>
          <w:dstrike w:val="0"/>
          <w:color w:val="auto"/>
          <w:highlight w:val="none"/>
          <w:lang w:eastAsia="zh-CN"/>
        </w:rPr>
        <w:t xml:space="preserve"> 装配式建筑生产与施工工艺</w:t>
      </w:r>
    </w:p>
    <w:p w14:paraId="6AD94C77">
      <w:pPr>
        <w:spacing w:line="360" w:lineRule="auto"/>
        <w:ind w:firstLine="960" w:firstLineChars="400"/>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①提供的时间：</w:t>
      </w:r>
      <w:r>
        <w:rPr>
          <w:rFonts w:hint="eastAsia" w:ascii="仿宋" w:hAnsi="仿宋" w:eastAsia="仿宋" w:cs="仿宋"/>
          <w:strike/>
          <w:dstrike w:val="0"/>
          <w:color w:val="auto"/>
          <w:highlight w:val="none"/>
          <w:u w:val="single"/>
          <w:lang w:eastAsia="zh-CN"/>
        </w:rPr>
        <w:t xml:space="preserve"> （以满足经发包人批准的施工进度计划要求为准）  </w:t>
      </w:r>
    </w:p>
    <w:p w14:paraId="2D577242">
      <w:pPr>
        <w:spacing w:line="360" w:lineRule="auto"/>
        <w:ind w:firstLine="960" w:firstLineChars="400"/>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lang w:eastAsia="zh-CN"/>
        </w:rPr>
        <w:t>②发包人或监理人答复的时间：</w:t>
      </w:r>
      <w:r>
        <w:rPr>
          <w:rFonts w:hint="eastAsia" w:ascii="仿宋" w:hAnsi="仿宋" w:eastAsia="仿宋" w:cs="仿宋"/>
          <w:strike/>
          <w:dstrike w:val="0"/>
          <w:color w:val="auto"/>
          <w:highlight w:val="none"/>
          <w:u w:val="single"/>
          <w:lang w:eastAsia="zh-CN"/>
        </w:rPr>
        <w:t xml:space="preserve">  （以监理工程师书面答复为准）</w:t>
      </w:r>
    </w:p>
    <w:p w14:paraId="0EC71FBA">
      <w:pPr>
        <w:spacing w:line="360" w:lineRule="auto"/>
        <w:ind w:firstLine="708" w:firstLineChars="295"/>
        <w:rPr>
          <w:rFonts w:hint="eastAsia" w:ascii="仿宋" w:hAnsi="仿宋" w:eastAsia="仿宋" w:cs="仿宋"/>
          <w:strike/>
          <w:dstrike w:val="0"/>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s="仿宋"/>
          <w:strike/>
          <w:dstrike w:val="0"/>
          <w:color w:val="auto"/>
          <w:highlight w:val="none"/>
          <w:lang w:eastAsia="zh-CN"/>
        </w:rPr>
        <w:t xml:space="preserve">  竣工阶段的建筑信息模型（BIM）</w:t>
      </w:r>
    </w:p>
    <w:p w14:paraId="0818DC92">
      <w:pPr>
        <w:numPr>
          <w:ilvl w:val="0"/>
          <w:numId w:val="38"/>
        </w:numPr>
        <w:spacing w:line="360" w:lineRule="auto"/>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提供的时间：</w:t>
      </w:r>
      <w:r>
        <w:rPr>
          <w:rFonts w:hint="eastAsia" w:ascii="仿宋" w:hAnsi="仿宋" w:eastAsia="仿宋" w:cs="仿宋"/>
          <w:strike/>
          <w:dstrike w:val="0"/>
          <w:color w:val="auto"/>
          <w:highlight w:val="none"/>
          <w:u w:val="single"/>
          <w:lang w:eastAsia="zh-CN"/>
        </w:rPr>
        <w:t xml:space="preserve"> 竣工验收前15天。 </w:t>
      </w:r>
    </w:p>
    <w:p w14:paraId="3CD270C8">
      <w:pPr>
        <w:spacing w:line="360" w:lineRule="auto"/>
        <w:ind w:firstLine="960" w:firstLineChars="400"/>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lang w:eastAsia="zh-CN"/>
        </w:rPr>
        <w:t>②发包人或监理人答复的时间：</w:t>
      </w:r>
      <w:r>
        <w:rPr>
          <w:rFonts w:hint="eastAsia" w:ascii="仿宋" w:hAnsi="仿宋" w:eastAsia="仿宋" w:cs="仿宋"/>
          <w:strike/>
          <w:dstrike w:val="0"/>
          <w:color w:val="auto"/>
          <w:highlight w:val="none"/>
          <w:u w:val="single"/>
          <w:lang w:eastAsia="zh-CN"/>
        </w:rPr>
        <w:t xml:space="preserve">  （以监理工程师书面答复为准）  </w:t>
      </w:r>
    </w:p>
    <w:p w14:paraId="703D74C8">
      <w:pPr>
        <w:spacing w:line="360" w:lineRule="auto"/>
        <w:ind w:firstLine="708" w:firstLineChars="295"/>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rPr>
        <w:sym w:font="Wingdings 2" w:char="00A3"/>
      </w:r>
      <w:r>
        <w:rPr>
          <w:rFonts w:hint="eastAsia" w:ascii="仿宋" w:hAnsi="仿宋" w:eastAsia="仿宋" w:cs="仿宋"/>
          <w:strike/>
          <w:dstrike w:val="0"/>
          <w:color w:val="auto"/>
          <w:highlight w:val="none"/>
          <w:lang w:eastAsia="zh-CN"/>
        </w:rPr>
        <w:t xml:space="preserve">  运营维护阶段需要的建筑信息模型（BIM）</w:t>
      </w:r>
    </w:p>
    <w:p w14:paraId="00B60B7B">
      <w:pPr>
        <w:numPr>
          <w:ilvl w:val="0"/>
          <w:numId w:val="39"/>
        </w:numPr>
        <w:spacing w:line="360" w:lineRule="auto"/>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提供的时间：</w:t>
      </w:r>
      <w:r>
        <w:rPr>
          <w:rFonts w:hint="eastAsia" w:ascii="仿宋" w:hAnsi="仿宋" w:eastAsia="仿宋" w:cs="仿宋"/>
          <w:strike/>
          <w:dstrike w:val="0"/>
          <w:color w:val="auto"/>
          <w:highlight w:val="none"/>
          <w:u w:val="single"/>
          <w:lang w:eastAsia="zh-CN"/>
        </w:rPr>
        <w:t xml:space="preserve">  竣工备案前15天。 </w:t>
      </w:r>
    </w:p>
    <w:p w14:paraId="62E313AC">
      <w:pPr>
        <w:numPr>
          <w:ilvl w:val="0"/>
          <w:numId w:val="39"/>
        </w:numPr>
        <w:spacing w:line="360" w:lineRule="auto"/>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包人或监理人答复的时间：</w:t>
      </w:r>
      <w:r>
        <w:rPr>
          <w:rFonts w:hint="eastAsia" w:ascii="仿宋" w:hAnsi="仿宋" w:eastAsia="仿宋" w:cs="仿宋"/>
          <w:strike/>
          <w:dstrike w:val="0"/>
          <w:color w:val="auto"/>
          <w:highlight w:val="none"/>
          <w:u w:val="single"/>
          <w:lang w:eastAsia="zh-CN"/>
        </w:rPr>
        <w:t xml:space="preserve">  （以监理工程师书面答复为准） </w:t>
      </w:r>
    </w:p>
    <w:p w14:paraId="3C768AD9">
      <w:pPr>
        <w:spacing w:line="360" w:lineRule="auto"/>
        <w:ind w:firstLine="708" w:firstLineChars="295"/>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rPr>
        <w:sym w:font="Wingdings 2" w:char="00A3"/>
      </w:r>
      <w:r>
        <w:rPr>
          <w:rFonts w:hint="eastAsia" w:ascii="仿宋" w:hAnsi="仿宋" w:eastAsia="仿宋" w:cs="仿宋"/>
          <w:strike/>
          <w:dstrike w:val="0"/>
          <w:color w:val="auto"/>
          <w:highlight w:val="none"/>
          <w:lang w:eastAsia="zh-CN"/>
        </w:rPr>
        <w:t xml:space="preserve">  利用BIM信息管理平台进行协调管理的要求：</w:t>
      </w:r>
      <w:r>
        <w:rPr>
          <w:rFonts w:hint="eastAsia" w:ascii="仿宋" w:hAnsi="仿宋" w:eastAsia="仿宋" w:cs="仿宋"/>
          <w:strike/>
          <w:dstrike w:val="0"/>
          <w:color w:val="auto"/>
          <w:highlight w:val="none"/>
          <w:u w:val="single"/>
          <w:lang w:eastAsia="zh-CN"/>
        </w:rPr>
        <w:t>承包人搭建项目全生命期数字化管理平台，促进数据自由流动，实现设计、生产、施工、运营的一站式管理，对项目建造全过程的关键数据收集、筛选、分析和应用。同时统一数据标准，可以满足其他安置区项目接入管理平台的需求，工程竣工时同时交付实体建筑与“数字建筑”，对接广州市CIM平台，为数字城市提供底层数据。</w:t>
      </w:r>
    </w:p>
    <w:p w14:paraId="2AB97236">
      <w:pPr>
        <w:pStyle w:val="5"/>
        <w:tabs>
          <w:tab w:val="left" w:pos="420"/>
        </w:tabs>
        <w:spacing w:before="0" w:after="0" w:line="360" w:lineRule="auto"/>
        <w:rPr>
          <w:rFonts w:hint="eastAsia" w:ascii="仿宋" w:hAnsi="仿宋" w:eastAsia="仿宋"/>
          <w:b w:val="0"/>
          <w:bCs w:val="0"/>
          <w:color w:val="auto"/>
          <w:sz w:val="24"/>
          <w:szCs w:val="24"/>
          <w:highlight w:val="none"/>
          <w:lang w:eastAsia="zh-CN"/>
        </w:rPr>
      </w:pPr>
      <w:bookmarkStart w:id="525" w:name="_Toc6503"/>
      <w:bookmarkStart w:id="526" w:name="_Toc32444"/>
      <w:bookmarkStart w:id="527" w:name="_Toc30888"/>
      <w:bookmarkStart w:id="528" w:name="_Toc17540"/>
      <w:bookmarkStart w:id="529" w:name="_Toc12506"/>
      <w:bookmarkStart w:id="530" w:name="_Toc8551"/>
      <w:bookmarkStart w:id="531" w:name="_Toc13930"/>
      <w:bookmarkStart w:id="532" w:name="_Toc11966"/>
      <w:bookmarkStart w:id="533" w:name="_Toc3128"/>
      <w:bookmarkStart w:id="534" w:name="_Toc19273"/>
      <w:bookmarkStart w:id="535" w:name="_Toc22640"/>
      <w:bookmarkStart w:id="536" w:name="_Toc25424"/>
      <w:bookmarkStart w:id="537" w:name="_Toc3918"/>
      <w:bookmarkStart w:id="538" w:name="_Toc10304"/>
      <w:r>
        <w:rPr>
          <w:rFonts w:hint="eastAsia" w:ascii="仿宋" w:hAnsi="仿宋" w:eastAsia="仿宋" w:cs="仿宋"/>
          <w:b w:val="0"/>
          <w:bCs w:val="0"/>
          <w:color w:val="auto"/>
          <w:sz w:val="24"/>
          <w:szCs w:val="24"/>
          <w:highlight w:val="none"/>
          <w:lang w:eastAsia="zh-CN"/>
        </w:rPr>
        <w:t>6.  合同价格的控制原则</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275F511E">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6.1工程勘察费的控制</w:t>
      </w:r>
    </w:p>
    <w:p w14:paraId="0EB7BB07">
      <w:pPr>
        <w:spacing w:line="360" w:lineRule="auto"/>
        <w:ind w:firstLine="600" w:firstLineChars="2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①计价方式：</w:t>
      </w:r>
      <w:r>
        <w:rPr>
          <w:rFonts w:hint="eastAsia" w:ascii="仿宋" w:hAnsi="仿宋" w:eastAsia="仿宋" w:cs="仿宋"/>
          <w:color w:val="auto"/>
          <w:highlight w:val="none"/>
          <w:u w:val="single"/>
          <w:lang w:eastAsia="zh-CN"/>
        </w:rPr>
        <w:t xml:space="preserve">  /     </w:t>
      </w:r>
    </w:p>
    <w:p w14:paraId="398EA7D4">
      <w:pPr>
        <w:spacing w:line="360" w:lineRule="auto"/>
        <w:ind w:firstLine="600" w:firstLineChars="2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②价格控制：</w:t>
      </w:r>
    </w:p>
    <w:p w14:paraId="30C930E8">
      <w:pPr>
        <w:spacing w:line="360" w:lineRule="auto"/>
        <w:ind w:firstLine="840" w:firstLineChars="3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□不允许超过合同约定的相应价格，相应合同价格即为结算额。</w:t>
      </w:r>
    </w:p>
    <w:p w14:paraId="3165F34C">
      <w:pPr>
        <w:spacing w:line="360" w:lineRule="auto"/>
        <w:ind w:firstLine="840" w:firstLineChars="3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□不允许超过合同约定的相应合同价格及调整事项。其中，调整事项约定为： 。</w:t>
      </w:r>
    </w:p>
    <w:p w14:paraId="2F337B3C">
      <w:pPr>
        <w:spacing w:line="360" w:lineRule="auto"/>
        <w:ind w:firstLine="840" w:firstLineChars="3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52"/>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eastAsia="zh-CN"/>
        </w:rPr>
        <w:t>本项目不涉及。</w:t>
      </w:r>
    </w:p>
    <w:p w14:paraId="650B715B">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6.2工程设计费的控制</w:t>
      </w:r>
    </w:p>
    <w:p w14:paraId="0308919F">
      <w:pPr>
        <w:spacing w:line="360" w:lineRule="auto"/>
        <w:ind w:firstLine="600" w:firstLineChars="2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①计价方式：</w:t>
      </w:r>
      <w:r>
        <w:rPr>
          <w:rFonts w:hint="eastAsia" w:ascii="仿宋" w:hAnsi="仿宋" w:eastAsia="仿宋" w:cs="仿宋"/>
          <w:color w:val="auto"/>
          <w:highlight w:val="none"/>
          <w:u w:val="single"/>
          <w:lang w:eastAsia="zh-CN"/>
        </w:rPr>
        <w:t xml:space="preserve">  同47.1.2 款  </w:t>
      </w:r>
    </w:p>
    <w:p w14:paraId="7AC720E7">
      <w:pPr>
        <w:spacing w:line="360" w:lineRule="auto"/>
        <w:ind w:firstLine="600" w:firstLineChars="2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②价格控制：</w:t>
      </w:r>
    </w:p>
    <w:p w14:paraId="44463B33">
      <w:pPr>
        <w:spacing w:line="360" w:lineRule="auto"/>
        <w:ind w:firstLine="840" w:firstLineChars="3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□不允许超过合同约定的相应价格，相应合同价格即为结算额。</w:t>
      </w:r>
    </w:p>
    <w:p w14:paraId="5559F90E">
      <w:pPr>
        <w:spacing w:line="360" w:lineRule="auto"/>
        <w:ind w:firstLine="840" w:firstLineChars="3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不允许超过合同约定的相应合同价格及调整事项。其中，调整事项约定为：</w:t>
      </w:r>
      <w:r>
        <w:rPr>
          <w:rFonts w:hint="eastAsia" w:ascii="仿宋" w:hAnsi="仿宋" w:eastAsia="仿宋" w:cs="仿宋"/>
          <w:color w:val="auto"/>
          <w:highlight w:val="none"/>
          <w:u w:val="single"/>
          <w:lang w:eastAsia="zh-CN"/>
        </w:rPr>
        <w:t>如设计工作减少（包括但不限于承包人未开展设计工作的专业工程，发包人发出取消该部分工作设计指令的），则按减少建安费占合同建安工程费总额比例相应扣减设计费；如设计工作增加的，不额外增加费用。</w:t>
      </w:r>
    </w:p>
    <w:p w14:paraId="77B46CA4">
      <w:pPr>
        <w:spacing w:line="360" w:lineRule="auto"/>
        <w:ind w:firstLine="840" w:firstLineChars="3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□另作约定：</w:t>
      </w:r>
    </w:p>
    <w:p w14:paraId="5FB8D89F">
      <w:pPr>
        <w:spacing w:line="360" w:lineRule="auto"/>
        <w:ind w:firstLine="600" w:firstLineChars="2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③施工图审查费由发包</w:t>
      </w:r>
      <w:r>
        <w:rPr>
          <w:rFonts w:ascii="仿宋" w:hAnsi="仿宋" w:eastAsia="仿宋" w:cs="仿宋"/>
          <w:color w:val="auto"/>
          <w:highlight w:val="none"/>
          <w:lang w:eastAsia="zh-CN"/>
        </w:rPr>
        <w:t>人</w:t>
      </w:r>
      <w:r>
        <w:rPr>
          <w:rFonts w:hint="eastAsia" w:ascii="仿宋" w:hAnsi="仿宋" w:eastAsia="仿宋" w:cs="仿宋"/>
          <w:color w:val="auto"/>
          <w:highlight w:val="none"/>
          <w:lang w:eastAsia="zh-CN"/>
        </w:rPr>
        <w:t>支付。</w:t>
      </w:r>
    </w:p>
    <w:p w14:paraId="515B2E24">
      <w:pPr>
        <w:spacing w:line="360" w:lineRule="auto"/>
        <w:ind w:firstLine="240" w:firstLineChars="100"/>
        <w:rPr>
          <w:rFonts w:hint="default" w:ascii="仿宋" w:hAnsi="仿宋" w:eastAsia="仿宋" w:cs="仿宋"/>
          <w:color w:val="auto"/>
          <w:highlight w:val="none"/>
          <w:lang w:val="en-US" w:eastAsia="zh-CN"/>
        </w:rPr>
      </w:pPr>
      <w:r>
        <w:rPr>
          <w:rFonts w:hint="eastAsia" w:ascii="仿宋" w:hAnsi="仿宋" w:eastAsia="仿宋" w:cs="仿宋"/>
          <w:color w:val="auto"/>
          <w:highlight w:val="none"/>
          <w:lang w:eastAsia="zh-CN"/>
        </w:rPr>
        <w:t>6.3 BIM技术应用费的控制（</w:t>
      </w:r>
      <w:r>
        <w:rPr>
          <w:rFonts w:hint="eastAsia" w:ascii="仿宋" w:hAnsi="仿宋" w:eastAsia="仿宋" w:cs="仿宋"/>
          <w:color w:val="auto"/>
          <w:highlight w:val="none"/>
          <w:lang w:val="en-US" w:eastAsia="zh-CN"/>
        </w:rPr>
        <w:t>不涉及）</w:t>
      </w:r>
    </w:p>
    <w:p w14:paraId="320607E0">
      <w:pPr>
        <w:spacing w:line="360" w:lineRule="auto"/>
        <w:ind w:firstLine="600" w:firstLineChars="2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①计价方式：</w:t>
      </w:r>
      <w:r>
        <w:rPr>
          <w:rFonts w:hint="eastAsia" w:ascii="仿宋" w:hAnsi="仿宋" w:eastAsia="仿宋" w:cs="仿宋"/>
          <w:color w:val="auto"/>
          <w:highlight w:val="none"/>
          <w:u w:val="single"/>
          <w:lang w:eastAsia="zh-CN"/>
        </w:rPr>
        <w:t xml:space="preserve">  同47.1.3 款   </w:t>
      </w:r>
    </w:p>
    <w:p w14:paraId="2C68EC53">
      <w:pPr>
        <w:spacing w:line="360" w:lineRule="auto"/>
        <w:ind w:firstLine="600" w:firstLineChars="2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②价格控制：</w:t>
      </w:r>
    </w:p>
    <w:p w14:paraId="503EFEB9">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□不允许超过合同约定的相应价格，相应合同价格即为结算额。</w:t>
      </w:r>
    </w:p>
    <w:p w14:paraId="1BBEDF7E">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不允许超过合同约定的相应合同价格及调整事项。其中，调整事项约定为：</w:t>
      </w:r>
      <w:r>
        <w:rPr>
          <w:rFonts w:hint="eastAsia" w:ascii="仿宋" w:hAnsi="仿宋" w:eastAsia="仿宋" w:cs="仿宋"/>
          <w:color w:val="auto"/>
          <w:highlight w:val="none"/>
          <w:u w:val="single"/>
          <w:lang w:eastAsia="zh-CN"/>
        </w:rPr>
        <w:t>如BIM技术运用工作减少（包括但不限于承包人未开展某项BIM技术工作，发包人发出取消该部分工作设计指令的），则按减少工作量比例相应扣减BIM技术运用费；如BIM技术工作增加的，不额外增加费用。</w:t>
      </w:r>
    </w:p>
    <w:p w14:paraId="0490A7EA">
      <w:pPr>
        <w:spacing w:line="360" w:lineRule="auto"/>
        <w:ind w:firstLine="840" w:firstLineChars="3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□另作约定：</w:t>
      </w:r>
    </w:p>
    <w:p w14:paraId="3C8665E5">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6.4建筑安装工程费的控制</w:t>
      </w:r>
    </w:p>
    <w:p w14:paraId="0AFFCA4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6.4.1限额设计</w:t>
      </w:r>
    </w:p>
    <w:p w14:paraId="11FFAF3B">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建筑安装工程费的投标限价指业主在发包阶段提供的建筑安装工程费最高投标价。投标人的投标价不得超过建筑安装工程费投标限价。</w:t>
      </w:r>
    </w:p>
    <w:p w14:paraId="18F22F12">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限额设计上限：建筑安装工程费的投标价按下浮率报。建筑安装工程费的投标限价x（1-下浮率）=建筑安装工程费的中标价，即中标后建筑安装工程费的暂定合同价。该价格即为限额设计上限。</w:t>
      </w:r>
    </w:p>
    <w:p w14:paraId="1E0487B4">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6.4.2初步设计概算控制</w:t>
      </w:r>
    </w:p>
    <w:p w14:paraId="2ED6C6C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①编制规则：（按概算审批部门要求执行） </w:t>
      </w:r>
    </w:p>
    <w:p w14:paraId="0094979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②中标人按专用条款6.4.1条进行限额设计，由发包人公开采购的单位依据初步设计编制设计概算。设计概算经财评审定后的价格为设计概算价。</w:t>
      </w:r>
    </w:p>
    <w:p w14:paraId="5F88206B">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6.4.3施工图预算控制</w:t>
      </w:r>
    </w:p>
    <w:p w14:paraId="04509B4B">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①施工图预算编制</w:t>
      </w:r>
    </w:p>
    <w:p w14:paraId="236232D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承包人完成施工图设计后，根据合同专业条款47.1.5编制施工图预算。其中施工图预算的综合单价按如下规则确定：</w:t>
      </w:r>
    </w:p>
    <w:p w14:paraId="09450420">
      <w:pPr>
        <w:spacing w:line="360" w:lineRule="auto"/>
        <w:ind w:right="11" w:firstLine="566" w:firstLineChars="236"/>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审定后的设计概算价中有相应综合单价的，按该综合单价*（1-下浮率（同投标下浮率））作为施工图预算的综合单价；如财评审定后的设计概算价中无相应综合单价的，则按新增工程计价，按专业条款47.1.5条计算综合单价*（1-下浮率（同投标下浮率））作为暂定施工图预算的综合单价，最终以财评审定为准。</w:t>
      </w:r>
    </w:p>
    <w:p w14:paraId="37BC04EF">
      <w:pPr>
        <w:spacing w:line="360" w:lineRule="auto"/>
        <w:ind w:right="11"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若</w:t>
      </w:r>
      <w:r>
        <w:rPr>
          <w:rFonts w:hint="eastAsia" w:ascii="仿宋" w:hAnsi="仿宋" w:eastAsia="仿宋" w:cs="宋体"/>
          <w:snapToGrid w:val="0"/>
          <w:color w:val="auto"/>
          <w:highlight w:val="none"/>
          <w:lang w:eastAsia="zh-CN"/>
        </w:rPr>
        <w:t>施工图预算总价超过</w:t>
      </w:r>
      <w:r>
        <w:rPr>
          <w:rFonts w:hint="eastAsia" w:ascii="仿宋" w:hAnsi="仿宋" w:eastAsia="仿宋" w:cs="仿宋"/>
          <w:color w:val="auto"/>
          <w:highlight w:val="none"/>
          <w:lang w:eastAsia="zh-CN"/>
        </w:rPr>
        <w:t>审定后的设计概算中</w:t>
      </w:r>
      <w:r>
        <w:rPr>
          <w:rFonts w:hint="eastAsia" w:ascii="仿宋" w:hAnsi="仿宋" w:eastAsia="仿宋" w:cs="宋体"/>
          <w:snapToGrid w:val="0"/>
          <w:color w:val="auto"/>
          <w:highlight w:val="none"/>
          <w:lang w:eastAsia="zh-CN"/>
        </w:rPr>
        <w:t>对应的承包人合同范围内的建安费，</w:t>
      </w:r>
      <w:r>
        <w:rPr>
          <w:rFonts w:hint="eastAsia" w:ascii="仿宋" w:hAnsi="仿宋" w:eastAsia="仿宋" w:cs="仿宋"/>
          <w:color w:val="auto"/>
          <w:highlight w:val="none"/>
          <w:lang w:eastAsia="zh-CN"/>
        </w:rPr>
        <w:t>承包人必须及时进行优化设计，以满足限额指标的要求。施工图预算经发包人审定后，双方另行签订补充协议，由承包人按已审定的施工图预算执行，严格控制投资，作为建安工程费进度款的拨付依据。</w:t>
      </w:r>
    </w:p>
    <w:p w14:paraId="43161F56">
      <w:pPr>
        <w:pStyle w:val="5"/>
        <w:numPr>
          <w:ilvl w:val="255"/>
          <w:numId w:val="0"/>
        </w:numPr>
        <w:tabs>
          <w:tab w:val="left" w:pos="420"/>
        </w:tabs>
        <w:rPr>
          <w:rFonts w:hint="eastAsia" w:ascii="仿宋" w:hAnsi="仿宋" w:eastAsia="仿宋" w:cs="仿宋"/>
          <w:b w:val="0"/>
          <w:bCs w:val="0"/>
          <w:color w:val="auto"/>
          <w:sz w:val="24"/>
          <w:szCs w:val="24"/>
          <w:highlight w:val="none"/>
          <w:lang w:eastAsia="zh-CN"/>
        </w:rPr>
      </w:pPr>
      <w:bookmarkStart w:id="539" w:name="_Toc10086"/>
      <w:bookmarkStart w:id="540" w:name="_Toc3893"/>
      <w:bookmarkStart w:id="541" w:name="_Toc12135"/>
      <w:bookmarkStart w:id="542" w:name="_Toc7871"/>
      <w:bookmarkStart w:id="543" w:name="_Toc27720"/>
      <w:bookmarkStart w:id="544" w:name="_Toc15825"/>
      <w:bookmarkStart w:id="545" w:name="_Toc23601"/>
      <w:bookmarkStart w:id="546" w:name="_Toc11004"/>
      <w:bookmarkStart w:id="547" w:name="_Toc17359"/>
      <w:bookmarkStart w:id="548" w:name="_Toc18456"/>
      <w:bookmarkStart w:id="549" w:name="_Toc29682"/>
      <w:bookmarkStart w:id="550" w:name="_Toc22383"/>
      <w:bookmarkStart w:id="551" w:name="_Toc31245"/>
      <w:bookmarkStart w:id="552" w:name="_Toc3492"/>
      <w:r>
        <w:rPr>
          <w:rFonts w:hint="eastAsia" w:ascii="仿宋" w:hAnsi="仿宋" w:eastAsia="仿宋" w:cs="仿宋"/>
          <w:b w:val="0"/>
          <w:bCs w:val="0"/>
          <w:color w:val="auto"/>
          <w:sz w:val="24"/>
          <w:szCs w:val="24"/>
          <w:highlight w:val="none"/>
          <w:lang w:eastAsia="zh-CN"/>
        </w:rPr>
        <w:t>7. 通信联络</w:t>
      </w:r>
      <w:bookmarkEnd w:id="506"/>
      <w:bookmarkEnd w:id="507"/>
      <w:bookmarkEnd w:id="508"/>
      <w:bookmarkEnd w:id="509"/>
      <w:bookmarkEnd w:id="510"/>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2BD1044">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7</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1各方通讯地址、收件人及其他送达方式</w:t>
      </w:r>
    </w:p>
    <w:p w14:paraId="6A25DB5D">
      <w:pPr>
        <w:spacing w:line="360" w:lineRule="auto"/>
        <w:ind w:firstLine="720" w:firstLineChars="3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①各方通讯地址和收件人：</w:t>
      </w:r>
    </w:p>
    <w:p w14:paraId="495D76BF">
      <w:pPr>
        <w:spacing w:line="360" w:lineRule="auto"/>
        <w:ind w:firstLine="720" w:firstLineChars="300"/>
        <w:rPr>
          <w:rFonts w:hint="eastAsia" w:ascii="仿宋" w:hAnsi="仿宋" w:eastAsia="仿宋"/>
          <w:color w:val="auto"/>
          <w:highlight w:val="none"/>
          <w:u w:val="single"/>
          <w:lang w:eastAsia="zh-CN"/>
          <w:woUserID w:val="1"/>
        </w:rPr>
      </w:pPr>
      <w:r>
        <w:rPr>
          <w:rFonts w:hint="eastAsia" w:ascii="仿宋" w:hAnsi="仿宋" w:eastAsia="仿宋" w:cs="仿宋"/>
          <w:color w:val="auto"/>
          <w:highlight w:val="none"/>
          <w:lang w:eastAsia="zh-CN"/>
        </w:rPr>
        <w:t>发包人：</w:t>
      </w:r>
      <w:r>
        <w:rPr>
          <w:rFonts w:hint="eastAsia" w:ascii="仿宋" w:hAnsi="仿宋" w:eastAsia="仿宋" w:cs="仿宋"/>
          <w:color w:val="auto"/>
          <w:highlight w:val="none"/>
          <w:u w:val="single"/>
          <w:lang w:eastAsia="zh-CN"/>
          <w:woUserID w:val="1"/>
        </w:rPr>
        <w:t>广州从化城投商业发展有限公司</w:t>
      </w:r>
    </w:p>
    <w:p w14:paraId="21A14FCF">
      <w:pPr>
        <w:spacing w:line="360" w:lineRule="auto"/>
        <w:ind w:firstLine="720" w:firstLineChars="300"/>
        <w:rPr>
          <w:rFonts w:hint="eastAsia" w:ascii="仿宋" w:hAnsi="仿宋" w:eastAsia="仿宋" w:cs="仿宋"/>
          <w:color w:val="auto"/>
          <w:highlight w:val="none"/>
          <w:u w:val="single"/>
          <w:lang w:eastAsia="zh"/>
          <w:woUserID w:val="1"/>
        </w:rPr>
      </w:pPr>
      <w:r>
        <w:rPr>
          <w:rFonts w:hint="eastAsia" w:ascii="仿宋" w:hAnsi="仿宋" w:eastAsia="仿宋" w:cs="仿宋"/>
          <w:color w:val="auto"/>
          <w:highlight w:val="none"/>
          <w:lang w:eastAsia="zh-CN"/>
        </w:rPr>
        <w:t>通讯地址：</w:t>
      </w:r>
      <w:r>
        <w:rPr>
          <w:rFonts w:hint="eastAsia" w:ascii="仿宋" w:hAnsi="仿宋" w:eastAsia="仿宋" w:cs="仿宋"/>
          <w:color w:val="auto"/>
          <w:highlight w:val="none"/>
          <w:u w:val="single"/>
          <w:lang w:eastAsia="zh"/>
          <w:woUserID w:val="1"/>
        </w:rPr>
        <w:t>广州市从化区街口街道府前路98号1</w:t>
      </w:r>
      <w:r>
        <w:rPr>
          <w:rFonts w:hint="eastAsia" w:ascii="仿宋" w:hAnsi="仿宋" w:eastAsia="仿宋" w:cs="仿宋"/>
          <w:color w:val="auto"/>
          <w:highlight w:val="none"/>
          <w:u w:val="single"/>
          <w:lang w:val="en-US" w:eastAsia="zh-CN"/>
          <w:woUserID w:val="1"/>
        </w:rPr>
        <w:t>6</w:t>
      </w:r>
      <w:r>
        <w:rPr>
          <w:rFonts w:hint="eastAsia" w:ascii="仿宋" w:hAnsi="仿宋" w:eastAsia="仿宋" w:cs="仿宋"/>
          <w:color w:val="auto"/>
          <w:highlight w:val="none"/>
          <w:u w:val="single"/>
          <w:lang w:eastAsia="zh"/>
          <w:woUserID w:val="1"/>
        </w:rPr>
        <w:t>楼</w:t>
      </w:r>
      <w:r>
        <w:rPr>
          <w:rFonts w:hint="eastAsia" w:ascii="仿宋" w:hAnsi="仿宋" w:eastAsia="仿宋" w:cs="仿宋"/>
          <w:color w:val="auto"/>
          <w:highlight w:val="none"/>
          <w:lang w:eastAsia="zh-CN"/>
        </w:rPr>
        <w:t xml:space="preserve">   收件人：</w:t>
      </w:r>
      <w:r>
        <w:rPr>
          <w:rFonts w:hint="eastAsia" w:ascii="仿宋" w:hAnsi="仿宋" w:eastAsia="仿宋" w:cs="仿宋"/>
          <w:color w:val="auto"/>
          <w:highlight w:val="none"/>
          <w:u w:val="none"/>
          <w:lang w:val="en-US" w:eastAsia="zh-CN"/>
        </w:rPr>
        <w:t xml:space="preserve"> </w:t>
      </w:r>
      <w:r>
        <w:rPr>
          <w:rFonts w:hint="eastAsia" w:ascii="仿宋" w:hAnsi="仿宋" w:eastAsia="仿宋" w:cs="仿宋"/>
          <w:color w:val="auto"/>
          <w:highlight w:val="none"/>
          <w:lang w:eastAsia="zh-CN"/>
        </w:rPr>
        <w:t>邮政编码：</w:t>
      </w:r>
      <w:r>
        <w:rPr>
          <w:rFonts w:hint="eastAsia" w:ascii="仿宋" w:hAnsi="仿宋" w:eastAsia="仿宋" w:cs="仿宋"/>
          <w:color w:val="auto"/>
          <w:highlight w:val="none"/>
          <w:u w:val="single"/>
          <w:lang w:eastAsia="zh"/>
          <w:woUserID w:val="1"/>
        </w:rPr>
        <w:t>510900</w:t>
      </w:r>
    </w:p>
    <w:p w14:paraId="2C339C80">
      <w:pPr>
        <w:spacing w:line="360" w:lineRule="auto"/>
        <w:ind w:firstLine="720" w:firstLineChars="3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电子邮箱：</w:t>
      </w:r>
    </w:p>
    <w:p w14:paraId="779B4C7F">
      <w:pPr>
        <w:spacing w:line="360" w:lineRule="auto"/>
        <w:ind w:firstLine="720" w:firstLineChars="300"/>
        <w:rPr>
          <w:rFonts w:hint="eastAsia" w:ascii="仿宋" w:hAnsi="仿宋" w:eastAsia="仿宋" w:cs="仿宋"/>
          <w:color w:val="auto"/>
          <w:highlight w:val="none"/>
          <w:u w:val="single"/>
          <w:lang w:eastAsia="zh-CN"/>
        </w:rPr>
      </w:pPr>
    </w:p>
    <w:p w14:paraId="6BF2E83C">
      <w:pPr>
        <w:keepNext w:val="0"/>
        <w:keepLines w:val="0"/>
        <w:widowControl/>
        <w:suppressLineNumbers w:val="0"/>
        <w:spacing w:before="0" w:beforeAutospacing="0" w:after="0" w:afterAutospacing="0" w:line="360" w:lineRule="auto"/>
        <w:ind w:left="0" w:right="0" w:firstLine="720" w:firstLineChars="300"/>
        <w:jc w:val="left"/>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承包人（联合体牵头人）： </w:t>
      </w:r>
    </w:p>
    <w:p w14:paraId="049C2CFD">
      <w:pPr>
        <w:keepNext w:val="0"/>
        <w:keepLines w:val="0"/>
        <w:widowControl/>
        <w:suppressLineNumbers w:val="0"/>
        <w:spacing w:before="0" w:beforeAutospacing="0" w:after="0" w:afterAutospacing="0" w:line="360" w:lineRule="auto"/>
        <w:ind w:left="0" w:right="0" w:firstLine="720" w:firstLineChars="300"/>
        <w:jc w:val="left"/>
        <w:rPr>
          <w:rFonts w:hint="eastAsia" w:ascii="仿宋" w:hAnsi="仿宋" w:eastAsia="仿宋" w:cs="仿宋"/>
          <w:color w:val="auto"/>
          <w:kern w:val="0"/>
          <w:sz w:val="24"/>
          <w:szCs w:val="24"/>
          <w:highlight w:val="none"/>
          <w:u w:val="none"/>
          <w:lang w:val="en-US" w:eastAsia="zh" w:bidi="ar"/>
          <w:woUserID w:val="1"/>
        </w:rPr>
      </w:pPr>
      <w:r>
        <w:rPr>
          <w:rFonts w:hint="eastAsia" w:ascii="仿宋" w:hAnsi="仿宋" w:eastAsia="仿宋" w:cs="仿宋"/>
          <w:color w:val="auto"/>
          <w:highlight w:val="none"/>
          <w:lang w:eastAsia="zh-CN"/>
        </w:rPr>
        <w:t>通讯地址：   收件人：</w:t>
      </w:r>
      <w:r>
        <w:rPr>
          <w:rFonts w:hint="eastAsia" w:ascii="仿宋" w:hAnsi="仿宋" w:eastAsia="仿宋" w:cs="仿宋"/>
          <w:color w:val="auto"/>
          <w:highlight w:val="none"/>
          <w:lang w:val="en-US" w:eastAsia="zh-CN"/>
        </w:rPr>
        <w:t xml:space="preserve"> </w:t>
      </w:r>
      <w:r>
        <w:rPr>
          <w:rFonts w:hint="eastAsia" w:ascii="仿宋" w:hAnsi="仿宋" w:eastAsia="仿宋" w:cs="仿宋"/>
          <w:color w:val="auto"/>
          <w:highlight w:val="none"/>
          <w:lang w:eastAsia="zh-CN"/>
        </w:rPr>
        <w:t>邮政编码：</w:t>
      </w:r>
      <w:r>
        <w:rPr>
          <w:rFonts w:hint="eastAsia" w:ascii="仿宋" w:hAnsi="仿宋" w:eastAsia="仿宋" w:cs="仿宋"/>
          <w:color w:val="auto"/>
          <w:kern w:val="0"/>
          <w:sz w:val="24"/>
          <w:szCs w:val="24"/>
          <w:highlight w:val="none"/>
          <w:u w:val="single"/>
          <w:lang w:val="en-US" w:eastAsia="zh" w:bidi="ar"/>
          <w:woUserID w:val="1"/>
        </w:rPr>
        <w:t xml:space="preserve">  </w:t>
      </w:r>
      <w:r>
        <w:rPr>
          <w:rFonts w:hint="eastAsia" w:ascii="仿宋" w:hAnsi="仿宋" w:eastAsia="仿宋" w:cs="仿宋"/>
          <w:color w:val="auto"/>
          <w:kern w:val="0"/>
          <w:sz w:val="24"/>
          <w:szCs w:val="24"/>
          <w:highlight w:val="none"/>
          <w:u w:val="none"/>
          <w:lang w:val="en-US" w:eastAsia="zh" w:bidi="ar"/>
          <w:woUserID w:val="1"/>
        </w:rPr>
        <w:t xml:space="preserve">   </w:t>
      </w:r>
    </w:p>
    <w:p w14:paraId="6391C45F">
      <w:pPr>
        <w:keepNext w:val="0"/>
        <w:keepLines w:val="0"/>
        <w:widowControl/>
        <w:suppressLineNumbers w:val="0"/>
        <w:spacing w:before="0" w:beforeAutospacing="0" w:after="0" w:afterAutospacing="0" w:line="360" w:lineRule="auto"/>
        <w:ind w:left="0" w:right="0" w:firstLine="720" w:firstLineChars="300"/>
        <w:jc w:val="left"/>
        <w:rPr>
          <w:rFonts w:hint="eastAsia" w:ascii="仿宋" w:hAnsi="仿宋" w:eastAsia="仿宋" w:cs="仿宋"/>
          <w:color w:val="auto"/>
          <w:highlight w:val="none"/>
          <w:lang w:eastAsia="zh-CN"/>
        </w:rPr>
      </w:pPr>
      <w:r>
        <w:rPr>
          <w:rFonts w:hint="eastAsia" w:ascii="仿宋" w:hAnsi="仿宋" w:eastAsia="仿宋" w:cs="仿宋"/>
          <w:color w:val="auto"/>
          <w:highlight w:val="none"/>
          <w:u w:val="single"/>
          <w:lang w:eastAsia="zh-CN"/>
        </w:rPr>
        <w:t xml:space="preserve">电子邮箱：    </w:t>
      </w:r>
      <w:r>
        <w:rPr>
          <w:rFonts w:hint="eastAsia" w:ascii="仿宋" w:hAnsi="仿宋" w:eastAsia="仿宋" w:cs="仿宋"/>
          <w:color w:val="auto"/>
          <w:highlight w:val="none"/>
          <w:lang w:eastAsia="zh-CN"/>
        </w:rPr>
        <w:t xml:space="preserve">                 </w:t>
      </w:r>
    </w:p>
    <w:p w14:paraId="68D8929E">
      <w:pPr>
        <w:spacing w:line="360" w:lineRule="auto"/>
        <w:ind w:firstLine="720" w:firstLineChars="300"/>
        <w:rPr>
          <w:rFonts w:hint="eastAsia" w:ascii="仿宋" w:hAnsi="仿宋" w:eastAsia="仿宋" w:cs="仿宋"/>
          <w:color w:val="auto"/>
          <w:highlight w:val="none"/>
          <w:lang w:eastAsia="zh-CN"/>
        </w:rPr>
      </w:pPr>
    </w:p>
    <w:p w14:paraId="577DA17F">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设计顾问人：</w:t>
      </w:r>
    </w:p>
    <w:p w14:paraId="09A966C6">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通讯地址：   收件人： 邮政编码：</w:t>
      </w:r>
    </w:p>
    <w:p w14:paraId="42D8610B">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u w:val="single"/>
          <w:lang w:eastAsia="zh-CN"/>
        </w:rPr>
        <w:t xml:space="preserve">电子邮箱：                     </w:t>
      </w:r>
    </w:p>
    <w:p w14:paraId="020FB5CC">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监理人：</w:t>
      </w:r>
    </w:p>
    <w:p w14:paraId="2FBDFB92">
      <w:pPr>
        <w:spacing w:line="360" w:lineRule="auto"/>
        <w:ind w:firstLine="720" w:firstLineChars="3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通讯地址：   收件人： 邮政编码：</w:t>
      </w:r>
    </w:p>
    <w:p w14:paraId="2668ED2E">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u w:val="single"/>
          <w:lang w:eastAsia="zh-CN"/>
        </w:rPr>
        <w:t xml:space="preserve">电子邮箱：                     </w:t>
      </w:r>
    </w:p>
    <w:p w14:paraId="225FBFBA">
      <w:pPr>
        <w:spacing w:line="360" w:lineRule="auto"/>
        <w:ind w:firstLine="720" w:firstLineChars="3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工程造价咨询人： </w:t>
      </w:r>
    </w:p>
    <w:p w14:paraId="4E4AF705">
      <w:pPr>
        <w:spacing w:line="360" w:lineRule="auto"/>
        <w:ind w:firstLine="720" w:firstLineChars="3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通讯地址： 收件人： 邮政编码：</w:t>
      </w:r>
    </w:p>
    <w:p w14:paraId="2CF35A5A">
      <w:pPr>
        <w:spacing w:line="360" w:lineRule="auto"/>
        <w:ind w:firstLine="720" w:firstLineChars="3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 xml:space="preserve">电子邮箱：                     </w:t>
      </w:r>
    </w:p>
    <w:p w14:paraId="0EDDF8E1">
      <w:pPr>
        <w:numPr>
          <w:ilvl w:val="255"/>
          <w:numId w:val="0"/>
        </w:numPr>
        <w:spacing w:line="360" w:lineRule="auto"/>
        <w:ind w:firstLine="720" w:firstLineChars="3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②送达的其他方式：</w:t>
      </w:r>
    </w:p>
    <w:p w14:paraId="74A17C78">
      <w:pPr>
        <w:spacing w:line="360" w:lineRule="auto"/>
        <w:ind w:firstLine="720" w:firstLineChars="3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双方协商一致，增加9.4款：</w:t>
      </w:r>
    </w:p>
    <w:p w14:paraId="7230F24A">
      <w:pPr>
        <w:pStyle w:val="5"/>
        <w:numPr>
          <w:ilvl w:val="255"/>
          <w:numId w:val="0"/>
        </w:numPr>
        <w:tabs>
          <w:tab w:val="left" w:pos="420"/>
        </w:tabs>
        <w:spacing w:before="0"/>
        <w:rPr>
          <w:rFonts w:hint="eastAsia" w:ascii="仿宋" w:hAnsi="仿宋" w:eastAsia="仿宋" w:cs="仿宋"/>
          <w:b w:val="0"/>
          <w:bCs w:val="0"/>
          <w:i w:val="0"/>
          <w:iCs w:val="0"/>
          <w:color w:val="auto"/>
          <w:sz w:val="24"/>
          <w:szCs w:val="24"/>
          <w:highlight w:val="none"/>
          <w:lang w:eastAsia="zh-CN"/>
        </w:rPr>
      </w:pPr>
      <w:bookmarkStart w:id="553" w:name="_Toc8473"/>
      <w:bookmarkStart w:id="554" w:name="_Toc4593"/>
      <w:bookmarkStart w:id="555" w:name="_Toc28356"/>
      <w:bookmarkStart w:id="556" w:name="_Toc4500"/>
      <w:bookmarkStart w:id="557" w:name="_Toc1223"/>
      <w:bookmarkStart w:id="558" w:name="_Toc8742"/>
      <w:bookmarkStart w:id="559" w:name="_Toc2687"/>
      <w:bookmarkStart w:id="560" w:name="_Toc18870"/>
      <w:bookmarkStart w:id="561" w:name="_Toc4588"/>
      <w:bookmarkStart w:id="562" w:name="_Toc15774"/>
      <w:bookmarkStart w:id="563" w:name="_Toc14942"/>
      <w:bookmarkStart w:id="564" w:name="_Toc20390"/>
      <w:bookmarkStart w:id="565" w:name="_Toc18500"/>
      <w:bookmarkStart w:id="566" w:name="_Toc469384087"/>
      <w:bookmarkStart w:id="567" w:name="_Toc8219"/>
      <w:bookmarkStart w:id="568" w:name="_Toc14714"/>
      <w:bookmarkStart w:id="569" w:name="_Toc6291"/>
      <w:bookmarkStart w:id="570" w:name="_Toc10624931"/>
      <w:bookmarkStart w:id="571" w:name="_Toc29777"/>
      <w:r>
        <w:rPr>
          <w:rFonts w:hint="eastAsia" w:ascii="仿宋" w:hAnsi="仿宋" w:eastAsia="仿宋" w:cs="仿宋"/>
          <w:b w:val="0"/>
          <w:bCs w:val="0"/>
          <w:i w:val="0"/>
          <w:iCs w:val="0"/>
          <w:color w:val="auto"/>
          <w:sz w:val="24"/>
          <w:szCs w:val="24"/>
          <w:highlight w:val="none"/>
          <w:lang w:eastAsia="zh-CN"/>
        </w:rPr>
        <w:t>8. 工程分包</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ACBF3E5">
      <w:pPr>
        <w:spacing w:line="360" w:lineRule="auto"/>
        <w:ind w:left="119" w:firstLine="480" w:firstLineChars="2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承包人可依法将部分工作事项分包给具有相应资质的分包人，但未经发包人同意，承包人不得将总承包工作事项的任何部分或任何工作分包给第三方。</w:t>
      </w:r>
    </w:p>
    <w:p w14:paraId="5D589180">
      <w:pPr>
        <w:ind w:left="120"/>
        <w:rPr>
          <w:rFonts w:hint="eastAsia" w:ascii="仿宋" w:hAnsi="仿宋" w:eastAsia="仿宋"/>
          <w:color w:val="auto"/>
          <w:highlight w:val="none"/>
          <w:u w:val="single"/>
          <w:lang w:eastAsia="zh-CN"/>
        </w:rPr>
      </w:pPr>
    </w:p>
    <w:p w14:paraId="29D2B843">
      <w:pPr>
        <w:ind w:left="120"/>
        <w:rPr>
          <w:rFonts w:hint="eastAsia" w:ascii="仿宋" w:hAnsi="仿宋" w:eastAsia="仿宋"/>
          <w:color w:val="auto"/>
          <w:highlight w:val="none"/>
        </w:rPr>
      </w:pPr>
      <w:r>
        <w:rPr>
          <w:rFonts w:hint="eastAsia" w:ascii="仿宋" w:hAnsi="仿宋" w:eastAsia="仿宋" w:cs="仿宋"/>
          <w:color w:val="auto"/>
          <w:highlight w:val="none"/>
          <w:lang w:eastAsia="zh-CN"/>
        </w:rPr>
        <w:t>8</w:t>
      </w:r>
      <w:r>
        <w:rPr>
          <w:rFonts w:ascii="仿宋" w:hAnsi="仿宋" w:eastAsia="仿宋" w:cs="仿宋"/>
          <w:color w:val="auto"/>
          <w:highlight w:val="none"/>
        </w:rPr>
        <w:t xml:space="preserve">.4 </w:t>
      </w:r>
      <w:r>
        <w:rPr>
          <w:rFonts w:hint="eastAsia" w:ascii="仿宋" w:hAnsi="仿宋" w:eastAsia="仿宋" w:cs="仿宋"/>
          <w:color w:val="auto"/>
          <w:highlight w:val="none"/>
        </w:rPr>
        <w:t>分包工程款的支付方式：</w:t>
      </w:r>
      <w:r>
        <w:rPr>
          <w:rFonts w:ascii="仿宋" w:hAnsi="仿宋" w:eastAsia="仿宋" w:cs="仿宋"/>
          <w:color w:val="auto"/>
          <w:highlight w:val="none"/>
          <w:u w:val="single"/>
        </w:rPr>
        <w:t xml:space="preserve"> </w:t>
      </w:r>
      <w:r>
        <w:rPr>
          <w:rFonts w:hint="eastAsia" w:ascii="仿宋" w:hAnsi="仿宋" w:eastAsia="仿宋" w:cs="仿宋"/>
          <w:color w:val="auto"/>
          <w:highlight w:val="none"/>
          <w:u w:val="single"/>
          <w:lang w:eastAsia="zh-CN"/>
        </w:rPr>
        <w:t xml:space="preserve"> /</w:t>
      </w:r>
      <w:r>
        <w:rPr>
          <w:rFonts w:ascii="仿宋" w:hAnsi="仿宋" w:eastAsia="仿宋" w:cs="仿宋"/>
          <w:color w:val="auto"/>
          <w:highlight w:val="none"/>
          <w:u w:val="single"/>
        </w:rPr>
        <w:t xml:space="preserve">   </w:t>
      </w:r>
    </w:p>
    <w:p w14:paraId="13F3B73D">
      <w:pPr>
        <w:ind w:left="120"/>
        <w:rPr>
          <w:rFonts w:hint="eastAsia" w:ascii="仿宋" w:hAnsi="仿宋" w:eastAsia="仿宋"/>
          <w:color w:val="auto"/>
          <w:highlight w:val="none"/>
        </w:rPr>
      </w:pPr>
    </w:p>
    <w:p w14:paraId="07C94AEC">
      <w:pPr>
        <w:pStyle w:val="5"/>
        <w:numPr>
          <w:ilvl w:val="255"/>
          <w:numId w:val="0"/>
        </w:numPr>
        <w:tabs>
          <w:tab w:val="left" w:pos="420"/>
        </w:tabs>
        <w:spacing w:before="0"/>
        <w:rPr>
          <w:rFonts w:hint="eastAsia" w:ascii="仿宋" w:hAnsi="仿宋" w:eastAsia="仿宋" w:cs="仿宋"/>
          <w:b w:val="0"/>
          <w:bCs w:val="0"/>
          <w:i w:val="0"/>
          <w:iCs w:val="0"/>
          <w:color w:val="auto"/>
          <w:sz w:val="24"/>
          <w:szCs w:val="24"/>
          <w:highlight w:val="none"/>
          <w:lang w:eastAsia="zh-CN"/>
        </w:rPr>
      </w:pPr>
      <w:bookmarkStart w:id="572" w:name="_Toc24618"/>
      <w:bookmarkStart w:id="573" w:name="_Toc15283"/>
      <w:bookmarkStart w:id="574" w:name="_Toc11200"/>
      <w:bookmarkStart w:id="575" w:name="_Toc8119"/>
      <w:bookmarkStart w:id="576" w:name="_Toc3606"/>
      <w:bookmarkStart w:id="577" w:name="_Toc17700"/>
      <w:bookmarkStart w:id="578" w:name="_Toc5476"/>
      <w:bookmarkStart w:id="579" w:name="_Toc25986"/>
      <w:bookmarkStart w:id="580" w:name="_Toc7050"/>
      <w:bookmarkStart w:id="581" w:name="_Toc18712"/>
      <w:bookmarkStart w:id="582" w:name="_Toc23355"/>
      <w:bookmarkStart w:id="583" w:name="_Toc5691"/>
      <w:bookmarkStart w:id="584" w:name="_Toc6079"/>
      <w:bookmarkStart w:id="585" w:name="_Toc20260"/>
      <w:bookmarkStart w:id="586" w:name="_Toc31152"/>
      <w:bookmarkStart w:id="587" w:name="_Toc469384088"/>
      <w:bookmarkStart w:id="588" w:name="_Toc10624932"/>
      <w:bookmarkStart w:id="589" w:name="_Toc24599"/>
      <w:bookmarkStart w:id="590" w:name="_Toc21925"/>
      <w:r>
        <w:rPr>
          <w:rFonts w:hint="eastAsia" w:ascii="仿宋" w:hAnsi="仿宋" w:eastAsia="仿宋" w:cs="仿宋"/>
          <w:b w:val="0"/>
          <w:bCs w:val="0"/>
          <w:i w:val="0"/>
          <w:iCs w:val="0"/>
          <w:color w:val="auto"/>
          <w:sz w:val="24"/>
          <w:szCs w:val="24"/>
          <w:highlight w:val="none"/>
          <w:lang w:eastAsia="zh-CN"/>
        </w:rPr>
        <w:t>9. 交通运输</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r>
        <w:rPr>
          <w:rFonts w:hint="eastAsia" w:ascii="仿宋" w:hAnsi="仿宋" w:eastAsia="仿宋" w:cs="仿宋"/>
          <w:b w:val="0"/>
          <w:bCs w:val="0"/>
          <w:i w:val="0"/>
          <w:iCs w:val="0"/>
          <w:color w:val="auto"/>
          <w:sz w:val="24"/>
          <w:szCs w:val="24"/>
          <w:highlight w:val="none"/>
          <w:lang w:eastAsia="zh-CN"/>
        </w:rPr>
        <w:t xml:space="preserve"> </w:t>
      </w:r>
    </w:p>
    <w:p w14:paraId="504BF635">
      <w:pPr>
        <w:widowControl w:val="0"/>
        <w:spacing w:line="360" w:lineRule="auto"/>
        <w:ind w:left="119"/>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9</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办理道路通行权和修建场外设施的费用：</w:t>
      </w:r>
      <w:r>
        <w:rPr>
          <w:rFonts w:hint="eastAsia" w:ascii="仿宋" w:hAnsi="仿宋" w:eastAsia="仿宋" w:cs="仿宋"/>
          <w:color w:val="auto"/>
          <w:highlight w:val="none"/>
          <w:u w:val="single"/>
          <w:lang w:eastAsia="zh-CN"/>
        </w:rPr>
        <w:t>由承包人负责取得出入施工现场所需的批准手续和全部权利，以及取得因工程实施所需修建道路、桥梁以及其他基础设施的权利，并承担相关手续费用和建设费用，相关费用已含在投标报价中。</w:t>
      </w:r>
      <w:r>
        <w:rPr>
          <w:rFonts w:ascii="仿宋" w:hAnsi="仿宋" w:eastAsia="仿宋" w:cs="仿宋"/>
          <w:color w:val="auto"/>
          <w:highlight w:val="none"/>
          <w:u w:val="single"/>
          <w:lang w:eastAsia="zh-CN"/>
        </w:rPr>
        <w:t xml:space="preserve">             </w:t>
      </w:r>
    </w:p>
    <w:p w14:paraId="0D312B1F">
      <w:pPr>
        <w:spacing w:line="360" w:lineRule="auto"/>
        <w:ind w:firstLine="240" w:firstLineChars="1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9</w:t>
      </w:r>
      <w:r>
        <w:rPr>
          <w:rFonts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修建场内临时道路和交通设施的费用：</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由承包人承担，相关费用已含在投标报价中。</w:t>
      </w:r>
    </w:p>
    <w:p w14:paraId="324FEBE6">
      <w:pPr>
        <w:widowControl w:val="0"/>
        <w:spacing w:line="360" w:lineRule="auto"/>
        <w:ind w:left="119"/>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9</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3</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运输超大件和超重件的费用：</w:t>
      </w:r>
      <w:r>
        <w:rPr>
          <w:rFonts w:hint="eastAsia" w:ascii="仿宋" w:hAnsi="仿宋" w:eastAsia="仿宋" w:cs="仿宋"/>
          <w:color w:val="auto"/>
          <w:highlight w:val="none"/>
          <w:u w:val="single"/>
          <w:lang w:eastAsia="zh-CN"/>
        </w:rPr>
        <w:t xml:space="preserve">由承包人承担，相关费用已含在投标报价中。 </w:t>
      </w:r>
      <w:r>
        <w:rPr>
          <w:rFonts w:ascii="仿宋" w:hAnsi="仿宋" w:eastAsia="仿宋" w:cs="仿宋"/>
          <w:color w:val="auto"/>
          <w:highlight w:val="none"/>
          <w:u w:val="single"/>
          <w:lang w:eastAsia="zh-CN"/>
        </w:rPr>
        <w:t xml:space="preserve">   </w:t>
      </w:r>
    </w:p>
    <w:p w14:paraId="3F19B3C4">
      <w:pPr>
        <w:pStyle w:val="5"/>
        <w:numPr>
          <w:ilvl w:val="255"/>
          <w:numId w:val="0"/>
        </w:numPr>
        <w:tabs>
          <w:tab w:val="left" w:pos="420"/>
        </w:tabs>
        <w:spacing w:before="0"/>
        <w:rPr>
          <w:rFonts w:hint="eastAsia" w:ascii="仿宋" w:hAnsi="仿宋" w:eastAsia="仿宋" w:cs="仿宋"/>
          <w:b w:val="0"/>
          <w:bCs w:val="0"/>
          <w:i w:val="0"/>
          <w:iCs w:val="0"/>
          <w:color w:val="auto"/>
          <w:sz w:val="24"/>
          <w:szCs w:val="24"/>
          <w:highlight w:val="none"/>
          <w:lang w:eastAsia="zh-CN"/>
        </w:rPr>
      </w:pPr>
      <w:bookmarkStart w:id="591" w:name="_Toc7948"/>
      <w:bookmarkStart w:id="592" w:name="_Toc4713"/>
      <w:bookmarkStart w:id="593" w:name="_Toc439"/>
      <w:bookmarkStart w:id="594" w:name="_Toc427"/>
      <w:bookmarkStart w:id="595" w:name="_Toc12795"/>
      <w:bookmarkStart w:id="596" w:name="_Toc22736"/>
      <w:bookmarkStart w:id="597" w:name="_Toc2886"/>
      <w:bookmarkStart w:id="598" w:name="_Toc10545"/>
      <w:bookmarkStart w:id="599" w:name="_Toc19067"/>
      <w:bookmarkStart w:id="600" w:name="_Toc14799"/>
      <w:bookmarkStart w:id="601" w:name="_Toc21196"/>
      <w:bookmarkStart w:id="602" w:name="_Toc6238"/>
      <w:bookmarkStart w:id="603" w:name="_Toc29853"/>
      <w:bookmarkStart w:id="604" w:name="_Toc4781"/>
      <w:bookmarkStart w:id="605" w:name="_Toc10624933"/>
      <w:bookmarkStart w:id="606" w:name="_Toc31661"/>
      <w:bookmarkStart w:id="607" w:name="_Toc469384089"/>
      <w:bookmarkStart w:id="608" w:name="_Toc20308"/>
      <w:bookmarkStart w:id="609" w:name="_Toc14246"/>
      <w:r>
        <w:rPr>
          <w:rFonts w:hint="eastAsia" w:ascii="仿宋" w:hAnsi="仿宋" w:eastAsia="仿宋" w:cs="仿宋"/>
          <w:b w:val="0"/>
          <w:bCs w:val="0"/>
          <w:i w:val="0"/>
          <w:iCs w:val="0"/>
          <w:color w:val="auto"/>
          <w:sz w:val="24"/>
          <w:szCs w:val="24"/>
          <w:highlight w:val="none"/>
          <w:lang w:eastAsia="zh-CN"/>
        </w:rPr>
        <w:t>10. 专项批准事件的签认</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58123E8B">
      <w:pPr>
        <w:ind w:left="120"/>
        <w:rPr>
          <w:rFonts w:hint="eastAsia" w:ascii="仿宋" w:hAnsi="仿宋" w:eastAsia="仿宋"/>
          <w:color w:val="auto"/>
          <w:highlight w:val="none"/>
          <w:lang w:eastAsia="zh-CN"/>
        </w:rPr>
      </w:pPr>
    </w:p>
    <w:p w14:paraId="4EF63A41">
      <w:pPr>
        <w:ind w:left="12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10</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专项批准事件的签认人选</w:t>
      </w:r>
    </w:p>
    <w:p w14:paraId="5725AEB2">
      <w:pPr>
        <w:ind w:left="120"/>
        <w:rPr>
          <w:rFonts w:hint="eastAsia" w:ascii="仿宋" w:hAnsi="仿宋" w:eastAsia="仿宋"/>
          <w:color w:val="auto"/>
          <w:highlight w:val="none"/>
          <w:lang w:eastAsia="zh-CN"/>
        </w:rPr>
      </w:pPr>
    </w:p>
    <w:p w14:paraId="5BABCFC2">
      <w:pPr>
        <w:numPr>
          <w:ilvl w:val="255"/>
          <w:numId w:val="0"/>
        </w:numPr>
        <w:rPr>
          <w:color w:val="auto"/>
          <w:highlight w:val="none"/>
          <w:lang w:eastAsia="zh-CN"/>
        </w:rPr>
      </w:pPr>
      <w:r>
        <w:rPr>
          <w:rFonts w:hint="eastAsia"/>
          <w:color w:val="auto"/>
          <w:highlight w:val="none"/>
          <w:lang w:eastAsia="zh-CN"/>
        </w:rPr>
        <w:t>（1）监理工程师：</w:t>
      </w:r>
    </w:p>
    <w:p w14:paraId="694E314C">
      <w:pPr>
        <w:rPr>
          <w:color w:val="auto"/>
          <w:highlight w:val="none"/>
          <w:lang w:eastAsia="zh-CN"/>
        </w:rPr>
      </w:pPr>
    </w:p>
    <w:p w14:paraId="77C6190E">
      <w:pPr>
        <w:rPr>
          <w:color w:val="auto"/>
          <w:highlight w:val="none"/>
          <w:lang w:eastAsia="zh-CN"/>
        </w:rPr>
      </w:pPr>
      <w:r>
        <w:rPr>
          <w:color w:val="auto"/>
          <w:highlight w:val="none"/>
          <w:lang w:eastAsia="zh-CN"/>
        </w:rPr>
        <w:t xml:space="preserve"> </w:t>
      </w:r>
      <w:r>
        <w:rPr>
          <w:rFonts w:hint="eastAsia"/>
          <w:color w:val="auto"/>
          <w:highlight w:val="none"/>
          <w:lang w:eastAsia="zh-CN"/>
        </w:rPr>
        <w:t xml:space="preserve"> 姓名：</w:t>
      </w:r>
      <w:r>
        <w:rPr>
          <w:color w:val="auto"/>
          <w:highlight w:val="none"/>
          <w:lang w:eastAsia="zh-CN"/>
        </w:rPr>
        <w:t xml:space="preserve">                  </w:t>
      </w:r>
      <w:r>
        <w:rPr>
          <w:rFonts w:hint="eastAsia"/>
          <w:color w:val="auto"/>
          <w:highlight w:val="none"/>
          <w:lang w:eastAsia="zh-CN"/>
        </w:rPr>
        <w:t>印章样式：</w:t>
      </w:r>
      <w:r>
        <w:rPr>
          <w:color w:val="auto"/>
          <w:highlight w:val="none"/>
          <w:lang w:eastAsia="zh-CN"/>
        </w:rPr>
        <w:t xml:space="preserve">                </w:t>
      </w:r>
      <w:r>
        <w:rPr>
          <w:rFonts w:hint="eastAsia"/>
          <w:color w:val="auto"/>
          <w:highlight w:val="none"/>
          <w:lang w:eastAsia="zh-CN"/>
        </w:rPr>
        <w:t>签字样式：</w:t>
      </w:r>
      <w:r>
        <w:rPr>
          <w:color w:val="auto"/>
          <w:highlight w:val="none"/>
          <w:lang w:eastAsia="zh-CN"/>
        </w:rPr>
        <w:t xml:space="preserve">                </w:t>
      </w:r>
    </w:p>
    <w:p w14:paraId="05BC363C">
      <w:pPr>
        <w:rPr>
          <w:color w:val="auto"/>
          <w:highlight w:val="none"/>
          <w:lang w:eastAsia="zh-CN"/>
        </w:rPr>
      </w:pPr>
      <w:bookmarkStart w:id="610" w:name="_Toc7500"/>
      <w:bookmarkStart w:id="611" w:name="_Toc149731548"/>
      <w:r>
        <w:rPr>
          <w:rFonts w:hint="eastAsia"/>
          <w:color w:val="auto"/>
          <w:highlight w:val="none"/>
          <w:lang w:eastAsia="zh-CN"/>
        </w:rPr>
        <w:t>（2）承包人代表：</w:t>
      </w:r>
    </w:p>
    <w:p w14:paraId="207950EC">
      <w:pPr>
        <w:ind w:firstLine="240" w:firstLineChars="100"/>
        <w:rPr>
          <w:rFonts w:hint="eastAsia" w:ascii="仿宋" w:hAnsi="仿宋" w:eastAsia="仿宋" w:cs="仿宋"/>
          <w:color w:val="auto"/>
          <w:highlight w:val="none"/>
          <w:lang w:eastAsia="zh-CN"/>
        </w:rPr>
      </w:pPr>
      <w:bookmarkStart w:id="612" w:name="_Toc8623"/>
      <w:bookmarkStart w:id="613" w:name="_Toc987"/>
      <w:bookmarkStart w:id="614" w:name="_Toc19138"/>
      <w:r>
        <w:rPr>
          <w:rFonts w:ascii="Cambria" w:hAnsi="Cambria"/>
          <w:color w:val="auto"/>
          <w:szCs w:val="28"/>
          <w:highlight w:val="none"/>
          <w:lang w:eastAsia="zh-CN"/>
        </w:rPr>
        <w:t xml:space="preserve">姓名：                  印章样式：                签字样式：             </w:t>
      </w:r>
      <w:bookmarkEnd w:id="612"/>
      <w:bookmarkEnd w:id="613"/>
      <w:bookmarkEnd w:id="614"/>
    </w:p>
    <w:p w14:paraId="69223F41">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bookmarkStart w:id="615" w:name="_Toc14276"/>
      <w:bookmarkStart w:id="616" w:name="_Toc23360"/>
      <w:bookmarkStart w:id="617" w:name="_Toc28656"/>
    </w:p>
    <w:p w14:paraId="61E1926D">
      <w:pPr>
        <w:pStyle w:val="5"/>
        <w:tabs>
          <w:tab w:val="left" w:pos="420"/>
        </w:tabs>
        <w:spacing w:before="0" w:after="0" w:line="360" w:lineRule="auto"/>
        <w:rPr>
          <w:rFonts w:hint="eastAsia" w:ascii="仿宋" w:hAnsi="仿宋" w:eastAsia="仿宋"/>
          <w:color w:val="auto"/>
          <w:highlight w:val="none"/>
          <w:lang w:eastAsia="zh-CN"/>
        </w:rPr>
      </w:pPr>
      <w:bookmarkStart w:id="618" w:name="_Toc29084"/>
      <w:bookmarkStart w:id="619" w:name="_Toc15426"/>
      <w:bookmarkStart w:id="620" w:name="_Toc23720"/>
      <w:bookmarkStart w:id="621" w:name="_Toc21376"/>
      <w:bookmarkStart w:id="622" w:name="_Toc23935"/>
      <w:bookmarkStart w:id="623" w:name="_Toc22442"/>
      <w:bookmarkStart w:id="624" w:name="_Toc25706"/>
      <w:bookmarkStart w:id="625" w:name="_Toc17747"/>
      <w:bookmarkStart w:id="626" w:name="_Toc25194"/>
      <w:bookmarkStart w:id="627" w:name="_Toc10133"/>
      <w:bookmarkStart w:id="628" w:name="_Toc14676"/>
      <w:r>
        <w:rPr>
          <w:rFonts w:hint="eastAsia" w:ascii="仿宋" w:hAnsi="仿宋" w:eastAsia="仿宋" w:cs="仿宋"/>
          <w:b w:val="0"/>
          <w:bCs w:val="0"/>
          <w:color w:val="auto"/>
          <w:sz w:val="24"/>
          <w:szCs w:val="24"/>
          <w:highlight w:val="none"/>
          <w:lang w:eastAsia="zh-CN"/>
        </w:rPr>
        <w:t>11.专利技术和知识产权</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25BB5C6E">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11.1版权和知识产权</w:t>
      </w:r>
    </w:p>
    <w:p w14:paraId="1FD5B2F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承包人（或以承包人名义）为实施工程所编制的文件、承包人完成的设计工作成果和建造完成的建筑物，其著作权归属的约定：</w:t>
      </w:r>
      <w:r>
        <w:rPr>
          <w:rFonts w:hint="eastAsia" w:ascii="仿宋" w:hAnsi="仿宋" w:eastAsia="仿宋" w:cs="仿宋"/>
          <w:color w:val="auto"/>
          <w:highlight w:val="none"/>
          <w:u w:val="single"/>
          <w:lang w:eastAsia="zh-CN"/>
        </w:rPr>
        <w:t xml:space="preserve"> 归发包人。 </w:t>
      </w:r>
    </w:p>
    <w:p w14:paraId="643F80C0">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p>
    <w:p w14:paraId="733B297A">
      <w:pPr>
        <w:pStyle w:val="5"/>
        <w:tabs>
          <w:tab w:val="left" w:pos="420"/>
        </w:tabs>
        <w:spacing w:before="0" w:after="0" w:line="360" w:lineRule="auto"/>
        <w:rPr>
          <w:rFonts w:hint="eastAsia" w:ascii="仿宋" w:hAnsi="仿宋" w:eastAsia="仿宋"/>
          <w:color w:val="auto"/>
          <w:highlight w:val="none"/>
          <w:lang w:eastAsia="zh-CN"/>
        </w:rPr>
      </w:pPr>
      <w:bookmarkStart w:id="629" w:name="_Toc31954"/>
      <w:bookmarkStart w:id="630" w:name="_Toc22020"/>
      <w:bookmarkStart w:id="631" w:name="_Toc21160"/>
      <w:bookmarkStart w:id="632" w:name="_Toc9562"/>
      <w:bookmarkStart w:id="633" w:name="_Toc21960"/>
      <w:bookmarkStart w:id="634" w:name="_Toc2873"/>
      <w:bookmarkStart w:id="635" w:name="_Toc18843"/>
      <w:bookmarkStart w:id="636" w:name="_Toc31929"/>
      <w:bookmarkStart w:id="637" w:name="_Toc15983"/>
      <w:bookmarkStart w:id="638" w:name="_Toc902"/>
      <w:bookmarkStart w:id="639" w:name="_Toc15139"/>
      <w:bookmarkStart w:id="640" w:name="_Toc5734"/>
      <w:bookmarkStart w:id="641" w:name="_Toc26247"/>
      <w:bookmarkStart w:id="642" w:name="_Toc11242"/>
      <w:r>
        <w:rPr>
          <w:rFonts w:hint="eastAsia" w:ascii="仿宋" w:hAnsi="仿宋" w:eastAsia="仿宋" w:cs="仿宋"/>
          <w:b w:val="0"/>
          <w:bCs w:val="0"/>
          <w:color w:val="auto"/>
          <w:sz w:val="24"/>
          <w:szCs w:val="24"/>
          <w:highlight w:val="none"/>
          <w:lang w:eastAsia="zh-CN"/>
        </w:rPr>
        <w:t>12.  联合体的责任</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3FB32475">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12.1联合体的组成及责任</w:t>
      </w:r>
    </w:p>
    <w:p w14:paraId="568A6F2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12.1.1联合牵头人的管理责任</w:t>
      </w:r>
    </w:p>
    <w:p w14:paraId="17D6EC0F">
      <w:pPr>
        <w:spacing w:line="360" w:lineRule="auto"/>
        <w:ind w:left="240" w:leftChars="100" w:firstLine="360" w:firstLineChars="1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设计单位为联合体牵头人时的管理责任：</w:t>
      </w:r>
    </w:p>
    <w:p w14:paraId="2B2ABA77">
      <w:pPr>
        <w:snapToGrid w:val="0"/>
        <w:spacing w:line="360" w:lineRule="auto"/>
        <w:ind w:left="240" w:leftChars="100" w:firstLine="360" w:firstLineChars="1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☑施工单位为联合体牵头人时的管理责任：</w:t>
      </w:r>
      <w:r>
        <w:rPr>
          <w:rFonts w:hint="eastAsia" w:ascii="仿宋" w:hAnsi="仿宋" w:eastAsia="仿宋" w:cs="仿宋"/>
          <w:color w:val="auto"/>
          <w:highlight w:val="none"/>
          <w:u w:val="single"/>
          <w:lang w:eastAsia="zh-CN"/>
        </w:rPr>
        <w:t>按联合体协议书执行。</w:t>
      </w:r>
    </w:p>
    <w:p w14:paraId="214037DB">
      <w:pPr>
        <w:snapToGrid w:val="0"/>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12.2 联合体的内部管理</w:t>
      </w:r>
    </w:p>
    <w:p w14:paraId="37AB911E">
      <w:pPr>
        <w:snapToGrid w:val="0"/>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12.2.1 联合体牵头人因反对成员单位提出的优化建议而不报送发包人审核，发包人有权对牵头人进行经济处罚，其违约处罚方式的约定：</w:t>
      </w:r>
      <w:r>
        <w:rPr>
          <w:rFonts w:hint="eastAsia" w:ascii="仿宋" w:hAnsi="仿宋" w:eastAsia="仿宋" w:cs="仿宋"/>
          <w:color w:val="auto"/>
          <w:highlight w:val="none"/>
          <w:u w:val="single"/>
          <w:lang w:eastAsia="zh-CN"/>
        </w:rPr>
        <w:t>每发生1次，承包人承担</w:t>
      </w:r>
      <w:r>
        <w:rPr>
          <w:rFonts w:ascii="仿宋" w:hAnsi="仿宋" w:eastAsia="仿宋" w:cs="仿宋"/>
          <w:color w:val="auto"/>
          <w:highlight w:val="none"/>
          <w:u w:val="single"/>
          <w:lang w:eastAsia="zh-CN"/>
        </w:rPr>
        <w:t>1次一般违约责任处罚。</w:t>
      </w:r>
    </w:p>
    <w:p w14:paraId="4BEB0D74">
      <w:pPr>
        <w:snapToGrid w:val="0"/>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12.3合同价款支付</w:t>
      </w:r>
    </w:p>
    <w:p w14:paraId="13700804">
      <w:pPr>
        <w:snapToGrid w:val="0"/>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联合体各成员的分工、费用收取、发票开具等事项：如承包人为联合体形式的，则合同各项费用由联合体各方独立向甲方发起申请，承包人（施工方与设计方）分别负责设计及工程施工部分工作，设计费及施工总承包费分别开具增值税专用发票，向发包人独立申请收取，但承包人（施工方与设计方）应就本工程项目共同向发包人承担连带的法律责任。</w:t>
      </w:r>
    </w:p>
    <w:p w14:paraId="4BF03202">
      <w:pPr>
        <w:pStyle w:val="5"/>
        <w:tabs>
          <w:tab w:val="left" w:pos="420"/>
        </w:tabs>
        <w:spacing w:before="0" w:after="0" w:line="360" w:lineRule="auto"/>
        <w:rPr>
          <w:rFonts w:hint="eastAsia" w:ascii="仿宋" w:hAnsi="仿宋" w:eastAsia="仿宋"/>
          <w:color w:val="auto"/>
          <w:highlight w:val="none"/>
          <w:lang w:eastAsia="zh-CN"/>
        </w:rPr>
      </w:pPr>
      <w:bookmarkStart w:id="643" w:name="_Toc30621"/>
      <w:bookmarkStart w:id="644" w:name="_Toc3869"/>
      <w:bookmarkStart w:id="645" w:name="_Toc419"/>
      <w:bookmarkStart w:id="646" w:name="_Toc32325"/>
      <w:bookmarkStart w:id="647" w:name="_Toc2147"/>
      <w:bookmarkStart w:id="648" w:name="_Toc10937"/>
      <w:bookmarkStart w:id="649" w:name="_Toc9307"/>
      <w:bookmarkStart w:id="650" w:name="_Toc4813"/>
      <w:bookmarkStart w:id="651" w:name="_Toc20528"/>
      <w:bookmarkStart w:id="652" w:name="_Toc7591"/>
      <w:bookmarkStart w:id="653" w:name="_Toc26905"/>
      <w:bookmarkStart w:id="654" w:name="_Toc14052"/>
      <w:bookmarkStart w:id="655" w:name="_Toc14973"/>
      <w:bookmarkStart w:id="656" w:name="_Toc1956"/>
      <w:r>
        <w:rPr>
          <w:rFonts w:hint="eastAsia" w:ascii="仿宋" w:hAnsi="仿宋" w:eastAsia="仿宋" w:cs="仿宋"/>
          <w:b w:val="0"/>
          <w:bCs w:val="0"/>
          <w:color w:val="auto"/>
          <w:sz w:val="24"/>
          <w:szCs w:val="24"/>
          <w:highlight w:val="none"/>
          <w:lang w:eastAsia="zh-CN"/>
        </w:rPr>
        <w:t>13.发包人</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58BB452D">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13.1 发包人工作</w:t>
      </w:r>
    </w:p>
    <w:p w14:paraId="2359B002">
      <w:pPr>
        <w:spacing w:line="360" w:lineRule="auto"/>
        <w:ind w:firstLine="600" w:firstLineChars="2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发包人完成下列工作的约定：</w:t>
      </w:r>
    </w:p>
    <w:p w14:paraId="42C1FC5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（1）提供标准与规范的时间：</w:t>
      </w:r>
      <w:r>
        <w:rPr>
          <w:rFonts w:hint="eastAsia" w:ascii="仿宋" w:hAnsi="仿宋" w:eastAsia="仿宋" w:cs="仿宋"/>
          <w:color w:val="auto"/>
          <w:highlight w:val="none"/>
          <w:u w:val="single"/>
          <w:lang w:eastAsia="zh-CN"/>
        </w:rPr>
        <w:t xml:space="preserve"> 承包人自行取得相关标准与规范。 </w:t>
      </w:r>
    </w:p>
    <w:p w14:paraId="26FA779D">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（2）办理土地征用、拆迁、平整施工场地等工作的时间：</w:t>
      </w:r>
      <w:r>
        <w:rPr>
          <w:rFonts w:hint="eastAsia" w:ascii="仿宋" w:hAnsi="仿宋" w:eastAsia="仿宋" w:cs="仿宋"/>
          <w:color w:val="auto"/>
          <w:highlight w:val="none"/>
          <w:u w:val="single"/>
          <w:lang w:eastAsia="zh-CN"/>
        </w:rPr>
        <w:t>发包人按现状提供施工场地。发包人有权按照项目的实际进度和计划分批移交工作面，承包人已充分考虑并承诺承担因场地不能一次性移交而产生的相关费用。承包人需根据发包人的进场指令工作量对应配置人员、设备、材料（需经承包人、发包人、监理三方共同确认），如未有进场指令，承包人擅自进场的由承包人自行承担相关责任。</w:t>
      </w:r>
    </w:p>
    <w:p w14:paraId="71CB8BFD">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（3）完成施工所需水、电、通讯线路接驳的时间及地点：</w:t>
      </w:r>
      <w:r>
        <w:rPr>
          <w:rFonts w:hint="eastAsia" w:ascii="仿宋" w:hAnsi="仿宋" w:eastAsia="仿宋" w:cs="仿宋"/>
          <w:color w:val="auto"/>
          <w:highlight w:val="none"/>
          <w:u w:val="single"/>
          <w:lang w:eastAsia="zh-CN"/>
        </w:rPr>
        <w:t>现场未具备“三通一平”条件，承包人须自行办理施工临时排水许可及施工临时排污许可证。</w:t>
      </w:r>
    </w:p>
    <w:p w14:paraId="28C64D7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 xml:space="preserve">承包人须负责将水、电接至场内以满足正常施工要求；其他以施工场地已具备的现状为准，若施工场地不满足正常施工要求，由承包人自行承担相关费用。包括但不限于市政管网供水压力、临电线路等不能满足承包人施工所需，相关费用已含在签约合同价款中。 </w:t>
      </w:r>
    </w:p>
    <w:p w14:paraId="5A969F14">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（4）开通施工现场与城乡公共道路间的通道的时间：</w:t>
      </w:r>
      <w:r>
        <w:rPr>
          <w:rFonts w:hint="eastAsia" w:ascii="仿宋" w:hAnsi="仿宋" w:eastAsia="仿宋" w:cs="仿宋"/>
          <w:color w:val="auto"/>
          <w:highlight w:val="none"/>
          <w:u w:val="single"/>
          <w:lang w:eastAsia="zh-CN"/>
        </w:rPr>
        <w:t>由承包人负责。</w:t>
      </w:r>
    </w:p>
    <w:p w14:paraId="5F619BBA">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（5）办理施工所需的有关证件和批准手续的时间：</w:t>
      </w:r>
      <w:r>
        <w:rPr>
          <w:rFonts w:hint="eastAsia" w:ascii="仿宋" w:hAnsi="仿宋" w:eastAsia="仿宋" w:cs="仿宋"/>
          <w:color w:val="auto"/>
          <w:highlight w:val="none"/>
          <w:u w:val="single"/>
          <w:lang w:eastAsia="zh-CN"/>
        </w:rPr>
        <w:t>协议书第二条约定的施工所需有关证件和批准手续由承包人负责配合办理。</w:t>
      </w:r>
    </w:p>
    <w:p w14:paraId="3EA02A21">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（6）确定水准点与坐标控制点，组织现场交验的时间：</w:t>
      </w:r>
      <w:r>
        <w:rPr>
          <w:rFonts w:hint="eastAsia" w:ascii="仿宋" w:hAnsi="仿宋" w:eastAsia="仿宋" w:cs="仿宋"/>
          <w:color w:val="auto"/>
          <w:highlight w:val="none"/>
          <w:u w:val="single"/>
          <w:lang w:eastAsia="zh-CN"/>
        </w:rPr>
        <w:t xml:space="preserve">施工开工7天前，具体时间以发包人通知为准。 </w:t>
      </w:r>
    </w:p>
    <w:p w14:paraId="217CFB9F">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（7）协调处理施工场地周围地形关系问题和邻近建筑物等保护工作的约定：</w:t>
      </w:r>
      <w:r>
        <w:rPr>
          <w:rFonts w:hint="eastAsia" w:ascii="仿宋" w:hAnsi="仿宋" w:eastAsia="仿宋" w:cs="仿宋"/>
          <w:color w:val="auto"/>
          <w:highlight w:val="none"/>
          <w:u w:val="single"/>
          <w:lang w:eastAsia="zh-CN"/>
        </w:rPr>
        <w:t>由承包人负责。</w:t>
      </w:r>
    </w:p>
    <w:p w14:paraId="52CDCF1D">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（8）其它约定：</w:t>
      </w:r>
      <w:r>
        <w:rPr>
          <w:rFonts w:hint="eastAsia" w:ascii="仿宋" w:hAnsi="仿宋" w:eastAsia="仿宋" w:cs="仿宋"/>
          <w:color w:val="auto"/>
          <w:highlight w:val="none"/>
          <w:u w:val="single"/>
          <w:lang w:eastAsia="zh-CN"/>
        </w:rPr>
        <w:t>/</w:t>
      </w:r>
    </w:p>
    <w:p w14:paraId="3C8F68E5">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13.2发包人提供施工场地</w:t>
      </w:r>
    </w:p>
    <w:p w14:paraId="64B7FF7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提供施工场地的时间：</w:t>
      </w:r>
      <w:r>
        <w:rPr>
          <w:rFonts w:hint="eastAsia" w:ascii="仿宋" w:hAnsi="仿宋" w:eastAsia="仿宋" w:cs="仿宋"/>
          <w:color w:val="auto"/>
          <w:highlight w:val="none"/>
          <w:u w:val="single"/>
          <w:lang w:eastAsia="zh-CN"/>
        </w:rPr>
        <w:t>发包人有权按照项目的实际进度和计划分批移交工作面，承包人已充分考虑并承诺承担因场地不能一次性移交而产生的相关费用及对工期的影响。</w:t>
      </w:r>
    </w:p>
    <w:p w14:paraId="01D0761D">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13.3 发包人支付款项</w:t>
      </w:r>
    </w:p>
    <w:p w14:paraId="354FF002">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①工程款支付期限</w:t>
      </w:r>
    </w:p>
    <w:p w14:paraId="56B73C6B">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按通用条款第85.3款、第86.3款、第88.3款等约定期限支付。</w:t>
      </w:r>
    </w:p>
    <w:p w14:paraId="4E95AE7C">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 另作约定：</w:t>
      </w:r>
      <w:r>
        <w:rPr>
          <w:rFonts w:hint="eastAsia" w:ascii="仿宋" w:hAnsi="仿宋" w:eastAsia="仿宋" w:cs="仿宋"/>
          <w:color w:val="auto"/>
          <w:highlight w:val="none"/>
          <w:u w:val="single"/>
          <w:lang w:eastAsia="zh-CN"/>
        </w:rPr>
        <w:t xml:space="preserve">                                </w:t>
      </w:r>
    </w:p>
    <w:p w14:paraId="5F53AE2D">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②工程款支付方式</w:t>
      </w:r>
    </w:p>
    <w:p w14:paraId="284DDA1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 xml:space="preserve"> 按协议书所注明的银行账户转账。</w:t>
      </w:r>
    </w:p>
    <w:p w14:paraId="4DB4E48C">
      <w:pPr>
        <w:spacing w:line="360" w:lineRule="auto"/>
        <w:ind w:firstLine="480" w:firstLineChars="200"/>
        <w:rPr>
          <w:rFonts w:hint="eastAsia" w:ascii="仿宋" w:hAnsi="仿宋" w:eastAsia="仿宋"/>
          <w:color w:val="auto"/>
          <w:highlight w:val="none"/>
        </w:rPr>
      </w:pPr>
      <w:r>
        <w:rPr>
          <w:rFonts w:hint="eastAsia" w:ascii="仿宋" w:hAnsi="仿宋" w:eastAsia="仿宋" w:cs="仿宋"/>
          <w:color w:val="auto"/>
          <w:highlight w:val="none"/>
        </w:rPr>
        <w:t>□ 支票支付。</w:t>
      </w:r>
    </w:p>
    <w:p w14:paraId="2FB0A52E">
      <w:pPr>
        <w:spacing w:line="360" w:lineRule="auto"/>
        <w:ind w:firstLine="480" w:firstLineChars="200"/>
        <w:rPr>
          <w:rFonts w:hint="eastAsia" w:ascii="仿宋" w:hAnsi="仿宋" w:eastAsia="仿宋" w:cs="仿宋"/>
          <w:color w:val="auto"/>
          <w:highlight w:val="none"/>
        </w:rPr>
      </w:pPr>
      <w:r>
        <w:rPr>
          <w:rFonts w:hint="eastAsia" w:ascii="仿宋" w:hAnsi="仿宋" w:eastAsia="仿宋" w:cs="仿宋"/>
          <w:color w:val="auto"/>
          <w:highlight w:val="none"/>
        </w:rPr>
        <w:t>□ 其他方式：</w:t>
      </w:r>
    </w:p>
    <w:p w14:paraId="51B4B78E">
      <w:pPr>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13.4抽出部分工程之权利：</w:t>
      </w:r>
    </w:p>
    <w:p w14:paraId="1CF2A592">
      <w:pPr>
        <w:ind w:left="120"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a、若承包人出现安全、质量、进度无法按合同要求履行或发包人预判承包人对无法合同进行履约，发包人有权在本合同之工程范围内抽出部分工程，改聘专业承包人或第三方进行施工，相应的费用从承包人的合同总价中扣除，且承包人应为此提供总承包管理配合服务，承包人不能借此要求任何其它违约、赔偿、补偿、津贴等。</w:t>
      </w:r>
    </w:p>
    <w:p w14:paraId="23C6837E">
      <w:pPr>
        <w:ind w:left="120"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b、承包人承诺，无论在任何时期，发包人有权将合同内的部分工程改聘专业承包人或第三方进行施工，承包人相应的报价亦从合同总价中扣除，且承包人应为此提供总承包管理配合服务，承包人不能借此要求任何其它违约、赔偿、补偿、津贴等。</w:t>
      </w:r>
    </w:p>
    <w:p w14:paraId="11AF4E1F">
      <w:pPr>
        <w:spacing w:line="360" w:lineRule="auto"/>
        <w:ind w:firstLine="480" w:firstLineChars="200"/>
        <w:rPr>
          <w:rFonts w:hint="eastAsia" w:ascii="仿宋" w:hAnsi="仿宋" w:eastAsia="仿宋"/>
          <w:color w:val="auto"/>
          <w:highlight w:val="none"/>
          <w:u w:val="single"/>
          <w:lang w:eastAsia="zh-CN"/>
        </w:rPr>
      </w:pPr>
    </w:p>
    <w:p w14:paraId="0D54AA78">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olor w:val="auto"/>
          <w:highlight w:val="none"/>
          <w:u w:val="single"/>
          <w:lang w:eastAsia="zh-CN"/>
        </w:rPr>
        <w:t>13.5发包人保留下列权利：</w:t>
      </w:r>
    </w:p>
    <w:p w14:paraId="041C81B5">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olor w:val="auto"/>
          <w:highlight w:val="none"/>
          <w:u w:val="single"/>
          <w:lang w:eastAsia="zh-CN"/>
        </w:rPr>
        <w:t>（</w:t>
      </w:r>
      <w:r>
        <w:rPr>
          <w:rFonts w:ascii="仿宋" w:hAnsi="仿宋" w:eastAsia="仿宋"/>
          <w:color w:val="auto"/>
          <w:highlight w:val="none"/>
          <w:u w:val="single"/>
          <w:lang w:eastAsia="zh-CN"/>
        </w:rPr>
        <w:t>1）对本合同工程的设计标准、设计内容进行调整的权利，承包人不得拒绝或另行收</w:t>
      </w:r>
      <w:r>
        <w:rPr>
          <w:rFonts w:hint="eastAsia" w:ascii="仿宋" w:hAnsi="仿宋" w:eastAsia="仿宋"/>
          <w:color w:val="auto"/>
          <w:highlight w:val="none"/>
          <w:u w:val="single"/>
          <w:lang w:eastAsia="zh-CN"/>
        </w:rPr>
        <w:t>取设计</w:t>
      </w:r>
      <w:r>
        <w:rPr>
          <w:rFonts w:ascii="仿宋" w:hAnsi="仿宋" w:eastAsia="仿宋"/>
          <w:color w:val="auto"/>
          <w:highlight w:val="none"/>
          <w:u w:val="single"/>
          <w:lang w:eastAsia="zh-CN"/>
        </w:rPr>
        <w:t>费，招标文件及本合同另有规定的除外。</w:t>
      </w:r>
    </w:p>
    <w:p w14:paraId="54A8B480">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olor w:val="auto"/>
          <w:highlight w:val="none"/>
          <w:u w:val="single"/>
          <w:lang w:eastAsia="zh-CN"/>
        </w:rPr>
        <w:t>（</w:t>
      </w:r>
      <w:r>
        <w:rPr>
          <w:rFonts w:ascii="仿宋" w:hAnsi="仿宋" w:eastAsia="仿宋"/>
          <w:color w:val="auto"/>
          <w:highlight w:val="none"/>
          <w:u w:val="single"/>
          <w:lang w:eastAsia="zh-CN"/>
        </w:rPr>
        <w:t>2）享有承包人设计文件的</w:t>
      </w:r>
      <w:r>
        <w:rPr>
          <w:rFonts w:hint="eastAsia" w:ascii="仿宋" w:hAnsi="仿宋" w:eastAsia="仿宋"/>
          <w:color w:val="auto"/>
          <w:highlight w:val="none"/>
          <w:u w:val="single"/>
          <w:lang w:eastAsia="zh-CN"/>
        </w:rPr>
        <w:t>知识产权</w:t>
      </w:r>
      <w:r>
        <w:rPr>
          <w:rFonts w:ascii="仿宋" w:hAnsi="仿宋" w:eastAsia="仿宋"/>
          <w:color w:val="auto"/>
          <w:highlight w:val="none"/>
          <w:u w:val="single"/>
          <w:lang w:eastAsia="zh-CN"/>
        </w:rPr>
        <w:t>和全部使用权。</w:t>
      </w:r>
    </w:p>
    <w:p w14:paraId="672171BB">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olor w:val="auto"/>
          <w:highlight w:val="none"/>
          <w:u w:val="single"/>
          <w:lang w:eastAsia="zh-CN"/>
        </w:rPr>
        <w:t>（</w:t>
      </w:r>
      <w:r>
        <w:rPr>
          <w:rFonts w:ascii="仿宋" w:hAnsi="仿宋" w:eastAsia="仿宋"/>
          <w:color w:val="auto"/>
          <w:highlight w:val="none"/>
          <w:u w:val="single"/>
          <w:lang w:eastAsia="zh-CN"/>
        </w:rPr>
        <w:t>3）承包人在设计-施工进度、设计-施工质量、指派人员、提供服务、协作等方面义务的履行不符合本合同约定时，发包人有追究违约责任、要求赔偿损失、直至解除合同等权利；同时，发包人还有权将承包人存在的上述违约事实公诸于众和向有关部门反映情况的权利。</w:t>
      </w:r>
    </w:p>
    <w:p w14:paraId="09150DF8">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olor w:val="auto"/>
          <w:highlight w:val="none"/>
          <w:u w:val="single"/>
          <w:lang w:eastAsia="zh-CN"/>
        </w:rPr>
        <w:t>（</w:t>
      </w:r>
      <w:r>
        <w:rPr>
          <w:rFonts w:ascii="仿宋" w:hAnsi="仿宋" w:eastAsia="仿宋"/>
          <w:color w:val="auto"/>
          <w:highlight w:val="none"/>
          <w:u w:val="single"/>
          <w:lang w:eastAsia="zh-CN"/>
        </w:rPr>
        <w:t>4）发包人有权按国家相关规定聘请施工图设计审查单位，承包人应接受该施工图审查单位按照相关法律、法规和发包人赋予的权利所进行的施工图审查工作。</w:t>
      </w:r>
    </w:p>
    <w:p w14:paraId="07C5A050">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olor w:val="auto"/>
          <w:highlight w:val="none"/>
          <w:u w:val="single"/>
          <w:lang w:eastAsia="zh-CN"/>
        </w:rPr>
        <w:t>（</w:t>
      </w:r>
      <w:r>
        <w:rPr>
          <w:rFonts w:ascii="仿宋" w:hAnsi="仿宋" w:eastAsia="仿宋"/>
          <w:color w:val="auto"/>
          <w:highlight w:val="none"/>
          <w:u w:val="single"/>
          <w:lang w:eastAsia="zh-CN"/>
        </w:rPr>
        <w:t>5）对用于本合同工程的材料设备的品质、质量提交质量监督检验机构</w:t>
      </w:r>
      <w:r>
        <w:rPr>
          <w:rFonts w:hint="eastAsia" w:ascii="仿宋" w:hAnsi="仿宋" w:eastAsia="仿宋" w:cs="宋体"/>
          <w:bCs/>
          <w:snapToGrid w:val="0"/>
          <w:color w:val="auto"/>
          <w:highlight w:val="none"/>
          <w:u w:val="single"/>
          <w:lang w:eastAsia="zh-CN"/>
        </w:rPr>
        <w:t>（包括本合同约定的质量监督检验机构和法律法规规定的质量监督检验机构）</w:t>
      </w:r>
      <w:r>
        <w:rPr>
          <w:rFonts w:ascii="仿宋" w:hAnsi="仿宋" w:eastAsia="仿宋"/>
          <w:color w:val="auto"/>
          <w:highlight w:val="none"/>
          <w:u w:val="single"/>
          <w:lang w:eastAsia="zh-CN"/>
        </w:rPr>
        <w:t>审查确认的权利。</w:t>
      </w:r>
    </w:p>
    <w:p w14:paraId="43A3DFE6">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olor w:val="auto"/>
          <w:highlight w:val="none"/>
          <w:u w:val="single"/>
          <w:lang w:eastAsia="zh-CN"/>
        </w:rPr>
        <w:t>（</w:t>
      </w:r>
      <w:r>
        <w:rPr>
          <w:rFonts w:ascii="仿宋" w:hAnsi="仿宋" w:eastAsia="仿宋"/>
          <w:color w:val="auto"/>
          <w:highlight w:val="none"/>
          <w:u w:val="single"/>
          <w:lang w:eastAsia="zh-CN"/>
        </w:rPr>
        <w:t>6）依据合同的约定对合同承包范围及内容进行调整（包括增加或减少部分工程），并保留对主要材料设备的分类及</w:t>
      </w:r>
      <w:r>
        <w:rPr>
          <w:rFonts w:hint="eastAsia" w:ascii="仿宋" w:hAnsi="仿宋" w:eastAsia="仿宋"/>
          <w:color w:val="auto"/>
          <w:highlight w:val="none"/>
          <w:u w:val="single"/>
          <w:lang w:eastAsia="zh-CN"/>
        </w:rPr>
        <w:t>集中采购</w:t>
      </w:r>
      <w:r>
        <w:rPr>
          <w:rFonts w:ascii="仿宋" w:hAnsi="仿宋" w:eastAsia="仿宋"/>
          <w:color w:val="auto"/>
          <w:highlight w:val="none"/>
          <w:u w:val="single"/>
          <w:lang w:eastAsia="zh-CN"/>
        </w:rPr>
        <w:t>进行调整的权利，承包人不得拒绝或要求</w:t>
      </w:r>
      <w:r>
        <w:rPr>
          <w:rFonts w:hint="eastAsia" w:ascii="仿宋" w:hAnsi="仿宋" w:eastAsia="仿宋"/>
          <w:color w:val="auto"/>
          <w:highlight w:val="none"/>
          <w:u w:val="single"/>
          <w:lang w:eastAsia="zh-CN"/>
        </w:rPr>
        <w:t>增加费用</w:t>
      </w:r>
      <w:r>
        <w:rPr>
          <w:rFonts w:ascii="仿宋" w:hAnsi="仿宋" w:eastAsia="仿宋"/>
          <w:color w:val="auto"/>
          <w:highlight w:val="none"/>
          <w:u w:val="single"/>
          <w:lang w:eastAsia="zh-CN"/>
        </w:rPr>
        <w:t>，招标文件及本合同另有规定的除外。</w:t>
      </w:r>
    </w:p>
    <w:p w14:paraId="00D1554C">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u w:val="single"/>
          <w:lang w:eastAsia="zh-CN"/>
        </w:rPr>
        <w:t>（</w:t>
      </w:r>
      <w:r>
        <w:rPr>
          <w:rFonts w:ascii="仿宋" w:hAnsi="仿宋" w:eastAsia="仿宋"/>
          <w:color w:val="auto"/>
          <w:highlight w:val="none"/>
          <w:u w:val="single"/>
          <w:lang w:eastAsia="zh-CN"/>
        </w:rPr>
        <w:t>7）发包人有权对项目的全过程进行审计或审计调查，并提出审计意见和建议；承包人应</w:t>
      </w:r>
      <w:r>
        <w:rPr>
          <w:rFonts w:hint="eastAsia" w:ascii="仿宋" w:hAnsi="仿宋" w:eastAsia="仿宋"/>
          <w:color w:val="auto"/>
          <w:highlight w:val="none"/>
          <w:u w:val="single"/>
          <w:lang w:eastAsia="zh-CN"/>
        </w:rPr>
        <w:t>无条件</w:t>
      </w:r>
      <w:r>
        <w:rPr>
          <w:rFonts w:ascii="仿宋" w:hAnsi="仿宋" w:eastAsia="仿宋"/>
          <w:color w:val="auto"/>
          <w:highlight w:val="none"/>
          <w:u w:val="single"/>
          <w:lang w:eastAsia="zh-CN"/>
        </w:rPr>
        <w:t>配合并根据意见和建议作出相应的调整。</w:t>
      </w:r>
    </w:p>
    <w:p w14:paraId="79C1F6CF">
      <w:pPr>
        <w:spacing w:line="360" w:lineRule="auto"/>
        <w:ind w:firstLine="566" w:firstLineChars="236"/>
        <w:rPr>
          <w:rFonts w:hint="eastAsia" w:ascii="仿宋" w:hAnsi="仿宋" w:eastAsia="仿宋"/>
          <w:color w:val="auto"/>
          <w:highlight w:val="none"/>
          <w:u w:val="single"/>
          <w:lang w:eastAsia="zh-CN"/>
        </w:rPr>
      </w:pPr>
      <w:r>
        <w:rPr>
          <w:rFonts w:hint="eastAsia" w:ascii="仿宋" w:hAnsi="仿宋" w:eastAsia="仿宋"/>
          <w:color w:val="auto"/>
          <w:highlight w:val="none"/>
          <w:u w:val="single"/>
          <w:lang w:eastAsia="zh-CN"/>
        </w:rPr>
        <w:t>13</w:t>
      </w:r>
      <w:r>
        <w:rPr>
          <w:rFonts w:ascii="仿宋" w:hAnsi="仿宋" w:eastAsia="仿宋"/>
          <w:color w:val="auto"/>
          <w:highlight w:val="none"/>
          <w:u w:val="single"/>
          <w:lang w:eastAsia="zh-CN"/>
        </w:rPr>
        <w:t>.</w:t>
      </w:r>
      <w:r>
        <w:rPr>
          <w:rFonts w:hint="eastAsia" w:ascii="仿宋" w:hAnsi="仿宋" w:eastAsia="仿宋"/>
          <w:color w:val="auto"/>
          <w:highlight w:val="none"/>
          <w:u w:val="single"/>
          <w:lang w:eastAsia="zh-CN"/>
        </w:rPr>
        <w:t>6</w:t>
      </w:r>
      <w:r>
        <w:rPr>
          <w:rFonts w:ascii="仿宋" w:hAnsi="仿宋" w:eastAsia="仿宋"/>
          <w:color w:val="auto"/>
          <w:highlight w:val="none"/>
          <w:u w:val="single"/>
          <w:lang w:eastAsia="zh-CN"/>
        </w:rPr>
        <w:t>综合考评</w:t>
      </w:r>
    </w:p>
    <w:p w14:paraId="212657DE">
      <w:pPr>
        <w:ind w:firstLine="480" w:firstLineChars="200"/>
        <w:rPr>
          <w:rFonts w:hint="eastAsia" w:ascii="仿宋" w:hAnsi="仿宋" w:eastAsia="仿宋"/>
          <w:color w:val="auto"/>
          <w:highlight w:val="none"/>
          <w:u w:val="single"/>
          <w:lang w:eastAsia="zh-CN"/>
        </w:rPr>
      </w:pPr>
      <w:bookmarkStart w:id="657" w:name="_Toc20558"/>
      <w:bookmarkStart w:id="658" w:name="_Toc9745"/>
      <w:bookmarkStart w:id="659" w:name="_Toc26402"/>
      <w:r>
        <w:rPr>
          <w:rFonts w:ascii="仿宋" w:hAnsi="仿宋" w:eastAsia="仿宋"/>
          <w:color w:val="auto"/>
          <w:highlight w:val="none"/>
          <w:lang w:eastAsia="zh-CN"/>
        </w:rPr>
        <w:t>鉴于本工程的重要性，为确保本合同工程质量，发包人将对参与本合同项目建设的勘察、设计、施工等单位进行综合考评，并根据综合考评的结果按照相关规定执行。</w:t>
      </w:r>
      <w:bookmarkEnd w:id="657"/>
      <w:bookmarkEnd w:id="658"/>
      <w:bookmarkEnd w:id="659"/>
    </w:p>
    <w:p w14:paraId="5705979E">
      <w:pPr>
        <w:pStyle w:val="5"/>
        <w:tabs>
          <w:tab w:val="left" w:pos="420"/>
          <w:tab w:val="left" w:pos="576"/>
        </w:tabs>
        <w:rPr>
          <w:rFonts w:hint="eastAsia" w:ascii="仿宋" w:hAnsi="仿宋" w:eastAsia="仿宋"/>
          <w:color w:val="auto"/>
          <w:sz w:val="24"/>
          <w:szCs w:val="24"/>
          <w:highlight w:val="none"/>
          <w:lang w:eastAsia="zh-CN"/>
        </w:rPr>
      </w:pPr>
      <w:bookmarkStart w:id="660" w:name="_Toc10624935"/>
      <w:bookmarkStart w:id="661" w:name="_Toc12889"/>
      <w:bookmarkStart w:id="662" w:name="_Toc12781"/>
      <w:bookmarkStart w:id="663" w:name="_Toc7538"/>
      <w:bookmarkStart w:id="664" w:name="_Toc16322"/>
      <w:bookmarkStart w:id="665" w:name="_Toc6775"/>
      <w:bookmarkStart w:id="666" w:name="_Toc14694"/>
      <w:bookmarkStart w:id="667" w:name="_Toc5407"/>
      <w:bookmarkStart w:id="668" w:name="_Toc2416"/>
      <w:bookmarkStart w:id="669" w:name="_Toc24430"/>
      <w:bookmarkStart w:id="670" w:name="_Toc23932"/>
      <w:bookmarkStart w:id="671" w:name="_Toc23481"/>
      <w:bookmarkStart w:id="672" w:name="_Toc469384091"/>
      <w:bookmarkStart w:id="673" w:name="_Toc4878"/>
      <w:bookmarkStart w:id="674" w:name="_Toc11195"/>
      <w:bookmarkStart w:id="675" w:name="_Toc11739"/>
      <w:bookmarkStart w:id="676" w:name="_Toc21159"/>
      <w:bookmarkStart w:id="677" w:name="_Toc2200"/>
      <w:bookmarkStart w:id="678" w:name="_Toc1070"/>
      <w:r>
        <w:rPr>
          <w:rFonts w:hint="eastAsia" w:ascii="仿宋" w:hAnsi="仿宋" w:eastAsia="仿宋" w:cs="仿宋"/>
          <w:color w:val="auto"/>
          <w:sz w:val="24"/>
          <w:szCs w:val="24"/>
          <w:highlight w:val="none"/>
          <w:lang w:eastAsia="zh-CN"/>
        </w:rPr>
        <w:t>14</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承包人</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C967C8A">
      <w:pPr>
        <w:rPr>
          <w:rFonts w:hint="eastAsia" w:ascii="仿宋" w:hAnsi="仿宋" w:eastAsia="仿宋"/>
          <w:b/>
          <w:bCs/>
          <w:color w:val="auto"/>
          <w:highlight w:val="none"/>
          <w:lang w:eastAsia="zh-CN"/>
        </w:rPr>
      </w:pPr>
    </w:p>
    <w:p w14:paraId="04348271">
      <w:pP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14</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遵守法律</w:t>
      </w:r>
    </w:p>
    <w:p w14:paraId="6D7CE764">
      <w:pPr>
        <w:rPr>
          <w:rFonts w:hint="eastAsia" w:ascii="仿宋" w:hAnsi="仿宋" w:eastAsia="仿宋"/>
          <w:b/>
          <w:bCs/>
          <w:color w:val="auto"/>
          <w:highlight w:val="none"/>
          <w:lang w:eastAsia="zh-CN"/>
        </w:rPr>
      </w:pPr>
    </w:p>
    <w:p w14:paraId="6BC5C5F6">
      <w:pPr>
        <w:spacing w:line="360" w:lineRule="auto"/>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承包人在本项目发包人的工程项目中存在通用条款</w:t>
      </w:r>
      <w:r>
        <w:rPr>
          <w:rFonts w:ascii="仿宋" w:hAnsi="仿宋" w:eastAsia="仿宋" w:cs="仿宋"/>
          <w:color w:val="auto"/>
          <w:highlight w:val="none"/>
          <w:lang w:eastAsia="zh-CN"/>
        </w:rPr>
        <w:t>20.1</w:t>
      </w:r>
      <w:r>
        <w:rPr>
          <w:rFonts w:hint="eastAsia" w:ascii="仿宋" w:hAnsi="仿宋" w:eastAsia="仿宋" w:cs="仿宋"/>
          <w:color w:val="auto"/>
          <w:highlight w:val="none"/>
          <w:lang w:eastAsia="zh-CN"/>
        </w:rPr>
        <w:t>所列行为的，将被拒绝参与发包人后续工程投标。拒绝投标时限：</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p>
    <w:p w14:paraId="1D485818">
      <w:pPr>
        <w:rPr>
          <w:rFonts w:hint="eastAsia" w:ascii="仿宋" w:hAnsi="仿宋" w:eastAsia="仿宋"/>
          <w:b/>
          <w:bCs/>
          <w:color w:val="auto"/>
          <w:highlight w:val="none"/>
          <w:lang w:eastAsia="zh-CN"/>
        </w:rPr>
      </w:pPr>
    </w:p>
    <w:p w14:paraId="7B684F95">
      <w:pP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14</w:t>
      </w:r>
      <w:r>
        <w:rPr>
          <w:rFonts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承包人完成下列工作的约定</w:t>
      </w:r>
    </w:p>
    <w:p w14:paraId="6BC1F02D">
      <w:pPr>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p>
    <w:p w14:paraId="0A27E1AA">
      <w:pPr>
        <w:spacing w:line="360" w:lineRule="auto"/>
        <w:ind w:left="24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（1）提交支付申请和工程款额报告期限</w:t>
      </w:r>
    </w:p>
    <w:p w14:paraId="3708FF37">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0052"/>
      </w:r>
      <w:r>
        <w:rPr>
          <w:rFonts w:hint="eastAsia" w:ascii="仿宋" w:hAnsi="仿宋" w:eastAsia="仿宋" w:cs="仿宋"/>
          <w:color w:val="auto"/>
          <w:highlight w:val="none"/>
          <w:lang w:eastAsia="zh-CN"/>
        </w:rPr>
        <w:t xml:space="preserve"> 按通用条款第83.1款等约定期限提交。</w:t>
      </w:r>
    </w:p>
    <w:p w14:paraId="6F33AD41">
      <w:pPr>
        <w:spacing w:line="360" w:lineRule="auto"/>
        <w:ind w:left="24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p>
    <w:p w14:paraId="2C8A935F">
      <w:pPr>
        <w:spacing w:line="360" w:lineRule="auto"/>
        <w:ind w:left="24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（2）按照专用条款约定的数量和要求，向发包人提供施工场地办公和生活的房屋及设施，并在施工现场保留本合同、约定的标准与规范、签证资料等各一份，供监理工程师、发包人需要时使用;</w:t>
      </w:r>
    </w:p>
    <w:p w14:paraId="5B44679F">
      <w:pPr>
        <w:spacing w:line="360" w:lineRule="auto"/>
        <w:ind w:left="240" w:firstLine="720" w:firstLineChars="300"/>
        <w:rPr>
          <w:rFonts w:hint="eastAsia" w:ascii="仿宋" w:hAnsi="仿宋" w:eastAsia="仿宋" w:cs="仿宋"/>
          <w:strike w:val="0"/>
          <w:color w:val="auto"/>
          <w:highlight w:val="none"/>
          <w:lang w:eastAsia="zh-CN"/>
        </w:rPr>
      </w:pPr>
      <w:r>
        <w:rPr>
          <w:rFonts w:hint="eastAsia" w:ascii="仿宋" w:hAnsi="仿宋" w:eastAsia="仿宋" w:cs="仿宋"/>
          <w:strike w:val="0"/>
          <w:dstrike w:val="0"/>
          <w:color w:val="auto"/>
          <w:highlight w:val="none"/>
          <w:lang w:eastAsia="zh-CN"/>
        </w:rPr>
        <w:t>向发包人提供施工场地办公和生活的房屋及设施的数量和时间等要求：a、会议室1间，每间面积不少于40㎡；b、建设管理单位办公室3间，每间面积不少于 20㎡；c、监理办公室 2间，每间面积不小于20㎡；监理现场值班室2间，每间面积不小于20㎡；d、分别提供专业承包单位的现场办公室1间，各约20㎡和必要的仓库场地；</w:t>
      </w:r>
      <w:r>
        <w:rPr>
          <w:rFonts w:hint="eastAsia" w:ascii="仿宋" w:hAnsi="仿宋" w:eastAsia="仿宋" w:cs="仿宋"/>
          <w:strike w:val="0"/>
          <w:color w:val="auto"/>
          <w:highlight w:val="none"/>
          <w:lang w:eastAsia="zh-CN"/>
        </w:rPr>
        <w:t xml:space="preserve">e、要求所有办公房值班室均配置冷暖空调、桌椅、文件柜等基本的用品。各办公房间均配置100 M包月上网光纤宽带专线线路1条，无线网络；f、承担日常办公用的水、电等费用。 </w:t>
      </w:r>
    </w:p>
    <w:p w14:paraId="6A481CDF">
      <w:pPr>
        <w:spacing w:line="360" w:lineRule="auto"/>
        <w:ind w:left="24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（3）按要求签订安全管理协议书，详见附件七。</w:t>
      </w:r>
    </w:p>
    <w:p w14:paraId="6B88763E">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（4）遵守政府部门有关施工场地交通、环境保护、施工噪声、绿色施工安全防护等的管理规定，办理有关手续，费用按政府有关部门相关文件规定由承包人承担;</w:t>
      </w:r>
    </w:p>
    <w:p w14:paraId="6D2D238E">
      <w:pPr>
        <w:spacing w:line="360" w:lineRule="auto"/>
        <w:ind w:left="240"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办完施工场地交通、环境保护、施工噪声、绿色施工安全防护等手续的时间：</w:t>
      </w:r>
      <w:r>
        <w:rPr>
          <w:rFonts w:ascii="仿宋" w:hAnsi="仿宋" w:eastAsia="仿宋" w:cs="仿宋"/>
          <w:color w:val="auto"/>
          <w:highlight w:val="none"/>
          <w:u w:val="single"/>
          <w:lang w:eastAsia="zh-CN"/>
        </w:rPr>
        <w:t xml:space="preserve">           </w:t>
      </w:r>
    </w:p>
    <w:p w14:paraId="77B9E250">
      <w:pPr>
        <w:ind w:firstLine="120" w:firstLineChars="5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（5）</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做好施工场地地下管线和邻近建筑物、构筑物（包括文物保护建筑）、古树名木保护工作的约定：</w:t>
      </w:r>
      <w:r>
        <w:rPr>
          <w:rFonts w:ascii="仿宋" w:hAnsi="仿宋" w:eastAsia="仿宋" w:cs="仿宋"/>
          <w:color w:val="auto"/>
          <w:highlight w:val="none"/>
          <w:u w:val="single"/>
          <w:lang w:eastAsia="zh-CN"/>
        </w:rPr>
        <w:t xml:space="preserve">                                                                                      </w:t>
      </w:r>
    </w:p>
    <w:p w14:paraId="312C0E46">
      <w:pPr>
        <w:rPr>
          <w:rFonts w:hint="eastAsia" w:ascii="仿宋" w:hAnsi="仿宋" w:eastAsia="仿宋"/>
          <w:color w:val="auto"/>
          <w:highlight w:val="none"/>
          <w:lang w:eastAsia="zh-CN"/>
        </w:rPr>
      </w:pPr>
    </w:p>
    <w:p w14:paraId="022C6CF9">
      <w:pPr>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（6）</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保证施工场地的清洁和做好交工前施工现场清理工作的约定：</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7D5D4241">
      <w:pPr>
        <w:rPr>
          <w:rFonts w:hint="eastAsia" w:ascii="仿宋" w:hAnsi="仿宋" w:eastAsia="仿宋" w:cs="仿宋"/>
          <w:color w:val="auto"/>
          <w:highlight w:val="none"/>
          <w:lang w:eastAsia="zh-CN"/>
        </w:rPr>
      </w:pPr>
    </w:p>
    <w:p w14:paraId="7DC3A17C">
      <w:pPr>
        <w:widowControl w:val="0"/>
        <w:spacing w:line="360" w:lineRule="auto"/>
        <w:ind w:firstLine="240" w:firstLineChars="10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（7）</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提交竣工验收申请报告和竣工结算文件，详见附件八</w:t>
      </w:r>
    </w:p>
    <w:p w14:paraId="55171C24">
      <w:pPr>
        <w:spacing w:line="360" w:lineRule="auto"/>
        <w:ind w:left="12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A3"/>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按通用条款第</w:t>
      </w:r>
      <w:r>
        <w:rPr>
          <w:rFonts w:ascii="仿宋" w:hAnsi="仿宋" w:eastAsia="仿宋" w:cs="仿宋"/>
          <w:color w:val="auto"/>
          <w:highlight w:val="none"/>
          <w:lang w:eastAsia="zh-CN"/>
        </w:rPr>
        <w:t>82.2</w:t>
      </w:r>
      <w:r>
        <w:rPr>
          <w:rFonts w:hint="eastAsia" w:ascii="仿宋" w:hAnsi="仿宋" w:eastAsia="仿宋" w:cs="仿宋"/>
          <w:color w:val="auto"/>
          <w:highlight w:val="none"/>
          <w:lang w:eastAsia="zh-CN"/>
        </w:rPr>
        <w:t>款规定提交。</w:t>
      </w:r>
    </w:p>
    <w:p w14:paraId="729F61EC">
      <w:pPr>
        <w:spacing w:line="360" w:lineRule="auto"/>
        <w:ind w:left="12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eastAsia="zh-CN"/>
        </w:rPr>
        <w:t>按发包人或当地政府审核部门的要求提交结算资料，结算资料不少于一式四份。</w:t>
      </w:r>
    </w:p>
    <w:p w14:paraId="677C9A8F">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（8）</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从开工之日起，直至工程施工竣工验收后将工程移交给发包人止，工地现场须设置24小时视频监控系统，并负责管理和维护，现场视频监控系统应符合项目所在地安全文明施工管理规定要求；现场视频监控系统未经发包人同意，不得随意拆除停用，可供发包人随时调阅查看视频信号；视频监控系统完成安装投入使用后，承包人须及时将现场视频设备位置、监控点分布图等资料送一份至发包人以作安全生产管理备案。</w:t>
      </w:r>
    </w:p>
    <w:p w14:paraId="32425BA8">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（9）</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项目现场应在大门、围墙、塔吊等显眼位置张贴设立建设单位形象宣传标志标识。</w:t>
      </w:r>
    </w:p>
    <w:p w14:paraId="36C3119A">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（10）</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临时水电开通后，承包人于发包人提供的水、电接驳点后负责架设（含所需材料）临时供水、临时用电的管线、进行施工期间的维护及在不需要时拆除。其中：</w:t>
      </w:r>
    </w:p>
    <w:p w14:paraId="7487050D">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a、临时用水：发包人提供一个临时水源接驳点；</w:t>
      </w:r>
    </w:p>
    <w:p w14:paraId="7AD9C831">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b、临时用电：提供一个临时电源接驳点；</w:t>
      </w:r>
    </w:p>
    <w:p w14:paraId="0FE20567">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c、各专业承包工程用水用电约定如下：永水、永电工程以合同总价为计费基数，计取费率为0.5%；电梯工程和入户门工程以合同安装费用为计费基数，计取费率为2%；其他专业承包单位施工水电费均由施工总承包单位负责，不得另行收取费用，所需的费用则应视作已包含于总承包施工合同价款内。</w:t>
      </w:r>
    </w:p>
    <w:p w14:paraId="6CF5EECC">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除上述可收取的费用外，其他所有专业承包单位的施工水电费及施工临时用梯所需的电费、永久电梯于整个项目施工期间使用所需的电费及管理费、塔吊LED灯光、各种测试及运行调试所需的水电费等均由承包人负责，不得另行收取，所需的费用则应视作已包含于合同价款内。</w:t>
      </w:r>
    </w:p>
    <w:p w14:paraId="31D6F2A9">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2、当永久水电未能开通时，为保证项目各楼栋永久电梯的调试、验收、使用，承包人负责提供临电到电梯机房（包括但不限于专用电缆、专用配电箱），负荷需满足电梯调试所需供电，费用由承包人负责承担；</w:t>
      </w:r>
    </w:p>
    <w:p w14:paraId="1E27FC43">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自本工程的永久水电工程验收通过并正式通水通电之日起，至本工程交付小业主之日为止，在此期间，承包人必须履行总承包管理责任对公共区域及室内的水电使用进行管理，承包人须承担在上述期间本工程公共区域及室内产生的水电费用。到终止计收承包人水电费当日，承包人必须主动联系发包方及物业公司对本工程水电表进行抄表并三方签字确认。</w:t>
      </w:r>
    </w:p>
    <w:p w14:paraId="7F055906">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（11）承包人在“无渗漏”工程中必须承担的义务，：</w:t>
      </w:r>
    </w:p>
    <w:p w14:paraId="0B352E59">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a、对专业管线穿过楼地面或墙体等结构后留下的孔隙按要求进行填补，并达到防水的要求；</w:t>
      </w:r>
    </w:p>
    <w:p w14:paraId="123FC6DB">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b、 门窗安装完成后的室内外批荡收口，完成外墙淋水试验。</w:t>
      </w:r>
    </w:p>
    <w:p w14:paraId="33BC6DB7">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c、阳台、厨房、卫生间的试水（每次蓄水试验不少于24小时）：</w:t>
      </w:r>
    </w:p>
    <w:p w14:paraId="5EC9DB1F">
      <w:pPr>
        <w:spacing w:line="360" w:lineRule="auto"/>
        <w:ind w:firstLine="1200" w:firstLineChars="5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i）结构施工完成后做一次蓄水试验；</w:t>
      </w:r>
    </w:p>
    <w:p w14:paraId="00E825B5">
      <w:pPr>
        <w:spacing w:line="360" w:lineRule="auto"/>
        <w:ind w:firstLine="1200" w:firstLineChars="5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ii）防水层施工完成后做一次蓄水试验；（其中卫生间需施工比结构面高50mm的反坎后再进行蓄水试验，蓄水高度应不低于结构面20mm，该部分费用在综合单价考虑）</w:t>
      </w:r>
    </w:p>
    <w:p w14:paraId="64FB4461">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d、完成外墙、幕墙及铝合金门窗淋/蓄水试验：外脚手架拆除前，根据项目所在地有关规定执行。若出现渗漏情况，在修补后需再次按标准要求要求做喷淋试验，直至不出现渗漏情况才能拆除外脚手架。若发生渗漏情况较多（每层出现渗漏点超过5点）时，发包人有权要求承包人增加对天面、侧墙、幕墙及铝合金门窗等部位进行高压喷水试验，承包人须提供相应工作，因此而增加的费用，由承包人自行负责；</w:t>
      </w:r>
    </w:p>
    <w:p w14:paraId="167B1CDA">
      <w:pPr>
        <w:spacing w:line="360" w:lineRule="auto"/>
        <w:ind w:firstLine="960" w:firstLineChars="4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e、屋面淋/蓄水试验：按《屋面工程质量验收规范》（GB50207）要求做泼水、淋水、蓄水试验；</w:t>
      </w:r>
    </w:p>
    <w:p w14:paraId="25551560">
      <w:pPr>
        <w:spacing w:line="360" w:lineRule="auto"/>
        <w:ind w:firstLine="240" w:firstLineChars="100"/>
        <w:rPr>
          <w:rFonts w:hint="default" w:ascii="仿宋" w:hAnsi="仿宋" w:eastAsia="仿宋" w:cs="仿宋"/>
          <w:color w:val="auto"/>
          <w:highlight w:val="none"/>
          <w:lang w:val="en-US" w:eastAsia="zh-CN"/>
        </w:rPr>
      </w:pPr>
      <w:r>
        <w:rPr>
          <w:rFonts w:hint="eastAsia" w:ascii="仿宋" w:hAnsi="仿宋" w:eastAsia="仿宋" w:cs="仿宋"/>
          <w:color w:val="auto"/>
          <w:highlight w:val="none"/>
          <w:lang w:eastAsia="zh-CN"/>
        </w:rPr>
        <w:t>（12）承包人需特别考虑的关于电梯使用的相关约定：（</w:t>
      </w:r>
      <w:r>
        <w:rPr>
          <w:rFonts w:hint="eastAsia" w:ascii="仿宋" w:hAnsi="仿宋" w:eastAsia="仿宋" w:cs="仿宋"/>
          <w:color w:val="auto"/>
          <w:highlight w:val="none"/>
          <w:lang w:val="en-US" w:eastAsia="zh-CN"/>
        </w:rPr>
        <w:t>不涉及）</w:t>
      </w:r>
    </w:p>
    <w:p w14:paraId="4C21B7E0">
      <w:pPr>
        <w:spacing w:line="360" w:lineRule="auto"/>
        <w:ind w:firstLine="960" w:firstLineChars="400"/>
        <w:rPr>
          <w:rFonts w:hint="eastAsia" w:ascii="仿宋" w:hAnsi="仿宋" w:eastAsia="仿宋" w:cs="仿宋"/>
          <w:strike w:val="0"/>
          <w:dstrike w:val="0"/>
          <w:color w:val="auto"/>
          <w:highlight w:val="none"/>
          <w:u w:val="none"/>
          <w:lang w:eastAsia="zh-CN"/>
        </w:rPr>
      </w:pPr>
      <w:r>
        <w:rPr>
          <w:rFonts w:hint="eastAsia" w:ascii="仿宋" w:hAnsi="仿宋" w:eastAsia="仿宋" w:cs="仿宋"/>
          <w:strike w:val="0"/>
          <w:dstrike w:val="0"/>
          <w:color w:val="auto"/>
          <w:highlight w:val="none"/>
          <w:u w:val="none"/>
          <w:lang w:eastAsia="zh-CN"/>
        </w:rPr>
        <w:t>a、负责人货梯、移交前永久电梯所用的电费以及日常管理、维护与协调。</w:t>
      </w:r>
    </w:p>
    <w:p w14:paraId="4497E876">
      <w:pPr>
        <w:spacing w:line="360" w:lineRule="auto"/>
        <w:ind w:firstLine="960" w:firstLineChars="400"/>
        <w:rPr>
          <w:rFonts w:hint="eastAsia" w:ascii="仿宋" w:hAnsi="仿宋" w:eastAsia="仿宋" w:cs="仿宋"/>
          <w:strike w:val="0"/>
          <w:dstrike w:val="0"/>
          <w:color w:val="auto"/>
          <w:highlight w:val="none"/>
          <w:u w:val="none"/>
          <w:lang w:eastAsia="zh-CN"/>
        </w:rPr>
      </w:pPr>
      <w:r>
        <w:rPr>
          <w:rFonts w:hint="eastAsia" w:ascii="仿宋" w:hAnsi="仿宋" w:eastAsia="仿宋" w:cs="仿宋"/>
          <w:strike w:val="0"/>
          <w:dstrike w:val="0"/>
          <w:color w:val="auto"/>
          <w:highlight w:val="none"/>
          <w:u w:val="none"/>
          <w:lang w:eastAsia="zh-CN"/>
        </w:rPr>
        <w:t>b、承包人应对已完成安装的永久电梯进行轿厢的成品保护工作，在未正式移交使用前作为装修运输的电梯，承包人须进行成品保护措施，并在报价中考虑该部分费用；</w:t>
      </w:r>
    </w:p>
    <w:p w14:paraId="12BDD9C7">
      <w:pPr>
        <w:spacing w:line="360" w:lineRule="auto"/>
        <w:ind w:firstLine="960" w:firstLineChars="400"/>
        <w:rPr>
          <w:rFonts w:hint="eastAsia" w:ascii="仿宋" w:hAnsi="仿宋" w:eastAsia="仿宋" w:cs="仿宋"/>
          <w:strike w:val="0"/>
          <w:dstrike w:val="0"/>
          <w:color w:val="auto"/>
          <w:highlight w:val="none"/>
          <w:u w:val="none"/>
          <w:lang w:eastAsia="zh-CN"/>
        </w:rPr>
      </w:pPr>
      <w:r>
        <w:rPr>
          <w:rFonts w:hint="eastAsia" w:ascii="仿宋" w:hAnsi="仿宋" w:eastAsia="仿宋" w:cs="仿宋"/>
          <w:strike w:val="0"/>
          <w:dstrike w:val="0"/>
          <w:color w:val="auto"/>
          <w:highlight w:val="none"/>
          <w:u w:val="none"/>
          <w:lang w:eastAsia="zh-CN"/>
        </w:rPr>
        <w:t>c、承包人对电梯的相关责任：负责管理与协调用梯的责任，须合理安排、协调工地内所有施工单位的用梯。须按电梯公司使用规定进行日常使用。永久用梯在直至全部工程内容完工并竣工备案完成前的电费，在垂直运输中考虑，发包人不另行支付。</w:t>
      </w:r>
    </w:p>
    <w:p w14:paraId="185851C8">
      <w:pPr>
        <w:spacing w:line="360" w:lineRule="auto"/>
        <w:ind w:firstLine="960" w:firstLineChars="400"/>
        <w:rPr>
          <w:rFonts w:hint="eastAsia" w:ascii="仿宋" w:hAnsi="仿宋" w:eastAsia="仿宋" w:cs="仿宋"/>
          <w:strike w:val="0"/>
          <w:color w:val="auto"/>
          <w:highlight w:val="none"/>
          <w:u w:val="none"/>
          <w:lang w:eastAsia="zh-CN"/>
        </w:rPr>
      </w:pPr>
      <w:r>
        <w:rPr>
          <w:rFonts w:hint="eastAsia" w:ascii="仿宋" w:hAnsi="仿宋" w:eastAsia="仿宋" w:cs="仿宋"/>
          <w:strike w:val="0"/>
          <w:dstrike w:val="0"/>
          <w:color w:val="auto"/>
          <w:highlight w:val="none"/>
          <w:u w:val="none"/>
          <w:lang w:eastAsia="zh-CN"/>
        </w:rPr>
        <w:t>d、在电梯安装进场后、湿铺贴完成前应在每层电梯井门洞口用灰砂砖砌筑 200mm 高的防水坎（双面抹灰），在电梯安装完毕后（交楼前）对电梯承担看管责任。在电梯移交承包人使用后，承包人需每栋楼安排至少一个专人进行开梯，且需协调配合专业承包单位使用电梯进行垂直运输（电梯安排专人操作时间应为电梯移交承包人使用至该楼栋全部交付后为止）。在使用过程中，若电梯产生问题（如电梯光幕损坏、电梯门碰撞、电梯电路板遇水烧坏等情况），由承包人先行垫付维修费用，具体责任划分如下：承包人可举证损坏的责任方并报发包方及监理审定后，由责任方承担 80%责任，承包人承担 20%责任，若承包人无法找到责任方，则承包人须承担 100%责任。另外，在电梯井道及底坑移交电梯公司安装前，承包人须确保电梯临时保护门常关闭无空档期（电梯洞口保护门要求设置于洞口中间）及底坑不存在渗水现象，若在移交电梯公司后发现电梯底坑出现渗水情况，则以移交之日起计算，罚款 500 元/天，若因底坑渗水造成电梯零部件损坏，承包人应承担 100%责任。另外，在施工完成后交付小业主前，建设方将委托电梯公司对电梯进行检查维保（包括但不限于对电梯零部件加油）， 该费用由承包人承担。全过程不再发生任何费用，已包含投标措施费中</w:t>
      </w:r>
      <w:r>
        <w:rPr>
          <w:rFonts w:hint="eastAsia" w:ascii="仿宋" w:hAnsi="仿宋" w:eastAsia="仿宋" w:cs="仿宋"/>
          <w:strike w:val="0"/>
          <w:color w:val="auto"/>
          <w:highlight w:val="none"/>
          <w:u w:val="none"/>
          <w:lang w:eastAsia="zh-CN"/>
        </w:rPr>
        <w:t>。</w:t>
      </w:r>
    </w:p>
    <w:p w14:paraId="0F4618C3">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（13）关于承包人开荒保洁工作义务的特别约定：</w:t>
      </w:r>
    </w:p>
    <w:p w14:paraId="0F309FAC">
      <w:pPr>
        <w:pStyle w:val="2"/>
        <w:spacing w:line="360" w:lineRule="auto"/>
        <w:ind w:firstLine="480" w:firstLineChars="200"/>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a、本项目在结构施工阶段须完成一层交付样板供村民参观，样板完工后开放前承包人须按精保洁要求完成该区域的保洁工作，并在开放阶段定期对该区域进行保洁达到持续开放要求。</w:t>
      </w:r>
    </w:p>
    <w:p w14:paraId="576A511D">
      <w:pPr>
        <w:pStyle w:val="2"/>
        <w:spacing w:line="360" w:lineRule="auto"/>
        <w:ind w:firstLine="480" w:firstLineChars="200"/>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b、正式交付前几个月（时间由发包人根据具体情况确定）发包人将组织村民进行交付开放日活动，承包人须在此阶段对整个项目全部工程进行一次大开荒；</w:t>
      </w:r>
    </w:p>
    <w:p w14:paraId="24B6B841">
      <w:pPr>
        <w:pStyle w:val="2"/>
        <w:spacing w:line="360" w:lineRule="auto"/>
        <w:ind w:firstLine="480" w:firstLineChars="200"/>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c、项目竣备前，承包人须对全部工程再进行一次开荒保洁（含外立面）。</w:t>
      </w:r>
    </w:p>
    <w:p w14:paraId="10C74C9D">
      <w:pPr>
        <w:pStyle w:val="2"/>
        <w:spacing w:line="360" w:lineRule="auto"/>
        <w:ind w:firstLine="480" w:firstLineChars="200"/>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d、承包人必须在各栋楼交付之日前20日对拟交付区域工程进行一次精保洁工作（含外立面）。</w:t>
      </w:r>
    </w:p>
    <w:p w14:paraId="48D2E2F3">
      <w:pPr>
        <w:pStyle w:val="2"/>
        <w:spacing w:line="360" w:lineRule="auto"/>
        <w:ind w:firstLine="480" w:firstLineChars="200"/>
        <w:rPr>
          <w:rFonts w:hint="eastAsia" w:ascii="仿宋" w:hAnsi="仿宋" w:eastAsia="仿宋" w:cs="仿宋"/>
          <w:color w:val="auto"/>
          <w:sz w:val="24"/>
          <w:szCs w:val="24"/>
          <w:highlight w:val="none"/>
          <w:lang w:eastAsia="zh-CN"/>
        </w:rPr>
      </w:pPr>
      <w:r>
        <w:rPr>
          <w:rFonts w:hint="eastAsia" w:ascii="仿宋" w:hAnsi="仿宋" w:eastAsia="仿宋" w:cs="仿宋"/>
          <w:color w:val="auto"/>
          <w:sz w:val="24"/>
          <w:szCs w:val="24"/>
          <w:highlight w:val="none"/>
          <w:lang w:eastAsia="zh-CN"/>
        </w:rPr>
        <w:t>开荒保洁要求详见附件十：项目开荒基础标准</w:t>
      </w:r>
    </w:p>
    <w:p w14:paraId="48235A94">
      <w:pPr>
        <w:spacing w:line="360" w:lineRule="auto"/>
        <w:ind w:left="240" w:leftChars="100"/>
        <w:rPr>
          <w:color w:val="auto"/>
          <w:highlight w:val="none"/>
          <w:lang w:eastAsia="zh-CN"/>
        </w:rPr>
      </w:pPr>
      <w:r>
        <w:rPr>
          <w:rFonts w:hint="eastAsia" w:ascii="仿宋" w:hAnsi="仿宋" w:eastAsia="仿宋" w:cs="仿宋"/>
          <w:color w:val="auto"/>
          <w:highlight w:val="none"/>
          <w:lang w:eastAsia="zh-CN"/>
        </w:rPr>
        <w:t>（14）附件【十五】《总承包管理配合服务内容》第1.1条补充约定：承包人应向各分包人/专业承包人/检测单位/材料设备供应商提供井架等垂直运输装置和机械，塔吊、人货梯使用时间为结构封顶后不少于【  7  】个月。</w:t>
      </w:r>
    </w:p>
    <w:p w14:paraId="0F56C5D2">
      <w:pPr>
        <w:spacing w:line="360" w:lineRule="auto"/>
        <w:ind w:left="240" w:leftChars="100"/>
        <w:rPr>
          <w:color w:val="auto"/>
          <w:highlight w:val="none"/>
          <w:lang w:eastAsia="zh-CN"/>
        </w:rPr>
      </w:pPr>
      <w:r>
        <w:rPr>
          <w:rFonts w:hint="eastAsia" w:ascii="仿宋" w:hAnsi="仿宋" w:eastAsia="仿宋" w:cs="仿宋"/>
          <w:color w:val="auto"/>
          <w:highlight w:val="none"/>
          <w:lang w:eastAsia="zh-CN"/>
        </w:rPr>
        <w:t>（16）在交付期间，承包人需按各个专业安排对应的人员进行快修；对于无法快修的问题，承包人需在7天内落实整改。</w:t>
      </w:r>
    </w:p>
    <w:p w14:paraId="0EEFCBE7">
      <w:pPr>
        <w:spacing w:line="360" w:lineRule="auto"/>
        <w:ind w:left="240" w:left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17）项目所用到的建筑材料优先参照附件十九的材料推荐一览表，且需送样报发包人及监理单位，待同意及封样后方可进行采购施工。若采用非推荐一览表的建筑材料，承包人需采取同等次的材料报送发包人及监理单位选择确认，待封样后，方可采购施工。</w:t>
      </w:r>
    </w:p>
    <w:p w14:paraId="3C3804AE">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以上“14.2承包人完成下列工作的约定”所列条款，除本合同另有明确规定外，承包人应在报价中充分考虑其履行所需的所有费用，发包人不再承担任何其他费用。</w:t>
      </w:r>
    </w:p>
    <w:p w14:paraId="4C185463">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14.3承包人应按照合同约定和监理工程师指令实施、完成并保修合同工程。除专用条款另有约定外，承包人应提供为完成合同工程所需的劳务、材料、工程设备、施工设备和其他物品。如果承包人不按照合同约定或监理工程师依据合同发出的指令组织施工，且在监理工程师书面要求改正后的7天内仍未采取补救措施的，则发包人有权将合同内的部分工程改聘专业分包人或第三方进行施工，承包人相应的报价亦从合同总价中扣除，且承包人应为此提供总承包管理配合服务，承包人不能借此要求任何其它违约、赔偿、补偿、津贴等。</w:t>
      </w:r>
    </w:p>
    <w:p w14:paraId="5C6A3740">
      <w:pPr>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w:t>
      </w:r>
      <w:bookmarkStart w:id="679" w:name="_Toc20786"/>
      <w:bookmarkStart w:id="680" w:name="_Toc20306"/>
      <w:bookmarkStart w:id="681" w:name="_Toc17402"/>
      <w:bookmarkStart w:id="682" w:name="_Toc27673"/>
      <w:bookmarkStart w:id="683" w:name="_Toc7453"/>
      <w:bookmarkStart w:id="684" w:name="_Toc15403"/>
      <w:bookmarkStart w:id="685" w:name="_Toc23143"/>
      <w:r>
        <w:rPr>
          <w:rFonts w:hint="eastAsia" w:ascii="仿宋" w:hAnsi="仿宋" w:eastAsia="仿宋" w:cs="仿宋"/>
          <w:color w:val="auto"/>
          <w:highlight w:val="none"/>
          <w:lang w:eastAsia="zh-CN"/>
        </w:rPr>
        <w:t>14.4 承包人提供施工所需劳务、材料、国产设备、施工设备和其他物品的约定：</w:t>
      </w:r>
      <w:bookmarkEnd w:id="679"/>
      <w:bookmarkEnd w:id="680"/>
      <w:bookmarkEnd w:id="681"/>
      <w:bookmarkEnd w:id="682"/>
      <w:bookmarkEnd w:id="683"/>
      <w:bookmarkEnd w:id="684"/>
      <w:bookmarkEnd w:id="685"/>
      <w:r>
        <w:rPr>
          <w:rFonts w:hint="eastAsia" w:ascii="仿宋" w:hAnsi="仿宋" w:eastAsia="仿宋" w:cs="仿宋"/>
          <w:color w:val="auto"/>
          <w:highlight w:val="none"/>
          <w:lang w:eastAsia="zh-CN"/>
        </w:rPr>
        <w:t xml:space="preserve">    </w:t>
      </w:r>
      <w:r>
        <w:rPr>
          <w:rFonts w:hint="eastAsia" w:ascii="仿宋" w:hAnsi="仿宋" w:eastAsia="仿宋" w:cs="仿宋"/>
          <w:color w:val="auto"/>
          <w:highlight w:val="none"/>
          <w:u w:val="single"/>
          <w:lang w:eastAsia="zh-CN"/>
        </w:rPr>
        <w:t xml:space="preserve">   </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 xml:space="preserve"> </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71D6718E">
      <w:pPr>
        <w:pStyle w:val="5"/>
        <w:tabs>
          <w:tab w:val="left" w:pos="420"/>
        </w:tabs>
        <w:spacing w:before="0" w:after="0" w:line="360" w:lineRule="auto"/>
        <w:rPr>
          <w:rFonts w:hint="eastAsia" w:ascii="仿宋" w:hAnsi="仿宋" w:eastAsia="仿宋"/>
          <w:b w:val="0"/>
          <w:bCs w:val="0"/>
          <w:color w:val="auto"/>
          <w:sz w:val="24"/>
          <w:szCs w:val="24"/>
          <w:highlight w:val="none"/>
          <w:lang w:eastAsia="zh-CN"/>
        </w:rPr>
      </w:pPr>
      <w:bookmarkStart w:id="686" w:name="_Toc3344"/>
      <w:bookmarkStart w:id="687" w:name="_Toc3964"/>
      <w:bookmarkStart w:id="688" w:name="_Toc25437"/>
      <w:bookmarkStart w:id="689" w:name="_Toc21533"/>
      <w:bookmarkStart w:id="690" w:name="_Toc19501"/>
      <w:bookmarkStart w:id="691" w:name="_Toc15014"/>
      <w:bookmarkStart w:id="692" w:name="_Toc12529"/>
      <w:bookmarkStart w:id="693" w:name="_Toc20682"/>
      <w:bookmarkStart w:id="694" w:name="_Toc8152"/>
      <w:bookmarkStart w:id="695" w:name="_Toc14274"/>
      <w:bookmarkStart w:id="696" w:name="_Toc28603"/>
      <w:bookmarkStart w:id="697" w:name="_Toc28300"/>
      <w:bookmarkStart w:id="698" w:name="_Toc7296"/>
      <w:bookmarkStart w:id="699" w:name="_Toc2516"/>
      <w:r>
        <w:rPr>
          <w:rFonts w:hint="eastAsia" w:ascii="仿宋" w:hAnsi="仿宋" w:eastAsia="仿宋" w:cs="仿宋"/>
          <w:b w:val="0"/>
          <w:bCs w:val="0"/>
          <w:color w:val="auto"/>
          <w:sz w:val="24"/>
          <w:szCs w:val="24"/>
          <w:highlight w:val="none"/>
          <w:lang w:eastAsia="zh-CN"/>
        </w:rPr>
        <w:t>15. 现场管理人员任命和更换</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bookmarkEnd w:id="610"/>
    <w:bookmarkEnd w:id="611"/>
    <w:p w14:paraId="4ACF5696">
      <w:pPr>
        <w:spacing w:line="360" w:lineRule="auto"/>
        <w:ind w:firstLine="480" w:firstLineChars="200"/>
        <w:rPr>
          <w:rFonts w:hint="eastAsia" w:ascii="仿宋" w:hAnsi="仿宋" w:eastAsia="仿宋" w:cs="仿宋"/>
          <w:color w:val="auto"/>
          <w:highlight w:val="none"/>
          <w:lang w:eastAsia="zh-CN"/>
        </w:rPr>
      </w:pPr>
      <w:bookmarkStart w:id="700" w:name="_Toc149731549"/>
      <w:bookmarkStart w:id="701" w:name="_Toc9024"/>
      <w:r>
        <w:rPr>
          <w:rFonts w:hint="eastAsia" w:ascii="仿宋" w:hAnsi="仿宋" w:eastAsia="仿宋" w:cs="仿宋"/>
          <w:color w:val="auto"/>
          <w:highlight w:val="none"/>
          <w:lang w:eastAsia="zh-CN"/>
        </w:rPr>
        <w:t>15.1发包人现场管理人员任命和更换</w:t>
      </w:r>
    </w:p>
    <w:p w14:paraId="0F39980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发包人现场管理人员任命和更换的约定：</w:t>
      </w:r>
      <w:r>
        <w:rPr>
          <w:rFonts w:hint="eastAsia" w:ascii="仿宋" w:hAnsi="仿宋" w:eastAsia="仿宋" w:cs="仿宋"/>
          <w:color w:val="auto"/>
          <w:highlight w:val="none"/>
          <w:u w:val="single"/>
          <w:lang w:eastAsia="zh-CN"/>
        </w:rPr>
        <w:t>按通用条款第24.1款执行。</w:t>
      </w:r>
    </w:p>
    <w:p w14:paraId="2F8A0EB9">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15.2 设计指挥长、施工指挥长、项目负责人、设计负责人、施工负责人及专业负责人任命和更换及履职</w:t>
      </w:r>
    </w:p>
    <w:p w14:paraId="5E63A24D">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w:t>
      </w:r>
      <w:r>
        <w:rPr>
          <w:rFonts w:hint="eastAsia" w:ascii="仿宋" w:hAnsi="仿宋" w:eastAsia="仿宋"/>
          <w:color w:val="auto"/>
          <w:highlight w:val="none"/>
          <w:lang w:eastAsia="zh-CN"/>
        </w:rPr>
        <w:t>承包人应向发包人提交</w:t>
      </w:r>
      <w:r>
        <w:rPr>
          <w:rFonts w:hint="eastAsia" w:ascii="仿宋" w:hAnsi="仿宋" w:eastAsia="仿宋" w:cs="仿宋"/>
          <w:color w:val="auto"/>
          <w:highlight w:val="none"/>
          <w:lang w:eastAsia="zh-CN"/>
        </w:rPr>
        <w:t>设计指挥长、施工指挥长、项目负责人、设计负责人、施工负责人及专业负责人</w:t>
      </w:r>
      <w:r>
        <w:rPr>
          <w:rFonts w:hint="eastAsia" w:ascii="仿宋" w:hAnsi="仿宋" w:eastAsia="仿宋"/>
          <w:color w:val="auto"/>
          <w:highlight w:val="none"/>
          <w:lang w:eastAsia="zh-CN"/>
        </w:rPr>
        <w:t>与承包人之间的劳动合同，以及承包人为其缴纳社会保险的有效证明。承包人不提交上述文件的，前述人员无权履行职责，发包人有权要求更换人员，由此增加的费用和（或）延误的工期由承包人承担。同时</w:t>
      </w:r>
      <w:r>
        <w:rPr>
          <w:rFonts w:ascii="仿宋" w:hAnsi="仿宋" w:eastAsia="仿宋"/>
          <w:color w:val="auto"/>
          <w:highlight w:val="none"/>
          <w:lang w:eastAsia="zh-CN"/>
        </w:rPr>
        <w:t>承包人</w:t>
      </w:r>
      <w:r>
        <w:rPr>
          <w:rFonts w:hint="eastAsia" w:ascii="仿宋" w:hAnsi="仿宋" w:eastAsia="仿宋"/>
          <w:color w:val="auto"/>
          <w:highlight w:val="none"/>
          <w:lang w:eastAsia="zh-CN"/>
        </w:rPr>
        <w:t>需承担</w:t>
      </w:r>
      <w:r>
        <w:rPr>
          <w:rFonts w:ascii="仿宋" w:hAnsi="仿宋" w:eastAsia="仿宋"/>
          <w:color w:val="auto"/>
          <w:highlight w:val="none"/>
          <w:lang w:eastAsia="zh-CN"/>
        </w:rPr>
        <w:t>违约责任：</w:t>
      </w:r>
      <w:r>
        <w:rPr>
          <w:rFonts w:hint="eastAsia" w:ascii="仿宋" w:hAnsi="仿宋" w:eastAsia="仿宋"/>
          <w:color w:val="auto"/>
          <w:highlight w:val="none"/>
          <w:u w:val="single"/>
          <w:lang w:eastAsia="zh-CN"/>
        </w:rPr>
        <w:t>详见附件十二</w:t>
      </w:r>
      <w:r>
        <w:rPr>
          <w:rFonts w:hint="eastAsia" w:ascii="仿宋" w:hAnsi="仿宋" w:eastAsia="仿宋"/>
          <w:color w:val="auto"/>
          <w:highlight w:val="none"/>
          <w:lang w:eastAsia="zh-CN"/>
        </w:rPr>
        <w:t>。</w:t>
      </w:r>
    </w:p>
    <w:p w14:paraId="2F564EAC">
      <w:pPr>
        <w:widowControl w:val="0"/>
        <w:spacing w:line="360" w:lineRule="auto"/>
        <w:ind w:firstLine="480" w:firstLineChars="200"/>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2）项目负责人、施工负责人必须全职在现场办公，不得兼职或者擅自离岗。本工程严格执行签到制度。因特殊情况需短暂离岗的，应当事先通知监理工程师，并取得发包人的书面批准，且须妥善安排工作交接。</w:t>
      </w:r>
    </w:p>
    <w:p w14:paraId="1D14E923">
      <w:pPr>
        <w:widowControl w:val="0"/>
        <w:spacing w:line="360" w:lineRule="auto"/>
        <w:ind w:firstLine="480" w:firstLineChars="200"/>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w:t>
      </w:r>
      <w:r>
        <w:rPr>
          <w:rFonts w:ascii="仿宋" w:hAnsi="仿宋" w:eastAsia="仿宋" w:cs="宋体"/>
          <w:snapToGrid w:val="0"/>
          <w:color w:val="auto"/>
          <w:highlight w:val="none"/>
          <w:lang w:eastAsia="zh-CN"/>
        </w:rPr>
        <w:t>3）本工程</w:t>
      </w:r>
      <w:r>
        <w:rPr>
          <w:rFonts w:hint="eastAsia" w:ascii="仿宋" w:hAnsi="仿宋" w:eastAsia="仿宋" w:cs="宋体"/>
          <w:snapToGrid w:val="0"/>
          <w:color w:val="auto"/>
          <w:highlight w:val="none"/>
          <w:lang w:eastAsia="zh-CN"/>
        </w:rPr>
        <w:t>施工负责人、施工技术负责人</w:t>
      </w:r>
      <w:r>
        <w:rPr>
          <w:rFonts w:ascii="仿宋" w:hAnsi="仿宋" w:eastAsia="仿宋"/>
          <w:color w:val="auto"/>
          <w:highlight w:val="none"/>
          <w:lang w:eastAsia="zh-CN"/>
        </w:rPr>
        <w:t>项目设计负责人和专业设计人员</w:t>
      </w:r>
      <w:r>
        <w:rPr>
          <w:rFonts w:hint="eastAsia" w:ascii="仿宋" w:hAnsi="仿宋" w:eastAsia="仿宋" w:cs="宋体"/>
          <w:snapToGrid w:val="0"/>
          <w:color w:val="auto"/>
          <w:highlight w:val="none"/>
          <w:lang w:eastAsia="zh-CN"/>
        </w:rPr>
        <w:t>和五大员（施工员、质检员、安全员、材料员、预算员）必须持证上岗及驻现场办公；施工负责人（承包人在职注册一级建造师）；项目技术负责人具有本科以上学历，建筑工程类高级工程师或以上职称；技术负责人、</w:t>
      </w:r>
      <w:r>
        <w:rPr>
          <w:rFonts w:ascii="仿宋" w:hAnsi="仿宋" w:eastAsia="仿宋"/>
          <w:color w:val="auto"/>
          <w:highlight w:val="none"/>
          <w:lang w:eastAsia="zh-CN"/>
        </w:rPr>
        <w:t>设计负责人、</w:t>
      </w:r>
      <w:r>
        <w:rPr>
          <w:rFonts w:hint="eastAsia" w:ascii="仿宋" w:hAnsi="仿宋" w:eastAsia="仿宋" w:cs="宋体"/>
          <w:snapToGrid w:val="0"/>
          <w:color w:val="auto"/>
          <w:highlight w:val="none"/>
          <w:lang w:eastAsia="zh-CN"/>
        </w:rPr>
        <w:t>安全负责人、质量负责人、</w:t>
      </w:r>
      <w:r>
        <w:rPr>
          <w:rFonts w:ascii="仿宋" w:hAnsi="仿宋" w:eastAsia="仿宋"/>
          <w:color w:val="auto"/>
          <w:highlight w:val="none"/>
          <w:lang w:eastAsia="zh-CN"/>
        </w:rPr>
        <w:t>专业设计人员</w:t>
      </w:r>
      <w:r>
        <w:rPr>
          <w:rFonts w:hint="eastAsia" w:ascii="仿宋" w:hAnsi="仿宋" w:eastAsia="仿宋" w:cs="宋体"/>
          <w:snapToGrid w:val="0"/>
          <w:color w:val="auto"/>
          <w:highlight w:val="none"/>
          <w:lang w:eastAsia="zh-CN"/>
        </w:rPr>
        <w:t>和五大员上岗应有企业承包人授权书，且应具备法定程序认可的上岗证件及相应等级职称证明；其余主要管理人员要有类似工程的管理经验。（注：人员要求具体以招标文件、承包人的投标文件为准。）</w:t>
      </w:r>
    </w:p>
    <w:p w14:paraId="4640B696">
      <w:pPr>
        <w:widowControl w:val="0"/>
        <w:spacing w:line="360" w:lineRule="auto"/>
        <w:ind w:firstLine="480" w:firstLineChars="200"/>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w:t>
      </w:r>
      <w:r>
        <w:rPr>
          <w:rFonts w:ascii="仿宋" w:hAnsi="仿宋" w:eastAsia="仿宋" w:cs="宋体"/>
          <w:snapToGrid w:val="0"/>
          <w:color w:val="auto"/>
          <w:highlight w:val="none"/>
          <w:lang w:eastAsia="zh-CN"/>
        </w:rPr>
        <w:t>4）现场管理机构各部主要组织管理人员在开工前必须全部到位，并接受总监理工程师和发包人代表的查验。</w:t>
      </w:r>
      <w:r>
        <w:rPr>
          <w:rFonts w:hint="eastAsia" w:ascii="仿宋" w:hAnsi="仿宋" w:eastAsia="仿宋" w:cs="宋体"/>
          <w:snapToGrid w:val="0"/>
          <w:color w:val="auto"/>
          <w:highlight w:val="none"/>
          <w:lang w:eastAsia="zh-CN"/>
        </w:rPr>
        <w:t>承包人委派的现场管理机构各部主要组织管理人员不得有兼职情况存在，并需接受监理单位的监督。</w:t>
      </w:r>
    </w:p>
    <w:p w14:paraId="3BA96E49">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（5）</w:t>
      </w:r>
      <w:r>
        <w:rPr>
          <w:rFonts w:hint="eastAsia" w:ascii="仿宋" w:hAnsi="仿宋" w:eastAsia="仿宋"/>
          <w:color w:val="auto"/>
          <w:highlight w:val="none"/>
          <w:lang w:eastAsia="zh-CN"/>
        </w:rPr>
        <w:t>关键人员更换</w:t>
      </w:r>
    </w:p>
    <w:p w14:paraId="6DF8BF88">
      <w:pPr>
        <w:spacing w:line="360" w:lineRule="auto"/>
        <w:ind w:firstLine="566" w:firstLineChars="236"/>
        <w:rPr>
          <w:rFonts w:hint="eastAsia" w:ascii="仿宋" w:hAnsi="仿宋" w:eastAsia="仿宋"/>
          <w:color w:val="auto"/>
          <w:highlight w:val="none"/>
          <w:lang w:eastAsia="zh-CN"/>
        </w:rPr>
      </w:pPr>
      <w:r>
        <w:rPr>
          <w:rFonts w:ascii="仿宋" w:hAnsi="仿宋" w:eastAsia="仿宋"/>
          <w:color w:val="auto"/>
          <w:highlight w:val="none"/>
          <w:lang w:eastAsia="zh-CN"/>
        </w:rPr>
        <w:t>1）承包人擅自更换</w:t>
      </w:r>
      <w:r>
        <w:rPr>
          <w:rFonts w:hint="eastAsia" w:ascii="仿宋" w:hAnsi="仿宋" w:eastAsia="仿宋"/>
          <w:color w:val="auto"/>
          <w:highlight w:val="none"/>
          <w:lang w:eastAsia="zh-CN"/>
        </w:rPr>
        <w:t>关键人员</w:t>
      </w:r>
      <w:r>
        <w:rPr>
          <w:rFonts w:ascii="仿宋" w:hAnsi="仿宋" w:eastAsia="仿宋"/>
          <w:color w:val="auto"/>
          <w:highlight w:val="none"/>
          <w:lang w:eastAsia="zh-CN"/>
        </w:rPr>
        <w:t>的违约责任：</w:t>
      </w:r>
      <w:r>
        <w:rPr>
          <w:rFonts w:hint="eastAsia" w:ascii="仿宋" w:hAnsi="仿宋" w:eastAsia="仿宋"/>
          <w:color w:val="auto"/>
          <w:highlight w:val="none"/>
          <w:u w:val="single"/>
          <w:lang w:eastAsia="zh-CN"/>
        </w:rPr>
        <w:t>详见附件十二</w:t>
      </w:r>
      <w:r>
        <w:rPr>
          <w:rFonts w:ascii="仿宋" w:hAnsi="仿宋" w:eastAsia="仿宋"/>
          <w:color w:val="auto"/>
          <w:highlight w:val="none"/>
          <w:u w:val="single"/>
          <w:lang w:eastAsia="zh-CN"/>
        </w:rPr>
        <w:t>。</w:t>
      </w:r>
    </w:p>
    <w:p w14:paraId="7AD8BC83">
      <w:pPr>
        <w:spacing w:line="360" w:lineRule="auto"/>
        <w:ind w:firstLine="566" w:firstLineChars="236"/>
        <w:rPr>
          <w:rFonts w:hint="eastAsia" w:ascii="仿宋" w:hAnsi="仿宋" w:eastAsia="仿宋"/>
          <w:color w:val="auto"/>
          <w:highlight w:val="none"/>
          <w:lang w:eastAsia="zh-CN"/>
        </w:rPr>
      </w:pPr>
      <w:r>
        <w:rPr>
          <w:rFonts w:ascii="仿宋" w:hAnsi="仿宋" w:eastAsia="仿宋"/>
          <w:color w:val="auto"/>
          <w:highlight w:val="none"/>
          <w:lang w:eastAsia="zh-CN"/>
        </w:rPr>
        <w:t>2）承包人无正当理由拒绝撤换</w:t>
      </w:r>
      <w:r>
        <w:rPr>
          <w:rFonts w:hint="eastAsia" w:ascii="仿宋" w:hAnsi="仿宋" w:eastAsia="仿宋"/>
          <w:color w:val="auto"/>
          <w:highlight w:val="none"/>
          <w:lang w:eastAsia="zh-CN"/>
        </w:rPr>
        <w:t>关键人员</w:t>
      </w:r>
      <w:r>
        <w:rPr>
          <w:rFonts w:ascii="仿宋" w:hAnsi="仿宋" w:eastAsia="仿宋"/>
          <w:color w:val="auto"/>
          <w:highlight w:val="none"/>
          <w:lang w:eastAsia="zh-CN"/>
        </w:rPr>
        <w:t>的违约责任：</w:t>
      </w:r>
      <w:r>
        <w:rPr>
          <w:rFonts w:hint="eastAsia" w:ascii="仿宋" w:hAnsi="仿宋" w:eastAsia="仿宋"/>
          <w:color w:val="auto"/>
          <w:highlight w:val="none"/>
          <w:u w:val="single"/>
          <w:lang w:eastAsia="zh-CN"/>
        </w:rPr>
        <w:t>详详见附件十二</w:t>
      </w:r>
      <w:r>
        <w:rPr>
          <w:rFonts w:ascii="仿宋" w:hAnsi="仿宋" w:eastAsia="仿宋"/>
          <w:color w:val="auto"/>
          <w:highlight w:val="none"/>
          <w:u w:val="single"/>
          <w:lang w:eastAsia="zh-CN"/>
        </w:rPr>
        <w:t>。</w:t>
      </w:r>
    </w:p>
    <w:p w14:paraId="67C4F462">
      <w:pPr>
        <w:widowControl w:val="0"/>
        <w:spacing w:line="360" w:lineRule="auto"/>
        <w:ind w:firstLine="566" w:firstLineChars="236"/>
        <w:rPr>
          <w:rFonts w:hint="eastAsia" w:ascii="仿宋" w:hAnsi="仿宋" w:eastAsia="仿宋" w:cs="宋体"/>
          <w:snapToGrid w:val="0"/>
          <w:color w:val="auto"/>
          <w:highlight w:val="none"/>
          <w:lang w:eastAsia="zh-CN"/>
        </w:rPr>
      </w:pPr>
      <w:r>
        <w:rPr>
          <w:rFonts w:ascii="仿宋" w:hAnsi="仿宋" w:eastAsia="仿宋" w:cs="宋体"/>
          <w:snapToGrid w:val="0"/>
          <w:color w:val="auto"/>
          <w:highlight w:val="none"/>
          <w:lang w:eastAsia="zh-CN"/>
        </w:rPr>
        <w:t>3）现场管理机构各部主要组织管理人员应与投标文件保持一致，如因特殊情况需要更换的，承包人应以书面形式向监理单位提出意向（附前任和后任人员的详细履历资料），经总监理工程师签署意见后向发包人提出申请，征得发包人书面同意后方可更换</w:t>
      </w:r>
      <w:r>
        <w:rPr>
          <w:rFonts w:hint="eastAsia" w:ascii="仿宋" w:hAnsi="仿宋" w:eastAsia="仿宋" w:cs="宋体"/>
          <w:snapToGrid w:val="0"/>
          <w:color w:val="auto"/>
          <w:highlight w:val="none"/>
          <w:lang w:eastAsia="zh-CN"/>
        </w:rPr>
        <w:t>（更换人数不得超过投标文件中人数的50%，如果超过更换人数的50%，再更换人员即使发包人同意，后续更换人员按擅自更换人员条款处罚）</w:t>
      </w:r>
      <w:r>
        <w:rPr>
          <w:rFonts w:ascii="仿宋" w:hAnsi="仿宋" w:eastAsia="仿宋" w:cs="宋体"/>
          <w:snapToGrid w:val="0"/>
          <w:color w:val="auto"/>
          <w:highlight w:val="none"/>
          <w:lang w:eastAsia="zh-CN"/>
        </w:rPr>
        <w:t>。承包人必须保证后任人员的资质、职称、实际工作能力不低于前任人员的素质。</w:t>
      </w:r>
      <w:r>
        <w:rPr>
          <w:rFonts w:hint="eastAsia" w:ascii="仿宋" w:hAnsi="仿宋" w:eastAsia="仿宋" w:cs="宋体"/>
          <w:snapToGrid w:val="0"/>
          <w:color w:val="auto"/>
          <w:highlight w:val="none"/>
          <w:lang w:eastAsia="zh-CN"/>
        </w:rPr>
        <w:t>更换人员必须履行建设行政主管部门规定的人员变更手续，后任人员继续行使前任的职权，履行前任的义务。</w:t>
      </w:r>
    </w:p>
    <w:p w14:paraId="09E04B1E">
      <w:pPr>
        <w:widowControl w:val="0"/>
        <w:spacing w:line="360" w:lineRule="auto"/>
        <w:ind w:firstLine="480" w:firstLineChars="200"/>
        <w:rPr>
          <w:rFonts w:hint="eastAsia" w:ascii="仿宋" w:hAnsi="仿宋" w:eastAsia="仿宋" w:cs="宋体"/>
          <w:snapToGrid w:val="0"/>
          <w:color w:val="auto"/>
          <w:highlight w:val="none"/>
          <w:lang w:eastAsia="zh-CN"/>
        </w:rPr>
      </w:pPr>
      <w:r>
        <w:rPr>
          <w:rFonts w:ascii="仿宋" w:hAnsi="仿宋" w:eastAsia="仿宋" w:cs="宋体"/>
          <w:snapToGrid w:val="0"/>
          <w:color w:val="auto"/>
          <w:highlight w:val="none"/>
          <w:lang w:eastAsia="zh-CN"/>
        </w:rPr>
        <w:t>上述任何理由或程序更换的现场主要管理人员必须待更换人员到岗后，前任人员经工作交接方能离岗，若未经交接或批准擅自离岗，</w:t>
      </w:r>
      <w:r>
        <w:rPr>
          <w:rFonts w:hint="eastAsia" w:ascii="仿宋" w:hAnsi="仿宋" w:eastAsia="仿宋" w:cs="宋体"/>
          <w:snapToGrid w:val="0"/>
          <w:color w:val="auto"/>
          <w:highlight w:val="none"/>
          <w:lang w:eastAsia="zh-CN"/>
        </w:rPr>
        <w:t>发包人有权要求承包人承担一般违约责任处罚</w:t>
      </w:r>
      <w:r>
        <w:rPr>
          <w:rFonts w:ascii="仿宋" w:hAnsi="仿宋" w:eastAsia="仿宋" w:cs="宋体"/>
          <w:snapToGrid w:val="0"/>
          <w:color w:val="auto"/>
          <w:highlight w:val="none"/>
          <w:lang w:eastAsia="zh-CN"/>
        </w:rPr>
        <w:t>1</w:t>
      </w:r>
      <w:r>
        <w:rPr>
          <w:rFonts w:hint="eastAsia" w:ascii="仿宋" w:hAnsi="仿宋" w:eastAsia="仿宋" w:cs="宋体"/>
          <w:snapToGrid w:val="0"/>
          <w:color w:val="auto"/>
          <w:highlight w:val="none"/>
          <w:lang w:eastAsia="zh-CN"/>
        </w:rPr>
        <w:t>次</w:t>
      </w:r>
      <w:r>
        <w:rPr>
          <w:rFonts w:ascii="仿宋" w:hAnsi="仿宋" w:eastAsia="仿宋" w:cs="宋体"/>
          <w:snapToGrid w:val="0"/>
          <w:color w:val="auto"/>
          <w:highlight w:val="none"/>
          <w:lang w:eastAsia="zh-CN"/>
        </w:rPr>
        <w:t>。</w:t>
      </w:r>
    </w:p>
    <w:p w14:paraId="7CAE6682">
      <w:pPr>
        <w:widowControl w:val="0"/>
        <w:spacing w:line="360" w:lineRule="auto"/>
        <w:ind w:firstLine="566" w:firstLineChars="236"/>
        <w:rPr>
          <w:rFonts w:hint="eastAsia" w:ascii="仿宋" w:hAnsi="仿宋" w:eastAsia="仿宋" w:cs="宋体"/>
          <w:snapToGrid w:val="0"/>
          <w:color w:val="auto"/>
          <w:highlight w:val="none"/>
          <w:lang w:eastAsia="zh-CN"/>
        </w:rPr>
      </w:pPr>
      <w:r>
        <w:rPr>
          <w:rFonts w:ascii="仿宋" w:hAnsi="仿宋" w:eastAsia="仿宋" w:cs="宋体"/>
          <w:snapToGrid w:val="0"/>
          <w:color w:val="auto"/>
          <w:highlight w:val="none"/>
          <w:lang w:eastAsia="zh-CN"/>
        </w:rPr>
        <w:t>4）现场管理机构各部主要组织管理人员的实际工作能力和工作效果达不到招标文件的明确要求或投标文件的承诺或工作态度存在严重不足，不适应现场工作需要的，发包人有权向承包人提出撤换。承包人可以提出整改意见，如发包人不予接受或认为整改效果不明显的，则承包人必须在发包人</w:t>
      </w:r>
      <w:r>
        <w:rPr>
          <w:rFonts w:hint="eastAsia" w:ascii="仿宋" w:hAnsi="仿宋" w:eastAsia="仿宋" w:cs="宋体"/>
          <w:snapToGrid w:val="0"/>
          <w:color w:val="auto"/>
          <w:highlight w:val="none"/>
          <w:lang w:eastAsia="zh-CN"/>
        </w:rPr>
        <w:t>作出不予接受或认为整改效果不明显的通知之日起</w:t>
      </w:r>
      <w:r>
        <w:rPr>
          <w:rFonts w:ascii="仿宋" w:hAnsi="仿宋" w:eastAsia="仿宋" w:cs="宋体"/>
          <w:snapToGrid w:val="0"/>
          <w:color w:val="auto"/>
          <w:highlight w:val="none"/>
          <w:lang w:eastAsia="zh-CN"/>
        </w:rPr>
        <w:t>7天内无条件撤换，并按</w:t>
      </w:r>
      <w:r>
        <w:rPr>
          <w:rFonts w:hint="eastAsia" w:ascii="仿宋" w:hAnsi="仿宋" w:eastAsia="仿宋"/>
          <w:color w:val="auto"/>
          <w:highlight w:val="none"/>
          <w:u w:val="single"/>
          <w:lang w:eastAsia="zh-CN"/>
        </w:rPr>
        <w:t>详见附件十二</w:t>
      </w:r>
      <w:r>
        <w:rPr>
          <w:rFonts w:ascii="仿宋" w:hAnsi="仿宋" w:eastAsia="仿宋" w:cs="宋体"/>
          <w:snapToGrid w:val="0"/>
          <w:color w:val="auto"/>
          <w:highlight w:val="none"/>
          <w:lang w:eastAsia="zh-CN"/>
        </w:rPr>
        <w:t>约定承担违约责任。所调换来人员的资质、职称、实际工作能力不低于投标文件中所承诺人员的素质，否则，按</w:t>
      </w:r>
      <w:r>
        <w:rPr>
          <w:rFonts w:hint="eastAsia" w:ascii="仿宋" w:hAnsi="仿宋" w:eastAsia="仿宋" w:cs="宋体"/>
          <w:snapToGrid w:val="0"/>
          <w:color w:val="auto"/>
          <w:highlight w:val="none"/>
          <w:lang w:eastAsia="zh-CN"/>
        </w:rPr>
        <w:t>专用条款</w:t>
      </w:r>
      <w:r>
        <w:rPr>
          <w:rFonts w:hint="eastAsia" w:ascii="仿宋" w:hAnsi="仿宋" w:eastAsia="仿宋"/>
          <w:color w:val="auto"/>
          <w:highlight w:val="none"/>
          <w:u w:val="single"/>
          <w:lang w:eastAsia="zh-CN"/>
        </w:rPr>
        <w:t>详见附件十二</w:t>
      </w:r>
      <w:r>
        <w:rPr>
          <w:rFonts w:ascii="仿宋" w:hAnsi="仿宋" w:eastAsia="仿宋" w:cs="宋体"/>
          <w:snapToGrid w:val="0"/>
          <w:color w:val="auto"/>
          <w:highlight w:val="none"/>
          <w:lang w:eastAsia="zh-CN"/>
        </w:rPr>
        <w:t>的约定承担违反投标承诺的违约责任。</w:t>
      </w:r>
    </w:p>
    <w:p w14:paraId="499F744D">
      <w:pPr>
        <w:widowControl w:val="0"/>
        <w:spacing w:line="360" w:lineRule="auto"/>
        <w:ind w:firstLine="480" w:firstLineChars="200"/>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发包人要求承包人撤换不合格人员，如承包人既不立即撤换，也不在</w:t>
      </w:r>
      <w:r>
        <w:rPr>
          <w:rFonts w:ascii="仿宋" w:hAnsi="仿宋" w:eastAsia="仿宋" w:cs="宋体"/>
          <w:snapToGrid w:val="0"/>
          <w:color w:val="auto"/>
          <w:highlight w:val="none"/>
          <w:lang w:eastAsia="zh-CN"/>
        </w:rPr>
        <w:t>3天内提出整改意见，则视同拒绝执行发包人的指令，承包人需按</w:t>
      </w:r>
      <w:r>
        <w:rPr>
          <w:rFonts w:hint="eastAsia" w:ascii="仿宋" w:hAnsi="仿宋" w:eastAsia="仿宋"/>
          <w:color w:val="auto"/>
          <w:highlight w:val="none"/>
          <w:u w:val="single"/>
          <w:lang w:eastAsia="zh-CN"/>
        </w:rPr>
        <w:t>详见附件十二</w:t>
      </w:r>
      <w:r>
        <w:rPr>
          <w:rFonts w:ascii="仿宋" w:hAnsi="仿宋" w:eastAsia="仿宋" w:cs="宋体"/>
          <w:snapToGrid w:val="0"/>
          <w:color w:val="auto"/>
          <w:highlight w:val="none"/>
          <w:lang w:eastAsia="zh-CN"/>
        </w:rPr>
        <w:t>的约定承担违约责任。</w:t>
      </w:r>
    </w:p>
    <w:p w14:paraId="053D772E">
      <w:pPr>
        <w:widowControl w:val="0"/>
        <w:spacing w:line="360" w:lineRule="auto"/>
        <w:ind w:firstLine="480" w:firstLineChars="200"/>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发包人要求承包人以实际工作能力较高的人员调换实际工作能力较低的现场人员、或者承包人主动要求以实际工作能力较高的人员调换实际工作能力较低的现场人员并经总监理工程师及发包人批准且经实践检验证实、或者承包人有合法的理由提出申请并经总监理工程师及发包人批准更换相关人员的，承包人可不承担违约责任。</w:t>
      </w:r>
    </w:p>
    <w:p w14:paraId="2211E4F2">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 xml:space="preserve">（6） </w:t>
      </w:r>
      <w:r>
        <w:rPr>
          <w:rFonts w:hint="eastAsia" w:ascii="仿宋" w:hAnsi="仿宋" w:eastAsia="仿宋"/>
          <w:color w:val="auto"/>
          <w:highlight w:val="none"/>
          <w:lang w:eastAsia="zh-CN"/>
        </w:rPr>
        <w:t>现场管理关键人员在岗要求</w:t>
      </w:r>
    </w:p>
    <w:p w14:paraId="2388EB7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olor w:val="auto"/>
          <w:highlight w:val="none"/>
          <w:lang w:eastAsia="zh-CN"/>
        </w:rPr>
        <w:t>承包人现场管理关键人员离开施工现场的批准要求：现场管理机构各部主要组织管理人员必须全职在现场办公，不得兼职或者擅自离岗。因特殊情况需短暂离岗的，应当事先报总监理工程师批准，且须妥善安排工作交接。项目负责人应当确保每月在现场带班生产的实际时间不少于本月施工时间的80%，如需请假按发包人相关规定办理。</w:t>
      </w:r>
    </w:p>
    <w:p w14:paraId="56BDD5A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15.3监理人代表任命和撤回：</w:t>
      </w:r>
      <w:r>
        <w:rPr>
          <w:rFonts w:hint="eastAsia" w:ascii="仿宋" w:hAnsi="仿宋" w:eastAsia="仿宋" w:cs="仿宋"/>
          <w:color w:val="auto"/>
          <w:highlight w:val="none"/>
          <w:u w:val="single"/>
          <w:lang w:eastAsia="zh-CN"/>
        </w:rPr>
        <w:t>按服务合同的约定执行。</w:t>
      </w:r>
    </w:p>
    <w:p w14:paraId="4BBA1B98">
      <w:pPr>
        <w:pStyle w:val="5"/>
        <w:tabs>
          <w:tab w:val="left" w:pos="420"/>
        </w:tabs>
        <w:spacing w:before="0" w:after="0" w:line="360" w:lineRule="auto"/>
        <w:rPr>
          <w:rFonts w:hint="eastAsia" w:ascii="仿宋" w:hAnsi="仿宋" w:eastAsia="仿宋"/>
          <w:color w:val="auto"/>
          <w:highlight w:val="none"/>
          <w:lang w:eastAsia="zh-CN"/>
        </w:rPr>
      </w:pPr>
      <w:bookmarkStart w:id="702" w:name="_Toc30076"/>
      <w:bookmarkStart w:id="703" w:name="_Toc17559"/>
      <w:bookmarkStart w:id="704" w:name="_Toc27232"/>
      <w:bookmarkStart w:id="705" w:name="_Toc21817"/>
      <w:bookmarkStart w:id="706" w:name="_Toc16496"/>
      <w:bookmarkStart w:id="707" w:name="_Toc3076"/>
      <w:bookmarkStart w:id="708" w:name="_Toc20665"/>
      <w:bookmarkStart w:id="709" w:name="_Toc31631"/>
      <w:bookmarkStart w:id="710" w:name="_Toc6758"/>
      <w:bookmarkStart w:id="711" w:name="_Toc20167"/>
      <w:bookmarkStart w:id="712" w:name="_Toc1121"/>
      <w:bookmarkStart w:id="713" w:name="_Toc32059"/>
      <w:bookmarkStart w:id="714" w:name="_Toc24099"/>
      <w:bookmarkStart w:id="715" w:name="_Toc4949"/>
      <w:r>
        <w:rPr>
          <w:rFonts w:hint="eastAsia" w:ascii="仿宋" w:hAnsi="仿宋" w:eastAsia="仿宋" w:cs="仿宋"/>
          <w:b w:val="0"/>
          <w:bCs w:val="0"/>
          <w:color w:val="auto"/>
          <w:sz w:val="24"/>
          <w:szCs w:val="24"/>
          <w:highlight w:val="none"/>
          <w:lang w:eastAsia="zh-CN"/>
        </w:rPr>
        <w:t>16.  发包人代表</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3DC16B5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16.1 发包人对其代表授权</w:t>
      </w:r>
    </w:p>
    <w:p w14:paraId="403FA945">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发包人代表及其权力的限制</w:t>
      </w:r>
    </w:p>
    <w:p w14:paraId="654D8C8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①发包人任命（）为发包人代表，其通讯方式为</w:t>
      </w:r>
    </w:p>
    <w:p w14:paraId="6B15671E">
      <w:pPr>
        <w:spacing w:line="360" w:lineRule="auto"/>
        <w:ind w:left="120" w:firstLine="823" w:firstLineChars="343"/>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通讯地址：            邮政编码：</w:t>
      </w:r>
    </w:p>
    <w:p w14:paraId="2F21D3B3">
      <w:pPr>
        <w:spacing w:line="360" w:lineRule="auto"/>
        <w:ind w:left="120" w:firstLine="823" w:firstLineChars="343"/>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联系电话：            传真号码：</w:t>
      </w:r>
    </w:p>
    <w:p w14:paraId="3FC33FC9">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②发包人对发包人代表权力做如下限制：</w:t>
      </w:r>
      <w:r>
        <w:rPr>
          <w:rFonts w:hint="eastAsia" w:ascii="仿宋" w:hAnsi="仿宋" w:eastAsia="仿宋" w:cs="仿宋"/>
          <w:color w:val="auto"/>
          <w:highlight w:val="none"/>
          <w:u w:val="single"/>
          <w:lang w:eastAsia="zh-CN"/>
        </w:rPr>
        <w:t xml:space="preserve"> 涉及工期、质量标准、工程变更及造价调整事项，以发包人书面意见为主。 </w:t>
      </w:r>
    </w:p>
    <w:p w14:paraId="4072DFFB">
      <w:pPr>
        <w:pStyle w:val="5"/>
        <w:tabs>
          <w:tab w:val="left" w:pos="360"/>
          <w:tab w:val="left" w:pos="420"/>
        </w:tabs>
        <w:spacing w:before="0" w:after="0" w:line="360" w:lineRule="auto"/>
        <w:rPr>
          <w:rFonts w:hint="eastAsia" w:ascii="仿宋" w:hAnsi="仿宋" w:eastAsia="仿宋"/>
          <w:color w:val="auto"/>
          <w:highlight w:val="none"/>
          <w:lang w:eastAsia="zh-CN"/>
        </w:rPr>
      </w:pPr>
      <w:bookmarkStart w:id="716" w:name="_Toc1154"/>
      <w:bookmarkStart w:id="717" w:name="_Toc27509"/>
      <w:bookmarkStart w:id="718" w:name="_Toc21837"/>
      <w:bookmarkStart w:id="719" w:name="_Toc10068"/>
      <w:bookmarkStart w:id="720" w:name="_Toc13116"/>
      <w:bookmarkStart w:id="721" w:name="_Toc3509"/>
      <w:bookmarkStart w:id="722" w:name="_Toc16373"/>
      <w:bookmarkStart w:id="723" w:name="_Toc11383"/>
      <w:bookmarkStart w:id="724" w:name="_Toc27811"/>
      <w:bookmarkStart w:id="725" w:name="_Toc8748"/>
      <w:bookmarkStart w:id="726" w:name="_Toc31917"/>
      <w:bookmarkStart w:id="727" w:name="_Toc30780"/>
      <w:bookmarkStart w:id="728" w:name="_Toc18765"/>
      <w:bookmarkStart w:id="729" w:name="_Toc17240"/>
      <w:r>
        <w:rPr>
          <w:rFonts w:hint="eastAsia" w:ascii="仿宋" w:hAnsi="仿宋" w:eastAsia="仿宋" w:cs="仿宋"/>
          <w:b w:val="0"/>
          <w:bCs w:val="0"/>
          <w:color w:val="auto"/>
          <w:sz w:val="24"/>
          <w:szCs w:val="24"/>
          <w:highlight w:val="none"/>
          <w:lang w:eastAsia="zh-CN"/>
        </w:rPr>
        <w:t>17.  设计顾问人</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1207717C">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17.1 发包人对设计顾问人授权</w:t>
      </w:r>
    </w:p>
    <w:p w14:paraId="42995898">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负责合同工程的设计顾问人及任命的设计顾问人代表</w:t>
      </w:r>
    </w:p>
    <w:p w14:paraId="0FE8A20D">
      <w:pPr>
        <w:pStyle w:val="223"/>
        <w:numPr>
          <w:ilvl w:val="0"/>
          <w:numId w:val="40"/>
        </w:num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设计顾问人：</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 xml:space="preserve"> 法定代表人：</w:t>
      </w:r>
    </w:p>
    <w:p w14:paraId="6A9D969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②任命（               ）为设计顾问人代表，其通讯方式为</w:t>
      </w:r>
    </w:p>
    <w:p w14:paraId="3AA76F88">
      <w:pPr>
        <w:spacing w:line="360" w:lineRule="auto"/>
        <w:ind w:left="120" w:firstLine="823" w:firstLineChars="343"/>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通讯地址：                邮政编码：</w:t>
      </w:r>
    </w:p>
    <w:p w14:paraId="446E893A">
      <w:pPr>
        <w:spacing w:line="360" w:lineRule="auto"/>
        <w:ind w:left="120" w:firstLine="823" w:firstLineChars="343"/>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联系电话：                传真号码：</w:t>
      </w:r>
    </w:p>
    <w:p w14:paraId="5F934139">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26.3 设计顾问人职权限制</w:t>
      </w:r>
    </w:p>
    <w:p w14:paraId="2F3A08AA">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(8)需要发包人批准的其他事项：</w:t>
      </w:r>
      <w:r>
        <w:rPr>
          <w:rFonts w:hint="eastAsia" w:ascii="仿宋" w:hAnsi="仿宋" w:eastAsia="仿宋" w:cs="仿宋"/>
          <w:color w:val="auto"/>
          <w:highlight w:val="none"/>
          <w:u w:val="single"/>
          <w:lang w:eastAsia="zh-CN"/>
        </w:rPr>
        <w:t xml:space="preserve"> 涉及质量安全、规模、造价调整的事项。</w:t>
      </w:r>
    </w:p>
    <w:p w14:paraId="606B3D3E">
      <w:pPr>
        <w:pStyle w:val="5"/>
        <w:tabs>
          <w:tab w:val="left" w:pos="420"/>
        </w:tabs>
        <w:spacing w:before="0" w:after="0" w:line="360" w:lineRule="auto"/>
        <w:rPr>
          <w:rFonts w:hint="eastAsia" w:ascii="仿宋" w:hAnsi="仿宋" w:eastAsia="仿宋"/>
          <w:color w:val="auto"/>
          <w:highlight w:val="none"/>
          <w:lang w:eastAsia="zh-CN"/>
        </w:rPr>
      </w:pPr>
      <w:bookmarkStart w:id="730" w:name="_Toc25468"/>
      <w:bookmarkStart w:id="731" w:name="_Toc7678"/>
      <w:bookmarkStart w:id="732" w:name="_Toc590"/>
      <w:bookmarkStart w:id="733" w:name="_Toc26624"/>
      <w:bookmarkStart w:id="734" w:name="_Toc11974"/>
      <w:bookmarkStart w:id="735" w:name="_Toc21397"/>
      <w:bookmarkStart w:id="736" w:name="_Toc273"/>
      <w:bookmarkStart w:id="737" w:name="_Toc12388"/>
      <w:bookmarkStart w:id="738" w:name="_Toc28465"/>
      <w:bookmarkStart w:id="739" w:name="_Toc28740"/>
      <w:bookmarkStart w:id="740" w:name="_Toc27969"/>
      <w:bookmarkStart w:id="741" w:name="_Toc26368"/>
      <w:bookmarkStart w:id="742" w:name="_Toc28766"/>
      <w:bookmarkStart w:id="743" w:name="_Toc1741"/>
      <w:r>
        <w:rPr>
          <w:rFonts w:hint="eastAsia" w:ascii="仿宋" w:hAnsi="仿宋" w:eastAsia="仿宋" w:cs="仿宋"/>
          <w:b w:val="0"/>
          <w:bCs w:val="0"/>
          <w:color w:val="auto"/>
          <w:sz w:val="24"/>
          <w:szCs w:val="24"/>
          <w:highlight w:val="none"/>
          <w:lang w:eastAsia="zh-CN"/>
        </w:rPr>
        <w:t>18.  监理人</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0D196B6A">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18.1 发包人对监理人授权</w:t>
      </w:r>
    </w:p>
    <w:p w14:paraId="233A6699">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负责合同工程的监理人及任命的监理人代表</w:t>
      </w:r>
    </w:p>
    <w:p w14:paraId="127ED20D">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①监理人：                  法定代表人：</w:t>
      </w:r>
    </w:p>
    <w:p w14:paraId="264D07B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②任命（               ）为监理人代表，其通讯方式为</w:t>
      </w:r>
    </w:p>
    <w:p w14:paraId="742E3D97">
      <w:pPr>
        <w:spacing w:line="360" w:lineRule="auto"/>
        <w:ind w:left="120" w:firstLine="823" w:firstLineChars="343"/>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通讯地址：                  邮政编码：</w:t>
      </w:r>
    </w:p>
    <w:p w14:paraId="2CFDAD96">
      <w:pPr>
        <w:spacing w:line="360" w:lineRule="auto"/>
        <w:ind w:left="120" w:firstLine="823" w:firstLineChars="343"/>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联系电话：                  传真号码：</w:t>
      </w:r>
    </w:p>
    <w:p w14:paraId="1AF92458">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18.2 监理人职权限制</w:t>
      </w:r>
    </w:p>
    <w:p w14:paraId="62F3F711">
      <w:pPr>
        <w:spacing w:line="360" w:lineRule="auto"/>
        <w:ind w:left="240" w:leftChars="100" w:firstLine="240" w:firstLineChars="1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(12)需要发包人批准的其他事项：</w:t>
      </w:r>
      <w:r>
        <w:rPr>
          <w:rFonts w:hint="eastAsia" w:ascii="仿宋" w:hAnsi="仿宋" w:eastAsia="仿宋" w:cs="仿宋"/>
          <w:color w:val="auto"/>
          <w:highlight w:val="none"/>
          <w:u w:val="single"/>
          <w:lang w:eastAsia="zh-CN"/>
        </w:rPr>
        <w:t>（详见监理合同约定）</w:t>
      </w:r>
    </w:p>
    <w:p w14:paraId="445A42BC">
      <w:pPr>
        <w:pStyle w:val="5"/>
        <w:tabs>
          <w:tab w:val="left" w:pos="420"/>
        </w:tabs>
        <w:spacing w:before="0" w:after="0" w:line="360" w:lineRule="auto"/>
        <w:rPr>
          <w:rFonts w:hint="eastAsia" w:ascii="仿宋" w:hAnsi="仿宋" w:eastAsia="仿宋"/>
          <w:color w:val="auto"/>
          <w:highlight w:val="none"/>
          <w:lang w:eastAsia="zh-CN"/>
        </w:rPr>
      </w:pPr>
      <w:bookmarkStart w:id="744" w:name="_Toc10335"/>
      <w:bookmarkStart w:id="745" w:name="_Toc17774"/>
      <w:bookmarkStart w:id="746" w:name="_Toc1927"/>
      <w:bookmarkStart w:id="747" w:name="_Toc6347"/>
      <w:bookmarkStart w:id="748" w:name="_Toc10216"/>
      <w:bookmarkStart w:id="749" w:name="_Toc8282"/>
      <w:bookmarkStart w:id="750" w:name="_Toc31248"/>
      <w:bookmarkStart w:id="751" w:name="_Toc23292"/>
      <w:bookmarkStart w:id="752" w:name="_Toc20159"/>
      <w:bookmarkStart w:id="753" w:name="_Toc1608"/>
      <w:bookmarkStart w:id="754" w:name="_Toc18885"/>
      <w:bookmarkStart w:id="755" w:name="_Toc21552"/>
      <w:bookmarkStart w:id="756" w:name="_Toc16467"/>
      <w:bookmarkStart w:id="757" w:name="_Toc8081"/>
      <w:r>
        <w:rPr>
          <w:rFonts w:hint="eastAsia" w:ascii="仿宋" w:hAnsi="仿宋" w:eastAsia="仿宋" w:cs="仿宋"/>
          <w:b w:val="0"/>
          <w:bCs w:val="0"/>
          <w:color w:val="auto"/>
          <w:sz w:val="24"/>
          <w:szCs w:val="24"/>
          <w:highlight w:val="none"/>
          <w:lang w:eastAsia="zh-CN"/>
        </w:rPr>
        <w:t>19.  造价咨询人</w:t>
      </w:r>
      <w:bookmarkEnd w:id="744"/>
      <w:bookmarkEnd w:id="745"/>
      <w:bookmarkEnd w:id="746"/>
      <w:bookmarkEnd w:id="747"/>
      <w:bookmarkEnd w:id="748"/>
      <w:bookmarkEnd w:id="749"/>
      <w:bookmarkEnd w:id="750"/>
      <w:bookmarkEnd w:id="751"/>
      <w:bookmarkEnd w:id="752"/>
      <w:bookmarkEnd w:id="753"/>
      <w:bookmarkEnd w:id="754"/>
      <w:bookmarkEnd w:id="755"/>
      <w:bookmarkEnd w:id="756"/>
      <w:r>
        <w:rPr>
          <w:rFonts w:hint="eastAsia" w:ascii="仿宋" w:hAnsi="仿宋" w:eastAsia="仿宋" w:cs="仿宋"/>
          <w:b w:val="0"/>
          <w:bCs w:val="0"/>
          <w:color w:val="auto"/>
          <w:sz w:val="24"/>
          <w:szCs w:val="24"/>
          <w:highlight w:val="none"/>
          <w:lang w:eastAsia="zh-CN"/>
        </w:rPr>
        <w:t>（不涉及）</w:t>
      </w:r>
      <w:bookmarkEnd w:id="757"/>
    </w:p>
    <w:p w14:paraId="55BEEDED">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19.1 发包人对造价咨询人授权</w:t>
      </w:r>
    </w:p>
    <w:p w14:paraId="18BA8FD1">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负责合同工程的造价咨询人及任命的造价咨询人代表</w:t>
      </w:r>
    </w:p>
    <w:p w14:paraId="482BFBEC">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①造价咨询人：             法定代表人：</w:t>
      </w:r>
    </w:p>
    <w:p w14:paraId="5A6C7303">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②任命（              ）为造价咨询人代表，其通讯方式为</w:t>
      </w:r>
    </w:p>
    <w:p w14:paraId="0D85119C">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通讯地址： 邮政编码：</w:t>
      </w:r>
    </w:p>
    <w:p w14:paraId="45014724">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联系电话： 传真号码：</w:t>
      </w:r>
    </w:p>
    <w:p w14:paraId="5D131621">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19.3 造价咨询人职权限制</w:t>
      </w:r>
    </w:p>
    <w:p w14:paraId="4044D8F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（7）需要发包人批准的其他事项：</w:t>
      </w:r>
      <w:r>
        <w:rPr>
          <w:rFonts w:hint="eastAsia" w:ascii="仿宋" w:hAnsi="仿宋" w:eastAsia="仿宋" w:cs="仿宋"/>
          <w:color w:val="auto"/>
          <w:highlight w:val="none"/>
          <w:u w:val="single"/>
          <w:lang w:eastAsia="zh-CN"/>
        </w:rPr>
        <w:t xml:space="preserve"> （详见造价咨询合同约定） </w:t>
      </w:r>
    </w:p>
    <w:p w14:paraId="2C444191">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20.  承包人代表及其专业负责人</w:t>
      </w:r>
    </w:p>
    <w:p w14:paraId="5194163D">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20.1 承包人对其代表授权</w:t>
      </w:r>
    </w:p>
    <w:p w14:paraId="392615B3">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承包人代表（指挥长）：承包人任命（</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）为承包人设计指挥长，承包人任命（</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）为承包人施工指挥长，其通讯方式为</w:t>
      </w:r>
    </w:p>
    <w:p w14:paraId="051B5151">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设计指挥长：</w:t>
      </w:r>
      <w:r>
        <w:rPr>
          <w:rFonts w:hint="eastAsia" w:ascii="仿宋" w:hAnsi="仿宋" w:eastAsia="仿宋" w:cs="仿宋"/>
          <w:color w:val="auto"/>
          <w:highlight w:val="none"/>
          <w:u w:val="single"/>
          <w:lang w:eastAsia="zh-CN"/>
        </w:rPr>
        <w:t xml:space="preserve">  </w:t>
      </w:r>
    </w:p>
    <w:p w14:paraId="040B4960">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通讯地址：    </w:t>
      </w:r>
    </w:p>
    <w:p w14:paraId="400A9D26">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邮政编码：</w:t>
      </w:r>
      <w:r>
        <w:rPr>
          <w:rFonts w:hint="eastAsia" w:ascii="仿宋" w:hAnsi="仿宋" w:eastAsia="仿宋" w:cs="仿宋"/>
          <w:color w:val="auto"/>
          <w:highlight w:val="none"/>
          <w:lang w:eastAsia="zh-CN"/>
          <w:woUserID w:val="6"/>
        </w:rPr>
        <w:t xml:space="preserve"> </w:t>
      </w:r>
      <w:r>
        <w:rPr>
          <w:rFonts w:hint="eastAsia" w:ascii="仿宋" w:hAnsi="仿宋" w:eastAsia="仿宋" w:cs="仿宋"/>
          <w:color w:val="auto"/>
          <w:highlight w:val="none"/>
          <w:lang w:eastAsia="zh-CN"/>
        </w:rPr>
        <w:t xml:space="preserve">    联系电话：  传真号码：</w:t>
      </w:r>
      <w:r>
        <w:rPr>
          <w:rFonts w:hint="eastAsia" w:ascii="仿宋" w:hAnsi="仿宋" w:eastAsia="仿宋" w:cs="仿宋"/>
          <w:color w:val="auto"/>
          <w:highlight w:val="none"/>
          <w:u w:val="single"/>
          <w:lang w:eastAsia="zh-CN"/>
          <w:woUserID w:val="6"/>
        </w:rPr>
        <w:t xml:space="preserve"> </w:t>
      </w:r>
    </w:p>
    <w:p w14:paraId="723B9A43">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施工指挥长： </w:t>
      </w:r>
    </w:p>
    <w:p w14:paraId="7399E5E9">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通讯地址：   邮政编码： </w:t>
      </w:r>
    </w:p>
    <w:p w14:paraId="7216194C">
      <w:pPr>
        <w:spacing w:line="360" w:lineRule="auto"/>
        <w:ind w:firstLine="480" w:firstLineChars="200"/>
        <w:rPr>
          <w:color w:val="auto"/>
          <w:highlight w:val="none"/>
          <w:lang w:eastAsia="zh-CN"/>
        </w:rPr>
      </w:pPr>
      <w:r>
        <w:rPr>
          <w:rFonts w:hint="eastAsia" w:ascii="仿宋" w:hAnsi="仿宋" w:eastAsia="仿宋" w:cs="仿宋"/>
          <w:color w:val="auto"/>
          <w:highlight w:val="none"/>
          <w:lang w:eastAsia="zh-CN"/>
        </w:rPr>
        <w:t xml:space="preserve">联系电话：     传真号码： </w:t>
      </w:r>
    </w:p>
    <w:p w14:paraId="54D569F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勘察负责人：承包人任命（  ）为勘察负责人，其通讯方式为</w:t>
      </w:r>
    </w:p>
    <w:p w14:paraId="1A4F6EEB">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通讯地址：  邮政编码： </w:t>
      </w:r>
    </w:p>
    <w:p w14:paraId="745EF1B4">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联系电话：                      传真号码： </w:t>
      </w:r>
    </w:p>
    <w:p w14:paraId="796B7967">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设计负责人：承包人任命（ ）为设计负责人，其通讯方式为</w:t>
      </w:r>
    </w:p>
    <w:p w14:paraId="2B1D5DBA">
      <w:pPr>
        <w:spacing w:line="360" w:lineRule="auto"/>
        <w:ind w:firstLine="480" w:firstLineChars="200"/>
        <w:rPr>
          <w:rFonts w:hint="eastAsia" w:ascii="仿宋" w:hAnsi="仿宋" w:eastAsia="仿宋" w:cs="仿宋"/>
          <w:color w:val="auto"/>
          <w:highlight w:val="none"/>
          <w:u w:val="single"/>
          <w:lang w:eastAsia="zh"/>
          <w:woUserID w:val="6"/>
        </w:rPr>
      </w:pPr>
      <w:r>
        <w:rPr>
          <w:rFonts w:hint="eastAsia" w:ascii="仿宋" w:hAnsi="仿宋" w:eastAsia="仿宋" w:cs="仿宋"/>
          <w:color w:val="auto"/>
          <w:highlight w:val="none"/>
          <w:lang w:eastAsia="zh-CN"/>
        </w:rPr>
        <w:t>通讯地址：  邮政编码：</w:t>
      </w:r>
    </w:p>
    <w:p w14:paraId="20A18569">
      <w:pPr>
        <w:spacing w:line="360" w:lineRule="auto"/>
        <w:ind w:firstLine="480" w:firstLineChars="200"/>
        <w:rPr>
          <w:rFonts w:hint="eastAsia" w:ascii="仿宋" w:hAnsi="仿宋" w:eastAsia="仿宋" w:cs="仿宋"/>
          <w:color w:val="auto"/>
          <w:highlight w:val="none"/>
          <w:u w:val="single"/>
          <w:lang w:eastAsia="zh"/>
          <w:woUserID w:val="6"/>
        </w:rPr>
      </w:pPr>
      <w:r>
        <w:rPr>
          <w:rFonts w:hint="eastAsia" w:ascii="仿宋" w:hAnsi="仿宋" w:eastAsia="仿宋" w:cs="仿宋"/>
          <w:color w:val="auto"/>
          <w:highlight w:val="none"/>
          <w:lang w:eastAsia="zh-CN"/>
        </w:rPr>
        <w:t>联系电话：</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 xml:space="preserve">   传真号码：</w:t>
      </w:r>
      <w:r>
        <w:rPr>
          <w:rFonts w:hint="eastAsia" w:ascii="仿宋" w:hAnsi="仿宋" w:eastAsia="仿宋" w:cs="仿宋"/>
          <w:color w:val="auto"/>
          <w:highlight w:val="none"/>
          <w:u w:val="single"/>
          <w:lang w:eastAsia="zh-CN"/>
        </w:rPr>
        <w:t xml:space="preserve"> </w:t>
      </w:r>
    </w:p>
    <w:p w14:paraId="6F87C2A4">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BIM技术负责人：承包人任命（ ）为BIM技术负责人，其通讯方式为</w:t>
      </w:r>
    </w:p>
    <w:p w14:paraId="464301F1">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通讯地址：    邮政编码： </w:t>
      </w:r>
    </w:p>
    <w:p w14:paraId="13AE57D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联系电话：   传真号码： </w:t>
      </w:r>
    </w:p>
    <w:p w14:paraId="226C8C0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□设备及工器具购置负责人：承包人任命（              ）为设备及工器具购置负责人，其通讯方式为</w:t>
      </w:r>
    </w:p>
    <w:p w14:paraId="3945AA5C">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通讯地址： 邮政编码：</w:t>
      </w:r>
    </w:p>
    <w:p w14:paraId="40A56AE1">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联系电话： 传真号码：</w:t>
      </w:r>
    </w:p>
    <w:p w14:paraId="25022350">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施工负责人：承包人任命（）为施工负责人，其通讯方式为</w:t>
      </w:r>
    </w:p>
    <w:p w14:paraId="5E118B47">
      <w:pPr>
        <w:keepNext w:val="0"/>
        <w:keepLines w:val="0"/>
        <w:widowControl/>
        <w:suppressLineNumbers w:val="0"/>
        <w:spacing w:before="0" w:beforeAutospacing="1" w:after="0" w:afterAutospacing="1" w:line="360" w:lineRule="auto"/>
        <w:ind w:left="0" w:right="0" w:firstLine="480" w:firstLineChars="200"/>
        <w:jc w:val="left"/>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通讯地址：   邮政编码：</w:t>
      </w:r>
      <w:r>
        <w:rPr>
          <w:rFonts w:hint="eastAsia" w:ascii="仿宋" w:hAnsi="仿宋" w:eastAsia="仿宋" w:cs="仿宋"/>
          <w:color w:val="auto"/>
          <w:highlight w:val="none"/>
          <w:u w:val="single"/>
          <w:lang w:eastAsia="zh-CN"/>
        </w:rPr>
        <w:t xml:space="preserve"> </w:t>
      </w:r>
    </w:p>
    <w:p w14:paraId="62190D1D">
      <w:pPr>
        <w:keepNext w:val="0"/>
        <w:keepLines w:val="0"/>
        <w:widowControl/>
        <w:suppressLineNumbers w:val="0"/>
        <w:spacing w:before="0" w:beforeAutospacing="1" w:after="0" w:afterAutospacing="1" w:line="360" w:lineRule="auto"/>
        <w:ind w:left="0" w:right="0" w:firstLine="480" w:firstLineChars="200"/>
        <w:jc w:val="left"/>
        <w:rPr>
          <w:rFonts w:hint="eastAsia" w:ascii="仿宋" w:hAnsi="仿宋" w:eastAsia="仿宋" w:cs="仿宋"/>
          <w:color w:val="auto"/>
          <w:highlight w:val="none"/>
          <w:u w:val="single"/>
          <w:lang w:eastAsia="zh"/>
          <w:woUserID w:val="1"/>
        </w:rPr>
      </w:pPr>
      <w:r>
        <w:rPr>
          <w:rFonts w:hint="eastAsia" w:ascii="仿宋" w:hAnsi="仿宋" w:eastAsia="仿宋" w:cs="仿宋"/>
          <w:color w:val="auto"/>
          <w:highlight w:val="none"/>
          <w:lang w:eastAsia="zh-CN"/>
        </w:rPr>
        <w:t>联系电话：   传真号码：</w:t>
      </w:r>
    </w:p>
    <w:p w14:paraId="76190812">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□其他工作负责人：承包人任命（          ）为其他工作负责人，其通讯方式为</w:t>
      </w:r>
    </w:p>
    <w:p w14:paraId="39578204">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通讯地址： 邮政编码：</w:t>
      </w:r>
    </w:p>
    <w:p w14:paraId="6D23A772">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联系电话： 传真号码：</w:t>
      </w:r>
    </w:p>
    <w:p w14:paraId="0BDBB202">
      <w:pPr>
        <w:pStyle w:val="5"/>
        <w:tabs>
          <w:tab w:val="left" w:pos="420"/>
        </w:tabs>
        <w:spacing w:before="0" w:after="0" w:line="360" w:lineRule="auto"/>
        <w:rPr>
          <w:rFonts w:hint="eastAsia" w:ascii="仿宋" w:hAnsi="仿宋" w:eastAsia="仿宋"/>
          <w:color w:val="auto"/>
          <w:highlight w:val="none"/>
        </w:rPr>
      </w:pPr>
      <w:bookmarkStart w:id="758" w:name="_Toc17166"/>
      <w:bookmarkStart w:id="759" w:name="_Toc17941"/>
      <w:bookmarkStart w:id="760" w:name="_Toc22090"/>
      <w:bookmarkStart w:id="761" w:name="_Toc10976"/>
      <w:bookmarkStart w:id="762" w:name="_Toc26911"/>
      <w:bookmarkStart w:id="763" w:name="_Toc22381"/>
      <w:bookmarkStart w:id="764" w:name="_Toc21468"/>
      <w:bookmarkStart w:id="765" w:name="_Toc9806"/>
      <w:bookmarkStart w:id="766" w:name="_Toc6818"/>
      <w:bookmarkStart w:id="767" w:name="_Toc3054"/>
      <w:bookmarkStart w:id="768" w:name="_Toc11353"/>
      <w:bookmarkStart w:id="769" w:name="_Toc14324"/>
      <w:bookmarkStart w:id="770" w:name="_Toc16309"/>
      <w:bookmarkStart w:id="771" w:name="_Toc12804"/>
      <w:r>
        <w:rPr>
          <w:rFonts w:hint="eastAsia" w:ascii="仿宋" w:hAnsi="仿宋" w:eastAsia="仿宋" w:cs="仿宋"/>
          <w:b w:val="0"/>
          <w:bCs w:val="0"/>
          <w:color w:val="auto"/>
          <w:sz w:val="24"/>
          <w:szCs w:val="24"/>
          <w:highlight w:val="none"/>
          <w:lang w:eastAsia="zh-CN"/>
        </w:rPr>
        <w:t>21</w:t>
      </w:r>
      <w:r>
        <w:rPr>
          <w:rFonts w:hint="eastAsia" w:ascii="仿宋" w:hAnsi="仿宋" w:eastAsia="仿宋" w:cs="仿宋"/>
          <w:b w:val="0"/>
          <w:bCs w:val="0"/>
          <w:color w:val="auto"/>
          <w:sz w:val="24"/>
          <w:szCs w:val="24"/>
          <w:highlight w:val="none"/>
        </w:rPr>
        <w:t>.  指定分包人</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648B84B">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21.1 指定分包人工作</w:t>
      </w:r>
    </w:p>
    <w:p w14:paraId="2ED2C640">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依法指定的分包人</w:t>
      </w:r>
    </w:p>
    <w:p w14:paraId="670C5725">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（1）实施、完成部分永久工程的分包人：</w:t>
      </w:r>
      <w:r>
        <w:rPr>
          <w:rFonts w:hint="eastAsia" w:ascii="仿宋" w:hAnsi="仿宋" w:eastAsia="仿宋" w:cs="仿宋"/>
          <w:color w:val="auto"/>
          <w:highlight w:val="none"/>
          <w:u w:val="single"/>
          <w:lang w:eastAsia="zh-CN"/>
        </w:rPr>
        <w:t xml:space="preserve">   /    </w:t>
      </w:r>
    </w:p>
    <w:p w14:paraId="5F7814BC">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（2）提供工程材料和工程设备供货的分包人：</w:t>
      </w:r>
      <w:r>
        <w:rPr>
          <w:rFonts w:hint="eastAsia" w:ascii="仿宋" w:hAnsi="仿宋" w:eastAsia="仿宋" w:cs="仿宋"/>
          <w:color w:val="auto"/>
          <w:highlight w:val="none"/>
          <w:u w:val="single"/>
          <w:lang w:eastAsia="zh-CN"/>
        </w:rPr>
        <w:t xml:space="preserve">   /   </w:t>
      </w:r>
    </w:p>
    <w:p w14:paraId="1CC0588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（3）提供部分专业服务的分包人：</w:t>
      </w:r>
      <w:r>
        <w:rPr>
          <w:rFonts w:hint="eastAsia" w:ascii="仿宋" w:hAnsi="仿宋" w:eastAsia="仿宋" w:cs="仿宋"/>
          <w:color w:val="auto"/>
          <w:highlight w:val="none"/>
          <w:u w:val="single"/>
          <w:lang w:eastAsia="zh-CN"/>
        </w:rPr>
        <w:t xml:space="preserve">    /   </w:t>
      </w:r>
    </w:p>
    <w:p w14:paraId="1A10D98F">
      <w:pPr>
        <w:pStyle w:val="5"/>
        <w:tabs>
          <w:tab w:val="left" w:pos="420"/>
          <w:tab w:val="left" w:pos="576"/>
        </w:tabs>
        <w:rPr>
          <w:rFonts w:hint="eastAsia" w:ascii="仿宋" w:hAnsi="仿宋" w:eastAsia="仿宋"/>
          <w:color w:val="auto"/>
          <w:sz w:val="24"/>
          <w:szCs w:val="24"/>
          <w:highlight w:val="none"/>
          <w:lang w:eastAsia="zh-CN"/>
        </w:rPr>
      </w:pPr>
      <w:r>
        <w:rPr>
          <w:rFonts w:ascii="仿宋" w:hAnsi="仿宋" w:eastAsia="仿宋" w:cs="仿宋"/>
          <w:color w:val="auto"/>
          <w:sz w:val="24"/>
          <w:szCs w:val="24"/>
          <w:highlight w:val="none"/>
          <w:lang w:eastAsia="zh-CN"/>
        </w:rPr>
        <w:t xml:space="preserve"> </w:t>
      </w:r>
      <w:bookmarkStart w:id="772" w:name="_Toc17610"/>
      <w:bookmarkStart w:id="773" w:name="_Toc23023"/>
      <w:bookmarkStart w:id="774" w:name="_Toc10143"/>
      <w:bookmarkStart w:id="775" w:name="_Toc29360"/>
      <w:bookmarkStart w:id="776" w:name="_Toc16547"/>
      <w:bookmarkStart w:id="777" w:name="_Toc22816"/>
      <w:bookmarkStart w:id="778" w:name="_Toc22077"/>
      <w:bookmarkStart w:id="779" w:name="_Toc28379"/>
      <w:bookmarkStart w:id="780" w:name="_Toc29284"/>
      <w:bookmarkStart w:id="781" w:name="_Toc8462"/>
      <w:bookmarkStart w:id="782" w:name="_Toc25205"/>
      <w:bookmarkStart w:id="783" w:name="_Toc21902"/>
      <w:bookmarkStart w:id="784" w:name="_Toc14571"/>
      <w:bookmarkStart w:id="785" w:name="_Toc14295"/>
      <w:r>
        <w:rPr>
          <w:rFonts w:hint="eastAsia" w:ascii="仿宋" w:hAnsi="仿宋" w:eastAsia="仿宋" w:cs="仿宋"/>
          <w:color w:val="auto"/>
          <w:sz w:val="24"/>
          <w:szCs w:val="24"/>
          <w:highlight w:val="none"/>
          <w:lang w:eastAsia="zh-CN"/>
        </w:rPr>
        <w:t>22. 工程担保</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1377045D">
      <w:pPr>
        <w:ind w:firstLine="120" w:firstLineChars="50"/>
        <w:rPr>
          <w:rFonts w:hint="eastAsia" w:ascii="仿宋" w:hAnsi="仿宋" w:eastAsia="仿宋"/>
          <w:color w:val="auto"/>
          <w:highlight w:val="none"/>
          <w:lang w:eastAsia="zh-CN"/>
        </w:rPr>
      </w:pPr>
    </w:p>
    <w:p w14:paraId="57EF2D37">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22</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承包人提供履约担保的约定</w:t>
      </w:r>
    </w:p>
    <w:p w14:paraId="0DA6711F">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）履约担保的金额：（大写）</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（小写</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p>
    <w:p w14:paraId="454E7972">
      <w:pPr>
        <w:spacing w:line="360" w:lineRule="auto"/>
        <w:ind w:firstLine="120" w:firstLineChars="50"/>
        <w:rPr>
          <w:rFonts w:hint="eastAsia" w:ascii="仿宋" w:hAnsi="仿宋" w:eastAsia="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提供履约担保的时间：</w:t>
      </w:r>
    </w:p>
    <w:p w14:paraId="6E95D351">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签订本合同时；</w:t>
      </w:r>
    </w:p>
    <w:p w14:paraId="04D8C084">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承包人应当按发包人的要求在本合同签订后14天内提供履约担保（保函、保险或保证金）及其他资金监管单位所要求的履约担保（保函、保险或保证金），</w:t>
      </w:r>
      <w:r>
        <w:rPr>
          <w:rFonts w:hint="eastAsia" w:ascii="仿宋" w:hAnsi="仿宋" w:eastAsia="仿宋" w:cs="仿宋"/>
          <w:color w:val="auto"/>
          <w:highlight w:val="none"/>
          <w:u w:val="single"/>
          <w:lang w:eastAsia="zh-CN"/>
        </w:rPr>
        <w:t>承包人不履行承包合同的，发包人可以要求担保银行承担担保责任，担保金额为初始签约合同价的3 %。履约担保的有效期，是从履约担保提交之日（最迟不得晚于合同开工日期）起至最后一批次交付的合同工程缺陷责任期起算之日。</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发包人应在担保有效期满后的28天内将履约担保（保函、保险或保证金）退还给承包人（现金担保不计利息）。</w:t>
      </w:r>
    </w:p>
    <w:p w14:paraId="0A5E459F">
      <w:pPr>
        <w:spacing w:line="360" w:lineRule="auto"/>
        <w:ind w:firstLine="120" w:firstLineChars="50"/>
        <w:rPr>
          <w:rFonts w:hint="eastAsia" w:ascii="仿宋" w:hAnsi="仿宋" w:eastAsia="仿宋"/>
          <w:color w:val="auto"/>
          <w:highlight w:val="none"/>
          <w:lang w:eastAsia="zh-CN"/>
        </w:rPr>
      </w:pPr>
    </w:p>
    <w:p w14:paraId="5DA1AB0B">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出具履约保函的担保人：</w:t>
      </w:r>
      <w:r>
        <w:rPr>
          <w:rFonts w:ascii="仿宋" w:hAnsi="仿宋" w:eastAsia="仿宋" w:cs="仿宋"/>
          <w:color w:val="auto"/>
          <w:highlight w:val="none"/>
          <w:u w:val="single"/>
          <w:lang w:eastAsia="zh-CN"/>
        </w:rPr>
        <w:t xml:space="preserve">                                                         </w:t>
      </w:r>
    </w:p>
    <w:p w14:paraId="1E2BAD60">
      <w:pPr>
        <w:spacing w:line="360" w:lineRule="auto"/>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出具</w:t>
      </w:r>
      <w:r>
        <w:rPr>
          <w:rFonts w:hint="eastAsia" w:ascii="仿宋" w:hAnsi="仿宋" w:eastAsia="仿宋" w:cs="仿宋"/>
          <w:color w:val="auto"/>
          <w:highlight w:val="none"/>
          <w:shd w:val="clear" w:color="auto" w:fill="FFFFFF"/>
          <w:lang w:eastAsia="zh-CN"/>
        </w:rPr>
        <w:t>履约担保</w:t>
      </w:r>
      <w:r>
        <w:rPr>
          <w:rFonts w:hint="eastAsia" w:ascii="仿宋" w:hAnsi="仿宋" w:eastAsia="仿宋" w:cs="仿宋"/>
          <w:color w:val="auto"/>
          <w:highlight w:val="none"/>
          <w:lang w:eastAsia="zh-CN"/>
        </w:rPr>
        <w:t>的担保人：</w:t>
      </w:r>
      <w:r>
        <w:rPr>
          <w:rFonts w:ascii="仿宋" w:hAnsi="仿宋" w:eastAsia="仿宋" w:cs="仿宋"/>
          <w:color w:val="auto"/>
          <w:highlight w:val="none"/>
          <w:u w:val="single"/>
          <w:lang w:eastAsia="zh-CN"/>
        </w:rPr>
        <w:t xml:space="preserve">                                                </w:t>
      </w:r>
    </w:p>
    <w:p w14:paraId="0CA6F054">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出具</w:t>
      </w:r>
      <w:r>
        <w:rPr>
          <w:rFonts w:hint="eastAsia" w:ascii="仿宋" w:hAnsi="仿宋" w:eastAsia="仿宋" w:cs="仿宋"/>
          <w:color w:val="auto"/>
          <w:highlight w:val="none"/>
          <w:shd w:val="clear" w:color="auto" w:fill="FFFFFF"/>
          <w:lang w:eastAsia="zh-CN"/>
        </w:rPr>
        <w:t>履约保证保险</w:t>
      </w:r>
      <w:r>
        <w:rPr>
          <w:rFonts w:hint="eastAsia" w:ascii="仿宋" w:hAnsi="仿宋" w:eastAsia="仿宋" w:cs="仿宋"/>
          <w:color w:val="auto"/>
          <w:highlight w:val="none"/>
          <w:lang w:eastAsia="zh-CN"/>
        </w:rPr>
        <w:t>的担保人：</w:t>
      </w:r>
      <w:r>
        <w:rPr>
          <w:rFonts w:ascii="仿宋" w:hAnsi="仿宋" w:eastAsia="仿宋" w:cs="仿宋"/>
          <w:color w:val="auto"/>
          <w:highlight w:val="none"/>
          <w:u w:val="single"/>
          <w:lang w:eastAsia="zh-CN"/>
        </w:rPr>
        <w:t xml:space="preserve">                                               </w:t>
      </w:r>
    </w:p>
    <w:p w14:paraId="7B5E7FAF">
      <w:pPr>
        <w:spacing w:line="360" w:lineRule="auto"/>
        <w:ind w:firstLine="1080" w:firstLineChars="4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其它：</w:t>
      </w:r>
      <w:r>
        <w:rPr>
          <w:rFonts w:ascii="仿宋" w:hAnsi="仿宋" w:eastAsia="仿宋" w:cs="仿宋"/>
          <w:color w:val="auto"/>
          <w:highlight w:val="none"/>
          <w:u w:val="single"/>
          <w:lang w:eastAsia="zh-CN"/>
        </w:rPr>
        <w:t xml:space="preserve">                                                                   </w:t>
      </w:r>
    </w:p>
    <w:p w14:paraId="73554D1D">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22</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发包人提供支付担保的约定</w:t>
      </w:r>
    </w:p>
    <w:p w14:paraId="2A7C4B25">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□支付担保的金额：（大写）</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（小写</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p>
    <w:p w14:paraId="7D5B9CC9">
      <w:pPr>
        <w:ind w:firstLine="120" w:firstLineChars="5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p>
    <w:p w14:paraId="3E9ABCC3">
      <w:pPr>
        <w:spacing w:line="360" w:lineRule="auto"/>
        <w:ind w:firstLine="120" w:firstLineChars="50"/>
        <w:rPr>
          <w:rFonts w:hint="eastAsia" w:ascii="仿宋" w:hAnsi="仿宋" w:eastAsia="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提供支付担保的时间：</w:t>
      </w:r>
    </w:p>
    <w:p w14:paraId="5148547D">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签订本合同时；</w:t>
      </w:r>
    </w:p>
    <w:p w14:paraId="5EDE1C78">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p>
    <w:p w14:paraId="09F7185D">
      <w:pPr>
        <w:spacing w:line="360" w:lineRule="auto"/>
        <w:ind w:firstLine="120" w:firstLineChars="50"/>
        <w:rPr>
          <w:rFonts w:hint="eastAsia" w:ascii="仿宋" w:hAnsi="仿宋" w:eastAsia="仿宋"/>
          <w:color w:val="auto"/>
          <w:highlight w:val="none"/>
          <w:lang w:eastAsia="zh-CN"/>
        </w:rPr>
      </w:pPr>
    </w:p>
    <w:p w14:paraId="676E696C">
      <w:pPr>
        <w:spacing w:line="360" w:lineRule="auto"/>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□出具支付保函的担保人：</w:t>
      </w:r>
      <w:r>
        <w:rPr>
          <w:rFonts w:ascii="仿宋" w:hAnsi="仿宋" w:eastAsia="仿宋" w:cs="仿宋"/>
          <w:color w:val="auto"/>
          <w:highlight w:val="none"/>
          <w:u w:val="single"/>
          <w:lang w:eastAsia="zh-CN"/>
        </w:rPr>
        <w:t xml:space="preserve">                                                    </w:t>
      </w:r>
    </w:p>
    <w:p w14:paraId="11CF3292">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□出具</w:t>
      </w:r>
      <w:r>
        <w:rPr>
          <w:rFonts w:hint="eastAsia" w:ascii="仿宋" w:hAnsi="仿宋" w:eastAsia="仿宋" w:cs="仿宋"/>
          <w:color w:val="auto"/>
          <w:highlight w:val="none"/>
          <w:shd w:val="clear" w:color="auto" w:fill="FFFFFF"/>
          <w:lang w:eastAsia="zh-CN"/>
        </w:rPr>
        <w:t>支付担保</w:t>
      </w:r>
      <w:r>
        <w:rPr>
          <w:rFonts w:hint="eastAsia" w:ascii="仿宋" w:hAnsi="仿宋" w:eastAsia="仿宋" w:cs="仿宋"/>
          <w:color w:val="auto"/>
          <w:highlight w:val="none"/>
          <w:lang w:eastAsia="zh-CN"/>
        </w:rPr>
        <w:t>的担保人：</w:t>
      </w:r>
      <w:r>
        <w:rPr>
          <w:rFonts w:ascii="仿宋" w:hAnsi="仿宋" w:eastAsia="仿宋" w:cs="仿宋"/>
          <w:color w:val="auto"/>
          <w:highlight w:val="none"/>
          <w:u w:val="single"/>
          <w:lang w:eastAsia="zh-CN"/>
        </w:rPr>
        <w:t xml:space="preserve">                                               </w:t>
      </w:r>
    </w:p>
    <w:p w14:paraId="54D3D8D0">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□出具</w:t>
      </w:r>
      <w:r>
        <w:rPr>
          <w:rFonts w:hint="eastAsia" w:ascii="仿宋" w:hAnsi="仿宋" w:eastAsia="仿宋" w:cs="仿宋"/>
          <w:color w:val="auto"/>
          <w:highlight w:val="none"/>
          <w:shd w:val="clear" w:color="auto" w:fill="FFFFFF"/>
          <w:lang w:eastAsia="zh-CN"/>
        </w:rPr>
        <w:t>支付保证保险</w:t>
      </w:r>
      <w:r>
        <w:rPr>
          <w:rFonts w:hint="eastAsia" w:ascii="仿宋" w:hAnsi="仿宋" w:eastAsia="仿宋" w:cs="仿宋"/>
          <w:color w:val="auto"/>
          <w:highlight w:val="none"/>
          <w:lang w:eastAsia="zh-CN"/>
        </w:rPr>
        <w:t>的担保人：</w:t>
      </w:r>
      <w:r>
        <w:rPr>
          <w:rFonts w:ascii="仿宋" w:hAnsi="仿宋" w:eastAsia="仿宋" w:cs="仿宋"/>
          <w:color w:val="auto"/>
          <w:highlight w:val="none"/>
          <w:u w:val="single"/>
          <w:lang w:eastAsia="zh-CN"/>
        </w:rPr>
        <w:t xml:space="preserve">                                               </w:t>
      </w:r>
    </w:p>
    <w:p w14:paraId="5E31923B">
      <w:pPr>
        <w:spacing w:line="360" w:lineRule="auto"/>
        <w:ind w:firstLine="1080" w:firstLineChars="4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其它：</w:t>
      </w:r>
      <w:r>
        <w:rPr>
          <w:rFonts w:ascii="仿宋" w:hAnsi="仿宋" w:eastAsia="仿宋" w:cs="仿宋"/>
          <w:color w:val="auto"/>
          <w:highlight w:val="none"/>
          <w:u w:val="single"/>
          <w:lang w:eastAsia="zh-CN"/>
        </w:rPr>
        <w:t xml:space="preserve">                                                                   </w:t>
      </w:r>
    </w:p>
    <w:p w14:paraId="2EC3C623">
      <w:pPr>
        <w:spacing w:line="360" w:lineRule="auto"/>
        <w:ind w:firstLine="120" w:firstLineChars="5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p>
    <w:p w14:paraId="27950B5A">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w:t>
      </w:r>
      <w:r>
        <w:rPr>
          <w:rFonts w:hint="eastAsia" w:ascii="仿宋" w:hAnsi="仿宋" w:eastAsia="仿宋" w:cs="仿宋"/>
          <w:color w:val="auto"/>
          <w:szCs w:val="28"/>
          <w:highlight w:val="none"/>
          <w:lang w:eastAsia="zh-CN"/>
        </w:rPr>
        <w:t xml:space="preserve"> </w:t>
      </w:r>
      <w:bookmarkStart w:id="786" w:name="_Toc32066"/>
      <w:bookmarkStart w:id="787" w:name="_Toc15209"/>
      <w:bookmarkStart w:id="788" w:name="_Toc27580"/>
      <w:r>
        <w:rPr>
          <w:rFonts w:hint="eastAsia" w:ascii="仿宋" w:hAnsi="仿宋" w:eastAsia="仿宋" w:cs="仿宋"/>
          <w:color w:val="auto"/>
          <w:szCs w:val="28"/>
          <w:highlight w:val="none"/>
          <w:lang w:eastAsia="zh-CN"/>
        </w:rPr>
        <w:t>22.3 担保内容、方式和责任等事项的约定：</w:t>
      </w:r>
      <w:bookmarkEnd w:id="786"/>
      <w:bookmarkEnd w:id="787"/>
      <w:bookmarkEnd w:id="788"/>
      <w:r>
        <w:rPr>
          <w:rFonts w:hint="eastAsia" w:ascii="仿宋" w:hAnsi="仿宋" w:eastAsia="仿宋" w:cs="仿宋"/>
          <w:color w:val="auto"/>
          <w:szCs w:val="28"/>
          <w:highlight w:val="none"/>
          <w:u w:val="single"/>
          <w:lang w:eastAsia="zh-CN"/>
        </w:rPr>
        <w:t xml:space="preserve">                           </w:t>
      </w:r>
      <w:r>
        <w:rPr>
          <w:rFonts w:hint="eastAsia" w:ascii="仿宋" w:hAnsi="仿宋" w:eastAsia="仿宋" w:cs="仿宋"/>
          <w:color w:val="auto"/>
          <w:szCs w:val="28"/>
          <w:highlight w:val="none"/>
          <w:lang w:eastAsia="zh-CN"/>
        </w:rPr>
        <w:t xml:space="preserve">         </w:t>
      </w:r>
      <w:r>
        <w:rPr>
          <w:rFonts w:hint="eastAsia" w:ascii="仿宋" w:hAnsi="仿宋" w:eastAsia="仿宋" w:cs="仿宋"/>
          <w:color w:val="auto"/>
          <w:highlight w:val="none"/>
          <w:lang w:eastAsia="zh-CN"/>
        </w:rPr>
        <w:t xml:space="preserve">         </w:t>
      </w:r>
    </w:p>
    <w:p w14:paraId="1BE13EFC">
      <w:pPr>
        <w:pStyle w:val="5"/>
        <w:tabs>
          <w:tab w:val="left" w:pos="420"/>
          <w:tab w:val="left" w:pos="576"/>
        </w:tabs>
        <w:rPr>
          <w:rFonts w:hint="eastAsia" w:ascii="仿宋" w:hAnsi="仿宋" w:eastAsia="仿宋" w:cs="仿宋"/>
          <w:color w:val="auto"/>
          <w:sz w:val="24"/>
          <w:szCs w:val="24"/>
          <w:highlight w:val="none"/>
          <w:lang w:eastAsia="zh-CN"/>
        </w:rPr>
      </w:pPr>
      <w:bookmarkStart w:id="789" w:name="_Toc27245"/>
      <w:bookmarkStart w:id="790" w:name="_Toc14483"/>
      <w:bookmarkStart w:id="791" w:name="_Toc18240"/>
      <w:bookmarkStart w:id="792" w:name="_Toc25276"/>
      <w:bookmarkStart w:id="793" w:name="_Toc1422"/>
      <w:bookmarkStart w:id="794" w:name="_Toc4947"/>
      <w:bookmarkStart w:id="795" w:name="_Toc13752"/>
      <w:bookmarkStart w:id="796" w:name="_Toc22395"/>
      <w:bookmarkStart w:id="797" w:name="_Toc32460"/>
      <w:bookmarkStart w:id="798" w:name="_Toc23902"/>
      <w:bookmarkStart w:id="799" w:name="_Toc13606"/>
      <w:bookmarkStart w:id="800" w:name="_Toc14363"/>
      <w:bookmarkStart w:id="801" w:name="_Toc13018"/>
      <w:bookmarkStart w:id="802" w:name="_Toc1829"/>
      <w:r>
        <w:rPr>
          <w:rFonts w:hint="eastAsia" w:ascii="仿宋" w:hAnsi="仿宋" w:eastAsia="仿宋" w:cs="仿宋"/>
          <w:color w:val="auto"/>
          <w:sz w:val="24"/>
          <w:szCs w:val="24"/>
          <w:highlight w:val="none"/>
          <w:lang w:eastAsia="zh-CN"/>
        </w:rPr>
        <w:t>23.不可抗力</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B3A015F">
      <w:pPr>
        <w:spacing w:line="360" w:lineRule="auto"/>
        <w:ind w:firstLine="424" w:firstLineChars="177"/>
        <w:rPr>
          <w:rFonts w:hint="eastAsia" w:ascii="仿宋" w:hAnsi="仿宋" w:eastAsia="仿宋" w:cs="仿宋"/>
          <w:color w:val="auto"/>
          <w:highlight w:val="none"/>
          <w:lang w:eastAsia="zh-CN"/>
        </w:rPr>
      </w:pPr>
    </w:p>
    <w:p w14:paraId="6B535959">
      <w:pPr>
        <w:ind w:firstLine="120" w:firstLineChars="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除通用条款约定的不可抗力事件之外，视为不可抗力的其他情形：政府对本工程的政策变化、计划的调整，导致本工程不能如期进行，也属不可抗力的范围</w:t>
      </w:r>
    </w:p>
    <w:p w14:paraId="7797A23D">
      <w:pPr>
        <w:pStyle w:val="5"/>
        <w:tabs>
          <w:tab w:val="left" w:pos="420"/>
          <w:tab w:val="left" w:pos="576"/>
        </w:tabs>
        <w:rPr>
          <w:rFonts w:hint="eastAsia" w:ascii="仿宋" w:hAnsi="仿宋" w:eastAsia="仿宋"/>
          <w:color w:val="auto"/>
          <w:sz w:val="24"/>
          <w:szCs w:val="24"/>
          <w:highlight w:val="none"/>
          <w:lang w:eastAsia="zh-CN"/>
        </w:rPr>
      </w:pPr>
      <w:bookmarkStart w:id="803" w:name="_Toc10624943"/>
      <w:bookmarkStart w:id="804" w:name="_Toc29918"/>
      <w:bookmarkStart w:id="805" w:name="_Toc32489"/>
      <w:bookmarkStart w:id="806" w:name="_Toc29504"/>
      <w:bookmarkStart w:id="807" w:name="_Toc4506"/>
      <w:bookmarkStart w:id="808" w:name="_Toc18269"/>
      <w:bookmarkStart w:id="809" w:name="_Toc11996"/>
      <w:bookmarkStart w:id="810" w:name="_Toc5475"/>
      <w:bookmarkStart w:id="811" w:name="_Toc18153"/>
      <w:bookmarkStart w:id="812" w:name="_Toc15700"/>
      <w:bookmarkStart w:id="813" w:name="_Toc12056"/>
      <w:bookmarkStart w:id="814" w:name="_Toc32690"/>
      <w:bookmarkStart w:id="815" w:name="_Toc7655"/>
      <w:bookmarkStart w:id="816" w:name="_Toc14067"/>
      <w:bookmarkStart w:id="817" w:name="_Toc19380"/>
      <w:bookmarkStart w:id="818" w:name="_Toc12469"/>
      <w:bookmarkStart w:id="819" w:name="_Toc26633"/>
      <w:bookmarkStart w:id="820" w:name="_Toc469384099"/>
      <w:bookmarkStart w:id="821" w:name="_Toc27044"/>
      <w:r>
        <w:rPr>
          <w:rFonts w:hint="eastAsia" w:ascii="仿宋" w:hAnsi="仿宋" w:eastAsia="仿宋" w:cs="仿宋"/>
          <w:color w:val="auto"/>
          <w:sz w:val="24"/>
          <w:szCs w:val="24"/>
          <w:highlight w:val="none"/>
          <w:lang w:eastAsia="zh-CN"/>
        </w:rPr>
        <w:t>24</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保险</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F38088E">
      <w:pPr>
        <w:ind w:firstLine="120" w:firstLineChars="50"/>
        <w:rPr>
          <w:rFonts w:hint="eastAsia" w:ascii="仿宋" w:hAnsi="仿宋" w:eastAsia="仿宋"/>
          <w:color w:val="auto"/>
          <w:highlight w:val="none"/>
          <w:lang w:eastAsia="zh-CN"/>
        </w:rPr>
      </w:pPr>
    </w:p>
    <w:p w14:paraId="73ACF5F1">
      <w:pPr>
        <w:ind w:firstLine="120" w:firstLineChars="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24</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委托承包人办理保险的事项有：</w:t>
      </w:r>
    </w:p>
    <w:p w14:paraId="4D640DE5">
      <w:pPr>
        <w:ind w:firstLine="120" w:firstLineChars="5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通用条款第</w:t>
      </w:r>
      <w:r>
        <w:rPr>
          <w:rFonts w:ascii="仿宋" w:hAnsi="仿宋" w:eastAsia="仿宋" w:cs="仿宋"/>
          <w:color w:val="auto"/>
          <w:highlight w:val="none"/>
          <w:lang w:eastAsia="zh-CN"/>
        </w:rPr>
        <w:t>32.1</w:t>
      </w:r>
      <w:r>
        <w:rPr>
          <w:rFonts w:hint="eastAsia" w:ascii="仿宋" w:hAnsi="仿宋" w:eastAsia="仿宋" w:cs="仿宋"/>
          <w:color w:val="auto"/>
          <w:highlight w:val="none"/>
          <w:lang w:eastAsia="zh-CN"/>
        </w:rPr>
        <w:t>款的第（</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）项；</w:t>
      </w:r>
    </w:p>
    <w:p w14:paraId="1275E109">
      <w:pPr>
        <w:ind w:firstLine="360" w:firstLineChars="1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(1)工程开工前，按当地政府要求，办理所需的一切保险，例如:建筑工程一切险，人身伤害意外险等。</w:t>
      </w:r>
    </w:p>
    <w:p w14:paraId="4F46DDC0">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通用条款第</w:t>
      </w:r>
      <w:r>
        <w:rPr>
          <w:rFonts w:ascii="仿宋" w:hAnsi="仿宋" w:eastAsia="仿宋" w:cs="仿宋"/>
          <w:color w:val="auto"/>
          <w:highlight w:val="none"/>
          <w:lang w:eastAsia="zh-CN"/>
        </w:rPr>
        <w:t>32.1</w:t>
      </w:r>
      <w:r>
        <w:rPr>
          <w:rFonts w:hint="eastAsia" w:ascii="仿宋" w:hAnsi="仿宋" w:eastAsia="仿宋" w:cs="仿宋"/>
          <w:color w:val="auto"/>
          <w:highlight w:val="none"/>
          <w:lang w:eastAsia="zh-CN"/>
        </w:rPr>
        <w:t>款的第（</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）项；</w:t>
      </w:r>
    </w:p>
    <w:p w14:paraId="6CB5F387">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通用条款第</w:t>
      </w:r>
      <w:r>
        <w:rPr>
          <w:rFonts w:ascii="仿宋" w:hAnsi="仿宋" w:eastAsia="仿宋" w:cs="仿宋"/>
          <w:color w:val="auto"/>
          <w:highlight w:val="none"/>
          <w:lang w:eastAsia="zh-CN"/>
        </w:rPr>
        <w:t>32.1</w:t>
      </w:r>
      <w:r>
        <w:rPr>
          <w:rFonts w:hint="eastAsia" w:ascii="仿宋" w:hAnsi="仿宋" w:eastAsia="仿宋" w:cs="仿宋"/>
          <w:color w:val="auto"/>
          <w:highlight w:val="none"/>
          <w:lang w:eastAsia="zh-CN"/>
        </w:rPr>
        <w:t>款的第（</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）项；</w:t>
      </w:r>
    </w:p>
    <w:p w14:paraId="1B4C67A6">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通用条款第</w:t>
      </w:r>
      <w:r>
        <w:rPr>
          <w:rFonts w:ascii="仿宋" w:hAnsi="仿宋" w:eastAsia="仿宋" w:cs="仿宋"/>
          <w:color w:val="auto"/>
          <w:highlight w:val="none"/>
          <w:lang w:eastAsia="zh-CN"/>
        </w:rPr>
        <w:t>32.1</w:t>
      </w:r>
      <w:r>
        <w:rPr>
          <w:rFonts w:hint="eastAsia" w:ascii="仿宋" w:hAnsi="仿宋" w:eastAsia="仿宋" w:cs="仿宋"/>
          <w:color w:val="auto"/>
          <w:highlight w:val="none"/>
          <w:lang w:eastAsia="zh-CN"/>
        </w:rPr>
        <w:t>款的第（</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）项。</w:t>
      </w:r>
    </w:p>
    <w:p w14:paraId="5D310A78">
      <w:pPr>
        <w:ind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通用条款第</w:t>
      </w:r>
      <w:r>
        <w:rPr>
          <w:rFonts w:ascii="仿宋" w:hAnsi="仿宋" w:eastAsia="仿宋" w:cs="仿宋"/>
          <w:color w:val="auto"/>
          <w:highlight w:val="none"/>
          <w:lang w:eastAsia="zh-CN"/>
        </w:rPr>
        <w:t>32.1</w:t>
      </w:r>
      <w:r>
        <w:rPr>
          <w:rFonts w:hint="eastAsia" w:ascii="仿宋" w:hAnsi="仿宋" w:eastAsia="仿宋" w:cs="仿宋"/>
          <w:color w:val="auto"/>
          <w:highlight w:val="none"/>
          <w:lang w:eastAsia="zh-CN"/>
        </w:rPr>
        <w:t>款的第（</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）项。</w:t>
      </w:r>
    </w:p>
    <w:p w14:paraId="3D6B7C27">
      <w:pPr>
        <w:ind w:firstLine="120" w:firstLineChars="50"/>
        <w:rPr>
          <w:rFonts w:hint="eastAsia" w:ascii="仿宋" w:hAnsi="仿宋" w:eastAsia="仿宋"/>
          <w:color w:val="auto"/>
          <w:highlight w:val="none"/>
          <w:lang w:eastAsia="zh-CN"/>
        </w:rPr>
      </w:pPr>
    </w:p>
    <w:p w14:paraId="5F86C6D9">
      <w:pPr>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xml:space="preserve"> 24</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投保内容、保险金、保险期限和责任等事项的约定：</w:t>
      </w:r>
      <w:r>
        <w:rPr>
          <w:rFonts w:hint="eastAsia" w:ascii="仿宋" w:hAnsi="仿宋" w:eastAsia="仿宋" w:cs="仿宋"/>
          <w:color w:val="auto"/>
          <w:highlight w:val="none"/>
          <w:u w:val="single"/>
          <w:lang w:eastAsia="zh-CN"/>
        </w:rPr>
        <w:t>承包人应以包含专业承包工程的合同总金额购买相关保险，专业承包单位进场后，若发生保险事故或需出险的情况，承包人应负责牵头处理相关索赔事宜，此费用综合考虑进合同总价中，承包人不得再以任何理由，向专业承包人收取费用。</w:t>
      </w:r>
    </w:p>
    <w:p w14:paraId="50875523">
      <w:pPr>
        <w:pStyle w:val="2"/>
        <w:rPr>
          <w:color w:val="auto"/>
          <w:highlight w:val="none"/>
          <w:lang w:eastAsia="zh-CN"/>
        </w:rPr>
      </w:pPr>
    </w:p>
    <w:p w14:paraId="72DA058A">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bookmarkStart w:id="822" w:name="_Toc19337"/>
      <w:bookmarkStart w:id="823" w:name="_Toc20956"/>
      <w:bookmarkStart w:id="824" w:name="_Toc26898"/>
      <w:bookmarkStart w:id="825" w:name="_Toc31328"/>
      <w:bookmarkStart w:id="826" w:name="_Toc15466"/>
      <w:bookmarkStart w:id="827" w:name="_Toc29389"/>
      <w:bookmarkStart w:id="828" w:name="_Toc20254"/>
      <w:bookmarkStart w:id="829" w:name="_Toc18037"/>
      <w:bookmarkStart w:id="830" w:name="_Toc17093"/>
      <w:bookmarkStart w:id="831" w:name="_Toc8704"/>
      <w:bookmarkStart w:id="832" w:name="_Toc21210"/>
      <w:bookmarkStart w:id="833" w:name="_Toc24550"/>
      <w:bookmarkStart w:id="834" w:name="_Toc10373"/>
      <w:bookmarkStart w:id="835" w:name="_Toc11696"/>
      <w:r>
        <w:rPr>
          <w:rFonts w:hint="eastAsia" w:ascii="仿宋" w:hAnsi="仿宋" w:eastAsia="仿宋" w:cs="仿宋"/>
          <w:b w:val="0"/>
          <w:bCs w:val="0"/>
          <w:color w:val="auto"/>
          <w:sz w:val="24"/>
          <w:szCs w:val="24"/>
          <w:highlight w:val="none"/>
          <w:lang w:eastAsia="zh-CN"/>
        </w:rPr>
        <w:t>25.  工程勘察</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31137991">
      <w:pPr>
        <w:spacing w:line="360" w:lineRule="auto"/>
        <w:ind w:left="240" w:leftChars="100"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25.1 对发包人要求和项目基础资料的核实</w:t>
      </w:r>
    </w:p>
    <w:p w14:paraId="532B8205">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 通用条款第37.1款约定。</w:t>
      </w:r>
    </w:p>
    <w:p w14:paraId="4727EB8F">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另有约定：</w:t>
      </w:r>
      <w:r>
        <w:rPr>
          <w:rFonts w:hint="eastAsia" w:ascii="仿宋" w:hAnsi="仿宋" w:eastAsia="仿宋" w:cs="仿宋"/>
          <w:color w:val="auto"/>
          <w:highlight w:val="none"/>
          <w:u w:val="single"/>
          <w:lang w:eastAsia="zh-CN"/>
        </w:rPr>
        <w:t>本项目不涉及。</w:t>
      </w:r>
    </w:p>
    <w:p w14:paraId="61849C72">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25.2勘察实施方案与应急预案</w:t>
      </w:r>
    </w:p>
    <w:p w14:paraId="3772B6E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①提供时间：</w:t>
      </w:r>
      <w:r>
        <w:rPr>
          <w:rFonts w:hint="eastAsia" w:ascii="仿宋" w:hAnsi="仿宋" w:eastAsia="仿宋" w:cs="仿宋"/>
          <w:color w:val="auto"/>
          <w:highlight w:val="none"/>
          <w:u w:val="single"/>
          <w:lang w:eastAsia="zh-CN"/>
        </w:rPr>
        <w:t xml:space="preserve"> 本项目不涉及。</w:t>
      </w:r>
    </w:p>
    <w:p w14:paraId="46DF8E90">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②提供数量：</w:t>
      </w:r>
      <w:r>
        <w:rPr>
          <w:rFonts w:hint="eastAsia" w:ascii="仿宋" w:hAnsi="仿宋" w:eastAsia="仿宋" w:cs="仿宋"/>
          <w:color w:val="auto"/>
          <w:highlight w:val="none"/>
          <w:u w:val="single"/>
          <w:lang w:eastAsia="zh-CN"/>
        </w:rPr>
        <w:t xml:space="preserve"> 本项目不涉及。</w:t>
      </w:r>
    </w:p>
    <w:p w14:paraId="096D1191">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25.3.4 </w:t>
      </w:r>
      <w:r>
        <w:rPr>
          <w:rFonts w:hint="eastAsia" w:ascii="仿宋" w:hAnsi="仿宋" w:eastAsia="仿宋" w:cs="仿宋"/>
          <w:color w:val="auto"/>
          <w:highlight w:val="none"/>
          <w:u w:val="single"/>
          <w:lang w:eastAsia="zh-CN"/>
        </w:rPr>
        <w:t>本项目不涉及。</w:t>
      </w:r>
    </w:p>
    <w:p w14:paraId="3847A6B1">
      <w:pPr>
        <w:spacing w:line="360" w:lineRule="auto"/>
        <w:ind w:firstLine="48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25.4 承包人提供勘察成果</w:t>
      </w:r>
    </w:p>
    <w:p w14:paraId="2FD2A4ED">
      <w:pPr>
        <w:numPr>
          <w:ilvl w:val="255"/>
          <w:numId w:val="0"/>
        </w:num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①提供时间：</w:t>
      </w:r>
      <w:r>
        <w:rPr>
          <w:rFonts w:hint="eastAsia" w:ascii="仿宋" w:hAnsi="仿宋" w:eastAsia="仿宋" w:cs="仿宋"/>
          <w:color w:val="auto"/>
          <w:highlight w:val="none"/>
          <w:u w:val="single"/>
          <w:lang w:eastAsia="zh-CN"/>
        </w:rPr>
        <w:t xml:space="preserve"> 本项目不涉及。</w:t>
      </w:r>
    </w:p>
    <w:p w14:paraId="3F0DDCA8">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②提供方式：</w:t>
      </w:r>
      <w:r>
        <w:rPr>
          <w:rFonts w:hint="eastAsia" w:ascii="仿宋" w:hAnsi="仿宋" w:eastAsia="仿宋" w:cs="仿宋"/>
          <w:color w:val="auto"/>
          <w:highlight w:val="none"/>
          <w:u w:val="single"/>
          <w:lang w:eastAsia="zh-CN"/>
        </w:rPr>
        <w:t xml:space="preserve"> 本项目不涉及。</w:t>
      </w:r>
    </w:p>
    <w:p w14:paraId="11D6FA9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③提供数量：</w:t>
      </w:r>
      <w:r>
        <w:rPr>
          <w:rFonts w:hint="eastAsia" w:ascii="仿宋" w:hAnsi="仿宋" w:eastAsia="仿宋" w:cs="仿宋"/>
          <w:color w:val="auto"/>
          <w:highlight w:val="none"/>
          <w:u w:val="single"/>
          <w:lang w:eastAsia="zh-CN"/>
        </w:rPr>
        <w:t>本项目不涉及。</w:t>
      </w:r>
    </w:p>
    <w:p w14:paraId="7F58395C">
      <w:pPr>
        <w:pStyle w:val="5"/>
        <w:tabs>
          <w:tab w:val="left" w:pos="420"/>
        </w:tabs>
        <w:rPr>
          <w:rFonts w:hint="eastAsia" w:ascii="仿宋" w:hAnsi="仿宋" w:eastAsia="仿宋" w:cs="仿宋"/>
          <w:b w:val="0"/>
          <w:bCs w:val="0"/>
          <w:color w:val="auto"/>
          <w:sz w:val="24"/>
          <w:szCs w:val="24"/>
          <w:highlight w:val="none"/>
          <w:lang w:eastAsia="zh-CN"/>
        </w:rPr>
      </w:pPr>
      <w:bookmarkStart w:id="836" w:name="_Toc10055"/>
      <w:bookmarkStart w:id="837" w:name="_Toc2552"/>
      <w:bookmarkStart w:id="838" w:name="_Toc30902"/>
      <w:bookmarkStart w:id="839" w:name="_Toc13005"/>
      <w:bookmarkStart w:id="840" w:name="_Toc14961"/>
      <w:bookmarkStart w:id="841" w:name="_Toc29510"/>
      <w:bookmarkStart w:id="842" w:name="_Toc26930"/>
      <w:bookmarkStart w:id="843" w:name="_Toc915"/>
      <w:bookmarkStart w:id="844" w:name="_Toc8072"/>
      <w:bookmarkStart w:id="845" w:name="_Toc16534"/>
      <w:bookmarkStart w:id="846" w:name="_Toc19012"/>
      <w:bookmarkStart w:id="847" w:name="_Toc8266"/>
      <w:bookmarkStart w:id="848" w:name="_Toc27695"/>
      <w:bookmarkStart w:id="849" w:name="_Toc11603"/>
      <w:r>
        <w:rPr>
          <w:rFonts w:hint="eastAsia" w:ascii="仿宋" w:hAnsi="仿宋" w:eastAsia="仿宋" w:cs="仿宋"/>
          <w:b w:val="0"/>
          <w:bCs w:val="0"/>
          <w:color w:val="auto"/>
          <w:sz w:val="24"/>
          <w:szCs w:val="24"/>
          <w:highlight w:val="none"/>
          <w:lang w:eastAsia="zh-CN"/>
        </w:rPr>
        <w:t>26.  工程设计</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769D7BB3">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26.1 对发包人要求和项目基础资料的核实</w:t>
      </w:r>
    </w:p>
    <w:p w14:paraId="129F76D8">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通用条款第38.1款约定。</w:t>
      </w:r>
    </w:p>
    <w:p w14:paraId="0A9EF6D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另有约定：</w:t>
      </w:r>
      <w:r>
        <w:rPr>
          <w:rFonts w:hint="eastAsia" w:ascii="仿宋" w:hAnsi="仿宋" w:eastAsia="仿宋" w:cs="仿宋"/>
          <w:color w:val="auto"/>
          <w:highlight w:val="none"/>
          <w:u w:val="single"/>
          <w:lang w:eastAsia="zh-CN"/>
        </w:rPr>
        <w:t>承包人在工程设计开始工作日期前，应对发包人的设计要求和所提供的项目基础资料、承包人自身完成的勘察报告或其他途径得到的现场资料的完备性和正确性进行核实，发现错漏应及时提请发包人补充完善。因发包人要求和所提供的资料存在错漏，承包人未予以核实，导致工作延误、成果错误及费用增加的，责任由承包人承担。</w:t>
      </w:r>
    </w:p>
    <w:p w14:paraId="0F705CB1">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26.2设计实施</w:t>
      </w:r>
    </w:p>
    <w:p w14:paraId="64A0A9D2">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26.2.1 </w:t>
      </w:r>
      <w:r>
        <w:rPr>
          <w:rFonts w:ascii="仿宋" w:hAnsi="仿宋" w:eastAsia="仿宋"/>
          <w:color w:val="auto"/>
          <w:highlight w:val="none"/>
          <w:lang w:eastAsia="zh-CN"/>
        </w:rPr>
        <w:t>适用于发包人按单</w:t>
      </w:r>
      <w:r>
        <w:rPr>
          <w:rFonts w:hint="eastAsia" w:ascii="仿宋" w:hAnsi="仿宋" w:eastAsia="仿宋"/>
          <w:color w:val="auto"/>
          <w:highlight w:val="none"/>
          <w:lang w:eastAsia="zh-CN"/>
        </w:rPr>
        <w:t>项</w:t>
      </w:r>
      <w:r>
        <w:rPr>
          <w:rFonts w:ascii="仿宋" w:hAnsi="仿宋" w:eastAsia="仿宋"/>
          <w:color w:val="auto"/>
          <w:highlight w:val="none"/>
          <w:lang w:eastAsia="zh-CN"/>
        </w:rPr>
        <w:t>工程接收和（或）整个工程接收</w:t>
      </w:r>
      <w:r>
        <w:rPr>
          <w:rFonts w:hint="eastAsia" w:ascii="仿宋" w:hAnsi="仿宋" w:eastAsia="仿宋"/>
          <w:color w:val="auto"/>
          <w:highlight w:val="none"/>
          <w:lang w:eastAsia="zh-CN"/>
        </w:rPr>
        <w:t>的标准和规范：</w:t>
      </w:r>
      <w:r>
        <w:rPr>
          <w:rFonts w:hint="eastAsia" w:ascii="仿宋" w:hAnsi="仿宋" w:eastAsia="仿宋" w:cs="仿宋"/>
          <w:color w:val="auto"/>
          <w:highlight w:val="none"/>
          <w:u w:val="single"/>
          <w:lang w:eastAsia="zh-CN"/>
        </w:rPr>
        <w:t xml:space="preserve"> 详见设计任务书。</w:t>
      </w:r>
    </w:p>
    <w:p w14:paraId="029FCDFC">
      <w:pPr>
        <w:spacing w:line="360" w:lineRule="auto"/>
        <w:ind w:firstLine="480" w:firstLineChars="200"/>
        <w:rPr>
          <w:rFonts w:hint="eastAsia" w:ascii="仿宋" w:hAnsi="仿宋" w:eastAsia="仿宋" w:cs="仿宋"/>
          <w:b/>
          <w:bCs/>
          <w:color w:val="auto"/>
          <w:highlight w:val="none"/>
          <w:lang w:eastAsia="zh-CN"/>
        </w:rPr>
      </w:pPr>
      <w:r>
        <w:rPr>
          <w:rFonts w:hint="eastAsia" w:ascii="仿宋" w:hAnsi="仿宋" w:eastAsia="仿宋" w:cs="仿宋"/>
          <w:color w:val="auto"/>
          <w:highlight w:val="none"/>
          <w:lang w:eastAsia="zh-CN"/>
        </w:rPr>
        <w:t>26.2.2承包人的设计应满足生产或运营设备的工艺流程、配置要求，需要专利人、供应商或发包人提供资料的约定</w:t>
      </w:r>
      <w:r>
        <w:rPr>
          <w:rFonts w:hint="eastAsia" w:ascii="仿宋" w:hAnsi="仿宋" w:eastAsia="仿宋"/>
          <w:color w:val="auto"/>
          <w:highlight w:val="none"/>
          <w:lang w:eastAsia="zh-CN"/>
        </w:rPr>
        <w:t>：</w:t>
      </w:r>
      <w:r>
        <w:rPr>
          <w:rFonts w:hint="eastAsia" w:ascii="仿宋" w:hAnsi="仿宋" w:eastAsia="仿宋" w:cs="仿宋"/>
          <w:color w:val="auto"/>
          <w:highlight w:val="none"/>
          <w:u w:val="single"/>
          <w:lang w:eastAsia="zh-CN"/>
        </w:rPr>
        <w:t xml:space="preserve">（如有，另行通知） </w:t>
      </w:r>
    </w:p>
    <w:p w14:paraId="47ADF73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26.2.3 承包人的合理化建议被采纳，节约投资成本显著或预期产生显著的经济效益，发包人按以下约定给予承包人奖励：</w:t>
      </w:r>
    </w:p>
    <w:p w14:paraId="77F1DB6F">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优化设计降低造价奖励：</w:t>
      </w:r>
      <w:r>
        <w:rPr>
          <w:rFonts w:hint="eastAsia" w:ascii="仿宋" w:hAnsi="仿宋" w:eastAsia="仿宋" w:cs="仿宋"/>
          <w:color w:val="auto"/>
          <w:highlight w:val="none"/>
          <w:u w:val="single"/>
          <w:lang w:eastAsia="zh-CN"/>
        </w:rPr>
        <w:t xml:space="preserve">  /  </w:t>
      </w:r>
    </w:p>
    <w:p w14:paraId="147C3C18">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其它合理化建议奖励：</w:t>
      </w:r>
      <w:r>
        <w:rPr>
          <w:rFonts w:hint="eastAsia" w:ascii="仿宋" w:hAnsi="仿宋" w:eastAsia="仿宋" w:cs="仿宋"/>
          <w:color w:val="auto"/>
          <w:highlight w:val="none"/>
          <w:u w:val="single"/>
          <w:lang w:eastAsia="zh-CN"/>
        </w:rPr>
        <w:t xml:space="preserve">  /    </w:t>
      </w:r>
    </w:p>
    <w:p w14:paraId="7D1A277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4</w:t>
      </w:r>
      <w:r>
        <w:rPr>
          <w:rFonts w:ascii="仿宋" w:hAnsi="仿宋" w:eastAsia="仿宋"/>
          <w:color w:val="auto"/>
          <w:highlight w:val="none"/>
          <w:lang w:eastAsia="zh-CN"/>
        </w:rPr>
        <w:t>承包人应按照国家有关部门、行业工程建设标准规范中设计深度的规定，遵循限额设计原则开展工程设计。承包人的设计应做到功能合理、技术先进、质量可靠、施工安全、绿色环保、经济合理。</w:t>
      </w:r>
    </w:p>
    <w:p w14:paraId="6F696D73">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5</w:t>
      </w:r>
      <w:r>
        <w:rPr>
          <w:rFonts w:ascii="仿宋" w:hAnsi="仿宋" w:eastAsia="仿宋"/>
          <w:color w:val="auto"/>
          <w:highlight w:val="none"/>
          <w:lang w:eastAsia="zh-CN"/>
        </w:rPr>
        <w:t>在合同实施过程中国家颁布了新的标准或规范时，承包人应向发包人提交有关新标准、新规范的建议书。对其中的强制性标准、规范，承包人应严格遵守，发包人作为变更处理；对于非强制性的标准、规范，在结构超限审查、初步设计审查、施工图审</w:t>
      </w:r>
      <w:r>
        <w:rPr>
          <w:rFonts w:hint="eastAsia" w:ascii="仿宋" w:hAnsi="仿宋" w:eastAsia="仿宋"/>
          <w:color w:val="auto"/>
          <w:highlight w:val="none"/>
          <w:lang w:eastAsia="zh-CN"/>
        </w:rPr>
        <w:t>查、工程验收等无风险的情况下，发包人可决定采用或不采用，决定采用时，作为变更处理。</w:t>
      </w:r>
    </w:p>
    <w:p w14:paraId="3A98D7FA">
      <w:pPr>
        <w:spacing w:line="360" w:lineRule="auto"/>
        <w:ind w:firstLine="424" w:firstLineChars="177"/>
        <w:rPr>
          <w:rFonts w:hint="eastAsia" w:ascii="仿宋" w:hAnsi="仿宋" w:eastAsia="仿宋"/>
          <w:color w:val="auto"/>
          <w:highlight w:val="none"/>
          <w:u w:val="singl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6</w:t>
      </w:r>
      <w:r>
        <w:rPr>
          <w:rFonts w:ascii="仿宋" w:hAnsi="仿宋" w:eastAsia="仿宋"/>
          <w:color w:val="auto"/>
          <w:highlight w:val="none"/>
          <w:lang w:eastAsia="zh-CN"/>
        </w:rPr>
        <w:t>承包人负责其设计工作内容满足发包人提供的招标技术要求、现行国家相关规范、规划报批相关要求。承包人应对发包人提供的文件、资料进行认真研究，对本项目的特点和不确定因素进行认真考虑，并提出合理建议和评价。</w:t>
      </w:r>
    </w:p>
    <w:p w14:paraId="14A26DC3">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7</w:t>
      </w:r>
      <w:r>
        <w:rPr>
          <w:rFonts w:ascii="仿宋" w:hAnsi="仿宋" w:eastAsia="仿宋"/>
          <w:color w:val="auto"/>
          <w:highlight w:val="none"/>
          <w:lang w:eastAsia="zh-CN"/>
        </w:rPr>
        <w:t>对涉及建筑安全或对投资影响重大的有关数据，在发包人提出要求时，承包人必须提供设计输入条件、基础数据、计算原理和方法以及计算成果，方便发包人在必要时用其他计算程序进行验算。承包人有解释的义务，不得以专利和知识产权为借口拒绝配合。</w:t>
      </w:r>
    </w:p>
    <w:p w14:paraId="36598072">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8</w:t>
      </w:r>
      <w:r>
        <w:rPr>
          <w:rFonts w:ascii="仿宋" w:hAnsi="仿宋" w:eastAsia="仿宋"/>
          <w:color w:val="auto"/>
          <w:highlight w:val="none"/>
          <w:lang w:eastAsia="zh-CN"/>
        </w:rPr>
        <w:t>未经发包人书面同意，承包人不得对已批准的初步设计重大修改、增减或删除。</w:t>
      </w:r>
    </w:p>
    <w:p w14:paraId="22A16E82">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9</w:t>
      </w:r>
      <w:r>
        <w:rPr>
          <w:rFonts w:ascii="仿宋" w:hAnsi="仿宋" w:eastAsia="仿宋"/>
          <w:color w:val="auto"/>
          <w:highlight w:val="none"/>
          <w:lang w:eastAsia="zh-CN"/>
        </w:rPr>
        <w:t>在设计及施工过程中，承包人应充分尊重和理解发包人对设计提出的书面意见与要求，如无充分的否定理由应尽快予以处理和实施。对合同没有约定的部分和没有描述的部分，双方应另行协商。</w:t>
      </w:r>
    </w:p>
    <w:p w14:paraId="26192395">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.1</w:t>
      </w:r>
      <w:r>
        <w:rPr>
          <w:rFonts w:hint="eastAsia" w:ascii="仿宋" w:hAnsi="仿宋" w:eastAsia="仿宋"/>
          <w:color w:val="auto"/>
          <w:highlight w:val="none"/>
          <w:lang w:eastAsia="zh-CN"/>
        </w:rPr>
        <w:t>0</w:t>
      </w:r>
      <w:r>
        <w:rPr>
          <w:rFonts w:ascii="仿宋" w:hAnsi="仿宋" w:eastAsia="仿宋"/>
          <w:color w:val="auto"/>
          <w:highlight w:val="none"/>
          <w:lang w:eastAsia="zh-CN"/>
        </w:rPr>
        <w:t>承包人应积极主动协助发包人进行与项目有关的内、外协调工作。积极协助发包人与规划、市政、交通、消防、建委、人防、环保、卫生等一切相关部门和单位的协调，并负责向有关部门办理本合同约定的需承包方办理的设计文件报审工作，保证设计文件通过各主管部门的审查。承包人应根据发包人或政府主管部门的意见，及时修改、完善设计，负责完成由于设计失误未获政府主管部门批准而出现的反复修改的工作。</w:t>
      </w:r>
    </w:p>
    <w:p w14:paraId="2D76C101">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olor w:val="auto"/>
          <w:highlight w:val="none"/>
          <w:lang w:eastAsia="zh-CN"/>
        </w:rPr>
        <w:t>修改和完善后的设计成果需征得发包人书面认可且通过行政主管部门审查审批。施工图出图后，因承包人原因造成的重新报规，由承包人应完成方案报规所需资料准备（包括方案文本、总图及光盘等），并负责办理相关手续且承担相关费用（含公示费用、三维模型制作费（若有时）。</w:t>
      </w:r>
    </w:p>
    <w:p w14:paraId="3FD70DD8">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olor w:val="auto"/>
          <w:highlight w:val="none"/>
          <w:lang w:eastAsia="zh-CN"/>
        </w:rPr>
        <w:t>承包人应负责协助完成各项施工图机构审查及行政审查工作，并承担施工图机构审查中人防、消防、防疫等主管部门审查过程中的相关费用（若有）和行政审查过程中相关费用；应配合发包人完成水电气主管部门对专项设计的审查，根据主管部门的意见修改原设计，承担审查过程中的相关费用。</w:t>
      </w:r>
    </w:p>
    <w:p w14:paraId="383AE013">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.1</w:t>
      </w:r>
      <w:r>
        <w:rPr>
          <w:rFonts w:hint="eastAsia" w:ascii="仿宋" w:hAnsi="仿宋" w:eastAsia="仿宋"/>
          <w:color w:val="auto"/>
          <w:highlight w:val="none"/>
          <w:lang w:eastAsia="zh-CN"/>
        </w:rPr>
        <w:t>1</w:t>
      </w:r>
      <w:r>
        <w:rPr>
          <w:rFonts w:ascii="仿宋" w:hAnsi="仿宋" w:eastAsia="仿宋"/>
          <w:color w:val="auto"/>
          <w:highlight w:val="none"/>
          <w:lang w:eastAsia="zh-CN"/>
        </w:rPr>
        <w:t>发包人可要求承包人对相关设计进行优化或承包人可自行进行优化设计，优化后的设计需通过发包人认可，发包人不再为此另行支付任何费用。</w:t>
      </w:r>
    </w:p>
    <w:p w14:paraId="45B3131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.1</w:t>
      </w:r>
      <w:r>
        <w:rPr>
          <w:rFonts w:hint="eastAsia" w:ascii="仿宋" w:hAnsi="仿宋" w:eastAsia="仿宋"/>
          <w:color w:val="auto"/>
          <w:highlight w:val="none"/>
          <w:lang w:eastAsia="zh-CN"/>
        </w:rPr>
        <w:t>2</w:t>
      </w:r>
      <w:r>
        <w:rPr>
          <w:rFonts w:ascii="仿宋" w:hAnsi="仿宋" w:eastAsia="仿宋"/>
          <w:color w:val="auto"/>
          <w:highlight w:val="none"/>
          <w:lang w:eastAsia="zh-CN"/>
        </w:rPr>
        <w:t>为保证项目品质，承包人应严格按照招标技术要求、设计任务书等发包人的要求进行设计，不得擅自降低标准。承包人在设计阶段应随时与发包人进行沟通，确保项目的品质，充分体现发包人的意图。</w:t>
      </w:r>
    </w:p>
    <w:p w14:paraId="01F1340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.1</w:t>
      </w:r>
      <w:r>
        <w:rPr>
          <w:rFonts w:hint="eastAsia" w:ascii="仿宋" w:hAnsi="仿宋" w:eastAsia="仿宋"/>
          <w:color w:val="auto"/>
          <w:highlight w:val="none"/>
          <w:lang w:eastAsia="zh-CN"/>
        </w:rPr>
        <w:t>3</w:t>
      </w:r>
      <w:r>
        <w:rPr>
          <w:rFonts w:ascii="仿宋" w:hAnsi="仿宋" w:eastAsia="仿宋"/>
          <w:color w:val="auto"/>
          <w:highlight w:val="none"/>
          <w:lang w:eastAsia="zh-CN"/>
        </w:rPr>
        <w:t>承包人的所有设计工作均要按发包人批准的限额设计指标要求进行设计。各专业工程的施工图预算不得超过发包人审批的各专业工程限额设计指标，若发包人委托的</w:t>
      </w:r>
      <w:r>
        <w:rPr>
          <w:rFonts w:hint="eastAsia" w:ascii="仿宋" w:hAnsi="仿宋" w:eastAsia="仿宋"/>
          <w:color w:val="auto"/>
          <w:highlight w:val="none"/>
          <w:lang w:eastAsia="zh-CN"/>
        </w:rPr>
        <w:t>监理单位</w:t>
      </w:r>
      <w:r>
        <w:rPr>
          <w:rFonts w:ascii="仿宋" w:hAnsi="仿宋" w:eastAsia="仿宋"/>
          <w:color w:val="auto"/>
          <w:highlight w:val="none"/>
          <w:lang w:eastAsia="zh-CN"/>
        </w:rPr>
        <w:t>审核的施工图预算超过该限额的，或承包人设计成果不能满足发包人要求的，承包人应无条件修改设计并控制在限额设计范围内，直至满足发包人的限额设计要求，承包人须承担由此造成的一切责任。</w:t>
      </w:r>
    </w:p>
    <w:p w14:paraId="1D669B82">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（1）</w:t>
      </w:r>
      <w:r>
        <w:rPr>
          <w:rFonts w:hint="eastAsia" w:ascii="仿宋" w:hAnsi="仿宋" w:eastAsia="仿宋"/>
          <w:color w:val="auto"/>
          <w:highlight w:val="none"/>
          <w:lang w:eastAsia="zh-CN"/>
        </w:rPr>
        <w:t>承包人应承诺有关设计的任何修改、变动或由于修改设计所引起的工艺、技术、材料、设备的变更均须经过发包人的同意。</w:t>
      </w:r>
    </w:p>
    <w:p w14:paraId="04689A55">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（2）</w:t>
      </w:r>
      <w:r>
        <w:rPr>
          <w:rFonts w:hint="eastAsia" w:ascii="仿宋" w:hAnsi="仿宋" w:eastAsia="仿宋"/>
          <w:color w:val="auto"/>
          <w:highlight w:val="none"/>
          <w:lang w:eastAsia="zh-CN"/>
        </w:rPr>
        <w:t>承包人承诺在交付项目的部分或全部设计文件后，如有更好的新工艺、新技术、新材料、新设备等适用于本项目，将及时向发包人推荐并提供科学的评估。</w:t>
      </w:r>
    </w:p>
    <w:p w14:paraId="3BF559A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3）本工程项目投资必须按照发包人制定的投资限额要求严格控制，实行限额设计。在保证设计质量的前提下，设计人应按投资限额进行设计，严格控制施工图设计的变更，确保工程预算不突破限额目标。（注：具体限额设计指标届时将以经发包人专题审批下达的限额设计指标为准，承包人应当服从并按要求执行）</w:t>
      </w:r>
    </w:p>
    <w:p w14:paraId="4E7D9DBB">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（4）对于超设计限额的，应在保证设计质量的前提下自行修改，如确实需要增加的，必须报发包人审查，取得发包人书面同意后，方可修正。</w:t>
      </w:r>
    </w:p>
    <w:p w14:paraId="4418FA02">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5）承包人进行经济指标分析时，应提出所采用经济分析的单项指标、综合指标及相应的依据、理由，对主要设备、材料的选用，应经过充分的询价、分析，积累技术经济资料；推荐选用的设备、材料，应注明规格、型号、性能、技术指标等，并提出质量、功能方面的要求，确保投资概算的合理与稳定。对特殊情况需追加投资的，应遵循合理、经济、科学、有效的原则，严格控制。无确切、合理理由，并未经发包人审批的，不得随意突破限额。</w:t>
      </w:r>
    </w:p>
    <w:p w14:paraId="0D3BE7DC">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.1</w:t>
      </w:r>
      <w:r>
        <w:rPr>
          <w:rFonts w:hint="eastAsia" w:ascii="仿宋" w:hAnsi="仿宋" w:eastAsia="仿宋"/>
          <w:color w:val="auto"/>
          <w:highlight w:val="none"/>
          <w:lang w:eastAsia="zh-CN"/>
        </w:rPr>
        <w:t>4</w:t>
      </w:r>
      <w:r>
        <w:rPr>
          <w:rFonts w:ascii="仿宋" w:hAnsi="仿宋" w:eastAsia="仿宋"/>
          <w:color w:val="auto"/>
          <w:highlight w:val="none"/>
          <w:lang w:eastAsia="zh-CN"/>
        </w:rPr>
        <w:t>承包人提供的施工图设计说明应标明主要材料和设备的技术规格参数。设计材料选购及施工组织配合：</w:t>
      </w:r>
    </w:p>
    <w:p w14:paraId="4E3AA130">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（1）</w:t>
      </w:r>
      <w:r>
        <w:rPr>
          <w:rFonts w:hint="eastAsia" w:ascii="仿宋" w:hAnsi="仿宋" w:eastAsia="仿宋"/>
          <w:color w:val="auto"/>
          <w:highlight w:val="none"/>
          <w:lang w:eastAsia="zh-CN"/>
        </w:rPr>
        <w:t>设计所选用的建筑材料（包括采用的材料、构配件），在进行性能价格的分析后，原则上优先采用国内的产品；国内没有的建筑材料或国内材料性能（功能）不能达到设计要求或价格高时，应与发包人协商解决。设计中采用的材料均需按国家、广东省、广州市有关法律和行政法规、规章的要求，提供明确的技术资料（包括性能指标、技术参数等方面的资料）。</w:t>
      </w:r>
    </w:p>
    <w:p w14:paraId="3A46861B">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（2）</w:t>
      </w:r>
      <w:r>
        <w:rPr>
          <w:rFonts w:hint="eastAsia" w:ascii="仿宋" w:hAnsi="仿宋" w:eastAsia="仿宋"/>
          <w:color w:val="auto"/>
          <w:highlight w:val="none"/>
          <w:lang w:eastAsia="zh-CN"/>
        </w:rPr>
        <w:t>承包人作为设计参考所采用的国内外建筑材料、设备等，应保证可供货的国内外厂商在三家以上，并向发包人提交可供货名称、产品质量标准、价格资料等，并提出评估意见（必要时提供供货厂商以往业绩）。评估意见不能含倾向性和排它性，承包人不得推荐或选用具有唯一知识产权特征的独家产品。如确有必要，承包人应提前取得发包人的书面认可。</w:t>
      </w:r>
    </w:p>
    <w:p w14:paraId="3E938137">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（3）协助发包人进行特定设备或材料的采购工作，对发包人所采购的设备、材料应进行技术复核，并对设备、材料的深化图纸予以确认。</w:t>
      </w:r>
    </w:p>
    <w:p w14:paraId="3BD0F8CB">
      <w:pPr>
        <w:spacing w:line="360" w:lineRule="auto"/>
        <w:ind w:firstLine="424" w:firstLineChars="177"/>
        <w:rPr>
          <w:rFonts w:hint="eastAsia" w:ascii="仿宋" w:hAnsi="仿宋" w:eastAsia="仿宋"/>
          <w:color w:val="auto"/>
          <w:highlight w:val="none"/>
          <w:lang w:eastAsia="zh-CN"/>
        </w:rPr>
      </w:pPr>
      <w:r>
        <w:rPr>
          <w:rFonts w:ascii="仿宋" w:hAnsi="仿宋" w:eastAsia="仿宋"/>
          <w:color w:val="auto"/>
          <w:highlight w:val="none"/>
          <w:lang w:eastAsia="zh-CN"/>
        </w:rPr>
        <w:t>（4）承包人对上述条款提供的相应咨询及评估意见供发包人参考，决策权在发包人，但承包人应承担相应的责任。</w:t>
      </w:r>
    </w:p>
    <w:p w14:paraId="5AE5471B">
      <w:pPr>
        <w:spacing w:line="360" w:lineRule="auto"/>
        <w:ind w:firstLine="424" w:firstLineChars="177"/>
        <w:rPr>
          <w:rFonts w:hint="eastAsia" w:ascii="仿宋" w:hAnsi="仿宋" w:eastAsia="仿宋"/>
          <w:color w:val="auto"/>
          <w:highlight w:val="none"/>
          <w:lang w:eastAsia="zh-CN"/>
        </w:rPr>
      </w:pPr>
      <w:r>
        <w:rPr>
          <w:rFonts w:ascii="仿宋" w:hAnsi="仿宋" w:eastAsia="仿宋"/>
          <w:color w:val="auto"/>
          <w:highlight w:val="none"/>
          <w:lang w:eastAsia="zh-CN"/>
        </w:rPr>
        <w:t>（5）承包人需要对所有发出的图纸、资料进行审查，以控制设计产品的品质。</w:t>
      </w:r>
    </w:p>
    <w:p w14:paraId="28E5BBF7">
      <w:pPr>
        <w:spacing w:line="360" w:lineRule="auto"/>
        <w:ind w:firstLine="424" w:firstLineChars="177"/>
        <w:rPr>
          <w:rFonts w:hint="eastAsia" w:ascii="仿宋" w:hAnsi="仿宋" w:eastAsia="仿宋"/>
          <w:color w:val="auto"/>
          <w:highlight w:val="none"/>
          <w:lang w:eastAsia="zh-CN"/>
        </w:rPr>
      </w:pPr>
      <w:r>
        <w:rPr>
          <w:rFonts w:ascii="仿宋" w:hAnsi="仿宋" w:eastAsia="仿宋"/>
          <w:color w:val="auto"/>
          <w:highlight w:val="none"/>
          <w:lang w:eastAsia="zh-CN"/>
        </w:rPr>
        <w:t>（6）在外立面施工过程中，承包人承诺应按发包人要求委派承担本项目设计的专业设计负责人作为设计代表参加重要工程例会，参与材料选样工作，以控制立面效果。</w:t>
      </w:r>
    </w:p>
    <w:p w14:paraId="1068AE74">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.1</w:t>
      </w:r>
      <w:r>
        <w:rPr>
          <w:rFonts w:hint="eastAsia" w:ascii="仿宋" w:hAnsi="仿宋" w:eastAsia="仿宋"/>
          <w:color w:val="auto"/>
          <w:highlight w:val="none"/>
          <w:lang w:eastAsia="zh-CN"/>
        </w:rPr>
        <w:t>5</w:t>
      </w:r>
      <w:r>
        <w:rPr>
          <w:rFonts w:ascii="仿宋" w:hAnsi="仿宋" w:eastAsia="仿宋"/>
          <w:color w:val="auto"/>
          <w:highlight w:val="none"/>
          <w:lang w:eastAsia="zh-CN"/>
        </w:rPr>
        <w:t>因承包人原因，造成施工图存在遗漏、错误和不足的，承包人应补充、修正和完善，由此产生的费用由承包人承担。因此对后续设计、采购、施工等造成的工期延误及费用增加由承包人承担。</w:t>
      </w:r>
    </w:p>
    <w:p w14:paraId="1AF942B4">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.1</w:t>
      </w:r>
      <w:r>
        <w:rPr>
          <w:rFonts w:hint="eastAsia" w:ascii="仿宋" w:hAnsi="仿宋" w:eastAsia="仿宋"/>
          <w:color w:val="auto"/>
          <w:highlight w:val="none"/>
          <w:lang w:eastAsia="zh-CN"/>
        </w:rPr>
        <w:t>6</w:t>
      </w:r>
      <w:r>
        <w:rPr>
          <w:rFonts w:ascii="仿宋" w:hAnsi="仿宋" w:eastAsia="仿宋"/>
          <w:color w:val="auto"/>
          <w:highlight w:val="none"/>
          <w:lang w:eastAsia="zh-CN"/>
        </w:rPr>
        <w:t>承包人应按发包人要求提供所有施工图excel版图纸目录。</w:t>
      </w:r>
    </w:p>
    <w:p w14:paraId="6780AD75">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17</w:t>
      </w:r>
      <w:r>
        <w:rPr>
          <w:rFonts w:ascii="仿宋" w:hAnsi="仿宋" w:eastAsia="仿宋"/>
          <w:color w:val="auto"/>
          <w:highlight w:val="none"/>
          <w:lang w:eastAsia="zh-CN"/>
        </w:rPr>
        <w:t>施工期间承包人根据发包人要求进行设计变更时，承包人在接到通知后24小时内，可以先通过邮件方式对设计变更和设计修改进行确认或者回复，之后签字盖章（节假日先签字，后补盖章），承包人出图时间需全力保证现场施工需要，正式变更出图时间最迟为收到发包人通知后14个日历天，承包人出图时间需全力保证现场施工需要。所有设计变更都必须经发包人同意并书面确认后方可变更。承包人应负责根据发包人资料管理的要求，提供建设过程中各种变更的电子文档的汇总，</w:t>
      </w:r>
      <w:r>
        <w:rPr>
          <w:rFonts w:hint="eastAsia" w:ascii="仿宋" w:hAnsi="仿宋" w:eastAsia="仿宋"/>
          <w:color w:val="auto"/>
          <w:highlight w:val="none"/>
          <w:lang w:eastAsia="zh-CN"/>
        </w:rPr>
        <w:t>并晒印蓝图。</w:t>
      </w:r>
    </w:p>
    <w:p w14:paraId="4E8B58F0">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18</w:t>
      </w:r>
      <w:r>
        <w:rPr>
          <w:rFonts w:ascii="仿宋" w:hAnsi="仿宋" w:eastAsia="仿宋"/>
          <w:color w:val="auto"/>
          <w:highlight w:val="none"/>
          <w:lang w:eastAsia="zh-CN"/>
        </w:rPr>
        <w:t>深化设计作为施工图设计文件的一个部分，该部分不再另行计费。深化设计工作内容必须全部完成，满足施工需求并经发包人书面认可。</w:t>
      </w:r>
    </w:p>
    <w:p w14:paraId="52DFDD8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19</w:t>
      </w:r>
      <w:r>
        <w:rPr>
          <w:rFonts w:ascii="仿宋" w:hAnsi="仿宋" w:eastAsia="仿宋"/>
          <w:color w:val="auto"/>
          <w:highlight w:val="none"/>
          <w:lang w:eastAsia="zh-CN"/>
        </w:rPr>
        <w:t>承包人未按照发包人要求在规定时间内提供经发包人认可，以及按规定需通过审查审批的所有专项设计最终成果，由此造成的一切责任和损失由承包人承担。</w:t>
      </w:r>
    </w:p>
    <w:p w14:paraId="71437FC7">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20</w:t>
      </w:r>
      <w:r>
        <w:rPr>
          <w:rFonts w:ascii="仿宋" w:hAnsi="仿宋" w:eastAsia="仿宋"/>
          <w:color w:val="auto"/>
          <w:highlight w:val="none"/>
          <w:lang w:eastAsia="zh-CN"/>
        </w:rPr>
        <w:t>承包人应负责工程设计的组织、协调、进度控制等所有工作，并负责对该工程的所有设计工作进行审查，对所有相关设计文件的正确性承担责任。并按合同中对承包</w:t>
      </w:r>
      <w:r>
        <w:rPr>
          <w:rFonts w:hint="eastAsia" w:ascii="仿宋" w:hAnsi="仿宋" w:eastAsia="仿宋"/>
          <w:color w:val="auto"/>
          <w:highlight w:val="none"/>
          <w:lang w:eastAsia="zh-CN"/>
        </w:rPr>
        <w:t>人文件的有关要求，提供全部的设计文件最终版。承包人应负责协调并办理取得相关部门意见。</w:t>
      </w:r>
    </w:p>
    <w:p w14:paraId="4589E469">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.2</w:t>
      </w:r>
      <w:r>
        <w:rPr>
          <w:rFonts w:hint="eastAsia" w:ascii="仿宋" w:hAnsi="仿宋" w:eastAsia="仿宋"/>
          <w:color w:val="auto"/>
          <w:highlight w:val="none"/>
          <w:lang w:eastAsia="zh-CN"/>
        </w:rPr>
        <w:t>1</w:t>
      </w:r>
      <w:r>
        <w:rPr>
          <w:rFonts w:ascii="仿宋" w:hAnsi="仿宋" w:eastAsia="仿宋"/>
          <w:color w:val="auto"/>
          <w:highlight w:val="none"/>
          <w:lang w:eastAsia="zh-CN"/>
        </w:rPr>
        <w:t>设计变更</w:t>
      </w:r>
    </w:p>
    <w:p w14:paraId="560C785E">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1）工程建设过程中因各种原因发生的设计变更，承包人应以书面或图纸进行设计变更并盖印和签字确认，还须按发包人事先向承包人明示的制定的有关设计变更管理办法进行规范，明确设计变更的原因、种类、责任认定和说明。所有设计变更均需报发包人，发包人应进行盖印和签字确认。由于发包人原因造成的设计变更，发包人应以书面方式提供承包人，明确设计变更的原因、种类、责任认定和说明，并协商合理的修改时间。</w:t>
      </w:r>
    </w:p>
    <w:p w14:paraId="3772A164">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（2）由于承包人设计错误、对设计基础资料选用不当、专业间接口出现矛盾等情况造成的设计更改，承包人应在3天内（或经双方协商后签订时间）提交设计变更</w:t>
      </w:r>
      <w:r>
        <w:rPr>
          <w:rFonts w:hint="eastAsia" w:ascii="仿宋" w:hAnsi="仿宋" w:eastAsia="仿宋"/>
          <w:color w:val="auto"/>
          <w:highlight w:val="none"/>
          <w:lang w:eastAsia="zh-CN"/>
        </w:rPr>
        <w:t>，并承担由此产生的一切责任</w:t>
      </w:r>
      <w:r>
        <w:rPr>
          <w:rFonts w:ascii="仿宋" w:hAnsi="仿宋" w:eastAsia="仿宋"/>
          <w:color w:val="auto"/>
          <w:highlight w:val="none"/>
          <w:lang w:eastAsia="zh-CN"/>
        </w:rPr>
        <w:t>。</w:t>
      </w:r>
    </w:p>
    <w:p w14:paraId="43A63ABE">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（3）遇到国家设计规范发生修订与变更时，承包人依照新规范或修订后的规范进行必要的修改。</w:t>
      </w:r>
    </w:p>
    <w:p w14:paraId="5B285474">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（4）承包人应充分考虑中国现行的施工安装条件和水平、材料供应的条件，若由于设计自身过错导致无法施工或采购材料，承包人应无条件修改设计</w:t>
      </w:r>
      <w:r>
        <w:rPr>
          <w:rFonts w:hint="eastAsia" w:ascii="仿宋" w:hAnsi="仿宋" w:eastAsia="仿宋"/>
          <w:color w:val="auto"/>
          <w:highlight w:val="none"/>
          <w:lang w:eastAsia="zh-CN"/>
        </w:rPr>
        <w:t>，并承担由此产生的一切责任</w:t>
      </w:r>
      <w:r>
        <w:rPr>
          <w:rFonts w:ascii="仿宋" w:hAnsi="仿宋" w:eastAsia="仿宋"/>
          <w:color w:val="auto"/>
          <w:highlight w:val="none"/>
          <w:lang w:eastAsia="zh-CN"/>
        </w:rPr>
        <w:t>。</w:t>
      </w:r>
    </w:p>
    <w:p w14:paraId="353CC048">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（5）承包人承诺在设计任务书原定范围内能够根据工程需要修改设计，对所承担项目设计的完整性负责，且修改设计完成时限应满足工程建设需要并符合本合同要求。</w:t>
      </w:r>
    </w:p>
    <w:p w14:paraId="76A95156">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.2</w:t>
      </w:r>
      <w:r>
        <w:rPr>
          <w:rFonts w:hint="eastAsia" w:ascii="仿宋" w:hAnsi="仿宋" w:eastAsia="仿宋"/>
          <w:color w:val="auto"/>
          <w:highlight w:val="none"/>
          <w:lang w:eastAsia="zh-CN"/>
        </w:rPr>
        <w:t>2</w:t>
      </w:r>
      <w:r>
        <w:rPr>
          <w:rFonts w:ascii="仿宋" w:hAnsi="仿宋" w:eastAsia="仿宋"/>
          <w:color w:val="auto"/>
          <w:highlight w:val="none"/>
          <w:lang w:eastAsia="zh-CN"/>
        </w:rPr>
        <w:t>其他设计要求</w:t>
      </w:r>
    </w:p>
    <w:p w14:paraId="58A23F82">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（1）设计文件必须做到清晰、完整、尺寸齐全、准确，按国家有关对工程图纸绘制规格的要求进行，同类图纸规格统一。</w:t>
      </w:r>
    </w:p>
    <w:p w14:paraId="636B5463">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w:t>
      </w:r>
      <w:r>
        <w:rPr>
          <w:rFonts w:ascii="仿宋" w:hAnsi="仿宋" w:eastAsia="仿宋"/>
          <w:color w:val="auto"/>
          <w:highlight w:val="none"/>
          <w:lang w:eastAsia="zh-CN"/>
        </w:rPr>
        <w:t>2）承包人对本项目的设计进度、设计质量、施工服务等工作的完整性、连贯性和可靠性负责。</w:t>
      </w:r>
    </w:p>
    <w:p w14:paraId="279144F7">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（3）发包人要求承包人在设计过程中考虑工程实施时的实际可操作性。承包人必须保证设计成果不会在供电、给排水、</w:t>
      </w:r>
      <w:r>
        <w:rPr>
          <w:rFonts w:hint="eastAsia" w:ascii="仿宋" w:hAnsi="仿宋" w:eastAsia="仿宋"/>
          <w:color w:val="auto"/>
          <w:highlight w:val="none"/>
          <w:lang w:eastAsia="zh-CN"/>
        </w:rPr>
        <w:t>燃</w:t>
      </w:r>
      <w:r>
        <w:rPr>
          <w:rFonts w:ascii="仿宋" w:hAnsi="仿宋" w:eastAsia="仿宋"/>
          <w:color w:val="auto"/>
          <w:highlight w:val="none"/>
          <w:lang w:eastAsia="zh-CN"/>
        </w:rPr>
        <w:t>气、设备安装等方面相互矛盾；不会在申报用电、用水、用气和通信配套等方面违反规划和违反安全规范、规定的要求。承包人应对方案的实施工序提出相应的技术要求，特别是关键工序，应明确提出工艺要求、质量控制要求。超越目前国内施工单位平均技术水平的设计方案、施工方法，承包人应提出合理理</w:t>
      </w:r>
      <w:r>
        <w:rPr>
          <w:rFonts w:hint="eastAsia" w:ascii="仿宋" w:hAnsi="仿宋" w:eastAsia="仿宋"/>
          <w:color w:val="auto"/>
          <w:highlight w:val="none"/>
          <w:lang w:eastAsia="zh-CN"/>
        </w:rPr>
        <w:t>由和可行的实施方案，报发包人同意后方可采用，否则，发包人有权要求承包人修改设计且无须另外支付费用。</w:t>
      </w:r>
    </w:p>
    <w:p w14:paraId="0B0F79E5">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w:t>
      </w:r>
      <w:r>
        <w:rPr>
          <w:rFonts w:hint="eastAsia" w:ascii="仿宋" w:hAnsi="仿宋" w:eastAsia="仿宋"/>
          <w:color w:val="auto"/>
          <w:highlight w:val="none"/>
          <w:lang w:eastAsia="zh-CN"/>
        </w:rPr>
        <w:t>4</w:t>
      </w:r>
      <w:r>
        <w:rPr>
          <w:rFonts w:ascii="仿宋" w:hAnsi="仿宋" w:eastAsia="仿宋"/>
          <w:color w:val="auto"/>
          <w:highlight w:val="none"/>
          <w:lang w:eastAsia="zh-CN"/>
        </w:rPr>
        <w:t>）设备原则上要求所采用的设备和系统技术是成熟的，对于新技术、新成果的运用承包人必须有把握，并有相应的工程实践和实际应用经验供参考，且经发包人同意方可使用。</w:t>
      </w:r>
    </w:p>
    <w:p w14:paraId="6BC40893">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w:t>
      </w:r>
      <w:r>
        <w:rPr>
          <w:rFonts w:hint="eastAsia" w:ascii="仿宋" w:hAnsi="仿宋" w:eastAsia="仿宋"/>
          <w:color w:val="auto"/>
          <w:highlight w:val="none"/>
          <w:lang w:eastAsia="zh-CN"/>
        </w:rPr>
        <w:t>5</w:t>
      </w:r>
      <w:r>
        <w:rPr>
          <w:rFonts w:ascii="仿宋" w:hAnsi="仿宋" w:eastAsia="仿宋"/>
          <w:color w:val="auto"/>
          <w:highlight w:val="none"/>
          <w:lang w:eastAsia="zh-CN"/>
        </w:rPr>
        <w:t>）</w:t>
      </w:r>
      <w:r>
        <w:rPr>
          <w:rFonts w:hint="eastAsia" w:ascii="仿宋" w:hAnsi="仿宋" w:eastAsia="仿宋"/>
          <w:color w:val="auto"/>
          <w:highlight w:val="none"/>
          <w:lang w:eastAsia="zh-CN"/>
        </w:rPr>
        <w:t>如果承包人交付的文件或图纸不符合本合同的约定和要求，发包人有权拒收，承包人应在收到发包人通知后于规定时间内将所有符合规定的设计文件交付给发包人，且文件交付时间仍应符合合同约定的时间，如未能及时交付图纸影响工程进度，发包人有权要求承包人承担一般违约责任处罚</w:t>
      </w:r>
      <w:r>
        <w:rPr>
          <w:rFonts w:ascii="仿宋" w:hAnsi="仿宋" w:eastAsia="仿宋"/>
          <w:color w:val="auto"/>
          <w:highlight w:val="none"/>
          <w:lang w:eastAsia="zh-CN"/>
        </w:rPr>
        <w:t>1</w:t>
      </w:r>
      <w:r>
        <w:rPr>
          <w:rFonts w:hint="eastAsia" w:ascii="仿宋" w:hAnsi="仿宋" w:eastAsia="仿宋"/>
          <w:color w:val="auto"/>
          <w:highlight w:val="none"/>
          <w:lang w:eastAsia="zh-CN"/>
        </w:rPr>
        <w:t>次。</w:t>
      </w:r>
    </w:p>
    <w:p w14:paraId="5A89ED0E">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w:t>
      </w:r>
      <w:r>
        <w:rPr>
          <w:rFonts w:hint="eastAsia" w:ascii="仿宋" w:hAnsi="仿宋" w:eastAsia="仿宋"/>
          <w:color w:val="auto"/>
          <w:highlight w:val="none"/>
          <w:lang w:eastAsia="zh-CN"/>
        </w:rPr>
        <w:t>6</w:t>
      </w:r>
      <w:r>
        <w:rPr>
          <w:rFonts w:ascii="仿宋" w:hAnsi="仿宋" w:eastAsia="仿宋"/>
          <w:color w:val="auto"/>
          <w:highlight w:val="none"/>
          <w:lang w:eastAsia="zh-CN"/>
        </w:rPr>
        <w:t>）承包人应重视处理好投资、设计费和设计质量之间的关系，充分重视发挥承包人员在保证项目质量，投资控制方面的积极性。</w:t>
      </w:r>
    </w:p>
    <w:p w14:paraId="78582373">
      <w:pPr>
        <w:spacing w:line="360" w:lineRule="auto"/>
        <w:ind w:firstLine="480" w:firstLineChars="200"/>
        <w:rPr>
          <w:rFonts w:hint="eastAsia" w:ascii="仿宋" w:hAnsi="仿宋" w:eastAsia="仿宋"/>
          <w:color w:val="auto"/>
          <w:highlight w:val="none"/>
          <w:lang w:eastAsia="zh-CN"/>
        </w:rPr>
      </w:pPr>
      <w:r>
        <w:rPr>
          <w:rFonts w:ascii="仿宋" w:hAnsi="仿宋" w:eastAsia="仿宋"/>
          <w:color w:val="auto"/>
          <w:highlight w:val="none"/>
          <w:lang w:eastAsia="zh-CN"/>
        </w:rPr>
        <w:t>（</w:t>
      </w:r>
      <w:r>
        <w:rPr>
          <w:rFonts w:hint="eastAsia" w:ascii="仿宋" w:hAnsi="仿宋" w:eastAsia="仿宋"/>
          <w:color w:val="auto"/>
          <w:highlight w:val="none"/>
          <w:lang w:eastAsia="zh-CN"/>
        </w:rPr>
        <w:t>7</w:t>
      </w:r>
      <w:r>
        <w:rPr>
          <w:rFonts w:ascii="仿宋" w:hAnsi="仿宋" w:eastAsia="仿宋"/>
          <w:color w:val="auto"/>
          <w:highlight w:val="none"/>
          <w:lang w:eastAsia="zh-CN"/>
        </w:rPr>
        <w:t>）承包人在施工图设计的时候应要求设计人员熟悉报价清单的项目特征描述，在保证功能造价的前提下尽量采用或者优于报价清单的相关内容。</w:t>
      </w:r>
    </w:p>
    <w:p w14:paraId="6854EC29">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.2</w:t>
      </w:r>
      <w:r>
        <w:rPr>
          <w:rFonts w:hint="eastAsia" w:ascii="仿宋" w:hAnsi="仿宋" w:eastAsia="仿宋"/>
          <w:color w:val="auto"/>
          <w:highlight w:val="none"/>
          <w:lang w:eastAsia="zh-CN"/>
        </w:rPr>
        <w:t>3</w:t>
      </w:r>
      <w:r>
        <w:rPr>
          <w:rFonts w:ascii="仿宋" w:hAnsi="仿宋" w:eastAsia="仿宋"/>
          <w:color w:val="auto"/>
          <w:highlight w:val="none"/>
          <w:lang w:eastAsia="zh-CN"/>
        </w:rPr>
        <w:t>承包人应严格执行国家、广东省及广州市有关绿色建筑标准和规定执行。</w:t>
      </w:r>
    </w:p>
    <w:p w14:paraId="1CF4C4A0">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.2</w:t>
      </w:r>
      <w:r>
        <w:rPr>
          <w:rFonts w:hint="eastAsia" w:ascii="仿宋" w:hAnsi="仿宋" w:eastAsia="仿宋"/>
          <w:color w:val="auto"/>
          <w:highlight w:val="none"/>
          <w:lang w:eastAsia="zh-CN"/>
        </w:rPr>
        <w:t>4</w:t>
      </w:r>
      <w:r>
        <w:rPr>
          <w:rFonts w:ascii="仿宋" w:hAnsi="仿宋" w:eastAsia="仿宋"/>
          <w:color w:val="auto"/>
          <w:highlight w:val="none"/>
          <w:lang w:eastAsia="zh-CN"/>
        </w:rPr>
        <w:t>装配式建筑设计要求。发包人要求采用装配式建筑的，承包人应本着工厂化、标准化、模块化、集成化、体系化、绿色环保、经济合理等原则，遵守国家、广东省及广州市有关装配式技术标准与规范进行设计</w:t>
      </w:r>
      <w:r>
        <w:rPr>
          <w:rFonts w:hint="eastAsia" w:ascii="仿宋" w:hAnsi="仿宋" w:eastAsia="仿宋"/>
          <w:color w:val="auto"/>
          <w:highlight w:val="none"/>
          <w:lang w:eastAsia="zh-CN"/>
        </w:rPr>
        <w:t>（</w:t>
      </w:r>
      <w:r>
        <w:rPr>
          <w:rFonts w:hint="eastAsia" w:ascii="仿宋" w:hAnsi="仿宋" w:eastAsia="仿宋"/>
          <w:color w:val="auto"/>
          <w:highlight w:val="none"/>
          <w:lang w:val="en-US" w:eastAsia="zh-CN"/>
        </w:rPr>
        <w:t>不涉及）</w:t>
      </w:r>
      <w:r>
        <w:rPr>
          <w:rFonts w:ascii="仿宋" w:hAnsi="仿宋" w:eastAsia="仿宋"/>
          <w:color w:val="auto"/>
          <w:highlight w:val="none"/>
          <w:lang w:eastAsia="zh-CN"/>
        </w:rPr>
        <w:t>。</w:t>
      </w:r>
    </w:p>
    <w:p w14:paraId="7527FEE5">
      <w:pPr>
        <w:spacing w:line="360" w:lineRule="auto"/>
        <w:ind w:firstLine="480" w:firstLineChars="200"/>
        <w:rPr>
          <w:rFonts w:hint="default" w:ascii="仿宋" w:hAnsi="仿宋" w:eastAsia="仿宋"/>
          <w:color w:val="auto"/>
          <w:highlight w:val="none"/>
          <w:lang w:val="en-US"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.2</w:t>
      </w:r>
      <w:r>
        <w:rPr>
          <w:rFonts w:hint="eastAsia" w:ascii="仿宋" w:hAnsi="仿宋" w:eastAsia="仿宋"/>
          <w:color w:val="auto"/>
          <w:highlight w:val="none"/>
          <w:lang w:eastAsia="zh-CN"/>
        </w:rPr>
        <w:t>5</w:t>
      </w:r>
      <w:r>
        <w:rPr>
          <w:rFonts w:ascii="仿宋" w:hAnsi="仿宋" w:eastAsia="仿宋"/>
          <w:color w:val="auto"/>
          <w:highlight w:val="none"/>
          <w:lang w:eastAsia="zh-CN"/>
        </w:rPr>
        <w:t>承包人应任命本单位具有结构设计类执业资格的注册人员担任承包人代表（承包人为联合体时，应由具有符合项目规模要求的设计单位委派专业人员担任），统筹装配式构件的设计、生产、运输、吊装和拼接，加强协同管理，并建立基于建筑信息模型（BIM）的部装配式构件生产管理信息系统，对构件进行编码管理，保证工程质量。</w:t>
      </w:r>
      <w:r>
        <w:rPr>
          <w:rFonts w:hint="eastAsia" w:ascii="仿宋" w:hAnsi="仿宋" w:eastAsia="仿宋"/>
          <w:color w:val="auto"/>
          <w:highlight w:val="none"/>
          <w:lang w:eastAsia="zh-CN"/>
        </w:rPr>
        <w:t>（不涉及）</w:t>
      </w:r>
    </w:p>
    <w:p w14:paraId="1A6A900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.2</w:t>
      </w:r>
      <w:r>
        <w:rPr>
          <w:rFonts w:hint="eastAsia" w:ascii="仿宋" w:hAnsi="仿宋" w:eastAsia="仿宋"/>
          <w:color w:val="auto"/>
          <w:highlight w:val="none"/>
          <w:lang w:eastAsia="zh-CN"/>
        </w:rPr>
        <w:t>6</w:t>
      </w:r>
      <w:r>
        <w:rPr>
          <w:rFonts w:ascii="仿宋" w:hAnsi="仿宋" w:eastAsia="仿宋"/>
          <w:color w:val="auto"/>
          <w:highlight w:val="none"/>
          <w:lang w:eastAsia="zh-CN"/>
        </w:rPr>
        <w:t>承包人应充分利用BIM技术进行正向设计或建模与出图同步完成的设计方式，通过使用建筑信息模型（BIM），优化设计成果。</w:t>
      </w:r>
      <w:r>
        <w:rPr>
          <w:rFonts w:hint="eastAsia" w:ascii="仿宋" w:hAnsi="仿宋" w:eastAsia="仿宋"/>
          <w:color w:val="auto"/>
          <w:highlight w:val="none"/>
          <w:lang w:eastAsia="zh-CN"/>
        </w:rPr>
        <w:t>（不涉及）</w:t>
      </w:r>
    </w:p>
    <w:p w14:paraId="05251C1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27</w:t>
      </w:r>
      <w:r>
        <w:rPr>
          <w:rFonts w:ascii="仿宋" w:hAnsi="仿宋" w:eastAsia="仿宋"/>
          <w:color w:val="auto"/>
          <w:highlight w:val="none"/>
          <w:lang w:eastAsia="zh-CN"/>
        </w:rPr>
        <w:t>因承包人原因，造成BIM模型及有关应用成果存在遗漏、错误的，承包人应补充、修正和完善，由此产生的费用由承包人承担。因此对相关设计、采购、施工等造成的工期延误及费用增加由承包人承担。</w:t>
      </w:r>
      <w:r>
        <w:rPr>
          <w:rFonts w:hint="eastAsia" w:ascii="仿宋" w:hAnsi="仿宋" w:eastAsia="仿宋"/>
          <w:color w:val="auto"/>
          <w:highlight w:val="none"/>
          <w:lang w:eastAsia="zh-CN"/>
        </w:rPr>
        <w:t>（不涉及）</w:t>
      </w:r>
    </w:p>
    <w:p w14:paraId="7BB452C2">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w:t>
      </w:r>
      <w:r>
        <w:rPr>
          <w:rFonts w:ascii="仿宋" w:hAnsi="仿宋" w:eastAsia="仿宋"/>
          <w:color w:val="auto"/>
          <w:highlight w:val="none"/>
          <w:lang w:eastAsia="zh-CN"/>
        </w:rPr>
        <w:t>.</w:t>
      </w:r>
      <w:r>
        <w:rPr>
          <w:rFonts w:hint="eastAsia" w:ascii="仿宋" w:hAnsi="仿宋" w:eastAsia="仿宋"/>
          <w:color w:val="auto"/>
          <w:highlight w:val="none"/>
          <w:lang w:eastAsia="zh-CN"/>
        </w:rPr>
        <w:t>2</w:t>
      </w:r>
      <w:r>
        <w:rPr>
          <w:rFonts w:ascii="仿宋" w:hAnsi="仿宋" w:eastAsia="仿宋"/>
          <w:color w:val="auto"/>
          <w:highlight w:val="none"/>
          <w:lang w:eastAsia="zh-CN"/>
        </w:rPr>
        <w:t>.</w:t>
      </w:r>
      <w:r>
        <w:rPr>
          <w:rFonts w:hint="eastAsia" w:ascii="仿宋" w:hAnsi="仿宋" w:eastAsia="仿宋"/>
          <w:color w:val="auto"/>
          <w:highlight w:val="none"/>
          <w:lang w:eastAsia="zh-CN"/>
        </w:rPr>
        <w:t>28</w:t>
      </w:r>
      <w:r>
        <w:rPr>
          <w:rFonts w:ascii="仿宋" w:hAnsi="仿宋" w:eastAsia="仿宋"/>
          <w:bCs/>
          <w:snapToGrid w:val="0"/>
          <w:color w:val="auto"/>
          <w:highlight w:val="none"/>
          <w:lang w:eastAsia="zh-CN"/>
        </w:rPr>
        <w:t>承包人负责</w:t>
      </w:r>
      <w:r>
        <w:rPr>
          <w:rFonts w:hint="eastAsia" w:ascii="仿宋" w:hAnsi="仿宋" w:eastAsia="仿宋"/>
          <w:bCs/>
          <w:snapToGrid w:val="0"/>
          <w:color w:val="auto"/>
          <w:highlight w:val="none"/>
          <w:lang w:eastAsia="zh-CN"/>
        </w:rPr>
        <w:t>编制深基坑、主体沉降观测、高支模及管线位移等工程监测、检测方案和工程量清单</w:t>
      </w:r>
      <w:r>
        <w:rPr>
          <w:rFonts w:hint="eastAsia" w:ascii="仿宋" w:hAnsi="仿宋" w:eastAsia="仿宋"/>
          <w:color w:val="auto"/>
          <w:kern w:val="2"/>
          <w:highlight w:val="none"/>
          <w:lang w:eastAsia="zh-CN"/>
        </w:rPr>
        <w:t>。（如需）</w:t>
      </w:r>
    </w:p>
    <w:p w14:paraId="251D694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26.3 设计文件</w:t>
      </w:r>
    </w:p>
    <w:p w14:paraId="745C63EA">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26.3.1承包人向发包人提交设计文件的方式、数量和时间：</w:t>
      </w:r>
      <w:r>
        <w:rPr>
          <w:rFonts w:hint="eastAsia" w:ascii="仿宋" w:hAnsi="仿宋" w:eastAsia="仿宋" w:cs="仿宋"/>
          <w:color w:val="auto"/>
          <w:highlight w:val="none"/>
          <w:u w:val="single"/>
          <w:lang w:eastAsia="zh-CN"/>
        </w:rPr>
        <w:t>详见专用条款第7.2款。</w:t>
      </w:r>
    </w:p>
    <w:p w14:paraId="1771FEC6">
      <w:pPr>
        <w:spacing w:line="360" w:lineRule="auto"/>
        <w:ind w:firstLine="480" w:firstLineChars="200"/>
        <w:rPr>
          <w:rFonts w:hint="default" w:ascii="仿宋" w:hAnsi="仿宋" w:eastAsia="仿宋"/>
          <w:color w:val="auto"/>
          <w:highlight w:val="none"/>
          <w:lang w:val="en-US" w:eastAsia="zh-CN"/>
        </w:rPr>
      </w:pPr>
      <w:r>
        <w:rPr>
          <w:rFonts w:hint="eastAsia" w:ascii="仿宋" w:hAnsi="仿宋" w:eastAsia="仿宋"/>
          <w:color w:val="auto"/>
          <w:highlight w:val="none"/>
          <w:lang w:eastAsia="zh-CN"/>
        </w:rPr>
        <w:t>26.4装配式建筑（</w:t>
      </w:r>
      <w:r>
        <w:rPr>
          <w:rFonts w:hint="eastAsia" w:ascii="仿宋" w:hAnsi="仿宋" w:eastAsia="仿宋"/>
          <w:color w:val="auto"/>
          <w:highlight w:val="none"/>
          <w:lang w:val="en-US" w:eastAsia="zh-CN"/>
        </w:rPr>
        <w:t>不涉及）</w:t>
      </w:r>
    </w:p>
    <w:p w14:paraId="0B47A1A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26.4.1（1）装配式</w:t>
      </w:r>
      <w:r>
        <w:rPr>
          <w:rFonts w:hint="eastAsia" w:ascii="仿宋" w:hAnsi="仿宋" w:eastAsia="仿宋" w:cs="仿宋"/>
          <w:color w:val="auto"/>
          <w:highlight w:val="none"/>
          <w:lang w:eastAsia="zh-CN"/>
        </w:rPr>
        <w:t>建筑采用的</w:t>
      </w:r>
      <w:r>
        <w:rPr>
          <w:rFonts w:hint="eastAsia" w:ascii="仿宋" w:hAnsi="仿宋" w:eastAsia="仿宋"/>
          <w:color w:val="auto"/>
          <w:highlight w:val="none"/>
          <w:lang w:eastAsia="zh-CN"/>
        </w:rPr>
        <w:t>技术标准、规范及要求：</w:t>
      </w:r>
    </w:p>
    <w:p w14:paraId="56119EEB">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olor w:val="auto"/>
          <w:highlight w:val="none"/>
          <w:lang w:eastAsia="zh-CN"/>
        </w:rPr>
        <w:t>国家《装配式混凝土建筑技术标准》（GB/T51231-2016）、《装配式钢结构建筑技术标准》（GB/T51232-2016）、《钢筋套筒灌浆连接应用技术规程》（JGJ355-2015）</w:t>
      </w:r>
    </w:p>
    <w:p w14:paraId="7D0A84F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olor w:val="auto"/>
          <w:highlight w:val="none"/>
          <w:lang w:eastAsia="zh-CN"/>
        </w:rPr>
        <w:t>《装配式钢结构建筑技术规程》（</w:t>
      </w:r>
      <w:r>
        <w:rPr>
          <w:rFonts w:ascii="仿宋" w:hAnsi="仿宋" w:eastAsia="仿宋"/>
          <w:color w:val="auto"/>
          <w:highlight w:val="none"/>
          <w:lang w:eastAsia="zh-CN"/>
        </w:rPr>
        <w:t>DBJ/T 15-177-2020</w:t>
      </w:r>
      <w:r>
        <w:rPr>
          <w:rFonts w:hint="eastAsia" w:ascii="仿宋" w:hAnsi="仿宋" w:eastAsia="仿宋"/>
          <w:color w:val="auto"/>
          <w:highlight w:val="none"/>
          <w:lang w:eastAsia="zh-CN"/>
        </w:rPr>
        <w:t>）、《装配式混凝土结构工程预制构件生产质量验收规程》（T/GZBC10-2019）、《装配式混凝土结构工程施工质量验收规程》(DB4401/T16-2019)</w:t>
      </w:r>
    </w:p>
    <w:p w14:paraId="179D0C7F">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olor w:val="auto"/>
          <w:highlight w:val="none"/>
          <w:lang w:eastAsia="zh-CN"/>
        </w:rPr>
        <w:t>《广州市住房和城乡建设委员会关于印发广州市装配式建筑工程质量安全管理指引(试行)的通知》（穗建质[2018]477号）。</w:t>
      </w:r>
    </w:p>
    <w:p w14:paraId="7EF5204D">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其他标准、规范及文件：</w:t>
      </w:r>
      <w:r>
        <w:rPr>
          <w:rFonts w:hint="eastAsia" w:ascii="仿宋" w:hAnsi="仿宋" w:eastAsia="仿宋" w:cs="仿宋"/>
          <w:color w:val="auto"/>
          <w:highlight w:val="none"/>
          <w:u w:val="single"/>
          <w:lang w:eastAsia="zh-CN"/>
        </w:rPr>
        <w:t>详见《发包人要求》。</w:t>
      </w:r>
    </w:p>
    <w:p w14:paraId="1CE524B5">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olor w:val="auto"/>
          <w:highlight w:val="none"/>
          <w:lang w:eastAsia="zh-CN"/>
        </w:rPr>
        <w:t>（2）本项目装配式</w:t>
      </w:r>
      <w:r>
        <w:rPr>
          <w:rFonts w:hint="eastAsia" w:ascii="仿宋" w:hAnsi="仿宋" w:eastAsia="仿宋" w:cs="仿宋"/>
          <w:color w:val="auto"/>
          <w:highlight w:val="none"/>
          <w:lang w:eastAsia="zh-CN"/>
        </w:rPr>
        <w:t>建筑选用的评价</w:t>
      </w:r>
      <w:r>
        <w:rPr>
          <w:rFonts w:hint="eastAsia" w:ascii="仿宋" w:hAnsi="仿宋" w:eastAsia="仿宋"/>
          <w:color w:val="auto"/>
          <w:highlight w:val="none"/>
          <w:lang w:eastAsia="zh-CN"/>
        </w:rPr>
        <w:t>标准：</w:t>
      </w:r>
    </w:p>
    <w:p w14:paraId="1DBDFB9D">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olor w:val="auto"/>
          <w:highlight w:val="none"/>
          <w:lang w:eastAsia="zh-CN"/>
        </w:rPr>
        <w:t>国家《装配式混凝土建筑技术标准》（GB/T51231-2016）</w:t>
      </w:r>
    </w:p>
    <w:p w14:paraId="1C6A70E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olor w:val="auto"/>
          <w:highlight w:val="none"/>
          <w:lang w:eastAsia="zh-CN"/>
        </w:rPr>
        <w:t>广东省《装配式建筑评价标准》（DBJ/T15-163-2019）</w:t>
      </w:r>
    </w:p>
    <w:p w14:paraId="3A7B2B76">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olor w:val="auto"/>
          <w:highlight w:val="none"/>
          <w:lang w:eastAsia="zh-CN"/>
        </w:rPr>
        <w:t>各装配式单体工程的名称及装配率（或评价等级）要求：</w:t>
      </w:r>
      <w:r>
        <w:rPr>
          <w:rFonts w:hint="eastAsia" w:ascii="仿宋" w:hAnsi="仿宋" w:eastAsia="仿宋"/>
          <w:color w:val="auto"/>
          <w:highlight w:val="none"/>
          <w:u w:val="single"/>
          <w:lang w:eastAsia="zh-CN"/>
        </w:rPr>
        <w:t>本项目内均采用装配式建造，且至少满足广东省《装配式建筑评价标准》（DBJ/T15-163-2019）基本级或者广州市《装配式建筑评价标准》（DB4401/T 151—2022）基本级的要求。</w:t>
      </w:r>
    </w:p>
    <w:p w14:paraId="223F0EE8">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olor w:val="auto"/>
          <w:highlight w:val="none"/>
          <w:lang w:eastAsia="zh-CN"/>
        </w:rPr>
        <w:t>26.5 设计审查</w:t>
      </w:r>
    </w:p>
    <w:p w14:paraId="682BA73B">
      <w:pPr>
        <w:spacing w:line="360" w:lineRule="auto"/>
        <w:ind w:firstLine="424" w:firstLineChars="177"/>
        <w:rPr>
          <w:rFonts w:hint="eastAsia" w:ascii="仿宋" w:hAnsi="仿宋" w:eastAsia="仿宋" w:cs="仿宋"/>
          <w:color w:val="auto"/>
          <w:highlight w:val="none"/>
          <w:u w:val="single"/>
          <w:lang w:eastAsia="zh-CN"/>
        </w:rPr>
      </w:pPr>
      <w:r>
        <w:rPr>
          <w:rFonts w:hint="eastAsia" w:ascii="仿宋" w:hAnsi="仿宋" w:eastAsia="仿宋"/>
          <w:color w:val="auto"/>
          <w:highlight w:val="none"/>
          <w:lang w:eastAsia="zh-CN"/>
        </w:rPr>
        <w:t>26.5.1.1发包人对承包人设计文件审查的范围、内容的约定</w:t>
      </w:r>
      <w:r>
        <w:rPr>
          <w:rFonts w:hint="eastAsia" w:ascii="仿宋" w:hAnsi="仿宋" w:eastAsia="仿宋" w:cs="仿宋"/>
          <w:color w:val="auto"/>
          <w:highlight w:val="none"/>
          <w:lang w:eastAsia="zh-CN"/>
        </w:rPr>
        <w:t>：</w:t>
      </w:r>
      <w:r>
        <w:rPr>
          <w:rFonts w:hint="eastAsia" w:ascii="仿宋" w:hAnsi="仿宋" w:eastAsia="仿宋" w:cs="仿宋"/>
          <w:color w:val="auto"/>
          <w:highlight w:val="none"/>
          <w:u w:val="single"/>
          <w:lang w:eastAsia="zh-CN"/>
        </w:rPr>
        <w:t>设计范围内所有专业工程的施工图及深化设计图纸。</w:t>
      </w:r>
    </w:p>
    <w:p w14:paraId="6DBB712D">
      <w:pPr>
        <w:tabs>
          <w:tab w:val="left" w:pos="4970"/>
        </w:tabs>
        <w:spacing w:line="360" w:lineRule="auto"/>
        <w:ind w:firstLine="424" w:firstLineChars="177"/>
        <w:rPr>
          <w:rFonts w:hint="eastAsia" w:ascii="仿宋" w:hAnsi="仿宋" w:eastAsia="仿宋" w:cs="仿宋"/>
          <w:color w:val="auto"/>
          <w:highlight w:val="none"/>
          <w:lang w:eastAsia="zh-CN"/>
        </w:rPr>
      </w:pPr>
      <w:r>
        <w:rPr>
          <w:rFonts w:hint="eastAsia" w:ascii="仿宋" w:hAnsi="仿宋" w:eastAsia="仿宋"/>
          <w:color w:val="auto"/>
          <w:highlight w:val="none"/>
          <w:lang w:eastAsia="zh-CN"/>
        </w:rPr>
        <w:t>26.5.1.2发包人对承包人设计文件的审查期限</w:t>
      </w:r>
      <w:r>
        <w:rPr>
          <w:rFonts w:hint="eastAsia" w:ascii="仿宋" w:hAnsi="仿宋" w:eastAsia="仿宋" w:cs="仿宋"/>
          <w:color w:val="auto"/>
          <w:highlight w:val="none"/>
          <w:lang w:eastAsia="zh-CN"/>
        </w:rPr>
        <w:t>：</w:t>
      </w:r>
    </w:p>
    <w:p w14:paraId="4AF1B705">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s="仿宋"/>
          <w:color w:val="auto"/>
          <w:highlight w:val="none"/>
        </w:rPr>
        <w:sym w:font="Wingdings 2" w:char="F052"/>
      </w:r>
      <w:r>
        <w:rPr>
          <w:rFonts w:hint="eastAsia" w:ascii="仿宋" w:hAnsi="仿宋" w:eastAsia="仿宋" w:cs="仿宋"/>
          <w:color w:val="auto"/>
          <w:highlight w:val="none"/>
          <w:lang w:eastAsia="zh-CN"/>
        </w:rPr>
        <w:t xml:space="preserve"> 通用条款第38.6.1.2款约定；</w:t>
      </w:r>
    </w:p>
    <w:p w14:paraId="36071568">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另有约定：</w:t>
      </w:r>
    </w:p>
    <w:p w14:paraId="48CD0169">
      <w:pPr>
        <w:tabs>
          <w:tab w:val="left" w:pos="4970"/>
        </w:tabs>
        <w:spacing w:line="360" w:lineRule="auto"/>
        <w:ind w:firstLine="424" w:firstLineChars="177"/>
        <w:rPr>
          <w:rFonts w:hint="eastAsia" w:ascii="仿宋" w:hAnsi="仿宋" w:eastAsia="仿宋" w:cs="仿宋"/>
          <w:color w:val="auto"/>
          <w:highlight w:val="none"/>
          <w:lang w:eastAsia="zh-CN"/>
        </w:rPr>
      </w:pPr>
      <w:r>
        <w:rPr>
          <w:rFonts w:hint="eastAsia" w:ascii="仿宋" w:hAnsi="仿宋" w:eastAsia="仿宋"/>
          <w:color w:val="auto"/>
          <w:highlight w:val="none"/>
          <w:lang w:eastAsia="zh-CN"/>
        </w:rPr>
        <w:t>26.5.1.3发包人需要组织审查会议的，审查会议的审查形式和时间</w:t>
      </w:r>
      <w:r>
        <w:rPr>
          <w:rFonts w:hint="eastAsia" w:ascii="仿宋" w:hAnsi="仿宋" w:eastAsia="仿宋" w:cs="仿宋"/>
          <w:color w:val="auto"/>
          <w:highlight w:val="none"/>
          <w:lang w:eastAsia="zh-CN"/>
        </w:rPr>
        <w:t>：</w:t>
      </w:r>
    </w:p>
    <w:p w14:paraId="7BBBEFAF">
      <w:pPr>
        <w:spacing w:line="360" w:lineRule="auto"/>
        <w:ind w:firstLine="424" w:firstLineChars="177"/>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①审查形式：</w:t>
      </w:r>
      <w:r>
        <w:rPr>
          <w:rFonts w:hint="eastAsia" w:ascii="仿宋" w:hAnsi="仿宋" w:eastAsia="仿宋" w:cs="仿宋"/>
          <w:color w:val="auto"/>
          <w:highlight w:val="none"/>
          <w:u w:val="single"/>
          <w:lang w:eastAsia="zh-CN"/>
        </w:rPr>
        <w:t>对承包人设计成果文件评审包括相关行政主管部门及行业主管部门的审查、施工图审查单位（设计咨询单位）的审查、发包人或发包人组织的专家评审。涉及重大设计技术问题的，承包人应及时向发包人提出书面审查申请；承包人向发包人送审施工图前，应组织相关专家对设计文件进行评审，通知发包人及监理人、造价咨询人等相关方参加，根据专家评审意见修正设计文件。相关会议及评审费用由承包人承担。</w:t>
      </w:r>
    </w:p>
    <w:p w14:paraId="73E704E8">
      <w:pPr>
        <w:numPr>
          <w:ilvl w:val="255"/>
          <w:numId w:val="0"/>
        </w:num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②审查时间：</w:t>
      </w:r>
      <w:r>
        <w:rPr>
          <w:rFonts w:hint="eastAsia" w:ascii="仿宋" w:hAnsi="仿宋" w:eastAsia="仿宋" w:cs="仿宋"/>
          <w:color w:val="auto"/>
          <w:highlight w:val="none"/>
          <w:u w:val="single"/>
          <w:lang w:eastAsia="zh-CN"/>
        </w:rPr>
        <w:t xml:space="preserve">发包人可以跟进项目进度，分批、分专业组织审查工作；具体审查时间由承包人提出申请、发包人确认为准。 </w:t>
      </w:r>
    </w:p>
    <w:p w14:paraId="00B42DB3">
      <w:pPr>
        <w:pStyle w:val="5"/>
        <w:tabs>
          <w:tab w:val="left" w:pos="420"/>
        </w:tabs>
        <w:spacing w:before="0" w:after="0" w:line="360" w:lineRule="auto"/>
        <w:rPr>
          <w:rFonts w:hint="default" w:ascii="仿宋" w:hAnsi="仿宋" w:eastAsia="仿宋" w:cs="仿宋"/>
          <w:b w:val="0"/>
          <w:bCs w:val="0"/>
          <w:strike/>
          <w:dstrike w:val="0"/>
          <w:color w:val="auto"/>
          <w:sz w:val="24"/>
          <w:szCs w:val="24"/>
          <w:highlight w:val="none"/>
          <w:lang w:val="en-US" w:eastAsia="zh-CN"/>
        </w:rPr>
      </w:pPr>
      <w:bookmarkStart w:id="850" w:name="_Toc26163"/>
      <w:bookmarkStart w:id="851" w:name="_Toc32323"/>
      <w:bookmarkStart w:id="852" w:name="_Toc12226"/>
      <w:bookmarkStart w:id="853" w:name="_Toc32288"/>
      <w:bookmarkStart w:id="854" w:name="_Toc6680"/>
      <w:bookmarkStart w:id="855" w:name="_Toc18228"/>
      <w:bookmarkStart w:id="856" w:name="_Toc7159"/>
      <w:bookmarkStart w:id="857" w:name="_Toc26141"/>
      <w:bookmarkStart w:id="858" w:name="_Toc12531"/>
      <w:bookmarkStart w:id="859" w:name="_Toc7356"/>
      <w:bookmarkStart w:id="860" w:name="_Toc17728"/>
      <w:bookmarkStart w:id="861" w:name="_Toc25567"/>
      <w:bookmarkStart w:id="862" w:name="_Toc26340"/>
      <w:bookmarkStart w:id="863" w:name="_Toc19542"/>
      <w:r>
        <w:rPr>
          <w:rFonts w:hint="eastAsia" w:ascii="仿宋" w:hAnsi="仿宋" w:eastAsia="仿宋" w:cs="仿宋"/>
          <w:b w:val="0"/>
          <w:bCs w:val="0"/>
          <w:strike/>
          <w:dstrike w:val="0"/>
          <w:color w:val="auto"/>
          <w:sz w:val="24"/>
          <w:szCs w:val="24"/>
          <w:highlight w:val="none"/>
          <w:lang w:eastAsia="zh-CN"/>
        </w:rPr>
        <w:t>27.  BIM技术应用及智能建造</w:t>
      </w:r>
      <w:bookmarkEnd w:id="850"/>
      <w:bookmarkEnd w:id="851"/>
      <w:bookmarkEnd w:id="852"/>
      <w:bookmarkEnd w:id="853"/>
      <w:bookmarkEnd w:id="854"/>
      <w:bookmarkEnd w:id="855"/>
      <w:bookmarkEnd w:id="856"/>
      <w:bookmarkEnd w:id="857"/>
      <w:bookmarkEnd w:id="858"/>
      <w:bookmarkEnd w:id="859"/>
      <w:bookmarkEnd w:id="860"/>
      <w:bookmarkEnd w:id="861"/>
      <w:bookmarkEnd w:id="862"/>
      <w:r>
        <w:rPr>
          <w:rFonts w:hint="eastAsia" w:ascii="仿宋" w:hAnsi="仿宋" w:eastAsia="仿宋" w:cs="仿宋"/>
          <w:b w:val="0"/>
          <w:bCs w:val="0"/>
          <w:strike/>
          <w:dstrike w:val="0"/>
          <w:color w:val="auto"/>
          <w:sz w:val="24"/>
          <w:szCs w:val="24"/>
          <w:highlight w:val="none"/>
          <w:lang w:eastAsia="zh-CN"/>
        </w:rPr>
        <w:t>（</w:t>
      </w:r>
      <w:r>
        <w:rPr>
          <w:rFonts w:hint="eastAsia" w:ascii="仿宋" w:hAnsi="仿宋" w:eastAsia="仿宋" w:cs="仿宋"/>
          <w:b w:val="0"/>
          <w:bCs w:val="0"/>
          <w:strike/>
          <w:dstrike w:val="0"/>
          <w:color w:val="auto"/>
          <w:sz w:val="24"/>
          <w:szCs w:val="24"/>
          <w:highlight w:val="none"/>
          <w:lang w:val="en-US" w:eastAsia="zh-CN"/>
        </w:rPr>
        <w:t>不涉及）</w:t>
      </w:r>
      <w:bookmarkEnd w:id="863"/>
    </w:p>
    <w:p w14:paraId="1B49D16B">
      <w:pPr>
        <w:spacing w:line="360" w:lineRule="auto"/>
        <w:ind w:firstLine="480" w:firstLineChars="200"/>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lang w:eastAsia="zh-CN"/>
        </w:rPr>
        <w:t>27.1 对发包人要求和项目基础资料的核实</w:t>
      </w:r>
    </w:p>
    <w:p w14:paraId="79F3C1D9">
      <w:pPr>
        <w:spacing w:line="360" w:lineRule="auto"/>
        <w:ind w:firstLine="480" w:firstLineChars="200"/>
        <w:rPr>
          <w:rFonts w:hint="eastAsia" w:ascii="仿宋" w:hAnsi="仿宋" w:eastAsia="仿宋"/>
          <w:strike/>
          <w:dstrike w:val="0"/>
          <w:color w:val="auto"/>
          <w:highlight w:val="none"/>
          <w:lang w:eastAsia="zh-CN"/>
        </w:rPr>
      </w:pPr>
      <w:r>
        <w:rPr>
          <w:rFonts w:hint="eastAsia" w:ascii="仿宋" w:hAnsi="仿宋" w:eastAsia="仿宋" w:cs="仿宋"/>
          <w:strike/>
          <w:dstrike w:val="0"/>
          <w:color w:val="auto"/>
          <w:highlight w:val="none"/>
          <w:lang w:eastAsia="zh-CN"/>
        </w:rPr>
        <w:sym w:font="Wingdings 2" w:char="F052"/>
      </w:r>
      <w:r>
        <w:rPr>
          <w:rFonts w:hint="eastAsia" w:ascii="仿宋" w:hAnsi="仿宋" w:eastAsia="仿宋" w:cs="仿宋"/>
          <w:strike/>
          <w:dstrike w:val="0"/>
          <w:color w:val="auto"/>
          <w:highlight w:val="none"/>
          <w:lang w:eastAsia="zh-CN"/>
        </w:rPr>
        <w:t xml:space="preserve"> 通用条款第39.1款约定。</w:t>
      </w:r>
    </w:p>
    <w:p w14:paraId="17608E38">
      <w:pPr>
        <w:spacing w:line="360" w:lineRule="auto"/>
        <w:ind w:firstLine="480" w:firstLineChars="200"/>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 另有约定：</w:t>
      </w:r>
    </w:p>
    <w:p w14:paraId="6E3CB742">
      <w:pPr>
        <w:spacing w:line="360" w:lineRule="auto"/>
        <w:ind w:firstLine="424" w:firstLineChars="177"/>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lang w:eastAsia="zh-CN"/>
        </w:rPr>
        <w:t>27.2.1 BIM技术应用工作方案</w:t>
      </w:r>
    </w:p>
    <w:p w14:paraId="2A4F52AB">
      <w:pPr>
        <w:spacing w:line="360" w:lineRule="auto"/>
        <w:ind w:firstLine="424" w:firstLineChars="177"/>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①提供时间：</w:t>
      </w:r>
      <w:r>
        <w:rPr>
          <w:rFonts w:hint="eastAsia" w:ascii="仿宋" w:hAnsi="仿宋" w:eastAsia="仿宋" w:cs="仿宋"/>
          <w:strike/>
          <w:dstrike w:val="0"/>
          <w:color w:val="auto"/>
          <w:highlight w:val="none"/>
          <w:u w:val="single"/>
          <w:lang w:eastAsia="zh-CN"/>
        </w:rPr>
        <w:t xml:space="preserve">本合同生效后15天内； </w:t>
      </w:r>
    </w:p>
    <w:p w14:paraId="40232EFB">
      <w:pPr>
        <w:spacing w:line="360" w:lineRule="auto"/>
        <w:ind w:firstLine="424" w:firstLineChars="177"/>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②提供方式：</w:t>
      </w:r>
      <w:r>
        <w:rPr>
          <w:rFonts w:hint="eastAsia" w:ascii="仿宋" w:hAnsi="仿宋" w:eastAsia="仿宋" w:cs="仿宋"/>
          <w:strike/>
          <w:dstrike w:val="0"/>
          <w:color w:val="auto"/>
          <w:highlight w:val="none"/>
          <w:u w:val="single"/>
          <w:lang w:eastAsia="zh-CN"/>
        </w:rPr>
        <w:t xml:space="preserve">纸质文件及电子文件； </w:t>
      </w:r>
    </w:p>
    <w:p w14:paraId="20CE2A41">
      <w:pPr>
        <w:spacing w:line="360" w:lineRule="auto"/>
        <w:ind w:firstLine="424" w:firstLineChars="177"/>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③提供数量：</w:t>
      </w:r>
      <w:r>
        <w:rPr>
          <w:rFonts w:hint="eastAsia" w:ascii="仿宋" w:hAnsi="仿宋" w:eastAsia="仿宋" w:cs="仿宋"/>
          <w:strike/>
          <w:dstrike w:val="0"/>
          <w:color w:val="auto"/>
          <w:highlight w:val="none"/>
          <w:u w:val="single"/>
          <w:lang w:eastAsia="zh-CN"/>
        </w:rPr>
        <w:t xml:space="preserve">纸质文件一式陆份，电子文件2份。 </w:t>
      </w:r>
    </w:p>
    <w:p w14:paraId="2037B5A4">
      <w:pPr>
        <w:spacing w:line="360" w:lineRule="auto"/>
        <w:ind w:firstLine="424" w:firstLineChars="177"/>
        <w:rPr>
          <w:rFonts w:hint="eastAsia" w:ascii="仿宋" w:hAnsi="仿宋" w:eastAsia="仿宋" w:cs="仿宋"/>
          <w:strike/>
          <w:dstrike w:val="0"/>
          <w:color w:val="auto"/>
          <w:highlight w:val="none"/>
          <w:u w:val="single"/>
          <w:lang w:eastAsia="zh-CN"/>
        </w:rPr>
      </w:pPr>
      <w:r>
        <w:rPr>
          <w:rFonts w:hint="eastAsia" w:ascii="仿宋" w:hAnsi="仿宋" w:eastAsia="仿宋"/>
          <w:strike/>
          <w:dstrike w:val="0"/>
          <w:color w:val="auto"/>
          <w:highlight w:val="none"/>
          <w:lang w:eastAsia="zh-CN"/>
        </w:rPr>
        <w:t>27.3.1 BIM技术</w:t>
      </w:r>
      <w:r>
        <w:rPr>
          <w:rFonts w:hint="eastAsia" w:ascii="仿宋" w:hAnsi="仿宋" w:eastAsia="仿宋"/>
          <w:strike/>
          <w:dstrike w:val="0"/>
          <w:color w:val="auto"/>
          <w:highlight w:val="none"/>
          <w:lang w:eastAsia="zh-CN"/>
        </w:rPr>
        <w:tab/>
      </w:r>
      <w:r>
        <w:rPr>
          <w:rFonts w:hint="eastAsia" w:ascii="仿宋" w:hAnsi="仿宋" w:eastAsia="仿宋" w:cs="仿宋"/>
          <w:strike/>
          <w:dstrike w:val="0"/>
          <w:color w:val="auto"/>
          <w:highlight w:val="none"/>
          <w:lang w:eastAsia="zh-CN"/>
        </w:rPr>
        <w:t>应用内容和要求的约定：</w:t>
      </w:r>
      <w:r>
        <w:rPr>
          <w:rFonts w:hint="eastAsia" w:ascii="仿宋" w:hAnsi="仿宋" w:eastAsia="仿宋" w:cs="仿宋"/>
          <w:strike/>
          <w:dstrike w:val="0"/>
          <w:color w:val="auto"/>
          <w:highlight w:val="none"/>
          <w:u w:val="single"/>
          <w:lang w:eastAsia="zh-CN"/>
        </w:rPr>
        <w:t xml:space="preserve"> </w:t>
      </w:r>
      <w:r>
        <w:rPr>
          <w:rFonts w:hint="eastAsia" w:ascii="仿宋" w:hAnsi="仿宋" w:eastAsia="仿宋" w:cs="仿宋"/>
          <w:strike/>
          <w:dstrike w:val="0"/>
          <w:color w:val="auto"/>
          <w:highlight w:val="none"/>
          <w:u w:val="single"/>
          <w:lang w:val="en-US" w:eastAsia="zh-CN"/>
        </w:rPr>
        <w:t>不涉及</w:t>
      </w:r>
      <w:r>
        <w:rPr>
          <w:rFonts w:hint="eastAsia" w:ascii="仿宋" w:hAnsi="仿宋" w:eastAsia="仿宋" w:cs="仿宋"/>
          <w:strike/>
          <w:dstrike w:val="0"/>
          <w:color w:val="auto"/>
          <w:highlight w:val="none"/>
          <w:u w:val="single"/>
          <w:lang w:eastAsia="zh-CN"/>
        </w:rPr>
        <w:t xml:space="preserve">。 </w:t>
      </w:r>
    </w:p>
    <w:p w14:paraId="144006A2">
      <w:pPr>
        <w:spacing w:line="360" w:lineRule="auto"/>
        <w:ind w:firstLine="424" w:firstLineChars="177"/>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27.3.2 承包人提供运营维护所需建筑信息模型（BIM）的约定：</w:t>
      </w:r>
      <w:r>
        <w:rPr>
          <w:rFonts w:hint="eastAsia" w:ascii="仿宋" w:hAnsi="仿宋" w:eastAsia="仿宋" w:cs="仿宋"/>
          <w:strike/>
          <w:dstrike w:val="0"/>
          <w:color w:val="auto"/>
          <w:highlight w:val="none"/>
          <w:u w:val="single"/>
          <w:lang w:eastAsia="zh-CN"/>
        </w:rPr>
        <w:t xml:space="preserve">预留运营阶段的数据接入条件。  </w:t>
      </w:r>
    </w:p>
    <w:p w14:paraId="774B3536">
      <w:pPr>
        <w:widowControl w:val="0"/>
        <w:spacing w:line="360" w:lineRule="auto"/>
        <w:ind w:firstLine="424" w:firstLineChars="177"/>
        <w:jc w:val="both"/>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lang w:eastAsia="zh-CN"/>
        </w:rPr>
        <w:t>27.3.3承包人应用BIM技术方法，进行工程计量、计价，编制本项目工程的施工图预算、竣工结算等造价文件，并配合发包人及造价咨询人的审核。</w:t>
      </w:r>
    </w:p>
    <w:p w14:paraId="1B4559F2">
      <w:pPr>
        <w:spacing w:line="360" w:lineRule="auto"/>
        <w:ind w:firstLine="424" w:firstLineChars="177"/>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lang w:eastAsia="zh-CN"/>
        </w:rPr>
        <w:t>27.3.4承包人提供建筑信息模型（BIM）及技术应用成果</w:t>
      </w:r>
    </w:p>
    <w:p w14:paraId="4E98602C">
      <w:pPr>
        <w:spacing w:line="360" w:lineRule="auto"/>
        <w:ind w:firstLine="424" w:firstLineChars="177"/>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①提供时间：</w:t>
      </w:r>
      <w:r>
        <w:rPr>
          <w:rFonts w:hint="eastAsia" w:ascii="仿宋" w:hAnsi="仿宋" w:eastAsia="仿宋" w:cs="仿宋"/>
          <w:strike/>
          <w:dstrike w:val="0"/>
          <w:color w:val="auto"/>
          <w:highlight w:val="none"/>
          <w:u w:val="single"/>
          <w:lang w:eastAsia="zh-CN"/>
        </w:rPr>
        <w:t xml:space="preserve"> 按经发包人批准的BIM技术应用工作方案执行； </w:t>
      </w:r>
    </w:p>
    <w:p w14:paraId="46AE47DC">
      <w:pPr>
        <w:spacing w:line="360" w:lineRule="auto"/>
        <w:ind w:firstLine="424" w:firstLineChars="177"/>
        <w:rPr>
          <w:rFonts w:hint="eastAsia" w:ascii="仿宋" w:hAnsi="仿宋" w:eastAsia="仿宋" w:cs="仿宋"/>
          <w:strike/>
          <w:dstrike w:val="0"/>
          <w:color w:val="auto"/>
          <w:highlight w:val="none"/>
          <w:u w:val="single"/>
          <w:lang w:eastAsia="zh-CN"/>
        </w:rPr>
      </w:pPr>
      <w:r>
        <w:rPr>
          <w:rFonts w:hint="eastAsia" w:ascii="仿宋" w:hAnsi="仿宋" w:eastAsia="仿宋" w:cs="仿宋"/>
          <w:strike/>
          <w:dstrike w:val="0"/>
          <w:color w:val="auto"/>
          <w:highlight w:val="none"/>
          <w:lang w:eastAsia="zh-CN"/>
        </w:rPr>
        <w:t>②提供方式：</w:t>
      </w:r>
      <w:r>
        <w:rPr>
          <w:rFonts w:hint="eastAsia" w:ascii="仿宋" w:hAnsi="仿宋" w:eastAsia="仿宋" w:cs="仿宋"/>
          <w:strike/>
          <w:dstrike w:val="0"/>
          <w:color w:val="auto"/>
          <w:highlight w:val="none"/>
          <w:u w:val="single"/>
          <w:lang w:eastAsia="zh-CN"/>
        </w:rPr>
        <w:t xml:space="preserve"> 按经发包人批准的BIM技术应用工作方案执行； </w:t>
      </w:r>
    </w:p>
    <w:p w14:paraId="27078E87">
      <w:pPr>
        <w:spacing w:line="360" w:lineRule="auto"/>
        <w:ind w:firstLine="424" w:firstLineChars="177"/>
        <w:rPr>
          <w:rFonts w:hint="eastAsia" w:ascii="仿宋" w:hAnsi="仿宋" w:eastAsia="仿宋"/>
          <w:strike/>
          <w:dstrike w:val="0"/>
          <w:color w:val="auto"/>
          <w:highlight w:val="none"/>
          <w:u w:val="single"/>
          <w:lang w:eastAsia="zh-CN"/>
        </w:rPr>
      </w:pPr>
      <w:r>
        <w:rPr>
          <w:rFonts w:hint="eastAsia" w:ascii="仿宋" w:hAnsi="仿宋" w:eastAsia="仿宋" w:cs="仿宋"/>
          <w:strike/>
          <w:dstrike w:val="0"/>
          <w:color w:val="auto"/>
          <w:highlight w:val="none"/>
          <w:lang w:eastAsia="zh-CN"/>
        </w:rPr>
        <w:t xml:space="preserve">27.4 </w:t>
      </w:r>
      <w:r>
        <w:rPr>
          <w:rFonts w:hint="eastAsia" w:ascii="仿宋" w:hAnsi="仿宋" w:eastAsia="仿宋"/>
          <w:strike/>
          <w:dstrike w:val="0"/>
          <w:color w:val="auto"/>
          <w:highlight w:val="none"/>
          <w:lang w:eastAsia="zh-CN"/>
        </w:rPr>
        <w:t>BIM技术应用在各阶段应用的建筑信息模（BIM）交付标准的约定：</w:t>
      </w:r>
      <w:r>
        <w:rPr>
          <w:rFonts w:hint="eastAsia" w:ascii="仿宋" w:hAnsi="仿宋" w:eastAsia="仿宋" w:cs="仿宋"/>
          <w:strike/>
          <w:dstrike w:val="0"/>
          <w:color w:val="auto"/>
          <w:highlight w:val="none"/>
          <w:u w:val="single"/>
          <w:lang w:eastAsia="zh-CN"/>
        </w:rPr>
        <w:t>应符合国家、行业及省市现行有关标准</w:t>
      </w:r>
      <w:r>
        <w:rPr>
          <w:rFonts w:hint="eastAsia" w:ascii="仿宋" w:hAnsi="仿宋" w:eastAsia="仿宋"/>
          <w:strike/>
          <w:dstrike w:val="0"/>
          <w:color w:val="auto"/>
          <w:highlight w:val="none"/>
          <w:u w:val="single"/>
          <w:lang w:eastAsia="zh-CN"/>
        </w:rPr>
        <w:t>，BIM模型成果及过程中产生的数据（含BIM模型软硬件）都归发包人所有。</w:t>
      </w:r>
    </w:p>
    <w:p w14:paraId="67F38F15">
      <w:pPr>
        <w:spacing w:line="360" w:lineRule="auto"/>
        <w:ind w:firstLine="424" w:firstLineChars="177"/>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lang w:eastAsia="zh-CN"/>
        </w:rPr>
        <w:t>本项目在设计阶段、施工阶段采用BIM技术，并预留运营阶段的数据接入条件。本项目要求充分运用BIM正向设计技术，要求在设计阶段利用BIM模块进行参数化设计、日照能耗分析、交通线规划、管线优化、结构分析、风向分析、环境分析、造价分析等；并利用BIM建模来优化设计、保证有效衔接施工管理工作，通过BIM审查和CIM系统管理；利用BIM模块进行施工模拟、方案优化、施工安全、进度控制、造价分析、实时反馈、工程自动化、供应链管理、场地布局规划等。</w:t>
      </w:r>
    </w:p>
    <w:p w14:paraId="05C501C2">
      <w:pPr>
        <w:pStyle w:val="2"/>
        <w:rPr>
          <w:strike/>
          <w:dstrike w:val="0"/>
          <w:color w:val="auto"/>
          <w:highlight w:val="none"/>
          <w:lang w:eastAsia="zh-CN"/>
        </w:rPr>
      </w:pPr>
    </w:p>
    <w:p w14:paraId="71E11CE1">
      <w:pPr>
        <w:spacing w:line="360" w:lineRule="auto"/>
        <w:ind w:firstLine="424" w:firstLineChars="177"/>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lang w:eastAsia="zh-CN"/>
        </w:rPr>
        <w:t>27.5智能建造相关要求</w:t>
      </w:r>
    </w:p>
    <w:p w14:paraId="641DE6C9">
      <w:pPr>
        <w:spacing w:line="360" w:lineRule="auto"/>
        <w:ind w:firstLine="424" w:firstLineChars="177"/>
        <w:rPr>
          <w:strike/>
          <w:dstrike w:val="0"/>
          <w:color w:val="auto"/>
          <w:highlight w:val="none"/>
          <w:lang w:eastAsia="zh-CN"/>
        </w:rPr>
      </w:pPr>
      <w:r>
        <w:rPr>
          <w:rFonts w:hint="eastAsia" w:ascii="仿宋" w:hAnsi="仿宋" w:eastAsia="仿宋"/>
          <w:strike/>
          <w:dstrike w:val="0"/>
          <w:color w:val="auto"/>
          <w:kern w:val="2"/>
          <w:highlight w:val="none"/>
          <w:lang w:eastAsia="zh-CN"/>
        </w:rPr>
        <w:t>（1）本项目采用全阶段、全专业的BIM正向设计;编制集成化、模块化建筑部品部件标准三维图集，实施建筑平面、立面和部品部件、接口标准化设计；建立基于BIM技术的项目级标准化族库,明确部品部件分类编码规则；制定BIM模型质量评价规则，开展BIM模型质量检查，确保模型数据与图纸数据一致；基于 BIM 设计模型，实现构件模型全自动解析，钢筋、埋件碰撞检查等工作，减少设计强度及出错概率。</w:t>
      </w:r>
    </w:p>
    <w:p w14:paraId="6A2BA162">
      <w:pPr>
        <w:spacing w:line="360" w:lineRule="auto"/>
        <w:ind w:firstLine="480" w:firstLineChars="200"/>
        <w:rPr>
          <w:rFonts w:hint="eastAsia" w:ascii="仿宋" w:hAnsi="仿宋" w:eastAsia="仿宋"/>
          <w:strike/>
          <w:dstrike w:val="0"/>
          <w:color w:val="auto"/>
          <w:highlight w:val="none"/>
          <w:lang w:eastAsia="zh-CN"/>
        </w:rPr>
      </w:pPr>
      <w:r>
        <w:rPr>
          <w:rFonts w:hint="eastAsia" w:ascii="仿宋" w:hAnsi="仿宋" w:eastAsia="仿宋"/>
          <w:strike/>
          <w:dstrike w:val="0"/>
          <w:color w:val="auto"/>
          <w:kern w:val="2"/>
          <w:highlight w:val="none"/>
          <w:lang w:eastAsia="zh-CN"/>
        </w:rPr>
        <w:t>（2）本项目</w:t>
      </w:r>
      <w:r>
        <w:rPr>
          <w:rFonts w:hint="eastAsia" w:ascii="仿宋" w:hAnsi="仿宋" w:eastAsia="仿宋"/>
          <w:strike/>
          <w:dstrike w:val="0"/>
          <w:color w:val="auto"/>
          <w:highlight w:val="none"/>
          <w:lang w:eastAsia="zh-CN"/>
        </w:rPr>
        <w:t>将正向设计</w:t>
      </w:r>
      <w:r>
        <w:rPr>
          <w:rFonts w:ascii="仿宋" w:hAnsi="仿宋" w:eastAsia="仿宋"/>
          <w:strike/>
          <w:dstrike w:val="0"/>
          <w:color w:val="auto"/>
          <w:highlight w:val="none"/>
          <w:lang w:eastAsia="zh-CN"/>
        </w:rPr>
        <w:t>BIM模型</w:t>
      </w:r>
      <w:r>
        <w:rPr>
          <w:rFonts w:hint="eastAsia" w:ascii="仿宋" w:hAnsi="仿宋" w:eastAsia="仿宋"/>
          <w:strike/>
          <w:dstrike w:val="0"/>
          <w:color w:val="auto"/>
          <w:highlight w:val="none"/>
          <w:lang w:eastAsia="zh-CN"/>
        </w:rPr>
        <w:t>传递给构件生产单位</w:t>
      </w:r>
      <w:r>
        <w:rPr>
          <w:rFonts w:ascii="仿宋" w:hAnsi="仿宋" w:eastAsia="仿宋"/>
          <w:strike/>
          <w:dstrike w:val="0"/>
          <w:color w:val="auto"/>
          <w:highlight w:val="none"/>
          <w:lang w:eastAsia="zh-CN"/>
        </w:rPr>
        <w:t>，</w:t>
      </w:r>
      <w:r>
        <w:rPr>
          <w:rFonts w:hint="eastAsia" w:ascii="仿宋" w:hAnsi="仿宋" w:eastAsia="仿宋"/>
          <w:strike/>
          <w:dstrike w:val="0"/>
          <w:color w:val="auto"/>
          <w:highlight w:val="none"/>
          <w:lang w:eastAsia="zh-CN"/>
        </w:rPr>
        <w:t>以数字化、智能化驱动生产线，实现</w:t>
      </w:r>
      <w:r>
        <w:rPr>
          <w:rFonts w:ascii="仿宋" w:hAnsi="仿宋" w:eastAsia="仿宋"/>
          <w:strike/>
          <w:dstrike w:val="0"/>
          <w:color w:val="auto"/>
          <w:highlight w:val="none"/>
          <w:lang w:eastAsia="zh-CN"/>
        </w:rPr>
        <w:t xml:space="preserve"> BIM 解析自动化、平台化协同、生产工艺数字化、生产驱动自动化。建立质量追溯系统，质检数字化、管理在线化，实现预制构件全过程质量责任可追溯。</w:t>
      </w:r>
    </w:p>
    <w:p w14:paraId="26DB09D0">
      <w:pPr>
        <w:spacing w:line="360" w:lineRule="auto"/>
        <w:ind w:firstLine="424" w:firstLineChars="177"/>
        <w:rPr>
          <w:rFonts w:hint="eastAsia" w:ascii="仿宋" w:hAnsi="仿宋" w:eastAsia="仿宋"/>
          <w:strike/>
          <w:dstrike w:val="0"/>
          <w:color w:val="auto"/>
          <w:highlight w:val="none"/>
          <w:lang w:eastAsia="zh-CN"/>
        </w:rPr>
      </w:pPr>
      <w:r>
        <w:rPr>
          <w:rFonts w:hint="eastAsia" w:ascii="仿宋" w:hAnsi="仿宋" w:eastAsia="仿宋"/>
          <w:strike/>
          <w:dstrike w:val="0"/>
          <w:color w:val="auto"/>
          <w:highlight w:val="none"/>
          <w:lang w:eastAsia="zh-CN"/>
        </w:rPr>
        <w:t>（3）本项目</w:t>
      </w:r>
      <w:r>
        <w:rPr>
          <w:rFonts w:ascii="仿宋" w:hAnsi="仿宋" w:eastAsia="仿宋"/>
          <w:strike/>
          <w:dstrike w:val="0"/>
          <w:color w:val="auto"/>
          <w:highlight w:val="none"/>
          <w:lang w:eastAsia="zh-CN"/>
        </w:rPr>
        <w:t>统筹建立工程全过程质量数字化记录制度，实现部品部件进场信息的智能管理、模拟装配和产品质量溯源；应用数字化智慧工地管理平台，应用 BIM、互联网+、物联网、大数据、人工智能、5G 移动通讯、云计算及虚拟现实等信息技术打造智慧工地，对现场“人、机、料、法、环、测、能源”等各关键要素全面感知和实时互</w:t>
      </w:r>
      <w:r>
        <w:rPr>
          <w:rFonts w:hint="eastAsia" w:ascii="仿宋" w:hAnsi="仿宋" w:eastAsia="仿宋"/>
          <w:strike/>
          <w:dstrike w:val="0"/>
          <w:color w:val="auto"/>
          <w:highlight w:val="none"/>
          <w:lang w:eastAsia="zh-CN"/>
        </w:rPr>
        <w:t>联，实现全周期全要素数字化管控赋能项目管理；通过数据在线、平台可视、施工仿真、智能装备，全面监控施工工期、质量、安全和成本。加强智能设备、“机器代人”等应用场景建设，提升工程安全、质量管控能力。</w:t>
      </w:r>
    </w:p>
    <w:p w14:paraId="3C1448E7">
      <w:pPr>
        <w:spacing w:line="360" w:lineRule="auto"/>
        <w:ind w:firstLine="424" w:firstLineChars="177"/>
        <w:rPr>
          <w:rFonts w:hint="eastAsia" w:ascii="仿宋" w:hAnsi="仿宋" w:eastAsia="仿宋"/>
          <w:strike/>
          <w:dstrike w:val="0"/>
          <w:color w:val="auto"/>
          <w:highlight w:val="none"/>
          <w:lang w:eastAsia="zh-CN"/>
        </w:rPr>
      </w:pPr>
      <w:r>
        <w:rPr>
          <w:rFonts w:hint="eastAsia" w:ascii="仿宋" w:hAnsi="仿宋" w:eastAsia="仿宋"/>
          <w:strike/>
          <w:dstrike w:val="0"/>
          <w:color w:val="auto"/>
          <w:highlight w:val="none"/>
          <w:lang w:eastAsia="zh-CN"/>
        </w:rPr>
        <w:t>（4）本项目在设计、施工阶段充分考虑智慧运维需求，在不增加投资的前提下，部署基于BIM的资产管理、物业管理、运维管理、智慧社区管理。</w:t>
      </w:r>
    </w:p>
    <w:p w14:paraId="713DA5AC">
      <w:pPr>
        <w:spacing w:line="360" w:lineRule="auto"/>
        <w:ind w:firstLine="480" w:firstLineChars="200"/>
        <w:rPr>
          <w:rFonts w:hint="eastAsia" w:ascii="仿宋" w:hAnsi="仿宋" w:eastAsia="仿宋" w:cs="仿宋"/>
          <w:strike/>
          <w:dstrike w:val="0"/>
          <w:color w:val="auto"/>
          <w:highlight w:val="none"/>
          <w:lang w:eastAsia="zh-CN"/>
        </w:rPr>
      </w:pPr>
      <w:r>
        <w:rPr>
          <w:rFonts w:hint="eastAsia" w:ascii="仿宋" w:hAnsi="仿宋" w:eastAsia="仿宋" w:cs="仿宋"/>
          <w:strike/>
          <w:dstrike w:val="0"/>
          <w:color w:val="auto"/>
          <w:highlight w:val="none"/>
          <w:lang w:eastAsia="zh-CN"/>
        </w:rPr>
        <w:t>27.6建设项目全生命期数字化管理平台</w:t>
      </w:r>
    </w:p>
    <w:p w14:paraId="6509BCEE">
      <w:pPr>
        <w:spacing w:line="360" w:lineRule="auto"/>
        <w:ind w:firstLine="480" w:firstLineChars="200"/>
        <w:rPr>
          <w:rFonts w:hint="eastAsia" w:ascii="仿宋" w:hAnsi="仿宋" w:eastAsia="仿宋"/>
          <w:strike/>
          <w:dstrike w:val="0"/>
          <w:color w:val="auto"/>
          <w:highlight w:val="none"/>
          <w:lang w:eastAsia="zh-CN"/>
        </w:rPr>
      </w:pPr>
      <w:r>
        <w:rPr>
          <w:rFonts w:hint="eastAsia" w:ascii="仿宋" w:hAnsi="仿宋" w:eastAsia="仿宋"/>
          <w:strike/>
          <w:dstrike w:val="0"/>
          <w:color w:val="auto"/>
          <w:highlight w:val="none"/>
          <w:lang w:eastAsia="zh-CN"/>
        </w:rPr>
        <w:t>承包人搭建</w:t>
      </w:r>
      <w:r>
        <w:rPr>
          <w:rFonts w:ascii="仿宋" w:hAnsi="仿宋" w:eastAsia="仿宋"/>
          <w:strike/>
          <w:dstrike w:val="0"/>
          <w:color w:val="auto"/>
          <w:highlight w:val="none"/>
          <w:lang w:eastAsia="zh-CN"/>
        </w:rPr>
        <w:t>项目全生命期数字化管理平台</w:t>
      </w:r>
      <w:r>
        <w:rPr>
          <w:rFonts w:hint="eastAsia" w:ascii="仿宋" w:hAnsi="仿宋" w:eastAsia="仿宋"/>
          <w:strike/>
          <w:dstrike w:val="0"/>
          <w:color w:val="auto"/>
          <w:highlight w:val="none"/>
          <w:lang w:eastAsia="zh-CN"/>
        </w:rPr>
        <w:t>，促进数据自由流动，实现设计、生产、施工、运营的一站式管理，</w:t>
      </w:r>
      <w:r>
        <w:rPr>
          <w:rFonts w:ascii="仿宋" w:hAnsi="仿宋" w:eastAsia="仿宋"/>
          <w:strike/>
          <w:dstrike w:val="0"/>
          <w:color w:val="auto"/>
          <w:highlight w:val="none"/>
          <w:lang w:eastAsia="zh-CN"/>
        </w:rPr>
        <w:t>对项目建造全过程的关键数据收集、筛选、分析和应用</w:t>
      </w:r>
      <w:r>
        <w:rPr>
          <w:rFonts w:hint="eastAsia" w:ascii="仿宋" w:hAnsi="仿宋" w:eastAsia="仿宋"/>
          <w:strike/>
          <w:dstrike w:val="0"/>
          <w:color w:val="auto"/>
          <w:highlight w:val="none"/>
          <w:lang w:eastAsia="zh-CN"/>
        </w:rPr>
        <w:t>。同时统一数据标准，可以满足其他安置区项目接入管理平台的需求，工程竣工时同时交付实体建筑与“数字建筑”，对接广州市</w:t>
      </w:r>
      <w:r>
        <w:rPr>
          <w:rFonts w:ascii="仿宋" w:hAnsi="仿宋" w:eastAsia="仿宋"/>
          <w:strike/>
          <w:dstrike w:val="0"/>
          <w:color w:val="auto"/>
          <w:highlight w:val="none"/>
          <w:lang w:eastAsia="zh-CN"/>
        </w:rPr>
        <w:t>CIM平台，为数字城市提供底层数据。</w:t>
      </w:r>
    </w:p>
    <w:p w14:paraId="41A1E3A2">
      <w:pPr>
        <w:pStyle w:val="5"/>
        <w:tabs>
          <w:tab w:val="left" w:pos="420"/>
          <w:tab w:val="left" w:pos="576"/>
        </w:tabs>
        <w:rPr>
          <w:rFonts w:hint="eastAsia" w:ascii="仿宋" w:hAnsi="仿宋" w:eastAsia="仿宋"/>
          <w:color w:val="auto"/>
          <w:sz w:val="24"/>
          <w:szCs w:val="24"/>
          <w:highlight w:val="none"/>
          <w:lang w:eastAsia="zh-CN"/>
        </w:rPr>
      </w:pPr>
      <w:bookmarkStart w:id="864" w:name="_Toc9165"/>
      <w:bookmarkStart w:id="865" w:name="_Toc9184"/>
      <w:bookmarkStart w:id="866" w:name="_Toc71"/>
      <w:bookmarkStart w:id="867" w:name="_Toc12109"/>
      <w:bookmarkStart w:id="868" w:name="_Toc1481"/>
      <w:bookmarkStart w:id="869" w:name="_Toc2138"/>
      <w:bookmarkStart w:id="870" w:name="_Toc27221"/>
      <w:bookmarkStart w:id="871" w:name="_Toc6862"/>
      <w:bookmarkStart w:id="872" w:name="_Toc2318"/>
      <w:bookmarkStart w:id="873" w:name="_Toc29133"/>
      <w:bookmarkStart w:id="874" w:name="_Toc25446"/>
      <w:bookmarkStart w:id="875" w:name="_Toc22249"/>
      <w:bookmarkStart w:id="876" w:name="_Toc15554"/>
      <w:bookmarkStart w:id="877" w:name="_Toc29568"/>
      <w:r>
        <w:rPr>
          <w:rFonts w:hint="eastAsia" w:ascii="仿宋" w:hAnsi="仿宋" w:eastAsia="仿宋" w:cs="仿宋"/>
          <w:color w:val="auto"/>
          <w:sz w:val="24"/>
          <w:szCs w:val="24"/>
          <w:highlight w:val="none"/>
          <w:lang w:eastAsia="zh-CN"/>
        </w:rPr>
        <w:t>28</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进度计划和报告</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7AA68A46">
      <w:pPr>
        <w:ind w:firstLine="120" w:firstLineChars="50"/>
        <w:rPr>
          <w:rFonts w:hint="eastAsia" w:ascii="仿宋" w:hAnsi="仿宋" w:eastAsia="仿宋" w:cs="仿宋"/>
          <w:color w:val="auto"/>
          <w:highlight w:val="none"/>
          <w:lang w:eastAsia="zh-CN"/>
        </w:rPr>
      </w:pPr>
    </w:p>
    <w:p w14:paraId="6213AA1F">
      <w:pPr>
        <w:ind w:firstLine="240" w:firstLineChars="100"/>
        <w:rPr>
          <w:rFonts w:hint="eastAsia" w:ascii="仿宋" w:hAnsi="仿宋" w:eastAsia="仿宋" w:cs="仿宋"/>
          <w:color w:val="auto"/>
          <w:highlight w:val="none"/>
          <w:u w:val="single"/>
          <w:lang w:eastAsia="zh-CN"/>
        </w:rPr>
      </w:pPr>
      <w:bookmarkStart w:id="878" w:name="_Toc6432"/>
      <w:bookmarkStart w:id="879" w:name="_Toc29456"/>
      <w:bookmarkStart w:id="880" w:name="_Toc31565"/>
      <w:bookmarkStart w:id="881" w:name="_Toc17588"/>
      <w:bookmarkStart w:id="882" w:name="_Toc1827"/>
      <w:bookmarkStart w:id="883" w:name="_Toc23297"/>
      <w:bookmarkStart w:id="884" w:name="_Toc13272"/>
      <w:bookmarkStart w:id="885" w:name="_Toc11585"/>
      <w:r>
        <w:rPr>
          <w:rFonts w:hint="eastAsia" w:ascii="仿宋" w:hAnsi="仿宋" w:eastAsia="仿宋" w:cs="仿宋"/>
          <w:color w:val="auto"/>
          <w:highlight w:val="none"/>
          <w:lang w:eastAsia="zh-CN"/>
        </w:rPr>
        <w:t>28.1 承包人编制月施工进度报告和修订进度计划的约定：</w:t>
      </w:r>
      <w:bookmarkEnd w:id="878"/>
      <w:bookmarkEnd w:id="879"/>
      <w:bookmarkEnd w:id="880"/>
      <w:bookmarkEnd w:id="881"/>
      <w:bookmarkEnd w:id="882"/>
      <w:bookmarkEnd w:id="883"/>
      <w:bookmarkEnd w:id="884"/>
      <w:bookmarkEnd w:id="885"/>
      <w:r>
        <w:rPr>
          <w:rFonts w:hint="eastAsia" w:ascii="仿宋" w:hAnsi="仿宋" w:eastAsia="仿宋" w:cs="仿宋"/>
          <w:color w:val="auto"/>
          <w:highlight w:val="none"/>
          <w:u w:val="single"/>
          <w:lang w:eastAsia="zh-CN"/>
        </w:rPr>
        <w:t xml:space="preserve">           </w:t>
      </w:r>
    </w:p>
    <w:p w14:paraId="2772497F">
      <w:pPr>
        <w:pStyle w:val="5"/>
        <w:tabs>
          <w:tab w:val="left" w:pos="420"/>
          <w:tab w:val="left" w:pos="576"/>
        </w:tabs>
        <w:rPr>
          <w:rFonts w:hint="eastAsia" w:ascii="仿宋" w:hAnsi="仿宋" w:eastAsia="仿宋"/>
          <w:color w:val="auto"/>
          <w:sz w:val="24"/>
          <w:szCs w:val="24"/>
          <w:highlight w:val="none"/>
          <w:lang w:eastAsia="zh-CN"/>
        </w:rPr>
      </w:pPr>
      <w:bookmarkStart w:id="886" w:name="_Toc22516"/>
      <w:bookmarkStart w:id="887" w:name="_Toc15024"/>
      <w:bookmarkStart w:id="888" w:name="_Toc11165"/>
      <w:bookmarkStart w:id="889" w:name="_Toc16194"/>
      <w:bookmarkStart w:id="890" w:name="_Toc4694"/>
      <w:bookmarkStart w:id="891" w:name="_Toc7004"/>
      <w:bookmarkStart w:id="892" w:name="_Toc15852"/>
      <w:bookmarkStart w:id="893" w:name="_Toc25500"/>
      <w:bookmarkStart w:id="894" w:name="_Toc4620"/>
      <w:bookmarkStart w:id="895" w:name="_Toc8991"/>
      <w:bookmarkStart w:id="896" w:name="_Toc10624945"/>
      <w:bookmarkStart w:id="897" w:name="_Toc11685"/>
      <w:bookmarkStart w:id="898" w:name="_Toc26298"/>
      <w:bookmarkStart w:id="899" w:name="_Toc469384101"/>
      <w:bookmarkStart w:id="900" w:name="_Toc5988"/>
      <w:bookmarkStart w:id="901" w:name="_Toc11486"/>
      <w:bookmarkStart w:id="902" w:name="_Toc16511"/>
      <w:bookmarkStart w:id="903" w:name="_Toc8396"/>
      <w:bookmarkStart w:id="904" w:name="_Toc23095"/>
      <w:r>
        <w:rPr>
          <w:rFonts w:hint="eastAsia" w:ascii="仿宋" w:hAnsi="仿宋" w:eastAsia="仿宋" w:cs="仿宋"/>
          <w:color w:val="auto"/>
          <w:sz w:val="24"/>
          <w:szCs w:val="24"/>
          <w:highlight w:val="none"/>
          <w:lang w:eastAsia="zh-CN"/>
        </w:rPr>
        <w:t>29</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开工</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667A45A1">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p>
    <w:p w14:paraId="7BCE300A">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29</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监理工程师在本合同签订后的（</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）天内签发开工令。</w:t>
      </w:r>
    </w:p>
    <w:p w14:paraId="3015E7D2">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按通用条款规定的时间。</w:t>
      </w:r>
    </w:p>
    <w:p w14:paraId="536B2440">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eastAsia="zh-CN"/>
        </w:rPr>
        <w:t>自合同生效之日起计。</w:t>
      </w:r>
    </w:p>
    <w:p w14:paraId="505A9798">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u w:val="single"/>
          <w:lang w:eastAsia="zh-CN"/>
        </w:rPr>
        <w:t>施工开工时间以监理人向承包人发出开工令为准。</w:t>
      </w:r>
    </w:p>
    <w:p w14:paraId="3E769516">
      <w:pPr>
        <w:pStyle w:val="5"/>
        <w:tabs>
          <w:tab w:val="left" w:pos="420"/>
          <w:tab w:val="left" w:pos="576"/>
        </w:tabs>
        <w:rPr>
          <w:rFonts w:hint="eastAsia" w:ascii="仿宋" w:hAnsi="仿宋" w:eastAsia="仿宋"/>
          <w:color w:val="auto"/>
          <w:sz w:val="24"/>
          <w:szCs w:val="24"/>
          <w:highlight w:val="none"/>
          <w:lang w:eastAsia="zh-CN"/>
        </w:rPr>
      </w:pPr>
      <w:bookmarkStart w:id="905" w:name="_Toc10624946"/>
      <w:bookmarkStart w:id="906" w:name="_Toc2301"/>
      <w:bookmarkStart w:id="907" w:name="_Toc11067"/>
      <w:bookmarkStart w:id="908" w:name="_Toc3094"/>
      <w:bookmarkStart w:id="909" w:name="_Toc5131"/>
      <w:bookmarkStart w:id="910" w:name="_Toc1580"/>
      <w:bookmarkStart w:id="911" w:name="_Toc1136"/>
      <w:bookmarkStart w:id="912" w:name="_Toc24918"/>
      <w:bookmarkStart w:id="913" w:name="_Toc32282"/>
      <w:bookmarkStart w:id="914" w:name="_Toc4398"/>
      <w:bookmarkStart w:id="915" w:name="_Toc23898"/>
      <w:bookmarkStart w:id="916" w:name="_Toc469384102"/>
      <w:bookmarkStart w:id="917" w:name="_Toc4435"/>
      <w:bookmarkStart w:id="918" w:name="_Toc31883"/>
      <w:bookmarkStart w:id="919" w:name="_Toc1969"/>
      <w:bookmarkStart w:id="920" w:name="_Toc10108"/>
      <w:bookmarkStart w:id="921" w:name="_Toc10689"/>
      <w:bookmarkStart w:id="922" w:name="_Toc7186"/>
      <w:bookmarkStart w:id="923" w:name="_Toc11352"/>
      <w:r>
        <w:rPr>
          <w:rFonts w:hint="eastAsia" w:ascii="仿宋" w:hAnsi="仿宋" w:eastAsia="仿宋" w:cs="仿宋"/>
          <w:color w:val="auto"/>
          <w:sz w:val="24"/>
          <w:szCs w:val="24"/>
          <w:highlight w:val="none"/>
          <w:lang w:eastAsia="zh-CN"/>
        </w:rPr>
        <w:t>30</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暂停施工和复工</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664231ED">
      <w:pPr>
        <w:ind w:firstLine="120" w:firstLineChars="50"/>
        <w:rPr>
          <w:rFonts w:hint="eastAsia" w:ascii="仿宋" w:hAnsi="仿宋" w:eastAsia="仿宋"/>
          <w:color w:val="auto"/>
          <w:highlight w:val="none"/>
          <w:lang w:eastAsia="zh-CN"/>
        </w:rPr>
      </w:pPr>
    </w:p>
    <w:p w14:paraId="14822F23">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30</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承包人原因造成暂停施工的其他原因：</w:t>
      </w:r>
      <w:r>
        <w:rPr>
          <w:rFonts w:ascii="仿宋" w:hAnsi="仿宋" w:eastAsia="仿宋" w:cs="仿宋"/>
          <w:color w:val="auto"/>
          <w:highlight w:val="none"/>
          <w:u w:val="single"/>
          <w:lang w:eastAsia="zh-CN"/>
        </w:rPr>
        <w:t xml:space="preserve">                                                  </w:t>
      </w:r>
    </w:p>
    <w:p w14:paraId="6157039E">
      <w:pPr>
        <w:ind w:firstLine="120" w:firstLineChars="50"/>
        <w:rPr>
          <w:rFonts w:hint="eastAsia" w:ascii="仿宋" w:hAnsi="仿宋" w:eastAsia="仿宋"/>
          <w:color w:val="auto"/>
          <w:highlight w:val="none"/>
          <w:lang w:eastAsia="zh-CN"/>
        </w:rPr>
      </w:pPr>
    </w:p>
    <w:p w14:paraId="62329D30">
      <w:pPr>
        <w:pStyle w:val="5"/>
        <w:tabs>
          <w:tab w:val="left" w:pos="420"/>
          <w:tab w:val="left" w:pos="576"/>
        </w:tabs>
        <w:rPr>
          <w:rFonts w:hint="eastAsia" w:ascii="仿宋" w:hAnsi="仿宋" w:eastAsia="仿宋"/>
          <w:color w:val="auto"/>
          <w:sz w:val="24"/>
          <w:szCs w:val="24"/>
          <w:highlight w:val="none"/>
          <w:lang w:eastAsia="zh-CN"/>
        </w:rPr>
      </w:pPr>
      <w:bookmarkStart w:id="924" w:name="_Toc7056"/>
      <w:bookmarkStart w:id="925" w:name="_Toc28804"/>
      <w:bookmarkStart w:id="926" w:name="_Toc1260"/>
      <w:bookmarkStart w:id="927" w:name="_Toc30185"/>
      <w:bookmarkStart w:id="928" w:name="_Toc7642"/>
      <w:bookmarkStart w:id="929" w:name="_Toc7607"/>
      <w:bookmarkStart w:id="930" w:name="_Toc10885"/>
      <w:bookmarkStart w:id="931" w:name="_Toc11709"/>
      <w:bookmarkStart w:id="932" w:name="_Toc20016"/>
      <w:bookmarkStart w:id="933" w:name="_Toc19741"/>
      <w:bookmarkStart w:id="934" w:name="_Toc469384103"/>
      <w:bookmarkStart w:id="935" w:name="_Toc28896"/>
      <w:bookmarkStart w:id="936" w:name="_Toc31068"/>
      <w:bookmarkStart w:id="937" w:name="_Toc1410"/>
      <w:bookmarkStart w:id="938" w:name="_Toc14711"/>
      <w:bookmarkStart w:id="939" w:name="_Toc26702"/>
      <w:bookmarkStart w:id="940" w:name="_Toc10624947"/>
      <w:bookmarkStart w:id="941" w:name="_Toc25258"/>
      <w:bookmarkStart w:id="942" w:name="_Toc22579"/>
      <w:r>
        <w:rPr>
          <w:rFonts w:hint="eastAsia" w:ascii="仿宋" w:hAnsi="仿宋" w:eastAsia="仿宋" w:cs="仿宋"/>
          <w:color w:val="auto"/>
          <w:sz w:val="24"/>
          <w:szCs w:val="24"/>
          <w:highlight w:val="none"/>
          <w:lang w:eastAsia="zh-CN"/>
        </w:rPr>
        <w:t>31</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工期及工期延误</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4AC51DA4">
      <w:pPr>
        <w:ind w:firstLine="120" w:firstLineChars="50"/>
        <w:rPr>
          <w:rFonts w:hint="eastAsia" w:ascii="仿宋" w:hAnsi="仿宋" w:eastAsia="仿宋"/>
          <w:color w:val="auto"/>
          <w:highlight w:val="none"/>
          <w:lang w:eastAsia="zh-CN"/>
        </w:rPr>
      </w:pPr>
    </w:p>
    <w:p w14:paraId="070F094E">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31</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合同工程的工期约定为（</w:t>
      </w:r>
      <w:r>
        <w:rPr>
          <w:rFonts w:hint="eastAsia" w:ascii="仿宋" w:hAnsi="仿宋" w:eastAsia="仿宋" w:cs="仿宋"/>
          <w:color w:val="auto"/>
          <w:highlight w:val="none"/>
          <w:u w:val="single"/>
          <w:lang w:val="en-US" w:eastAsia="zh-CN"/>
          <w:woUserID w:val="1"/>
        </w:rPr>
        <w:t>120</w:t>
      </w:r>
      <w:r>
        <w:rPr>
          <w:rFonts w:hint="eastAsia" w:ascii="仿宋" w:hAnsi="仿宋" w:eastAsia="仿宋" w:cs="仿宋"/>
          <w:color w:val="auto"/>
          <w:highlight w:val="none"/>
          <w:lang w:eastAsia="zh-CN"/>
        </w:rPr>
        <w:t>）天。</w:t>
      </w:r>
    </w:p>
    <w:p w14:paraId="66E497F3">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（工程名称）单位工程的工期约定为</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天。</w:t>
      </w:r>
    </w:p>
    <w:p w14:paraId="6AA64255">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（工程名称）单位工程的工期约定为</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天。</w:t>
      </w:r>
    </w:p>
    <w:p w14:paraId="074B96CA">
      <w:pPr>
        <w:ind w:firstLine="120" w:firstLineChars="5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p>
    <w:p w14:paraId="79E48A09">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p>
    <w:p w14:paraId="4F90867C">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31</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赶工措施费</w:t>
      </w:r>
    </w:p>
    <w:p w14:paraId="76842FC4">
      <w:pPr>
        <w:spacing w:line="360" w:lineRule="auto"/>
        <w:ind w:left="410" w:leftChars="1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□发包人要求的合同工程工期小于定额工期的</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时，根据广东省建设工程计价依据规定的赶工措施费率为</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计算；</w:t>
      </w:r>
    </w:p>
    <w:p w14:paraId="4829618C">
      <w:pPr>
        <w:spacing w:line="360" w:lineRule="auto"/>
        <w:ind w:left="410" w:leftChars="1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□发包人要求的合同工程工期小于定额工期的</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时，根据广州市住房和城乡建设局发布的赶工措施费规定的赶工措施费率为</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计算；</w:t>
      </w:r>
    </w:p>
    <w:p w14:paraId="76900EB3">
      <w:pPr>
        <w:spacing w:line="360" w:lineRule="auto"/>
        <w:ind w:left="410" w:leftChars="17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□发包人要求的合同工程工期小于定额工期的</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时，根据广州市建设工程造价管理站发布的赶工措施费规定的赶工措施费率为</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计算；</w:t>
      </w:r>
    </w:p>
    <w:p w14:paraId="0F90D6E0">
      <w:pPr>
        <w:spacing w:line="360" w:lineRule="auto"/>
        <w:ind w:left="377" w:leftChars="57" w:hanging="240" w:hangingChars="10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□发包人要求的合同工程工期小于定额工期的</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时，发包人、承包人约定赶工措施费率按</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计算；</w:t>
      </w:r>
      <w:r>
        <w:rPr>
          <w:rFonts w:ascii="仿宋" w:hAnsi="仿宋" w:eastAsia="仿宋" w:cs="仿宋"/>
          <w:color w:val="auto"/>
          <w:highlight w:val="none"/>
          <w:lang w:eastAsia="zh-CN"/>
        </w:rPr>
        <w:t xml:space="preserve"> </w:t>
      </w:r>
    </w:p>
    <w:p w14:paraId="42900DF1">
      <w:pPr>
        <w:pStyle w:val="5"/>
        <w:tabs>
          <w:tab w:val="left" w:pos="420"/>
          <w:tab w:val="left" w:pos="576"/>
        </w:tabs>
        <w:rPr>
          <w:rFonts w:hint="eastAsia" w:ascii="仿宋" w:hAnsi="仿宋" w:eastAsia="仿宋"/>
          <w:color w:val="auto"/>
          <w:sz w:val="24"/>
          <w:szCs w:val="24"/>
          <w:highlight w:val="none"/>
          <w:lang w:eastAsia="zh-CN"/>
        </w:rPr>
      </w:pPr>
      <w:bookmarkStart w:id="943" w:name="_Toc32692"/>
      <w:bookmarkStart w:id="944" w:name="_Toc21449"/>
      <w:bookmarkStart w:id="945" w:name="_Toc14852"/>
      <w:bookmarkStart w:id="946" w:name="_Toc30005"/>
      <w:bookmarkStart w:id="947" w:name="_Toc10624948"/>
      <w:bookmarkStart w:id="948" w:name="_Toc10725"/>
      <w:bookmarkStart w:id="949" w:name="_Toc2935"/>
      <w:bookmarkStart w:id="950" w:name="_Toc469384104"/>
      <w:bookmarkStart w:id="951" w:name="_Toc12279"/>
      <w:bookmarkStart w:id="952" w:name="_Toc19331"/>
      <w:bookmarkStart w:id="953" w:name="_Toc17908"/>
      <w:bookmarkStart w:id="954" w:name="_Toc9220"/>
      <w:bookmarkStart w:id="955" w:name="_Toc17209"/>
      <w:bookmarkStart w:id="956" w:name="_Toc20449"/>
      <w:bookmarkStart w:id="957" w:name="_Toc7786"/>
      <w:bookmarkStart w:id="958" w:name="_Toc27365"/>
      <w:bookmarkStart w:id="959" w:name="_Toc14344"/>
      <w:bookmarkStart w:id="960" w:name="_Toc21644"/>
      <w:bookmarkStart w:id="961" w:name="_Toc17859"/>
      <w:r>
        <w:rPr>
          <w:rFonts w:hint="eastAsia" w:ascii="仿宋" w:hAnsi="仿宋" w:eastAsia="仿宋" w:cs="仿宋"/>
          <w:color w:val="auto"/>
          <w:sz w:val="24"/>
          <w:szCs w:val="24"/>
          <w:highlight w:val="none"/>
          <w:lang w:eastAsia="zh-CN"/>
        </w:rPr>
        <w:t>32</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竣工日期</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2B73A3BA">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p>
    <w:p w14:paraId="0E5CF3DC">
      <w:pPr>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25</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计划竣工日期：</w:t>
      </w:r>
      <w:r>
        <w:rPr>
          <w:rFonts w:ascii="仿宋" w:hAnsi="仿宋" w:eastAsia="仿宋" w:cs="仿宋"/>
          <w:color w:val="auto"/>
          <w:highlight w:val="none"/>
          <w:u w:val="single"/>
          <w:lang w:eastAsia="zh-CN"/>
        </w:rPr>
        <w:t xml:space="preserve">                            </w:t>
      </w:r>
    </w:p>
    <w:p w14:paraId="1F03F7DF">
      <w:pPr>
        <w:pStyle w:val="5"/>
        <w:tabs>
          <w:tab w:val="left" w:pos="420"/>
          <w:tab w:val="left" w:pos="576"/>
        </w:tabs>
        <w:rPr>
          <w:rFonts w:hint="eastAsia" w:ascii="仿宋" w:hAnsi="仿宋" w:eastAsia="仿宋"/>
          <w:color w:val="auto"/>
          <w:sz w:val="24"/>
          <w:szCs w:val="24"/>
          <w:highlight w:val="none"/>
          <w:lang w:eastAsia="zh-CN"/>
        </w:rPr>
      </w:pPr>
      <w:bookmarkStart w:id="962" w:name="_Toc17133"/>
      <w:bookmarkStart w:id="963" w:name="_Toc10624949"/>
      <w:bookmarkStart w:id="964" w:name="_Toc31344"/>
      <w:bookmarkStart w:id="965" w:name="_Toc10553"/>
      <w:bookmarkStart w:id="966" w:name="_Toc7951"/>
      <w:bookmarkStart w:id="967" w:name="_Toc26962"/>
      <w:bookmarkStart w:id="968" w:name="_Toc27005"/>
      <w:bookmarkStart w:id="969" w:name="_Toc26239"/>
      <w:bookmarkStart w:id="970" w:name="_Toc17967"/>
      <w:bookmarkStart w:id="971" w:name="_Toc14368"/>
      <w:bookmarkStart w:id="972" w:name="_Toc3390"/>
      <w:bookmarkStart w:id="973" w:name="_Toc3931"/>
      <w:bookmarkStart w:id="974" w:name="_Toc28332"/>
      <w:bookmarkStart w:id="975" w:name="_Toc469384105"/>
      <w:bookmarkStart w:id="976" w:name="_Toc25692"/>
      <w:bookmarkStart w:id="977" w:name="_Toc21205"/>
      <w:bookmarkStart w:id="978" w:name="_Toc12816"/>
      <w:bookmarkStart w:id="979" w:name="_Toc7213"/>
      <w:bookmarkStart w:id="980" w:name="_Toc25213"/>
      <w:r>
        <w:rPr>
          <w:rFonts w:hint="eastAsia" w:ascii="仿宋" w:hAnsi="仿宋" w:eastAsia="仿宋" w:cs="仿宋"/>
          <w:color w:val="auto"/>
          <w:sz w:val="24"/>
          <w:szCs w:val="24"/>
          <w:highlight w:val="none"/>
          <w:lang w:eastAsia="zh-CN"/>
        </w:rPr>
        <w:t>★33</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质量标准、目标</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7648DB48">
      <w:pPr>
        <w:ind w:firstLine="120" w:firstLineChars="50"/>
        <w:rPr>
          <w:rFonts w:hint="eastAsia" w:ascii="仿宋" w:hAnsi="仿宋" w:eastAsia="仿宋"/>
          <w:color w:val="auto"/>
          <w:highlight w:val="none"/>
          <w:lang w:eastAsia="zh-CN"/>
        </w:rPr>
      </w:pPr>
    </w:p>
    <w:p w14:paraId="64115EFA">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b/>
          <w:bCs/>
          <w:color w:val="auto"/>
          <w:highlight w:val="none"/>
          <w:lang w:eastAsia="zh-CN"/>
        </w:rPr>
        <w:t>★</w:t>
      </w:r>
      <w:r>
        <w:rPr>
          <w:rFonts w:hint="eastAsia" w:ascii="仿宋" w:hAnsi="仿宋" w:eastAsia="仿宋" w:cs="仿宋"/>
          <w:color w:val="auto"/>
          <w:highlight w:val="none"/>
          <w:lang w:eastAsia="zh-CN"/>
        </w:rPr>
        <w:t>33</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约定的工程质量标准</w:t>
      </w:r>
    </w:p>
    <w:p w14:paraId="0975868C">
      <w:pPr>
        <w:spacing w:line="360" w:lineRule="auto"/>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合同工程质量标准：</w:t>
      </w:r>
      <w:r>
        <w:rPr>
          <w:rFonts w:ascii="仿宋" w:hAnsi="仿宋" w:eastAsia="仿宋" w:cs="仿宋"/>
          <w:color w:val="auto"/>
          <w:highlight w:val="none"/>
          <w:u w:val="single"/>
          <w:lang w:eastAsia="zh-CN"/>
        </w:rPr>
        <w:t xml:space="preserve">                       </w:t>
      </w:r>
    </w:p>
    <w:p w14:paraId="7CB767A5">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创优目标：</w:t>
      </w:r>
    </w:p>
    <w:p w14:paraId="23102D63">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市级工程优质奖；</w:t>
      </w:r>
    </w:p>
    <w:p w14:paraId="3EA9FFF6">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省级工程优质奖；</w:t>
      </w:r>
    </w:p>
    <w:p w14:paraId="1ACD67C5">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国家级工程优质奖；</w:t>
      </w:r>
    </w:p>
    <w:p w14:paraId="5512BD84">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其它：以协议书为准</w:t>
      </w:r>
    </w:p>
    <w:p w14:paraId="4AFD5FB2">
      <w:pPr>
        <w:pStyle w:val="77"/>
        <w:ind w:left="480" w:firstLine="480"/>
        <w:rPr>
          <w:color w:val="auto"/>
          <w:highlight w:val="none"/>
          <w:lang w:eastAsia="zh-CN"/>
        </w:rPr>
      </w:pPr>
    </w:p>
    <w:p w14:paraId="754D1B55">
      <w:pPr>
        <w:ind w:firstLine="480" w:firstLineChars="200"/>
        <w:rPr>
          <w:rFonts w:hint="eastAsia" w:ascii="仿宋" w:hAnsi="仿宋" w:eastAsia="仿宋"/>
          <w:color w:val="auto"/>
          <w:highlight w:val="none"/>
          <w:lang w:eastAsia="zh-CN"/>
        </w:rPr>
      </w:pPr>
    </w:p>
    <w:p w14:paraId="2A1E8CC2">
      <w:pPr>
        <w:ind w:firstLine="240" w:firstLineChars="1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）特殊质量标准和要求：</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p>
    <w:p w14:paraId="710AB222">
      <w:pPr>
        <w:ind w:firstLine="360" w:firstLineChars="150"/>
        <w:rPr>
          <w:rFonts w:hint="eastAsia" w:ascii="仿宋" w:hAnsi="仿宋" w:eastAsia="仿宋"/>
          <w:color w:val="auto"/>
          <w:highlight w:val="none"/>
          <w:u w:val="single"/>
          <w:lang w:eastAsia="zh-CN"/>
        </w:rPr>
      </w:pPr>
    </w:p>
    <w:p w14:paraId="4260C361">
      <w:pPr>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工程质量验收标准：</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p>
    <w:p w14:paraId="153431FD">
      <w:pPr>
        <w:rPr>
          <w:rFonts w:hint="eastAsia" w:ascii="仿宋" w:hAnsi="仿宋" w:eastAsia="仿宋"/>
          <w:color w:val="auto"/>
          <w:highlight w:val="none"/>
          <w:u w:val="single"/>
          <w:lang w:eastAsia="zh-CN"/>
        </w:rPr>
      </w:pPr>
    </w:p>
    <w:p w14:paraId="0E6E70E8">
      <w:pPr>
        <w:spacing w:line="360" w:lineRule="auto"/>
        <w:ind w:firstLine="120" w:firstLineChars="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33</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质量保证体系</w:t>
      </w:r>
    </w:p>
    <w:p w14:paraId="3DEE3E63">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承包人应当完善质量管理制度，建立质量控制流程，建立并保持一个有效的工程质量管理体系。</w:t>
      </w:r>
    </w:p>
    <w:p w14:paraId="77DC2817">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建立完整的质量体系，委派专人负责工程质量管理，现场管理机构、工区（段）设有专职质检人员，班组设质检员，同时附有项目架构人员名单，各类人员必须持有上岗资格证。承包人还应建立并完善各项目质量管理检查制度及企业质量管理文件等。同时，承包人应积极配合工程质量第三方检测工作，并积极采用新材料、新工艺、新技术。</w:t>
      </w:r>
    </w:p>
    <w:p w14:paraId="53FAE92C">
      <w:pPr>
        <w:spacing w:line="360" w:lineRule="auto"/>
        <w:ind w:firstLine="424" w:firstLineChars="177"/>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）承包人提交总监理工程师批准的施工组织设计或者施工方案必须附有完备的工程质量保证措施，包括：</w:t>
      </w:r>
      <w:r>
        <w:rPr>
          <w:rFonts w:ascii="仿宋" w:hAnsi="仿宋" w:eastAsia="仿宋" w:cs="仿宋"/>
          <w:color w:val="auto"/>
          <w:highlight w:val="none"/>
          <w:u w:val="single"/>
          <w:lang w:eastAsia="zh-CN"/>
        </w:rPr>
        <w:t xml:space="preserve">                                                 </w:t>
      </w:r>
    </w:p>
    <w:p w14:paraId="5BD02FB3">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）单项工程开工前，承包人必须按要求对职工分级进行技术交底，组织学习有关规程、标准、规范和工艺要求，在施工中必须按规程及工艺进行操作。</w:t>
      </w:r>
    </w:p>
    <w:p w14:paraId="5CC2C363">
      <w:pPr>
        <w:spacing w:line="360" w:lineRule="auto"/>
        <w:ind w:firstLine="424" w:firstLineChars="177"/>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单项工程和重要部位必须遵循先试验后铺开施工的程序，开工前承包人应熟悉施工图纸和图纸会审、设计变更内容，并完成施工组织设计和必要的施工准备，送总监理工程师审查批准后方可进行实验性施工，完工后由总监理工程师检验，符合要求后才能铺开施工或者批量生产。</w:t>
      </w:r>
    </w:p>
    <w:p w14:paraId="36CE933E">
      <w:pPr>
        <w:pStyle w:val="5"/>
        <w:tabs>
          <w:tab w:val="left" w:pos="420"/>
          <w:tab w:val="left" w:pos="576"/>
        </w:tabs>
        <w:rPr>
          <w:rFonts w:hint="eastAsia" w:ascii="仿宋" w:hAnsi="仿宋" w:eastAsia="仿宋"/>
          <w:color w:val="auto"/>
          <w:sz w:val="24"/>
          <w:szCs w:val="24"/>
          <w:highlight w:val="none"/>
          <w:lang w:eastAsia="zh-CN"/>
        </w:rPr>
      </w:pPr>
      <w:bookmarkStart w:id="981" w:name="_Toc469384106"/>
      <w:bookmarkStart w:id="982" w:name="_Toc8687"/>
      <w:bookmarkStart w:id="983" w:name="_Toc11446"/>
      <w:bookmarkStart w:id="984" w:name="_Toc20896"/>
      <w:bookmarkStart w:id="985" w:name="_Toc100"/>
      <w:bookmarkStart w:id="986" w:name="_Toc12511"/>
      <w:bookmarkStart w:id="987" w:name="_Toc15939"/>
      <w:bookmarkStart w:id="988" w:name="_Toc20744"/>
      <w:bookmarkStart w:id="989" w:name="_Toc29186"/>
      <w:bookmarkStart w:id="990" w:name="_Toc10521"/>
      <w:bookmarkStart w:id="991" w:name="_Toc12661"/>
      <w:bookmarkStart w:id="992" w:name="_Toc14138"/>
      <w:bookmarkStart w:id="993" w:name="_Toc18157"/>
      <w:bookmarkStart w:id="994" w:name="_Toc2314"/>
      <w:bookmarkStart w:id="995" w:name="_Toc19609"/>
      <w:bookmarkStart w:id="996" w:name="_Toc21038"/>
      <w:bookmarkStart w:id="997" w:name="_Toc27992"/>
      <w:bookmarkStart w:id="998" w:name="_Toc10624950"/>
      <w:bookmarkStart w:id="999" w:name="_Toc8528"/>
      <w:r>
        <w:rPr>
          <w:rFonts w:hint="eastAsia" w:ascii="仿宋" w:hAnsi="仿宋" w:eastAsia="仿宋" w:cs="仿宋"/>
          <w:color w:val="auto"/>
          <w:sz w:val="24"/>
          <w:szCs w:val="24"/>
          <w:highlight w:val="none"/>
          <w:lang w:eastAsia="zh-CN"/>
        </w:rPr>
        <w:t>★34</w:t>
      </w:r>
      <w:r>
        <w:rPr>
          <w:rFonts w:ascii="仿宋" w:hAnsi="仿宋" w:eastAsia="仿宋" w:cs="仿宋"/>
          <w:color w:val="auto"/>
          <w:sz w:val="24"/>
          <w:szCs w:val="24"/>
          <w:highlight w:val="none"/>
          <w:lang w:eastAsia="zh-CN"/>
        </w:rPr>
        <w:t xml:space="preserve">. </w:t>
      </w:r>
      <w:bookmarkEnd w:id="981"/>
      <w:r>
        <w:rPr>
          <w:rFonts w:hint="eastAsia" w:ascii="仿宋" w:hAnsi="仿宋" w:eastAsia="仿宋" w:cs="仿宋"/>
          <w:color w:val="auto"/>
          <w:sz w:val="24"/>
          <w:szCs w:val="24"/>
          <w:highlight w:val="none"/>
          <w:lang w:eastAsia="zh-CN"/>
        </w:rPr>
        <w:t>绿色施工安全防护</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2DF3890B">
      <w:pPr>
        <w:ind w:firstLine="120" w:firstLineChars="50"/>
        <w:rPr>
          <w:rFonts w:hint="eastAsia" w:ascii="仿宋" w:hAnsi="仿宋" w:eastAsia="仿宋"/>
          <w:color w:val="auto"/>
          <w:highlight w:val="none"/>
          <w:lang w:eastAsia="zh-CN"/>
        </w:rPr>
      </w:pPr>
    </w:p>
    <w:p w14:paraId="72DD2477">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34</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绿色施工安全防护的要求：</w:t>
      </w:r>
    </w:p>
    <w:p w14:paraId="28CCCF49">
      <w:pPr>
        <w:spacing w:line="360" w:lineRule="auto"/>
        <w:ind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w:t>
      </w:r>
    </w:p>
    <w:p w14:paraId="5438E648">
      <w:pPr>
        <w:spacing w:line="360" w:lineRule="auto"/>
        <w:ind w:firstLine="480" w:firstLineChars="20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除按通用条款约定外，还应满足以下要求：</w:t>
      </w:r>
    </w:p>
    <w:p w14:paraId="65B33DD9">
      <w:pPr>
        <w:ind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34</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用工实名制、工人工资支付分账管理</w:t>
      </w:r>
    </w:p>
    <w:p w14:paraId="28589E9A">
      <w:pPr>
        <w:ind w:firstLine="360" w:firstLineChars="1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按通用条款的规定以及以下文件规定：</w:t>
      </w:r>
    </w:p>
    <w:p w14:paraId="44FFA177">
      <w:pPr>
        <w:keepNext w:val="0"/>
        <w:keepLines w:val="0"/>
        <w:pageBreakBefore w:val="0"/>
        <w:widowControl/>
        <w:kinsoku/>
        <w:wordWrap/>
        <w:overflowPunct/>
        <w:topLinePunct w:val="0"/>
        <w:autoSpaceDE/>
        <w:autoSpaceDN/>
        <w:bidi w:val="0"/>
        <w:adjustRightInd/>
        <w:snapToGrid/>
        <w:spacing w:line="360" w:lineRule="auto"/>
        <w:ind w:left="1742" w:leftChars="626" w:hanging="240" w:hangingChars="100"/>
        <w:textAlignment w:val="auto"/>
        <w:rPr>
          <w:rFonts w:hint="eastAsia" w:ascii="仿宋" w:hAnsi="仿宋" w:eastAsia="仿宋"/>
          <w:color w:val="auto"/>
          <w:highlight w:val="none"/>
          <w:lang w:eastAsia="zh-CN"/>
        </w:rPr>
      </w:pP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、《广东省住房和城乡建设厅关于印发房屋建筑和市政基础设施工程用工实名管理暂行办法的通知》（粤建规范〔</w:t>
      </w:r>
      <w:r>
        <w:rPr>
          <w:rFonts w:ascii="仿宋" w:hAnsi="仿宋" w:eastAsia="仿宋" w:cs="仿宋"/>
          <w:color w:val="auto"/>
          <w:highlight w:val="none"/>
          <w:lang w:eastAsia="zh-CN"/>
        </w:rPr>
        <w:t>2018</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号）</w:t>
      </w:r>
    </w:p>
    <w:p w14:paraId="1DE22015">
      <w:pPr>
        <w:spacing w:line="360" w:lineRule="auto"/>
        <w:ind w:left="1745" w:leftChars="627" w:hanging="240" w:hangingChars="100"/>
        <w:rPr>
          <w:rFonts w:hint="eastAsia" w:ascii="仿宋" w:hAnsi="仿宋" w:eastAsia="仿宋"/>
          <w:color w:val="auto"/>
          <w:highlight w:val="none"/>
          <w:lang w:eastAsia="zh-CN"/>
        </w:rPr>
      </w:pPr>
      <w:r>
        <w:rPr>
          <w:rFonts w:ascii="仿宋" w:hAnsi="仿宋" w:eastAsia="仿宋" w:cs="仿宋"/>
          <w:color w:val="auto"/>
          <w:highlight w:val="none"/>
          <w:lang w:eastAsia="zh-CN"/>
        </w:rPr>
        <w:t>&lt;</w:t>
      </w:r>
      <w:r>
        <w:rPr>
          <w:rFonts w:hint="eastAsia" w:ascii="仿宋" w:hAnsi="仿宋" w:eastAsia="仿宋" w:cs="仿宋"/>
          <w:color w:val="auto"/>
          <w:highlight w:val="none"/>
          <w:lang w:eastAsia="zh-CN"/>
        </w:rPr>
        <w:t>广州市住房和城乡建设委员会关于转发《广东省住房和城乡建设厅关于房屋建筑和市政基础设施工程用工实名管理暂行办法》的通知</w:t>
      </w:r>
      <w:r>
        <w:rPr>
          <w:rFonts w:ascii="仿宋" w:hAnsi="仿宋" w:eastAsia="仿宋" w:cs="仿宋"/>
          <w:color w:val="auto"/>
          <w:highlight w:val="none"/>
          <w:lang w:eastAsia="zh-CN"/>
        </w:rPr>
        <w:t>&gt;</w:t>
      </w:r>
      <w:r>
        <w:rPr>
          <w:rFonts w:hint="eastAsia" w:ascii="仿宋" w:hAnsi="仿宋" w:eastAsia="仿宋" w:cs="仿宋"/>
          <w:color w:val="auto"/>
          <w:highlight w:val="none"/>
          <w:lang w:eastAsia="zh-CN"/>
        </w:rPr>
        <w:t>（穗建筑〔</w:t>
      </w:r>
      <w:r>
        <w:rPr>
          <w:rFonts w:ascii="仿宋" w:hAnsi="仿宋" w:eastAsia="仿宋" w:cs="仿宋"/>
          <w:color w:val="auto"/>
          <w:highlight w:val="none"/>
          <w:lang w:eastAsia="zh-CN"/>
        </w:rPr>
        <w:t>2018</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981</w:t>
      </w:r>
      <w:r>
        <w:rPr>
          <w:rFonts w:hint="eastAsia" w:ascii="仿宋" w:hAnsi="仿宋" w:eastAsia="仿宋" w:cs="仿宋"/>
          <w:color w:val="auto"/>
          <w:highlight w:val="none"/>
          <w:lang w:eastAsia="zh-CN"/>
        </w:rPr>
        <w:t>号）</w:t>
      </w:r>
    </w:p>
    <w:p w14:paraId="06F594E8">
      <w:pPr>
        <w:pStyle w:val="71"/>
        <w:spacing w:before="0" w:beforeAutospacing="0" w:after="0" w:afterAutospacing="0" w:line="360" w:lineRule="auto"/>
        <w:ind w:left="1745" w:leftChars="627" w:hanging="240" w:hangingChars="100"/>
        <w:rPr>
          <w:rFonts w:hint="eastAsia" w:cs="Times New Roman"/>
          <w:color w:val="auto"/>
          <w:highlight w:val="none"/>
          <w:lang w:eastAsia="zh-CN"/>
        </w:rPr>
      </w:pPr>
      <w:r>
        <w:rPr>
          <w:rFonts w:ascii="仿宋" w:hAnsi="仿宋" w:eastAsia="仿宋" w:cs="仿宋"/>
          <w:color w:val="auto"/>
          <w:highlight w:val="none"/>
          <w:lang w:eastAsia="zh-CN"/>
        </w:rPr>
        <w:t>&lt;</w:t>
      </w:r>
      <w:r>
        <w:rPr>
          <w:rFonts w:hint="eastAsia" w:ascii="仿宋" w:hAnsi="仿宋" w:eastAsia="仿宋" w:cs="仿宋"/>
          <w:color w:val="auto"/>
          <w:highlight w:val="none"/>
          <w:lang w:eastAsia="zh-CN"/>
        </w:rPr>
        <w:t>广州市住房和城乡建设委员会关于实施</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广州市建设领域工人工资支付分账管理实施细则</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的通知</w:t>
      </w:r>
      <w:r>
        <w:rPr>
          <w:rFonts w:ascii="仿宋" w:hAnsi="仿宋" w:eastAsia="仿宋" w:cs="仿宋"/>
          <w:color w:val="auto"/>
          <w:highlight w:val="none"/>
          <w:lang w:eastAsia="zh-CN"/>
        </w:rPr>
        <w:t>&gt;</w:t>
      </w:r>
      <w:r>
        <w:rPr>
          <w:rFonts w:hint="eastAsia" w:ascii="仿宋" w:hAnsi="仿宋" w:eastAsia="仿宋" w:cs="仿宋"/>
          <w:color w:val="auto"/>
          <w:highlight w:val="none"/>
          <w:lang w:eastAsia="zh-CN"/>
        </w:rPr>
        <w:t>（穗建筑〔</w:t>
      </w:r>
      <w:r>
        <w:rPr>
          <w:rFonts w:ascii="仿宋" w:hAnsi="仿宋" w:eastAsia="仿宋" w:cs="仿宋"/>
          <w:color w:val="auto"/>
          <w:highlight w:val="none"/>
          <w:lang w:eastAsia="zh-CN"/>
        </w:rPr>
        <w:t xml:space="preserve"> 2017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1344 </w:t>
      </w:r>
      <w:r>
        <w:rPr>
          <w:rFonts w:hint="eastAsia" w:ascii="仿宋" w:hAnsi="仿宋" w:eastAsia="仿宋" w:cs="仿宋"/>
          <w:color w:val="auto"/>
          <w:highlight w:val="none"/>
          <w:lang w:eastAsia="zh-CN"/>
        </w:rPr>
        <w:t>号</w:t>
      </w:r>
      <w:r>
        <w:rPr>
          <w:rFonts w:ascii="仿宋_GB2312" w:eastAsia="仿宋_GB2312" w:cs="仿宋_GB2312"/>
          <w:color w:val="auto"/>
          <w:sz w:val="32"/>
          <w:szCs w:val="32"/>
          <w:highlight w:val="none"/>
          <w:lang w:eastAsia="zh-CN"/>
        </w:rPr>
        <w:t xml:space="preserve"> </w:t>
      </w:r>
      <w:r>
        <w:rPr>
          <w:rFonts w:hint="eastAsia" w:ascii="仿宋" w:hAnsi="仿宋" w:eastAsia="仿宋" w:cs="仿宋"/>
          <w:color w:val="auto"/>
          <w:highlight w:val="none"/>
          <w:lang w:eastAsia="zh-CN"/>
        </w:rPr>
        <w:t>）</w:t>
      </w:r>
    </w:p>
    <w:p w14:paraId="165E4281">
      <w:pPr>
        <w:spacing w:line="360" w:lineRule="auto"/>
        <w:ind w:left="1483" w:leftChars="68" w:hanging="1320" w:hangingChars="5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xml:space="preserve">    《关于印发广州市建设领域工人工资支付分账管理实施细则的通知》（穗建规字〔</w:t>
      </w:r>
      <w:r>
        <w:rPr>
          <w:rFonts w:ascii="仿宋" w:hAnsi="仿宋" w:eastAsia="仿宋" w:cs="仿宋"/>
          <w:color w:val="auto"/>
          <w:highlight w:val="none"/>
          <w:lang w:eastAsia="zh-CN"/>
        </w:rPr>
        <w:t>2017</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10</w:t>
      </w:r>
      <w:r>
        <w:rPr>
          <w:rFonts w:hint="eastAsia" w:ascii="仿宋" w:hAnsi="仿宋" w:eastAsia="仿宋" w:cs="仿宋"/>
          <w:color w:val="auto"/>
          <w:highlight w:val="none"/>
          <w:lang w:eastAsia="zh-CN"/>
        </w:rPr>
        <w:t>号）</w:t>
      </w:r>
    </w:p>
    <w:p w14:paraId="392A0783">
      <w:pPr>
        <w:ind w:firstLine="960" w:firstLineChars="4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2、□其他文件：</w:t>
      </w:r>
      <w:r>
        <w:rPr>
          <w:rFonts w:ascii="仿宋" w:hAnsi="仿宋" w:eastAsia="仿宋" w:cs="仿宋"/>
          <w:color w:val="auto"/>
          <w:highlight w:val="none"/>
          <w:u w:val="single"/>
          <w:lang w:eastAsia="zh-CN"/>
        </w:rPr>
        <w:t xml:space="preserve">                                                                   </w:t>
      </w:r>
    </w:p>
    <w:p w14:paraId="1C6EEC5B">
      <w:pPr>
        <w:rPr>
          <w:rFonts w:hint="eastAsia" w:ascii="仿宋" w:hAnsi="仿宋" w:eastAsia="仿宋"/>
          <w:color w:val="auto"/>
          <w:highlight w:val="none"/>
          <w:lang w:eastAsia="zh-CN"/>
        </w:rPr>
      </w:pPr>
    </w:p>
    <w:p w14:paraId="666E28A3">
      <w:pPr>
        <w:ind w:firstLine="360" w:firstLineChars="1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p>
    <w:p w14:paraId="2B19DD4B">
      <w:pPr>
        <w:ind w:firstLine="1440" w:firstLineChars="600"/>
        <w:rPr>
          <w:rFonts w:hint="eastAsia" w:ascii="仿宋" w:hAnsi="仿宋" w:eastAsia="仿宋"/>
          <w:color w:val="auto"/>
          <w:highlight w:val="none"/>
          <w:lang w:eastAsia="zh-CN"/>
        </w:rPr>
      </w:pPr>
    </w:p>
    <w:p w14:paraId="1A4B4530">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xml:space="preserve">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34</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3</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治安管理：</w:t>
      </w:r>
    </w:p>
    <w:p w14:paraId="54AA0C17">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w:t>
      </w:r>
    </w:p>
    <w:p w14:paraId="1A9EBD67">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承包人应在工程开工后，编制施工场地治安管理计划，并制定应对突发治安事项的应急预案。在施工过程中，发生暴乱、爆炸等恐怖事项，以及群殴、械斗等群体性突发治安事项的，应立即向当地政府有关部门报告，积极协助当地政府有关部门采取措施平息事项，防止事态扩大，尽量减少财产损失和避免人员伤亡。</w:t>
      </w:r>
      <w:r>
        <w:rPr>
          <w:rFonts w:hint="eastAsia" w:ascii="仿宋" w:hAnsi="仿宋" w:eastAsia="仿宋"/>
          <w:color w:val="auto"/>
          <w:highlight w:val="none"/>
          <w:lang w:eastAsia="zh-CN"/>
        </w:rPr>
        <w:t xml:space="preserve">   </w:t>
      </w:r>
    </w:p>
    <w:p w14:paraId="56D4D33C">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34.4安全管理，详见附件十七，附件二十一，附件二十二</w:t>
      </w:r>
    </w:p>
    <w:p w14:paraId="3DB89531">
      <w:pPr>
        <w:spacing w:line="360" w:lineRule="auto"/>
        <w:ind w:firstLine="480" w:firstLineChars="200"/>
        <w:rPr>
          <w:color w:val="auto"/>
          <w:highlight w:val="none"/>
          <w:lang w:eastAsia="zh-CN"/>
        </w:rPr>
      </w:pPr>
    </w:p>
    <w:p w14:paraId="6D403DF5">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34</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5创文明工地目标：</w:t>
      </w:r>
    </w:p>
    <w:p w14:paraId="5495D2F1">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市级安全文明绿色施工样板工地；</w:t>
      </w:r>
    </w:p>
    <w:p w14:paraId="12CA59F8">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省级安全文明示范工地；</w:t>
      </w:r>
    </w:p>
    <w:p w14:paraId="77EA4094">
      <w:pPr>
        <w:autoSpaceDE w:val="0"/>
        <w:autoSpaceDN w:val="0"/>
        <w:adjustRightInd w:val="0"/>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国家级安全文明工地；</w:t>
      </w:r>
    </w:p>
    <w:p w14:paraId="70BC6486">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广州市建筑业绿色施工示范工程；</w:t>
      </w:r>
    </w:p>
    <w:p w14:paraId="06696524">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广东省建筑业绿色施工示范工程；</w:t>
      </w:r>
    </w:p>
    <w:p w14:paraId="1459BE51">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全国建筑业绿色施工示范工程；</w:t>
      </w:r>
    </w:p>
    <w:p w14:paraId="51E6F1A8">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其它</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以协议书为准</w:t>
      </w:r>
      <w:r>
        <w:rPr>
          <w:rFonts w:ascii="仿宋" w:hAnsi="仿宋" w:eastAsia="仿宋" w:cs="仿宋"/>
          <w:color w:val="auto"/>
          <w:highlight w:val="none"/>
          <w:u w:val="single"/>
          <w:lang w:eastAsia="zh-CN"/>
        </w:rPr>
        <w:t xml:space="preserve">     </w:t>
      </w:r>
    </w:p>
    <w:p w14:paraId="23D197C5">
      <w:pPr>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p>
    <w:p w14:paraId="3AB81CF6">
      <w:pPr>
        <w:spacing w:line="360" w:lineRule="auto"/>
        <w:ind w:firstLine="482"/>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34</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6特别安全生产事项</w:t>
      </w:r>
    </w:p>
    <w:p w14:paraId="443BCC47">
      <w:pPr>
        <w:pStyle w:val="2"/>
        <w:rPr>
          <w:color w:val="auto"/>
          <w:highlight w:val="none"/>
          <w:lang w:eastAsia="zh-CN"/>
        </w:rPr>
      </w:pPr>
    </w:p>
    <w:p w14:paraId="4518A180">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危险性较大分部分项专项工程施工技术措施标准、要求</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 xml:space="preserve"> 元。</w:t>
      </w:r>
    </w:p>
    <w:p w14:paraId="5CF87FF1">
      <w:pPr>
        <w:spacing w:line="360" w:lineRule="auto"/>
        <w:ind w:firstLine="482"/>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危险性较大分部分项专项工程施工技术措施费：</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44513597">
      <w:pPr>
        <w:pStyle w:val="5"/>
        <w:tabs>
          <w:tab w:val="left" w:pos="420"/>
          <w:tab w:val="left" w:pos="576"/>
        </w:tabs>
        <w:rPr>
          <w:rFonts w:hint="eastAsia" w:ascii="仿宋" w:hAnsi="仿宋" w:eastAsia="仿宋"/>
          <w:color w:val="auto"/>
          <w:sz w:val="24"/>
          <w:szCs w:val="24"/>
          <w:highlight w:val="none"/>
          <w:lang w:eastAsia="zh-CN"/>
        </w:rPr>
      </w:pPr>
      <w:bookmarkStart w:id="1000" w:name="_Toc27928"/>
      <w:bookmarkStart w:id="1001" w:name="_Toc11776"/>
      <w:bookmarkStart w:id="1002" w:name="_Toc2190"/>
      <w:bookmarkStart w:id="1003" w:name="_Toc10624951"/>
      <w:bookmarkStart w:id="1004" w:name="_Toc4041"/>
      <w:bookmarkStart w:id="1005" w:name="_Toc469384107"/>
      <w:bookmarkStart w:id="1006" w:name="_Toc28608"/>
      <w:bookmarkStart w:id="1007" w:name="_Toc11180"/>
      <w:bookmarkStart w:id="1008" w:name="_Toc18124"/>
      <w:bookmarkStart w:id="1009" w:name="_Toc31690"/>
      <w:bookmarkStart w:id="1010" w:name="_Toc26348"/>
      <w:bookmarkStart w:id="1011" w:name="_Toc13753"/>
      <w:bookmarkStart w:id="1012" w:name="_Toc22111"/>
      <w:bookmarkStart w:id="1013" w:name="_Toc20100"/>
      <w:bookmarkStart w:id="1014" w:name="_Toc5186"/>
      <w:bookmarkStart w:id="1015" w:name="_Toc19740"/>
      <w:bookmarkStart w:id="1016" w:name="_Toc10945"/>
      <w:bookmarkStart w:id="1017" w:name="_Toc1116"/>
      <w:bookmarkStart w:id="1018" w:name="_Toc16678"/>
      <w:r>
        <w:rPr>
          <w:rFonts w:hint="eastAsia" w:ascii="仿宋" w:hAnsi="仿宋" w:eastAsia="仿宋" w:cs="仿宋"/>
          <w:color w:val="auto"/>
          <w:sz w:val="24"/>
          <w:szCs w:val="24"/>
          <w:highlight w:val="none"/>
          <w:lang w:eastAsia="zh-CN"/>
        </w:rPr>
        <w:t>35</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测量放线</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7A81B10D">
      <w:pPr>
        <w:ind w:firstLine="120" w:firstLineChars="50"/>
        <w:rPr>
          <w:rFonts w:hint="eastAsia" w:ascii="仿宋" w:hAnsi="仿宋" w:eastAsia="仿宋"/>
          <w:color w:val="auto"/>
          <w:highlight w:val="none"/>
          <w:lang w:eastAsia="zh-CN"/>
        </w:rPr>
      </w:pPr>
    </w:p>
    <w:p w14:paraId="5C723FB3">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35</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承包人提交施工控制网资料的时间：</w:t>
      </w:r>
      <w:r>
        <w:rPr>
          <w:rFonts w:hint="eastAsia" w:ascii="仿宋" w:hAnsi="仿宋" w:eastAsia="仿宋" w:cs="仿宋"/>
          <w:color w:val="auto"/>
          <w:highlight w:val="none"/>
          <w:u w:val="single"/>
          <w:lang w:eastAsia="zh-CN"/>
        </w:rPr>
        <w:t>发出开工令后10天内</w:t>
      </w:r>
    </w:p>
    <w:p w14:paraId="26029929">
      <w:pPr>
        <w:ind w:firstLine="120" w:firstLineChars="50"/>
        <w:rPr>
          <w:rFonts w:hint="eastAsia" w:ascii="仿宋" w:hAnsi="仿宋" w:eastAsia="仿宋"/>
          <w:color w:val="auto"/>
          <w:highlight w:val="none"/>
          <w:lang w:eastAsia="zh-CN"/>
        </w:rPr>
      </w:pPr>
    </w:p>
    <w:p w14:paraId="4CBA7949">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35</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测量放线误差的约定：</w:t>
      </w:r>
      <w:r>
        <w:rPr>
          <w:rFonts w:hint="eastAsia" w:ascii="仿宋" w:hAnsi="仿宋" w:eastAsia="仿宋" w:cs="仿宋"/>
          <w:color w:val="auto"/>
          <w:highlight w:val="none"/>
          <w:u w:val="single"/>
          <w:lang w:eastAsia="zh-CN"/>
        </w:rPr>
        <w:t xml:space="preserve"> 按设计及施工规范要求执行。</w:t>
      </w:r>
    </w:p>
    <w:p w14:paraId="28CBB29F">
      <w:pPr>
        <w:rPr>
          <w:rFonts w:hint="eastAsia" w:ascii="仿宋" w:hAnsi="仿宋" w:eastAsia="仿宋"/>
          <w:color w:val="auto"/>
          <w:highlight w:val="none"/>
          <w:lang w:eastAsia="zh-CN"/>
        </w:rPr>
      </w:pPr>
    </w:p>
    <w:p w14:paraId="29905415">
      <w:pPr>
        <w:pStyle w:val="5"/>
        <w:tabs>
          <w:tab w:val="left" w:pos="420"/>
          <w:tab w:val="left" w:pos="576"/>
        </w:tabs>
        <w:rPr>
          <w:rFonts w:hint="eastAsia" w:ascii="仿宋" w:hAnsi="仿宋" w:eastAsia="仿宋"/>
          <w:color w:val="auto"/>
          <w:sz w:val="24"/>
          <w:szCs w:val="24"/>
          <w:highlight w:val="none"/>
          <w:lang w:eastAsia="zh-CN"/>
        </w:rPr>
      </w:pPr>
      <w:bookmarkStart w:id="1019" w:name="_Toc31981"/>
      <w:bookmarkStart w:id="1020" w:name="_Toc1521"/>
      <w:bookmarkStart w:id="1021" w:name="_Toc18763"/>
      <w:bookmarkStart w:id="1022" w:name="_Toc18194"/>
      <w:bookmarkStart w:id="1023" w:name="_Toc469384108"/>
      <w:bookmarkStart w:id="1024" w:name="_Toc11292"/>
      <w:bookmarkStart w:id="1025" w:name="_Toc11666"/>
      <w:bookmarkStart w:id="1026" w:name="_Toc20817"/>
      <w:bookmarkStart w:id="1027" w:name="_Toc14223"/>
      <w:bookmarkStart w:id="1028" w:name="_Toc4658"/>
      <w:bookmarkStart w:id="1029" w:name="_Toc15371"/>
      <w:bookmarkStart w:id="1030" w:name="_Toc28949"/>
      <w:bookmarkStart w:id="1031" w:name="_Toc7"/>
      <w:bookmarkStart w:id="1032" w:name="_Toc21539"/>
      <w:bookmarkStart w:id="1033" w:name="_Toc22899"/>
      <w:bookmarkStart w:id="1034" w:name="_Toc10624952"/>
      <w:bookmarkStart w:id="1035" w:name="_Toc2580"/>
      <w:bookmarkStart w:id="1036" w:name="_Toc26485"/>
      <w:bookmarkStart w:id="1037" w:name="_Toc903"/>
      <w:r>
        <w:rPr>
          <w:rFonts w:hint="eastAsia" w:ascii="仿宋" w:hAnsi="仿宋" w:eastAsia="仿宋" w:cs="仿宋"/>
          <w:color w:val="auto"/>
          <w:sz w:val="24"/>
          <w:szCs w:val="24"/>
          <w:highlight w:val="none"/>
          <w:lang w:eastAsia="zh-CN"/>
        </w:rPr>
        <w:t>36</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发包人供应材料和工程设备</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20F666B3">
      <w:pPr>
        <w:ind w:firstLine="120" w:firstLineChars="50"/>
        <w:rPr>
          <w:rFonts w:hint="eastAsia" w:ascii="仿宋" w:hAnsi="仿宋" w:eastAsia="仿宋"/>
          <w:color w:val="auto"/>
          <w:highlight w:val="none"/>
          <w:lang w:eastAsia="zh-CN"/>
        </w:rPr>
      </w:pPr>
    </w:p>
    <w:p w14:paraId="27CE95EE">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36</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约定供应的材料和工程设备</w:t>
      </w:r>
    </w:p>
    <w:p w14:paraId="3B5A8814">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发包人不供应材料和工程设备，本条不适用。</w:t>
      </w:r>
    </w:p>
    <w:p w14:paraId="1B233F16">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发包人供应材料和工程设备的，应与承包人约定“发包人供应材料和工程设备一览表”，作为本合同的附件。</w:t>
      </w:r>
    </w:p>
    <w:p w14:paraId="3237DDF9">
      <w:pPr>
        <w:ind w:firstLine="120" w:firstLineChars="50"/>
        <w:rPr>
          <w:rFonts w:hint="eastAsia" w:ascii="仿宋" w:hAnsi="仿宋" w:eastAsia="仿宋"/>
          <w:color w:val="auto"/>
          <w:highlight w:val="none"/>
          <w:lang w:eastAsia="zh-CN"/>
        </w:rPr>
      </w:pPr>
    </w:p>
    <w:p w14:paraId="244B6F07">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36</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发包人供应材料和工程设备的结算方式：</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7CEF23A6">
      <w:pPr>
        <w:pStyle w:val="5"/>
        <w:tabs>
          <w:tab w:val="left" w:pos="420"/>
          <w:tab w:val="left" w:pos="576"/>
        </w:tabs>
        <w:rPr>
          <w:rFonts w:hint="eastAsia" w:ascii="仿宋" w:hAnsi="仿宋" w:eastAsia="仿宋"/>
          <w:color w:val="auto"/>
          <w:sz w:val="24"/>
          <w:szCs w:val="24"/>
          <w:highlight w:val="none"/>
          <w:lang w:eastAsia="zh-CN"/>
        </w:rPr>
      </w:pPr>
      <w:bookmarkStart w:id="1038" w:name="_Toc25870"/>
      <w:bookmarkStart w:id="1039" w:name="_Toc10624953"/>
      <w:bookmarkStart w:id="1040" w:name="_Toc31114"/>
      <w:bookmarkStart w:id="1041" w:name="_Toc12948"/>
      <w:bookmarkStart w:id="1042" w:name="_Toc7903"/>
      <w:bookmarkStart w:id="1043" w:name="_Toc10155"/>
      <w:bookmarkStart w:id="1044" w:name="_Toc5843"/>
      <w:bookmarkStart w:id="1045" w:name="_Toc7183"/>
      <w:bookmarkStart w:id="1046" w:name="_Toc32669"/>
      <w:bookmarkStart w:id="1047" w:name="_Toc16711"/>
      <w:bookmarkStart w:id="1048" w:name="_Toc18437"/>
      <w:bookmarkStart w:id="1049" w:name="_Toc26424"/>
      <w:bookmarkStart w:id="1050" w:name="_Toc11579"/>
      <w:bookmarkStart w:id="1051" w:name="_Toc4712"/>
      <w:bookmarkStart w:id="1052" w:name="_Toc2533"/>
      <w:bookmarkStart w:id="1053" w:name="_Toc8124"/>
      <w:bookmarkStart w:id="1054" w:name="_Toc28905"/>
      <w:bookmarkStart w:id="1055" w:name="_Toc15502"/>
      <w:bookmarkStart w:id="1056" w:name="_Toc469384109"/>
      <w:r>
        <w:rPr>
          <w:rFonts w:hint="eastAsia" w:ascii="仿宋" w:hAnsi="仿宋" w:eastAsia="仿宋" w:cs="仿宋"/>
          <w:color w:val="auto"/>
          <w:sz w:val="24"/>
          <w:szCs w:val="24"/>
          <w:highlight w:val="none"/>
          <w:lang w:eastAsia="zh-CN"/>
        </w:rPr>
        <w:t>37</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承包人采购材料和工程设备</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D379BC6">
      <w:pPr>
        <w:ind w:firstLine="120" w:firstLineChars="50"/>
        <w:rPr>
          <w:rFonts w:hint="eastAsia" w:ascii="仿宋" w:hAnsi="仿宋" w:eastAsia="仿宋"/>
          <w:color w:val="auto"/>
          <w:highlight w:val="none"/>
          <w:lang w:eastAsia="zh-CN"/>
        </w:rPr>
      </w:pPr>
    </w:p>
    <w:p w14:paraId="59600087">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37</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承包人采购材料和工程设备</w:t>
      </w:r>
    </w:p>
    <w:p w14:paraId="53010FC9">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按通用条款规定，由承包人负责运输和保管。</w:t>
      </w:r>
    </w:p>
    <w:p w14:paraId="6AC77C91">
      <w:pPr>
        <w:ind w:firstLine="120" w:firstLineChars="5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0202ABC2">
      <w:pPr>
        <w:ind w:firstLine="120" w:firstLineChars="50"/>
        <w:rPr>
          <w:rFonts w:hint="eastAsia" w:ascii="仿宋" w:hAnsi="仿宋" w:eastAsia="仿宋" w:cs="仿宋"/>
          <w:color w:val="auto"/>
          <w:highlight w:val="none"/>
          <w:lang w:eastAsia="zh-CN"/>
        </w:rPr>
      </w:pPr>
    </w:p>
    <w:p w14:paraId="3B83E64D">
      <w:pPr>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37</w:t>
      </w:r>
      <w:r>
        <w:rPr>
          <w:rFonts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承包人供货要求：</w:t>
      </w:r>
      <w:r>
        <w:rPr>
          <w:rFonts w:hint="eastAsia" w:ascii="仿宋" w:hAnsi="仿宋" w:eastAsia="仿宋" w:cs="仿宋"/>
          <w:color w:val="auto"/>
          <w:highlight w:val="none"/>
          <w:u w:val="single"/>
          <w:lang w:eastAsia="zh-CN"/>
        </w:rPr>
        <w:t xml:space="preserve">  / </w:t>
      </w:r>
      <w:r>
        <w:rPr>
          <w:rFonts w:ascii="仿宋" w:hAnsi="仿宋" w:eastAsia="仿宋" w:cs="仿宋"/>
          <w:color w:val="auto"/>
          <w:highlight w:val="none"/>
          <w:u w:val="single"/>
          <w:lang w:eastAsia="zh-CN"/>
        </w:rPr>
        <w:t xml:space="preserve"> </w:t>
      </w:r>
    </w:p>
    <w:p w14:paraId="4E26F3FD">
      <w:pPr>
        <w:ind w:firstLine="120" w:firstLineChars="50"/>
        <w:rPr>
          <w:rFonts w:hint="eastAsia" w:ascii="仿宋" w:hAnsi="仿宋" w:eastAsia="仿宋" w:cs="仿宋"/>
          <w:color w:val="auto"/>
          <w:highlight w:val="none"/>
          <w:u w:val="single"/>
          <w:lang w:eastAsia="zh-CN"/>
        </w:rPr>
      </w:pPr>
    </w:p>
    <w:p w14:paraId="476AFD7D">
      <w:pPr>
        <w:spacing w:line="360" w:lineRule="auto"/>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37</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3发包人依法指定的生产厂家和供应商：</w:t>
      </w:r>
      <w:r>
        <w:rPr>
          <w:rFonts w:hint="eastAsia" w:ascii="仿宋" w:hAnsi="仿宋" w:eastAsia="仿宋" w:cs="仿宋"/>
          <w:color w:val="auto"/>
          <w:highlight w:val="none"/>
          <w:u w:val="single"/>
          <w:lang w:eastAsia="zh-CN"/>
        </w:rPr>
        <w:t>附件十八：材料设备推荐品牌一览表</w:t>
      </w:r>
      <w:r>
        <w:rPr>
          <w:rFonts w:ascii="仿宋" w:hAnsi="仿宋" w:eastAsia="仿宋" w:cs="仿宋"/>
          <w:color w:val="auto"/>
          <w:highlight w:val="none"/>
          <w:u w:val="single"/>
          <w:lang w:eastAsia="zh-CN"/>
        </w:rPr>
        <w:t xml:space="preserve">    </w:t>
      </w:r>
    </w:p>
    <w:p w14:paraId="6E8B704F">
      <w:pPr>
        <w:spacing w:line="360" w:lineRule="auto"/>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发包人要求的材料和工程设备建设标准、质量等级：</w:t>
      </w:r>
      <w:r>
        <w:rPr>
          <w:rFonts w:ascii="仿宋" w:hAnsi="仿宋" w:eastAsia="仿宋" w:cs="仿宋"/>
          <w:color w:val="auto"/>
          <w:highlight w:val="none"/>
          <w:u w:val="single"/>
          <w:lang w:eastAsia="zh-CN"/>
        </w:rPr>
        <w:t xml:space="preserve">                                </w:t>
      </w:r>
    </w:p>
    <w:p w14:paraId="766086F9">
      <w:pPr>
        <w:pStyle w:val="5"/>
        <w:tabs>
          <w:tab w:val="left" w:pos="420"/>
          <w:tab w:val="left" w:pos="576"/>
        </w:tabs>
        <w:rPr>
          <w:rFonts w:hint="eastAsia" w:ascii="仿宋" w:hAnsi="仿宋" w:eastAsia="仿宋"/>
          <w:color w:val="auto"/>
          <w:sz w:val="24"/>
          <w:szCs w:val="24"/>
          <w:highlight w:val="none"/>
          <w:lang w:eastAsia="zh-CN"/>
        </w:rPr>
      </w:pPr>
      <w:bookmarkStart w:id="1057" w:name="_Toc28796"/>
      <w:bookmarkStart w:id="1058" w:name="_Toc11927"/>
      <w:bookmarkStart w:id="1059" w:name="_Toc1161"/>
      <w:bookmarkStart w:id="1060" w:name="_Toc4053"/>
      <w:bookmarkStart w:id="1061" w:name="_Toc17079"/>
      <w:bookmarkStart w:id="1062" w:name="_Toc24271"/>
      <w:bookmarkStart w:id="1063" w:name="_Toc12180"/>
      <w:bookmarkStart w:id="1064" w:name="_Toc31958"/>
      <w:bookmarkStart w:id="1065" w:name="_Toc820"/>
      <w:bookmarkStart w:id="1066" w:name="_Toc29173"/>
      <w:bookmarkStart w:id="1067" w:name="_Toc19221"/>
      <w:bookmarkStart w:id="1068" w:name="_Toc8273"/>
      <w:bookmarkStart w:id="1069" w:name="_Toc2809"/>
      <w:bookmarkStart w:id="1070" w:name="_Toc6303"/>
      <w:bookmarkStart w:id="1071" w:name="_Toc10624954"/>
      <w:bookmarkStart w:id="1072" w:name="_Toc31006"/>
      <w:bookmarkStart w:id="1073" w:name="_Toc469384110"/>
      <w:bookmarkStart w:id="1074" w:name="_Toc3433"/>
      <w:bookmarkStart w:id="1075" w:name="_Toc16098"/>
      <w:r>
        <w:rPr>
          <w:rFonts w:hint="eastAsia" w:ascii="仿宋" w:hAnsi="仿宋" w:eastAsia="仿宋" w:cs="仿宋"/>
          <w:color w:val="auto"/>
          <w:sz w:val="24"/>
          <w:szCs w:val="24"/>
          <w:highlight w:val="none"/>
          <w:lang w:eastAsia="zh-CN"/>
        </w:rPr>
        <w:t>38</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材料和工程设备的检验试验</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7026FD75">
      <w:pPr>
        <w:ind w:firstLine="120" w:firstLineChars="50"/>
        <w:rPr>
          <w:rFonts w:hint="eastAsia" w:ascii="仿宋" w:hAnsi="仿宋" w:eastAsia="仿宋"/>
          <w:b/>
          <w:bCs/>
          <w:color w:val="auto"/>
          <w:highlight w:val="none"/>
          <w:lang w:eastAsia="zh-CN"/>
        </w:rPr>
      </w:pPr>
    </w:p>
    <w:p w14:paraId="22D66D36">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38</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见证取样检验试验的材料和工程设备</w:t>
      </w:r>
    </w:p>
    <w:p w14:paraId="17288643">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种类：</w:t>
      </w:r>
      <w:r>
        <w:rPr>
          <w:rFonts w:ascii="仿宋" w:hAnsi="仿宋" w:eastAsia="仿宋" w:cs="仿宋"/>
          <w:color w:val="auto"/>
          <w:highlight w:val="none"/>
          <w:u w:val="single"/>
          <w:lang w:eastAsia="zh-CN"/>
        </w:rPr>
        <w:t xml:space="preserve">                                                                          </w:t>
      </w:r>
    </w:p>
    <w:p w14:paraId="08B3836C">
      <w:pPr>
        <w:ind w:firstLine="120" w:firstLineChars="50"/>
        <w:rPr>
          <w:rFonts w:hint="eastAsia" w:ascii="仿宋" w:hAnsi="仿宋" w:eastAsia="仿宋"/>
          <w:color w:val="auto"/>
          <w:highlight w:val="none"/>
          <w:lang w:eastAsia="zh-CN"/>
        </w:rPr>
      </w:pPr>
    </w:p>
    <w:p w14:paraId="69C579DC">
      <w:pPr>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检测机构：</w:t>
      </w:r>
      <w:r>
        <w:rPr>
          <w:rFonts w:hint="eastAsia" w:ascii="仿宋" w:hAnsi="仿宋" w:eastAsia="仿宋" w:cs="仿宋"/>
          <w:color w:val="auto"/>
          <w:highlight w:val="none"/>
          <w:u w:val="single"/>
          <w:lang w:eastAsia="zh-CN"/>
        </w:rPr>
        <w:t>经发包人认可的符合广州市有关规定且具有相应资质等级的质量检测机构进行检验试验</w:t>
      </w:r>
      <w:r>
        <w:rPr>
          <w:rFonts w:ascii="仿宋" w:hAnsi="仿宋" w:eastAsia="仿宋" w:cs="仿宋"/>
          <w:color w:val="auto"/>
          <w:highlight w:val="none"/>
          <w:u w:val="single"/>
          <w:lang w:eastAsia="zh-CN"/>
        </w:rPr>
        <w:t xml:space="preserve">    </w:t>
      </w:r>
    </w:p>
    <w:p w14:paraId="57E0CC87">
      <w:pPr>
        <w:ind w:firstLine="120" w:firstLineChars="50"/>
        <w:rPr>
          <w:rFonts w:hint="eastAsia" w:ascii="仿宋" w:hAnsi="仿宋" w:eastAsia="仿宋"/>
          <w:color w:val="auto"/>
          <w:highlight w:val="none"/>
          <w:u w:val="single"/>
          <w:lang w:eastAsia="zh-CN"/>
        </w:rPr>
      </w:pPr>
    </w:p>
    <w:p w14:paraId="66134E8D">
      <w:pPr>
        <w:pStyle w:val="5"/>
        <w:tabs>
          <w:tab w:val="left" w:pos="420"/>
          <w:tab w:val="left" w:pos="576"/>
        </w:tabs>
        <w:rPr>
          <w:rFonts w:hint="eastAsia" w:ascii="仿宋" w:hAnsi="仿宋" w:eastAsia="仿宋"/>
          <w:color w:val="auto"/>
          <w:sz w:val="24"/>
          <w:szCs w:val="24"/>
          <w:highlight w:val="none"/>
          <w:lang w:eastAsia="zh-CN"/>
        </w:rPr>
      </w:pPr>
      <w:bookmarkStart w:id="1076" w:name="_Toc30325"/>
      <w:bookmarkStart w:id="1077" w:name="_Toc15373"/>
      <w:bookmarkStart w:id="1078" w:name="_Toc24512"/>
      <w:bookmarkStart w:id="1079" w:name="_Toc11300"/>
      <w:bookmarkStart w:id="1080" w:name="_Toc10072"/>
      <w:bookmarkStart w:id="1081" w:name="_Toc5063"/>
      <w:bookmarkStart w:id="1082" w:name="_Toc26264"/>
      <w:bookmarkStart w:id="1083" w:name="_Toc26086"/>
      <w:bookmarkStart w:id="1084" w:name="_Toc9517"/>
      <w:bookmarkStart w:id="1085" w:name="_Toc27195"/>
      <w:bookmarkStart w:id="1086" w:name="_Toc7397"/>
      <w:bookmarkStart w:id="1087" w:name="_Toc23622"/>
      <w:bookmarkStart w:id="1088" w:name="_Toc10624955"/>
      <w:bookmarkStart w:id="1089" w:name="_Toc8731"/>
      <w:bookmarkStart w:id="1090" w:name="_Toc21853"/>
      <w:bookmarkStart w:id="1091" w:name="_Toc12691"/>
      <w:bookmarkStart w:id="1092" w:name="_Toc4540"/>
      <w:bookmarkStart w:id="1093" w:name="_Toc469384111"/>
      <w:bookmarkStart w:id="1094" w:name="_Toc5371"/>
      <w:r>
        <w:rPr>
          <w:rFonts w:hint="eastAsia" w:ascii="仿宋" w:hAnsi="仿宋" w:eastAsia="仿宋" w:cs="仿宋"/>
          <w:color w:val="auto"/>
          <w:sz w:val="24"/>
          <w:szCs w:val="24"/>
          <w:highlight w:val="none"/>
          <w:lang w:eastAsia="zh-CN"/>
        </w:rPr>
        <w:t>39</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施工设备和临时设施</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0DB96C90">
      <w:pPr>
        <w:ind w:firstLine="120" w:firstLineChars="50"/>
        <w:rPr>
          <w:rFonts w:hint="eastAsia" w:ascii="仿宋" w:hAnsi="仿宋" w:eastAsia="仿宋"/>
          <w:color w:val="auto"/>
          <w:highlight w:val="none"/>
          <w:lang w:eastAsia="zh-CN"/>
        </w:rPr>
      </w:pPr>
    </w:p>
    <w:p w14:paraId="1D869506">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39</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承包人配置施工设备和临时设施</w:t>
      </w:r>
    </w:p>
    <w:p w14:paraId="4F0FD04F">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按通用条款规定，承包人承担修建临时设施的费用。</w:t>
      </w:r>
    </w:p>
    <w:p w14:paraId="2CB74B54">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eastAsia="zh-CN"/>
        </w:rPr>
        <w:t>承包人应按合同工程进度计划的要求，及时配置施工设备和修建临时设施，并自行承担修建临时设施的费用，需要临时占地的，应由承包人办理申请手续并承担相应费用，相关费用已含在投标报价中。</w:t>
      </w:r>
    </w:p>
    <w:p w14:paraId="0ED1AD2F">
      <w:pPr>
        <w:spacing w:line="360" w:lineRule="auto"/>
        <w:ind w:firstLine="120" w:firstLineChars="50"/>
        <w:rPr>
          <w:rFonts w:hint="eastAsia" w:ascii="仿宋" w:hAnsi="仿宋" w:eastAsia="仿宋"/>
          <w:color w:val="auto"/>
          <w:highlight w:val="none"/>
          <w:lang w:eastAsia="zh-CN"/>
        </w:rPr>
      </w:pPr>
    </w:p>
    <w:p w14:paraId="1CEDAB7C">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39</w:t>
      </w:r>
      <w:r>
        <w:rPr>
          <w:rFonts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发包人提供的施工设备和临时设施：</w:t>
      </w:r>
      <w:r>
        <w:rPr>
          <w:rFonts w:ascii="仿宋" w:hAnsi="仿宋" w:eastAsia="仿宋" w:cs="仿宋"/>
          <w:color w:val="auto"/>
          <w:highlight w:val="none"/>
          <w:u w:val="single"/>
          <w:lang w:eastAsia="zh-CN"/>
        </w:rPr>
        <w:t xml:space="preserve">                                                 </w:t>
      </w:r>
    </w:p>
    <w:p w14:paraId="64D86B7E">
      <w:pPr>
        <w:rPr>
          <w:rFonts w:hint="eastAsia" w:ascii="仿宋" w:hAnsi="仿宋" w:eastAsia="仿宋"/>
          <w:color w:val="auto"/>
          <w:highlight w:val="none"/>
          <w:lang w:eastAsia="zh-CN"/>
        </w:rPr>
      </w:pPr>
    </w:p>
    <w:p w14:paraId="5DA0AA7F">
      <w:pPr>
        <w:pStyle w:val="5"/>
        <w:tabs>
          <w:tab w:val="left" w:pos="420"/>
          <w:tab w:val="left" w:pos="576"/>
        </w:tabs>
        <w:rPr>
          <w:rFonts w:hint="eastAsia" w:ascii="仿宋" w:hAnsi="仿宋" w:eastAsia="仿宋"/>
          <w:color w:val="auto"/>
          <w:sz w:val="24"/>
          <w:szCs w:val="24"/>
          <w:highlight w:val="none"/>
          <w:lang w:eastAsia="zh-CN"/>
        </w:rPr>
      </w:pPr>
      <w:bookmarkStart w:id="1095" w:name="_Toc10624956"/>
      <w:bookmarkStart w:id="1096" w:name="_Toc5478"/>
      <w:bookmarkStart w:id="1097" w:name="_Toc469384112"/>
      <w:bookmarkStart w:id="1098" w:name="_Toc4744"/>
      <w:bookmarkStart w:id="1099" w:name="_Toc9025"/>
      <w:bookmarkStart w:id="1100" w:name="_Toc26234"/>
      <w:bookmarkStart w:id="1101" w:name="_Toc25217"/>
      <w:bookmarkStart w:id="1102" w:name="_Toc19116"/>
      <w:bookmarkStart w:id="1103" w:name="_Toc11905"/>
      <w:bookmarkStart w:id="1104" w:name="_Toc27777"/>
      <w:bookmarkStart w:id="1105" w:name="_Toc9788"/>
      <w:bookmarkStart w:id="1106" w:name="_Toc11172"/>
      <w:bookmarkStart w:id="1107" w:name="_Toc28856"/>
      <w:bookmarkStart w:id="1108" w:name="_Toc15345"/>
      <w:bookmarkStart w:id="1109" w:name="_Toc19880"/>
      <w:bookmarkStart w:id="1110" w:name="_Toc30492"/>
      <w:bookmarkStart w:id="1111" w:name="_Toc19109"/>
      <w:bookmarkStart w:id="1112" w:name="_Toc32421"/>
      <w:bookmarkStart w:id="1113" w:name="_Toc3028"/>
      <w:r>
        <w:rPr>
          <w:rFonts w:hint="eastAsia" w:ascii="仿宋" w:hAnsi="仿宋" w:eastAsia="仿宋" w:cs="仿宋"/>
          <w:color w:val="auto"/>
          <w:sz w:val="24"/>
          <w:szCs w:val="24"/>
          <w:highlight w:val="none"/>
          <w:lang w:eastAsia="zh-CN"/>
        </w:rPr>
        <w:t>40</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隐蔽工程和中间验收</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77B9AF49">
      <w:pPr>
        <w:ind w:firstLine="120" w:firstLineChars="50"/>
        <w:rPr>
          <w:rFonts w:hint="eastAsia" w:ascii="仿宋" w:hAnsi="仿宋" w:eastAsia="仿宋"/>
          <w:color w:val="auto"/>
          <w:highlight w:val="none"/>
          <w:lang w:eastAsia="zh-CN"/>
        </w:rPr>
      </w:pPr>
    </w:p>
    <w:p w14:paraId="29868BF7">
      <w:pPr>
        <w:spacing w:line="360" w:lineRule="auto"/>
        <w:ind w:left="137" w:leftChars="57"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隐蔽工程或中间验收部位未经专业监理工程师验收合格，不得隐蔽或继续施工，否则该部分工程被视为不合格，由此所产生的返工费用由承包人承担。</w:t>
      </w:r>
    </w:p>
    <w:p w14:paraId="29B453BB">
      <w:pPr>
        <w:spacing w:line="360" w:lineRule="auto"/>
        <w:ind w:left="137" w:leftChars="57"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承包人不得委托专业分包或劳务分包管理人员代为验收，监理工程师发现可不承认其完成自检，并可拒绝验收，由此增加的费用和（或）延误的工期由承包人承担。</w:t>
      </w:r>
    </w:p>
    <w:p w14:paraId="05FCEDFA">
      <w:pPr>
        <w:ind w:firstLine="120" w:firstLineChars="50"/>
        <w:rPr>
          <w:rFonts w:hint="eastAsia" w:ascii="仿宋" w:hAnsi="仿宋" w:eastAsia="仿宋"/>
          <w:color w:val="auto"/>
          <w:highlight w:val="none"/>
          <w:lang w:eastAsia="zh-CN"/>
        </w:rPr>
      </w:pPr>
    </w:p>
    <w:p w14:paraId="53423668">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40</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中间验收的部位有：</w:t>
      </w:r>
      <w:r>
        <w:rPr>
          <w:rFonts w:ascii="仿宋" w:hAnsi="仿宋" w:eastAsia="仿宋" w:cs="仿宋"/>
          <w:color w:val="auto"/>
          <w:highlight w:val="none"/>
          <w:u w:val="single"/>
          <w:lang w:eastAsia="zh-CN"/>
        </w:rPr>
        <w:t xml:space="preserve">                                                               </w:t>
      </w:r>
    </w:p>
    <w:p w14:paraId="2E2E2287">
      <w:pPr>
        <w:rPr>
          <w:rFonts w:hint="eastAsia" w:ascii="仿宋" w:hAnsi="仿宋" w:eastAsia="仿宋"/>
          <w:color w:val="auto"/>
          <w:highlight w:val="none"/>
          <w:lang w:eastAsia="zh-CN"/>
        </w:rPr>
      </w:pPr>
    </w:p>
    <w:p w14:paraId="3AEF5A5A">
      <w:pPr>
        <w:pStyle w:val="5"/>
        <w:tabs>
          <w:tab w:val="left" w:pos="420"/>
          <w:tab w:val="left" w:pos="576"/>
        </w:tabs>
        <w:rPr>
          <w:rFonts w:hint="eastAsia" w:ascii="仿宋" w:hAnsi="仿宋" w:eastAsia="仿宋"/>
          <w:color w:val="auto"/>
          <w:sz w:val="24"/>
          <w:szCs w:val="24"/>
          <w:highlight w:val="none"/>
          <w:lang w:eastAsia="zh-CN"/>
        </w:rPr>
      </w:pPr>
      <w:bookmarkStart w:id="1114" w:name="_Toc469384113"/>
      <w:bookmarkStart w:id="1115" w:name="_Toc1849"/>
      <w:bookmarkStart w:id="1116" w:name="_Toc28564"/>
      <w:bookmarkStart w:id="1117" w:name="_Toc32416"/>
      <w:bookmarkStart w:id="1118" w:name="_Toc30214"/>
      <w:bookmarkStart w:id="1119" w:name="_Toc15045"/>
      <w:bookmarkStart w:id="1120" w:name="_Toc22367"/>
      <w:bookmarkStart w:id="1121" w:name="_Toc10624957"/>
      <w:bookmarkStart w:id="1122" w:name="_Toc7468"/>
      <w:bookmarkStart w:id="1123" w:name="_Toc1316"/>
      <w:bookmarkStart w:id="1124" w:name="_Toc2351"/>
      <w:bookmarkStart w:id="1125" w:name="_Toc12944"/>
      <w:bookmarkStart w:id="1126" w:name="_Toc17893"/>
      <w:bookmarkStart w:id="1127" w:name="_Toc6922"/>
      <w:bookmarkStart w:id="1128" w:name="_Toc11276"/>
      <w:bookmarkStart w:id="1129" w:name="_Toc18703"/>
      <w:bookmarkStart w:id="1130" w:name="_Toc26643"/>
      <w:bookmarkStart w:id="1131" w:name="_Toc15266"/>
      <w:bookmarkStart w:id="1132" w:name="_Toc13928"/>
      <w:r>
        <w:rPr>
          <w:rFonts w:hint="eastAsia" w:ascii="仿宋" w:hAnsi="仿宋" w:eastAsia="仿宋" w:cs="仿宋"/>
          <w:color w:val="auto"/>
          <w:sz w:val="24"/>
          <w:szCs w:val="24"/>
          <w:highlight w:val="none"/>
          <w:lang w:eastAsia="zh-CN"/>
        </w:rPr>
        <w:t>41</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工程试车</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B6A0936">
      <w:pPr>
        <w:ind w:firstLine="120" w:firstLineChars="50"/>
        <w:rPr>
          <w:rFonts w:hint="eastAsia" w:ascii="仿宋" w:hAnsi="仿宋" w:eastAsia="仿宋"/>
          <w:color w:val="auto"/>
          <w:highlight w:val="none"/>
          <w:lang w:eastAsia="zh-CN"/>
        </w:rPr>
      </w:pPr>
    </w:p>
    <w:p w14:paraId="7DF02046">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41</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试车内容</w:t>
      </w:r>
    </w:p>
    <w:p w14:paraId="00131E76">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不需要试车的，本条不适用。</w:t>
      </w:r>
    </w:p>
    <w:p w14:paraId="7884403F">
      <w:pPr>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  </w:t>
      </w:r>
      <w:bookmarkStart w:id="1133" w:name="_Toc3962"/>
      <w:bookmarkStart w:id="1134" w:name="_Toc15477"/>
      <w:bookmarkStart w:id="1135" w:name="_Toc5261"/>
      <w:bookmarkStart w:id="1136" w:name="_Toc27154"/>
      <w:bookmarkStart w:id="1137" w:name="_Toc21588"/>
      <w:bookmarkStart w:id="1138" w:name="_Toc5166"/>
      <w:bookmarkStart w:id="1139" w:name="_Toc13147"/>
      <w:bookmarkStart w:id="1140" w:name="_Toc7866"/>
      <w:bookmarkStart w:id="1141" w:name="_Toc7997"/>
      <w:bookmarkStart w:id="1142" w:name="_Toc10702"/>
      <w:bookmarkStart w:id="1143" w:name="_Toc30955"/>
      <w:r>
        <w:rPr>
          <w:rFonts w:hint="eastAsia" w:ascii="仿宋" w:hAnsi="仿宋" w:eastAsia="仿宋" w:cs="仿宋"/>
          <w:color w:val="auto"/>
          <w:highlight w:val="none"/>
          <w:lang w:eastAsia="zh-CN"/>
        </w:rPr>
        <w:t>□ 需要试车的，试车的内容和要求：</w:t>
      </w:r>
      <w:bookmarkEnd w:id="1133"/>
      <w:bookmarkEnd w:id="1134"/>
      <w:bookmarkEnd w:id="1135"/>
      <w:bookmarkEnd w:id="1136"/>
      <w:bookmarkEnd w:id="1137"/>
      <w:bookmarkEnd w:id="1138"/>
      <w:bookmarkEnd w:id="1139"/>
      <w:bookmarkEnd w:id="1140"/>
      <w:bookmarkEnd w:id="1141"/>
      <w:bookmarkEnd w:id="1142"/>
      <w:bookmarkEnd w:id="1143"/>
      <w:r>
        <w:rPr>
          <w:rFonts w:hint="eastAsia" w:ascii="仿宋" w:hAnsi="仿宋" w:eastAsia="仿宋" w:cs="仿宋"/>
          <w:color w:val="auto"/>
          <w:highlight w:val="none"/>
          <w:u w:val="single"/>
          <w:lang w:eastAsia="zh-CN"/>
        </w:rPr>
        <w:t xml:space="preserve">                       </w:t>
      </w:r>
      <w:r>
        <w:rPr>
          <w:rFonts w:ascii="仿宋" w:hAnsi="仿宋" w:eastAsia="仿宋" w:cs="仿宋"/>
          <w:color w:val="auto"/>
          <w:highlight w:val="none"/>
          <w:u w:val="single"/>
          <w:lang w:eastAsia="zh-CN"/>
        </w:rPr>
        <w:t xml:space="preserve">       </w:t>
      </w:r>
    </w:p>
    <w:p w14:paraId="04A1B79D">
      <w:pPr>
        <w:pStyle w:val="5"/>
        <w:tabs>
          <w:tab w:val="left" w:pos="420"/>
          <w:tab w:val="left" w:pos="576"/>
        </w:tabs>
        <w:rPr>
          <w:rFonts w:hint="eastAsia" w:ascii="仿宋" w:hAnsi="仿宋" w:eastAsia="仿宋" w:cs="仿宋"/>
          <w:color w:val="auto"/>
          <w:sz w:val="24"/>
          <w:szCs w:val="24"/>
          <w:highlight w:val="none"/>
          <w:lang w:eastAsia="zh-CN"/>
        </w:rPr>
      </w:pPr>
      <w:bookmarkStart w:id="1144" w:name="_Toc13798"/>
      <w:bookmarkStart w:id="1145" w:name="_Toc28792"/>
      <w:bookmarkStart w:id="1146" w:name="_Toc2535"/>
      <w:bookmarkStart w:id="1147" w:name="_Toc7142"/>
      <w:bookmarkStart w:id="1148" w:name="_Toc18101"/>
      <w:bookmarkStart w:id="1149" w:name="_Toc12252"/>
      <w:bookmarkStart w:id="1150" w:name="_Toc19187"/>
      <w:bookmarkStart w:id="1151" w:name="_Toc3900"/>
      <w:bookmarkStart w:id="1152" w:name="_Toc10624958"/>
      <w:bookmarkStart w:id="1153" w:name="_Toc11307"/>
      <w:bookmarkStart w:id="1154" w:name="_Toc13747"/>
      <w:bookmarkStart w:id="1155" w:name="_Toc4764"/>
      <w:bookmarkStart w:id="1156" w:name="_Toc469384114"/>
      <w:bookmarkStart w:id="1157" w:name="_Toc20730"/>
      <w:bookmarkStart w:id="1158" w:name="_Toc13683"/>
      <w:bookmarkStart w:id="1159" w:name="_Toc4906"/>
      <w:bookmarkStart w:id="1160" w:name="_Toc11569"/>
      <w:bookmarkStart w:id="1161" w:name="_Toc19329"/>
      <w:bookmarkStart w:id="1162" w:name="_Toc30339"/>
      <w:r>
        <w:rPr>
          <w:rFonts w:hint="eastAsia" w:ascii="仿宋" w:hAnsi="仿宋" w:eastAsia="仿宋" w:cs="仿宋"/>
          <w:color w:val="auto"/>
          <w:sz w:val="24"/>
          <w:szCs w:val="24"/>
          <w:highlight w:val="none"/>
          <w:lang w:eastAsia="zh-CN"/>
        </w:rPr>
        <w:t>42.工程变更</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4B0DB390">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根据</w:t>
      </w:r>
      <w:r>
        <w:rPr>
          <w:rFonts w:hint="eastAsia" w:ascii="仿宋" w:hAnsi="仿宋" w:eastAsia="仿宋"/>
          <w:color w:val="auto"/>
          <w:highlight w:val="none"/>
          <w:lang w:eastAsia="zh-CN"/>
        </w:rPr>
        <w:t>发包人的相关规定执行</w:t>
      </w:r>
      <w:r>
        <w:rPr>
          <w:rFonts w:hint="eastAsia" w:ascii="仿宋" w:hAnsi="仿宋" w:eastAsia="仿宋" w:cs="仿宋"/>
          <w:color w:val="auto"/>
          <w:highlight w:val="none"/>
          <w:lang w:eastAsia="zh-CN"/>
        </w:rPr>
        <w:t>，工程变更指在建设项目实施过程中，因政策调整、施工条件、技术条件、工程现场实际情况等因素变化，依合同约定及相关主管部门文件规定等原因，对项目功能定位、建设规模、建构筑物结构、技术标准、设计方案、工艺工法等进行的调整。</w:t>
      </w:r>
    </w:p>
    <w:p w14:paraId="67AE779F">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42.1 承包人提出工程变更建议</w:t>
      </w:r>
    </w:p>
    <w:p w14:paraId="2B300693">
      <w:pPr>
        <w:spacing w:line="360" w:lineRule="auto"/>
        <w:ind w:firstLine="120" w:firstLineChars="50"/>
        <w:rPr>
          <w:rFonts w:hint="eastAsia" w:ascii="仿宋" w:hAnsi="仿宋" w:eastAsia="仿宋" w:cs="仿宋"/>
          <w:b/>
          <w:bCs/>
          <w:color w:val="auto"/>
          <w:highlight w:val="none"/>
          <w:lang w:eastAsia="zh-CN"/>
        </w:rPr>
      </w:pPr>
      <w:r>
        <w:rPr>
          <w:rFonts w:hint="eastAsia" w:ascii="仿宋" w:hAnsi="仿宋" w:eastAsia="仿宋" w:cs="仿宋"/>
          <w:color w:val="auto"/>
          <w:highlight w:val="none"/>
          <w:lang w:eastAsia="zh-CN"/>
        </w:rPr>
        <w:t xml:space="preserve">   发包人采纳承包人建议带来利益的计奖方法：</w:t>
      </w:r>
      <w:r>
        <w:rPr>
          <w:rFonts w:hint="eastAsia" w:ascii="仿宋" w:hAnsi="仿宋" w:eastAsia="仿宋" w:cs="仿宋"/>
          <w:color w:val="auto"/>
          <w:highlight w:val="none"/>
          <w:u w:val="single"/>
          <w:lang w:eastAsia="zh-CN"/>
        </w:rPr>
        <w:t xml:space="preserve">  /      </w:t>
      </w:r>
    </w:p>
    <w:p w14:paraId="6C78F9E2">
      <w:pPr>
        <w:spacing w:line="360" w:lineRule="auto"/>
        <w:ind w:firstLine="480" w:firstLineChars="200"/>
        <w:rPr>
          <w:rFonts w:hint="eastAsia" w:ascii="仿宋" w:hAnsi="仿宋" w:eastAsia="仿宋"/>
          <w:color w:val="auto"/>
          <w:highlight w:val="none"/>
          <w:u w:val="single"/>
          <w:lang w:eastAsia="zh-CN"/>
        </w:rPr>
      </w:pPr>
      <w:bookmarkStart w:id="1163" w:name="_Toc21989"/>
      <w:r>
        <w:rPr>
          <w:rFonts w:hint="eastAsia" w:ascii="仿宋" w:hAnsi="仿宋" w:eastAsia="仿宋" w:cs="仿宋"/>
          <w:color w:val="auto"/>
          <w:highlight w:val="none"/>
          <w:u w:val="single"/>
          <w:lang w:eastAsia="zh-CN"/>
        </w:rPr>
        <w:t>42.2变更审查和批准</w:t>
      </w:r>
    </w:p>
    <w:p w14:paraId="7817540D">
      <w:pPr>
        <w:pStyle w:val="5"/>
        <w:tabs>
          <w:tab w:val="left" w:pos="420"/>
          <w:tab w:val="left" w:pos="576"/>
        </w:tabs>
        <w:rPr>
          <w:rFonts w:hint="eastAsia" w:ascii="仿宋" w:hAnsi="仿宋" w:eastAsia="仿宋" w:cs="仿宋"/>
          <w:color w:val="auto"/>
          <w:sz w:val="24"/>
          <w:szCs w:val="24"/>
          <w:highlight w:val="none"/>
          <w:lang w:eastAsia="zh-CN"/>
        </w:rPr>
      </w:pPr>
      <w:bookmarkStart w:id="1164" w:name="_Toc1546"/>
      <w:bookmarkStart w:id="1165" w:name="_Toc12723"/>
      <w:bookmarkStart w:id="1166" w:name="_Toc6221"/>
      <w:bookmarkStart w:id="1167" w:name="_Toc6682"/>
      <w:bookmarkStart w:id="1168" w:name="_Toc28660"/>
      <w:bookmarkStart w:id="1169" w:name="_Toc28064"/>
      <w:bookmarkStart w:id="1170" w:name="_Toc10624959"/>
      <w:bookmarkStart w:id="1171" w:name="_Toc20141"/>
      <w:bookmarkStart w:id="1172" w:name="_Toc8291"/>
      <w:bookmarkStart w:id="1173" w:name="_Toc4723"/>
      <w:bookmarkStart w:id="1174" w:name="_Toc469384115"/>
      <w:bookmarkStart w:id="1175" w:name="_Toc11847"/>
      <w:bookmarkStart w:id="1176" w:name="_Toc32483"/>
      <w:bookmarkStart w:id="1177" w:name="_Toc16527"/>
      <w:bookmarkStart w:id="1178" w:name="_Toc10541"/>
      <w:bookmarkStart w:id="1179" w:name="_Toc4699"/>
      <w:bookmarkStart w:id="1180" w:name="_Toc30881"/>
      <w:bookmarkStart w:id="1181" w:name="_Toc6171"/>
      <w:bookmarkStart w:id="1182" w:name="_Toc16011"/>
      <w:r>
        <w:rPr>
          <w:rFonts w:hint="eastAsia" w:ascii="仿宋" w:hAnsi="仿宋" w:eastAsia="仿宋" w:cs="仿宋"/>
          <w:color w:val="auto"/>
          <w:sz w:val="24"/>
          <w:szCs w:val="24"/>
          <w:highlight w:val="none"/>
          <w:lang w:eastAsia="zh-CN"/>
        </w:rPr>
        <w:t>★43</w:t>
      </w:r>
      <w:r>
        <w:rPr>
          <w:rFonts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eastAsia="zh-CN"/>
        </w:rPr>
        <w:t>竣工验收</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320067CA">
      <w:pPr>
        <w:ind w:firstLine="120" w:firstLineChars="50"/>
        <w:rPr>
          <w:rFonts w:hint="eastAsia" w:ascii="仿宋" w:hAnsi="仿宋" w:eastAsia="仿宋"/>
          <w:color w:val="auto"/>
          <w:highlight w:val="none"/>
          <w:lang w:eastAsia="zh-CN"/>
        </w:rPr>
      </w:pPr>
    </w:p>
    <w:p w14:paraId="549A8DF8">
      <w:pPr>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b/>
          <w:bCs/>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43</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竣工验收标准</w:t>
      </w:r>
    </w:p>
    <w:p w14:paraId="484537EA">
      <w:pPr>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合同工程竣工验收标准：</w:t>
      </w:r>
      <w:r>
        <w:rPr>
          <w:rFonts w:ascii="仿宋" w:hAnsi="仿宋" w:eastAsia="仿宋" w:cs="仿宋"/>
          <w:color w:val="auto"/>
          <w:highlight w:val="none"/>
          <w:u w:val="single"/>
          <w:lang w:eastAsia="zh-CN"/>
        </w:rPr>
        <w:t xml:space="preserve">                                                               </w:t>
      </w:r>
    </w:p>
    <w:p w14:paraId="227ED72A">
      <w:pPr>
        <w:rPr>
          <w:rFonts w:hint="eastAsia" w:ascii="仿宋" w:hAnsi="仿宋" w:eastAsia="仿宋"/>
          <w:color w:val="auto"/>
          <w:highlight w:val="none"/>
          <w:lang w:eastAsia="zh-CN"/>
        </w:rPr>
      </w:pPr>
    </w:p>
    <w:p w14:paraId="771120D9">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b/>
          <w:bCs/>
          <w:color w:val="auto"/>
          <w:highlight w:val="none"/>
          <w:lang w:eastAsia="zh-CN"/>
        </w:rPr>
        <w:t>★</w:t>
      </w:r>
      <w:r>
        <w:rPr>
          <w:rFonts w:hint="eastAsia" w:ascii="仿宋" w:hAnsi="仿宋" w:eastAsia="仿宋" w:cs="仿宋"/>
          <w:color w:val="auto"/>
          <w:highlight w:val="none"/>
          <w:lang w:eastAsia="zh-CN"/>
        </w:rPr>
        <w:t>43</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单位工程和工程部位验收</w:t>
      </w:r>
    </w:p>
    <w:p w14:paraId="672626AE">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A3"/>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合同工程无单位工程、无工程部位提前验收的，本款不适用。</w:t>
      </w:r>
    </w:p>
    <w:p w14:paraId="3DA6D92C">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合同工程单位工程或工程部位需提前验收的，各单位工程或工程部位的名称、竣工验收时间和范围如下：</w:t>
      </w:r>
    </w:p>
    <w:p w14:paraId="44E63F68">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按协议书中的工期节点要求</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501B4B20">
      <w:pPr>
        <w:rPr>
          <w:rFonts w:hint="eastAsia" w:ascii="仿宋" w:hAnsi="仿宋" w:eastAsia="仿宋" w:cs="仿宋"/>
          <w:color w:val="auto"/>
          <w:highlight w:val="none"/>
          <w:lang w:eastAsia="zh-CN"/>
        </w:rPr>
      </w:pPr>
    </w:p>
    <w:p w14:paraId="421DFC5E">
      <w:pPr>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43</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3</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施工期运行</w:t>
      </w:r>
    </w:p>
    <w:p w14:paraId="136771A7">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合同工程无单位工程、无工程部位在施工期运行的，本款不适用。</w:t>
      </w:r>
    </w:p>
    <w:p w14:paraId="027FBC6F">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合同工程单位工程或工程部位需在施工期运行的，各单位工程或工程部位的名称、运行时间如下：</w:t>
      </w:r>
    </w:p>
    <w:p w14:paraId="796C9A9B">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（名称）工程或部位，运行时间为</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p>
    <w:p w14:paraId="56741390">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（名称）工程或部位，运行时间为</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p>
    <w:p w14:paraId="3E1F5168">
      <w:pPr>
        <w:rPr>
          <w:rFonts w:hint="eastAsia" w:ascii="仿宋" w:hAnsi="仿宋" w:eastAsia="仿宋"/>
          <w:color w:val="auto"/>
          <w:highlight w:val="none"/>
          <w:lang w:eastAsia="zh-CN"/>
        </w:rPr>
      </w:pPr>
    </w:p>
    <w:p w14:paraId="5282D14E">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43</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4</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竣工清场</w:t>
      </w:r>
    </w:p>
    <w:p w14:paraId="7FA484F5">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w:t>
      </w:r>
    </w:p>
    <w:p w14:paraId="658DB339">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lang w:eastAsia="zh-CN"/>
        </w:rPr>
        <w:t xml:space="preserve"> </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0821743E">
      <w:pPr>
        <w:rPr>
          <w:rFonts w:hint="eastAsia" w:ascii="仿宋" w:hAnsi="仿宋" w:eastAsia="仿宋" w:cs="仿宋"/>
          <w:color w:val="auto"/>
          <w:highlight w:val="none"/>
          <w:lang w:eastAsia="zh-CN"/>
        </w:rPr>
      </w:pPr>
    </w:p>
    <w:p w14:paraId="06751C8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43</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5施工队伍的撤离</w:t>
      </w:r>
    </w:p>
    <w:p w14:paraId="55D4551D">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按通用条款规定，承包人的人员和施工设备全部撤离施工现场。</w:t>
      </w:r>
    </w:p>
    <w:p w14:paraId="4DD20CDB">
      <w:pPr>
        <w:spacing w:line="360" w:lineRule="auto"/>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p>
    <w:p w14:paraId="0E4406CD">
      <w:pPr>
        <w:spacing w:line="360" w:lineRule="auto"/>
        <w:rPr>
          <w:rFonts w:hint="eastAsia" w:ascii="仿宋" w:hAnsi="仿宋" w:eastAsia="仿宋" w:cs="仿宋"/>
          <w:color w:val="auto"/>
          <w:highlight w:val="none"/>
          <w:u w:val="single"/>
          <w:lang w:eastAsia="zh-CN"/>
        </w:rPr>
      </w:pPr>
    </w:p>
    <w:p w14:paraId="62C5A6C2">
      <w:pPr>
        <w:pStyle w:val="5"/>
        <w:tabs>
          <w:tab w:val="left" w:pos="420"/>
          <w:tab w:val="left" w:pos="576"/>
        </w:tabs>
        <w:rPr>
          <w:rFonts w:hint="eastAsia" w:ascii="仿宋" w:hAnsi="仿宋" w:eastAsia="仿宋"/>
          <w:color w:val="auto"/>
          <w:sz w:val="24"/>
          <w:szCs w:val="24"/>
          <w:highlight w:val="none"/>
          <w:lang w:eastAsia="zh-CN"/>
        </w:rPr>
      </w:pPr>
      <w:bookmarkStart w:id="1183" w:name="_Toc24656"/>
      <w:bookmarkStart w:id="1184" w:name="_Toc18078"/>
      <w:bookmarkStart w:id="1185" w:name="_Toc25065"/>
      <w:bookmarkStart w:id="1186" w:name="_Toc14510"/>
      <w:bookmarkStart w:id="1187" w:name="_Toc24027"/>
      <w:bookmarkStart w:id="1188" w:name="_Toc10624960"/>
      <w:bookmarkStart w:id="1189" w:name="_Toc469384116"/>
      <w:bookmarkStart w:id="1190" w:name="_Toc21281"/>
      <w:bookmarkStart w:id="1191" w:name="_Toc25287"/>
      <w:bookmarkStart w:id="1192" w:name="_Toc6866"/>
      <w:bookmarkStart w:id="1193" w:name="_Toc27956"/>
      <w:bookmarkStart w:id="1194" w:name="_Toc23586"/>
      <w:bookmarkStart w:id="1195" w:name="_Toc14829"/>
      <w:bookmarkStart w:id="1196" w:name="_Toc19852"/>
      <w:bookmarkStart w:id="1197" w:name="_Toc19219"/>
      <w:bookmarkStart w:id="1198" w:name="_Toc6265"/>
      <w:bookmarkStart w:id="1199" w:name="_Toc4831"/>
      <w:bookmarkStart w:id="1200" w:name="_Toc3371"/>
      <w:bookmarkStart w:id="1201" w:name="_Toc5977"/>
      <w:r>
        <w:rPr>
          <w:rFonts w:hint="eastAsia" w:ascii="仿宋" w:hAnsi="仿宋" w:eastAsia="仿宋" w:cs="仿宋"/>
          <w:color w:val="auto"/>
          <w:sz w:val="24"/>
          <w:szCs w:val="24"/>
          <w:highlight w:val="none"/>
          <w:lang w:eastAsia="zh-CN"/>
        </w:rPr>
        <w:t>44</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缺陷责任与质量保修</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539B5AD5">
      <w:pPr>
        <w:rPr>
          <w:rFonts w:hint="eastAsia" w:ascii="仿宋" w:hAnsi="仿宋" w:eastAsia="仿宋"/>
          <w:color w:val="auto"/>
          <w:highlight w:val="none"/>
          <w:lang w:eastAsia="zh-CN"/>
        </w:rPr>
      </w:pPr>
    </w:p>
    <w:p w14:paraId="09F88EF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44</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缺陷责任期计算</w:t>
      </w:r>
    </w:p>
    <w:p w14:paraId="1F91A806">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缺陷责任期：</w:t>
      </w:r>
      <w:r>
        <w:rPr>
          <w:rFonts w:hint="eastAsia" w:ascii="仿宋" w:hAnsi="仿宋" w:eastAsia="仿宋" w:cs="仿宋"/>
          <w:color w:val="auto"/>
          <w:highlight w:val="none"/>
          <w:u w:val="single"/>
          <w:lang w:eastAsia="zh-CN"/>
        </w:rPr>
        <w:t>缺陷责任期为实际竣工之日起计算，具体详见附件：工程缺陷责任与质量保修书。</w:t>
      </w:r>
    </w:p>
    <w:p w14:paraId="31E79F2F">
      <w:pPr>
        <w:spacing w:line="360" w:lineRule="auto"/>
        <w:rPr>
          <w:rFonts w:hint="eastAsia" w:ascii="仿宋" w:hAnsi="仿宋" w:eastAsia="仿宋"/>
          <w:color w:val="auto"/>
          <w:highlight w:val="none"/>
          <w:lang w:eastAsia="zh-CN"/>
        </w:rPr>
      </w:pPr>
    </w:p>
    <w:p w14:paraId="1DD29FF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44.2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质量保修期计算</w:t>
      </w:r>
    </w:p>
    <w:p w14:paraId="344FDB64">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质量保修期：缺陷责任期届满后，承包人仍应按照工程质量保修的各部位保修年限承担保修义务，保修期自各实际竣工之日起计算。具体详见附件：工程缺陷责任与质量保修书 。</w:t>
      </w:r>
      <w:r>
        <w:rPr>
          <w:rFonts w:hint="eastAsia" w:ascii="仿宋" w:hAnsi="仿宋" w:eastAsia="仿宋"/>
          <w:color w:val="auto"/>
          <w:highlight w:val="none"/>
          <w:lang w:eastAsia="zh-CN"/>
        </w:rPr>
        <w:t xml:space="preserve">    </w:t>
      </w:r>
    </w:p>
    <w:p w14:paraId="76A04D30">
      <w:pPr>
        <w:spacing w:line="360" w:lineRule="auto"/>
        <w:ind w:firstLine="480"/>
        <w:rPr>
          <w:color w:val="auto"/>
          <w:highlight w:val="none"/>
          <w:lang w:eastAsia="zh-CN"/>
        </w:rPr>
      </w:pPr>
      <w:r>
        <w:rPr>
          <w:rFonts w:hint="eastAsia" w:ascii="仿宋" w:hAnsi="仿宋" w:eastAsia="仿宋"/>
          <w:color w:val="auto"/>
          <w:highlight w:val="none"/>
          <w:lang w:eastAsia="zh-CN"/>
        </w:rPr>
        <w:t>在工程质量缺陷责任期内，因工程质量缺陷承包人维修一次后，同一部位再出现类似问题，承包人除再次进行维修外，发包人有权要求承包人承担1次一般违约责任处罚；若历经两次（含两次）以上维修，仍然不能解决问题，发包人有权要求承包人承担1次较大违约责任处罚，发包人有权委托其他施工单位进行维修且处理结果不再经承包人确认（发包人将处理情况知会承包人），由此引起的一切费用和责任由承包人负责；若维修过程中给发包人造成损失的，由承包人负责赔偿。</w:t>
      </w:r>
    </w:p>
    <w:p w14:paraId="7EBE1DAC">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bookmarkStart w:id="1202" w:name="_Toc5154"/>
      <w:bookmarkStart w:id="1203" w:name="_Toc6403"/>
      <w:bookmarkStart w:id="1204" w:name="_Toc8054"/>
      <w:bookmarkStart w:id="1205" w:name="_Toc17722"/>
      <w:bookmarkStart w:id="1206" w:name="_Toc3487"/>
      <w:bookmarkStart w:id="1207" w:name="_Toc10938"/>
      <w:bookmarkStart w:id="1208" w:name="_Toc7787"/>
      <w:bookmarkStart w:id="1209" w:name="_Toc31126"/>
      <w:bookmarkStart w:id="1210" w:name="_Toc20137"/>
      <w:bookmarkStart w:id="1211" w:name="_Toc6694"/>
      <w:bookmarkStart w:id="1212" w:name="_Toc4105"/>
      <w:bookmarkStart w:id="1213" w:name="_Toc5004"/>
      <w:bookmarkStart w:id="1214" w:name="_Toc31797"/>
      <w:bookmarkStart w:id="1215" w:name="_Toc26771"/>
      <w:r>
        <w:rPr>
          <w:rFonts w:hint="eastAsia" w:ascii="仿宋" w:hAnsi="仿宋" w:eastAsia="仿宋" w:cs="仿宋"/>
          <w:b w:val="0"/>
          <w:bCs w:val="0"/>
          <w:color w:val="auto"/>
          <w:sz w:val="24"/>
          <w:szCs w:val="24"/>
          <w:highlight w:val="none"/>
          <w:lang w:eastAsia="zh-CN"/>
        </w:rPr>
        <w:t>45.联合体牵头人项目管理费</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5E855DC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承包人为非联合体的，本条不适用。</w:t>
      </w:r>
    </w:p>
    <w:p w14:paraId="3D6B4C5F">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承包人为联合体的，牵头人项目管理费的约定：</w:t>
      </w:r>
    </w:p>
    <w:p w14:paraId="585DB160">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①联合体牵头人项目管理费的金额，按本合同协议书约定的金额执行</w:t>
      </w:r>
      <w:r>
        <w:rPr>
          <w:rFonts w:ascii="仿宋" w:hAnsi="仿宋" w:eastAsia="仿宋" w:cs="仿宋"/>
          <w:color w:val="auto"/>
          <w:highlight w:val="none"/>
          <w:lang w:eastAsia="zh-CN"/>
        </w:rPr>
        <w:t>。</w:t>
      </w:r>
    </w:p>
    <w:p w14:paraId="1D6A9A0D">
      <w:pPr>
        <w:numPr>
          <w:ilvl w:val="255"/>
          <w:numId w:val="0"/>
        </w:num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②发包人向承包人支付牵头人项目管理费的时间、比例：</w:t>
      </w:r>
    </w:p>
    <w:p w14:paraId="1DA4A6F6">
      <w:pPr>
        <w:numPr>
          <w:ilvl w:val="255"/>
          <w:numId w:val="0"/>
        </w:num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③牵头人及其授权的承包人代表不作为或存在过错，发包人有权部分或全部扣除该费用，扣除金额或比例：</w:t>
      </w:r>
    </w:p>
    <w:p w14:paraId="50A5F4B9">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eastAsia="zh-CN"/>
        </w:rPr>
        <w:t>联合体牵头人项目管理费已包含在设计费中，不另外计取，合同金额不变。</w:t>
      </w:r>
    </w:p>
    <w:p w14:paraId="09AA3062">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bookmarkStart w:id="1216" w:name="_Toc16232"/>
      <w:bookmarkStart w:id="1217" w:name="_Toc7920"/>
      <w:bookmarkStart w:id="1218" w:name="_Toc12504"/>
      <w:bookmarkStart w:id="1219" w:name="_Toc3569"/>
      <w:bookmarkStart w:id="1220" w:name="_Toc10232"/>
      <w:bookmarkStart w:id="1221" w:name="_Toc11432"/>
      <w:bookmarkStart w:id="1222" w:name="_Toc29910"/>
      <w:bookmarkStart w:id="1223" w:name="_Toc16760"/>
      <w:bookmarkStart w:id="1224" w:name="_Toc9579"/>
      <w:bookmarkStart w:id="1225" w:name="_Toc5256"/>
      <w:bookmarkStart w:id="1226" w:name="_Toc8503"/>
      <w:bookmarkStart w:id="1227" w:name="_Toc15298"/>
      <w:bookmarkStart w:id="1228" w:name="_Toc7404"/>
      <w:bookmarkStart w:id="1229" w:name="_Toc17651"/>
      <w:bookmarkStart w:id="1230" w:name="_Toc155189214"/>
      <w:r>
        <w:rPr>
          <w:rFonts w:hint="eastAsia" w:ascii="仿宋" w:hAnsi="仿宋" w:eastAsia="仿宋" w:cs="仿宋"/>
          <w:b w:val="0"/>
          <w:bCs w:val="0"/>
          <w:color w:val="auto"/>
          <w:sz w:val="24"/>
          <w:szCs w:val="24"/>
          <w:highlight w:val="none"/>
          <w:lang w:eastAsia="zh-CN"/>
        </w:rPr>
        <w:t>★46. 工作量或工程量</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10EC48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71.1 清单工程量包括的工作内容</w:t>
      </w:r>
    </w:p>
    <w:p w14:paraId="0E96D108">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按通用条款约定。</w:t>
      </w:r>
    </w:p>
    <w:p w14:paraId="4ADDCCCA">
      <w:pPr>
        <w:pStyle w:val="2"/>
        <w:ind w:firstLine="480" w:firstLineChars="200"/>
        <w:rPr>
          <w:rFonts w:hint="eastAsia" w:ascii="仿宋" w:hAnsi="仿宋" w:eastAsia="仿宋" w:cs="仿宋"/>
          <w:color w:val="auto"/>
          <w:sz w:val="24"/>
          <w:szCs w:val="24"/>
          <w:highlight w:val="none"/>
          <w:lang w:eastAsia="zh-CN" w:bidi="en-US"/>
        </w:rPr>
      </w:pPr>
      <w:r>
        <w:rPr>
          <w:rFonts w:hint="eastAsia" w:ascii="仿宋" w:hAnsi="仿宋" w:eastAsia="仿宋" w:cs="仿宋"/>
          <w:color w:val="auto"/>
          <w:sz w:val="24"/>
          <w:szCs w:val="24"/>
          <w:highlight w:val="none"/>
          <w:lang w:eastAsia="zh-CN" w:bidi="en-US"/>
        </w:rPr>
        <w:sym w:font="Wingdings 2" w:char="F052"/>
      </w:r>
      <w:r>
        <w:rPr>
          <w:rFonts w:hint="eastAsia" w:ascii="仿宋" w:hAnsi="仿宋" w:eastAsia="仿宋" w:cs="仿宋"/>
          <w:color w:val="auto"/>
          <w:sz w:val="24"/>
          <w:szCs w:val="24"/>
          <w:highlight w:val="none"/>
          <w:lang w:eastAsia="zh-CN" w:bidi="en-US"/>
        </w:rPr>
        <w:t xml:space="preserve"> 另作约定：本次为模拟清单招标，以经发包人审核确认的施工图预算为准。 </w:t>
      </w:r>
    </w:p>
    <w:p w14:paraId="3A0633A8">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★47. 计量和计价</w:t>
      </w:r>
    </w:p>
    <w:p w14:paraId="1AF87872">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47.1 计量和计价的依据</w:t>
      </w:r>
    </w:p>
    <w:p w14:paraId="49315AAC">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47.1.1 工程勘察费的计量规则与计价办法</w:t>
      </w:r>
    </w:p>
    <w:p w14:paraId="0570473D">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总价合同：</w:t>
      </w:r>
    </w:p>
    <w:p w14:paraId="3F699EF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计量规则与计价办法：按协议书约定的价格总价包干，除合同约定允许调整的事项外，合同总价不予调整。</w:t>
      </w:r>
    </w:p>
    <w:p w14:paraId="52043F39">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结算价＝协议书约定的相应总价±合同约定的价格调整</w:t>
      </w:r>
    </w:p>
    <w:p w14:paraId="07FA513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□总价合同＋部分单价合同</w:t>
      </w:r>
    </w:p>
    <w:p w14:paraId="290A66DA">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xml:space="preserve">①适用范围：总价合同的范围为 </w:t>
      </w:r>
      <w:r>
        <w:rPr>
          <w:rFonts w:hint="eastAsia" w:ascii="仿宋" w:hAnsi="仿宋" w:eastAsia="仿宋" w:cs="仿宋"/>
          <w:color w:val="auto"/>
          <w:highlight w:val="none"/>
          <w:u w:val="single"/>
          <w:lang w:eastAsia="zh-CN"/>
        </w:rPr>
        <w:t xml:space="preserve">                               ；</w:t>
      </w:r>
    </w:p>
    <w:p w14:paraId="0F1871B2">
      <w:pPr>
        <w:spacing w:line="360" w:lineRule="auto"/>
        <w:ind w:firstLine="600" w:firstLineChars="2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单价合同的范围为： </w:t>
      </w:r>
      <w:r>
        <w:rPr>
          <w:rFonts w:hint="eastAsia" w:ascii="仿宋" w:hAnsi="仿宋" w:eastAsia="仿宋" w:cs="仿宋"/>
          <w:color w:val="auto"/>
          <w:highlight w:val="none"/>
          <w:u w:val="single"/>
          <w:lang w:eastAsia="zh-CN"/>
        </w:rPr>
        <w:t xml:space="preserve">                             ；</w:t>
      </w:r>
    </w:p>
    <w:p w14:paraId="37CE6B7E">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②计量规则与计价办法：</w:t>
      </w:r>
    </w:p>
    <w:p w14:paraId="04FE9299">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采用总价合同的部分，按协议书约定的价格总价包干，除合同约定允许调整的事项外，合同总价不予调整。</w:t>
      </w:r>
    </w:p>
    <w:p w14:paraId="354AB88C">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采用单价合同的部分，按岩土工程勘探工作量（米）综合单价包干，除合同约定可以调整的事项外，工作量或工程量按实计算，综合</w:t>
      </w:r>
      <w:r>
        <w:rPr>
          <w:rFonts w:ascii="仿宋" w:hAnsi="仿宋" w:eastAsia="仿宋" w:cs="仿宋"/>
          <w:color w:val="auto"/>
          <w:highlight w:val="none"/>
          <w:lang w:eastAsia="zh-CN"/>
        </w:rPr>
        <w:t>单价不</w:t>
      </w:r>
      <w:r>
        <w:rPr>
          <w:rFonts w:hint="eastAsia" w:ascii="仿宋" w:hAnsi="仿宋" w:eastAsia="仿宋" w:cs="仿宋"/>
          <w:color w:val="auto"/>
          <w:highlight w:val="none"/>
          <w:lang w:eastAsia="zh-CN"/>
        </w:rPr>
        <w:t>予</w:t>
      </w:r>
      <w:r>
        <w:rPr>
          <w:rFonts w:ascii="仿宋" w:hAnsi="仿宋" w:eastAsia="仿宋" w:cs="仿宋"/>
          <w:color w:val="auto"/>
          <w:highlight w:val="none"/>
          <w:lang w:eastAsia="zh-CN"/>
        </w:rPr>
        <w:t>调整</w:t>
      </w:r>
      <w:r>
        <w:rPr>
          <w:rFonts w:hint="eastAsia" w:ascii="仿宋" w:hAnsi="仿宋" w:eastAsia="仿宋" w:cs="仿宋"/>
          <w:color w:val="auto"/>
          <w:highlight w:val="none"/>
          <w:lang w:eastAsia="zh-CN"/>
        </w:rPr>
        <w:t>。实际工作量或工程量是在满足现行岩土工程勘察规范以及设计需求的条件下，并经设计顾问人及发包人审核确认后的工作量或工程量。工程勘察费为完成本工程所需的所有工程勘察工作的全部实物工作收费、技术工作收费、辅助工作收费（包括但不限于协助办理相关许可、收集资料、拆除障碍物、修通现场作业道路及接通水源和电源、平整场地、勘察材料及加工等）等全部费用，发包人不另行补偿其他费用。各项目勘察工作发生的费用，统一在岩土勘察费中综合考虑。</w:t>
      </w:r>
    </w:p>
    <w:p w14:paraId="0E9698D9">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结算价＝采用总价合同部分的结算价（A）+采用单价合同的部分的结算价（B）</w:t>
      </w:r>
    </w:p>
    <w:p w14:paraId="427262F9">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其中：A＝协议书约定的相应总价±合同约定的价格调整</w:t>
      </w:r>
    </w:p>
    <w:p w14:paraId="394BAF64">
      <w:pPr>
        <w:spacing w:line="360" w:lineRule="auto"/>
        <w:ind w:firstLine="600" w:firstLineChars="2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B＝中标综合单价×实际数量</w:t>
      </w:r>
    </w:p>
    <w:p w14:paraId="27946D5D">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 xml:space="preserve"> 另作约定：</w:t>
      </w:r>
      <w:r>
        <w:rPr>
          <w:rFonts w:hint="eastAsia" w:ascii="仿宋" w:hAnsi="仿宋" w:eastAsia="仿宋" w:cs="仿宋"/>
          <w:color w:val="auto"/>
          <w:highlight w:val="none"/>
          <w:u w:val="single"/>
          <w:lang w:eastAsia="zh-CN"/>
        </w:rPr>
        <w:t>本合同项目无工程勘察费。</w:t>
      </w:r>
    </w:p>
    <w:p w14:paraId="0434610E">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47.1.2 工程设计费的计量规则与计价办法</w:t>
      </w:r>
    </w:p>
    <w:p w14:paraId="687C0883">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 xml:space="preserve"> 总价合同：按协议书约定的价格总价包干，除合同约定允许调整的事项外，总价不予调整。</w:t>
      </w:r>
    </w:p>
    <w:p w14:paraId="795F6CCB">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另作约定：</w:t>
      </w:r>
      <w:r>
        <w:rPr>
          <w:rFonts w:hint="eastAsia" w:ascii="仿宋" w:hAnsi="仿宋" w:eastAsia="仿宋" w:cs="仿宋"/>
          <w:color w:val="auto"/>
          <w:highlight w:val="none"/>
          <w:u w:val="single"/>
          <w:lang w:eastAsia="zh-CN"/>
        </w:rPr>
        <w:t>。</w:t>
      </w:r>
    </w:p>
    <w:p w14:paraId="5CDD947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47.1.3  BIM技术应用费的计量规则与计价办法</w:t>
      </w:r>
    </w:p>
    <w:p w14:paraId="3B9588A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 总价合同：按协议书约定的价格总价包干，除合同约定允许调整的事项外，总价不予调整。</w:t>
      </w:r>
    </w:p>
    <w:p w14:paraId="72A825F6">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 另作约定：</w:t>
      </w:r>
      <w:r>
        <w:rPr>
          <w:rFonts w:hint="eastAsia" w:ascii="仿宋" w:hAnsi="仿宋" w:eastAsia="仿宋" w:cs="仿宋"/>
          <w:color w:val="auto"/>
          <w:highlight w:val="none"/>
          <w:u w:val="single"/>
          <w:lang w:eastAsia="zh-CN"/>
        </w:rPr>
        <w:t>采用单价合同，除合同约定可以调整的事项外，最终建筑面积以规划验收建筑面积为准，综合</w:t>
      </w:r>
      <w:r>
        <w:rPr>
          <w:rFonts w:ascii="仿宋" w:hAnsi="仿宋" w:eastAsia="仿宋" w:cs="仿宋"/>
          <w:color w:val="auto"/>
          <w:highlight w:val="none"/>
          <w:u w:val="single"/>
          <w:lang w:eastAsia="zh-CN"/>
        </w:rPr>
        <w:t>单价不</w:t>
      </w:r>
      <w:r>
        <w:rPr>
          <w:rFonts w:hint="eastAsia" w:ascii="仿宋" w:hAnsi="仿宋" w:eastAsia="仿宋" w:cs="仿宋"/>
          <w:color w:val="auto"/>
          <w:highlight w:val="none"/>
          <w:u w:val="single"/>
          <w:lang w:eastAsia="zh-CN"/>
        </w:rPr>
        <w:t>予</w:t>
      </w:r>
      <w:r>
        <w:rPr>
          <w:rFonts w:ascii="仿宋" w:hAnsi="仿宋" w:eastAsia="仿宋" w:cs="仿宋"/>
          <w:color w:val="auto"/>
          <w:highlight w:val="none"/>
          <w:u w:val="single"/>
          <w:lang w:eastAsia="zh-CN"/>
        </w:rPr>
        <w:t>调整</w:t>
      </w:r>
      <w:r>
        <w:rPr>
          <w:rFonts w:hint="eastAsia" w:ascii="仿宋" w:hAnsi="仿宋" w:eastAsia="仿宋" w:cs="仿宋"/>
          <w:color w:val="auto"/>
          <w:highlight w:val="none"/>
          <w:u w:val="single"/>
          <w:lang w:eastAsia="zh-CN"/>
        </w:rPr>
        <w:t>。</w:t>
      </w:r>
    </w:p>
    <w:p w14:paraId="37C55085">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47.1.4 设备及工器具购置费的计量规则与计价办法：</w:t>
      </w:r>
      <w:r>
        <w:rPr>
          <w:rFonts w:hint="eastAsia" w:ascii="仿宋" w:hAnsi="仿宋" w:eastAsia="仿宋" w:cs="仿宋"/>
          <w:color w:val="auto"/>
          <w:highlight w:val="none"/>
          <w:u w:val="single"/>
          <w:lang w:eastAsia="zh-CN"/>
        </w:rPr>
        <w:t>本合同项目无设备及工器具购置费。</w:t>
      </w:r>
    </w:p>
    <w:p w14:paraId="27AEC56D">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47.1.5 建筑安装工程费的计量规则与计价办法</w:t>
      </w:r>
    </w:p>
    <w:p w14:paraId="76D8A888">
      <w:pPr>
        <w:pStyle w:val="2"/>
        <w:adjustRightInd w:val="0"/>
        <w:snapToGrid w:val="0"/>
        <w:spacing w:line="360" w:lineRule="auto"/>
        <w:rPr>
          <w:rFonts w:hint="eastAsia" w:ascii="仿宋" w:hAnsi="仿宋" w:eastAsia="仿宋" w:cs="仿宋"/>
          <w:b/>
          <w:bCs/>
          <w:color w:val="auto"/>
          <w:sz w:val="24"/>
          <w:szCs w:val="24"/>
          <w:highlight w:val="none"/>
          <w:lang w:eastAsia="zh-CN"/>
        </w:rPr>
      </w:pP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另作约定：</w:t>
      </w:r>
    </w:p>
    <w:p w14:paraId="70C6639D">
      <w:pPr>
        <w:pStyle w:val="2"/>
        <w:adjustRightInd w:val="0"/>
        <w:snapToGrid w:val="0"/>
        <w:spacing w:line="360" w:lineRule="auto"/>
        <w:ind w:left="1850" w:leftChars="771"/>
        <w:rPr>
          <w:rFonts w:hint="eastAsia" w:ascii="仿宋" w:hAnsi="仿宋" w:eastAsia="仿宋"/>
          <w:b/>
          <w:bCs/>
          <w:color w:val="auto"/>
          <w:sz w:val="24"/>
          <w:szCs w:val="24"/>
          <w:highlight w:val="none"/>
          <w:lang w:eastAsia="zh-CN"/>
        </w:rPr>
      </w:pPr>
      <w:r>
        <w:rPr>
          <w:color w:val="auto"/>
          <w:highlight w:val="none"/>
        </w:rPr>
        <mc:AlternateContent>
          <mc:Choice Requires="wps">
            <w:drawing>
              <wp:anchor distT="0" distB="0" distL="114300" distR="114300" simplePos="0" relativeHeight="251659264" behindDoc="0" locked="0" layoutInCell="1" allowOverlap="1">
                <wp:simplePos x="0" y="0"/>
                <wp:positionH relativeFrom="column">
                  <wp:posOffset>-114300</wp:posOffset>
                </wp:positionH>
                <wp:positionV relativeFrom="paragraph">
                  <wp:posOffset>12700</wp:posOffset>
                </wp:positionV>
                <wp:extent cx="914400" cy="415925"/>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914400" cy="415925"/>
                        </a:xfrm>
                        <a:prstGeom prst="rect">
                          <a:avLst/>
                        </a:prstGeom>
                        <a:noFill/>
                        <a:ln>
                          <a:noFill/>
                        </a:ln>
                      </wps:spPr>
                      <wps:txbx>
                        <w:txbxContent>
                          <w:p w14:paraId="05B201AD">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工程计量和计价的依据</w:t>
                            </w:r>
                          </w:p>
                        </w:txbxContent>
                      </wps:txbx>
                      <wps:bodyPr upright="1"/>
                    </wps:wsp>
                  </a:graphicData>
                </a:graphic>
              </wp:anchor>
            </w:drawing>
          </mc:Choice>
          <mc:Fallback>
            <w:pict>
              <v:shape id="_x0000_s1026" o:spid="_x0000_s1026" o:spt="202" type="#_x0000_t202" style="position:absolute;left:0pt;margin-left:-9pt;margin-top:1pt;height:32.75pt;width:72pt;z-index:251659264;mso-width-relative:page;mso-height-relative:page;" filled="f" stroked="f" coordsize="21600,21600" o:gfxdata="UEsDBAoAAAAAAIdO4kAAAAAAAAAAAAAAAAAEAAAAZHJzL1BLAwQUAAAACACHTuJAoB6wktYAAAAI&#10;AQAADwAAAGRycy9kb3ducmV2LnhtbE2PzU7DQAyE70i8w8pI3NrdRDS0aZweQFxBlB+J2zZxk4is&#10;N8pum/D2uCc42daMxt8Uu9n16kxj6DwjJEsDirjydccNwvvb02INKkTLte09E8IPBdiV11eFzWs/&#10;8Sud97FREsIhtwhtjEOudahacjYs/UAs2tGPzkY5x0bXo50k3PU6NSbTznYsH1o70ENL1ff+5BA+&#10;no9fn3fmpXl0q2Hys9HsNhrx9iYxW1CR5vhnhgu+oEMpTAd/4jqoHmGRrKVLREhlXPQ0k+WAkN2v&#10;QJeF/l+g/AVQSwMEFAAAAAgAh07iQFcWOFCsAQAATwMAAA4AAABkcnMvZTJvRG9jLnhtbK1TwY7T&#10;MBC9I/EPlu9bp1UXsVHTlVbVckGAtPABruM0lmyP5XGb9AfgDzhx4c539TsYO90uLJc9cHHsN5M3&#10;897Yq9vRWXbQEQ34hs9nFWfaK2iN3zX8y+f7q7ecYZK+lRa8bvhRI79dv361GkKtF9CDbXVkROKx&#10;HkLD+5RCLQSqXjuJMwjaU7CD6GSiY9yJNsqB2J0Vi6p6IwaIbYigNCKhmynIz4zxJYTQdUbpDai9&#10;0z5NrFFbmUgS9iYgX5duu06r9LHrUCdmG05KU1mpCO23eRXrlax3UYbeqHML8iUtPNPkpPFU9EK1&#10;kUmyfTT/UDmjIiB0aabAiUlIcYRUzKtn3jz0MuiihazGcDEd/x+t+nD4FJlp6SYsOfPS0cRP37+d&#10;fvw6/fzKCCODhoA15T0EykzjHYyU/IgjgVn32EWXv6SIUZzsPV7s1WNiisCb+XJZUURRaDm/vllc&#10;Zxbx9HOImN5pcCxvGh5pesVUeXiPaUp9TMm1PNwba8sErf8LIM6MiNz51GHepXE7nuVsoT2Smn2I&#10;ZtdTqaKnpJPPpafznciD/PNcSJ/ewf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oB6wktYAAAAI&#10;AQAADwAAAAAAAAABACAAAAAiAAAAZHJzL2Rvd25yZXYueG1sUEsBAhQAFAAAAAgAh07iQFcWOFCs&#10;AQAATwMAAA4AAAAAAAAAAQAgAAAAJQEAAGRycy9lMm9Eb2MueG1sUEsFBgAAAAAGAAYAWQEAAEMF&#10;AAAAAA==&#10;">
                <v:fill on="f" focussize="0,0"/>
                <v:stroke on="f"/>
                <v:imagedata o:title=""/>
                <o:lock v:ext="edit" aspectratio="f"/>
                <v:textbox>
                  <w:txbxContent>
                    <w:p w14:paraId="05B201AD">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工程计量和计价的依据</w:t>
                      </w:r>
                    </w:p>
                  </w:txbxContent>
                </v:textbox>
              </v:shape>
            </w:pict>
          </mc:Fallback>
        </mc:AlternateContent>
      </w:r>
      <w:r>
        <w:rPr>
          <w:rFonts w:hint="eastAsia" w:ascii="仿宋" w:hAnsi="仿宋" w:eastAsia="仿宋" w:cs="仿宋"/>
          <w:color w:val="auto"/>
          <w:sz w:val="24"/>
          <w:szCs w:val="24"/>
          <w:highlight w:val="none"/>
          <w:lang w:eastAsia="zh-CN"/>
        </w:rPr>
        <w:t>工程的计量规则和计价办法，以国家标准《建设工程工程量清单计价规范》为准；《建设工程工程量清单计价规范》（GB50500-2013）、《房屋建筑与装饰工程工程量计算规范》（GB50854-2013）、《通用安装工程工程量计算规范》（GB50856-2013）、《市政工程工程量计算规范》（GB50857-2013）、《园林绿化工程工程量计算规范》（GB50858-2013）《广东省建设工程计价依据（2018）》（粤建市[2019]6号）、《广东省建筑与装饰工程综合定额（2018）》、《广东省通用安装工程综合定额（2018）》、《广东省市政工程综合定额（2018）》、《广东省市政工程补充综合定额（2018）》、《广东省园林绿化工程综合定额（2018）》、《广东省建设工程施工机具台班费用编制规则（2018）》；《建设工程工程量清单计价规范》及相关定额没有规定的，以广东省统一工程计价依据为准；广东省统一工程计价依据没有规定的，可参照专业部门颁发的工程计价依据。</w:t>
      </w:r>
    </w:p>
    <w:p w14:paraId="05E861C5">
      <w:pPr>
        <w:pStyle w:val="2"/>
        <w:adjustRightInd w:val="0"/>
        <w:snapToGrid w:val="0"/>
        <w:spacing w:line="360" w:lineRule="auto"/>
        <w:rPr>
          <w:rFonts w:hint="eastAsia" w:ascii="仿宋" w:hAnsi="仿宋" w:eastAsia="仿宋"/>
          <w:b/>
          <w:bCs/>
          <w:color w:val="auto"/>
          <w:sz w:val="24"/>
          <w:szCs w:val="24"/>
          <w:highlight w:val="none"/>
          <w:lang w:eastAsia="zh-CN"/>
        </w:rPr>
      </w:pPr>
      <w:r>
        <w:rPr>
          <w:rFonts w:ascii="仿宋" w:hAnsi="仿宋" w:eastAsia="仿宋" w:cs="仿宋"/>
          <w:b/>
          <w:bCs/>
          <w:color w:val="auto"/>
          <w:sz w:val="24"/>
          <w:szCs w:val="24"/>
          <w:highlight w:val="none"/>
          <w:lang w:eastAsia="zh-CN"/>
        </w:rPr>
        <w:t xml:space="preserve">  </w:t>
      </w:r>
      <w:r>
        <w:rPr>
          <w:rFonts w:hint="eastAsia" w:ascii="仿宋" w:hAnsi="仿宋" w:eastAsia="仿宋" w:cs="仿宋"/>
          <w:b/>
          <w:bCs/>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另作约定：</w:t>
      </w:r>
      <w:r>
        <w:rPr>
          <w:rFonts w:ascii="仿宋" w:hAnsi="仿宋" w:eastAsia="仿宋" w:cs="仿宋"/>
          <w:b/>
          <w:bCs/>
          <w:color w:val="auto"/>
          <w:sz w:val="24"/>
          <w:szCs w:val="24"/>
          <w:highlight w:val="none"/>
          <w:u w:val="dotted"/>
          <w:lang w:eastAsia="zh-CN"/>
        </w:rPr>
        <w:t xml:space="preserve">                                                                                  </w:t>
      </w:r>
    </w:p>
    <w:p w14:paraId="3EFB6D0D">
      <w:pPr>
        <w:pStyle w:val="2"/>
        <w:adjustRightInd w:val="0"/>
        <w:snapToGrid w:val="0"/>
        <w:spacing w:line="360" w:lineRule="auto"/>
        <w:ind w:left="1850" w:leftChars="771"/>
        <w:rPr>
          <w:rFonts w:hint="eastAsia" w:ascii="仿宋" w:hAnsi="仿宋" w:eastAsia="仿宋"/>
          <w:color w:val="auto"/>
          <w:sz w:val="24"/>
          <w:szCs w:val="24"/>
          <w:highlight w:val="none"/>
          <w:lang w:eastAsia="zh-CN"/>
        </w:rPr>
      </w:pPr>
      <w:r>
        <w:rPr>
          <w:color w:val="auto"/>
          <w:highlight w:val="none"/>
        </w:rPr>
        <mc:AlternateContent>
          <mc:Choice Requires="wps">
            <w:drawing>
              <wp:anchor distT="0" distB="0" distL="114300" distR="114300" simplePos="0" relativeHeight="251660288" behindDoc="0" locked="0" layoutInCell="1" allowOverlap="1">
                <wp:simplePos x="0" y="0"/>
                <wp:positionH relativeFrom="column">
                  <wp:posOffset>-114300</wp:posOffset>
                </wp:positionH>
                <wp:positionV relativeFrom="paragraph">
                  <wp:posOffset>50800</wp:posOffset>
                </wp:positionV>
                <wp:extent cx="914400" cy="41592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914400" cy="415925"/>
                        </a:xfrm>
                        <a:prstGeom prst="rect">
                          <a:avLst/>
                        </a:prstGeom>
                        <a:noFill/>
                        <a:ln>
                          <a:noFill/>
                        </a:ln>
                      </wps:spPr>
                      <wps:txbx>
                        <w:txbxContent>
                          <w:p w14:paraId="57557FD5">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工程计量和计价的要求</w:t>
                            </w:r>
                          </w:p>
                        </w:txbxContent>
                      </wps:txbx>
                      <wps:bodyPr upright="1"/>
                    </wps:wsp>
                  </a:graphicData>
                </a:graphic>
              </wp:anchor>
            </w:drawing>
          </mc:Choice>
          <mc:Fallback>
            <w:pict>
              <v:shape id="_x0000_s1026" o:spid="_x0000_s1026" o:spt="202" type="#_x0000_t202" style="position:absolute;left:0pt;margin-left:-9pt;margin-top:4pt;height:32.75pt;width:72pt;z-index:251660288;mso-width-relative:page;mso-height-relative:page;" filled="f" stroked="f" coordsize="21600,21600" o:gfxdata="UEsDBAoAAAAAAIdO4kAAAAAAAAAAAAAAAAAEAAAAZHJzL1BLAwQUAAAACACHTuJAZvOwRdYAAAAI&#10;AQAADwAAAGRycy9kb3ducmV2LnhtbE2PzU7DMBCE70i8g7WVuLV2Cv0hZNMDiCuIQiv15sbbJGq8&#10;jmK3CW+Pc6Kn3dWMZr/JNoNtxJU6XztGSGYKBHHhTM0lws/3+3QNwgfNRjeOCeGXPGzy+7tMp8b1&#10;/EXXbShFDGGfaoQqhDaV0hcVWe1nriWO2sl1Vod4dqU0ne5juG3kXKmltLrm+KHSLb1WVJy3F4uw&#10;+zgd9k/qs3yzi7Z3g5JsnyXiwyRRLyACDeHfDCN+RIc8Mh3dhY0XDcI0WccuAWEcoz5fxuWIsHpc&#10;gMwzeVsg/wNQSwMEFAAAAAgAh07iQFDB3ZysAQAATwMAAA4AAABkcnMvZTJvRG9jLnhtbK1TwY7T&#10;MBC9I/EPlu80aekiNmq6EqqWCwKkZT/AdezGku2xPG6T/gD8AScu3Pmufgdjp9uF5bIHLo79ZvJm&#10;3ht7dTM6yw4qogHf8vms5kx5CZ3xu5bff7l99ZYzTMJ3woJXLT8q5Dfrly9WQ2jUAnqwnYqMSDw2&#10;Q2h5n1Joqgplr5zAGQTlKaghOpHoGHdVF8VA7M5Wi7p+Uw0QuxBBKkRCN1OQnxnjcwhBayPVBuTe&#10;KZ8m1qisSCQJexOQr0u3WiuZPmmNKjHbclKaykpFaL/Na7VeiWYXReiNPLcgntPCE01OGE9FL1Qb&#10;kQTbR/MPlTMyAoJOMwmumoQUR0jFvH7izV0vgipayGoMF9Px/9HKj4fPkZmObsJrzrxwNPHT92+n&#10;H79OP78ywsigIWBDeXeBMtP4DkZKfsCRwKx71NHlLyliFCd7jxd71ZiYJPB6vlzWFJEUWs6vrhdX&#10;maV6/DlETO8VOJY3LY80vWKqOHzANKU+pORaHm6NtWWC1v8FEGdGqtz51GHepXE7nuVsoTuSmn2I&#10;ZtdTqaKnpJPPpafznciD/PNcSB/fwf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ZvOwRdYAAAAI&#10;AQAADwAAAAAAAAABACAAAAAiAAAAZHJzL2Rvd25yZXYueG1sUEsBAhQAFAAAAAgAh07iQFDB3Zys&#10;AQAATwMAAA4AAAAAAAAAAQAgAAAAJQEAAGRycy9lMm9Eb2MueG1sUEsFBgAAAAAGAAYAWQEAAEMF&#10;AAAAAA==&#10;">
                <v:fill on="f" focussize="0,0"/>
                <v:stroke on="f"/>
                <v:imagedata o:title=""/>
                <o:lock v:ext="edit" aspectratio="f"/>
                <v:textbox>
                  <w:txbxContent>
                    <w:p w14:paraId="57557FD5">
                      <w:pPr>
                        <w:pStyle w:val="31"/>
                        <w:spacing w:line="220" w:lineRule="exact"/>
                        <w:rPr>
                          <w:rFonts w:hint="eastAsia" w:ascii="楷体_GB2312" w:hAnsi="宋体" w:eastAsia="楷体_GB2312"/>
                          <w:b/>
                          <w:bCs/>
                          <w:sz w:val="18"/>
                          <w:szCs w:val="18"/>
                        </w:rPr>
                      </w:pPr>
                      <w:r>
                        <w:rPr>
                          <w:rFonts w:hint="eastAsia" w:ascii="楷体_GB2312" w:hAnsi="宋体" w:eastAsia="楷体_GB2312" w:cs="楷体_GB2312"/>
                          <w:b/>
                          <w:bCs/>
                          <w:sz w:val="18"/>
                          <w:szCs w:val="18"/>
                        </w:rPr>
                        <w:t>工程计量和计价的要求</w:t>
                      </w:r>
                    </w:p>
                  </w:txbxContent>
                </v:textbox>
              </v:shape>
            </w:pict>
          </mc:Fallback>
        </mc:AlternateContent>
      </w:r>
      <w:r>
        <w:rPr>
          <w:rFonts w:hint="eastAsia" w:ascii="仿宋" w:hAnsi="仿宋" w:eastAsia="仿宋" w:cs="仿宋"/>
          <w:color w:val="auto"/>
          <w:sz w:val="24"/>
          <w:szCs w:val="24"/>
          <w:highlight w:val="none"/>
          <w:lang w:eastAsia="zh-CN"/>
        </w:rPr>
        <w:t>合同双方当事人应按照合同约定，依据国家标准《建设工程工程量清单计价规范》、广东省统一工程计价依据或专业部门的工程计价依据以及工程造价管理机构制订的有关计价规定进行工程计量和计价。</w:t>
      </w:r>
    </w:p>
    <w:p w14:paraId="079DB7A2">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47.1.6 其他服务项目费用的计量规则与计价办法</w:t>
      </w:r>
    </w:p>
    <w:p w14:paraId="489A897C">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0052"/>
      </w:r>
      <w:r>
        <w:rPr>
          <w:rFonts w:hint="eastAsia" w:ascii="仿宋" w:hAnsi="仿宋" w:eastAsia="仿宋" w:cs="仿宋"/>
          <w:color w:val="auto"/>
          <w:highlight w:val="none"/>
          <w:lang w:eastAsia="zh-CN"/>
        </w:rPr>
        <w:t xml:space="preserve"> 按通用条款72.1.6约定。</w:t>
      </w:r>
    </w:p>
    <w:p w14:paraId="6B992665">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 另作约定：</w:t>
      </w:r>
    </w:p>
    <w:p w14:paraId="6D62F46A">
      <w:pPr>
        <w:pStyle w:val="5"/>
        <w:tabs>
          <w:tab w:val="left" w:pos="420"/>
          <w:tab w:val="left" w:pos="576"/>
        </w:tabs>
        <w:rPr>
          <w:rFonts w:hint="eastAsia" w:ascii="仿宋" w:hAnsi="仿宋" w:eastAsia="仿宋"/>
          <w:color w:val="auto"/>
          <w:sz w:val="24"/>
          <w:szCs w:val="24"/>
          <w:highlight w:val="none"/>
          <w:lang w:eastAsia="zh-CN"/>
        </w:rPr>
      </w:pPr>
      <w:bookmarkStart w:id="1231" w:name="_Toc12123"/>
      <w:bookmarkStart w:id="1232" w:name="_Toc29995"/>
      <w:bookmarkStart w:id="1233" w:name="_Toc20412"/>
      <w:bookmarkStart w:id="1234" w:name="_Toc17539"/>
      <w:bookmarkStart w:id="1235" w:name="_Toc30128"/>
      <w:bookmarkStart w:id="1236" w:name="_Toc31192"/>
      <w:bookmarkStart w:id="1237" w:name="_Toc11445"/>
      <w:bookmarkStart w:id="1238" w:name="_Toc10624962"/>
      <w:bookmarkStart w:id="1239" w:name="_Toc18201"/>
      <w:bookmarkStart w:id="1240" w:name="_Toc11539"/>
      <w:bookmarkStart w:id="1241" w:name="_Toc21646"/>
      <w:bookmarkStart w:id="1242" w:name="_Toc14619"/>
      <w:bookmarkStart w:id="1243" w:name="_Toc469384118"/>
      <w:bookmarkStart w:id="1244" w:name="_Toc11768"/>
      <w:bookmarkStart w:id="1245" w:name="_Toc17557"/>
      <w:bookmarkStart w:id="1246" w:name="_Toc18452"/>
      <w:bookmarkStart w:id="1247" w:name="_Toc22415"/>
      <w:bookmarkStart w:id="1248" w:name="_Toc29674"/>
      <w:bookmarkStart w:id="1249" w:name="_Toc4564"/>
      <w:r>
        <w:rPr>
          <w:rFonts w:hint="eastAsia" w:ascii="仿宋" w:hAnsi="仿宋" w:eastAsia="仿宋" w:cs="仿宋"/>
          <w:color w:val="auto"/>
          <w:sz w:val="24"/>
          <w:szCs w:val="24"/>
          <w:highlight w:val="none"/>
          <w:lang w:eastAsia="zh-CN"/>
        </w:rPr>
        <w:t>★48</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暂列金额</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08476CF0">
      <w:pPr>
        <w:rPr>
          <w:rFonts w:hint="eastAsia" w:ascii="仿宋" w:hAnsi="仿宋" w:eastAsia="仿宋"/>
          <w:color w:val="auto"/>
          <w:highlight w:val="none"/>
          <w:lang w:eastAsia="zh-CN"/>
        </w:rPr>
      </w:pPr>
    </w:p>
    <w:p w14:paraId="372AF25A">
      <w:pPr>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48</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合同工程的暂列金额为</w:t>
      </w:r>
      <w:r>
        <w:rPr>
          <w:rFonts w:ascii="仿宋" w:hAnsi="仿宋" w:eastAsia="仿宋" w:cs="仿宋"/>
          <w:color w:val="auto"/>
          <w:highlight w:val="none"/>
          <w:lang w:eastAsia="zh-CN"/>
        </w:rPr>
        <w:t xml:space="preserve"> </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05A04542">
      <w:pPr>
        <w:rPr>
          <w:rFonts w:hint="eastAsia" w:ascii="仿宋" w:hAnsi="仿宋" w:eastAsia="仿宋"/>
          <w:color w:val="auto"/>
          <w:highlight w:val="none"/>
          <w:lang w:eastAsia="zh-CN"/>
        </w:rPr>
      </w:pPr>
    </w:p>
    <w:p w14:paraId="708DB14B">
      <w:pPr>
        <w:pStyle w:val="5"/>
        <w:tabs>
          <w:tab w:val="left" w:pos="420"/>
          <w:tab w:val="left" w:pos="576"/>
        </w:tabs>
        <w:rPr>
          <w:rFonts w:hint="eastAsia" w:ascii="仿宋" w:hAnsi="仿宋" w:eastAsia="仿宋" w:cs="仿宋"/>
          <w:color w:val="auto"/>
          <w:sz w:val="24"/>
          <w:szCs w:val="24"/>
          <w:highlight w:val="none"/>
          <w:lang w:eastAsia="zh-CN"/>
        </w:rPr>
      </w:pPr>
      <w:bookmarkStart w:id="1250" w:name="_Toc469384119"/>
      <w:bookmarkStart w:id="1251" w:name="_Toc10624963"/>
      <w:bookmarkStart w:id="1252" w:name="_Toc22134"/>
      <w:bookmarkStart w:id="1253" w:name="_Toc8643"/>
      <w:bookmarkStart w:id="1254" w:name="_Toc11318"/>
      <w:bookmarkStart w:id="1255" w:name="_Toc10180"/>
      <w:bookmarkStart w:id="1256" w:name="_Toc21458"/>
      <w:bookmarkStart w:id="1257" w:name="_Toc4861"/>
      <w:bookmarkStart w:id="1258" w:name="_Toc6655"/>
      <w:bookmarkStart w:id="1259" w:name="_Toc18139"/>
      <w:bookmarkStart w:id="1260" w:name="_Toc27077"/>
      <w:bookmarkStart w:id="1261" w:name="_Toc27872"/>
      <w:bookmarkStart w:id="1262" w:name="_Toc7308"/>
      <w:bookmarkStart w:id="1263" w:name="_Toc5924"/>
      <w:bookmarkStart w:id="1264" w:name="_Toc32287"/>
      <w:bookmarkStart w:id="1265" w:name="_Toc27647"/>
      <w:bookmarkStart w:id="1266" w:name="_Toc24810"/>
      <w:bookmarkStart w:id="1267" w:name="_Toc29588"/>
      <w:bookmarkStart w:id="1268" w:name="_Toc22875"/>
      <w:r>
        <w:rPr>
          <w:rFonts w:hint="eastAsia" w:ascii="仿宋" w:hAnsi="仿宋" w:eastAsia="仿宋" w:cs="仿宋"/>
          <w:color w:val="auto"/>
          <w:sz w:val="24"/>
          <w:szCs w:val="24"/>
          <w:highlight w:val="none"/>
          <w:lang w:eastAsia="zh-CN"/>
        </w:rPr>
        <w:t>★49</w:t>
      </w:r>
      <w:r>
        <w:rPr>
          <w:rFonts w:ascii="仿宋" w:hAnsi="仿宋" w:eastAsia="仿宋" w:cs="仿宋"/>
          <w:color w:val="auto"/>
          <w:sz w:val="24"/>
          <w:szCs w:val="24"/>
          <w:highlight w:val="none"/>
          <w:lang w:eastAsia="zh-CN"/>
        </w:rPr>
        <w:t xml:space="preserve">. </w:t>
      </w:r>
      <w:bookmarkEnd w:id="1250"/>
      <w:bookmarkEnd w:id="1251"/>
      <w:r>
        <w:rPr>
          <w:rFonts w:hint="eastAsia" w:ascii="仿宋" w:hAnsi="仿宋" w:eastAsia="仿宋" w:cs="仿宋"/>
          <w:color w:val="auto"/>
          <w:sz w:val="24"/>
          <w:szCs w:val="24"/>
          <w:highlight w:val="none"/>
          <w:lang w:eastAsia="zh-CN"/>
        </w:rPr>
        <w:t>专业承包工程</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6D76C8E">
      <w:pPr>
        <w:pStyle w:val="5"/>
        <w:tabs>
          <w:tab w:val="left" w:pos="420"/>
          <w:tab w:val="left" w:pos="576"/>
        </w:tabs>
        <w:rPr>
          <w:rFonts w:hint="eastAsia" w:ascii="仿宋" w:hAnsi="仿宋" w:eastAsia="仿宋" w:cs="仿宋"/>
          <w:color w:val="auto"/>
          <w:sz w:val="24"/>
          <w:szCs w:val="24"/>
          <w:highlight w:val="none"/>
          <w:lang w:eastAsia="zh-CN"/>
        </w:rPr>
      </w:pPr>
      <w:r>
        <w:rPr>
          <w:rFonts w:ascii="仿宋" w:hAnsi="仿宋" w:eastAsia="仿宋" w:cs="仿宋"/>
          <w:color w:val="auto"/>
          <w:sz w:val="24"/>
          <w:szCs w:val="24"/>
          <w:highlight w:val="none"/>
          <w:lang w:eastAsia="zh-CN"/>
        </w:rPr>
        <w:t xml:space="preserve">  </w:t>
      </w:r>
    </w:p>
    <w:p w14:paraId="116C430E">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专业承包工程：</w:t>
      </w:r>
    </w:p>
    <w:p w14:paraId="01551DCC">
      <w:pPr>
        <w:spacing w:line="360" w:lineRule="auto"/>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（专业承包工程与承包人自行施工部分的工作界面详见附件十三）</w:t>
      </w:r>
    </w:p>
    <w:p w14:paraId="54AA4962">
      <w:pPr>
        <w:pStyle w:val="2"/>
        <w:rPr>
          <w:rFonts w:hint="default"/>
          <w:color w:val="auto"/>
          <w:highlight w:val="none"/>
          <w:lang w:val="en-US" w:eastAsia="zh-CN"/>
        </w:rPr>
      </w:pPr>
    </w:p>
    <w:p w14:paraId="6E62787D">
      <w:pPr>
        <w:spacing w:line="360" w:lineRule="auto"/>
        <w:rPr>
          <w:rFonts w:hint="eastAsia" w:ascii="仿宋" w:hAnsi="仿宋" w:eastAsia="仿宋" w:cs="仿宋"/>
          <w:color w:val="auto"/>
          <w:sz w:val="24"/>
          <w:szCs w:val="24"/>
          <w:highlight w:val="none"/>
          <w:u w:val="single"/>
          <w:lang w:val="en-US" w:eastAsia="zh-CN"/>
        </w:rPr>
      </w:pPr>
      <w:r>
        <w:rPr>
          <w:rFonts w:hint="eastAsia" w:ascii="仿宋" w:hAnsi="仿宋" w:eastAsia="仿宋" w:cs="仿宋"/>
          <w:color w:val="auto"/>
          <w:sz w:val="24"/>
          <w:szCs w:val="24"/>
          <w:highlight w:val="none"/>
          <w:u w:val="single"/>
          <w:lang w:val="en-US" w:eastAsia="zh-CN"/>
        </w:rPr>
        <w:t>1）智能化工程</w:t>
      </w:r>
    </w:p>
    <w:p w14:paraId="4E76342A">
      <w:pPr>
        <w:spacing w:line="360" w:lineRule="auto"/>
        <w:rPr>
          <w:rFonts w:hint="eastAsia" w:ascii="仿宋" w:hAnsi="仿宋" w:eastAsia="仿宋" w:cs="仿宋"/>
          <w:color w:val="auto"/>
          <w:sz w:val="24"/>
          <w:szCs w:val="24"/>
          <w:highlight w:val="none"/>
          <w:u w:val="single"/>
          <w:lang w:eastAsia="zh-CN"/>
        </w:rPr>
      </w:pPr>
      <w:r>
        <w:rPr>
          <w:rFonts w:hint="eastAsia" w:ascii="仿宋" w:hAnsi="仿宋" w:eastAsia="仿宋" w:cs="仿宋"/>
          <w:color w:val="auto"/>
          <w:sz w:val="24"/>
          <w:szCs w:val="24"/>
          <w:highlight w:val="none"/>
          <w:u w:val="single"/>
          <w:lang w:val="en-US" w:eastAsia="zh-CN"/>
        </w:rPr>
        <w:t>2</w:t>
      </w:r>
      <w:r>
        <w:rPr>
          <w:rFonts w:hint="eastAsia" w:ascii="仿宋" w:hAnsi="仿宋" w:eastAsia="仿宋" w:cs="仿宋"/>
          <w:color w:val="auto"/>
          <w:sz w:val="24"/>
          <w:szCs w:val="24"/>
          <w:highlight w:val="none"/>
          <w:u w:val="single"/>
          <w:lang w:eastAsia="zh-CN"/>
        </w:rPr>
        <w:t>）法律法规规定必须由建设单位委托的检测、监测工程</w:t>
      </w:r>
      <w:bookmarkStart w:id="2216" w:name="_GoBack"/>
      <w:bookmarkEnd w:id="2216"/>
    </w:p>
    <w:p w14:paraId="2DDAF15B">
      <w:pPr>
        <w:spacing w:line="360" w:lineRule="auto"/>
        <w:rPr>
          <w:rFonts w:hint="default" w:ascii="仿宋" w:hAnsi="仿宋" w:eastAsia="仿宋" w:cs="仿宋"/>
          <w:color w:val="auto"/>
          <w:sz w:val="24"/>
          <w:szCs w:val="24"/>
          <w:highlight w:val="none"/>
          <w:u w:val="single"/>
          <w:lang w:val="en-US" w:eastAsia="zh-CN"/>
        </w:rPr>
      </w:pPr>
      <w:r>
        <w:rPr>
          <w:rFonts w:hint="eastAsia" w:ascii="仿宋" w:hAnsi="仿宋" w:eastAsia="仿宋" w:cs="仿宋"/>
          <w:color w:val="auto"/>
          <w:sz w:val="24"/>
          <w:szCs w:val="24"/>
          <w:highlight w:val="none"/>
          <w:u w:val="single"/>
          <w:lang w:val="en-US" w:eastAsia="zh-CN"/>
        </w:rPr>
        <w:t>3</w:t>
      </w:r>
      <w:r>
        <w:rPr>
          <w:rFonts w:hint="eastAsia" w:ascii="仿宋" w:hAnsi="仿宋" w:eastAsia="仿宋" w:cs="仿宋"/>
          <w:color w:val="auto"/>
          <w:sz w:val="24"/>
          <w:szCs w:val="24"/>
          <w:highlight w:val="none"/>
          <w:u w:val="single"/>
          <w:lang w:eastAsia="zh-CN"/>
        </w:rPr>
        <w:t>）</w:t>
      </w:r>
      <w:r>
        <w:rPr>
          <w:rFonts w:hint="eastAsia" w:ascii="仿宋" w:hAnsi="仿宋" w:eastAsia="仿宋" w:cs="仿宋"/>
          <w:color w:val="auto"/>
          <w:sz w:val="24"/>
          <w:szCs w:val="24"/>
          <w:highlight w:val="none"/>
          <w:u w:val="single"/>
          <w:lang w:val="en-US" w:eastAsia="zh-CN"/>
        </w:rPr>
        <w:t>室内装修工程</w:t>
      </w:r>
    </w:p>
    <w:p w14:paraId="2BB2D8DE">
      <w:pPr>
        <w:spacing w:line="360" w:lineRule="auto"/>
        <w:rPr>
          <w:rFonts w:hint="eastAsia"/>
          <w:lang w:eastAsia="zh-CN"/>
        </w:rPr>
      </w:pPr>
      <w:r>
        <w:rPr>
          <w:rFonts w:hint="eastAsia" w:ascii="仿宋" w:hAnsi="仿宋" w:eastAsia="仿宋" w:cs="仿宋"/>
          <w:color w:val="auto"/>
          <w:sz w:val="24"/>
          <w:szCs w:val="24"/>
          <w:highlight w:val="none"/>
          <w:u w:val="single"/>
          <w:lang w:val="en-US" w:eastAsia="zh-CN"/>
        </w:rPr>
        <w:t>4</w:t>
      </w:r>
      <w:r>
        <w:rPr>
          <w:rFonts w:hint="eastAsia" w:ascii="仿宋" w:hAnsi="仿宋" w:eastAsia="仿宋" w:cs="仿宋"/>
          <w:color w:val="auto"/>
          <w:sz w:val="24"/>
          <w:szCs w:val="24"/>
          <w:highlight w:val="none"/>
          <w:u w:val="single"/>
          <w:lang w:eastAsia="zh-CN"/>
        </w:rPr>
        <w:t>）</w:t>
      </w:r>
      <w:r>
        <w:rPr>
          <w:rFonts w:hint="eastAsia" w:ascii="仿宋" w:hAnsi="仿宋" w:eastAsia="仿宋" w:cs="仿宋"/>
          <w:color w:val="auto"/>
          <w:sz w:val="24"/>
          <w:szCs w:val="24"/>
          <w:highlight w:val="none"/>
          <w:u w:val="single"/>
          <w:lang w:val="en-US" w:eastAsia="zh-CN"/>
        </w:rPr>
        <w:t>室内机电工程</w:t>
      </w:r>
      <w:r>
        <w:rPr>
          <w:rFonts w:hint="eastAsia" w:ascii="仿宋" w:hAnsi="仿宋" w:eastAsia="仿宋" w:cs="仿宋"/>
          <w:color w:val="auto"/>
          <w:sz w:val="24"/>
          <w:szCs w:val="24"/>
          <w:highlight w:val="none"/>
          <w:u w:val="single"/>
          <w:lang w:eastAsia="zh-CN"/>
        </w:rPr>
        <w:t>。</w:t>
      </w:r>
    </w:p>
    <w:p w14:paraId="27BC07FA">
      <w:pPr>
        <w:spacing w:line="360" w:lineRule="auto"/>
        <w:rPr>
          <w:rFonts w:hint="eastAsia" w:ascii="仿宋" w:hAnsi="仿宋" w:eastAsia="仿宋" w:cs="仿宋"/>
          <w:color w:val="auto"/>
          <w:sz w:val="24"/>
          <w:szCs w:val="24"/>
          <w:highlight w:val="none"/>
          <w:u w:val="single"/>
          <w:lang w:eastAsia="zh-CN"/>
        </w:rPr>
      </w:pPr>
      <w:r>
        <w:rPr>
          <w:rFonts w:hint="eastAsia" w:ascii="仿宋" w:hAnsi="仿宋" w:eastAsia="仿宋" w:cs="仿宋"/>
          <w:color w:val="auto"/>
          <w:sz w:val="24"/>
          <w:szCs w:val="24"/>
          <w:highlight w:val="none"/>
          <w:u w:val="single"/>
          <w:lang w:val="en-US" w:eastAsia="zh-CN"/>
        </w:rPr>
        <w:t>5</w:t>
      </w:r>
      <w:r>
        <w:rPr>
          <w:rFonts w:hint="eastAsia" w:ascii="仿宋" w:hAnsi="仿宋" w:eastAsia="仿宋" w:cs="仿宋"/>
          <w:color w:val="auto"/>
          <w:sz w:val="24"/>
          <w:szCs w:val="24"/>
          <w:highlight w:val="none"/>
          <w:u w:val="single"/>
          <w:lang w:eastAsia="zh-CN"/>
        </w:rPr>
        <w:t>）其他：</w:t>
      </w:r>
    </w:p>
    <w:p w14:paraId="738AB7B1">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u w:val="single"/>
          <w:lang w:eastAsia="zh-CN"/>
        </w:rPr>
        <w:t>以上项目由发包人按相关流程确定专业承包工程单位，与承包人签订分包合同。纳入总承包配合管理服务范围。承包人需要按合同条款做好专业承包配合管理服务工作，相关配合管理服务费用在总报价中综合考虑。</w:t>
      </w:r>
    </w:p>
    <w:p w14:paraId="2BB5F225">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u w:val="single"/>
          <w:lang w:eastAsia="zh-CN"/>
        </w:rPr>
        <w:t>发包人保留对专业工程、材料设备进行集中采购（“建设单位采购”、“建设单位+承包人联合采购”、“承包人自行采购”等模式采购）的权利，承包人承诺无条件配合。</w:t>
      </w:r>
    </w:p>
    <w:p w14:paraId="7E173E31">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49</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非招标专业工程款的确定</w:t>
      </w:r>
    </w:p>
    <w:p w14:paraId="5CB9EC50">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按通用条款规定，由造价工程师与分包人确定。</w:t>
      </w:r>
    </w:p>
    <w:p w14:paraId="63ABA57B">
      <w:pPr>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xml:space="preserve"> </w:t>
      </w:r>
      <w:r>
        <w:rPr>
          <w:rFonts w:hint="eastAsia" w:ascii="仿宋" w:hAnsi="仿宋" w:eastAsia="仿宋" w:cs="仿宋"/>
          <w:color w:val="auto"/>
          <w:szCs w:val="28"/>
          <w:highlight w:val="none"/>
          <w:lang w:eastAsia="zh-CN"/>
        </w:rPr>
        <w:t xml:space="preserve"> </w:t>
      </w:r>
      <w:bookmarkStart w:id="1269" w:name="_Toc26560"/>
      <w:bookmarkStart w:id="1270" w:name="_Toc7956"/>
      <w:bookmarkStart w:id="1271" w:name="_Toc19373"/>
      <w:r>
        <w:rPr>
          <w:rFonts w:hint="eastAsia" w:ascii="仿宋" w:hAnsi="仿宋" w:eastAsia="仿宋" w:cs="仿宋"/>
          <w:color w:val="auto"/>
          <w:szCs w:val="28"/>
          <w:highlight w:val="none"/>
          <w:lang w:eastAsia="zh-CN"/>
        </w:rPr>
        <w:t>□ 另作约定：</w:t>
      </w:r>
      <w:bookmarkEnd w:id="1269"/>
      <w:bookmarkEnd w:id="1270"/>
      <w:bookmarkEnd w:id="1271"/>
      <w:r>
        <w:rPr>
          <w:rFonts w:hint="eastAsia" w:ascii="仿宋" w:hAnsi="仿宋" w:eastAsia="仿宋" w:cs="仿宋"/>
          <w:color w:val="auto"/>
          <w:szCs w:val="28"/>
          <w:highlight w:val="none"/>
          <w:u w:val="single"/>
          <w:lang w:eastAsia="zh-CN"/>
        </w:rPr>
        <w:t xml:space="preserve">                                  </w:t>
      </w:r>
      <w:r>
        <w:rPr>
          <w:rFonts w:hint="eastAsia" w:ascii="仿宋" w:hAnsi="仿宋" w:eastAsia="仿宋" w:cs="仿宋"/>
          <w:color w:val="auto"/>
          <w:szCs w:val="28"/>
          <w:highlight w:val="none"/>
          <w:lang w:eastAsia="zh-CN"/>
        </w:rPr>
        <w:t xml:space="preserve">                          </w:t>
      </w:r>
      <w:bookmarkEnd w:id="1163"/>
    </w:p>
    <w:p w14:paraId="4AF85984">
      <w:pPr>
        <w:pStyle w:val="5"/>
        <w:tabs>
          <w:tab w:val="left" w:pos="420"/>
          <w:tab w:val="left" w:pos="576"/>
        </w:tabs>
        <w:rPr>
          <w:rFonts w:hint="eastAsia" w:ascii="仿宋" w:hAnsi="仿宋" w:eastAsia="仿宋"/>
          <w:color w:val="auto"/>
          <w:sz w:val="24"/>
          <w:szCs w:val="24"/>
          <w:highlight w:val="none"/>
          <w:lang w:eastAsia="zh-CN"/>
        </w:rPr>
      </w:pPr>
      <w:bookmarkStart w:id="1272" w:name="_Toc237"/>
      <w:bookmarkStart w:id="1273" w:name="_Toc19729"/>
      <w:bookmarkStart w:id="1274" w:name="_Toc7284"/>
      <w:bookmarkStart w:id="1275" w:name="_Toc21876"/>
      <w:bookmarkStart w:id="1276" w:name="_Toc32139"/>
      <w:bookmarkStart w:id="1277" w:name="_Toc10624964"/>
      <w:bookmarkStart w:id="1278" w:name="_Toc22812"/>
      <w:bookmarkStart w:id="1279" w:name="_Toc30403"/>
      <w:bookmarkStart w:id="1280" w:name="_Toc29826"/>
      <w:bookmarkStart w:id="1281" w:name="_Toc18619"/>
      <w:bookmarkStart w:id="1282" w:name="_Toc9411"/>
      <w:bookmarkStart w:id="1283" w:name="_Toc25273"/>
      <w:bookmarkStart w:id="1284" w:name="_Toc4481"/>
      <w:bookmarkStart w:id="1285" w:name="_Toc23714"/>
      <w:bookmarkStart w:id="1286" w:name="_Toc6627"/>
      <w:bookmarkStart w:id="1287" w:name="_Toc469384120"/>
      <w:bookmarkStart w:id="1288" w:name="_Toc2923"/>
      <w:bookmarkStart w:id="1289" w:name="_Toc13756"/>
      <w:bookmarkStart w:id="1290" w:name="_Toc12574"/>
      <w:r>
        <w:rPr>
          <w:rFonts w:hint="eastAsia" w:ascii="仿宋" w:hAnsi="仿宋" w:eastAsia="仿宋" w:cs="仿宋"/>
          <w:color w:val="auto"/>
          <w:sz w:val="24"/>
          <w:szCs w:val="24"/>
          <w:highlight w:val="none"/>
          <w:lang w:eastAsia="zh-CN"/>
        </w:rPr>
        <w:t>★50</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提前竣工奖与误期赔偿费</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348F0421">
      <w:pPr>
        <w:rPr>
          <w:rFonts w:hint="eastAsia" w:ascii="仿宋" w:hAnsi="仿宋" w:eastAsia="仿宋"/>
          <w:color w:val="auto"/>
          <w:highlight w:val="none"/>
          <w:lang w:eastAsia="zh-CN"/>
        </w:rPr>
      </w:pPr>
    </w:p>
    <w:p w14:paraId="6D9E4465">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50</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提前竣工奖</w:t>
      </w:r>
    </w:p>
    <w:p w14:paraId="6BB2D1CC">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提前竣工奖额度</w:t>
      </w:r>
    </w:p>
    <w:p w14:paraId="462769BB">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没约定提前竣工奖的，本款不适用。</w:t>
      </w:r>
    </w:p>
    <w:p w14:paraId="7110170D">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约定提前竣工奖的，每日历天应奖额度为</w:t>
      </w:r>
      <w:r>
        <w:rPr>
          <w:rFonts w:ascii="仿宋" w:hAnsi="仿宋" w:eastAsia="仿宋" w:cs="仿宋"/>
          <w:color w:val="auto"/>
          <w:highlight w:val="none"/>
          <w:lang w:eastAsia="zh-CN"/>
        </w:rPr>
        <w:t xml:space="preserve"> </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1151520D">
      <w:pPr>
        <w:spacing w:line="360" w:lineRule="auto"/>
        <w:ind w:firstLine="240" w:firstLineChars="1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约定提前竣工奖的，为</w:t>
      </w:r>
      <w:r>
        <w:rPr>
          <w:rFonts w:ascii="仿宋" w:hAnsi="仿宋" w:eastAsia="仿宋" w:cs="仿宋"/>
          <w:color w:val="auto"/>
          <w:highlight w:val="none"/>
          <w:lang w:eastAsia="zh-CN"/>
        </w:rPr>
        <w:t xml:space="preserve"> </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77C567CE">
      <w:pPr>
        <w:spacing w:line="360" w:lineRule="auto"/>
        <w:ind w:firstLine="120" w:firstLineChars="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提前竣工奖的最高限额</w:t>
      </w:r>
    </w:p>
    <w:p w14:paraId="6B2C34AE">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按通用条款规定为合同价款的</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，即</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19EDF851">
      <w:pPr>
        <w:spacing w:line="360" w:lineRule="auto"/>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p>
    <w:p w14:paraId="595BEDB4">
      <w:pPr>
        <w:spacing w:line="360" w:lineRule="auto"/>
        <w:rPr>
          <w:rFonts w:hint="eastAsia" w:ascii="仿宋" w:hAnsi="仿宋" w:eastAsia="仿宋"/>
          <w:color w:val="auto"/>
          <w:highlight w:val="none"/>
          <w:lang w:eastAsia="zh-CN"/>
        </w:rPr>
      </w:pPr>
    </w:p>
    <w:p w14:paraId="36BAE7A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50</w:t>
      </w:r>
      <w:r>
        <w:rPr>
          <w:rFonts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误期赔偿费</w:t>
      </w:r>
    </w:p>
    <w:p w14:paraId="3B560CFF">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每日历天应赔偿额度为</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6F3D5ADD">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误期赔偿费的最高限额</w:t>
      </w:r>
    </w:p>
    <w:p w14:paraId="1FD3D463">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按通用条款规定为合同价款的</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，即</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1C87966F">
      <w:pPr>
        <w:spacing w:line="360" w:lineRule="auto"/>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p>
    <w:p w14:paraId="18A2EA35">
      <w:pPr>
        <w:spacing w:line="360" w:lineRule="auto"/>
        <w:rPr>
          <w:rFonts w:hint="eastAsia" w:ascii="仿宋" w:hAnsi="仿宋" w:eastAsia="仿宋"/>
          <w:color w:val="auto"/>
          <w:highlight w:val="none"/>
          <w:u w:val="single"/>
          <w:lang w:eastAsia="zh-CN"/>
        </w:rPr>
      </w:pPr>
    </w:p>
    <w:p w14:paraId="3CFFAA7A">
      <w:pPr>
        <w:pStyle w:val="5"/>
        <w:tabs>
          <w:tab w:val="left" w:pos="420"/>
          <w:tab w:val="left" w:pos="576"/>
        </w:tabs>
        <w:rPr>
          <w:rFonts w:hint="eastAsia" w:ascii="仿宋" w:hAnsi="仿宋" w:eastAsia="仿宋"/>
          <w:color w:val="auto"/>
          <w:sz w:val="24"/>
          <w:szCs w:val="24"/>
          <w:highlight w:val="none"/>
          <w:lang w:eastAsia="zh-CN"/>
        </w:rPr>
      </w:pPr>
      <w:bookmarkStart w:id="1291" w:name="_Toc20291"/>
      <w:bookmarkStart w:id="1292" w:name="_Toc2241"/>
      <w:bookmarkStart w:id="1293" w:name="_Toc18817"/>
      <w:bookmarkStart w:id="1294" w:name="_Toc24348"/>
      <w:bookmarkStart w:id="1295" w:name="_Toc469384121"/>
      <w:bookmarkStart w:id="1296" w:name="_Toc4275"/>
      <w:bookmarkStart w:id="1297" w:name="_Toc5314"/>
      <w:bookmarkStart w:id="1298" w:name="_Toc19568"/>
      <w:bookmarkStart w:id="1299" w:name="_Toc9700"/>
      <w:bookmarkStart w:id="1300" w:name="_Toc25371"/>
      <w:bookmarkStart w:id="1301" w:name="_Toc10624965"/>
      <w:bookmarkStart w:id="1302" w:name="_Toc10282"/>
      <w:bookmarkStart w:id="1303" w:name="_Toc22042"/>
      <w:bookmarkStart w:id="1304" w:name="_Toc32717"/>
      <w:bookmarkStart w:id="1305" w:name="_Toc24432"/>
      <w:bookmarkStart w:id="1306" w:name="_Toc1613"/>
      <w:bookmarkStart w:id="1307" w:name="_Toc6993"/>
      <w:bookmarkStart w:id="1308" w:name="_Toc784"/>
      <w:bookmarkStart w:id="1309" w:name="_Toc14689"/>
      <w:r>
        <w:rPr>
          <w:rFonts w:hint="eastAsia" w:ascii="仿宋" w:hAnsi="仿宋" w:eastAsia="仿宋" w:cs="仿宋"/>
          <w:color w:val="auto"/>
          <w:sz w:val="24"/>
          <w:szCs w:val="24"/>
          <w:highlight w:val="none"/>
          <w:lang w:eastAsia="zh-CN"/>
        </w:rPr>
        <w:t>★51</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工程优质费、工程建设标准费用</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73BDF24">
      <w:pPr>
        <w:rPr>
          <w:rFonts w:hint="eastAsia" w:ascii="仿宋" w:hAnsi="仿宋" w:eastAsia="仿宋"/>
          <w:color w:val="auto"/>
          <w:highlight w:val="none"/>
          <w:lang w:eastAsia="zh-CN"/>
        </w:rPr>
      </w:pPr>
    </w:p>
    <w:p w14:paraId="0EEC333C">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51</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工程优质费的计算方法</w:t>
      </w:r>
    </w:p>
    <w:p w14:paraId="16763F65">
      <w:pPr>
        <w:spacing w:line="360" w:lineRule="auto"/>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约定工程优质费的，其计算方法：</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p>
    <w:p w14:paraId="516ABAD1">
      <w:pPr>
        <w:spacing w:line="360" w:lineRule="auto"/>
        <w:ind w:firstLine="240" w:firstLineChars="1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按分部分项工程费为基础计算：</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p>
    <w:p w14:paraId="068DB574">
      <w:pPr>
        <w:spacing w:line="360" w:lineRule="auto"/>
        <w:rPr>
          <w:rFonts w:hint="eastAsia" w:ascii="仿宋" w:hAnsi="仿宋" w:eastAsia="仿宋"/>
          <w:color w:val="auto"/>
          <w:highlight w:val="none"/>
          <w:lang w:eastAsia="zh-CN"/>
        </w:rPr>
      </w:pPr>
    </w:p>
    <w:p w14:paraId="0576C83C">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b/>
          <w:bCs/>
          <w:color w:val="auto"/>
          <w:highlight w:val="none"/>
          <w:lang w:eastAsia="zh-CN"/>
        </w:rPr>
        <w:t>★</w:t>
      </w:r>
      <w:r>
        <w:rPr>
          <w:rFonts w:hint="eastAsia" w:ascii="仿宋" w:hAnsi="仿宋" w:eastAsia="仿宋" w:cs="仿宋"/>
          <w:color w:val="auto"/>
          <w:highlight w:val="none"/>
          <w:lang w:eastAsia="zh-CN"/>
        </w:rPr>
        <w:t>51</w:t>
      </w:r>
      <w:r>
        <w:rPr>
          <w:rFonts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工程优质费的计算额度：</w:t>
      </w:r>
    </w:p>
    <w:p w14:paraId="38EC55E7">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按通用条款规定计算。</w:t>
      </w:r>
    </w:p>
    <w:p w14:paraId="5DA849EB">
      <w:pPr>
        <w:spacing w:line="360" w:lineRule="auto"/>
        <w:ind w:left="240" w:hanging="240" w:hangingChars="10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另作约定（工程优质费率参考广东省建设工程计价依据工程优质费、广州市住房和城乡建设局发布的工程优质费率；合同工程同时获得下列多个奖项的，只按最高奖项的额度计算。）：</w:t>
      </w:r>
    </w:p>
    <w:p w14:paraId="1C28B5C2">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国家级质量奖，工程优质费</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p>
    <w:p w14:paraId="60D190D7">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省级质量奖，工程优质费</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w:t>
      </w:r>
    </w:p>
    <w:p w14:paraId="62AE7F3D">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市级质量奖，工程优质费</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p>
    <w:p w14:paraId="5B544005">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其它</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，工程优质费</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p>
    <w:p w14:paraId="4A28D921">
      <w:pPr>
        <w:pStyle w:val="5"/>
        <w:tabs>
          <w:tab w:val="left" w:pos="420"/>
        </w:tabs>
        <w:spacing w:before="0" w:after="0" w:line="360" w:lineRule="auto"/>
        <w:rPr>
          <w:rFonts w:hint="eastAsia" w:ascii="仿宋" w:hAnsi="仿宋" w:eastAsia="仿宋"/>
          <w:b w:val="0"/>
          <w:bCs w:val="0"/>
          <w:color w:val="auto"/>
          <w:sz w:val="24"/>
          <w:szCs w:val="24"/>
          <w:highlight w:val="none"/>
          <w:lang w:eastAsia="zh-CN"/>
        </w:rPr>
      </w:pPr>
      <w:bookmarkStart w:id="1310" w:name="_Toc10664"/>
      <w:bookmarkStart w:id="1311" w:name="_Toc20483"/>
      <w:bookmarkStart w:id="1312" w:name="_Toc5219"/>
      <w:bookmarkStart w:id="1313" w:name="_Toc23037"/>
      <w:bookmarkStart w:id="1314" w:name="_Toc23888"/>
      <w:bookmarkStart w:id="1315" w:name="_Toc22675"/>
      <w:bookmarkStart w:id="1316" w:name="_Toc3735"/>
      <w:bookmarkStart w:id="1317" w:name="_Toc31553"/>
      <w:bookmarkStart w:id="1318" w:name="_Toc24928"/>
      <w:bookmarkStart w:id="1319" w:name="_Toc9993"/>
      <w:bookmarkStart w:id="1320" w:name="_Toc6088"/>
      <w:bookmarkStart w:id="1321" w:name="_Toc21313"/>
      <w:bookmarkStart w:id="1322" w:name="_Toc26196"/>
      <w:bookmarkStart w:id="1323" w:name="_Toc30355"/>
      <w:r>
        <w:rPr>
          <w:rFonts w:hint="eastAsia" w:ascii="仿宋" w:hAnsi="仿宋" w:eastAsia="仿宋" w:cs="仿宋"/>
          <w:b w:val="0"/>
          <w:bCs w:val="0"/>
          <w:color w:val="auto"/>
          <w:sz w:val="24"/>
          <w:szCs w:val="24"/>
          <w:highlight w:val="none"/>
          <w:lang w:eastAsia="zh-CN"/>
        </w:rPr>
        <w:t>★52. 合同价格的约定与调整</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1C1EB49C">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52.1合同价格的形式</w:t>
      </w:r>
    </w:p>
    <w:p w14:paraId="6103948B">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总价合同。</w:t>
      </w:r>
    </w:p>
    <w:p w14:paraId="61668A7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总价合同＋部分单价合同。其中，总价合同、单价合同的适用工程范围按专用条款第72款。</w:t>
      </w:r>
    </w:p>
    <w:p w14:paraId="35DAB546">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 xml:space="preserve"> 另作约定：</w:t>
      </w:r>
      <w:r>
        <w:rPr>
          <w:rFonts w:hint="eastAsia" w:ascii="仿宋" w:hAnsi="仿宋" w:eastAsia="仿宋" w:cs="仿宋"/>
          <w:color w:val="auto"/>
          <w:highlight w:val="none"/>
          <w:u w:val="single"/>
          <w:lang w:eastAsia="zh-CN"/>
        </w:rPr>
        <w:t xml:space="preserve"> 详见专用条款第8款。  </w:t>
      </w:r>
    </w:p>
    <w:p w14:paraId="22690131">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52.2 合同价款的调整事项</w:t>
      </w:r>
    </w:p>
    <w:p w14:paraId="315F8892">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A3"/>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按通用条款规定的调整事件。</w:t>
      </w:r>
    </w:p>
    <w:p w14:paraId="390725BA">
      <w:pPr>
        <w:ind w:firstLine="120" w:firstLineChars="5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eastAsia="zh-CN"/>
        </w:rPr>
        <w:t>详见附件十四：新增或签证项目计价方式</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623F1E7E">
      <w:pPr>
        <w:rPr>
          <w:rFonts w:hint="eastAsia" w:ascii="仿宋" w:hAnsi="仿宋" w:eastAsia="仿宋"/>
          <w:color w:val="auto"/>
          <w:highlight w:val="none"/>
          <w:lang w:eastAsia="zh-CN"/>
        </w:rPr>
      </w:pPr>
    </w:p>
    <w:p w14:paraId="2A81C461">
      <w:pPr>
        <w:spacing w:line="360" w:lineRule="auto"/>
        <w:ind w:firstLine="480" w:firstLineChars="20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52</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 xml:space="preserve"> 调整合同价款的其他事件：</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p>
    <w:p w14:paraId="4F5799B3">
      <w:pPr>
        <w:pStyle w:val="5"/>
        <w:tabs>
          <w:tab w:val="left" w:pos="420"/>
          <w:tab w:val="left" w:pos="576"/>
        </w:tabs>
        <w:rPr>
          <w:rFonts w:hint="eastAsia" w:ascii="仿宋" w:hAnsi="仿宋" w:eastAsia="仿宋"/>
          <w:color w:val="auto"/>
          <w:sz w:val="24"/>
          <w:szCs w:val="24"/>
          <w:highlight w:val="none"/>
          <w:lang w:eastAsia="zh-CN"/>
        </w:rPr>
      </w:pPr>
      <w:bookmarkStart w:id="1324" w:name="_Toc18301"/>
      <w:bookmarkStart w:id="1325" w:name="_Toc14074"/>
      <w:bookmarkStart w:id="1326" w:name="_Toc1740"/>
      <w:bookmarkStart w:id="1327" w:name="_Toc32455"/>
      <w:bookmarkStart w:id="1328" w:name="_Toc469384123"/>
      <w:bookmarkStart w:id="1329" w:name="_Toc4977"/>
      <w:bookmarkStart w:id="1330" w:name="_Toc12815"/>
      <w:bookmarkStart w:id="1331" w:name="_Toc10624967"/>
      <w:bookmarkStart w:id="1332" w:name="_Toc4969"/>
      <w:bookmarkStart w:id="1333" w:name="_Toc2691"/>
      <w:bookmarkStart w:id="1334" w:name="_Toc551"/>
      <w:bookmarkStart w:id="1335" w:name="_Toc10334"/>
      <w:bookmarkStart w:id="1336" w:name="_Toc19951"/>
      <w:bookmarkStart w:id="1337" w:name="_Toc13460"/>
      <w:bookmarkStart w:id="1338" w:name="_Toc15907"/>
      <w:bookmarkStart w:id="1339" w:name="_Toc30341"/>
      <w:bookmarkStart w:id="1340" w:name="_Toc5768"/>
      <w:bookmarkStart w:id="1341" w:name="_Toc1155"/>
      <w:bookmarkStart w:id="1342" w:name="_Toc15760"/>
      <w:r>
        <w:rPr>
          <w:rFonts w:hint="eastAsia" w:ascii="仿宋" w:hAnsi="仿宋" w:eastAsia="仿宋" w:cs="仿宋"/>
          <w:color w:val="auto"/>
          <w:sz w:val="24"/>
          <w:szCs w:val="24"/>
          <w:highlight w:val="none"/>
          <w:lang w:eastAsia="zh-CN"/>
        </w:rPr>
        <w:t>53</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工程变更事件</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EB04769">
      <w:pPr>
        <w:rPr>
          <w:rFonts w:hint="eastAsia" w:ascii="仿宋" w:hAnsi="仿宋" w:eastAsia="仿宋"/>
          <w:b/>
          <w:bCs/>
          <w:color w:val="auto"/>
          <w:highlight w:val="none"/>
          <w:lang w:eastAsia="zh-CN"/>
        </w:rPr>
      </w:pPr>
    </w:p>
    <w:p w14:paraId="7BB069BF">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53</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调整承包人报价偏差的方法</w:t>
      </w:r>
    </w:p>
    <w:p w14:paraId="39D5C617">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按通用条款的规定调整。</w:t>
      </w:r>
    </w:p>
    <w:p w14:paraId="591D2404">
      <w:pPr>
        <w:spacing w:line="360" w:lineRule="auto"/>
        <w:ind w:firstLine="120" w:firstLineChars="50"/>
        <w:rPr>
          <w:rFonts w:hint="eastAsia" w:ascii="仿宋" w:hAnsi="仿宋" w:eastAsia="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按照下列方法调整：</w:t>
      </w:r>
      <w:r>
        <w:rPr>
          <w:rFonts w:hint="eastAsia" w:ascii="仿宋" w:hAnsi="仿宋" w:eastAsia="仿宋" w:cs="仿宋"/>
          <w:color w:val="auto"/>
          <w:highlight w:val="none"/>
          <w:u w:val="single"/>
          <w:lang w:eastAsia="zh-CN"/>
        </w:rPr>
        <w:t>过程变更在最终结算时以竣工图形式结算</w:t>
      </w:r>
    </w:p>
    <w:p w14:paraId="4DFB881E">
      <w:pPr>
        <w:pStyle w:val="5"/>
        <w:tabs>
          <w:tab w:val="left" w:pos="420"/>
          <w:tab w:val="left" w:pos="576"/>
        </w:tabs>
        <w:rPr>
          <w:rFonts w:hint="eastAsia" w:ascii="仿宋" w:hAnsi="仿宋" w:eastAsia="仿宋"/>
          <w:color w:val="auto"/>
          <w:sz w:val="24"/>
          <w:szCs w:val="24"/>
          <w:highlight w:val="none"/>
          <w:lang w:eastAsia="zh-CN"/>
        </w:rPr>
      </w:pPr>
      <w:bookmarkStart w:id="1343" w:name="_Toc25359"/>
      <w:bookmarkStart w:id="1344" w:name="_Toc7336"/>
      <w:bookmarkStart w:id="1345" w:name="_Toc32402"/>
      <w:bookmarkStart w:id="1346" w:name="_Toc15741"/>
      <w:bookmarkStart w:id="1347" w:name="_Toc10624968"/>
      <w:bookmarkStart w:id="1348" w:name="_Toc469384124"/>
      <w:bookmarkStart w:id="1349" w:name="_Toc14549"/>
      <w:bookmarkStart w:id="1350" w:name="_Toc24325"/>
      <w:bookmarkStart w:id="1351" w:name="_Toc10435"/>
      <w:bookmarkStart w:id="1352" w:name="_Toc27249"/>
      <w:bookmarkStart w:id="1353" w:name="_Toc25636"/>
      <w:bookmarkStart w:id="1354" w:name="_Toc25070"/>
      <w:bookmarkStart w:id="1355" w:name="_Toc10325"/>
      <w:bookmarkStart w:id="1356" w:name="_Toc22570"/>
      <w:bookmarkStart w:id="1357" w:name="_Toc24915"/>
      <w:bookmarkStart w:id="1358" w:name="_Toc31171"/>
      <w:bookmarkStart w:id="1359" w:name="_Toc25690"/>
      <w:bookmarkStart w:id="1360" w:name="_Toc29331"/>
      <w:bookmarkStart w:id="1361" w:name="_Toc22772"/>
      <w:r>
        <w:rPr>
          <w:rFonts w:hint="eastAsia" w:ascii="仿宋" w:hAnsi="仿宋" w:eastAsia="仿宋" w:cs="仿宋"/>
          <w:color w:val="auto"/>
          <w:sz w:val="24"/>
          <w:szCs w:val="24"/>
          <w:highlight w:val="none"/>
          <w:lang w:eastAsia="zh-CN"/>
        </w:rPr>
        <w:t>54</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工程量偏差事件</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45A1B87F">
      <w:pPr>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p>
    <w:p w14:paraId="682FB28E">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xml:space="preserve"> 54</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调整分部分项工程费的方法</w:t>
      </w:r>
    </w:p>
    <w:p w14:paraId="08E1EA4D">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调整结算分部分项工程费：</w:t>
      </w:r>
    </w:p>
    <w:p w14:paraId="5DE630FC">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按通用条款的规定调整。</w:t>
      </w:r>
    </w:p>
    <w:p w14:paraId="62F22968">
      <w:pPr>
        <w:spacing w:line="360" w:lineRule="auto"/>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按照下列方法调整：</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p>
    <w:p w14:paraId="7F2B7044">
      <w:pPr>
        <w:ind w:firstLine="120" w:firstLineChars="50"/>
        <w:rPr>
          <w:rFonts w:hint="eastAsia" w:ascii="仿宋" w:hAnsi="仿宋" w:eastAsia="仿宋"/>
          <w:color w:val="auto"/>
          <w:highlight w:val="none"/>
          <w:lang w:eastAsia="zh-CN"/>
        </w:rPr>
      </w:pPr>
    </w:p>
    <w:p w14:paraId="407ED9B6">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54</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调整措施项目费的方法</w:t>
      </w:r>
    </w:p>
    <w:p w14:paraId="5D730271">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调整结算措施项目费：</w:t>
      </w:r>
    </w:p>
    <w:p w14:paraId="20319566">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按通用条款的规定调整。</w:t>
      </w:r>
    </w:p>
    <w:p w14:paraId="293D368F">
      <w:pPr>
        <w:spacing w:line="360" w:lineRule="auto"/>
        <w:ind w:firstLine="120" w:firstLineChars="5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按照下列方法调整：</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2C62D0E3">
      <w:pPr>
        <w:rPr>
          <w:rFonts w:hint="eastAsia" w:ascii="仿宋" w:hAnsi="仿宋" w:eastAsia="仿宋"/>
          <w:color w:val="auto"/>
          <w:highlight w:val="none"/>
          <w:lang w:eastAsia="zh-CN"/>
        </w:rPr>
      </w:pPr>
    </w:p>
    <w:p w14:paraId="65F44C22">
      <w:pPr>
        <w:pStyle w:val="5"/>
        <w:tabs>
          <w:tab w:val="left" w:pos="420"/>
          <w:tab w:val="left" w:pos="576"/>
        </w:tabs>
        <w:rPr>
          <w:rFonts w:hint="eastAsia" w:ascii="仿宋" w:hAnsi="仿宋" w:eastAsia="仿宋"/>
          <w:color w:val="auto"/>
          <w:sz w:val="24"/>
          <w:szCs w:val="24"/>
          <w:highlight w:val="none"/>
          <w:lang w:eastAsia="zh-CN"/>
        </w:rPr>
      </w:pPr>
      <w:bookmarkStart w:id="1362" w:name="_Toc3165"/>
      <w:bookmarkStart w:id="1363" w:name="_Toc23425"/>
      <w:bookmarkStart w:id="1364" w:name="_Toc10624969"/>
      <w:bookmarkStart w:id="1365" w:name="_Toc469384125"/>
      <w:bookmarkStart w:id="1366" w:name="_Toc3210"/>
      <w:bookmarkStart w:id="1367" w:name="_Toc665"/>
      <w:bookmarkStart w:id="1368" w:name="_Toc17921"/>
      <w:bookmarkStart w:id="1369" w:name="_Toc26466"/>
      <w:bookmarkStart w:id="1370" w:name="_Toc23577"/>
      <w:bookmarkStart w:id="1371" w:name="_Toc2750"/>
      <w:bookmarkStart w:id="1372" w:name="_Toc422"/>
      <w:bookmarkStart w:id="1373" w:name="_Toc13676"/>
      <w:bookmarkStart w:id="1374" w:name="_Toc5868"/>
      <w:bookmarkStart w:id="1375" w:name="_Toc19643"/>
      <w:bookmarkStart w:id="1376" w:name="_Toc20401"/>
      <w:bookmarkStart w:id="1377" w:name="_Toc19447"/>
      <w:bookmarkStart w:id="1378" w:name="_Toc21793"/>
      <w:bookmarkStart w:id="1379" w:name="_Toc9682"/>
      <w:bookmarkStart w:id="1380" w:name="_Toc2914"/>
      <w:r>
        <w:rPr>
          <w:rFonts w:hint="eastAsia" w:ascii="仿宋" w:hAnsi="仿宋" w:eastAsia="仿宋" w:cs="仿宋"/>
          <w:color w:val="auto"/>
          <w:sz w:val="24"/>
          <w:szCs w:val="24"/>
          <w:highlight w:val="none"/>
          <w:lang w:eastAsia="zh-CN"/>
        </w:rPr>
        <w:t>55</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现场签证事件</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819B2FA">
      <w:pPr>
        <w:rPr>
          <w:rFonts w:hint="eastAsia" w:ascii="仿宋" w:hAnsi="仿宋" w:eastAsia="仿宋"/>
          <w:color w:val="auto"/>
          <w:highlight w:val="none"/>
          <w:lang w:eastAsia="zh-CN"/>
        </w:rPr>
      </w:pPr>
    </w:p>
    <w:p w14:paraId="3CF41FF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55</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现场签证报告的确认</w:t>
      </w:r>
    </w:p>
    <w:p w14:paraId="7C7B76A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提交现场签证报告的时间：</w:t>
      </w:r>
    </w:p>
    <w:p w14:paraId="27841E1E">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按通用条款的规定的时间提交。</w:t>
      </w:r>
    </w:p>
    <w:p w14:paraId="12842DF5">
      <w:pPr>
        <w:spacing w:line="360" w:lineRule="auto"/>
        <w:ind w:firstLine="120" w:firstLineChars="50"/>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eastAsia="zh-CN"/>
        </w:rPr>
        <w:t>现场签证是指合同双方当事人就施工过程中涉及的责任事件所作的签认证明。</w:t>
      </w:r>
    </w:p>
    <w:p w14:paraId="73E3C74C">
      <w:pPr>
        <w:spacing w:line="360" w:lineRule="auto"/>
        <w:ind w:firstLine="120" w:firstLineChars="50"/>
        <w:rPr>
          <w:rFonts w:hint="eastAsia" w:ascii="仿宋" w:hAnsi="仿宋" w:eastAsia="仿宋" w:cs="仿宋"/>
          <w:color w:val="auto"/>
          <w:highlight w:val="none"/>
          <w:lang w:eastAsia="zh-CN"/>
        </w:rPr>
      </w:pPr>
      <w:r>
        <w:rPr>
          <w:rFonts w:hint="eastAsia" w:ascii="仿宋" w:hAnsi="仿宋" w:eastAsia="仿宋" w:cs="仿宋"/>
          <w:color w:val="auto"/>
          <w:highlight w:val="none"/>
          <w:u w:val="single"/>
          <w:lang w:eastAsia="zh-CN"/>
        </w:rPr>
        <w:t>合同履行期间，出现现场签证事件的，</w:t>
      </w:r>
      <w:r>
        <w:rPr>
          <w:rFonts w:hint="eastAsia" w:ascii="仿宋" w:hAnsi="仿宋" w:eastAsia="仿宋" w:cs="仿宋"/>
          <w:color w:val="auto"/>
          <w:highlight w:val="none"/>
          <w:u w:val="single"/>
          <w:lang w:val="en-US" w:eastAsia="zh-CN"/>
        </w:rPr>
        <w:t>由咨询单位进行审核</w:t>
      </w:r>
      <w:r>
        <w:rPr>
          <w:rFonts w:hint="eastAsia" w:ascii="仿宋" w:hAnsi="仿宋" w:eastAsia="仿宋" w:cs="仿宋"/>
          <w:color w:val="auto"/>
          <w:highlight w:val="none"/>
          <w:u w:val="single"/>
          <w:lang w:eastAsia="zh-CN"/>
        </w:rPr>
        <w:t>，待最终结算以审定的结果作为最终结算价。</w:t>
      </w:r>
      <w:r>
        <w:rPr>
          <w:rFonts w:ascii="仿宋" w:hAnsi="仿宋" w:eastAsia="仿宋" w:cs="仿宋"/>
          <w:color w:val="auto"/>
          <w:highlight w:val="none"/>
          <w:lang w:eastAsia="zh-CN"/>
        </w:rPr>
        <w:t xml:space="preserve">      </w:t>
      </w:r>
    </w:p>
    <w:p w14:paraId="0461B0C4">
      <w:pPr>
        <w:spacing w:line="360" w:lineRule="auto"/>
        <w:ind w:firstLine="120" w:firstLineChars="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55.2 调整价款的确认与支付</w:t>
      </w:r>
    </w:p>
    <w:p w14:paraId="32C6EFF3">
      <w:pPr>
        <w:spacing w:line="360" w:lineRule="auto"/>
        <w:ind w:firstLine="600" w:firstLineChars="2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现场签证工作完成后，由咨询单位进行审核，待最终结算以审定的结果作为最终结算价。</w:t>
      </w:r>
      <w:r>
        <w:rPr>
          <w:rFonts w:ascii="仿宋" w:hAnsi="仿宋" w:eastAsia="仿宋" w:cs="仿宋"/>
          <w:color w:val="auto"/>
          <w:highlight w:val="none"/>
          <w:lang w:eastAsia="zh-CN"/>
        </w:rPr>
        <w:t xml:space="preserve">      </w:t>
      </w:r>
    </w:p>
    <w:p w14:paraId="14EFFF38">
      <w:pPr>
        <w:pStyle w:val="5"/>
        <w:tabs>
          <w:tab w:val="left" w:pos="420"/>
          <w:tab w:val="left" w:pos="576"/>
        </w:tabs>
        <w:rPr>
          <w:rFonts w:hint="eastAsia" w:ascii="仿宋" w:hAnsi="仿宋" w:eastAsia="仿宋"/>
          <w:color w:val="auto"/>
          <w:sz w:val="24"/>
          <w:szCs w:val="24"/>
          <w:highlight w:val="none"/>
          <w:lang w:eastAsia="zh-CN"/>
        </w:rPr>
      </w:pPr>
      <w:bookmarkStart w:id="1381" w:name="_Toc469384126"/>
      <w:bookmarkStart w:id="1382" w:name="_Toc24153"/>
      <w:bookmarkStart w:id="1383" w:name="_Toc15641"/>
      <w:bookmarkStart w:id="1384" w:name="_Toc6246"/>
      <w:bookmarkStart w:id="1385" w:name="_Toc10110"/>
      <w:bookmarkStart w:id="1386" w:name="_Toc2864"/>
      <w:bookmarkStart w:id="1387" w:name="_Toc16529"/>
      <w:bookmarkStart w:id="1388" w:name="_Toc20838"/>
      <w:bookmarkStart w:id="1389" w:name="_Toc10624970"/>
      <w:bookmarkStart w:id="1390" w:name="_Toc20936"/>
      <w:bookmarkStart w:id="1391" w:name="_Toc19365"/>
      <w:bookmarkStart w:id="1392" w:name="_Toc1931"/>
      <w:bookmarkStart w:id="1393" w:name="_Toc12760"/>
      <w:bookmarkStart w:id="1394" w:name="_Toc25251"/>
      <w:bookmarkStart w:id="1395" w:name="_Toc31881"/>
      <w:bookmarkStart w:id="1396" w:name="_Toc8894"/>
      <w:bookmarkStart w:id="1397" w:name="_Toc2170"/>
      <w:bookmarkStart w:id="1398" w:name="_Toc13237"/>
      <w:bookmarkStart w:id="1399" w:name="_Toc16201"/>
      <w:r>
        <w:rPr>
          <w:rFonts w:hint="eastAsia" w:ascii="仿宋" w:hAnsi="仿宋" w:eastAsia="仿宋" w:cs="仿宋"/>
          <w:color w:val="auto"/>
          <w:sz w:val="24"/>
          <w:szCs w:val="24"/>
          <w:highlight w:val="none"/>
          <w:lang w:eastAsia="zh-CN"/>
        </w:rPr>
        <w:t>★56</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物价涨落事件</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61EB4D3">
      <w:pPr>
        <w:ind w:firstLine="120" w:firstLineChars="50"/>
        <w:rPr>
          <w:rFonts w:hint="eastAsia" w:ascii="仿宋" w:hAnsi="仿宋" w:eastAsia="仿宋"/>
          <w:color w:val="auto"/>
          <w:highlight w:val="none"/>
          <w:lang w:eastAsia="zh-CN"/>
        </w:rPr>
      </w:pPr>
    </w:p>
    <w:p w14:paraId="730BE64E">
      <w:pPr>
        <w:spacing w:line="360" w:lineRule="auto"/>
        <w:ind w:firstLine="480" w:firstLineChars="200"/>
        <w:rPr>
          <w:rFonts w:eastAsia="仿宋_GB2312"/>
          <w:color w:val="auto"/>
          <w:sz w:val="30"/>
          <w:szCs w:val="30"/>
          <w:highlight w:val="none"/>
          <w:lang w:eastAsia="zh-CN"/>
        </w:rPr>
      </w:pPr>
      <w:r>
        <w:rPr>
          <w:rFonts w:hint="eastAsia" w:ascii="仿宋" w:hAnsi="仿宋" w:eastAsia="仿宋" w:cs="仿宋"/>
          <w:color w:val="auto"/>
          <w:highlight w:val="none"/>
          <w:lang w:eastAsia="zh-CN"/>
        </w:rPr>
        <w:t>市场价格波动是否调整合同价格的约定：待最终结算以</w:t>
      </w:r>
      <w:r>
        <w:rPr>
          <w:rFonts w:hint="eastAsia" w:ascii="仿宋" w:hAnsi="仿宋" w:eastAsia="仿宋" w:cs="仿宋"/>
          <w:color w:val="auto"/>
          <w:highlight w:val="none"/>
          <w:lang w:val="en-US" w:eastAsia="zh-CN"/>
        </w:rPr>
        <w:t>咨询单位</w:t>
      </w:r>
      <w:r>
        <w:rPr>
          <w:rFonts w:hint="eastAsia" w:ascii="仿宋" w:hAnsi="仿宋" w:eastAsia="仿宋" w:cs="仿宋"/>
          <w:color w:val="auto"/>
          <w:highlight w:val="none"/>
          <w:lang w:eastAsia="zh-CN"/>
        </w:rPr>
        <w:t>审定的结果作为最终结算价。调差方式详见附件十六：合同材料价格调整条款</w:t>
      </w:r>
      <w:r>
        <w:rPr>
          <w:rFonts w:hint="eastAsia" w:eastAsia="仿宋_GB2312" w:cs="仿宋_GB2312"/>
          <w:color w:val="auto"/>
          <w:sz w:val="30"/>
          <w:szCs w:val="30"/>
          <w:highlight w:val="none"/>
          <w:lang w:eastAsia="zh-CN"/>
        </w:rPr>
        <w:t>。</w:t>
      </w:r>
    </w:p>
    <w:p w14:paraId="2A8F2E81">
      <w:pPr>
        <w:pStyle w:val="5"/>
        <w:tabs>
          <w:tab w:val="left" w:pos="420"/>
          <w:tab w:val="left" w:pos="576"/>
        </w:tabs>
        <w:rPr>
          <w:rFonts w:hint="eastAsia" w:ascii="仿宋" w:hAnsi="仿宋" w:eastAsia="仿宋"/>
          <w:color w:val="auto"/>
          <w:sz w:val="24"/>
          <w:szCs w:val="24"/>
          <w:highlight w:val="none"/>
          <w:lang w:eastAsia="zh-CN"/>
        </w:rPr>
      </w:pPr>
      <w:bookmarkStart w:id="1400" w:name="_Toc28125"/>
      <w:bookmarkStart w:id="1401" w:name="_Toc20060"/>
      <w:bookmarkStart w:id="1402" w:name="_Toc469384127"/>
      <w:bookmarkStart w:id="1403" w:name="_Toc10624971"/>
      <w:bookmarkStart w:id="1404" w:name="_Toc18810"/>
      <w:bookmarkStart w:id="1405" w:name="_Toc5242"/>
      <w:bookmarkStart w:id="1406" w:name="_Toc30695"/>
      <w:bookmarkStart w:id="1407" w:name="_Toc11528"/>
      <w:bookmarkStart w:id="1408" w:name="_Toc26553"/>
      <w:bookmarkStart w:id="1409" w:name="_Toc1059"/>
      <w:bookmarkStart w:id="1410" w:name="_Toc11907"/>
      <w:bookmarkStart w:id="1411" w:name="_Toc16620"/>
      <w:bookmarkStart w:id="1412" w:name="_Toc26716"/>
      <w:bookmarkStart w:id="1413" w:name="_Toc2581"/>
      <w:bookmarkStart w:id="1414" w:name="_Toc21828"/>
      <w:bookmarkStart w:id="1415" w:name="_Toc24954"/>
      <w:bookmarkStart w:id="1416" w:name="_Toc18077"/>
      <w:bookmarkStart w:id="1417" w:name="_Toc5108"/>
      <w:bookmarkStart w:id="1418" w:name="_Toc7078"/>
      <w:r>
        <w:rPr>
          <w:rFonts w:hint="eastAsia" w:ascii="仿宋" w:hAnsi="仿宋" w:eastAsia="仿宋" w:cs="仿宋"/>
          <w:color w:val="auto"/>
          <w:sz w:val="24"/>
          <w:szCs w:val="24"/>
          <w:highlight w:val="none"/>
          <w:lang w:eastAsia="zh-CN"/>
        </w:rPr>
        <w:t>57</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支付事项</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51F7E18E">
      <w:pPr>
        <w:rPr>
          <w:rFonts w:hint="eastAsia" w:ascii="仿宋" w:hAnsi="仿宋" w:eastAsia="仿宋"/>
          <w:color w:val="auto"/>
          <w:highlight w:val="none"/>
          <w:lang w:eastAsia="zh-CN"/>
        </w:rPr>
      </w:pPr>
    </w:p>
    <w:p w14:paraId="2D94E47F">
      <w:pPr>
        <w:spacing w:line="360" w:lineRule="auto"/>
        <w:ind w:firstLine="240" w:firstLineChars="1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57</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计算利息的利率</w:t>
      </w:r>
    </w:p>
    <w:p w14:paraId="440EA2CB">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按照中国人民银行发布的同期同类贷款利率。</w:t>
      </w:r>
    </w:p>
    <w:p w14:paraId="00882A9B">
      <w:pPr>
        <w:ind w:firstLine="240" w:firstLineChars="100"/>
        <w:rPr>
          <w:rFonts w:hint="eastAsia" w:ascii="仿宋" w:hAnsi="仿宋" w:eastAsia="仿宋" w:cs="宋体"/>
          <w:color w:val="auto"/>
          <w:highlight w:val="none"/>
          <w:lang w:eastAsia="zh-CN"/>
        </w:rPr>
      </w:pPr>
      <w:bookmarkStart w:id="1419" w:name="_Toc1018"/>
      <w:bookmarkStart w:id="1420" w:name="_Toc18820"/>
      <w:bookmarkStart w:id="1421" w:name="_Toc30819"/>
      <w:bookmarkStart w:id="1422" w:name="_Toc6974"/>
      <w:bookmarkStart w:id="1423" w:name="_Toc17907"/>
      <w:bookmarkStart w:id="1424" w:name="_Toc6542"/>
      <w:bookmarkStart w:id="1425" w:name="_Toc4943"/>
      <w:bookmarkStart w:id="1426" w:name="_Toc8415"/>
      <w:bookmarkStart w:id="1427" w:name="_Toc11781"/>
      <w:bookmarkStart w:id="1428" w:name="_Toc816"/>
      <w:bookmarkStart w:id="1429" w:name="_Toc10811"/>
      <w:bookmarkStart w:id="1430" w:name="_Toc27714"/>
      <w:r>
        <w:rPr>
          <w:rFonts w:hint="eastAsia" w:ascii="仿宋" w:hAnsi="仿宋" w:eastAsia="仿宋" w:cs="宋体"/>
          <w:color w:val="auto"/>
          <w:highlight w:val="none"/>
          <w:lang w:eastAsia="zh-CN"/>
        </w:rPr>
        <w:t>☑ 另作约定：不计取利息。</w:t>
      </w:r>
      <w:bookmarkEnd w:id="1419"/>
      <w:bookmarkEnd w:id="1420"/>
      <w:bookmarkEnd w:id="1421"/>
      <w:bookmarkEnd w:id="1422"/>
      <w:bookmarkEnd w:id="1423"/>
      <w:bookmarkEnd w:id="1424"/>
      <w:bookmarkEnd w:id="1425"/>
      <w:bookmarkEnd w:id="1426"/>
      <w:bookmarkEnd w:id="1427"/>
      <w:bookmarkEnd w:id="1428"/>
      <w:bookmarkEnd w:id="1429"/>
      <w:bookmarkEnd w:id="1430"/>
      <w:r>
        <w:rPr>
          <w:rFonts w:hint="eastAsia" w:ascii="仿宋" w:hAnsi="仿宋" w:eastAsia="仿宋" w:cs="宋体"/>
          <w:color w:val="auto"/>
          <w:highlight w:val="none"/>
          <w:lang w:eastAsia="zh-CN"/>
        </w:rPr>
        <w:t xml:space="preserve">  </w:t>
      </w:r>
    </w:p>
    <w:p w14:paraId="02D71C28">
      <w:pPr>
        <w:ind w:firstLine="480" w:firstLineChars="200"/>
        <w:rPr>
          <w:rFonts w:hint="eastAsia" w:ascii="仿宋" w:hAnsi="仿宋" w:eastAsia="仿宋" w:cs="仿宋"/>
          <w:color w:val="auto"/>
          <w:highlight w:val="none"/>
          <w:lang w:eastAsia="zh-CN"/>
        </w:rPr>
      </w:pPr>
      <w:r>
        <w:rPr>
          <w:rFonts w:hint="eastAsia" w:ascii="仿宋" w:hAnsi="仿宋" w:eastAsia="仿宋" w:cs="宋体"/>
          <w:color w:val="auto"/>
          <w:highlight w:val="none"/>
          <w:lang w:eastAsia="zh-CN"/>
        </w:rPr>
        <w:t>本合同涉及的违约处罚，发包人可以选择在工程进度款或工程竣工结算时从应支付的价款中予以扣减，具体按发包人要求办理。</w:t>
      </w:r>
    </w:p>
    <w:p w14:paraId="115FE594">
      <w:pPr>
        <w:pStyle w:val="5"/>
        <w:tabs>
          <w:tab w:val="left" w:pos="420"/>
          <w:tab w:val="left" w:pos="576"/>
        </w:tabs>
        <w:rPr>
          <w:rFonts w:hint="eastAsia" w:ascii="仿宋" w:hAnsi="仿宋" w:eastAsia="仿宋"/>
          <w:color w:val="auto"/>
          <w:sz w:val="24"/>
          <w:szCs w:val="24"/>
          <w:highlight w:val="none"/>
          <w:lang w:eastAsia="zh-CN"/>
        </w:rPr>
      </w:pPr>
      <w:bookmarkStart w:id="1431" w:name="_Toc469384128"/>
      <w:bookmarkStart w:id="1432" w:name="_Toc7833"/>
      <w:bookmarkStart w:id="1433" w:name="_Toc25955"/>
      <w:bookmarkStart w:id="1434" w:name="_Toc22280"/>
      <w:bookmarkStart w:id="1435" w:name="_Toc12040"/>
      <w:bookmarkStart w:id="1436" w:name="_Toc24621"/>
      <w:bookmarkStart w:id="1437" w:name="_Toc16875"/>
      <w:bookmarkStart w:id="1438" w:name="_Toc19197"/>
      <w:bookmarkStart w:id="1439" w:name="_Toc6797"/>
      <w:bookmarkStart w:id="1440" w:name="_Toc18203"/>
      <w:bookmarkStart w:id="1441" w:name="_Toc30774"/>
      <w:bookmarkStart w:id="1442" w:name="_Toc8942"/>
      <w:bookmarkStart w:id="1443" w:name="_Toc22988"/>
      <w:bookmarkStart w:id="1444" w:name="_Toc31409"/>
      <w:bookmarkStart w:id="1445" w:name="_Toc7758"/>
      <w:bookmarkStart w:id="1446" w:name="_Toc23645"/>
      <w:bookmarkStart w:id="1447" w:name="_Toc30930"/>
      <w:bookmarkStart w:id="1448" w:name="_Toc10624972"/>
      <w:bookmarkStart w:id="1449" w:name="_Toc22904"/>
      <w:r>
        <w:rPr>
          <w:rFonts w:hint="eastAsia" w:ascii="仿宋" w:hAnsi="仿宋" w:eastAsia="仿宋" w:cs="仿宋"/>
          <w:color w:val="auto"/>
          <w:sz w:val="24"/>
          <w:szCs w:val="24"/>
          <w:highlight w:val="none"/>
          <w:lang w:eastAsia="zh-CN"/>
        </w:rPr>
        <w:t>★58</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预付款</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6F722D6">
      <w:pPr>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p>
    <w:p w14:paraId="7200428B">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58</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预付款的约定及管理</w:t>
      </w:r>
    </w:p>
    <w:p w14:paraId="0F05CC0B">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rPr>
        <w:sym w:font="Wingdings 2" w:char="00A3"/>
      </w:r>
      <w:r>
        <w:rPr>
          <w:rFonts w:hint="eastAsia" w:ascii="仿宋" w:hAnsi="仿宋" w:eastAsia="仿宋" w:cs="仿宋"/>
          <w:color w:val="auto"/>
          <w:highlight w:val="none"/>
          <w:lang w:eastAsia="zh-CN"/>
        </w:rPr>
        <w:t>无预付款，本条不适用。</w:t>
      </w:r>
    </w:p>
    <w:p w14:paraId="6C716F53">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有预付款，其支付办法和抵扣方式，按</w:t>
      </w:r>
      <w:r>
        <w:rPr>
          <w:rFonts w:hint="eastAsia" w:ascii="仿宋" w:hAnsi="仿宋" w:eastAsia="仿宋" w:cs="仿宋"/>
          <w:color w:val="auto"/>
          <w:highlight w:val="none"/>
          <w:lang w:val="en-US" w:eastAsia="zh-CN"/>
        </w:rPr>
        <w:t>通用</w:t>
      </w:r>
      <w:r>
        <w:rPr>
          <w:rFonts w:hint="eastAsia" w:ascii="仿宋" w:hAnsi="仿宋" w:eastAsia="仿宋" w:cs="仿宋"/>
          <w:color w:val="auto"/>
          <w:highlight w:val="none"/>
          <w:lang w:eastAsia="zh-CN"/>
        </w:rPr>
        <w:t>条款第84.2款和第84.4款约定。</w:t>
      </w:r>
    </w:p>
    <w:p w14:paraId="56C8BF3C">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另作约定：</w:t>
      </w:r>
    </w:p>
    <w:p w14:paraId="6E5D32D7">
      <w:pPr>
        <w:spacing w:line="360" w:lineRule="auto"/>
        <w:ind w:firstLine="849" w:firstLineChars="354"/>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olor w:val="auto"/>
          <w:highlight w:val="none"/>
          <w:lang w:eastAsia="zh-CN"/>
        </w:rPr>
        <w:t>工程勘察费预付款支付比例：</w:t>
      </w:r>
    </w:p>
    <w:p w14:paraId="08745E57">
      <w:pPr>
        <w:spacing w:line="360" w:lineRule="auto"/>
        <w:ind w:firstLine="849" w:firstLineChars="354"/>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52"/>
      </w:r>
      <w:r>
        <w:rPr>
          <w:rFonts w:hint="eastAsia" w:ascii="仿宋" w:hAnsi="仿宋" w:eastAsia="仿宋"/>
          <w:color w:val="auto"/>
          <w:highlight w:val="none"/>
          <w:lang w:eastAsia="zh-CN"/>
        </w:rPr>
        <w:t>工程设计费预付款支付比例：</w:t>
      </w:r>
      <w:r>
        <w:rPr>
          <w:rFonts w:hint="eastAsia" w:ascii="仿宋" w:hAnsi="仿宋" w:eastAsia="仿宋" w:cs="仿宋"/>
          <w:color w:val="auto"/>
          <w:highlight w:val="none"/>
          <w:u w:val="single"/>
          <w:lang w:eastAsia="zh-CN"/>
        </w:rPr>
        <w:t>按签约合同价费的10%。</w:t>
      </w:r>
    </w:p>
    <w:p w14:paraId="7353E95F">
      <w:pPr>
        <w:spacing w:line="360" w:lineRule="auto"/>
        <w:ind w:firstLine="849" w:firstLineChars="354"/>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olor w:val="auto"/>
          <w:highlight w:val="none"/>
          <w:lang w:eastAsia="zh-CN"/>
        </w:rPr>
        <w:t>BIM技术应用费预付款支付比例：</w:t>
      </w:r>
      <w:r>
        <w:rPr>
          <w:rFonts w:hint="eastAsia" w:ascii="仿宋" w:hAnsi="仿宋" w:eastAsia="仿宋" w:cs="仿宋"/>
          <w:color w:val="auto"/>
          <w:highlight w:val="none"/>
          <w:u w:val="single"/>
          <w:lang w:val="en-US" w:eastAsia="zh-CN"/>
        </w:rPr>
        <w:t>/</w:t>
      </w:r>
      <w:r>
        <w:rPr>
          <w:rFonts w:hint="eastAsia" w:ascii="仿宋" w:hAnsi="仿宋" w:eastAsia="仿宋" w:cs="仿宋"/>
          <w:color w:val="auto"/>
          <w:highlight w:val="none"/>
          <w:u w:val="single"/>
          <w:lang w:eastAsia="zh-CN"/>
        </w:rPr>
        <w:t>。</w:t>
      </w:r>
    </w:p>
    <w:p w14:paraId="752CE36F">
      <w:pPr>
        <w:spacing w:line="360" w:lineRule="auto"/>
        <w:ind w:firstLine="849" w:firstLineChars="354"/>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olor w:val="auto"/>
          <w:highlight w:val="none"/>
          <w:lang w:eastAsia="zh-CN"/>
        </w:rPr>
        <w:t>设备及工器具购置费预付款支付比例及金额：</w:t>
      </w:r>
    </w:p>
    <w:p w14:paraId="561E1854">
      <w:pPr>
        <w:pStyle w:val="71"/>
        <w:adjustRightInd w:val="0"/>
        <w:snapToGrid w:val="0"/>
        <w:spacing w:before="0" w:beforeAutospacing="0" w:after="0" w:afterAutospacing="0" w:line="360" w:lineRule="auto"/>
        <w:ind w:firstLine="849" w:firstLineChars="354"/>
        <w:rPr>
          <w:rFonts w:hint="eastAsia" w:ascii="仿宋" w:hAnsi="仿宋" w:eastAsia="仿宋"/>
          <w:snapToGrid w:val="0"/>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olor w:val="auto"/>
          <w:highlight w:val="none"/>
          <w:lang w:eastAsia="zh-CN"/>
        </w:rPr>
        <w:t>建筑安装工程费预付款支付比例：</w:t>
      </w:r>
      <w:r>
        <w:rPr>
          <w:rFonts w:hint="eastAsia" w:ascii="仿宋" w:hAnsi="仿宋" w:eastAsia="仿宋"/>
          <w:color w:val="auto"/>
          <w:highlight w:val="none"/>
          <w:u w:val="single"/>
          <w:lang w:eastAsia="zh-CN"/>
        </w:rPr>
        <w:t>预付款支付条件详见通用条款第84.2条</w:t>
      </w:r>
      <w:r>
        <w:rPr>
          <w:rFonts w:hint="eastAsia" w:ascii="仿宋" w:hAnsi="仿宋" w:eastAsia="仿宋" w:cs="仿宋"/>
          <w:color w:val="auto"/>
          <w:highlight w:val="none"/>
          <w:u w:val="single"/>
          <w:lang w:eastAsia="zh-CN"/>
        </w:rPr>
        <w:t>，预付款支付比例及金额按签约合同价中建筑安装工程费的</w:t>
      </w:r>
      <w:r>
        <w:rPr>
          <w:rFonts w:hint="eastAsia" w:ascii="仿宋" w:hAnsi="仿宋" w:eastAsia="仿宋" w:cs="仿宋"/>
          <w:color w:val="auto"/>
          <w:highlight w:val="none"/>
          <w:u w:val="single"/>
          <w:lang w:val="en-US" w:eastAsia="zh-CN"/>
          <w:woUserID w:val="1"/>
        </w:rPr>
        <w:t>1</w:t>
      </w:r>
      <w:r>
        <w:rPr>
          <w:rFonts w:hint="eastAsia" w:ascii="仿宋" w:hAnsi="仿宋" w:eastAsia="仿宋" w:cs="仿宋"/>
          <w:color w:val="auto"/>
          <w:highlight w:val="none"/>
          <w:u w:val="single"/>
          <w:lang w:eastAsia="zh"/>
          <w:woUserID w:val="1"/>
        </w:rPr>
        <w:t>0</w:t>
      </w:r>
      <w:r>
        <w:rPr>
          <w:rFonts w:hint="eastAsia" w:ascii="仿宋" w:hAnsi="仿宋" w:eastAsia="仿宋" w:cs="仿宋"/>
          <w:color w:val="auto"/>
          <w:highlight w:val="none"/>
          <w:u w:val="single"/>
          <w:lang w:eastAsia="zh-CN"/>
        </w:rPr>
        <w:t>%。</w:t>
      </w:r>
    </w:p>
    <w:p w14:paraId="5B9823DC">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p>
    <w:p w14:paraId="76A4847D">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58</w:t>
      </w:r>
      <w:r>
        <w:rPr>
          <w:rFonts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提交预付款支付申请期限：</w:t>
      </w:r>
    </w:p>
    <w:p w14:paraId="207B99E3">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按承包人在完成本款三项工作后的</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天内。</w:t>
      </w:r>
    </w:p>
    <w:p w14:paraId="40CB514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val="en-US" w:eastAsia="zh-CN"/>
        </w:rPr>
        <w:t>/</w:t>
      </w:r>
      <w:r>
        <w:rPr>
          <w:rFonts w:hint="eastAsia" w:ascii="仿宋" w:hAnsi="仿宋" w:eastAsia="仿宋" w:cs="仿宋"/>
          <w:color w:val="auto"/>
          <w:highlight w:val="none"/>
          <w:u w:val="single"/>
          <w:lang w:eastAsia="zh-CN"/>
        </w:rPr>
        <w:t>。</w:t>
      </w:r>
    </w:p>
    <w:p w14:paraId="52FA43B9">
      <w:pPr>
        <w:spacing w:line="360" w:lineRule="auto"/>
        <w:rPr>
          <w:rFonts w:hint="eastAsia" w:ascii="仿宋" w:hAnsi="仿宋" w:eastAsia="仿宋" w:cs="仿宋"/>
          <w:color w:val="auto"/>
          <w:highlight w:val="none"/>
          <w:u w:val="single"/>
          <w:lang w:eastAsia="zh-CN"/>
        </w:rPr>
      </w:pPr>
    </w:p>
    <w:p w14:paraId="6604E0C1">
      <w:pPr>
        <w:spacing w:line="360" w:lineRule="auto"/>
        <w:rPr>
          <w:rFonts w:hint="eastAsia" w:ascii="仿宋" w:hAnsi="仿宋" w:eastAsia="仿宋" w:cs="仿宋"/>
          <w:color w:val="auto"/>
          <w:highlight w:val="none"/>
          <w:u w:val="single"/>
          <w:lang w:eastAsia="zh-CN"/>
        </w:rPr>
      </w:pPr>
    </w:p>
    <w:p w14:paraId="642F3011">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58</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3</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预付款抵扣方式</w:t>
      </w:r>
    </w:p>
    <w:p w14:paraId="0153E1DC">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预付款按照期中应支付工程款的</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扣回，直到扣完为止。</w:t>
      </w:r>
    </w:p>
    <w:p w14:paraId="0A0C54B2">
      <w:pPr>
        <w:spacing w:line="360" w:lineRule="auto"/>
        <w:rPr>
          <w:rFonts w:hint="eastAsia" w:ascii="仿宋" w:hAnsi="仿宋" w:eastAsia="仿宋" w:cs="仿宋"/>
          <w:color w:val="auto"/>
          <w:highlight w:val="none"/>
          <w:u w:val="singl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其它方式：1.</w:t>
      </w:r>
      <w:r>
        <w:rPr>
          <w:rFonts w:hint="eastAsia" w:ascii="仿宋" w:hAnsi="仿宋" w:eastAsia="仿宋" w:cs="仿宋"/>
          <w:color w:val="auto"/>
          <w:highlight w:val="none"/>
          <w:u w:val="single"/>
          <w:lang w:eastAsia="zh-CN"/>
        </w:rPr>
        <w:t>建筑安装工程费预付款在每期进度款中扣回，具体扣回比例按下表执行。</w:t>
      </w:r>
    </w:p>
    <w:p w14:paraId="1619E4BE">
      <w:pPr>
        <w:spacing w:line="360" w:lineRule="auto"/>
        <w:jc w:val="center"/>
        <w:rPr>
          <w:rFonts w:hint="eastAsia" w:ascii="仿宋_GB2312" w:hAnsi="仿宋_GB2312" w:eastAsia="仿宋_GB2312" w:cs="仿宋_GB2312"/>
          <w:bCs/>
          <w:color w:val="auto"/>
          <w:highlight w:val="none"/>
        </w:rPr>
      </w:pPr>
      <w:r>
        <w:rPr>
          <w:rFonts w:hint="eastAsia" w:ascii="仿宋_GB2312" w:hAnsi="仿宋_GB2312" w:eastAsia="仿宋_GB2312" w:cs="仿宋_GB2312"/>
          <w:bCs/>
          <w:color w:val="auto"/>
          <w:highlight w:val="none"/>
        </w:rPr>
        <w:t>预付款扣回比例表</w:t>
      </w:r>
    </w:p>
    <w:tbl>
      <w:tblPr>
        <w:tblStyle w:val="7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86"/>
        <w:gridCol w:w="2603"/>
        <w:gridCol w:w="2317"/>
      </w:tblGrid>
      <w:tr w14:paraId="7C0F2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586" w:type="dxa"/>
            <w:vAlign w:val="center"/>
          </w:tcPr>
          <w:p w14:paraId="7A691537">
            <w:pPr>
              <w:keepNext w:val="0"/>
              <w:keepLines w:val="0"/>
              <w:widowControl/>
              <w:suppressLineNumbers w:val="0"/>
              <w:spacing w:before="0" w:beforeAutospacing="0" w:after="0" w:afterAutospacing="0" w:line="360" w:lineRule="auto"/>
              <w:ind w:left="0" w:right="0"/>
              <w:jc w:val="center"/>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highlight w:val="none"/>
              </w:rPr>
              <w:t>合同签约价</w:t>
            </w:r>
          </w:p>
        </w:tc>
        <w:tc>
          <w:tcPr>
            <w:tcW w:w="2603" w:type="dxa"/>
            <w:vAlign w:val="center"/>
          </w:tcPr>
          <w:p w14:paraId="2C5FCC6A">
            <w:pPr>
              <w:keepNext w:val="0"/>
              <w:keepLines w:val="0"/>
              <w:widowControl/>
              <w:suppressLineNumbers w:val="0"/>
              <w:spacing w:before="0" w:beforeAutospacing="0" w:after="0" w:afterAutospacing="0" w:line="360" w:lineRule="auto"/>
              <w:ind w:left="0" w:right="0"/>
              <w:jc w:val="center"/>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highlight w:val="none"/>
              </w:rPr>
              <w:t>扣回预付款的比例</w:t>
            </w:r>
          </w:p>
        </w:tc>
        <w:tc>
          <w:tcPr>
            <w:tcW w:w="2317" w:type="dxa"/>
            <w:vAlign w:val="center"/>
          </w:tcPr>
          <w:p w14:paraId="7231D040">
            <w:pPr>
              <w:keepNext w:val="0"/>
              <w:keepLines w:val="0"/>
              <w:widowControl/>
              <w:suppressLineNumbers w:val="0"/>
              <w:spacing w:before="0" w:beforeAutospacing="0" w:after="0" w:afterAutospacing="0" w:line="360" w:lineRule="auto"/>
              <w:ind w:left="0" w:right="0"/>
              <w:jc w:val="center"/>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highlight w:val="none"/>
              </w:rPr>
              <w:t>累计扣回比例</w:t>
            </w:r>
          </w:p>
        </w:tc>
      </w:tr>
      <w:tr w14:paraId="3F9E4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tcPr>
          <w:p w14:paraId="6D6373B5">
            <w:pPr>
              <w:keepNext w:val="0"/>
              <w:keepLines w:val="0"/>
              <w:widowControl/>
              <w:suppressLineNumbers w:val="0"/>
              <w:spacing w:before="0" w:beforeAutospacing="0" w:after="0" w:afterAutospacing="0" w:line="360" w:lineRule="auto"/>
              <w:ind w:left="0" w:right="0"/>
              <w:jc w:val="center"/>
              <w:rPr>
                <w:rFonts w:hint="eastAsia" w:ascii="仿宋_GB2312" w:hAnsi="仿宋_GB2312" w:eastAsia="仿宋_GB2312" w:cs="仿宋_GB2312"/>
                <w:color w:val="auto"/>
                <w:highlight w:val="none"/>
                <w:lang w:eastAsia="zh-CN"/>
              </w:rPr>
            </w:pPr>
            <w:r>
              <w:rPr>
                <w:rFonts w:hint="eastAsia" w:ascii="仿宋_GB2312" w:hAnsi="仿宋_GB2312" w:eastAsia="仿宋_GB2312" w:cs="仿宋_GB2312"/>
                <w:color w:val="auto"/>
                <w:highlight w:val="none"/>
                <w:lang w:eastAsia="zh-CN"/>
              </w:rPr>
              <w:t>第一期请款</w:t>
            </w:r>
          </w:p>
        </w:tc>
        <w:tc>
          <w:tcPr>
            <w:tcW w:w="2603" w:type="dxa"/>
          </w:tcPr>
          <w:p w14:paraId="1B5AE742">
            <w:pPr>
              <w:keepNext w:val="0"/>
              <w:keepLines w:val="0"/>
              <w:widowControl/>
              <w:suppressLineNumbers w:val="0"/>
              <w:spacing w:before="0" w:beforeAutospacing="0" w:after="0" w:afterAutospacing="0" w:line="360" w:lineRule="auto"/>
              <w:ind w:left="0" w:right="0"/>
              <w:jc w:val="center"/>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highlight w:val="none"/>
                <w:lang w:val="en-US" w:eastAsia="zh-CN"/>
              </w:rPr>
              <w:t>30</w:t>
            </w:r>
            <w:r>
              <w:rPr>
                <w:rFonts w:hint="eastAsia" w:ascii="仿宋_GB2312" w:hAnsi="仿宋_GB2312" w:eastAsia="仿宋_GB2312" w:cs="仿宋_GB2312"/>
                <w:color w:val="auto"/>
                <w:highlight w:val="none"/>
              </w:rPr>
              <w:t>％</w:t>
            </w:r>
          </w:p>
        </w:tc>
        <w:tc>
          <w:tcPr>
            <w:tcW w:w="2317" w:type="dxa"/>
          </w:tcPr>
          <w:p w14:paraId="0966963D">
            <w:pPr>
              <w:keepNext w:val="0"/>
              <w:keepLines w:val="0"/>
              <w:widowControl/>
              <w:suppressLineNumbers w:val="0"/>
              <w:spacing w:before="0" w:beforeAutospacing="0" w:after="0" w:afterAutospacing="0" w:line="360" w:lineRule="auto"/>
              <w:ind w:left="0" w:right="0"/>
              <w:jc w:val="center"/>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highlight w:val="none"/>
                <w:lang w:val="en-US" w:eastAsia="zh-CN"/>
              </w:rPr>
              <w:t>30</w:t>
            </w:r>
            <w:r>
              <w:rPr>
                <w:rFonts w:hint="eastAsia" w:ascii="仿宋_GB2312" w:hAnsi="仿宋_GB2312" w:eastAsia="仿宋_GB2312" w:cs="仿宋_GB2312"/>
                <w:color w:val="auto"/>
                <w:highlight w:val="none"/>
              </w:rPr>
              <w:t>％</w:t>
            </w:r>
          </w:p>
        </w:tc>
      </w:tr>
      <w:tr w14:paraId="215CE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86" w:type="dxa"/>
          </w:tcPr>
          <w:p w14:paraId="36C9D117">
            <w:pPr>
              <w:keepNext w:val="0"/>
              <w:keepLines w:val="0"/>
              <w:widowControl/>
              <w:suppressLineNumbers w:val="0"/>
              <w:spacing w:before="0" w:beforeAutospacing="0" w:after="0" w:afterAutospacing="0" w:line="360" w:lineRule="auto"/>
              <w:ind w:left="0" w:right="0"/>
              <w:jc w:val="center"/>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highlight w:val="none"/>
                <w:lang w:eastAsia="zh-CN"/>
              </w:rPr>
              <w:t>第二期请款</w:t>
            </w:r>
          </w:p>
        </w:tc>
        <w:tc>
          <w:tcPr>
            <w:tcW w:w="2603" w:type="dxa"/>
          </w:tcPr>
          <w:p w14:paraId="77671D65">
            <w:pPr>
              <w:keepNext w:val="0"/>
              <w:keepLines w:val="0"/>
              <w:widowControl/>
              <w:suppressLineNumbers w:val="0"/>
              <w:spacing w:before="0" w:beforeAutospacing="0" w:after="0" w:afterAutospacing="0" w:line="360" w:lineRule="auto"/>
              <w:ind w:left="0" w:right="0"/>
              <w:jc w:val="center"/>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highlight w:val="none"/>
                <w:lang w:val="en-US" w:eastAsia="zh-CN"/>
              </w:rPr>
              <w:t>30</w:t>
            </w:r>
            <w:r>
              <w:rPr>
                <w:rFonts w:hint="eastAsia" w:ascii="仿宋_GB2312" w:hAnsi="仿宋_GB2312" w:eastAsia="仿宋_GB2312" w:cs="仿宋_GB2312"/>
                <w:color w:val="auto"/>
                <w:highlight w:val="none"/>
              </w:rPr>
              <w:t>％</w:t>
            </w:r>
          </w:p>
        </w:tc>
        <w:tc>
          <w:tcPr>
            <w:tcW w:w="2317" w:type="dxa"/>
          </w:tcPr>
          <w:p w14:paraId="49DF94D1">
            <w:pPr>
              <w:keepNext w:val="0"/>
              <w:keepLines w:val="0"/>
              <w:widowControl/>
              <w:suppressLineNumbers w:val="0"/>
              <w:spacing w:before="0" w:beforeAutospacing="0" w:after="0" w:afterAutospacing="0" w:line="360" w:lineRule="auto"/>
              <w:ind w:left="0" w:right="0"/>
              <w:jc w:val="center"/>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highlight w:val="none"/>
                <w:lang w:val="en-US" w:eastAsia="zh-CN"/>
              </w:rPr>
              <w:t>6</w:t>
            </w:r>
            <w:r>
              <w:rPr>
                <w:rFonts w:hint="eastAsia" w:ascii="仿宋_GB2312" w:hAnsi="仿宋_GB2312" w:eastAsia="仿宋_GB2312" w:cs="仿宋_GB2312"/>
                <w:color w:val="auto"/>
                <w:highlight w:val="none"/>
              </w:rPr>
              <w:t>0％</w:t>
            </w:r>
          </w:p>
        </w:tc>
      </w:tr>
    </w:tbl>
    <w:p w14:paraId="15259502">
      <w:pPr>
        <w:pStyle w:val="2"/>
        <w:numPr>
          <w:ilvl w:val="0"/>
          <w:numId w:val="41"/>
        </w:numPr>
        <w:ind w:firstLine="960" w:firstLineChars="400"/>
        <w:rPr>
          <w:rFonts w:hint="eastAsia" w:ascii="仿宋" w:hAnsi="仿宋" w:eastAsia="仿宋" w:cs="仿宋"/>
          <w:color w:val="auto"/>
          <w:sz w:val="24"/>
          <w:szCs w:val="24"/>
          <w:highlight w:val="none"/>
          <w:lang w:eastAsia="zh-CN" w:bidi="en-US"/>
        </w:rPr>
      </w:pPr>
      <w:r>
        <w:rPr>
          <w:rFonts w:hint="eastAsia" w:ascii="仿宋" w:hAnsi="仿宋" w:eastAsia="仿宋" w:cs="仿宋"/>
          <w:color w:val="auto"/>
          <w:sz w:val="24"/>
          <w:szCs w:val="24"/>
          <w:highlight w:val="none"/>
          <w:lang w:eastAsia="zh-CN" w:bidi="en-US"/>
        </w:rPr>
        <w:t>设计费预付款在第二期进度款中扣回。</w:t>
      </w:r>
    </w:p>
    <w:p w14:paraId="64A37348">
      <w:pPr>
        <w:pStyle w:val="5"/>
        <w:tabs>
          <w:tab w:val="left" w:pos="420"/>
          <w:tab w:val="left" w:pos="576"/>
        </w:tabs>
        <w:rPr>
          <w:rFonts w:hint="eastAsia" w:ascii="仿宋" w:hAnsi="仿宋" w:eastAsia="仿宋"/>
          <w:color w:val="auto"/>
          <w:sz w:val="24"/>
          <w:szCs w:val="24"/>
          <w:highlight w:val="none"/>
          <w:lang w:eastAsia="zh-CN"/>
        </w:rPr>
      </w:pPr>
      <w:bookmarkStart w:id="1450" w:name="_Toc18026"/>
      <w:bookmarkStart w:id="1451" w:name="_Toc2679"/>
      <w:bookmarkStart w:id="1452" w:name="_Toc2121"/>
      <w:bookmarkStart w:id="1453" w:name="_Toc2753"/>
      <w:bookmarkStart w:id="1454" w:name="_Toc25233"/>
      <w:bookmarkStart w:id="1455" w:name="_Toc6620"/>
      <w:bookmarkStart w:id="1456" w:name="_Toc28863"/>
      <w:bookmarkStart w:id="1457" w:name="_Toc8783"/>
      <w:bookmarkStart w:id="1458" w:name="_Toc469384129"/>
      <w:bookmarkStart w:id="1459" w:name="_Toc8252"/>
      <w:bookmarkStart w:id="1460" w:name="_Toc18953"/>
      <w:bookmarkStart w:id="1461" w:name="_Toc3368"/>
      <w:bookmarkStart w:id="1462" w:name="_Toc3916"/>
      <w:bookmarkStart w:id="1463" w:name="_Toc11837"/>
      <w:bookmarkStart w:id="1464" w:name="_Toc17793"/>
      <w:bookmarkStart w:id="1465" w:name="_Toc10624973"/>
      <w:bookmarkStart w:id="1466" w:name="_Toc19231"/>
      <w:bookmarkStart w:id="1467" w:name="_Toc32193"/>
      <w:bookmarkStart w:id="1468" w:name="_Toc10889"/>
      <w:r>
        <w:rPr>
          <w:rFonts w:hint="eastAsia" w:ascii="仿宋" w:hAnsi="仿宋" w:eastAsia="仿宋" w:cs="仿宋"/>
          <w:color w:val="auto"/>
          <w:sz w:val="24"/>
          <w:szCs w:val="24"/>
          <w:highlight w:val="none"/>
          <w:lang w:eastAsia="zh-CN"/>
        </w:rPr>
        <w:t>★59</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绿色施工安全防护费</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6D8A7256">
      <w:pPr>
        <w:rPr>
          <w:rFonts w:hint="eastAsia" w:ascii="仿宋" w:hAnsi="仿宋" w:eastAsia="仿宋"/>
          <w:color w:val="auto"/>
          <w:highlight w:val="none"/>
          <w:lang w:eastAsia="zh-CN"/>
        </w:rPr>
      </w:pPr>
    </w:p>
    <w:p w14:paraId="73513DA2">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b/>
          <w:bCs/>
          <w:color w:val="auto"/>
          <w:highlight w:val="none"/>
          <w:lang w:eastAsia="zh-CN"/>
        </w:rPr>
        <w:t>★</w:t>
      </w:r>
      <w:r>
        <w:rPr>
          <w:rFonts w:hint="eastAsia" w:ascii="仿宋" w:hAnsi="仿宋" w:eastAsia="仿宋" w:cs="仿宋"/>
          <w:color w:val="auto"/>
          <w:highlight w:val="none"/>
          <w:lang w:eastAsia="zh-CN"/>
        </w:rPr>
        <w:t>59</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绿色施工安全防护费的内容、范围和金额</w:t>
      </w:r>
    </w:p>
    <w:p w14:paraId="0EB65B61">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内容和范围</w:t>
      </w:r>
    </w:p>
    <w:p w14:paraId="04DC3E88">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按通用条款的规定，以现行广东省统一工程计价依据规定、省市造价管理部门发布管理文件为准。</w:t>
      </w:r>
    </w:p>
    <w:p w14:paraId="105793EB">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0AD24DCE">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绿色施工安全防护费的总金额为</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40FF8A7D">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其中：施工扬尘污染防治措施费为</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2670AF2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用工实名管理费为</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4BFC71E3">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危大工程安全防护文明施工措施费</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2EAA01EF">
      <w:pPr>
        <w:rPr>
          <w:rFonts w:hint="eastAsia" w:ascii="仿宋" w:hAnsi="仿宋" w:eastAsia="仿宋"/>
          <w:color w:val="auto"/>
          <w:highlight w:val="none"/>
          <w:lang w:eastAsia="zh-CN"/>
        </w:rPr>
      </w:pPr>
    </w:p>
    <w:p w14:paraId="4B18F9F3">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59</w:t>
      </w:r>
      <w:r>
        <w:rPr>
          <w:rFonts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支付申请的提交与核实</w:t>
      </w:r>
    </w:p>
    <w:p w14:paraId="1839CE1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w:t>
      </w:r>
    </w:p>
    <w:p w14:paraId="7CA4615B">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4937DCD0">
      <w:pPr>
        <w:spacing w:line="360" w:lineRule="auto"/>
        <w:rPr>
          <w:rFonts w:hint="eastAsia" w:ascii="仿宋" w:hAnsi="仿宋" w:eastAsia="仿宋" w:cs="仿宋"/>
          <w:color w:val="auto"/>
          <w:highlight w:val="none"/>
          <w:lang w:eastAsia="zh-CN"/>
        </w:rPr>
      </w:pPr>
    </w:p>
    <w:p w14:paraId="7F1F0208">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59</w:t>
      </w:r>
      <w:r>
        <w:rPr>
          <w:rFonts w:ascii="仿宋" w:hAnsi="仿宋" w:eastAsia="仿宋" w:cs="仿宋"/>
          <w:color w:val="auto"/>
          <w:highlight w:val="none"/>
          <w:lang w:eastAsia="zh-CN"/>
        </w:rPr>
        <w:t xml:space="preserve">.3 </w:t>
      </w:r>
      <w:r>
        <w:rPr>
          <w:rFonts w:hint="eastAsia" w:ascii="仿宋" w:hAnsi="仿宋" w:eastAsia="仿宋" w:cs="仿宋"/>
          <w:color w:val="auto"/>
          <w:highlight w:val="none"/>
          <w:lang w:eastAsia="zh-CN"/>
        </w:rPr>
        <w:t>费用支付</w:t>
      </w:r>
    </w:p>
    <w:p w14:paraId="639DF161">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绿色施工安全防护费的支付办法和抵扣方式：</w:t>
      </w:r>
    </w:p>
    <w:p w14:paraId="3D41F57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w:t>
      </w:r>
    </w:p>
    <w:p w14:paraId="2672F7A1">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hint="eastAsia" w:ascii="仿宋" w:hAnsi="仿宋" w:eastAsia="仿宋" w:cs="仿宋"/>
          <w:color w:val="auto"/>
          <w:highlight w:val="none"/>
          <w:u w:val="single"/>
          <w:lang w:eastAsia="zh-CN"/>
        </w:rPr>
        <w:t>详见专用条款第60款进度款。</w:t>
      </w:r>
      <w:r>
        <w:rPr>
          <w:rFonts w:ascii="仿宋" w:hAnsi="仿宋" w:eastAsia="仿宋" w:cs="仿宋"/>
          <w:color w:val="auto"/>
          <w:highlight w:val="none"/>
          <w:lang w:eastAsia="zh-CN"/>
        </w:rPr>
        <w:t xml:space="preserve">       </w:t>
      </w:r>
    </w:p>
    <w:p w14:paraId="239298B5">
      <w:pPr>
        <w:rPr>
          <w:rFonts w:hint="eastAsia" w:ascii="仿宋" w:hAnsi="仿宋" w:eastAsia="仿宋" w:cs="仿宋"/>
          <w:color w:val="auto"/>
          <w:highlight w:val="none"/>
          <w:lang w:eastAsia="zh-CN"/>
        </w:rPr>
      </w:pPr>
    </w:p>
    <w:p w14:paraId="49F91A97">
      <w:pPr>
        <w:spacing w:line="360" w:lineRule="auto"/>
        <w:ind w:firstLine="241" w:firstLineChars="100"/>
        <w:rPr>
          <w:rFonts w:hint="eastAsia" w:ascii="仿宋" w:hAnsi="仿宋" w:eastAsia="仿宋"/>
          <w:b/>
          <w:bCs/>
          <w:color w:val="auto"/>
          <w:highlight w:val="none"/>
          <w:lang w:eastAsia="zh-CN"/>
        </w:rPr>
      </w:pPr>
      <w:r>
        <w:rPr>
          <w:rFonts w:hint="eastAsia" w:ascii="仿宋" w:hAnsi="仿宋" w:eastAsia="仿宋" w:cs="仿宋"/>
          <w:b/>
          <w:bCs/>
          <w:color w:val="auto"/>
          <w:highlight w:val="none"/>
          <w:lang w:eastAsia="zh-CN"/>
        </w:rPr>
        <w:t>★</w:t>
      </w:r>
      <w:r>
        <w:rPr>
          <w:rFonts w:hint="eastAsia" w:ascii="仿宋" w:hAnsi="仿宋" w:eastAsia="仿宋" w:cs="仿宋"/>
          <w:color w:val="auto"/>
          <w:highlight w:val="none"/>
          <w:lang w:eastAsia="zh-CN"/>
        </w:rPr>
        <w:t>59</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4</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文明工地增加费</w:t>
      </w:r>
    </w:p>
    <w:p w14:paraId="747DED97">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文明工地增加费的计算额度：</w:t>
      </w:r>
    </w:p>
    <w:p w14:paraId="1E10B8C9">
      <w:pPr>
        <w:spacing w:line="360" w:lineRule="auto"/>
        <w:ind w:firstLine="120" w:firstLineChars="5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按通用条款规定计算。</w:t>
      </w:r>
    </w:p>
    <w:p w14:paraId="028DC579">
      <w:pPr>
        <w:spacing w:line="360" w:lineRule="auto"/>
        <w:ind w:firstLine="240" w:firstLineChars="1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按分部分项工程费为基础计算。</w:t>
      </w:r>
    </w:p>
    <w:p w14:paraId="13DD6D41">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另作约定（文明工地增加费率参考广东省建设工程计价依据文明工地增加费、广州市住房和城乡建设局发布的文明工地增加费；合同工程同时获得下列多个奖项的，只按最高奖项的额度计算。）：</w:t>
      </w:r>
    </w:p>
    <w:p w14:paraId="30B5163B">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市级安全文明工地增加费</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p>
    <w:p w14:paraId="2E22A815">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省级安全文明工地增加费</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w:t>
      </w:r>
    </w:p>
    <w:p w14:paraId="0296EE85">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国家级安全文明工地增加费</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w:t>
      </w:r>
    </w:p>
    <w:p w14:paraId="73492354">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其它</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，文明工地增加费</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p>
    <w:p w14:paraId="57DD4481">
      <w:pPr>
        <w:pStyle w:val="5"/>
        <w:tabs>
          <w:tab w:val="left" w:pos="420"/>
        </w:tabs>
        <w:spacing w:before="0" w:after="0" w:line="360" w:lineRule="auto"/>
        <w:rPr>
          <w:rFonts w:hint="eastAsia" w:ascii="仿宋" w:hAnsi="仿宋" w:eastAsia="仿宋"/>
          <w:b w:val="0"/>
          <w:bCs w:val="0"/>
          <w:color w:val="auto"/>
          <w:sz w:val="24"/>
          <w:szCs w:val="24"/>
          <w:highlight w:val="none"/>
          <w:lang w:eastAsia="zh-CN"/>
        </w:rPr>
      </w:pPr>
      <w:bookmarkStart w:id="1469" w:name="_Toc155189224"/>
      <w:bookmarkStart w:id="1470" w:name="_Toc21886"/>
      <w:bookmarkStart w:id="1471" w:name="_Toc8067"/>
      <w:bookmarkStart w:id="1472" w:name="_Toc22566"/>
      <w:bookmarkStart w:id="1473" w:name="_Toc29986"/>
      <w:bookmarkStart w:id="1474" w:name="_Toc8474"/>
      <w:bookmarkStart w:id="1475" w:name="_Toc12873"/>
      <w:bookmarkStart w:id="1476" w:name="_Toc3198"/>
      <w:bookmarkStart w:id="1477" w:name="_Toc9459"/>
      <w:bookmarkStart w:id="1478" w:name="_Toc21307"/>
      <w:bookmarkStart w:id="1479" w:name="_Toc23756"/>
      <w:bookmarkStart w:id="1480" w:name="_Toc13816"/>
      <w:bookmarkStart w:id="1481" w:name="_Toc15352"/>
      <w:bookmarkStart w:id="1482" w:name="_Toc11610"/>
      <w:bookmarkStart w:id="1483" w:name="_Toc6226"/>
      <w:r>
        <w:rPr>
          <w:rFonts w:hint="eastAsia" w:ascii="仿宋" w:hAnsi="仿宋" w:eastAsia="仿宋" w:cs="仿宋"/>
          <w:b w:val="0"/>
          <w:bCs w:val="0"/>
          <w:color w:val="auto"/>
          <w:sz w:val="24"/>
          <w:szCs w:val="24"/>
          <w:highlight w:val="none"/>
          <w:lang w:eastAsia="zh-CN"/>
        </w:rPr>
        <w:t>★60.  进度款</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5E99E480">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60.1 约定支付期限和提交支付申请</w:t>
      </w:r>
    </w:p>
    <w:p w14:paraId="50DFE1F5">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 xml:space="preserve"> 设计</w:t>
      </w:r>
    </w:p>
    <w:p w14:paraId="37EC5D94">
      <w:pPr>
        <w:spacing w:line="360" w:lineRule="auto"/>
        <w:ind w:firstLine="708" w:firstLineChars="295"/>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①支付期限、比例</w:t>
      </w:r>
    </w:p>
    <w:p w14:paraId="01CECDFC">
      <w:pPr>
        <w:spacing w:line="360" w:lineRule="auto"/>
        <w:ind w:firstLine="991" w:firstLineChars="413"/>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以月为支付周期，支付比例为本月已完工作或工程款的%。</w:t>
      </w:r>
    </w:p>
    <w:p w14:paraId="75C10081">
      <w:pPr>
        <w:spacing w:line="360" w:lineRule="auto"/>
        <w:ind w:firstLine="991" w:firstLineChars="413"/>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以季度为支付周期，支付比例为本季度已完工作或工程款的%。</w:t>
      </w:r>
    </w:p>
    <w:p w14:paraId="083D4B68">
      <w:pPr>
        <w:spacing w:line="360" w:lineRule="auto"/>
        <w:ind w:firstLine="991" w:firstLineChars="413"/>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以形象进度为支付周期，支付比例为本形象进度内已完工作或工程款的%或另行约定，具体约定如下：。</w:t>
      </w:r>
    </w:p>
    <w:p w14:paraId="3282869C">
      <w:pPr>
        <w:spacing w:line="360" w:lineRule="auto"/>
        <w:ind w:firstLine="991" w:firstLineChars="413"/>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 xml:space="preserve"> 其它方式：</w:t>
      </w:r>
    </w:p>
    <w:tbl>
      <w:tblPr>
        <w:tblStyle w:val="78"/>
        <w:tblW w:w="92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3260"/>
        <w:gridCol w:w="2320"/>
        <w:gridCol w:w="2719"/>
      </w:tblGrid>
      <w:tr w14:paraId="77CC5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5472E07E">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款项</w:t>
            </w:r>
          </w:p>
          <w:p w14:paraId="561B2919">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支付期</w:t>
            </w:r>
          </w:p>
        </w:tc>
        <w:tc>
          <w:tcPr>
            <w:tcW w:w="3260" w:type="dxa"/>
            <w:tcBorders>
              <w:top w:val="single" w:color="auto" w:sz="4" w:space="0"/>
              <w:left w:val="single" w:color="auto" w:sz="4" w:space="0"/>
              <w:bottom w:val="single" w:color="auto" w:sz="4" w:space="0"/>
              <w:right w:val="single" w:color="auto" w:sz="4" w:space="0"/>
            </w:tcBorders>
            <w:vAlign w:val="center"/>
          </w:tcPr>
          <w:p w14:paraId="6B04906D">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支付条件</w:t>
            </w:r>
          </w:p>
        </w:tc>
        <w:tc>
          <w:tcPr>
            <w:tcW w:w="2320" w:type="dxa"/>
            <w:tcBorders>
              <w:top w:val="single" w:color="auto" w:sz="4" w:space="0"/>
              <w:left w:val="single" w:color="auto" w:sz="4" w:space="0"/>
              <w:bottom w:val="single" w:color="auto" w:sz="4" w:space="0"/>
              <w:right w:val="single" w:color="auto" w:sz="4" w:space="0"/>
            </w:tcBorders>
            <w:vAlign w:val="center"/>
          </w:tcPr>
          <w:p w14:paraId="29259877">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支付比例</w:t>
            </w:r>
          </w:p>
        </w:tc>
        <w:tc>
          <w:tcPr>
            <w:tcW w:w="2719" w:type="dxa"/>
            <w:tcBorders>
              <w:top w:val="single" w:color="auto" w:sz="4" w:space="0"/>
              <w:left w:val="single" w:color="auto" w:sz="4" w:space="0"/>
              <w:bottom w:val="single" w:color="auto" w:sz="4" w:space="0"/>
              <w:right w:val="single" w:color="auto" w:sz="4" w:space="0"/>
            </w:tcBorders>
            <w:vAlign w:val="center"/>
          </w:tcPr>
          <w:p w14:paraId="2256D23E">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累计完成工作量及支付比例</w:t>
            </w:r>
          </w:p>
        </w:tc>
      </w:tr>
      <w:tr w14:paraId="4F724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749F4666">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eastAsia="zh-CN"/>
              </w:rPr>
              <w:t>首期</w:t>
            </w:r>
            <w:r>
              <w:rPr>
                <w:rFonts w:hint="eastAsia" w:ascii="仿宋" w:hAnsi="仿宋" w:eastAsia="仿宋" w:cs="仿宋"/>
                <w:color w:val="auto"/>
                <w:sz w:val="21"/>
                <w:szCs w:val="21"/>
                <w:highlight w:val="none"/>
              </w:rPr>
              <w:t>款</w:t>
            </w:r>
          </w:p>
        </w:tc>
        <w:tc>
          <w:tcPr>
            <w:tcW w:w="3260" w:type="dxa"/>
            <w:tcBorders>
              <w:top w:val="single" w:color="auto" w:sz="4" w:space="0"/>
              <w:left w:val="single" w:color="auto" w:sz="4" w:space="0"/>
              <w:bottom w:val="single" w:color="auto" w:sz="4" w:space="0"/>
              <w:right w:val="single" w:color="auto" w:sz="4" w:space="0"/>
            </w:tcBorders>
            <w:vAlign w:val="center"/>
          </w:tcPr>
          <w:p w14:paraId="1D5CB6A9">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合同签订后</w:t>
            </w:r>
          </w:p>
        </w:tc>
        <w:tc>
          <w:tcPr>
            <w:tcW w:w="2320" w:type="dxa"/>
            <w:tcBorders>
              <w:top w:val="single" w:color="auto" w:sz="4" w:space="0"/>
              <w:left w:val="single" w:color="auto" w:sz="4" w:space="0"/>
              <w:bottom w:val="single" w:color="auto" w:sz="4" w:space="0"/>
              <w:right w:val="single" w:color="auto" w:sz="4" w:space="0"/>
            </w:tcBorders>
            <w:vAlign w:val="center"/>
          </w:tcPr>
          <w:p w14:paraId="08D831C3">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支付设计费用的</w:t>
            </w:r>
            <w:r>
              <w:rPr>
                <w:rFonts w:hint="default" w:ascii="仿宋" w:hAnsi="仿宋" w:eastAsia="仿宋" w:cs="仿宋"/>
                <w:color w:val="auto"/>
                <w:sz w:val="21"/>
                <w:szCs w:val="21"/>
                <w:highlight w:val="none"/>
              </w:rPr>
              <w:t>10%</w:t>
            </w:r>
          </w:p>
        </w:tc>
        <w:tc>
          <w:tcPr>
            <w:tcW w:w="2719" w:type="dxa"/>
            <w:tcBorders>
              <w:top w:val="single" w:color="auto" w:sz="4" w:space="0"/>
              <w:left w:val="single" w:color="auto" w:sz="4" w:space="0"/>
              <w:bottom w:val="single" w:color="auto" w:sz="4" w:space="0"/>
              <w:right w:val="single" w:color="auto" w:sz="4" w:space="0"/>
            </w:tcBorders>
            <w:vAlign w:val="center"/>
          </w:tcPr>
          <w:p w14:paraId="68F9BA70">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累计支付至设计费用的</w:t>
            </w:r>
            <w:r>
              <w:rPr>
                <w:rFonts w:hint="default" w:ascii="仿宋" w:hAnsi="仿宋" w:eastAsia="仿宋" w:cs="仿宋"/>
                <w:color w:val="auto"/>
                <w:sz w:val="21"/>
                <w:szCs w:val="21"/>
                <w:highlight w:val="none"/>
                <w:lang w:eastAsia="zh-CN"/>
              </w:rPr>
              <w:t>10%</w:t>
            </w:r>
          </w:p>
        </w:tc>
      </w:tr>
      <w:tr w14:paraId="4A5A9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6E470ED4">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第</w:t>
            </w:r>
            <w:r>
              <w:rPr>
                <w:rFonts w:hint="eastAsia" w:ascii="仿宋" w:hAnsi="仿宋" w:eastAsia="仿宋" w:cs="仿宋"/>
                <w:color w:val="auto"/>
                <w:sz w:val="21"/>
                <w:szCs w:val="21"/>
                <w:highlight w:val="none"/>
                <w:lang w:eastAsia="zh-CN"/>
              </w:rPr>
              <w:t>二</w:t>
            </w:r>
            <w:r>
              <w:rPr>
                <w:rFonts w:hint="eastAsia" w:ascii="仿宋" w:hAnsi="仿宋" w:eastAsia="仿宋" w:cs="仿宋"/>
                <w:color w:val="auto"/>
                <w:sz w:val="21"/>
                <w:szCs w:val="21"/>
                <w:highlight w:val="none"/>
              </w:rPr>
              <w:t>期</w:t>
            </w:r>
          </w:p>
        </w:tc>
        <w:tc>
          <w:tcPr>
            <w:tcW w:w="3260" w:type="dxa"/>
            <w:tcBorders>
              <w:top w:val="single" w:color="auto" w:sz="4" w:space="0"/>
              <w:left w:val="single" w:color="auto" w:sz="4" w:space="0"/>
              <w:bottom w:val="single" w:color="auto" w:sz="4" w:space="0"/>
              <w:right w:val="single" w:color="auto" w:sz="4" w:space="0"/>
            </w:tcBorders>
            <w:vAlign w:val="center"/>
          </w:tcPr>
          <w:p w14:paraId="3710D539">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初步设计评审通过后</w:t>
            </w:r>
          </w:p>
        </w:tc>
        <w:tc>
          <w:tcPr>
            <w:tcW w:w="2320" w:type="dxa"/>
            <w:tcBorders>
              <w:top w:val="single" w:color="auto" w:sz="4" w:space="0"/>
              <w:left w:val="single" w:color="auto" w:sz="4" w:space="0"/>
              <w:bottom w:val="single" w:color="auto" w:sz="4" w:space="0"/>
              <w:right w:val="single" w:color="auto" w:sz="4" w:space="0"/>
            </w:tcBorders>
            <w:vAlign w:val="center"/>
          </w:tcPr>
          <w:p w14:paraId="1BD0CF70">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支付设计费用的</w:t>
            </w:r>
            <w:r>
              <w:rPr>
                <w:rFonts w:hint="default" w:ascii="仿宋" w:hAnsi="仿宋" w:eastAsia="仿宋" w:cs="仿宋"/>
                <w:color w:val="auto"/>
                <w:sz w:val="21"/>
                <w:szCs w:val="21"/>
                <w:highlight w:val="none"/>
              </w:rPr>
              <w:t>50%</w:t>
            </w:r>
          </w:p>
        </w:tc>
        <w:tc>
          <w:tcPr>
            <w:tcW w:w="2719" w:type="dxa"/>
            <w:tcBorders>
              <w:top w:val="single" w:color="auto" w:sz="4" w:space="0"/>
              <w:left w:val="single" w:color="auto" w:sz="4" w:space="0"/>
              <w:bottom w:val="single" w:color="auto" w:sz="4" w:space="0"/>
              <w:right w:val="single" w:color="auto" w:sz="4" w:space="0"/>
            </w:tcBorders>
            <w:vAlign w:val="center"/>
          </w:tcPr>
          <w:p w14:paraId="34B2CC76">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累计支付至设计费用的</w:t>
            </w:r>
            <w:r>
              <w:rPr>
                <w:rFonts w:hint="default" w:ascii="仿宋" w:hAnsi="仿宋" w:eastAsia="仿宋" w:cs="仿宋"/>
                <w:color w:val="auto"/>
                <w:sz w:val="21"/>
                <w:szCs w:val="21"/>
                <w:highlight w:val="none"/>
                <w:lang w:eastAsia="zh-CN"/>
              </w:rPr>
              <w:t>60%</w:t>
            </w:r>
          </w:p>
        </w:tc>
      </w:tr>
      <w:tr w14:paraId="751BB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1153D21A">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第</w:t>
            </w:r>
            <w:r>
              <w:rPr>
                <w:rFonts w:hint="eastAsia" w:ascii="仿宋" w:hAnsi="仿宋" w:eastAsia="仿宋" w:cs="仿宋"/>
                <w:color w:val="auto"/>
                <w:sz w:val="21"/>
                <w:szCs w:val="21"/>
                <w:highlight w:val="none"/>
                <w:lang w:eastAsia="zh-CN"/>
              </w:rPr>
              <w:t>三</w:t>
            </w:r>
            <w:r>
              <w:rPr>
                <w:rFonts w:hint="eastAsia" w:ascii="仿宋" w:hAnsi="仿宋" w:eastAsia="仿宋" w:cs="仿宋"/>
                <w:color w:val="auto"/>
                <w:sz w:val="21"/>
                <w:szCs w:val="21"/>
                <w:highlight w:val="none"/>
              </w:rPr>
              <w:t>期</w:t>
            </w:r>
          </w:p>
        </w:tc>
        <w:tc>
          <w:tcPr>
            <w:tcW w:w="3260" w:type="dxa"/>
            <w:tcBorders>
              <w:top w:val="single" w:color="auto" w:sz="4" w:space="0"/>
              <w:left w:val="single" w:color="auto" w:sz="4" w:space="0"/>
              <w:bottom w:val="single" w:color="auto" w:sz="4" w:space="0"/>
              <w:right w:val="single" w:color="auto" w:sz="4" w:space="0"/>
            </w:tcBorders>
            <w:vAlign w:val="center"/>
          </w:tcPr>
          <w:p w14:paraId="57AFF6B3">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完成施工图编制且第三方咨询单位（如有）或施工图审查单位（如有）审查合格后；</w:t>
            </w:r>
          </w:p>
        </w:tc>
        <w:tc>
          <w:tcPr>
            <w:tcW w:w="2320" w:type="dxa"/>
            <w:tcBorders>
              <w:top w:val="single" w:color="auto" w:sz="4" w:space="0"/>
              <w:left w:val="single" w:color="auto" w:sz="4" w:space="0"/>
              <w:bottom w:val="single" w:color="auto" w:sz="4" w:space="0"/>
              <w:right w:val="single" w:color="auto" w:sz="4" w:space="0"/>
            </w:tcBorders>
            <w:vAlign w:val="center"/>
          </w:tcPr>
          <w:p w14:paraId="14982744">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支付设计费用的</w:t>
            </w:r>
            <w:r>
              <w:rPr>
                <w:rFonts w:hint="default" w:ascii="仿宋" w:hAnsi="仿宋" w:eastAsia="仿宋" w:cs="仿宋"/>
                <w:color w:val="auto"/>
                <w:sz w:val="21"/>
                <w:szCs w:val="21"/>
                <w:highlight w:val="none"/>
              </w:rPr>
              <w:t>10%</w:t>
            </w:r>
          </w:p>
        </w:tc>
        <w:tc>
          <w:tcPr>
            <w:tcW w:w="2719" w:type="dxa"/>
            <w:tcBorders>
              <w:top w:val="single" w:color="auto" w:sz="4" w:space="0"/>
              <w:left w:val="single" w:color="auto" w:sz="4" w:space="0"/>
              <w:bottom w:val="single" w:color="auto" w:sz="4" w:space="0"/>
              <w:right w:val="single" w:color="auto" w:sz="4" w:space="0"/>
            </w:tcBorders>
            <w:vAlign w:val="center"/>
          </w:tcPr>
          <w:p w14:paraId="2C27274F">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累计支付至设计费用的</w:t>
            </w:r>
            <w:r>
              <w:rPr>
                <w:rFonts w:hint="default" w:ascii="仿宋" w:hAnsi="仿宋" w:eastAsia="仿宋" w:cs="仿宋"/>
                <w:color w:val="auto"/>
                <w:sz w:val="21"/>
                <w:szCs w:val="21"/>
                <w:highlight w:val="none"/>
                <w:lang w:eastAsia="zh-CN"/>
              </w:rPr>
              <w:t>70%</w:t>
            </w:r>
          </w:p>
        </w:tc>
      </w:tr>
      <w:tr w14:paraId="1644E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44979EC9">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第</w:t>
            </w:r>
            <w:r>
              <w:rPr>
                <w:rFonts w:hint="eastAsia" w:ascii="仿宋" w:hAnsi="仿宋" w:eastAsia="仿宋" w:cs="仿宋"/>
                <w:color w:val="auto"/>
                <w:sz w:val="21"/>
                <w:szCs w:val="21"/>
                <w:highlight w:val="none"/>
                <w:lang w:eastAsia="zh-CN"/>
              </w:rPr>
              <w:t>四</w:t>
            </w:r>
            <w:r>
              <w:rPr>
                <w:rFonts w:hint="eastAsia" w:ascii="仿宋" w:hAnsi="仿宋" w:eastAsia="仿宋" w:cs="仿宋"/>
                <w:color w:val="auto"/>
                <w:sz w:val="21"/>
                <w:szCs w:val="21"/>
                <w:highlight w:val="none"/>
              </w:rPr>
              <w:t>期</w:t>
            </w:r>
          </w:p>
        </w:tc>
        <w:tc>
          <w:tcPr>
            <w:tcW w:w="3260" w:type="dxa"/>
            <w:tcBorders>
              <w:top w:val="single" w:color="auto" w:sz="4" w:space="0"/>
              <w:left w:val="single" w:color="auto" w:sz="4" w:space="0"/>
              <w:bottom w:val="single" w:color="auto" w:sz="4" w:space="0"/>
              <w:right w:val="single" w:color="auto" w:sz="4" w:space="0"/>
            </w:tcBorders>
            <w:vAlign w:val="center"/>
          </w:tcPr>
          <w:p w14:paraId="07B358DE">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承包人完成合同约定的全部工作，工程竣工验收合格后；</w:t>
            </w:r>
          </w:p>
        </w:tc>
        <w:tc>
          <w:tcPr>
            <w:tcW w:w="2320" w:type="dxa"/>
            <w:tcBorders>
              <w:top w:val="single" w:color="auto" w:sz="4" w:space="0"/>
              <w:left w:val="single" w:color="auto" w:sz="4" w:space="0"/>
              <w:bottom w:val="single" w:color="auto" w:sz="4" w:space="0"/>
              <w:right w:val="single" w:color="auto" w:sz="4" w:space="0"/>
            </w:tcBorders>
            <w:vAlign w:val="center"/>
          </w:tcPr>
          <w:p w14:paraId="0664F9F2">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支付设计费用的</w:t>
            </w:r>
            <w:r>
              <w:rPr>
                <w:rFonts w:hint="default" w:ascii="仿宋" w:hAnsi="仿宋" w:eastAsia="仿宋" w:cs="仿宋"/>
                <w:color w:val="auto"/>
                <w:sz w:val="21"/>
                <w:szCs w:val="21"/>
                <w:highlight w:val="none"/>
              </w:rPr>
              <w:t>10%</w:t>
            </w:r>
          </w:p>
        </w:tc>
        <w:tc>
          <w:tcPr>
            <w:tcW w:w="2719" w:type="dxa"/>
            <w:tcBorders>
              <w:top w:val="single" w:color="auto" w:sz="4" w:space="0"/>
              <w:left w:val="single" w:color="auto" w:sz="4" w:space="0"/>
              <w:bottom w:val="single" w:color="auto" w:sz="4" w:space="0"/>
              <w:right w:val="single" w:color="auto" w:sz="4" w:space="0"/>
            </w:tcBorders>
            <w:vAlign w:val="center"/>
          </w:tcPr>
          <w:p w14:paraId="6AD55C5A">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累计支付至设计费用的</w:t>
            </w:r>
            <w:r>
              <w:rPr>
                <w:rFonts w:hint="default" w:ascii="仿宋" w:hAnsi="仿宋" w:eastAsia="仿宋" w:cs="仿宋"/>
                <w:color w:val="auto"/>
                <w:sz w:val="21"/>
                <w:szCs w:val="21"/>
                <w:highlight w:val="none"/>
                <w:lang w:eastAsia="zh-CN"/>
              </w:rPr>
              <w:t>80%</w:t>
            </w:r>
          </w:p>
        </w:tc>
      </w:tr>
      <w:tr w14:paraId="7BE6F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6C2BF6C9">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第</w:t>
            </w:r>
            <w:r>
              <w:rPr>
                <w:rFonts w:hint="eastAsia" w:ascii="仿宋" w:hAnsi="仿宋" w:eastAsia="仿宋" w:cs="仿宋"/>
                <w:color w:val="auto"/>
                <w:sz w:val="21"/>
                <w:szCs w:val="21"/>
                <w:highlight w:val="none"/>
                <w:lang w:eastAsia="zh-CN"/>
              </w:rPr>
              <w:t>五</w:t>
            </w:r>
            <w:r>
              <w:rPr>
                <w:rFonts w:hint="eastAsia" w:ascii="仿宋" w:hAnsi="仿宋" w:eastAsia="仿宋" w:cs="仿宋"/>
                <w:color w:val="auto"/>
                <w:sz w:val="21"/>
                <w:szCs w:val="21"/>
                <w:highlight w:val="none"/>
              </w:rPr>
              <w:t>期</w:t>
            </w:r>
          </w:p>
        </w:tc>
        <w:tc>
          <w:tcPr>
            <w:tcW w:w="3260" w:type="dxa"/>
            <w:tcBorders>
              <w:top w:val="single" w:color="auto" w:sz="4" w:space="0"/>
              <w:left w:val="single" w:color="auto" w:sz="4" w:space="0"/>
              <w:bottom w:val="single" w:color="auto" w:sz="4" w:space="0"/>
              <w:right w:val="single" w:color="auto" w:sz="4" w:space="0"/>
            </w:tcBorders>
            <w:vAlign w:val="center"/>
          </w:tcPr>
          <w:p w14:paraId="6DA76E29">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本期支付为工程设计费绩效酬金，占工程设计费结算金额的</w:t>
            </w:r>
            <w:r>
              <w:rPr>
                <w:rFonts w:hint="default" w:ascii="仿宋" w:hAnsi="仿宋" w:eastAsia="仿宋" w:cs="仿宋"/>
                <w:color w:val="auto"/>
                <w:sz w:val="21"/>
                <w:szCs w:val="21"/>
                <w:highlight w:val="none"/>
                <w:lang w:eastAsia="zh-CN"/>
              </w:rPr>
              <w:t>20%，</w:t>
            </w:r>
            <w:r>
              <w:rPr>
                <w:rFonts w:hint="eastAsia" w:ascii="仿宋" w:hAnsi="仿宋" w:eastAsia="仿宋" w:cs="仿宋"/>
                <w:color w:val="auto"/>
                <w:sz w:val="21"/>
                <w:szCs w:val="21"/>
                <w:highlight w:val="none"/>
                <w:lang w:eastAsia="zh-CN"/>
              </w:rPr>
              <w:t>视设计工作进度满足情况及是否实现限额设计进行支付。不满足限额设计要求的，本期费用不予支付。本期款项支付以发包人认定为准，承包人对此不持异议。</w:t>
            </w:r>
          </w:p>
        </w:tc>
        <w:tc>
          <w:tcPr>
            <w:tcW w:w="2320" w:type="dxa"/>
            <w:tcBorders>
              <w:top w:val="single" w:color="auto" w:sz="4" w:space="0"/>
              <w:left w:val="single" w:color="auto" w:sz="4" w:space="0"/>
              <w:bottom w:val="single" w:color="auto" w:sz="4" w:space="0"/>
              <w:right w:val="single" w:color="auto" w:sz="4" w:space="0"/>
            </w:tcBorders>
            <w:vAlign w:val="center"/>
          </w:tcPr>
          <w:p w14:paraId="4B39FF86">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支付设计费用的</w:t>
            </w:r>
            <w:r>
              <w:rPr>
                <w:rFonts w:hint="default" w:ascii="仿宋" w:hAnsi="仿宋" w:eastAsia="仿宋" w:cs="仿宋"/>
                <w:color w:val="auto"/>
                <w:sz w:val="21"/>
                <w:szCs w:val="21"/>
                <w:highlight w:val="none"/>
              </w:rPr>
              <w:t>20%</w:t>
            </w:r>
          </w:p>
        </w:tc>
        <w:tc>
          <w:tcPr>
            <w:tcW w:w="2719" w:type="dxa"/>
            <w:tcBorders>
              <w:top w:val="single" w:color="auto" w:sz="4" w:space="0"/>
              <w:left w:val="single" w:color="auto" w:sz="4" w:space="0"/>
              <w:bottom w:val="single" w:color="auto" w:sz="4" w:space="0"/>
              <w:right w:val="single" w:color="auto" w:sz="4" w:space="0"/>
            </w:tcBorders>
            <w:vAlign w:val="center"/>
          </w:tcPr>
          <w:p w14:paraId="0B0C8F6D">
            <w:pPr>
              <w:keepNext w:val="0"/>
              <w:keepLines w:val="0"/>
              <w:widowControl/>
              <w:suppressLineNumbers w:val="0"/>
              <w:spacing w:before="0" w:beforeAutospacing="0" w:after="0" w:afterAutospacing="0"/>
              <w:ind w:left="0" w:right="0"/>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累计支付至结算审定设计费用的</w:t>
            </w:r>
            <w:r>
              <w:rPr>
                <w:rFonts w:hint="default" w:ascii="仿宋" w:hAnsi="仿宋" w:eastAsia="仿宋" w:cs="仿宋"/>
                <w:color w:val="auto"/>
                <w:sz w:val="21"/>
                <w:szCs w:val="21"/>
                <w:highlight w:val="none"/>
                <w:lang w:eastAsia="zh-CN"/>
              </w:rPr>
              <w:t>100%</w:t>
            </w:r>
            <w:r>
              <w:rPr>
                <w:rFonts w:hint="eastAsia" w:ascii="仿宋" w:hAnsi="仿宋" w:eastAsia="仿宋" w:cs="仿宋"/>
                <w:color w:val="auto"/>
                <w:sz w:val="21"/>
                <w:szCs w:val="21"/>
                <w:highlight w:val="none"/>
                <w:lang w:eastAsia="zh-CN"/>
              </w:rPr>
              <w:t>。</w:t>
            </w:r>
          </w:p>
        </w:tc>
      </w:tr>
    </w:tbl>
    <w:p w14:paraId="65A96A5C">
      <w:pPr>
        <w:spacing w:line="360" w:lineRule="auto"/>
        <w:ind w:right="11" w:firstLine="480" w:firstLineChars="200"/>
        <w:rPr>
          <w:rFonts w:hint="eastAsia" w:ascii="仿宋" w:hAnsi="仿宋" w:eastAsia="仿宋" w:cs="仿宋"/>
          <w:color w:val="auto"/>
          <w:highlight w:val="none"/>
          <w:lang w:eastAsia="zh-CN"/>
        </w:rPr>
      </w:pPr>
      <w:r>
        <w:rPr>
          <w:rFonts w:hint="eastAsia" w:ascii="仿宋" w:hAnsi="仿宋" w:eastAsia="仿宋"/>
          <w:snapToGrid w:val="0"/>
          <w:color w:val="auto"/>
          <w:highlight w:val="none"/>
          <w:lang w:eastAsia="zh-CN"/>
        </w:rPr>
        <w:t>设计费结算时，</w:t>
      </w:r>
      <w:r>
        <w:rPr>
          <w:rFonts w:hint="eastAsia" w:ascii="仿宋" w:hAnsi="仿宋" w:eastAsia="仿宋"/>
          <w:color w:val="auto"/>
          <w:kern w:val="2"/>
          <w:highlight w:val="none"/>
          <w:lang w:eastAsia="zh-CN"/>
        </w:rPr>
        <w:t>若承包人按合同约定完成全部工作内容，</w:t>
      </w:r>
      <w:r>
        <w:rPr>
          <w:rFonts w:hint="eastAsia" w:ascii="仿宋" w:hAnsi="仿宋" w:eastAsia="仿宋"/>
          <w:snapToGrid w:val="0"/>
          <w:color w:val="auto"/>
          <w:highlight w:val="none"/>
          <w:lang w:eastAsia="zh-CN"/>
        </w:rPr>
        <w:t>并</w:t>
      </w:r>
      <w:r>
        <w:rPr>
          <w:rFonts w:ascii="仿宋" w:hAnsi="仿宋" w:eastAsia="仿宋"/>
          <w:snapToGrid w:val="0"/>
          <w:color w:val="auto"/>
          <w:highlight w:val="none"/>
          <w:lang w:eastAsia="zh-CN"/>
        </w:rPr>
        <w:t>按规定提交</w:t>
      </w:r>
      <w:r>
        <w:rPr>
          <w:rFonts w:hint="eastAsia" w:ascii="仿宋" w:hAnsi="仿宋" w:eastAsia="仿宋"/>
          <w:snapToGrid w:val="0"/>
          <w:color w:val="auto"/>
          <w:highlight w:val="none"/>
          <w:lang w:eastAsia="zh-CN"/>
        </w:rPr>
        <w:t>全部</w:t>
      </w:r>
      <w:r>
        <w:rPr>
          <w:rFonts w:ascii="仿宋" w:hAnsi="仿宋" w:eastAsia="仿宋"/>
          <w:snapToGrid w:val="0"/>
          <w:color w:val="auto"/>
          <w:highlight w:val="none"/>
          <w:lang w:eastAsia="zh-CN"/>
        </w:rPr>
        <w:t>技术档案</w:t>
      </w:r>
      <w:r>
        <w:rPr>
          <w:rFonts w:hint="eastAsia" w:ascii="仿宋" w:hAnsi="仿宋" w:eastAsia="仿宋"/>
          <w:snapToGrid w:val="0"/>
          <w:color w:val="auto"/>
          <w:highlight w:val="none"/>
          <w:lang w:eastAsia="zh-CN"/>
        </w:rPr>
        <w:t>资料</w:t>
      </w:r>
      <w:r>
        <w:rPr>
          <w:rFonts w:hint="eastAsia" w:ascii="仿宋" w:hAnsi="仿宋" w:eastAsia="仿宋"/>
          <w:color w:val="auto"/>
          <w:kern w:val="2"/>
          <w:highlight w:val="none"/>
          <w:lang w:eastAsia="zh-CN"/>
        </w:rPr>
        <w:t>且经发包人合同服务评价</w:t>
      </w:r>
      <w:r>
        <w:rPr>
          <w:rFonts w:hint="eastAsia" w:ascii="仿宋" w:hAnsi="仿宋" w:eastAsia="仿宋"/>
          <w:snapToGrid w:val="0"/>
          <w:color w:val="auto"/>
          <w:kern w:val="2"/>
          <w:highlight w:val="none"/>
          <w:lang w:eastAsia="zh-CN"/>
        </w:rPr>
        <w:t>得分在8</w:t>
      </w:r>
      <w:r>
        <w:rPr>
          <w:rFonts w:ascii="仿宋" w:hAnsi="仿宋" w:eastAsia="仿宋"/>
          <w:snapToGrid w:val="0"/>
          <w:color w:val="auto"/>
          <w:kern w:val="2"/>
          <w:highlight w:val="none"/>
          <w:lang w:eastAsia="zh-CN"/>
        </w:rPr>
        <w:t>0分或以上的，本项目设计费按设计结算价全额支付；</w:t>
      </w:r>
      <w:r>
        <w:rPr>
          <w:rFonts w:hint="eastAsia" w:ascii="仿宋" w:hAnsi="仿宋" w:eastAsia="仿宋"/>
          <w:color w:val="auto"/>
          <w:kern w:val="2"/>
          <w:highlight w:val="none"/>
          <w:lang w:eastAsia="zh-CN"/>
        </w:rPr>
        <w:t>合同服务评价</w:t>
      </w:r>
      <w:r>
        <w:rPr>
          <w:rFonts w:hint="eastAsia" w:ascii="仿宋" w:hAnsi="仿宋" w:eastAsia="仿宋"/>
          <w:snapToGrid w:val="0"/>
          <w:color w:val="auto"/>
          <w:kern w:val="2"/>
          <w:highlight w:val="none"/>
          <w:lang w:eastAsia="zh-CN"/>
        </w:rPr>
        <w:t>得分在8</w:t>
      </w:r>
      <w:r>
        <w:rPr>
          <w:rFonts w:ascii="仿宋" w:hAnsi="仿宋" w:eastAsia="仿宋"/>
          <w:snapToGrid w:val="0"/>
          <w:color w:val="auto"/>
          <w:kern w:val="2"/>
          <w:highlight w:val="none"/>
          <w:lang w:eastAsia="zh-CN"/>
        </w:rPr>
        <w:t>0分以下的，合同结算价=按全额计算的设计费结算价×[1-（</w:t>
      </w:r>
      <w:r>
        <w:rPr>
          <w:rFonts w:hint="eastAsia" w:ascii="仿宋" w:hAnsi="仿宋" w:eastAsia="仿宋"/>
          <w:snapToGrid w:val="0"/>
          <w:color w:val="auto"/>
          <w:kern w:val="2"/>
          <w:highlight w:val="none"/>
          <w:lang w:eastAsia="zh-CN"/>
        </w:rPr>
        <w:t>8</w:t>
      </w:r>
      <w:r>
        <w:rPr>
          <w:rFonts w:ascii="仿宋" w:hAnsi="仿宋" w:eastAsia="仿宋"/>
          <w:snapToGrid w:val="0"/>
          <w:color w:val="auto"/>
          <w:kern w:val="2"/>
          <w:highlight w:val="none"/>
          <w:lang w:eastAsia="zh-CN"/>
        </w:rPr>
        <w:t>0-项目评价得分）%]</w:t>
      </w:r>
      <w:r>
        <w:rPr>
          <w:rFonts w:hint="eastAsia" w:ascii="仿宋" w:hAnsi="仿宋" w:eastAsia="仿宋"/>
          <w:color w:val="auto"/>
          <w:kern w:val="2"/>
          <w:highlight w:val="none"/>
          <w:lang w:eastAsia="zh-CN"/>
        </w:rPr>
        <w:t>；若部分工作内容实际未完成则以所占工作量比例予以扣除该部分费用，最终以结算终审单位审核后的终审价为准。如计算得出发包人应支付余额为负数的，承包人应在考评结果通知之日起15日内向发包人返还多收的款项；否则，发包人有权向承包人追索，承包人除应足额返还多收的款项外，承包人延迟返还的按同期LPR向发包人支付未返还款项的利息。</w:t>
      </w:r>
    </w:p>
    <w:p w14:paraId="2F623599">
      <w:pPr>
        <w:spacing w:line="360" w:lineRule="auto"/>
        <w:ind w:firstLine="708" w:firstLineChars="295"/>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②政府资金投资工程的支付期、支付办法：</w:t>
      </w:r>
      <w:r>
        <w:rPr>
          <w:rFonts w:hint="eastAsia" w:ascii="仿宋" w:hAnsi="仿宋" w:eastAsia="仿宋" w:cs="仿宋"/>
          <w:color w:val="auto"/>
          <w:highlight w:val="none"/>
          <w:u w:val="single"/>
          <w:lang w:eastAsia="zh-CN"/>
        </w:rPr>
        <w:t xml:space="preserve">     /     </w:t>
      </w:r>
    </w:p>
    <w:p w14:paraId="65AEF0D1">
      <w:pPr>
        <w:spacing w:line="360" w:lineRule="auto"/>
        <w:ind w:firstLine="708" w:firstLineChars="295"/>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(11)本期间应支付或扣留（回）的其他款项：</w:t>
      </w:r>
      <w:r>
        <w:rPr>
          <w:rFonts w:hint="eastAsia" w:ascii="仿宋" w:hAnsi="仿宋" w:eastAsia="仿宋" w:cs="仿宋"/>
          <w:color w:val="auto"/>
          <w:highlight w:val="none"/>
          <w:u w:val="single"/>
          <w:lang w:eastAsia="zh-CN"/>
        </w:rPr>
        <w:t xml:space="preserve">     /     </w:t>
      </w:r>
      <w:r>
        <w:rPr>
          <w:rFonts w:hint="eastAsia" w:ascii="仿宋" w:hAnsi="仿宋" w:eastAsia="仿宋" w:cs="仿宋"/>
          <w:color w:val="auto"/>
          <w:highlight w:val="none"/>
          <w:lang w:eastAsia="zh-CN"/>
        </w:rPr>
        <w:t>。</w:t>
      </w:r>
    </w:p>
    <w:p w14:paraId="035971A6">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施工</w:t>
      </w:r>
    </w:p>
    <w:p w14:paraId="19699A1D">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①支付期限、比例</w:t>
      </w:r>
    </w:p>
    <w:p w14:paraId="034A15D8">
      <w:pPr>
        <w:spacing w:line="360" w:lineRule="auto"/>
        <w:ind w:firstLine="849" w:firstLineChars="354"/>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以月为支付周期，支付比例为本月已完工作或工程款的%。</w:t>
      </w:r>
    </w:p>
    <w:p w14:paraId="4C34A1A3">
      <w:pPr>
        <w:spacing w:line="360" w:lineRule="auto"/>
        <w:ind w:firstLine="849" w:firstLineChars="354"/>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以季度为支付周期，支付比例为本季度已完工作或工程款的%。</w:t>
      </w:r>
    </w:p>
    <w:p w14:paraId="1A29BD77">
      <w:pPr>
        <w:spacing w:line="360" w:lineRule="auto"/>
        <w:ind w:firstLine="849" w:firstLineChars="354"/>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以形象进度为支付周期，支付比例为本形象进度内已完工作或工程款的</w:t>
      </w:r>
      <w:r>
        <w:rPr>
          <w:rFonts w:hint="eastAsia" w:ascii="仿宋" w:hAnsi="仿宋" w:eastAsia="仿宋" w:cs="仿宋"/>
          <w:color w:val="auto"/>
          <w:highlight w:val="none"/>
          <w:lang w:val="en-US" w:eastAsia="zh-CN"/>
        </w:rPr>
        <w:t>80</w:t>
      </w:r>
      <w:r>
        <w:rPr>
          <w:rFonts w:hint="eastAsia" w:ascii="仿宋" w:hAnsi="仿宋" w:eastAsia="仿宋" w:cs="仿宋"/>
          <w:color w:val="auto"/>
          <w:highlight w:val="none"/>
          <w:lang w:eastAsia="zh-CN"/>
        </w:rPr>
        <w:t>%或另行约定，具体约定如下：</w:t>
      </w:r>
      <w:r>
        <w:rPr>
          <w:rFonts w:hint="eastAsia" w:ascii="仿宋" w:hAnsi="仿宋" w:eastAsia="仿宋" w:cs="仿宋"/>
          <w:color w:val="auto"/>
          <w:highlight w:val="none"/>
          <w:lang w:val="en-US" w:eastAsia="zh-CN"/>
        </w:rPr>
        <w:t>/</w:t>
      </w:r>
    </w:p>
    <w:p w14:paraId="4E564124">
      <w:pPr>
        <w:spacing w:line="360" w:lineRule="auto"/>
        <w:ind w:firstLine="849" w:firstLineChars="354"/>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0052"/>
      </w:r>
      <w:r>
        <w:rPr>
          <w:rFonts w:hint="eastAsia" w:ascii="仿宋" w:hAnsi="仿宋" w:eastAsia="仿宋" w:cs="仿宋"/>
          <w:color w:val="auto"/>
          <w:highlight w:val="none"/>
          <w:lang w:eastAsia="zh-CN"/>
        </w:rPr>
        <w:t xml:space="preserve"> 其它方式：</w:t>
      </w:r>
    </w:p>
    <w:p w14:paraId="5E0DE3C8">
      <w:pPr>
        <w:spacing w:line="360" w:lineRule="auto"/>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进度款、结算款申报时间及支付方式：</w:t>
      </w:r>
    </w:p>
    <w:p w14:paraId="55E86A76">
      <w:pPr>
        <w:spacing w:line="360" w:lineRule="auto"/>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1.申报时间：</w:t>
      </w:r>
    </w:p>
    <w:p w14:paraId="504925E8">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承包人应在每月1</w:t>
      </w:r>
      <w:r>
        <w:rPr>
          <w:rFonts w:hint="eastAsia" w:ascii="仿宋" w:hAnsi="仿宋" w:eastAsia="仿宋" w:cs="仿宋"/>
          <w:color w:val="auto"/>
          <w:highlight w:val="none"/>
          <w:lang w:eastAsia="zh-CN"/>
        </w:rPr>
        <w:t>0</w:t>
      </w:r>
      <w:r>
        <w:rPr>
          <w:rFonts w:ascii="仿宋" w:hAnsi="仿宋" w:eastAsia="仿宋" w:cs="仿宋"/>
          <w:color w:val="auto"/>
          <w:highlight w:val="none"/>
          <w:lang w:eastAsia="zh-CN"/>
        </w:rPr>
        <w:t>日向监理工程师提交由项目经理签署的上月</w:t>
      </w:r>
      <w:r>
        <w:rPr>
          <w:rFonts w:hint="eastAsia" w:ascii="仿宋" w:hAnsi="仿宋" w:eastAsia="仿宋" w:cs="仿宋"/>
          <w:color w:val="auto"/>
          <w:highlight w:val="none"/>
          <w:lang w:eastAsia="zh-CN"/>
        </w:rPr>
        <w:t>月初</w:t>
      </w:r>
      <w:r>
        <w:rPr>
          <w:rFonts w:ascii="仿宋" w:hAnsi="仿宋" w:eastAsia="仿宋" w:cs="仿宋"/>
          <w:color w:val="auto"/>
          <w:highlight w:val="none"/>
          <w:lang w:eastAsia="zh-CN"/>
        </w:rPr>
        <w:t>至</w:t>
      </w:r>
      <w:r>
        <w:rPr>
          <w:rFonts w:hint="eastAsia" w:ascii="仿宋" w:hAnsi="仿宋" w:eastAsia="仿宋" w:cs="仿宋"/>
          <w:color w:val="auto"/>
          <w:highlight w:val="none"/>
          <w:lang w:eastAsia="zh-CN"/>
        </w:rPr>
        <w:t>上</w:t>
      </w:r>
      <w:r>
        <w:rPr>
          <w:rFonts w:ascii="仿宋" w:hAnsi="仿宋" w:eastAsia="仿宋" w:cs="仿宋"/>
          <w:color w:val="auto"/>
          <w:highlight w:val="none"/>
          <w:lang w:eastAsia="zh-CN"/>
        </w:rPr>
        <w:t>月</w:t>
      </w:r>
      <w:r>
        <w:rPr>
          <w:rFonts w:hint="eastAsia" w:ascii="仿宋" w:hAnsi="仿宋" w:eastAsia="仿宋" w:cs="仿宋"/>
          <w:color w:val="auto"/>
          <w:highlight w:val="none"/>
          <w:lang w:eastAsia="zh-CN"/>
        </w:rPr>
        <w:t>月末</w:t>
      </w:r>
      <w:r>
        <w:rPr>
          <w:rFonts w:ascii="仿宋" w:hAnsi="仿宋" w:eastAsia="仿宋" w:cs="仿宋"/>
          <w:color w:val="auto"/>
          <w:highlight w:val="none"/>
          <w:lang w:eastAsia="zh-CN"/>
        </w:rPr>
        <w:t>已完工程款额报告和支付申请一式四份，详细说明此支付期间自己认为有权获得的款额。监理工程师于收到已完工程款额报告和支付申请后</w:t>
      </w:r>
      <w:r>
        <w:rPr>
          <w:rFonts w:hint="eastAsia" w:ascii="仿宋" w:hAnsi="仿宋" w:eastAsia="仿宋" w:cs="仿宋"/>
          <w:color w:val="auto"/>
          <w:highlight w:val="none"/>
          <w:lang w:eastAsia="zh-CN"/>
        </w:rPr>
        <w:t>7</w:t>
      </w:r>
      <w:r>
        <w:rPr>
          <w:rFonts w:ascii="仿宋" w:hAnsi="仿宋" w:eastAsia="仿宋" w:cs="仿宋"/>
          <w:color w:val="auto"/>
          <w:highlight w:val="none"/>
          <w:lang w:eastAsia="zh-CN"/>
        </w:rPr>
        <w:t>天内签署支付意见，并提交给发包人。承包人未在约定时限内提交工程款支付申请的，则该期工程款累计计入下期申请。</w:t>
      </w:r>
    </w:p>
    <w:p w14:paraId="2140047C">
      <w:pPr>
        <w:spacing w:line="360" w:lineRule="auto"/>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2.支付方式：</w:t>
      </w:r>
    </w:p>
    <w:p w14:paraId="2FF8BC4D">
      <w:pPr>
        <w:spacing w:line="360" w:lineRule="auto"/>
        <w:ind w:firstLine="241" w:firstLineChars="100"/>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（1）分部分项工程量清单和单价措施项目工程价款、总价措施项目清单价款（不包括绿色施工安全防护费）、其他项目清单价款支付比例：</w:t>
      </w:r>
    </w:p>
    <w:p w14:paraId="745C92BD">
      <w:pPr>
        <w:widowControl w:val="0"/>
        <w:spacing w:line="360" w:lineRule="auto"/>
        <w:ind w:firstLine="482" w:firstLineChars="200"/>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(1)</w:t>
      </w:r>
      <w:r>
        <w:rPr>
          <w:rFonts w:hint="eastAsia" w:ascii="仿宋" w:hAnsi="仿宋" w:eastAsia="仿宋" w:cs="仿宋"/>
          <w:color w:val="auto"/>
          <w:highlight w:val="none"/>
          <w:lang w:eastAsia="zh-CN"/>
        </w:rPr>
        <w:t>合同签订后按经审核每个月完成工程量价款的80%支付；换算价格仅作为过程进度款支付使用，最终结算以审定的结果作为最终结算价，承包人不得以清单无开项为由，停止或减缓任何施工作业，不得影响工程具体进展，不得影响发包人或监理人的指令执行，不得拒绝执行指令，否则引起的一切损失全部由责任方承担）。</w:t>
      </w:r>
    </w:p>
    <w:p w14:paraId="1E76426A">
      <w:pPr>
        <w:spacing w:line="360" w:lineRule="auto"/>
        <w:ind w:firstLine="241" w:firstLineChars="10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（2）绿色施工安全防护费支付比例：</w:t>
      </w:r>
    </w:p>
    <w:p w14:paraId="39DEA9C2">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发包人应在工程开工后28天内支付绿色施工安全防护费金额的50%；项目全部封顶后，支付至绿色施工安全防护费的80%；项目全部外架拆除后，支付至绿色施工安全防护费的100%。</w:t>
      </w:r>
    </w:p>
    <w:p w14:paraId="2E235BBB">
      <w:pPr>
        <w:spacing w:line="360" w:lineRule="auto"/>
        <w:ind w:left="240" w:firstLine="241" w:firstLineChars="100"/>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 xml:space="preserve">(3) </w:t>
      </w:r>
      <w:r>
        <w:rPr>
          <w:rFonts w:hint="eastAsia" w:ascii="仿宋" w:hAnsi="仿宋" w:eastAsia="仿宋" w:cs="仿宋"/>
          <w:color w:val="auto"/>
          <w:highlight w:val="none"/>
          <w:lang w:eastAsia="zh-CN"/>
        </w:rPr>
        <w:t>竣备验收通过并取得报告后，支付至合同总价款的90%；完成结算审定后支付至结算价的97%，留结算价的3%作为质量保证金。</w:t>
      </w:r>
    </w:p>
    <w:p w14:paraId="1D82F020">
      <w:pPr>
        <w:spacing w:line="360" w:lineRule="auto"/>
        <w:ind w:left="240"/>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（4）税金支付方式：</w:t>
      </w:r>
    </w:p>
    <w:p w14:paraId="4342B146">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按照不含税工程造价乘以承包人所报费率进行支付。如遇增值税税率调整，在现金支付方式下的不含税价不调整的基础上，税率按计价当期国家及工程所在地政府最新规定税率计取。</w:t>
      </w:r>
    </w:p>
    <w:p w14:paraId="7097A65D">
      <w:pPr>
        <w:spacing w:line="360" w:lineRule="auto"/>
        <w:ind w:firstLine="241" w:firstLineChars="100"/>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（5）签证、新增、材料价差、人工价差项目支付方式：</w:t>
      </w:r>
    </w:p>
    <w:p w14:paraId="04D6391F">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施工过程中不予支付，</w:t>
      </w:r>
      <w:r>
        <w:rPr>
          <w:rFonts w:hint="eastAsia" w:ascii="仿宋" w:hAnsi="仿宋" w:eastAsia="仿宋" w:cs="仿宋"/>
          <w:color w:val="auto"/>
          <w:highlight w:val="none"/>
          <w:lang w:val="en-US" w:eastAsia="zh-CN"/>
        </w:rPr>
        <w:t>以咨询单位</w:t>
      </w:r>
      <w:r>
        <w:rPr>
          <w:rFonts w:hint="eastAsia" w:ascii="仿宋" w:hAnsi="仿宋" w:eastAsia="仿宋" w:cs="仿宋"/>
          <w:color w:val="auto"/>
          <w:highlight w:val="none"/>
          <w:lang w:eastAsia="zh-CN"/>
        </w:rPr>
        <w:t>审定的结果作为最终结算价。</w:t>
      </w:r>
    </w:p>
    <w:p w14:paraId="295A0D24">
      <w:pPr>
        <w:spacing w:line="360" w:lineRule="auto"/>
        <w:ind w:firstLine="241" w:firstLineChars="100"/>
        <w:rPr>
          <w:rFonts w:hint="eastAsia" w:ascii="仿宋" w:hAnsi="仿宋" w:eastAsia="仿宋" w:cs="仿宋"/>
          <w:color w:val="auto"/>
          <w:highlight w:val="none"/>
          <w:lang w:eastAsia="zh-CN"/>
        </w:rPr>
      </w:pPr>
      <w:r>
        <w:rPr>
          <w:rFonts w:hint="eastAsia" w:ascii="仿宋" w:hAnsi="仿宋" w:eastAsia="仿宋" w:cs="仿宋"/>
          <w:b/>
          <w:bCs/>
          <w:color w:val="auto"/>
          <w:highlight w:val="none"/>
          <w:lang w:eastAsia="zh-CN"/>
        </w:rPr>
        <w:t>（6）结算款及保修金：留结算总价的 3 %作为质量保证金，质量保证金按保修条款支付。</w:t>
      </w:r>
    </w:p>
    <w:p w14:paraId="7EB6DE5D">
      <w:pPr>
        <w:spacing w:line="360" w:lineRule="auto"/>
        <w:ind w:firstLine="241" w:firstLineChars="10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（7）经发包人代表签名确认后的违约处理意见在当期进度款中扣除。</w:t>
      </w:r>
    </w:p>
    <w:p w14:paraId="487D9025">
      <w:pPr>
        <w:spacing w:line="360" w:lineRule="auto"/>
        <w:ind w:firstLine="241" w:firstLineChars="10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（8）单价包干的项目，若承包人未能于有关工程施工15天前提交计量结果(含详细计算底稿)及计量依据予监理或发包人进行核对及确认的，则支付进度款时，发包人有权暂按监理之估算进行支付或暂不支付。</w:t>
      </w:r>
    </w:p>
    <w:p w14:paraId="140FA6BF">
      <w:pPr>
        <w:spacing w:line="360" w:lineRule="auto"/>
        <w:ind w:firstLine="241" w:firstLineChars="10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（9）承包人需自行考虑异地施工税务转移问题。</w:t>
      </w:r>
    </w:p>
    <w:p w14:paraId="377CB5EB">
      <w:pPr>
        <w:spacing w:line="360" w:lineRule="auto"/>
        <w:ind w:firstLine="241" w:firstLineChars="100"/>
        <w:rPr>
          <w:rFonts w:hint="eastAsia" w:ascii="仿宋" w:hAnsi="仿宋" w:eastAsia="仿宋" w:cs="仿宋"/>
          <w:b/>
          <w:bCs/>
          <w:color w:val="auto"/>
          <w:highlight w:val="none"/>
          <w:lang w:eastAsia="zh-CN"/>
        </w:rPr>
      </w:pPr>
      <w:r>
        <w:rPr>
          <w:rFonts w:hint="eastAsia" w:ascii="仿宋" w:hAnsi="仿宋" w:eastAsia="仿宋" w:cs="仿宋"/>
          <w:b/>
          <w:bCs/>
          <w:color w:val="auto"/>
          <w:highlight w:val="none"/>
          <w:lang w:eastAsia="zh-CN"/>
        </w:rPr>
        <w:t>（10）承包人申请第一笔工程款时必须提供经监理、发包人审批同意的施工组织设计(含SSCS新建造体系专项施工组织设计及发包人联合评审纪要)、项目施工总计划、绿色施工安全防护措施费使用计划、建筑工程一切险、第三者责任险、工伤保险、意外伤害保险、安全生产责任保险的购买保单等，方可支付第一期工程款。</w:t>
      </w:r>
    </w:p>
    <w:p w14:paraId="465BCB9E">
      <w:pPr>
        <w:spacing w:line="360" w:lineRule="auto"/>
        <w:ind w:firstLine="241" w:firstLineChars="100"/>
        <w:rPr>
          <w:rFonts w:hint="eastAsia" w:ascii="仿宋" w:hAnsi="仿宋" w:eastAsia="仿宋" w:cs="仿宋"/>
          <w:color w:val="auto"/>
          <w:highlight w:val="none"/>
          <w:u w:val="single"/>
          <w:lang w:eastAsia="zh-CN"/>
        </w:rPr>
      </w:pPr>
      <w:r>
        <w:rPr>
          <w:rFonts w:hint="eastAsia" w:ascii="仿宋" w:hAnsi="仿宋" w:eastAsia="仿宋" w:cs="仿宋"/>
          <w:b/>
          <w:bCs/>
          <w:color w:val="auto"/>
          <w:highlight w:val="none"/>
          <w:lang w:eastAsia="zh-CN"/>
        </w:rPr>
        <w:t>（11）拒开、虚开发票违约责任：承包人应按照相关法律规定和合同约定，按时开具合法有效增值税专用发票，不得开具虚假发票，或由非承包人代开发票（税务局按规定代开的发票除外）。否则，发包人有权顺延支付合同价款，且不视为发包人违约。如因承包人拒绝按照合同约定向发包人开具合法有效增值税专用发票导致发包人被起诉或、罚款或追索合同价款的，承包人应赔偿发包人因此遭受的一切损失。若承包人未如实开具发票或由非承包人公司代开发票（税务局按规定代开的发票除外），发包人有权要求承包人在一周内重新开具发票，并有权提前终止合同，要求承包人支付虚开额度50%的违约金，该金额不足以弥补发包人损失的，发包人有权向承包人另行追偿；同时，发包人有权将收到的发票、联系人、联系方式送交承包人公司所在地的税务机关处理。</w:t>
      </w:r>
    </w:p>
    <w:p w14:paraId="4A9F3EAB">
      <w:pPr>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60</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11</w:t>
      </w:r>
      <w:r>
        <w:rPr>
          <w:rFonts w:hint="eastAsia" w:ascii="仿宋" w:hAnsi="仿宋" w:eastAsia="仿宋" w:cs="仿宋"/>
          <w:color w:val="auto"/>
          <w:highlight w:val="none"/>
          <w:lang w:eastAsia="zh-CN"/>
        </w:rPr>
        <w:t>）本期间应支付或扣留（回）的其他款项：</w:t>
      </w:r>
    </w:p>
    <w:p w14:paraId="5A3410E5">
      <w:pPr>
        <w:rPr>
          <w:rFonts w:hint="eastAsia" w:ascii="仿宋" w:hAnsi="仿宋" w:eastAsia="仿宋"/>
          <w:color w:val="auto"/>
          <w:highlight w:val="none"/>
          <w:lang w:eastAsia="zh-CN"/>
        </w:rPr>
      </w:pPr>
    </w:p>
    <w:p w14:paraId="1A78F4D0">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政府资金投资工程的支付期、支付办法</w:t>
      </w:r>
    </w:p>
    <w:p w14:paraId="2D549E50">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w:t>
      </w:r>
    </w:p>
    <w:p w14:paraId="224A393B">
      <w:pPr>
        <w:spacing w:line="360" w:lineRule="auto"/>
        <w:ind w:firstLine="240" w:firstLineChars="1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实施施工过程结算方式：</w:t>
      </w:r>
      <w:r>
        <w:rPr>
          <w:rFonts w:ascii="仿宋" w:hAnsi="仿宋" w:eastAsia="仿宋" w:cs="仿宋"/>
          <w:color w:val="auto"/>
          <w:highlight w:val="none"/>
          <w:u w:val="single"/>
          <w:lang w:eastAsia="zh-CN"/>
        </w:rPr>
        <w:t xml:space="preserve">                                                                      </w:t>
      </w:r>
    </w:p>
    <w:p w14:paraId="148261EE">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其它方式：</w:t>
      </w:r>
      <w:r>
        <w:rPr>
          <w:rFonts w:ascii="仿宋" w:hAnsi="仿宋" w:eastAsia="仿宋" w:cs="仿宋"/>
          <w:color w:val="auto"/>
          <w:highlight w:val="none"/>
          <w:u w:val="single"/>
          <w:lang w:eastAsia="zh-CN"/>
        </w:rPr>
        <w:t xml:space="preserve">                                                                                     </w:t>
      </w:r>
    </w:p>
    <w:p w14:paraId="68F3A49A">
      <w:pPr>
        <w:rPr>
          <w:rFonts w:hint="eastAsia" w:ascii="仿宋" w:hAnsi="仿宋" w:eastAsia="仿宋"/>
          <w:color w:val="auto"/>
          <w:highlight w:val="none"/>
          <w:lang w:eastAsia="zh-CN"/>
        </w:rPr>
      </w:pPr>
    </w:p>
    <w:p w14:paraId="65FE8A2D">
      <w:pPr>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60</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3</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期中支付的最低限额为</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7107BF34">
      <w:pPr>
        <w:pStyle w:val="2"/>
        <w:rPr>
          <w:color w:val="auto"/>
          <w:highlight w:val="none"/>
          <w:lang w:eastAsia="zh-CN"/>
        </w:rPr>
      </w:pPr>
    </w:p>
    <w:p w14:paraId="513F2C72">
      <w:pPr>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60.4 其他要求</w:t>
      </w:r>
    </w:p>
    <w:p w14:paraId="7F98E34F">
      <w:pPr>
        <w:pStyle w:val="2"/>
        <w:rPr>
          <w:color w:val="auto"/>
          <w:highlight w:val="none"/>
          <w:lang w:eastAsia="zh-CN"/>
        </w:rPr>
      </w:pPr>
    </w:p>
    <w:p w14:paraId="27553BFF">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（1）任何项目的计量与支付必须按合同约定的技术条件、发包人批准的施工图有关要求及规定完成，包括合同约定的与项目计量有关且必须完成的责任和义务。</w:t>
      </w:r>
    </w:p>
    <w:p w14:paraId="0BEB6781">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已完工项目的计量与支付需得到总监理工程师和发包人的认可。如承包人的工作不能使总监理工程师和发包人满意（如：质量不合格，工程进度缓慢，施工承包管理和配合服务不到位或有其他方面违反合同的行为等），总监理工程师和发包人有权拒绝计量与支付。</w:t>
      </w:r>
    </w:p>
    <w:p w14:paraId="60EE6660">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（3）发包人已支付的累计金额大于本合同结算定审金额的97%的，承包人应在工程结算定审之日起15日内向发包人返还多收的款项；否则，发包人有权向承包人追索，承包人应足额返还多收的款项，</w:t>
      </w:r>
      <w:r>
        <w:rPr>
          <w:rFonts w:hint="eastAsia" w:ascii="仿宋" w:hAnsi="仿宋" w:eastAsia="仿宋" w:cs="仿宋"/>
          <w:color w:val="auto"/>
          <w:highlight w:val="none"/>
          <w:lang w:val="en-US" w:eastAsia="zh-CN"/>
        </w:rPr>
        <w:t>不计取利息</w:t>
      </w:r>
      <w:r>
        <w:rPr>
          <w:rFonts w:hint="eastAsia" w:ascii="仿宋" w:hAnsi="仿宋" w:eastAsia="仿宋" w:cs="仿宋"/>
          <w:color w:val="auto"/>
          <w:highlight w:val="none"/>
          <w:lang w:eastAsia="zh-CN"/>
        </w:rPr>
        <w:t>。</w:t>
      </w:r>
    </w:p>
    <w:p w14:paraId="34DA58A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（4）发包人有权对工程进度付款进行修正：若发包人在对以往历次已签发的进度付款证书进行汇总和复核中发现错或重复的，发包人有权予以修正，应在下期进度付款中扣除或要求承包人足额返还。</w:t>
      </w:r>
    </w:p>
    <w:p w14:paraId="3787C819">
      <w:pPr>
        <w:spacing w:line="360" w:lineRule="auto"/>
        <w:ind w:firstLine="480" w:firstLineChars="200"/>
        <w:rPr>
          <w:rFonts w:hint="default" w:ascii="仿宋" w:hAnsi="仿宋" w:eastAsia="仿宋" w:cs="仿宋"/>
          <w:color w:val="auto"/>
          <w:highlight w:val="none"/>
          <w:lang w:val="en-US"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 BIM技术应用（</w:t>
      </w:r>
      <w:r>
        <w:rPr>
          <w:rFonts w:hint="eastAsia" w:ascii="仿宋" w:hAnsi="仿宋" w:eastAsia="仿宋" w:cs="仿宋"/>
          <w:color w:val="auto"/>
          <w:highlight w:val="none"/>
          <w:lang w:val="en-US" w:eastAsia="zh-CN"/>
        </w:rPr>
        <w:t>不涉及）</w:t>
      </w:r>
    </w:p>
    <w:p w14:paraId="6F144138">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①支付期限、比例</w:t>
      </w:r>
    </w:p>
    <w:p w14:paraId="7716EEE3">
      <w:pPr>
        <w:spacing w:line="360" w:lineRule="auto"/>
        <w:ind w:firstLine="849" w:firstLineChars="354"/>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以月为支付周期，支付比例为本月已完工作或工程款的%。</w:t>
      </w:r>
    </w:p>
    <w:p w14:paraId="45D769E2">
      <w:pPr>
        <w:spacing w:line="360" w:lineRule="auto"/>
        <w:ind w:firstLine="849" w:firstLineChars="354"/>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以季度为支付周期，支付比例为本季度已完工作或工程款的%。</w:t>
      </w:r>
    </w:p>
    <w:p w14:paraId="7405E0D6">
      <w:pPr>
        <w:spacing w:line="360" w:lineRule="auto"/>
        <w:ind w:firstLine="849" w:firstLineChars="354"/>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以形象进度为支付周期，支付比例为本形象进度内已完工作或工程款的%或另行约定，具体约定如下：。</w:t>
      </w:r>
    </w:p>
    <w:p w14:paraId="208F5480">
      <w:pPr>
        <w:spacing w:line="360" w:lineRule="auto"/>
        <w:ind w:firstLine="849" w:firstLineChars="354"/>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 其它方式： </w:t>
      </w:r>
    </w:p>
    <w:p w14:paraId="01801C31">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②政府资金投资工程的支付期、支付办法：</w:t>
      </w:r>
      <w:r>
        <w:rPr>
          <w:rFonts w:hint="eastAsia" w:ascii="仿宋" w:hAnsi="仿宋" w:eastAsia="仿宋" w:cs="仿宋"/>
          <w:color w:val="auto"/>
          <w:highlight w:val="none"/>
          <w:u w:val="single"/>
          <w:lang w:eastAsia="zh-CN"/>
        </w:rPr>
        <w:t xml:space="preserve">        /     </w:t>
      </w:r>
    </w:p>
    <w:p w14:paraId="2AC625BF">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(11)本期间应支付或扣留（回）的其他款项：</w:t>
      </w:r>
      <w:r>
        <w:rPr>
          <w:rFonts w:hint="eastAsia" w:ascii="仿宋" w:hAnsi="仿宋" w:eastAsia="仿宋" w:cs="仿宋"/>
          <w:color w:val="auto"/>
          <w:highlight w:val="none"/>
          <w:u w:val="single"/>
          <w:lang w:eastAsia="zh-CN"/>
        </w:rPr>
        <w:t xml:space="preserve">     /    </w:t>
      </w:r>
      <w:r>
        <w:rPr>
          <w:rFonts w:hint="eastAsia" w:ascii="仿宋" w:hAnsi="仿宋" w:eastAsia="仿宋" w:cs="仿宋"/>
          <w:color w:val="auto"/>
          <w:highlight w:val="none"/>
          <w:lang w:eastAsia="zh-CN"/>
        </w:rPr>
        <w:t>。</w:t>
      </w:r>
    </w:p>
    <w:p w14:paraId="0EA2CEBB">
      <w:pPr>
        <w:pStyle w:val="2"/>
        <w:rPr>
          <w:color w:val="auto"/>
          <w:highlight w:val="none"/>
          <w:lang w:eastAsia="zh-CN"/>
        </w:rPr>
      </w:pPr>
    </w:p>
    <w:p w14:paraId="16E19FB6">
      <w:pPr>
        <w:pStyle w:val="5"/>
        <w:tabs>
          <w:tab w:val="left" w:pos="420"/>
        </w:tabs>
        <w:spacing w:before="0" w:after="0" w:line="360" w:lineRule="auto"/>
        <w:rPr>
          <w:rFonts w:hint="eastAsia" w:ascii="仿宋" w:hAnsi="仿宋" w:eastAsia="仿宋"/>
          <w:b w:val="0"/>
          <w:bCs w:val="0"/>
          <w:color w:val="auto"/>
          <w:sz w:val="24"/>
          <w:szCs w:val="24"/>
          <w:highlight w:val="none"/>
          <w:lang w:eastAsia="zh-CN"/>
        </w:rPr>
      </w:pPr>
      <w:bookmarkStart w:id="1484" w:name="_Toc25349"/>
      <w:bookmarkStart w:id="1485" w:name="_Toc7849"/>
      <w:bookmarkStart w:id="1486" w:name="_Toc11916"/>
      <w:bookmarkStart w:id="1487" w:name="_Toc31629"/>
      <w:bookmarkStart w:id="1488" w:name="_Toc28191"/>
      <w:bookmarkStart w:id="1489" w:name="_Toc31086"/>
      <w:bookmarkStart w:id="1490" w:name="_Toc25369"/>
      <w:bookmarkStart w:id="1491" w:name="_Toc155189225"/>
      <w:bookmarkStart w:id="1492" w:name="_Toc11713"/>
      <w:bookmarkStart w:id="1493" w:name="_Toc19418"/>
      <w:bookmarkStart w:id="1494" w:name="_Toc20027"/>
      <w:bookmarkStart w:id="1495" w:name="_Toc4511"/>
      <w:bookmarkStart w:id="1496" w:name="_Toc13562"/>
      <w:bookmarkStart w:id="1497" w:name="_Toc17285"/>
      <w:bookmarkStart w:id="1498" w:name="_Toc11186"/>
      <w:r>
        <w:rPr>
          <w:rFonts w:hint="eastAsia" w:ascii="仿宋" w:hAnsi="仿宋" w:eastAsia="仿宋" w:cs="仿宋"/>
          <w:b w:val="0"/>
          <w:bCs w:val="0"/>
          <w:color w:val="auto"/>
          <w:sz w:val="24"/>
          <w:szCs w:val="24"/>
          <w:highlight w:val="none"/>
          <w:lang w:eastAsia="zh-CN"/>
        </w:rPr>
        <w:t>★61. 竣工结算</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68B8B4B0">
      <w:pPr>
        <w:spacing w:line="360" w:lineRule="auto"/>
        <w:ind w:firstLine="240" w:firstLineChars="100"/>
        <w:rPr>
          <w:rFonts w:hint="default" w:ascii="仿宋" w:hAnsi="仿宋" w:eastAsia="仿宋" w:cs="仿宋"/>
          <w:color w:val="auto"/>
          <w:highlight w:val="none"/>
          <w:lang w:val="en-US" w:eastAsia="zh-CN"/>
        </w:rPr>
      </w:pPr>
      <w:r>
        <w:rPr>
          <w:rFonts w:hint="eastAsia" w:ascii="仿宋" w:hAnsi="仿宋" w:eastAsia="仿宋" w:cs="仿宋"/>
          <w:color w:val="auto"/>
          <w:highlight w:val="none"/>
          <w:lang w:eastAsia="zh-CN"/>
        </w:rPr>
        <w:t>61.1 分部结算（</w:t>
      </w:r>
      <w:r>
        <w:rPr>
          <w:rFonts w:hint="eastAsia" w:ascii="仿宋" w:hAnsi="仿宋" w:eastAsia="仿宋" w:cs="仿宋"/>
          <w:color w:val="auto"/>
          <w:highlight w:val="none"/>
          <w:lang w:val="en-US" w:eastAsia="zh-CN"/>
        </w:rPr>
        <w:t>不涉及）</w:t>
      </w:r>
    </w:p>
    <w:p w14:paraId="10F8A28A">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为确保本合同工程结算的顺利进行，发包人需对本合同工程按分部分项或单位工程进行分段结算。</w:t>
      </w:r>
    </w:p>
    <w:p w14:paraId="2D8034CB">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1、分部结算要求如下：</w:t>
      </w:r>
    </w:p>
    <w:p w14:paraId="2A760D1D">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①桩基础、地下室顶板以下结构（不含砌体，含顶板）分部分项工程划分为一个结算界面。在地下室结构（含地下室顶板）中间验收合格后，可进行相应的地下室结构部分的中间结算（分部结算）。</w:t>
      </w:r>
    </w:p>
    <w:p w14:paraId="0DE1E250">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②地下室顶板以上结构（不含砌体、顶板）部分的分部分项工程划分为一个结算界面。主体结构中间验收合格后，进行相应的主体结构部分的中间结算（分部结算）。</w:t>
      </w:r>
    </w:p>
    <w:p w14:paraId="2DB3C332">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③剩余的内容（砌体工程、机电预埋工程等）的分部分项工程、措施项目费、其他项目费及其他划分为一个结算界面。竣工验收合格后，进行剩余部分的结算（申报金额含已申报的地下室结构、主体结构部分的分部结算金额）。</w:t>
      </w:r>
    </w:p>
    <w:p w14:paraId="64542E7A">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2、结算申报时限及要求</w:t>
      </w:r>
    </w:p>
    <w:p w14:paraId="0C87EBF2">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分部验收合格后，承包人须在60天内根据国家、工程所在地规定的格式及本合同规定的要求向发包人递交由承包人代表签署的分部竣工结算文件一式四份，分部竣工结算文件包括：竣工图、分部工程竣工确认表、设计变更及签证台账、设计变更及签证原件、罚扣款统计表及罚扣款单原件、结算对账单、合同及补充协议、施工归档资料等。发包人在接收资料的7天内对资料的完整性进行反馈，承包人在15天内进行补充完善。在结算审核过程中不再提交任何经济性资料。</w:t>
      </w:r>
    </w:p>
    <w:p w14:paraId="55734C6C">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3、逾期递交结算的违约责任</w:t>
      </w:r>
    </w:p>
    <w:p w14:paraId="4347BD33">
      <w:pPr>
        <w:spacing w:line="360" w:lineRule="auto"/>
        <w:ind w:firstLine="240" w:firstLineChars="1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在未取得延期的情况下，承包人未在本款规定的时间内递交分部竣工结算文件的，发包人将在报送期限届满后向承包人发函催告，在催告函发出之日起15天内承包人仍未报送结算文件的，每逾期1天处罚1000元，罚款在当期进度款中扣除。逾期超过30日的，在竣工结算阶段发包人有权根据现有资料组卷该分部竣工结算文件作为竣工结算组成文件报当地政府审核部门（本项目目前为广州市从化区财政局），审定的结果作为最终结算价，并视为承包人已经接受该分部结算结果，由此产生的费用由承包人承担。</w:t>
      </w:r>
    </w:p>
    <w:p w14:paraId="323231EF">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61.2 竣工结算</w:t>
      </w:r>
    </w:p>
    <w:p w14:paraId="4AB26096">
      <w:pPr>
        <w:spacing w:line="360" w:lineRule="auto"/>
        <w:ind w:firstLine="141" w:firstLineChars="59"/>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）竣工结算的程序和时限：</w:t>
      </w:r>
    </w:p>
    <w:p w14:paraId="38302E43">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按通用条款的规定办理。</w:t>
      </w:r>
    </w:p>
    <w:p w14:paraId="2B6B9D07">
      <w:pPr>
        <w:spacing w:line="360" w:lineRule="auto"/>
        <w:ind w:firstLine="708" w:firstLineChars="295"/>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另作约定：</w:t>
      </w:r>
      <w:r>
        <w:rPr>
          <w:rFonts w:hint="eastAsia" w:ascii="仿宋" w:hAnsi="仿宋" w:eastAsia="仿宋" w:cs="宋体"/>
          <w:snapToGrid w:val="0"/>
          <w:color w:val="auto"/>
          <w:highlight w:val="none"/>
          <w:u w:val="single"/>
          <w:lang w:eastAsia="zh-CN"/>
        </w:rPr>
        <w:t>建安工程费结算价=</w:t>
      </w:r>
      <w:r>
        <w:rPr>
          <w:rFonts w:hint="eastAsia" w:ascii="仿宋" w:hAnsi="仿宋" w:eastAsia="仿宋" w:cs="仿宋"/>
          <w:color w:val="auto"/>
          <w:highlight w:val="none"/>
          <w:u w:val="single"/>
          <w:lang w:eastAsia="zh-CN"/>
        </w:rPr>
        <w:t>竣工图+签证+人工及材料价差调整+奖罚</w:t>
      </w:r>
      <w:r>
        <w:rPr>
          <w:rFonts w:hint="eastAsia" w:ascii="仿宋" w:hAnsi="仿宋" w:eastAsia="仿宋" w:cs="仿宋"/>
          <w:color w:val="auto"/>
          <w:highlight w:val="none"/>
          <w:lang w:eastAsia="zh-CN"/>
        </w:rPr>
        <w:t xml:space="preserve">。        </w:t>
      </w:r>
    </w:p>
    <w:p w14:paraId="5A73E378">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61.3 递交结算文件及其限制</w:t>
      </w:r>
    </w:p>
    <w:p w14:paraId="2AEA48D6">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①竣工结算文件清单：</w:t>
      </w:r>
    </w:p>
    <w:p w14:paraId="78F91633">
      <w:pPr>
        <w:spacing w:line="360" w:lineRule="auto"/>
        <w:ind w:firstLine="708" w:firstLineChars="295"/>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勘察服务费结算书</w:t>
      </w:r>
    </w:p>
    <w:p w14:paraId="06D5A847">
      <w:pPr>
        <w:spacing w:line="360" w:lineRule="auto"/>
        <w:ind w:firstLine="708" w:firstLineChars="295"/>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设计服务费结算书</w:t>
      </w:r>
    </w:p>
    <w:p w14:paraId="4DA5681C">
      <w:pPr>
        <w:spacing w:line="360" w:lineRule="auto"/>
        <w:ind w:firstLine="708" w:firstLineChars="295"/>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□设备及工</w:t>
      </w:r>
      <w:r>
        <w:rPr>
          <w:rFonts w:ascii="仿宋" w:hAnsi="仿宋" w:eastAsia="仿宋" w:cs="仿宋"/>
          <w:color w:val="auto"/>
          <w:highlight w:val="none"/>
          <w:lang w:eastAsia="zh-CN"/>
        </w:rPr>
        <w:t>器具</w:t>
      </w:r>
      <w:r>
        <w:rPr>
          <w:rFonts w:hint="eastAsia" w:ascii="仿宋" w:hAnsi="仿宋" w:eastAsia="仿宋" w:cs="仿宋"/>
          <w:color w:val="auto"/>
          <w:highlight w:val="none"/>
          <w:lang w:eastAsia="zh-CN"/>
        </w:rPr>
        <w:t>购置费结算书（如果有）</w:t>
      </w:r>
    </w:p>
    <w:p w14:paraId="5D97DC7A">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BIN技术应用费结算书</w:t>
      </w:r>
    </w:p>
    <w:p w14:paraId="25F21A26">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sym w:font="Wingdings 2" w:char="F052"/>
      </w:r>
      <w:r>
        <w:rPr>
          <w:rFonts w:hint="eastAsia" w:ascii="仿宋" w:hAnsi="仿宋" w:eastAsia="仿宋" w:cs="仿宋"/>
          <w:color w:val="auto"/>
          <w:highlight w:val="none"/>
          <w:lang w:eastAsia="zh-CN"/>
        </w:rPr>
        <w:t>建筑安装工程费结算书</w:t>
      </w:r>
    </w:p>
    <w:p w14:paraId="53E1F7E0">
      <w:pPr>
        <w:spacing w:line="360" w:lineRule="auto"/>
        <w:ind w:firstLine="708" w:firstLineChars="295"/>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其他：</w:t>
      </w:r>
    </w:p>
    <w:p w14:paraId="1EEF1E93">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②竣工结算需要提供的其它资料</w:t>
      </w:r>
    </w:p>
    <w:p w14:paraId="5674AAD8">
      <w:pPr>
        <w:keepNext w:val="0"/>
        <w:keepLines w:val="0"/>
        <w:pageBreakBefore w:val="0"/>
        <w:widowControl/>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）工程结算书</w:t>
      </w:r>
    </w:p>
    <w:p w14:paraId="54CAF835">
      <w:pPr>
        <w:keepNext w:val="0"/>
        <w:keepLines w:val="0"/>
        <w:pageBreakBefore w:val="0"/>
        <w:widowControl/>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）工程量计算书</w:t>
      </w:r>
    </w:p>
    <w:p w14:paraId="09A0FDFF">
      <w:pPr>
        <w:keepNext w:val="0"/>
        <w:keepLines w:val="0"/>
        <w:pageBreakBefore w:val="0"/>
        <w:widowControl/>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）钢筋抽料表（如有）</w:t>
      </w:r>
    </w:p>
    <w:p w14:paraId="003CD2F8">
      <w:pPr>
        <w:keepNext w:val="0"/>
        <w:keepLines w:val="0"/>
        <w:pageBreakBefore w:val="0"/>
        <w:widowControl/>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4</w:t>
      </w:r>
      <w:r>
        <w:rPr>
          <w:rFonts w:hint="eastAsia" w:ascii="仿宋" w:hAnsi="仿宋" w:eastAsia="仿宋" w:cs="仿宋"/>
          <w:color w:val="auto"/>
          <w:highlight w:val="none"/>
          <w:lang w:eastAsia="zh-CN"/>
        </w:rPr>
        <w:t>）工程承包合同</w:t>
      </w:r>
    </w:p>
    <w:p w14:paraId="38761177">
      <w:pPr>
        <w:keepNext w:val="0"/>
        <w:keepLines w:val="0"/>
        <w:pageBreakBefore w:val="0"/>
        <w:widowControl/>
        <w:kinsoku/>
        <w:wordWrap/>
        <w:overflowPunct/>
        <w:topLinePunct w:val="0"/>
        <w:autoSpaceDE/>
        <w:autoSpaceDN/>
        <w:bidi w:val="0"/>
        <w:adjustRightInd/>
        <w:snapToGrid/>
        <w:spacing w:line="360" w:lineRule="auto"/>
        <w:ind w:left="0" w:leftChars="0" w:firstLine="480" w:firstLineChars="200"/>
        <w:textAlignment w:val="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5</w:t>
      </w:r>
      <w:r>
        <w:rPr>
          <w:rFonts w:hint="eastAsia" w:ascii="仿宋" w:hAnsi="仿宋" w:eastAsia="仿宋" w:cs="仿宋"/>
          <w:color w:val="auto"/>
          <w:highlight w:val="none"/>
          <w:lang w:eastAsia="zh-CN"/>
        </w:rPr>
        <w:t>）工程竣工图（含电子版和相关部门要求的专用软件版本）</w:t>
      </w:r>
    </w:p>
    <w:p w14:paraId="2488E3DE">
      <w:pPr>
        <w:keepNext w:val="0"/>
        <w:keepLines w:val="0"/>
        <w:pageBreakBefore w:val="0"/>
        <w:widowControl/>
        <w:kinsoku/>
        <w:wordWrap/>
        <w:overflowPunct/>
        <w:topLinePunct w:val="0"/>
        <w:autoSpaceDE/>
        <w:autoSpaceDN/>
        <w:bidi w:val="0"/>
        <w:adjustRightInd/>
        <w:snapToGrid/>
        <w:spacing w:line="360" w:lineRule="auto"/>
        <w:ind w:left="480" w:leftChars="200" w:firstLine="0" w:firstLineChars="0"/>
        <w:textAlignment w:val="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6</w:t>
      </w:r>
      <w:r>
        <w:rPr>
          <w:rFonts w:hint="eastAsia" w:ascii="仿宋" w:hAnsi="仿宋" w:eastAsia="仿宋" w:cs="仿宋"/>
          <w:color w:val="auto"/>
          <w:highlight w:val="none"/>
          <w:lang w:eastAsia="zh-CN"/>
        </w:rPr>
        <w:t>）工程竣工资料（含电子版及相关部门要求的专用软件版本、单位工程开工申请报告、单位工程工程竣工验收报告）</w:t>
      </w:r>
    </w:p>
    <w:p w14:paraId="329A7126">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7</w:t>
      </w:r>
      <w:r>
        <w:rPr>
          <w:rFonts w:hint="eastAsia" w:ascii="仿宋" w:hAnsi="仿宋" w:eastAsia="仿宋" w:cs="仿宋"/>
          <w:color w:val="auto"/>
          <w:highlight w:val="none"/>
          <w:lang w:eastAsia="zh-CN"/>
        </w:rPr>
        <w:t>）图纸会审记录</w:t>
      </w:r>
    </w:p>
    <w:p w14:paraId="69F38CC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8</w:t>
      </w:r>
      <w:r>
        <w:rPr>
          <w:rFonts w:hint="eastAsia" w:ascii="仿宋" w:hAnsi="仿宋" w:eastAsia="仿宋" w:cs="仿宋"/>
          <w:color w:val="auto"/>
          <w:highlight w:val="none"/>
          <w:lang w:eastAsia="zh-CN"/>
        </w:rPr>
        <w:t>）设计变更单</w:t>
      </w:r>
    </w:p>
    <w:p w14:paraId="3F6D980C">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9</w:t>
      </w:r>
      <w:r>
        <w:rPr>
          <w:rFonts w:hint="eastAsia" w:ascii="仿宋" w:hAnsi="仿宋" w:eastAsia="仿宋" w:cs="仿宋"/>
          <w:color w:val="auto"/>
          <w:highlight w:val="none"/>
          <w:lang w:eastAsia="zh-CN"/>
        </w:rPr>
        <w:t>）工程洽商记录</w:t>
      </w:r>
    </w:p>
    <w:p w14:paraId="6A6EDCB3">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10</w:t>
      </w:r>
      <w:r>
        <w:rPr>
          <w:rFonts w:hint="eastAsia" w:ascii="仿宋" w:hAnsi="仿宋" w:eastAsia="仿宋" w:cs="仿宋"/>
          <w:color w:val="auto"/>
          <w:highlight w:val="none"/>
          <w:lang w:eastAsia="zh-CN"/>
        </w:rPr>
        <w:t>）监理工程师通知或发包人施工指令</w:t>
      </w:r>
    </w:p>
    <w:p w14:paraId="3A159EC9">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11</w:t>
      </w:r>
      <w:r>
        <w:rPr>
          <w:rFonts w:hint="eastAsia" w:ascii="仿宋" w:hAnsi="仿宋" w:eastAsia="仿宋" w:cs="仿宋"/>
          <w:color w:val="auto"/>
          <w:highlight w:val="none"/>
          <w:lang w:eastAsia="zh-CN"/>
        </w:rPr>
        <w:t>）会议纪要</w:t>
      </w:r>
    </w:p>
    <w:p w14:paraId="6A79641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12</w:t>
      </w:r>
      <w:r>
        <w:rPr>
          <w:rFonts w:hint="eastAsia" w:ascii="仿宋" w:hAnsi="仿宋" w:eastAsia="仿宋" w:cs="仿宋"/>
          <w:color w:val="auto"/>
          <w:highlight w:val="none"/>
          <w:lang w:eastAsia="zh-CN"/>
        </w:rPr>
        <w:t>）现场签证单</w:t>
      </w:r>
    </w:p>
    <w:p w14:paraId="4E02268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13</w:t>
      </w:r>
      <w:r>
        <w:rPr>
          <w:rFonts w:hint="eastAsia" w:ascii="仿宋" w:hAnsi="仿宋" w:eastAsia="仿宋" w:cs="仿宋"/>
          <w:color w:val="auto"/>
          <w:highlight w:val="none"/>
          <w:lang w:eastAsia="zh-CN"/>
        </w:rPr>
        <w:t>）材料设备单价呈批审核单</w:t>
      </w:r>
    </w:p>
    <w:p w14:paraId="438D67F4">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）综合单价呈批审核单</w:t>
      </w:r>
    </w:p>
    <w:p w14:paraId="22D9E418">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15</w:t>
      </w:r>
      <w:r>
        <w:rPr>
          <w:rFonts w:hint="eastAsia" w:ascii="仿宋" w:hAnsi="仿宋" w:eastAsia="仿宋" w:cs="仿宋"/>
          <w:color w:val="auto"/>
          <w:highlight w:val="none"/>
          <w:lang w:eastAsia="zh-CN"/>
        </w:rPr>
        <w:t>）招标文件、答疑纪要</w:t>
      </w:r>
    </w:p>
    <w:p w14:paraId="1C102824">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16</w:t>
      </w:r>
      <w:r>
        <w:rPr>
          <w:rFonts w:hint="eastAsia" w:ascii="仿宋" w:hAnsi="仿宋" w:eastAsia="仿宋" w:cs="仿宋"/>
          <w:color w:val="auto"/>
          <w:highlight w:val="none"/>
          <w:lang w:eastAsia="zh-CN"/>
        </w:rPr>
        <w:t>）投标文件（含经济标软件版）、中标通知书</w:t>
      </w:r>
    </w:p>
    <w:p w14:paraId="32E0A221">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17</w:t>
      </w:r>
      <w:r>
        <w:rPr>
          <w:rFonts w:hint="eastAsia" w:ascii="仿宋" w:hAnsi="仿宋" w:eastAsia="仿宋" w:cs="仿宋"/>
          <w:color w:val="auto"/>
          <w:highlight w:val="none"/>
          <w:lang w:eastAsia="zh-CN"/>
        </w:rPr>
        <w:t>）发包人供应材料收货验收签收单</w:t>
      </w:r>
    </w:p>
    <w:p w14:paraId="6EB8968A">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18</w:t>
      </w:r>
      <w:r>
        <w:rPr>
          <w:rFonts w:hint="eastAsia" w:ascii="仿宋" w:hAnsi="仿宋" w:eastAsia="仿宋" w:cs="仿宋"/>
          <w:color w:val="auto"/>
          <w:highlight w:val="none"/>
          <w:lang w:eastAsia="zh-CN"/>
        </w:rPr>
        <w:t>）其他结算资料</w:t>
      </w:r>
    </w:p>
    <w:p w14:paraId="3A742212">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19</w:t>
      </w:r>
      <w:r>
        <w:rPr>
          <w:rFonts w:hint="eastAsia" w:ascii="仿宋" w:hAnsi="仿宋" w:eastAsia="仿宋" w:cs="仿宋"/>
          <w:color w:val="auto"/>
          <w:highlight w:val="none"/>
          <w:lang w:eastAsia="zh-CN"/>
        </w:rPr>
        <w:t>）工期履行审核表</w:t>
      </w:r>
    </w:p>
    <w:p w14:paraId="144BE2C9">
      <w:pPr>
        <w:spacing w:line="360" w:lineRule="auto"/>
        <w:ind w:firstLine="480" w:firstLineChars="200"/>
        <w:rPr>
          <w:rFonts w:eastAsia="仿宋_GB2312"/>
          <w:color w:val="auto"/>
          <w:sz w:val="30"/>
          <w:szCs w:val="30"/>
          <w:highlight w:val="none"/>
          <w:u w:val="singl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20</w:t>
      </w:r>
      <w:r>
        <w:rPr>
          <w:rFonts w:hint="eastAsia" w:ascii="仿宋" w:hAnsi="仿宋" w:eastAsia="仿宋" w:cs="仿宋"/>
          <w:color w:val="auto"/>
          <w:highlight w:val="none"/>
          <w:lang w:eastAsia="zh-CN"/>
        </w:rPr>
        <w:t>）移交资料签收表</w:t>
      </w:r>
    </w:p>
    <w:p w14:paraId="3E47EF1E">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21</w:t>
      </w:r>
      <w:r>
        <w:rPr>
          <w:rFonts w:hint="eastAsia" w:ascii="仿宋" w:hAnsi="仿宋" w:eastAsia="仿宋" w:cs="仿宋"/>
          <w:color w:val="auto"/>
          <w:highlight w:val="none"/>
          <w:lang w:eastAsia="zh-CN"/>
        </w:rPr>
        <w:t>）其它</w:t>
      </w:r>
    </w:p>
    <w:p w14:paraId="68AD3148">
      <w:pPr>
        <w:spacing w:line="360" w:lineRule="auto"/>
        <w:ind w:firstLine="480" w:firstLineChars="2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③发包人对送审结算资料的具体要求：</w:t>
      </w:r>
      <w:r>
        <w:rPr>
          <w:rFonts w:ascii="仿宋" w:hAnsi="仿宋" w:eastAsia="仿宋" w:cs="仿宋"/>
          <w:color w:val="auto"/>
          <w:highlight w:val="none"/>
          <w:u w:val="single"/>
          <w:lang w:eastAsia="zh-CN"/>
        </w:rPr>
        <w:t xml:space="preserve">                            </w:t>
      </w:r>
    </w:p>
    <w:p w14:paraId="574879C3">
      <w:pPr>
        <w:pStyle w:val="5"/>
        <w:tabs>
          <w:tab w:val="left" w:pos="420"/>
          <w:tab w:val="left" w:pos="576"/>
        </w:tabs>
        <w:rPr>
          <w:rFonts w:hint="eastAsia" w:ascii="仿宋" w:hAnsi="仿宋" w:eastAsia="仿宋"/>
          <w:color w:val="auto"/>
          <w:sz w:val="24"/>
          <w:szCs w:val="24"/>
          <w:highlight w:val="none"/>
          <w:lang w:eastAsia="zh-CN"/>
        </w:rPr>
      </w:pPr>
      <w:bookmarkStart w:id="1499" w:name="_Toc1405"/>
      <w:bookmarkStart w:id="1500" w:name="_Toc164"/>
      <w:bookmarkStart w:id="1501" w:name="_Toc6861"/>
      <w:bookmarkStart w:id="1502" w:name="_Toc10624976"/>
      <w:bookmarkStart w:id="1503" w:name="_Toc23580"/>
      <w:bookmarkStart w:id="1504" w:name="_Toc21149"/>
      <w:bookmarkStart w:id="1505" w:name="_Toc26194"/>
      <w:bookmarkStart w:id="1506" w:name="_Toc9362"/>
      <w:bookmarkStart w:id="1507" w:name="_Toc15568"/>
      <w:bookmarkStart w:id="1508" w:name="_Toc24399"/>
      <w:bookmarkStart w:id="1509" w:name="_Toc2933"/>
      <w:bookmarkStart w:id="1510" w:name="_Toc19122"/>
      <w:bookmarkStart w:id="1511" w:name="_Toc13848"/>
      <w:bookmarkStart w:id="1512" w:name="_Toc469384132"/>
      <w:bookmarkStart w:id="1513" w:name="_Toc6868"/>
      <w:bookmarkStart w:id="1514" w:name="_Toc32368"/>
      <w:bookmarkStart w:id="1515" w:name="_Toc5345"/>
      <w:bookmarkStart w:id="1516" w:name="_Toc16059"/>
      <w:bookmarkStart w:id="1517" w:name="_Toc16919"/>
      <w:r>
        <w:rPr>
          <w:rFonts w:hint="eastAsia" w:ascii="仿宋" w:hAnsi="仿宋" w:eastAsia="仿宋" w:cs="仿宋"/>
          <w:color w:val="auto"/>
          <w:sz w:val="24"/>
          <w:szCs w:val="24"/>
          <w:highlight w:val="none"/>
          <w:lang w:eastAsia="zh-CN"/>
        </w:rPr>
        <w:t>★62</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结算款</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1274092E">
      <w:pPr>
        <w:rPr>
          <w:rFonts w:hint="eastAsia" w:ascii="仿宋" w:hAnsi="仿宋" w:eastAsia="仿宋"/>
          <w:color w:val="auto"/>
          <w:highlight w:val="none"/>
          <w:lang w:eastAsia="zh-CN"/>
        </w:rPr>
      </w:pPr>
    </w:p>
    <w:p w14:paraId="0890ED4D">
      <w:pPr>
        <w:spacing w:line="360" w:lineRule="auto"/>
        <w:ind w:firstLine="480" w:firstLineChars="20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xml:space="preserve"> 62.1 提交竣工支付申请</w:t>
      </w:r>
    </w:p>
    <w:p w14:paraId="3AEC504E">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①竣工支付时限</w:t>
      </w:r>
    </w:p>
    <w:p w14:paraId="16D1960F">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按通用条款的约定，在造价咨询人签发竣工结算支付证书后的28天内。</w:t>
      </w:r>
    </w:p>
    <w:p w14:paraId="01766923">
      <w:pPr>
        <w:spacing w:line="360" w:lineRule="auto"/>
        <w:ind w:firstLine="708" w:firstLineChars="295"/>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 另有约定：</w:t>
      </w:r>
      <w:r>
        <w:rPr>
          <w:rFonts w:hint="eastAsia" w:ascii="仿宋" w:hAnsi="仿宋" w:eastAsia="仿宋" w:cs="仿宋"/>
          <w:color w:val="auto"/>
          <w:highlight w:val="none"/>
          <w:u w:val="single"/>
          <w:lang w:eastAsia="zh-CN"/>
        </w:rPr>
        <w:t xml:space="preserve"> 按区财政部门结算支付要求执行 </w:t>
      </w:r>
      <w:r>
        <w:rPr>
          <w:rFonts w:hint="eastAsia" w:ascii="仿宋" w:hAnsi="仿宋" w:eastAsia="仿宋" w:cs="仿宋"/>
          <w:color w:val="auto"/>
          <w:highlight w:val="none"/>
          <w:lang w:eastAsia="zh-CN"/>
        </w:rPr>
        <w:t>。</w:t>
      </w:r>
    </w:p>
    <w:p w14:paraId="36AC1338">
      <w:pPr>
        <w:spacing w:line="360" w:lineRule="auto"/>
        <w:ind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②政府资金投资工程的支付期、支付办法</w:t>
      </w:r>
    </w:p>
    <w:p w14:paraId="026A2B55">
      <w:pPr>
        <w:spacing w:line="360" w:lineRule="auto"/>
        <w:ind w:firstLine="708" w:firstLineChars="295"/>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 按通用条款的约定。</w:t>
      </w:r>
    </w:p>
    <w:p w14:paraId="3E0D0E9B">
      <w:pPr>
        <w:spacing w:line="360" w:lineRule="auto"/>
        <w:ind w:firstLine="708" w:firstLineChars="295"/>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sym w:font="Wingdings 2" w:char="00A3"/>
      </w:r>
      <w:r>
        <w:rPr>
          <w:rFonts w:hint="eastAsia" w:ascii="仿宋" w:hAnsi="仿宋" w:eastAsia="仿宋" w:cs="仿宋"/>
          <w:color w:val="auto"/>
          <w:highlight w:val="none"/>
          <w:lang w:eastAsia="zh-CN"/>
        </w:rPr>
        <w:t xml:space="preserve"> 另有约定：</w:t>
      </w:r>
      <w:r>
        <w:rPr>
          <w:rFonts w:hint="eastAsia" w:ascii="仿宋" w:hAnsi="仿宋" w:eastAsia="仿宋" w:cs="仿宋"/>
          <w:color w:val="auto"/>
          <w:highlight w:val="none"/>
          <w:u w:val="single"/>
          <w:lang w:eastAsia="zh-CN"/>
        </w:rPr>
        <w:t xml:space="preserve"> 按区财政部门结算支付要求执行 </w:t>
      </w:r>
      <w:r>
        <w:rPr>
          <w:rFonts w:hint="eastAsia" w:ascii="仿宋" w:hAnsi="仿宋" w:eastAsia="仿宋" w:cs="仿宋"/>
          <w:color w:val="auto"/>
          <w:highlight w:val="none"/>
          <w:lang w:eastAsia="zh-CN"/>
        </w:rPr>
        <w:t>。</w:t>
      </w:r>
    </w:p>
    <w:p w14:paraId="15F62907">
      <w:pPr>
        <w:spacing w:line="360" w:lineRule="auto"/>
        <w:ind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③实施过程结算的，其竣工结算支付方法：</w:t>
      </w:r>
    </w:p>
    <w:p w14:paraId="1F90BE6C">
      <w:pPr>
        <w:pStyle w:val="5"/>
        <w:tabs>
          <w:tab w:val="left" w:pos="420"/>
          <w:tab w:val="left" w:pos="576"/>
        </w:tabs>
        <w:rPr>
          <w:rFonts w:hint="eastAsia" w:ascii="仿宋" w:hAnsi="仿宋" w:eastAsia="仿宋"/>
          <w:color w:val="auto"/>
          <w:sz w:val="24"/>
          <w:szCs w:val="24"/>
          <w:highlight w:val="none"/>
          <w:lang w:eastAsia="zh-CN"/>
        </w:rPr>
      </w:pPr>
      <w:bookmarkStart w:id="1518" w:name="_Toc288"/>
      <w:bookmarkStart w:id="1519" w:name="_Toc17019"/>
      <w:bookmarkStart w:id="1520" w:name="_Toc28385"/>
      <w:bookmarkStart w:id="1521" w:name="_Toc469384133"/>
      <w:bookmarkStart w:id="1522" w:name="_Toc20892"/>
      <w:bookmarkStart w:id="1523" w:name="_Toc30560"/>
      <w:bookmarkStart w:id="1524" w:name="_Toc15231"/>
      <w:bookmarkStart w:id="1525" w:name="_Toc6396"/>
      <w:bookmarkStart w:id="1526" w:name="_Toc10624977"/>
      <w:bookmarkStart w:id="1527" w:name="_Toc23543"/>
      <w:bookmarkStart w:id="1528" w:name="_Toc23900"/>
      <w:bookmarkStart w:id="1529" w:name="_Toc23201"/>
      <w:bookmarkStart w:id="1530" w:name="_Toc23668"/>
      <w:bookmarkStart w:id="1531" w:name="_Toc1001"/>
      <w:bookmarkStart w:id="1532" w:name="_Toc20313"/>
      <w:bookmarkStart w:id="1533" w:name="_Toc22021"/>
      <w:bookmarkStart w:id="1534" w:name="_Toc27993"/>
      <w:bookmarkStart w:id="1535" w:name="_Toc27762"/>
      <w:bookmarkStart w:id="1536" w:name="_Toc15138"/>
      <w:r>
        <w:rPr>
          <w:rFonts w:hint="eastAsia" w:ascii="仿宋" w:hAnsi="仿宋" w:eastAsia="仿宋" w:cs="仿宋"/>
          <w:color w:val="auto"/>
          <w:sz w:val="24"/>
          <w:szCs w:val="24"/>
          <w:highlight w:val="none"/>
          <w:lang w:eastAsia="zh-CN"/>
        </w:rPr>
        <w:t>★63</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质量保证金</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0EE5F6A6">
      <w:pPr>
        <w:rPr>
          <w:rFonts w:hint="eastAsia" w:ascii="仿宋" w:hAnsi="仿宋" w:eastAsia="仿宋"/>
          <w:color w:val="auto"/>
          <w:highlight w:val="none"/>
          <w:lang w:eastAsia="zh-CN"/>
        </w:rPr>
      </w:pPr>
    </w:p>
    <w:p w14:paraId="273407BC">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63</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质量保证金的约定与扣留</w:t>
      </w:r>
    </w:p>
    <w:p w14:paraId="12199170">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质量保证金的约定</w:t>
      </w:r>
    </w:p>
    <w:p w14:paraId="79ED3CDE">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按通用条款约定为合同价格中建筑安装工程费、设备及工器具购置费（如果有）部分结算总额的3%，即</w:t>
      </w:r>
      <w:r>
        <w:rPr>
          <w:rFonts w:ascii="仿宋" w:hAnsi="仿宋" w:eastAsia="仿宋" w:cs="仿宋"/>
          <w:color w:val="auto"/>
          <w:highlight w:val="none"/>
          <w:lang w:eastAsia="zh-CN"/>
        </w:rPr>
        <w:t xml:space="preserve"> </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p>
    <w:p w14:paraId="1D44FFEB">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另有约定：</w:t>
      </w:r>
      <w:r>
        <w:rPr>
          <w:rFonts w:ascii="仿宋" w:hAnsi="仿宋" w:eastAsia="仿宋" w:cs="仿宋"/>
          <w:color w:val="auto"/>
          <w:highlight w:val="none"/>
          <w:u w:val="single"/>
          <w:lang w:eastAsia="zh-CN"/>
        </w:rPr>
        <w:t xml:space="preserve">                                                                               </w:t>
      </w:r>
    </w:p>
    <w:p w14:paraId="7B1AAA2B">
      <w:pPr>
        <w:spacing w:line="360" w:lineRule="auto"/>
        <w:rPr>
          <w:rFonts w:hint="eastAsia" w:ascii="仿宋" w:hAnsi="仿宋" w:eastAsia="仿宋"/>
          <w:color w:val="auto"/>
          <w:highlight w:val="none"/>
          <w:lang w:eastAsia="zh-CN"/>
        </w:rPr>
      </w:pPr>
    </w:p>
    <w:p w14:paraId="48FF1E9E">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质量保证金的扣留</w:t>
      </w:r>
    </w:p>
    <w:p w14:paraId="7E467BEC">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按通用条款的规定，按每支付期应支付给承包人的进度款和结算款的</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扣留。</w:t>
      </w:r>
    </w:p>
    <w:p w14:paraId="710CF57B">
      <w:pPr>
        <w:pStyle w:val="2"/>
        <w:ind w:firstLine="240" w:firstLineChars="100"/>
        <w:rPr>
          <w:color w:val="auto"/>
          <w:highlight w:val="none"/>
          <w:lang w:eastAsia="zh-CN"/>
        </w:rPr>
      </w:pPr>
      <w:r>
        <w:rPr>
          <w:rFonts w:hint="eastAsia" w:ascii="仿宋" w:hAnsi="仿宋" w:eastAsia="仿宋" w:cs="仿宋"/>
          <w:color w:val="auto"/>
          <w:sz w:val="24"/>
          <w:szCs w:val="24"/>
          <w:highlight w:val="none"/>
          <w:lang w:eastAsia="zh-CN"/>
        </w:rPr>
        <w:sym w:font="Wingdings 2" w:char="00A3"/>
      </w:r>
      <w:r>
        <w:rPr>
          <w:rFonts w:hint="eastAsia" w:ascii="仿宋" w:hAnsi="仿宋" w:eastAsia="仿宋" w:cs="仿宋"/>
          <w:color w:val="auto"/>
          <w:sz w:val="24"/>
          <w:szCs w:val="24"/>
          <w:highlight w:val="none"/>
          <w:lang w:eastAsia="zh-CN"/>
        </w:rPr>
        <w:t>由发包人选择在工程竣工结算时一次性扣留相应比例的工程款；</w:t>
      </w:r>
    </w:p>
    <w:p w14:paraId="19326D7E">
      <w:pPr>
        <w:spacing w:line="360" w:lineRule="auto"/>
        <w:ind w:firstLine="240" w:firstLineChars="1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（3）其他约定：</w:t>
      </w:r>
      <w:r>
        <w:rPr>
          <w:rFonts w:hint="eastAsia" w:ascii="仿宋" w:hAnsi="仿宋" w:eastAsia="仿宋" w:cs="仿宋"/>
          <w:color w:val="auto"/>
          <w:highlight w:val="none"/>
          <w:u w:val="single"/>
          <w:lang w:eastAsia="zh-CN"/>
        </w:rPr>
        <w:t>详见附件一：工程缺陷责任与质量保修书</w:t>
      </w:r>
      <w:r>
        <w:rPr>
          <w:rFonts w:ascii="仿宋" w:hAnsi="仿宋" w:eastAsia="仿宋" w:cs="仿宋"/>
          <w:color w:val="auto"/>
          <w:highlight w:val="none"/>
          <w:u w:val="single"/>
          <w:lang w:eastAsia="zh-CN"/>
        </w:rPr>
        <w:t xml:space="preserve">                                    </w:t>
      </w:r>
    </w:p>
    <w:p w14:paraId="3E9F2D5A">
      <w:pPr>
        <w:pStyle w:val="5"/>
        <w:tabs>
          <w:tab w:val="left" w:pos="420"/>
          <w:tab w:val="left" w:pos="576"/>
        </w:tabs>
        <w:rPr>
          <w:rFonts w:hint="eastAsia" w:ascii="仿宋" w:hAnsi="仿宋" w:eastAsia="仿宋"/>
          <w:color w:val="auto"/>
          <w:sz w:val="24"/>
          <w:szCs w:val="24"/>
          <w:highlight w:val="none"/>
          <w:lang w:eastAsia="zh-CN"/>
        </w:rPr>
      </w:pPr>
      <w:bookmarkStart w:id="1537" w:name="_Toc5039"/>
      <w:bookmarkStart w:id="1538" w:name="_Toc27437"/>
      <w:bookmarkStart w:id="1539" w:name="_Toc1314"/>
      <w:bookmarkStart w:id="1540" w:name="_Toc8325"/>
      <w:bookmarkStart w:id="1541" w:name="_Toc11554"/>
      <w:bookmarkStart w:id="1542" w:name="_Toc34"/>
      <w:bookmarkStart w:id="1543" w:name="_Toc469384134"/>
      <w:bookmarkStart w:id="1544" w:name="_Toc8599"/>
      <w:bookmarkStart w:id="1545" w:name="_Toc18986"/>
      <w:bookmarkStart w:id="1546" w:name="_Toc14764"/>
      <w:bookmarkStart w:id="1547" w:name="_Toc15518"/>
      <w:bookmarkStart w:id="1548" w:name="_Toc21993"/>
      <w:bookmarkStart w:id="1549" w:name="_Toc29825"/>
      <w:bookmarkStart w:id="1550" w:name="_Toc22379"/>
      <w:bookmarkStart w:id="1551" w:name="_Toc29508"/>
      <w:bookmarkStart w:id="1552" w:name="_Toc14944"/>
      <w:bookmarkStart w:id="1553" w:name="_Toc4586"/>
      <w:bookmarkStart w:id="1554" w:name="_Toc10624978"/>
      <w:bookmarkStart w:id="1555" w:name="_Toc27688"/>
      <w:r>
        <w:rPr>
          <w:rFonts w:hint="eastAsia" w:ascii="仿宋" w:hAnsi="仿宋" w:eastAsia="仿宋" w:cs="仿宋"/>
          <w:color w:val="auto"/>
          <w:sz w:val="24"/>
          <w:szCs w:val="24"/>
          <w:highlight w:val="none"/>
          <w:lang w:eastAsia="zh-CN"/>
        </w:rPr>
        <w:t>64</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最终清算款</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7B9BA078">
      <w:pPr>
        <w:rPr>
          <w:rFonts w:hint="eastAsia" w:ascii="仿宋" w:hAnsi="仿宋" w:eastAsia="仿宋"/>
          <w:color w:val="auto"/>
          <w:highlight w:val="none"/>
          <w:lang w:eastAsia="zh-CN"/>
        </w:rPr>
      </w:pPr>
    </w:p>
    <w:p w14:paraId="1C682670">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64</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提交最终清算支付申请</w:t>
      </w:r>
    </w:p>
    <w:p w14:paraId="6297607D">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最终清算支付申请</w:t>
      </w:r>
    </w:p>
    <w:p w14:paraId="645D9863">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提交份数：</w:t>
      </w:r>
      <w:r>
        <w:rPr>
          <w:rFonts w:hint="eastAsia" w:ascii="仿宋" w:hAnsi="仿宋" w:eastAsia="仿宋" w:cs="仿宋"/>
          <w:color w:val="auto"/>
          <w:highlight w:val="none"/>
          <w:u w:val="single"/>
          <w:lang w:eastAsia="zh-CN"/>
        </w:rPr>
        <w:t>一式四份</w:t>
      </w:r>
    </w:p>
    <w:p w14:paraId="75AC0D44">
      <w:pPr>
        <w:spacing w:line="360" w:lineRule="auto"/>
        <w:ind w:firstLine="48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提交期限：</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按</w:t>
      </w:r>
      <w:r>
        <w:rPr>
          <w:rFonts w:hint="eastAsia" w:ascii="仿宋" w:hAnsi="仿宋" w:eastAsia="仿宋" w:cs="仿宋"/>
          <w:color w:val="auto"/>
          <w:highlight w:val="none"/>
          <w:u w:val="single"/>
          <w:lang w:val="en-US" w:eastAsia="zh-CN"/>
        </w:rPr>
        <w:t>发包人</w:t>
      </w:r>
      <w:r>
        <w:rPr>
          <w:rFonts w:hint="eastAsia" w:ascii="仿宋" w:hAnsi="仿宋" w:eastAsia="仿宋" w:cs="仿宋"/>
          <w:color w:val="auto"/>
          <w:highlight w:val="none"/>
          <w:u w:val="single"/>
          <w:lang w:eastAsia="zh-CN"/>
        </w:rPr>
        <w:t>要求执行</w:t>
      </w:r>
      <w:r>
        <w:rPr>
          <w:rFonts w:ascii="仿宋" w:hAnsi="仿宋" w:eastAsia="仿宋" w:cs="仿宋"/>
          <w:color w:val="auto"/>
          <w:highlight w:val="none"/>
          <w:u w:val="single"/>
          <w:lang w:eastAsia="zh-CN"/>
        </w:rPr>
        <w:t xml:space="preserve">         </w:t>
      </w:r>
    </w:p>
    <w:p w14:paraId="6485DAD8">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(2)  </w:t>
      </w:r>
      <w:r>
        <w:rPr>
          <w:rFonts w:hint="eastAsia" w:ascii="仿宋" w:hAnsi="仿宋" w:eastAsia="仿宋" w:cs="仿宋"/>
          <w:color w:val="auto"/>
          <w:highlight w:val="none"/>
          <w:lang w:eastAsia="zh-CN"/>
        </w:rPr>
        <w:t>最终清算支付时限</w:t>
      </w:r>
    </w:p>
    <w:p w14:paraId="7E297518">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按通用条款的规定，在造价工程师签发最终清算支付证书后的</w:t>
      </w:r>
      <w:r>
        <w:rPr>
          <w:rFonts w:ascii="仿宋" w:hAnsi="仿宋" w:eastAsia="仿宋" w:cs="仿宋"/>
          <w:color w:val="auto"/>
          <w:highlight w:val="none"/>
          <w:lang w:eastAsia="zh-CN"/>
        </w:rPr>
        <w:t>14</w:t>
      </w:r>
      <w:r>
        <w:rPr>
          <w:rFonts w:hint="eastAsia" w:ascii="仿宋" w:hAnsi="仿宋" w:eastAsia="仿宋" w:cs="仿宋"/>
          <w:color w:val="auto"/>
          <w:highlight w:val="none"/>
          <w:lang w:eastAsia="zh-CN"/>
        </w:rPr>
        <w:t>天内。</w:t>
      </w:r>
    </w:p>
    <w:p w14:paraId="177E17C0">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另有约定：</w:t>
      </w:r>
      <w:r>
        <w:rPr>
          <w:rFonts w:hint="eastAsia" w:ascii="仿宋" w:hAnsi="仿宋" w:eastAsia="仿宋" w:cs="仿宋"/>
          <w:color w:val="auto"/>
          <w:highlight w:val="none"/>
          <w:u w:val="single"/>
          <w:lang w:eastAsia="zh-CN"/>
        </w:rPr>
        <w:t xml:space="preserve">按发包人要求执行 </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5B61E84E">
      <w:pPr>
        <w:pStyle w:val="5"/>
        <w:numPr>
          <w:ilvl w:val="0"/>
          <w:numId w:val="42"/>
        </w:numPr>
        <w:tabs>
          <w:tab w:val="left" w:pos="420"/>
          <w:tab w:val="left" w:pos="576"/>
          <w:tab w:val="clear" w:pos="312"/>
        </w:tabs>
        <w:rPr>
          <w:rFonts w:hint="eastAsia" w:ascii="仿宋" w:hAnsi="仿宋" w:eastAsia="仿宋" w:cs="仿宋"/>
          <w:color w:val="auto"/>
          <w:sz w:val="24"/>
          <w:szCs w:val="24"/>
          <w:highlight w:val="none"/>
          <w:lang w:eastAsia="zh-CN"/>
        </w:rPr>
      </w:pPr>
      <w:bookmarkStart w:id="1556" w:name="_Toc14825"/>
      <w:bookmarkStart w:id="1557" w:name="_Toc5269"/>
      <w:bookmarkStart w:id="1558" w:name="_Toc2414"/>
      <w:bookmarkStart w:id="1559" w:name="_Toc12466"/>
      <w:bookmarkStart w:id="1560" w:name="_Toc4795"/>
      <w:bookmarkStart w:id="1561" w:name="_Toc27273"/>
      <w:bookmarkStart w:id="1562" w:name="_Toc17279"/>
      <w:bookmarkStart w:id="1563" w:name="_Toc20403"/>
      <w:bookmarkStart w:id="1564" w:name="_Toc12150"/>
      <w:bookmarkStart w:id="1565" w:name="_Toc11363"/>
      <w:bookmarkStart w:id="1566" w:name="_Toc5295"/>
      <w:bookmarkStart w:id="1567" w:name="_Toc28513"/>
      <w:bookmarkStart w:id="1568" w:name="_Toc30188"/>
      <w:bookmarkStart w:id="1569" w:name="_Toc19985"/>
      <w:r>
        <w:rPr>
          <w:rFonts w:hint="eastAsia" w:ascii="仿宋" w:hAnsi="仿宋" w:eastAsia="仿宋" w:cs="仿宋"/>
          <w:color w:val="auto"/>
          <w:sz w:val="24"/>
          <w:szCs w:val="24"/>
          <w:highlight w:val="none"/>
          <w:lang w:eastAsia="zh-CN"/>
        </w:rPr>
        <w:t>承包人违约</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5619E415">
      <w:pPr>
        <w:ind w:firstLine="120" w:firstLineChars="50"/>
        <w:rPr>
          <w:rFonts w:hint="eastAsia" w:ascii="仿宋" w:hAnsi="仿宋" w:eastAsia="仿宋"/>
          <w:color w:val="auto"/>
          <w:highlight w:val="none"/>
          <w:lang w:eastAsia="zh-CN"/>
        </w:rPr>
      </w:pPr>
      <w:r>
        <w:rPr>
          <w:rFonts w:hint="eastAsia" w:ascii="仿宋" w:hAnsi="仿宋" w:eastAsia="仿宋"/>
          <w:color w:val="auto"/>
          <w:highlight w:val="none"/>
          <w:lang w:eastAsia="zh-CN"/>
        </w:rPr>
        <w:t>65.1承包人违约的定义及分类</w:t>
      </w:r>
    </w:p>
    <w:p w14:paraId="3A4FDB1C">
      <w:pPr>
        <w:pStyle w:val="2"/>
        <w:rPr>
          <w:color w:val="auto"/>
          <w:highlight w:val="none"/>
          <w:lang w:eastAsia="zh-CN"/>
        </w:rPr>
      </w:pPr>
    </w:p>
    <w:p w14:paraId="2495A714">
      <w:pPr>
        <w:spacing w:line="360" w:lineRule="auto"/>
        <w:ind w:firstLine="120" w:firstLineChars="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书面警告。承包人不履行或不完全履行合同或不执行工程师或发包人(含主管人员)的指令时，发包人有权向承包人发出书面警告并向发包人交纳违约金3000元/次。承包人必须在书面警告限定的时间内履行义务或执行指令，否则应承担1次一般违约责任。</w:t>
      </w:r>
    </w:p>
    <w:p w14:paraId="1C375EF1">
      <w:pPr>
        <w:spacing w:line="360" w:lineRule="auto"/>
        <w:ind w:firstLine="120" w:firstLineChars="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(2)一般违约责任。承包人违反本合同的约定须承担一般违约责任时，必须向发包人交纳违约金 10000元/次。</w:t>
      </w:r>
    </w:p>
    <w:p w14:paraId="134211A1">
      <w:pPr>
        <w:spacing w:line="360" w:lineRule="auto"/>
        <w:ind w:firstLine="120" w:firstLineChars="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(3)严重违约责任。承包人违反本合同的约定须承担严重违约责任时，必须向发包人交纳违约金30000元/次。</w:t>
      </w:r>
    </w:p>
    <w:p w14:paraId="68AB0B4D">
      <w:pPr>
        <w:autoSpaceDE w:val="0"/>
        <w:autoSpaceDN w:val="0"/>
        <w:adjustRightInd w:val="0"/>
        <w:spacing w:line="360" w:lineRule="auto"/>
        <w:rPr>
          <w:color w:val="auto"/>
          <w:highlight w:val="none"/>
          <w:lang w:eastAsia="zh-CN"/>
        </w:rPr>
      </w:pPr>
      <w:r>
        <w:rPr>
          <w:rFonts w:hint="eastAsia" w:ascii="仿宋" w:hAnsi="仿宋" w:eastAsia="仿宋"/>
          <w:color w:val="auto"/>
          <w:highlight w:val="none"/>
          <w:lang w:eastAsia="zh-CN"/>
        </w:rPr>
        <w:t>（4）根本违约责任。指违反本合同的约定且其违约行为造成本合同无法履行而应承担的责任。违约处理方式包括：</w:t>
      </w:r>
    </w:p>
    <w:p w14:paraId="04DD838F">
      <w:pPr>
        <w:spacing w:line="360" w:lineRule="auto"/>
        <w:ind w:firstLine="600" w:firstLineChars="2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(1)部分解除合同。当承包人违反本合同的约定符合部分解除合同的条件时，发包人有权向承包人发出书面部分解除合同的通知，该通知在送达承包人时即生效。发包人有权从本合同价款中直接扣除被解除部分工程所需的全部费用，同时，承包人应在部分解除合同之日起七日内向发包人支付被解除部分工程合同价款20%的违约金并赔偿发包人的实际损失。</w:t>
      </w:r>
    </w:p>
    <w:p w14:paraId="410CBEB8">
      <w:pPr>
        <w:spacing w:line="360" w:lineRule="auto"/>
        <w:ind w:firstLine="600" w:firstLineChars="2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(2)解除合同。当承包人违反本合同的约定符合解除合同的条件时，发包人有权向承包人发出书面解除合同的通知，该通知在送达承包人时即生效，承包人应在解除合同之日起七日内向发包人支付本合同价款 20%的违约金并赔偿发包人的实际损失，违约金与赔偿金之和不得低于发包人已支付给承包人的合同价款总额。</w:t>
      </w:r>
    </w:p>
    <w:p w14:paraId="20FD7469">
      <w:pPr>
        <w:spacing w:line="360" w:lineRule="auto"/>
        <w:ind w:firstLine="120" w:firstLineChars="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(5)赔偿损失。因承包人原因造成发包人经济损失的，承包人应赔偿发包人的全部直接和间接经济损失。</w:t>
      </w:r>
    </w:p>
    <w:p w14:paraId="36679246">
      <w:pPr>
        <w:spacing w:line="360" w:lineRule="auto"/>
        <w:ind w:firstLine="120" w:firstLineChars="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(6)完全由专业承包人和专业分包人造成违约，也不免除承包人的违约责任。</w:t>
      </w:r>
    </w:p>
    <w:p w14:paraId="3E634EC3">
      <w:pPr>
        <w:tabs>
          <w:tab w:val="left" w:pos="420"/>
          <w:tab w:val="left" w:pos="576"/>
        </w:tabs>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承包人按本合同约定应缴纳的违约金和赔偿金应分别计算。</w:t>
      </w:r>
    </w:p>
    <w:p w14:paraId="02D165B0">
      <w:pPr>
        <w:spacing w:line="360" w:lineRule="auto"/>
        <w:ind w:firstLine="424" w:firstLineChars="177"/>
        <w:rPr>
          <w:rFonts w:hint="eastAsia" w:ascii="仿宋" w:hAnsi="仿宋" w:eastAsia="仿宋" w:cs="仿宋"/>
          <w:color w:val="auto"/>
          <w:highlight w:val="none"/>
          <w:lang w:eastAsia="zh-CN"/>
        </w:rPr>
      </w:pPr>
      <w:r>
        <w:rPr>
          <w:rFonts w:hint="eastAsia" w:ascii="仿宋" w:hAnsi="仿宋" w:eastAsia="仿宋" w:cs="宋体"/>
          <w:snapToGrid w:val="0"/>
          <w:color w:val="auto"/>
          <w:highlight w:val="none"/>
          <w:lang w:eastAsia="zh-CN"/>
        </w:rPr>
        <w:t>承包人按本合同约定应交纳的违约金和赔偿金，发包人将根据承包人履行合同的实际情况随时通知承包人交纳或在工程结算时予以扣除。相关违约责任对合同的履行未造成实质性影响的，或承包人在合同后续履行过程中已采取足够措施来弥补违约责任造成的损失的，由承包人提出申请，经监理单位、发包人批准后，可予以免除。</w:t>
      </w:r>
    </w:p>
    <w:p w14:paraId="3636B20F">
      <w:pPr>
        <w:spacing w:line="360" w:lineRule="auto"/>
        <w:ind w:firstLine="480" w:firstLineChars="200"/>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65</w:t>
      </w:r>
      <w:r>
        <w:rPr>
          <w:rFonts w:ascii="仿宋" w:hAnsi="仿宋" w:eastAsia="仿宋" w:cs="宋体"/>
          <w:snapToGrid w:val="0"/>
          <w:color w:val="auto"/>
          <w:highlight w:val="none"/>
          <w:lang w:eastAsia="zh-CN"/>
        </w:rPr>
        <w:t>.</w:t>
      </w:r>
      <w:r>
        <w:rPr>
          <w:rFonts w:hint="eastAsia" w:ascii="仿宋" w:hAnsi="仿宋" w:eastAsia="仿宋" w:cs="宋体"/>
          <w:snapToGrid w:val="0"/>
          <w:color w:val="auto"/>
          <w:highlight w:val="none"/>
          <w:lang w:eastAsia="zh-CN"/>
        </w:rPr>
        <w:t>2 设计成果文件方面的违约责任</w:t>
      </w:r>
    </w:p>
    <w:p w14:paraId="6B59A7DD">
      <w:pPr>
        <w:spacing w:line="360" w:lineRule="auto"/>
        <w:ind w:firstLine="424" w:firstLineChars="177"/>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1）承包人未能按本合同约定的时间或发包人审核同意的设计进度各类计划的要求提交相应阶段的设计成果文件，逾期3天以内（或累计达5天以上10天以内）的，发包人有权向承包人给予书面警告1次；逾期3天以上不超过15天（或累计达10天以上不超过30天）的，发包人有权要求承包人承担一般违约责任处罚1次；逾期15天以上不超过30天（或累计30天以上不超过60天）的，发包人有权要求承包人承担严重违约责任处罚1次；逾期30天以上（或累计达60天以上）的，发包人有权要求承包人承担根本违约责任。因承包人原因造成发包人损失的，承包人还须同时向发包人赔偿全部损失。</w:t>
      </w:r>
    </w:p>
    <w:p w14:paraId="6989C5E4">
      <w:pPr>
        <w:spacing w:line="360" w:lineRule="auto"/>
        <w:ind w:firstLine="424" w:firstLineChars="177"/>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2）本合同履行期间，承包人的设计质量不符合合同约定或者设计成果文件出现遗漏、错误的，承包人应在发包人规定的期限内对设计成果文件及时进行补充、修改、完善，同时向发包人赔所有损失；因此造成设计成果文件逾期交付的，按专用条款第65.2款第（1）项的约定处理。</w:t>
      </w:r>
    </w:p>
    <w:p w14:paraId="6579985D">
      <w:pPr>
        <w:spacing w:line="360" w:lineRule="auto"/>
        <w:ind w:firstLine="424" w:firstLineChars="177"/>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（3）承包人提交的设计成果文件如有违反国家相关强制性规定的，每发生1处，发包人有权要求承包人承担一般违约责任处罚1次。</w:t>
      </w:r>
    </w:p>
    <w:p w14:paraId="04D70E24">
      <w:pPr>
        <w:spacing w:line="360" w:lineRule="auto"/>
        <w:ind w:firstLine="424" w:firstLineChars="177"/>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（4）发包人或施工图审查单位或发包人委托的第三方对设计变更进行审核，发现承包人违反合同约定对设计变更随意进行合并、分拆的，发包人有权要求承包人承担一般违约责任处罚</w:t>
      </w:r>
      <w:r>
        <w:rPr>
          <w:rFonts w:ascii="仿宋" w:hAnsi="仿宋" w:eastAsia="仿宋" w:cs="宋体"/>
          <w:snapToGrid w:val="0"/>
          <w:color w:val="auto"/>
          <w:highlight w:val="none"/>
          <w:lang w:eastAsia="zh-CN"/>
        </w:rPr>
        <w:t>1</w:t>
      </w:r>
      <w:r>
        <w:rPr>
          <w:rFonts w:hint="eastAsia" w:ascii="仿宋" w:hAnsi="仿宋" w:eastAsia="仿宋" w:cs="宋体"/>
          <w:snapToGrid w:val="0"/>
          <w:color w:val="auto"/>
          <w:highlight w:val="none"/>
          <w:lang w:eastAsia="zh-CN"/>
        </w:rPr>
        <w:t>次。</w:t>
      </w:r>
    </w:p>
    <w:p w14:paraId="49463333">
      <w:pPr>
        <w:spacing w:line="360" w:lineRule="auto"/>
        <w:ind w:firstLine="424" w:firstLineChars="177"/>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5）如承包人的设计成果文件中含有明显倾向于某一专门厂商生产的设备、材料的描述，或在其设计成果文件中选用了具有专一性、排他性的材料、设备而又未事先向发包人书面报告并详细说明理由的，每违反一次，发包人有权要求承包人承担一般违约责任处罚1次。</w:t>
      </w:r>
    </w:p>
    <w:p w14:paraId="2527073E">
      <w:pPr>
        <w:spacing w:line="360" w:lineRule="auto"/>
        <w:ind w:firstLine="424" w:firstLineChars="177"/>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6）因承包人原因造成设计变更并引起工程费用增加的，增加的工程建安费用由承包人自行承担，同时承包人应负责修改设计，保证工程总投资在投资控制指标内；给发包人造成损失的，承包人应赔偿发包人的全部损失。因新规范、新标准及新规定所引起的设计变更除外。</w:t>
      </w:r>
    </w:p>
    <w:p w14:paraId="654D9596">
      <w:pPr>
        <w:pStyle w:val="31"/>
        <w:spacing w:after="0" w:line="360" w:lineRule="auto"/>
        <w:ind w:firstLine="426" w:firstLineChars="177"/>
        <w:rPr>
          <w:rFonts w:hint="default" w:ascii="仿宋" w:hAnsi="仿宋" w:eastAsia="仿宋" w:cs="宋体"/>
          <w:b/>
          <w:snapToGrid w:val="0"/>
          <w:color w:val="auto"/>
          <w:highlight w:val="none"/>
          <w:lang w:val="en-US" w:eastAsia="zh-CN"/>
        </w:rPr>
      </w:pPr>
      <w:r>
        <w:rPr>
          <w:rFonts w:hint="eastAsia" w:ascii="仿宋" w:hAnsi="仿宋" w:eastAsia="仿宋" w:cs="宋体"/>
          <w:b/>
          <w:snapToGrid w:val="0"/>
          <w:color w:val="auto"/>
          <w:highlight w:val="none"/>
          <w:lang w:eastAsia="zh-CN"/>
        </w:rPr>
        <w:t>65</w:t>
      </w:r>
      <w:r>
        <w:rPr>
          <w:rFonts w:ascii="仿宋" w:hAnsi="仿宋" w:eastAsia="仿宋" w:cs="宋体"/>
          <w:b/>
          <w:snapToGrid w:val="0"/>
          <w:color w:val="auto"/>
          <w:highlight w:val="none"/>
          <w:lang w:eastAsia="zh-CN"/>
        </w:rPr>
        <w:t>.</w:t>
      </w:r>
      <w:r>
        <w:rPr>
          <w:rFonts w:hint="eastAsia" w:ascii="仿宋" w:hAnsi="仿宋" w:eastAsia="仿宋" w:cs="宋体"/>
          <w:b/>
          <w:snapToGrid w:val="0"/>
          <w:color w:val="auto"/>
          <w:highlight w:val="none"/>
          <w:lang w:eastAsia="zh-CN"/>
        </w:rPr>
        <w:t>3关于绿色建筑、装配式建筑、智能建造、建筑业高质量发展的相关违约约定：</w:t>
      </w:r>
    </w:p>
    <w:p w14:paraId="6C7080F1">
      <w:pPr>
        <w:pStyle w:val="31"/>
        <w:spacing w:after="0" w:line="360" w:lineRule="auto"/>
        <w:ind w:firstLine="424" w:firstLineChars="177"/>
        <w:rPr>
          <w:rFonts w:hint="eastAsia" w:ascii="仿宋" w:hAnsi="仿宋" w:eastAsia="仿宋" w:cs="宋体"/>
          <w:bCs/>
          <w:snapToGrid w:val="0"/>
          <w:color w:val="auto"/>
          <w:highlight w:val="none"/>
          <w:lang w:eastAsia="zh-CN"/>
        </w:rPr>
      </w:pPr>
      <w:r>
        <w:rPr>
          <w:rFonts w:hint="eastAsia" w:ascii="仿宋" w:hAnsi="仿宋" w:eastAsia="仿宋" w:cs="宋体"/>
          <w:bCs/>
          <w:snapToGrid w:val="0"/>
          <w:color w:val="auto"/>
          <w:highlight w:val="none"/>
          <w:lang w:eastAsia="zh-CN"/>
        </w:rPr>
        <w:t>（1）绿色建筑：项目满足《绿色建筑评价标准》（GB/T 50378-2019）全部控制项要求时，达到绿色建筑基本级标准。</w:t>
      </w:r>
    </w:p>
    <w:p w14:paraId="5F7DCB3E">
      <w:pPr>
        <w:spacing w:line="360" w:lineRule="auto"/>
        <w:ind w:right="11" w:firstLine="426" w:firstLineChars="177"/>
        <w:rPr>
          <w:rFonts w:hint="eastAsia" w:ascii="仿宋" w:hAnsi="仿宋" w:eastAsia="仿宋" w:cs="宋体"/>
          <w:b/>
          <w:snapToGrid w:val="0"/>
          <w:color w:val="auto"/>
          <w:highlight w:val="none"/>
          <w:lang w:eastAsia="zh-CN"/>
        </w:rPr>
      </w:pPr>
      <w:r>
        <w:rPr>
          <w:rFonts w:hint="eastAsia" w:ascii="仿宋" w:hAnsi="仿宋" w:eastAsia="仿宋" w:cs="宋体"/>
          <w:b/>
          <w:snapToGrid w:val="0"/>
          <w:color w:val="auto"/>
          <w:highlight w:val="none"/>
          <w:lang w:eastAsia="zh-CN"/>
        </w:rPr>
        <w:t>65</w:t>
      </w:r>
      <w:r>
        <w:rPr>
          <w:rFonts w:ascii="仿宋" w:hAnsi="仿宋" w:eastAsia="仿宋" w:cs="宋体"/>
          <w:b/>
          <w:snapToGrid w:val="0"/>
          <w:color w:val="auto"/>
          <w:highlight w:val="none"/>
          <w:lang w:eastAsia="zh-CN"/>
        </w:rPr>
        <w:t>.</w:t>
      </w:r>
      <w:r>
        <w:rPr>
          <w:rFonts w:hint="eastAsia" w:ascii="仿宋" w:hAnsi="仿宋" w:eastAsia="仿宋" w:cs="宋体"/>
          <w:b/>
          <w:snapToGrid w:val="0"/>
          <w:color w:val="auto"/>
          <w:highlight w:val="none"/>
          <w:lang w:eastAsia="zh-CN"/>
        </w:rPr>
        <w:t>4</w:t>
      </w:r>
      <w:r>
        <w:rPr>
          <w:rFonts w:hint="eastAsia" w:ascii="仿宋" w:hAnsi="仿宋" w:eastAsia="仿宋" w:cs="宋体"/>
          <w:bCs/>
          <w:snapToGrid w:val="0"/>
          <w:color w:val="auto"/>
          <w:highlight w:val="none"/>
          <w:lang w:eastAsia="zh-CN"/>
        </w:rPr>
        <w:t>承包人提供的施工图预算经过发包人或造价咨询单位审核后确定误差超过±</w:t>
      </w:r>
      <w:r>
        <w:rPr>
          <w:rFonts w:ascii="仿宋" w:hAnsi="仿宋" w:eastAsia="仿宋" w:cs="宋体"/>
          <w:bCs/>
          <w:snapToGrid w:val="0"/>
          <w:color w:val="auto"/>
          <w:highlight w:val="none"/>
          <w:lang w:eastAsia="zh-CN"/>
        </w:rPr>
        <w:t>10%（不含±10%）的，</w:t>
      </w:r>
      <w:r>
        <w:rPr>
          <w:rFonts w:hint="eastAsia" w:ascii="仿宋" w:hAnsi="仿宋" w:eastAsia="仿宋" w:cs="宋体"/>
          <w:snapToGrid w:val="0"/>
          <w:color w:val="auto"/>
          <w:highlight w:val="none"/>
          <w:lang w:eastAsia="zh-CN"/>
        </w:rPr>
        <w:t>发包人有权要求</w:t>
      </w:r>
      <w:r>
        <w:rPr>
          <w:rFonts w:ascii="仿宋" w:hAnsi="仿宋" w:eastAsia="仿宋" w:cs="宋体"/>
          <w:bCs/>
          <w:snapToGrid w:val="0"/>
          <w:color w:val="auto"/>
          <w:highlight w:val="none"/>
          <w:lang w:eastAsia="zh-CN"/>
        </w:rPr>
        <w:t>承包人承担严重违约责任处罚1次。</w:t>
      </w:r>
    </w:p>
    <w:p w14:paraId="77EAE588">
      <w:pPr>
        <w:spacing w:line="360" w:lineRule="auto"/>
        <w:ind w:firstLine="424" w:firstLineChars="177"/>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65.5承包人违约责任的认定方式、送达程序及违约金的处理</w:t>
      </w:r>
    </w:p>
    <w:p w14:paraId="097494B6">
      <w:pPr>
        <w:spacing w:line="360" w:lineRule="auto"/>
        <w:ind w:firstLine="424" w:firstLineChars="177"/>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w:t>
      </w:r>
      <w:r>
        <w:rPr>
          <w:rFonts w:ascii="仿宋" w:hAnsi="仿宋" w:eastAsia="仿宋" w:cs="宋体"/>
          <w:snapToGrid w:val="0"/>
          <w:color w:val="auto"/>
          <w:highlight w:val="none"/>
          <w:lang w:eastAsia="zh-CN"/>
        </w:rPr>
        <w:t>1）认定方式：以发包人发出的通知、通报、会议纪要等书面文件确定的内容为准。</w:t>
      </w:r>
    </w:p>
    <w:p w14:paraId="5879B8CC">
      <w:pPr>
        <w:spacing w:line="360" w:lineRule="auto"/>
        <w:ind w:firstLine="424" w:firstLineChars="177"/>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w:t>
      </w:r>
      <w:r>
        <w:rPr>
          <w:rFonts w:ascii="仿宋" w:hAnsi="仿宋" w:eastAsia="仿宋" w:cs="宋体"/>
          <w:snapToGrid w:val="0"/>
          <w:color w:val="auto"/>
          <w:highlight w:val="none"/>
          <w:lang w:eastAsia="zh-CN"/>
        </w:rPr>
        <w:t>2）送达程序：发包人以下列方式之一将书面违约处理决定送达承包人：</w:t>
      </w:r>
    </w:p>
    <w:p w14:paraId="50B34A2B">
      <w:pPr>
        <w:spacing w:line="360" w:lineRule="auto"/>
        <w:ind w:firstLine="424" w:firstLineChars="177"/>
        <w:rPr>
          <w:rFonts w:hint="eastAsia" w:ascii="仿宋" w:hAnsi="仿宋" w:eastAsia="仿宋" w:cs="宋体"/>
          <w:snapToGrid w:val="0"/>
          <w:color w:val="auto"/>
          <w:highlight w:val="none"/>
          <w:lang w:eastAsia="zh-CN"/>
        </w:rPr>
      </w:pPr>
      <w:r>
        <w:rPr>
          <w:rFonts w:ascii="仿宋" w:hAnsi="仿宋" w:eastAsia="仿宋" w:cs="宋体"/>
          <w:snapToGrid w:val="0"/>
          <w:color w:val="auto"/>
          <w:highlight w:val="none"/>
          <w:lang w:eastAsia="zh-CN"/>
        </w:rPr>
        <w:t>1）承包人现场管理机构工作人员签收。</w:t>
      </w:r>
    </w:p>
    <w:p w14:paraId="09312838">
      <w:pPr>
        <w:spacing w:line="360" w:lineRule="auto"/>
        <w:ind w:firstLine="424" w:firstLineChars="177"/>
        <w:rPr>
          <w:rFonts w:hint="eastAsia" w:ascii="仿宋" w:hAnsi="仿宋" w:eastAsia="仿宋" w:cs="宋体"/>
          <w:snapToGrid w:val="0"/>
          <w:color w:val="auto"/>
          <w:highlight w:val="none"/>
          <w:lang w:eastAsia="zh-CN"/>
        </w:rPr>
      </w:pPr>
      <w:r>
        <w:rPr>
          <w:rFonts w:ascii="仿宋" w:hAnsi="仿宋" w:eastAsia="仿宋" w:cs="宋体"/>
          <w:snapToGrid w:val="0"/>
          <w:color w:val="auto"/>
          <w:highlight w:val="none"/>
          <w:lang w:eastAsia="zh-CN"/>
        </w:rPr>
        <w:t>2）承包人其他工作人员签收。</w:t>
      </w:r>
    </w:p>
    <w:p w14:paraId="3DE0A298">
      <w:pPr>
        <w:spacing w:line="360" w:lineRule="auto"/>
        <w:ind w:firstLine="424" w:firstLineChars="177"/>
        <w:rPr>
          <w:rFonts w:hint="eastAsia" w:ascii="仿宋" w:hAnsi="仿宋" w:eastAsia="仿宋" w:cs="宋体"/>
          <w:snapToGrid w:val="0"/>
          <w:color w:val="auto"/>
          <w:highlight w:val="none"/>
          <w:lang w:eastAsia="zh-CN"/>
        </w:rPr>
      </w:pPr>
      <w:r>
        <w:rPr>
          <w:rFonts w:ascii="仿宋" w:hAnsi="仿宋" w:eastAsia="仿宋" w:cs="宋体"/>
          <w:snapToGrid w:val="0"/>
          <w:color w:val="auto"/>
          <w:highlight w:val="none"/>
          <w:lang w:eastAsia="zh-CN"/>
        </w:rPr>
        <w:t>3）发包人邮寄送达。</w:t>
      </w:r>
    </w:p>
    <w:p w14:paraId="6DCA682C">
      <w:pPr>
        <w:spacing w:line="360" w:lineRule="auto"/>
        <w:ind w:firstLine="424" w:firstLineChars="177"/>
        <w:rPr>
          <w:rFonts w:hint="eastAsia" w:ascii="仿宋" w:hAnsi="仿宋" w:eastAsia="仿宋" w:cs="宋体"/>
          <w:snapToGrid w:val="0"/>
          <w:color w:val="auto"/>
          <w:highlight w:val="none"/>
          <w:lang w:eastAsia="zh-CN"/>
        </w:rPr>
      </w:pPr>
      <w:r>
        <w:rPr>
          <w:rFonts w:hint="eastAsia" w:ascii="仿宋" w:hAnsi="仿宋" w:eastAsia="仿宋" w:cs="宋体"/>
          <w:snapToGrid w:val="0"/>
          <w:color w:val="auto"/>
          <w:highlight w:val="none"/>
          <w:lang w:eastAsia="zh-CN"/>
        </w:rPr>
        <w:t>（</w:t>
      </w:r>
      <w:r>
        <w:rPr>
          <w:rFonts w:ascii="仿宋" w:hAnsi="仿宋" w:eastAsia="仿宋" w:cs="宋体"/>
          <w:snapToGrid w:val="0"/>
          <w:color w:val="auto"/>
          <w:highlight w:val="none"/>
          <w:lang w:eastAsia="zh-CN"/>
        </w:rPr>
        <w:t>3）发包人以书面形式</w:t>
      </w:r>
      <w:r>
        <w:rPr>
          <w:rFonts w:hint="eastAsia" w:ascii="仿宋" w:hAnsi="仿宋" w:eastAsia="仿宋" w:cs="宋体"/>
          <w:snapToGrid w:val="0"/>
          <w:color w:val="auto"/>
          <w:highlight w:val="none"/>
          <w:lang w:eastAsia="zh-CN"/>
        </w:rPr>
        <w:t>作出的违约处理决定一经送达承包人立即生效。承包人如有足够证据证明不应由其承担违约责任的，属不需支付违约金的，应在收到违约处理决定之日起</w:t>
      </w:r>
      <w:r>
        <w:rPr>
          <w:rFonts w:ascii="仿宋" w:hAnsi="仿宋" w:eastAsia="仿宋" w:cs="宋体"/>
          <w:snapToGrid w:val="0"/>
          <w:color w:val="auto"/>
          <w:highlight w:val="none"/>
          <w:lang w:eastAsia="zh-CN"/>
        </w:rPr>
        <w:t>3天内以书面形式向发包人提出异议并附上有关证据</w:t>
      </w:r>
      <w:r>
        <w:rPr>
          <w:rFonts w:hint="eastAsia" w:ascii="仿宋" w:hAnsi="仿宋" w:eastAsia="仿宋" w:cs="宋体"/>
          <w:snapToGrid w:val="0"/>
          <w:color w:val="auto"/>
          <w:highlight w:val="none"/>
          <w:lang w:eastAsia="zh-CN"/>
        </w:rPr>
        <w:t>，否则视为无异议</w:t>
      </w:r>
      <w:r>
        <w:rPr>
          <w:rFonts w:ascii="仿宋" w:hAnsi="仿宋" w:eastAsia="仿宋" w:cs="宋体"/>
          <w:snapToGrid w:val="0"/>
          <w:color w:val="auto"/>
          <w:highlight w:val="none"/>
          <w:lang w:eastAsia="zh-CN"/>
        </w:rPr>
        <w:t>；属需要支付违约金的，应在工程结算报告送达监理单位前以书面形式向发包人提出异议并附上有关证据。发包人在收到承包人的异议后15个工作日内审核完毕且</w:t>
      </w:r>
      <w:r>
        <w:rPr>
          <w:rFonts w:hint="eastAsia" w:ascii="仿宋" w:hAnsi="仿宋" w:eastAsia="仿宋" w:cs="宋体"/>
          <w:snapToGrid w:val="0"/>
          <w:color w:val="auto"/>
          <w:highlight w:val="none"/>
          <w:lang w:eastAsia="zh-CN"/>
        </w:rPr>
        <w:t>作出书面决定并通知承包人。在异议审核期间，承包人须正常开展工作，不得以审核未确定为由拖延或者中止工程设计或施工。</w:t>
      </w:r>
    </w:p>
    <w:p w14:paraId="090B60B7">
      <w:pPr>
        <w:spacing w:line="360" w:lineRule="auto"/>
        <w:ind w:firstLine="424" w:firstLineChars="177"/>
        <w:rPr>
          <w:color w:val="auto"/>
          <w:highlight w:val="none"/>
          <w:lang w:eastAsia="zh-CN"/>
        </w:rPr>
      </w:pPr>
      <w:r>
        <w:rPr>
          <w:rFonts w:hint="eastAsia" w:ascii="仿宋" w:hAnsi="仿宋" w:eastAsia="仿宋" w:cs="宋体"/>
          <w:snapToGrid w:val="0"/>
          <w:color w:val="auto"/>
          <w:highlight w:val="none"/>
          <w:lang w:eastAsia="zh-CN"/>
        </w:rPr>
        <w:t>（4）</w:t>
      </w:r>
      <w:r>
        <w:rPr>
          <w:rFonts w:hint="eastAsia" w:ascii="仿宋" w:hAnsi="仿宋" w:eastAsia="仿宋"/>
          <w:color w:val="auto"/>
          <w:highlight w:val="none"/>
          <w:lang w:eastAsia="zh-CN"/>
        </w:rPr>
        <w:t>承包人在本合同（包括合同文件）及合同附件项下所承担违约责任（包括但不限于违约金、赔偿金、扣（罚）款、处罚、赔偿损失等），累计总额以承包人按本合同约定可收取的合同价款为限。</w:t>
      </w:r>
    </w:p>
    <w:p w14:paraId="148A025B">
      <w:pPr>
        <w:pStyle w:val="5"/>
        <w:tabs>
          <w:tab w:val="left" w:pos="360"/>
          <w:tab w:val="left" w:pos="420"/>
        </w:tabs>
        <w:spacing w:before="0" w:after="0" w:line="360" w:lineRule="auto"/>
        <w:rPr>
          <w:rFonts w:hint="eastAsia" w:ascii="仿宋" w:hAnsi="仿宋" w:eastAsia="仿宋" w:cs="仿宋"/>
          <w:b w:val="0"/>
          <w:bCs w:val="0"/>
          <w:color w:val="auto"/>
          <w:sz w:val="24"/>
          <w:szCs w:val="24"/>
          <w:highlight w:val="none"/>
          <w:lang w:eastAsia="zh-CN"/>
        </w:rPr>
      </w:pPr>
      <w:bookmarkStart w:id="1570" w:name="_Toc11364"/>
      <w:bookmarkStart w:id="1571" w:name="_Toc4371"/>
      <w:bookmarkStart w:id="1572" w:name="_Toc3885"/>
      <w:bookmarkStart w:id="1573" w:name="_Toc23570"/>
      <w:bookmarkStart w:id="1574" w:name="_Toc564"/>
      <w:bookmarkStart w:id="1575" w:name="_Toc18987"/>
      <w:bookmarkStart w:id="1576" w:name="_Toc3609"/>
      <w:bookmarkStart w:id="1577" w:name="_Toc28506"/>
      <w:bookmarkStart w:id="1578" w:name="_Toc18216"/>
      <w:bookmarkStart w:id="1579" w:name="_Toc155189232"/>
      <w:bookmarkStart w:id="1580" w:name="_Toc2849"/>
      <w:bookmarkStart w:id="1581" w:name="_Toc1814"/>
      <w:bookmarkStart w:id="1582" w:name="_Toc25724"/>
      <w:bookmarkStart w:id="1583" w:name="_Toc15736"/>
      <w:bookmarkStart w:id="1584" w:name="_Toc11954"/>
      <w:r>
        <w:rPr>
          <w:rFonts w:hint="eastAsia" w:ascii="仿宋" w:hAnsi="仿宋" w:eastAsia="仿宋" w:cs="仿宋"/>
          <w:bCs w:val="0"/>
          <w:color w:val="auto"/>
          <w:sz w:val="24"/>
          <w:szCs w:val="24"/>
          <w:highlight w:val="none"/>
          <w:lang w:eastAsia="zh-CN"/>
        </w:rPr>
        <w:t>★66</w:t>
      </w:r>
      <w:r>
        <w:rPr>
          <w:rFonts w:hint="eastAsia" w:ascii="仿宋" w:hAnsi="仿宋" w:eastAsia="仿宋" w:cs="仿宋"/>
          <w:b w:val="0"/>
          <w:bCs w:val="0"/>
          <w:color w:val="auto"/>
          <w:sz w:val="24"/>
          <w:szCs w:val="24"/>
          <w:highlight w:val="none"/>
          <w:lang w:eastAsia="zh-CN"/>
        </w:rPr>
        <w:t>发包人违约</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D89278A">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96.1 发包人违约的情形</w:t>
      </w:r>
    </w:p>
    <w:p w14:paraId="61BEA1BD">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发包人违约的其他情形</w:t>
      </w:r>
      <w:r>
        <w:rPr>
          <w:rFonts w:hint="eastAsia" w:ascii="仿宋" w:hAnsi="仿宋" w:eastAsia="仿宋" w:cs="仿宋"/>
          <w:color w:val="auto"/>
          <w:highlight w:val="none"/>
          <w:u w:val="single"/>
          <w:lang w:eastAsia="zh-CN"/>
        </w:rPr>
        <w:t xml:space="preserve">      /    </w:t>
      </w:r>
    </w:p>
    <w:p w14:paraId="694FA9DF">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96.3 发包人违约的责任</w:t>
      </w:r>
    </w:p>
    <w:p w14:paraId="3034C487">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发包人违约责任的承担方式和计算方法：</w:t>
      </w:r>
      <w:r>
        <w:rPr>
          <w:rFonts w:hint="eastAsia" w:ascii="仿宋" w:hAnsi="仿宋" w:eastAsia="仿宋" w:cs="仿宋"/>
          <w:color w:val="auto"/>
          <w:highlight w:val="none"/>
          <w:u w:val="single"/>
          <w:lang w:eastAsia="zh-CN"/>
        </w:rPr>
        <w:t xml:space="preserve">    /   </w:t>
      </w:r>
    </w:p>
    <w:p w14:paraId="736433D3">
      <w:pPr>
        <w:pStyle w:val="5"/>
        <w:tabs>
          <w:tab w:val="left" w:pos="420"/>
          <w:tab w:val="left" w:pos="576"/>
        </w:tabs>
        <w:rPr>
          <w:rFonts w:hint="eastAsia" w:ascii="仿宋" w:hAnsi="仿宋" w:eastAsia="仿宋"/>
          <w:color w:val="auto"/>
          <w:sz w:val="24"/>
          <w:szCs w:val="24"/>
          <w:highlight w:val="none"/>
          <w:lang w:eastAsia="zh-CN"/>
        </w:rPr>
      </w:pPr>
      <w:bookmarkStart w:id="1585" w:name="_Toc21124"/>
      <w:bookmarkStart w:id="1586" w:name="_Toc10374"/>
      <w:bookmarkStart w:id="1587" w:name="_Toc26497"/>
      <w:bookmarkStart w:id="1588" w:name="_Toc31398"/>
      <w:bookmarkStart w:id="1589" w:name="_Toc12976"/>
      <w:bookmarkStart w:id="1590" w:name="_Toc6815"/>
      <w:bookmarkStart w:id="1591" w:name="_Toc30243"/>
      <w:bookmarkStart w:id="1592" w:name="_Toc7416"/>
      <w:bookmarkStart w:id="1593" w:name="_Toc29380"/>
      <w:bookmarkStart w:id="1594" w:name="_Toc16859"/>
      <w:bookmarkStart w:id="1595" w:name="_Toc1484"/>
      <w:bookmarkStart w:id="1596" w:name="_Toc10624979"/>
      <w:bookmarkStart w:id="1597" w:name="_Toc31085"/>
      <w:bookmarkStart w:id="1598" w:name="_Toc17211"/>
      <w:bookmarkStart w:id="1599" w:name="_Toc469384135"/>
      <w:bookmarkStart w:id="1600" w:name="_Toc6767"/>
      <w:bookmarkStart w:id="1601" w:name="_Toc16852"/>
      <w:bookmarkStart w:id="1602" w:name="_Toc12818"/>
      <w:bookmarkStart w:id="1603" w:name="_Toc29521"/>
      <w:r>
        <w:rPr>
          <w:rFonts w:hint="eastAsia" w:ascii="仿宋" w:hAnsi="仿宋" w:eastAsia="仿宋" w:cs="仿宋"/>
          <w:color w:val="auto"/>
          <w:sz w:val="24"/>
          <w:szCs w:val="24"/>
          <w:highlight w:val="none"/>
          <w:lang w:eastAsia="zh-CN"/>
        </w:rPr>
        <w:t>67</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合同争议</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6251C1D">
      <w:pPr>
        <w:rPr>
          <w:rFonts w:hint="eastAsia" w:ascii="仿宋" w:hAnsi="仿宋" w:eastAsia="仿宋"/>
          <w:color w:val="auto"/>
          <w:highlight w:val="none"/>
          <w:lang w:eastAsia="zh-CN"/>
        </w:rPr>
      </w:pPr>
    </w:p>
    <w:p w14:paraId="38B4651E">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67</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1</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调解或认定</w:t>
      </w:r>
    </w:p>
    <w:p w14:paraId="7B980EE7">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争议调解或认定机构：</w:t>
      </w:r>
    </w:p>
    <w:p w14:paraId="1380C06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w:t>
      </w:r>
    </w:p>
    <w:p w14:paraId="4D6245CC">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另有约定：</w:t>
      </w:r>
    </w:p>
    <w:p w14:paraId="4E1C9227">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391FC35A">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12961DBA">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23FF2DBB">
      <w:pPr>
        <w:spacing w:line="360" w:lineRule="auto"/>
        <w:rPr>
          <w:rFonts w:hint="eastAsia" w:ascii="仿宋" w:hAnsi="仿宋" w:eastAsia="仿宋" w:cs="仿宋"/>
          <w:color w:val="auto"/>
          <w:highlight w:val="none"/>
          <w:lang w:eastAsia="zh-CN"/>
        </w:rPr>
      </w:pPr>
    </w:p>
    <w:p w14:paraId="0F8A2B83">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67</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2</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仲裁或诉讼</w:t>
      </w:r>
    </w:p>
    <w:p w14:paraId="42B40C7E">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解决争议的最终方式：</w:t>
      </w:r>
    </w:p>
    <w:p w14:paraId="105017B1">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向中国广州仲裁委员会申请仲裁。</w:t>
      </w:r>
    </w:p>
    <w:p w14:paraId="6BA99393">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向</w:t>
      </w:r>
      <w:r>
        <w:rPr>
          <w:rFonts w:hint="eastAsia" w:ascii="仿宋" w:hAnsi="仿宋" w:eastAsia="仿宋" w:cs="仿宋"/>
          <w:color w:val="auto"/>
          <w:highlight w:val="none"/>
          <w:lang w:val="en-US" w:eastAsia="zh-CN"/>
        </w:rPr>
        <w:t>广州市从化区</w:t>
      </w:r>
      <w:r>
        <w:rPr>
          <w:rFonts w:hint="eastAsia" w:ascii="仿宋" w:hAnsi="仿宋" w:eastAsia="仿宋" w:cs="仿宋"/>
          <w:color w:val="auto"/>
          <w:highlight w:val="none"/>
          <w:lang w:eastAsia="zh-CN"/>
        </w:rPr>
        <w:t>法院提起诉讼。</w:t>
      </w:r>
    </w:p>
    <w:p w14:paraId="638F6A08">
      <w:pPr>
        <w:rPr>
          <w:rFonts w:hint="eastAsia" w:ascii="仿宋" w:hAnsi="仿宋" w:eastAsia="仿宋"/>
          <w:color w:val="auto"/>
          <w:highlight w:val="none"/>
          <w:lang w:eastAsia="zh-CN"/>
        </w:rPr>
      </w:pPr>
    </w:p>
    <w:p w14:paraId="0FE3AA06">
      <w:pPr>
        <w:pStyle w:val="5"/>
        <w:tabs>
          <w:tab w:val="left" w:pos="420"/>
          <w:tab w:val="left" w:pos="576"/>
        </w:tabs>
        <w:rPr>
          <w:rFonts w:hint="eastAsia" w:ascii="仿宋" w:hAnsi="仿宋" w:eastAsia="仿宋"/>
          <w:color w:val="auto"/>
          <w:sz w:val="24"/>
          <w:szCs w:val="24"/>
          <w:highlight w:val="none"/>
        </w:rPr>
      </w:pPr>
      <w:bookmarkStart w:id="1604" w:name="_Toc7762"/>
      <w:bookmarkStart w:id="1605" w:name="_Toc2490"/>
      <w:bookmarkStart w:id="1606" w:name="_Toc26504"/>
      <w:bookmarkStart w:id="1607" w:name="_Toc17195"/>
      <w:bookmarkStart w:id="1608" w:name="_Toc10311"/>
      <w:bookmarkStart w:id="1609" w:name="_Toc3046"/>
      <w:bookmarkStart w:id="1610" w:name="_Toc20842"/>
      <w:bookmarkStart w:id="1611" w:name="_Toc469384136"/>
      <w:bookmarkStart w:id="1612" w:name="_Toc3667"/>
      <w:bookmarkStart w:id="1613" w:name="_Toc22647"/>
      <w:bookmarkStart w:id="1614" w:name="_Toc29938"/>
      <w:bookmarkStart w:id="1615" w:name="_Toc941"/>
      <w:bookmarkStart w:id="1616" w:name="_Toc6835"/>
      <w:bookmarkStart w:id="1617" w:name="_Toc27011"/>
      <w:bookmarkStart w:id="1618" w:name="_Toc10624980"/>
      <w:bookmarkStart w:id="1619" w:name="_Toc28362"/>
      <w:bookmarkStart w:id="1620" w:name="_Toc18744"/>
      <w:bookmarkStart w:id="1621" w:name="_Toc22670"/>
      <w:bookmarkStart w:id="1622" w:name="_Toc13997"/>
      <w:r>
        <w:rPr>
          <w:rFonts w:hint="eastAsia" w:ascii="仿宋" w:hAnsi="仿宋" w:eastAsia="仿宋" w:cs="仿宋"/>
          <w:color w:val="auto"/>
          <w:sz w:val="24"/>
          <w:szCs w:val="24"/>
          <w:highlight w:val="none"/>
          <w:lang w:eastAsia="zh-CN"/>
        </w:rPr>
        <w:t>68</w:t>
      </w:r>
      <w:r>
        <w:rPr>
          <w:rFonts w:ascii="仿宋" w:hAnsi="仿宋" w:eastAsia="仿宋" w:cs="仿宋"/>
          <w:color w:val="auto"/>
          <w:sz w:val="24"/>
          <w:szCs w:val="24"/>
          <w:highlight w:val="none"/>
        </w:rPr>
        <w:t xml:space="preserve">. </w:t>
      </w:r>
      <w:r>
        <w:rPr>
          <w:rFonts w:hint="eastAsia" w:ascii="仿宋" w:hAnsi="仿宋" w:eastAsia="仿宋" w:cs="仿宋"/>
          <w:color w:val="auto"/>
          <w:sz w:val="24"/>
          <w:szCs w:val="24"/>
          <w:highlight w:val="none"/>
        </w:rPr>
        <w:t>保密要求</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2BFE57FC">
      <w:pPr>
        <w:rPr>
          <w:rFonts w:hint="eastAsia" w:ascii="仿宋" w:hAnsi="仿宋" w:eastAsia="仿宋"/>
          <w:color w:val="auto"/>
          <w:highlight w:val="none"/>
        </w:rPr>
      </w:pPr>
      <w:r>
        <w:rPr>
          <w:rFonts w:ascii="仿宋" w:hAnsi="仿宋" w:eastAsia="仿宋" w:cs="仿宋"/>
          <w:color w:val="auto"/>
          <w:highlight w:val="none"/>
        </w:rPr>
        <w:t xml:space="preserve">  </w:t>
      </w:r>
      <w:r>
        <w:rPr>
          <w:rFonts w:hint="eastAsia" w:ascii="仿宋" w:hAnsi="仿宋" w:eastAsia="仿宋" w:cs="仿宋"/>
          <w:color w:val="auto"/>
          <w:highlight w:val="none"/>
          <w:lang w:eastAsia="zh-CN"/>
        </w:rPr>
        <w:t>68</w:t>
      </w:r>
      <w:r>
        <w:rPr>
          <w:rFonts w:ascii="仿宋" w:hAnsi="仿宋" w:eastAsia="仿宋" w:cs="仿宋"/>
          <w:color w:val="auto"/>
          <w:highlight w:val="none"/>
        </w:rPr>
        <w:t xml:space="preserve">.1 </w:t>
      </w:r>
      <w:r>
        <w:rPr>
          <w:rFonts w:hint="eastAsia" w:ascii="仿宋" w:hAnsi="仿宋" w:eastAsia="仿宋" w:cs="仿宋"/>
          <w:color w:val="auto"/>
          <w:highlight w:val="none"/>
        </w:rPr>
        <w:t>提供保密信息的期限：</w:t>
      </w:r>
    </w:p>
    <w:p w14:paraId="5782340A">
      <w:pPr>
        <w:rPr>
          <w:rFonts w:hint="eastAsia" w:ascii="仿宋" w:hAnsi="仿宋" w:eastAsia="仿宋"/>
          <w:color w:val="auto"/>
          <w:highlight w:val="none"/>
        </w:rPr>
      </w:pPr>
    </w:p>
    <w:p w14:paraId="39134723">
      <w:pPr>
        <w:pStyle w:val="5"/>
        <w:tabs>
          <w:tab w:val="left" w:pos="420"/>
          <w:tab w:val="left" w:pos="576"/>
        </w:tabs>
        <w:rPr>
          <w:rFonts w:hint="eastAsia" w:ascii="仿宋" w:hAnsi="仿宋" w:eastAsia="仿宋"/>
          <w:color w:val="auto"/>
          <w:sz w:val="24"/>
          <w:szCs w:val="24"/>
          <w:highlight w:val="none"/>
          <w:lang w:eastAsia="zh-CN"/>
        </w:rPr>
      </w:pPr>
      <w:bookmarkStart w:id="1623" w:name="_Toc26840"/>
      <w:bookmarkStart w:id="1624" w:name="_Toc19193"/>
      <w:bookmarkStart w:id="1625" w:name="_Toc469384137"/>
      <w:bookmarkStart w:id="1626" w:name="_Toc16536"/>
      <w:bookmarkStart w:id="1627" w:name="_Toc30112"/>
      <w:bookmarkStart w:id="1628" w:name="_Toc16342"/>
      <w:bookmarkStart w:id="1629" w:name="_Toc31715"/>
      <w:bookmarkStart w:id="1630" w:name="_Toc9966"/>
      <w:bookmarkStart w:id="1631" w:name="_Toc654"/>
      <w:bookmarkStart w:id="1632" w:name="_Toc9081"/>
      <w:bookmarkStart w:id="1633" w:name="_Toc24777"/>
      <w:bookmarkStart w:id="1634" w:name="_Toc5632"/>
      <w:bookmarkStart w:id="1635" w:name="_Toc10624981"/>
      <w:bookmarkStart w:id="1636" w:name="_Toc2104"/>
      <w:bookmarkStart w:id="1637" w:name="_Toc1262"/>
      <w:bookmarkStart w:id="1638" w:name="_Toc29240"/>
      <w:bookmarkStart w:id="1639" w:name="_Toc24006"/>
      <w:bookmarkStart w:id="1640" w:name="_Toc3561"/>
      <w:bookmarkStart w:id="1641" w:name="_Toc22635"/>
      <w:r>
        <w:rPr>
          <w:rFonts w:hint="eastAsia" w:ascii="仿宋" w:hAnsi="仿宋" w:eastAsia="仿宋" w:cs="仿宋"/>
          <w:color w:val="auto"/>
          <w:sz w:val="24"/>
          <w:szCs w:val="24"/>
          <w:highlight w:val="none"/>
          <w:lang w:eastAsia="zh-CN"/>
        </w:rPr>
        <w:t>69</w:t>
      </w:r>
      <w:r>
        <w:rPr>
          <w:rFonts w:ascii="仿宋" w:hAnsi="仿宋" w:eastAsia="仿宋" w:cs="仿宋"/>
          <w:color w:val="auto"/>
          <w:sz w:val="24"/>
          <w:szCs w:val="24"/>
          <w:highlight w:val="none"/>
          <w:lang w:eastAsia="zh-CN"/>
        </w:rPr>
        <w:t xml:space="preserve">. </w:t>
      </w:r>
      <w:r>
        <w:rPr>
          <w:rFonts w:hint="eastAsia" w:ascii="仿宋" w:hAnsi="仿宋" w:eastAsia="仿宋" w:cs="仿宋"/>
          <w:color w:val="auto"/>
          <w:sz w:val="24"/>
          <w:szCs w:val="24"/>
          <w:highlight w:val="none"/>
          <w:lang w:eastAsia="zh-CN"/>
        </w:rPr>
        <w:t>合同份数</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39CEBF2">
      <w:pPr>
        <w:rPr>
          <w:rFonts w:hint="eastAsia" w:ascii="仿宋" w:hAnsi="仿宋" w:eastAsia="仿宋"/>
          <w:color w:val="auto"/>
          <w:highlight w:val="none"/>
          <w:lang w:eastAsia="zh-CN"/>
        </w:rPr>
      </w:pPr>
    </w:p>
    <w:p w14:paraId="261481C6">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69</w:t>
      </w:r>
      <w:r>
        <w:rPr>
          <w:rFonts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约定提供合同文件</w:t>
      </w:r>
    </w:p>
    <w:p w14:paraId="7BC3611E">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提供合同文本：</w:t>
      </w:r>
    </w:p>
    <w:p w14:paraId="1171B416">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sym w:font="Wingdings 2" w:char="0052"/>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按通用条款的规定，由发包人向承包人提供。</w:t>
      </w:r>
    </w:p>
    <w:p w14:paraId="521670F4">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另有约定：</w:t>
      </w:r>
      <w:r>
        <w:rPr>
          <w:rFonts w:ascii="仿宋" w:hAnsi="仿宋" w:eastAsia="仿宋" w:cs="仿宋"/>
          <w:color w:val="auto"/>
          <w:highlight w:val="none"/>
          <w:u w:val="single"/>
          <w:lang w:eastAsia="zh-CN"/>
        </w:rPr>
        <w:t xml:space="preserve">                                                                        </w:t>
      </w:r>
      <w:r>
        <w:rPr>
          <w:rFonts w:ascii="仿宋" w:hAnsi="仿宋" w:eastAsia="仿宋" w:cs="仿宋"/>
          <w:color w:val="auto"/>
          <w:highlight w:val="none"/>
          <w:lang w:eastAsia="zh-CN"/>
        </w:rPr>
        <w:t xml:space="preserve">           </w:t>
      </w:r>
    </w:p>
    <w:p w14:paraId="41F82CFD">
      <w:pPr>
        <w:spacing w:line="360" w:lineRule="auto"/>
        <w:rPr>
          <w:rFonts w:hint="eastAsia" w:ascii="仿宋" w:hAnsi="仿宋" w:eastAsia="仿宋" w:cs="仿宋"/>
          <w:color w:val="auto"/>
          <w:highlight w:val="none"/>
          <w:lang w:eastAsia="zh-CN"/>
        </w:rPr>
      </w:pPr>
    </w:p>
    <w:p w14:paraId="68E2B269">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69</w:t>
      </w:r>
      <w:r>
        <w:rPr>
          <w:rFonts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正副本效力</w:t>
      </w:r>
    </w:p>
    <w:p w14:paraId="5BE35171">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合同的份数：</w:t>
      </w:r>
    </w:p>
    <w:p w14:paraId="38C35AC4">
      <w:pPr>
        <w:spacing w:line="360" w:lineRule="auto"/>
        <w:rPr>
          <w:rFonts w:hint="eastAsia" w:ascii="仿宋" w:hAnsi="仿宋" w:eastAsia="仿宋"/>
          <w:color w:val="auto"/>
          <w:highlight w:val="none"/>
        </w:rPr>
      </w:pPr>
      <w:r>
        <w:rPr>
          <w:rFonts w:ascii="仿宋" w:hAnsi="仿宋" w:eastAsia="仿宋" w:cs="仿宋"/>
          <w:color w:val="auto"/>
          <w:highlight w:val="none"/>
          <w:lang w:eastAsia="zh-CN"/>
        </w:rPr>
        <w:t xml:space="preserve">   </w:t>
      </w:r>
      <w:r>
        <w:rPr>
          <w:rFonts w:hint="eastAsia" w:ascii="仿宋" w:hAnsi="仿宋" w:eastAsia="仿宋" w:cs="仿宋"/>
          <w:bCs/>
          <w:snapToGrid w:val="0"/>
          <w:color w:val="auto"/>
          <w:highlight w:val="none"/>
          <w:lang w:eastAsia="zh-CN"/>
        </w:rPr>
        <w:t>本合同正本一式</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u w:val="single"/>
          <w:lang w:val="en-US" w:eastAsia="zh-CN"/>
        </w:rPr>
        <w:t>贰</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lang w:eastAsia="zh-CN"/>
        </w:rPr>
        <w:t>份，各方执</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u w:val="single"/>
          <w:lang w:val="en-US" w:eastAsia="zh-CN"/>
          <w:woUserID w:val="1"/>
        </w:rPr>
        <w:t>壹</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lang w:eastAsia="zh-CN"/>
        </w:rPr>
        <w:t>份；副本</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u w:val="single"/>
          <w:lang w:val="en-US" w:eastAsia="zh-CN"/>
        </w:rPr>
        <w:t>陆</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lang w:eastAsia="zh-CN"/>
        </w:rPr>
        <w:t>份，各方执</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u w:val="single"/>
          <w:lang w:eastAsia="zh"/>
          <w:woUserID w:val="1"/>
        </w:rPr>
        <w:t>2</w:t>
      </w:r>
      <w:r>
        <w:rPr>
          <w:rFonts w:hint="eastAsia" w:ascii="仿宋" w:hAnsi="仿宋" w:eastAsia="仿宋" w:cs="仿宋"/>
          <w:bCs/>
          <w:snapToGrid w:val="0"/>
          <w:color w:val="auto"/>
          <w:highlight w:val="none"/>
          <w:u w:val="single"/>
          <w:lang w:eastAsia="zh-CN"/>
        </w:rPr>
        <w:t xml:space="preserve"> </w:t>
      </w:r>
      <w:r>
        <w:rPr>
          <w:rFonts w:hint="eastAsia" w:ascii="仿宋" w:hAnsi="仿宋" w:eastAsia="仿宋" w:cs="仿宋"/>
          <w:bCs/>
          <w:snapToGrid w:val="0"/>
          <w:color w:val="auto"/>
          <w:highlight w:val="none"/>
          <w:lang w:eastAsia="zh-CN"/>
        </w:rPr>
        <w:t>份</w:t>
      </w:r>
      <w:r>
        <w:rPr>
          <w:rFonts w:hint="eastAsia" w:ascii="仿宋" w:hAnsi="仿宋" w:eastAsia="仿宋" w:cs="仿宋"/>
          <w:color w:val="auto"/>
          <w:highlight w:val="none"/>
          <w:lang w:eastAsia="zh-CN"/>
        </w:rPr>
        <w:t>。合同正、副本具有同等法律效力，若合同副本与正本的表述不一致时，以合同正本为准。</w:t>
      </w:r>
    </w:p>
    <w:p w14:paraId="397DF469">
      <w:pPr>
        <w:pStyle w:val="2"/>
        <w:rPr>
          <w:color w:val="auto"/>
          <w:highlight w:val="none"/>
        </w:rPr>
      </w:pPr>
    </w:p>
    <w:p w14:paraId="30162681">
      <w:pPr>
        <w:rPr>
          <w:color w:val="auto"/>
          <w:highlight w:val="none"/>
          <w:lang w:eastAsia="zh-CN"/>
        </w:rPr>
      </w:pPr>
    </w:p>
    <w:p w14:paraId="5CCFEBD8">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p>
    <w:p w14:paraId="2F97942A">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p>
    <w:p w14:paraId="651BC8CD">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p>
    <w:p w14:paraId="75F34D7E">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p>
    <w:p w14:paraId="11F0BFA1">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p>
    <w:p w14:paraId="5BF449D8">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p>
    <w:p w14:paraId="45C1D2D0">
      <w:pPr>
        <w:pStyle w:val="5"/>
        <w:tabs>
          <w:tab w:val="left" w:pos="420"/>
        </w:tabs>
        <w:spacing w:before="0" w:after="0" w:line="360" w:lineRule="auto"/>
        <w:rPr>
          <w:rFonts w:hint="eastAsia" w:ascii="仿宋" w:hAnsi="仿宋" w:eastAsia="仿宋" w:cs="仿宋"/>
          <w:b w:val="0"/>
          <w:bCs w:val="0"/>
          <w:color w:val="auto"/>
          <w:sz w:val="24"/>
          <w:szCs w:val="24"/>
          <w:highlight w:val="none"/>
          <w:lang w:eastAsia="zh-CN"/>
        </w:rPr>
      </w:pPr>
    </w:p>
    <w:bookmarkEnd w:id="700"/>
    <w:bookmarkEnd w:id="701"/>
    <w:p w14:paraId="37C14C41">
      <w:pPr>
        <w:rPr>
          <w:color w:val="auto"/>
          <w:highlight w:val="none"/>
          <w:lang w:eastAsia="zh-CN"/>
        </w:rPr>
      </w:pPr>
    </w:p>
    <w:p w14:paraId="0D973986">
      <w:pPr>
        <w:rPr>
          <w:color w:val="auto"/>
          <w:highlight w:val="none"/>
          <w:lang w:eastAsia="zh-CN"/>
        </w:rPr>
        <w:sectPr>
          <w:footerReference r:id="rId10" w:type="default"/>
          <w:endnotePr>
            <w:numFmt w:val="decimal"/>
          </w:endnotePr>
          <w:pgSz w:w="11906" w:h="16838"/>
          <w:pgMar w:top="1440" w:right="1440" w:bottom="1440" w:left="1440" w:header="0" w:footer="567" w:gutter="0"/>
          <w:cols w:space="720" w:num="1"/>
        </w:sectPr>
      </w:pPr>
    </w:p>
    <w:p w14:paraId="7D869055">
      <w:pPr>
        <w:pStyle w:val="4"/>
        <w:tabs>
          <w:tab w:val="left" w:pos="420"/>
          <w:tab w:val="left" w:pos="432"/>
        </w:tabs>
        <w:ind w:left="494" w:leftChars="206" w:firstLine="2707" w:firstLineChars="749"/>
        <w:rPr>
          <w:rFonts w:hint="eastAsia" w:hAnsi="宋体"/>
          <w:color w:val="auto"/>
          <w:sz w:val="36"/>
          <w:szCs w:val="36"/>
          <w:highlight w:val="none"/>
          <w:lang w:eastAsia="zh-CN"/>
        </w:rPr>
      </w:pPr>
      <w:bookmarkStart w:id="1642" w:name="_Toc11942"/>
      <w:bookmarkStart w:id="1643" w:name="_Toc469384138"/>
      <w:bookmarkStart w:id="1644" w:name="_Toc31930"/>
      <w:bookmarkStart w:id="1645" w:name="_Toc18728"/>
      <w:bookmarkStart w:id="1646" w:name="_Toc21766"/>
      <w:bookmarkStart w:id="1647" w:name="_Toc19604"/>
      <w:bookmarkStart w:id="1648" w:name="_Toc6388"/>
      <w:bookmarkStart w:id="1649" w:name="_Toc22331"/>
      <w:bookmarkStart w:id="1650" w:name="_Toc11424"/>
      <w:bookmarkStart w:id="1651" w:name="_Toc1165"/>
      <w:bookmarkStart w:id="1652" w:name="_Toc8536"/>
      <w:bookmarkStart w:id="1653" w:name="_Toc13924"/>
      <w:bookmarkStart w:id="1654" w:name="_Toc15543"/>
      <w:bookmarkStart w:id="1655" w:name="_Toc10624982"/>
      <w:bookmarkStart w:id="1656" w:name="_Toc17056"/>
      <w:bookmarkStart w:id="1657" w:name="_Toc17519"/>
      <w:bookmarkStart w:id="1658" w:name="_Toc24458"/>
      <w:bookmarkStart w:id="1659" w:name="_Toc266892922"/>
      <w:bookmarkStart w:id="1660" w:name="_Toc14578"/>
      <w:bookmarkStart w:id="1661" w:name="_Toc247"/>
      <w:r>
        <w:rPr>
          <w:rFonts w:hint="eastAsia" w:hAnsi="宋体"/>
          <w:color w:val="auto"/>
          <w:sz w:val="36"/>
          <w:szCs w:val="36"/>
          <w:highlight w:val="none"/>
          <w:lang w:eastAsia="zh-CN"/>
        </w:rPr>
        <w:t>第四部分</w:t>
      </w:r>
      <w:r>
        <w:rPr>
          <w:rFonts w:hAnsi="宋体"/>
          <w:color w:val="auto"/>
          <w:sz w:val="36"/>
          <w:szCs w:val="36"/>
          <w:highlight w:val="none"/>
          <w:lang w:eastAsia="zh-CN"/>
        </w:rPr>
        <w:t xml:space="preserve">  </w:t>
      </w:r>
      <w:r>
        <w:rPr>
          <w:rFonts w:hint="eastAsia" w:hAnsi="宋体"/>
          <w:color w:val="auto"/>
          <w:sz w:val="36"/>
          <w:szCs w:val="36"/>
          <w:highlight w:val="none"/>
          <w:lang w:eastAsia="zh-CN"/>
        </w:rPr>
        <w:t>附件与格式</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2E5C1819">
      <w:pPr>
        <w:spacing w:line="360" w:lineRule="auto"/>
        <w:rPr>
          <w:rFonts w:ascii="宋体"/>
          <w:b/>
          <w:bCs/>
          <w:color w:val="auto"/>
          <w:highlight w:val="none"/>
          <w:lang w:eastAsia="zh-CN"/>
        </w:rPr>
      </w:pPr>
      <w:bookmarkStart w:id="1662" w:name="_Toc266892923"/>
    </w:p>
    <w:bookmarkEnd w:id="1662"/>
    <w:p w14:paraId="1E153D71">
      <w:pPr>
        <w:rPr>
          <w:color w:val="auto"/>
          <w:highlight w:val="none"/>
          <w:lang w:eastAsia="zh-CN"/>
        </w:rPr>
        <w:sectPr>
          <w:footerReference r:id="rId12" w:type="first"/>
          <w:footerReference r:id="rId11" w:type="default"/>
          <w:endnotePr>
            <w:numFmt w:val="decimal"/>
          </w:endnotePr>
          <w:pgSz w:w="11906" w:h="16838"/>
          <w:pgMar w:top="1191" w:right="851" w:bottom="794" w:left="851" w:header="0" w:footer="0" w:gutter="0"/>
          <w:cols w:space="720" w:num="1"/>
          <w:titlePg/>
          <w:docGrid w:linePitch="286" w:charSpace="0"/>
        </w:sectPr>
      </w:pPr>
      <w:bookmarkStart w:id="1663" w:name="_Toc7406"/>
      <w:bookmarkStart w:id="1664" w:name="_Toc9017"/>
      <w:bookmarkStart w:id="1665" w:name="_Toc27953"/>
      <w:bookmarkStart w:id="1666" w:name="_Toc31234"/>
      <w:bookmarkStart w:id="1667" w:name="_Toc21135"/>
      <w:bookmarkStart w:id="1668" w:name="_Toc27717"/>
      <w:r>
        <w:rPr>
          <w:rFonts w:hint="eastAsia"/>
          <w:color w:val="auto"/>
          <w:highlight w:val="none"/>
          <w:lang w:eastAsia="zh-CN"/>
        </w:rPr>
        <w:t>附件另册</w:t>
      </w:r>
      <w:bookmarkEnd w:id="1663"/>
      <w:bookmarkEnd w:id="1664"/>
      <w:bookmarkEnd w:id="1665"/>
      <w:bookmarkEnd w:id="1666"/>
      <w:bookmarkEnd w:id="1667"/>
      <w:bookmarkEnd w:id="1668"/>
    </w:p>
    <w:p w14:paraId="2FE2E108">
      <w:pPr>
        <w:spacing w:line="360" w:lineRule="auto"/>
        <w:outlineLvl w:val="1"/>
        <w:rPr>
          <w:rFonts w:hint="eastAsia" w:ascii="仿宋" w:hAnsi="仿宋" w:eastAsia="仿宋" w:cs="仿宋"/>
          <w:b/>
          <w:bCs/>
          <w:color w:val="auto"/>
          <w:highlight w:val="none"/>
          <w:lang w:eastAsia="zh-CN"/>
        </w:rPr>
      </w:pPr>
      <w:bookmarkStart w:id="1669" w:name="_Toc266892927"/>
      <w:bookmarkStart w:id="1670" w:name="_Toc10624987"/>
      <w:bookmarkStart w:id="1671" w:name="_Toc469384143"/>
      <w:bookmarkStart w:id="1672" w:name="_Toc17"/>
      <w:bookmarkStart w:id="1673" w:name="_Toc19582"/>
      <w:bookmarkStart w:id="1674" w:name="_Toc8114"/>
      <w:r>
        <w:rPr>
          <w:rFonts w:hint="eastAsia" w:ascii="仿宋" w:hAnsi="仿宋" w:eastAsia="仿宋" w:cs="仿宋"/>
          <w:b/>
          <w:bCs/>
          <w:color w:val="auto"/>
          <w:highlight w:val="none"/>
          <w:lang w:eastAsia="zh-CN"/>
        </w:rPr>
        <w:t xml:space="preserve"> </w:t>
      </w:r>
      <w:bookmarkStart w:id="1675" w:name="_Toc954"/>
      <w:bookmarkStart w:id="1676" w:name="_Toc18605"/>
      <w:bookmarkStart w:id="1677" w:name="_Toc28535"/>
      <w:bookmarkStart w:id="1678" w:name="_Toc28209"/>
      <w:bookmarkStart w:id="1679" w:name="_Toc18881"/>
      <w:bookmarkStart w:id="1680" w:name="_Toc12687"/>
      <w:bookmarkStart w:id="1681" w:name="_Toc26364"/>
      <w:bookmarkStart w:id="1682" w:name="_Toc21669"/>
      <w:bookmarkStart w:id="1683" w:name="_Toc11870"/>
      <w:bookmarkStart w:id="1684" w:name="_Toc31015"/>
      <w:bookmarkStart w:id="1685" w:name="_Toc30431"/>
      <w:bookmarkStart w:id="1686" w:name="_Toc21088"/>
      <w:bookmarkStart w:id="1687" w:name="_Toc12223"/>
      <w:bookmarkStart w:id="1688" w:name="_Toc27715"/>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1</w:t>
      </w:r>
      <w:r>
        <w:rPr>
          <w:rFonts w:hint="eastAsia" w:ascii="仿宋" w:hAnsi="仿宋" w:eastAsia="仿宋" w:cs="仿宋"/>
          <w:b/>
          <w:bCs/>
          <w:color w:val="auto"/>
          <w:highlight w:val="none"/>
          <w:lang w:eastAsia="zh-CN"/>
        </w:rPr>
        <w:t xml:space="preserve"> 联合体承包协议书</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2DDFC69A">
      <w:pPr>
        <w:spacing w:before="240" w:beforeLines="100" w:after="240" w:afterLines="100" w:line="360" w:lineRule="auto"/>
        <w:outlineLvl w:val="1"/>
        <w:rPr>
          <w:rFonts w:hint="eastAsia" w:ascii="仿宋" w:hAnsi="仿宋" w:eastAsia="仿宋" w:cs="仿宋"/>
          <w:b/>
          <w:bCs/>
          <w:color w:val="auto"/>
          <w:highlight w:val="none"/>
          <w:lang w:eastAsia="zh-CN"/>
        </w:rPr>
      </w:pPr>
    </w:p>
    <w:p w14:paraId="7CD2BB7D">
      <w:pPr>
        <w:spacing w:before="240" w:beforeLines="100" w:after="240" w:afterLines="100" w:line="360" w:lineRule="auto"/>
        <w:outlineLvl w:val="1"/>
        <w:rPr>
          <w:rFonts w:hint="eastAsia" w:ascii="仿宋" w:hAnsi="仿宋" w:eastAsia="仿宋" w:cs="仿宋"/>
          <w:b/>
          <w:bCs/>
          <w:color w:val="auto"/>
          <w:highlight w:val="none"/>
          <w:lang w:eastAsia="zh-CN"/>
        </w:rPr>
      </w:pPr>
    </w:p>
    <w:p w14:paraId="3B6F976E">
      <w:pPr>
        <w:pStyle w:val="2"/>
        <w:rPr>
          <w:rFonts w:hint="eastAsia" w:ascii="仿宋" w:hAnsi="仿宋" w:eastAsia="仿宋" w:cs="仿宋"/>
          <w:b/>
          <w:bCs/>
          <w:color w:val="auto"/>
          <w:sz w:val="24"/>
          <w:szCs w:val="24"/>
          <w:highlight w:val="none"/>
          <w:lang w:eastAsia="zh-CN"/>
        </w:rPr>
      </w:pPr>
    </w:p>
    <w:p w14:paraId="43113BE4">
      <w:pPr>
        <w:rPr>
          <w:rFonts w:hint="eastAsia" w:ascii="仿宋" w:hAnsi="仿宋" w:eastAsia="仿宋" w:cs="仿宋"/>
          <w:b/>
          <w:bCs/>
          <w:color w:val="auto"/>
          <w:highlight w:val="none"/>
          <w:lang w:eastAsia="zh-CN"/>
        </w:rPr>
      </w:pPr>
    </w:p>
    <w:p w14:paraId="07336702">
      <w:pPr>
        <w:pStyle w:val="2"/>
        <w:rPr>
          <w:rFonts w:hint="eastAsia" w:ascii="仿宋" w:hAnsi="仿宋" w:eastAsia="仿宋" w:cs="仿宋"/>
          <w:b/>
          <w:bCs/>
          <w:color w:val="auto"/>
          <w:sz w:val="24"/>
          <w:szCs w:val="24"/>
          <w:highlight w:val="none"/>
          <w:lang w:eastAsia="zh-CN"/>
        </w:rPr>
      </w:pPr>
    </w:p>
    <w:p w14:paraId="5A036EA6">
      <w:pPr>
        <w:rPr>
          <w:rFonts w:hint="eastAsia" w:ascii="仿宋" w:hAnsi="仿宋" w:eastAsia="仿宋" w:cs="仿宋"/>
          <w:b/>
          <w:bCs/>
          <w:color w:val="auto"/>
          <w:highlight w:val="none"/>
          <w:lang w:eastAsia="zh-CN"/>
        </w:rPr>
      </w:pPr>
    </w:p>
    <w:p w14:paraId="50B8B59D">
      <w:pPr>
        <w:pStyle w:val="2"/>
        <w:rPr>
          <w:rFonts w:hint="eastAsia" w:ascii="仿宋" w:hAnsi="仿宋" w:eastAsia="仿宋" w:cs="仿宋"/>
          <w:b/>
          <w:bCs/>
          <w:color w:val="auto"/>
          <w:sz w:val="24"/>
          <w:szCs w:val="24"/>
          <w:highlight w:val="none"/>
          <w:lang w:eastAsia="zh-CN"/>
        </w:rPr>
      </w:pPr>
    </w:p>
    <w:p w14:paraId="591C23AC">
      <w:pPr>
        <w:rPr>
          <w:rFonts w:hint="eastAsia" w:ascii="仿宋" w:hAnsi="仿宋" w:eastAsia="仿宋" w:cs="仿宋"/>
          <w:b/>
          <w:bCs/>
          <w:color w:val="auto"/>
          <w:highlight w:val="none"/>
          <w:lang w:eastAsia="zh-CN"/>
        </w:rPr>
      </w:pPr>
    </w:p>
    <w:p w14:paraId="27915CF2">
      <w:pPr>
        <w:pStyle w:val="2"/>
        <w:rPr>
          <w:rFonts w:hint="eastAsia" w:ascii="仿宋" w:hAnsi="仿宋" w:eastAsia="仿宋" w:cs="仿宋"/>
          <w:b/>
          <w:bCs/>
          <w:color w:val="auto"/>
          <w:sz w:val="24"/>
          <w:szCs w:val="24"/>
          <w:highlight w:val="none"/>
          <w:lang w:eastAsia="zh-CN"/>
        </w:rPr>
      </w:pPr>
    </w:p>
    <w:p w14:paraId="0EA77321">
      <w:pPr>
        <w:rPr>
          <w:rFonts w:hint="eastAsia" w:ascii="仿宋" w:hAnsi="仿宋" w:eastAsia="仿宋" w:cs="仿宋"/>
          <w:b/>
          <w:bCs/>
          <w:color w:val="auto"/>
          <w:highlight w:val="none"/>
          <w:lang w:eastAsia="zh-CN"/>
        </w:rPr>
      </w:pPr>
    </w:p>
    <w:p w14:paraId="48F869D7">
      <w:pPr>
        <w:pStyle w:val="2"/>
        <w:rPr>
          <w:rFonts w:hint="eastAsia" w:ascii="仿宋" w:hAnsi="仿宋" w:eastAsia="仿宋" w:cs="仿宋"/>
          <w:b/>
          <w:bCs/>
          <w:color w:val="auto"/>
          <w:sz w:val="24"/>
          <w:szCs w:val="24"/>
          <w:highlight w:val="none"/>
          <w:lang w:eastAsia="zh-CN"/>
        </w:rPr>
      </w:pPr>
    </w:p>
    <w:p w14:paraId="7D01476D">
      <w:pPr>
        <w:rPr>
          <w:rFonts w:hint="eastAsia" w:ascii="仿宋" w:hAnsi="仿宋" w:eastAsia="仿宋" w:cs="仿宋"/>
          <w:b/>
          <w:bCs/>
          <w:color w:val="auto"/>
          <w:highlight w:val="none"/>
          <w:lang w:eastAsia="zh-CN"/>
        </w:rPr>
      </w:pPr>
    </w:p>
    <w:p w14:paraId="351E1723">
      <w:pPr>
        <w:pStyle w:val="2"/>
        <w:rPr>
          <w:rFonts w:hint="eastAsia" w:ascii="仿宋" w:hAnsi="仿宋" w:eastAsia="仿宋" w:cs="仿宋"/>
          <w:b/>
          <w:bCs/>
          <w:color w:val="auto"/>
          <w:sz w:val="24"/>
          <w:szCs w:val="24"/>
          <w:highlight w:val="none"/>
          <w:lang w:eastAsia="zh-CN"/>
        </w:rPr>
      </w:pPr>
    </w:p>
    <w:p w14:paraId="5E6A5AFA">
      <w:pPr>
        <w:rPr>
          <w:rFonts w:hint="eastAsia" w:ascii="仿宋" w:hAnsi="仿宋" w:eastAsia="仿宋" w:cs="仿宋"/>
          <w:b/>
          <w:bCs/>
          <w:color w:val="auto"/>
          <w:highlight w:val="none"/>
          <w:lang w:eastAsia="zh-CN"/>
        </w:rPr>
      </w:pPr>
    </w:p>
    <w:p w14:paraId="31310AAE">
      <w:pPr>
        <w:pStyle w:val="2"/>
        <w:rPr>
          <w:rFonts w:hint="eastAsia" w:ascii="仿宋" w:hAnsi="仿宋" w:eastAsia="仿宋" w:cs="仿宋"/>
          <w:b/>
          <w:bCs/>
          <w:color w:val="auto"/>
          <w:sz w:val="24"/>
          <w:szCs w:val="24"/>
          <w:highlight w:val="none"/>
          <w:lang w:eastAsia="zh-CN"/>
        </w:rPr>
      </w:pPr>
    </w:p>
    <w:p w14:paraId="4173713B">
      <w:pPr>
        <w:rPr>
          <w:rFonts w:hint="eastAsia" w:ascii="仿宋" w:hAnsi="仿宋" w:eastAsia="仿宋" w:cs="仿宋"/>
          <w:b/>
          <w:bCs/>
          <w:color w:val="auto"/>
          <w:highlight w:val="none"/>
          <w:lang w:eastAsia="zh-CN"/>
        </w:rPr>
      </w:pPr>
    </w:p>
    <w:p w14:paraId="04CBAADF">
      <w:pPr>
        <w:pStyle w:val="2"/>
        <w:rPr>
          <w:rFonts w:hint="eastAsia" w:ascii="仿宋" w:hAnsi="仿宋" w:eastAsia="仿宋" w:cs="仿宋"/>
          <w:b/>
          <w:bCs/>
          <w:color w:val="auto"/>
          <w:sz w:val="24"/>
          <w:szCs w:val="24"/>
          <w:highlight w:val="none"/>
          <w:lang w:eastAsia="zh-CN"/>
        </w:rPr>
      </w:pPr>
    </w:p>
    <w:p w14:paraId="1466D69A">
      <w:pPr>
        <w:rPr>
          <w:rFonts w:hint="eastAsia" w:ascii="仿宋" w:hAnsi="仿宋" w:eastAsia="仿宋" w:cs="仿宋"/>
          <w:b/>
          <w:bCs/>
          <w:color w:val="auto"/>
          <w:highlight w:val="none"/>
          <w:lang w:eastAsia="zh-CN"/>
        </w:rPr>
      </w:pPr>
    </w:p>
    <w:p w14:paraId="48437E27">
      <w:pPr>
        <w:pStyle w:val="2"/>
        <w:rPr>
          <w:rFonts w:hint="eastAsia" w:ascii="仿宋" w:hAnsi="仿宋" w:eastAsia="仿宋" w:cs="仿宋"/>
          <w:b/>
          <w:bCs/>
          <w:color w:val="auto"/>
          <w:sz w:val="24"/>
          <w:szCs w:val="24"/>
          <w:highlight w:val="none"/>
          <w:lang w:eastAsia="zh-CN"/>
        </w:rPr>
      </w:pPr>
    </w:p>
    <w:p w14:paraId="604B7E73">
      <w:pPr>
        <w:rPr>
          <w:rFonts w:hint="eastAsia" w:ascii="仿宋" w:hAnsi="仿宋" w:eastAsia="仿宋" w:cs="仿宋"/>
          <w:b/>
          <w:bCs/>
          <w:color w:val="auto"/>
          <w:highlight w:val="none"/>
          <w:lang w:eastAsia="zh-CN"/>
        </w:rPr>
      </w:pPr>
    </w:p>
    <w:p w14:paraId="4B3EEB47">
      <w:pPr>
        <w:pStyle w:val="2"/>
        <w:rPr>
          <w:rFonts w:hint="eastAsia" w:ascii="仿宋" w:hAnsi="仿宋" w:eastAsia="仿宋" w:cs="仿宋"/>
          <w:b/>
          <w:bCs/>
          <w:color w:val="auto"/>
          <w:sz w:val="24"/>
          <w:szCs w:val="24"/>
          <w:highlight w:val="none"/>
          <w:lang w:eastAsia="zh-CN"/>
        </w:rPr>
      </w:pPr>
    </w:p>
    <w:p w14:paraId="47D4D30B">
      <w:pPr>
        <w:rPr>
          <w:rFonts w:hint="eastAsia" w:ascii="仿宋" w:hAnsi="仿宋" w:eastAsia="仿宋" w:cs="仿宋"/>
          <w:b/>
          <w:bCs/>
          <w:color w:val="auto"/>
          <w:highlight w:val="none"/>
          <w:lang w:eastAsia="zh-CN"/>
        </w:rPr>
      </w:pPr>
    </w:p>
    <w:p w14:paraId="4AB11514">
      <w:pPr>
        <w:pStyle w:val="2"/>
        <w:rPr>
          <w:rFonts w:hint="eastAsia" w:ascii="仿宋" w:hAnsi="仿宋" w:eastAsia="仿宋" w:cs="仿宋"/>
          <w:b/>
          <w:bCs/>
          <w:color w:val="auto"/>
          <w:sz w:val="24"/>
          <w:szCs w:val="24"/>
          <w:highlight w:val="none"/>
          <w:lang w:eastAsia="zh-CN"/>
        </w:rPr>
      </w:pPr>
    </w:p>
    <w:p w14:paraId="06827011">
      <w:pPr>
        <w:rPr>
          <w:rFonts w:hint="eastAsia" w:ascii="仿宋" w:hAnsi="仿宋" w:eastAsia="仿宋" w:cs="仿宋"/>
          <w:b/>
          <w:bCs/>
          <w:color w:val="auto"/>
          <w:highlight w:val="none"/>
          <w:lang w:eastAsia="zh-CN"/>
        </w:rPr>
      </w:pPr>
    </w:p>
    <w:p w14:paraId="551200CF">
      <w:pPr>
        <w:pStyle w:val="2"/>
        <w:rPr>
          <w:rFonts w:hint="eastAsia" w:ascii="仿宋" w:hAnsi="仿宋" w:eastAsia="仿宋" w:cs="仿宋"/>
          <w:b/>
          <w:bCs/>
          <w:color w:val="auto"/>
          <w:sz w:val="24"/>
          <w:szCs w:val="24"/>
          <w:highlight w:val="none"/>
          <w:lang w:eastAsia="zh-CN"/>
        </w:rPr>
      </w:pPr>
    </w:p>
    <w:p w14:paraId="2EB5EDBA">
      <w:pPr>
        <w:rPr>
          <w:rFonts w:hint="eastAsia" w:ascii="仿宋" w:hAnsi="仿宋" w:eastAsia="仿宋" w:cs="仿宋"/>
          <w:b/>
          <w:bCs/>
          <w:color w:val="auto"/>
          <w:highlight w:val="none"/>
          <w:lang w:eastAsia="zh-CN"/>
        </w:rPr>
      </w:pPr>
    </w:p>
    <w:p w14:paraId="146DBAF6">
      <w:pPr>
        <w:pStyle w:val="2"/>
        <w:rPr>
          <w:rFonts w:hint="eastAsia" w:ascii="仿宋" w:hAnsi="仿宋" w:eastAsia="仿宋" w:cs="仿宋"/>
          <w:b/>
          <w:bCs/>
          <w:color w:val="auto"/>
          <w:sz w:val="24"/>
          <w:szCs w:val="24"/>
          <w:highlight w:val="none"/>
          <w:lang w:eastAsia="zh-CN"/>
        </w:rPr>
      </w:pPr>
    </w:p>
    <w:p w14:paraId="50AA204B">
      <w:pPr>
        <w:rPr>
          <w:rFonts w:hint="eastAsia" w:ascii="仿宋" w:hAnsi="仿宋" w:eastAsia="仿宋" w:cs="仿宋"/>
          <w:b/>
          <w:bCs/>
          <w:color w:val="auto"/>
          <w:highlight w:val="none"/>
          <w:lang w:eastAsia="zh-CN"/>
        </w:rPr>
      </w:pPr>
    </w:p>
    <w:p w14:paraId="29A5CE8A">
      <w:pPr>
        <w:pStyle w:val="2"/>
        <w:rPr>
          <w:rFonts w:hint="eastAsia" w:ascii="仿宋" w:hAnsi="仿宋" w:eastAsia="仿宋" w:cs="仿宋"/>
          <w:b/>
          <w:bCs/>
          <w:color w:val="auto"/>
          <w:sz w:val="24"/>
          <w:szCs w:val="24"/>
          <w:highlight w:val="none"/>
          <w:lang w:eastAsia="zh-CN"/>
        </w:rPr>
      </w:pPr>
    </w:p>
    <w:p w14:paraId="58F1502F">
      <w:pPr>
        <w:rPr>
          <w:rFonts w:hint="eastAsia" w:ascii="仿宋" w:hAnsi="仿宋" w:eastAsia="仿宋" w:cs="仿宋"/>
          <w:b/>
          <w:bCs/>
          <w:color w:val="auto"/>
          <w:highlight w:val="none"/>
          <w:lang w:eastAsia="zh-CN"/>
        </w:rPr>
      </w:pPr>
    </w:p>
    <w:p w14:paraId="3C9E02ED">
      <w:pPr>
        <w:pStyle w:val="2"/>
        <w:rPr>
          <w:rFonts w:hint="eastAsia" w:ascii="仿宋" w:hAnsi="仿宋" w:eastAsia="仿宋" w:cs="仿宋"/>
          <w:b/>
          <w:bCs/>
          <w:color w:val="auto"/>
          <w:sz w:val="24"/>
          <w:szCs w:val="24"/>
          <w:highlight w:val="none"/>
          <w:lang w:eastAsia="zh-CN"/>
        </w:rPr>
      </w:pPr>
    </w:p>
    <w:p w14:paraId="14E30E80">
      <w:pPr>
        <w:rPr>
          <w:rFonts w:hint="eastAsia" w:ascii="仿宋" w:hAnsi="仿宋" w:eastAsia="仿宋" w:cs="仿宋"/>
          <w:b/>
          <w:bCs/>
          <w:color w:val="auto"/>
          <w:highlight w:val="none"/>
          <w:lang w:eastAsia="zh-CN"/>
        </w:rPr>
      </w:pPr>
    </w:p>
    <w:p w14:paraId="65AFF427">
      <w:pPr>
        <w:pStyle w:val="2"/>
        <w:rPr>
          <w:rFonts w:hint="eastAsia" w:ascii="仿宋" w:hAnsi="仿宋" w:eastAsia="仿宋" w:cs="仿宋"/>
          <w:b/>
          <w:bCs/>
          <w:color w:val="auto"/>
          <w:sz w:val="24"/>
          <w:szCs w:val="24"/>
          <w:highlight w:val="none"/>
          <w:lang w:eastAsia="zh-CN"/>
        </w:rPr>
      </w:pPr>
    </w:p>
    <w:p w14:paraId="2A366A17">
      <w:pPr>
        <w:rPr>
          <w:rFonts w:hint="eastAsia" w:ascii="仿宋" w:hAnsi="仿宋" w:eastAsia="仿宋" w:cs="仿宋"/>
          <w:b/>
          <w:bCs/>
          <w:color w:val="auto"/>
          <w:highlight w:val="none"/>
          <w:lang w:eastAsia="zh-CN"/>
        </w:rPr>
      </w:pPr>
    </w:p>
    <w:p w14:paraId="0490B9BE">
      <w:pPr>
        <w:pStyle w:val="2"/>
        <w:rPr>
          <w:rFonts w:hint="eastAsia" w:ascii="仿宋" w:hAnsi="仿宋" w:eastAsia="仿宋" w:cs="仿宋"/>
          <w:b/>
          <w:bCs/>
          <w:color w:val="auto"/>
          <w:sz w:val="24"/>
          <w:szCs w:val="24"/>
          <w:highlight w:val="none"/>
          <w:lang w:eastAsia="zh-CN"/>
        </w:rPr>
      </w:pPr>
    </w:p>
    <w:p w14:paraId="3F326924">
      <w:pPr>
        <w:rPr>
          <w:rFonts w:hint="eastAsia" w:ascii="仿宋" w:hAnsi="仿宋" w:eastAsia="仿宋" w:cs="仿宋"/>
          <w:b/>
          <w:bCs/>
          <w:color w:val="auto"/>
          <w:highlight w:val="none"/>
          <w:lang w:eastAsia="zh-CN"/>
        </w:rPr>
      </w:pPr>
    </w:p>
    <w:p w14:paraId="0BF86FFC">
      <w:pPr>
        <w:pStyle w:val="2"/>
        <w:rPr>
          <w:rFonts w:hint="eastAsia" w:ascii="仿宋" w:hAnsi="仿宋" w:eastAsia="仿宋" w:cs="仿宋"/>
          <w:b/>
          <w:bCs/>
          <w:color w:val="auto"/>
          <w:sz w:val="24"/>
          <w:szCs w:val="24"/>
          <w:highlight w:val="none"/>
          <w:lang w:eastAsia="zh-CN"/>
        </w:rPr>
      </w:pPr>
    </w:p>
    <w:p w14:paraId="54ECCB38">
      <w:pPr>
        <w:rPr>
          <w:rFonts w:hint="eastAsia" w:ascii="仿宋" w:hAnsi="仿宋" w:eastAsia="仿宋" w:cs="仿宋"/>
          <w:b/>
          <w:bCs/>
          <w:color w:val="auto"/>
          <w:highlight w:val="none"/>
          <w:lang w:eastAsia="zh-CN"/>
        </w:rPr>
      </w:pPr>
    </w:p>
    <w:p w14:paraId="1B3D17C9">
      <w:pPr>
        <w:pStyle w:val="2"/>
        <w:rPr>
          <w:rFonts w:hint="eastAsia" w:ascii="仿宋" w:hAnsi="仿宋" w:eastAsia="仿宋" w:cs="仿宋"/>
          <w:b/>
          <w:bCs/>
          <w:color w:val="auto"/>
          <w:sz w:val="24"/>
          <w:szCs w:val="24"/>
          <w:highlight w:val="none"/>
          <w:lang w:eastAsia="zh-CN"/>
        </w:rPr>
      </w:pPr>
    </w:p>
    <w:p w14:paraId="11C637D7">
      <w:pPr>
        <w:rPr>
          <w:rFonts w:hint="eastAsia" w:ascii="仿宋" w:hAnsi="仿宋" w:eastAsia="仿宋" w:cs="仿宋"/>
          <w:b/>
          <w:bCs/>
          <w:color w:val="auto"/>
          <w:highlight w:val="none"/>
          <w:lang w:eastAsia="zh-CN"/>
        </w:rPr>
      </w:pPr>
    </w:p>
    <w:p w14:paraId="7C58E0F5">
      <w:pPr>
        <w:pStyle w:val="2"/>
        <w:rPr>
          <w:rFonts w:hint="eastAsia" w:ascii="仿宋" w:hAnsi="仿宋" w:eastAsia="仿宋" w:cs="仿宋"/>
          <w:b/>
          <w:bCs/>
          <w:color w:val="auto"/>
          <w:sz w:val="24"/>
          <w:szCs w:val="24"/>
          <w:highlight w:val="none"/>
          <w:lang w:eastAsia="zh-CN"/>
        </w:rPr>
      </w:pPr>
    </w:p>
    <w:p w14:paraId="78BB1D7F">
      <w:pPr>
        <w:rPr>
          <w:rFonts w:hint="eastAsia" w:ascii="仿宋" w:hAnsi="仿宋" w:eastAsia="仿宋" w:cs="仿宋"/>
          <w:b/>
          <w:bCs/>
          <w:color w:val="auto"/>
          <w:highlight w:val="none"/>
          <w:lang w:eastAsia="zh-CN"/>
        </w:rPr>
      </w:pPr>
    </w:p>
    <w:p w14:paraId="3D679323">
      <w:pPr>
        <w:spacing w:before="240" w:beforeLines="100" w:after="240" w:afterLines="100" w:line="360" w:lineRule="auto"/>
        <w:outlineLvl w:val="1"/>
        <w:rPr>
          <w:rFonts w:hint="eastAsia" w:ascii="仿宋" w:hAnsi="仿宋" w:eastAsia="仿宋" w:cs="仿宋"/>
          <w:b/>
          <w:bCs/>
          <w:color w:val="auto"/>
          <w:highlight w:val="none"/>
          <w:lang w:eastAsia="zh-CN"/>
        </w:rPr>
      </w:pPr>
      <w:bookmarkStart w:id="1689" w:name="_Toc4786"/>
      <w:bookmarkStart w:id="1690" w:name="_Toc13551"/>
      <w:bookmarkStart w:id="1691" w:name="_Toc23096"/>
      <w:bookmarkStart w:id="1692" w:name="_Toc24761"/>
      <w:bookmarkStart w:id="1693" w:name="_Toc16489"/>
      <w:bookmarkStart w:id="1694" w:name="_Toc22492"/>
      <w:bookmarkStart w:id="1695" w:name="_Toc20908"/>
      <w:bookmarkStart w:id="1696" w:name="_Toc24375"/>
      <w:bookmarkStart w:id="1697" w:name="_Toc27508"/>
      <w:bookmarkStart w:id="1698" w:name="_Toc30382"/>
      <w:bookmarkStart w:id="1699" w:name="_Toc26208"/>
      <w:bookmarkStart w:id="1700" w:name="_Toc21299"/>
      <w:bookmarkStart w:id="1701" w:name="_Toc8677"/>
      <w:bookmarkStart w:id="1702" w:name="_Toc11011"/>
      <w:r>
        <w:rPr>
          <w:rFonts w:hint="eastAsia" w:ascii="仿宋" w:hAnsi="仿宋" w:eastAsia="仿宋" w:cs="仿宋"/>
          <w:b/>
          <w:bCs/>
          <w:color w:val="auto"/>
          <w:highlight w:val="none"/>
          <w:lang w:eastAsia="zh-CN"/>
        </w:rPr>
        <w:t>格式2</w:t>
      </w:r>
      <w:bookmarkEnd w:id="1689"/>
      <w:bookmarkEnd w:id="1690"/>
      <w:bookmarkEnd w:id="1691"/>
      <w:bookmarkEnd w:id="1692"/>
      <w:bookmarkEnd w:id="1693"/>
      <w:r>
        <w:rPr>
          <w:rFonts w:hint="eastAsia" w:ascii="仿宋" w:hAnsi="仿宋" w:eastAsia="仿宋" w:cs="仿宋"/>
          <w:b/>
          <w:bCs/>
          <w:color w:val="auto"/>
          <w:highlight w:val="none"/>
          <w:lang w:eastAsia="zh-CN"/>
        </w:rPr>
        <w:t xml:space="preserve"> 联合体主办方责任承诺书</w:t>
      </w:r>
      <w:bookmarkEnd w:id="1694"/>
      <w:bookmarkEnd w:id="1695"/>
      <w:bookmarkEnd w:id="1696"/>
      <w:bookmarkEnd w:id="1697"/>
      <w:bookmarkEnd w:id="1698"/>
      <w:bookmarkEnd w:id="1699"/>
      <w:bookmarkEnd w:id="1700"/>
      <w:bookmarkEnd w:id="1701"/>
      <w:bookmarkEnd w:id="1702"/>
    </w:p>
    <w:p w14:paraId="49848540">
      <w:pPr>
        <w:spacing w:after="156"/>
        <w:jc w:val="center"/>
        <w:rPr>
          <w:rFonts w:hint="eastAsia" w:ascii="仿宋" w:hAnsi="仿宋" w:eastAsia="仿宋"/>
          <w:b/>
          <w:bCs/>
          <w:color w:val="auto"/>
          <w:sz w:val="32"/>
          <w:szCs w:val="32"/>
          <w:highlight w:val="none"/>
          <w:lang w:eastAsia="zh-CN"/>
        </w:rPr>
      </w:pPr>
      <w:r>
        <w:rPr>
          <w:rFonts w:hint="eastAsia" w:ascii="仿宋" w:hAnsi="仿宋" w:eastAsia="仿宋"/>
          <w:b/>
          <w:bCs/>
          <w:color w:val="auto"/>
          <w:sz w:val="32"/>
          <w:szCs w:val="32"/>
          <w:highlight w:val="none"/>
          <w:lang w:eastAsia="zh-CN"/>
        </w:rPr>
        <w:t>联合体主办方责任承诺书</w:t>
      </w:r>
    </w:p>
    <w:p w14:paraId="7BF8B26D">
      <w:pPr>
        <w:spacing w:before="120" w:beforeLines="50" w:after="156"/>
        <w:ind w:firstLine="482"/>
        <w:rPr>
          <w:rFonts w:hint="eastAsia" w:ascii="仿宋" w:hAnsi="仿宋" w:eastAsia="仿宋"/>
          <w:b/>
          <w:bCs/>
          <w:color w:val="auto"/>
          <w:szCs w:val="28"/>
          <w:highlight w:val="none"/>
          <w:lang w:eastAsia="zh-CN"/>
        </w:rPr>
      </w:pPr>
    </w:p>
    <w:p w14:paraId="0EE1F90F">
      <w:pPr>
        <w:spacing w:before="120" w:beforeLines="50" w:after="156"/>
        <w:ind w:firstLine="482"/>
        <w:rPr>
          <w:rFonts w:hint="eastAsia" w:ascii="仿宋" w:hAnsi="仿宋" w:eastAsia="仿宋"/>
          <w:b/>
          <w:bCs/>
          <w:color w:val="auto"/>
          <w:szCs w:val="28"/>
          <w:highlight w:val="none"/>
          <w:lang w:eastAsia="zh-CN"/>
        </w:rPr>
      </w:pPr>
      <w:r>
        <w:rPr>
          <w:rFonts w:hint="eastAsia" w:ascii="仿宋" w:hAnsi="仿宋" w:eastAsia="仿宋"/>
          <w:b/>
          <w:bCs/>
          <w:color w:val="auto"/>
          <w:szCs w:val="28"/>
          <w:highlight w:val="none"/>
          <w:lang w:eastAsia="zh-CN"/>
        </w:rPr>
        <w:t>致：广州从化城投商业发展有限公司</w:t>
      </w:r>
    </w:p>
    <w:p w14:paraId="0E1C78DD">
      <w:pPr>
        <w:spacing w:after="156"/>
        <w:rPr>
          <w:rFonts w:hint="eastAsia" w:ascii="仿宋" w:hAnsi="仿宋" w:eastAsia="仿宋"/>
          <w:color w:val="auto"/>
          <w:highlight w:val="none"/>
          <w:lang w:eastAsia="zh-CN"/>
        </w:rPr>
      </w:pPr>
      <w:r>
        <w:rPr>
          <w:rFonts w:hint="eastAsia" w:ascii="仿宋" w:hAnsi="仿宋" w:eastAsia="仿宋"/>
          <w:color w:val="auto"/>
          <w:highlight w:val="none"/>
          <w:lang w:eastAsia="zh-CN"/>
        </w:rPr>
        <w:t>我司已充分阅读了招标文件及合同条款，我司作为联合体的主办方，我司承诺：</w:t>
      </w:r>
    </w:p>
    <w:p w14:paraId="7555638A">
      <w:pPr>
        <w:pStyle w:val="31"/>
        <w:widowControl w:val="0"/>
        <w:numPr>
          <w:ilvl w:val="0"/>
          <w:numId w:val="43"/>
        </w:numPr>
        <w:spacing w:afterLines="50" w:line="360" w:lineRule="auto"/>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对本合同项目的设计、施工进度、质量、安全、投资控制、管理等进行全面协调管理工作。</w:t>
      </w:r>
    </w:p>
    <w:p w14:paraId="67D89A3E">
      <w:pPr>
        <w:pStyle w:val="31"/>
        <w:widowControl w:val="0"/>
        <w:numPr>
          <w:ilvl w:val="0"/>
          <w:numId w:val="43"/>
        </w:numPr>
        <w:spacing w:afterLines="50" w:line="360" w:lineRule="auto"/>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我司按联合体共同投标协议书的约定，承担主办方的责任</w:t>
      </w:r>
      <w:r>
        <w:rPr>
          <w:rFonts w:ascii="仿宋" w:hAnsi="仿宋" w:eastAsia="仿宋"/>
          <w:color w:val="auto"/>
          <w:highlight w:val="none"/>
          <w:lang w:eastAsia="zh-CN"/>
        </w:rPr>
        <w:t>。</w:t>
      </w:r>
    </w:p>
    <w:p w14:paraId="7BA23920">
      <w:pPr>
        <w:pStyle w:val="31"/>
        <w:widowControl w:val="0"/>
        <w:numPr>
          <w:ilvl w:val="0"/>
          <w:numId w:val="43"/>
        </w:numPr>
        <w:spacing w:afterLines="50" w:line="360" w:lineRule="auto"/>
        <w:ind w:left="482"/>
        <w:jc w:val="both"/>
        <w:rPr>
          <w:rFonts w:hint="eastAsia" w:ascii="仿宋" w:hAnsi="仿宋" w:eastAsia="仿宋"/>
          <w:color w:val="auto"/>
          <w:highlight w:val="none"/>
          <w:lang w:eastAsia="zh-CN"/>
        </w:rPr>
      </w:pPr>
      <w:r>
        <w:rPr>
          <w:rFonts w:hint="eastAsia" w:ascii="仿宋" w:hAnsi="仿宋" w:eastAsia="仿宋"/>
          <w:color w:val="auto"/>
          <w:highlight w:val="none"/>
          <w:lang w:eastAsia="zh-CN"/>
        </w:rPr>
        <w:t>无条件接受发包人、监理的检查、考核。</w:t>
      </w:r>
    </w:p>
    <w:p w14:paraId="19768374">
      <w:pPr>
        <w:pStyle w:val="223"/>
        <w:numPr>
          <w:ilvl w:val="0"/>
          <w:numId w:val="43"/>
        </w:numPr>
        <w:tabs>
          <w:tab w:val="left" w:pos="993"/>
        </w:tabs>
        <w:adjustRightInd w:val="0"/>
        <w:snapToGrid w:val="0"/>
        <w:spacing w:after="120" w:afterLines="50" w:line="360" w:lineRule="auto"/>
        <w:ind w:right="11"/>
        <w:jc w:val="both"/>
        <w:rPr>
          <w:rFonts w:hint="eastAsia" w:ascii="仿宋" w:hAnsi="仿宋" w:eastAsia="仿宋"/>
          <w:color w:val="auto"/>
          <w:highlight w:val="none"/>
          <w:lang w:eastAsia="zh-CN"/>
        </w:rPr>
      </w:pPr>
      <w:r>
        <w:rPr>
          <w:rFonts w:ascii="仿宋" w:hAnsi="仿宋" w:eastAsia="仿宋"/>
          <w:color w:val="auto"/>
          <w:highlight w:val="none"/>
          <w:lang w:eastAsia="zh-CN"/>
        </w:rPr>
        <w:t>若未能实现上述承诺，</w:t>
      </w:r>
      <w:r>
        <w:rPr>
          <w:rFonts w:hint="eastAsia" w:ascii="仿宋" w:hAnsi="仿宋" w:eastAsia="仿宋"/>
          <w:color w:val="auto"/>
          <w:highlight w:val="none"/>
          <w:lang w:eastAsia="zh-CN"/>
        </w:rPr>
        <w:t>导致出现严重违约责任的，我司承担连带责任。</w:t>
      </w:r>
    </w:p>
    <w:p w14:paraId="729DB24F">
      <w:pPr>
        <w:pStyle w:val="31"/>
        <w:spacing w:after="156"/>
        <w:rPr>
          <w:rFonts w:hint="eastAsia" w:ascii="仿宋" w:hAnsi="仿宋" w:eastAsia="仿宋"/>
          <w:color w:val="auto"/>
          <w:highlight w:val="none"/>
          <w:lang w:eastAsia="zh-CN"/>
        </w:rPr>
      </w:pPr>
    </w:p>
    <w:p w14:paraId="26CE713E">
      <w:pPr>
        <w:pStyle w:val="31"/>
        <w:spacing w:after="156"/>
        <w:rPr>
          <w:rFonts w:hint="eastAsia" w:ascii="仿宋" w:hAnsi="仿宋" w:eastAsia="仿宋"/>
          <w:color w:val="auto"/>
          <w:highlight w:val="none"/>
          <w:lang w:eastAsia="zh-CN"/>
        </w:rPr>
      </w:pPr>
    </w:p>
    <w:p w14:paraId="58DB2AC5">
      <w:pPr>
        <w:spacing w:after="156"/>
        <w:ind w:firstLine="3600" w:firstLineChars="1500"/>
        <w:jc w:val="both"/>
        <w:rPr>
          <w:rFonts w:hint="eastAsia" w:ascii="仿宋" w:hAnsi="仿宋" w:eastAsia="仿宋"/>
          <w:color w:val="auto"/>
          <w:highlight w:val="none"/>
          <w:lang w:eastAsia="zh"/>
          <w:woUserID w:val="1"/>
        </w:rPr>
      </w:pPr>
      <w:r>
        <w:rPr>
          <w:rFonts w:ascii="仿宋" w:hAnsi="仿宋" w:eastAsia="仿宋"/>
          <w:color w:val="auto"/>
          <w:highlight w:val="none"/>
          <w:lang w:eastAsia="zh-CN"/>
        </w:rPr>
        <w:t>单位名称（盖公章）：</w:t>
      </w:r>
    </w:p>
    <w:p w14:paraId="6B0499D6">
      <w:pPr>
        <w:spacing w:after="156"/>
        <w:ind w:firstLine="3600" w:firstLineChars="1500"/>
        <w:jc w:val="both"/>
        <w:rPr>
          <w:rFonts w:hint="eastAsia" w:ascii="仿宋" w:hAnsi="仿宋" w:eastAsia="仿宋"/>
          <w:color w:val="auto"/>
          <w:highlight w:val="none"/>
          <w:lang w:eastAsia="zh-CN"/>
        </w:rPr>
      </w:pPr>
      <w:r>
        <w:rPr>
          <w:rFonts w:ascii="仿宋" w:hAnsi="仿宋" w:eastAsia="仿宋"/>
          <w:color w:val="auto"/>
          <w:highlight w:val="none"/>
          <w:lang w:eastAsia="zh-CN"/>
        </w:rPr>
        <w:t>法定代表人（签</w:t>
      </w:r>
      <w:r>
        <w:rPr>
          <w:rFonts w:hint="eastAsia" w:ascii="仿宋" w:hAnsi="仿宋" w:eastAsia="仿宋"/>
          <w:color w:val="auto"/>
          <w:highlight w:val="none"/>
          <w:lang w:eastAsia="zh-CN"/>
        </w:rPr>
        <w:t>章</w:t>
      </w:r>
      <w:r>
        <w:rPr>
          <w:rFonts w:ascii="仿宋" w:hAnsi="仿宋" w:eastAsia="仿宋"/>
          <w:color w:val="auto"/>
          <w:highlight w:val="none"/>
          <w:lang w:eastAsia="zh-CN"/>
        </w:rPr>
        <w:t xml:space="preserve">）：    </w:t>
      </w:r>
    </w:p>
    <w:p w14:paraId="2A8E9184">
      <w:pPr>
        <w:spacing w:after="156"/>
        <w:ind w:firstLine="240" w:firstLineChars="100"/>
        <w:jc w:val="both"/>
        <w:rPr>
          <w:rFonts w:hint="eastAsia" w:ascii="仿宋" w:hAnsi="仿宋" w:eastAsia="仿宋"/>
          <w:color w:val="auto"/>
          <w:highlight w:val="none"/>
          <w:lang w:eastAsia="zh-CN"/>
        </w:rPr>
      </w:pPr>
      <w:r>
        <w:rPr>
          <w:rFonts w:ascii="仿宋" w:hAnsi="仿宋" w:eastAsia="仿宋"/>
          <w:color w:val="auto"/>
          <w:highlight w:val="none"/>
          <w:lang w:eastAsia="zh-CN"/>
        </w:rPr>
        <w:t xml:space="preserve">  </w:t>
      </w:r>
      <w:r>
        <w:rPr>
          <w:rFonts w:hint="eastAsia" w:ascii="仿宋" w:hAnsi="仿宋" w:eastAsia="仿宋"/>
          <w:color w:val="auto"/>
          <w:highlight w:val="none"/>
          <w:lang w:eastAsia="zh-CN"/>
        </w:rPr>
        <w:t xml:space="preserve">             </w:t>
      </w:r>
      <w:r>
        <w:rPr>
          <w:rFonts w:hint="eastAsia" w:ascii="仿宋" w:hAnsi="仿宋" w:eastAsia="仿宋"/>
          <w:color w:val="auto"/>
          <w:highlight w:val="none"/>
          <w:lang w:val="en-US" w:eastAsia="zh-CN"/>
        </w:rPr>
        <w:t xml:space="preserve">                           </w:t>
      </w:r>
      <w:r>
        <w:rPr>
          <w:rFonts w:ascii="仿宋" w:hAnsi="仿宋" w:eastAsia="仿宋"/>
          <w:color w:val="auto"/>
          <w:highlight w:val="none"/>
          <w:lang w:eastAsia="zh-CN"/>
        </w:rPr>
        <w:t xml:space="preserve">日期：   </w:t>
      </w:r>
      <w:r>
        <w:rPr>
          <w:rFonts w:hint="eastAsia" w:ascii="仿宋" w:hAnsi="仿宋" w:eastAsia="仿宋"/>
          <w:color w:val="auto"/>
          <w:highlight w:val="none"/>
          <w:lang w:eastAsia="zh"/>
          <w:woUserID w:val="1"/>
        </w:rPr>
        <w:t>2025</w:t>
      </w:r>
      <w:r>
        <w:rPr>
          <w:rFonts w:ascii="仿宋" w:hAnsi="仿宋" w:eastAsia="仿宋"/>
          <w:color w:val="auto"/>
          <w:highlight w:val="none"/>
          <w:lang w:eastAsia="zh-CN"/>
        </w:rPr>
        <w:t xml:space="preserve">年 </w:t>
      </w:r>
      <w:r>
        <w:rPr>
          <w:rFonts w:hint="eastAsia" w:ascii="仿宋" w:hAnsi="仿宋" w:eastAsia="仿宋"/>
          <w:color w:val="auto"/>
          <w:highlight w:val="none"/>
          <w:lang w:eastAsia="zh"/>
          <w:woUserID w:val="1"/>
        </w:rPr>
        <w:t xml:space="preserve">  </w:t>
      </w:r>
      <w:r>
        <w:rPr>
          <w:rFonts w:ascii="仿宋" w:hAnsi="仿宋" w:eastAsia="仿宋"/>
          <w:color w:val="auto"/>
          <w:highlight w:val="none"/>
          <w:lang w:eastAsia="zh-CN"/>
        </w:rPr>
        <w:t xml:space="preserve">月 </w:t>
      </w:r>
      <w:r>
        <w:rPr>
          <w:rFonts w:hint="eastAsia" w:ascii="仿宋" w:hAnsi="仿宋" w:eastAsia="仿宋"/>
          <w:color w:val="auto"/>
          <w:highlight w:val="none"/>
          <w:lang w:eastAsia="zh"/>
          <w:woUserID w:val="1"/>
        </w:rPr>
        <w:t xml:space="preserve">  </w:t>
      </w:r>
      <w:r>
        <w:rPr>
          <w:rFonts w:ascii="仿宋" w:hAnsi="仿宋" w:eastAsia="仿宋"/>
          <w:color w:val="auto"/>
          <w:highlight w:val="none"/>
          <w:lang w:eastAsia="zh-CN"/>
        </w:rPr>
        <w:t>日</w:t>
      </w:r>
    </w:p>
    <w:p w14:paraId="3A7148A6">
      <w:pPr>
        <w:rPr>
          <w:rFonts w:hint="eastAsia" w:ascii="仿宋" w:hAnsi="仿宋" w:eastAsia="仿宋" w:cs="仿宋"/>
          <w:b/>
          <w:bCs/>
          <w:color w:val="auto"/>
          <w:highlight w:val="none"/>
          <w:lang w:eastAsia="zh-CN"/>
        </w:rPr>
      </w:pPr>
      <w:r>
        <w:rPr>
          <w:rFonts w:ascii="仿宋" w:hAnsi="仿宋" w:eastAsia="仿宋" w:cs="仿宋"/>
          <w:b/>
          <w:bCs/>
          <w:color w:val="auto"/>
          <w:highlight w:val="none"/>
          <w:lang w:eastAsia="zh-CN"/>
        </w:rPr>
        <w:br w:type="page"/>
      </w:r>
    </w:p>
    <w:p w14:paraId="26FCDE06">
      <w:pPr>
        <w:pStyle w:val="2"/>
        <w:rPr>
          <w:color w:val="auto"/>
          <w:highlight w:val="none"/>
          <w:lang w:eastAsia="zh-CN"/>
        </w:rPr>
      </w:pPr>
    </w:p>
    <w:p w14:paraId="4DDE5E3A">
      <w:pPr>
        <w:spacing w:before="240" w:beforeLines="100" w:after="240" w:afterLines="100" w:line="360" w:lineRule="auto"/>
        <w:outlineLvl w:val="1"/>
        <w:rPr>
          <w:rFonts w:hint="eastAsia" w:ascii="仿宋" w:hAnsi="仿宋" w:eastAsia="仿宋" w:cs="仿宋"/>
          <w:b/>
          <w:bCs/>
          <w:color w:val="auto"/>
          <w:highlight w:val="none"/>
          <w:lang w:eastAsia="zh-CN"/>
        </w:rPr>
      </w:pPr>
      <w:bookmarkStart w:id="1703" w:name="_Toc7715"/>
      <w:bookmarkStart w:id="1704" w:name="_Toc8839"/>
      <w:bookmarkStart w:id="1705" w:name="_Toc17116"/>
      <w:bookmarkStart w:id="1706" w:name="_Toc9400"/>
      <w:bookmarkStart w:id="1707" w:name="_Toc8720"/>
      <w:bookmarkStart w:id="1708" w:name="_Toc21751"/>
      <w:bookmarkStart w:id="1709" w:name="_Toc27780"/>
      <w:bookmarkStart w:id="1710" w:name="_Toc12500"/>
      <w:bookmarkStart w:id="1711" w:name="_Toc30591"/>
      <w:bookmarkStart w:id="1712" w:name="_Toc32185"/>
      <w:bookmarkStart w:id="1713" w:name="_Toc19429"/>
      <w:bookmarkStart w:id="1714" w:name="_Toc14645"/>
      <w:bookmarkStart w:id="1715" w:name="_Toc29226"/>
      <w:bookmarkStart w:id="1716" w:name="_Toc30929"/>
      <w:r>
        <w:rPr>
          <w:rFonts w:hint="eastAsia" w:ascii="仿宋" w:hAnsi="仿宋" w:eastAsia="仿宋" w:cs="仿宋"/>
          <w:b/>
          <w:bCs/>
          <w:color w:val="auto"/>
          <w:highlight w:val="none"/>
          <w:lang w:eastAsia="zh-CN"/>
        </w:rPr>
        <w:t>格式</w:t>
      </w:r>
      <w:bookmarkEnd w:id="1669"/>
      <w:bookmarkEnd w:id="1670"/>
      <w:bookmarkEnd w:id="1671"/>
      <w:r>
        <w:rPr>
          <w:rFonts w:hint="eastAsia" w:ascii="仿宋" w:hAnsi="仿宋" w:eastAsia="仿宋" w:cs="仿宋"/>
          <w:b/>
          <w:bCs/>
          <w:color w:val="auto"/>
          <w:highlight w:val="none"/>
          <w:lang w:eastAsia="zh-CN"/>
        </w:rPr>
        <w:t>3 履约担保</w:t>
      </w:r>
      <w:bookmarkEnd w:id="1672"/>
      <w:bookmarkEnd w:id="1673"/>
      <w:bookmarkEnd w:id="1674"/>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66D1ACF0">
      <w:pPr>
        <w:spacing w:line="360" w:lineRule="auto"/>
        <w:jc w:val="center"/>
        <w:rPr>
          <w:rFonts w:hint="eastAsia" w:ascii="仿宋" w:hAnsi="仿宋" w:eastAsia="仿宋"/>
          <w:b/>
          <w:bCs/>
          <w:color w:val="auto"/>
          <w:spacing w:val="40"/>
          <w:sz w:val="36"/>
          <w:szCs w:val="36"/>
          <w:highlight w:val="none"/>
          <w:lang w:eastAsia="zh-CN"/>
        </w:rPr>
      </w:pPr>
      <w:r>
        <w:rPr>
          <w:rFonts w:hint="eastAsia" w:ascii="仿宋" w:hAnsi="仿宋" w:eastAsia="仿宋" w:cs="仿宋"/>
          <w:b/>
          <w:bCs/>
          <w:color w:val="auto"/>
          <w:spacing w:val="40"/>
          <w:sz w:val="36"/>
          <w:szCs w:val="36"/>
          <w:highlight w:val="none"/>
          <w:lang w:eastAsia="zh-CN"/>
        </w:rPr>
        <w:t>履约担保</w:t>
      </w:r>
    </w:p>
    <w:p w14:paraId="16578C9D">
      <w:pPr>
        <w:keepNext w:val="0"/>
        <w:keepLines w:val="0"/>
        <w:widowControl/>
        <w:suppressLineNumbers w:val="0"/>
        <w:spacing w:before="0" w:beforeAutospacing="1" w:after="0" w:afterAutospacing="1" w:line="360" w:lineRule="auto"/>
        <w:ind w:left="0" w:right="0"/>
        <w:jc w:val="left"/>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致：</w:t>
      </w:r>
      <w:r>
        <w:rPr>
          <w:rFonts w:hint="eastAsia" w:ascii="仿宋" w:hAnsi="仿宋" w:eastAsia="仿宋" w:cs="仿宋"/>
          <w:color w:val="auto"/>
          <w:highlight w:val="none"/>
          <w:u w:val="single"/>
          <w:lang w:eastAsia="zh-CN"/>
        </w:rPr>
        <w:t>广州从化城投商业发展有限公司</w:t>
      </w:r>
      <w:r>
        <w:rPr>
          <w:rFonts w:hint="eastAsia" w:ascii="仿宋" w:hAnsi="仿宋" w:eastAsia="仿宋" w:cs="仿宋"/>
          <w:color w:val="auto"/>
          <w:highlight w:val="none"/>
          <w:lang w:eastAsia="zh-CN"/>
        </w:rPr>
        <w:t>（发包人全称）</w:t>
      </w:r>
      <w:r>
        <w:rPr>
          <w:rFonts w:ascii="仿宋" w:hAnsi="仿宋" w:eastAsia="仿宋" w:cs="仿宋"/>
          <w:color w:val="auto"/>
          <w:highlight w:val="none"/>
          <w:lang w:eastAsia="zh-CN"/>
        </w:rPr>
        <w:t xml:space="preserve">   </w:t>
      </w:r>
    </w:p>
    <w:p w14:paraId="37BA1D68">
      <w:pPr>
        <w:keepNext w:val="0"/>
        <w:keepLines w:val="0"/>
        <w:widowControl/>
        <w:suppressLineNumbers w:val="0"/>
        <w:spacing w:before="0" w:beforeAutospacing="1" w:after="0" w:afterAutospacing="1" w:line="360" w:lineRule="auto"/>
        <w:ind w:left="0" w:right="0" w:firstLine="480"/>
        <w:jc w:val="left"/>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鉴于</w:t>
      </w:r>
      <w:r>
        <w:rPr>
          <w:rFonts w:hint="eastAsia" w:ascii="仿宋" w:hAnsi="仿宋" w:eastAsia="仿宋" w:cs="仿宋"/>
          <w:color w:val="auto"/>
          <w:highlight w:val="none"/>
          <w:u w:val="single"/>
          <w:lang w:eastAsia="zh"/>
          <w:woUserID w:val="1"/>
        </w:rPr>
        <w:t xml:space="preserve">                   </w:t>
      </w:r>
      <w:r>
        <w:rPr>
          <w:rFonts w:hint="eastAsia" w:ascii="仿宋" w:hAnsi="仿宋" w:eastAsia="仿宋" w:cs="仿宋"/>
          <w:color w:val="auto"/>
          <w:highlight w:val="none"/>
          <w:lang w:eastAsia="zh-CN"/>
        </w:rPr>
        <w:t>（承包人全称）</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下称“承包人”</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与</w:t>
      </w:r>
      <w:r>
        <w:rPr>
          <w:rFonts w:hint="eastAsia" w:ascii="仿宋" w:hAnsi="仿宋" w:eastAsia="仿宋" w:cs="仿宋"/>
          <w:color w:val="auto"/>
          <w:highlight w:val="none"/>
          <w:lang w:eastAsia="zh"/>
          <w:woUserID w:val="1"/>
        </w:rPr>
        <w:t xml:space="preserve"> </w:t>
      </w:r>
      <w:r>
        <w:rPr>
          <w:rFonts w:hint="eastAsia" w:ascii="仿宋" w:hAnsi="仿宋" w:eastAsia="仿宋" w:cs="仿宋"/>
          <w:color w:val="auto"/>
          <w:highlight w:val="none"/>
          <w:u w:val="single"/>
          <w:lang w:eastAsia="zh"/>
          <w:woUserID w:val="1"/>
        </w:rPr>
        <w:t xml:space="preserve">                </w:t>
      </w:r>
      <w:r>
        <w:rPr>
          <w:rFonts w:hint="eastAsia" w:ascii="仿宋" w:hAnsi="仿宋" w:eastAsia="仿宋" w:cs="仿宋"/>
          <w:color w:val="auto"/>
          <w:highlight w:val="none"/>
          <w:u w:val="none"/>
          <w:lang w:eastAsia="zh-CN"/>
        </w:rPr>
        <w:t>（</w:t>
      </w:r>
      <w:r>
        <w:rPr>
          <w:rFonts w:hint="eastAsia" w:ascii="仿宋" w:hAnsi="仿宋" w:eastAsia="仿宋" w:cs="仿宋"/>
          <w:color w:val="auto"/>
          <w:highlight w:val="none"/>
          <w:lang w:eastAsia="zh-CN"/>
        </w:rPr>
        <w:t>发包人全称）</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下称“发包人”</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签订</w:t>
      </w:r>
      <w:r>
        <w:rPr>
          <w:rFonts w:hint="eastAsia" w:ascii="仿宋" w:hAnsi="仿宋" w:eastAsia="仿宋" w:cs="仿宋"/>
          <w:color w:val="auto"/>
          <w:highlight w:val="none"/>
          <w:u w:val="single"/>
          <w:lang w:eastAsia="zh"/>
          <w:woUserID w:val="1"/>
        </w:rPr>
        <w:t xml:space="preserve">                           </w:t>
      </w:r>
      <w:r>
        <w:rPr>
          <w:rFonts w:hint="eastAsia" w:ascii="仿宋" w:hAnsi="仿宋" w:eastAsia="仿宋" w:cs="仿宋"/>
          <w:color w:val="auto"/>
          <w:highlight w:val="none"/>
          <w:lang w:eastAsia="zh-CN"/>
        </w:rPr>
        <w:t>（工程名称）施工合同</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编号</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ascii="仿宋" w:hAnsi="仿宋" w:eastAsia="仿宋" w:cs="仿宋"/>
          <w:color w:val="auto"/>
          <w:highlight w:val="none"/>
          <w:lang w:eastAsia="zh-CN"/>
        </w:rPr>
        <w:t xml:space="preserve"> </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日签署</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并保证承包人按合同约定履行实施、完成并保修合同工程的义务和责任；发包人在合同中要求承包人应通过经认可的银行或者通过经认可的资质、信用记录满足国家规定的担保公司提交合同指定的承包人履行本合同全部义务和责任的担保金额等事实，我方愿意为承包人担保，以担保金额人民币</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大写</w:t>
      </w:r>
      <w:r>
        <w:rPr>
          <w:rFonts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r>
        <w:rPr>
          <w:rFonts w:ascii="仿宋" w:hAnsi="仿宋" w:eastAsia="仿宋" w:cs="仿宋"/>
          <w:color w:val="auto"/>
          <w:highlight w:val="none"/>
          <w:lang w:eastAsia="zh-CN"/>
        </w:rPr>
        <w:t>(</w:t>
      </w:r>
      <w:r>
        <w:rPr>
          <w:rFonts w:ascii="宋体" w:hAnsi="宋体" w:eastAsia="仿宋"/>
          <w:color w:val="auto"/>
          <w:highlight w:val="none"/>
          <w:lang w:eastAsia="zh-CN"/>
        </w:rPr>
        <w:t>¥</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
          <w:woUserID w:val="1"/>
        </w:rPr>
        <w:t xml:space="preserve">         </w:t>
      </w:r>
      <w:r>
        <w:rPr>
          <w:rFonts w:hint="eastAsia" w:ascii="仿宋" w:hAnsi="仿宋" w:eastAsia="仿宋" w:cs="仿宋"/>
          <w:color w:val="auto"/>
          <w:highlight w:val="none"/>
          <w:lang w:eastAsia="zh-CN"/>
        </w:rPr>
        <w:t>元</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向发包人提供不可撤销的担保。</w:t>
      </w:r>
    </w:p>
    <w:p w14:paraId="7A06E55C">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如果承包人在履行合同过程中发生违约或违背合同约定的义务和责任时，我方保证在担保金额额度内偿还或偿清发包人因承包人该项违约或违背所造成的经济损失，并在接到发包人提出赔偿要求的第</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天内予以支付，发包人应提供承包人有上述违约或违背合同约定事实的证据或相关的证明材料。</w:t>
      </w:r>
    </w:p>
    <w:p w14:paraId="7599FEAB">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在向我方提出要求前，我方将不坚持要求发包人首先向承包人提出上述款项的索赔。</w:t>
      </w:r>
    </w:p>
    <w:p w14:paraId="2FCBD6E4">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我方承诺：不论是否经我方知晓或同意，我方的义务和责任不因合同双方当事人对合同条款所作的任何修改或补充而解除。</w:t>
      </w:r>
    </w:p>
    <w:p w14:paraId="39FFAA8A">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本履约担保自合同双方当事人签署施工合同之日起生效，至担保金额支付完毕，或工程竣工验收合格，发包人向承包人颁发竣工验收证书后第</w:t>
      </w:r>
      <w:r>
        <w:rPr>
          <w:rFonts w:ascii="仿宋" w:hAnsi="仿宋" w:eastAsia="仿宋" w:cs="仿宋"/>
          <w:color w:val="auto"/>
          <w:highlight w:val="none"/>
          <w:lang w:eastAsia="zh-CN"/>
        </w:rPr>
        <w:t>15</w:t>
      </w:r>
      <w:r>
        <w:rPr>
          <w:rFonts w:hint="eastAsia" w:ascii="仿宋" w:hAnsi="仿宋" w:eastAsia="仿宋" w:cs="仿宋"/>
          <w:color w:val="auto"/>
          <w:highlight w:val="none"/>
          <w:lang w:eastAsia="zh-CN"/>
        </w:rPr>
        <w:t>天止。</w:t>
      </w:r>
    </w:p>
    <w:p w14:paraId="3E06247D">
      <w:pPr>
        <w:spacing w:line="360" w:lineRule="auto"/>
        <w:ind w:firstLine="480"/>
        <w:rPr>
          <w:rFonts w:hint="eastAsia" w:ascii="仿宋" w:hAnsi="仿宋" w:eastAsia="仿宋"/>
          <w:color w:val="auto"/>
          <w:highlight w:val="none"/>
          <w:lang w:eastAsia="zh-CN"/>
        </w:rPr>
      </w:pPr>
    </w:p>
    <w:p w14:paraId="0CB29971">
      <w:pPr>
        <w:spacing w:line="360" w:lineRule="auto"/>
        <w:ind w:firstLine="480"/>
        <w:rPr>
          <w:rFonts w:hint="eastAsia" w:ascii="仿宋" w:hAnsi="仿宋" w:eastAsia="仿宋"/>
          <w:color w:val="auto"/>
          <w:highlight w:val="none"/>
          <w:lang w:eastAsia="zh-CN"/>
        </w:rPr>
      </w:pPr>
    </w:p>
    <w:p w14:paraId="3AB54936">
      <w:pPr>
        <w:spacing w:line="360" w:lineRule="auto"/>
        <w:ind w:firstLine="480"/>
        <w:rPr>
          <w:rFonts w:hint="eastAsia" w:ascii="仿宋" w:hAnsi="仿宋" w:eastAsia="仿宋"/>
          <w:color w:val="auto"/>
          <w:highlight w:val="none"/>
          <w:lang w:eastAsia="zh-CN"/>
        </w:rPr>
      </w:pPr>
    </w:p>
    <w:p w14:paraId="57C66931">
      <w:pPr>
        <w:spacing w:line="360" w:lineRule="auto"/>
        <w:ind w:firstLine="48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担保人盖章：</w:t>
      </w:r>
    </w:p>
    <w:p w14:paraId="71BE6F10">
      <w:pPr>
        <w:spacing w:line="360" w:lineRule="auto"/>
        <w:ind w:firstLine="48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法定代表人或其授权的代理人：</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签字签章</w:t>
      </w:r>
      <w:r>
        <w:rPr>
          <w:rFonts w:ascii="仿宋" w:hAnsi="仿宋" w:eastAsia="仿宋" w:cs="仿宋"/>
          <w:color w:val="auto"/>
          <w:highlight w:val="none"/>
          <w:lang w:eastAsia="zh-CN"/>
        </w:rPr>
        <w:t xml:space="preserve">)                                                         </w:t>
      </w:r>
    </w:p>
    <w:p w14:paraId="31B7B917">
      <w:pPr>
        <w:spacing w:line="360" w:lineRule="auto"/>
        <w:ind w:firstLine="4560" w:firstLineChars="190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地址：</w:t>
      </w:r>
      <w:r>
        <w:rPr>
          <w:rFonts w:ascii="仿宋" w:hAnsi="仿宋" w:eastAsia="仿宋" w:cs="仿宋"/>
          <w:color w:val="auto"/>
          <w:highlight w:val="none"/>
          <w:lang w:eastAsia="zh-CN"/>
        </w:rPr>
        <w:t xml:space="preserve"> </w:t>
      </w:r>
    </w:p>
    <w:p w14:paraId="70447FFE">
      <w:pPr>
        <w:spacing w:line="360" w:lineRule="auto"/>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日期：</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w:t>
      </w:r>
    </w:p>
    <w:p w14:paraId="0EEF2EE9">
      <w:pPr>
        <w:spacing w:line="360" w:lineRule="auto"/>
        <w:rPr>
          <w:rFonts w:hint="eastAsia" w:ascii="仿宋" w:hAnsi="仿宋" w:eastAsia="仿宋" w:cs="仿宋"/>
          <w:color w:val="auto"/>
          <w:highlight w:val="none"/>
          <w:lang w:eastAsia="zh-CN"/>
        </w:rPr>
      </w:pPr>
    </w:p>
    <w:p w14:paraId="13DD3A84">
      <w:pPr>
        <w:rPr>
          <w:rFonts w:hint="eastAsia" w:ascii="仿宋" w:hAnsi="仿宋" w:eastAsia="仿宋" w:cs="仿宋"/>
          <w:b/>
          <w:bCs/>
          <w:color w:val="auto"/>
          <w:highlight w:val="none"/>
          <w:lang w:eastAsia="zh-CN"/>
        </w:rPr>
      </w:pPr>
      <w:bookmarkStart w:id="1717" w:name="_Toc266892928"/>
      <w:bookmarkStart w:id="1718" w:name="_Toc10624988"/>
      <w:bookmarkStart w:id="1719" w:name="_Toc469384144"/>
      <w:bookmarkStart w:id="1720" w:name="_Toc11855"/>
      <w:bookmarkStart w:id="1721" w:name="_Toc16155"/>
      <w:bookmarkStart w:id="1722" w:name="_Toc5974"/>
      <w:bookmarkStart w:id="1723" w:name="_Toc2542"/>
      <w:bookmarkStart w:id="1724" w:name="_Toc12937"/>
      <w:bookmarkStart w:id="1725" w:name="_Toc24772"/>
      <w:bookmarkStart w:id="1726" w:name="_Toc18903"/>
      <w:bookmarkStart w:id="1727" w:name="_Toc17311"/>
      <w:bookmarkStart w:id="1728" w:name="_Toc11437"/>
      <w:bookmarkStart w:id="1729" w:name="_Toc25701"/>
      <w:bookmarkStart w:id="1730" w:name="_Toc26053"/>
      <w:bookmarkStart w:id="1731" w:name="_Toc7829"/>
      <w:bookmarkStart w:id="1732" w:name="_Toc12076"/>
      <w:bookmarkStart w:id="1733" w:name="_Toc21630"/>
      <w:bookmarkStart w:id="1734" w:name="_Toc13973"/>
      <w:bookmarkStart w:id="1735" w:name="_Toc23784"/>
      <w:r>
        <w:rPr>
          <w:rFonts w:hint="eastAsia" w:ascii="仿宋" w:hAnsi="仿宋" w:eastAsia="仿宋" w:cs="仿宋"/>
          <w:b/>
          <w:bCs/>
          <w:color w:val="auto"/>
          <w:highlight w:val="none"/>
          <w:lang w:eastAsia="zh-CN"/>
        </w:rPr>
        <w:br w:type="page"/>
      </w:r>
    </w:p>
    <w:p w14:paraId="08E74909">
      <w:pPr>
        <w:spacing w:before="240" w:beforeLines="100" w:after="240" w:afterLines="100" w:line="360" w:lineRule="auto"/>
        <w:outlineLvl w:val="1"/>
        <w:rPr>
          <w:rFonts w:hint="eastAsia" w:ascii="仿宋" w:hAnsi="仿宋" w:eastAsia="仿宋" w:cs="仿宋"/>
          <w:b/>
          <w:bCs/>
          <w:color w:val="auto"/>
          <w:highlight w:val="none"/>
          <w:lang w:eastAsia="zh-CN"/>
        </w:rPr>
      </w:pPr>
      <w:bookmarkStart w:id="1736" w:name="_Toc28026"/>
      <w:r>
        <w:rPr>
          <w:rFonts w:hint="eastAsia" w:ascii="仿宋" w:hAnsi="仿宋" w:eastAsia="仿宋" w:cs="仿宋"/>
          <w:b/>
          <w:bCs/>
          <w:color w:val="auto"/>
          <w:highlight w:val="none"/>
          <w:lang w:eastAsia="zh-CN"/>
        </w:rPr>
        <w:t>格式</w:t>
      </w:r>
      <w:bookmarkEnd w:id="1717"/>
      <w:bookmarkEnd w:id="1718"/>
      <w:bookmarkEnd w:id="1719"/>
      <w:r>
        <w:rPr>
          <w:rFonts w:hint="eastAsia" w:ascii="仿宋" w:hAnsi="仿宋" w:eastAsia="仿宋" w:cs="仿宋"/>
          <w:b/>
          <w:bCs/>
          <w:color w:val="auto"/>
          <w:highlight w:val="none"/>
          <w:lang w:eastAsia="zh-CN"/>
        </w:rPr>
        <w:t>4 支付担保</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2BE98E13">
      <w:pPr>
        <w:spacing w:line="360" w:lineRule="auto"/>
        <w:jc w:val="center"/>
        <w:rPr>
          <w:rFonts w:hint="eastAsia" w:ascii="仿宋" w:hAnsi="仿宋" w:eastAsia="仿宋"/>
          <w:b/>
          <w:bCs/>
          <w:color w:val="auto"/>
          <w:spacing w:val="40"/>
          <w:sz w:val="36"/>
          <w:szCs w:val="36"/>
          <w:highlight w:val="none"/>
          <w:lang w:eastAsia="zh-CN"/>
        </w:rPr>
      </w:pPr>
      <w:r>
        <w:rPr>
          <w:rFonts w:hint="eastAsia" w:ascii="仿宋" w:hAnsi="仿宋" w:eastAsia="仿宋" w:cs="仿宋"/>
          <w:b/>
          <w:bCs/>
          <w:color w:val="auto"/>
          <w:spacing w:val="40"/>
          <w:sz w:val="36"/>
          <w:szCs w:val="36"/>
          <w:highlight w:val="none"/>
          <w:lang w:eastAsia="zh-CN"/>
        </w:rPr>
        <w:t>支付担保</w:t>
      </w:r>
    </w:p>
    <w:p w14:paraId="39FC4465">
      <w:pPr>
        <w:spacing w:line="360" w:lineRule="auto"/>
        <w:rPr>
          <w:rFonts w:hint="eastAsia" w:ascii="仿宋" w:hAnsi="仿宋" w:eastAsia="仿宋"/>
          <w:color w:val="auto"/>
          <w:highlight w:val="none"/>
          <w:lang w:eastAsia="zh-CN"/>
        </w:rPr>
      </w:pPr>
    </w:p>
    <w:p w14:paraId="1DD8BA33">
      <w:pPr>
        <w:spacing w:line="360" w:lineRule="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致：</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（承包人全称）</w:t>
      </w:r>
      <w:r>
        <w:rPr>
          <w:rFonts w:ascii="仿宋" w:hAnsi="仿宋" w:eastAsia="仿宋" w:cs="仿宋"/>
          <w:color w:val="auto"/>
          <w:highlight w:val="none"/>
          <w:lang w:eastAsia="zh-CN"/>
        </w:rPr>
        <w:t xml:space="preserve">   </w:t>
      </w:r>
    </w:p>
    <w:p w14:paraId="1E6BF266">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鉴于</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（发包人全称）</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下称“发包人”</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与</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（承包人全称）</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下称“承包人”</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签订</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（工程名称）施工合同</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编号</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日签署</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并保证发包人按合同约定履行向承包人支付工程价款及其他应支付款项等全部合同价款的义务和责任；承包人在合同中要求发包人应通过经认可的担保人提交合同指约定的发包人履行本合同全部义务和责任的担保金额等事实，我方愿意为发包人担保，以担保金额人民币</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大写</w:t>
      </w:r>
      <w:r>
        <w:rPr>
          <w:rFonts w:ascii="仿宋" w:hAnsi="仿宋" w:eastAsia="仿宋" w:cs="仿宋"/>
          <w:color w:val="auto"/>
          <w:highlight w:val="none"/>
          <w:lang w:eastAsia="zh-CN"/>
        </w:rPr>
        <w:t>)</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r>
        <w:rPr>
          <w:rFonts w:ascii="仿宋" w:hAnsi="仿宋" w:eastAsia="仿宋" w:cs="仿宋"/>
          <w:color w:val="auto"/>
          <w:highlight w:val="none"/>
          <w:lang w:eastAsia="zh-CN"/>
        </w:rPr>
        <w:t xml:space="preserve"> (</w:t>
      </w:r>
      <w:r>
        <w:rPr>
          <w:rFonts w:ascii="宋体" w:hAnsi="宋体" w:eastAsia="仿宋"/>
          <w:color w:val="auto"/>
          <w:highlight w:val="none"/>
          <w:lang w:eastAsia="zh-CN"/>
        </w:rPr>
        <w:t>¥</w:t>
      </w:r>
      <w:r>
        <w:rPr>
          <w:rFonts w:ascii="仿宋" w:hAnsi="仿宋" w:eastAsia="仿宋" w:cs="仿宋"/>
          <w:color w:val="auto"/>
          <w:highlight w:val="none"/>
          <w:lang w:eastAsia="zh-CN"/>
        </w:rPr>
        <w:t xml:space="preserve"> </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向承包人提供不可撤销的担保。</w:t>
      </w:r>
    </w:p>
    <w:p w14:paraId="2E3EEB8D">
      <w:pPr>
        <w:spacing w:line="360" w:lineRule="auto"/>
        <w:ind w:firstLine="480" w:firstLineChars="20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如果发包人在履行合同过程中不按合同约定支付全部合同价款或违背合同约定的义务和责任时，我方保证在担保金额额度内偿还或偿清承包人因发包人该项违约或违背所造成的经济损失，并在接到承包人要求的第</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天内予以支付，承包人应提供发包人有上述违约或违背合同约定事实的证据或相关的证明材料。</w:t>
      </w:r>
      <w:r>
        <w:rPr>
          <w:rFonts w:ascii="仿宋" w:hAnsi="仿宋" w:eastAsia="仿宋" w:cs="仿宋"/>
          <w:color w:val="auto"/>
          <w:highlight w:val="none"/>
          <w:lang w:eastAsia="zh-CN"/>
        </w:rPr>
        <w:t xml:space="preserve">         </w:t>
      </w:r>
    </w:p>
    <w:p w14:paraId="3EDF586A">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在向我方提出要求前，我方将不坚持要求承包人首先向发包人提出上述款项的索赔。</w:t>
      </w:r>
    </w:p>
    <w:p w14:paraId="194FAC55">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我方承诺：不论是否经我方知晓或同意，我方的义务和责任不因合同双方当事人对合同条款所作的任何修改或补充而解除。</w:t>
      </w:r>
    </w:p>
    <w:p w14:paraId="2092F9D8">
      <w:pPr>
        <w:spacing w:line="360" w:lineRule="auto"/>
        <w:ind w:firstLine="48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本支付担保自合同双方当事人签署施工合同之日起生效，至担保金额支付完毕，或除质量保证金外，发包人向承包人支付全部合同价款完毕后的第</w:t>
      </w:r>
      <w:r>
        <w:rPr>
          <w:rFonts w:ascii="仿宋" w:hAnsi="仿宋" w:eastAsia="仿宋" w:cs="仿宋"/>
          <w:color w:val="auto"/>
          <w:highlight w:val="none"/>
          <w:lang w:eastAsia="zh-CN"/>
        </w:rPr>
        <w:t>15</w:t>
      </w:r>
      <w:r>
        <w:rPr>
          <w:rFonts w:hint="eastAsia" w:ascii="仿宋" w:hAnsi="仿宋" w:eastAsia="仿宋" w:cs="仿宋"/>
          <w:color w:val="auto"/>
          <w:highlight w:val="none"/>
          <w:lang w:eastAsia="zh-CN"/>
        </w:rPr>
        <w:t>天止。</w:t>
      </w:r>
    </w:p>
    <w:p w14:paraId="41879974">
      <w:pPr>
        <w:spacing w:line="360" w:lineRule="auto"/>
        <w:ind w:firstLine="480"/>
        <w:rPr>
          <w:rFonts w:hint="eastAsia" w:ascii="仿宋" w:hAnsi="仿宋" w:eastAsia="仿宋"/>
          <w:color w:val="auto"/>
          <w:highlight w:val="none"/>
          <w:lang w:eastAsia="zh-CN"/>
        </w:rPr>
      </w:pPr>
    </w:p>
    <w:p w14:paraId="0A16C3A5">
      <w:pPr>
        <w:spacing w:line="360" w:lineRule="auto"/>
        <w:ind w:firstLine="480"/>
        <w:rPr>
          <w:rFonts w:hint="eastAsia" w:ascii="仿宋" w:hAnsi="仿宋" w:eastAsia="仿宋"/>
          <w:color w:val="auto"/>
          <w:highlight w:val="none"/>
          <w:lang w:eastAsia="zh-CN"/>
        </w:rPr>
      </w:pPr>
    </w:p>
    <w:p w14:paraId="265C55E1">
      <w:pPr>
        <w:spacing w:line="360" w:lineRule="auto"/>
        <w:ind w:firstLine="480"/>
        <w:rPr>
          <w:rFonts w:hint="eastAsia" w:ascii="仿宋" w:hAnsi="仿宋" w:eastAsia="仿宋"/>
          <w:color w:val="auto"/>
          <w:highlight w:val="none"/>
          <w:lang w:eastAsia="zh-CN"/>
        </w:rPr>
      </w:pPr>
    </w:p>
    <w:p w14:paraId="3F575069">
      <w:pPr>
        <w:spacing w:line="360" w:lineRule="auto"/>
        <w:rPr>
          <w:rFonts w:hint="eastAsia" w:ascii="仿宋" w:hAnsi="仿宋" w:eastAsia="仿宋" w:cs="仿宋"/>
          <w:color w:val="auto"/>
          <w:highlight w:val="none"/>
          <w:lang w:eastAsia="zh-CN"/>
        </w:rPr>
      </w:pPr>
    </w:p>
    <w:p w14:paraId="13B4A46A">
      <w:pPr>
        <w:spacing w:line="360" w:lineRule="auto"/>
        <w:ind w:firstLine="480"/>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担保人盖章：</w:t>
      </w:r>
    </w:p>
    <w:p w14:paraId="141428F0">
      <w:pPr>
        <w:spacing w:line="360" w:lineRule="auto"/>
        <w:ind w:firstLine="48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法定代表人或其授权的代理人：</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签字签章</w:t>
      </w:r>
      <w:r>
        <w:rPr>
          <w:rFonts w:ascii="仿宋" w:hAnsi="仿宋" w:eastAsia="仿宋" w:cs="仿宋"/>
          <w:color w:val="auto"/>
          <w:highlight w:val="none"/>
          <w:lang w:eastAsia="zh-CN"/>
        </w:rPr>
        <w:t xml:space="preserve">)                                                         </w:t>
      </w:r>
    </w:p>
    <w:p w14:paraId="64733C07">
      <w:pPr>
        <w:spacing w:line="360" w:lineRule="auto"/>
        <w:ind w:firstLine="4560" w:firstLineChars="1900"/>
        <w:rPr>
          <w:rFonts w:hint="eastAsia" w:ascii="仿宋" w:hAnsi="仿宋" w:eastAsia="仿宋" w:cs="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地址：</w:t>
      </w:r>
      <w:r>
        <w:rPr>
          <w:rFonts w:ascii="仿宋" w:hAnsi="仿宋" w:eastAsia="仿宋" w:cs="仿宋"/>
          <w:color w:val="auto"/>
          <w:highlight w:val="none"/>
          <w:lang w:eastAsia="zh-CN"/>
        </w:rPr>
        <w:t xml:space="preserve"> </w:t>
      </w:r>
    </w:p>
    <w:p w14:paraId="33D2C544">
      <w:pPr>
        <w:spacing w:line="360" w:lineRule="auto"/>
        <w:rPr>
          <w:rFonts w:hint="eastAsia" w:ascii="仿宋" w:hAnsi="仿宋" w:eastAsia="仿宋"/>
          <w:color w:val="auto"/>
          <w:highlight w:val="none"/>
          <w:lang w:eastAsia="zh-CN"/>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日期：</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w:t>
      </w:r>
    </w:p>
    <w:p w14:paraId="37E68AAF">
      <w:pPr>
        <w:spacing w:before="240" w:beforeLines="100" w:after="240" w:afterLines="100"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737" w:name="_Toc10624990"/>
      <w:bookmarkStart w:id="1738" w:name="_Toc266892930"/>
      <w:bookmarkStart w:id="1739" w:name="_Toc469384146"/>
      <w:bookmarkStart w:id="1740" w:name="_Toc15584"/>
      <w:bookmarkStart w:id="1741" w:name="_Toc21784"/>
      <w:bookmarkStart w:id="1742" w:name="_Toc2249"/>
      <w:bookmarkStart w:id="1743" w:name="_Toc19772"/>
      <w:bookmarkStart w:id="1744" w:name="_Toc21670"/>
      <w:bookmarkStart w:id="1745" w:name="_Toc5209"/>
      <w:bookmarkStart w:id="1746" w:name="_Toc29381"/>
      <w:bookmarkStart w:id="1747" w:name="_Toc18150"/>
      <w:bookmarkStart w:id="1748" w:name="_Toc7529"/>
      <w:bookmarkStart w:id="1749" w:name="_Toc30028"/>
      <w:bookmarkStart w:id="1750" w:name="_Toc6422"/>
      <w:bookmarkStart w:id="1751" w:name="_Toc8766"/>
      <w:bookmarkStart w:id="1752" w:name="_Toc27103"/>
      <w:bookmarkStart w:id="1753" w:name="_Toc28136"/>
      <w:bookmarkStart w:id="1754" w:name="_Toc5098"/>
      <w:bookmarkStart w:id="1755" w:name="_Toc16975"/>
      <w:bookmarkStart w:id="1756" w:name="_Toc22594"/>
      <w:r>
        <w:rPr>
          <w:rFonts w:hint="eastAsia" w:ascii="仿宋" w:hAnsi="仿宋" w:eastAsia="仿宋" w:cs="仿宋"/>
          <w:b/>
          <w:bCs/>
          <w:color w:val="auto"/>
          <w:highlight w:val="none"/>
          <w:lang w:eastAsia="zh-CN"/>
        </w:rPr>
        <w:t>格式</w:t>
      </w:r>
      <w:bookmarkEnd w:id="1737"/>
      <w:bookmarkEnd w:id="1738"/>
      <w:bookmarkEnd w:id="1739"/>
      <w:r>
        <w:rPr>
          <w:rFonts w:hint="eastAsia" w:ascii="仿宋" w:hAnsi="仿宋" w:eastAsia="仿宋" w:cs="仿宋"/>
          <w:b/>
          <w:bCs/>
          <w:color w:val="auto"/>
          <w:highlight w:val="none"/>
          <w:lang w:eastAsia="zh-CN"/>
        </w:rPr>
        <w:t>5 工程项目一览表</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2633245">
      <w:pPr>
        <w:spacing w:line="360" w:lineRule="auto"/>
        <w:jc w:val="center"/>
        <w:rPr>
          <w:rFonts w:hint="eastAsia" w:ascii="仿宋" w:hAnsi="仿宋" w:eastAsia="仿宋"/>
          <w:b/>
          <w:bCs/>
          <w:color w:val="auto"/>
          <w:spacing w:val="30"/>
          <w:sz w:val="44"/>
          <w:szCs w:val="44"/>
          <w:highlight w:val="none"/>
        </w:rPr>
      </w:pPr>
      <w:r>
        <w:rPr>
          <w:rFonts w:hint="eastAsia" w:ascii="仿宋" w:hAnsi="仿宋" w:eastAsia="仿宋" w:cs="仿宋"/>
          <w:b/>
          <w:bCs/>
          <w:color w:val="auto"/>
          <w:spacing w:val="30"/>
          <w:sz w:val="44"/>
          <w:szCs w:val="44"/>
          <w:highlight w:val="none"/>
        </w:rPr>
        <w:t>工程项目一览表</w:t>
      </w:r>
    </w:p>
    <w:tbl>
      <w:tblPr>
        <w:tblStyle w:val="78"/>
        <w:tblW w:w="0" w:type="auto"/>
        <w:jc w:val="center"/>
        <w:tblLayout w:type="fixed"/>
        <w:tblCellMar>
          <w:top w:w="0" w:type="dxa"/>
          <w:left w:w="108" w:type="dxa"/>
          <w:bottom w:w="0" w:type="dxa"/>
          <w:right w:w="108" w:type="dxa"/>
        </w:tblCellMar>
      </w:tblPr>
      <w:tblGrid>
        <w:gridCol w:w="1960"/>
        <w:gridCol w:w="2993"/>
        <w:gridCol w:w="5202"/>
      </w:tblGrid>
      <w:tr w14:paraId="59AD3ABD">
        <w:tblPrEx>
          <w:tblCellMar>
            <w:top w:w="0" w:type="dxa"/>
            <w:left w:w="108" w:type="dxa"/>
            <w:bottom w:w="0" w:type="dxa"/>
            <w:right w:w="108" w:type="dxa"/>
          </w:tblCellMar>
        </w:tblPrEx>
        <w:trPr>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528C3A9C">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b/>
                <w:bCs/>
                <w:color w:val="auto"/>
                <w:sz w:val="32"/>
                <w:szCs w:val="32"/>
                <w:highlight w:val="none"/>
              </w:rPr>
            </w:pPr>
            <w:r>
              <w:rPr>
                <w:rFonts w:hint="eastAsia" w:ascii="仿宋" w:hAnsi="仿宋" w:eastAsia="仿宋" w:cs="仿宋"/>
                <w:b/>
                <w:bCs/>
                <w:color w:val="auto"/>
                <w:sz w:val="32"/>
                <w:szCs w:val="32"/>
                <w:highlight w:val="none"/>
              </w:rPr>
              <w:t>项号</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68B15FB1">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b/>
                <w:bCs/>
                <w:color w:val="auto"/>
                <w:sz w:val="32"/>
                <w:szCs w:val="32"/>
                <w:highlight w:val="none"/>
              </w:rPr>
            </w:pPr>
            <w:r>
              <w:rPr>
                <w:rFonts w:hint="eastAsia" w:ascii="仿宋" w:hAnsi="仿宋" w:eastAsia="仿宋" w:cs="仿宋"/>
                <w:b/>
                <w:bCs/>
                <w:color w:val="auto"/>
                <w:sz w:val="32"/>
                <w:szCs w:val="32"/>
                <w:highlight w:val="none"/>
              </w:rPr>
              <w:t>项</w:t>
            </w:r>
            <w:r>
              <w:rPr>
                <w:rFonts w:hint="default" w:ascii="仿宋" w:hAnsi="仿宋" w:eastAsia="仿宋" w:cs="仿宋"/>
                <w:b/>
                <w:bCs/>
                <w:color w:val="auto"/>
                <w:sz w:val="32"/>
                <w:szCs w:val="32"/>
                <w:highlight w:val="none"/>
              </w:rPr>
              <w:t xml:space="preserve"> </w:t>
            </w:r>
            <w:r>
              <w:rPr>
                <w:rFonts w:hint="eastAsia" w:ascii="仿宋" w:hAnsi="仿宋" w:eastAsia="仿宋" w:cs="仿宋"/>
                <w:b/>
                <w:bCs/>
                <w:color w:val="auto"/>
                <w:sz w:val="32"/>
                <w:szCs w:val="32"/>
                <w:highlight w:val="none"/>
              </w:rPr>
              <w:t>目</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77B0EE27">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b/>
                <w:bCs/>
                <w:color w:val="auto"/>
                <w:sz w:val="32"/>
                <w:szCs w:val="32"/>
                <w:highlight w:val="none"/>
              </w:rPr>
            </w:pPr>
            <w:r>
              <w:rPr>
                <w:rFonts w:hint="eastAsia" w:ascii="仿宋" w:hAnsi="仿宋" w:eastAsia="仿宋" w:cs="仿宋"/>
                <w:b/>
                <w:bCs/>
                <w:color w:val="auto"/>
                <w:sz w:val="32"/>
                <w:szCs w:val="32"/>
                <w:highlight w:val="none"/>
              </w:rPr>
              <w:t>内</w:t>
            </w:r>
            <w:r>
              <w:rPr>
                <w:rFonts w:hint="default" w:ascii="仿宋" w:hAnsi="仿宋" w:eastAsia="仿宋" w:cs="仿宋"/>
                <w:b/>
                <w:bCs/>
                <w:color w:val="auto"/>
                <w:sz w:val="32"/>
                <w:szCs w:val="32"/>
                <w:highlight w:val="none"/>
              </w:rPr>
              <w:t xml:space="preserve">      </w:t>
            </w:r>
            <w:r>
              <w:rPr>
                <w:rFonts w:hint="eastAsia" w:ascii="仿宋" w:hAnsi="仿宋" w:eastAsia="仿宋" w:cs="仿宋"/>
                <w:b/>
                <w:bCs/>
                <w:color w:val="auto"/>
                <w:sz w:val="32"/>
                <w:szCs w:val="32"/>
                <w:highlight w:val="none"/>
              </w:rPr>
              <w:t>容</w:t>
            </w:r>
          </w:p>
        </w:tc>
      </w:tr>
      <w:tr w14:paraId="2F6968C9">
        <w:tblPrEx>
          <w:tblCellMar>
            <w:top w:w="0" w:type="dxa"/>
            <w:left w:w="108" w:type="dxa"/>
            <w:bottom w:w="0" w:type="dxa"/>
            <w:right w:w="108" w:type="dxa"/>
          </w:tblCellMar>
        </w:tblPrEx>
        <w:trPr>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65B34624">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1</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2996B8F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r>
              <w:rPr>
                <w:rFonts w:hint="eastAsia" w:ascii="仿宋" w:hAnsi="仿宋" w:eastAsia="仿宋" w:cs="仿宋"/>
                <w:color w:val="auto"/>
                <w:sz w:val="28"/>
                <w:szCs w:val="28"/>
                <w:highlight w:val="none"/>
              </w:rPr>
              <w:t>工程名称</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16435039">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p>
        </w:tc>
      </w:tr>
      <w:tr w14:paraId="1007822D">
        <w:tblPrEx>
          <w:tblCellMar>
            <w:top w:w="0" w:type="dxa"/>
            <w:left w:w="108" w:type="dxa"/>
            <w:bottom w:w="0" w:type="dxa"/>
            <w:right w:w="108" w:type="dxa"/>
          </w:tblCellMar>
        </w:tblPrEx>
        <w:trPr>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79E5A4D5">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2</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79F179F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w w:val="90"/>
                <w:sz w:val="28"/>
                <w:szCs w:val="28"/>
                <w:highlight w:val="none"/>
              </w:rPr>
            </w:pPr>
            <w:r>
              <w:rPr>
                <w:rFonts w:hint="eastAsia" w:ascii="仿宋" w:hAnsi="仿宋" w:eastAsia="仿宋" w:cs="仿宋"/>
                <w:color w:val="auto"/>
                <w:sz w:val="28"/>
                <w:szCs w:val="28"/>
                <w:highlight w:val="none"/>
              </w:rPr>
              <w:t>工程地点</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2A2CB424">
            <w:pPr>
              <w:keepNext w:val="0"/>
              <w:keepLines w:val="0"/>
              <w:widowControl/>
              <w:suppressLineNumbers w:val="0"/>
              <w:spacing w:before="0" w:beforeAutospacing="0" w:after="0" w:afterAutospacing="0" w:line="360" w:lineRule="auto"/>
              <w:ind w:left="-6" w:right="0" w:firstLine="6"/>
              <w:jc w:val="center"/>
              <w:rPr>
                <w:rFonts w:hint="eastAsia" w:ascii="仿宋" w:hAnsi="仿宋" w:eastAsia="仿宋"/>
                <w:color w:val="auto"/>
                <w:sz w:val="28"/>
                <w:szCs w:val="28"/>
                <w:highlight w:val="none"/>
              </w:rPr>
            </w:pPr>
          </w:p>
        </w:tc>
      </w:tr>
      <w:tr w14:paraId="536D3960">
        <w:tblPrEx>
          <w:tblCellMar>
            <w:top w:w="0" w:type="dxa"/>
            <w:left w:w="108" w:type="dxa"/>
            <w:bottom w:w="0" w:type="dxa"/>
            <w:right w:w="108" w:type="dxa"/>
          </w:tblCellMar>
        </w:tblPrEx>
        <w:trPr>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0B19BB90">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3</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753D34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r>
              <w:rPr>
                <w:rFonts w:hint="eastAsia" w:ascii="仿宋" w:hAnsi="仿宋" w:eastAsia="仿宋" w:cs="仿宋"/>
                <w:color w:val="auto"/>
                <w:sz w:val="28"/>
                <w:szCs w:val="28"/>
                <w:highlight w:val="none"/>
              </w:rPr>
              <w:t>发包人</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48071995">
            <w:pPr>
              <w:keepNext w:val="0"/>
              <w:keepLines w:val="0"/>
              <w:widowControl/>
              <w:suppressLineNumbers w:val="0"/>
              <w:spacing w:before="0" w:beforeAutospacing="0" w:after="0" w:afterAutospacing="0" w:line="360" w:lineRule="auto"/>
              <w:ind w:left="-6" w:right="0" w:firstLine="6"/>
              <w:jc w:val="center"/>
              <w:rPr>
                <w:rFonts w:hint="eastAsia" w:ascii="仿宋" w:hAnsi="仿宋" w:eastAsia="仿宋"/>
                <w:color w:val="auto"/>
                <w:sz w:val="28"/>
                <w:szCs w:val="28"/>
                <w:highlight w:val="none"/>
              </w:rPr>
            </w:pPr>
          </w:p>
        </w:tc>
      </w:tr>
      <w:tr w14:paraId="7D0E13EF">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203F0652">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4</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2CE2479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r>
              <w:rPr>
                <w:rFonts w:hint="eastAsia" w:ascii="仿宋" w:hAnsi="仿宋" w:eastAsia="仿宋" w:cs="仿宋"/>
                <w:color w:val="auto"/>
                <w:sz w:val="28"/>
                <w:szCs w:val="28"/>
                <w:highlight w:val="none"/>
              </w:rPr>
              <w:t>设计人</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7FE1307C">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p>
        </w:tc>
      </w:tr>
      <w:tr w14:paraId="299AF684">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201FA0A7">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5</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7862DEA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r>
              <w:rPr>
                <w:rFonts w:hint="eastAsia" w:ascii="仿宋" w:hAnsi="仿宋" w:eastAsia="仿宋" w:cs="仿宋"/>
                <w:color w:val="auto"/>
                <w:sz w:val="28"/>
                <w:szCs w:val="28"/>
                <w:highlight w:val="none"/>
              </w:rPr>
              <w:t>监理人</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0404075C">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p>
        </w:tc>
      </w:tr>
      <w:tr w14:paraId="76101DDC">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38EFF23B">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6</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682C97D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lang w:eastAsia="zh-CN"/>
              </w:rPr>
            </w:pPr>
            <w:r>
              <w:rPr>
                <w:rFonts w:hint="eastAsia" w:ascii="仿宋" w:hAnsi="仿宋" w:eastAsia="仿宋" w:cs="仿宋"/>
                <w:color w:val="auto"/>
                <w:sz w:val="28"/>
                <w:szCs w:val="28"/>
                <w:highlight w:val="none"/>
                <w:lang w:eastAsia="zh-CN"/>
              </w:rPr>
              <w:t>工程造价咨询人（如有）</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11C9640E">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lang w:eastAsia="zh-CN"/>
              </w:rPr>
            </w:pPr>
          </w:p>
        </w:tc>
      </w:tr>
      <w:tr w14:paraId="48875EC2">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63568AA3">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7</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0A118A0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r>
              <w:rPr>
                <w:rFonts w:hint="eastAsia" w:ascii="仿宋" w:hAnsi="仿宋" w:eastAsia="仿宋" w:cs="仿宋"/>
                <w:color w:val="auto"/>
                <w:sz w:val="28"/>
                <w:szCs w:val="28"/>
                <w:highlight w:val="none"/>
              </w:rPr>
              <w:t>承包人</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5DE8D6DA">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p>
        </w:tc>
      </w:tr>
      <w:tr w14:paraId="14D1EE94">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0C4B1218">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8</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3701DF7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w w:val="90"/>
                <w:sz w:val="28"/>
                <w:szCs w:val="28"/>
                <w:highlight w:val="none"/>
              </w:rPr>
            </w:pPr>
            <w:r>
              <w:rPr>
                <w:rFonts w:hint="eastAsia" w:ascii="仿宋" w:hAnsi="仿宋" w:eastAsia="仿宋" w:cs="仿宋"/>
                <w:color w:val="auto"/>
                <w:sz w:val="28"/>
                <w:szCs w:val="28"/>
                <w:highlight w:val="none"/>
              </w:rPr>
              <w:t>工程总投资</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5DE77DCC">
            <w:pPr>
              <w:pStyle w:val="32"/>
              <w:keepNext w:val="0"/>
              <w:keepLines w:val="0"/>
              <w:widowControl/>
              <w:suppressLineNumbers w:val="0"/>
              <w:spacing w:before="0" w:beforeAutospacing="0" w:after="0" w:afterAutospacing="0" w:line="360" w:lineRule="auto"/>
              <w:ind w:left="-3" w:right="0" w:firstLine="3"/>
              <w:jc w:val="center"/>
              <w:rPr>
                <w:rFonts w:hint="eastAsia" w:ascii="仿宋" w:hAnsi="仿宋" w:eastAsia="仿宋"/>
                <w:color w:val="auto"/>
                <w:sz w:val="28"/>
                <w:szCs w:val="28"/>
                <w:highlight w:val="none"/>
              </w:rPr>
            </w:pPr>
          </w:p>
        </w:tc>
      </w:tr>
      <w:tr w14:paraId="4710A648">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54BA53B8">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9</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0B2A9D4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r>
              <w:rPr>
                <w:rFonts w:hint="eastAsia" w:ascii="仿宋" w:hAnsi="仿宋" w:eastAsia="仿宋" w:cs="仿宋"/>
                <w:color w:val="auto"/>
                <w:sz w:val="28"/>
                <w:szCs w:val="28"/>
                <w:highlight w:val="none"/>
              </w:rPr>
              <w:t>计划开工日期</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7CE061B0">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p>
        </w:tc>
      </w:tr>
      <w:tr w14:paraId="16910850">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64C7F00C">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10</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6550D8A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r>
              <w:rPr>
                <w:rFonts w:hint="eastAsia" w:ascii="仿宋" w:hAnsi="仿宋" w:eastAsia="仿宋" w:cs="仿宋"/>
                <w:color w:val="auto"/>
                <w:sz w:val="28"/>
                <w:szCs w:val="28"/>
                <w:highlight w:val="none"/>
              </w:rPr>
              <w:t>计划竣工日期</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69950FEE">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p>
        </w:tc>
      </w:tr>
      <w:tr w14:paraId="08ED2854">
        <w:tblPrEx>
          <w:tblCellMar>
            <w:top w:w="0" w:type="dxa"/>
            <w:left w:w="108" w:type="dxa"/>
            <w:bottom w:w="0" w:type="dxa"/>
            <w:right w:w="108" w:type="dxa"/>
          </w:tblCellMar>
        </w:tblPrEx>
        <w:trPr>
          <w:cantSplit/>
          <w:trHeight w:val="1000" w:hRule="atLeast"/>
          <w:jc w:val="center"/>
        </w:trPr>
        <w:tc>
          <w:tcPr>
            <w:tcW w:w="1960" w:type="dxa"/>
            <w:tcBorders>
              <w:top w:val="single" w:color="auto" w:sz="4" w:space="0"/>
              <w:left w:val="single" w:color="auto" w:sz="4" w:space="0"/>
              <w:bottom w:val="single" w:color="auto" w:sz="4" w:space="0"/>
              <w:right w:val="single" w:color="auto" w:sz="4" w:space="0"/>
            </w:tcBorders>
            <w:shd w:val="pct80" w:color="FFFFFF" w:fill="auto"/>
            <w:vAlign w:val="center"/>
          </w:tcPr>
          <w:p w14:paraId="54F89949">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s="仿宋"/>
                <w:b/>
                <w:bCs/>
                <w:color w:val="auto"/>
                <w:sz w:val="28"/>
                <w:szCs w:val="28"/>
                <w:highlight w:val="none"/>
              </w:rPr>
            </w:pPr>
            <w:r>
              <w:rPr>
                <w:rFonts w:hint="default" w:ascii="仿宋" w:hAnsi="仿宋" w:eastAsia="仿宋" w:cs="仿宋"/>
                <w:b/>
                <w:bCs/>
                <w:color w:val="auto"/>
                <w:sz w:val="28"/>
                <w:szCs w:val="28"/>
                <w:highlight w:val="none"/>
              </w:rPr>
              <w:t>11</w:t>
            </w:r>
          </w:p>
        </w:tc>
        <w:tc>
          <w:tcPr>
            <w:tcW w:w="2993" w:type="dxa"/>
            <w:tcBorders>
              <w:top w:val="single" w:color="auto" w:sz="4" w:space="0"/>
              <w:left w:val="single" w:color="auto" w:sz="4" w:space="0"/>
              <w:bottom w:val="single" w:color="auto" w:sz="4" w:space="0"/>
              <w:right w:val="single" w:color="auto" w:sz="4" w:space="0"/>
            </w:tcBorders>
            <w:shd w:val="pct80" w:color="FFFFFF" w:fill="auto"/>
            <w:vAlign w:val="center"/>
          </w:tcPr>
          <w:p w14:paraId="601D768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r>
              <w:rPr>
                <w:rFonts w:hint="eastAsia" w:ascii="仿宋" w:hAnsi="仿宋" w:eastAsia="仿宋" w:cs="仿宋"/>
                <w:color w:val="auto"/>
                <w:sz w:val="28"/>
                <w:szCs w:val="28"/>
                <w:highlight w:val="none"/>
              </w:rPr>
              <w:t>工程质量</w:t>
            </w:r>
          </w:p>
        </w:tc>
        <w:tc>
          <w:tcPr>
            <w:tcW w:w="5202" w:type="dxa"/>
            <w:tcBorders>
              <w:top w:val="single" w:color="auto" w:sz="4" w:space="0"/>
              <w:left w:val="single" w:color="auto" w:sz="4" w:space="0"/>
              <w:bottom w:val="single" w:color="auto" w:sz="4" w:space="0"/>
              <w:right w:val="single" w:color="auto" w:sz="4" w:space="0"/>
            </w:tcBorders>
            <w:shd w:val="pct80" w:color="FFFFFF" w:fill="auto"/>
            <w:vAlign w:val="center"/>
          </w:tcPr>
          <w:p w14:paraId="65585621">
            <w:pPr>
              <w:pStyle w:val="2"/>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sz w:val="28"/>
                <w:szCs w:val="28"/>
                <w:highlight w:val="none"/>
              </w:rPr>
            </w:pPr>
          </w:p>
        </w:tc>
      </w:tr>
    </w:tbl>
    <w:p w14:paraId="0D30C70E">
      <w:pPr>
        <w:spacing w:line="360" w:lineRule="auto"/>
        <w:rPr>
          <w:rFonts w:hint="eastAsia" w:ascii="仿宋" w:hAnsi="仿宋" w:eastAsia="仿宋"/>
          <w:color w:val="auto"/>
          <w:highlight w:val="none"/>
        </w:rPr>
        <w:sectPr>
          <w:endnotePr>
            <w:numFmt w:val="decimal"/>
          </w:endnotePr>
          <w:pgSz w:w="11906" w:h="16838"/>
          <w:pgMar w:top="1418" w:right="737" w:bottom="851" w:left="737" w:header="0" w:footer="0" w:gutter="0"/>
          <w:cols w:space="720" w:num="1"/>
        </w:sectPr>
      </w:pPr>
    </w:p>
    <w:p w14:paraId="235121D4">
      <w:pPr>
        <w:spacing w:before="240" w:beforeLines="100" w:after="240" w:afterLines="100" w:line="360" w:lineRule="auto"/>
        <w:outlineLvl w:val="1"/>
        <w:rPr>
          <w:rFonts w:hint="eastAsia" w:ascii="仿宋" w:hAnsi="仿宋" w:eastAsia="仿宋" w:cs="仿宋"/>
          <w:b/>
          <w:bCs/>
          <w:color w:val="auto"/>
          <w:highlight w:val="none"/>
          <w:lang w:eastAsia="zh-CN"/>
        </w:rPr>
      </w:pPr>
      <w:bookmarkStart w:id="1757" w:name="_Toc266892931"/>
      <w:bookmarkStart w:id="1758" w:name="_Toc10624991"/>
      <w:bookmarkStart w:id="1759" w:name="_Toc469384147"/>
      <w:bookmarkStart w:id="1760" w:name="_Toc16819"/>
      <w:bookmarkStart w:id="1761" w:name="_Toc543"/>
      <w:bookmarkStart w:id="1762" w:name="_Toc21685"/>
      <w:bookmarkStart w:id="1763" w:name="_Toc31974"/>
      <w:bookmarkStart w:id="1764" w:name="_Toc29708"/>
      <w:bookmarkStart w:id="1765" w:name="_Toc32619"/>
      <w:bookmarkStart w:id="1766" w:name="_Toc31792"/>
      <w:bookmarkStart w:id="1767" w:name="_Toc17153"/>
      <w:bookmarkStart w:id="1768" w:name="_Toc25295"/>
      <w:bookmarkStart w:id="1769" w:name="_Toc1676"/>
      <w:bookmarkStart w:id="1770" w:name="_Toc27850"/>
      <w:bookmarkStart w:id="1771" w:name="_Toc4796"/>
      <w:bookmarkStart w:id="1772" w:name="_Toc30569"/>
      <w:bookmarkStart w:id="1773" w:name="_Toc10081"/>
      <w:bookmarkStart w:id="1774" w:name="_Toc5118"/>
      <w:bookmarkStart w:id="1775" w:name="_Toc10465"/>
      <w:bookmarkStart w:id="1776" w:name="_Toc19276"/>
      <w:r>
        <w:rPr>
          <w:rFonts w:hint="eastAsia" w:ascii="仿宋" w:hAnsi="仿宋" w:eastAsia="仿宋" w:cs="仿宋"/>
          <w:b/>
          <w:bCs/>
          <w:color w:val="auto"/>
          <w:highlight w:val="none"/>
          <w:lang w:eastAsia="zh-CN"/>
        </w:rPr>
        <w:t>格式</w:t>
      </w:r>
      <w:bookmarkEnd w:id="1757"/>
      <w:bookmarkEnd w:id="1758"/>
      <w:bookmarkEnd w:id="1759"/>
      <w:r>
        <w:rPr>
          <w:rFonts w:hint="eastAsia" w:ascii="仿宋" w:hAnsi="仿宋" w:eastAsia="仿宋" w:cs="仿宋"/>
          <w:b/>
          <w:bCs/>
          <w:color w:val="auto"/>
          <w:highlight w:val="none"/>
          <w:lang w:eastAsia="zh-CN"/>
        </w:rPr>
        <w:t>6 承包人派驻现场主要管理人员及技术骨干名单</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7A8B8F43">
      <w:pPr>
        <w:spacing w:line="360" w:lineRule="auto"/>
        <w:jc w:val="center"/>
        <w:rPr>
          <w:rFonts w:hint="eastAsia" w:ascii="仿宋" w:hAnsi="仿宋" w:eastAsia="仿宋"/>
          <w:b/>
          <w:bCs/>
          <w:color w:val="auto"/>
          <w:spacing w:val="32"/>
          <w:kern w:val="36"/>
          <w:sz w:val="36"/>
          <w:szCs w:val="36"/>
          <w:highlight w:val="none"/>
          <w:lang w:eastAsia="zh-CN"/>
        </w:rPr>
      </w:pPr>
      <w:r>
        <w:rPr>
          <w:rFonts w:hint="eastAsia" w:ascii="仿宋" w:hAnsi="仿宋" w:eastAsia="仿宋" w:cs="仿宋"/>
          <w:b/>
          <w:bCs/>
          <w:color w:val="auto"/>
          <w:spacing w:val="32"/>
          <w:kern w:val="36"/>
          <w:sz w:val="36"/>
          <w:szCs w:val="36"/>
          <w:highlight w:val="none"/>
          <w:lang w:eastAsia="zh-CN"/>
        </w:rPr>
        <w:t>承包人派驻现场主要管理人员及技术骨干名单</w:t>
      </w:r>
    </w:p>
    <w:p w14:paraId="570407F5">
      <w:pPr>
        <w:spacing w:line="360" w:lineRule="auto"/>
        <w:rPr>
          <w:rFonts w:hint="eastAsia" w:ascii="仿宋" w:hAnsi="仿宋" w:eastAsia="仿宋"/>
          <w:color w:val="auto"/>
          <w:highlight w:val="none"/>
        </w:rPr>
      </w:pPr>
      <w:r>
        <w:rPr>
          <w:rFonts w:ascii="仿宋" w:hAnsi="仿宋" w:eastAsia="仿宋" w:cs="仿宋"/>
          <w:color w:val="auto"/>
          <w:highlight w:val="none"/>
          <w:lang w:eastAsia="zh-CN"/>
        </w:rPr>
        <w:t xml:space="preserve">   </w:t>
      </w:r>
      <w:r>
        <w:rPr>
          <w:rFonts w:hint="eastAsia" w:ascii="仿宋" w:hAnsi="仿宋" w:eastAsia="仿宋" w:cs="仿宋"/>
          <w:color w:val="auto"/>
          <w:highlight w:val="none"/>
        </w:rPr>
        <w:t>工程名称：</w:t>
      </w:r>
      <w:r>
        <w:rPr>
          <w:rFonts w:ascii="仿宋" w:hAnsi="仿宋" w:eastAsia="仿宋" w:cs="仿宋"/>
          <w:color w:val="auto"/>
          <w:highlight w:val="none"/>
        </w:rPr>
        <w:t xml:space="preserve">                                                                                  </w:t>
      </w:r>
      <w:r>
        <w:rPr>
          <w:rFonts w:hint="eastAsia" w:ascii="仿宋" w:hAnsi="仿宋" w:eastAsia="仿宋" w:cs="仿宋"/>
          <w:color w:val="auto"/>
          <w:highlight w:val="none"/>
        </w:rPr>
        <w:t>编号：</w:t>
      </w:r>
    </w:p>
    <w:tbl>
      <w:tblPr>
        <w:tblStyle w:val="78"/>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2"/>
        <w:gridCol w:w="772"/>
        <w:gridCol w:w="772"/>
        <w:gridCol w:w="772"/>
        <w:gridCol w:w="772"/>
        <w:gridCol w:w="772"/>
        <w:gridCol w:w="1284"/>
        <w:gridCol w:w="1157"/>
        <w:gridCol w:w="970"/>
        <w:gridCol w:w="982"/>
        <w:gridCol w:w="1311"/>
        <w:gridCol w:w="2137"/>
        <w:gridCol w:w="2300"/>
      </w:tblGrid>
      <w:tr w14:paraId="77093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261" w:type="pct"/>
            <w:vAlign w:val="center"/>
          </w:tcPr>
          <w:p w14:paraId="50B21D5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序号</w:t>
            </w:r>
          </w:p>
        </w:tc>
        <w:tc>
          <w:tcPr>
            <w:tcW w:w="261" w:type="pct"/>
            <w:vAlign w:val="center"/>
          </w:tcPr>
          <w:p w14:paraId="5C1C7C8D">
            <w:pPr>
              <w:keepNext w:val="0"/>
              <w:keepLines w:val="0"/>
              <w:widowControl/>
              <w:suppressLineNumbers w:val="0"/>
              <w:tabs>
                <w:tab w:val="left" w:pos="150"/>
              </w:tabs>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姓名</w:t>
            </w:r>
          </w:p>
        </w:tc>
        <w:tc>
          <w:tcPr>
            <w:tcW w:w="261" w:type="pct"/>
            <w:vAlign w:val="center"/>
          </w:tcPr>
          <w:p w14:paraId="4BE3274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性别</w:t>
            </w:r>
          </w:p>
        </w:tc>
        <w:tc>
          <w:tcPr>
            <w:tcW w:w="261" w:type="pct"/>
            <w:vAlign w:val="center"/>
          </w:tcPr>
          <w:p w14:paraId="6466CAD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年龄</w:t>
            </w:r>
          </w:p>
        </w:tc>
        <w:tc>
          <w:tcPr>
            <w:tcW w:w="261" w:type="pct"/>
            <w:vAlign w:val="center"/>
          </w:tcPr>
          <w:p w14:paraId="5681C56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学历</w:t>
            </w:r>
          </w:p>
        </w:tc>
        <w:tc>
          <w:tcPr>
            <w:tcW w:w="261" w:type="pct"/>
            <w:vAlign w:val="center"/>
          </w:tcPr>
          <w:p w14:paraId="4B7F96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专业</w:t>
            </w:r>
          </w:p>
        </w:tc>
        <w:tc>
          <w:tcPr>
            <w:tcW w:w="434" w:type="pct"/>
            <w:vAlign w:val="center"/>
          </w:tcPr>
          <w:p w14:paraId="78AE436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现任职务、</w:t>
            </w:r>
          </w:p>
          <w:p w14:paraId="505DA09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技术职务</w:t>
            </w:r>
          </w:p>
        </w:tc>
        <w:tc>
          <w:tcPr>
            <w:tcW w:w="391" w:type="pct"/>
            <w:vAlign w:val="center"/>
          </w:tcPr>
          <w:p w14:paraId="32E67B3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联系电话</w:t>
            </w:r>
          </w:p>
        </w:tc>
        <w:tc>
          <w:tcPr>
            <w:tcW w:w="328" w:type="pct"/>
            <w:vAlign w:val="center"/>
          </w:tcPr>
          <w:p w14:paraId="4F1226A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专业</w:t>
            </w:r>
          </w:p>
          <w:p w14:paraId="0661B28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工龄</w:t>
            </w:r>
          </w:p>
        </w:tc>
        <w:tc>
          <w:tcPr>
            <w:tcW w:w="332" w:type="pct"/>
            <w:vAlign w:val="center"/>
          </w:tcPr>
          <w:p w14:paraId="6D0BBBE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专业</w:t>
            </w:r>
          </w:p>
          <w:p w14:paraId="7634E10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特长</w:t>
            </w:r>
          </w:p>
        </w:tc>
        <w:tc>
          <w:tcPr>
            <w:tcW w:w="443" w:type="pct"/>
            <w:vAlign w:val="center"/>
          </w:tcPr>
          <w:p w14:paraId="65AA1F2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从事施工</w:t>
            </w:r>
          </w:p>
          <w:p w14:paraId="4A7A62B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工作年限</w:t>
            </w:r>
          </w:p>
        </w:tc>
        <w:tc>
          <w:tcPr>
            <w:tcW w:w="722" w:type="pct"/>
            <w:vAlign w:val="center"/>
          </w:tcPr>
          <w:p w14:paraId="5429621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主要专业工作经历（曾参与过的羡慕和获奖情况）</w:t>
            </w:r>
          </w:p>
        </w:tc>
        <w:tc>
          <w:tcPr>
            <w:tcW w:w="777" w:type="pct"/>
            <w:vAlign w:val="center"/>
          </w:tcPr>
          <w:p w14:paraId="52A3F56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在本工程担任职务</w:t>
            </w:r>
          </w:p>
        </w:tc>
      </w:tr>
      <w:tr w14:paraId="4E256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trPr>
        <w:tc>
          <w:tcPr>
            <w:tcW w:w="261" w:type="pct"/>
            <w:vAlign w:val="center"/>
          </w:tcPr>
          <w:p w14:paraId="3888C78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725BDEF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4985577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1B78360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6DBDC2A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23E129C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100D930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73CE99E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57F2563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06E2FB4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4CCE0D6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17E5475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51EEB86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59D83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261" w:type="pct"/>
            <w:vAlign w:val="center"/>
          </w:tcPr>
          <w:p w14:paraId="0CA8B1D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3EBB5EC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35307BD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200BEF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04E085E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347E818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743C0D3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3ED46D9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767C4B7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1968BEE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627031E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0538500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5C62EAD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80C4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vAlign w:val="center"/>
          </w:tcPr>
          <w:p w14:paraId="5630A6A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23765C4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0EBF53E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5D01C62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281B200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33A89B4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665A2B3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2C37D15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7465D4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01862AA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131F40C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3104F2A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25DDC64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4B32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vAlign w:val="center"/>
          </w:tcPr>
          <w:p w14:paraId="19EE282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60860CB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11A2D86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2F55581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78212E5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2BFAA99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4A493A3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764AE51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3244458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002D1F1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5E0EB2A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74E7E5A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7F6299C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9D2B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vAlign w:val="center"/>
          </w:tcPr>
          <w:p w14:paraId="69176CE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42B8B7A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43693E5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3789081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1F0914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3A54316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4AF863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360B6E7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6F98CC1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53D9EBB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6A358EC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23B3F97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4A76C79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2E1A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vAlign w:val="center"/>
          </w:tcPr>
          <w:p w14:paraId="34D0B6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45F39A6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2D76AE8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3D12D78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16E2FF0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1D5E971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50D74E9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6EEF76C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73ADCF9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6E02DA4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7E7DD08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3BB6B8E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6BE0E76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22095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vAlign w:val="center"/>
          </w:tcPr>
          <w:p w14:paraId="4C48990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1824348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400010B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5D8DDEA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26A3598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63AF487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567CF48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12BE727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2F3AA7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7836237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4FFC6E4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221F0A4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1BDA555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FA0D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261" w:type="pct"/>
            <w:vAlign w:val="center"/>
          </w:tcPr>
          <w:p w14:paraId="5C8690A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31690B2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25DD838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3E0B99E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5E1BEDC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707F158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566AF65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6079A7A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362153B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37944C3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4F3DE76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14E31E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6805BFE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6A70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261" w:type="pct"/>
            <w:vAlign w:val="center"/>
          </w:tcPr>
          <w:p w14:paraId="199A14D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471F815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1EB271C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3EC494F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1693E39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428E9DC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74479C2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7A3F761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6FA2210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39DAE1B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1D11016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30702F9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5ADEF69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7268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61" w:type="pct"/>
            <w:vAlign w:val="center"/>
          </w:tcPr>
          <w:p w14:paraId="400F4E8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2645ABF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59E2679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5DADBFC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6DA456D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54A5675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687AC65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49176E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22EA1F7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0AC5184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4640462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2AD076D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1A6C488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AA3C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61" w:type="pct"/>
            <w:vAlign w:val="center"/>
          </w:tcPr>
          <w:p w14:paraId="2D6486A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048E4B0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61DFF76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6823BB7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3DDB4D7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2136F55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546FE0A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630A47C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1C70605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1E2D4C5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4AD671C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1FD8E1A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5E547F4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2507D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61" w:type="pct"/>
            <w:vAlign w:val="center"/>
          </w:tcPr>
          <w:p w14:paraId="27A01B9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tcPr>
          <w:p w14:paraId="4450189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4FCB7E4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4CB7DFC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450FBBE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61" w:type="pct"/>
            <w:vAlign w:val="center"/>
          </w:tcPr>
          <w:p w14:paraId="07A8E0D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34" w:type="pct"/>
            <w:vAlign w:val="center"/>
          </w:tcPr>
          <w:p w14:paraId="74C57F7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91" w:type="pct"/>
            <w:vAlign w:val="center"/>
          </w:tcPr>
          <w:p w14:paraId="57B845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28" w:type="pct"/>
            <w:vAlign w:val="center"/>
          </w:tcPr>
          <w:p w14:paraId="533F27D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32" w:type="pct"/>
            <w:vAlign w:val="center"/>
          </w:tcPr>
          <w:p w14:paraId="38E874E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443" w:type="pct"/>
            <w:vAlign w:val="center"/>
          </w:tcPr>
          <w:p w14:paraId="48DA20F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22" w:type="pct"/>
          </w:tcPr>
          <w:p w14:paraId="73300D3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777" w:type="pct"/>
          </w:tcPr>
          <w:p w14:paraId="157783C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bl>
    <w:p w14:paraId="3A023407">
      <w:pPr>
        <w:ind w:left="1027" w:leftChars="428"/>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表中人员一经确认不得随意修改变换。如需变换，应按照通用条款第</w:t>
      </w:r>
      <w:r>
        <w:rPr>
          <w:rFonts w:ascii="仿宋" w:hAnsi="仿宋" w:eastAsia="仿宋" w:cs="仿宋"/>
          <w:color w:val="auto"/>
          <w:highlight w:val="none"/>
          <w:lang w:eastAsia="zh-CN"/>
        </w:rPr>
        <w:t xml:space="preserve"> 21 </w:t>
      </w:r>
      <w:r>
        <w:rPr>
          <w:rFonts w:hint="eastAsia" w:ascii="仿宋" w:hAnsi="仿宋" w:eastAsia="仿宋" w:cs="仿宋"/>
          <w:color w:val="auto"/>
          <w:highlight w:val="none"/>
          <w:lang w:eastAsia="zh-CN"/>
        </w:rPr>
        <w:t>条规定执行。</w:t>
      </w:r>
      <w:r>
        <w:rPr>
          <w:rFonts w:ascii="仿宋" w:hAnsi="仿宋" w:eastAsia="仿宋" w:cs="仿宋"/>
          <w:color w:val="auto"/>
          <w:highlight w:val="none"/>
          <w:lang w:eastAsia="zh-CN"/>
        </w:rPr>
        <w:t xml:space="preserve"> </w:t>
      </w:r>
    </w:p>
    <w:p w14:paraId="0192B927">
      <w:pPr>
        <w:ind w:left="1848" w:leftChars="77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表中人员必须提供为其购买的社会养老保险费用凭证。</w:t>
      </w:r>
    </w:p>
    <w:p w14:paraId="74D5C104">
      <w:pPr>
        <w:ind w:left="1848" w:leftChars="770"/>
        <w:rPr>
          <w:rFonts w:hint="eastAsia" w:ascii="仿宋" w:hAnsi="仿宋" w:eastAsia="仿宋"/>
          <w:color w:val="auto"/>
          <w:highlight w:val="none"/>
          <w:lang w:eastAsia="zh-CN"/>
        </w:rPr>
      </w:pP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承包人应提供表中人员的聘用合同、专业技术职称书等复印件。</w:t>
      </w:r>
    </w:p>
    <w:p w14:paraId="475AAAF8">
      <w:pPr>
        <w:rPr>
          <w:rFonts w:hint="eastAsia" w:ascii="仿宋" w:hAnsi="仿宋" w:eastAsia="仿宋"/>
          <w:color w:val="auto"/>
          <w:highlight w:val="none"/>
          <w:lang w:eastAsia="zh-CN"/>
        </w:rPr>
        <w:sectPr>
          <w:endnotePr>
            <w:numFmt w:val="decimal"/>
          </w:endnotePr>
          <w:pgSz w:w="16838" w:h="11906" w:orient="landscape"/>
          <w:pgMar w:top="737" w:right="1418" w:bottom="737" w:left="851" w:header="0" w:footer="0" w:gutter="0"/>
          <w:cols w:space="720" w:num="1"/>
        </w:sectPr>
      </w:pPr>
    </w:p>
    <w:p w14:paraId="7C5DBC7D">
      <w:pPr>
        <w:spacing w:before="240" w:beforeLines="100" w:after="240" w:afterLines="100" w:line="360" w:lineRule="auto"/>
        <w:outlineLvl w:val="1"/>
        <w:rPr>
          <w:rFonts w:hint="eastAsia" w:ascii="仿宋" w:hAnsi="仿宋" w:eastAsia="仿宋" w:cs="仿宋"/>
          <w:b/>
          <w:bCs/>
          <w:color w:val="auto"/>
          <w:highlight w:val="none"/>
          <w:lang w:eastAsia="zh-CN"/>
        </w:rPr>
      </w:pPr>
      <w:bookmarkStart w:id="1777" w:name="_Toc469384148"/>
      <w:bookmarkStart w:id="1778" w:name="_Toc10624992"/>
      <w:bookmarkStart w:id="1779" w:name="_Toc266892932"/>
      <w:bookmarkStart w:id="1780" w:name="_Toc31702"/>
      <w:bookmarkStart w:id="1781" w:name="_Toc7287"/>
      <w:bookmarkStart w:id="1782" w:name="_Toc7862"/>
      <w:bookmarkStart w:id="1783" w:name="_Toc28829"/>
      <w:bookmarkStart w:id="1784" w:name="_Toc21673"/>
      <w:bookmarkStart w:id="1785" w:name="_Toc3524"/>
      <w:bookmarkStart w:id="1786" w:name="_Toc26342"/>
      <w:bookmarkStart w:id="1787" w:name="_Toc3506"/>
      <w:bookmarkStart w:id="1788" w:name="_Toc19685"/>
      <w:bookmarkStart w:id="1789" w:name="_Toc24401"/>
      <w:bookmarkStart w:id="1790" w:name="_Toc5423"/>
      <w:bookmarkStart w:id="1791" w:name="_Toc17838"/>
      <w:bookmarkStart w:id="1792" w:name="_Toc10336"/>
      <w:bookmarkStart w:id="1793" w:name="_Toc24413"/>
      <w:bookmarkStart w:id="1794" w:name="_Toc23567"/>
      <w:bookmarkStart w:id="1795" w:name="_Toc28249"/>
      <w:bookmarkStart w:id="1796" w:name="_Toc2347"/>
      <w:r>
        <w:rPr>
          <w:rFonts w:hint="eastAsia" w:ascii="仿宋" w:hAnsi="仿宋" w:eastAsia="仿宋" w:cs="仿宋"/>
          <w:b/>
          <w:bCs/>
          <w:color w:val="auto"/>
          <w:highlight w:val="none"/>
          <w:lang w:eastAsia="zh-CN"/>
        </w:rPr>
        <w:t>格式</w:t>
      </w:r>
      <w:bookmarkEnd w:id="1777"/>
      <w:bookmarkEnd w:id="1778"/>
      <w:bookmarkEnd w:id="1779"/>
      <w:r>
        <w:rPr>
          <w:rFonts w:hint="eastAsia" w:ascii="仿宋" w:hAnsi="仿宋" w:eastAsia="仿宋" w:cs="仿宋"/>
          <w:b/>
          <w:bCs/>
          <w:color w:val="auto"/>
          <w:highlight w:val="none"/>
          <w:lang w:eastAsia="zh-CN"/>
        </w:rPr>
        <w:t>7 分包单位资格报审表</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331503CB">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分包单位资格报审表</w:t>
      </w:r>
    </w:p>
    <w:p w14:paraId="483F4A4D">
      <w:pPr>
        <w:spacing w:line="360" w:lineRule="auto"/>
        <w:ind w:firstLine="120" w:firstLineChars="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工程名称</w:t>
      </w:r>
      <w:r>
        <w:rPr>
          <w:rFonts w:ascii="仿宋" w:hAnsi="仿宋" w:eastAsia="仿宋" w:cs="仿宋"/>
          <w:color w:val="auto"/>
          <w:highlight w:val="none"/>
          <w:lang w:eastAsia="zh-CN"/>
        </w:rPr>
        <w:t>:</w:t>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编号</w:t>
      </w:r>
      <w:r>
        <w:rPr>
          <w:rFonts w:ascii="仿宋" w:hAnsi="仿宋" w:eastAsia="仿宋" w:cs="仿宋"/>
          <w:color w:val="auto"/>
          <w:highlight w:val="none"/>
          <w:lang w:eastAsia="zh-CN"/>
        </w:rPr>
        <w:t>:</w:t>
      </w:r>
    </w:p>
    <w:tbl>
      <w:tblPr>
        <w:tblStyle w:val="7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5"/>
        <w:gridCol w:w="1532"/>
        <w:gridCol w:w="2506"/>
        <w:gridCol w:w="3056"/>
      </w:tblGrid>
      <w:tr w14:paraId="4A7F0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2" w:hRule="atLeast"/>
          <w:jc w:val="center"/>
        </w:trPr>
        <w:tc>
          <w:tcPr>
            <w:tcW w:w="10269" w:type="dxa"/>
            <w:gridSpan w:val="4"/>
            <w:tcBorders>
              <w:top w:val="single" w:color="auto" w:sz="6" w:space="0"/>
              <w:left w:val="single" w:color="auto" w:sz="6" w:space="0"/>
              <w:bottom w:val="single" w:color="auto" w:sz="6" w:space="0"/>
              <w:right w:val="single" w:color="auto" w:sz="6" w:space="0"/>
            </w:tcBorders>
          </w:tcPr>
          <w:p w14:paraId="3F1257B8">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（监理单位全称）</w:t>
            </w:r>
          </w:p>
          <w:p w14:paraId="3DBC0F53">
            <w:pPr>
              <w:keepNext w:val="0"/>
              <w:keepLines w:val="0"/>
              <w:widowControl/>
              <w:suppressLineNumbers w:val="0"/>
              <w:spacing w:before="0" w:beforeAutospacing="0" w:after="0" w:afterAutospacing="0" w:line="360" w:lineRule="auto"/>
              <w:ind w:left="-28" w:right="0" w:firstLine="54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经考察，我方拟选择的</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（分包人）具备承担下列工程施工资质和施工能力，可以保证本工程按合同约定进行施工。我方承诺：分包后，我方承担总包人的全部责任。请予以审批。</w:t>
            </w:r>
          </w:p>
          <w:p w14:paraId="72A4C90D">
            <w:pPr>
              <w:keepNext w:val="0"/>
              <w:keepLines w:val="0"/>
              <w:widowControl/>
              <w:suppressLineNumbers w:val="0"/>
              <w:spacing w:before="0" w:beforeAutospacing="0" w:after="0" w:afterAutospacing="0" w:line="360" w:lineRule="auto"/>
              <w:ind w:left="-28" w:right="0" w:firstLine="54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附</w:t>
            </w:r>
            <w:r>
              <w:rPr>
                <w:rFonts w:hint="default" w:ascii="仿宋" w:hAnsi="仿宋" w:eastAsia="仿宋" w:cs="仿宋"/>
                <w:color w:val="auto"/>
                <w:highlight w:val="none"/>
                <w:lang w:eastAsia="zh-CN"/>
              </w:rPr>
              <w:t>:1</w:t>
            </w:r>
            <w:r>
              <w:rPr>
                <w:rFonts w:hint="eastAsia" w:ascii="仿宋" w:hAnsi="仿宋" w:eastAsia="仿宋" w:cs="仿宋"/>
                <w:color w:val="auto"/>
                <w:highlight w:val="none"/>
                <w:lang w:eastAsia="zh-CN"/>
              </w:rPr>
              <w:t>．分包人资质材料；</w:t>
            </w:r>
          </w:p>
          <w:p w14:paraId="36C1F920">
            <w:pPr>
              <w:keepNext w:val="0"/>
              <w:keepLines w:val="0"/>
              <w:widowControl/>
              <w:suppressLineNumbers w:val="0"/>
              <w:spacing w:before="0" w:beforeAutospacing="0" w:after="0" w:afterAutospacing="0" w:line="360" w:lineRule="auto"/>
              <w:ind w:left="-28" w:right="0" w:firstLine="907"/>
              <w:rPr>
                <w:rFonts w:hint="eastAsia" w:ascii="仿宋" w:hAnsi="仿宋" w:eastAsia="仿宋"/>
                <w:color w:val="auto"/>
                <w:highlight w:val="none"/>
                <w:u w:val="single"/>
                <w:lang w:eastAsia="zh-CN"/>
              </w:rPr>
            </w:pPr>
            <w:r>
              <w:rPr>
                <w:rFonts w:hint="default" w:ascii="仿宋" w:hAnsi="仿宋" w:eastAsia="仿宋" w:cs="仿宋"/>
                <w:color w:val="auto"/>
                <w:highlight w:val="none"/>
                <w:lang w:eastAsia="zh-CN"/>
              </w:rPr>
              <w:t>2</w:t>
            </w:r>
            <w:r>
              <w:rPr>
                <w:rFonts w:hint="eastAsia" w:ascii="仿宋" w:hAnsi="仿宋" w:eastAsia="仿宋" w:cs="仿宋"/>
                <w:color w:val="auto"/>
                <w:highlight w:val="none"/>
                <w:lang w:eastAsia="zh-CN"/>
              </w:rPr>
              <w:t>．分包人业绩材料。</w:t>
            </w:r>
          </w:p>
        </w:tc>
      </w:tr>
      <w:tr w14:paraId="42081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3175" w:type="dxa"/>
            <w:tcBorders>
              <w:top w:val="single" w:color="auto" w:sz="6" w:space="0"/>
              <w:left w:val="single" w:color="auto" w:sz="6" w:space="0"/>
              <w:bottom w:val="single" w:color="auto" w:sz="6" w:space="0"/>
              <w:right w:val="single" w:color="auto" w:sz="6" w:space="0"/>
            </w:tcBorders>
          </w:tcPr>
          <w:p w14:paraId="0766AD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position w:val="6"/>
                <w:highlight w:val="none"/>
                <w:lang w:eastAsia="zh-CN"/>
              </w:rPr>
            </w:pPr>
            <w:r>
              <w:rPr>
                <w:rFonts w:hint="eastAsia" w:ascii="仿宋" w:hAnsi="仿宋" w:eastAsia="仿宋" w:cs="仿宋"/>
                <w:color w:val="auto"/>
                <w:position w:val="6"/>
                <w:highlight w:val="none"/>
                <w:lang w:eastAsia="zh-CN"/>
              </w:rPr>
              <w:t>分包工程名称（部位）</w:t>
            </w:r>
          </w:p>
        </w:tc>
        <w:tc>
          <w:tcPr>
            <w:tcW w:w="1532" w:type="dxa"/>
            <w:tcBorders>
              <w:top w:val="single" w:color="auto" w:sz="6" w:space="0"/>
              <w:left w:val="single" w:color="auto" w:sz="6" w:space="0"/>
              <w:bottom w:val="single" w:color="auto" w:sz="6" w:space="0"/>
              <w:right w:val="single" w:color="auto" w:sz="6" w:space="0"/>
            </w:tcBorders>
          </w:tcPr>
          <w:p w14:paraId="090AA85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position w:val="6"/>
                <w:highlight w:val="none"/>
              </w:rPr>
            </w:pPr>
            <w:r>
              <w:rPr>
                <w:rFonts w:hint="eastAsia" w:ascii="仿宋" w:hAnsi="仿宋" w:eastAsia="仿宋" w:cs="仿宋"/>
                <w:color w:val="auto"/>
                <w:position w:val="6"/>
                <w:highlight w:val="none"/>
              </w:rPr>
              <w:t>工程数量</w:t>
            </w:r>
          </w:p>
        </w:tc>
        <w:tc>
          <w:tcPr>
            <w:tcW w:w="2506" w:type="dxa"/>
            <w:tcBorders>
              <w:top w:val="single" w:color="auto" w:sz="6" w:space="0"/>
              <w:left w:val="single" w:color="auto" w:sz="6" w:space="0"/>
              <w:bottom w:val="single" w:color="auto" w:sz="6" w:space="0"/>
              <w:right w:val="single" w:color="auto" w:sz="6" w:space="0"/>
            </w:tcBorders>
          </w:tcPr>
          <w:p w14:paraId="78E9D84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position w:val="6"/>
                <w:highlight w:val="none"/>
              </w:rPr>
            </w:pPr>
            <w:r>
              <w:rPr>
                <w:rFonts w:hint="eastAsia" w:ascii="仿宋" w:hAnsi="仿宋" w:eastAsia="仿宋" w:cs="仿宋"/>
                <w:color w:val="auto"/>
                <w:position w:val="6"/>
                <w:highlight w:val="none"/>
              </w:rPr>
              <w:t>拟分包工程合同额</w:t>
            </w:r>
          </w:p>
        </w:tc>
        <w:tc>
          <w:tcPr>
            <w:tcW w:w="3056" w:type="dxa"/>
            <w:tcBorders>
              <w:top w:val="single" w:color="auto" w:sz="6" w:space="0"/>
              <w:left w:val="single" w:color="auto" w:sz="6" w:space="0"/>
              <w:bottom w:val="single" w:color="auto" w:sz="6" w:space="0"/>
              <w:right w:val="single" w:color="auto" w:sz="6" w:space="0"/>
            </w:tcBorders>
          </w:tcPr>
          <w:p w14:paraId="3E1B8D4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position w:val="6"/>
                <w:highlight w:val="none"/>
              </w:rPr>
            </w:pPr>
            <w:r>
              <w:rPr>
                <w:rFonts w:hint="eastAsia" w:ascii="仿宋" w:hAnsi="仿宋" w:eastAsia="仿宋" w:cs="仿宋"/>
                <w:color w:val="auto"/>
                <w:position w:val="6"/>
                <w:highlight w:val="none"/>
              </w:rPr>
              <w:t>分包工程占全部工程</w:t>
            </w:r>
          </w:p>
        </w:tc>
      </w:tr>
      <w:tr w14:paraId="3DA82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3175" w:type="dxa"/>
            <w:tcBorders>
              <w:top w:val="single" w:color="auto" w:sz="6" w:space="0"/>
              <w:left w:val="single" w:color="auto" w:sz="6" w:space="0"/>
              <w:bottom w:val="single" w:color="auto" w:sz="6" w:space="0"/>
              <w:right w:val="single" w:color="auto" w:sz="6" w:space="0"/>
            </w:tcBorders>
          </w:tcPr>
          <w:p w14:paraId="4AEE15A4">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1532" w:type="dxa"/>
            <w:tcBorders>
              <w:top w:val="single" w:color="auto" w:sz="6" w:space="0"/>
              <w:left w:val="single" w:color="auto" w:sz="6" w:space="0"/>
              <w:bottom w:val="single" w:color="auto" w:sz="6" w:space="0"/>
              <w:right w:val="single" w:color="auto" w:sz="6" w:space="0"/>
            </w:tcBorders>
          </w:tcPr>
          <w:p w14:paraId="2AC11C0E">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2506" w:type="dxa"/>
            <w:tcBorders>
              <w:top w:val="single" w:color="auto" w:sz="6" w:space="0"/>
              <w:left w:val="single" w:color="auto" w:sz="6" w:space="0"/>
              <w:bottom w:val="single" w:color="auto" w:sz="6" w:space="0"/>
              <w:right w:val="single" w:color="auto" w:sz="6" w:space="0"/>
            </w:tcBorders>
          </w:tcPr>
          <w:p w14:paraId="4D5E1901">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3056" w:type="dxa"/>
            <w:tcBorders>
              <w:top w:val="single" w:color="auto" w:sz="6" w:space="0"/>
              <w:left w:val="single" w:color="auto" w:sz="6" w:space="0"/>
              <w:bottom w:val="single" w:color="auto" w:sz="6" w:space="0"/>
              <w:right w:val="single" w:color="auto" w:sz="6" w:space="0"/>
            </w:tcBorders>
          </w:tcPr>
          <w:p w14:paraId="2DF225FD">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r>
      <w:tr w14:paraId="7FDD7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3175" w:type="dxa"/>
            <w:tcBorders>
              <w:top w:val="single" w:color="auto" w:sz="6" w:space="0"/>
              <w:left w:val="single" w:color="auto" w:sz="6" w:space="0"/>
              <w:bottom w:val="single" w:color="auto" w:sz="6" w:space="0"/>
              <w:right w:val="single" w:color="auto" w:sz="6" w:space="0"/>
            </w:tcBorders>
          </w:tcPr>
          <w:p w14:paraId="75F73E35">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1532" w:type="dxa"/>
            <w:tcBorders>
              <w:top w:val="single" w:color="auto" w:sz="6" w:space="0"/>
              <w:left w:val="single" w:color="auto" w:sz="6" w:space="0"/>
              <w:bottom w:val="single" w:color="auto" w:sz="6" w:space="0"/>
              <w:right w:val="single" w:color="auto" w:sz="6" w:space="0"/>
            </w:tcBorders>
          </w:tcPr>
          <w:p w14:paraId="291A730A">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2506" w:type="dxa"/>
            <w:tcBorders>
              <w:top w:val="single" w:color="auto" w:sz="6" w:space="0"/>
              <w:left w:val="single" w:color="auto" w:sz="6" w:space="0"/>
              <w:bottom w:val="single" w:color="auto" w:sz="6" w:space="0"/>
              <w:right w:val="single" w:color="auto" w:sz="6" w:space="0"/>
            </w:tcBorders>
          </w:tcPr>
          <w:p w14:paraId="76BBFCCE">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3056" w:type="dxa"/>
            <w:tcBorders>
              <w:top w:val="single" w:color="auto" w:sz="6" w:space="0"/>
              <w:left w:val="single" w:color="auto" w:sz="6" w:space="0"/>
              <w:bottom w:val="single" w:color="auto" w:sz="6" w:space="0"/>
              <w:right w:val="single" w:color="auto" w:sz="6" w:space="0"/>
            </w:tcBorders>
          </w:tcPr>
          <w:p w14:paraId="24DE5131">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r>
      <w:tr w14:paraId="376D1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3175" w:type="dxa"/>
            <w:tcBorders>
              <w:top w:val="single" w:color="auto" w:sz="6" w:space="0"/>
              <w:left w:val="single" w:color="auto" w:sz="6" w:space="0"/>
              <w:bottom w:val="single" w:color="auto" w:sz="6" w:space="0"/>
              <w:right w:val="single" w:color="auto" w:sz="6" w:space="0"/>
            </w:tcBorders>
          </w:tcPr>
          <w:p w14:paraId="6F14052F">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1532" w:type="dxa"/>
            <w:tcBorders>
              <w:top w:val="single" w:color="auto" w:sz="6" w:space="0"/>
              <w:left w:val="single" w:color="auto" w:sz="6" w:space="0"/>
              <w:bottom w:val="single" w:color="auto" w:sz="6" w:space="0"/>
              <w:right w:val="single" w:color="auto" w:sz="6" w:space="0"/>
            </w:tcBorders>
          </w:tcPr>
          <w:p w14:paraId="6E17E0C5">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2506" w:type="dxa"/>
            <w:tcBorders>
              <w:top w:val="single" w:color="auto" w:sz="6" w:space="0"/>
              <w:left w:val="single" w:color="auto" w:sz="6" w:space="0"/>
              <w:bottom w:val="single" w:color="auto" w:sz="6" w:space="0"/>
              <w:right w:val="single" w:color="auto" w:sz="6" w:space="0"/>
            </w:tcBorders>
          </w:tcPr>
          <w:p w14:paraId="2516D9C8">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3056" w:type="dxa"/>
            <w:tcBorders>
              <w:top w:val="single" w:color="auto" w:sz="6" w:space="0"/>
              <w:left w:val="single" w:color="auto" w:sz="6" w:space="0"/>
              <w:bottom w:val="single" w:color="auto" w:sz="6" w:space="0"/>
              <w:right w:val="single" w:color="auto" w:sz="6" w:space="0"/>
            </w:tcBorders>
          </w:tcPr>
          <w:p w14:paraId="78AD9D01">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r>
      <w:tr w14:paraId="23251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4707" w:type="dxa"/>
            <w:gridSpan w:val="2"/>
            <w:tcBorders>
              <w:top w:val="single" w:color="auto" w:sz="6" w:space="0"/>
              <w:left w:val="single" w:color="auto" w:sz="6" w:space="0"/>
              <w:bottom w:val="single" w:color="auto" w:sz="6" w:space="0"/>
              <w:right w:val="single" w:color="auto" w:sz="6" w:space="0"/>
            </w:tcBorders>
          </w:tcPr>
          <w:p w14:paraId="6F14EA0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position w:val="6"/>
                <w:highlight w:val="none"/>
              </w:rPr>
            </w:pPr>
            <w:r>
              <w:rPr>
                <w:rFonts w:hint="eastAsia" w:ascii="仿宋" w:hAnsi="仿宋" w:eastAsia="仿宋" w:cs="仿宋"/>
                <w:color w:val="auto"/>
                <w:position w:val="6"/>
                <w:highlight w:val="none"/>
              </w:rPr>
              <w:t>合</w:t>
            </w:r>
            <w:r>
              <w:rPr>
                <w:rFonts w:hint="default" w:ascii="仿宋" w:hAnsi="仿宋" w:eastAsia="仿宋" w:cs="仿宋"/>
                <w:color w:val="auto"/>
                <w:position w:val="6"/>
                <w:highlight w:val="none"/>
              </w:rPr>
              <w:t xml:space="preserve">       </w:t>
            </w:r>
            <w:r>
              <w:rPr>
                <w:rFonts w:hint="eastAsia" w:ascii="仿宋" w:hAnsi="仿宋" w:eastAsia="仿宋" w:cs="仿宋"/>
                <w:color w:val="auto"/>
                <w:position w:val="6"/>
                <w:highlight w:val="none"/>
              </w:rPr>
              <w:t>计</w:t>
            </w:r>
          </w:p>
        </w:tc>
        <w:tc>
          <w:tcPr>
            <w:tcW w:w="2506" w:type="dxa"/>
            <w:tcBorders>
              <w:top w:val="single" w:color="auto" w:sz="6" w:space="0"/>
              <w:left w:val="single" w:color="auto" w:sz="6" w:space="0"/>
              <w:bottom w:val="single" w:color="auto" w:sz="6" w:space="0"/>
              <w:right w:val="single" w:color="auto" w:sz="6" w:space="0"/>
            </w:tcBorders>
          </w:tcPr>
          <w:p w14:paraId="10639C70">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c>
          <w:tcPr>
            <w:tcW w:w="3056" w:type="dxa"/>
            <w:tcBorders>
              <w:top w:val="single" w:color="auto" w:sz="6" w:space="0"/>
              <w:left w:val="single" w:color="auto" w:sz="6" w:space="0"/>
              <w:bottom w:val="single" w:color="auto" w:sz="6" w:space="0"/>
              <w:right w:val="single" w:color="auto" w:sz="6" w:space="0"/>
            </w:tcBorders>
          </w:tcPr>
          <w:p w14:paraId="587532A7">
            <w:pPr>
              <w:keepNext w:val="0"/>
              <w:keepLines w:val="0"/>
              <w:widowControl/>
              <w:suppressLineNumbers w:val="0"/>
              <w:spacing w:before="0" w:beforeAutospacing="0" w:after="0" w:afterAutospacing="0" w:line="360" w:lineRule="auto"/>
              <w:ind w:left="0" w:right="0" w:firstLine="6087"/>
              <w:rPr>
                <w:rFonts w:hint="eastAsia" w:ascii="仿宋" w:hAnsi="仿宋" w:eastAsia="仿宋"/>
                <w:color w:val="auto"/>
                <w:highlight w:val="none"/>
              </w:rPr>
            </w:pPr>
          </w:p>
        </w:tc>
      </w:tr>
      <w:tr w14:paraId="25140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0269" w:type="dxa"/>
            <w:gridSpan w:val="4"/>
            <w:tcBorders>
              <w:top w:val="single" w:color="auto" w:sz="6" w:space="0"/>
              <w:left w:val="single" w:color="auto" w:sz="6" w:space="0"/>
              <w:bottom w:val="single" w:color="auto" w:sz="6" w:space="0"/>
              <w:right w:val="single" w:color="auto" w:sz="6" w:space="0"/>
            </w:tcBorders>
          </w:tcPr>
          <w:p w14:paraId="6050008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default" w:ascii="仿宋" w:hAnsi="仿宋" w:eastAsia="仿宋" w:cs="仿宋"/>
                <w:color w:val="auto"/>
                <w:highlight w:val="none"/>
              </w:rPr>
              <w:t xml:space="preserve"> </w:t>
            </w:r>
          </w:p>
          <w:p w14:paraId="7831B0CE">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u w:val="single"/>
              </w:rPr>
            </w:pPr>
            <w:r>
              <w:rPr>
                <w:rFonts w:hint="default" w:ascii="仿宋" w:hAnsi="仿宋" w:eastAsia="仿宋" w:cs="仿宋"/>
                <w:color w:val="auto"/>
                <w:highlight w:val="none"/>
              </w:rPr>
              <w:t xml:space="preserve">                                                   </w:t>
            </w:r>
            <w:r>
              <w:rPr>
                <w:rFonts w:hint="eastAsia" w:ascii="仿宋" w:hAnsi="仿宋" w:eastAsia="仿宋" w:cs="仿宋"/>
                <w:color w:val="auto"/>
                <w:highlight w:val="none"/>
              </w:rPr>
              <w:t>承包人（章）</w:t>
            </w:r>
            <w:r>
              <w:rPr>
                <w:rFonts w:hint="default" w:ascii="仿宋" w:hAnsi="仿宋" w:eastAsia="仿宋" w:cs="仿宋"/>
                <w:color w:val="auto"/>
                <w:highlight w:val="none"/>
              </w:rPr>
              <w:t xml:space="preserve">                 </w:t>
            </w:r>
          </w:p>
          <w:p w14:paraId="2558C6A6">
            <w:pPr>
              <w:keepNext w:val="0"/>
              <w:keepLines w:val="0"/>
              <w:widowControl/>
              <w:suppressLineNumbers w:val="0"/>
              <w:tabs>
                <w:tab w:val="left" w:pos="8982"/>
                <w:tab w:val="left" w:pos="9147"/>
              </w:tabs>
              <w:spacing w:before="0" w:beforeAutospacing="0" w:after="0" w:afterAutospacing="0" w:line="360" w:lineRule="auto"/>
              <w:ind w:left="0" w:right="0" w:firstLine="6120" w:firstLineChars="2550"/>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59C992DD">
            <w:pPr>
              <w:keepNext w:val="0"/>
              <w:keepLines w:val="0"/>
              <w:widowControl/>
              <w:suppressLineNumbers w:val="0"/>
              <w:spacing w:before="0" w:beforeAutospacing="0" w:after="0" w:afterAutospacing="0" w:line="360" w:lineRule="auto"/>
              <w:ind w:left="0" w:right="0" w:firstLine="6120" w:firstLineChars="255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15565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atLeast"/>
          <w:jc w:val="center"/>
        </w:trPr>
        <w:tc>
          <w:tcPr>
            <w:tcW w:w="10269" w:type="dxa"/>
            <w:gridSpan w:val="4"/>
            <w:tcBorders>
              <w:top w:val="single" w:color="auto" w:sz="6" w:space="0"/>
              <w:left w:val="single" w:color="auto" w:sz="6" w:space="0"/>
              <w:right w:val="single" w:color="auto" w:sz="6" w:space="0"/>
            </w:tcBorders>
          </w:tcPr>
          <w:p w14:paraId="0CCA69FB">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审查意见：</w:t>
            </w:r>
          </w:p>
          <w:p w14:paraId="4C5072BD">
            <w:pPr>
              <w:keepNext w:val="0"/>
              <w:keepLines w:val="0"/>
              <w:widowControl/>
              <w:suppressLineNumbers w:val="0"/>
              <w:tabs>
                <w:tab w:val="left" w:pos="6222"/>
              </w:tabs>
              <w:snapToGrid w:val="0"/>
              <w:spacing w:before="0" w:beforeAutospacing="0" w:after="0" w:afterAutospacing="0" w:line="360" w:lineRule="auto"/>
              <w:ind w:left="0" w:right="0"/>
              <w:rPr>
                <w:rFonts w:hint="eastAsia" w:ascii="仿宋" w:hAnsi="仿宋" w:eastAsia="仿宋" w:cs="仿宋"/>
                <w:color w:val="auto"/>
                <w:highlight w:val="none"/>
                <w:lang w:eastAsia="zh-CN"/>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监理人（章）</w:t>
            </w:r>
            <w:r>
              <w:rPr>
                <w:rFonts w:hint="default" w:ascii="仿宋" w:hAnsi="仿宋" w:eastAsia="仿宋" w:cs="仿宋"/>
                <w:color w:val="auto"/>
                <w:highlight w:val="none"/>
                <w:lang w:eastAsia="zh-CN"/>
              </w:rPr>
              <w:t xml:space="preserve">            </w:t>
            </w:r>
          </w:p>
          <w:p w14:paraId="454E8B1C">
            <w:pPr>
              <w:keepNext w:val="0"/>
              <w:keepLines w:val="0"/>
              <w:widowControl/>
              <w:suppressLineNumbers w:val="0"/>
              <w:tabs>
                <w:tab w:val="left" w:pos="6282"/>
              </w:tabs>
              <w:snapToGrid w:val="0"/>
              <w:spacing w:before="0" w:beforeAutospacing="0" w:after="0" w:afterAutospacing="0" w:line="360" w:lineRule="auto"/>
              <w:ind w:left="0" w:right="0" w:firstLine="6120" w:firstLineChars="2550"/>
              <w:rPr>
                <w:rFonts w:hint="eastAsia" w:ascii="仿宋" w:hAnsi="仿宋" w:eastAsia="仿宋" w:cs="仿宋"/>
                <w:color w:val="auto"/>
                <w:highlight w:val="none"/>
                <w:u w:val="single"/>
              </w:rPr>
            </w:pPr>
            <w:r>
              <w:rPr>
                <w:rFonts w:hint="eastAsia" w:ascii="仿宋" w:hAnsi="仿宋" w:eastAsia="仿宋" w:cs="仿宋"/>
                <w:color w:val="auto"/>
                <w:highlight w:val="none"/>
              </w:rPr>
              <w:t>监理工程师</w:t>
            </w:r>
            <w:r>
              <w:rPr>
                <w:rFonts w:hint="default" w:ascii="仿宋" w:hAnsi="仿宋" w:eastAsia="仿宋" w:cs="仿宋"/>
                <w:color w:val="auto"/>
                <w:highlight w:val="none"/>
                <w:u w:val="single"/>
              </w:rPr>
              <w:t xml:space="preserve">               </w:t>
            </w:r>
          </w:p>
          <w:p w14:paraId="713B91D4">
            <w:pPr>
              <w:keepNext w:val="0"/>
              <w:keepLines w:val="0"/>
              <w:widowControl/>
              <w:suppressLineNumbers w:val="0"/>
              <w:tabs>
                <w:tab w:val="left" w:pos="9132"/>
              </w:tabs>
              <w:snapToGrid w:val="0"/>
              <w:spacing w:before="0" w:beforeAutospacing="0" w:after="0" w:afterAutospacing="0" w:line="360" w:lineRule="auto"/>
              <w:ind w:left="0" w:right="0" w:firstLine="6120" w:firstLineChars="255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7F291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atLeast"/>
          <w:jc w:val="center"/>
        </w:trPr>
        <w:tc>
          <w:tcPr>
            <w:tcW w:w="10269" w:type="dxa"/>
            <w:gridSpan w:val="4"/>
            <w:tcBorders>
              <w:left w:val="single" w:color="auto" w:sz="6" w:space="0"/>
              <w:bottom w:val="single" w:color="auto" w:sz="6" w:space="0"/>
              <w:right w:val="single" w:color="auto" w:sz="6" w:space="0"/>
            </w:tcBorders>
          </w:tcPr>
          <w:p w14:paraId="2C7A8D5B">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审批意见</w:t>
            </w:r>
            <w:r>
              <w:rPr>
                <w:rFonts w:hint="default" w:ascii="仿宋" w:hAnsi="仿宋" w:eastAsia="仿宋" w:cs="仿宋"/>
                <w:color w:val="auto"/>
                <w:highlight w:val="none"/>
                <w:lang w:eastAsia="zh-CN"/>
              </w:rPr>
              <w:t>:</w:t>
            </w:r>
          </w:p>
          <w:p w14:paraId="748DACFA">
            <w:pPr>
              <w:keepNext w:val="0"/>
              <w:keepLines w:val="0"/>
              <w:widowControl/>
              <w:suppressLineNumbers w:val="0"/>
              <w:snapToGrid w:val="0"/>
              <w:spacing w:before="0" w:beforeAutospacing="0" w:after="0" w:afterAutospacing="0" w:line="360" w:lineRule="auto"/>
              <w:ind w:left="0" w:right="0" w:firstLine="6120" w:firstLineChars="25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发包人（章）</w:t>
            </w:r>
            <w:r>
              <w:rPr>
                <w:rFonts w:hint="default" w:ascii="仿宋" w:hAnsi="仿宋" w:eastAsia="仿宋" w:cs="仿宋"/>
                <w:color w:val="auto"/>
                <w:highlight w:val="none"/>
                <w:lang w:eastAsia="zh-CN"/>
              </w:rPr>
              <w:t xml:space="preserve">           </w:t>
            </w:r>
          </w:p>
          <w:p w14:paraId="7A31F99D">
            <w:pPr>
              <w:keepNext w:val="0"/>
              <w:keepLines w:val="0"/>
              <w:widowControl/>
              <w:suppressLineNumbers w:val="0"/>
              <w:tabs>
                <w:tab w:val="left" w:pos="2135"/>
                <w:tab w:val="left" w:pos="8862"/>
              </w:tabs>
              <w:snapToGrid w:val="0"/>
              <w:spacing w:before="0" w:beforeAutospacing="0" w:after="0" w:afterAutospacing="0" w:line="360" w:lineRule="auto"/>
              <w:ind w:left="0" w:right="0" w:firstLine="6120" w:firstLineChars="2550"/>
              <w:rPr>
                <w:rFonts w:hint="eastAsia" w:ascii="仿宋" w:hAnsi="仿宋" w:eastAsia="仿宋" w:cs="仿宋"/>
                <w:color w:val="auto"/>
                <w:highlight w:val="none"/>
                <w:u w:val="single"/>
              </w:rPr>
            </w:pPr>
            <w:r>
              <w:rPr>
                <w:rFonts w:hint="eastAsia" w:ascii="仿宋" w:hAnsi="仿宋" w:eastAsia="仿宋" w:cs="仿宋"/>
                <w:color w:val="auto"/>
                <w:highlight w:val="none"/>
              </w:rPr>
              <w:t>发包人代表</w:t>
            </w:r>
            <w:r>
              <w:rPr>
                <w:rFonts w:hint="default" w:ascii="仿宋" w:hAnsi="仿宋" w:eastAsia="仿宋" w:cs="仿宋"/>
                <w:color w:val="auto"/>
                <w:highlight w:val="none"/>
                <w:u w:val="single"/>
              </w:rPr>
              <w:t xml:space="preserve">               </w:t>
            </w:r>
          </w:p>
          <w:p w14:paraId="6A41F38B">
            <w:pPr>
              <w:keepNext w:val="0"/>
              <w:keepLines w:val="0"/>
              <w:widowControl/>
              <w:suppressLineNumbers w:val="0"/>
              <w:tabs>
                <w:tab w:val="left" w:pos="2135"/>
              </w:tabs>
              <w:snapToGrid w:val="0"/>
              <w:spacing w:before="0" w:beforeAutospacing="0" w:after="0" w:afterAutospacing="0" w:line="360" w:lineRule="auto"/>
              <w:ind w:left="0" w:right="0" w:firstLine="6120" w:firstLineChars="255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657A8652">
      <w:pPr>
        <w:spacing w:before="120" w:beforeLines="50"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说明：本表一式</w:t>
      </w:r>
      <w:r>
        <w:rPr>
          <w:rFonts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份，由承包人、监理单位、发包人按合同规定程序填制，并连同分包人各存一份。</w:t>
      </w:r>
    </w:p>
    <w:p w14:paraId="287FE350">
      <w:pPr>
        <w:spacing w:before="240" w:beforeLines="100" w:after="240" w:afterLines="100"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797" w:name="_Toc10624993"/>
      <w:bookmarkStart w:id="1798" w:name="_Toc469384149"/>
      <w:bookmarkStart w:id="1799" w:name="_Toc266892933"/>
      <w:bookmarkStart w:id="1800" w:name="_Toc5059"/>
      <w:bookmarkStart w:id="1801" w:name="_Toc28097"/>
      <w:bookmarkStart w:id="1802" w:name="_Toc16444"/>
      <w:bookmarkStart w:id="1803" w:name="_Toc3472"/>
      <w:bookmarkStart w:id="1804" w:name="_Toc5906"/>
      <w:bookmarkStart w:id="1805" w:name="_Toc2940"/>
      <w:bookmarkStart w:id="1806" w:name="_Toc15916"/>
      <w:bookmarkStart w:id="1807" w:name="_Toc25559"/>
      <w:bookmarkStart w:id="1808" w:name="_Toc20769"/>
      <w:bookmarkStart w:id="1809" w:name="_Toc30952"/>
      <w:bookmarkStart w:id="1810" w:name="_Toc6354"/>
      <w:bookmarkStart w:id="1811" w:name="_Toc23177"/>
      <w:bookmarkStart w:id="1812" w:name="_Toc29312"/>
      <w:bookmarkStart w:id="1813" w:name="_Toc23466"/>
      <w:bookmarkStart w:id="1814" w:name="_Toc17431"/>
      <w:bookmarkStart w:id="1815" w:name="_Toc3683"/>
      <w:r>
        <w:rPr>
          <w:rFonts w:hint="eastAsia" w:ascii="仿宋" w:hAnsi="仿宋" w:eastAsia="仿宋" w:cs="仿宋"/>
          <w:b/>
          <w:bCs/>
          <w:color w:val="auto"/>
          <w:highlight w:val="none"/>
          <w:lang w:eastAsia="zh-CN"/>
        </w:rPr>
        <w:t>格式</w:t>
      </w:r>
      <w:bookmarkEnd w:id="1797"/>
      <w:bookmarkEnd w:id="1798"/>
      <w:bookmarkEnd w:id="1799"/>
      <w:r>
        <w:rPr>
          <w:rFonts w:hint="eastAsia" w:ascii="仿宋" w:hAnsi="仿宋" w:eastAsia="仿宋" w:cs="仿宋"/>
          <w:b/>
          <w:bCs/>
          <w:color w:val="auto"/>
          <w:highlight w:val="none"/>
          <w:lang w:eastAsia="zh-CN"/>
        </w:rPr>
        <w:t>8 施工组织设计（方案）报审表</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4D4040A4">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施工组织设计（方案）报审表</w:t>
      </w:r>
    </w:p>
    <w:p w14:paraId="34FC9F7B">
      <w:pPr>
        <w:spacing w:line="360" w:lineRule="auto"/>
        <w:ind w:firstLine="120" w:firstLineChars="50"/>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155"/>
      </w:tblGrid>
      <w:tr w14:paraId="5D9CF99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102" w:hRule="atLeast"/>
          <w:jc w:val="center"/>
        </w:trPr>
        <w:tc>
          <w:tcPr>
            <w:tcW w:w="10155" w:type="dxa"/>
            <w:tcBorders>
              <w:bottom w:val="single" w:color="auto" w:sz="4" w:space="0"/>
            </w:tcBorders>
          </w:tcPr>
          <w:p w14:paraId="5A7F0B99">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（监理单位全称）</w:t>
            </w:r>
          </w:p>
          <w:p w14:paraId="56ECC539">
            <w:pPr>
              <w:keepNext w:val="0"/>
              <w:keepLines w:val="0"/>
              <w:widowControl/>
              <w:suppressLineNumbers w:val="0"/>
              <w:spacing w:before="0" w:beforeAutospacing="0" w:after="0" w:afterAutospacing="0" w:line="360" w:lineRule="auto"/>
              <w:ind w:left="-28" w:right="0" w:firstLine="54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我方已根据施工合同的有关规定完成了</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工程施工组织设计（方案）的编制</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请予以审批。</w:t>
            </w:r>
          </w:p>
          <w:p w14:paraId="5456F0F9">
            <w:pPr>
              <w:keepNext w:val="0"/>
              <w:keepLines w:val="0"/>
              <w:widowControl/>
              <w:suppressLineNumbers w:val="0"/>
              <w:spacing w:before="0" w:beforeAutospacing="0" w:after="0" w:afterAutospacing="0" w:line="360" w:lineRule="auto"/>
              <w:ind w:left="-28" w:right="0" w:firstLine="54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附</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施工组织设计（方案）</w:t>
            </w:r>
          </w:p>
          <w:p w14:paraId="2667756C">
            <w:pPr>
              <w:keepNext w:val="0"/>
              <w:keepLines w:val="0"/>
              <w:widowControl/>
              <w:suppressLineNumbers w:val="0"/>
              <w:spacing w:before="0" w:beforeAutospacing="0" w:after="0" w:afterAutospacing="0" w:line="360" w:lineRule="auto"/>
              <w:ind w:left="-28" w:right="0" w:firstLine="540"/>
              <w:rPr>
                <w:rFonts w:hint="eastAsia" w:ascii="仿宋" w:hAnsi="仿宋" w:eastAsia="仿宋"/>
                <w:color w:val="auto"/>
                <w:highlight w:val="none"/>
                <w:lang w:eastAsia="zh-CN"/>
              </w:rPr>
            </w:pPr>
          </w:p>
          <w:p w14:paraId="6A107877">
            <w:pPr>
              <w:keepNext w:val="0"/>
              <w:keepLines w:val="0"/>
              <w:widowControl/>
              <w:suppressLineNumbers w:val="0"/>
              <w:spacing w:before="0" w:beforeAutospacing="0" w:after="0" w:afterAutospacing="0" w:line="360" w:lineRule="auto"/>
              <w:ind w:left="-28" w:right="0" w:firstLine="540"/>
              <w:rPr>
                <w:rFonts w:hint="eastAsia" w:ascii="仿宋" w:hAnsi="仿宋" w:eastAsia="仿宋"/>
                <w:color w:val="auto"/>
                <w:highlight w:val="none"/>
                <w:lang w:eastAsia="zh-CN"/>
              </w:rPr>
            </w:pPr>
          </w:p>
          <w:p w14:paraId="14EA4AF8">
            <w:pPr>
              <w:keepNext w:val="0"/>
              <w:keepLines w:val="0"/>
              <w:widowControl/>
              <w:suppressLineNumbers w:val="0"/>
              <w:spacing w:before="0" w:beforeAutospacing="0" w:after="0" w:afterAutospacing="0" w:line="360" w:lineRule="auto"/>
              <w:ind w:left="0" w:right="120"/>
              <w:jc w:val="center"/>
              <w:rPr>
                <w:rFonts w:hint="eastAsia" w:ascii="仿宋" w:hAnsi="仿宋" w:eastAsia="仿宋"/>
                <w:color w:val="auto"/>
                <w:highlight w:val="none"/>
                <w:u w:val="single"/>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rPr>
              <w:t>承包人（章）</w:t>
            </w:r>
          </w:p>
          <w:p w14:paraId="7B4AC87C">
            <w:pPr>
              <w:keepNext w:val="0"/>
              <w:keepLines w:val="0"/>
              <w:widowControl/>
              <w:suppressLineNumbers w:val="0"/>
              <w:spacing w:before="0" w:beforeAutospacing="0" w:after="0" w:afterAutospacing="0" w:line="360" w:lineRule="auto"/>
              <w:ind w:left="0" w:right="0" w:firstLine="6087"/>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7EFA2651">
            <w:pPr>
              <w:keepNext w:val="0"/>
              <w:keepLines w:val="0"/>
              <w:widowControl/>
              <w:suppressLineNumbers w:val="0"/>
              <w:snapToGrid w:val="0"/>
              <w:spacing w:before="0" w:beforeAutospacing="0" w:after="0" w:afterAutospacing="0" w:line="360" w:lineRule="auto"/>
              <w:ind w:left="0" w:right="0" w:firstLine="6087"/>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2914E0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532" w:hRule="atLeast"/>
          <w:jc w:val="center"/>
        </w:trPr>
        <w:tc>
          <w:tcPr>
            <w:tcW w:w="10155" w:type="dxa"/>
            <w:tcBorders>
              <w:top w:val="single" w:color="auto" w:sz="4" w:space="0"/>
            </w:tcBorders>
          </w:tcPr>
          <w:p w14:paraId="6A1F3186">
            <w:pPr>
              <w:keepNext w:val="0"/>
              <w:keepLines w:val="0"/>
              <w:widowControl/>
              <w:suppressLineNumbers w:val="0"/>
              <w:spacing w:before="0" w:beforeAutospacing="0" w:after="0" w:afterAutospacing="0" w:line="360" w:lineRule="auto"/>
              <w:ind w:left="0" w:right="71"/>
              <w:rPr>
                <w:rFonts w:hint="eastAsia" w:ascii="仿宋" w:hAnsi="仿宋" w:eastAsia="仿宋"/>
                <w:color w:val="auto"/>
                <w:sz w:val="32"/>
                <w:szCs w:val="32"/>
                <w:highlight w:val="none"/>
                <w:lang w:eastAsia="zh-CN"/>
              </w:rPr>
            </w:pPr>
            <w:r>
              <w:rPr>
                <w:rFonts w:hint="eastAsia" w:ascii="仿宋" w:hAnsi="仿宋" w:eastAsia="仿宋" w:cs="仿宋"/>
                <w:color w:val="auto"/>
                <w:highlight w:val="none"/>
                <w:lang w:eastAsia="zh-CN"/>
              </w:rPr>
              <w:t>确认或修改意见：</w:t>
            </w:r>
          </w:p>
          <w:p w14:paraId="49BBD991">
            <w:pPr>
              <w:keepNext w:val="0"/>
              <w:keepLines w:val="0"/>
              <w:widowControl/>
              <w:suppressLineNumbers w:val="0"/>
              <w:spacing w:before="0" w:beforeAutospacing="0" w:after="0" w:afterAutospacing="0" w:line="360" w:lineRule="auto"/>
              <w:ind w:left="72" w:right="71" w:firstLine="24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组织机构健全</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人员落实</w:t>
            </w:r>
            <w:r>
              <w:rPr>
                <w:rFonts w:hint="default" w:ascii="仿宋" w:hAnsi="仿宋" w:eastAsia="仿宋" w:cs="仿宋"/>
                <w:color w:val="auto"/>
                <w:highlight w:val="none"/>
                <w:lang w:eastAsia="zh-CN"/>
              </w:rPr>
              <w:t xml:space="preserve">           </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施工技术措施可行</w:t>
            </w:r>
          </w:p>
          <w:p w14:paraId="46965B21">
            <w:pPr>
              <w:keepNext w:val="0"/>
              <w:keepLines w:val="0"/>
              <w:widowControl/>
              <w:suppressLineNumbers w:val="0"/>
              <w:spacing w:before="0" w:beforeAutospacing="0" w:after="0" w:afterAutospacing="0" w:line="360" w:lineRule="auto"/>
              <w:ind w:left="72" w:right="71" w:firstLine="24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安全责任落实，安全措施可行</w:t>
            </w:r>
            <w:r>
              <w:rPr>
                <w:rFonts w:hint="default" w:ascii="仿宋" w:hAnsi="仿宋" w:eastAsia="仿宋" w:cs="仿宋"/>
                <w:color w:val="auto"/>
                <w:highlight w:val="none"/>
                <w:lang w:eastAsia="zh-CN"/>
              </w:rPr>
              <w:t xml:space="preserve">      </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安全工器具满足施工要求</w:t>
            </w:r>
          </w:p>
          <w:p w14:paraId="1132D775">
            <w:pPr>
              <w:keepNext w:val="0"/>
              <w:keepLines w:val="0"/>
              <w:widowControl/>
              <w:suppressLineNumbers w:val="0"/>
              <w:spacing w:before="0" w:beforeAutospacing="0" w:after="0" w:afterAutospacing="0" w:line="360" w:lineRule="auto"/>
              <w:ind w:left="72" w:right="71" w:firstLine="24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施工进度计划满足工期要求</w:t>
            </w:r>
            <w:r>
              <w:rPr>
                <w:rFonts w:hint="default" w:ascii="仿宋" w:hAnsi="仿宋" w:eastAsia="仿宋" w:cs="仿宋"/>
                <w:color w:val="auto"/>
                <w:highlight w:val="none"/>
                <w:lang w:eastAsia="zh-CN"/>
              </w:rPr>
              <w:t xml:space="preserve">        </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特殊工种人员持证上岗</w:t>
            </w:r>
          </w:p>
          <w:p w14:paraId="66806E81">
            <w:pPr>
              <w:keepNext w:val="0"/>
              <w:keepLines w:val="0"/>
              <w:widowControl/>
              <w:suppressLineNumbers w:val="0"/>
              <w:spacing w:before="0" w:beforeAutospacing="0" w:after="0" w:afterAutospacing="0" w:line="360" w:lineRule="auto"/>
              <w:ind w:left="72" w:right="71" w:firstLine="24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施工工器具安全可靠</w:t>
            </w:r>
            <w:r>
              <w:rPr>
                <w:rFonts w:hint="default" w:ascii="仿宋" w:hAnsi="仿宋" w:eastAsia="仿宋" w:cs="仿宋"/>
                <w:color w:val="auto"/>
                <w:highlight w:val="none"/>
                <w:lang w:eastAsia="zh-CN"/>
              </w:rPr>
              <w:t xml:space="preserve">              </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施工计量、检测器具有效</w:t>
            </w:r>
          </w:p>
          <w:p w14:paraId="681C443F">
            <w:pPr>
              <w:keepNext w:val="0"/>
              <w:keepLines w:val="0"/>
              <w:widowControl/>
              <w:suppressLineNumbers w:val="0"/>
              <w:spacing w:before="0" w:beforeAutospacing="0" w:after="0" w:afterAutospacing="0" w:line="360" w:lineRule="auto"/>
              <w:ind w:left="72" w:right="71" w:firstLine="240"/>
              <w:rPr>
                <w:rFonts w:hint="eastAsia" w:ascii="仿宋" w:hAnsi="仿宋" w:eastAsia="仿宋"/>
                <w:color w:val="auto"/>
                <w:highlight w:val="none"/>
                <w:lang w:eastAsia="zh-CN"/>
              </w:rPr>
            </w:pPr>
          </w:p>
          <w:p w14:paraId="1F73089E">
            <w:pPr>
              <w:keepNext w:val="0"/>
              <w:keepLines w:val="0"/>
              <w:widowControl/>
              <w:suppressLineNumbers w:val="0"/>
              <w:spacing w:before="0" w:beforeAutospacing="0" w:after="0" w:afterAutospacing="0" w:line="360" w:lineRule="auto"/>
              <w:ind w:left="0" w:right="0" w:firstLine="6086" w:firstLineChars="2536"/>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监理单位</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章</w:t>
            </w:r>
            <w:r>
              <w:rPr>
                <w:rFonts w:hint="default" w:ascii="仿宋" w:hAnsi="仿宋" w:eastAsia="仿宋" w:cs="仿宋"/>
                <w:color w:val="auto"/>
                <w:highlight w:val="none"/>
                <w:lang w:eastAsia="zh-CN"/>
              </w:rPr>
              <w:t>)</w:t>
            </w:r>
          </w:p>
          <w:p w14:paraId="1B1E662C">
            <w:pPr>
              <w:keepNext w:val="0"/>
              <w:keepLines w:val="0"/>
              <w:widowControl/>
              <w:suppressLineNumbers w:val="0"/>
              <w:snapToGrid w:val="0"/>
              <w:spacing w:before="0" w:beforeAutospacing="0" w:after="0" w:afterAutospacing="0" w:line="360" w:lineRule="auto"/>
              <w:ind w:left="0" w:right="0" w:firstLine="6087"/>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监理工程师</w:t>
            </w:r>
            <w:r>
              <w:rPr>
                <w:rFonts w:hint="default" w:ascii="仿宋" w:hAnsi="仿宋" w:eastAsia="仿宋" w:cs="仿宋"/>
                <w:color w:val="auto"/>
                <w:highlight w:val="none"/>
                <w:u w:val="single"/>
                <w:lang w:eastAsia="zh-CN"/>
              </w:rPr>
              <w:t xml:space="preserve">               </w:t>
            </w:r>
          </w:p>
          <w:p w14:paraId="7842787A">
            <w:pPr>
              <w:keepNext w:val="0"/>
              <w:keepLines w:val="0"/>
              <w:widowControl/>
              <w:suppressLineNumbers w:val="0"/>
              <w:snapToGrid w:val="0"/>
              <w:spacing w:before="0" w:beforeAutospacing="0" w:after="0" w:afterAutospacing="0" w:line="360" w:lineRule="auto"/>
              <w:ind w:left="0" w:right="0" w:firstLine="6087"/>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3556944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2296" w:hRule="atLeast"/>
          <w:jc w:val="center"/>
        </w:trPr>
        <w:tc>
          <w:tcPr>
            <w:tcW w:w="10155" w:type="dxa"/>
          </w:tcPr>
          <w:p w14:paraId="20E22742">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审批意见：</w:t>
            </w:r>
          </w:p>
          <w:p w14:paraId="1F08DEDA">
            <w:pPr>
              <w:keepNext w:val="0"/>
              <w:keepLines w:val="0"/>
              <w:widowControl/>
              <w:suppressLineNumbers w:val="0"/>
              <w:snapToGrid w:val="0"/>
              <w:spacing w:before="0" w:beforeAutospacing="0" w:after="0" w:afterAutospacing="0" w:line="360" w:lineRule="auto"/>
              <w:ind w:left="-28" w:right="0"/>
              <w:rPr>
                <w:rFonts w:hint="eastAsia" w:ascii="仿宋" w:hAnsi="仿宋" w:eastAsia="仿宋" w:cs="仿宋"/>
                <w:color w:val="auto"/>
                <w:highlight w:val="none"/>
                <w:lang w:eastAsia="zh-CN"/>
              </w:rPr>
            </w:pPr>
            <w:r>
              <w:rPr>
                <w:rFonts w:hint="default" w:ascii="仿宋" w:hAnsi="仿宋" w:eastAsia="仿宋" w:cs="仿宋"/>
                <w:color w:val="auto"/>
                <w:highlight w:val="none"/>
                <w:lang w:eastAsia="zh-CN"/>
              </w:rPr>
              <w:t xml:space="preserve"> </w:t>
            </w:r>
          </w:p>
          <w:p w14:paraId="325A1CCD">
            <w:pPr>
              <w:keepNext w:val="0"/>
              <w:keepLines w:val="0"/>
              <w:widowControl/>
              <w:suppressLineNumbers w:val="0"/>
              <w:spacing w:before="0" w:beforeAutospacing="0" w:after="0" w:afterAutospacing="0" w:line="360" w:lineRule="auto"/>
              <w:ind w:left="0" w:right="0" w:firstLine="6086" w:firstLineChars="2536"/>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发包人（章）</w:t>
            </w:r>
          </w:p>
          <w:p w14:paraId="460FA283">
            <w:pPr>
              <w:keepNext w:val="0"/>
              <w:keepLines w:val="0"/>
              <w:widowControl/>
              <w:suppressLineNumbers w:val="0"/>
              <w:snapToGrid w:val="0"/>
              <w:spacing w:before="0" w:beforeAutospacing="0" w:after="0" w:afterAutospacing="0" w:line="360" w:lineRule="auto"/>
              <w:ind w:left="-28" w:right="0" w:firstLine="6112" w:firstLineChars="2547"/>
              <w:rPr>
                <w:rFonts w:hint="eastAsia" w:ascii="仿宋" w:hAnsi="仿宋" w:eastAsia="仿宋" w:cs="仿宋"/>
                <w:color w:val="auto"/>
                <w:highlight w:val="none"/>
                <w:u w:val="single"/>
              </w:rPr>
            </w:pPr>
            <w:r>
              <w:rPr>
                <w:rFonts w:hint="eastAsia" w:ascii="仿宋" w:hAnsi="仿宋" w:eastAsia="仿宋" w:cs="仿宋"/>
                <w:color w:val="auto"/>
                <w:highlight w:val="none"/>
              </w:rPr>
              <w:t>发包人代表</w:t>
            </w:r>
            <w:r>
              <w:rPr>
                <w:rFonts w:hint="default" w:ascii="仿宋" w:hAnsi="仿宋" w:eastAsia="仿宋" w:cs="仿宋"/>
                <w:color w:val="auto"/>
                <w:highlight w:val="none"/>
                <w:u w:val="single"/>
              </w:rPr>
              <w:t xml:space="preserve">               </w:t>
            </w:r>
          </w:p>
          <w:p w14:paraId="60DA64B6">
            <w:pPr>
              <w:keepNext w:val="0"/>
              <w:keepLines w:val="0"/>
              <w:widowControl/>
              <w:suppressLineNumbers w:val="0"/>
              <w:snapToGrid w:val="0"/>
              <w:spacing w:before="0" w:beforeAutospacing="0" w:after="0" w:afterAutospacing="0" w:line="360" w:lineRule="auto"/>
              <w:ind w:left="-28" w:right="0" w:firstLine="6112" w:firstLineChars="2547"/>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558237EF">
      <w:pPr>
        <w:ind w:firstLine="240" w:firstLineChars="1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．在需要选择的栏中的“</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”内作标识“√”。</w:t>
      </w:r>
    </w:p>
    <w:p w14:paraId="7FA8C01C">
      <w:pPr>
        <w:ind w:firstLine="960" w:firstLineChars="40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．本表一式三份，由承包人、监理单位、发包人按合同规定程序填制，并各存一份。</w:t>
      </w:r>
    </w:p>
    <w:p w14:paraId="07DEEEC8">
      <w:pPr>
        <w:spacing w:before="240" w:beforeLines="100" w:after="240" w:afterLines="100"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816" w:name="_Toc10624994"/>
      <w:bookmarkStart w:id="1817" w:name="_Toc266892934"/>
      <w:bookmarkStart w:id="1818" w:name="_Toc469384150"/>
      <w:bookmarkStart w:id="1819" w:name="_Toc15351"/>
      <w:bookmarkStart w:id="1820" w:name="_Toc21519"/>
      <w:bookmarkStart w:id="1821" w:name="_Toc8899"/>
      <w:bookmarkStart w:id="1822" w:name="_Toc12100"/>
      <w:bookmarkStart w:id="1823" w:name="_Toc32182"/>
      <w:bookmarkStart w:id="1824" w:name="_Toc22961"/>
      <w:bookmarkStart w:id="1825" w:name="_Toc9123"/>
      <w:bookmarkStart w:id="1826" w:name="_Toc27469"/>
      <w:bookmarkStart w:id="1827" w:name="_Toc5245"/>
      <w:bookmarkStart w:id="1828" w:name="_Toc27288"/>
      <w:bookmarkStart w:id="1829" w:name="_Toc17462"/>
      <w:bookmarkStart w:id="1830" w:name="_Toc7233"/>
      <w:bookmarkStart w:id="1831" w:name="_Toc15778"/>
      <w:bookmarkStart w:id="1832" w:name="_Toc27501"/>
      <w:bookmarkStart w:id="1833" w:name="_Toc16386"/>
      <w:bookmarkStart w:id="1834" w:name="_Toc2981"/>
      <w:bookmarkStart w:id="1835" w:name="_Toc23725"/>
      <w:r>
        <w:rPr>
          <w:rFonts w:hint="eastAsia" w:ascii="仿宋" w:hAnsi="仿宋" w:eastAsia="仿宋" w:cs="仿宋"/>
          <w:b/>
          <w:bCs/>
          <w:color w:val="auto"/>
          <w:highlight w:val="none"/>
          <w:lang w:eastAsia="zh-CN"/>
        </w:rPr>
        <w:t>格式</w:t>
      </w:r>
      <w:bookmarkEnd w:id="1816"/>
      <w:bookmarkEnd w:id="1817"/>
      <w:bookmarkEnd w:id="1818"/>
      <w:r>
        <w:rPr>
          <w:rFonts w:hint="eastAsia" w:ascii="仿宋" w:hAnsi="仿宋" w:eastAsia="仿宋" w:cs="仿宋"/>
          <w:b/>
          <w:bCs/>
          <w:color w:val="auto"/>
          <w:highlight w:val="none"/>
          <w:lang w:eastAsia="zh-CN"/>
        </w:rPr>
        <w:t>9 工程开工/复工报审表</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0E7B24D5">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工程开工</w:t>
      </w:r>
      <w:r>
        <w:rPr>
          <w:rFonts w:ascii="仿宋" w:hAnsi="仿宋" w:eastAsia="仿宋" w:cs="仿宋"/>
          <w:b/>
          <w:bCs/>
          <w:color w:val="auto"/>
          <w:spacing w:val="30"/>
          <w:sz w:val="44"/>
          <w:szCs w:val="44"/>
          <w:highlight w:val="none"/>
          <w:lang w:eastAsia="zh-CN"/>
        </w:rPr>
        <w:t>/</w:t>
      </w:r>
      <w:r>
        <w:rPr>
          <w:rFonts w:hint="eastAsia" w:ascii="仿宋" w:hAnsi="仿宋" w:eastAsia="仿宋" w:cs="仿宋"/>
          <w:b/>
          <w:bCs/>
          <w:color w:val="auto"/>
          <w:spacing w:val="30"/>
          <w:sz w:val="44"/>
          <w:szCs w:val="44"/>
          <w:highlight w:val="none"/>
          <w:lang w:eastAsia="zh-CN"/>
        </w:rPr>
        <w:t>复工报审表</w:t>
      </w:r>
    </w:p>
    <w:p w14:paraId="2540BF5F">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工程名称</w:t>
      </w:r>
      <w:r>
        <w:rPr>
          <w:rFonts w:ascii="仿宋" w:hAnsi="仿宋" w:eastAsia="仿宋" w:cs="仿宋"/>
          <w:color w:val="auto"/>
          <w:highlight w:val="none"/>
          <w:lang w:eastAsia="zh-CN"/>
        </w:rPr>
        <w:t>:</w:t>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编号</w:t>
      </w:r>
      <w:r>
        <w:rPr>
          <w:rFonts w:ascii="仿宋" w:hAnsi="仿宋" w:eastAsia="仿宋" w:cs="仿宋"/>
          <w:color w:val="auto"/>
          <w:highlight w:val="none"/>
          <w:lang w:eastAsia="zh-CN"/>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4777"/>
        <w:gridCol w:w="5596"/>
      </w:tblGrid>
      <w:tr w14:paraId="7E730D6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6826" w:hRule="atLeast"/>
        </w:trPr>
        <w:tc>
          <w:tcPr>
            <w:tcW w:w="10373" w:type="dxa"/>
            <w:gridSpan w:val="2"/>
          </w:tcPr>
          <w:p w14:paraId="3FFA57A2">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（监理单位全称）</w:t>
            </w:r>
          </w:p>
          <w:p w14:paraId="0200BD91">
            <w:pPr>
              <w:keepNext w:val="0"/>
              <w:keepLines w:val="0"/>
              <w:widowControl/>
              <w:suppressLineNumbers w:val="0"/>
              <w:spacing w:before="0" w:beforeAutospacing="0" w:after="0" w:afterAutospacing="0" w:line="360" w:lineRule="auto"/>
              <w:ind w:left="-28" w:right="0" w:firstLine="54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我方承担的</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已完成了以下各项工作</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具备了（</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开工</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复工）条件</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现申请施工</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请审查并签发（</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开工</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复工）指令。</w:t>
            </w:r>
          </w:p>
          <w:p w14:paraId="717523BD">
            <w:pPr>
              <w:keepNext w:val="0"/>
              <w:keepLines w:val="0"/>
              <w:widowControl/>
              <w:suppressLineNumbers w:val="0"/>
              <w:spacing w:before="0" w:beforeAutospacing="0" w:after="0" w:afterAutospacing="0" w:line="360" w:lineRule="auto"/>
              <w:ind w:left="-28" w:right="0" w:firstLine="540"/>
              <w:rPr>
                <w:rFonts w:hint="eastAsia" w:ascii="仿宋" w:hAnsi="仿宋" w:eastAsia="仿宋"/>
                <w:color w:val="auto"/>
                <w:highlight w:val="none"/>
                <w:lang w:eastAsia="zh-CN"/>
              </w:rPr>
            </w:pPr>
          </w:p>
          <w:p w14:paraId="35E8EF1E">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附：开工报告</w:t>
            </w:r>
          </w:p>
          <w:p w14:paraId="442A1A34">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1E3C2199">
            <w:pPr>
              <w:keepNext w:val="0"/>
              <w:keepLines w:val="0"/>
              <w:widowControl/>
              <w:suppressLineNumbers w:val="0"/>
              <w:spacing w:before="0" w:beforeAutospacing="0" w:after="0" w:afterAutospacing="0" w:line="360" w:lineRule="auto"/>
              <w:ind w:left="-28" w:right="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承包方式：</w:t>
            </w:r>
            <w:r>
              <w:rPr>
                <w:rFonts w:hint="default" w:ascii="仿宋" w:hAnsi="仿宋" w:eastAsia="仿宋" w:cs="仿宋"/>
                <w:color w:val="auto"/>
                <w:highlight w:val="none"/>
                <w:lang w:eastAsia="zh-CN"/>
              </w:rPr>
              <w:t xml:space="preserve"> </w:t>
            </w:r>
          </w:p>
          <w:p w14:paraId="03E1A2DB">
            <w:pPr>
              <w:keepNext w:val="0"/>
              <w:keepLines w:val="0"/>
              <w:widowControl/>
              <w:suppressLineNumbers w:val="0"/>
              <w:spacing w:before="0" w:beforeAutospacing="0" w:after="0" w:afterAutospacing="0" w:line="360" w:lineRule="auto"/>
              <w:ind w:left="-27" w:right="0" w:firstLine="32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无分包；</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有分包，并已审核。</w:t>
            </w:r>
          </w:p>
          <w:p w14:paraId="02316ED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开工准备情况：</w:t>
            </w:r>
          </w:p>
          <w:p w14:paraId="3D7632A7">
            <w:pPr>
              <w:keepNext w:val="0"/>
              <w:keepLines w:val="0"/>
              <w:widowControl/>
              <w:suppressLineNumbers w:val="0"/>
              <w:spacing w:before="0" w:beforeAutospacing="0" w:after="0" w:afterAutospacing="0" w:line="360" w:lineRule="auto"/>
              <w:ind w:left="0" w:right="0" w:firstLine="32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施工组织设计（方案）已审批</w:t>
            </w:r>
            <w:r>
              <w:rPr>
                <w:rFonts w:hint="default" w:ascii="仿宋" w:hAnsi="仿宋" w:eastAsia="仿宋" w:cs="仿宋"/>
                <w:color w:val="auto"/>
                <w:highlight w:val="none"/>
                <w:lang w:eastAsia="zh-CN"/>
              </w:rPr>
              <w:t xml:space="preserve">          </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资金已落实</w:t>
            </w:r>
          </w:p>
          <w:p w14:paraId="7A8216DF">
            <w:pPr>
              <w:keepNext w:val="0"/>
              <w:keepLines w:val="0"/>
              <w:widowControl/>
              <w:suppressLineNumbers w:val="0"/>
              <w:tabs>
                <w:tab w:val="left" w:pos="4212"/>
              </w:tabs>
              <w:spacing w:before="0" w:beforeAutospacing="0" w:after="0" w:afterAutospacing="0" w:line="360" w:lineRule="auto"/>
              <w:ind w:left="0" w:right="0" w:firstLine="32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施工图纸已会审并交底</w:t>
            </w:r>
            <w:r>
              <w:rPr>
                <w:rFonts w:hint="default" w:ascii="仿宋" w:hAnsi="仿宋" w:eastAsia="仿宋" w:cs="仿宋"/>
                <w:color w:val="auto"/>
                <w:highlight w:val="none"/>
                <w:lang w:eastAsia="zh-CN"/>
              </w:rPr>
              <w:t xml:space="preserve">                </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劳动力安排就绪并已进场</w:t>
            </w:r>
          </w:p>
          <w:p w14:paraId="6BB4508F">
            <w:pPr>
              <w:keepNext w:val="0"/>
              <w:keepLines w:val="0"/>
              <w:widowControl/>
              <w:suppressLineNumbers w:val="0"/>
              <w:spacing w:before="0" w:beforeAutospacing="0" w:after="0" w:afterAutospacing="0" w:line="360" w:lineRule="auto"/>
              <w:ind w:left="0" w:right="0" w:firstLine="32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开工所需的材料、机具已进场</w:t>
            </w:r>
            <w:r>
              <w:rPr>
                <w:rFonts w:hint="default" w:ascii="仿宋" w:hAnsi="仿宋" w:eastAsia="仿宋" w:cs="仿宋"/>
                <w:color w:val="auto"/>
                <w:highlight w:val="none"/>
                <w:lang w:eastAsia="zh-CN"/>
              </w:rPr>
              <w:t xml:space="preserve">          </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其他开工条件已具备</w:t>
            </w:r>
          </w:p>
          <w:p w14:paraId="7F837F5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72B96DD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u w:val="single"/>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rPr>
              <w:t>承包人（章）</w:t>
            </w:r>
            <w:r>
              <w:rPr>
                <w:rFonts w:hint="default" w:ascii="仿宋" w:hAnsi="仿宋" w:eastAsia="仿宋" w:cs="仿宋"/>
                <w:color w:val="auto"/>
                <w:highlight w:val="none"/>
              </w:rPr>
              <w:t xml:space="preserve">                 </w:t>
            </w:r>
          </w:p>
          <w:p w14:paraId="4EB7E2B1">
            <w:pPr>
              <w:keepNext w:val="0"/>
              <w:keepLines w:val="0"/>
              <w:widowControl/>
              <w:suppressLineNumbers w:val="0"/>
              <w:spacing w:before="0" w:beforeAutospacing="0" w:after="0" w:afterAutospacing="0" w:line="360" w:lineRule="auto"/>
              <w:ind w:left="0" w:right="0" w:firstLine="6000" w:firstLineChars="2500"/>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7F807770">
            <w:pPr>
              <w:keepNext w:val="0"/>
              <w:keepLines w:val="0"/>
              <w:widowControl/>
              <w:suppressLineNumbers w:val="0"/>
              <w:snapToGrid w:val="0"/>
              <w:spacing w:before="0" w:beforeAutospacing="0" w:after="0" w:afterAutospacing="0" w:line="360" w:lineRule="auto"/>
              <w:ind w:left="0" w:right="0" w:firstLine="6000" w:firstLineChars="2500"/>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2ACE12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747" w:hRule="atLeast"/>
        </w:trPr>
        <w:tc>
          <w:tcPr>
            <w:tcW w:w="4777" w:type="dxa"/>
          </w:tcPr>
          <w:p w14:paraId="1ED6233A">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复核意见：</w:t>
            </w:r>
            <w:r>
              <w:rPr>
                <w:rFonts w:hint="default" w:ascii="仿宋" w:hAnsi="仿宋" w:eastAsia="仿宋" w:cs="仿宋"/>
                <w:color w:val="auto"/>
                <w:highlight w:val="none"/>
                <w:lang w:eastAsia="zh-CN"/>
              </w:rPr>
              <w:t xml:space="preserve"> </w:t>
            </w:r>
          </w:p>
          <w:p w14:paraId="181236D3">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p>
          <w:p w14:paraId="0DCDEC76">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p>
          <w:p w14:paraId="2FF51A00">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u w:val="single"/>
                <w:lang w:eastAsia="zh-CN"/>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监理单位（章）</w:t>
            </w:r>
            <w:r>
              <w:rPr>
                <w:rFonts w:hint="default" w:ascii="仿宋" w:hAnsi="仿宋" w:eastAsia="仿宋" w:cs="仿宋"/>
                <w:color w:val="auto"/>
                <w:highlight w:val="none"/>
                <w:lang w:eastAsia="zh-CN"/>
              </w:rPr>
              <w:t xml:space="preserve">              </w:t>
            </w:r>
          </w:p>
          <w:p w14:paraId="68F32F24">
            <w:pPr>
              <w:keepNext w:val="0"/>
              <w:keepLines w:val="0"/>
              <w:widowControl/>
              <w:suppressLineNumbers w:val="0"/>
              <w:snapToGrid w:val="0"/>
              <w:spacing w:before="0" w:beforeAutospacing="0" w:after="0" w:afterAutospacing="0" w:line="360" w:lineRule="auto"/>
              <w:ind w:left="0" w:right="0"/>
              <w:rPr>
                <w:rFonts w:hint="eastAsia" w:ascii="仿宋" w:hAnsi="仿宋" w:eastAsia="仿宋" w:cs="仿宋"/>
                <w:color w:val="auto"/>
                <w:highlight w:val="none"/>
                <w:u w:val="single"/>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rPr>
              <w:t>监理工程师</w:t>
            </w:r>
            <w:r>
              <w:rPr>
                <w:rFonts w:hint="default" w:ascii="仿宋" w:hAnsi="仿宋" w:eastAsia="仿宋" w:cs="仿宋"/>
                <w:color w:val="auto"/>
                <w:highlight w:val="none"/>
              </w:rPr>
              <w:t xml:space="preserve"> </w:t>
            </w:r>
            <w:r>
              <w:rPr>
                <w:rFonts w:hint="default" w:ascii="仿宋" w:hAnsi="仿宋" w:eastAsia="仿宋" w:cs="仿宋"/>
                <w:color w:val="auto"/>
                <w:highlight w:val="none"/>
                <w:u w:val="single"/>
              </w:rPr>
              <w:t xml:space="preserve">           </w:t>
            </w:r>
          </w:p>
          <w:p w14:paraId="54645A4F">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rPr>
            </w:pPr>
            <w:r>
              <w:rPr>
                <w:rFonts w:hint="default" w:ascii="仿宋" w:hAnsi="仿宋" w:eastAsia="仿宋" w:cs="仿宋"/>
                <w:color w:val="auto"/>
                <w:highlight w:val="none"/>
              </w:rPr>
              <w:t xml:space="preserve">               </w:t>
            </w: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rPr>
              <w:t xml:space="preserve"> </w:t>
            </w:r>
            <w:r>
              <w:rPr>
                <w:rFonts w:hint="default" w:ascii="仿宋" w:hAnsi="仿宋" w:eastAsia="仿宋" w:cs="仿宋"/>
                <w:color w:val="auto"/>
                <w:highlight w:val="none"/>
                <w:u w:val="single"/>
              </w:rPr>
              <w:t xml:space="preserve">           </w:t>
            </w:r>
          </w:p>
        </w:tc>
        <w:tc>
          <w:tcPr>
            <w:tcW w:w="5596" w:type="dxa"/>
          </w:tcPr>
          <w:p w14:paraId="28E9678F">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审批意见：</w:t>
            </w:r>
            <w:r>
              <w:rPr>
                <w:rFonts w:hint="default" w:ascii="仿宋" w:hAnsi="仿宋" w:eastAsia="仿宋" w:cs="仿宋"/>
                <w:color w:val="auto"/>
                <w:highlight w:val="none"/>
                <w:lang w:eastAsia="zh-CN"/>
              </w:rPr>
              <w:t xml:space="preserve">   </w:t>
            </w:r>
          </w:p>
          <w:p w14:paraId="1D36B124">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p>
          <w:p w14:paraId="563683E6">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p>
          <w:p w14:paraId="046EF5E2">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u w:val="single"/>
                <w:lang w:eastAsia="zh-CN"/>
              </w:rPr>
            </w:pPr>
            <w:r>
              <w:rPr>
                <w:rFonts w:hint="default" w:ascii="仿宋" w:hAnsi="仿宋" w:eastAsia="仿宋" w:cs="仿宋"/>
                <w:color w:val="auto"/>
                <w:highlight w:val="none"/>
                <w:lang w:eastAsia="zh-CN"/>
              </w:rPr>
              <w:t xml:space="preserve">           </w:t>
            </w:r>
            <w:r>
              <w:rPr>
                <w:rFonts w:hint="default" w:ascii="仿宋" w:hAnsi="仿宋" w:eastAsia="仿宋" w:cs="仿宋"/>
                <w:color w:val="auto"/>
                <w:sz w:val="18"/>
                <w:szCs w:val="18"/>
                <w:highlight w:val="none"/>
                <w:lang w:eastAsia="zh-CN"/>
              </w:rPr>
              <w:t xml:space="preserve">  </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发包人（章）</w:t>
            </w:r>
            <w:r>
              <w:rPr>
                <w:rFonts w:hint="default" w:ascii="仿宋" w:hAnsi="仿宋" w:eastAsia="仿宋" w:cs="仿宋"/>
                <w:color w:val="auto"/>
                <w:highlight w:val="none"/>
                <w:lang w:eastAsia="zh-CN"/>
              </w:rPr>
              <w:t xml:space="preserve">      </w:t>
            </w:r>
          </w:p>
          <w:p w14:paraId="2FDBA516">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rPr>
            </w:pPr>
            <w:r>
              <w:rPr>
                <w:rFonts w:hint="default" w:ascii="仿宋" w:hAnsi="仿宋" w:eastAsia="仿宋" w:cs="仿宋"/>
                <w:color w:val="auto"/>
                <w:highlight w:val="none"/>
                <w:lang w:eastAsia="zh-CN"/>
              </w:rPr>
              <w:t xml:space="preserve">           </w:t>
            </w:r>
            <w:r>
              <w:rPr>
                <w:rFonts w:hint="default" w:ascii="仿宋" w:hAnsi="仿宋" w:eastAsia="仿宋" w:cs="仿宋"/>
                <w:color w:val="auto"/>
                <w:sz w:val="18"/>
                <w:szCs w:val="18"/>
                <w:highlight w:val="none"/>
                <w:lang w:eastAsia="zh-CN"/>
              </w:rPr>
              <w:t xml:space="preserve">  </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rPr>
              <w:t>发包人代表</w:t>
            </w:r>
            <w:r>
              <w:rPr>
                <w:rFonts w:hint="default" w:ascii="仿宋" w:hAnsi="仿宋" w:eastAsia="仿宋" w:cs="仿宋"/>
                <w:color w:val="auto"/>
                <w:highlight w:val="none"/>
              </w:rPr>
              <w:t xml:space="preserve"> </w:t>
            </w:r>
            <w:r>
              <w:rPr>
                <w:rFonts w:hint="default" w:ascii="仿宋" w:hAnsi="仿宋" w:eastAsia="仿宋" w:cs="仿宋"/>
                <w:color w:val="auto"/>
                <w:highlight w:val="none"/>
                <w:u w:val="single"/>
              </w:rPr>
              <w:t xml:space="preserve">         </w:t>
            </w:r>
          </w:p>
          <w:p w14:paraId="1859097F">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rPr>
            </w:pPr>
            <w:r>
              <w:rPr>
                <w:rFonts w:hint="default" w:ascii="仿宋" w:hAnsi="仿宋" w:eastAsia="仿宋" w:cs="仿宋"/>
                <w:color w:val="auto"/>
                <w:highlight w:val="none"/>
              </w:rPr>
              <w:t xml:space="preserve">               </w:t>
            </w:r>
            <w:r>
              <w:rPr>
                <w:rFonts w:hint="default" w:ascii="仿宋" w:hAnsi="仿宋" w:eastAsia="仿宋" w:cs="仿宋"/>
                <w:color w:val="auto"/>
                <w:sz w:val="30"/>
                <w:szCs w:val="30"/>
                <w:highlight w:val="none"/>
              </w:rPr>
              <w:t xml:space="preserve">      </w:t>
            </w: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rPr>
              <w:t xml:space="preserve"> </w:t>
            </w:r>
            <w:r>
              <w:rPr>
                <w:rFonts w:hint="default" w:ascii="仿宋" w:hAnsi="仿宋" w:eastAsia="仿宋" w:cs="仿宋"/>
                <w:color w:val="auto"/>
                <w:highlight w:val="none"/>
                <w:u w:val="single"/>
              </w:rPr>
              <w:t xml:space="preserve">         </w:t>
            </w:r>
          </w:p>
        </w:tc>
      </w:tr>
    </w:tbl>
    <w:p w14:paraId="3E981A93">
      <w:pPr>
        <w:spacing w:before="12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．在需要选择的栏中的“</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”内作标识“√”。</w:t>
      </w:r>
    </w:p>
    <w:p w14:paraId="6C4051AA">
      <w:pPr>
        <w:ind w:left="821" w:leftChars="342"/>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．本表一式三份，由承包人、监理人、发包人按合同规定程序填制，并各存一份。</w:t>
      </w:r>
    </w:p>
    <w:p w14:paraId="7A89E5E8">
      <w:pPr>
        <w:spacing w:before="240" w:beforeLines="100" w:after="240" w:afterLines="100"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836" w:name="_Toc469384151"/>
      <w:bookmarkStart w:id="1837" w:name="_Toc10624995"/>
      <w:bookmarkStart w:id="1838" w:name="_Toc266892935"/>
      <w:bookmarkStart w:id="1839" w:name="_Toc16219"/>
      <w:bookmarkStart w:id="1840" w:name="_Toc11901"/>
      <w:bookmarkStart w:id="1841" w:name="_Toc31374"/>
      <w:bookmarkStart w:id="1842" w:name="_Toc6"/>
      <w:bookmarkStart w:id="1843" w:name="_Toc11763"/>
      <w:bookmarkStart w:id="1844" w:name="_Toc10171"/>
      <w:bookmarkStart w:id="1845" w:name="_Toc30138"/>
      <w:bookmarkStart w:id="1846" w:name="_Toc25167"/>
      <w:bookmarkStart w:id="1847" w:name="_Toc26375"/>
      <w:bookmarkStart w:id="1848" w:name="_Toc26659"/>
      <w:bookmarkStart w:id="1849" w:name="_Toc20347"/>
      <w:bookmarkStart w:id="1850" w:name="_Toc1284"/>
      <w:bookmarkStart w:id="1851" w:name="_Toc32714"/>
      <w:bookmarkStart w:id="1852" w:name="_Toc6782"/>
      <w:bookmarkStart w:id="1853" w:name="_Toc17180"/>
      <w:bookmarkStart w:id="1854" w:name="_Toc3012"/>
      <w:bookmarkStart w:id="1855" w:name="_Toc7830"/>
      <w:r>
        <w:rPr>
          <w:rFonts w:hint="eastAsia" w:ascii="仿宋" w:hAnsi="仿宋" w:eastAsia="仿宋" w:cs="仿宋"/>
          <w:b/>
          <w:bCs/>
          <w:color w:val="auto"/>
          <w:highlight w:val="none"/>
          <w:lang w:eastAsia="zh-CN"/>
        </w:rPr>
        <w:t>格式</w:t>
      </w:r>
      <w:bookmarkEnd w:id="1836"/>
      <w:bookmarkEnd w:id="1837"/>
      <w:bookmarkEnd w:id="1838"/>
      <w:r>
        <w:rPr>
          <w:rFonts w:hint="eastAsia" w:ascii="仿宋" w:hAnsi="仿宋" w:eastAsia="仿宋" w:cs="仿宋"/>
          <w:b/>
          <w:bCs/>
          <w:color w:val="auto"/>
          <w:highlight w:val="none"/>
          <w:lang w:eastAsia="zh-CN"/>
        </w:rPr>
        <w:t>12 暂停施工令</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745FEED">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暂停施工令</w:t>
      </w:r>
    </w:p>
    <w:p w14:paraId="7351977F">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58"/>
      </w:tblGrid>
      <w:tr w14:paraId="458EED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0298" w:hRule="atLeast"/>
        </w:trPr>
        <w:tc>
          <w:tcPr>
            <w:tcW w:w="10458" w:type="dxa"/>
          </w:tcPr>
          <w:p w14:paraId="1C2DD554">
            <w:pPr>
              <w:keepNext w:val="0"/>
              <w:keepLines w:val="0"/>
              <w:widowControl/>
              <w:suppressLineNumbers w:val="0"/>
              <w:spacing w:before="12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（承包人全称）</w:t>
            </w:r>
          </w:p>
          <w:p w14:paraId="255DCA77">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由于</w:t>
            </w:r>
            <w:r>
              <w:rPr>
                <w:rFonts w:hint="default" w:ascii="仿宋" w:hAnsi="仿宋" w:eastAsia="仿宋" w:cs="仿宋"/>
                <w:color w:val="auto"/>
                <w:highlight w:val="none"/>
                <w:u w:val="single"/>
                <w:lang w:eastAsia="zh-CN"/>
              </w:rPr>
              <w:t xml:space="preserve">                                                                    </w:t>
            </w:r>
          </w:p>
          <w:p w14:paraId="1A2CEDA2">
            <w:pPr>
              <w:keepNext w:val="0"/>
              <w:keepLines w:val="0"/>
              <w:widowControl/>
              <w:suppressLineNumbers w:val="0"/>
              <w:spacing w:before="0" w:beforeAutospacing="0" w:after="0" w:afterAutospacing="0" w:line="360" w:lineRule="auto"/>
              <w:ind w:left="-28" w:right="0"/>
              <w:rPr>
                <w:rFonts w:hint="eastAsia" w:ascii="仿宋" w:hAnsi="仿宋" w:eastAsia="仿宋" w:cs="仿宋"/>
                <w:color w:val="auto"/>
                <w:highlight w:val="none"/>
                <w:u w:val="single"/>
                <w:lang w:eastAsia="zh-CN"/>
              </w:rPr>
            </w:pPr>
            <w:r>
              <w:rPr>
                <w:rFonts w:hint="default" w:ascii="仿宋" w:hAnsi="仿宋" w:eastAsia="仿宋" w:cs="仿宋"/>
                <w:color w:val="auto"/>
                <w:highlight w:val="none"/>
                <w:u w:val="single"/>
                <w:lang w:eastAsia="zh-CN"/>
              </w:rPr>
              <w:t xml:space="preserve">                                                                            </w:t>
            </w:r>
          </w:p>
          <w:p w14:paraId="48A50E62">
            <w:pPr>
              <w:keepNext w:val="0"/>
              <w:keepLines w:val="0"/>
              <w:widowControl/>
              <w:suppressLineNumbers w:val="0"/>
              <w:spacing w:before="0" w:beforeAutospacing="0" w:after="0" w:afterAutospacing="0" w:line="360" w:lineRule="auto"/>
              <w:ind w:left="-31" w:leftChars="-13" w:right="0"/>
              <w:rPr>
                <w:rFonts w:hint="eastAsia" w:ascii="仿宋" w:hAnsi="仿宋" w:eastAsia="仿宋" w:cs="仿宋"/>
                <w:color w:val="auto"/>
                <w:highlight w:val="none"/>
                <w:u w:val="single"/>
                <w:lang w:eastAsia="zh-CN"/>
              </w:rPr>
            </w:pPr>
            <w:r>
              <w:rPr>
                <w:rFonts w:hint="default" w:ascii="仿宋" w:hAnsi="仿宋" w:eastAsia="仿宋" w:cs="仿宋"/>
                <w:color w:val="auto"/>
                <w:highlight w:val="none"/>
                <w:u w:val="single"/>
                <w:lang w:eastAsia="zh-CN"/>
              </w:rPr>
              <w:t xml:space="preserve">                                                                            </w:t>
            </w:r>
          </w:p>
          <w:p w14:paraId="7F2597B8">
            <w:pPr>
              <w:keepNext w:val="0"/>
              <w:keepLines w:val="0"/>
              <w:widowControl/>
              <w:suppressLineNumbers w:val="0"/>
              <w:spacing w:before="0" w:beforeAutospacing="0" w:after="0" w:afterAutospacing="0" w:line="360" w:lineRule="auto"/>
              <w:ind w:left="-31" w:leftChars="-13" w:right="0"/>
              <w:rPr>
                <w:rFonts w:hint="eastAsia" w:ascii="仿宋" w:hAnsi="仿宋" w:eastAsia="仿宋" w:cs="仿宋"/>
                <w:color w:val="auto"/>
                <w:highlight w:val="none"/>
                <w:u w:val="single"/>
                <w:lang w:eastAsia="zh-CN"/>
              </w:rPr>
            </w:pPr>
            <w:r>
              <w:rPr>
                <w:rFonts w:hint="default" w:ascii="仿宋" w:hAnsi="仿宋" w:eastAsia="仿宋" w:cs="仿宋"/>
                <w:color w:val="auto"/>
                <w:highlight w:val="none"/>
                <w:u w:val="single"/>
                <w:lang w:eastAsia="zh-CN"/>
              </w:rPr>
              <w:t xml:space="preserve">                                                                            </w:t>
            </w:r>
          </w:p>
          <w:p w14:paraId="603A710B">
            <w:pPr>
              <w:keepNext w:val="0"/>
              <w:keepLines w:val="0"/>
              <w:widowControl/>
              <w:suppressLineNumbers w:val="0"/>
              <w:spacing w:before="0" w:beforeAutospacing="0" w:after="0" w:afterAutospacing="0" w:line="360" w:lineRule="auto"/>
              <w:ind w:left="480" w:right="0" w:hanging="480" w:hangingChars="200"/>
              <w:rPr>
                <w:rFonts w:hint="eastAsia" w:ascii="仿宋" w:hAnsi="仿宋" w:eastAsia="仿宋"/>
                <w:color w:val="auto"/>
                <w:highlight w:val="none"/>
                <w:lang w:eastAsia="zh-CN"/>
              </w:rPr>
            </w:pP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的原因，现通知你方必须于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w:t>
            </w:r>
          </w:p>
          <w:p w14:paraId="3D0F8EEF">
            <w:pPr>
              <w:keepNext w:val="0"/>
              <w:keepLines w:val="0"/>
              <w:widowControl/>
              <w:suppressLineNumbers w:val="0"/>
              <w:spacing w:before="0" w:beforeAutospacing="0" w:after="0" w:afterAutospacing="0" w:line="360" w:lineRule="auto"/>
              <w:ind w:left="480" w:right="0" w:hanging="480" w:hangingChars="200"/>
              <w:rPr>
                <w:rFonts w:hint="eastAsia" w:ascii="仿宋" w:hAnsi="仿宋" w:eastAsia="仿宋"/>
                <w:color w:val="auto"/>
                <w:highlight w:val="none"/>
                <w:lang w:eastAsia="zh-CN"/>
              </w:rPr>
            </w:pP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时起，对本工程的</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部位（工序）实施</w:t>
            </w:r>
          </w:p>
          <w:p w14:paraId="18EB3BCC">
            <w:pPr>
              <w:keepNext w:val="0"/>
              <w:keepLines w:val="0"/>
              <w:widowControl/>
              <w:suppressLineNumbers w:val="0"/>
              <w:spacing w:before="0" w:beforeAutospacing="0" w:after="0" w:afterAutospacing="0" w:line="360" w:lineRule="auto"/>
              <w:ind w:left="480" w:right="0" w:hanging="480" w:hanging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暂停施工，并按下述要求做好各项工作：</w:t>
            </w:r>
          </w:p>
          <w:p w14:paraId="1361B3D7">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263CF176">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0B07F1BF">
            <w:pPr>
              <w:keepNext w:val="0"/>
              <w:keepLines w:val="0"/>
              <w:widowControl/>
              <w:suppressLineNumbers w:val="0"/>
              <w:spacing w:before="0" w:beforeAutospacing="0" w:after="0" w:afterAutospacing="0" w:line="360" w:lineRule="auto"/>
              <w:ind w:left="0" w:right="0" w:firstLine="6012"/>
              <w:rPr>
                <w:rFonts w:hint="eastAsia" w:ascii="仿宋" w:hAnsi="仿宋" w:eastAsia="仿宋"/>
                <w:color w:val="auto"/>
                <w:highlight w:val="none"/>
                <w:u w:val="single"/>
                <w:lang w:eastAsia="zh-CN"/>
              </w:rPr>
            </w:pPr>
            <w:r>
              <w:rPr>
                <w:rFonts w:hint="default" w:ascii="仿宋" w:hAnsi="仿宋" w:eastAsia="仿宋" w:cs="仿宋"/>
                <w:color w:val="auto"/>
                <w:highlight w:val="none"/>
                <w:lang w:eastAsia="zh-CN"/>
              </w:rPr>
              <w:t xml:space="preserve">                                                </w:t>
            </w:r>
          </w:p>
          <w:p w14:paraId="4AD1D08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6E38AD7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0F63AED0">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lang w:eastAsia="zh-CN"/>
              </w:rPr>
            </w:pPr>
          </w:p>
          <w:p w14:paraId="7E360959">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lang w:eastAsia="zh-CN"/>
              </w:rPr>
            </w:pPr>
          </w:p>
          <w:p w14:paraId="7A11867A">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lang w:eastAsia="zh-CN"/>
              </w:rPr>
            </w:pPr>
          </w:p>
          <w:p w14:paraId="0D60ECEF">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lang w:eastAsia="zh-CN"/>
              </w:rPr>
            </w:pPr>
          </w:p>
          <w:p w14:paraId="5A6E54FB">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lang w:eastAsia="zh-CN"/>
              </w:rPr>
            </w:pPr>
          </w:p>
          <w:p w14:paraId="55BEF7F3">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lang w:eastAsia="zh-CN"/>
              </w:rPr>
            </w:pPr>
          </w:p>
          <w:p w14:paraId="1A3B0C28">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lang w:eastAsia="zh-CN"/>
              </w:rPr>
            </w:pPr>
          </w:p>
          <w:p w14:paraId="664E1D11">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lang w:eastAsia="zh-CN"/>
              </w:rPr>
            </w:pPr>
          </w:p>
          <w:p w14:paraId="5DBDFA67">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lang w:eastAsia="zh-CN"/>
              </w:rPr>
            </w:pPr>
          </w:p>
          <w:p w14:paraId="5C3C2A77">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监理单位（章）</w:t>
            </w:r>
            <w:r>
              <w:rPr>
                <w:rFonts w:hint="default" w:ascii="仿宋" w:hAnsi="仿宋" w:eastAsia="仿宋" w:cs="仿宋"/>
                <w:color w:val="auto"/>
                <w:highlight w:val="none"/>
                <w:lang w:eastAsia="zh-CN"/>
              </w:rPr>
              <w:t xml:space="preserve">           </w:t>
            </w:r>
          </w:p>
          <w:p w14:paraId="0B360A66">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监理工程师</w:t>
            </w:r>
            <w:r>
              <w:rPr>
                <w:rFonts w:hint="default" w:ascii="仿宋" w:hAnsi="仿宋" w:eastAsia="仿宋" w:cs="仿宋"/>
                <w:color w:val="auto"/>
                <w:highlight w:val="none"/>
                <w:u w:val="single"/>
                <w:lang w:eastAsia="zh-CN"/>
              </w:rPr>
              <w:t xml:space="preserve">               </w:t>
            </w:r>
          </w:p>
          <w:p w14:paraId="3339A580">
            <w:pPr>
              <w:keepNext w:val="0"/>
              <w:keepLines w:val="0"/>
              <w:widowControl/>
              <w:suppressLineNumbers w:val="0"/>
              <w:spacing w:before="0" w:beforeAutospacing="0" w:after="0" w:afterAutospacing="0" w:line="360" w:lineRule="auto"/>
              <w:ind w:left="0" w:right="0" w:firstLine="6732" w:firstLineChars="2805"/>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1728E57D">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本表一式三份，由监理工程师填制，并连同发包人、承包人各存一份。</w:t>
      </w:r>
    </w:p>
    <w:p w14:paraId="16F8B71E">
      <w:pPr>
        <w:spacing w:before="240" w:beforeLines="100" w:after="240" w:afterLines="100"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856" w:name="_Toc266892936"/>
      <w:bookmarkStart w:id="1857" w:name="_Toc469384152"/>
      <w:bookmarkStart w:id="1858" w:name="_Toc10624996"/>
      <w:bookmarkStart w:id="1859" w:name="_Toc16156"/>
      <w:bookmarkStart w:id="1860" w:name="_Toc16325"/>
      <w:bookmarkStart w:id="1861" w:name="_Toc21186"/>
      <w:bookmarkStart w:id="1862" w:name="_Toc16339"/>
      <w:bookmarkStart w:id="1863" w:name="_Toc8616"/>
      <w:bookmarkStart w:id="1864" w:name="_Toc30979"/>
      <w:bookmarkStart w:id="1865" w:name="_Toc27596"/>
      <w:bookmarkStart w:id="1866" w:name="_Toc32673"/>
      <w:bookmarkStart w:id="1867" w:name="_Toc119"/>
      <w:bookmarkStart w:id="1868" w:name="_Toc32747"/>
      <w:bookmarkStart w:id="1869" w:name="_Toc31261"/>
      <w:bookmarkStart w:id="1870" w:name="_Toc12339"/>
      <w:bookmarkStart w:id="1871" w:name="_Toc27796"/>
      <w:bookmarkStart w:id="1872" w:name="_Toc8234"/>
      <w:bookmarkStart w:id="1873" w:name="_Toc11270"/>
      <w:bookmarkStart w:id="1874" w:name="_Toc23382"/>
      <w:bookmarkStart w:id="1875" w:name="_Toc1910"/>
      <w:r>
        <w:rPr>
          <w:rFonts w:hint="eastAsia" w:ascii="仿宋" w:hAnsi="仿宋" w:eastAsia="仿宋" w:cs="仿宋"/>
          <w:b/>
          <w:bCs/>
          <w:color w:val="auto"/>
          <w:highlight w:val="none"/>
          <w:lang w:eastAsia="zh-CN"/>
        </w:rPr>
        <w:t>格式</w:t>
      </w:r>
      <w:bookmarkEnd w:id="1856"/>
      <w:bookmarkEnd w:id="1857"/>
      <w:bookmarkEnd w:id="1858"/>
      <w:r>
        <w:rPr>
          <w:rFonts w:hint="eastAsia" w:ascii="仿宋" w:hAnsi="仿宋" w:eastAsia="仿宋" w:cs="仿宋"/>
          <w:b/>
          <w:bCs/>
          <w:color w:val="auto"/>
          <w:highlight w:val="none"/>
          <w:lang w:eastAsia="zh-CN"/>
        </w:rPr>
        <w:t>11 工期索赔申请表</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5E95B10B">
      <w:pPr>
        <w:spacing w:before="50" w:after="50"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工期索赔申请表</w:t>
      </w:r>
    </w:p>
    <w:p w14:paraId="2FB5E736">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373"/>
      </w:tblGrid>
      <w:tr w14:paraId="0B887D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4238" w:hRule="atLeast"/>
        </w:trPr>
        <w:tc>
          <w:tcPr>
            <w:tcW w:w="10373" w:type="dxa"/>
            <w:tcBorders>
              <w:bottom w:val="single" w:color="auto" w:sz="4" w:space="0"/>
            </w:tcBorders>
          </w:tcPr>
          <w:p w14:paraId="7073D1E4">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（监理人全称）</w:t>
            </w:r>
            <w:r>
              <w:rPr>
                <w:rFonts w:hint="default" w:ascii="仿宋" w:hAnsi="仿宋" w:eastAsia="仿宋" w:cs="仿宋"/>
                <w:color w:val="auto"/>
                <w:highlight w:val="none"/>
                <w:lang w:eastAsia="zh-CN"/>
              </w:rPr>
              <w:t xml:space="preserve"> </w:t>
            </w:r>
          </w:p>
          <w:p w14:paraId="2647F86A">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根据施工合同第</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条规定，由于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原因</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我方要求索赔并顺延工期</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日历天，请予以批准。</w:t>
            </w:r>
          </w:p>
          <w:p w14:paraId="3211B33B">
            <w:pPr>
              <w:keepNext w:val="0"/>
              <w:keepLines w:val="0"/>
              <w:widowControl/>
              <w:suppressLineNumbers w:val="0"/>
              <w:spacing w:before="0" w:beforeAutospacing="0" w:after="0" w:afterAutospacing="0" w:line="360" w:lineRule="auto"/>
              <w:ind w:left="48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１．工期索赔的依据：</w:t>
            </w:r>
          </w:p>
          <w:p w14:paraId="6C15A52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156E281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3E046FC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4B41812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2B03CCA5">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2</w:t>
            </w:r>
            <w:r>
              <w:rPr>
                <w:rFonts w:hint="eastAsia" w:ascii="仿宋" w:hAnsi="仿宋" w:eastAsia="仿宋" w:cs="仿宋"/>
                <w:color w:val="auto"/>
                <w:highlight w:val="none"/>
                <w:lang w:eastAsia="zh-CN"/>
              </w:rPr>
              <w:t>．索赔工期的计算：</w:t>
            </w:r>
          </w:p>
          <w:p w14:paraId="4BCEA0DF">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50FE5710">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485EE8AA">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7C109227">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22C3DE8D">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4F3D8EC7">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079B540B">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本次要求延长工期</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日历天；最终延长总工期</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日历天。</w:t>
            </w:r>
          </w:p>
          <w:p w14:paraId="6CF3E51D">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合同竣工日期从原来</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日延迟到</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w:t>
            </w:r>
          </w:p>
          <w:p w14:paraId="63A96F70">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3</w:t>
            </w:r>
            <w:r>
              <w:rPr>
                <w:rFonts w:hint="eastAsia" w:ascii="仿宋" w:hAnsi="仿宋" w:eastAsia="仿宋" w:cs="仿宋"/>
                <w:color w:val="auto"/>
                <w:highlight w:val="none"/>
                <w:lang w:eastAsia="zh-CN"/>
              </w:rPr>
              <w:t>．证明材料：</w:t>
            </w:r>
          </w:p>
          <w:p w14:paraId="7624F6B9">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031A0BA6">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193D9D46">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6BC74239">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5644739A">
            <w:pPr>
              <w:keepNext w:val="0"/>
              <w:keepLines w:val="0"/>
              <w:widowControl/>
              <w:suppressLineNumbers w:val="0"/>
              <w:tabs>
                <w:tab w:val="left" w:pos="6912"/>
              </w:tabs>
              <w:spacing w:before="0" w:beforeAutospacing="0" w:after="0" w:afterAutospacing="0" w:line="360" w:lineRule="auto"/>
              <w:ind w:left="0" w:right="0" w:firstLine="6372" w:firstLineChars="2655"/>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承包人（章）</w:t>
            </w:r>
            <w:r>
              <w:rPr>
                <w:rFonts w:hint="default" w:ascii="仿宋" w:hAnsi="仿宋" w:eastAsia="仿宋" w:cs="仿宋"/>
                <w:color w:val="auto"/>
                <w:highlight w:val="none"/>
                <w:lang w:eastAsia="zh-CN"/>
              </w:rPr>
              <w:t xml:space="preserve">                </w:t>
            </w:r>
          </w:p>
          <w:p w14:paraId="1B13AE31">
            <w:pPr>
              <w:keepNext w:val="0"/>
              <w:keepLines w:val="0"/>
              <w:widowControl/>
              <w:suppressLineNumbers w:val="0"/>
              <w:spacing w:before="0" w:beforeAutospacing="0" w:after="0" w:afterAutospacing="0" w:line="360" w:lineRule="auto"/>
              <w:ind w:left="0" w:right="0" w:firstLine="6372" w:firstLineChars="2655"/>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5D0E6012">
            <w:pPr>
              <w:keepNext w:val="0"/>
              <w:keepLines w:val="0"/>
              <w:widowControl/>
              <w:suppressLineNumbers w:val="0"/>
              <w:tabs>
                <w:tab w:val="left" w:pos="7272"/>
              </w:tabs>
              <w:spacing w:before="0" w:beforeAutospacing="0" w:after="0" w:afterAutospacing="0" w:line="360" w:lineRule="auto"/>
              <w:ind w:left="0" w:right="0" w:firstLine="6372" w:firstLineChars="2655"/>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0E3C39B0">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说明：本表一式三份，由承包人填报</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发包人、监理人、承包人各存一份。</w:t>
      </w:r>
    </w:p>
    <w:p w14:paraId="377DBD53">
      <w:pPr>
        <w:spacing w:before="240" w:beforeLines="100" w:after="240" w:afterLines="100" w:line="360" w:lineRule="auto"/>
        <w:outlineLvl w:val="1"/>
        <w:rPr>
          <w:rFonts w:hint="eastAsia" w:ascii="仿宋" w:hAnsi="仿宋" w:eastAsia="仿宋"/>
          <w:color w:val="auto"/>
          <w:highlight w:val="none"/>
          <w:lang w:eastAsia="zh-CN"/>
        </w:rPr>
      </w:pPr>
      <w:bookmarkStart w:id="1876" w:name="_Toc469384153"/>
      <w:bookmarkStart w:id="1877" w:name="_Toc10624997"/>
      <w:bookmarkStart w:id="1878" w:name="_Toc266892937"/>
      <w:bookmarkStart w:id="1879" w:name="_Toc14356"/>
      <w:bookmarkStart w:id="1880" w:name="_Toc9494"/>
      <w:bookmarkStart w:id="1881" w:name="_Toc28463"/>
      <w:bookmarkStart w:id="1882" w:name="_Toc52"/>
      <w:bookmarkStart w:id="1883" w:name="_Toc18310"/>
      <w:bookmarkStart w:id="1884" w:name="_Toc13560"/>
      <w:bookmarkStart w:id="1885" w:name="_Toc32184"/>
      <w:bookmarkStart w:id="1886" w:name="_Toc30727"/>
      <w:bookmarkStart w:id="1887" w:name="_Toc8104"/>
      <w:bookmarkStart w:id="1888" w:name="_Toc16948"/>
      <w:bookmarkStart w:id="1889" w:name="_Toc25497"/>
      <w:bookmarkStart w:id="1890" w:name="_Toc5488"/>
      <w:bookmarkStart w:id="1891" w:name="_Toc30559"/>
      <w:bookmarkStart w:id="1892" w:name="_Toc30893"/>
      <w:bookmarkStart w:id="1893" w:name="_Toc2837"/>
      <w:bookmarkStart w:id="1894" w:name="_Toc12742"/>
      <w:bookmarkStart w:id="1895" w:name="_Toc16490"/>
      <w:r>
        <w:rPr>
          <w:rFonts w:hint="eastAsia" w:ascii="仿宋" w:hAnsi="仿宋" w:eastAsia="仿宋" w:cs="仿宋"/>
          <w:b/>
          <w:bCs/>
          <w:color w:val="auto"/>
          <w:highlight w:val="none"/>
          <w:lang w:eastAsia="zh-CN"/>
        </w:rPr>
        <w:t>格式</w:t>
      </w:r>
      <w:bookmarkEnd w:id="1876"/>
      <w:bookmarkEnd w:id="1877"/>
      <w:bookmarkEnd w:id="1878"/>
      <w:r>
        <w:rPr>
          <w:rFonts w:hint="eastAsia" w:ascii="仿宋" w:hAnsi="仿宋" w:eastAsia="仿宋" w:cs="仿宋"/>
          <w:b/>
          <w:bCs/>
          <w:color w:val="auto"/>
          <w:highlight w:val="none"/>
          <w:lang w:eastAsia="zh-CN"/>
        </w:rPr>
        <w:t>12 工期索赔审批表</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6DD4EF51">
      <w:pPr>
        <w:spacing w:before="50" w:after="50" w:line="360" w:lineRule="auto"/>
        <w:jc w:val="center"/>
        <w:rPr>
          <w:rFonts w:hint="eastAsia" w:ascii="仿宋" w:hAnsi="仿宋" w:eastAsia="仿宋"/>
          <w:b/>
          <w:bCs/>
          <w:color w:val="auto"/>
          <w:highlight w:val="none"/>
          <w:lang w:eastAsia="zh-CN"/>
        </w:rPr>
      </w:pPr>
      <w:r>
        <w:rPr>
          <w:rFonts w:hint="eastAsia" w:ascii="仿宋" w:hAnsi="仿宋" w:eastAsia="仿宋" w:cs="仿宋"/>
          <w:b/>
          <w:bCs/>
          <w:color w:val="auto"/>
          <w:spacing w:val="30"/>
          <w:sz w:val="44"/>
          <w:szCs w:val="44"/>
          <w:highlight w:val="none"/>
          <w:lang w:eastAsia="zh-CN"/>
        </w:rPr>
        <w:t>工期索赔审批表</w:t>
      </w:r>
    </w:p>
    <w:p w14:paraId="1CEDF249">
      <w:pPr>
        <w:spacing w:line="360" w:lineRule="auto"/>
        <w:rPr>
          <w:rFonts w:hint="eastAsia" w:ascii="仿宋" w:hAnsi="仿宋" w:eastAsia="仿宋" w:cs="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55"/>
      </w:tblGrid>
      <w:tr w14:paraId="4E74D8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11280" w:hRule="atLeast"/>
        </w:trPr>
        <w:tc>
          <w:tcPr>
            <w:tcW w:w="10455" w:type="dxa"/>
            <w:tcBorders>
              <w:bottom w:val="single" w:color="auto" w:sz="4" w:space="0"/>
            </w:tcBorders>
          </w:tcPr>
          <w:p w14:paraId="6F7497BC">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（承包人全称）</w:t>
            </w:r>
            <w:r>
              <w:rPr>
                <w:rFonts w:hint="default" w:ascii="仿宋" w:hAnsi="仿宋" w:eastAsia="仿宋" w:cs="仿宋"/>
                <w:color w:val="auto"/>
                <w:highlight w:val="none"/>
                <w:lang w:eastAsia="zh-CN"/>
              </w:rPr>
              <w:t xml:space="preserve"> </w:t>
            </w:r>
          </w:p>
          <w:p w14:paraId="66EDF07F">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根据施工合同条款第</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的规定，你方提出的工期索赔申请第</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号</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索赔工期</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日历天，经我方审核：</w:t>
            </w:r>
          </w:p>
          <w:p w14:paraId="513012E0">
            <w:pPr>
              <w:keepNext w:val="0"/>
              <w:keepLines w:val="0"/>
              <w:widowControl/>
              <w:suppressLineNumbers w:val="0"/>
              <w:spacing w:before="0" w:beforeAutospacing="0" w:after="0" w:afterAutospacing="0" w:line="360" w:lineRule="auto"/>
              <w:ind w:left="-28" w:right="0" w:firstLine="55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不同意此项索赔，按约定竣工日期组织施工。</w:t>
            </w:r>
          </w:p>
          <w:p w14:paraId="3C50F3F1">
            <w:pPr>
              <w:keepNext w:val="0"/>
              <w:keepLines w:val="0"/>
              <w:widowControl/>
              <w:suppressLineNumbers w:val="0"/>
              <w:spacing w:before="0" w:beforeAutospacing="0" w:after="0" w:afterAutospacing="0" w:line="360" w:lineRule="auto"/>
              <w:ind w:left="-28" w:right="0" w:firstLine="55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同意此项索赔，工期延长</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日历天，合同竣工日期从原来的</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日延迟到</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w:t>
            </w:r>
          </w:p>
          <w:p w14:paraId="08AB32DB">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说明理由：</w:t>
            </w:r>
          </w:p>
          <w:p w14:paraId="2ACAA7EB">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3B98AA3A">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6AC75453">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7BFAEB83">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6429E810">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36B8A82C">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65186B36">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74D5DE8A">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4BC751DD">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389C5D55">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61B55BB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058D8E6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229BA024">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监理人（章）</w:t>
            </w:r>
            <w:r>
              <w:rPr>
                <w:rFonts w:hint="default" w:ascii="仿宋" w:hAnsi="仿宋" w:eastAsia="仿宋" w:cs="仿宋"/>
                <w:color w:val="auto"/>
                <w:highlight w:val="none"/>
                <w:lang w:eastAsia="zh-CN"/>
              </w:rPr>
              <w:t xml:space="preserve">                </w:t>
            </w:r>
          </w:p>
          <w:p w14:paraId="475B3F72">
            <w:pPr>
              <w:keepNext w:val="0"/>
              <w:keepLines w:val="0"/>
              <w:widowControl/>
              <w:suppressLineNumbers w:val="0"/>
              <w:spacing w:before="0" w:beforeAutospacing="0" w:after="0" w:afterAutospacing="0" w:line="360" w:lineRule="auto"/>
              <w:ind w:left="0" w:right="0" w:firstLine="6000"/>
              <w:rPr>
                <w:rFonts w:hint="eastAsia" w:ascii="仿宋" w:hAnsi="仿宋" w:eastAsia="仿宋" w:cs="仿宋"/>
                <w:color w:val="auto"/>
                <w:highlight w:val="none"/>
                <w:u w:val="single"/>
              </w:rPr>
            </w:pPr>
            <w:r>
              <w:rPr>
                <w:rFonts w:hint="eastAsia" w:ascii="仿宋" w:hAnsi="仿宋" w:eastAsia="仿宋" w:cs="仿宋"/>
                <w:color w:val="auto"/>
                <w:highlight w:val="none"/>
              </w:rPr>
              <w:t>造价工程师</w:t>
            </w:r>
            <w:r>
              <w:rPr>
                <w:rFonts w:hint="default" w:ascii="仿宋" w:hAnsi="仿宋" w:eastAsia="仿宋" w:cs="仿宋"/>
                <w:color w:val="auto"/>
                <w:highlight w:val="none"/>
                <w:u w:val="single"/>
              </w:rPr>
              <w:t xml:space="preserve">                </w:t>
            </w:r>
          </w:p>
          <w:p w14:paraId="129DE55D">
            <w:pPr>
              <w:keepNext w:val="0"/>
              <w:keepLines w:val="0"/>
              <w:widowControl/>
              <w:suppressLineNumbers w:val="0"/>
              <w:tabs>
                <w:tab w:val="left" w:pos="7272"/>
              </w:tabs>
              <w:spacing w:before="0" w:beforeAutospacing="0" w:after="0" w:afterAutospacing="0" w:line="360" w:lineRule="auto"/>
              <w:ind w:left="0" w:right="0" w:firstLine="6000"/>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739B1906">
      <w:pP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．在需要选择的栏中的“□”内作标识“√”。</w:t>
      </w:r>
    </w:p>
    <w:p w14:paraId="201C0294">
      <w:pPr>
        <w:spacing w:before="120" w:beforeLines="50" w:after="120" w:afterLines="50"/>
        <w:ind w:firstLine="720" w:firstLineChars="300"/>
        <w:rPr>
          <w:rFonts w:hint="eastAsia" w:ascii="仿宋" w:hAnsi="仿宋" w:eastAsia="仿宋" w:cs="仿宋"/>
          <w:b/>
          <w:bCs/>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．本表一式三份，由简历工程师填制</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发包人、监理人、承包人各存一份。</w:t>
      </w:r>
      <w:r>
        <w:rPr>
          <w:rFonts w:ascii="仿宋" w:hAnsi="仿宋" w:eastAsia="仿宋"/>
          <w:color w:val="auto"/>
          <w:highlight w:val="none"/>
          <w:lang w:eastAsia="zh-CN"/>
        </w:rPr>
        <w:br w:type="page"/>
      </w:r>
      <w:bookmarkStart w:id="1896" w:name="_Toc266892938"/>
      <w:r>
        <w:rPr>
          <w:rFonts w:hint="eastAsia" w:ascii="仿宋" w:hAnsi="仿宋" w:eastAsia="仿宋" w:cs="仿宋"/>
          <w:b/>
          <w:bCs/>
          <w:color w:val="auto"/>
          <w:highlight w:val="none"/>
          <w:lang w:eastAsia="zh-CN"/>
        </w:rPr>
        <w:t>格式</w:t>
      </w:r>
      <w:bookmarkEnd w:id="1896"/>
      <w:r>
        <w:rPr>
          <w:rFonts w:hint="eastAsia" w:ascii="仿宋" w:hAnsi="仿宋" w:eastAsia="仿宋" w:cs="仿宋"/>
          <w:b/>
          <w:bCs/>
          <w:color w:val="auto"/>
          <w:highlight w:val="none"/>
          <w:lang w:eastAsia="zh-CN"/>
        </w:rPr>
        <w:t>13</w:t>
      </w:r>
    </w:p>
    <w:p w14:paraId="6D9BA3EE">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工程材料</w:t>
      </w:r>
      <w:r>
        <w:rPr>
          <w:rFonts w:ascii="仿宋" w:hAnsi="仿宋" w:eastAsia="仿宋" w:cs="仿宋"/>
          <w:b/>
          <w:bCs/>
          <w:color w:val="auto"/>
          <w:spacing w:val="30"/>
          <w:sz w:val="44"/>
          <w:szCs w:val="44"/>
          <w:highlight w:val="none"/>
          <w:lang w:eastAsia="zh-CN"/>
        </w:rPr>
        <w:t>/</w:t>
      </w:r>
      <w:r>
        <w:rPr>
          <w:rFonts w:hint="eastAsia" w:ascii="仿宋" w:hAnsi="仿宋" w:eastAsia="仿宋" w:cs="仿宋"/>
          <w:b/>
          <w:bCs/>
          <w:color w:val="auto"/>
          <w:spacing w:val="30"/>
          <w:sz w:val="44"/>
          <w:szCs w:val="44"/>
          <w:highlight w:val="none"/>
          <w:lang w:eastAsia="zh-CN"/>
        </w:rPr>
        <w:t>设备报审表</w:t>
      </w:r>
    </w:p>
    <w:p w14:paraId="06ECDC33">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01"/>
      </w:tblGrid>
      <w:tr w14:paraId="4EB7F0A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6717" w:hRule="atLeast"/>
        </w:trPr>
        <w:tc>
          <w:tcPr>
            <w:tcW w:w="10401" w:type="dxa"/>
          </w:tcPr>
          <w:p w14:paraId="47C83205">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（监理人全称）</w:t>
            </w:r>
          </w:p>
          <w:p w14:paraId="6633CB12">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日进场的工程</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材料</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构配件</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设备数量如下（见附件）。现提供质量证明文件及自检结果，拟用于下述部位：</w:t>
            </w:r>
          </w:p>
          <w:p w14:paraId="6C0268E6">
            <w:pPr>
              <w:keepNext w:val="0"/>
              <w:keepLines w:val="0"/>
              <w:widowControl/>
              <w:suppressLineNumbers w:val="0"/>
              <w:spacing w:before="0" w:beforeAutospacing="0" w:after="0" w:afterAutospacing="0" w:line="360" w:lineRule="auto"/>
              <w:ind w:left="-28" w:right="0" w:firstLine="482"/>
              <w:rPr>
                <w:rFonts w:hint="eastAsia" w:ascii="仿宋" w:hAnsi="仿宋" w:eastAsia="仿宋" w:cs="仿宋"/>
                <w:color w:val="auto"/>
                <w:highlight w:val="none"/>
                <w:u w:val="single"/>
                <w:lang w:eastAsia="zh-CN"/>
              </w:rPr>
            </w:pPr>
            <w:r>
              <w:rPr>
                <w:rFonts w:hint="default" w:ascii="仿宋" w:hAnsi="仿宋" w:eastAsia="仿宋" w:cs="仿宋"/>
                <w:color w:val="auto"/>
                <w:highlight w:val="none"/>
                <w:u w:val="single"/>
                <w:lang w:eastAsia="zh-CN"/>
              </w:rPr>
              <w:t xml:space="preserve">                                                                        </w:t>
            </w:r>
          </w:p>
          <w:p w14:paraId="337F26F5">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p>
          <w:p w14:paraId="300651F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请予以检验和批准。</w:t>
            </w:r>
          </w:p>
          <w:p w14:paraId="7D82EC62">
            <w:pPr>
              <w:keepNext w:val="0"/>
              <w:keepLines w:val="0"/>
              <w:widowControl/>
              <w:suppressLineNumbers w:val="0"/>
              <w:spacing w:before="0" w:beforeAutospacing="0" w:after="0" w:afterAutospacing="0" w:line="360" w:lineRule="auto"/>
              <w:ind w:left="-108" w:right="0" w:firstLine="51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附件</w:t>
            </w:r>
            <w:r>
              <w:rPr>
                <w:rFonts w:hint="default" w:ascii="仿宋" w:hAnsi="仿宋" w:eastAsia="仿宋" w:cs="仿宋"/>
                <w:color w:val="auto"/>
                <w:highlight w:val="none"/>
                <w:lang w:eastAsia="zh-CN"/>
              </w:rPr>
              <w:t>:1</w:t>
            </w:r>
            <w:r>
              <w:rPr>
                <w:rFonts w:hint="eastAsia" w:ascii="仿宋" w:hAnsi="仿宋" w:eastAsia="仿宋" w:cs="仿宋"/>
                <w:color w:val="auto"/>
                <w:highlight w:val="none"/>
                <w:lang w:eastAsia="zh-CN"/>
              </w:rPr>
              <w:t>．数量清单</w:t>
            </w:r>
          </w:p>
          <w:p w14:paraId="22B35747">
            <w:pPr>
              <w:keepNext w:val="0"/>
              <w:keepLines w:val="0"/>
              <w:widowControl/>
              <w:suppressLineNumbers w:val="0"/>
              <w:spacing w:before="0" w:beforeAutospacing="0" w:after="0" w:afterAutospacing="0" w:line="360" w:lineRule="auto"/>
              <w:ind w:left="-108" w:right="0" w:firstLine="1077"/>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2</w:t>
            </w:r>
            <w:r>
              <w:rPr>
                <w:rFonts w:hint="eastAsia" w:ascii="仿宋" w:hAnsi="仿宋" w:eastAsia="仿宋" w:cs="仿宋"/>
                <w:color w:val="auto"/>
                <w:highlight w:val="none"/>
                <w:lang w:eastAsia="zh-CN"/>
              </w:rPr>
              <w:t>．质量证明文件</w:t>
            </w:r>
          </w:p>
          <w:p w14:paraId="5527F304">
            <w:pPr>
              <w:keepNext w:val="0"/>
              <w:keepLines w:val="0"/>
              <w:widowControl/>
              <w:suppressLineNumbers w:val="0"/>
              <w:spacing w:before="0" w:beforeAutospacing="0" w:after="0" w:afterAutospacing="0" w:line="360" w:lineRule="auto"/>
              <w:ind w:left="-108" w:right="0" w:firstLine="1077"/>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3</w:t>
            </w:r>
            <w:r>
              <w:rPr>
                <w:rFonts w:hint="eastAsia" w:ascii="仿宋" w:hAnsi="仿宋" w:eastAsia="仿宋" w:cs="仿宋"/>
                <w:color w:val="auto"/>
                <w:highlight w:val="none"/>
                <w:lang w:eastAsia="zh-CN"/>
              </w:rPr>
              <w:t>．自检结果</w:t>
            </w:r>
          </w:p>
          <w:p w14:paraId="78A2D171">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1949D8F5">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4115010D">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5DD6259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u w:val="single"/>
                <w:lang w:eastAsia="zh-CN"/>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承包人（章）</w:t>
            </w:r>
            <w:r>
              <w:rPr>
                <w:rFonts w:hint="default" w:ascii="仿宋" w:hAnsi="仿宋" w:eastAsia="仿宋" w:cs="仿宋"/>
                <w:color w:val="auto"/>
                <w:highlight w:val="none"/>
                <w:lang w:eastAsia="zh-CN"/>
              </w:rPr>
              <w:t xml:space="preserve">                 </w:t>
            </w:r>
          </w:p>
          <w:p w14:paraId="7B6CF1D6">
            <w:pPr>
              <w:keepNext w:val="0"/>
              <w:keepLines w:val="0"/>
              <w:widowControl/>
              <w:suppressLineNumbers w:val="0"/>
              <w:spacing w:before="0" w:beforeAutospacing="0" w:after="0" w:afterAutospacing="0" w:line="360" w:lineRule="auto"/>
              <w:ind w:left="0" w:right="0" w:firstLine="6000" w:firstLineChars="2500"/>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1D8692BC">
            <w:pPr>
              <w:keepNext w:val="0"/>
              <w:keepLines w:val="0"/>
              <w:widowControl/>
              <w:suppressLineNumbers w:val="0"/>
              <w:spacing w:before="0" w:beforeAutospacing="0" w:after="0" w:afterAutospacing="0" w:line="360" w:lineRule="auto"/>
              <w:ind w:left="0" w:right="0" w:firstLine="6012"/>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0296709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070" w:hRule="atLeast"/>
        </w:trPr>
        <w:tc>
          <w:tcPr>
            <w:tcW w:w="10401" w:type="dxa"/>
            <w:tcBorders>
              <w:bottom w:val="single" w:color="auto" w:sz="4" w:space="0"/>
            </w:tcBorders>
          </w:tcPr>
          <w:p w14:paraId="019896B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审查意见：</w:t>
            </w:r>
          </w:p>
          <w:p w14:paraId="55DA5546">
            <w:pPr>
              <w:keepNext w:val="0"/>
              <w:keepLines w:val="0"/>
              <w:widowControl/>
              <w:suppressLineNumbers w:val="0"/>
              <w:spacing w:before="0" w:beforeAutospacing="0" w:after="0" w:afterAutospacing="0" w:line="360" w:lineRule="auto"/>
              <w:ind w:left="-28" w:right="0" w:firstLine="454"/>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经检查上述工程</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材料</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构配件</w:t>
            </w:r>
            <w:r>
              <w:rPr>
                <w:rFonts w:hint="eastAsia" w:ascii="仿宋" w:hAnsi="仿宋" w:eastAsia="仿宋" w:cs="仿宋"/>
                <w:color w:val="auto"/>
                <w:sz w:val="32"/>
                <w:szCs w:val="32"/>
                <w:highlight w:val="none"/>
                <w:lang w:eastAsia="zh-CN"/>
              </w:rPr>
              <w:t>□工程</w:t>
            </w:r>
            <w:r>
              <w:rPr>
                <w:rFonts w:hint="eastAsia" w:ascii="仿宋" w:hAnsi="仿宋" w:eastAsia="仿宋" w:cs="仿宋"/>
                <w:color w:val="auto"/>
                <w:highlight w:val="none"/>
                <w:lang w:eastAsia="zh-CN"/>
              </w:rPr>
              <w:t>设备，（</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符合</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不符合）标准与规范、设计要求，（</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准许</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不准许）进场，（</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同意</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不同意）使用于拟定部位。</w:t>
            </w:r>
          </w:p>
          <w:p w14:paraId="34064F20">
            <w:pPr>
              <w:keepNext w:val="0"/>
              <w:keepLines w:val="0"/>
              <w:widowControl/>
              <w:suppressLineNumbers w:val="0"/>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711644C1">
            <w:pPr>
              <w:keepNext w:val="0"/>
              <w:keepLines w:val="0"/>
              <w:widowControl/>
              <w:suppressLineNumbers w:val="0"/>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7E58A0E9">
            <w:pPr>
              <w:keepNext w:val="0"/>
              <w:keepLines w:val="0"/>
              <w:widowControl/>
              <w:suppressLineNumbers w:val="0"/>
              <w:spacing w:before="0" w:beforeAutospacing="0" w:after="0" w:afterAutospacing="0" w:line="360" w:lineRule="auto"/>
              <w:ind w:left="0" w:right="0" w:firstLine="6000" w:firstLineChars="25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监理人（章）</w:t>
            </w:r>
            <w:r>
              <w:rPr>
                <w:rFonts w:hint="default" w:ascii="仿宋" w:hAnsi="仿宋" w:eastAsia="仿宋" w:cs="仿宋"/>
                <w:color w:val="auto"/>
                <w:highlight w:val="none"/>
                <w:lang w:eastAsia="zh-CN"/>
              </w:rPr>
              <w:t xml:space="preserve">                 </w:t>
            </w:r>
          </w:p>
          <w:p w14:paraId="29221424">
            <w:pPr>
              <w:keepNext w:val="0"/>
              <w:keepLines w:val="0"/>
              <w:widowControl/>
              <w:suppressLineNumbers w:val="0"/>
              <w:spacing w:before="0" w:beforeAutospacing="0" w:after="0" w:afterAutospacing="0" w:line="360" w:lineRule="auto"/>
              <w:ind w:left="0" w:right="0" w:firstLine="6000" w:firstLineChars="25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监理工程师</w:t>
            </w:r>
            <w:r>
              <w:rPr>
                <w:rFonts w:hint="default" w:ascii="仿宋" w:hAnsi="仿宋" w:eastAsia="仿宋" w:cs="仿宋"/>
                <w:color w:val="auto"/>
                <w:highlight w:val="none"/>
                <w:u w:val="single"/>
                <w:lang w:eastAsia="zh-CN"/>
              </w:rPr>
              <w:t xml:space="preserve">                 </w:t>
            </w:r>
          </w:p>
          <w:p w14:paraId="1B6B688C">
            <w:pPr>
              <w:keepNext w:val="0"/>
              <w:keepLines w:val="0"/>
              <w:widowControl/>
              <w:suppressLineNumbers w:val="0"/>
              <w:spacing w:before="0" w:beforeAutospacing="0" w:after="0" w:afterAutospacing="0" w:line="360" w:lineRule="auto"/>
              <w:ind w:left="0" w:right="0" w:firstLine="6000" w:firstLineChars="250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r>
              <w:rPr>
                <w:rFonts w:hint="default" w:ascii="仿宋" w:hAnsi="仿宋" w:eastAsia="仿宋" w:cs="仿宋"/>
                <w:color w:val="auto"/>
                <w:highlight w:val="none"/>
              </w:rPr>
              <w:t xml:space="preserve"> </w:t>
            </w:r>
          </w:p>
        </w:tc>
      </w:tr>
    </w:tbl>
    <w:p w14:paraId="60693CDF">
      <w:pP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．在需要选择的栏中的“</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”内作标识“√”。</w:t>
      </w:r>
    </w:p>
    <w:p w14:paraId="40511AD2">
      <w:pPr>
        <w:ind w:left="72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本表一式三份，由承包人、监理人按合同规定程序填制，并连同发包人各存一份。</w:t>
      </w:r>
    </w:p>
    <w:p w14:paraId="027EB2AD">
      <w:pPr>
        <w:spacing w:before="120" w:beforeLines="50" w:after="120" w:afterLines="50"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897" w:name="_Toc10624998"/>
      <w:bookmarkStart w:id="1898" w:name="_Toc266892939"/>
      <w:bookmarkStart w:id="1899" w:name="_Toc469384154"/>
      <w:bookmarkStart w:id="1900" w:name="_Toc17210"/>
      <w:bookmarkStart w:id="1901" w:name="_Toc23248"/>
      <w:bookmarkStart w:id="1902" w:name="_Toc24622"/>
      <w:bookmarkStart w:id="1903" w:name="_Toc18113"/>
      <w:bookmarkStart w:id="1904" w:name="_Toc28749"/>
      <w:bookmarkStart w:id="1905" w:name="_Toc21000"/>
      <w:bookmarkStart w:id="1906" w:name="_Toc9676"/>
      <w:bookmarkStart w:id="1907" w:name="_Toc26891"/>
      <w:bookmarkStart w:id="1908" w:name="_Toc1091"/>
      <w:bookmarkStart w:id="1909" w:name="_Toc26833"/>
      <w:bookmarkStart w:id="1910" w:name="_Toc11853"/>
      <w:bookmarkStart w:id="1911" w:name="_Toc15809"/>
      <w:bookmarkStart w:id="1912" w:name="_Toc22864"/>
      <w:bookmarkStart w:id="1913" w:name="_Toc8023"/>
      <w:bookmarkStart w:id="1914" w:name="_Toc18737"/>
      <w:bookmarkStart w:id="1915" w:name="_Toc31839"/>
      <w:bookmarkStart w:id="1916" w:name="_Toc26376"/>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1</w:t>
      </w:r>
      <w:bookmarkEnd w:id="1897"/>
      <w:bookmarkEnd w:id="1898"/>
      <w:bookmarkEnd w:id="1899"/>
      <w:r>
        <w:rPr>
          <w:rFonts w:hint="eastAsia" w:ascii="仿宋" w:hAnsi="仿宋" w:eastAsia="仿宋" w:cs="仿宋"/>
          <w:b/>
          <w:bCs/>
          <w:color w:val="auto"/>
          <w:highlight w:val="none"/>
          <w:lang w:eastAsia="zh-CN"/>
        </w:rPr>
        <w:t>4 隐蔽工程/中间验收报告</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519935CB">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隐蔽工程</w:t>
      </w:r>
      <w:r>
        <w:rPr>
          <w:rFonts w:ascii="仿宋" w:hAnsi="仿宋" w:eastAsia="仿宋" w:cs="仿宋"/>
          <w:b/>
          <w:bCs/>
          <w:color w:val="auto"/>
          <w:spacing w:val="30"/>
          <w:sz w:val="44"/>
          <w:szCs w:val="44"/>
          <w:highlight w:val="none"/>
          <w:lang w:eastAsia="zh-CN"/>
        </w:rPr>
        <w:t>/</w:t>
      </w:r>
      <w:r>
        <w:rPr>
          <w:rFonts w:hint="eastAsia" w:ascii="仿宋" w:hAnsi="仿宋" w:eastAsia="仿宋" w:cs="仿宋"/>
          <w:b/>
          <w:bCs/>
          <w:color w:val="auto"/>
          <w:spacing w:val="30"/>
          <w:sz w:val="44"/>
          <w:szCs w:val="44"/>
          <w:highlight w:val="none"/>
          <w:lang w:eastAsia="zh-CN"/>
        </w:rPr>
        <w:t>中间验收报告</w:t>
      </w:r>
    </w:p>
    <w:p w14:paraId="7DB18742">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工程名称</w:t>
      </w:r>
      <w:r>
        <w:rPr>
          <w:rFonts w:ascii="仿宋" w:hAnsi="仿宋" w:eastAsia="仿宋" w:cs="仿宋"/>
          <w:color w:val="auto"/>
          <w:highlight w:val="none"/>
          <w:lang w:eastAsia="zh-CN"/>
        </w:rPr>
        <w:t>:</w:t>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编号</w:t>
      </w:r>
      <w:r>
        <w:rPr>
          <w:rFonts w:ascii="仿宋" w:hAnsi="仿宋" w:eastAsia="仿宋" w:cs="仿宋"/>
          <w:color w:val="auto"/>
          <w:highlight w:val="none"/>
          <w:lang w:eastAsia="zh-CN"/>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45"/>
      </w:tblGrid>
      <w:tr w14:paraId="226202F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495" w:hRule="atLeast"/>
        </w:trPr>
        <w:tc>
          <w:tcPr>
            <w:tcW w:w="10445" w:type="dxa"/>
          </w:tcPr>
          <w:p w14:paraId="1E9EF001">
            <w:pPr>
              <w:keepNext w:val="0"/>
              <w:keepLines w:val="0"/>
              <w:widowControl/>
              <w:suppressLineNumbers w:val="0"/>
              <w:spacing w:before="12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（监理人全称）</w:t>
            </w:r>
          </w:p>
          <w:p w14:paraId="526A281C">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我方已完成了</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工作</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经自检合格，现提出</w:t>
            </w:r>
          </w:p>
          <w:p w14:paraId="4D919A8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隐蔽工程</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中间验收（内容见附件）申请，请予审验收。</w:t>
            </w:r>
          </w:p>
          <w:p w14:paraId="65E21D82">
            <w:pPr>
              <w:keepNext w:val="0"/>
              <w:keepLines w:val="0"/>
              <w:widowControl/>
              <w:suppressLineNumbers w:val="0"/>
              <w:spacing w:before="0" w:beforeAutospacing="0" w:after="0" w:afterAutospacing="0" w:line="360" w:lineRule="auto"/>
              <w:ind w:left="0" w:right="0" w:firstLine="417"/>
              <w:rPr>
                <w:rFonts w:hint="eastAsia" w:ascii="仿宋" w:hAnsi="仿宋" w:eastAsia="仿宋" w:cs="仿宋"/>
                <w:color w:val="auto"/>
                <w:highlight w:val="none"/>
              </w:rPr>
            </w:pPr>
            <w:r>
              <w:rPr>
                <w:rFonts w:hint="eastAsia" w:ascii="仿宋" w:hAnsi="仿宋" w:eastAsia="仿宋" w:cs="仿宋"/>
                <w:color w:val="auto"/>
                <w:highlight w:val="none"/>
              </w:rPr>
              <w:t>附件</w:t>
            </w:r>
            <w:r>
              <w:rPr>
                <w:rFonts w:hint="default" w:ascii="仿宋" w:hAnsi="仿宋" w:eastAsia="仿宋" w:cs="仿宋"/>
                <w:color w:val="auto"/>
                <w:highlight w:val="none"/>
              </w:rPr>
              <w:t>:</w:t>
            </w:r>
          </w:p>
          <w:p w14:paraId="2E92F6B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p w14:paraId="570FB94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p w14:paraId="11448B4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u w:val="single"/>
              </w:rPr>
            </w:pPr>
            <w:r>
              <w:rPr>
                <w:rFonts w:hint="default" w:ascii="仿宋" w:hAnsi="仿宋" w:eastAsia="仿宋" w:cs="仿宋"/>
                <w:color w:val="auto"/>
                <w:highlight w:val="none"/>
              </w:rPr>
              <w:t xml:space="preserve">                                                    </w:t>
            </w:r>
            <w:r>
              <w:rPr>
                <w:rFonts w:hint="eastAsia" w:ascii="仿宋" w:hAnsi="仿宋" w:eastAsia="仿宋" w:cs="仿宋"/>
                <w:color w:val="auto"/>
                <w:highlight w:val="none"/>
              </w:rPr>
              <w:t>承包人（章）</w:t>
            </w:r>
            <w:r>
              <w:rPr>
                <w:rFonts w:hint="default" w:ascii="仿宋" w:hAnsi="仿宋" w:eastAsia="仿宋" w:cs="仿宋"/>
                <w:color w:val="auto"/>
                <w:highlight w:val="none"/>
              </w:rPr>
              <w:t xml:space="preserve">                 </w:t>
            </w:r>
          </w:p>
          <w:p w14:paraId="0D9EECA5">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24E939FA">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43057A0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144" w:hRule="atLeast"/>
        </w:trPr>
        <w:tc>
          <w:tcPr>
            <w:tcW w:w="10445" w:type="dxa"/>
          </w:tcPr>
          <w:p w14:paraId="25187AB9">
            <w:pPr>
              <w:keepNext w:val="0"/>
              <w:keepLines w:val="0"/>
              <w:widowControl/>
              <w:suppressLineNumbers w:val="0"/>
              <w:spacing w:before="12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复核意见：</w:t>
            </w:r>
          </w:p>
          <w:p w14:paraId="3728DF81">
            <w:pPr>
              <w:keepNext w:val="0"/>
              <w:keepLines w:val="0"/>
              <w:widowControl/>
              <w:suppressLineNumbers w:val="0"/>
              <w:spacing w:before="120" w:beforeAutospacing="0" w:after="0" w:afterAutospacing="0" w:line="360" w:lineRule="auto"/>
              <w:ind w:left="0" w:right="0"/>
              <w:rPr>
                <w:rFonts w:hint="eastAsia" w:ascii="仿宋" w:hAnsi="仿宋" w:eastAsia="仿宋"/>
                <w:color w:val="auto"/>
                <w:highlight w:val="none"/>
                <w:lang w:eastAsia="zh-CN"/>
              </w:rPr>
            </w:pPr>
          </w:p>
          <w:p w14:paraId="3613189A">
            <w:pPr>
              <w:keepNext w:val="0"/>
              <w:keepLines w:val="0"/>
              <w:widowControl/>
              <w:suppressLineNumbers w:val="0"/>
              <w:spacing w:before="120" w:beforeAutospacing="0" w:after="0" w:afterAutospacing="0" w:line="360" w:lineRule="auto"/>
              <w:ind w:left="0" w:right="0"/>
              <w:rPr>
                <w:rFonts w:hint="eastAsia" w:ascii="仿宋" w:hAnsi="仿宋" w:eastAsia="仿宋"/>
                <w:color w:val="auto"/>
                <w:highlight w:val="none"/>
                <w:lang w:eastAsia="zh-CN"/>
              </w:rPr>
            </w:pPr>
          </w:p>
          <w:p w14:paraId="15A3A364">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设计人（章）</w:t>
            </w:r>
            <w:r>
              <w:rPr>
                <w:rFonts w:hint="default" w:ascii="仿宋" w:hAnsi="仿宋" w:eastAsia="仿宋" w:cs="仿宋"/>
                <w:color w:val="auto"/>
                <w:highlight w:val="none"/>
                <w:lang w:eastAsia="zh-CN"/>
              </w:rPr>
              <w:t xml:space="preserve"> </w:t>
            </w:r>
          </w:p>
          <w:p w14:paraId="41BFE5D4">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s="仿宋"/>
                <w:color w:val="auto"/>
                <w:highlight w:val="none"/>
                <w:u w:val="single"/>
              </w:rPr>
            </w:pPr>
            <w:r>
              <w:rPr>
                <w:rFonts w:hint="eastAsia" w:ascii="仿宋" w:hAnsi="仿宋" w:eastAsia="仿宋" w:cs="仿宋"/>
                <w:color w:val="auto"/>
                <w:highlight w:val="none"/>
              </w:rPr>
              <w:t>建筑师</w:t>
            </w:r>
            <w:r>
              <w:rPr>
                <w:rFonts w:hint="default" w:ascii="仿宋" w:hAnsi="仿宋" w:eastAsia="仿宋" w:cs="仿宋"/>
                <w:color w:val="auto"/>
                <w:highlight w:val="none"/>
              </w:rPr>
              <w:t>/</w:t>
            </w:r>
            <w:r>
              <w:rPr>
                <w:rFonts w:hint="eastAsia" w:ascii="仿宋" w:hAnsi="仿宋" w:eastAsia="仿宋" w:cs="仿宋"/>
                <w:color w:val="auto"/>
                <w:highlight w:val="none"/>
              </w:rPr>
              <w:t>结构师</w:t>
            </w:r>
            <w:r>
              <w:rPr>
                <w:rFonts w:hint="default" w:ascii="仿宋" w:hAnsi="仿宋" w:eastAsia="仿宋" w:cs="仿宋"/>
                <w:color w:val="auto"/>
                <w:highlight w:val="none"/>
                <w:u w:val="single"/>
              </w:rPr>
              <w:t xml:space="preserve">           </w:t>
            </w:r>
          </w:p>
          <w:p w14:paraId="79E0E030">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4B22FA4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2289" w:hRule="atLeast"/>
        </w:trPr>
        <w:tc>
          <w:tcPr>
            <w:tcW w:w="10445" w:type="dxa"/>
            <w:tcBorders>
              <w:top w:val="single" w:color="auto" w:sz="4" w:space="0"/>
            </w:tcBorders>
          </w:tcPr>
          <w:p w14:paraId="44279AFD">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审查意见：</w:t>
            </w:r>
          </w:p>
          <w:p w14:paraId="3E71AF15">
            <w:pPr>
              <w:keepNext w:val="0"/>
              <w:keepLines w:val="0"/>
              <w:widowControl/>
              <w:suppressLineNumbers w:val="0"/>
              <w:spacing w:before="0" w:beforeAutospacing="0" w:after="0" w:afterAutospacing="0" w:line="360" w:lineRule="auto"/>
              <w:ind w:left="0" w:right="0" w:firstLine="720" w:firstLineChars="3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经验收，上述工程（□符合</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□不符合）标准与规范、设计要求，验收（□合格</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□不合格）（□可以</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□不可以）隐蔽或继续施工。</w:t>
            </w:r>
          </w:p>
          <w:p w14:paraId="2A5683E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5410305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0C1BE64F">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监理人（章）</w:t>
            </w:r>
          </w:p>
          <w:p w14:paraId="255F109C">
            <w:pPr>
              <w:keepNext w:val="0"/>
              <w:keepLines w:val="0"/>
              <w:widowControl/>
              <w:suppressLineNumbers w:val="0"/>
              <w:spacing w:before="0" w:beforeAutospacing="0" w:after="0" w:afterAutospacing="0" w:line="360" w:lineRule="auto"/>
              <w:ind w:left="0" w:right="0" w:firstLine="6295" w:firstLineChars="2623"/>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监理工程师</w:t>
            </w:r>
            <w:r>
              <w:rPr>
                <w:rFonts w:hint="default" w:ascii="仿宋" w:hAnsi="仿宋" w:eastAsia="仿宋" w:cs="仿宋"/>
                <w:color w:val="auto"/>
                <w:highlight w:val="none"/>
                <w:u w:val="single"/>
                <w:lang w:eastAsia="zh-CN"/>
              </w:rPr>
              <w:t xml:space="preserve">            </w:t>
            </w:r>
          </w:p>
          <w:p w14:paraId="4B0CF515">
            <w:pPr>
              <w:keepNext w:val="0"/>
              <w:keepLines w:val="0"/>
              <w:widowControl/>
              <w:suppressLineNumbers w:val="0"/>
              <w:tabs>
                <w:tab w:val="left" w:pos="6297"/>
              </w:tabs>
              <w:spacing w:before="0" w:beforeAutospacing="0" w:after="0" w:afterAutospacing="0" w:line="360" w:lineRule="auto"/>
              <w:ind w:left="0" w:right="0" w:firstLine="6295" w:firstLineChars="2623"/>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r>
              <w:rPr>
                <w:rFonts w:hint="default" w:ascii="仿宋" w:hAnsi="仿宋" w:eastAsia="仿宋" w:cs="仿宋"/>
                <w:color w:val="auto"/>
                <w:highlight w:val="none"/>
              </w:rPr>
              <w:t xml:space="preserve">                                                                                </w:t>
            </w:r>
          </w:p>
        </w:tc>
      </w:tr>
    </w:tbl>
    <w:p w14:paraId="17E73801">
      <w:pP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．在需要选择的栏中的“</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”内作标识“√”。</w:t>
      </w:r>
    </w:p>
    <w:p w14:paraId="1C5C2E2C">
      <w:pPr>
        <w:ind w:firstLine="720" w:firstLineChars="30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．本表用于包括隐蔽工程、分部分项工程、单位工程等的质量验收。</w:t>
      </w:r>
    </w:p>
    <w:p w14:paraId="1763FD1E">
      <w:pPr>
        <w:ind w:left="1301" w:leftChars="342" w:hanging="480" w:hangingChars="200"/>
        <w:rPr>
          <w:rFonts w:hint="eastAsia" w:ascii="仿宋" w:hAnsi="仿宋" w:eastAsia="仿宋"/>
          <w:color w:val="auto"/>
          <w:highlight w:val="none"/>
          <w:lang w:eastAsia="zh-CN"/>
        </w:rPr>
      </w:pPr>
      <w:r>
        <w:rPr>
          <w:rFonts w:ascii="仿宋" w:hAnsi="仿宋" w:eastAsia="仿宋" w:cs="仿宋"/>
          <w:color w:val="auto"/>
          <w:highlight w:val="none"/>
          <w:lang w:eastAsia="zh-CN"/>
        </w:rPr>
        <w:t>3</w:t>
      </w:r>
      <w:r>
        <w:rPr>
          <w:rFonts w:hint="eastAsia" w:ascii="仿宋" w:hAnsi="仿宋" w:eastAsia="仿宋" w:cs="仿宋"/>
          <w:color w:val="auto"/>
          <w:highlight w:val="none"/>
          <w:lang w:eastAsia="zh-CN"/>
        </w:rPr>
        <w:t>．本表一式四份，由承包人、设计人、监理人按合同规定程序填制，并连同发包人各存一份。</w:t>
      </w:r>
    </w:p>
    <w:p w14:paraId="71F2250A">
      <w:pPr>
        <w:ind w:left="1"/>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917" w:name="_Toc10624999"/>
      <w:bookmarkStart w:id="1918" w:name="_Toc469384155"/>
      <w:bookmarkStart w:id="1919" w:name="_Toc266892940"/>
      <w:bookmarkStart w:id="1920" w:name="_Toc15236"/>
      <w:bookmarkStart w:id="1921" w:name="_Toc12705"/>
      <w:bookmarkStart w:id="1922" w:name="_Toc20901"/>
      <w:bookmarkStart w:id="1923" w:name="_Toc24117"/>
      <w:bookmarkStart w:id="1924" w:name="_Toc20083"/>
      <w:bookmarkStart w:id="1925" w:name="_Toc2986"/>
      <w:bookmarkStart w:id="1926" w:name="_Toc28162"/>
      <w:bookmarkStart w:id="1927" w:name="_Toc4920"/>
      <w:bookmarkStart w:id="1928" w:name="_Toc30785"/>
      <w:bookmarkStart w:id="1929" w:name="_Toc21370"/>
      <w:bookmarkStart w:id="1930" w:name="_Toc31595"/>
      <w:bookmarkStart w:id="1931" w:name="_Toc32750"/>
      <w:bookmarkStart w:id="1932" w:name="_Toc1146"/>
      <w:bookmarkStart w:id="1933" w:name="_Toc19105"/>
      <w:bookmarkStart w:id="1934" w:name="_Toc13922"/>
      <w:bookmarkStart w:id="1935" w:name="_Toc21230"/>
      <w:bookmarkStart w:id="1936" w:name="_Toc7595"/>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1</w:t>
      </w:r>
      <w:bookmarkEnd w:id="1917"/>
      <w:bookmarkEnd w:id="1918"/>
      <w:bookmarkEnd w:id="1919"/>
      <w:r>
        <w:rPr>
          <w:rFonts w:hint="eastAsia" w:ascii="仿宋" w:hAnsi="仿宋" w:eastAsia="仿宋" w:cs="仿宋"/>
          <w:b/>
          <w:bCs/>
          <w:color w:val="auto"/>
          <w:highlight w:val="none"/>
          <w:lang w:eastAsia="zh-CN"/>
        </w:rPr>
        <w:t>5 工程变更报审表</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7183D2DC">
      <w:pPr>
        <w:spacing w:before="50" w:after="50"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工程变更报审表</w:t>
      </w:r>
    </w:p>
    <w:p w14:paraId="693D4738">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 xml:space="preserve">: </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3265"/>
        <w:gridCol w:w="3447"/>
        <w:gridCol w:w="3743"/>
      </w:tblGrid>
      <w:tr w14:paraId="138D45C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6047" w:hRule="atLeast"/>
        </w:trPr>
        <w:tc>
          <w:tcPr>
            <w:tcW w:w="10455" w:type="dxa"/>
            <w:gridSpan w:val="3"/>
            <w:tcBorders>
              <w:bottom w:val="single" w:color="000000" w:sz="6" w:space="0"/>
            </w:tcBorders>
          </w:tcPr>
          <w:p w14:paraId="6EE20E93">
            <w:pPr>
              <w:keepNext w:val="0"/>
              <w:keepLines w:val="0"/>
              <w:widowControl/>
              <w:suppressLineNumbers w:val="0"/>
              <w:spacing w:before="12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（监理人全称）</w:t>
            </w:r>
          </w:p>
          <w:p w14:paraId="7156186F">
            <w:pPr>
              <w:keepNext w:val="0"/>
              <w:keepLines w:val="0"/>
              <w:widowControl/>
              <w:suppressLineNumbers w:val="0"/>
              <w:tabs>
                <w:tab w:val="left" w:pos="6192"/>
              </w:tabs>
              <w:spacing w:before="0" w:beforeAutospacing="0" w:after="0" w:afterAutospacing="0" w:line="360" w:lineRule="auto"/>
              <w:ind w:left="0" w:right="0" w:firstLine="480" w:firstLineChars="2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由于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原因，现提出</w:t>
            </w:r>
          </w:p>
          <w:p w14:paraId="0EF43E0F">
            <w:pPr>
              <w:keepNext w:val="0"/>
              <w:keepLines w:val="0"/>
              <w:widowControl/>
              <w:suppressLineNumbers w:val="0"/>
              <w:tabs>
                <w:tab w:val="left" w:pos="6192"/>
              </w:tabs>
              <w:spacing w:before="0" w:beforeAutospacing="0" w:after="0" w:afterAutospacing="0" w:line="360" w:lineRule="auto"/>
              <w:ind w:left="0" w:right="0"/>
              <w:rPr>
                <w:rFonts w:hint="eastAsia" w:ascii="仿宋" w:hAnsi="仿宋" w:eastAsia="仿宋" w:cs="仿宋"/>
                <w:color w:val="auto"/>
                <w:highlight w:val="none"/>
                <w:u w:val="single"/>
                <w:lang w:eastAsia="zh-CN"/>
              </w:rPr>
            </w:pPr>
            <w:r>
              <w:rPr>
                <w:rFonts w:hint="default" w:ascii="仿宋" w:hAnsi="仿宋" w:eastAsia="仿宋" w:cs="仿宋"/>
                <w:color w:val="auto"/>
                <w:highlight w:val="none"/>
                <w:u w:val="single"/>
                <w:lang w:eastAsia="zh-CN"/>
              </w:rPr>
              <w:t xml:space="preserve">                                                                             </w:t>
            </w:r>
          </w:p>
          <w:p w14:paraId="4AFD6FEF">
            <w:pPr>
              <w:keepNext w:val="0"/>
              <w:keepLines w:val="0"/>
              <w:widowControl/>
              <w:suppressLineNumbers w:val="0"/>
              <w:tabs>
                <w:tab w:val="left" w:pos="6192"/>
              </w:tabs>
              <w:spacing w:before="0" w:beforeAutospacing="0" w:after="0" w:afterAutospacing="0" w:line="360" w:lineRule="auto"/>
              <w:ind w:left="0" w:right="0"/>
              <w:rPr>
                <w:rFonts w:hint="eastAsia" w:ascii="仿宋" w:hAnsi="仿宋" w:eastAsia="仿宋"/>
                <w:color w:val="auto"/>
                <w:highlight w:val="none"/>
                <w:u w:val="single"/>
                <w:lang w:eastAsia="zh-CN"/>
              </w:rPr>
            </w:pP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工程变更（内容见附件），请予以审批。</w:t>
            </w:r>
          </w:p>
          <w:p w14:paraId="77BBFD4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附件：</w:t>
            </w:r>
            <w:r>
              <w:rPr>
                <w:rFonts w:hint="default" w:ascii="仿宋" w:hAnsi="仿宋" w:eastAsia="仿宋" w:cs="仿宋"/>
                <w:color w:val="auto"/>
                <w:highlight w:val="none"/>
                <w:lang w:eastAsia="zh-CN"/>
              </w:rPr>
              <w:t>1</w:t>
            </w:r>
            <w:r>
              <w:rPr>
                <w:rFonts w:hint="eastAsia" w:ascii="仿宋" w:hAnsi="仿宋" w:eastAsia="仿宋" w:cs="仿宋"/>
                <w:color w:val="auto"/>
                <w:highlight w:val="none"/>
                <w:lang w:eastAsia="zh-CN"/>
              </w:rPr>
              <w:t>．提出变更原因（必要时附图）；</w:t>
            </w:r>
          </w:p>
          <w:p w14:paraId="01F0D515">
            <w:pPr>
              <w:keepNext w:val="0"/>
              <w:keepLines w:val="0"/>
              <w:widowControl/>
              <w:suppressLineNumbers w:val="0"/>
              <w:spacing w:before="0" w:beforeAutospacing="0" w:after="0" w:afterAutospacing="0" w:line="360" w:lineRule="auto"/>
              <w:ind w:left="0" w:right="0" w:firstLine="720" w:firstLineChars="30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2</w:t>
            </w:r>
            <w:r>
              <w:rPr>
                <w:rFonts w:hint="eastAsia" w:ascii="仿宋" w:hAnsi="仿宋" w:eastAsia="仿宋" w:cs="仿宋"/>
                <w:color w:val="auto"/>
                <w:highlight w:val="none"/>
                <w:lang w:eastAsia="zh-CN"/>
              </w:rPr>
              <w:t>．工程量增减计算书；</w:t>
            </w:r>
          </w:p>
          <w:p w14:paraId="0F2B27FA">
            <w:pPr>
              <w:keepNext w:val="0"/>
              <w:keepLines w:val="0"/>
              <w:widowControl/>
              <w:suppressLineNumbers w:val="0"/>
              <w:spacing w:before="0" w:beforeAutospacing="0" w:after="0" w:afterAutospacing="0" w:line="360" w:lineRule="auto"/>
              <w:ind w:left="0" w:right="0" w:firstLine="720" w:firstLineChars="30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3</w:t>
            </w:r>
            <w:r>
              <w:rPr>
                <w:rFonts w:hint="eastAsia" w:ascii="仿宋" w:hAnsi="仿宋" w:eastAsia="仿宋" w:cs="仿宋"/>
                <w:color w:val="auto"/>
                <w:highlight w:val="none"/>
                <w:lang w:eastAsia="zh-CN"/>
              </w:rPr>
              <w:t>．工程变更价款报价单。</w:t>
            </w:r>
          </w:p>
          <w:p w14:paraId="05A94EC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4B401889">
            <w:pPr>
              <w:keepNext w:val="0"/>
              <w:keepLines w:val="0"/>
              <w:widowControl/>
              <w:suppressLineNumbers w:val="0"/>
              <w:spacing w:before="0" w:beforeAutospacing="0" w:after="0" w:afterAutospacing="0" w:line="360" w:lineRule="auto"/>
              <w:ind w:left="0" w:right="0"/>
              <w:rPr>
                <w:rFonts w:hint="eastAsia" w:ascii="仿宋" w:hAnsi="仿宋" w:eastAsia="仿宋" w:cs="仿宋"/>
                <w:color w:val="auto"/>
                <w:highlight w:val="none"/>
                <w:lang w:eastAsia="zh-CN"/>
              </w:rPr>
            </w:pPr>
            <w:r>
              <w:rPr>
                <w:rFonts w:hint="default" w:ascii="仿宋" w:hAnsi="仿宋" w:eastAsia="仿宋" w:cs="仿宋"/>
                <w:color w:val="auto"/>
                <w:highlight w:val="none"/>
                <w:lang w:eastAsia="zh-CN"/>
              </w:rPr>
              <w:t xml:space="preserve">                                              </w:t>
            </w:r>
          </w:p>
          <w:p w14:paraId="74FA1D5A">
            <w:pPr>
              <w:keepNext w:val="0"/>
              <w:keepLines w:val="0"/>
              <w:widowControl/>
              <w:suppressLineNumbers w:val="0"/>
              <w:spacing w:before="0" w:beforeAutospacing="0" w:after="0" w:afterAutospacing="0" w:line="360" w:lineRule="auto"/>
              <w:ind w:left="0" w:right="0" w:firstLine="5760" w:firstLineChars="2400"/>
              <w:rPr>
                <w:rFonts w:hint="eastAsia" w:ascii="仿宋" w:hAnsi="仿宋" w:eastAsia="仿宋"/>
                <w:color w:val="auto"/>
                <w:highlight w:val="none"/>
                <w:u w:val="single"/>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rPr>
              <w:t>承包人（章）</w:t>
            </w:r>
            <w:r>
              <w:rPr>
                <w:rFonts w:hint="default" w:ascii="仿宋" w:hAnsi="仿宋" w:eastAsia="仿宋" w:cs="仿宋"/>
                <w:color w:val="auto"/>
                <w:highlight w:val="none"/>
              </w:rPr>
              <w:t xml:space="preserve">                 </w:t>
            </w:r>
          </w:p>
          <w:p w14:paraId="3A4500E1">
            <w:pPr>
              <w:keepNext w:val="0"/>
              <w:keepLines w:val="0"/>
              <w:widowControl/>
              <w:suppressLineNumbers w:val="0"/>
              <w:spacing w:before="0" w:beforeAutospacing="0" w:after="0" w:afterAutospacing="0" w:line="360" w:lineRule="auto"/>
              <w:ind w:left="0" w:right="0" w:firstLine="5982"/>
              <w:rPr>
                <w:rFonts w:hint="eastAsia" w:ascii="仿宋" w:hAnsi="仿宋" w:eastAsia="仿宋" w:cs="仿宋"/>
                <w:color w:val="auto"/>
                <w:highlight w:val="none"/>
                <w:u w:val="single"/>
              </w:rPr>
            </w:pPr>
            <w:r>
              <w:rPr>
                <w:rFonts w:hint="eastAsia" w:ascii="仿宋" w:hAnsi="仿宋" w:eastAsia="仿宋" w:cs="仿宋"/>
                <w:color w:val="auto"/>
                <w:spacing w:val="28"/>
                <w:highlight w:val="none"/>
              </w:rPr>
              <w:t>承包人代表</w:t>
            </w:r>
            <w:r>
              <w:rPr>
                <w:rFonts w:hint="default" w:ascii="仿宋" w:hAnsi="仿宋" w:eastAsia="仿宋" w:cs="仿宋"/>
                <w:color w:val="auto"/>
                <w:highlight w:val="none"/>
                <w:u w:val="single"/>
              </w:rPr>
              <w:t xml:space="preserve">              </w:t>
            </w:r>
          </w:p>
          <w:p w14:paraId="043F82E5">
            <w:pPr>
              <w:keepNext w:val="0"/>
              <w:keepLines w:val="0"/>
              <w:widowControl/>
              <w:suppressLineNumbers w:val="0"/>
              <w:spacing w:before="0" w:beforeAutospacing="0" w:after="0" w:afterAutospacing="0" w:line="360" w:lineRule="auto"/>
              <w:ind w:left="0" w:right="0" w:firstLine="5982"/>
              <w:rPr>
                <w:rFonts w:hint="eastAsia" w:ascii="仿宋" w:hAnsi="仿宋" w:eastAsia="仿宋"/>
                <w:color w:val="auto"/>
                <w:spacing w:val="20"/>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rPr>
              <w:t xml:space="preserve"> </w:t>
            </w:r>
            <w:r>
              <w:rPr>
                <w:rFonts w:hint="default" w:ascii="仿宋" w:hAnsi="仿宋" w:eastAsia="仿宋" w:cs="仿宋"/>
                <w:color w:val="auto"/>
                <w:highlight w:val="none"/>
                <w:u w:val="single"/>
              </w:rPr>
              <w:t xml:space="preserve">              </w:t>
            </w:r>
          </w:p>
        </w:tc>
      </w:tr>
      <w:tr w14:paraId="39EE7A7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908" w:hRule="atLeast"/>
        </w:trPr>
        <w:tc>
          <w:tcPr>
            <w:tcW w:w="3265" w:type="dxa"/>
            <w:tcBorders>
              <w:top w:val="single" w:color="000000" w:sz="6" w:space="0"/>
              <w:bottom w:val="single" w:color="auto" w:sz="4" w:space="0"/>
              <w:right w:val="single" w:color="auto" w:sz="4" w:space="0"/>
            </w:tcBorders>
          </w:tcPr>
          <w:p w14:paraId="2DBB0B82">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复核意见：</w:t>
            </w:r>
          </w:p>
          <w:p w14:paraId="7BB54BBF">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lang w:eastAsia="zh-CN"/>
              </w:rPr>
            </w:pPr>
          </w:p>
          <w:p w14:paraId="7527D033">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lang w:eastAsia="zh-CN"/>
              </w:rPr>
            </w:pPr>
          </w:p>
          <w:p w14:paraId="136B3170">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lang w:eastAsia="zh-CN"/>
              </w:rPr>
            </w:pPr>
          </w:p>
          <w:p w14:paraId="12544160">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设计人（章）</w:t>
            </w:r>
          </w:p>
          <w:p w14:paraId="455CAF61">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rPr>
            </w:pPr>
            <w:r>
              <w:rPr>
                <w:rFonts w:hint="eastAsia" w:ascii="仿宋" w:hAnsi="仿宋" w:eastAsia="仿宋" w:cs="仿宋"/>
                <w:color w:val="auto"/>
                <w:highlight w:val="none"/>
              </w:rPr>
              <w:t>建筑师</w:t>
            </w:r>
            <w:r>
              <w:rPr>
                <w:rFonts w:hint="default" w:ascii="仿宋" w:hAnsi="仿宋" w:eastAsia="仿宋" w:cs="仿宋"/>
                <w:color w:val="auto"/>
                <w:highlight w:val="none"/>
              </w:rPr>
              <w:t>/</w:t>
            </w:r>
            <w:r>
              <w:rPr>
                <w:rFonts w:hint="eastAsia" w:ascii="仿宋" w:hAnsi="仿宋" w:eastAsia="仿宋" w:cs="仿宋"/>
                <w:color w:val="auto"/>
                <w:highlight w:val="none"/>
              </w:rPr>
              <w:t>结构师</w:t>
            </w:r>
            <w:r>
              <w:rPr>
                <w:rFonts w:hint="default" w:ascii="仿宋" w:hAnsi="仿宋" w:eastAsia="仿宋" w:cs="仿宋"/>
                <w:color w:val="auto"/>
                <w:highlight w:val="none"/>
                <w:u w:val="single"/>
              </w:rPr>
              <w:t xml:space="preserve">         </w:t>
            </w:r>
          </w:p>
          <w:p w14:paraId="0FC0FC3A">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c>
          <w:tcPr>
            <w:tcW w:w="3447" w:type="dxa"/>
            <w:tcBorders>
              <w:top w:val="single" w:color="000000" w:sz="6" w:space="0"/>
              <w:left w:val="single" w:color="auto" w:sz="4" w:space="0"/>
              <w:bottom w:val="single" w:color="auto" w:sz="4" w:space="0"/>
              <w:right w:val="single" w:color="auto" w:sz="4" w:space="0"/>
            </w:tcBorders>
          </w:tcPr>
          <w:p w14:paraId="7998E45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复核意见：</w:t>
            </w:r>
          </w:p>
          <w:p w14:paraId="797C719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361F5AB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6BE71D3A">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p>
          <w:p w14:paraId="1C592D9D">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监理人（章）</w:t>
            </w:r>
          </w:p>
          <w:p w14:paraId="2437971C">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监理工程师</w:t>
            </w:r>
            <w:r>
              <w:rPr>
                <w:rFonts w:hint="default" w:ascii="仿宋" w:hAnsi="仿宋" w:eastAsia="仿宋" w:cs="仿宋"/>
                <w:color w:val="auto"/>
                <w:highlight w:val="none"/>
                <w:u w:val="single"/>
              </w:rPr>
              <w:t xml:space="preserve">         </w:t>
            </w:r>
          </w:p>
          <w:p w14:paraId="03ACD40F">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c>
          <w:tcPr>
            <w:tcW w:w="3743" w:type="dxa"/>
            <w:tcBorders>
              <w:top w:val="single" w:color="000000" w:sz="6" w:space="0"/>
              <w:left w:val="single" w:color="auto" w:sz="4" w:space="0"/>
              <w:bottom w:val="single" w:color="auto" w:sz="4" w:space="0"/>
            </w:tcBorders>
          </w:tcPr>
          <w:p w14:paraId="184FF07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复核意见：</w:t>
            </w:r>
          </w:p>
          <w:p w14:paraId="4DC97EE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4615D35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4E5A44CA">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p>
          <w:p w14:paraId="780DE773">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造价咨询人（章）</w:t>
            </w:r>
          </w:p>
          <w:p w14:paraId="48752076">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造价工程师</w:t>
            </w:r>
            <w:r>
              <w:rPr>
                <w:rFonts w:hint="default" w:ascii="仿宋" w:hAnsi="仿宋" w:eastAsia="仿宋" w:cs="仿宋"/>
                <w:color w:val="auto"/>
                <w:highlight w:val="none"/>
                <w:u w:val="single"/>
              </w:rPr>
              <w:t xml:space="preserve">            </w:t>
            </w:r>
          </w:p>
          <w:p w14:paraId="506B281B">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034CF7D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133" w:hRule="atLeast"/>
        </w:trPr>
        <w:tc>
          <w:tcPr>
            <w:tcW w:w="10455" w:type="dxa"/>
            <w:gridSpan w:val="3"/>
            <w:tcBorders>
              <w:top w:val="single" w:color="auto" w:sz="4" w:space="0"/>
              <w:bottom w:val="single" w:color="000000" w:sz="6" w:space="0"/>
            </w:tcBorders>
          </w:tcPr>
          <w:p w14:paraId="0CDCD4DE">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审批意见：</w:t>
            </w:r>
          </w:p>
          <w:p w14:paraId="0EDEED84">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lang w:eastAsia="zh-CN"/>
              </w:rPr>
            </w:pPr>
          </w:p>
          <w:p w14:paraId="194AA285">
            <w:pPr>
              <w:keepNext w:val="0"/>
              <w:keepLines w:val="0"/>
              <w:widowControl/>
              <w:suppressLineNumbers w:val="0"/>
              <w:snapToGrid w:val="0"/>
              <w:spacing w:before="0" w:beforeAutospacing="0" w:after="0" w:afterAutospacing="0" w:line="360" w:lineRule="auto"/>
              <w:ind w:left="0" w:right="0" w:hanging="6"/>
              <w:jc w:val="center"/>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发包人（章）</w:t>
            </w:r>
          </w:p>
          <w:p w14:paraId="5F497951">
            <w:pPr>
              <w:keepNext w:val="0"/>
              <w:keepLines w:val="0"/>
              <w:widowControl/>
              <w:suppressLineNumbers w:val="0"/>
              <w:snapToGrid w:val="0"/>
              <w:spacing w:before="0" w:beforeAutospacing="0" w:after="0" w:afterAutospacing="0" w:line="360" w:lineRule="auto"/>
              <w:ind w:left="0" w:right="0" w:hanging="6"/>
              <w:jc w:val="center"/>
              <w:rPr>
                <w:rFonts w:hint="eastAsia" w:ascii="仿宋" w:hAnsi="仿宋" w:eastAsia="仿宋"/>
                <w:color w:val="auto"/>
                <w:highlight w:val="none"/>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rPr>
              <w:t>发包人代表</w:t>
            </w:r>
            <w:r>
              <w:rPr>
                <w:rFonts w:hint="default" w:ascii="仿宋" w:hAnsi="仿宋" w:eastAsia="仿宋" w:cs="仿宋"/>
                <w:b/>
                <w:bCs/>
                <w:color w:val="auto"/>
                <w:highlight w:val="none"/>
                <w:u w:val="single"/>
              </w:rPr>
              <w:t xml:space="preserve">           </w:t>
            </w:r>
          </w:p>
          <w:p w14:paraId="20C010B0">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u w:val="single"/>
              </w:rPr>
            </w:pPr>
            <w:r>
              <w:rPr>
                <w:rFonts w:hint="default" w:ascii="仿宋" w:hAnsi="仿宋" w:eastAsia="仿宋" w:cs="仿宋"/>
                <w:color w:val="auto"/>
                <w:highlight w:val="none"/>
              </w:rPr>
              <w:t xml:space="preserve">                                                      </w:t>
            </w: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3ACDE7E0">
      <w:pPr>
        <w:spacing w:line="360" w:lineRule="auto"/>
        <w:ind w:left="720" w:hanging="720" w:hangingChars="3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说明：本表一式五份，由承包人、设计人、监理人、工程造价咨询人（如有）、发包人按合同规定程序填制，并各存一份。</w:t>
      </w:r>
    </w:p>
    <w:p w14:paraId="08454942">
      <w:pPr>
        <w:spacing w:line="360" w:lineRule="auto"/>
        <w:ind w:left="720" w:hanging="720" w:hangingChars="300"/>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937" w:name="_Toc10625000"/>
      <w:bookmarkStart w:id="1938" w:name="_Toc266892941"/>
      <w:bookmarkStart w:id="1939" w:name="_Toc469384156"/>
      <w:bookmarkStart w:id="1940" w:name="_Toc14748"/>
      <w:bookmarkStart w:id="1941" w:name="_Toc28547"/>
      <w:bookmarkStart w:id="1942" w:name="_Toc25096"/>
      <w:bookmarkStart w:id="1943" w:name="_Toc8542"/>
      <w:bookmarkStart w:id="1944" w:name="_Toc14376"/>
      <w:bookmarkStart w:id="1945" w:name="_Toc27989"/>
      <w:bookmarkStart w:id="1946" w:name="_Toc13281"/>
      <w:bookmarkStart w:id="1947" w:name="_Toc17896"/>
      <w:bookmarkStart w:id="1948" w:name="_Toc9167"/>
      <w:bookmarkStart w:id="1949" w:name="_Toc25613"/>
      <w:bookmarkStart w:id="1950" w:name="_Toc18014"/>
      <w:bookmarkStart w:id="1951" w:name="_Toc7125"/>
      <w:bookmarkStart w:id="1952" w:name="_Toc31246"/>
      <w:bookmarkStart w:id="1953" w:name="_Toc26277"/>
      <w:bookmarkStart w:id="1954" w:name="_Toc15177"/>
      <w:bookmarkStart w:id="1955" w:name="_Toc19971"/>
      <w:bookmarkStart w:id="1956" w:name="_Toc8847"/>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1</w:t>
      </w:r>
      <w:bookmarkEnd w:id="1937"/>
      <w:bookmarkEnd w:id="1938"/>
      <w:bookmarkEnd w:id="1939"/>
      <w:r>
        <w:rPr>
          <w:rFonts w:hint="eastAsia" w:ascii="仿宋" w:hAnsi="仿宋" w:eastAsia="仿宋" w:cs="仿宋"/>
          <w:b/>
          <w:bCs/>
          <w:color w:val="auto"/>
          <w:highlight w:val="none"/>
          <w:lang w:eastAsia="zh-CN"/>
        </w:rPr>
        <w:t>6 现场签证令</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65181B07">
      <w:pPr>
        <w:spacing w:before="50" w:after="50"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现场签证令</w:t>
      </w:r>
    </w:p>
    <w:p w14:paraId="68D1C244">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 xml:space="preserve">: </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273"/>
      </w:tblGrid>
      <w:tr w14:paraId="7ACBB67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7062" w:hRule="atLeast"/>
        </w:trPr>
        <w:tc>
          <w:tcPr>
            <w:tcW w:w="10273" w:type="dxa"/>
            <w:tcBorders>
              <w:bottom w:val="single" w:color="000000" w:sz="6" w:space="0"/>
            </w:tcBorders>
          </w:tcPr>
          <w:p w14:paraId="5216AC07">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（承包人全称）</w:t>
            </w:r>
            <w:r>
              <w:rPr>
                <w:rFonts w:hint="default" w:ascii="仿宋" w:hAnsi="仿宋" w:eastAsia="仿宋" w:cs="仿宋"/>
                <w:color w:val="auto"/>
                <w:highlight w:val="none"/>
                <w:lang w:eastAsia="zh-CN"/>
              </w:rPr>
              <w:t xml:space="preserve">   </w:t>
            </w:r>
          </w:p>
          <w:p w14:paraId="4AD27603">
            <w:pPr>
              <w:keepNext w:val="0"/>
              <w:keepLines w:val="0"/>
              <w:widowControl/>
              <w:suppressLineNumbers w:val="0"/>
              <w:tabs>
                <w:tab w:val="left" w:pos="6192"/>
              </w:tabs>
              <w:spacing w:before="0" w:beforeAutospacing="0" w:after="0" w:afterAutospacing="0" w:line="360" w:lineRule="auto"/>
              <w:ind w:left="-28" w:right="0" w:firstLine="5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由于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原因，现发出</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现场签证令（内容见附件），请按照本签证令和合同约定组织施工；如有疑问，请及时与监理工程师联系。</w:t>
            </w:r>
          </w:p>
          <w:p w14:paraId="07063965">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签证内容见附件：</w:t>
            </w:r>
          </w:p>
          <w:p w14:paraId="14D4852D">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3805CCA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51887962">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7BA57B37">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1674EC49">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1E997760">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008562F7">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18323CFA">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5A5A12D8">
            <w:pPr>
              <w:keepNext w:val="0"/>
              <w:keepLines w:val="0"/>
              <w:widowControl/>
              <w:suppressLineNumbers w:val="0"/>
              <w:spacing w:before="0" w:beforeAutospacing="0" w:after="0" w:afterAutospacing="0" w:line="360" w:lineRule="auto"/>
              <w:ind w:left="0" w:right="0" w:firstLine="5880" w:firstLineChars="245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监理人（章）</w:t>
            </w:r>
          </w:p>
          <w:p w14:paraId="4C91CD82">
            <w:pPr>
              <w:keepNext w:val="0"/>
              <w:keepLines w:val="0"/>
              <w:widowControl/>
              <w:suppressLineNumbers w:val="0"/>
              <w:spacing w:before="0" w:beforeAutospacing="0" w:after="0" w:afterAutospacing="0" w:line="360" w:lineRule="auto"/>
              <w:ind w:left="0" w:right="0" w:firstLine="5920" w:firstLineChars="2000"/>
              <w:rPr>
                <w:rFonts w:hint="eastAsia" w:ascii="仿宋" w:hAnsi="仿宋" w:eastAsia="仿宋" w:cs="仿宋"/>
                <w:color w:val="auto"/>
                <w:highlight w:val="none"/>
                <w:u w:val="single"/>
              </w:rPr>
            </w:pPr>
            <w:r>
              <w:rPr>
                <w:rFonts w:hint="eastAsia" w:ascii="仿宋" w:hAnsi="仿宋" w:eastAsia="仿宋" w:cs="仿宋"/>
                <w:color w:val="auto"/>
                <w:spacing w:val="28"/>
                <w:highlight w:val="none"/>
              </w:rPr>
              <w:t>监理工程师</w:t>
            </w:r>
            <w:r>
              <w:rPr>
                <w:rFonts w:hint="default" w:ascii="仿宋" w:hAnsi="仿宋" w:eastAsia="仿宋" w:cs="仿宋"/>
                <w:color w:val="auto"/>
                <w:highlight w:val="none"/>
                <w:u w:val="single"/>
              </w:rPr>
              <w:t xml:space="preserve">             </w:t>
            </w:r>
          </w:p>
          <w:p w14:paraId="1085DF14">
            <w:pPr>
              <w:keepNext w:val="0"/>
              <w:keepLines w:val="0"/>
              <w:widowControl/>
              <w:suppressLineNumbers w:val="0"/>
              <w:spacing w:before="0" w:beforeAutospacing="0" w:after="0" w:afterAutospacing="0" w:line="360" w:lineRule="auto"/>
              <w:ind w:left="0" w:right="0" w:firstLine="5880" w:firstLineChars="2450"/>
              <w:rPr>
                <w:rFonts w:hint="eastAsia" w:ascii="仿宋" w:hAnsi="仿宋" w:eastAsia="仿宋"/>
                <w:color w:val="auto"/>
                <w:spacing w:val="20"/>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rPr>
              <w:t xml:space="preserve"> </w:t>
            </w:r>
            <w:r>
              <w:rPr>
                <w:rFonts w:hint="default" w:ascii="仿宋" w:hAnsi="仿宋" w:eastAsia="仿宋" w:cs="仿宋"/>
                <w:color w:val="auto"/>
                <w:highlight w:val="none"/>
                <w:u w:val="single"/>
              </w:rPr>
              <w:t xml:space="preserve">             </w:t>
            </w:r>
          </w:p>
        </w:tc>
      </w:tr>
      <w:tr w14:paraId="681FEF8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039" w:hRule="atLeast"/>
        </w:trPr>
        <w:tc>
          <w:tcPr>
            <w:tcW w:w="10273" w:type="dxa"/>
            <w:tcBorders>
              <w:top w:val="single" w:color="auto" w:sz="4" w:space="0"/>
              <w:bottom w:val="single" w:color="000000" w:sz="6" w:space="0"/>
            </w:tcBorders>
          </w:tcPr>
          <w:p w14:paraId="7424CA66">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审批意见：</w:t>
            </w:r>
          </w:p>
          <w:p w14:paraId="4275A7F6">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lang w:eastAsia="zh-CN"/>
              </w:rPr>
            </w:pPr>
          </w:p>
          <w:p w14:paraId="36B95A6A">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p>
          <w:p w14:paraId="7FCE6A5F">
            <w:pPr>
              <w:keepNext w:val="0"/>
              <w:keepLines w:val="0"/>
              <w:widowControl/>
              <w:suppressLineNumbers w:val="0"/>
              <w:snapToGrid w:val="0"/>
              <w:spacing w:before="0" w:beforeAutospacing="0" w:after="0" w:afterAutospacing="0" w:line="360" w:lineRule="auto"/>
              <w:ind w:left="0" w:right="0"/>
              <w:rPr>
                <w:rFonts w:hint="eastAsia" w:ascii="仿宋" w:hAnsi="仿宋" w:eastAsia="仿宋"/>
                <w:color w:val="auto"/>
                <w:highlight w:val="none"/>
                <w:lang w:eastAsia="zh-CN"/>
              </w:rPr>
            </w:pPr>
          </w:p>
          <w:p w14:paraId="2CD3C4DC">
            <w:pPr>
              <w:keepNext w:val="0"/>
              <w:keepLines w:val="0"/>
              <w:widowControl/>
              <w:suppressLineNumbers w:val="0"/>
              <w:snapToGrid w:val="0"/>
              <w:spacing w:before="0" w:beforeAutospacing="0" w:after="0" w:afterAutospacing="0" w:line="360" w:lineRule="auto"/>
              <w:ind w:left="0" w:right="0" w:hanging="6"/>
              <w:jc w:val="center"/>
              <w:rPr>
                <w:rFonts w:hint="eastAsia" w:ascii="仿宋" w:hAnsi="仿宋" w:eastAsia="仿宋" w:cs="仿宋"/>
                <w:color w:val="auto"/>
                <w:highlight w:val="none"/>
                <w:lang w:eastAsia="zh-CN"/>
              </w:rPr>
            </w:pPr>
            <w:r>
              <w:rPr>
                <w:rFonts w:hint="default" w:ascii="仿宋" w:hAnsi="仿宋" w:eastAsia="仿宋" w:cs="仿宋"/>
                <w:color w:val="auto"/>
                <w:highlight w:val="none"/>
                <w:lang w:eastAsia="zh-CN"/>
              </w:rPr>
              <w:t xml:space="preserve">                               </w:t>
            </w:r>
          </w:p>
          <w:p w14:paraId="5333F99F">
            <w:pPr>
              <w:keepNext w:val="0"/>
              <w:keepLines w:val="0"/>
              <w:widowControl/>
              <w:suppressLineNumbers w:val="0"/>
              <w:snapToGrid w:val="0"/>
              <w:spacing w:before="0" w:beforeAutospacing="0" w:after="0" w:afterAutospacing="0" w:line="360" w:lineRule="auto"/>
              <w:ind w:left="0" w:right="0" w:hanging="6"/>
              <w:jc w:val="cente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　　　　　　　　　　　　发包人（章）</w:t>
            </w:r>
          </w:p>
          <w:p w14:paraId="0BFC3077">
            <w:pPr>
              <w:keepNext w:val="0"/>
              <w:keepLines w:val="0"/>
              <w:widowControl/>
              <w:suppressLineNumbers w:val="0"/>
              <w:snapToGrid w:val="0"/>
              <w:spacing w:before="0" w:beforeAutospacing="0" w:after="0" w:afterAutospacing="0" w:line="360" w:lineRule="auto"/>
              <w:ind w:left="0" w:right="0" w:hanging="6"/>
              <w:jc w:val="center"/>
              <w:rPr>
                <w:rFonts w:hint="eastAsia" w:ascii="仿宋" w:hAnsi="仿宋" w:eastAsia="仿宋"/>
                <w:color w:val="auto"/>
                <w:highlight w:val="none"/>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rPr>
              <w:t>发包人代表</w:t>
            </w:r>
            <w:r>
              <w:rPr>
                <w:rFonts w:hint="default" w:ascii="仿宋" w:hAnsi="仿宋" w:eastAsia="仿宋" w:cs="仿宋"/>
                <w:b/>
                <w:bCs/>
                <w:color w:val="auto"/>
                <w:highlight w:val="none"/>
                <w:u w:val="single"/>
              </w:rPr>
              <w:t xml:space="preserve">             </w:t>
            </w:r>
          </w:p>
          <w:p w14:paraId="64DC07B1">
            <w:pPr>
              <w:keepNext w:val="0"/>
              <w:keepLines w:val="0"/>
              <w:widowControl/>
              <w:suppressLineNumbers w:val="0"/>
              <w:snapToGrid w:val="0"/>
              <w:spacing w:before="0" w:beforeAutospacing="0" w:after="0" w:afterAutospacing="0" w:line="360" w:lineRule="auto"/>
              <w:ind w:left="0" w:right="0" w:hanging="6"/>
              <w:rPr>
                <w:rFonts w:hint="eastAsia" w:ascii="仿宋" w:hAnsi="仿宋" w:eastAsia="仿宋"/>
                <w:color w:val="auto"/>
                <w:highlight w:val="none"/>
              </w:rPr>
            </w:pPr>
            <w:r>
              <w:rPr>
                <w:rFonts w:hint="default" w:ascii="仿宋" w:hAnsi="仿宋" w:eastAsia="仿宋" w:cs="仿宋"/>
                <w:color w:val="auto"/>
                <w:highlight w:val="none"/>
              </w:rPr>
              <w:t xml:space="preserve">                                                </w:t>
            </w: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2C362E1F">
      <w:pPr>
        <w:ind w:left="1" w:firstLine="360" w:firstLineChars="15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说明：本表一式四份，由监理人、发包人按合同规定程序填制，并连同工程造价咨询人（如有）、承包人各存一份。</w:t>
      </w:r>
    </w:p>
    <w:p w14:paraId="359427B1">
      <w:pPr>
        <w:spacing w:line="360" w:lineRule="auto"/>
        <w:ind w:left="720" w:hanging="720" w:hangingChars="300"/>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957" w:name="_Toc469384157"/>
      <w:bookmarkStart w:id="1958" w:name="_Toc10625001"/>
      <w:bookmarkStart w:id="1959" w:name="_Toc266892942"/>
      <w:bookmarkStart w:id="1960" w:name="_Toc9049"/>
      <w:bookmarkStart w:id="1961" w:name="_Toc20823"/>
      <w:bookmarkStart w:id="1962" w:name="_Toc30911"/>
      <w:bookmarkStart w:id="1963" w:name="_Toc6298"/>
      <w:bookmarkStart w:id="1964" w:name="_Toc26487"/>
      <w:bookmarkStart w:id="1965" w:name="_Toc22558"/>
      <w:bookmarkStart w:id="1966" w:name="_Toc17961"/>
      <w:bookmarkStart w:id="1967" w:name="_Toc22506"/>
      <w:bookmarkStart w:id="1968" w:name="_Toc6561"/>
      <w:bookmarkStart w:id="1969" w:name="_Toc5387"/>
      <w:bookmarkStart w:id="1970" w:name="_Toc10478"/>
      <w:bookmarkStart w:id="1971" w:name="_Toc24241"/>
      <w:bookmarkStart w:id="1972" w:name="_Toc23730"/>
      <w:bookmarkStart w:id="1973" w:name="_Toc24898"/>
      <w:bookmarkStart w:id="1974" w:name="_Toc5424"/>
      <w:bookmarkStart w:id="1975" w:name="_Toc32658"/>
      <w:bookmarkStart w:id="1976" w:name="_Toc7627"/>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1</w:t>
      </w:r>
      <w:bookmarkEnd w:id="1957"/>
      <w:bookmarkEnd w:id="1958"/>
      <w:bookmarkEnd w:id="1959"/>
      <w:r>
        <w:rPr>
          <w:rFonts w:hint="eastAsia" w:ascii="仿宋" w:hAnsi="仿宋" w:eastAsia="仿宋" w:cs="仿宋"/>
          <w:b/>
          <w:bCs/>
          <w:color w:val="auto"/>
          <w:highlight w:val="none"/>
          <w:lang w:eastAsia="zh-CN"/>
        </w:rPr>
        <w:t>7 工程竣工验收申请报告</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0FC36F45">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工程竣工验收申请报告</w:t>
      </w:r>
    </w:p>
    <w:p w14:paraId="579065DC">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工程名称</w:t>
      </w:r>
      <w:r>
        <w:rPr>
          <w:rFonts w:ascii="仿宋" w:hAnsi="仿宋" w:eastAsia="仿宋" w:cs="仿宋"/>
          <w:color w:val="auto"/>
          <w:highlight w:val="none"/>
          <w:lang w:eastAsia="zh-CN"/>
        </w:rPr>
        <w:t>:</w:t>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编号</w:t>
      </w:r>
      <w:r>
        <w:rPr>
          <w:rFonts w:ascii="仿宋" w:hAnsi="仿宋" w:eastAsia="仿宋" w:cs="仿宋"/>
          <w:color w:val="auto"/>
          <w:highlight w:val="none"/>
          <w:lang w:eastAsia="zh-CN"/>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43"/>
      </w:tblGrid>
      <w:tr w14:paraId="1C1375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806" w:hRule="atLeast"/>
        </w:trPr>
        <w:tc>
          <w:tcPr>
            <w:tcW w:w="10443" w:type="dxa"/>
          </w:tcPr>
          <w:p w14:paraId="59A080D0">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（发包人全称）</w:t>
            </w:r>
          </w:p>
          <w:p w14:paraId="7D7A87DF">
            <w:pPr>
              <w:keepNext w:val="0"/>
              <w:keepLines w:val="0"/>
              <w:widowControl/>
              <w:suppressLineNumbers w:val="0"/>
              <w:spacing w:before="0" w:beforeAutospacing="0" w:after="0" w:afterAutospacing="0" w:line="360" w:lineRule="auto"/>
              <w:ind w:left="-3" w:right="0" w:firstLine="51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我方已按合同要求完成了</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经自检合格，现提出工程竣工验收（内容详见附件），请予以验收。</w:t>
            </w:r>
          </w:p>
          <w:p w14:paraId="60BB6DD2">
            <w:pPr>
              <w:keepNext w:val="0"/>
              <w:keepLines w:val="0"/>
              <w:widowControl/>
              <w:suppressLineNumbers w:val="0"/>
              <w:spacing w:before="0" w:beforeAutospacing="0" w:after="0" w:afterAutospacing="0" w:line="360" w:lineRule="auto"/>
              <w:ind w:left="-3" w:right="0" w:firstLine="51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你方应该清楚，工程具备验收条件的，应按照合同约定期限完成竣工验收，否则将承担相应责任。</w:t>
            </w:r>
          </w:p>
          <w:p w14:paraId="1170FC37">
            <w:pPr>
              <w:keepNext w:val="0"/>
              <w:keepLines w:val="0"/>
              <w:widowControl/>
              <w:suppressLineNumbers w:val="0"/>
              <w:spacing w:before="0" w:beforeAutospacing="0" w:after="0" w:afterAutospacing="0" w:line="360" w:lineRule="auto"/>
              <w:ind w:left="-108" w:right="0" w:firstLine="510"/>
              <w:rPr>
                <w:rFonts w:hint="eastAsia" w:ascii="仿宋" w:hAnsi="仿宋" w:eastAsia="仿宋" w:cs="仿宋"/>
                <w:color w:val="auto"/>
                <w:highlight w:val="none"/>
              </w:rPr>
            </w:pPr>
            <w:r>
              <w:rPr>
                <w:rFonts w:hint="eastAsia" w:ascii="仿宋" w:hAnsi="仿宋" w:eastAsia="仿宋" w:cs="仿宋"/>
                <w:color w:val="auto"/>
                <w:highlight w:val="none"/>
              </w:rPr>
              <w:t>附件</w:t>
            </w:r>
            <w:r>
              <w:rPr>
                <w:rFonts w:hint="default" w:ascii="仿宋" w:hAnsi="仿宋" w:eastAsia="仿宋" w:cs="仿宋"/>
                <w:color w:val="auto"/>
                <w:highlight w:val="none"/>
              </w:rPr>
              <w:t xml:space="preserve">: </w:t>
            </w:r>
          </w:p>
          <w:p w14:paraId="3688852D">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p w14:paraId="2E69D5DB">
            <w:pPr>
              <w:keepNext w:val="0"/>
              <w:keepLines w:val="0"/>
              <w:widowControl/>
              <w:suppressLineNumbers w:val="0"/>
              <w:spacing w:before="0" w:beforeAutospacing="0" w:after="0" w:afterAutospacing="0" w:line="360" w:lineRule="auto"/>
              <w:ind w:left="0" w:right="0" w:firstLine="6288" w:firstLineChars="2620"/>
              <w:rPr>
                <w:rFonts w:hint="eastAsia" w:ascii="仿宋" w:hAnsi="仿宋" w:eastAsia="仿宋"/>
                <w:color w:val="auto"/>
                <w:highlight w:val="none"/>
                <w:u w:val="single"/>
              </w:rPr>
            </w:pPr>
            <w:r>
              <w:rPr>
                <w:rFonts w:hint="eastAsia" w:ascii="仿宋" w:hAnsi="仿宋" w:eastAsia="仿宋" w:cs="仿宋"/>
                <w:color w:val="auto"/>
                <w:highlight w:val="none"/>
              </w:rPr>
              <w:t>承包人（章）</w:t>
            </w:r>
            <w:r>
              <w:rPr>
                <w:rFonts w:hint="default" w:ascii="仿宋" w:hAnsi="仿宋" w:eastAsia="仿宋" w:cs="仿宋"/>
                <w:color w:val="auto"/>
                <w:highlight w:val="none"/>
              </w:rPr>
              <w:t xml:space="preserve">               </w:t>
            </w:r>
          </w:p>
          <w:p w14:paraId="2D3E097A">
            <w:pPr>
              <w:keepNext w:val="0"/>
              <w:keepLines w:val="0"/>
              <w:widowControl/>
              <w:suppressLineNumbers w:val="0"/>
              <w:tabs>
                <w:tab w:val="left" w:pos="7092"/>
              </w:tabs>
              <w:spacing w:before="0" w:beforeAutospacing="0" w:after="0" w:afterAutospacing="0" w:line="360" w:lineRule="auto"/>
              <w:ind w:left="0" w:right="0" w:firstLine="6300"/>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3FFE5BC5">
            <w:pPr>
              <w:keepNext w:val="0"/>
              <w:keepLines w:val="0"/>
              <w:widowControl/>
              <w:suppressLineNumbers w:val="0"/>
              <w:spacing w:before="0" w:beforeAutospacing="0" w:after="0" w:afterAutospacing="0" w:line="360" w:lineRule="auto"/>
              <w:ind w:left="0" w:right="0" w:firstLine="6300"/>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480DEB2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616" w:hRule="atLeast"/>
        </w:trPr>
        <w:tc>
          <w:tcPr>
            <w:tcW w:w="10443" w:type="dxa"/>
            <w:tcBorders>
              <w:bottom w:val="nil"/>
            </w:tcBorders>
          </w:tcPr>
          <w:p w14:paraId="3184F1B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审查意见：</w:t>
            </w:r>
          </w:p>
          <w:p w14:paraId="5438A894">
            <w:pPr>
              <w:keepNext w:val="0"/>
              <w:keepLines w:val="0"/>
              <w:widowControl/>
              <w:suppressLineNumbers w:val="0"/>
              <w:spacing w:before="0" w:beforeAutospacing="0" w:after="0" w:afterAutospacing="0" w:line="360" w:lineRule="auto"/>
              <w:ind w:left="-28" w:right="0" w:firstLine="51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经初步验收，该工程</w:t>
            </w:r>
          </w:p>
          <w:p w14:paraId="1CA82616">
            <w:pPr>
              <w:keepNext w:val="0"/>
              <w:keepLines w:val="0"/>
              <w:widowControl/>
              <w:suppressLineNumbers w:val="0"/>
              <w:spacing w:before="0" w:beforeAutospacing="0" w:after="0" w:afterAutospacing="0" w:line="360" w:lineRule="auto"/>
              <w:ind w:left="0" w:right="0" w:firstLine="522"/>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1.</w:t>
            </w:r>
            <w:r>
              <w:rPr>
                <w:rFonts w:hint="eastAsia"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符合</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不符合）施工设计图纸要求；</w:t>
            </w:r>
          </w:p>
          <w:p w14:paraId="79C9D82E">
            <w:pPr>
              <w:keepNext w:val="0"/>
              <w:keepLines w:val="0"/>
              <w:widowControl/>
              <w:suppressLineNumbers w:val="0"/>
              <w:spacing w:before="0" w:beforeAutospacing="0" w:after="0" w:afterAutospacing="0" w:line="360" w:lineRule="auto"/>
              <w:ind w:left="0" w:right="0" w:firstLine="522"/>
              <w:rPr>
                <w:rFonts w:hint="eastAsia" w:ascii="仿宋" w:hAnsi="仿宋" w:eastAsia="仿宋"/>
                <w:color w:val="auto"/>
                <w:highlight w:val="none"/>
              </w:rPr>
            </w:pPr>
            <w:r>
              <w:rPr>
                <w:rFonts w:hint="default" w:ascii="仿宋" w:hAnsi="仿宋" w:eastAsia="仿宋" w:cs="仿宋"/>
                <w:color w:val="auto"/>
                <w:highlight w:val="none"/>
              </w:rPr>
              <w:t>2.</w:t>
            </w:r>
            <w:r>
              <w:rPr>
                <w:rFonts w:hint="eastAsia" w:ascii="仿宋" w:hAnsi="仿宋" w:eastAsia="仿宋" w:cs="仿宋"/>
                <w:color w:val="auto"/>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highlight w:val="none"/>
              </w:rPr>
              <w:t>符合</w:t>
            </w:r>
            <w:r>
              <w:rPr>
                <w:rFonts w:hint="default" w:ascii="仿宋" w:hAnsi="仿宋" w:eastAsia="仿宋" w:cs="仿宋"/>
                <w:color w:val="auto"/>
                <w:highlight w:val="none"/>
              </w:rPr>
              <w:t>/</w:t>
            </w:r>
            <w:r>
              <w:rPr>
                <w:rFonts w:hint="eastAsia" w:ascii="仿宋" w:hAnsi="仿宋" w:eastAsia="仿宋" w:cs="仿宋"/>
                <w:color w:val="auto"/>
                <w:sz w:val="32"/>
                <w:szCs w:val="32"/>
                <w:highlight w:val="none"/>
              </w:rPr>
              <w:t>□</w:t>
            </w:r>
            <w:r>
              <w:rPr>
                <w:rFonts w:hint="eastAsia" w:ascii="仿宋" w:hAnsi="仿宋" w:eastAsia="仿宋" w:cs="仿宋"/>
                <w:color w:val="auto"/>
                <w:highlight w:val="none"/>
              </w:rPr>
              <w:t>不符合）施工合同要求；</w:t>
            </w:r>
          </w:p>
          <w:p w14:paraId="4F7753C5">
            <w:pPr>
              <w:keepNext w:val="0"/>
              <w:keepLines w:val="0"/>
              <w:widowControl/>
              <w:suppressLineNumbers w:val="0"/>
              <w:spacing w:before="0" w:beforeAutospacing="0" w:after="0" w:afterAutospacing="0" w:line="360" w:lineRule="auto"/>
              <w:ind w:left="-28" w:right="0" w:firstLine="55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3.</w:t>
            </w:r>
            <w:r>
              <w:rPr>
                <w:rFonts w:hint="eastAsia"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符合</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不符合）竣工资料要求；</w:t>
            </w:r>
          </w:p>
          <w:p w14:paraId="2FD59E89">
            <w:pPr>
              <w:keepNext w:val="0"/>
              <w:keepLines w:val="0"/>
              <w:widowControl/>
              <w:suppressLineNumbers w:val="0"/>
              <w:spacing w:before="0" w:beforeAutospacing="0" w:after="0" w:afterAutospacing="0" w:line="360" w:lineRule="auto"/>
              <w:ind w:left="-28" w:right="0" w:firstLine="55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4.</w:t>
            </w:r>
            <w:r>
              <w:rPr>
                <w:rFonts w:hint="eastAsia"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符合</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不符合）缺陷责任期返工工作清单和计划；</w:t>
            </w:r>
          </w:p>
          <w:p w14:paraId="312FABD0">
            <w:pPr>
              <w:keepNext w:val="0"/>
              <w:keepLines w:val="0"/>
              <w:widowControl/>
              <w:suppressLineNumbers w:val="0"/>
              <w:spacing w:before="0" w:beforeAutospacing="0" w:after="0" w:afterAutospacing="0" w:line="360" w:lineRule="auto"/>
              <w:ind w:left="-28" w:right="0" w:firstLine="55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5.</w:t>
            </w:r>
            <w:r>
              <w:rPr>
                <w:rFonts w:hint="eastAsia"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符合</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不符合）竣工验收资料清单。</w:t>
            </w:r>
          </w:p>
          <w:p w14:paraId="0CDF0D54">
            <w:pPr>
              <w:keepNext w:val="0"/>
              <w:keepLines w:val="0"/>
              <w:widowControl/>
              <w:suppressLineNumbers w:val="0"/>
              <w:spacing w:before="0" w:beforeAutospacing="0" w:after="0" w:afterAutospacing="0" w:line="360" w:lineRule="auto"/>
              <w:ind w:left="0" w:right="-56" w:hanging="3"/>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综上所述，该工程初步验收</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合格</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不合格），（</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可以</w:t>
            </w:r>
            <w:r>
              <w:rPr>
                <w:rFonts w:hint="default" w:ascii="仿宋" w:hAnsi="仿宋" w:eastAsia="仿宋" w:cs="仿宋"/>
                <w:color w:val="auto"/>
                <w:highlight w:val="none"/>
                <w:lang w:eastAsia="zh-CN"/>
              </w:rPr>
              <w:t>/</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不可以）组织正式验收。</w:t>
            </w:r>
          </w:p>
          <w:p w14:paraId="640EFCEC">
            <w:pPr>
              <w:keepNext w:val="0"/>
              <w:keepLines w:val="0"/>
              <w:widowControl/>
              <w:suppressLineNumbers w:val="0"/>
              <w:spacing w:before="0" w:beforeAutospacing="0" w:after="0" w:afterAutospacing="0" w:line="360" w:lineRule="auto"/>
              <w:ind w:left="0" w:right="-56"/>
              <w:rPr>
                <w:rFonts w:hint="eastAsia" w:ascii="仿宋" w:hAnsi="仿宋" w:eastAsia="仿宋"/>
                <w:color w:val="auto"/>
                <w:highlight w:val="none"/>
                <w:lang w:eastAsia="zh-CN"/>
              </w:rPr>
            </w:pPr>
          </w:p>
          <w:p w14:paraId="2E09C66C">
            <w:pPr>
              <w:keepNext w:val="0"/>
              <w:keepLines w:val="0"/>
              <w:widowControl/>
              <w:suppressLineNumbers w:val="0"/>
              <w:spacing w:before="0" w:beforeAutospacing="0" w:after="0" w:afterAutospacing="0" w:line="360" w:lineRule="auto"/>
              <w:ind w:left="0" w:right="-56"/>
              <w:rPr>
                <w:rFonts w:hint="eastAsia" w:ascii="仿宋" w:hAnsi="仿宋" w:eastAsia="仿宋"/>
                <w:color w:val="auto"/>
                <w:highlight w:val="none"/>
                <w:lang w:eastAsia="zh-CN"/>
              </w:rPr>
            </w:pPr>
          </w:p>
        </w:tc>
      </w:tr>
      <w:tr w14:paraId="281DE69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1434" w:hRule="atLeast"/>
        </w:trPr>
        <w:tc>
          <w:tcPr>
            <w:tcW w:w="10443" w:type="dxa"/>
            <w:tcBorders>
              <w:top w:val="nil"/>
            </w:tcBorders>
          </w:tcPr>
          <w:p w14:paraId="59035A23">
            <w:pPr>
              <w:keepNext w:val="0"/>
              <w:keepLines w:val="0"/>
              <w:widowControl/>
              <w:suppressLineNumbers w:val="0"/>
              <w:spacing w:before="0" w:beforeAutospacing="0" w:after="0" w:afterAutospacing="0" w:line="360" w:lineRule="auto"/>
              <w:ind w:left="0" w:right="-56" w:firstLine="6295" w:firstLineChars="2623"/>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监理人（章）</w:t>
            </w:r>
            <w:r>
              <w:rPr>
                <w:rFonts w:hint="default" w:ascii="仿宋" w:hAnsi="仿宋" w:eastAsia="仿宋" w:cs="仿宋"/>
                <w:color w:val="auto"/>
                <w:highlight w:val="none"/>
                <w:lang w:eastAsia="zh-CN"/>
              </w:rPr>
              <w:t xml:space="preserve">       </w:t>
            </w:r>
          </w:p>
          <w:p w14:paraId="70A5CD2C">
            <w:pPr>
              <w:keepNext w:val="0"/>
              <w:keepLines w:val="0"/>
              <w:widowControl/>
              <w:suppressLineNumbers w:val="0"/>
              <w:spacing w:before="0" w:beforeAutospacing="0" w:after="0" w:afterAutospacing="0" w:line="360" w:lineRule="auto"/>
              <w:ind w:left="0" w:right="-56" w:firstLine="6295" w:firstLineChars="2623"/>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监理工程师</w:t>
            </w:r>
            <w:r>
              <w:rPr>
                <w:rFonts w:hint="default" w:ascii="仿宋" w:hAnsi="仿宋" w:eastAsia="仿宋" w:cs="仿宋"/>
                <w:color w:val="auto"/>
                <w:highlight w:val="none"/>
                <w:u w:val="single"/>
                <w:lang w:eastAsia="zh-CN"/>
              </w:rPr>
              <w:t xml:space="preserve">            </w:t>
            </w:r>
            <w:r>
              <w:rPr>
                <w:rFonts w:hint="default" w:ascii="仿宋" w:hAnsi="仿宋" w:eastAsia="仿宋" w:cs="仿宋"/>
                <w:color w:val="auto"/>
                <w:highlight w:val="none"/>
                <w:lang w:eastAsia="zh-CN"/>
              </w:rPr>
              <w:t xml:space="preserve"> </w:t>
            </w:r>
          </w:p>
          <w:p w14:paraId="23BD16BC">
            <w:pPr>
              <w:keepNext w:val="0"/>
              <w:keepLines w:val="0"/>
              <w:widowControl/>
              <w:suppressLineNumbers w:val="0"/>
              <w:spacing w:before="0" w:beforeAutospacing="0" w:after="0" w:afterAutospacing="0" w:line="360" w:lineRule="auto"/>
              <w:ind w:left="0" w:right="0" w:firstLine="6295" w:firstLineChars="2623"/>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1E24F758">
      <w:pP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．在需要选择的栏中的“</w:t>
      </w: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”内作标识“√”。</w:t>
      </w:r>
    </w:p>
    <w:p w14:paraId="0B31AA70">
      <w:pPr>
        <w:ind w:left="1181" w:leftChars="342" w:hanging="360" w:hangingChars="15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．本表一式三份，由承包人、监理工程师按合同规定程序填制，并连同发包人各存一份。</w:t>
      </w:r>
    </w:p>
    <w:p w14:paraId="0B643866">
      <w:pPr>
        <w:spacing w:line="360" w:lineRule="auto"/>
        <w:ind w:left="720" w:hanging="720" w:hangingChars="300"/>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977" w:name="_Toc10625002"/>
      <w:bookmarkStart w:id="1978" w:name="_Toc469384158"/>
      <w:bookmarkStart w:id="1979" w:name="_Toc266892943"/>
      <w:bookmarkStart w:id="1980" w:name="_Toc4002"/>
      <w:bookmarkStart w:id="1981" w:name="_Toc18863"/>
      <w:bookmarkStart w:id="1982" w:name="_Toc27370"/>
      <w:bookmarkStart w:id="1983" w:name="_Toc5751"/>
      <w:bookmarkStart w:id="1984" w:name="_Toc14561"/>
      <w:bookmarkStart w:id="1985" w:name="_Toc23826"/>
      <w:bookmarkStart w:id="1986" w:name="_Toc6302"/>
      <w:bookmarkStart w:id="1987" w:name="_Toc6364"/>
      <w:bookmarkStart w:id="1988" w:name="_Toc13770"/>
      <w:bookmarkStart w:id="1989" w:name="_Toc15667"/>
      <w:bookmarkStart w:id="1990" w:name="_Toc20863"/>
      <w:bookmarkStart w:id="1991" w:name="_Toc1087"/>
      <w:bookmarkStart w:id="1992" w:name="_Toc11844"/>
      <w:bookmarkStart w:id="1993" w:name="_Toc11632"/>
      <w:bookmarkStart w:id="1994" w:name="_Toc5881"/>
      <w:bookmarkStart w:id="1995" w:name="_Toc5134"/>
      <w:bookmarkStart w:id="1996" w:name="_Toc2295"/>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1</w:t>
      </w:r>
      <w:bookmarkEnd w:id="1977"/>
      <w:bookmarkEnd w:id="1978"/>
      <w:bookmarkEnd w:id="1979"/>
      <w:r>
        <w:rPr>
          <w:rFonts w:hint="eastAsia" w:ascii="仿宋" w:hAnsi="仿宋" w:eastAsia="仿宋" w:cs="仿宋"/>
          <w:b/>
          <w:bCs/>
          <w:color w:val="auto"/>
          <w:highlight w:val="none"/>
          <w:lang w:eastAsia="zh-CN"/>
        </w:rPr>
        <w:t>8 工程竣工验收记录</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ED44CE4">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工程竣工验收记录</w:t>
      </w:r>
    </w:p>
    <w:p w14:paraId="51968445">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359"/>
      </w:tblGrid>
      <w:tr w14:paraId="00812D3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702" w:hRule="atLeast"/>
        </w:trPr>
        <w:tc>
          <w:tcPr>
            <w:tcW w:w="10359" w:type="dxa"/>
            <w:tcBorders>
              <w:bottom w:val="single" w:color="auto" w:sz="4" w:space="0"/>
            </w:tcBorders>
          </w:tcPr>
          <w:p w14:paraId="165D22CF">
            <w:pPr>
              <w:keepNext w:val="0"/>
              <w:keepLines w:val="0"/>
              <w:widowControl/>
              <w:suppressLineNumbers w:val="0"/>
              <w:spacing w:before="120" w:beforeAutospacing="0" w:after="0" w:afterAutospacing="0" w:line="360" w:lineRule="auto"/>
              <w:ind w:left="-31" w:leftChars="-13" w:right="0" w:firstLine="540" w:firstLineChars="225"/>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（发包人全称）</w:t>
            </w:r>
          </w:p>
          <w:p w14:paraId="0E0D2D94">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我方按合同要求参加了</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工程竣工验收</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经参加验收各方共同验收，记录如下：</w:t>
            </w:r>
          </w:p>
          <w:tbl>
            <w:tblPr>
              <w:tblStyle w:val="7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
              <w:gridCol w:w="2520"/>
              <w:gridCol w:w="6641"/>
            </w:tblGrid>
            <w:tr w14:paraId="0B322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7" w:type="dxa"/>
                  <w:tcBorders>
                    <w:top w:val="single" w:color="auto" w:sz="4" w:space="0"/>
                    <w:left w:val="single" w:color="auto" w:sz="4" w:space="0"/>
                    <w:bottom w:val="single" w:color="auto" w:sz="4" w:space="0"/>
                    <w:right w:val="single" w:color="auto" w:sz="4" w:space="0"/>
                  </w:tcBorders>
                </w:tcPr>
                <w:p w14:paraId="2A9A3A1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序号</w:t>
                  </w:r>
                </w:p>
              </w:tc>
              <w:tc>
                <w:tcPr>
                  <w:tcW w:w="2520" w:type="dxa"/>
                  <w:tcBorders>
                    <w:top w:val="single" w:color="auto" w:sz="4" w:space="0"/>
                    <w:left w:val="single" w:color="auto" w:sz="4" w:space="0"/>
                    <w:bottom w:val="single" w:color="auto" w:sz="4" w:space="0"/>
                    <w:right w:val="single" w:color="auto" w:sz="4" w:space="0"/>
                  </w:tcBorders>
                </w:tcPr>
                <w:p w14:paraId="79B36E7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项</w:t>
                  </w:r>
                  <w:r>
                    <w:rPr>
                      <w:rFonts w:hint="default" w:ascii="仿宋" w:hAnsi="仿宋" w:eastAsia="仿宋" w:cs="仿宋"/>
                      <w:color w:val="auto"/>
                      <w:highlight w:val="none"/>
                    </w:rPr>
                    <w:t xml:space="preserve">  </w:t>
                  </w:r>
                  <w:r>
                    <w:rPr>
                      <w:rFonts w:hint="eastAsia" w:ascii="仿宋" w:hAnsi="仿宋" w:eastAsia="仿宋" w:cs="仿宋"/>
                      <w:color w:val="auto"/>
                      <w:highlight w:val="none"/>
                    </w:rPr>
                    <w:t>目</w:t>
                  </w:r>
                </w:p>
              </w:tc>
              <w:tc>
                <w:tcPr>
                  <w:tcW w:w="6641" w:type="dxa"/>
                  <w:tcBorders>
                    <w:top w:val="single" w:color="auto" w:sz="4" w:space="0"/>
                    <w:left w:val="single" w:color="auto" w:sz="4" w:space="0"/>
                    <w:bottom w:val="single" w:color="auto" w:sz="4" w:space="0"/>
                    <w:right w:val="single" w:color="auto" w:sz="4" w:space="0"/>
                  </w:tcBorders>
                </w:tcPr>
                <w:p w14:paraId="73A139C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验</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收</w:t>
                  </w:r>
                  <w:r>
                    <w:rPr>
                      <w:rFonts w:hint="default" w:ascii="仿宋" w:hAnsi="仿宋" w:eastAsia="仿宋" w:cs="仿宋"/>
                      <w:color w:val="auto"/>
                      <w:highlight w:val="none"/>
                    </w:rPr>
                    <w:t xml:space="preserve"> </w:t>
                  </w:r>
                  <w:r>
                    <w:rPr>
                      <w:rFonts w:hint="eastAsia" w:ascii="仿宋" w:hAnsi="仿宋" w:eastAsia="仿宋" w:cs="仿宋"/>
                      <w:color w:val="auto"/>
                      <w:highlight w:val="none"/>
                    </w:rPr>
                    <w:t>记</w:t>
                  </w:r>
                  <w:r>
                    <w:rPr>
                      <w:rFonts w:hint="default" w:ascii="仿宋" w:hAnsi="仿宋" w:eastAsia="仿宋" w:cs="仿宋"/>
                      <w:color w:val="auto"/>
                      <w:highlight w:val="none"/>
                    </w:rPr>
                    <w:t xml:space="preserve"> </w:t>
                  </w:r>
                  <w:r>
                    <w:rPr>
                      <w:rFonts w:hint="eastAsia" w:ascii="仿宋" w:hAnsi="仿宋" w:eastAsia="仿宋" w:cs="仿宋"/>
                      <w:color w:val="auto"/>
                      <w:highlight w:val="none"/>
                    </w:rPr>
                    <w:t>录</w:t>
                  </w:r>
                </w:p>
              </w:tc>
            </w:tr>
            <w:tr w14:paraId="715DE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dxa"/>
                  <w:tcBorders>
                    <w:top w:val="single" w:color="auto" w:sz="4" w:space="0"/>
                    <w:left w:val="single" w:color="auto" w:sz="4" w:space="0"/>
                    <w:bottom w:val="single" w:color="auto" w:sz="4" w:space="0"/>
                    <w:right w:val="single" w:color="auto" w:sz="4" w:space="0"/>
                  </w:tcBorders>
                </w:tcPr>
                <w:p w14:paraId="1F2DFE8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default" w:ascii="仿宋" w:hAnsi="仿宋" w:eastAsia="仿宋" w:cs="仿宋"/>
                      <w:color w:val="auto"/>
                      <w:highlight w:val="none"/>
                    </w:rPr>
                    <w:t>1</w:t>
                  </w:r>
                </w:p>
              </w:tc>
              <w:tc>
                <w:tcPr>
                  <w:tcW w:w="2520" w:type="dxa"/>
                  <w:tcBorders>
                    <w:top w:val="single" w:color="auto" w:sz="4" w:space="0"/>
                    <w:left w:val="single" w:color="auto" w:sz="4" w:space="0"/>
                    <w:bottom w:val="single" w:color="auto" w:sz="4" w:space="0"/>
                    <w:right w:val="single" w:color="auto" w:sz="4" w:space="0"/>
                  </w:tcBorders>
                </w:tcPr>
                <w:p w14:paraId="428A2C5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分部分项</w:t>
                  </w:r>
                </w:p>
              </w:tc>
              <w:tc>
                <w:tcPr>
                  <w:tcW w:w="6641" w:type="dxa"/>
                  <w:tcBorders>
                    <w:top w:val="single" w:color="auto" w:sz="4" w:space="0"/>
                    <w:left w:val="single" w:color="auto" w:sz="4" w:space="0"/>
                    <w:bottom w:val="single" w:color="auto" w:sz="4" w:space="0"/>
                    <w:right w:val="single" w:color="auto" w:sz="4" w:space="0"/>
                  </w:tcBorders>
                </w:tcPr>
                <w:p w14:paraId="49D4521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共</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分部，经查</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分部，符合标准与规范、设计要求</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分部</w:t>
                  </w:r>
                </w:p>
              </w:tc>
            </w:tr>
            <w:tr w14:paraId="4187D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dxa"/>
                  <w:tcBorders>
                    <w:top w:val="single" w:color="auto" w:sz="4" w:space="0"/>
                    <w:left w:val="single" w:color="auto" w:sz="4" w:space="0"/>
                    <w:bottom w:val="single" w:color="auto" w:sz="4" w:space="0"/>
                    <w:right w:val="single" w:color="auto" w:sz="4" w:space="0"/>
                  </w:tcBorders>
                </w:tcPr>
                <w:p w14:paraId="3A09041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default" w:ascii="仿宋" w:hAnsi="仿宋" w:eastAsia="仿宋" w:cs="仿宋"/>
                      <w:color w:val="auto"/>
                      <w:highlight w:val="none"/>
                    </w:rPr>
                    <w:t>2</w:t>
                  </w:r>
                </w:p>
              </w:tc>
              <w:tc>
                <w:tcPr>
                  <w:tcW w:w="2520" w:type="dxa"/>
                  <w:tcBorders>
                    <w:top w:val="single" w:color="auto" w:sz="4" w:space="0"/>
                    <w:left w:val="single" w:color="auto" w:sz="4" w:space="0"/>
                    <w:bottom w:val="single" w:color="auto" w:sz="4" w:space="0"/>
                    <w:right w:val="single" w:color="auto" w:sz="4" w:space="0"/>
                  </w:tcBorders>
                </w:tcPr>
                <w:p w14:paraId="06EEFF23">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质量控制资料核查</w:t>
                  </w:r>
                </w:p>
              </w:tc>
              <w:tc>
                <w:tcPr>
                  <w:tcW w:w="6641" w:type="dxa"/>
                  <w:tcBorders>
                    <w:top w:val="single" w:color="auto" w:sz="4" w:space="0"/>
                    <w:left w:val="single" w:color="auto" w:sz="4" w:space="0"/>
                    <w:bottom w:val="single" w:color="auto" w:sz="4" w:space="0"/>
                    <w:right w:val="single" w:color="auto" w:sz="4" w:space="0"/>
                  </w:tcBorders>
                </w:tcPr>
                <w:p w14:paraId="19BEA33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共</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项，经核查符合要求</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项，其中符合标准与规范要求</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w:t>
                  </w:r>
                </w:p>
              </w:tc>
            </w:tr>
            <w:tr w14:paraId="635CE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dxa"/>
                  <w:tcBorders>
                    <w:top w:val="single" w:color="auto" w:sz="4" w:space="0"/>
                    <w:left w:val="single" w:color="auto" w:sz="4" w:space="0"/>
                    <w:bottom w:val="single" w:color="auto" w:sz="4" w:space="0"/>
                    <w:right w:val="single" w:color="auto" w:sz="4" w:space="0"/>
                  </w:tcBorders>
                </w:tcPr>
                <w:p w14:paraId="129B36E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default" w:ascii="仿宋" w:hAnsi="仿宋" w:eastAsia="仿宋" w:cs="仿宋"/>
                      <w:color w:val="auto"/>
                      <w:highlight w:val="none"/>
                    </w:rPr>
                    <w:t>3</w:t>
                  </w:r>
                </w:p>
              </w:tc>
              <w:tc>
                <w:tcPr>
                  <w:tcW w:w="2520" w:type="dxa"/>
                  <w:tcBorders>
                    <w:top w:val="single" w:color="auto" w:sz="4" w:space="0"/>
                    <w:left w:val="single" w:color="auto" w:sz="4" w:space="0"/>
                    <w:bottom w:val="single" w:color="auto" w:sz="4" w:space="0"/>
                    <w:right w:val="single" w:color="auto" w:sz="4" w:space="0"/>
                  </w:tcBorders>
                </w:tcPr>
                <w:p w14:paraId="6796037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安全和主要使用功能核查及抽查结果</w:t>
                  </w:r>
                </w:p>
              </w:tc>
              <w:tc>
                <w:tcPr>
                  <w:tcW w:w="6641" w:type="dxa"/>
                  <w:tcBorders>
                    <w:top w:val="single" w:color="auto" w:sz="4" w:space="0"/>
                    <w:left w:val="single" w:color="auto" w:sz="4" w:space="0"/>
                    <w:bottom w:val="single" w:color="auto" w:sz="4" w:space="0"/>
                    <w:right w:val="single" w:color="auto" w:sz="4" w:space="0"/>
                  </w:tcBorders>
                </w:tcPr>
                <w:p w14:paraId="011024B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共核查</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项，符合要求</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项；共抽查</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项，符合要求</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项；经返工处理符合要求</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w:t>
                  </w:r>
                </w:p>
              </w:tc>
            </w:tr>
            <w:tr w14:paraId="3940E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7" w:type="dxa"/>
                  <w:tcBorders>
                    <w:top w:val="single" w:color="auto" w:sz="4" w:space="0"/>
                    <w:left w:val="single" w:color="auto" w:sz="4" w:space="0"/>
                    <w:bottom w:val="single" w:color="auto" w:sz="4" w:space="0"/>
                    <w:right w:val="single" w:color="auto" w:sz="4" w:space="0"/>
                  </w:tcBorders>
                </w:tcPr>
                <w:p w14:paraId="7F44C6E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default" w:ascii="仿宋" w:hAnsi="仿宋" w:eastAsia="仿宋" w:cs="仿宋"/>
                      <w:color w:val="auto"/>
                      <w:highlight w:val="none"/>
                    </w:rPr>
                    <w:t>4</w:t>
                  </w:r>
                </w:p>
              </w:tc>
              <w:tc>
                <w:tcPr>
                  <w:tcW w:w="2520" w:type="dxa"/>
                  <w:tcBorders>
                    <w:top w:val="single" w:color="auto" w:sz="4" w:space="0"/>
                    <w:left w:val="single" w:color="auto" w:sz="4" w:space="0"/>
                    <w:bottom w:val="single" w:color="auto" w:sz="4" w:space="0"/>
                    <w:right w:val="single" w:color="auto" w:sz="4" w:space="0"/>
                  </w:tcBorders>
                </w:tcPr>
                <w:p w14:paraId="0C8FE583">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观感质量验收</w:t>
                  </w:r>
                </w:p>
              </w:tc>
              <w:tc>
                <w:tcPr>
                  <w:tcW w:w="6641" w:type="dxa"/>
                  <w:tcBorders>
                    <w:top w:val="single" w:color="auto" w:sz="4" w:space="0"/>
                    <w:left w:val="single" w:color="auto" w:sz="4" w:space="0"/>
                    <w:bottom w:val="single" w:color="auto" w:sz="4" w:space="0"/>
                    <w:right w:val="single" w:color="auto" w:sz="4" w:space="0"/>
                  </w:tcBorders>
                </w:tcPr>
                <w:p w14:paraId="076498A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共抽查</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项，符合要求</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项，不符合要求</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项</w:t>
                  </w:r>
                </w:p>
              </w:tc>
            </w:tr>
          </w:tbl>
          <w:p w14:paraId="0AA1F21C">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olor w:val="auto"/>
                <w:highlight w:val="none"/>
                <w:lang w:eastAsia="zh-CN"/>
              </w:rPr>
            </w:pPr>
          </w:p>
          <w:p w14:paraId="01D1D439">
            <w:pPr>
              <w:keepNext w:val="0"/>
              <w:keepLines w:val="0"/>
              <w:widowControl/>
              <w:suppressLineNumbers w:val="0"/>
              <w:spacing w:before="0" w:beforeAutospacing="0" w:after="0" w:afterAutospacing="0" w:line="360" w:lineRule="auto"/>
              <w:ind w:left="0" w:right="0" w:firstLine="6552" w:firstLineChars="273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发包人（章）</w:t>
            </w:r>
            <w:r>
              <w:rPr>
                <w:rFonts w:hint="default" w:ascii="仿宋" w:hAnsi="仿宋" w:eastAsia="仿宋" w:cs="仿宋"/>
                <w:color w:val="auto"/>
                <w:highlight w:val="none"/>
                <w:lang w:eastAsia="zh-CN"/>
              </w:rPr>
              <w:t xml:space="preserve">               </w:t>
            </w:r>
          </w:p>
          <w:p w14:paraId="69C73D16">
            <w:pPr>
              <w:keepNext w:val="0"/>
              <w:keepLines w:val="0"/>
              <w:widowControl/>
              <w:suppressLineNumbers w:val="0"/>
              <w:tabs>
                <w:tab w:val="left" w:pos="7092"/>
              </w:tabs>
              <w:spacing w:before="0" w:beforeAutospacing="0" w:after="0" w:afterAutospacing="0" w:line="360" w:lineRule="auto"/>
              <w:ind w:left="0" w:right="0" w:firstLine="6552" w:firstLineChars="273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发包人代表</w:t>
            </w:r>
            <w:r>
              <w:rPr>
                <w:rFonts w:hint="default" w:ascii="仿宋" w:hAnsi="仿宋" w:eastAsia="仿宋" w:cs="仿宋"/>
                <w:color w:val="auto"/>
                <w:highlight w:val="none"/>
                <w:u w:val="single"/>
                <w:lang w:eastAsia="zh-CN"/>
              </w:rPr>
              <w:t xml:space="preserve">           </w:t>
            </w:r>
          </w:p>
          <w:p w14:paraId="1B7F5F8C">
            <w:pPr>
              <w:keepNext w:val="0"/>
              <w:keepLines w:val="0"/>
              <w:widowControl/>
              <w:suppressLineNumbers w:val="0"/>
              <w:spacing w:before="0" w:beforeAutospacing="0" w:after="0" w:afterAutospacing="0" w:line="360" w:lineRule="auto"/>
              <w:ind w:left="0" w:right="0" w:firstLine="6552" w:firstLineChars="273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64A7B07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44" w:hRule="atLeast"/>
        </w:trPr>
        <w:tc>
          <w:tcPr>
            <w:tcW w:w="10359" w:type="dxa"/>
            <w:tcBorders>
              <w:top w:val="single" w:color="auto" w:sz="4" w:space="0"/>
            </w:tcBorders>
          </w:tcPr>
          <w:p w14:paraId="76B0690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验收结论：</w:t>
            </w:r>
          </w:p>
          <w:p w14:paraId="68BA076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43BB32A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设计人（章）</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监理人（章）</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造价咨询人（如有）（章）</w:t>
            </w:r>
          </w:p>
          <w:p w14:paraId="7F9396B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建筑师</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结构师</w:t>
            </w:r>
            <w:r>
              <w:rPr>
                <w:rFonts w:hint="default" w:ascii="仿宋" w:hAnsi="仿宋" w:eastAsia="仿宋" w:cs="仿宋"/>
                <w:color w:val="auto"/>
                <w:highlight w:val="none"/>
                <w:u w:val="single"/>
                <w:lang w:eastAsia="zh-CN"/>
              </w:rPr>
              <w:t xml:space="preserve">         </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监理工程师</w:t>
            </w:r>
            <w:r>
              <w:rPr>
                <w:rFonts w:hint="default" w:ascii="仿宋" w:hAnsi="仿宋" w:eastAsia="仿宋" w:cs="仿宋"/>
                <w:color w:val="auto"/>
                <w:highlight w:val="none"/>
                <w:u w:val="single"/>
                <w:lang w:eastAsia="zh-CN"/>
              </w:rPr>
              <w:t xml:space="preserve">         </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造价工程师</w:t>
            </w:r>
            <w:r>
              <w:rPr>
                <w:rFonts w:hint="default" w:ascii="仿宋" w:hAnsi="仿宋" w:eastAsia="仿宋" w:cs="仿宋"/>
                <w:color w:val="auto"/>
                <w:highlight w:val="none"/>
                <w:u w:val="single"/>
                <w:lang w:eastAsia="zh-CN"/>
              </w:rPr>
              <w:t xml:space="preserve">          </w:t>
            </w:r>
          </w:p>
          <w:p w14:paraId="5C091CEE">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299C50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1284" w:hRule="atLeast"/>
        </w:trPr>
        <w:tc>
          <w:tcPr>
            <w:tcW w:w="10359" w:type="dxa"/>
            <w:tcBorders>
              <w:top w:val="nil"/>
            </w:tcBorders>
          </w:tcPr>
          <w:p w14:paraId="10290B6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综合验收结论：</w:t>
            </w:r>
          </w:p>
          <w:p w14:paraId="11A6A61E">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olor w:val="auto"/>
                <w:highlight w:val="none"/>
                <w:lang w:eastAsia="zh-CN"/>
              </w:rPr>
            </w:pPr>
          </w:p>
          <w:p w14:paraId="413F7583">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发包人（章）</w:t>
            </w:r>
            <w:r>
              <w:rPr>
                <w:rFonts w:hint="default" w:ascii="仿宋" w:hAnsi="仿宋" w:eastAsia="仿宋" w:cs="仿宋"/>
                <w:color w:val="auto"/>
                <w:highlight w:val="none"/>
                <w:lang w:eastAsia="zh-CN"/>
              </w:rPr>
              <w:t xml:space="preserve">               </w:t>
            </w:r>
          </w:p>
          <w:p w14:paraId="3A8BE74D">
            <w:pPr>
              <w:keepNext w:val="0"/>
              <w:keepLines w:val="0"/>
              <w:widowControl/>
              <w:suppressLineNumbers w:val="0"/>
              <w:tabs>
                <w:tab w:val="left" w:pos="7092"/>
              </w:tabs>
              <w:spacing w:before="0" w:beforeAutospacing="0" w:after="0" w:afterAutospacing="0" w:line="360" w:lineRule="auto"/>
              <w:ind w:left="0" w:right="0" w:firstLine="6240" w:firstLineChars="2600"/>
              <w:rPr>
                <w:rFonts w:hint="eastAsia" w:ascii="仿宋" w:hAnsi="仿宋" w:eastAsia="仿宋" w:cs="仿宋"/>
                <w:color w:val="auto"/>
                <w:highlight w:val="none"/>
                <w:u w:val="single"/>
              </w:rPr>
            </w:pPr>
            <w:r>
              <w:rPr>
                <w:rFonts w:hint="eastAsia" w:ascii="仿宋" w:hAnsi="仿宋" w:eastAsia="仿宋" w:cs="仿宋"/>
                <w:color w:val="auto"/>
                <w:highlight w:val="none"/>
              </w:rPr>
              <w:t>发包人代表</w:t>
            </w:r>
            <w:r>
              <w:rPr>
                <w:rFonts w:hint="default" w:ascii="仿宋" w:hAnsi="仿宋" w:eastAsia="仿宋" w:cs="仿宋"/>
                <w:color w:val="auto"/>
                <w:highlight w:val="none"/>
                <w:u w:val="single"/>
              </w:rPr>
              <w:t xml:space="preserve">           </w:t>
            </w:r>
          </w:p>
          <w:p w14:paraId="24353E1B">
            <w:pPr>
              <w:keepNext w:val="0"/>
              <w:keepLines w:val="0"/>
              <w:widowControl/>
              <w:suppressLineNumbers w:val="0"/>
              <w:spacing w:before="0" w:beforeAutospacing="0" w:after="0" w:afterAutospacing="0" w:line="360" w:lineRule="auto"/>
              <w:ind w:left="0" w:right="0" w:firstLine="6240" w:firstLineChars="260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6CB8C091">
      <w:pPr>
        <w:ind w:left="1133" w:leftChars="172" w:hanging="720" w:hangingChars="3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．表中验收记录由承包人填写，验收结论由监理人（发包人）填写。综合验收结论由参加验收各方共同商定，发包人填写，应对工程质量是否符合标准与规范、设计要求及总体质量作出评价。</w:t>
      </w:r>
    </w:p>
    <w:p w14:paraId="06C06873">
      <w:pPr>
        <w:ind w:left="480" w:firstLine="600" w:firstLineChars="25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本表一式五份，由发包人、设计人、监理人、工程造价咨询人（如有）按和承包人各存一份。</w:t>
      </w:r>
    </w:p>
    <w:p w14:paraId="1E73BB4D">
      <w:pPr>
        <w:spacing w:before="120" w:beforeLines="50" w:after="120" w:afterLines="50"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1997" w:name="_Toc266892944"/>
      <w:bookmarkStart w:id="1998" w:name="_Toc10625003"/>
      <w:bookmarkStart w:id="1999" w:name="_Toc469384159"/>
      <w:bookmarkStart w:id="2000" w:name="_Toc26236"/>
      <w:bookmarkStart w:id="2001" w:name="_Toc4633"/>
      <w:bookmarkStart w:id="2002" w:name="_Toc10676"/>
      <w:bookmarkStart w:id="2003" w:name="_Toc27363"/>
      <w:bookmarkStart w:id="2004" w:name="_Toc2366"/>
      <w:bookmarkStart w:id="2005" w:name="_Toc10203"/>
      <w:bookmarkStart w:id="2006" w:name="_Toc28775"/>
      <w:bookmarkStart w:id="2007" w:name="_Toc23450"/>
      <w:bookmarkStart w:id="2008" w:name="_Toc25476"/>
      <w:bookmarkStart w:id="2009" w:name="_Toc13565"/>
      <w:bookmarkStart w:id="2010" w:name="_Toc5106"/>
      <w:bookmarkStart w:id="2011" w:name="_Toc17623"/>
      <w:bookmarkStart w:id="2012" w:name="_Toc8305"/>
      <w:bookmarkStart w:id="2013" w:name="_Toc221"/>
      <w:bookmarkStart w:id="2014" w:name="_Toc26946"/>
      <w:bookmarkStart w:id="2015" w:name="_Toc21656"/>
      <w:bookmarkStart w:id="2016" w:name="_Toc3306"/>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1</w:t>
      </w:r>
      <w:bookmarkEnd w:id="1997"/>
      <w:bookmarkEnd w:id="1998"/>
      <w:bookmarkEnd w:id="1999"/>
      <w:r>
        <w:rPr>
          <w:rFonts w:hint="eastAsia" w:ascii="仿宋" w:hAnsi="仿宋" w:eastAsia="仿宋" w:cs="仿宋"/>
          <w:b/>
          <w:bCs/>
          <w:color w:val="auto"/>
          <w:highlight w:val="none"/>
          <w:lang w:eastAsia="zh-CN"/>
        </w:rPr>
        <w:t>9 工程接收证书</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58E5434D">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工程接收证书</w:t>
      </w:r>
    </w:p>
    <w:p w14:paraId="6E53C201">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41"/>
      </w:tblGrid>
      <w:tr w14:paraId="74D320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1387" w:hRule="atLeast"/>
        </w:trPr>
        <w:tc>
          <w:tcPr>
            <w:tcW w:w="10441" w:type="dxa"/>
          </w:tcPr>
          <w:p w14:paraId="1E4682D2">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（监理人全称）</w:t>
            </w:r>
          </w:p>
          <w:p w14:paraId="12157FD8">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你方按照合同要求于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日提出鞠躬验收，净我方组织你方、设计人、监理人、工程造价咨询人（如有）共同验收，该工程验收合格，现予颁发工程接收证书，</w:t>
            </w:r>
          </w:p>
          <w:p w14:paraId="5DD634DE">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按照合同约定，该工程实际竣工日期是</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年</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w:t>
            </w:r>
          </w:p>
          <w:p w14:paraId="7DB719B6">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p>
          <w:p w14:paraId="74625EFD">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我方颁发工程接收</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证书，则标明自颁发之日起，由我方负责照管工程，但并不代表你方已完成施工合同赋予的一切义务和责任，你方仍应承担工程的质量缺陷和质量保修责任。</w:t>
            </w:r>
          </w:p>
          <w:p w14:paraId="7CE3041F">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2C220EFA">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31A54E16">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2DB15D7D">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085C406E">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56208264">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38372CA4">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37B86226">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379A2C17">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309A317E">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26697F06">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383AD143">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437AC723">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583674B6">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3C2852A5">
            <w:pPr>
              <w:keepNext w:val="0"/>
              <w:keepLines w:val="0"/>
              <w:widowControl/>
              <w:suppressLineNumbers w:val="0"/>
              <w:spacing w:before="0" w:beforeAutospacing="0" w:after="0" w:afterAutospacing="0" w:line="360" w:lineRule="auto"/>
              <w:ind w:left="-28" w:right="0"/>
              <w:rPr>
                <w:rFonts w:hint="eastAsia" w:ascii="仿宋" w:hAnsi="仿宋" w:eastAsia="仿宋"/>
                <w:color w:val="auto"/>
                <w:highlight w:val="none"/>
                <w:lang w:eastAsia="zh-CN"/>
              </w:rPr>
            </w:pPr>
          </w:p>
          <w:p w14:paraId="71F74653">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u w:val="single"/>
                <w:lang w:eastAsia="zh-CN"/>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包</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人（章）</w:t>
            </w:r>
            <w:r>
              <w:rPr>
                <w:rFonts w:hint="default" w:ascii="仿宋" w:hAnsi="仿宋" w:eastAsia="仿宋" w:cs="仿宋"/>
                <w:color w:val="auto"/>
                <w:highlight w:val="none"/>
                <w:lang w:eastAsia="zh-CN"/>
              </w:rPr>
              <w:t xml:space="preserve">                 </w:t>
            </w:r>
          </w:p>
          <w:p w14:paraId="3651DBCF">
            <w:pPr>
              <w:keepNext w:val="0"/>
              <w:keepLines w:val="0"/>
              <w:widowControl/>
              <w:suppressLineNumbers w:val="0"/>
              <w:spacing w:before="0" w:beforeAutospacing="0" w:after="0" w:afterAutospacing="0" w:line="360" w:lineRule="auto"/>
              <w:ind w:left="0" w:right="0" w:firstLine="6000" w:firstLineChars="25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承包人代表</w:t>
            </w:r>
            <w:r>
              <w:rPr>
                <w:rFonts w:hint="default" w:ascii="仿宋" w:hAnsi="仿宋" w:eastAsia="仿宋" w:cs="仿宋"/>
                <w:color w:val="auto"/>
                <w:highlight w:val="none"/>
                <w:u w:val="single"/>
                <w:lang w:eastAsia="zh-CN"/>
              </w:rPr>
              <w:t xml:space="preserve">                </w:t>
            </w:r>
          </w:p>
          <w:p w14:paraId="7D6A5F33">
            <w:pPr>
              <w:keepNext w:val="0"/>
              <w:keepLines w:val="0"/>
              <w:widowControl/>
              <w:suppressLineNumbers w:val="0"/>
              <w:spacing w:before="0" w:beforeAutospacing="0" w:after="0" w:afterAutospacing="0" w:line="360" w:lineRule="auto"/>
              <w:ind w:left="0" w:right="0" w:firstLine="6012"/>
              <w:rPr>
                <w:rFonts w:hint="eastAsia" w:ascii="仿宋" w:hAnsi="仿宋" w:eastAsia="仿宋"/>
                <w:color w:val="auto"/>
                <w:highlight w:val="none"/>
                <w:u w:val="single"/>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rPr>
              <w:t>年</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月</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日</w:t>
            </w:r>
          </w:p>
        </w:tc>
      </w:tr>
    </w:tbl>
    <w:p w14:paraId="62A26E5F">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说明：本表由发包人填制，承包人、发包人各存一份。</w:t>
      </w:r>
    </w:p>
    <w:p w14:paraId="0C7129BA">
      <w:pPr>
        <w:spacing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2017" w:name="_Toc266892945"/>
      <w:bookmarkStart w:id="2018" w:name="_Toc469384160"/>
      <w:bookmarkStart w:id="2019" w:name="_Toc10625004"/>
      <w:bookmarkStart w:id="2020" w:name="_Toc4380"/>
      <w:bookmarkStart w:id="2021" w:name="_Toc26170"/>
      <w:bookmarkStart w:id="2022" w:name="_Toc18940"/>
      <w:bookmarkStart w:id="2023" w:name="_Toc12308"/>
      <w:bookmarkStart w:id="2024" w:name="_Toc3829"/>
      <w:bookmarkStart w:id="2025" w:name="_Toc8212"/>
      <w:bookmarkStart w:id="2026" w:name="_Toc7566"/>
      <w:bookmarkStart w:id="2027" w:name="_Toc15671"/>
      <w:bookmarkStart w:id="2028" w:name="_Toc9124"/>
      <w:bookmarkStart w:id="2029" w:name="_Toc1843"/>
      <w:bookmarkStart w:id="2030" w:name="_Toc19474"/>
      <w:bookmarkStart w:id="2031" w:name="_Toc23600"/>
      <w:bookmarkStart w:id="2032" w:name="_Toc4459"/>
      <w:bookmarkStart w:id="2033" w:name="_Toc93"/>
      <w:bookmarkStart w:id="2034" w:name="_Toc16979"/>
      <w:bookmarkStart w:id="2035" w:name="_Toc14424"/>
      <w:bookmarkStart w:id="2036" w:name="_Toc27799"/>
      <w:r>
        <w:rPr>
          <w:rFonts w:hint="eastAsia" w:ascii="仿宋" w:hAnsi="仿宋" w:eastAsia="仿宋" w:cs="仿宋"/>
          <w:b/>
          <w:bCs/>
          <w:color w:val="auto"/>
          <w:highlight w:val="none"/>
          <w:lang w:eastAsia="zh-CN"/>
        </w:rPr>
        <w:t>格式</w:t>
      </w:r>
      <w:bookmarkEnd w:id="2017"/>
      <w:bookmarkEnd w:id="2018"/>
      <w:bookmarkEnd w:id="2019"/>
      <w:r>
        <w:rPr>
          <w:rFonts w:hint="eastAsia" w:ascii="仿宋" w:hAnsi="仿宋" w:eastAsia="仿宋" w:cs="仿宋"/>
          <w:b/>
          <w:bCs/>
          <w:color w:val="auto"/>
          <w:highlight w:val="none"/>
          <w:lang w:eastAsia="zh-CN"/>
        </w:rPr>
        <w:t>20 暂列金额确认表</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6C5A77AB">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暂列金额确认表</w:t>
      </w:r>
    </w:p>
    <w:p w14:paraId="65ADD6AD">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0"/>
        <w:gridCol w:w="3246"/>
        <w:gridCol w:w="1443"/>
        <w:gridCol w:w="1441"/>
        <w:gridCol w:w="1441"/>
        <w:gridCol w:w="1984"/>
      </w:tblGrid>
      <w:tr w14:paraId="4AEC1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591198E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序号</w:t>
            </w:r>
          </w:p>
        </w:tc>
        <w:tc>
          <w:tcPr>
            <w:tcW w:w="3246" w:type="dxa"/>
            <w:vAlign w:val="center"/>
          </w:tcPr>
          <w:p w14:paraId="132442B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项目名称</w:t>
            </w:r>
          </w:p>
        </w:tc>
        <w:tc>
          <w:tcPr>
            <w:tcW w:w="1443" w:type="dxa"/>
            <w:vAlign w:val="center"/>
          </w:tcPr>
          <w:p w14:paraId="711F598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计量</w:t>
            </w:r>
          </w:p>
          <w:p w14:paraId="5ABAE9C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单位</w:t>
            </w:r>
          </w:p>
        </w:tc>
        <w:tc>
          <w:tcPr>
            <w:tcW w:w="1441" w:type="dxa"/>
            <w:vAlign w:val="center"/>
          </w:tcPr>
          <w:p w14:paraId="4FA798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暂列金额</w:t>
            </w:r>
          </w:p>
          <w:p w14:paraId="6B855C6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1441" w:type="dxa"/>
            <w:vAlign w:val="center"/>
          </w:tcPr>
          <w:p w14:paraId="76377AE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实际金额</w:t>
            </w:r>
          </w:p>
          <w:p w14:paraId="4973619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1984" w:type="dxa"/>
            <w:vAlign w:val="center"/>
          </w:tcPr>
          <w:p w14:paraId="6A72A33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备注</w:t>
            </w:r>
          </w:p>
        </w:tc>
      </w:tr>
      <w:tr w14:paraId="43A92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5E29E1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w:t>
            </w:r>
          </w:p>
        </w:tc>
        <w:tc>
          <w:tcPr>
            <w:tcW w:w="3246" w:type="dxa"/>
            <w:vAlign w:val="center"/>
          </w:tcPr>
          <w:p w14:paraId="07ACD5D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0C958D6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605F580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44C0DEA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362BA6C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7D7A4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4BA5645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2</w:t>
            </w:r>
          </w:p>
        </w:tc>
        <w:tc>
          <w:tcPr>
            <w:tcW w:w="3246" w:type="dxa"/>
            <w:vAlign w:val="center"/>
          </w:tcPr>
          <w:p w14:paraId="2306A82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516ED95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2495607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11A15D2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767EE73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18A86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57D2EB3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3</w:t>
            </w:r>
          </w:p>
        </w:tc>
        <w:tc>
          <w:tcPr>
            <w:tcW w:w="3246" w:type="dxa"/>
            <w:vAlign w:val="center"/>
          </w:tcPr>
          <w:p w14:paraId="5196229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07BA395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0E35F4A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46F779C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1F08336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A88B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100D952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4</w:t>
            </w:r>
          </w:p>
        </w:tc>
        <w:tc>
          <w:tcPr>
            <w:tcW w:w="3246" w:type="dxa"/>
            <w:vAlign w:val="center"/>
          </w:tcPr>
          <w:p w14:paraId="741F7D1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770DB9B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649B42E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3363720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0919B6D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2BF0B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1010" w:type="dxa"/>
            <w:vAlign w:val="center"/>
          </w:tcPr>
          <w:p w14:paraId="2A5E79D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5</w:t>
            </w:r>
          </w:p>
        </w:tc>
        <w:tc>
          <w:tcPr>
            <w:tcW w:w="3246" w:type="dxa"/>
            <w:vAlign w:val="center"/>
          </w:tcPr>
          <w:p w14:paraId="05756E0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050B91A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27DED47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2A88855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526FF40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246CD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4D282A6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6</w:t>
            </w:r>
          </w:p>
        </w:tc>
        <w:tc>
          <w:tcPr>
            <w:tcW w:w="3246" w:type="dxa"/>
            <w:vAlign w:val="center"/>
          </w:tcPr>
          <w:p w14:paraId="18EFE37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45F57C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75B3770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00E9428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0FAABEF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425E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7E552CE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7</w:t>
            </w:r>
          </w:p>
        </w:tc>
        <w:tc>
          <w:tcPr>
            <w:tcW w:w="3246" w:type="dxa"/>
            <w:vAlign w:val="center"/>
          </w:tcPr>
          <w:p w14:paraId="24A78EA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4B18E69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1553696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3C005F6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7557CB7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CEB1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7DFC1F7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8</w:t>
            </w:r>
          </w:p>
        </w:tc>
        <w:tc>
          <w:tcPr>
            <w:tcW w:w="3246" w:type="dxa"/>
            <w:vAlign w:val="center"/>
          </w:tcPr>
          <w:p w14:paraId="4C5001E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3464F31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1FCDEDA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3A23F48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106850A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5FB31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3291326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9</w:t>
            </w:r>
          </w:p>
        </w:tc>
        <w:tc>
          <w:tcPr>
            <w:tcW w:w="3246" w:type="dxa"/>
            <w:vAlign w:val="center"/>
          </w:tcPr>
          <w:p w14:paraId="07479DF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6183F2E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1E0B8B6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3BEE9F7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4C687DE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8D33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74F0C1B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10</w:t>
            </w:r>
          </w:p>
        </w:tc>
        <w:tc>
          <w:tcPr>
            <w:tcW w:w="3246" w:type="dxa"/>
            <w:vAlign w:val="center"/>
          </w:tcPr>
          <w:p w14:paraId="534505F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1A0399D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1731D2A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6D6A383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1EFA712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5182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6" w:hRule="atLeast"/>
        </w:trPr>
        <w:tc>
          <w:tcPr>
            <w:tcW w:w="1010" w:type="dxa"/>
            <w:vAlign w:val="center"/>
          </w:tcPr>
          <w:p w14:paraId="2993706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11</w:t>
            </w:r>
          </w:p>
        </w:tc>
        <w:tc>
          <w:tcPr>
            <w:tcW w:w="3246" w:type="dxa"/>
            <w:vAlign w:val="center"/>
          </w:tcPr>
          <w:p w14:paraId="184B998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3" w:type="dxa"/>
            <w:vAlign w:val="center"/>
          </w:tcPr>
          <w:p w14:paraId="274C8FE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3F3A5B6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3CD246C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69F1320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8CCA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5699" w:type="dxa"/>
            <w:gridSpan w:val="3"/>
            <w:vAlign w:val="center"/>
          </w:tcPr>
          <w:p w14:paraId="6B76BA4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合</w:t>
            </w:r>
            <w:r>
              <w:rPr>
                <w:rFonts w:hint="default" w:ascii="仿宋" w:hAnsi="仿宋" w:eastAsia="仿宋" w:cs="仿宋"/>
                <w:color w:val="auto"/>
                <w:highlight w:val="none"/>
              </w:rPr>
              <w:t xml:space="preserve">  </w:t>
            </w:r>
            <w:r>
              <w:rPr>
                <w:rFonts w:hint="eastAsia" w:ascii="仿宋" w:hAnsi="仿宋" w:eastAsia="仿宋" w:cs="仿宋"/>
                <w:color w:val="auto"/>
                <w:highlight w:val="none"/>
              </w:rPr>
              <w:t>计</w:t>
            </w:r>
          </w:p>
        </w:tc>
        <w:tc>
          <w:tcPr>
            <w:tcW w:w="1441" w:type="dxa"/>
            <w:vAlign w:val="center"/>
          </w:tcPr>
          <w:p w14:paraId="44D5BA1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1" w:type="dxa"/>
            <w:vAlign w:val="center"/>
          </w:tcPr>
          <w:p w14:paraId="5651057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984" w:type="dxa"/>
            <w:vAlign w:val="center"/>
          </w:tcPr>
          <w:p w14:paraId="7D4B321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bl>
    <w:p w14:paraId="6EC2CCE6">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本表由承包人填制，承包人应按照合同约定填报项目名称、实际金额，提交造价工程核实并由其报发包人确认后，列入合同价款内。</w:t>
      </w:r>
    </w:p>
    <w:p w14:paraId="423B88BE">
      <w:pPr>
        <w:spacing w:line="360" w:lineRule="auto"/>
        <w:ind w:firstLine="720" w:firstLineChars="300"/>
        <w:rPr>
          <w:rFonts w:hint="eastAsia" w:ascii="仿宋" w:hAnsi="仿宋" w:eastAsia="仿宋" w:cs="仿宋"/>
          <w:b/>
          <w:bCs/>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本表一式四份，发包人、监理人、工程造价咨询人（如有）、承包人各存一份。</w:t>
      </w:r>
      <w:r>
        <w:rPr>
          <w:rFonts w:ascii="仿宋" w:hAnsi="仿宋" w:eastAsia="仿宋"/>
          <w:color w:val="auto"/>
          <w:highlight w:val="none"/>
          <w:lang w:eastAsia="zh-CN"/>
        </w:rPr>
        <w:br w:type="page"/>
      </w:r>
      <w:bookmarkStart w:id="2037" w:name="_Toc266892946"/>
      <w:r>
        <w:rPr>
          <w:rFonts w:hint="eastAsia" w:ascii="仿宋" w:hAnsi="仿宋" w:eastAsia="仿宋" w:cs="仿宋"/>
          <w:b/>
          <w:bCs/>
          <w:color w:val="auto"/>
          <w:highlight w:val="none"/>
          <w:lang w:eastAsia="zh-CN"/>
        </w:rPr>
        <w:t>格式</w:t>
      </w:r>
      <w:bookmarkEnd w:id="2037"/>
      <w:r>
        <w:rPr>
          <w:rFonts w:hint="eastAsia" w:ascii="仿宋" w:hAnsi="仿宋" w:eastAsia="仿宋" w:cs="仿宋"/>
          <w:b/>
          <w:bCs/>
          <w:color w:val="auto"/>
          <w:highlight w:val="none"/>
          <w:lang w:eastAsia="zh-CN"/>
        </w:rPr>
        <w:t>21</w:t>
      </w:r>
    </w:p>
    <w:p w14:paraId="00F9BE2A">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计日工记录</w:t>
      </w:r>
    </w:p>
    <w:p w14:paraId="0800FC45">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工程名称</w:t>
      </w:r>
      <w:r>
        <w:rPr>
          <w:rFonts w:ascii="仿宋" w:hAnsi="仿宋" w:eastAsia="仿宋" w:cs="仿宋"/>
          <w:color w:val="auto"/>
          <w:highlight w:val="none"/>
          <w:lang w:eastAsia="zh-CN"/>
        </w:rPr>
        <w:t>:</w:t>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编号</w:t>
      </w:r>
      <w:r>
        <w:rPr>
          <w:rFonts w:ascii="仿宋" w:hAnsi="仿宋" w:eastAsia="仿宋" w:cs="仿宋"/>
          <w:color w:val="auto"/>
          <w:highlight w:val="none"/>
          <w:lang w:eastAsia="zh-CN"/>
        </w:rPr>
        <w:t>:</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6"/>
        <w:gridCol w:w="3050"/>
        <w:gridCol w:w="1262"/>
        <w:gridCol w:w="1262"/>
        <w:gridCol w:w="1263"/>
        <w:gridCol w:w="1262"/>
        <w:gridCol w:w="1084"/>
      </w:tblGrid>
      <w:tr w14:paraId="4B499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28DAA09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编号</w:t>
            </w:r>
          </w:p>
        </w:tc>
        <w:tc>
          <w:tcPr>
            <w:tcW w:w="3050" w:type="dxa"/>
            <w:vAlign w:val="center"/>
          </w:tcPr>
          <w:p w14:paraId="664F5E5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项目名称</w:t>
            </w:r>
          </w:p>
        </w:tc>
        <w:tc>
          <w:tcPr>
            <w:tcW w:w="1262" w:type="dxa"/>
            <w:vAlign w:val="center"/>
          </w:tcPr>
          <w:p w14:paraId="0DE3088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单位</w:t>
            </w:r>
          </w:p>
        </w:tc>
        <w:tc>
          <w:tcPr>
            <w:tcW w:w="1262" w:type="dxa"/>
            <w:vAlign w:val="center"/>
          </w:tcPr>
          <w:p w14:paraId="59CA3DB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暂定数量</w:t>
            </w:r>
          </w:p>
        </w:tc>
        <w:tc>
          <w:tcPr>
            <w:tcW w:w="1263" w:type="dxa"/>
            <w:vAlign w:val="center"/>
          </w:tcPr>
          <w:p w14:paraId="3EAF65A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实际数量</w:t>
            </w:r>
          </w:p>
        </w:tc>
        <w:tc>
          <w:tcPr>
            <w:tcW w:w="1262" w:type="dxa"/>
            <w:vAlign w:val="center"/>
          </w:tcPr>
          <w:p w14:paraId="69DCC53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综合单价</w:t>
            </w:r>
          </w:p>
        </w:tc>
        <w:tc>
          <w:tcPr>
            <w:tcW w:w="1084" w:type="dxa"/>
            <w:vAlign w:val="center"/>
          </w:tcPr>
          <w:p w14:paraId="558786C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合价</w:t>
            </w:r>
          </w:p>
        </w:tc>
      </w:tr>
      <w:tr w14:paraId="6AC54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609553E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一</w:t>
            </w:r>
          </w:p>
        </w:tc>
        <w:tc>
          <w:tcPr>
            <w:tcW w:w="3050" w:type="dxa"/>
            <w:vAlign w:val="center"/>
          </w:tcPr>
          <w:p w14:paraId="5BC0904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人工</w:t>
            </w:r>
          </w:p>
        </w:tc>
        <w:tc>
          <w:tcPr>
            <w:tcW w:w="1262" w:type="dxa"/>
            <w:vAlign w:val="center"/>
          </w:tcPr>
          <w:p w14:paraId="056C831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EEE984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12556E4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2739AD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5808F5A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7746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2DEC930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w:t>
            </w:r>
          </w:p>
        </w:tc>
        <w:tc>
          <w:tcPr>
            <w:tcW w:w="3050" w:type="dxa"/>
            <w:vAlign w:val="center"/>
          </w:tcPr>
          <w:p w14:paraId="67D1775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9DC31D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F714B9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786DC00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56E085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0942EC6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3B4C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788D734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2</w:t>
            </w:r>
          </w:p>
        </w:tc>
        <w:tc>
          <w:tcPr>
            <w:tcW w:w="3050" w:type="dxa"/>
            <w:vAlign w:val="center"/>
          </w:tcPr>
          <w:p w14:paraId="658C1E0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4B696F2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6D9046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6E89CA5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72441E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0501DE2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FB1A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3A16ED4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3</w:t>
            </w:r>
          </w:p>
        </w:tc>
        <w:tc>
          <w:tcPr>
            <w:tcW w:w="3050" w:type="dxa"/>
            <w:vAlign w:val="center"/>
          </w:tcPr>
          <w:p w14:paraId="1C9A546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7A5AEF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5A35291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44774E5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006709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021B630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27E06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1146" w:type="dxa"/>
            <w:vAlign w:val="center"/>
          </w:tcPr>
          <w:p w14:paraId="0D1F84E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4</w:t>
            </w:r>
          </w:p>
        </w:tc>
        <w:tc>
          <w:tcPr>
            <w:tcW w:w="3050" w:type="dxa"/>
            <w:vAlign w:val="center"/>
          </w:tcPr>
          <w:p w14:paraId="0D3B053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C43BA4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D4E824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07E885A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E5C49C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35876FF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F1C5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7983" w:type="dxa"/>
            <w:gridSpan w:val="5"/>
            <w:vAlign w:val="center"/>
          </w:tcPr>
          <w:p w14:paraId="6769049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人工小计</w:t>
            </w:r>
          </w:p>
        </w:tc>
        <w:tc>
          <w:tcPr>
            <w:tcW w:w="1262" w:type="dxa"/>
            <w:vAlign w:val="center"/>
          </w:tcPr>
          <w:p w14:paraId="42E16F2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5D72907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192F6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4E6ABBF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二</w:t>
            </w:r>
          </w:p>
        </w:tc>
        <w:tc>
          <w:tcPr>
            <w:tcW w:w="3050" w:type="dxa"/>
            <w:vAlign w:val="center"/>
          </w:tcPr>
          <w:p w14:paraId="6FB9EDF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材料</w:t>
            </w:r>
          </w:p>
        </w:tc>
        <w:tc>
          <w:tcPr>
            <w:tcW w:w="1262" w:type="dxa"/>
            <w:vAlign w:val="center"/>
          </w:tcPr>
          <w:p w14:paraId="4AEBD50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545870B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5FEA04E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FCA467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7DFE207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C6DD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4A9E472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w:t>
            </w:r>
          </w:p>
        </w:tc>
        <w:tc>
          <w:tcPr>
            <w:tcW w:w="3050" w:type="dxa"/>
            <w:vAlign w:val="center"/>
          </w:tcPr>
          <w:p w14:paraId="351CD5F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E488DE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07829A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0CE31D5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FE8C65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200D61C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70F1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5C8BB8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2</w:t>
            </w:r>
          </w:p>
        </w:tc>
        <w:tc>
          <w:tcPr>
            <w:tcW w:w="3050" w:type="dxa"/>
            <w:vAlign w:val="center"/>
          </w:tcPr>
          <w:p w14:paraId="7724FE9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147F7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0E2007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1938B8E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019A64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630C7BA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1563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0599AFB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3</w:t>
            </w:r>
          </w:p>
        </w:tc>
        <w:tc>
          <w:tcPr>
            <w:tcW w:w="3050" w:type="dxa"/>
            <w:vAlign w:val="center"/>
          </w:tcPr>
          <w:p w14:paraId="73F77D8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898D4F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1A2F68B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27D2067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F4F852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68B34B2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E0C9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22E653C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4</w:t>
            </w:r>
          </w:p>
        </w:tc>
        <w:tc>
          <w:tcPr>
            <w:tcW w:w="3050" w:type="dxa"/>
            <w:vAlign w:val="center"/>
          </w:tcPr>
          <w:p w14:paraId="7928090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FF00DD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74ED98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76FBD84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6A4D3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6C45D51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55492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54F8E48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5</w:t>
            </w:r>
          </w:p>
        </w:tc>
        <w:tc>
          <w:tcPr>
            <w:tcW w:w="3050" w:type="dxa"/>
            <w:vAlign w:val="center"/>
          </w:tcPr>
          <w:p w14:paraId="6B64182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9FFC6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462416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2873E7E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19480C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391E2A4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38E2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73AA662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6</w:t>
            </w:r>
          </w:p>
        </w:tc>
        <w:tc>
          <w:tcPr>
            <w:tcW w:w="3050" w:type="dxa"/>
            <w:vAlign w:val="center"/>
          </w:tcPr>
          <w:p w14:paraId="6B1E244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E61F1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E781A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308E04C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535A1C0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42F1712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1F08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7983" w:type="dxa"/>
            <w:gridSpan w:val="5"/>
            <w:vAlign w:val="center"/>
          </w:tcPr>
          <w:p w14:paraId="3EAB311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材料小计</w:t>
            </w:r>
          </w:p>
        </w:tc>
        <w:tc>
          <w:tcPr>
            <w:tcW w:w="1262" w:type="dxa"/>
            <w:vAlign w:val="center"/>
          </w:tcPr>
          <w:p w14:paraId="4887F32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22884CA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5C25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62E1276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三</w:t>
            </w:r>
          </w:p>
        </w:tc>
        <w:tc>
          <w:tcPr>
            <w:tcW w:w="3050" w:type="dxa"/>
            <w:vAlign w:val="center"/>
          </w:tcPr>
          <w:p w14:paraId="72B24AE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施工机械</w:t>
            </w:r>
          </w:p>
        </w:tc>
        <w:tc>
          <w:tcPr>
            <w:tcW w:w="1262" w:type="dxa"/>
            <w:vAlign w:val="center"/>
          </w:tcPr>
          <w:p w14:paraId="3CF1472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F429F8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09EE85B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1E8B78A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67A0254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7137F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0B33986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w:t>
            </w:r>
          </w:p>
        </w:tc>
        <w:tc>
          <w:tcPr>
            <w:tcW w:w="3050" w:type="dxa"/>
            <w:vAlign w:val="center"/>
          </w:tcPr>
          <w:p w14:paraId="556B14D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80C53E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5BFAA04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38E4815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142B88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67ACF4C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54187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1146" w:type="dxa"/>
            <w:vAlign w:val="center"/>
          </w:tcPr>
          <w:p w14:paraId="0B30D85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2</w:t>
            </w:r>
          </w:p>
        </w:tc>
        <w:tc>
          <w:tcPr>
            <w:tcW w:w="3050" w:type="dxa"/>
            <w:vAlign w:val="center"/>
          </w:tcPr>
          <w:p w14:paraId="6BE81CC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42A5E23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0E3B6E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6AEDEB0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445F583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18C837F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72ECD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49B2B82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3</w:t>
            </w:r>
          </w:p>
        </w:tc>
        <w:tc>
          <w:tcPr>
            <w:tcW w:w="3050" w:type="dxa"/>
            <w:vAlign w:val="center"/>
          </w:tcPr>
          <w:p w14:paraId="684F876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4E09A4E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308E84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67C3868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530D566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41B90B2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B101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146" w:type="dxa"/>
            <w:vAlign w:val="center"/>
          </w:tcPr>
          <w:p w14:paraId="03E8794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4</w:t>
            </w:r>
          </w:p>
        </w:tc>
        <w:tc>
          <w:tcPr>
            <w:tcW w:w="3050" w:type="dxa"/>
            <w:vAlign w:val="center"/>
          </w:tcPr>
          <w:p w14:paraId="0880D4D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5171D2E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16B40A5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13FD3DB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53653D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403BA40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1B50D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7983" w:type="dxa"/>
            <w:gridSpan w:val="5"/>
            <w:vAlign w:val="center"/>
          </w:tcPr>
          <w:p w14:paraId="42FA02A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施工机械小计</w:t>
            </w:r>
          </w:p>
        </w:tc>
        <w:tc>
          <w:tcPr>
            <w:tcW w:w="1262" w:type="dxa"/>
            <w:vAlign w:val="center"/>
          </w:tcPr>
          <w:p w14:paraId="0C441A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2BA95C9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8AB3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7983" w:type="dxa"/>
            <w:gridSpan w:val="5"/>
            <w:vAlign w:val="center"/>
          </w:tcPr>
          <w:p w14:paraId="086ED49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总</w:t>
            </w:r>
            <w:r>
              <w:rPr>
                <w:rFonts w:hint="default" w:ascii="仿宋" w:hAnsi="仿宋" w:eastAsia="仿宋" w:cs="仿宋"/>
                <w:color w:val="auto"/>
                <w:highlight w:val="none"/>
              </w:rPr>
              <w:t xml:space="preserve">  </w:t>
            </w:r>
            <w:r>
              <w:rPr>
                <w:rFonts w:hint="eastAsia" w:ascii="仿宋" w:hAnsi="仿宋" w:eastAsia="仿宋" w:cs="仿宋"/>
                <w:color w:val="auto"/>
                <w:highlight w:val="none"/>
              </w:rPr>
              <w:t>计</w:t>
            </w:r>
          </w:p>
        </w:tc>
        <w:tc>
          <w:tcPr>
            <w:tcW w:w="1262" w:type="dxa"/>
            <w:vAlign w:val="center"/>
          </w:tcPr>
          <w:p w14:paraId="1EDECA6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084" w:type="dxa"/>
            <w:vAlign w:val="center"/>
          </w:tcPr>
          <w:p w14:paraId="640681B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bl>
    <w:p w14:paraId="0B4B31E0">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本表由承包人填制，承包人应按照合同约定填报实际数量，提交造价工程核实并由其报发包人确认后，列入合同价款内。</w:t>
      </w:r>
    </w:p>
    <w:p w14:paraId="5EC50EB4">
      <w:pPr>
        <w:spacing w:line="360" w:lineRule="auto"/>
        <w:ind w:firstLine="720" w:firstLineChars="30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本表一式四份，发包人、监理人、工程造价咨询人（如有）、承包人各存一份。</w:t>
      </w:r>
    </w:p>
    <w:p w14:paraId="48D1EF4C">
      <w:pPr>
        <w:spacing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2038" w:name="_Toc469384161"/>
      <w:bookmarkStart w:id="2039" w:name="_Toc10625005"/>
      <w:bookmarkStart w:id="2040" w:name="_Toc266892947"/>
      <w:bookmarkStart w:id="2041" w:name="_Toc23909"/>
      <w:bookmarkStart w:id="2042" w:name="_Toc12614"/>
      <w:bookmarkStart w:id="2043" w:name="_Toc10192"/>
      <w:bookmarkStart w:id="2044" w:name="_Toc28724"/>
      <w:bookmarkStart w:id="2045" w:name="_Toc25415"/>
      <w:bookmarkStart w:id="2046" w:name="_Toc3201"/>
      <w:bookmarkStart w:id="2047" w:name="_Toc9480"/>
      <w:bookmarkStart w:id="2048" w:name="_Toc19113"/>
      <w:bookmarkStart w:id="2049" w:name="_Toc17709"/>
      <w:bookmarkStart w:id="2050" w:name="_Toc5262"/>
      <w:bookmarkStart w:id="2051" w:name="_Toc3410"/>
      <w:bookmarkStart w:id="2052" w:name="_Toc25799"/>
      <w:bookmarkStart w:id="2053" w:name="_Toc10105"/>
      <w:bookmarkStart w:id="2054" w:name="_Toc13308"/>
      <w:bookmarkStart w:id="2055" w:name="_Toc6548"/>
      <w:bookmarkStart w:id="2056" w:name="_Toc20477"/>
      <w:bookmarkStart w:id="2057" w:name="_Toc641"/>
      <w:r>
        <w:rPr>
          <w:rFonts w:hint="eastAsia" w:ascii="仿宋" w:hAnsi="仿宋" w:eastAsia="仿宋" w:cs="仿宋"/>
          <w:b/>
          <w:bCs/>
          <w:color w:val="auto"/>
          <w:highlight w:val="none"/>
          <w:lang w:eastAsia="zh-CN"/>
        </w:rPr>
        <w:t>格式</w:t>
      </w:r>
      <w:bookmarkEnd w:id="2038"/>
      <w:bookmarkEnd w:id="2039"/>
      <w:bookmarkEnd w:id="2040"/>
      <w:r>
        <w:rPr>
          <w:rFonts w:hint="eastAsia" w:ascii="仿宋" w:hAnsi="仿宋" w:eastAsia="仿宋" w:cs="仿宋"/>
          <w:b/>
          <w:bCs/>
          <w:color w:val="auto"/>
          <w:highlight w:val="none"/>
          <w:lang w:eastAsia="zh-CN"/>
        </w:rPr>
        <w:t>22 材料/工程设备暂估价调整表</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8D623A1">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材料</w:t>
      </w:r>
      <w:r>
        <w:rPr>
          <w:rFonts w:ascii="仿宋" w:hAnsi="仿宋" w:eastAsia="仿宋" w:cs="仿宋"/>
          <w:b/>
          <w:bCs/>
          <w:color w:val="auto"/>
          <w:spacing w:val="30"/>
          <w:sz w:val="44"/>
          <w:szCs w:val="44"/>
          <w:highlight w:val="none"/>
          <w:lang w:eastAsia="zh-CN"/>
        </w:rPr>
        <w:t>/</w:t>
      </w:r>
      <w:r>
        <w:rPr>
          <w:rFonts w:hint="eastAsia" w:ascii="仿宋" w:hAnsi="仿宋" w:eastAsia="仿宋" w:cs="仿宋"/>
          <w:b/>
          <w:bCs/>
          <w:color w:val="auto"/>
          <w:spacing w:val="30"/>
          <w:sz w:val="44"/>
          <w:szCs w:val="44"/>
          <w:highlight w:val="none"/>
          <w:lang w:eastAsia="zh-CN"/>
        </w:rPr>
        <w:t>工程设备暂估价调整表</w:t>
      </w:r>
    </w:p>
    <w:p w14:paraId="0A21BC58">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3787"/>
        <w:gridCol w:w="1262"/>
        <w:gridCol w:w="1442"/>
        <w:gridCol w:w="1262"/>
        <w:gridCol w:w="1808"/>
      </w:tblGrid>
      <w:tr w14:paraId="59AD1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4B43422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序号</w:t>
            </w:r>
          </w:p>
        </w:tc>
        <w:tc>
          <w:tcPr>
            <w:tcW w:w="3787" w:type="dxa"/>
            <w:vAlign w:val="center"/>
          </w:tcPr>
          <w:p w14:paraId="6E4E99C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材料设备名称、规格、型号</w:t>
            </w:r>
          </w:p>
        </w:tc>
        <w:tc>
          <w:tcPr>
            <w:tcW w:w="1262" w:type="dxa"/>
            <w:vAlign w:val="center"/>
          </w:tcPr>
          <w:p w14:paraId="586D600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计量单位</w:t>
            </w:r>
          </w:p>
        </w:tc>
        <w:tc>
          <w:tcPr>
            <w:tcW w:w="1442" w:type="dxa"/>
            <w:vAlign w:val="center"/>
          </w:tcPr>
          <w:p w14:paraId="770A8B9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暂估单价</w:t>
            </w:r>
          </w:p>
          <w:p w14:paraId="6A9A1AE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1262" w:type="dxa"/>
            <w:vAlign w:val="center"/>
          </w:tcPr>
          <w:p w14:paraId="35065A3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实际单价</w:t>
            </w:r>
          </w:p>
          <w:p w14:paraId="4FBF00F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w:t>
            </w:r>
            <w:r>
              <w:rPr>
                <w:rFonts w:hint="eastAsia" w:ascii="仿宋" w:hAnsi="仿宋" w:eastAsia="仿宋" w:cs="仿宋"/>
                <w:color w:val="auto"/>
                <w:highlight w:val="none"/>
              </w:rPr>
              <w:t>元</w:t>
            </w:r>
            <w:r>
              <w:rPr>
                <w:rFonts w:hint="default" w:ascii="仿宋" w:hAnsi="仿宋" w:eastAsia="仿宋" w:cs="仿宋"/>
                <w:color w:val="auto"/>
                <w:highlight w:val="none"/>
              </w:rPr>
              <w:t>)</w:t>
            </w:r>
          </w:p>
        </w:tc>
        <w:tc>
          <w:tcPr>
            <w:tcW w:w="1808" w:type="dxa"/>
            <w:vAlign w:val="center"/>
          </w:tcPr>
          <w:p w14:paraId="6D93C9A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备注</w:t>
            </w:r>
          </w:p>
        </w:tc>
      </w:tr>
      <w:tr w14:paraId="41410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607A4D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4EEC14D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51E9544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7F51FFA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7C992C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5B11499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7357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7716B06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3C79E94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BF854A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70D3E25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B9FA18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0604F4F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774DE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285BC4C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6398D11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899840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346A7D8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45F338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0347DF4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FD7A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02416C4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22E3338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13BF50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743395C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A06191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56FE2B8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3B35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5" w:hRule="atLeast"/>
        </w:trPr>
        <w:tc>
          <w:tcPr>
            <w:tcW w:w="772" w:type="dxa"/>
            <w:vAlign w:val="center"/>
          </w:tcPr>
          <w:p w14:paraId="407D77C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28697F1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23D4EB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3502FAD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4E5DAA8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7A64AFA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39B3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1235C41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33B0387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A73EB9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1C2244C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9B4FA8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5EFBF96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01D1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759FD94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1060B0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850876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746819F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58BA045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7346043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17DEE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5729374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6339746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E3391A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0B684FC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BCA168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52D030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5E4FE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5E3397A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7C4D1EC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5A1CA7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1AE06CD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EBBCCB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75A88DA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5F2D4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39FD638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48E117C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E59006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37727A7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3DD00BE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7165885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5768A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668D399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52E69CE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41E6EA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4E8919D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CB07D0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19B888E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58C52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6575423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5E7943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D129BA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7DE9C64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C69958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499AF56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2E95B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1E57F5D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2F7F9F4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4E0E8D5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1F51D41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142761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0DB9DE6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5355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772" w:type="dxa"/>
            <w:vAlign w:val="center"/>
          </w:tcPr>
          <w:p w14:paraId="412C632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787" w:type="dxa"/>
            <w:vAlign w:val="center"/>
          </w:tcPr>
          <w:p w14:paraId="5EE5963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8C129F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442" w:type="dxa"/>
            <w:vAlign w:val="center"/>
          </w:tcPr>
          <w:p w14:paraId="15734B4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31BFA9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808" w:type="dxa"/>
            <w:vAlign w:val="center"/>
          </w:tcPr>
          <w:p w14:paraId="6369999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bl>
    <w:p w14:paraId="4A23A974">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本表由承包人填制，承包人应按照合同约定填报实际单价，提交造价工程核实并由其报发包人确认后，将该单价与暂估单价的差额以及相关费用列入合同价款内。</w:t>
      </w:r>
    </w:p>
    <w:p w14:paraId="5528B369">
      <w:pPr>
        <w:spacing w:line="360" w:lineRule="auto"/>
        <w:ind w:firstLine="720" w:firstLineChars="30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本表一式四份，发包人、监理人、工程造价咨询人（如有）、承包人各存一份。</w:t>
      </w:r>
    </w:p>
    <w:p w14:paraId="1577AF0B">
      <w:pPr>
        <w:spacing w:line="360" w:lineRule="auto"/>
        <w:outlineLvl w:val="1"/>
        <w:rPr>
          <w:rFonts w:hint="eastAsia" w:ascii="仿宋" w:hAnsi="仿宋" w:eastAsia="仿宋"/>
          <w:color w:val="auto"/>
          <w:sz w:val="30"/>
          <w:szCs w:val="30"/>
          <w:highlight w:val="none"/>
          <w:lang w:eastAsia="zh-CN"/>
        </w:rPr>
      </w:pPr>
      <w:r>
        <w:rPr>
          <w:rFonts w:ascii="仿宋" w:hAnsi="仿宋" w:eastAsia="仿宋"/>
          <w:color w:val="auto"/>
          <w:highlight w:val="none"/>
          <w:lang w:eastAsia="zh-CN"/>
        </w:rPr>
        <w:br w:type="page"/>
      </w:r>
      <w:bookmarkStart w:id="2058" w:name="_Toc469384162"/>
      <w:bookmarkStart w:id="2059" w:name="_Toc10625006"/>
      <w:bookmarkStart w:id="2060" w:name="_Toc266892948"/>
      <w:bookmarkStart w:id="2061" w:name="_Toc15147"/>
      <w:bookmarkStart w:id="2062" w:name="_Toc8000"/>
      <w:bookmarkStart w:id="2063" w:name="_Toc22915"/>
      <w:bookmarkStart w:id="2064" w:name="_Toc31853"/>
      <w:bookmarkStart w:id="2065" w:name="_Toc31056"/>
      <w:bookmarkStart w:id="2066" w:name="_Toc16497"/>
      <w:bookmarkStart w:id="2067" w:name="_Toc11447"/>
      <w:bookmarkStart w:id="2068" w:name="_Toc19332"/>
      <w:bookmarkStart w:id="2069" w:name="_Toc21136"/>
      <w:bookmarkStart w:id="2070" w:name="_Toc30319"/>
      <w:bookmarkStart w:id="2071" w:name="_Toc7498"/>
      <w:bookmarkStart w:id="2072" w:name="_Toc17356"/>
      <w:bookmarkStart w:id="2073" w:name="_Toc31803"/>
      <w:bookmarkStart w:id="2074" w:name="_Toc6371"/>
      <w:bookmarkStart w:id="2075" w:name="_Toc11650"/>
      <w:bookmarkStart w:id="2076" w:name="_Toc12173"/>
      <w:bookmarkStart w:id="2077" w:name="_Toc27343"/>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2</w:t>
      </w:r>
      <w:bookmarkEnd w:id="2058"/>
      <w:bookmarkEnd w:id="2059"/>
      <w:bookmarkEnd w:id="2060"/>
      <w:r>
        <w:rPr>
          <w:rFonts w:hint="eastAsia" w:ascii="仿宋" w:hAnsi="仿宋" w:eastAsia="仿宋" w:cs="仿宋"/>
          <w:b/>
          <w:bCs/>
          <w:color w:val="auto"/>
          <w:highlight w:val="none"/>
          <w:lang w:eastAsia="zh-CN"/>
        </w:rPr>
        <w:t>3 专业承包工程暂估价调整表</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2B83020E">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专业承包工程暂估价调整表</w:t>
      </w:r>
    </w:p>
    <w:p w14:paraId="5BF28A62">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2886"/>
        <w:gridCol w:w="2886"/>
        <w:gridCol w:w="1263"/>
        <w:gridCol w:w="1263"/>
        <w:gridCol w:w="1262"/>
      </w:tblGrid>
      <w:tr w14:paraId="55AC5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02B3AD6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序号</w:t>
            </w:r>
          </w:p>
        </w:tc>
        <w:tc>
          <w:tcPr>
            <w:tcW w:w="2886" w:type="dxa"/>
            <w:vAlign w:val="center"/>
          </w:tcPr>
          <w:p w14:paraId="420F9C5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工程名称</w:t>
            </w:r>
          </w:p>
        </w:tc>
        <w:tc>
          <w:tcPr>
            <w:tcW w:w="2886" w:type="dxa"/>
            <w:vAlign w:val="center"/>
          </w:tcPr>
          <w:p w14:paraId="6BEE56C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工程内容</w:t>
            </w:r>
          </w:p>
        </w:tc>
        <w:tc>
          <w:tcPr>
            <w:tcW w:w="1263" w:type="dxa"/>
            <w:vAlign w:val="center"/>
          </w:tcPr>
          <w:p w14:paraId="318319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暂列金额</w:t>
            </w:r>
          </w:p>
          <w:p w14:paraId="0D6614E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1263" w:type="dxa"/>
            <w:vAlign w:val="center"/>
          </w:tcPr>
          <w:p w14:paraId="203D507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实际金额</w:t>
            </w:r>
          </w:p>
          <w:p w14:paraId="6B45B2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1262" w:type="dxa"/>
            <w:vAlign w:val="center"/>
          </w:tcPr>
          <w:p w14:paraId="6BDB432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备注</w:t>
            </w:r>
          </w:p>
        </w:tc>
      </w:tr>
      <w:tr w14:paraId="6E9B0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4FE0595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6CD0BC8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1EDDFB1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44F645B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36DC9B2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4839DB3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738C4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4BC7530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38CA1F2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3D1AA1B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41BAD54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3795D36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9DCB80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8DDF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686DAB3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524DB98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0AD3C03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7881089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09328AA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2FEED2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5CEF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359400A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09E9D2F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6A4E644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5C6AEEB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0D55797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320A10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22690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8" w:hRule="atLeast"/>
        </w:trPr>
        <w:tc>
          <w:tcPr>
            <w:tcW w:w="772" w:type="dxa"/>
            <w:vAlign w:val="center"/>
          </w:tcPr>
          <w:p w14:paraId="5FF1B8F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575272F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11122CC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014C921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718DD80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9A60DB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8620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31D575E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6519DB0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2BF4F59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6F7E44F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5A29CBB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107A217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ABF0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22F5C5A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49AC671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75FBCBD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57C9272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5AEF77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FB9174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9FC8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3CC208E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7ADB657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4DD1971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7C9E6B8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649004E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0418799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740F9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280380D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2971F16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1345B7B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74A6623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2E11C2C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7A6AF39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7E4C5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14E3C7C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0173965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4A5ACC1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185545D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1A64E4C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2BA89AE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451A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517DF20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67BAF02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099BDA7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3B17E57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1ECAB37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154912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12F0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4BA9434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3787EAD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74491C5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33D0EE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714B33C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D0E85C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D65D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772" w:type="dxa"/>
            <w:vAlign w:val="center"/>
          </w:tcPr>
          <w:p w14:paraId="6380C9C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886" w:type="dxa"/>
            <w:vAlign w:val="center"/>
          </w:tcPr>
          <w:p w14:paraId="5ECA0E9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2886" w:type="dxa"/>
            <w:vAlign w:val="center"/>
          </w:tcPr>
          <w:p w14:paraId="089DB5C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2552883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6A40EE1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57FBAE9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C154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6544" w:type="dxa"/>
            <w:gridSpan w:val="3"/>
            <w:vAlign w:val="center"/>
          </w:tcPr>
          <w:p w14:paraId="762EF52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合</w:t>
            </w:r>
            <w:r>
              <w:rPr>
                <w:rFonts w:hint="default" w:ascii="仿宋" w:hAnsi="仿宋" w:eastAsia="仿宋" w:cs="仿宋"/>
                <w:color w:val="auto"/>
                <w:highlight w:val="none"/>
              </w:rPr>
              <w:t xml:space="preserve">  </w:t>
            </w:r>
            <w:r>
              <w:rPr>
                <w:rFonts w:hint="eastAsia" w:ascii="仿宋" w:hAnsi="仿宋" w:eastAsia="仿宋" w:cs="仿宋"/>
                <w:color w:val="auto"/>
                <w:highlight w:val="none"/>
              </w:rPr>
              <w:t>计</w:t>
            </w:r>
          </w:p>
        </w:tc>
        <w:tc>
          <w:tcPr>
            <w:tcW w:w="1263" w:type="dxa"/>
            <w:vAlign w:val="center"/>
          </w:tcPr>
          <w:p w14:paraId="0280864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3" w:type="dxa"/>
            <w:vAlign w:val="center"/>
          </w:tcPr>
          <w:p w14:paraId="17AD38C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262" w:type="dxa"/>
            <w:vAlign w:val="center"/>
          </w:tcPr>
          <w:p w14:paraId="6B67E6F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bl>
    <w:p w14:paraId="275E7666">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本表由承包人填制，承包人应按照合同约定填报实际数量，提交造价工程核实并由其报发包人确认后，将金额与暂估价金额以及相关费用列入合同价款内。</w:t>
      </w:r>
    </w:p>
    <w:p w14:paraId="6DF0FDD2">
      <w:pPr>
        <w:spacing w:line="360" w:lineRule="auto"/>
        <w:ind w:firstLine="720" w:firstLineChars="30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本表一式四份，发包人、监理人、工程造价咨询人（如有）、承包人各存一份。</w:t>
      </w:r>
    </w:p>
    <w:p w14:paraId="5146482A">
      <w:pPr>
        <w:spacing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2078" w:name="_Toc469384163"/>
      <w:bookmarkStart w:id="2079" w:name="_Toc10625007"/>
      <w:bookmarkStart w:id="2080" w:name="_Toc266892949"/>
      <w:bookmarkStart w:id="2081" w:name="_Toc7546"/>
      <w:bookmarkStart w:id="2082" w:name="_Toc4368"/>
      <w:bookmarkStart w:id="2083" w:name="_Toc27126"/>
      <w:bookmarkStart w:id="2084" w:name="_Toc8850"/>
      <w:bookmarkStart w:id="2085" w:name="_Toc13517"/>
      <w:bookmarkStart w:id="2086" w:name="_Toc16566"/>
      <w:bookmarkStart w:id="2087" w:name="_Toc27270"/>
      <w:bookmarkStart w:id="2088" w:name="_Toc10861"/>
      <w:bookmarkStart w:id="2089" w:name="_Toc18574"/>
      <w:bookmarkStart w:id="2090" w:name="_Toc29432"/>
      <w:bookmarkStart w:id="2091" w:name="_Toc19930"/>
      <w:bookmarkStart w:id="2092" w:name="_Toc29019"/>
      <w:bookmarkStart w:id="2093" w:name="_Toc11502"/>
      <w:bookmarkStart w:id="2094" w:name="_Toc20205"/>
      <w:bookmarkStart w:id="2095" w:name="_Toc30310"/>
      <w:bookmarkStart w:id="2096" w:name="_Toc31216"/>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2</w:t>
      </w:r>
      <w:bookmarkEnd w:id="2078"/>
      <w:bookmarkEnd w:id="2079"/>
      <w:bookmarkEnd w:id="2080"/>
      <w:r>
        <w:rPr>
          <w:rFonts w:hint="eastAsia" w:ascii="仿宋" w:hAnsi="仿宋" w:eastAsia="仿宋" w:cs="仿宋"/>
          <w:b/>
          <w:bCs/>
          <w:color w:val="auto"/>
          <w:highlight w:val="none"/>
          <w:lang w:eastAsia="zh-CN"/>
        </w:rPr>
        <w:t>4 费用索赔申请表</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04B5C3C">
      <w:pPr>
        <w:spacing w:before="50" w:after="50"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费用索赔申请表</w:t>
      </w:r>
    </w:p>
    <w:p w14:paraId="361E2FA2">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43"/>
      </w:tblGrid>
      <w:tr w14:paraId="6543D1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450" w:hRule="atLeast"/>
        </w:trPr>
        <w:tc>
          <w:tcPr>
            <w:tcW w:w="10443" w:type="dxa"/>
            <w:tcBorders>
              <w:bottom w:val="single" w:color="auto" w:sz="4" w:space="0"/>
            </w:tcBorders>
          </w:tcPr>
          <w:p w14:paraId="3F16186B">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（工程造价咨询人全称）</w:t>
            </w:r>
            <w:r>
              <w:rPr>
                <w:rFonts w:hint="default" w:ascii="仿宋" w:hAnsi="仿宋" w:eastAsia="仿宋" w:cs="仿宋"/>
                <w:color w:val="auto"/>
                <w:highlight w:val="none"/>
                <w:lang w:eastAsia="zh-CN"/>
              </w:rPr>
              <w:t xml:space="preserve"> </w:t>
            </w:r>
          </w:p>
          <w:p w14:paraId="4DB38E0C">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根据施工合同第</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条规定，由于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原因</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我方要求索赔金额</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大写</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小写</w:t>
            </w:r>
            <w:r>
              <w:rPr>
                <w:rFonts w:hint="default" w:ascii="仿宋" w:hAnsi="仿宋" w:eastAsia="仿宋" w:cs="仿宋"/>
                <w:color w:val="auto"/>
                <w:highlight w:val="none"/>
                <w:lang w:eastAsia="zh-CN"/>
              </w:rPr>
              <w:t xml:space="preserve"> </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，请予以批准。</w:t>
            </w:r>
          </w:p>
          <w:p w14:paraId="7C5D3FA4">
            <w:pPr>
              <w:keepNext w:val="0"/>
              <w:keepLines w:val="0"/>
              <w:widowControl/>
              <w:suppressLineNumbers w:val="0"/>
              <w:spacing w:before="0" w:beforeAutospacing="0" w:after="0" w:afterAutospacing="0" w:line="360" w:lineRule="auto"/>
              <w:ind w:left="48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１．费用索赔的详细理由和依据：</w:t>
            </w:r>
          </w:p>
          <w:p w14:paraId="205F7C4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0A2E7EE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34C6A9ED">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4471AC4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57EC29EA">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2</w:t>
            </w:r>
            <w:r>
              <w:rPr>
                <w:rFonts w:hint="eastAsia" w:ascii="仿宋" w:hAnsi="仿宋" w:eastAsia="仿宋" w:cs="仿宋"/>
                <w:color w:val="auto"/>
                <w:highlight w:val="none"/>
                <w:lang w:eastAsia="zh-CN"/>
              </w:rPr>
              <w:t>．索赔金额的计算：</w:t>
            </w:r>
          </w:p>
          <w:p w14:paraId="1A10E055">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147AED0E">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4AE4F333">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4C52BF72">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1D87630A">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6DEF3C50">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p>
          <w:p w14:paraId="0DE9C66C">
            <w:pPr>
              <w:keepNext w:val="0"/>
              <w:keepLines w:val="0"/>
              <w:widowControl/>
              <w:suppressLineNumbers w:val="0"/>
              <w:spacing w:before="0" w:beforeAutospacing="0" w:after="0" w:afterAutospacing="0" w:line="360" w:lineRule="auto"/>
              <w:ind w:left="-28" w:right="0" w:firstLine="458"/>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3</w:t>
            </w:r>
            <w:r>
              <w:rPr>
                <w:rFonts w:hint="eastAsia" w:ascii="仿宋" w:hAnsi="仿宋" w:eastAsia="仿宋" w:cs="仿宋"/>
                <w:color w:val="auto"/>
                <w:highlight w:val="none"/>
                <w:lang w:eastAsia="zh-CN"/>
              </w:rPr>
              <w:t>．证明材料：</w:t>
            </w:r>
          </w:p>
          <w:p w14:paraId="5C6DCC5D">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7B45EF49">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44F9CC1D">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3E185378">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464701C1">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2D1B16D1">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lang w:eastAsia="zh-CN"/>
              </w:rPr>
            </w:pPr>
          </w:p>
          <w:p w14:paraId="03471144">
            <w:pPr>
              <w:keepNext w:val="0"/>
              <w:keepLines w:val="0"/>
              <w:widowControl/>
              <w:suppressLineNumbers w:val="0"/>
              <w:tabs>
                <w:tab w:val="left" w:pos="6912"/>
              </w:tabs>
              <w:spacing w:before="0" w:beforeAutospacing="0" w:after="0" w:afterAutospacing="0" w:line="360" w:lineRule="auto"/>
              <w:ind w:left="0" w:right="0" w:firstLine="6372" w:firstLineChars="2655"/>
              <w:rPr>
                <w:rFonts w:hint="eastAsia" w:ascii="仿宋" w:hAnsi="仿宋" w:eastAsia="仿宋"/>
                <w:color w:val="auto"/>
                <w:highlight w:val="none"/>
                <w:u w:val="single"/>
              </w:rPr>
            </w:pPr>
            <w:r>
              <w:rPr>
                <w:rFonts w:hint="eastAsia" w:ascii="仿宋" w:hAnsi="仿宋" w:eastAsia="仿宋" w:cs="仿宋"/>
                <w:color w:val="auto"/>
                <w:highlight w:val="none"/>
              </w:rPr>
              <w:t>承包人（章）</w:t>
            </w:r>
            <w:r>
              <w:rPr>
                <w:rFonts w:hint="default" w:ascii="仿宋" w:hAnsi="仿宋" w:eastAsia="仿宋" w:cs="仿宋"/>
                <w:color w:val="auto"/>
                <w:highlight w:val="none"/>
              </w:rPr>
              <w:t xml:space="preserve">                </w:t>
            </w:r>
          </w:p>
          <w:p w14:paraId="586E202A">
            <w:pPr>
              <w:keepNext w:val="0"/>
              <w:keepLines w:val="0"/>
              <w:widowControl/>
              <w:suppressLineNumbers w:val="0"/>
              <w:spacing w:before="0" w:beforeAutospacing="0" w:after="0" w:afterAutospacing="0" w:line="360" w:lineRule="auto"/>
              <w:ind w:left="0" w:right="0" w:firstLine="6372" w:firstLineChars="2655"/>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13D4C986">
            <w:pPr>
              <w:keepNext w:val="0"/>
              <w:keepLines w:val="0"/>
              <w:widowControl/>
              <w:suppressLineNumbers w:val="0"/>
              <w:tabs>
                <w:tab w:val="left" w:pos="7272"/>
              </w:tabs>
              <w:spacing w:before="0" w:beforeAutospacing="0" w:after="0" w:afterAutospacing="0" w:line="360" w:lineRule="auto"/>
              <w:ind w:left="0" w:right="0" w:firstLine="6372" w:firstLineChars="2655"/>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75BAA259">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说明：本表一式三份，由承包人填制</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并连同发包人、工程造价咨询人（如有）各存一份。</w:t>
      </w:r>
    </w:p>
    <w:p w14:paraId="13F3157D">
      <w:pPr>
        <w:spacing w:line="360" w:lineRule="auto"/>
        <w:outlineLvl w:val="1"/>
        <w:rPr>
          <w:rFonts w:hint="eastAsia" w:ascii="仿宋" w:hAnsi="仿宋" w:eastAsia="仿宋"/>
          <w:color w:val="auto"/>
          <w:highlight w:val="none"/>
          <w:lang w:eastAsia="zh-CN"/>
        </w:rPr>
      </w:pPr>
      <w:r>
        <w:rPr>
          <w:rFonts w:ascii="仿宋" w:hAnsi="仿宋" w:eastAsia="仿宋"/>
          <w:color w:val="auto"/>
          <w:highlight w:val="none"/>
          <w:lang w:eastAsia="zh-CN"/>
        </w:rPr>
        <w:br w:type="page"/>
      </w:r>
      <w:bookmarkStart w:id="2097" w:name="_Toc266892950"/>
      <w:bookmarkStart w:id="2098" w:name="_Toc10625008"/>
      <w:bookmarkStart w:id="2099" w:name="_Toc469384164"/>
      <w:bookmarkStart w:id="2100" w:name="_Toc26640"/>
      <w:bookmarkStart w:id="2101" w:name="_Toc6856"/>
      <w:bookmarkStart w:id="2102" w:name="_Toc25172"/>
      <w:bookmarkStart w:id="2103" w:name="_Toc26672"/>
      <w:bookmarkStart w:id="2104" w:name="_Toc17765"/>
      <w:bookmarkStart w:id="2105" w:name="_Toc16744"/>
      <w:bookmarkStart w:id="2106" w:name="_Toc30266"/>
      <w:bookmarkStart w:id="2107" w:name="_Toc5569"/>
      <w:bookmarkStart w:id="2108" w:name="_Toc24525"/>
      <w:bookmarkStart w:id="2109" w:name="_Toc655"/>
      <w:bookmarkStart w:id="2110" w:name="_Toc14313"/>
      <w:bookmarkStart w:id="2111" w:name="_Toc5362"/>
      <w:bookmarkStart w:id="2112" w:name="_Toc14756"/>
      <w:bookmarkStart w:id="2113" w:name="_Toc4542"/>
      <w:bookmarkStart w:id="2114" w:name="_Toc30479"/>
      <w:bookmarkStart w:id="2115" w:name="_Toc5323"/>
      <w:bookmarkStart w:id="2116" w:name="_Toc23328"/>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2</w:t>
      </w:r>
      <w:bookmarkEnd w:id="2097"/>
      <w:bookmarkEnd w:id="2098"/>
      <w:bookmarkEnd w:id="2099"/>
      <w:r>
        <w:rPr>
          <w:rFonts w:hint="eastAsia" w:ascii="仿宋" w:hAnsi="仿宋" w:eastAsia="仿宋" w:cs="仿宋"/>
          <w:b/>
          <w:bCs/>
          <w:color w:val="auto"/>
          <w:highlight w:val="none"/>
          <w:lang w:eastAsia="zh-CN"/>
        </w:rPr>
        <w:t>5 费用索赔审批表</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F8C1846">
      <w:pPr>
        <w:spacing w:before="50" w:after="50" w:line="360" w:lineRule="auto"/>
        <w:jc w:val="center"/>
        <w:rPr>
          <w:rFonts w:hint="eastAsia" w:ascii="仿宋" w:hAnsi="仿宋" w:eastAsia="仿宋"/>
          <w:b/>
          <w:bCs/>
          <w:color w:val="auto"/>
          <w:highlight w:val="none"/>
          <w:lang w:eastAsia="zh-CN"/>
        </w:rPr>
      </w:pPr>
      <w:r>
        <w:rPr>
          <w:rFonts w:hint="eastAsia" w:ascii="仿宋" w:hAnsi="仿宋" w:eastAsia="仿宋" w:cs="仿宋"/>
          <w:b/>
          <w:bCs/>
          <w:color w:val="auto"/>
          <w:spacing w:val="30"/>
          <w:sz w:val="44"/>
          <w:szCs w:val="44"/>
          <w:highlight w:val="none"/>
          <w:lang w:eastAsia="zh-CN"/>
        </w:rPr>
        <w:t>费用索赔审批表</w:t>
      </w:r>
    </w:p>
    <w:p w14:paraId="6C8C3AA6">
      <w:pPr>
        <w:spacing w:line="360" w:lineRule="auto"/>
        <w:rPr>
          <w:rFonts w:hint="eastAsia" w:ascii="仿宋" w:hAnsi="仿宋" w:eastAsia="仿宋" w:cs="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459"/>
      </w:tblGrid>
      <w:tr w14:paraId="56C317A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7266" w:hRule="atLeast"/>
        </w:trPr>
        <w:tc>
          <w:tcPr>
            <w:tcW w:w="10459" w:type="dxa"/>
            <w:tcBorders>
              <w:bottom w:val="single" w:color="auto" w:sz="4" w:space="0"/>
            </w:tcBorders>
          </w:tcPr>
          <w:p w14:paraId="5AB2F102">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（承包人全称）</w:t>
            </w:r>
            <w:r>
              <w:rPr>
                <w:rFonts w:hint="default" w:ascii="仿宋" w:hAnsi="仿宋" w:eastAsia="仿宋" w:cs="仿宋"/>
                <w:color w:val="auto"/>
                <w:highlight w:val="none"/>
                <w:lang w:eastAsia="zh-CN"/>
              </w:rPr>
              <w:t xml:space="preserve"> </w:t>
            </w:r>
          </w:p>
          <w:p w14:paraId="1DD4B990">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根据施工合同条款第</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的规定，你方提出的工期索赔申请第</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号</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索赔费用：</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大写</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小写</w:t>
            </w:r>
            <w:r>
              <w:rPr>
                <w:rFonts w:hint="default" w:ascii="仿宋" w:hAnsi="仿宋" w:eastAsia="仿宋" w:cs="仿宋"/>
                <w:color w:val="auto"/>
                <w:highlight w:val="none"/>
                <w:lang w:eastAsia="zh-CN"/>
              </w:rPr>
              <w:t xml:space="preserve"> </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，经我方审核：</w:t>
            </w:r>
          </w:p>
          <w:p w14:paraId="04DF8901">
            <w:pPr>
              <w:keepNext w:val="0"/>
              <w:keepLines w:val="0"/>
              <w:widowControl/>
              <w:suppressLineNumbers w:val="0"/>
              <w:spacing w:before="0" w:beforeAutospacing="0" w:after="0" w:afterAutospacing="0" w:line="360" w:lineRule="auto"/>
              <w:ind w:left="-28" w:right="0" w:firstLine="55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不同意此项索赔。</w:t>
            </w:r>
          </w:p>
          <w:p w14:paraId="0E97ADFA">
            <w:pPr>
              <w:keepNext w:val="0"/>
              <w:keepLines w:val="0"/>
              <w:widowControl/>
              <w:suppressLineNumbers w:val="0"/>
              <w:spacing w:before="0" w:beforeAutospacing="0" w:after="0" w:afterAutospacing="0" w:line="360" w:lineRule="auto"/>
              <w:ind w:left="-28" w:right="0" w:firstLine="55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同意此项索赔，金额</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大写</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小写</w:t>
            </w:r>
            <w:r>
              <w:rPr>
                <w:rFonts w:hint="default" w:ascii="仿宋" w:hAnsi="仿宋" w:eastAsia="仿宋" w:cs="仿宋"/>
                <w:color w:val="auto"/>
                <w:highlight w:val="none"/>
                <w:lang w:eastAsia="zh-CN"/>
              </w:rPr>
              <w:t xml:space="preserve"> </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元</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w:t>
            </w:r>
          </w:p>
          <w:p w14:paraId="6BFA15A7">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同意</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不同意索赔说明理由：</w:t>
            </w:r>
          </w:p>
          <w:p w14:paraId="741D8C98">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2CA796D6">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34524DB5">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547BFAE9">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33559489">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75302814">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537E7F13">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36DDE6D3">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79ED0E35">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1646F421">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3B10469E">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7A71F0D0">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00305E77">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5AA4BB4B">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p>
          <w:p w14:paraId="7CB211B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p w14:paraId="565DE601">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工程造价咨询人（如有）（章）</w:t>
            </w:r>
            <w:r>
              <w:rPr>
                <w:rFonts w:hint="default" w:ascii="仿宋" w:hAnsi="仿宋" w:eastAsia="仿宋" w:cs="仿宋"/>
                <w:color w:val="auto"/>
                <w:highlight w:val="none"/>
                <w:lang w:eastAsia="zh-CN"/>
              </w:rPr>
              <w:t xml:space="preserve">                </w:t>
            </w:r>
          </w:p>
          <w:p w14:paraId="6B4D9671">
            <w:pPr>
              <w:keepNext w:val="0"/>
              <w:keepLines w:val="0"/>
              <w:widowControl/>
              <w:suppressLineNumbers w:val="0"/>
              <w:spacing w:before="0" w:beforeAutospacing="0" w:after="0" w:afterAutospacing="0" w:line="360" w:lineRule="auto"/>
              <w:ind w:left="0" w:right="0" w:firstLine="6000"/>
              <w:rPr>
                <w:rFonts w:hint="eastAsia" w:ascii="仿宋" w:hAnsi="仿宋" w:eastAsia="仿宋" w:cs="仿宋"/>
                <w:color w:val="auto"/>
                <w:highlight w:val="none"/>
                <w:u w:val="single"/>
              </w:rPr>
            </w:pPr>
            <w:r>
              <w:rPr>
                <w:rFonts w:hint="eastAsia" w:ascii="仿宋" w:hAnsi="仿宋" w:eastAsia="仿宋" w:cs="仿宋"/>
                <w:color w:val="auto"/>
                <w:highlight w:val="none"/>
              </w:rPr>
              <w:t>造价工程师</w:t>
            </w:r>
            <w:r>
              <w:rPr>
                <w:rFonts w:hint="default" w:ascii="仿宋" w:hAnsi="仿宋" w:eastAsia="仿宋" w:cs="仿宋"/>
                <w:color w:val="auto"/>
                <w:highlight w:val="none"/>
                <w:u w:val="single"/>
              </w:rPr>
              <w:t xml:space="preserve">                </w:t>
            </w:r>
          </w:p>
          <w:p w14:paraId="1A916457">
            <w:pPr>
              <w:keepNext w:val="0"/>
              <w:keepLines w:val="0"/>
              <w:widowControl/>
              <w:suppressLineNumbers w:val="0"/>
              <w:tabs>
                <w:tab w:val="left" w:pos="7272"/>
              </w:tabs>
              <w:spacing w:before="0" w:beforeAutospacing="0" w:after="0" w:afterAutospacing="0" w:line="360" w:lineRule="auto"/>
              <w:ind w:left="0" w:right="0" w:firstLine="6000"/>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157018EC">
      <w:pP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．在需要选择的栏中的“□”内作标识“√”。</w:t>
      </w:r>
    </w:p>
    <w:p w14:paraId="0878DDBF">
      <w:pPr>
        <w:spacing w:before="120" w:beforeLines="50" w:after="120" w:afterLines="50"/>
        <w:ind w:firstLine="720" w:firstLineChars="30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．本表一式三份，由承包人填制</w:t>
      </w:r>
      <w:r>
        <w:rPr>
          <w:rFonts w:ascii="仿宋" w:hAnsi="仿宋" w:eastAsia="仿宋" w:cs="仿宋"/>
          <w:color w:val="auto"/>
          <w:highlight w:val="none"/>
          <w:lang w:eastAsia="zh-CN"/>
        </w:rPr>
        <w:t>,</w:t>
      </w:r>
      <w:r>
        <w:rPr>
          <w:rFonts w:hint="eastAsia" w:ascii="仿宋" w:hAnsi="仿宋" w:eastAsia="仿宋" w:cs="仿宋"/>
          <w:color w:val="auto"/>
          <w:highlight w:val="none"/>
          <w:lang w:eastAsia="zh-CN"/>
        </w:rPr>
        <w:t>并连同发包人、工程造价咨询人（如有）各存一份。</w:t>
      </w:r>
    </w:p>
    <w:p w14:paraId="1FDF8ADB">
      <w:pPr>
        <w:spacing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2117" w:name="_Toc266892951"/>
      <w:bookmarkStart w:id="2118" w:name="_Toc10625009"/>
      <w:bookmarkStart w:id="2119" w:name="_Toc469384165"/>
      <w:bookmarkStart w:id="2120" w:name="_Toc32617"/>
      <w:bookmarkStart w:id="2121" w:name="_Toc18845"/>
      <w:bookmarkStart w:id="2122" w:name="_Toc4035"/>
      <w:bookmarkStart w:id="2123" w:name="_Toc14092"/>
      <w:bookmarkStart w:id="2124" w:name="_Toc32392"/>
      <w:bookmarkStart w:id="2125" w:name="_Toc25238"/>
      <w:bookmarkStart w:id="2126" w:name="_Toc22977"/>
      <w:bookmarkStart w:id="2127" w:name="_Toc24116"/>
      <w:bookmarkStart w:id="2128" w:name="_Toc20183"/>
      <w:bookmarkStart w:id="2129" w:name="_Toc15865"/>
      <w:bookmarkStart w:id="2130" w:name="_Toc30570"/>
      <w:bookmarkStart w:id="2131" w:name="_Toc18377"/>
      <w:bookmarkStart w:id="2132" w:name="_Toc27086"/>
      <w:bookmarkStart w:id="2133" w:name="_Toc12350"/>
      <w:bookmarkStart w:id="2134" w:name="_Toc30672"/>
      <w:bookmarkStart w:id="2135" w:name="_Toc29415"/>
      <w:bookmarkStart w:id="2136" w:name="_Toc27422"/>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2</w:t>
      </w:r>
      <w:bookmarkEnd w:id="2117"/>
      <w:bookmarkEnd w:id="2118"/>
      <w:bookmarkEnd w:id="2119"/>
      <w:r>
        <w:rPr>
          <w:rFonts w:hint="eastAsia" w:ascii="仿宋" w:hAnsi="仿宋" w:eastAsia="仿宋" w:cs="仿宋"/>
          <w:b/>
          <w:bCs/>
          <w:color w:val="auto"/>
          <w:highlight w:val="none"/>
          <w:lang w:eastAsia="zh-CN"/>
        </w:rPr>
        <w:t>6 已完工程款额报告</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5DDEBC50">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已完工程款额报告</w:t>
      </w:r>
    </w:p>
    <w:p w14:paraId="44EB3136">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w:t>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ab/>
      </w:r>
      <w:r>
        <w:rPr>
          <w:rFonts w:ascii="仿宋" w:hAnsi="仿宋" w:eastAsia="仿宋" w:cs="仿宋"/>
          <w:color w:val="auto"/>
          <w:highlight w:val="none"/>
        </w:rPr>
        <w:t xml:space="preserve">    </w:t>
      </w:r>
      <w:r>
        <w:rPr>
          <w:rFonts w:hint="eastAsia" w:ascii="仿宋" w:hAnsi="仿宋" w:eastAsia="仿宋" w:cs="仿宋"/>
          <w:color w:val="auto"/>
          <w:highlight w:val="none"/>
        </w:rPr>
        <w:t>编号</w:t>
      </w:r>
      <w:r>
        <w:rPr>
          <w:rFonts w:ascii="仿宋" w:hAnsi="仿宋" w:eastAsia="仿宋" w:cs="仿宋"/>
          <w:color w:val="auto"/>
          <w:highlight w:val="none"/>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4538"/>
        <w:gridCol w:w="5923"/>
      </w:tblGrid>
      <w:tr w14:paraId="7A95B39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628" w:hRule="atLeast"/>
        </w:trPr>
        <w:tc>
          <w:tcPr>
            <w:tcW w:w="10461" w:type="dxa"/>
            <w:gridSpan w:val="2"/>
            <w:tcBorders>
              <w:bottom w:val="single" w:color="auto" w:sz="4" w:space="0"/>
            </w:tcBorders>
          </w:tcPr>
          <w:p w14:paraId="0DCBD0E4">
            <w:pPr>
              <w:keepNext w:val="0"/>
              <w:keepLines w:val="0"/>
              <w:widowControl/>
              <w:suppressLineNumbers w:val="0"/>
              <w:spacing w:before="12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（工程造价咨询人（如有）全称）</w:t>
            </w:r>
          </w:p>
          <w:p w14:paraId="5F19805C">
            <w:pPr>
              <w:keepNext w:val="0"/>
              <w:keepLines w:val="0"/>
              <w:widowControl/>
              <w:suppressLineNumbers w:val="0"/>
              <w:spacing w:before="0" w:beforeAutospacing="0" w:after="0" w:afterAutospacing="0" w:line="360" w:lineRule="auto"/>
              <w:ind w:left="-31" w:leftChars="-13" w:right="0"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至</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期间</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我方按照合同约定和监理工程师的指令，实际已完工程款额为（大写）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　　　　</w:t>
            </w:r>
            <w:r>
              <w:rPr>
                <w:rFonts w:hint="eastAsia" w:ascii="仿宋" w:hAnsi="仿宋" w:eastAsia="仿宋" w:cs="仿宋"/>
                <w:color w:val="auto"/>
                <w:highlight w:val="none"/>
                <w:lang w:eastAsia="zh-CN"/>
              </w:rPr>
              <w:t>（小写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），累计已完工程款额（大写）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（小写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）。根据施工合同条款</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的规定，现提出已完工程款额报告，请予复核和确认。</w:t>
            </w:r>
          </w:p>
          <w:p w14:paraId="705E38D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附：</w:t>
            </w:r>
            <w:r>
              <w:rPr>
                <w:rFonts w:hint="default"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已完工程款额明细表：</w:t>
            </w:r>
          </w:p>
          <w:p w14:paraId="69B76DC3">
            <w:pPr>
              <w:keepNext w:val="0"/>
              <w:keepLines w:val="0"/>
              <w:widowControl/>
              <w:suppressLineNumbers w:val="0"/>
              <w:spacing w:before="0" w:beforeAutospacing="0" w:after="0" w:afterAutospacing="0" w:line="360" w:lineRule="auto"/>
              <w:ind w:left="-108" w:right="0" w:firstLine="59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证明材料：</w:t>
            </w:r>
          </w:p>
          <w:p w14:paraId="3CFAD424">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承包人（章）</w:t>
            </w:r>
            <w:r>
              <w:rPr>
                <w:rFonts w:hint="default" w:ascii="仿宋" w:hAnsi="仿宋" w:eastAsia="仿宋" w:cs="仿宋"/>
                <w:color w:val="auto"/>
                <w:highlight w:val="none"/>
                <w:lang w:eastAsia="zh-CN"/>
              </w:rPr>
              <w:t xml:space="preserve">                </w:t>
            </w:r>
          </w:p>
          <w:p w14:paraId="7DA93E0B">
            <w:pPr>
              <w:keepNext w:val="0"/>
              <w:keepLines w:val="0"/>
              <w:widowControl/>
              <w:suppressLineNumbers w:val="0"/>
              <w:spacing w:before="0" w:beforeAutospacing="0" w:after="0" w:afterAutospacing="0" w:line="360" w:lineRule="auto"/>
              <w:ind w:left="0" w:right="0" w:firstLine="6000"/>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60BE2B73">
            <w:pPr>
              <w:keepNext w:val="0"/>
              <w:keepLines w:val="0"/>
              <w:widowControl/>
              <w:suppressLineNumbers w:val="0"/>
              <w:tabs>
                <w:tab w:val="left" w:pos="7272"/>
              </w:tabs>
              <w:spacing w:before="0" w:beforeAutospacing="0" w:after="0" w:afterAutospacing="0" w:line="360" w:lineRule="auto"/>
              <w:ind w:left="0" w:right="0" w:firstLine="6000"/>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55D965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431" w:hRule="atLeast"/>
        </w:trPr>
        <w:tc>
          <w:tcPr>
            <w:tcW w:w="4538" w:type="dxa"/>
            <w:tcBorders>
              <w:top w:val="single" w:color="auto" w:sz="4" w:space="0"/>
              <w:bottom w:val="single" w:color="auto" w:sz="4" w:space="0"/>
              <w:right w:val="single" w:color="auto" w:sz="4" w:space="0"/>
            </w:tcBorders>
          </w:tcPr>
          <w:p w14:paraId="5C16A4E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复核意见：</w:t>
            </w:r>
          </w:p>
          <w:p w14:paraId="6BC03875">
            <w:pPr>
              <w:keepNext w:val="0"/>
              <w:keepLines w:val="0"/>
              <w:widowControl/>
              <w:suppressLineNumbers w:val="0"/>
              <w:spacing w:before="0" w:beforeAutospacing="0" w:after="0" w:afterAutospacing="0" w:line="360" w:lineRule="auto"/>
              <w:ind w:left="0" w:right="0" w:firstLine="640" w:firstLineChars="20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与实际施工情况不相符，修改意见见附件；</w:t>
            </w:r>
          </w:p>
          <w:p w14:paraId="4842CFD9">
            <w:pPr>
              <w:keepNext w:val="0"/>
              <w:keepLines w:val="0"/>
              <w:widowControl/>
              <w:suppressLineNumbers w:val="0"/>
              <w:spacing w:before="0" w:beforeAutospacing="0" w:after="0" w:afterAutospacing="0" w:line="360" w:lineRule="auto"/>
              <w:ind w:left="0" w:right="0" w:firstLine="640" w:firstLineChars="200"/>
              <w:rPr>
                <w:rFonts w:hint="eastAsia" w:ascii="仿宋" w:hAnsi="仿宋" w:eastAsia="仿宋"/>
                <w:color w:val="auto"/>
                <w:highlight w:val="none"/>
                <w:lang w:eastAsia="zh-CN"/>
              </w:rPr>
            </w:pPr>
            <w:r>
              <w:rPr>
                <w:rFonts w:hint="eastAsia" w:ascii="仿宋" w:hAnsi="仿宋" w:eastAsia="仿宋" w:cs="仿宋"/>
                <w:color w:val="auto"/>
                <w:sz w:val="32"/>
                <w:szCs w:val="32"/>
                <w:highlight w:val="none"/>
                <w:lang w:eastAsia="zh-CN"/>
              </w:rPr>
              <w:t>□</w:t>
            </w:r>
            <w:r>
              <w:rPr>
                <w:rFonts w:hint="eastAsia" w:ascii="仿宋" w:hAnsi="仿宋" w:eastAsia="仿宋" w:cs="仿宋"/>
                <w:color w:val="auto"/>
                <w:highlight w:val="none"/>
                <w:lang w:eastAsia="zh-CN"/>
              </w:rPr>
              <w:t>与实际施工情况相符，具体金额由造价工程师复核。</w:t>
            </w:r>
          </w:p>
          <w:p w14:paraId="462C8EAD">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p>
          <w:p w14:paraId="366A4A55">
            <w:pPr>
              <w:keepNext w:val="0"/>
              <w:keepLines w:val="0"/>
              <w:widowControl/>
              <w:suppressLineNumbers w:val="0"/>
              <w:spacing w:before="0" w:beforeAutospacing="0" w:after="0" w:afterAutospacing="0" w:line="360" w:lineRule="auto"/>
              <w:ind w:left="0" w:right="0" w:firstLine="1680" w:firstLineChars="7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监理人（章）</w:t>
            </w:r>
            <w:r>
              <w:rPr>
                <w:rFonts w:hint="default" w:ascii="仿宋" w:hAnsi="仿宋" w:eastAsia="仿宋" w:cs="仿宋"/>
                <w:color w:val="auto"/>
                <w:highlight w:val="none"/>
                <w:lang w:eastAsia="zh-CN"/>
              </w:rPr>
              <w:t xml:space="preserve">   </w:t>
            </w:r>
          </w:p>
          <w:p w14:paraId="26B25D4C">
            <w:pPr>
              <w:keepNext w:val="0"/>
              <w:keepLines w:val="0"/>
              <w:widowControl/>
              <w:suppressLineNumbers w:val="0"/>
              <w:spacing w:before="0" w:beforeAutospacing="0" w:after="0" w:afterAutospacing="0" w:line="360" w:lineRule="auto"/>
              <w:ind w:left="0" w:right="0" w:firstLine="1680" w:firstLineChars="700"/>
              <w:rPr>
                <w:rFonts w:hint="eastAsia" w:ascii="仿宋" w:hAnsi="仿宋" w:eastAsia="仿宋" w:cs="仿宋"/>
                <w:color w:val="auto"/>
                <w:highlight w:val="none"/>
                <w:u w:val="single"/>
                <w:lang w:eastAsia="zh-CN"/>
              </w:rPr>
            </w:pPr>
            <w:r>
              <w:rPr>
                <w:rFonts w:hint="eastAsia" w:ascii="仿宋" w:hAnsi="仿宋" w:eastAsia="仿宋" w:cs="仿宋"/>
                <w:color w:val="auto"/>
                <w:highlight w:val="none"/>
                <w:lang w:eastAsia="zh-CN"/>
              </w:rPr>
              <w:t>监理工程师</w:t>
            </w:r>
            <w:r>
              <w:rPr>
                <w:rFonts w:hint="default" w:ascii="仿宋" w:hAnsi="仿宋" w:eastAsia="仿宋" w:cs="仿宋"/>
                <w:color w:val="auto"/>
                <w:highlight w:val="none"/>
                <w:u w:val="single"/>
                <w:lang w:eastAsia="zh-CN"/>
              </w:rPr>
              <w:t xml:space="preserve">          </w:t>
            </w:r>
          </w:p>
          <w:p w14:paraId="23B1EBDA">
            <w:pPr>
              <w:keepNext w:val="0"/>
              <w:keepLines w:val="0"/>
              <w:widowControl/>
              <w:suppressLineNumbers w:val="0"/>
              <w:spacing w:before="0" w:beforeAutospacing="0" w:after="0" w:afterAutospacing="0" w:line="360" w:lineRule="auto"/>
              <w:ind w:left="0" w:right="0" w:firstLine="1680" w:firstLineChars="700"/>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c>
          <w:tcPr>
            <w:tcW w:w="5923" w:type="dxa"/>
            <w:tcBorders>
              <w:top w:val="single" w:color="auto" w:sz="4" w:space="0"/>
              <w:left w:val="single" w:color="auto" w:sz="4" w:space="0"/>
              <w:bottom w:val="single" w:color="auto" w:sz="4" w:space="0"/>
            </w:tcBorders>
          </w:tcPr>
          <w:p w14:paraId="7BB1C95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复核意见：</w:t>
            </w:r>
          </w:p>
          <w:p w14:paraId="6E86ACFB">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根据施工合同条款</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　</w:t>
            </w:r>
            <w:r>
              <w:rPr>
                <w:rFonts w:hint="eastAsia" w:ascii="仿宋" w:hAnsi="仿宋" w:eastAsia="仿宋" w:cs="仿宋"/>
                <w:color w:val="auto"/>
                <w:highlight w:val="none"/>
                <w:lang w:eastAsia="zh-CN"/>
              </w:rPr>
              <w:t>的规定，经复核你方提出的已完工程款额报告（第</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号），截止</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月</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日，实际已完工程款为（大写）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（小写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），累计已完工程款额（大写）</w:t>
            </w:r>
            <w:r>
              <w:rPr>
                <w:rFonts w:hint="default" w:ascii="仿宋" w:hAnsi="仿宋" w:eastAsia="仿宋" w:cs="仿宋"/>
                <w:color w:val="auto"/>
                <w:highlight w:val="none"/>
                <w:u w:val="single"/>
                <w:lang w:eastAsia="zh-CN"/>
              </w:rPr>
              <w:t xml:space="preserve">                 </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（小写：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w:t>
            </w:r>
          </w:p>
          <w:p w14:paraId="3FA6FC04">
            <w:pPr>
              <w:keepNext w:val="0"/>
              <w:keepLines w:val="0"/>
              <w:widowControl/>
              <w:suppressLineNumbers w:val="0"/>
              <w:spacing w:before="0" w:beforeAutospacing="0" w:after="0" w:afterAutospacing="0" w:line="360" w:lineRule="auto"/>
              <w:ind w:left="0" w:right="0" w:firstLine="480" w:firstLineChars="2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附：已完工程款额明细复核表。</w:t>
            </w:r>
          </w:p>
          <w:p w14:paraId="041EEF69">
            <w:pPr>
              <w:keepNext w:val="0"/>
              <w:keepLines w:val="0"/>
              <w:widowControl/>
              <w:suppressLineNumbers w:val="0"/>
              <w:spacing w:before="0" w:beforeAutospacing="0" w:after="0" w:afterAutospacing="0" w:line="360" w:lineRule="auto"/>
              <w:ind w:left="0" w:right="0" w:firstLine="2380" w:firstLineChars="992"/>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工程造价咨询人（如有）（章）</w:t>
            </w:r>
            <w:r>
              <w:rPr>
                <w:rFonts w:hint="default" w:ascii="仿宋" w:hAnsi="仿宋" w:eastAsia="仿宋" w:cs="仿宋"/>
                <w:color w:val="auto"/>
                <w:highlight w:val="none"/>
                <w:lang w:eastAsia="zh-CN"/>
              </w:rPr>
              <w:t xml:space="preserve">             </w:t>
            </w:r>
          </w:p>
          <w:p w14:paraId="31D34D56">
            <w:pPr>
              <w:keepNext w:val="0"/>
              <w:keepLines w:val="0"/>
              <w:widowControl/>
              <w:suppressLineNumbers w:val="0"/>
              <w:spacing w:before="0" w:beforeAutospacing="0" w:after="0" w:afterAutospacing="0" w:line="360" w:lineRule="auto"/>
              <w:ind w:left="2309" w:leftChars="962" w:right="0" w:firstLine="360" w:firstLineChars="150"/>
              <w:rPr>
                <w:rFonts w:hint="eastAsia" w:ascii="仿宋" w:hAnsi="仿宋" w:eastAsia="仿宋" w:cs="仿宋"/>
                <w:color w:val="auto"/>
                <w:highlight w:val="none"/>
                <w:u w:val="single"/>
              </w:rPr>
            </w:pPr>
            <w:r>
              <w:rPr>
                <w:rFonts w:hint="eastAsia" w:ascii="仿宋" w:hAnsi="仿宋" w:eastAsia="仿宋" w:cs="仿宋"/>
                <w:color w:val="auto"/>
                <w:highlight w:val="none"/>
              </w:rPr>
              <w:t>造价工程师</w:t>
            </w:r>
            <w:r>
              <w:rPr>
                <w:rFonts w:hint="default" w:ascii="仿宋" w:hAnsi="仿宋" w:eastAsia="仿宋" w:cs="仿宋"/>
                <w:color w:val="auto"/>
                <w:highlight w:val="none"/>
                <w:u w:val="single"/>
              </w:rPr>
              <w:t xml:space="preserve">            </w:t>
            </w:r>
          </w:p>
          <w:p w14:paraId="124AACF1">
            <w:pPr>
              <w:keepNext w:val="0"/>
              <w:keepLines w:val="0"/>
              <w:widowControl/>
              <w:suppressLineNumbers w:val="0"/>
              <w:spacing w:before="0" w:beforeAutospacing="0" w:after="0" w:afterAutospacing="0" w:line="360" w:lineRule="auto"/>
              <w:ind w:left="0" w:right="0" w:firstLine="2380" w:firstLineChars="992"/>
              <w:rPr>
                <w:rFonts w:hint="eastAsia" w:ascii="仿宋" w:hAnsi="仿宋" w:eastAsia="仿宋"/>
                <w:color w:val="auto"/>
                <w:highlight w:val="non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r w14:paraId="0A492F8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086" w:hRule="atLeast"/>
        </w:trPr>
        <w:tc>
          <w:tcPr>
            <w:tcW w:w="10461" w:type="dxa"/>
            <w:gridSpan w:val="2"/>
            <w:tcBorders>
              <w:top w:val="single" w:color="auto" w:sz="4" w:space="0"/>
            </w:tcBorders>
          </w:tcPr>
          <w:p w14:paraId="10078DB4">
            <w:pPr>
              <w:keepNext w:val="0"/>
              <w:keepLines w:val="0"/>
              <w:widowControl/>
              <w:suppressLineNumbers w:val="0"/>
              <w:spacing w:before="0" w:beforeAutospacing="0" w:after="0" w:afterAutospacing="0" w:line="360" w:lineRule="auto"/>
              <w:ind w:left="0" w:right="0" w:hanging="3"/>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确认意见：</w:t>
            </w:r>
          </w:p>
          <w:p w14:paraId="0CD3F947">
            <w:pPr>
              <w:keepNext w:val="0"/>
              <w:keepLines w:val="0"/>
              <w:widowControl/>
              <w:suppressLineNumbers w:val="0"/>
              <w:spacing w:before="0" w:beforeAutospacing="0" w:after="0" w:afterAutospacing="0" w:line="360" w:lineRule="auto"/>
              <w:ind w:left="-28" w:right="0" w:firstLine="550"/>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□不同意</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□同意。</w:t>
            </w:r>
            <w:r>
              <w:rPr>
                <w:rFonts w:hint="default" w:ascii="仿宋" w:hAnsi="仿宋" w:eastAsia="仿宋" w:cs="仿宋"/>
                <w:color w:val="auto"/>
                <w:highlight w:val="none"/>
                <w:lang w:eastAsia="zh-CN"/>
              </w:rPr>
              <w:t xml:space="preserve">   </w:t>
            </w:r>
          </w:p>
          <w:p w14:paraId="3B0EC5D3">
            <w:pPr>
              <w:keepNext w:val="0"/>
              <w:keepLines w:val="0"/>
              <w:widowControl/>
              <w:suppressLineNumbers w:val="0"/>
              <w:spacing w:before="0" w:beforeAutospacing="0" w:after="0" w:afterAutospacing="0" w:line="360" w:lineRule="auto"/>
              <w:ind w:left="0" w:right="0" w:firstLine="480" w:firstLineChars="200"/>
              <w:jc w:val="center"/>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发　包　人（章）</w:t>
            </w:r>
          </w:p>
          <w:p w14:paraId="40C80FDC">
            <w:pPr>
              <w:keepNext w:val="0"/>
              <w:keepLines w:val="0"/>
              <w:widowControl/>
              <w:suppressLineNumbers w:val="0"/>
              <w:spacing w:before="0" w:beforeAutospacing="0" w:after="0" w:afterAutospacing="0" w:line="360" w:lineRule="auto"/>
              <w:ind w:left="0" w:right="0" w:firstLine="480" w:firstLineChars="200"/>
              <w:jc w:val="center"/>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发包人代表</w:t>
            </w:r>
            <w:r>
              <w:rPr>
                <w:rFonts w:hint="default" w:ascii="仿宋" w:hAnsi="仿宋" w:eastAsia="仿宋" w:cs="仿宋"/>
                <w:color w:val="auto"/>
                <w:highlight w:val="none"/>
                <w:u w:val="single"/>
                <w:lang w:eastAsia="zh-CN"/>
              </w:rPr>
              <w:t xml:space="preserve">                     </w:t>
            </w:r>
          </w:p>
          <w:p w14:paraId="56154D74">
            <w:pPr>
              <w:keepNext w:val="0"/>
              <w:keepLines w:val="0"/>
              <w:widowControl/>
              <w:suppressLineNumbers w:val="0"/>
              <w:spacing w:before="0" w:beforeAutospacing="0" w:after="0" w:afterAutospacing="0" w:line="360" w:lineRule="auto"/>
              <w:ind w:left="0" w:right="0" w:firstLine="480" w:firstLineChars="200"/>
              <w:jc w:val="center"/>
              <w:rPr>
                <w:rFonts w:hint="eastAsia" w:ascii="仿宋" w:hAnsi="仿宋" w:eastAsia="仿宋"/>
                <w:color w:val="auto"/>
                <w:highlight w:val="none"/>
              </w:rPr>
            </w:pP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w:t>
            </w: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　</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rPr>
              <w:t xml:space="preserve"> </w:t>
            </w:r>
            <w:r>
              <w:rPr>
                <w:rFonts w:hint="default" w:ascii="仿宋" w:hAnsi="仿宋" w:eastAsia="仿宋" w:cs="仿宋"/>
                <w:color w:val="auto"/>
                <w:highlight w:val="none"/>
                <w:u w:val="single"/>
              </w:rPr>
              <w:t xml:space="preserve">                     </w:t>
            </w:r>
          </w:p>
        </w:tc>
      </w:tr>
    </w:tbl>
    <w:p w14:paraId="34B07C4C">
      <w:pP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w:t>
      </w:r>
      <w:r>
        <w:rPr>
          <w:rFonts w:ascii="仿宋" w:hAnsi="仿宋" w:eastAsia="仿宋" w:cs="仿宋"/>
          <w:color w:val="auto"/>
          <w:highlight w:val="none"/>
          <w:lang w:eastAsia="zh-CN"/>
        </w:rPr>
        <w:t>1</w:t>
      </w:r>
      <w:r>
        <w:rPr>
          <w:rFonts w:hint="eastAsia" w:ascii="仿宋" w:hAnsi="仿宋" w:eastAsia="仿宋" w:cs="仿宋"/>
          <w:color w:val="auto"/>
          <w:highlight w:val="none"/>
          <w:lang w:eastAsia="zh-CN"/>
        </w:rPr>
        <w:t>、在需要选择的栏中的“□”内作标识“√”。</w:t>
      </w:r>
    </w:p>
    <w:p w14:paraId="719D42ED">
      <w:pPr>
        <w:ind w:left="1181" w:leftChars="342" w:hanging="360" w:hangingChars="150"/>
        <w:rPr>
          <w:rFonts w:hint="eastAsia" w:ascii="仿宋" w:hAnsi="仿宋" w:eastAsia="仿宋"/>
          <w:color w:val="auto"/>
          <w:highlight w:val="none"/>
          <w:lang w:eastAsia="zh-CN"/>
        </w:rPr>
      </w:pPr>
      <w:r>
        <w:rPr>
          <w:rFonts w:ascii="仿宋" w:hAnsi="仿宋" w:eastAsia="仿宋" w:cs="仿宋"/>
          <w:color w:val="auto"/>
          <w:highlight w:val="none"/>
          <w:lang w:eastAsia="zh-CN"/>
        </w:rPr>
        <w:t>2</w:t>
      </w:r>
      <w:r>
        <w:rPr>
          <w:rFonts w:hint="eastAsia" w:ascii="仿宋" w:hAnsi="仿宋" w:eastAsia="仿宋" w:cs="仿宋"/>
          <w:color w:val="auto"/>
          <w:highlight w:val="none"/>
          <w:lang w:eastAsia="zh-CN"/>
        </w:rPr>
        <w:t>、本表一式五份，由承包人、监理人、工程造价咨询人（如有）、发包人按合同规定程序填制，发包人存二份，其他各存一份。</w:t>
      </w:r>
    </w:p>
    <w:p w14:paraId="391D7DB4">
      <w:pPr>
        <w:rPr>
          <w:rFonts w:hint="eastAsia" w:ascii="仿宋" w:hAnsi="仿宋" w:eastAsia="仿宋"/>
          <w:color w:val="auto"/>
          <w:highlight w:val="none"/>
          <w:lang w:eastAsia="zh-CN"/>
        </w:rPr>
        <w:sectPr>
          <w:endnotePr>
            <w:numFmt w:val="decimal"/>
          </w:endnotePr>
          <w:pgSz w:w="11906" w:h="16838"/>
          <w:pgMar w:top="1418" w:right="737" w:bottom="851" w:left="737" w:header="0" w:footer="0" w:gutter="0"/>
          <w:cols w:space="720" w:num="1"/>
        </w:sectPr>
      </w:pPr>
    </w:p>
    <w:p w14:paraId="3B6C22C1">
      <w:pPr>
        <w:spacing w:line="360" w:lineRule="auto"/>
        <w:outlineLvl w:val="1"/>
        <w:rPr>
          <w:rFonts w:hint="eastAsia" w:ascii="仿宋" w:hAnsi="仿宋" w:eastAsia="仿宋" w:cs="仿宋"/>
          <w:b/>
          <w:bCs/>
          <w:color w:val="auto"/>
          <w:highlight w:val="none"/>
          <w:lang w:eastAsia="zh-CN"/>
        </w:rPr>
      </w:pPr>
      <w:bookmarkStart w:id="2137" w:name="_Toc469384166"/>
      <w:bookmarkStart w:id="2138" w:name="_Toc10625010"/>
      <w:bookmarkStart w:id="2139" w:name="_Toc266892952"/>
      <w:bookmarkStart w:id="2140" w:name="_Toc15777"/>
      <w:bookmarkStart w:id="2141" w:name="_Toc10305"/>
      <w:bookmarkStart w:id="2142" w:name="_Toc25781"/>
      <w:bookmarkStart w:id="2143" w:name="_Toc8059"/>
      <w:bookmarkStart w:id="2144" w:name="_Toc20661"/>
      <w:bookmarkStart w:id="2145" w:name="_Toc12668"/>
      <w:bookmarkStart w:id="2146" w:name="_Toc21401"/>
      <w:bookmarkStart w:id="2147" w:name="_Toc4302"/>
      <w:bookmarkStart w:id="2148" w:name="_Toc12243"/>
      <w:bookmarkStart w:id="2149" w:name="_Toc6389"/>
      <w:bookmarkStart w:id="2150" w:name="_Toc21550"/>
      <w:bookmarkStart w:id="2151" w:name="_Toc1144"/>
      <w:bookmarkStart w:id="2152" w:name="_Toc14807"/>
      <w:bookmarkStart w:id="2153" w:name="_Toc15628"/>
      <w:bookmarkStart w:id="2154" w:name="_Toc9801"/>
      <w:bookmarkStart w:id="2155" w:name="_Toc24278"/>
      <w:bookmarkStart w:id="2156" w:name="_Toc9428"/>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2</w:t>
      </w:r>
      <w:bookmarkEnd w:id="2137"/>
      <w:bookmarkEnd w:id="2138"/>
      <w:bookmarkEnd w:id="2139"/>
      <w:r>
        <w:rPr>
          <w:rFonts w:hint="eastAsia" w:ascii="仿宋" w:hAnsi="仿宋" w:eastAsia="仿宋" w:cs="仿宋"/>
          <w:b/>
          <w:bCs/>
          <w:color w:val="auto"/>
          <w:highlight w:val="none"/>
          <w:lang w:eastAsia="zh-CN"/>
        </w:rPr>
        <w:t>7 已完工程款额明细表</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3E7E2114">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已完工程款额明细表</w:t>
      </w:r>
    </w:p>
    <w:p w14:paraId="07C7C360">
      <w:pPr>
        <w:spacing w:line="360" w:lineRule="auto"/>
        <w:ind w:firstLine="240" w:firstLineChars="1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工程名称：</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编号：</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截止日期：</w:t>
      </w:r>
    </w:p>
    <w:tbl>
      <w:tblPr>
        <w:tblStyle w:val="7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1"/>
        <w:gridCol w:w="923"/>
        <w:gridCol w:w="1639"/>
        <w:gridCol w:w="2550"/>
        <w:gridCol w:w="956"/>
        <w:gridCol w:w="859"/>
        <w:gridCol w:w="950"/>
        <w:gridCol w:w="860"/>
        <w:gridCol w:w="850"/>
        <w:gridCol w:w="865"/>
        <w:gridCol w:w="848"/>
        <w:gridCol w:w="892"/>
        <w:gridCol w:w="862"/>
        <w:gridCol w:w="860"/>
      </w:tblGrid>
      <w:tr w14:paraId="1A32D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8" w:hRule="atLeast"/>
          <w:jc w:val="center"/>
        </w:trPr>
        <w:tc>
          <w:tcPr>
            <w:tcW w:w="741" w:type="dxa"/>
            <w:vMerge w:val="restart"/>
            <w:vAlign w:val="center"/>
          </w:tcPr>
          <w:p w14:paraId="159EFBD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序号</w:t>
            </w:r>
          </w:p>
        </w:tc>
        <w:tc>
          <w:tcPr>
            <w:tcW w:w="923" w:type="dxa"/>
            <w:vMerge w:val="restart"/>
            <w:vAlign w:val="center"/>
          </w:tcPr>
          <w:p w14:paraId="0F2F2E6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项目</w:t>
            </w:r>
          </w:p>
          <w:p w14:paraId="20142F7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编码</w:t>
            </w:r>
          </w:p>
        </w:tc>
        <w:tc>
          <w:tcPr>
            <w:tcW w:w="1639" w:type="dxa"/>
            <w:vMerge w:val="restart"/>
            <w:vAlign w:val="center"/>
          </w:tcPr>
          <w:p w14:paraId="416CA57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项目名称</w:t>
            </w:r>
          </w:p>
        </w:tc>
        <w:tc>
          <w:tcPr>
            <w:tcW w:w="2550" w:type="dxa"/>
            <w:vMerge w:val="restart"/>
            <w:vAlign w:val="center"/>
          </w:tcPr>
          <w:p w14:paraId="0015A96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单位</w:t>
            </w:r>
          </w:p>
        </w:tc>
        <w:tc>
          <w:tcPr>
            <w:tcW w:w="956" w:type="dxa"/>
            <w:vMerge w:val="restart"/>
            <w:vAlign w:val="center"/>
          </w:tcPr>
          <w:p w14:paraId="5A103A4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清单</w:t>
            </w:r>
          </w:p>
          <w:p w14:paraId="3B9833D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工程量</w:t>
            </w:r>
          </w:p>
        </w:tc>
        <w:tc>
          <w:tcPr>
            <w:tcW w:w="2669" w:type="dxa"/>
            <w:gridSpan w:val="3"/>
            <w:vAlign w:val="center"/>
          </w:tcPr>
          <w:p w14:paraId="5909D79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项目单价（元）</w:t>
            </w:r>
          </w:p>
        </w:tc>
        <w:tc>
          <w:tcPr>
            <w:tcW w:w="1715" w:type="dxa"/>
            <w:gridSpan w:val="2"/>
            <w:vAlign w:val="center"/>
          </w:tcPr>
          <w:p w14:paraId="69A0617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上期末累计</w:t>
            </w:r>
          </w:p>
        </w:tc>
        <w:tc>
          <w:tcPr>
            <w:tcW w:w="1740" w:type="dxa"/>
            <w:gridSpan w:val="2"/>
            <w:vAlign w:val="center"/>
          </w:tcPr>
          <w:p w14:paraId="48C8197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本期间</w:t>
            </w:r>
          </w:p>
        </w:tc>
        <w:tc>
          <w:tcPr>
            <w:tcW w:w="1722" w:type="dxa"/>
            <w:gridSpan w:val="2"/>
            <w:vAlign w:val="center"/>
          </w:tcPr>
          <w:p w14:paraId="3F8631D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本期末累计</w:t>
            </w:r>
          </w:p>
        </w:tc>
      </w:tr>
      <w:tr w14:paraId="6E41E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26" w:hRule="atLeast"/>
          <w:jc w:val="center"/>
        </w:trPr>
        <w:tc>
          <w:tcPr>
            <w:tcW w:w="741" w:type="dxa"/>
            <w:vMerge w:val="continue"/>
            <w:vAlign w:val="center"/>
          </w:tcPr>
          <w:p w14:paraId="2BFEC2D4">
            <w:pPr>
              <w:keepNext w:val="0"/>
              <w:keepLines w:val="0"/>
              <w:widowControl/>
              <w:suppressLineNumbers w:val="0"/>
              <w:spacing w:before="0" w:beforeAutospacing="0" w:after="0" w:afterAutospacing="0"/>
              <w:ind w:left="0" w:right="0"/>
              <w:rPr>
                <w:rFonts w:hint="eastAsia" w:ascii="仿宋" w:hAnsi="仿宋" w:eastAsia="仿宋"/>
                <w:color w:val="auto"/>
                <w:highlight w:val="none"/>
              </w:rPr>
            </w:pPr>
          </w:p>
        </w:tc>
        <w:tc>
          <w:tcPr>
            <w:tcW w:w="923" w:type="dxa"/>
            <w:vMerge w:val="continue"/>
            <w:vAlign w:val="center"/>
          </w:tcPr>
          <w:p w14:paraId="67851901">
            <w:pPr>
              <w:keepNext w:val="0"/>
              <w:keepLines w:val="0"/>
              <w:widowControl/>
              <w:suppressLineNumbers w:val="0"/>
              <w:spacing w:before="0" w:beforeAutospacing="0" w:after="0" w:afterAutospacing="0"/>
              <w:ind w:left="0" w:right="0"/>
              <w:rPr>
                <w:rFonts w:hint="eastAsia" w:ascii="仿宋" w:hAnsi="仿宋" w:eastAsia="仿宋"/>
                <w:color w:val="auto"/>
                <w:highlight w:val="none"/>
              </w:rPr>
            </w:pPr>
          </w:p>
        </w:tc>
        <w:tc>
          <w:tcPr>
            <w:tcW w:w="1639" w:type="dxa"/>
            <w:vMerge w:val="continue"/>
            <w:vAlign w:val="center"/>
          </w:tcPr>
          <w:p w14:paraId="781D1AF8">
            <w:pPr>
              <w:keepNext w:val="0"/>
              <w:keepLines w:val="0"/>
              <w:widowControl/>
              <w:suppressLineNumbers w:val="0"/>
              <w:spacing w:before="0" w:beforeAutospacing="0" w:after="0" w:afterAutospacing="0"/>
              <w:ind w:left="0" w:right="0"/>
              <w:rPr>
                <w:rFonts w:hint="eastAsia" w:ascii="仿宋" w:hAnsi="仿宋" w:eastAsia="仿宋"/>
                <w:color w:val="auto"/>
                <w:highlight w:val="none"/>
              </w:rPr>
            </w:pPr>
          </w:p>
        </w:tc>
        <w:tc>
          <w:tcPr>
            <w:tcW w:w="2550" w:type="dxa"/>
            <w:vMerge w:val="continue"/>
            <w:vAlign w:val="center"/>
          </w:tcPr>
          <w:p w14:paraId="0FA0939C">
            <w:pPr>
              <w:keepNext w:val="0"/>
              <w:keepLines w:val="0"/>
              <w:widowControl/>
              <w:suppressLineNumbers w:val="0"/>
              <w:spacing w:before="0" w:beforeAutospacing="0" w:after="0" w:afterAutospacing="0"/>
              <w:ind w:left="0" w:right="0"/>
              <w:rPr>
                <w:rFonts w:hint="eastAsia" w:ascii="仿宋" w:hAnsi="仿宋" w:eastAsia="仿宋"/>
                <w:color w:val="auto"/>
                <w:highlight w:val="none"/>
              </w:rPr>
            </w:pPr>
          </w:p>
        </w:tc>
        <w:tc>
          <w:tcPr>
            <w:tcW w:w="956" w:type="dxa"/>
            <w:vMerge w:val="continue"/>
            <w:vAlign w:val="center"/>
          </w:tcPr>
          <w:p w14:paraId="1E4B705C">
            <w:pPr>
              <w:keepNext w:val="0"/>
              <w:keepLines w:val="0"/>
              <w:widowControl/>
              <w:suppressLineNumbers w:val="0"/>
              <w:spacing w:before="0" w:beforeAutospacing="0" w:after="0" w:afterAutospacing="0"/>
              <w:ind w:left="0" w:right="0"/>
              <w:rPr>
                <w:rFonts w:hint="eastAsia" w:ascii="仿宋" w:hAnsi="仿宋" w:eastAsia="仿宋"/>
                <w:color w:val="auto"/>
                <w:highlight w:val="none"/>
              </w:rPr>
            </w:pPr>
          </w:p>
        </w:tc>
        <w:tc>
          <w:tcPr>
            <w:tcW w:w="859" w:type="dxa"/>
            <w:vAlign w:val="center"/>
          </w:tcPr>
          <w:p w14:paraId="4F22451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综合</w:t>
            </w:r>
          </w:p>
          <w:p w14:paraId="70C1BB7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单价</w:t>
            </w:r>
          </w:p>
          <w:p w14:paraId="5341362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950" w:type="dxa"/>
            <w:vAlign w:val="center"/>
          </w:tcPr>
          <w:p w14:paraId="07C6FD9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税金</w:t>
            </w:r>
          </w:p>
          <w:p w14:paraId="77FB3CA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860" w:type="dxa"/>
            <w:vAlign w:val="center"/>
          </w:tcPr>
          <w:p w14:paraId="7C52D8B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合计</w:t>
            </w:r>
          </w:p>
          <w:p w14:paraId="1150BCA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850" w:type="dxa"/>
            <w:vAlign w:val="center"/>
          </w:tcPr>
          <w:p w14:paraId="6162E46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已完</w:t>
            </w:r>
          </w:p>
          <w:p w14:paraId="29E04B8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工程量</w:t>
            </w:r>
          </w:p>
        </w:tc>
        <w:tc>
          <w:tcPr>
            <w:tcW w:w="865" w:type="dxa"/>
            <w:vAlign w:val="center"/>
          </w:tcPr>
          <w:p w14:paraId="1CBE88A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合价</w:t>
            </w:r>
          </w:p>
          <w:p w14:paraId="548C7BB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848" w:type="dxa"/>
            <w:vAlign w:val="center"/>
          </w:tcPr>
          <w:p w14:paraId="2C73765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完成</w:t>
            </w:r>
          </w:p>
          <w:p w14:paraId="648FFDC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工程量</w:t>
            </w:r>
          </w:p>
        </w:tc>
        <w:tc>
          <w:tcPr>
            <w:tcW w:w="892" w:type="dxa"/>
            <w:vAlign w:val="center"/>
          </w:tcPr>
          <w:p w14:paraId="0306FBF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合价</w:t>
            </w:r>
          </w:p>
          <w:p w14:paraId="3DFD935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862" w:type="dxa"/>
            <w:vAlign w:val="center"/>
          </w:tcPr>
          <w:p w14:paraId="440B460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已完</w:t>
            </w:r>
          </w:p>
          <w:p w14:paraId="7F8B6DC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工程量</w:t>
            </w:r>
          </w:p>
        </w:tc>
        <w:tc>
          <w:tcPr>
            <w:tcW w:w="860" w:type="dxa"/>
            <w:vAlign w:val="center"/>
          </w:tcPr>
          <w:p w14:paraId="23009F8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default" w:ascii="仿宋" w:hAnsi="仿宋" w:eastAsia="仿宋" w:cs="仿宋"/>
                <w:color w:val="auto"/>
                <w:highlight w:val="none"/>
              </w:rPr>
              <w:t xml:space="preserve"> </w:t>
            </w:r>
            <w:r>
              <w:rPr>
                <w:rFonts w:hint="eastAsia" w:ascii="仿宋" w:hAnsi="仿宋" w:eastAsia="仿宋" w:cs="仿宋"/>
                <w:color w:val="auto"/>
                <w:highlight w:val="none"/>
              </w:rPr>
              <w:t>合价</w:t>
            </w:r>
          </w:p>
          <w:p w14:paraId="69F4C54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（元）</w:t>
            </w:r>
          </w:p>
        </w:tc>
      </w:tr>
      <w:tr w14:paraId="6A41B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71DB52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05F650C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5586B8A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2C66423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6A0651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0F62439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47C7B5F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539CDB3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4391901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4251790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4A9DD87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24871B6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6E33697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4562617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1D92F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75AFA06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6DAA725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3EF1D12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5DF23CC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3113910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56AFFD2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3890B1A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21FCAC7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75700AD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665BF4B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70C866B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5318C6C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788EB3E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1598AF8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15CB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29F853C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36B20D2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67B026B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6BC999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3010338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7896AEB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47B9A46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37E5026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679ABE8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368B297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13C2827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2813C69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19B6E4B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1870904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188C3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4D98D6A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7B6FB9B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083423F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5354215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5D8F7D9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64D2D1A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06C25A9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691A726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36A2C21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1CFBBCF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008C87A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2A3CCF3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79E51CC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658E20C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601B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55D0AE5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41BE5FA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3F69890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4EB9A95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43A1DDA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33C1E76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30D62A3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231D44E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34E87CF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560E50D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7E411F4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2359BD5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44C15E4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494B12C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294D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0E030CE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26139A7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5919B42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4A22003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156FC82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7C5D54A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2385937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5677EFF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523D8A2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1DE9050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0F73C79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67BD066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59AC9F9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4E7391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33009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631331D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726B81F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21657C1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4D55F0A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74FDBA9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44EB113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09010C6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0846A57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19458C7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1C2B3FE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423E2B2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660A222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2DCDFC3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52521BC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43799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37EA71B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3819135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350770E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798343A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3BC65F0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4438DDA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549CDD8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20EC9B2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3008153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4122726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618B1B8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30ABE28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4D1E69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22B2E14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1E2D3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2B4A239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564330E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6AB8668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3F42745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73759D3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021C697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1707066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038E314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0106668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6D98708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0C2103C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699B5C9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083BB82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7614FCA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05805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482B3F2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3E22D3D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5926F2E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46410FB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49048EC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4EE599E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594EA65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3950F70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7221BF0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13AB4B1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2D6B69A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0CC1C28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0051779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5066741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12FBA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278BBA3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3672D27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6E0162A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463222F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0C75360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07A6768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181DAD3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458A520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667A6C0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018E2D7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4672220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2390B93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021F5C2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081E71A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2C230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5C4950E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03B1EB9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5BA832C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550" w:type="dxa"/>
            <w:vAlign w:val="center"/>
          </w:tcPr>
          <w:p w14:paraId="5EB1199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6" w:type="dxa"/>
            <w:vAlign w:val="center"/>
          </w:tcPr>
          <w:p w14:paraId="4B2EB3A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59AE0D2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053BF0C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678FF68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18F2624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vAlign w:val="center"/>
          </w:tcPr>
          <w:p w14:paraId="25B11C9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16A22AF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665801D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594BEF2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51224E4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77EB7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57D5814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34CCB09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2BA08FF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本页小计</w:t>
            </w:r>
          </w:p>
        </w:tc>
        <w:tc>
          <w:tcPr>
            <w:tcW w:w="2550" w:type="dxa"/>
            <w:vAlign w:val="center"/>
          </w:tcPr>
          <w:p w14:paraId="49BFC62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956" w:type="dxa"/>
            <w:vAlign w:val="center"/>
          </w:tcPr>
          <w:p w14:paraId="5D21B4B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711D9AB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17C4D24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74C363A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06D3D00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tcPr>
          <w:p w14:paraId="06E11AE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04D2C34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249A31B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4A7218C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162DD90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r w14:paraId="12CE2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jc w:val="center"/>
        </w:trPr>
        <w:tc>
          <w:tcPr>
            <w:tcW w:w="741" w:type="dxa"/>
            <w:vAlign w:val="center"/>
          </w:tcPr>
          <w:p w14:paraId="1ED88B0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23" w:type="dxa"/>
            <w:vAlign w:val="center"/>
          </w:tcPr>
          <w:p w14:paraId="74597CA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1639" w:type="dxa"/>
            <w:vAlign w:val="center"/>
          </w:tcPr>
          <w:p w14:paraId="281003F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合计</w:t>
            </w:r>
          </w:p>
        </w:tc>
        <w:tc>
          <w:tcPr>
            <w:tcW w:w="2550" w:type="dxa"/>
            <w:vAlign w:val="center"/>
          </w:tcPr>
          <w:p w14:paraId="0974C06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元</w:t>
            </w:r>
          </w:p>
        </w:tc>
        <w:tc>
          <w:tcPr>
            <w:tcW w:w="956" w:type="dxa"/>
            <w:vAlign w:val="center"/>
          </w:tcPr>
          <w:p w14:paraId="5F06B0B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9" w:type="dxa"/>
            <w:vAlign w:val="center"/>
          </w:tcPr>
          <w:p w14:paraId="1EB6799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950" w:type="dxa"/>
            <w:vAlign w:val="center"/>
          </w:tcPr>
          <w:p w14:paraId="5964055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6D2D2F1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50" w:type="dxa"/>
            <w:vAlign w:val="center"/>
          </w:tcPr>
          <w:p w14:paraId="7973B14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5" w:type="dxa"/>
          </w:tcPr>
          <w:p w14:paraId="66651F2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48" w:type="dxa"/>
            <w:vAlign w:val="center"/>
          </w:tcPr>
          <w:p w14:paraId="5068E8B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92" w:type="dxa"/>
            <w:vAlign w:val="center"/>
          </w:tcPr>
          <w:p w14:paraId="63B4B49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2" w:type="dxa"/>
            <w:vAlign w:val="center"/>
          </w:tcPr>
          <w:p w14:paraId="26818F6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860" w:type="dxa"/>
            <w:vAlign w:val="center"/>
          </w:tcPr>
          <w:p w14:paraId="5366336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r>
    </w:tbl>
    <w:p w14:paraId="0A4D6334">
      <w:pPr>
        <w:spacing w:line="360" w:lineRule="auto"/>
        <w:ind w:firstLine="240" w:firstLineChars="1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编制：</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复核：</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承包人代表：</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日</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期：</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年</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月</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日</w:t>
      </w:r>
    </w:p>
    <w:p w14:paraId="55E37C1C">
      <w:pPr>
        <w:spacing w:line="360" w:lineRule="auto"/>
        <w:rPr>
          <w:rFonts w:hint="eastAsia" w:ascii="仿宋" w:hAnsi="仿宋" w:eastAsia="仿宋"/>
          <w:color w:val="auto"/>
          <w:highlight w:val="none"/>
          <w:lang w:eastAsia="zh-CN"/>
        </w:rPr>
        <w:sectPr>
          <w:endnotePr>
            <w:numFmt w:val="decimal"/>
          </w:endnotePr>
          <w:pgSz w:w="16838" w:h="11906" w:orient="landscape"/>
          <w:pgMar w:top="737" w:right="1418" w:bottom="737" w:left="851" w:header="0" w:footer="0" w:gutter="0"/>
          <w:cols w:space="720" w:num="1"/>
        </w:sectPr>
      </w:pPr>
    </w:p>
    <w:p w14:paraId="131D1D2F">
      <w:pPr>
        <w:spacing w:line="360" w:lineRule="auto"/>
        <w:outlineLvl w:val="1"/>
        <w:rPr>
          <w:rFonts w:hint="eastAsia" w:ascii="仿宋" w:hAnsi="仿宋" w:eastAsia="仿宋" w:cs="仿宋"/>
          <w:b/>
          <w:bCs/>
          <w:color w:val="auto"/>
          <w:highlight w:val="none"/>
          <w:lang w:eastAsia="zh-CN"/>
        </w:rPr>
      </w:pPr>
      <w:bookmarkStart w:id="2157" w:name="_Toc469384167"/>
      <w:bookmarkStart w:id="2158" w:name="_Toc266892953"/>
      <w:bookmarkStart w:id="2159" w:name="_Toc10625011"/>
      <w:bookmarkStart w:id="2160" w:name="_Toc6368"/>
      <w:bookmarkStart w:id="2161" w:name="_Toc29498"/>
      <w:bookmarkStart w:id="2162" w:name="_Toc22386"/>
      <w:bookmarkStart w:id="2163" w:name="_Toc31593"/>
      <w:bookmarkStart w:id="2164" w:name="_Toc4582"/>
      <w:bookmarkStart w:id="2165" w:name="_Toc20507"/>
      <w:bookmarkStart w:id="2166" w:name="_Toc25375"/>
      <w:bookmarkStart w:id="2167" w:name="_Toc28310"/>
      <w:bookmarkStart w:id="2168" w:name="_Toc22804"/>
      <w:bookmarkStart w:id="2169" w:name="_Toc12175"/>
      <w:bookmarkStart w:id="2170" w:name="_Toc32192"/>
      <w:bookmarkStart w:id="2171" w:name="_Toc27377"/>
      <w:bookmarkStart w:id="2172" w:name="_Toc10510"/>
      <w:bookmarkStart w:id="2173" w:name="_Toc13356"/>
      <w:bookmarkStart w:id="2174" w:name="_Toc11206"/>
      <w:bookmarkStart w:id="2175" w:name="_Toc26863"/>
      <w:bookmarkStart w:id="2176" w:name="_Toc9558"/>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2</w:t>
      </w:r>
      <w:bookmarkEnd w:id="2157"/>
      <w:bookmarkEnd w:id="2158"/>
      <w:bookmarkEnd w:id="2159"/>
      <w:r>
        <w:rPr>
          <w:rFonts w:hint="eastAsia" w:ascii="仿宋" w:hAnsi="仿宋" w:eastAsia="仿宋" w:cs="仿宋"/>
          <w:b/>
          <w:bCs/>
          <w:color w:val="auto"/>
          <w:highlight w:val="none"/>
          <w:lang w:eastAsia="zh-CN"/>
        </w:rPr>
        <w:t>8 支付申请</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5EF553D6">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支付申请</w:t>
      </w:r>
    </w:p>
    <w:p w14:paraId="049E28B0">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工程名称</w:t>
      </w:r>
      <w:r>
        <w:rPr>
          <w:rFonts w:ascii="仿宋" w:hAnsi="仿宋" w:eastAsia="仿宋" w:cs="仿宋"/>
          <w:color w:val="auto"/>
          <w:highlight w:val="none"/>
          <w:lang w:eastAsia="zh-CN"/>
        </w:rPr>
        <w:t>:</w:t>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编号</w:t>
      </w:r>
      <w:r>
        <w:rPr>
          <w:rFonts w:ascii="仿宋" w:hAnsi="仿宋" w:eastAsia="仿宋" w:cs="仿宋"/>
          <w:color w:val="auto"/>
          <w:highlight w:val="none"/>
          <w:lang w:eastAsia="zh-CN"/>
        </w:rPr>
        <w:t>:</w:t>
      </w:r>
    </w:p>
    <w:tbl>
      <w:tblPr>
        <w:tblStyle w:val="78"/>
        <w:tblW w:w="0" w:type="auto"/>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9070"/>
      </w:tblGrid>
      <w:tr w14:paraId="22667C9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1160" w:hRule="atLeast"/>
        </w:trPr>
        <w:tc>
          <w:tcPr>
            <w:tcW w:w="9070" w:type="dxa"/>
            <w:tcBorders>
              <w:bottom w:val="single" w:color="auto" w:sz="4" w:space="0"/>
            </w:tcBorders>
          </w:tcPr>
          <w:p w14:paraId="428BA9A6">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（工程造价咨询人（如有）全称）</w:t>
            </w:r>
          </w:p>
          <w:p w14:paraId="02F82A9D">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p>
          <w:p w14:paraId="05876C55">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我方于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至</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期间已完成了</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工作，根据施工合同条款</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的规定，现申请支付本期的工程款额为（大写）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（小写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），请予以复核和确认，并在支付证书签发后按合同规定时间内支付。</w:t>
            </w:r>
          </w:p>
          <w:p w14:paraId="37539B33">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p>
          <w:p w14:paraId="1D75C558">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rPr>
            </w:pPr>
            <w:r>
              <w:rPr>
                <w:rFonts w:hint="eastAsia" w:ascii="仿宋" w:hAnsi="仿宋" w:eastAsia="仿宋" w:cs="仿宋"/>
                <w:color w:val="auto"/>
                <w:highlight w:val="none"/>
              </w:rPr>
              <w:t>具体细目如下：</w:t>
            </w:r>
          </w:p>
          <w:tbl>
            <w:tblPr>
              <w:tblStyle w:val="7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8"/>
              <w:gridCol w:w="4861"/>
              <w:gridCol w:w="1424"/>
              <w:gridCol w:w="3031"/>
            </w:tblGrid>
            <w:tr w14:paraId="0BD90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5" w:hRule="exact"/>
              </w:trPr>
              <w:tc>
                <w:tcPr>
                  <w:tcW w:w="858" w:type="dxa"/>
                  <w:tcBorders>
                    <w:top w:val="single" w:color="auto" w:sz="4" w:space="0"/>
                    <w:left w:val="single" w:color="auto" w:sz="4" w:space="0"/>
                    <w:bottom w:val="single" w:color="auto" w:sz="4" w:space="0"/>
                    <w:right w:val="single" w:color="auto" w:sz="4" w:space="0"/>
                  </w:tcBorders>
                  <w:vAlign w:val="center"/>
                </w:tcPr>
                <w:p w14:paraId="4A2072A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序号</w:t>
                  </w:r>
                </w:p>
              </w:tc>
              <w:tc>
                <w:tcPr>
                  <w:tcW w:w="4861" w:type="dxa"/>
                  <w:tcBorders>
                    <w:top w:val="single" w:color="auto" w:sz="4" w:space="0"/>
                    <w:left w:val="single" w:color="auto" w:sz="4" w:space="0"/>
                    <w:bottom w:val="single" w:color="auto" w:sz="4" w:space="0"/>
                    <w:right w:val="single" w:color="auto" w:sz="4" w:space="0"/>
                  </w:tcBorders>
                  <w:vAlign w:val="center"/>
                </w:tcPr>
                <w:p w14:paraId="59DB0E3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名</w:t>
                  </w:r>
                  <w:r>
                    <w:rPr>
                      <w:rFonts w:hint="default" w:ascii="仿宋" w:hAnsi="仿宋" w:eastAsia="仿宋" w:cs="仿宋"/>
                      <w:color w:val="auto"/>
                      <w:highlight w:val="none"/>
                    </w:rPr>
                    <w:t xml:space="preserve">           </w:t>
                  </w:r>
                  <w:r>
                    <w:rPr>
                      <w:rFonts w:hint="eastAsia" w:ascii="仿宋" w:hAnsi="仿宋" w:eastAsia="仿宋" w:cs="仿宋"/>
                      <w:color w:val="auto"/>
                      <w:highlight w:val="none"/>
                    </w:rPr>
                    <w:t>称</w:t>
                  </w:r>
                </w:p>
              </w:tc>
              <w:tc>
                <w:tcPr>
                  <w:tcW w:w="1424" w:type="dxa"/>
                  <w:tcBorders>
                    <w:top w:val="single" w:color="auto" w:sz="4" w:space="0"/>
                    <w:left w:val="single" w:color="auto" w:sz="4" w:space="0"/>
                    <w:bottom w:val="single" w:color="auto" w:sz="4" w:space="0"/>
                    <w:right w:val="single" w:color="auto" w:sz="4" w:space="0"/>
                  </w:tcBorders>
                  <w:vAlign w:val="center"/>
                </w:tcPr>
                <w:p w14:paraId="43BC370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金</w:t>
                  </w:r>
                  <w:r>
                    <w:rPr>
                      <w:rFonts w:hint="default" w:ascii="仿宋" w:hAnsi="仿宋" w:eastAsia="仿宋" w:cs="仿宋"/>
                      <w:color w:val="auto"/>
                      <w:highlight w:val="none"/>
                    </w:rPr>
                    <w:t xml:space="preserve"> </w:t>
                  </w:r>
                  <w:r>
                    <w:rPr>
                      <w:rFonts w:hint="eastAsia" w:ascii="仿宋" w:hAnsi="仿宋" w:eastAsia="仿宋" w:cs="仿宋"/>
                      <w:color w:val="auto"/>
                      <w:highlight w:val="none"/>
                    </w:rPr>
                    <w:t>额（元）</w:t>
                  </w:r>
                </w:p>
              </w:tc>
              <w:tc>
                <w:tcPr>
                  <w:tcW w:w="3031" w:type="dxa"/>
                  <w:tcBorders>
                    <w:top w:val="single" w:color="auto" w:sz="4" w:space="0"/>
                    <w:left w:val="single" w:color="auto" w:sz="4" w:space="0"/>
                    <w:bottom w:val="single" w:color="auto" w:sz="4" w:space="0"/>
                    <w:right w:val="single" w:color="auto" w:sz="4" w:space="0"/>
                  </w:tcBorders>
                  <w:vAlign w:val="center"/>
                </w:tcPr>
                <w:p w14:paraId="26970CF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备</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注</w:t>
                  </w:r>
                </w:p>
              </w:tc>
            </w:tr>
            <w:tr w14:paraId="00E5B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trPr>
              <w:tc>
                <w:tcPr>
                  <w:tcW w:w="858" w:type="dxa"/>
                  <w:tcBorders>
                    <w:top w:val="single" w:color="auto" w:sz="4" w:space="0"/>
                    <w:left w:val="single" w:color="auto" w:sz="4" w:space="0"/>
                    <w:bottom w:val="single" w:color="auto" w:sz="4" w:space="0"/>
                    <w:right w:val="single" w:color="auto" w:sz="4" w:space="0"/>
                  </w:tcBorders>
                  <w:vAlign w:val="center"/>
                </w:tcPr>
                <w:p w14:paraId="20D134C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w:t>
                  </w:r>
                </w:p>
              </w:tc>
              <w:tc>
                <w:tcPr>
                  <w:tcW w:w="4861" w:type="dxa"/>
                  <w:tcBorders>
                    <w:top w:val="single" w:color="auto" w:sz="4" w:space="0"/>
                    <w:left w:val="single" w:color="auto" w:sz="4" w:space="0"/>
                    <w:bottom w:val="single" w:color="auto" w:sz="4" w:space="0"/>
                    <w:right w:val="single" w:color="auto" w:sz="4" w:space="0"/>
                  </w:tcBorders>
                  <w:vAlign w:val="center"/>
                </w:tcPr>
                <w:p w14:paraId="14E303AD">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累计已完工程价款</w:t>
                  </w:r>
                </w:p>
              </w:tc>
              <w:tc>
                <w:tcPr>
                  <w:tcW w:w="1424" w:type="dxa"/>
                  <w:tcBorders>
                    <w:top w:val="single" w:color="auto" w:sz="4" w:space="0"/>
                    <w:left w:val="single" w:color="auto" w:sz="4" w:space="0"/>
                    <w:bottom w:val="single" w:color="auto" w:sz="4" w:space="0"/>
                    <w:right w:val="single" w:color="auto" w:sz="4" w:space="0"/>
                  </w:tcBorders>
                  <w:vAlign w:val="center"/>
                </w:tcPr>
                <w:p w14:paraId="6410B29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031" w:type="dxa"/>
                  <w:tcBorders>
                    <w:top w:val="single" w:color="auto" w:sz="4" w:space="0"/>
                    <w:left w:val="single" w:color="auto" w:sz="4" w:space="0"/>
                    <w:bottom w:val="single" w:color="auto" w:sz="4" w:space="0"/>
                    <w:right w:val="single" w:color="auto" w:sz="4" w:space="0"/>
                  </w:tcBorders>
                  <w:vAlign w:val="center"/>
                </w:tcPr>
                <w:p w14:paraId="6FA0A4F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6001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exact"/>
              </w:trPr>
              <w:tc>
                <w:tcPr>
                  <w:tcW w:w="858" w:type="dxa"/>
                  <w:tcBorders>
                    <w:top w:val="single" w:color="auto" w:sz="4" w:space="0"/>
                    <w:left w:val="single" w:color="auto" w:sz="4" w:space="0"/>
                    <w:bottom w:val="single" w:color="auto" w:sz="4" w:space="0"/>
                    <w:right w:val="single" w:color="auto" w:sz="4" w:space="0"/>
                  </w:tcBorders>
                  <w:vAlign w:val="center"/>
                </w:tcPr>
                <w:p w14:paraId="075AEB9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2</w:t>
                  </w:r>
                </w:p>
              </w:tc>
              <w:tc>
                <w:tcPr>
                  <w:tcW w:w="4861" w:type="dxa"/>
                  <w:tcBorders>
                    <w:top w:val="single" w:color="auto" w:sz="4" w:space="0"/>
                    <w:left w:val="single" w:color="auto" w:sz="4" w:space="0"/>
                    <w:bottom w:val="single" w:color="auto" w:sz="4" w:space="0"/>
                    <w:right w:val="single" w:color="auto" w:sz="4" w:space="0"/>
                  </w:tcBorders>
                  <w:vAlign w:val="center"/>
                </w:tcPr>
                <w:p w14:paraId="460D1DF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累计已实际支付的工程价款</w:t>
                  </w:r>
                </w:p>
              </w:tc>
              <w:tc>
                <w:tcPr>
                  <w:tcW w:w="1424" w:type="dxa"/>
                  <w:tcBorders>
                    <w:top w:val="single" w:color="auto" w:sz="4" w:space="0"/>
                    <w:left w:val="single" w:color="auto" w:sz="4" w:space="0"/>
                    <w:bottom w:val="single" w:color="auto" w:sz="4" w:space="0"/>
                    <w:right w:val="single" w:color="auto" w:sz="4" w:space="0"/>
                  </w:tcBorders>
                  <w:vAlign w:val="center"/>
                </w:tcPr>
                <w:p w14:paraId="0043090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26BDF23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3B57B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858" w:type="dxa"/>
                  <w:tcBorders>
                    <w:top w:val="single" w:color="auto" w:sz="4" w:space="0"/>
                    <w:left w:val="single" w:color="auto" w:sz="4" w:space="0"/>
                    <w:bottom w:val="single" w:color="auto" w:sz="4" w:space="0"/>
                    <w:right w:val="single" w:color="auto" w:sz="4" w:space="0"/>
                  </w:tcBorders>
                  <w:vAlign w:val="center"/>
                </w:tcPr>
                <w:p w14:paraId="436C6AA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3</w:t>
                  </w:r>
                </w:p>
              </w:tc>
              <w:tc>
                <w:tcPr>
                  <w:tcW w:w="4861" w:type="dxa"/>
                  <w:tcBorders>
                    <w:top w:val="single" w:color="auto" w:sz="4" w:space="0"/>
                    <w:left w:val="single" w:color="auto" w:sz="4" w:space="0"/>
                    <w:bottom w:val="single" w:color="auto" w:sz="4" w:space="0"/>
                    <w:right w:val="single" w:color="auto" w:sz="4" w:space="0"/>
                  </w:tcBorders>
                  <w:vAlign w:val="center"/>
                </w:tcPr>
                <w:p w14:paraId="314380F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本期间已完工程价款</w:t>
                  </w:r>
                </w:p>
              </w:tc>
              <w:tc>
                <w:tcPr>
                  <w:tcW w:w="1424" w:type="dxa"/>
                  <w:tcBorders>
                    <w:top w:val="single" w:color="auto" w:sz="4" w:space="0"/>
                    <w:left w:val="single" w:color="auto" w:sz="4" w:space="0"/>
                    <w:bottom w:val="single" w:color="auto" w:sz="4" w:space="0"/>
                    <w:right w:val="single" w:color="auto" w:sz="4" w:space="0"/>
                  </w:tcBorders>
                  <w:vAlign w:val="center"/>
                </w:tcPr>
                <w:p w14:paraId="05B7AC2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3031" w:type="dxa"/>
                  <w:tcBorders>
                    <w:top w:val="single" w:color="auto" w:sz="4" w:space="0"/>
                    <w:left w:val="single" w:color="auto" w:sz="4" w:space="0"/>
                    <w:bottom w:val="single" w:color="auto" w:sz="4" w:space="0"/>
                    <w:right w:val="single" w:color="auto" w:sz="4" w:space="0"/>
                  </w:tcBorders>
                  <w:vAlign w:val="center"/>
                </w:tcPr>
                <w:p w14:paraId="7254D40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33582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rPr>
              <w:tc>
                <w:tcPr>
                  <w:tcW w:w="858" w:type="dxa"/>
                  <w:tcBorders>
                    <w:top w:val="single" w:color="auto" w:sz="4" w:space="0"/>
                    <w:left w:val="single" w:color="auto" w:sz="4" w:space="0"/>
                    <w:bottom w:val="single" w:color="auto" w:sz="4" w:space="0"/>
                    <w:right w:val="single" w:color="auto" w:sz="4" w:space="0"/>
                  </w:tcBorders>
                  <w:vAlign w:val="center"/>
                </w:tcPr>
                <w:p w14:paraId="2EE6C44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4</w:t>
                  </w:r>
                </w:p>
              </w:tc>
              <w:tc>
                <w:tcPr>
                  <w:tcW w:w="4861" w:type="dxa"/>
                  <w:tcBorders>
                    <w:top w:val="single" w:color="auto" w:sz="4" w:space="0"/>
                    <w:left w:val="single" w:color="auto" w:sz="4" w:space="0"/>
                    <w:bottom w:val="single" w:color="auto" w:sz="4" w:space="0"/>
                    <w:right w:val="single" w:color="auto" w:sz="4" w:space="0"/>
                  </w:tcBorders>
                  <w:vAlign w:val="center"/>
                </w:tcPr>
                <w:p w14:paraId="6605B2B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本期间完成的零星工作项目价款</w:t>
                  </w:r>
                </w:p>
              </w:tc>
              <w:tc>
                <w:tcPr>
                  <w:tcW w:w="1424" w:type="dxa"/>
                  <w:tcBorders>
                    <w:top w:val="single" w:color="auto" w:sz="4" w:space="0"/>
                    <w:left w:val="single" w:color="auto" w:sz="4" w:space="0"/>
                    <w:bottom w:val="single" w:color="auto" w:sz="4" w:space="0"/>
                    <w:right w:val="single" w:color="auto" w:sz="4" w:space="0"/>
                  </w:tcBorders>
                  <w:vAlign w:val="center"/>
                </w:tcPr>
                <w:p w14:paraId="03A5C9C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0A3BCDF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713CF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exact"/>
              </w:trPr>
              <w:tc>
                <w:tcPr>
                  <w:tcW w:w="858" w:type="dxa"/>
                  <w:tcBorders>
                    <w:top w:val="single" w:color="auto" w:sz="4" w:space="0"/>
                    <w:left w:val="single" w:color="auto" w:sz="4" w:space="0"/>
                    <w:bottom w:val="single" w:color="auto" w:sz="4" w:space="0"/>
                    <w:right w:val="single" w:color="auto" w:sz="4" w:space="0"/>
                  </w:tcBorders>
                  <w:vAlign w:val="center"/>
                </w:tcPr>
                <w:p w14:paraId="5887F4F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5</w:t>
                  </w:r>
                </w:p>
              </w:tc>
              <w:tc>
                <w:tcPr>
                  <w:tcW w:w="4861" w:type="dxa"/>
                  <w:tcBorders>
                    <w:top w:val="single" w:color="auto" w:sz="4" w:space="0"/>
                    <w:left w:val="single" w:color="auto" w:sz="4" w:space="0"/>
                    <w:bottom w:val="single" w:color="auto" w:sz="4" w:space="0"/>
                    <w:right w:val="single" w:color="auto" w:sz="4" w:space="0"/>
                  </w:tcBorders>
                  <w:vAlign w:val="center"/>
                </w:tcPr>
                <w:p w14:paraId="72CE13F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本期间应支付的预留金价款</w:t>
                  </w:r>
                </w:p>
              </w:tc>
              <w:tc>
                <w:tcPr>
                  <w:tcW w:w="1424" w:type="dxa"/>
                  <w:tcBorders>
                    <w:top w:val="single" w:color="auto" w:sz="4" w:space="0"/>
                    <w:left w:val="single" w:color="auto" w:sz="4" w:space="0"/>
                    <w:bottom w:val="single" w:color="auto" w:sz="4" w:space="0"/>
                    <w:right w:val="single" w:color="auto" w:sz="4" w:space="0"/>
                  </w:tcBorders>
                  <w:vAlign w:val="center"/>
                </w:tcPr>
                <w:p w14:paraId="66E15302">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6D3A50D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45FE7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exact"/>
              </w:trPr>
              <w:tc>
                <w:tcPr>
                  <w:tcW w:w="858" w:type="dxa"/>
                  <w:tcBorders>
                    <w:top w:val="single" w:color="auto" w:sz="4" w:space="0"/>
                    <w:left w:val="single" w:color="auto" w:sz="4" w:space="0"/>
                    <w:bottom w:val="single" w:color="auto" w:sz="4" w:space="0"/>
                    <w:right w:val="single" w:color="auto" w:sz="4" w:space="0"/>
                  </w:tcBorders>
                  <w:vAlign w:val="center"/>
                </w:tcPr>
                <w:p w14:paraId="4C28B40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6</w:t>
                  </w:r>
                </w:p>
              </w:tc>
              <w:tc>
                <w:tcPr>
                  <w:tcW w:w="4861" w:type="dxa"/>
                  <w:tcBorders>
                    <w:top w:val="single" w:color="auto" w:sz="4" w:space="0"/>
                    <w:left w:val="single" w:color="auto" w:sz="4" w:space="0"/>
                    <w:bottom w:val="single" w:color="auto" w:sz="4" w:space="0"/>
                    <w:right w:val="single" w:color="auto" w:sz="4" w:space="0"/>
                  </w:tcBorders>
                  <w:vAlign w:val="center"/>
                </w:tcPr>
                <w:p w14:paraId="5090902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本期间应支付的工程变更价款</w:t>
                  </w:r>
                </w:p>
              </w:tc>
              <w:tc>
                <w:tcPr>
                  <w:tcW w:w="1424" w:type="dxa"/>
                  <w:tcBorders>
                    <w:top w:val="single" w:color="auto" w:sz="4" w:space="0"/>
                    <w:left w:val="single" w:color="auto" w:sz="4" w:space="0"/>
                    <w:bottom w:val="single" w:color="auto" w:sz="4" w:space="0"/>
                    <w:right w:val="single" w:color="auto" w:sz="4" w:space="0"/>
                  </w:tcBorders>
                  <w:vAlign w:val="center"/>
                </w:tcPr>
                <w:p w14:paraId="54F7B0F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3D4CCA6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66</w:t>
                  </w:r>
                  <w:r>
                    <w:rPr>
                      <w:rFonts w:hint="eastAsia" w:ascii="仿宋" w:hAnsi="仿宋" w:eastAsia="仿宋" w:cs="仿宋"/>
                      <w:color w:val="auto"/>
                      <w:highlight w:val="none"/>
                    </w:rPr>
                    <w:t>条</w:t>
                  </w:r>
                </w:p>
              </w:tc>
            </w:tr>
            <w:tr w14:paraId="02CC3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trPr>
              <w:tc>
                <w:tcPr>
                  <w:tcW w:w="858" w:type="dxa"/>
                  <w:tcBorders>
                    <w:top w:val="single" w:color="auto" w:sz="4" w:space="0"/>
                    <w:left w:val="single" w:color="auto" w:sz="4" w:space="0"/>
                    <w:bottom w:val="single" w:color="auto" w:sz="4" w:space="0"/>
                    <w:right w:val="single" w:color="auto" w:sz="4" w:space="0"/>
                  </w:tcBorders>
                  <w:vAlign w:val="center"/>
                </w:tcPr>
                <w:p w14:paraId="4D475F1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7</w:t>
                  </w:r>
                </w:p>
              </w:tc>
              <w:tc>
                <w:tcPr>
                  <w:tcW w:w="4861" w:type="dxa"/>
                  <w:tcBorders>
                    <w:top w:val="single" w:color="auto" w:sz="4" w:space="0"/>
                    <w:left w:val="single" w:color="auto" w:sz="4" w:space="0"/>
                    <w:bottom w:val="single" w:color="auto" w:sz="4" w:space="0"/>
                    <w:right w:val="single" w:color="auto" w:sz="4" w:space="0"/>
                  </w:tcBorders>
                  <w:vAlign w:val="center"/>
                </w:tcPr>
                <w:p w14:paraId="461826E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本期间应支付的安全防护、文明施工措施费</w:t>
                  </w:r>
                </w:p>
              </w:tc>
              <w:tc>
                <w:tcPr>
                  <w:tcW w:w="1424" w:type="dxa"/>
                  <w:tcBorders>
                    <w:top w:val="single" w:color="auto" w:sz="4" w:space="0"/>
                    <w:left w:val="single" w:color="auto" w:sz="4" w:space="0"/>
                    <w:bottom w:val="single" w:color="auto" w:sz="4" w:space="0"/>
                    <w:right w:val="single" w:color="auto" w:sz="4" w:space="0"/>
                  </w:tcBorders>
                  <w:vAlign w:val="center"/>
                </w:tcPr>
                <w:p w14:paraId="279A8B6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6EE2831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68</w:t>
                  </w:r>
                  <w:r>
                    <w:rPr>
                      <w:rFonts w:hint="eastAsia" w:ascii="仿宋" w:hAnsi="仿宋" w:eastAsia="仿宋" w:cs="仿宋"/>
                      <w:color w:val="auto"/>
                      <w:highlight w:val="none"/>
                    </w:rPr>
                    <w:t>条至第</w:t>
                  </w:r>
                  <w:r>
                    <w:rPr>
                      <w:rFonts w:hint="default" w:ascii="仿宋" w:hAnsi="仿宋" w:eastAsia="仿宋" w:cs="仿宋"/>
                      <w:color w:val="auto"/>
                      <w:highlight w:val="none"/>
                    </w:rPr>
                    <w:t xml:space="preserve"> 76 </w:t>
                  </w:r>
                  <w:r>
                    <w:rPr>
                      <w:rFonts w:hint="eastAsia" w:ascii="仿宋" w:hAnsi="仿宋" w:eastAsia="仿宋" w:cs="仿宋"/>
                      <w:color w:val="auto"/>
                      <w:highlight w:val="none"/>
                    </w:rPr>
                    <w:t>条</w:t>
                  </w:r>
                </w:p>
              </w:tc>
            </w:tr>
            <w:tr w14:paraId="54828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exact"/>
              </w:trPr>
              <w:tc>
                <w:tcPr>
                  <w:tcW w:w="858" w:type="dxa"/>
                  <w:tcBorders>
                    <w:top w:val="single" w:color="auto" w:sz="4" w:space="0"/>
                    <w:left w:val="single" w:color="auto" w:sz="4" w:space="0"/>
                    <w:bottom w:val="single" w:color="auto" w:sz="4" w:space="0"/>
                    <w:right w:val="single" w:color="auto" w:sz="4" w:space="0"/>
                  </w:tcBorders>
                  <w:vAlign w:val="center"/>
                </w:tcPr>
                <w:p w14:paraId="6F1AB9A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8</w:t>
                  </w:r>
                </w:p>
              </w:tc>
              <w:tc>
                <w:tcPr>
                  <w:tcW w:w="4861" w:type="dxa"/>
                  <w:tcBorders>
                    <w:top w:val="single" w:color="auto" w:sz="4" w:space="0"/>
                    <w:left w:val="single" w:color="auto" w:sz="4" w:space="0"/>
                    <w:bottom w:val="single" w:color="auto" w:sz="4" w:space="0"/>
                    <w:right w:val="single" w:color="auto" w:sz="4" w:space="0"/>
                  </w:tcBorders>
                  <w:vAlign w:val="center"/>
                </w:tcPr>
                <w:p w14:paraId="6F52699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物价和后继法律法规的调整价款</w:t>
                  </w:r>
                </w:p>
              </w:tc>
              <w:tc>
                <w:tcPr>
                  <w:tcW w:w="1424" w:type="dxa"/>
                  <w:tcBorders>
                    <w:top w:val="single" w:color="auto" w:sz="4" w:space="0"/>
                    <w:left w:val="single" w:color="auto" w:sz="4" w:space="0"/>
                    <w:bottom w:val="single" w:color="auto" w:sz="4" w:space="0"/>
                    <w:right w:val="single" w:color="auto" w:sz="4" w:space="0"/>
                  </w:tcBorders>
                  <w:vAlign w:val="center"/>
                </w:tcPr>
                <w:p w14:paraId="47AA59F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6D4A3FE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79</w:t>
                  </w:r>
                  <w:r>
                    <w:rPr>
                      <w:rFonts w:hint="eastAsia" w:ascii="仿宋" w:hAnsi="仿宋" w:eastAsia="仿宋" w:cs="仿宋"/>
                      <w:color w:val="auto"/>
                      <w:highlight w:val="none"/>
                    </w:rPr>
                    <w:t>条</w:t>
                  </w:r>
                </w:p>
              </w:tc>
            </w:tr>
            <w:tr w14:paraId="53703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rPr>
              <w:tc>
                <w:tcPr>
                  <w:tcW w:w="858" w:type="dxa"/>
                  <w:tcBorders>
                    <w:top w:val="single" w:color="auto" w:sz="4" w:space="0"/>
                    <w:left w:val="single" w:color="auto" w:sz="4" w:space="0"/>
                    <w:bottom w:val="single" w:color="auto" w:sz="4" w:space="0"/>
                    <w:right w:val="single" w:color="auto" w:sz="4" w:space="0"/>
                  </w:tcBorders>
                  <w:vAlign w:val="center"/>
                </w:tcPr>
                <w:p w14:paraId="2E4FAC0C">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9</w:t>
                  </w:r>
                </w:p>
              </w:tc>
              <w:tc>
                <w:tcPr>
                  <w:tcW w:w="4861" w:type="dxa"/>
                  <w:tcBorders>
                    <w:top w:val="single" w:color="auto" w:sz="4" w:space="0"/>
                    <w:left w:val="single" w:color="auto" w:sz="4" w:space="0"/>
                    <w:bottom w:val="single" w:color="auto" w:sz="4" w:space="0"/>
                    <w:right w:val="single" w:color="auto" w:sz="4" w:space="0"/>
                  </w:tcBorders>
                  <w:vAlign w:val="center"/>
                </w:tcPr>
                <w:p w14:paraId="41880C8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本期间应扣除的误期赔偿费</w:t>
                  </w:r>
                </w:p>
              </w:tc>
              <w:tc>
                <w:tcPr>
                  <w:tcW w:w="1424" w:type="dxa"/>
                  <w:tcBorders>
                    <w:top w:val="single" w:color="auto" w:sz="4" w:space="0"/>
                    <w:left w:val="single" w:color="auto" w:sz="4" w:space="0"/>
                    <w:bottom w:val="single" w:color="auto" w:sz="4" w:space="0"/>
                    <w:right w:val="single" w:color="auto" w:sz="4" w:space="0"/>
                  </w:tcBorders>
                  <w:vAlign w:val="center"/>
                </w:tcPr>
                <w:p w14:paraId="1B56159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5086838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80</w:t>
                  </w:r>
                  <w:r>
                    <w:rPr>
                      <w:rFonts w:hint="eastAsia" w:ascii="仿宋" w:hAnsi="仿宋" w:eastAsia="仿宋" w:cs="仿宋"/>
                      <w:color w:val="auto"/>
                      <w:highlight w:val="none"/>
                    </w:rPr>
                    <w:t>条</w:t>
                  </w:r>
                </w:p>
              </w:tc>
            </w:tr>
            <w:tr w14:paraId="115EE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exact"/>
              </w:trPr>
              <w:tc>
                <w:tcPr>
                  <w:tcW w:w="858" w:type="dxa"/>
                  <w:tcBorders>
                    <w:top w:val="single" w:color="auto" w:sz="4" w:space="0"/>
                    <w:left w:val="single" w:color="auto" w:sz="4" w:space="0"/>
                    <w:bottom w:val="single" w:color="auto" w:sz="4" w:space="0"/>
                    <w:right w:val="single" w:color="auto" w:sz="4" w:space="0"/>
                  </w:tcBorders>
                  <w:vAlign w:val="center"/>
                </w:tcPr>
                <w:p w14:paraId="12879DB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10</w:t>
                  </w:r>
                </w:p>
              </w:tc>
              <w:tc>
                <w:tcPr>
                  <w:tcW w:w="4861" w:type="dxa"/>
                  <w:tcBorders>
                    <w:top w:val="single" w:color="auto" w:sz="4" w:space="0"/>
                    <w:left w:val="single" w:color="auto" w:sz="4" w:space="0"/>
                    <w:bottom w:val="single" w:color="auto" w:sz="4" w:space="0"/>
                    <w:right w:val="single" w:color="auto" w:sz="4" w:space="0"/>
                  </w:tcBorders>
                  <w:vAlign w:val="center"/>
                </w:tcPr>
                <w:p w14:paraId="77B98A4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本期间应扣回的预付款</w:t>
                  </w:r>
                </w:p>
              </w:tc>
              <w:tc>
                <w:tcPr>
                  <w:tcW w:w="1424" w:type="dxa"/>
                  <w:tcBorders>
                    <w:top w:val="single" w:color="auto" w:sz="4" w:space="0"/>
                    <w:left w:val="single" w:color="auto" w:sz="4" w:space="0"/>
                    <w:bottom w:val="single" w:color="auto" w:sz="4" w:space="0"/>
                    <w:right w:val="single" w:color="auto" w:sz="4" w:space="0"/>
                  </w:tcBorders>
                  <w:vAlign w:val="center"/>
                </w:tcPr>
                <w:p w14:paraId="23F9E29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447681D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84</w:t>
                  </w:r>
                  <w:r>
                    <w:rPr>
                      <w:rFonts w:hint="eastAsia" w:ascii="仿宋" w:hAnsi="仿宋" w:eastAsia="仿宋" w:cs="仿宋"/>
                      <w:color w:val="auto"/>
                      <w:highlight w:val="none"/>
                    </w:rPr>
                    <w:t>条</w:t>
                  </w:r>
                </w:p>
              </w:tc>
            </w:tr>
            <w:tr w14:paraId="266FC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exact"/>
              </w:trPr>
              <w:tc>
                <w:tcPr>
                  <w:tcW w:w="858" w:type="dxa"/>
                  <w:tcBorders>
                    <w:top w:val="single" w:color="auto" w:sz="4" w:space="0"/>
                    <w:left w:val="single" w:color="auto" w:sz="4" w:space="0"/>
                    <w:bottom w:val="single" w:color="auto" w:sz="4" w:space="0"/>
                    <w:right w:val="single" w:color="auto" w:sz="4" w:space="0"/>
                  </w:tcBorders>
                  <w:vAlign w:val="center"/>
                </w:tcPr>
                <w:p w14:paraId="00347A3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11</w:t>
                  </w:r>
                </w:p>
              </w:tc>
              <w:tc>
                <w:tcPr>
                  <w:tcW w:w="4861" w:type="dxa"/>
                  <w:tcBorders>
                    <w:top w:val="single" w:color="auto" w:sz="4" w:space="0"/>
                    <w:left w:val="single" w:color="auto" w:sz="4" w:space="0"/>
                    <w:bottom w:val="single" w:color="auto" w:sz="4" w:space="0"/>
                    <w:right w:val="single" w:color="auto" w:sz="4" w:space="0"/>
                  </w:tcBorders>
                  <w:vAlign w:val="center"/>
                </w:tcPr>
                <w:p w14:paraId="78403FF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本期间应扣留的质量保证金</w:t>
                  </w:r>
                </w:p>
              </w:tc>
              <w:tc>
                <w:tcPr>
                  <w:tcW w:w="1424" w:type="dxa"/>
                  <w:tcBorders>
                    <w:top w:val="single" w:color="auto" w:sz="4" w:space="0"/>
                    <w:left w:val="single" w:color="auto" w:sz="4" w:space="0"/>
                    <w:bottom w:val="single" w:color="auto" w:sz="4" w:space="0"/>
                    <w:right w:val="single" w:color="auto" w:sz="4" w:space="0"/>
                  </w:tcBorders>
                  <w:vAlign w:val="center"/>
                </w:tcPr>
                <w:p w14:paraId="53E3510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52A887D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78AA3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exact"/>
              </w:trPr>
              <w:tc>
                <w:tcPr>
                  <w:tcW w:w="858" w:type="dxa"/>
                  <w:tcBorders>
                    <w:top w:val="single" w:color="auto" w:sz="4" w:space="0"/>
                    <w:left w:val="single" w:color="auto" w:sz="4" w:space="0"/>
                    <w:bottom w:val="single" w:color="auto" w:sz="4" w:space="0"/>
                    <w:right w:val="single" w:color="auto" w:sz="4" w:space="0"/>
                  </w:tcBorders>
                  <w:vAlign w:val="center"/>
                </w:tcPr>
                <w:p w14:paraId="2A34EA4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12</w:t>
                  </w:r>
                </w:p>
              </w:tc>
              <w:tc>
                <w:tcPr>
                  <w:tcW w:w="4861" w:type="dxa"/>
                  <w:tcBorders>
                    <w:top w:val="single" w:color="auto" w:sz="4" w:space="0"/>
                    <w:left w:val="single" w:color="auto" w:sz="4" w:space="0"/>
                    <w:bottom w:val="single" w:color="auto" w:sz="4" w:space="0"/>
                    <w:right w:val="single" w:color="auto" w:sz="4" w:space="0"/>
                  </w:tcBorders>
                  <w:vAlign w:val="center"/>
                </w:tcPr>
                <w:p w14:paraId="4B0CBA73">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本期间应支付或扣回（留）的其他款项</w:t>
                  </w:r>
                </w:p>
              </w:tc>
              <w:tc>
                <w:tcPr>
                  <w:tcW w:w="1424" w:type="dxa"/>
                  <w:tcBorders>
                    <w:top w:val="single" w:color="auto" w:sz="4" w:space="0"/>
                    <w:left w:val="single" w:color="auto" w:sz="4" w:space="0"/>
                    <w:bottom w:val="single" w:color="auto" w:sz="4" w:space="0"/>
                    <w:right w:val="single" w:color="auto" w:sz="4" w:space="0"/>
                  </w:tcBorders>
                  <w:vAlign w:val="center"/>
                </w:tcPr>
                <w:p w14:paraId="4259B60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06A8113E">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5EC66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exact"/>
              </w:trPr>
              <w:tc>
                <w:tcPr>
                  <w:tcW w:w="858" w:type="dxa"/>
                  <w:tcBorders>
                    <w:top w:val="single" w:color="auto" w:sz="4" w:space="0"/>
                    <w:left w:val="single" w:color="auto" w:sz="4" w:space="0"/>
                    <w:bottom w:val="single" w:color="auto" w:sz="4" w:space="0"/>
                    <w:right w:val="single" w:color="auto" w:sz="4" w:space="0"/>
                  </w:tcBorders>
                  <w:vAlign w:val="center"/>
                </w:tcPr>
                <w:p w14:paraId="3557189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4861" w:type="dxa"/>
                  <w:tcBorders>
                    <w:top w:val="single" w:color="auto" w:sz="4" w:space="0"/>
                    <w:left w:val="single" w:color="auto" w:sz="4" w:space="0"/>
                    <w:bottom w:val="single" w:color="auto" w:sz="4" w:space="0"/>
                    <w:right w:val="single" w:color="auto" w:sz="4" w:space="0"/>
                  </w:tcBorders>
                  <w:vAlign w:val="center"/>
                </w:tcPr>
                <w:p w14:paraId="69583F8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c>
                <w:tcPr>
                  <w:tcW w:w="1424" w:type="dxa"/>
                  <w:tcBorders>
                    <w:top w:val="single" w:color="auto" w:sz="4" w:space="0"/>
                    <w:left w:val="single" w:color="auto" w:sz="4" w:space="0"/>
                    <w:bottom w:val="single" w:color="auto" w:sz="4" w:space="0"/>
                    <w:right w:val="single" w:color="auto" w:sz="4" w:space="0"/>
                  </w:tcBorders>
                  <w:vAlign w:val="center"/>
                </w:tcPr>
                <w:p w14:paraId="798A5850">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4B6AE45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1B3B4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trPr>
              <w:tc>
                <w:tcPr>
                  <w:tcW w:w="858" w:type="dxa"/>
                  <w:tcBorders>
                    <w:top w:val="single" w:color="auto" w:sz="4" w:space="0"/>
                    <w:left w:val="single" w:color="auto" w:sz="4" w:space="0"/>
                    <w:bottom w:val="single" w:color="auto" w:sz="4" w:space="0"/>
                    <w:right w:val="single" w:color="auto" w:sz="4" w:space="0"/>
                  </w:tcBorders>
                  <w:vAlign w:val="center"/>
                </w:tcPr>
                <w:p w14:paraId="7B77B7D8">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4861" w:type="dxa"/>
                  <w:tcBorders>
                    <w:top w:val="single" w:color="auto" w:sz="4" w:space="0"/>
                    <w:left w:val="single" w:color="auto" w:sz="4" w:space="0"/>
                    <w:bottom w:val="single" w:color="auto" w:sz="4" w:space="0"/>
                    <w:right w:val="single" w:color="auto" w:sz="4" w:space="0"/>
                  </w:tcBorders>
                  <w:vAlign w:val="center"/>
                </w:tcPr>
                <w:p w14:paraId="3AD4C1F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本期间应支付的工程价款</w:t>
                  </w:r>
                </w:p>
              </w:tc>
              <w:tc>
                <w:tcPr>
                  <w:tcW w:w="1424" w:type="dxa"/>
                  <w:tcBorders>
                    <w:top w:val="single" w:color="auto" w:sz="4" w:space="0"/>
                    <w:left w:val="single" w:color="auto" w:sz="4" w:space="0"/>
                    <w:bottom w:val="single" w:color="auto" w:sz="4" w:space="0"/>
                    <w:right w:val="single" w:color="auto" w:sz="4" w:space="0"/>
                  </w:tcBorders>
                  <w:vAlign w:val="center"/>
                </w:tcPr>
                <w:p w14:paraId="0F2316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3031" w:type="dxa"/>
                  <w:tcBorders>
                    <w:top w:val="single" w:color="auto" w:sz="4" w:space="0"/>
                    <w:left w:val="single" w:color="auto" w:sz="4" w:space="0"/>
                    <w:bottom w:val="single" w:color="auto" w:sz="4" w:space="0"/>
                    <w:right w:val="single" w:color="auto" w:sz="4" w:space="0"/>
                  </w:tcBorders>
                  <w:vAlign w:val="center"/>
                </w:tcPr>
                <w:p w14:paraId="50139B5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bl>
          <w:p w14:paraId="4BF0AFB8">
            <w:pPr>
              <w:keepNext w:val="0"/>
              <w:keepLines w:val="0"/>
              <w:widowControl/>
              <w:suppressLineNumbers w:val="0"/>
              <w:tabs>
                <w:tab w:val="left" w:pos="6912"/>
              </w:tabs>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附：</w:t>
            </w:r>
          </w:p>
          <w:p w14:paraId="6B920A2C">
            <w:pPr>
              <w:keepNext w:val="0"/>
              <w:keepLines w:val="0"/>
              <w:widowControl/>
              <w:suppressLineNumbers w:val="0"/>
              <w:tabs>
                <w:tab w:val="left" w:pos="6912"/>
              </w:tabs>
              <w:spacing w:before="0" w:beforeAutospacing="0" w:after="0" w:afterAutospacing="0" w:line="360" w:lineRule="auto"/>
              <w:ind w:left="420" w:right="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有关证明资料；</w:t>
            </w:r>
          </w:p>
          <w:p w14:paraId="5C9D1C24">
            <w:pPr>
              <w:keepNext w:val="0"/>
              <w:keepLines w:val="0"/>
              <w:widowControl/>
              <w:suppressLineNumbers w:val="0"/>
              <w:tabs>
                <w:tab w:val="left" w:pos="6912"/>
              </w:tabs>
              <w:spacing w:before="0" w:beforeAutospacing="0" w:after="0" w:afterAutospacing="0" w:line="360" w:lineRule="auto"/>
              <w:ind w:left="420" w:right="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计算过程及说明。</w:t>
            </w:r>
          </w:p>
          <w:p w14:paraId="124D691F">
            <w:pPr>
              <w:keepNext w:val="0"/>
              <w:keepLines w:val="0"/>
              <w:widowControl/>
              <w:suppressLineNumbers w:val="0"/>
              <w:tabs>
                <w:tab w:val="left" w:pos="6912"/>
              </w:tabs>
              <w:spacing w:before="0" w:beforeAutospacing="0" w:after="0" w:afterAutospacing="0" w:line="360" w:lineRule="auto"/>
              <w:ind w:left="0" w:right="0" w:firstLine="6720" w:firstLineChars="2800"/>
              <w:rPr>
                <w:rFonts w:hint="eastAsia" w:ascii="仿宋" w:hAnsi="仿宋" w:eastAsia="仿宋"/>
                <w:color w:val="auto"/>
                <w:highlight w:val="none"/>
                <w:lang w:eastAsia="zh-CN"/>
              </w:rPr>
            </w:pPr>
          </w:p>
          <w:p w14:paraId="3EC68E26">
            <w:pPr>
              <w:keepNext w:val="0"/>
              <w:keepLines w:val="0"/>
              <w:widowControl/>
              <w:suppressLineNumbers w:val="0"/>
              <w:tabs>
                <w:tab w:val="left" w:pos="6912"/>
              </w:tabs>
              <w:spacing w:before="0" w:beforeAutospacing="0" w:after="0" w:afterAutospacing="0" w:line="360" w:lineRule="auto"/>
              <w:ind w:left="0" w:right="0" w:firstLine="6720" w:firstLineChars="2800"/>
              <w:rPr>
                <w:rFonts w:hint="eastAsia" w:ascii="仿宋" w:hAnsi="仿宋" w:eastAsia="仿宋"/>
                <w:color w:val="auto"/>
                <w:highlight w:val="none"/>
                <w:lang w:eastAsia="zh-CN"/>
              </w:rPr>
            </w:pPr>
          </w:p>
          <w:p w14:paraId="62481102">
            <w:pPr>
              <w:keepNext w:val="0"/>
              <w:keepLines w:val="0"/>
              <w:widowControl/>
              <w:suppressLineNumbers w:val="0"/>
              <w:tabs>
                <w:tab w:val="left" w:pos="6912"/>
              </w:tabs>
              <w:spacing w:before="0" w:beforeAutospacing="0" w:after="0" w:afterAutospacing="0" w:line="360" w:lineRule="auto"/>
              <w:ind w:left="0" w:right="0" w:firstLine="6720" w:firstLineChars="2800"/>
              <w:rPr>
                <w:rFonts w:hint="eastAsia" w:ascii="仿宋" w:hAnsi="仿宋" w:eastAsia="仿宋"/>
                <w:color w:val="auto"/>
                <w:highlight w:val="none"/>
                <w:lang w:eastAsia="zh-CN"/>
              </w:rPr>
            </w:pPr>
          </w:p>
          <w:p w14:paraId="01C16554">
            <w:pPr>
              <w:keepNext w:val="0"/>
              <w:keepLines w:val="0"/>
              <w:widowControl/>
              <w:suppressLineNumbers w:val="0"/>
              <w:tabs>
                <w:tab w:val="left" w:pos="6912"/>
              </w:tabs>
              <w:spacing w:before="0" w:beforeAutospacing="0" w:after="0" w:afterAutospacing="0" w:line="360" w:lineRule="auto"/>
              <w:ind w:left="0" w:right="0" w:firstLine="6720" w:firstLineChars="2800"/>
              <w:rPr>
                <w:rFonts w:hint="eastAsia" w:ascii="仿宋" w:hAnsi="仿宋" w:eastAsia="仿宋"/>
                <w:color w:val="auto"/>
                <w:highlight w:val="none"/>
                <w:u w:val="single"/>
              </w:rPr>
            </w:pPr>
            <w:r>
              <w:rPr>
                <w:rFonts w:hint="eastAsia" w:ascii="仿宋" w:hAnsi="仿宋" w:eastAsia="仿宋" w:cs="仿宋"/>
                <w:color w:val="auto"/>
                <w:highlight w:val="none"/>
              </w:rPr>
              <w:t>承　包　人（章）</w:t>
            </w:r>
          </w:p>
          <w:p w14:paraId="7358F4B2">
            <w:pPr>
              <w:keepNext w:val="0"/>
              <w:keepLines w:val="0"/>
              <w:widowControl/>
              <w:suppressLineNumbers w:val="0"/>
              <w:spacing w:before="0" w:beforeAutospacing="0" w:after="0" w:afterAutospacing="0" w:line="360" w:lineRule="auto"/>
              <w:ind w:left="0" w:right="0" w:firstLine="6720" w:firstLineChars="2800"/>
              <w:rPr>
                <w:rFonts w:hint="eastAsia" w:ascii="仿宋" w:hAnsi="仿宋" w:eastAsia="仿宋" w:cs="仿宋"/>
                <w:color w:val="auto"/>
                <w:highlight w:val="none"/>
                <w:u w:val="single"/>
              </w:rPr>
            </w:pPr>
            <w:r>
              <w:rPr>
                <w:rFonts w:hint="eastAsia" w:ascii="仿宋" w:hAnsi="仿宋" w:eastAsia="仿宋" w:cs="仿宋"/>
                <w:color w:val="auto"/>
                <w:highlight w:val="none"/>
              </w:rPr>
              <w:t>承包人代表</w:t>
            </w:r>
            <w:r>
              <w:rPr>
                <w:rFonts w:hint="default" w:ascii="仿宋" w:hAnsi="仿宋" w:eastAsia="仿宋" w:cs="仿宋"/>
                <w:color w:val="auto"/>
                <w:highlight w:val="none"/>
                <w:u w:val="single"/>
              </w:rPr>
              <w:t xml:space="preserve">               </w:t>
            </w:r>
          </w:p>
          <w:p w14:paraId="36B03ED0">
            <w:pPr>
              <w:keepNext w:val="0"/>
              <w:keepLines w:val="0"/>
              <w:widowControl/>
              <w:suppressLineNumbers w:val="0"/>
              <w:tabs>
                <w:tab w:val="left" w:pos="7272"/>
              </w:tabs>
              <w:spacing w:before="0" w:beforeAutospacing="0" w:after="0" w:afterAutospacing="0" w:line="360" w:lineRule="auto"/>
              <w:ind w:left="0" w:right="0" w:firstLine="6720" w:firstLineChars="2800"/>
              <w:rPr>
                <w:rFonts w:hint="eastAsia" w:ascii="仿宋" w:hAnsi="仿宋" w:eastAsia="仿宋"/>
                <w:color w:val="auto"/>
                <w:highlight w:val="none"/>
                <w:u w:val="single"/>
              </w:rPr>
            </w:pPr>
            <w:r>
              <w:rPr>
                <w:rFonts w:hint="eastAsia" w:ascii="仿宋" w:hAnsi="仿宋" w:eastAsia="仿宋" w:cs="仿宋"/>
                <w:color w:val="auto"/>
                <w:highlight w:val="none"/>
              </w:rPr>
              <w:t>日期</w:t>
            </w:r>
            <w:r>
              <w:rPr>
                <w:rFonts w:hint="default" w:ascii="仿宋" w:hAnsi="仿宋" w:eastAsia="仿宋" w:cs="仿宋"/>
                <w:color w:val="auto"/>
                <w:highlight w:val="none"/>
                <w:u w:val="single"/>
              </w:rPr>
              <w:t xml:space="preserve">               </w:t>
            </w:r>
          </w:p>
        </w:tc>
      </w:tr>
    </w:tbl>
    <w:p w14:paraId="50C599B2">
      <w:pPr>
        <w:pStyle w:val="2"/>
        <w:adjustRightInd w:val="0"/>
        <w:snapToGrid w:val="0"/>
        <w:ind w:left="720" w:hanging="720" w:hangingChars="300"/>
        <w:rPr>
          <w:rFonts w:hint="eastAsia" w:ascii="仿宋" w:hAnsi="仿宋" w:eastAsia="仿宋"/>
          <w:color w:val="auto"/>
          <w:sz w:val="24"/>
          <w:szCs w:val="24"/>
          <w:highlight w:val="none"/>
          <w:lang w:eastAsia="zh-CN"/>
        </w:rPr>
      </w:pPr>
      <w:r>
        <w:rPr>
          <w:rFonts w:hint="eastAsia" w:ascii="仿宋" w:hAnsi="仿宋" w:eastAsia="仿宋" w:cs="仿宋"/>
          <w:color w:val="auto"/>
          <w:sz w:val="24"/>
          <w:szCs w:val="24"/>
          <w:highlight w:val="none"/>
          <w:lang w:eastAsia="zh-CN"/>
        </w:rPr>
        <w:t>说明：本表一式五份，由承包人填制，承包人、监理单位和造价咨询单位各存一份，发包人存二份。</w:t>
      </w:r>
    </w:p>
    <w:p w14:paraId="47A62565">
      <w:pPr>
        <w:spacing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2177" w:name="_Toc266892954"/>
      <w:bookmarkStart w:id="2178" w:name="_Toc10625012"/>
      <w:bookmarkStart w:id="2179" w:name="_Toc469384168"/>
      <w:bookmarkStart w:id="2180" w:name="_Toc1900"/>
      <w:bookmarkStart w:id="2181" w:name="_Toc11829"/>
      <w:bookmarkStart w:id="2182" w:name="_Toc12762"/>
      <w:bookmarkStart w:id="2183" w:name="_Toc10018"/>
      <w:bookmarkStart w:id="2184" w:name="_Toc5129"/>
      <w:bookmarkStart w:id="2185" w:name="_Toc18857"/>
      <w:bookmarkStart w:id="2186" w:name="_Toc11048"/>
      <w:bookmarkStart w:id="2187" w:name="_Toc19812"/>
      <w:bookmarkStart w:id="2188" w:name="_Toc16326"/>
      <w:bookmarkStart w:id="2189" w:name="_Toc12583"/>
      <w:bookmarkStart w:id="2190" w:name="_Toc20819"/>
      <w:bookmarkStart w:id="2191" w:name="_Toc21207"/>
      <w:bookmarkStart w:id="2192" w:name="_Toc4855"/>
      <w:bookmarkStart w:id="2193" w:name="_Toc2905"/>
      <w:bookmarkStart w:id="2194" w:name="_Toc23799"/>
      <w:bookmarkStart w:id="2195" w:name="_Toc15173"/>
      <w:r>
        <w:rPr>
          <w:rFonts w:hint="eastAsia" w:ascii="仿宋" w:hAnsi="仿宋" w:eastAsia="仿宋" w:cs="仿宋"/>
          <w:b/>
          <w:bCs/>
          <w:color w:val="auto"/>
          <w:highlight w:val="none"/>
          <w:lang w:eastAsia="zh-CN"/>
        </w:rPr>
        <w:t>格式</w:t>
      </w:r>
      <w:r>
        <w:rPr>
          <w:rFonts w:ascii="仿宋" w:hAnsi="仿宋" w:eastAsia="仿宋" w:cs="仿宋"/>
          <w:b/>
          <w:bCs/>
          <w:color w:val="auto"/>
          <w:highlight w:val="none"/>
          <w:lang w:eastAsia="zh-CN"/>
        </w:rPr>
        <w:t>2</w:t>
      </w:r>
      <w:bookmarkEnd w:id="2177"/>
      <w:bookmarkEnd w:id="2178"/>
      <w:bookmarkEnd w:id="2179"/>
      <w:r>
        <w:rPr>
          <w:rFonts w:hint="eastAsia" w:ascii="仿宋" w:hAnsi="仿宋" w:eastAsia="仿宋" w:cs="仿宋"/>
          <w:b/>
          <w:bCs/>
          <w:color w:val="auto"/>
          <w:highlight w:val="none"/>
          <w:lang w:eastAsia="zh-CN"/>
        </w:rPr>
        <w:t>9 支付证书</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4BF56477">
      <w:pPr>
        <w:spacing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支付证书</w:t>
      </w:r>
    </w:p>
    <w:p w14:paraId="201BFBBB">
      <w:pPr>
        <w:spacing w:line="360" w:lineRule="auto"/>
        <w:ind w:firstLine="240" w:firstLineChars="10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工程名称</w:t>
      </w:r>
      <w:r>
        <w:rPr>
          <w:rFonts w:ascii="仿宋" w:hAnsi="仿宋" w:eastAsia="仿宋" w:cs="仿宋"/>
          <w:color w:val="auto"/>
          <w:highlight w:val="none"/>
          <w:lang w:eastAsia="zh-CN"/>
        </w:rPr>
        <w:t>:</w:t>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ab/>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编号</w:t>
      </w:r>
      <w:r>
        <w:rPr>
          <w:rFonts w:ascii="仿宋" w:hAnsi="仿宋" w:eastAsia="仿宋" w:cs="仿宋"/>
          <w:color w:val="auto"/>
          <w:highlight w:val="none"/>
          <w:lang w:eastAsia="zh-CN"/>
        </w:rPr>
        <w:t>:</w:t>
      </w:r>
    </w:p>
    <w:tbl>
      <w:tblPr>
        <w:tblStyle w:val="78"/>
        <w:tblW w:w="9155" w:type="dxa"/>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9155"/>
      </w:tblGrid>
      <w:tr w14:paraId="7C88DC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11660" w:hRule="atLeast"/>
        </w:trPr>
        <w:tc>
          <w:tcPr>
            <w:tcW w:w="9155" w:type="dxa"/>
            <w:tcBorders>
              <w:bottom w:val="single" w:color="auto" w:sz="4" w:space="0"/>
            </w:tcBorders>
          </w:tcPr>
          <w:p w14:paraId="6C94E7E2">
            <w:pPr>
              <w:keepNext w:val="0"/>
              <w:keepLines w:val="0"/>
              <w:widowControl/>
              <w:suppressLineNumbers w:val="0"/>
              <w:spacing w:before="120" w:beforeAutospacing="0" w:after="0" w:afterAutospacing="0" w:line="360" w:lineRule="auto"/>
              <w:ind w:left="-28" w:right="0" w:firstLine="181"/>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致</w:t>
            </w:r>
            <w:r>
              <w:rPr>
                <w:rFonts w:hint="default" w:ascii="仿宋" w:hAnsi="仿宋" w:eastAsia="仿宋" w:cs="仿宋"/>
                <w:color w:val="auto"/>
                <w:highlight w:val="none"/>
                <w:lang w:eastAsia="zh-CN"/>
              </w:rPr>
              <w:t>:</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（发包人全称）</w:t>
            </w:r>
          </w:p>
          <w:p w14:paraId="2790B6B9">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根据施工合同条款</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u w:val="single"/>
                <w:lang w:eastAsia="zh-CN"/>
              </w:rPr>
              <w:t>　</w:t>
            </w:r>
            <w:r>
              <w:rPr>
                <w:rFonts w:hint="eastAsia" w:ascii="仿宋" w:hAnsi="仿宋" w:eastAsia="仿宋" w:cs="仿宋"/>
                <w:color w:val="auto"/>
                <w:highlight w:val="none"/>
                <w:lang w:eastAsia="zh-CN"/>
              </w:rPr>
              <w:t>的规定，经核实承包人提出的已完工程款额报告（编号</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）和支付申请报告（编号</w:t>
            </w:r>
            <w:r>
              <w:rPr>
                <w:rFonts w:hint="default"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），于</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至</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期间</w:t>
            </w:r>
            <w:r>
              <w:rPr>
                <w:rFonts w:hint="default" w:ascii="仿宋" w:hAnsi="仿宋" w:eastAsia="仿宋" w:cs="仿宋"/>
                <w:color w:val="auto"/>
                <w:highlight w:val="none"/>
                <w:lang w:eastAsia="zh-CN"/>
              </w:rPr>
              <w:t>,</w:t>
            </w:r>
            <w:r>
              <w:rPr>
                <w:rFonts w:hint="eastAsia" w:ascii="仿宋" w:hAnsi="仿宋" w:eastAsia="仿宋" w:cs="仿宋"/>
                <w:color w:val="auto"/>
                <w:highlight w:val="none"/>
                <w:lang w:eastAsia="zh-CN"/>
              </w:rPr>
              <w:t>同意本期间支付工程款（大写）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（小写</w:t>
            </w:r>
            <w:r>
              <w:rPr>
                <w:rFonts w:hint="default" w:ascii="仿宋" w:hAnsi="仿宋" w:eastAsia="仿宋" w:cs="仿宋"/>
                <w:color w:val="auto"/>
                <w:highlight w:val="none"/>
                <w:u w:val="single"/>
                <w:lang w:eastAsia="zh-CN"/>
              </w:rPr>
              <w:t xml:space="preserve">            </w:t>
            </w:r>
            <w:r>
              <w:rPr>
                <w:rFonts w:hint="eastAsia" w:ascii="仿宋" w:hAnsi="仿宋" w:eastAsia="仿宋" w:cs="仿宋"/>
                <w:color w:val="auto"/>
                <w:highlight w:val="none"/>
                <w:lang w:eastAsia="zh-CN"/>
              </w:rPr>
              <w:t>）。请按合同规定时间内向承包人支付工程价款。其中：</w:t>
            </w:r>
          </w:p>
          <w:p w14:paraId="75BEA72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１．承包人申报款为：</w:t>
            </w:r>
          </w:p>
          <w:p w14:paraId="2E1F7C1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２．经复核承包人应得款为：</w:t>
            </w:r>
          </w:p>
          <w:p w14:paraId="08E8D1E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３．本期应扣款为：</w:t>
            </w:r>
          </w:p>
          <w:p w14:paraId="66C875C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４．本期应付款为：</w:t>
            </w:r>
          </w:p>
          <w:p w14:paraId="335C7492">
            <w:pPr>
              <w:keepNext w:val="0"/>
              <w:keepLines w:val="0"/>
              <w:widowControl/>
              <w:suppressLineNumbers w:val="0"/>
              <w:spacing w:before="0" w:beforeAutospacing="0" w:after="0" w:afterAutospacing="0" w:line="360" w:lineRule="auto"/>
              <w:ind w:left="-28" w:right="0" w:firstLine="482"/>
              <w:rPr>
                <w:rFonts w:hint="eastAsia" w:ascii="仿宋" w:hAnsi="仿宋" w:eastAsia="仿宋"/>
                <w:color w:val="auto"/>
                <w:highlight w:val="none"/>
              </w:rPr>
            </w:pPr>
            <w:r>
              <w:rPr>
                <w:rFonts w:hint="eastAsia" w:ascii="仿宋" w:hAnsi="仿宋" w:eastAsia="仿宋" w:cs="仿宋"/>
                <w:color w:val="auto"/>
                <w:highlight w:val="none"/>
              </w:rPr>
              <w:t>具体细目如下：</w:t>
            </w:r>
          </w:p>
          <w:tbl>
            <w:tblPr>
              <w:tblStyle w:val="7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4206"/>
              <w:gridCol w:w="1371"/>
              <w:gridCol w:w="2421"/>
            </w:tblGrid>
            <w:tr w14:paraId="7CEE3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exact"/>
              </w:trPr>
              <w:tc>
                <w:tcPr>
                  <w:tcW w:w="636" w:type="dxa"/>
                  <w:tcBorders>
                    <w:top w:val="single" w:color="auto" w:sz="4" w:space="0"/>
                    <w:left w:val="single" w:color="auto" w:sz="4" w:space="0"/>
                    <w:bottom w:val="single" w:color="auto" w:sz="4" w:space="0"/>
                    <w:right w:val="single" w:color="auto" w:sz="4" w:space="0"/>
                  </w:tcBorders>
                  <w:vAlign w:val="center"/>
                </w:tcPr>
                <w:p w14:paraId="7CF0CDD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序号</w:t>
                  </w:r>
                </w:p>
              </w:tc>
              <w:tc>
                <w:tcPr>
                  <w:tcW w:w="4206" w:type="dxa"/>
                  <w:tcBorders>
                    <w:top w:val="single" w:color="auto" w:sz="4" w:space="0"/>
                    <w:left w:val="single" w:color="auto" w:sz="4" w:space="0"/>
                    <w:bottom w:val="single" w:color="auto" w:sz="4" w:space="0"/>
                    <w:right w:val="single" w:color="auto" w:sz="4" w:space="0"/>
                  </w:tcBorders>
                  <w:vAlign w:val="center"/>
                </w:tcPr>
                <w:p w14:paraId="3D16ACC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名</w:t>
                  </w:r>
                  <w:r>
                    <w:rPr>
                      <w:rFonts w:hint="default" w:ascii="仿宋" w:hAnsi="仿宋" w:eastAsia="仿宋" w:cs="仿宋"/>
                      <w:color w:val="auto"/>
                      <w:highlight w:val="none"/>
                    </w:rPr>
                    <w:t xml:space="preserve">           </w:t>
                  </w:r>
                  <w:r>
                    <w:rPr>
                      <w:rFonts w:hint="eastAsia" w:ascii="仿宋" w:hAnsi="仿宋" w:eastAsia="仿宋" w:cs="仿宋"/>
                      <w:color w:val="auto"/>
                      <w:highlight w:val="none"/>
                    </w:rPr>
                    <w:t>称</w:t>
                  </w:r>
                </w:p>
              </w:tc>
              <w:tc>
                <w:tcPr>
                  <w:tcW w:w="1371" w:type="dxa"/>
                  <w:tcBorders>
                    <w:top w:val="single" w:color="auto" w:sz="4" w:space="0"/>
                    <w:left w:val="single" w:color="auto" w:sz="4" w:space="0"/>
                    <w:bottom w:val="single" w:color="auto" w:sz="4" w:space="0"/>
                    <w:right w:val="single" w:color="auto" w:sz="4" w:space="0"/>
                  </w:tcBorders>
                  <w:vAlign w:val="center"/>
                </w:tcPr>
                <w:p w14:paraId="29EEC36E">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金</w:t>
                  </w:r>
                  <w:r>
                    <w:rPr>
                      <w:rFonts w:hint="default" w:ascii="仿宋" w:hAnsi="仿宋" w:eastAsia="仿宋" w:cs="仿宋"/>
                      <w:color w:val="auto"/>
                      <w:highlight w:val="none"/>
                    </w:rPr>
                    <w:t xml:space="preserve"> </w:t>
                  </w:r>
                  <w:r>
                    <w:rPr>
                      <w:rFonts w:hint="eastAsia" w:ascii="仿宋" w:hAnsi="仿宋" w:eastAsia="仿宋" w:cs="仿宋"/>
                      <w:color w:val="auto"/>
                      <w:highlight w:val="none"/>
                    </w:rPr>
                    <w:t>额（元）</w:t>
                  </w:r>
                </w:p>
              </w:tc>
              <w:tc>
                <w:tcPr>
                  <w:tcW w:w="2421" w:type="dxa"/>
                  <w:tcBorders>
                    <w:top w:val="single" w:color="auto" w:sz="4" w:space="0"/>
                    <w:left w:val="single" w:color="auto" w:sz="4" w:space="0"/>
                    <w:bottom w:val="single" w:color="auto" w:sz="4" w:space="0"/>
                    <w:right w:val="single" w:color="auto" w:sz="4" w:space="0"/>
                  </w:tcBorders>
                  <w:vAlign w:val="center"/>
                </w:tcPr>
                <w:p w14:paraId="47CC1FD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备</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注</w:t>
                  </w:r>
                </w:p>
              </w:tc>
            </w:tr>
            <w:tr w14:paraId="08A51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trPr>
              <w:tc>
                <w:tcPr>
                  <w:tcW w:w="636" w:type="dxa"/>
                  <w:tcBorders>
                    <w:top w:val="single" w:color="auto" w:sz="4" w:space="0"/>
                    <w:left w:val="single" w:color="auto" w:sz="4" w:space="0"/>
                    <w:bottom w:val="single" w:color="auto" w:sz="4" w:space="0"/>
                    <w:right w:val="single" w:color="auto" w:sz="4" w:space="0"/>
                  </w:tcBorders>
                  <w:vAlign w:val="center"/>
                </w:tcPr>
                <w:p w14:paraId="5A9483B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w:t>
                  </w:r>
                </w:p>
              </w:tc>
              <w:tc>
                <w:tcPr>
                  <w:tcW w:w="4206" w:type="dxa"/>
                  <w:tcBorders>
                    <w:top w:val="single" w:color="auto" w:sz="4" w:space="0"/>
                    <w:left w:val="single" w:color="auto" w:sz="4" w:space="0"/>
                    <w:bottom w:val="single" w:color="auto" w:sz="4" w:space="0"/>
                    <w:right w:val="single" w:color="auto" w:sz="4" w:space="0"/>
                  </w:tcBorders>
                  <w:vAlign w:val="center"/>
                </w:tcPr>
                <w:p w14:paraId="0E8F108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累计已完工程价款</w:t>
                  </w:r>
                </w:p>
              </w:tc>
              <w:tc>
                <w:tcPr>
                  <w:tcW w:w="1371" w:type="dxa"/>
                  <w:tcBorders>
                    <w:top w:val="single" w:color="auto" w:sz="4" w:space="0"/>
                    <w:left w:val="single" w:color="auto" w:sz="4" w:space="0"/>
                    <w:bottom w:val="single" w:color="auto" w:sz="4" w:space="0"/>
                    <w:right w:val="single" w:color="auto" w:sz="4" w:space="0"/>
                  </w:tcBorders>
                  <w:vAlign w:val="center"/>
                </w:tcPr>
                <w:p w14:paraId="2179D23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421" w:type="dxa"/>
                  <w:tcBorders>
                    <w:top w:val="single" w:color="auto" w:sz="4" w:space="0"/>
                    <w:left w:val="single" w:color="auto" w:sz="4" w:space="0"/>
                    <w:bottom w:val="single" w:color="auto" w:sz="4" w:space="0"/>
                    <w:right w:val="single" w:color="auto" w:sz="4" w:space="0"/>
                  </w:tcBorders>
                  <w:vAlign w:val="center"/>
                </w:tcPr>
                <w:p w14:paraId="5982C3F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57528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exact"/>
              </w:trPr>
              <w:tc>
                <w:tcPr>
                  <w:tcW w:w="636" w:type="dxa"/>
                  <w:tcBorders>
                    <w:top w:val="single" w:color="auto" w:sz="4" w:space="0"/>
                    <w:left w:val="single" w:color="auto" w:sz="4" w:space="0"/>
                    <w:bottom w:val="single" w:color="auto" w:sz="4" w:space="0"/>
                    <w:right w:val="single" w:color="auto" w:sz="4" w:space="0"/>
                  </w:tcBorders>
                  <w:vAlign w:val="center"/>
                </w:tcPr>
                <w:p w14:paraId="416B418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2</w:t>
                  </w:r>
                </w:p>
              </w:tc>
              <w:tc>
                <w:tcPr>
                  <w:tcW w:w="4206" w:type="dxa"/>
                  <w:tcBorders>
                    <w:top w:val="single" w:color="auto" w:sz="4" w:space="0"/>
                    <w:left w:val="single" w:color="auto" w:sz="4" w:space="0"/>
                    <w:bottom w:val="single" w:color="auto" w:sz="4" w:space="0"/>
                    <w:right w:val="single" w:color="auto" w:sz="4" w:space="0"/>
                  </w:tcBorders>
                  <w:vAlign w:val="center"/>
                </w:tcPr>
                <w:p w14:paraId="4ABD9E53">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累计已实际支付的工程价款</w:t>
                  </w:r>
                </w:p>
              </w:tc>
              <w:tc>
                <w:tcPr>
                  <w:tcW w:w="1371" w:type="dxa"/>
                  <w:tcBorders>
                    <w:top w:val="single" w:color="auto" w:sz="4" w:space="0"/>
                    <w:left w:val="single" w:color="auto" w:sz="4" w:space="0"/>
                    <w:bottom w:val="single" w:color="auto" w:sz="4" w:space="0"/>
                    <w:right w:val="single" w:color="auto" w:sz="4" w:space="0"/>
                  </w:tcBorders>
                  <w:vAlign w:val="center"/>
                </w:tcPr>
                <w:p w14:paraId="676FBE8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44ED1BD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5C4A0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exact"/>
              </w:trPr>
              <w:tc>
                <w:tcPr>
                  <w:tcW w:w="636" w:type="dxa"/>
                  <w:tcBorders>
                    <w:top w:val="single" w:color="auto" w:sz="4" w:space="0"/>
                    <w:left w:val="single" w:color="auto" w:sz="4" w:space="0"/>
                    <w:bottom w:val="single" w:color="auto" w:sz="4" w:space="0"/>
                    <w:right w:val="single" w:color="auto" w:sz="4" w:space="0"/>
                  </w:tcBorders>
                  <w:vAlign w:val="center"/>
                </w:tcPr>
                <w:p w14:paraId="1308E2E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3</w:t>
                  </w:r>
                </w:p>
              </w:tc>
              <w:tc>
                <w:tcPr>
                  <w:tcW w:w="4206" w:type="dxa"/>
                  <w:tcBorders>
                    <w:top w:val="single" w:color="auto" w:sz="4" w:space="0"/>
                    <w:left w:val="single" w:color="auto" w:sz="4" w:space="0"/>
                    <w:bottom w:val="single" w:color="auto" w:sz="4" w:space="0"/>
                    <w:right w:val="single" w:color="auto" w:sz="4" w:space="0"/>
                  </w:tcBorders>
                  <w:vAlign w:val="center"/>
                </w:tcPr>
                <w:p w14:paraId="56F564A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本期间已完工程价款</w:t>
                  </w:r>
                </w:p>
              </w:tc>
              <w:tc>
                <w:tcPr>
                  <w:tcW w:w="1371" w:type="dxa"/>
                  <w:tcBorders>
                    <w:top w:val="single" w:color="auto" w:sz="4" w:space="0"/>
                    <w:left w:val="single" w:color="auto" w:sz="4" w:space="0"/>
                    <w:bottom w:val="single" w:color="auto" w:sz="4" w:space="0"/>
                    <w:right w:val="single" w:color="auto" w:sz="4" w:space="0"/>
                  </w:tcBorders>
                  <w:vAlign w:val="center"/>
                </w:tcPr>
                <w:p w14:paraId="1F231F0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p>
              </w:tc>
              <w:tc>
                <w:tcPr>
                  <w:tcW w:w="2421" w:type="dxa"/>
                  <w:tcBorders>
                    <w:top w:val="single" w:color="auto" w:sz="4" w:space="0"/>
                    <w:left w:val="single" w:color="auto" w:sz="4" w:space="0"/>
                    <w:bottom w:val="single" w:color="auto" w:sz="4" w:space="0"/>
                    <w:right w:val="single" w:color="auto" w:sz="4" w:space="0"/>
                  </w:tcBorders>
                  <w:vAlign w:val="center"/>
                </w:tcPr>
                <w:p w14:paraId="2169360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3174B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exact"/>
              </w:trPr>
              <w:tc>
                <w:tcPr>
                  <w:tcW w:w="636" w:type="dxa"/>
                  <w:tcBorders>
                    <w:top w:val="single" w:color="auto" w:sz="4" w:space="0"/>
                    <w:left w:val="single" w:color="auto" w:sz="4" w:space="0"/>
                    <w:bottom w:val="single" w:color="auto" w:sz="4" w:space="0"/>
                    <w:right w:val="single" w:color="auto" w:sz="4" w:space="0"/>
                  </w:tcBorders>
                  <w:vAlign w:val="center"/>
                </w:tcPr>
                <w:p w14:paraId="1F7AE7F3">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4</w:t>
                  </w:r>
                </w:p>
              </w:tc>
              <w:tc>
                <w:tcPr>
                  <w:tcW w:w="4206" w:type="dxa"/>
                  <w:tcBorders>
                    <w:top w:val="single" w:color="auto" w:sz="4" w:space="0"/>
                    <w:left w:val="single" w:color="auto" w:sz="4" w:space="0"/>
                    <w:bottom w:val="single" w:color="auto" w:sz="4" w:space="0"/>
                    <w:right w:val="single" w:color="auto" w:sz="4" w:space="0"/>
                  </w:tcBorders>
                  <w:vAlign w:val="center"/>
                </w:tcPr>
                <w:p w14:paraId="492107EE">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本期间完成的零星工作项目价款</w:t>
                  </w:r>
                </w:p>
              </w:tc>
              <w:tc>
                <w:tcPr>
                  <w:tcW w:w="1371" w:type="dxa"/>
                  <w:tcBorders>
                    <w:top w:val="single" w:color="auto" w:sz="4" w:space="0"/>
                    <w:left w:val="single" w:color="auto" w:sz="4" w:space="0"/>
                    <w:bottom w:val="single" w:color="auto" w:sz="4" w:space="0"/>
                    <w:right w:val="single" w:color="auto" w:sz="4" w:space="0"/>
                  </w:tcBorders>
                  <w:vAlign w:val="center"/>
                </w:tcPr>
                <w:p w14:paraId="133A073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34335C9D">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294F3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exact"/>
              </w:trPr>
              <w:tc>
                <w:tcPr>
                  <w:tcW w:w="636" w:type="dxa"/>
                  <w:tcBorders>
                    <w:top w:val="single" w:color="auto" w:sz="4" w:space="0"/>
                    <w:left w:val="single" w:color="auto" w:sz="4" w:space="0"/>
                    <w:bottom w:val="single" w:color="auto" w:sz="4" w:space="0"/>
                    <w:right w:val="single" w:color="auto" w:sz="4" w:space="0"/>
                  </w:tcBorders>
                  <w:vAlign w:val="center"/>
                </w:tcPr>
                <w:p w14:paraId="6688DA3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5</w:t>
                  </w:r>
                </w:p>
              </w:tc>
              <w:tc>
                <w:tcPr>
                  <w:tcW w:w="4206" w:type="dxa"/>
                  <w:tcBorders>
                    <w:top w:val="single" w:color="auto" w:sz="4" w:space="0"/>
                    <w:left w:val="single" w:color="auto" w:sz="4" w:space="0"/>
                    <w:bottom w:val="single" w:color="auto" w:sz="4" w:space="0"/>
                    <w:right w:val="single" w:color="auto" w:sz="4" w:space="0"/>
                  </w:tcBorders>
                  <w:vAlign w:val="center"/>
                </w:tcPr>
                <w:p w14:paraId="2B27EBB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本期间应支付的预留金价款</w:t>
                  </w:r>
                </w:p>
              </w:tc>
              <w:tc>
                <w:tcPr>
                  <w:tcW w:w="1371" w:type="dxa"/>
                  <w:tcBorders>
                    <w:top w:val="single" w:color="auto" w:sz="4" w:space="0"/>
                    <w:left w:val="single" w:color="auto" w:sz="4" w:space="0"/>
                    <w:bottom w:val="single" w:color="auto" w:sz="4" w:space="0"/>
                    <w:right w:val="single" w:color="auto" w:sz="4" w:space="0"/>
                  </w:tcBorders>
                  <w:vAlign w:val="center"/>
                </w:tcPr>
                <w:p w14:paraId="358A7165">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1B2D061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20E4E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exact"/>
              </w:trPr>
              <w:tc>
                <w:tcPr>
                  <w:tcW w:w="636" w:type="dxa"/>
                  <w:tcBorders>
                    <w:top w:val="single" w:color="auto" w:sz="4" w:space="0"/>
                    <w:left w:val="single" w:color="auto" w:sz="4" w:space="0"/>
                    <w:bottom w:val="single" w:color="auto" w:sz="4" w:space="0"/>
                    <w:right w:val="single" w:color="auto" w:sz="4" w:space="0"/>
                  </w:tcBorders>
                  <w:vAlign w:val="center"/>
                </w:tcPr>
                <w:p w14:paraId="600B69A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6</w:t>
                  </w:r>
                </w:p>
              </w:tc>
              <w:tc>
                <w:tcPr>
                  <w:tcW w:w="4206" w:type="dxa"/>
                  <w:tcBorders>
                    <w:top w:val="single" w:color="auto" w:sz="4" w:space="0"/>
                    <w:left w:val="single" w:color="auto" w:sz="4" w:space="0"/>
                    <w:bottom w:val="single" w:color="auto" w:sz="4" w:space="0"/>
                    <w:right w:val="single" w:color="auto" w:sz="4" w:space="0"/>
                  </w:tcBorders>
                  <w:vAlign w:val="center"/>
                </w:tcPr>
                <w:p w14:paraId="30E241EE">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本期间应支付的工程变更价款</w:t>
                  </w:r>
                </w:p>
              </w:tc>
              <w:tc>
                <w:tcPr>
                  <w:tcW w:w="1371" w:type="dxa"/>
                  <w:tcBorders>
                    <w:top w:val="single" w:color="auto" w:sz="4" w:space="0"/>
                    <w:left w:val="single" w:color="auto" w:sz="4" w:space="0"/>
                    <w:bottom w:val="single" w:color="auto" w:sz="4" w:space="0"/>
                    <w:right w:val="single" w:color="auto" w:sz="4" w:space="0"/>
                  </w:tcBorders>
                  <w:vAlign w:val="center"/>
                </w:tcPr>
                <w:p w14:paraId="73081BC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191DA23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66</w:t>
                  </w:r>
                  <w:r>
                    <w:rPr>
                      <w:rFonts w:hint="eastAsia" w:ascii="仿宋" w:hAnsi="仿宋" w:eastAsia="仿宋" w:cs="仿宋"/>
                      <w:color w:val="auto"/>
                      <w:highlight w:val="none"/>
                    </w:rPr>
                    <w:t>条</w:t>
                  </w:r>
                </w:p>
              </w:tc>
            </w:tr>
            <w:tr w14:paraId="14D9A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exact"/>
              </w:trPr>
              <w:tc>
                <w:tcPr>
                  <w:tcW w:w="636" w:type="dxa"/>
                  <w:tcBorders>
                    <w:top w:val="single" w:color="auto" w:sz="4" w:space="0"/>
                    <w:left w:val="single" w:color="auto" w:sz="4" w:space="0"/>
                    <w:bottom w:val="single" w:color="auto" w:sz="4" w:space="0"/>
                    <w:right w:val="single" w:color="auto" w:sz="4" w:space="0"/>
                  </w:tcBorders>
                  <w:vAlign w:val="center"/>
                </w:tcPr>
                <w:p w14:paraId="09C1DB1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7</w:t>
                  </w:r>
                </w:p>
              </w:tc>
              <w:tc>
                <w:tcPr>
                  <w:tcW w:w="4206" w:type="dxa"/>
                  <w:tcBorders>
                    <w:top w:val="single" w:color="auto" w:sz="4" w:space="0"/>
                    <w:left w:val="single" w:color="auto" w:sz="4" w:space="0"/>
                    <w:bottom w:val="single" w:color="auto" w:sz="4" w:space="0"/>
                    <w:right w:val="single" w:color="auto" w:sz="4" w:space="0"/>
                  </w:tcBorders>
                  <w:vAlign w:val="center"/>
                </w:tcPr>
                <w:p w14:paraId="6CFF384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本期间应支付的安全防护、文明施工措施费</w:t>
                  </w:r>
                </w:p>
              </w:tc>
              <w:tc>
                <w:tcPr>
                  <w:tcW w:w="1371" w:type="dxa"/>
                  <w:tcBorders>
                    <w:top w:val="single" w:color="auto" w:sz="4" w:space="0"/>
                    <w:left w:val="single" w:color="auto" w:sz="4" w:space="0"/>
                    <w:bottom w:val="single" w:color="auto" w:sz="4" w:space="0"/>
                    <w:right w:val="single" w:color="auto" w:sz="4" w:space="0"/>
                  </w:tcBorders>
                  <w:vAlign w:val="center"/>
                </w:tcPr>
                <w:p w14:paraId="161DFE3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17AE4D5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68</w:t>
                  </w:r>
                  <w:r>
                    <w:rPr>
                      <w:rFonts w:hint="eastAsia" w:ascii="仿宋" w:hAnsi="仿宋" w:eastAsia="仿宋" w:cs="仿宋"/>
                      <w:color w:val="auto"/>
                      <w:highlight w:val="none"/>
                    </w:rPr>
                    <w:t>条至第</w:t>
                  </w:r>
                  <w:r>
                    <w:rPr>
                      <w:rFonts w:hint="default" w:ascii="仿宋" w:hAnsi="仿宋" w:eastAsia="仿宋" w:cs="仿宋"/>
                      <w:color w:val="auto"/>
                      <w:highlight w:val="none"/>
                    </w:rPr>
                    <w:t xml:space="preserve"> 76 </w:t>
                  </w:r>
                  <w:r>
                    <w:rPr>
                      <w:rFonts w:hint="eastAsia" w:ascii="仿宋" w:hAnsi="仿宋" w:eastAsia="仿宋" w:cs="仿宋"/>
                      <w:color w:val="auto"/>
                      <w:highlight w:val="none"/>
                    </w:rPr>
                    <w:t>条</w:t>
                  </w:r>
                </w:p>
              </w:tc>
            </w:tr>
            <w:tr w14:paraId="7859A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exact"/>
              </w:trPr>
              <w:tc>
                <w:tcPr>
                  <w:tcW w:w="636" w:type="dxa"/>
                  <w:tcBorders>
                    <w:top w:val="single" w:color="auto" w:sz="4" w:space="0"/>
                    <w:left w:val="single" w:color="auto" w:sz="4" w:space="0"/>
                    <w:bottom w:val="single" w:color="auto" w:sz="4" w:space="0"/>
                    <w:right w:val="single" w:color="auto" w:sz="4" w:space="0"/>
                  </w:tcBorders>
                  <w:vAlign w:val="center"/>
                </w:tcPr>
                <w:p w14:paraId="7E2B40CF">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8</w:t>
                  </w:r>
                </w:p>
              </w:tc>
              <w:tc>
                <w:tcPr>
                  <w:tcW w:w="4206" w:type="dxa"/>
                  <w:tcBorders>
                    <w:top w:val="single" w:color="auto" w:sz="4" w:space="0"/>
                    <w:left w:val="single" w:color="auto" w:sz="4" w:space="0"/>
                    <w:bottom w:val="single" w:color="auto" w:sz="4" w:space="0"/>
                    <w:right w:val="single" w:color="auto" w:sz="4" w:space="0"/>
                  </w:tcBorders>
                  <w:vAlign w:val="center"/>
                </w:tcPr>
                <w:p w14:paraId="5C62341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物价和后继法律法规的调整价款</w:t>
                  </w:r>
                </w:p>
              </w:tc>
              <w:tc>
                <w:tcPr>
                  <w:tcW w:w="1371" w:type="dxa"/>
                  <w:tcBorders>
                    <w:top w:val="single" w:color="auto" w:sz="4" w:space="0"/>
                    <w:left w:val="single" w:color="auto" w:sz="4" w:space="0"/>
                    <w:bottom w:val="single" w:color="auto" w:sz="4" w:space="0"/>
                    <w:right w:val="single" w:color="auto" w:sz="4" w:space="0"/>
                  </w:tcBorders>
                  <w:vAlign w:val="center"/>
                </w:tcPr>
                <w:p w14:paraId="3E754FF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3589890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79</w:t>
                  </w:r>
                  <w:r>
                    <w:rPr>
                      <w:rFonts w:hint="eastAsia" w:ascii="仿宋" w:hAnsi="仿宋" w:eastAsia="仿宋" w:cs="仿宋"/>
                      <w:color w:val="auto"/>
                      <w:highlight w:val="none"/>
                    </w:rPr>
                    <w:t>条</w:t>
                  </w:r>
                </w:p>
              </w:tc>
            </w:tr>
            <w:tr w14:paraId="1062F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exact"/>
              </w:trPr>
              <w:tc>
                <w:tcPr>
                  <w:tcW w:w="636" w:type="dxa"/>
                  <w:tcBorders>
                    <w:top w:val="single" w:color="auto" w:sz="4" w:space="0"/>
                    <w:left w:val="single" w:color="auto" w:sz="4" w:space="0"/>
                    <w:bottom w:val="single" w:color="auto" w:sz="4" w:space="0"/>
                    <w:right w:val="single" w:color="auto" w:sz="4" w:space="0"/>
                  </w:tcBorders>
                  <w:vAlign w:val="center"/>
                </w:tcPr>
                <w:p w14:paraId="23B9128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9</w:t>
                  </w:r>
                </w:p>
              </w:tc>
              <w:tc>
                <w:tcPr>
                  <w:tcW w:w="4206" w:type="dxa"/>
                  <w:tcBorders>
                    <w:top w:val="single" w:color="auto" w:sz="4" w:space="0"/>
                    <w:left w:val="single" w:color="auto" w:sz="4" w:space="0"/>
                    <w:bottom w:val="single" w:color="auto" w:sz="4" w:space="0"/>
                    <w:right w:val="single" w:color="auto" w:sz="4" w:space="0"/>
                  </w:tcBorders>
                  <w:vAlign w:val="center"/>
                </w:tcPr>
                <w:p w14:paraId="0E0979F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本期间应扣除的误期赔偿费</w:t>
                  </w:r>
                </w:p>
              </w:tc>
              <w:tc>
                <w:tcPr>
                  <w:tcW w:w="1371" w:type="dxa"/>
                  <w:tcBorders>
                    <w:top w:val="single" w:color="auto" w:sz="4" w:space="0"/>
                    <w:left w:val="single" w:color="auto" w:sz="4" w:space="0"/>
                    <w:bottom w:val="single" w:color="auto" w:sz="4" w:space="0"/>
                    <w:right w:val="single" w:color="auto" w:sz="4" w:space="0"/>
                  </w:tcBorders>
                  <w:vAlign w:val="center"/>
                </w:tcPr>
                <w:p w14:paraId="1C991BA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38C59E9E">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80</w:t>
                  </w:r>
                  <w:r>
                    <w:rPr>
                      <w:rFonts w:hint="eastAsia" w:ascii="仿宋" w:hAnsi="仿宋" w:eastAsia="仿宋" w:cs="仿宋"/>
                      <w:color w:val="auto"/>
                      <w:highlight w:val="none"/>
                    </w:rPr>
                    <w:t>条</w:t>
                  </w:r>
                </w:p>
              </w:tc>
            </w:tr>
            <w:tr w14:paraId="672AF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exact"/>
              </w:trPr>
              <w:tc>
                <w:tcPr>
                  <w:tcW w:w="636" w:type="dxa"/>
                  <w:tcBorders>
                    <w:top w:val="single" w:color="auto" w:sz="4" w:space="0"/>
                    <w:left w:val="single" w:color="auto" w:sz="4" w:space="0"/>
                    <w:bottom w:val="single" w:color="auto" w:sz="4" w:space="0"/>
                    <w:right w:val="single" w:color="auto" w:sz="4" w:space="0"/>
                  </w:tcBorders>
                  <w:vAlign w:val="center"/>
                </w:tcPr>
                <w:p w14:paraId="3FA6DE26">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10</w:t>
                  </w:r>
                </w:p>
              </w:tc>
              <w:tc>
                <w:tcPr>
                  <w:tcW w:w="4206" w:type="dxa"/>
                  <w:tcBorders>
                    <w:top w:val="single" w:color="auto" w:sz="4" w:space="0"/>
                    <w:left w:val="single" w:color="auto" w:sz="4" w:space="0"/>
                    <w:bottom w:val="single" w:color="auto" w:sz="4" w:space="0"/>
                    <w:right w:val="single" w:color="auto" w:sz="4" w:space="0"/>
                  </w:tcBorders>
                  <w:vAlign w:val="center"/>
                </w:tcPr>
                <w:p w14:paraId="7FA536A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本期间应扣回的预付款</w:t>
                  </w:r>
                </w:p>
              </w:tc>
              <w:tc>
                <w:tcPr>
                  <w:tcW w:w="1371" w:type="dxa"/>
                  <w:tcBorders>
                    <w:top w:val="single" w:color="auto" w:sz="4" w:space="0"/>
                    <w:left w:val="single" w:color="auto" w:sz="4" w:space="0"/>
                    <w:bottom w:val="single" w:color="auto" w:sz="4" w:space="0"/>
                    <w:right w:val="single" w:color="auto" w:sz="4" w:space="0"/>
                  </w:tcBorders>
                  <w:vAlign w:val="center"/>
                </w:tcPr>
                <w:p w14:paraId="002EEFF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23B80F2D">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r>
                    <w:rPr>
                      <w:rFonts w:hint="eastAsia" w:ascii="仿宋" w:hAnsi="仿宋" w:eastAsia="仿宋" w:cs="仿宋"/>
                      <w:color w:val="auto"/>
                      <w:highlight w:val="none"/>
                    </w:rPr>
                    <w:t>根据第</w:t>
                  </w:r>
                  <w:r>
                    <w:rPr>
                      <w:rFonts w:hint="default" w:ascii="仿宋" w:hAnsi="仿宋" w:eastAsia="仿宋" w:cs="仿宋"/>
                      <w:color w:val="auto"/>
                      <w:highlight w:val="none"/>
                    </w:rPr>
                    <w:t>84</w:t>
                  </w:r>
                  <w:r>
                    <w:rPr>
                      <w:rFonts w:hint="eastAsia" w:ascii="仿宋" w:hAnsi="仿宋" w:eastAsia="仿宋" w:cs="仿宋"/>
                      <w:color w:val="auto"/>
                      <w:highlight w:val="none"/>
                    </w:rPr>
                    <w:t>条</w:t>
                  </w:r>
                </w:p>
              </w:tc>
            </w:tr>
            <w:tr w14:paraId="04C55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exact"/>
              </w:trPr>
              <w:tc>
                <w:tcPr>
                  <w:tcW w:w="636" w:type="dxa"/>
                  <w:tcBorders>
                    <w:top w:val="single" w:color="auto" w:sz="4" w:space="0"/>
                    <w:left w:val="single" w:color="auto" w:sz="4" w:space="0"/>
                    <w:bottom w:val="single" w:color="auto" w:sz="4" w:space="0"/>
                    <w:right w:val="single" w:color="auto" w:sz="4" w:space="0"/>
                  </w:tcBorders>
                  <w:vAlign w:val="center"/>
                </w:tcPr>
                <w:p w14:paraId="76AA0F67">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11</w:t>
                  </w:r>
                </w:p>
              </w:tc>
              <w:tc>
                <w:tcPr>
                  <w:tcW w:w="4206" w:type="dxa"/>
                  <w:tcBorders>
                    <w:top w:val="single" w:color="auto" w:sz="4" w:space="0"/>
                    <w:left w:val="single" w:color="auto" w:sz="4" w:space="0"/>
                    <w:bottom w:val="single" w:color="auto" w:sz="4" w:space="0"/>
                    <w:right w:val="single" w:color="auto" w:sz="4" w:space="0"/>
                  </w:tcBorders>
                  <w:vAlign w:val="center"/>
                </w:tcPr>
                <w:p w14:paraId="751DD0D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本期间应扣留的质量保证金</w:t>
                  </w:r>
                </w:p>
              </w:tc>
              <w:tc>
                <w:tcPr>
                  <w:tcW w:w="1371" w:type="dxa"/>
                  <w:tcBorders>
                    <w:top w:val="single" w:color="auto" w:sz="4" w:space="0"/>
                    <w:left w:val="single" w:color="auto" w:sz="4" w:space="0"/>
                    <w:bottom w:val="single" w:color="auto" w:sz="4" w:space="0"/>
                    <w:right w:val="single" w:color="auto" w:sz="4" w:space="0"/>
                  </w:tcBorders>
                  <w:vAlign w:val="center"/>
                </w:tcPr>
                <w:p w14:paraId="13E27E3D">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7311967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67C87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exact"/>
              </w:trPr>
              <w:tc>
                <w:tcPr>
                  <w:tcW w:w="636" w:type="dxa"/>
                  <w:tcBorders>
                    <w:top w:val="single" w:color="auto" w:sz="4" w:space="0"/>
                    <w:left w:val="single" w:color="auto" w:sz="4" w:space="0"/>
                    <w:bottom w:val="single" w:color="auto" w:sz="4" w:space="0"/>
                    <w:right w:val="single" w:color="auto" w:sz="4" w:space="0"/>
                  </w:tcBorders>
                  <w:vAlign w:val="center"/>
                </w:tcPr>
                <w:p w14:paraId="213FF38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default" w:ascii="仿宋" w:hAnsi="仿宋" w:eastAsia="仿宋" w:cs="仿宋"/>
                      <w:color w:val="auto"/>
                      <w:highlight w:val="none"/>
                    </w:rPr>
                    <w:t>12</w:t>
                  </w:r>
                </w:p>
              </w:tc>
              <w:tc>
                <w:tcPr>
                  <w:tcW w:w="4206" w:type="dxa"/>
                  <w:tcBorders>
                    <w:top w:val="single" w:color="auto" w:sz="4" w:space="0"/>
                    <w:left w:val="single" w:color="auto" w:sz="4" w:space="0"/>
                    <w:bottom w:val="single" w:color="auto" w:sz="4" w:space="0"/>
                    <w:right w:val="single" w:color="auto" w:sz="4" w:space="0"/>
                  </w:tcBorders>
                  <w:vAlign w:val="center"/>
                </w:tcPr>
                <w:p w14:paraId="2D6D541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本期间应支付或扣回（留）的其他款项</w:t>
                  </w:r>
                </w:p>
              </w:tc>
              <w:tc>
                <w:tcPr>
                  <w:tcW w:w="1371" w:type="dxa"/>
                  <w:tcBorders>
                    <w:top w:val="single" w:color="auto" w:sz="4" w:space="0"/>
                    <w:left w:val="single" w:color="auto" w:sz="4" w:space="0"/>
                    <w:bottom w:val="single" w:color="auto" w:sz="4" w:space="0"/>
                    <w:right w:val="single" w:color="auto" w:sz="4" w:space="0"/>
                  </w:tcBorders>
                  <w:vAlign w:val="center"/>
                </w:tcPr>
                <w:p w14:paraId="563EA621">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3C78224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57D69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exact"/>
              </w:trPr>
              <w:tc>
                <w:tcPr>
                  <w:tcW w:w="636" w:type="dxa"/>
                  <w:tcBorders>
                    <w:top w:val="single" w:color="auto" w:sz="4" w:space="0"/>
                    <w:left w:val="single" w:color="auto" w:sz="4" w:space="0"/>
                    <w:bottom w:val="single" w:color="auto" w:sz="4" w:space="0"/>
                    <w:right w:val="single" w:color="auto" w:sz="4" w:space="0"/>
                  </w:tcBorders>
                  <w:vAlign w:val="center"/>
                </w:tcPr>
                <w:p w14:paraId="117315FA">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4206" w:type="dxa"/>
                  <w:tcBorders>
                    <w:top w:val="single" w:color="auto" w:sz="4" w:space="0"/>
                    <w:left w:val="single" w:color="auto" w:sz="4" w:space="0"/>
                    <w:bottom w:val="single" w:color="auto" w:sz="4" w:space="0"/>
                    <w:right w:val="single" w:color="auto" w:sz="4" w:space="0"/>
                  </w:tcBorders>
                  <w:vAlign w:val="center"/>
                </w:tcPr>
                <w:p w14:paraId="071EC3A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c>
                <w:tcPr>
                  <w:tcW w:w="1371" w:type="dxa"/>
                  <w:tcBorders>
                    <w:top w:val="single" w:color="auto" w:sz="4" w:space="0"/>
                    <w:left w:val="single" w:color="auto" w:sz="4" w:space="0"/>
                    <w:bottom w:val="single" w:color="auto" w:sz="4" w:space="0"/>
                    <w:right w:val="single" w:color="auto" w:sz="4" w:space="0"/>
                  </w:tcBorders>
                  <w:vAlign w:val="center"/>
                </w:tcPr>
                <w:p w14:paraId="4244C179">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62BF16B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r w14:paraId="10592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exact"/>
              </w:trPr>
              <w:tc>
                <w:tcPr>
                  <w:tcW w:w="636" w:type="dxa"/>
                  <w:tcBorders>
                    <w:top w:val="single" w:color="auto" w:sz="4" w:space="0"/>
                    <w:left w:val="single" w:color="auto" w:sz="4" w:space="0"/>
                    <w:bottom w:val="single" w:color="auto" w:sz="4" w:space="0"/>
                    <w:right w:val="single" w:color="auto" w:sz="4" w:space="0"/>
                  </w:tcBorders>
                  <w:vAlign w:val="center"/>
                </w:tcPr>
                <w:p w14:paraId="5FAE0C1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4206" w:type="dxa"/>
                  <w:tcBorders>
                    <w:top w:val="single" w:color="auto" w:sz="4" w:space="0"/>
                    <w:left w:val="single" w:color="auto" w:sz="4" w:space="0"/>
                    <w:bottom w:val="single" w:color="auto" w:sz="4" w:space="0"/>
                    <w:right w:val="single" w:color="auto" w:sz="4" w:space="0"/>
                  </w:tcBorders>
                  <w:vAlign w:val="center"/>
                </w:tcPr>
                <w:p w14:paraId="331351E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本期间应支付的工程价款</w:t>
                  </w:r>
                </w:p>
              </w:tc>
              <w:tc>
                <w:tcPr>
                  <w:tcW w:w="1371" w:type="dxa"/>
                  <w:tcBorders>
                    <w:top w:val="single" w:color="auto" w:sz="4" w:space="0"/>
                    <w:left w:val="single" w:color="auto" w:sz="4" w:space="0"/>
                    <w:bottom w:val="single" w:color="auto" w:sz="4" w:space="0"/>
                    <w:right w:val="single" w:color="auto" w:sz="4" w:space="0"/>
                  </w:tcBorders>
                  <w:vAlign w:val="center"/>
                </w:tcPr>
                <w:p w14:paraId="073A12EB">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lang w:eastAsia="zh-CN"/>
                    </w:rPr>
                  </w:pPr>
                </w:p>
              </w:tc>
              <w:tc>
                <w:tcPr>
                  <w:tcW w:w="2421" w:type="dxa"/>
                  <w:tcBorders>
                    <w:top w:val="single" w:color="auto" w:sz="4" w:space="0"/>
                    <w:left w:val="single" w:color="auto" w:sz="4" w:space="0"/>
                    <w:bottom w:val="single" w:color="auto" w:sz="4" w:space="0"/>
                    <w:right w:val="single" w:color="auto" w:sz="4" w:space="0"/>
                  </w:tcBorders>
                  <w:vAlign w:val="center"/>
                </w:tcPr>
                <w:p w14:paraId="59F4687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lang w:eastAsia="zh-CN"/>
                    </w:rPr>
                  </w:pPr>
                </w:p>
              </w:tc>
            </w:tr>
          </w:tbl>
          <w:p w14:paraId="488D404B">
            <w:pPr>
              <w:keepNext w:val="0"/>
              <w:keepLines w:val="0"/>
              <w:widowControl/>
              <w:suppressLineNumbers w:val="0"/>
              <w:tabs>
                <w:tab w:val="left" w:pos="6912"/>
              </w:tabs>
              <w:spacing w:before="0" w:beforeAutospacing="0" w:after="0" w:afterAutospacing="0" w:line="360" w:lineRule="auto"/>
              <w:ind w:left="0" w:right="0"/>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附：</w:t>
            </w:r>
          </w:p>
          <w:p w14:paraId="6DE85A61">
            <w:pPr>
              <w:keepNext w:val="0"/>
              <w:keepLines w:val="0"/>
              <w:widowControl/>
              <w:suppressLineNumbers w:val="0"/>
              <w:tabs>
                <w:tab w:val="left" w:pos="6912"/>
              </w:tabs>
              <w:spacing w:before="0" w:beforeAutospacing="0" w:after="0" w:afterAutospacing="0" w:line="360" w:lineRule="auto"/>
              <w:ind w:left="480" w:right="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 xml:space="preserve">1. </w:t>
            </w:r>
            <w:r>
              <w:rPr>
                <w:rFonts w:hint="eastAsia" w:ascii="仿宋" w:hAnsi="仿宋" w:eastAsia="仿宋" w:cs="仿宋"/>
                <w:color w:val="auto"/>
                <w:highlight w:val="none"/>
                <w:lang w:eastAsia="zh-CN"/>
              </w:rPr>
              <w:t>已完工程款额明细审核表</w:t>
            </w:r>
          </w:p>
          <w:p w14:paraId="05E032FA">
            <w:pPr>
              <w:keepNext w:val="0"/>
              <w:keepLines w:val="0"/>
              <w:widowControl/>
              <w:suppressLineNumbers w:val="0"/>
              <w:tabs>
                <w:tab w:val="left" w:pos="6912"/>
              </w:tabs>
              <w:spacing w:before="0" w:beforeAutospacing="0" w:after="0" w:afterAutospacing="0" w:line="360" w:lineRule="auto"/>
              <w:ind w:left="480" w:right="0"/>
              <w:rPr>
                <w:rFonts w:hint="eastAsia" w:ascii="仿宋" w:hAnsi="仿宋" w:eastAsia="仿宋"/>
                <w:color w:val="auto"/>
                <w:highlight w:val="none"/>
                <w:lang w:eastAsia="zh-CN"/>
              </w:rPr>
            </w:pPr>
            <w:r>
              <w:rPr>
                <w:rFonts w:hint="default" w:ascii="仿宋" w:hAnsi="仿宋" w:eastAsia="仿宋" w:cs="仿宋"/>
                <w:color w:val="auto"/>
                <w:highlight w:val="none"/>
                <w:lang w:eastAsia="zh-CN"/>
              </w:rPr>
              <w:t xml:space="preserve">2. </w:t>
            </w:r>
            <w:r>
              <w:rPr>
                <w:rFonts w:hint="eastAsia" w:ascii="仿宋" w:hAnsi="仿宋" w:eastAsia="仿宋" w:cs="仿宋"/>
                <w:color w:val="auto"/>
                <w:highlight w:val="none"/>
                <w:lang w:eastAsia="zh-CN"/>
              </w:rPr>
              <w:t>相关记录</w:t>
            </w:r>
          </w:p>
          <w:p w14:paraId="05105E7D">
            <w:pPr>
              <w:keepNext w:val="0"/>
              <w:keepLines w:val="0"/>
              <w:widowControl/>
              <w:suppressLineNumbers w:val="0"/>
              <w:tabs>
                <w:tab w:val="left" w:pos="6912"/>
              </w:tabs>
              <w:spacing w:before="0" w:beforeAutospacing="0" w:after="0" w:afterAutospacing="0" w:line="360" w:lineRule="auto"/>
              <w:ind w:left="0" w:right="0" w:firstLine="6000" w:firstLineChars="2500"/>
              <w:rPr>
                <w:rFonts w:hint="eastAsia" w:ascii="仿宋" w:hAnsi="仿宋" w:eastAsia="仿宋"/>
                <w:color w:val="auto"/>
                <w:highlight w:val="none"/>
                <w:u w:val="single"/>
                <w:lang w:eastAsia="zh-CN"/>
              </w:rPr>
            </w:pPr>
            <w:r>
              <w:rPr>
                <w:rFonts w:hint="eastAsia" w:ascii="仿宋" w:hAnsi="仿宋" w:eastAsia="仿宋" w:cs="仿宋"/>
                <w:color w:val="auto"/>
                <w:highlight w:val="none"/>
                <w:lang w:eastAsia="zh-CN"/>
              </w:rPr>
              <w:t>工程造价咨询人（如有）（章）</w:t>
            </w:r>
            <w:r>
              <w:rPr>
                <w:rFonts w:hint="default" w:ascii="仿宋" w:hAnsi="仿宋" w:eastAsia="仿宋" w:cs="仿宋"/>
                <w:color w:val="auto"/>
                <w:highlight w:val="none"/>
                <w:lang w:eastAsia="zh-CN"/>
              </w:rPr>
              <w:t xml:space="preserve">                </w:t>
            </w:r>
          </w:p>
          <w:p w14:paraId="6005A7B1">
            <w:pPr>
              <w:keepNext w:val="0"/>
              <w:keepLines w:val="0"/>
              <w:widowControl/>
              <w:suppressLineNumbers w:val="0"/>
              <w:spacing w:before="0" w:beforeAutospacing="0" w:after="0" w:afterAutospacing="0" w:line="360" w:lineRule="auto"/>
              <w:ind w:left="0" w:right="0" w:firstLine="6000"/>
              <w:rPr>
                <w:rFonts w:hint="eastAsia" w:ascii="仿宋" w:hAnsi="仿宋" w:eastAsia="仿宋" w:cs="仿宋"/>
                <w:color w:val="auto"/>
                <w:highlight w:val="none"/>
                <w:u w:val="single"/>
              </w:rPr>
            </w:pPr>
            <w:r>
              <w:rPr>
                <w:rFonts w:hint="eastAsia" w:ascii="仿宋" w:hAnsi="仿宋" w:eastAsia="仿宋" w:cs="仿宋"/>
                <w:color w:val="auto"/>
                <w:highlight w:val="none"/>
              </w:rPr>
              <w:t>造价工程师</w:t>
            </w:r>
            <w:r>
              <w:rPr>
                <w:rFonts w:hint="default" w:ascii="仿宋" w:hAnsi="仿宋" w:eastAsia="仿宋" w:cs="仿宋"/>
                <w:color w:val="auto"/>
                <w:highlight w:val="none"/>
                <w:u w:val="single"/>
              </w:rPr>
              <w:t xml:space="preserve">               </w:t>
            </w:r>
          </w:p>
          <w:p w14:paraId="53FF19AD">
            <w:pPr>
              <w:keepNext w:val="0"/>
              <w:keepLines w:val="0"/>
              <w:widowControl/>
              <w:suppressLineNumbers w:val="0"/>
              <w:tabs>
                <w:tab w:val="left" w:pos="7272"/>
              </w:tabs>
              <w:spacing w:before="0" w:beforeAutospacing="0" w:after="0" w:afterAutospacing="0" w:line="360" w:lineRule="auto"/>
              <w:ind w:left="0" w:right="0" w:firstLine="6000"/>
              <w:rPr>
                <w:rFonts w:hint="eastAsia" w:ascii="仿宋" w:hAnsi="仿宋" w:eastAsia="仿宋"/>
                <w:color w:val="auto"/>
                <w:highlight w:val="none"/>
                <w:u w:val="single"/>
              </w:rPr>
            </w:pPr>
            <w:r>
              <w:rPr>
                <w:rFonts w:hint="eastAsia" w:ascii="仿宋" w:hAnsi="仿宋" w:eastAsia="仿宋" w:cs="仿宋"/>
                <w:color w:val="auto"/>
                <w:highlight w:val="none"/>
              </w:rPr>
              <w:t>日</w:t>
            </w:r>
            <w:r>
              <w:rPr>
                <w:rFonts w:hint="default" w:ascii="仿宋" w:hAnsi="仿宋" w:eastAsia="仿宋" w:cs="仿宋"/>
                <w:color w:val="auto"/>
                <w:highlight w:val="none"/>
              </w:rPr>
              <w:t xml:space="preserve">      </w:t>
            </w:r>
            <w:r>
              <w:rPr>
                <w:rFonts w:hint="eastAsia" w:ascii="仿宋" w:hAnsi="仿宋" w:eastAsia="仿宋" w:cs="仿宋"/>
                <w:color w:val="auto"/>
                <w:highlight w:val="none"/>
              </w:rPr>
              <w:t>期</w:t>
            </w:r>
            <w:r>
              <w:rPr>
                <w:rFonts w:hint="default" w:ascii="仿宋" w:hAnsi="仿宋" w:eastAsia="仿宋" w:cs="仿宋"/>
                <w:color w:val="auto"/>
                <w:highlight w:val="none"/>
                <w:u w:val="single"/>
              </w:rPr>
              <w:t xml:space="preserve">               </w:t>
            </w:r>
          </w:p>
        </w:tc>
      </w:tr>
    </w:tbl>
    <w:p w14:paraId="29861EEE">
      <w:pPr>
        <w:pStyle w:val="2"/>
        <w:adjustRightInd w:val="0"/>
        <w:snapToGrid w:val="0"/>
        <w:ind w:left="674" w:leftChars="114" w:hanging="400" w:hangingChars="200"/>
        <w:rPr>
          <w:rFonts w:hint="eastAsia" w:ascii="仿宋" w:hAnsi="仿宋" w:eastAsia="仿宋"/>
          <w:color w:val="auto"/>
          <w:sz w:val="24"/>
          <w:szCs w:val="24"/>
          <w:highlight w:val="none"/>
          <w:lang w:eastAsia="zh-CN"/>
        </w:rPr>
      </w:pPr>
      <w:r>
        <w:rPr>
          <w:rFonts w:hint="eastAsia" w:ascii="仿宋" w:hAnsi="仿宋" w:eastAsia="仿宋" w:cs="仿宋"/>
          <w:color w:val="auto"/>
          <w:highlight w:val="none"/>
          <w:lang w:eastAsia="zh-CN"/>
        </w:rPr>
        <w:t>说明：本表一式四份，由造价咨询单位填制，抄送承包人。发包人、监理人、工程造价咨询人（如有）和承包人各存一份</w:t>
      </w:r>
      <w:r>
        <w:rPr>
          <w:rFonts w:hint="eastAsia" w:ascii="仿宋" w:hAnsi="仿宋" w:eastAsia="仿宋" w:cs="仿宋"/>
          <w:color w:val="auto"/>
          <w:sz w:val="24"/>
          <w:szCs w:val="24"/>
          <w:highlight w:val="none"/>
          <w:lang w:eastAsia="zh-CN"/>
        </w:rPr>
        <w:t>。</w:t>
      </w:r>
    </w:p>
    <w:p w14:paraId="195D5AB8">
      <w:pPr>
        <w:spacing w:line="360" w:lineRule="auto"/>
        <w:outlineLvl w:val="1"/>
        <w:rPr>
          <w:rFonts w:hint="eastAsia" w:ascii="仿宋" w:hAnsi="仿宋" w:eastAsia="仿宋" w:cs="仿宋"/>
          <w:b/>
          <w:bCs/>
          <w:color w:val="auto"/>
          <w:highlight w:val="none"/>
          <w:lang w:eastAsia="zh-CN"/>
        </w:rPr>
      </w:pPr>
      <w:r>
        <w:rPr>
          <w:rFonts w:ascii="仿宋" w:hAnsi="仿宋" w:eastAsia="仿宋"/>
          <w:color w:val="auto"/>
          <w:highlight w:val="none"/>
          <w:lang w:eastAsia="zh-CN"/>
        </w:rPr>
        <w:br w:type="page"/>
      </w:r>
      <w:bookmarkStart w:id="2196" w:name="_Toc266892955"/>
      <w:bookmarkStart w:id="2197" w:name="_Toc10625013"/>
      <w:bookmarkStart w:id="2198" w:name="_Toc469384169"/>
      <w:bookmarkStart w:id="2199" w:name="_Toc3098"/>
      <w:bookmarkStart w:id="2200" w:name="_Toc32078"/>
      <w:bookmarkStart w:id="2201" w:name="_Toc14575"/>
      <w:bookmarkStart w:id="2202" w:name="_Toc18242"/>
      <w:bookmarkStart w:id="2203" w:name="_Toc32762"/>
      <w:bookmarkStart w:id="2204" w:name="_Toc25861"/>
      <w:bookmarkStart w:id="2205" w:name="_Toc28696"/>
      <w:bookmarkStart w:id="2206" w:name="_Toc7134"/>
      <w:bookmarkStart w:id="2207" w:name="_Toc28955"/>
      <w:bookmarkStart w:id="2208" w:name="_Toc4057"/>
      <w:bookmarkStart w:id="2209" w:name="_Toc23062"/>
      <w:bookmarkStart w:id="2210" w:name="_Toc9357"/>
      <w:bookmarkStart w:id="2211" w:name="_Toc15462"/>
      <w:bookmarkStart w:id="2212" w:name="_Toc13604"/>
      <w:bookmarkStart w:id="2213" w:name="_Toc16166"/>
      <w:bookmarkStart w:id="2214" w:name="_Toc15105"/>
      <w:bookmarkStart w:id="2215" w:name="_Toc12448"/>
      <w:r>
        <w:rPr>
          <w:rFonts w:hint="eastAsia" w:ascii="仿宋" w:hAnsi="仿宋" w:eastAsia="仿宋" w:cs="仿宋"/>
          <w:b/>
          <w:bCs/>
          <w:color w:val="auto"/>
          <w:highlight w:val="none"/>
          <w:lang w:eastAsia="zh-CN"/>
        </w:rPr>
        <w:t>格式</w:t>
      </w:r>
      <w:bookmarkEnd w:id="2196"/>
      <w:bookmarkEnd w:id="2197"/>
      <w:bookmarkEnd w:id="2198"/>
      <w:r>
        <w:rPr>
          <w:rFonts w:hint="eastAsia" w:ascii="仿宋" w:hAnsi="仿宋" w:eastAsia="仿宋" w:cs="仿宋"/>
          <w:b/>
          <w:bCs/>
          <w:color w:val="auto"/>
          <w:highlight w:val="none"/>
          <w:lang w:eastAsia="zh-CN"/>
        </w:rPr>
        <w:t>30 支付统计表</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2D6DF88C">
      <w:pPr>
        <w:spacing w:before="240" w:beforeLines="100" w:after="240" w:afterLines="100" w:line="360" w:lineRule="auto"/>
        <w:jc w:val="center"/>
        <w:rPr>
          <w:rFonts w:hint="eastAsia" w:ascii="仿宋" w:hAnsi="仿宋" w:eastAsia="仿宋"/>
          <w:b/>
          <w:bCs/>
          <w:color w:val="auto"/>
          <w:spacing w:val="30"/>
          <w:sz w:val="44"/>
          <w:szCs w:val="44"/>
          <w:highlight w:val="none"/>
          <w:lang w:eastAsia="zh-CN"/>
        </w:rPr>
      </w:pPr>
      <w:r>
        <w:rPr>
          <w:rFonts w:hint="eastAsia" w:ascii="仿宋" w:hAnsi="仿宋" w:eastAsia="仿宋" w:cs="仿宋"/>
          <w:b/>
          <w:bCs/>
          <w:color w:val="auto"/>
          <w:spacing w:val="30"/>
          <w:sz w:val="44"/>
          <w:szCs w:val="44"/>
          <w:highlight w:val="none"/>
          <w:lang w:eastAsia="zh-CN"/>
        </w:rPr>
        <w:t>支付统计表</w:t>
      </w:r>
    </w:p>
    <w:p w14:paraId="6EE4D312">
      <w:pPr>
        <w:spacing w:line="360" w:lineRule="auto"/>
        <w:rPr>
          <w:rFonts w:hint="eastAsia" w:ascii="仿宋" w:hAnsi="仿宋" w:eastAsia="仿宋"/>
          <w:color w:val="auto"/>
          <w:highlight w:val="none"/>
        </w:rPr>
      </w:pPr>
      <w:r>
        <w:rPr>
          <w:rFonts w:hint="eastAsia" w:ascii="仿宋" w:hAnsi="仿宋" w:eastAsia="仿宋" w:cs="仿宋"/>
          <w:color w:val="auto"/>
          <w:highlight w:val="none"/>
        </w:rPr>
        <w:t>工程名称：</w:t>
      </w:r>
      <w:r>
        <w:rPr>
          <w:rFonts w:ascii="仿宋" w:hAnsi="仿宋" w:eastAsia="仿宋" w:cs="仿宋"/>
          <w:color w:val="auto"/>
          <w:highlight w:val="none"/>
        </w:rPr>
        <w:t xml:space="preserve">                         </w:t>
      </w:r>
      <w:r>
        <w:rPr>
          <w:rFonts w:hint="eastAsia" w:ascii="仿宋" w:hAnsi="仿宋" w:eastAsia="仿宋" w:cs="仿宋"/>
          <w:color w:val="auto"/>
          <w:highlight w:val="none"/>
        </w:rPr>
        <w:t>编号：</w:t>
      </w:r>
    </w:p>
    <w:tbl>
      <w:tblPr>
        <w:tblStyle w:val="7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6"/>
        <w:gridCol w:w="816"/>
        <w:gridCol w:w="1115"/>
        <w:gridCol w:w="985"/>
        <w:gridCol w:w="907"/>
        <w:gridCol w:w="993"/>
        <w:gridCol w:w="1206"/>
        <w:gridCol w:w="701"/>
        <w:gridCol w:w="923"/>
        <w:gridCol w:w="739"/>
      </w:tblGrid>
      <w:tr w14:paraId="6C5ED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7" w:hRule="atLeast"/>
        </w:trPr>
        <w:tc>
          <w:tcPr>
            <w:tcW w:w="716" w:type="dxa"/>
            <w:vMerge w:val="restart"/>
            <w:vAlign w:val="center"/>
          </w:tcPr>
          <w:p w14:paraId="5B824CED">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序号</w:t>
            </w:r>
          </w:p>
        </w:tc>
        <w:tc>
          <w:tcPr>
            <w:tcW w:w="816" w:type="dxa"/>
            <w:vMerge w:val="restart"/>
            <w:vAlign w:val="center"/>
          </w:tcPr>
          <w:p w14:paraId="30CE15D0">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支付证书编号</w:t>
            </w:r>
          </w:p>
        </w:tc>
        <w:tc>
          <w:tcPr>
            <w:tcW w:w="2100" w:type="dxa"/>
            <w:gridSpan w:val="2"/>
            <w:vAlign w:val="center"/>
          </w:tcPr>
          <w:p w14:paraId="6D278DBF">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对应支付期间</w:t>
            </w:r>
          </w:p>
        </w:tc>
        <w:tc>
          <w:tcPr>
            <w:tcW w:w="1900" w:type="dxa"/>
            <w:gridSpan w:val="2"/>
            <w:vAlign w:val="center"/>
          </w:tcPr>
          <w:p w14:paraId="2175D9A4">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期间已完工程</w:t>
            </w:r>
          </w:p>
        </w:tc>
        <w:tc>
          <w:tcPr>
            <w:tcW w:w="1907" w:type="dxa"/>
            <w:gridSpan w:val="2"/>
            <w:vAlign w:val="center"/>
          </w:tcPr>
          <w:p w14:paraId="412B28CB">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期间实际支付</w:t>
            </w:r>
          </w:p>
        </w:tc>
        <w:tc>
          <w:tcPr>
            <w:tcW w:w="923" w:type="dxa"/>
            <w:vMerge w:val="restart"/>
            <w:vAlign w:val="center"/>
          </w:tcPr>
          <w:p w14:paraId="2FC8C0C6">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已扣留的</w:t>
            </w:r>
          </w:p>
          <w:p w14:paraId="43983B47">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质量保证金（元）</w:t>
            </w:r>
          </w:p>
        </w:tc>
        <w:tc>
          <w:tcPr>
            <w:tcW w:w="739" w:type="dxa"/>
            <w:vMerge w:val="restart"/>
            <w:vAlign w:val="center"/>
          </w:tcPr>
          <w:p w14:paraId="4226FA58">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备注</w:t>
            </w:r>
          </w:p>
        </w:tc>
      </w:tr>
      <w:tr w14:paraId="29CFF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12" w:hRule="atLeast"/>
        </w:trPr>
        <w:tc>
          <w:tcPr>
            <w:tcW w:w="716" w:type="dxa"/>
            <w:vMerge w:val="continue"/>
            <w:vAlign w:val="center"/>
          </w:tcPr>
          <w:p w14:paraId="0E4BA410">
            <w:pPr>
              <w:keepNext w:val="0"/>
              <w:keepLines w:val="0"/>
              <w:widowControl/>
              <w:suppressLineNumbers w:val="0"/>
              <w:spacing w:before="0" w:beforeAutospacing="0" w:after="0" w:afterAutospacing="0"/>
              <w:ind w:left="0" w:right="0"/>
              <w:rPr>
                <w:rFonts w:hint="eastAsia" w:ascii="仿宋" w:hAnsi="仿宋" w:eastAsia="仿宋"/>
                <w:color w:val="auto"/>
                <w:highlight w:val="none"/>
              </w:rPr>
            </w:pPr>
          </w:p>
        </w:tc>
        <w:tc>
          <w:tcPr>
            <w:tcW w:w="816" w:type="dxa"/>
            <w:vMerge w:val="continue"/>
            <w:vAlign w:val="center"/>
          </w:tcPr>
          <w:p w14:paraId="06E1BFE0">
            <w:pPr>
              <w:keepNext w:val="0"/>
              <w:keepLines w:val="0"/>
              <w:widowControl/>
              <w:suppressLineNumbers w:val="0"/>
              <w:spacing w:before="0" w:beforeAutospacing="0" w:after="0" w:afterAutospacing="0"/>
              <w:ind w:left="0" w:right="0"/>
              <w:rPr>
                <w:rFonts w:hint="eastAsia" w:ascii="仿宋" w:hAnsi="仿宋" w:eastAsia="仿宋"/>
                <w:color w:val="auto"/>
                <w:highlight w:val="none"/>
              </w:rPr>
            </w:pPr>
          </w:p>
        </w:tc>
        <w:tc>
          <w:tcPr>
            <w:tcW w:w="1115" w:type="dxa"/>
            <w:vAlign w:val="center"/>
          </w:tcPr>
          <w:p w14:paraId="1D8AA17C">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开始日</w:t>
            </w:r>
          </w:p>
        </w:tc>
        <w:tc>
          <w:tcPr>
            <w:tcW w:w="985" w:type="dxa"/>
            <w:vAlign w:val="center"/>
          </w:tcPr>
          <w:p w14:paraId="6A61D2DC">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截止日</w:t>
            </w:r>
          </w:p>
        </w:tc>
        <w:tc>
          <w:tcPr>
            <w:tcW w:w="907" w:type="dxa"/>
            <w:vAlign w:val="center"/>
          </w:tcPr>
          <w:p w14:paraId="45E32055">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金额（元）</w:t>
            </w:r>
          </w:p>
        </w:tc>
        <w:tc>
          <w:tcPr>
            <w:tcW w:w="993" w:type="dxa"/>
            <w:vAlign w:val="center"/>
          </w:tcPr>
          <w:p w14:paraId="355C31A0">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最迟支付时间</w:t>
            </w:r>
          </w:p>
        </w:tc>
        <w:tc>
          <w:tcPr>
            <w:tcW w:w="1206" w:type="dxa"/>
            <w:vAlign w:val="center"/>
          </w:tcPr>
          <w:p w14:paraId="2CE88B50">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金额</w:t>
            </w:r>
            <w:r>
              <w:rPr>
                <w:rFonts w:hint="default" w:ascii="仿宋" w:hAnsi="仿宋" w:eastAsia="仿宋" w:cs="仿宋"/>
                <w:color w:val="auto"/>
                <w:highlight w:val="none"/>
              </w:rPr>
              <w:t xml:space="preserve"> </w:t>
            </w:r>
            <w:r>
              <w:rPr>
                <w:rFonts w:hint="eastAsia" w:ascii="仿宋" w:hAnsi="仿宋" w:eastAsia="仿宋" w:cs="仿宋"/>
                <w:color w:val="auto"/>
                <w:highlight w:val="none"/>
              </w:rPr>
              <w:t>（元）</w:t>
            </w:r>
          </w:p>
        </w:tc>
        <w:tc>
          <w:tcPr>
            <w:tcW w:w="701" w:type="dxa"/>
            <w:vAlign w:val="center"/>
          </w:tcPr>
          <w:p w14:paraId="70353AC6">
            <w:pPr>
              <w:keepNext w:val="0"/>
              <w:keepLines w:val="0"/>
              <w:widowControl/>
              <w:suppressLineNumbers w:val="0"/>
              <w:spacing w:before="0" w:beforeAutospacing="0" w:after="0" w:afterAutospacing="0"/>
              <w:ind w:left="0" w:right="0"/>
              <w:jc w:val="center"/>
              <w:rPr>
                <w:rFonts w:hint="eastAsia" w:ascii="仿宋" w:hAnsi="仿宋" w:eastAsia="仿宋"/>
                <w:color w:val="auto"/>
                <w:highlight w:val="none"/>
              </w:rPr>
            </w:pPr>
            <w:r>
              <w:rPr>
                <w:rFonts w:hint="eastAsia" w:ascii="仿宋" w:hAnsi="仿宋" w:eastAsia="仿宋" w:cs="仿宋"/>
                <w:color w:val="auto"/>
                <w:highlight w:val="none"/>
              </w:rPr>
              <w:t>时间</w:t>
            </w:r>
          </w:p>
        </w:tc>
        <w:tc>
          <w:tcPr>
            <w:tcW w:w="923" w:type="dxa"/>
            <w:vMerge w:val="continue"/>
            <w:vAlign w:val="center"/>
          </w:tcPr>
          <w:p w14:paraId="451CBF68">
            <w:pPr>
              <w:keepNext w:val="0"/>
              <w:keepLines w:val="0"/>
              <w:widowControl/>
              <w:suppressLineNumbers w:val="0"/>
              <w:spacing w:before="0" w:beforeAutospacing="0" w:after="0" w:afterAutospacing="0"/>
              <w:ind w:left="0" w:right="0"/>
              <w:rPr>
                <w:rFonts w:hint="eastAsia" w:ascii="仿宋" w:hAnsi="仿宋" w:eastAsia="仿宋"/>
                <w:color w:val="auto"/>
                <w:highlight w:val="none"/>
              </w:rPr>
            </w:pPr>
          </w:p>
        </w:tc>
        <w:tc>
          <w:tcPr>
            <w:tcW w:w="739" w:type="dxa"/>
            <w:vMerge w:val="continue"/>
            <w:vAlign w:val="center"/>
          </w:tcPr>
          <w:p w14:paraId="7AE7CDD2">
            <w:pPr>
              <w:keepNext w:val="0"/>
              <w:keepLines w:val="0"/>
              <w:widowControl/>
              <w:suppressLineNumbers w:val="0"/>
              <w:spacing w:before="0" w:beforeAutospacing="0" w:after="0" w:afterAutospacing="0"/>
              <w:ind w:left="0" w:right="0"/>
              <w:rPr>
                <w:rFonts w:hint="eastAsia" w:ascii="仿宋" w:hAnsi="仿宋" w:eastAsia="仿宋"/>
                <w:color w:val="auto"/>
                <w:highlight w:val="none"/>
              </w:rPr>
            </w:pPr>
          </w:p>
        </w:tc>
      </w:tr>
      <w:tr w14:paraId="0F77B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tcPr>
          <w:p w14:paraId="2A5ED5DD">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816" w:type="dxa"/>
          </w:tcPr>
          <w:p w14:paraId="133F437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115" w:type="dxa"/>
          </w:tcPr>
          <w:p w14:paraId="7D0C37A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85" w:type="dxa"/>
          </w:tcPr>
          <w:p w14:paraId="58C09C9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07" w:type="dxa"/>
          </w:tcPr>
          <w:p w14:paraId="70446E9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93" w:type="dxa"/>
          </w:tcPr>
          <w:p w14:paraId="0C54D03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206" w:type="dxa"/>
          </w:tcPr>
          <w:p w14:paraId="2CC36FD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01" w:type="dxa"/>
          </w:tcPr>
          <w:p w14:paraId="60A58F7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23" w:type="dxa"/>
          </w:tcPr>
          <w:p w14:paraId="4A7DFA0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39" w:type="dxa"/>
          </w:tcPr>
          <w:p w14:paraId="5DEE066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095B8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tcPr>
          <w:p w14:paraId="7E0D43F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816" w:type="dxa"/>
          </w:tcPr>
          <w:p w14:paraId="5DF6889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115" w:type="dxa"/>
          </w:tcPr>
          <w:p w14:paraId="55E30BE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85" w:type="dxa"/>
          </w:tcPr>
          <w:p w14:paraId="024C913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07" w:type="dxa"/>
          </w:tcPr>
          <w:p w14:paraId="4E6B747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93" w:type="dxa"/>
          </w:tcPr>
          <w:p w14:paraId="0B61089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206" w:type="dxa"/>
          </w:tcPr>
          <w:p w14:paraId="2493CBF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01" w:type="dxa"/>
          </w:tcPr>
          <w:p w14:paraId="5504C2A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23" w:type="dxa"/>
          </w:tcPr>
          <w:p w14:paraId="32AB9D0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39" w:type="dxa"/>
          </w:tcPr>
          <w:p w14:paraId="7CB365F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3E6FC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tcPr>
          <w:p w14:paraId="16823F5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816" w:type="dxa"/>
          </w:tcPr>
          <w:p w14:paraId="1DC4E4A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115" w:type="dxa"/>
          </w:tcPr>
          <w:p w14:paraId="258440F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85" w:type="dxa"/>
          </w:tcPr>
          <w:p w14:paraId="5DBD385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07" w:type="dxa"/>
          </w:tcPr>
          <w:p w14:paraId="3F266D8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93" w:type="dxa"/>
          </w:tcPr>
          <w:p w14:paraId="4045397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206" w:type="dxa"/>
          </w:tcPr>
          <w:p w14:paraId="3ABAB7D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01" w:type="dxa"/>
          </w:tcPr>
          <w:p w14:paraId="282B87A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23" w:type="dxa"/>
          </w:tcPr>
          <w:p w14:paraId="28FEDAC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39" w:type="dxa"/>
          </w:tcPr>
          <w:p w14:paraId="541B82A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37089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tcPr>
          <w:p w14:paraId="623C031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816" w:type="dxa"/>
          </w:tcPr>
          <w:p w14:paraId="334E9AB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115" w:type="dxa"/>
          </w:tcPr>
          <w:p w14:paraId="699120E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85" w:type="dxa"/>
          </w:tcPr>
          <w:p w14:paraId="7FA875B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07" w:type="dxa"/>
          </w:tcPr>
          <w:p w14:paraId="7CB8DCF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93" w:type="dxa"/>
          </w:tcPr>
          <w:p w14:paraId="5B02211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206" w:type="dxa"/>
          </w:tcPr>
          <w:p w14:paraId="7BBC20B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01" w:type="dxa"/>
          </w:tcPr>
          <w:p w14:paraId="7B409AA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23" w:type="dxa"/>
          </w:tcPr>
          <w:p w14:paraId="787A925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39" w:type="dxa"/>
          </w:tcPr>
          <w:p w14:paraId="114C4BE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6147D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tcPr>
          <w:p w14:paraId="5F9538F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816" w:type="dxa"/>
          </w:tcPr>
          <w:p w14:paraId="7AB7E38D">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115" w:type="dxa"/>
          </w:tcPr>
          <w:p w14:paraId="7BA1876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85" w:type="dxa"/>
          </w:tcPr>
          <w:p w14:paraId="7ED4DC9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07" w:type="dxa"/>
          </w:tcPr>
          <w:p w14:paraId="4720CE5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93" w:type="dxa"/>
          </w:tcPr>
          <w:p w14:paraId="50991FA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206" w:type="dxa"/>
          </w:tcPr>
          <w:p w14:paraId="1D5FEBB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01" w:type="dxa"/>
          </w:tcPr>
          <w:p w14:paraId="03E1844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23" w:type="dxa"/>
          </w:tcPr>
          <w:p w14:paraId="7D9B3F6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39" w:type="dxa"/>
          </w:tcPr>
          <w:p w14:paraId="47DC161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1390C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tcPr>
          <w:p w14:paraId="1C3676EE">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816" w:type="dxa"/>
          </w:tcPr>
          <w:p w14:paraId="707D56C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115" w:type="dxa"/>
          </w:tcPr>
          <w:p w14:paraId="1376499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85" w:type="dxa"/>
          </w:tcPr>
          <w:p w14:paraId="3BF0E12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07" w:type="dxa"/>
          </w:tcPr>
          <w:p w14:paraId="22FB0FE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93" w:type="dxa"/>
          </w:tcPr>
          <w:p w14:paraId="149CFBBD">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206" w:type="dxa"/>
          </w:tcPr>
          <w:p w14:paraId="657242B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01" w:type="dxa"/>
          </w:tcPr>
          <w:p w14:paraId="6B7599F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23" w:type="dxa"/>
          </w:tcPr>
          <w:p w14:paraId="19A0FA9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39" w:type="dxa"/>
          </w:tcPr>
          <w:p w14:paraId="4FB9522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22724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tcPr>
          <w:p w14:paraId="34C0FC4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816" w:type="dxa"/>
          </w:tcPr>
          <w:p w14:paraId="6A9A250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115" w:type="dxa"/>
          </w:tcPr>
          <w:p w14:paraId="368B481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85" w:type="dxa"/>
          </w:tcPr>
          <w:p w14:paraId="1859B6A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07" w:type="dxa"/>
          </w:tcPr>
          <w:p w14:paraId="44C1212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93" w:type="dxa"/>
          </w:tcPr>
          <w:p w14:paraId="40209726">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206" w:type="dxa"/>
          </w:tcPr>
          <w:p w14:paraId="3D53746E">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01" w:type="dxa"/>
          </w:tcPr>
          <w:p w14:paraId="45A681D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23" w:type="dxa"/>
          </w:tcPr>
          <w:p w14:paraId="1FCF114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39" w:type="dxa"/>
          </w:tcPr>
          <w:p w14:paraId="65D7CA2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7ED0A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tcPr>
          <w:p w14:paraId="15993E8C">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816" w:type="dxa"/>
          </w:tcPr>
          <w:p w14:paraId="33013AC8">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115" w:type="dxa"/>
          </w:tcPr>
          <w:p w14:paraId="5138CDCB">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85" w:type="dxa"/>
          </w:tcPr>
          <w:p w14:paraId="0B3BB4F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07" w:type="dxa"/>
          </w:tcPr>
          <w:p w14:paraId="0C9B62B9">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93" w:type="dxa"/>
          </w:tcPr>
          <w:p w14:paraId="4026FCA5">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206" w:type="dxa"/>
          </w:tcPr>
          <w:p w14:paraId="32B70A9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01" w:type="dxa"/>
          </w:tcPr>
          <w:p w14:paraId="331D91EE">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23" w:type="dxa"/>
          </w:tcPr>
          <w:p w14:paraId="107419D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39" w:type="dxa"/>
          </w:tcPr>
          <w:p w14:paraId="5110711F">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r w14:paraId="352E9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16" w:type="dxa"/>
          </w:tcPr>
          <w:p w14:paraId="251F4AA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816" w:type="dxa"/>
            <w:vAlign w:val="center"/>
          </w:tcPr>
          <w:p w14:paraId="3C7F3724">
            <w:pPr>
              <w:keepNext w:val="0"/>
              <w:keepLines w:val="0"/>
              <w:widowControl/>
              <w:suppressLineNumbers w:val="0"/>
              <w:spacing w:before="0" w:beforeAutospacing="0" w:after="0" w:afterAutospacing="0" w:line="360" w:lineRule="auto"/>
              <w:ind w:left="0" w:right="0"/>
              <w:jc w:val="center"/>
              <w:rPr>
                <w:rFonts w:hint="eastAsia" w:ascii="仿宋" w:hAnsi="仿宋" w:eastAsia="仿宋"/>
                <w:color w:val="auto"/>
                <w:highlight w:val="none"/>
              </w:rPr>
            </w:pPr>
            <w:r>
              <w:rPr>
                <w:rFonts w:hint="eastAsia" w:ascii="仿宋" w:hAnsi="仿宋" w:eastAsia="仿宋" w:cs="仿宋"/>
                <w:color w:val="auto"/>
                <w:highlight w:val="none"/>
              </w:rPr>
              <w:t>累计</w:t>
            </w:r>
          </w:p>
        </w:tc>
        <w:tc>
          <w:tcPr>
            <w:tcW w:w="1115" w:type="dxa"/>
          </w:tcPr>
          <w:p w14:paraId="77733771">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85" w:type="dxa"/>
          </w:tcPr>
          <w:p w14:paraId="1A22E25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07" w:type="dxa"/>
          </w:tcPr>
          <w:p w14:paraId="4750DF12">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93" w:type="dxa"/>
          </w:tcPr>
          <w:p w14:paraId="048A7E6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1206" w:type="dxa"/>
          </w:tcPr>
          <w:p w14:paraId="501ECB44">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01" w:type="dxa"/>
          </w:tcPr>
          <w:p w14:paraId="4868D7DA">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923" w:type="dxa"/>
          </w:tcPr>
          <w:p w14:paraId="792DB277">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c>
          <w:tcPr>
            <w:tcW w:w="739" w:type="dxa"/>
          </w:tcPr>
          <w:p w14:paraId="69246B20">
            <w:pPr>
              <w:keepNext w:val="0"/>
              <w:keepLines w:val="0"/>
              <w:widowControl/>
              <w:suppressLineNumbers w:val="0"/>
              <w:spacing w:before="0" w:beforeAutospacing="0" w:after="0" w:afterAutospacing="0" w:line="360" w:lineRule="auto"/>
              <w:ind w:left="0" w:right="0"/>
              <w:rPr>
                <w:rFonts w:hint="eastAsia" w:ascii="仿宋" w:hAnsi="仿宋" w:eastAsia="仿宋"/>
                <w:color w:val="auto"/>
                <w:highlight w:val="none"/>
              </w:rPr>
            </w:pPr>
          </w:p>
        </w:tc>
      </w:tr>
    </w:tbl>
    <w:p w14:paraId="57D875A8">
      <w:pPr>
        <w:spacing w:line="360" w:lineRule="auto"/>
        <w:rPr>
          <w:rFonts w:hint="eastAsia" w:ascii="仿宋" w:hAnsi="仿宋" w:eastAsia="仿宋" w:cs="仿宋"/>
          <w:color w:val="auto"/>
          <w:highlight w:val="none"/>
          <w:lang w:eastAsia="zh-CN"/>
        </w:rPr>
      </w:pPr>
      <w:r>
        <w:rPr>
          <w:rFonts w:hint="eastAsia" w:ascii="仿宋" w:hAnsi="仿宋" w:eastAsia="仿宋" w:cs="仿宋"/>
          <w:color w:val="auto"/>
          <w:highlight w:val="none"/>
          <w:lang w:eastAsia="zh-CN"/>
        </w:rPr>
        <w:t>编制：</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复核：</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编制日期：</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年</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　月　</w:t>
      </w:r>
      <w:r>
        <w:rPr>
          <w:rFonts w:ascii="仿宋" w:hAnsi="仿宋" w:eastAsia="仿宋" w:cs="仿宋"/>
          <w:color w:val="auto"/>
          <w:highlight w:val="none"/>
          <w:lang w:eastAsia="zh-CN"/>
        </w:rPr>
        <w:t xml:space="preserve"> </w:t>
      </w:r>
      <w:r>
        <w:rPr>
          <w:rFonts w:hint="eastAsia" w:ascii="仿宋" w:hAnsi="仿宋" w:eastAsia="仿宋" w:cs="仿宋"/>
          <w:color w:val="auto"/>
          <w:highlight w:val="none"/>
          <w:lang w:eastAsia="zh-CN"/>
        </w:rPr>
        <w:t>日</w:t>
      </w:r>
      <w:r>
        <w:rPr>
          <w:rFonts w:ascii="仿宋" w:hAnsi="仿宋" w:eastAsia="仿宋" w:cs="仿宋"/>
          <w:color w:val="auto"/>
          <w:highlight w:val="none"/>
          <w:lang w:eastAsia="zh-CN"/>
        </w:rPr>
        <w:t xml:space="preserve">                                                             </w:t>
      </w:r>
    </w:p>
    <w:p w14:paraId="262689D2">
      <w:pPr>
        <w:spacing w:line="360" w:lineRule="auto"/>
        <w:rPr>
          <w:rFonts w:hint="eastAsia" w:ascii="仿宋" w:hAnsi="仿宋" w:eastAsia="仿宋"/>
          <w:color w:val="auto"/>
          <w:highlight w:val="none"/>
          <w:lang w:eastAsia="zh-CN"/>
        </w:rPr>
      </w:pPr>
      <w:r>
        <w:rPr>
          <w:rFonts w:hint="eastAsia" w:ascii="仿宋" w:hAnsi="仿宋" w:eastAsia="仿宋" w:cs="仿宋"/>
          <w:color w:val="auto"/>
          <w:highlight w:val="none"/>
          <w:lang w:eastAsia="zh-CN"/>
        </w:rPr>
        <w:t>说明：本表用于承包人、发包人的工程款额支付凭证统计和内部管理。</w:t>
      </w:r>
    </w:p>
    <w:p w14:paraId="29EC9F1F">
      <w:pPr>
        <w:rPr>
          <w:color w:val="auto"/>
          <w:highlight w:val="none"/>
          <w:lang w:eastAsia="zh-CN"/>
        </w:rPr>
      </w:pPr>
    </w:p>
    <w:sectPr>
      <w:headerReference r:id="rId13" w:type="default"/>
      <w:footerReference r:id="rId14" w:type="default"/>
      <w:endnotePr>
        <w:numFmt w:val="decimal"/>
      </w:endnotePr>
      <w:pgSz w:w="11906" w:h="16838"/>
      <w:pgMar w:top="1440" w:right="1440" w:bottom="1440" w:left="1440" w:header="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大标宋简体">
    <w:panose1 w:val="02000000000000000000"/>
    <w:charset w:val="86"/>
    <w:family w:val="auto"/>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Calibri Light">
    <w:panose1 w:val="020F0302020204030204"/>
    <w:charset w:val="00"/>
    <w:family w:val="swiss"/>
    <w:pitch w:val="default"/>
    <w:sig w:usb0="E4002EFF" w:usb1="C200247B" w:usb2="00000009" w:usb3="00000000" w:csb0="200001FF" w:csb1="00000000"/>
  </w:font>
  <w:font w:name="Batang">
    <w:altName w:val="Malgun Gothic"/>
    <w:panose1 w:val="02030600000101010101"/>
    <w:charset w:val="81"/>
    <w:family w:val="roman"/>
    <w:pitch w:val="default"/>
    <w:sig w:usb0="00000000" w:usb1="00000000" w:usb2="00000030" w:usb3="00000000" w:csb0="4008009F" w:csb1="DFD70000"/>
  </w:font>
  <w:font w:name="Malgun Gothic">
    <w:panose1 w:val="020B0503020000020004"/>
    <w:charset w:val="81"/>
    <w:family w:val="auto"/>
    <w:pitch w:val="default"/>
    <w:sig w:usb0="9000002F" w:usb1="29D77CFB" w:usb2="00000012" w:usb3="00000000" w:csb0="00080001" w:csb1="00000000"/>
  </w:font>
  <w:font w:name="ˎ̥">
    <w:altName w:val="Noto Sans SC"/>
    <w:panose1 w:val="00000000000000000000"/>
    <w:charset w:val="00"/>
    <w:family w:val="roman"/>
    <w:pitch w:val="default"/>
    <w:sig w:usb0="00000000" w:usb1="00000000" w:usb2="00000000" w:usb3="00000000" w:csb0="00040001" w:csb1="00000000"/>
  </w:font>
  <w:font w:name="Noto Sans SC">
    <w:panose1 w:val="020B0200000000000000"/>
    <w:charset w:val="86"/>
    <w:family w:val="auto"/>
    <w:pitch w:val="default"/>
    <w:sig w:usb0="20000083" w:usb1="2ADF3C10" w:usb2="00000016" w:usb3="00000000" w:csb0="60060107" w:csb1="00000000"/>
  </w:font>
  <w:font w:name="Tahoma">
    <w:panose1 w:val="020B0604030504040204"/>
    <w:charset w:val="00"/>
    <w:family w:val="swiss"/>
    <w:pitch w:val="default"/>
    <w:sig w:usb0="E1002EFF" w:usb1="C000605B" w:usb2="00000029" w:usb3="00000000" w:csb0="200101FF" w:csb1="20280000"/>
  </w:font>
  <w:font w:name="CG Times">
    <w:altName w:val="Times New Roman"/>
    <w:panose1 w:val="00000000000000000000"/>
    <w:charset w:val="00"/>
    <w:family w:val="roman"/>
    <w:pitch w:val="default"/>
    <w:sig w:usb0="00000000" w:usb1="00000000" w:usb2="00000000" w:usb3="00000000" w:csb0="00000001" w:csb1="00000000"/>
  </w:font>
  <w:font w:name="Times">
    <w:altName w:val="Times New Roman"/>
    <w:panose1 w:val="02020603050405020304"/>
    <w:charset w:val="00"/>
    <w:family w:val="roman"/>
    <w:pitch w:val="default"/>
    <w:sig w:usb0="00000000" w:usb1="00000000" w:usb2="00000000" w:usb3="00000000" w:csb0="00000001" w:csb1="00000000"/>
  </w:font>
  <w:font w:name="Verdana">
    <w:panose1 w:val="020B0604030504040204"/>
    <w:charset w:val="00"/>
    <w:family w:val="auto"/>
    <w:pitch w:val="default"/>
    <w:sig w:usb0="A00006FF" w:usb1="4000205B" w:usb2="00000010" w:usb3="00000000" w:csb0="2000019F" w:csb1="00000000"/>
  </w:font>
  <w:font w:name="Arial Unicode MS">
    <w:altName w:val="宋体"/>
    <w:panose1 w:val="020B0604020202020204"/>
    <w:charset w:val="86"/>
    <w:family w:val="swiss"/>
    <w:pitch w:val="default"/>
    <w:sig w:usb0="00000000" w:usb1="00000000" w:usb2="0000003F" w:usb3="00000000" w:csb0="603F01FF" w:csb1="FFFF0000"/>
  </w:font>
  <w:font w:name="Roman">
    <w:altName w:val="Times New Roman"/>
    <w:panose1 w:val="00000000000000000000"/>
    <w:charset w:val="01"/>
    <w:family w:val="auto"/>
    <w:pitch w:val="default"/>
    <w:sig w:usb0="00000000" w:usb1="00000000" w:usb2="00000000" w:usb3="00000000" w:csb0="00000000" w:csb1="00000000"/>
  </w:font>
  <w:font w:name="Calisto MT">
    <w:altName w:val="Segoe Print"/>
    <w:panose1 w:val="02040603050505030304"/>
    <w:charset w:val="00"/>
    <w:family w:val="roman"/>
    <w:pitch w:val="default"/>
    <w:sig w:usb0="00000000" w:usb1="00000000" w:usb2="00000000" w:usb3="00000000" w:csb0="20000001" w:csb1="00000000"/>
  </w:font>
  <w:font w:name="Segoe Print">
    <w:panose1 w:val="02000600000000000000"/>
    <w:charset w:val="00"/>
    <w:family w:val="auto"/>
    <w:pitch w:val="default"/>
    <w:sig w:usb0="0000028F" w:usb1="00000000" w:usb2="00000000" w:usb3="00000000" w:csb0="2000009F" w:csb1="47010000"/>
  </w:font>
  <w:font w:name="隶书">
    <w:altName w:val="微软雅黑"/>
    <w:panose1 w:val="0201050906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MS UI Gothic">
    <w:panose1 w:val="020B0600070205080204"/>
    <w:charset w:val="80"/>
    <w:family w:val="swiss"/>
    <w:pitch w:val="default"/>
    <w:sig w:usb0="E00002FF" w:usb1="6AC7FDFB" w:usb2="08000012" w:usb3="00000000" w:csb0="4002009F" w:csb1="DFD70000"/>
  </w:font>
  <w:font w:name="华文中宋">
    <w:altName w:val="宋体"/>
    <w:panose1 w:val="02010600040101010101"/>
    <w:charset w:val="86"/>
    <w:family w:val="auto"/>
    <w:pitch w:val="default"/>
    <w:sig w:usb0="00000000" w:usb1="00000000" w:usb2="00000000" w:usb3="00000000" w:csb0="0004009F" w:csb1="DFD70000"/>
  </w:font>
  <w:font w:name="仿宋">
    <w:panose1 w:val="02010609060101010101"/>
    <w:charset w:val="86"/>
    <w:family w:val="modern"/>
    <w:pitch w:val="default"/>
    <w:sig w:usb0="800002BF" w:usb1="38CF7CFA" w:usb2="00000016" w:usb3="00000000" w:csb0="00040001" w:csb1="00000000"/>
  </w:font>
  <w:font w:name="Wingdings 2">
    <w:altName w:val="Wingdings"/>
    <w:panose1 w:val="05020102010507070707"/>
    <w:charset w:val="02"/>
    <w:family w:val="roman"/>
    <w:pitch w:val="default"/>
    <w:sig w:usb0="00000000" w:usb1="00000000" w:usb2="00000000" w:usb3="00000000" w:csb0="80000000" w:csb1="00000000"/>
  </w:font>
  <w:font w:name="Kingsoft UE">
    <w:panose1 w:val="02000100010000000000"/>
    <w:charset w:val="00"/>
    <w:family w:val="auto"/>
    <w:pitch w:val="default"/>
    <w:sig w:usb0="00000001" w:usb1="00004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6E9373">
    <w:pPr>
      <w:pStyle w:val="49"/>
      <w:jc w:val="center"/>
    </w:pPr>
  </w:p>
  <w:p w14:paraId="1E1B73A1">
    <w:pPr>
      <w:pStyle w:val="49"/>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F70EC2">
    <w:pPr>
      <w:pStyle w:val="49"/>
      <w:jc w:val="center"/>
    </w:pPr>
    <w:r>
      <w:fldChar w:fldCharType="begin"/>
    </w:r>
    <w:r>
      <w:instrText xml:space="preserve"> PAGE   \* MERGEFORMAT </w:instrText>
    </w:r>
    <w:r>
      <w:fldChar w:fldCharType="separate"/>
    </w:r>
    <w:r>
      <w:rPr>
        <w:lang w:val="zh-CN" w:eastAsia="zh-CN"/>
      </w:rPr>
      <w:t>289</w:t>
    </w:r>
    <w:r>
      <w:rPr>
        <w:lang w:val="zh-CN" w:eastAsia="zh-CN"/>
      </w:rPr>
      <w:fldChar w:fldCharType="end"/>
    </w:r>
  </w:p>
  <w:p w14:paraId="6EFDFD11">
    <w:pPr>
      <w:pStyle w:val="4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59083">
    <w:pPr>
      <w:pStyle w:val="49"/>
      <w:widowControl w:val="0"/>
      <w:jc w:val="center"/>
      <w:rPr>
        <w:rFonts w:hint="eastAsia" w:ascii="仿宋" w:hAnsi="仿宋" w:eastAsia="仿宋"/>
        <w:sz w:val="21"/>
        <w:szCs w:val="21"/>
        <w:lang w:eastAsia="zh-CN"/>
      </w:rPr>
    </w:pPr>
    <w:r>
      <w:rPr>
        <w:rFonts w:ascii="仿宋" w:hAnsi="仿宋" w:eastAsia="仿宋"/>
        <w:sz w:val="21"/>
        <w:szCs w:val="21"/>
      </w:rPr>
      <w:fldChar w:fldCharType="begin"/>
    </w:r>
    <w:r>
      <w:rPr>
        <w:rFonts w:ascii="仿宋" w:hAnsi="仿宋" w:eastAsia="仿宋"/>
        <w:sz w:val="21"/>
        <w:szCs w:val="21"/>
      </w:rPr>
      <w:instrText xml:space="preserve"> PAGE   \* MERGEFORMAT </w:instrText>
    </w:r>
    <w:r>
      <w:rPr>
        <w:rFonts w:ascii="仿宋" w:hAnsi="仿宋" w:eastAsia="仿宋"/>
        <w:sz w:val="21"/>
        <w:szCs w:val="21"/>
      </w:rPr>
      <w:fldChar w:fldCharType="separate"/>
    </w:r>
    <w:r>
      <w:rPr>
        <w:rFonts w:ascii="仿宋" w:hAnsi="仿宋" w:eastAsia="仿宋"/>
        <w:sz w:val="21"/>
        <w:szCs w:val="21"/>
        <w:lang w:val="zh-CN" w:eastAsia="zh-CN"/>
      </w:rPr>
      <w:t>5</w:t>
    </w:r>
    <w:r>
      <w:rPr>
        <w:rFonts w:ascii="仿宋" w:hAnsi="仿宋" w:eastAsia="仿宋"/>
        <w:sz w:val="21"/>
        <w:szCs w:val="21"/>
      </w:rPr>
      <w:fldChar w:fldCharType="end"/>
    </w:r>
  </w:p>
  <w:p w14:paraId="5E95CA74">
    <w:pPr>
      <w:pStyle w:val="4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201BAB">
    <w:pPr>
      <w:pStyle w:val="49"/>
      <w:jc w:val="center"/>
    </w:pPr>
    <w:r>
      <w:fldChar w:fldCharType="begin"/>
    </w:r>
    <w:r>
      <w:instrText xml:space="preserve"> PAGE   \* MERGEFORMAT </w:instrText>
    </w:r>
    <w:r>
      <w:fldChar w:fldCharType="separate"/>
    </w:r>
    <w:r>
      <w:rPr>
        <w:lang w:val="zh-CN" w:eastAsia="zh-CN"/>
      </w:rPr>
      <w:t>4</w:t>
    </w:r>
    <w:r>
      <w:rPr>
        <w:lang w:val="zh-CN" w:eastAsia="zh-CN"/>
      </w:rPr>
      <w:fldChar w:fldCharType="end"/>
    </w:r>
  </w:p>
  <w:p w14:paraId="5ED2121C">
    <w:pPr>
      <w:pStyle w:val="4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00AC0E">
    <w:pPr>
      <w:pStyle w:val="49"/>
      <w:jc w:val="center"/>
      <w:rPr>
        <w:lang w:eastAsia="zh-CN"/>
      </w:rPr>
    </w:pPr>
    <w:r>
      <w:rPr>
        <w:rFonts w:hint="eastAsia"/>
        <w:lang w:eastAsia="zh-CN"/>
      </w:rPr>
      <w:t>1</w:t>
    </w:r>
  </w:p>
  <w:p w14:paraId="35D583FB">
    <w:pPr>
      <w:pStyle w:val="49"/>
      <w:jc w:val="center"/>
      <w:rPr>
        <w:lang w:eastAsia="zh-C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2BBE69">
    <w:pPr>
      <w:pStyle w:val="49"/>
      <w:jc w:val="center"/>
      <w:rPr>
        <w:rFonts w:hint="eastAsia" w:ascii="仿宋" w:hAnsi="仿宋" w:eastAsia="仿宋"/>
      </w:rPr>
    </w:pPr>
    <w:r>
      <w:rPr>
        <w:rFonts w:ascii="仿宋" w:hAnsi="仿宋" w:eastAsia="仿宋"/>
      </w:rPr>
      <w:fldChar w:fldCharType="begin"/>
    </w:r>
    <w:r>
      <w:rPr>
        <w:rFonts w:ascii="仿宋" w:hAnsi="仿宋" w:eastAsia="仿宋"/>
      </w:rPr>
      <w:instrText xml:space="preserve"> PAGE   \* MERGEFORMAT </w:instrText>
    </w:r>
    <w:r>
      <w:rPr>
        <w:rFonts w:ascii="仿宋" w:hAnsi="仿宋" w:eastAsia="仿宋"/>
      </w:rPr>
      <w:fldChar w:fldCharType="separate"/>
    </w:r>
    <w:r>
      <w:rPr>
        <w:rFonts w:ascii="仿宋" w:hAnsi="仿宋" w:eastAsia="仿宋"/>
        <w:lang w:val="zh-CN" w:eastAsia="zh-CN"/>
      </w:rPr>
      <w:t>256</w:t>
    </w:r>
    <w:r>
      <w:rPr>
        <w:rFonts w:ascii="仿宋" w:hAnsi="仿宋" w:eastAsia="仿宋"/>
      </w:rPr>
      <w:fldChar w:fldCharType="end"/>
    </w:r>
  </w:p>
  <w:p w14:paraId="4A924C24">
    <w:pPr>
      <w:pStyle w:val="49"/>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315592">
    <w:pPr>
      <w:pStyle w:val="49"/>
      <w:jc w:val="center"/>
    </w:pPr>
    <w:r>
      <w:fldChar w:fldCharType="begin"/>
    </w:r>
    <w:r>
      <w:instrText xml:space="preserve"> PAGE   \* MERGEFORMAT </w:instrText>
    </w:r>
    <w:r>
      <w:fldChar w:fldCharType="separate"/>
    </w:r>
    <w:r>
      <w:rPr>
        <w:lang w:val="zh-CN" w:eastAsia="zh-CN"/>
      </w:rPr>
      <w:t>1</w:t>
    </w:r>
    <w:r>
      <w:rPr>
        <w:lang w:val="zh-CN" w:eastAsia="zh-CN"/>
      </w:rPr>
      <w:fldChar w:fldCharType="end"/>
    </w:r>
  </w:p>
  <w:p w14:paraId="5FE58361">
    <w:pPr>
      <w:pStyle w:val="49"/>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AD93C">
    <w:pPr>
      <w:pStyle w:val="49"/>
      <w:jc w:val="center"/>
      <w:rPr>
        <w:rFonts w:hint="eastAsia" w:ascii="仿宋" w:hAnsi="仿宋" w:eastAsia="仿宋"/>
      </w:rPr>
    </w:pPr>
    <w:r>
      <w:rPr>
        <w:rFonts w:ascii="仿宋" w:hAnsi="仿宋" w:eastAsia="仿宋"/>
      </w:rPr>
      <w:fldChar w:fldCharType="begin"/>
    </w:r>
    <w:r>
      <w:rPr>
        <w:rFonts w:ascii="仿宋" w:hAnsi="仿宋" w:eastAsia="仿宋"/>
      </w:rPr>
      <w:instrText xml:space="preserve"> PAGE   \* MERGEFORMAT </w:instrText>
    </w:r>
    <w:r>
      <w:rPr>
        <w:rFonts w:ascii="仿宋" w:hAnsi="仿宋" w:eastAsia="仿宋"/>
      </w:rPr>
      <w:fldChar w:fldCharType="separate"/>
    </w:r>
    <w:r>
      <w:rPr>
        <w:rFonts w:ascii="仿宋" w:hAnsi="仿宋" w:eastAsia="仿宋"/>
        <w:lang w:val="zh-CN" w:eastAsia="zh-CN"/>
      </w:rPr>
      <w:t>256</w:t>
    </w:r>
    <w:r>
      <w:rPr>
        <w:rFonts w:ascii="仿宋" w:hAnsi="仿宋" w:eastAsia="仿宋"/>
      </w:rPr>
      <w:fldChar w:fldCharType="end"/>
    </w:r>
  </w:p>
  <w:p w14:paraId="4A1C9735">
    <w:pPr>
      <w:pStyle w:val="49"/>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07C7B">
    <w:pPr>
      <w:pStyle w:val="49"/>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54" name="文本框 4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7C8027A">
                          <w:pPr>
                            <w:pStyle w:val="49"/>
                            <w:jc w:val="center"/>
                          </w:pPr>
                          <w:r>
                            <w:fldChar w:fldCharType="begin"/>
                          </w:r>
                          <w:r>
                            <w:instrText xml:space="preserve"> PAGE   \* MERGEFORMAT </w:instrText>
                          </w:r>
                          <w:r>
                            <w:fldChar w:fldCharType="separate"/>
                          </w:r>
                          <w:r>
                            <w:rPr>
                              <w:lang w:val="zh-CN"/>
                            </w:rPr>
                            <w:t>3</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z2GXiMQBAACRAwAADgAAAGRycy9lMm9Eb2MueG1srVPNjtMwEL4j8Q6W&#10;79TZakFV1HS1qFqEhABp4QFcx24s+U8et0lfAN6AExfuPFefg7GTdGG57GEvznhm/M1830zWN4M1&#10;5CgjaO8aerWoKJFO+Fa7fUO/frl7taIEEnctN97Jhp4k0JvNyxfrPtRy6TtvWhkJgjio+9DQLqVQ&#10;Mwaik5bDwgfpMKh8tDzhNe5ZG3mP6NawZVW9Yb2PbYheSAD0bscgnRDjUwC9UlrIrRcHK10aUaM0&#10;PCEl6HQAuindKiVF+qQUyERMQ5FpKicWQXuXT7ZZ83ofeei0mFrgT2nhESfLtcOiF6gtT5wcov4P&#10;ymoRPXiVFsJbNhIpiiCLq+qRNvcdD7JwQakhXESH54MVH4+fI9FtQ69fX1PiuMWRn398P//8ff71&#10;jWQnStQHqDHzPmBuGt76ARdn9gM6M/NBRZu/yIlgHAU+XQSWQyIiP1otV6sKQwJj8wXx2cPzECG9&#10;k96SbDQ04gSLsPz4AdKYOqfkas7faWPKFI37x4GY2cNy72OP2UrDbpgI7Xx7Qj49Dr+hDnedEvPe&#10;obZ5T2YjzsZuMnINCLeHhIVLPxl1hJqK4aQKo2mr8ir8fS9ZD3/S5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OqXm5zwAAAAUBAAAPAAAAAAAAAAEAIAAAACIAAABkcnMvZG93bnJldi54bWxQSwEC&#10;FAAUAAAACACHTuJAz2GXiMQBAACRAwAADgAAAAAAAAABACAAAAAeAQAAZHJzL2Uyb0RvYy54bWxQ&#10;SwUGAAAAAAYABgBZAQAAVAUAAAAA&#10;">
              <v:fill on="f" focussize="0,0"/>
              <v:stroke on="f"/>
              <v:imagedata o:title=""/>
              <o:lock v:ext="edit" aspectratio="f"/>
              <v:textbox inset="0mm,0mm,0mm,0mm" style="mso-fit-shape-to-text:t;">
                <w:txbxContent>
                  <w:p w14:paraId="67C8027A">
                    <w:pPr>
                      <w:pStyle w:val="49"/>
                      <w:jc w:val="center"/>
                    </w:pPr>
                    <w:r>
                      <w:fldChar w:fldCharType="begin"/>
                    </w:r>
                    <w:r>
                      <w:instrText xml:space="preserve"> PAGE   \* MERGEFORMAT </w:instrText>
                    </w:r>
                    <w:r>
                      <w:fldChar w:fldCharType="separate"/>
                    </w:r>
                    <w:r>
                      <w:rPr>
                        <w:lang w:val="zh-CN"/>
                      </w:rPr>
                      <w:t>3</w:t>
                    </w:r>
                    <w:r>
                      <w:fldChar w:fldCharType="end"/>
                    </w:r>
                  </w:p>
                </w:txbxContent>
              </v:textbox>
            </v:shape>
          </w:pict>
        </mc:Fallback>
      </mc:AlternateContent>
    </w:r>
  </w:p>
  <w:p w14:paraId="24F45BB8">
    <w:pPr>
      <w:pStyle w:val="49"/>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738D97">
    <w:pPr>
      <w:pStyle w:val="49"/>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55" name="文本框 4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12D06D3">
                          <w:pPr>
                            <w:pStyle w:val="49"/>
                            <w:jc w:val="center"/>
                          </w:pPr>
                          <w:r>
                            <w:fldChar w:fldCharType="begin"/>
                          </w:r>
                          <w:r>
                            <w:instrText xml:space="preserve"> PAGE   \* MERGEFORMAT </w:instrText>
                          </w:r>
                          <w:r>
                            <w:fldChar w:fldCharType="separate"/>
                          </w:r>
                          <w:r>
                            <w:rPr>
                              <w:lang w:val="zh-CN"/>
                            </w:rPr>
                            <w:t>1</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hB7vMQBAACRAwAADgAAAGRycy9lMm9Eb2MueG1srVPNjtMwEL4j8Q6W&#10;79TZikVV1HS1qFqEhABp4QFcx24s+U8et0lfAN6AExfuPFefg7GTdGG57GEvznhm/M1830zWN4M1&#10;5CgjaO8aerWoKJFO+Fa7fUO/frl7taIEEnctN97Jhp4k0JvNyxfrPtRy6TtvWhkJgjio+9DQLqVQ&#10;Mwaik5bDwgfpMKh8tDzhNe5ZG3mP6NawZVW9Yb2PbYheSAD0bscgnRDjUwC9UlrIrRcHK10aUaM0&#10;PCEl6HQAuindKiVF+qQUyERMQ5FpKicWQXuXT7ZZ83ofeei0mFrgT2nhESfLtcOiF6gtT5wcov4P&#10;ymoRPXiVFsJbNhIpiiCLq+qRNvcdD7JwQakhXESH54MVH4+fI9FtQ19fX1PiuMWRn398P//8ff71&#10;jWQnStQHqDHzPmBuGt76ARdn9gM6M/NBRZu/yIlgHAU+XQSWQyIiP1otV6sKQwJj8wXx2cPzECG9&#10;k96SbDQ04gSLsPz4AdKYOqfkas7faWPKFI37x4GY2cNy72OP2UrDbpgI7Xx7Qj49Dr+hDnedEvPe&#10;obZ5T2YjzsZuMnINCLeHhIVLPxl1hJqK4aQKo2mr8ir8fS9ZD3/S5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OqXm5zwAAAAUBAAAPAAAAAAAAAAEAIAAAACIAAABkcnMvZG93bnJldi54bWxQSwEC&#10;FAAUAAAACACHTuJAJhB7vMQBAACRAwAADgAAAAAAAAABACAAAAAeAQAAZHJzL2Uyb0RvYy54bWxQ&#10;SwUGAAAAAAYABgBZAQAAVAUAAAAA&#10;">
              <v:fill on="f" focussize="0,0"/>
              <v:stroke on="f"/>
              <v:imagedata o:title=""/>
              <o:lock v:ext="edit" aspectratio="f"/>
              <v:textbox inset="0mm,0mm,0mm,0mm" style="mso-fit-shape-to-text:t;">
                <w:txbxContent>
                  <w:p w14:paraId="312D06D3">
                    <w:pPr>
                      <w:pStyle w:val="49"/>
                      <w:jc w:val="center"/>
                    </w:pPr>
                    <w:r>
                      <w:fldChar w:fldCharType="begin"/>
                    </w:r>
                    <w:r>
                      <w:instrText xml:space="preserve"> PAGE   \* MERGEFORMAT </w:instrText>
                    </w:r>
                    <w:r>
                      <w:fldChar w:fldCharType="separate"/>
                    </w:r>
                    <w:r>
                      <w:rPr>
                        <w:lang w:val="zh-CN"/>
                      </w:rPr>
                      <w:t>1</w:t>
                    </w:r>
                    <w:r>
                      <w:fldChar w:fldCharType="end"/>
                    </w:r>
                  </w:p>
                </w:txbxContent>
              </v:textbox>
            </v:shape>
          </w:pict>
        </mc:Fallback>
      </mc:AlternateContent>
    </w:r>
  </w:p>
  <w:p w14:paraId="200BA5AF">
    <w:pPr>
      <w:pStyle w:val="4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66F6A5">
    <w:pPr>
      <w:pStyle w:val="51"/>
      <w:widowControl w:val="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0DB414">
    <w:pPr>
      <w:pStyle w:val="5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61B839"/>
    <w:multiLevelType w:val="singleLevel"/>
    <w:tmpl w:val="AB61B839"/>
    <w:lvl w:ilvl="0" w:tentative="0">
      <w:start w:val="1"/>
      <w:numFmt w:val="decimal"/>
      <w:suff w:val="space"/>
      <w:lvlText w:val="%1)"/>
      <w:lvlJc w:val="left"/>
      <w:pPr>
        <w:ind w:left="425" w:hanging="425"/>
      </w:pPr>
      <w:rPr>
        <w:rFonts w:hint="default"/>
      </w:rPr>
    </w:lvl>
  </w:abstractNum>
  <w:abstractNum w:abstractNumId="1">
    <w:nsid w:val="BA15AA43"/>
    <w:multiLevelType w:val="singleLevel"/>
    <w:tmpl w:val="BA15AA43"/>
    <w:lvl w:ilvl="0" w:tentative="0">
      <w:start w:val="6"/>
      <w:numFmt w:val="decimal"/>
      <w:suff w:val="nothing"/>
      <w:lvlText w:val="%1、"/>
      <w:lvlJc w:val="left"/>
    </w:lvl>
  </w:abstractNum>
  <w:abstractNum w:abstractNumId="2">
    <w:nsid w:val="FED3DF00"/>
    <w:multiLevelType w:val="singleLevel"/>
    <w:tmpl w:val="FED3DF00"/>
    <w:lvl w:ilvl="0" w:tentative="0">
      <w:start w:val="65"/>
      <w:numFmt w:val="decimal"/>
      <w:lvlText w:val="%1."/>
      <w:lvlJc w:val="left"/>
      <w:pPr>
        <w:tabs>
          <w:tab w:val="left" w:pos="312"/>
        </w:tabs>
      </w:pPr>
    </w:lvl>
  </w:abstractNum>
  <w:abstractNum w:abstractNumId="3">
    <w:nsid w:val="00000010"/>
    <w:multiLevelType w:val="multilevel"/>
    <w:tmpl w:val="00000010"/>
    <w:lvl w:ilvl="0" w:tentative="0">
      <w:start w:val="1"/>
      <w:numFmt w:val="chineseCountingThousand"/>
      <w:pStyle w:val="665"/>
      <w:lvlText w:val="第%1条"/>
      <w:lvlJc w:val="left"/>
      <w:pPr>
        <w:tabs>
          <w:tab w:val="left" w:pos="2565"/>
        </w:tabs>
        <w:ind w:left="1845" w:firstLine="0"/>
      </w:pPr>
      <w:rPr>
        <w:rFonts w:hint="eastAsia" w:eastAsia="黑体"/>
        <w:b/>
        <w:i w:val="0"/>
        <w:color w:val="auto"/>
        <w:sz w:val="24"/>
        <w:lang w:val="en-US"/>
      </w:rPr>
    </w:lvl>
    <w:lvl w:ilvl="1" w:tentative="0">
      <w:start w:val="1"/>
      <w:numFmt w:val="decimal"/>
      <w:lvlText w:val="%2、"/>
      <w:lvlJc w:val="left"/>
      <w:pPr>
        <w:tabs>
          <w:tab w:val="left" w:pos="1140"/>
        </w:tabs>
        <w:ind w:left="420" w:firstLine="0"/>
      </w:pPr>
      <w:rPr>
        <w:rFonts w:ascii="黑体" w:hAnsi="Tahoma" w:eastAsia="黑体"/>
        <w:b w:val="0"/>
        <w:i w:val="0"/>
        <w:sz w:val="24"/>
      </w:rPr>
    </w:lvl>
    <w:lvl w:ilvl="2" w:tentative="0">
      <w:start w:val="1"/>
      <w:numFmt w:val="decimal"/>
      <w:lvlText w:val="%3、"/>
      <w:lvlJc w:val="left"/>
      <w:pPr>
        <w:tabs>
          <w:tab w:val="left" w:pos="1200"/>
        </w:tabs>
        <w:ind w:left="1200" w:hanging="360"/>
      </w:pPr>
      <w:rPr>
        <w:rFonts w:hint="eastAsia"/>
      </w:rPr>
    </w:lvl>
    <w:lvl w:ilvl="3" w:tentative="0">
      <w:start w:val="1"/>
      <w:numFmt w:val="decimal"/>
      <w:lvlText w:val="（%4）"/>
      <w:lvlJc w:val="left"/>
      <w:pPr>
        <w:tabs>
          <w:tab w:val="left" w:pos="1980"/>
        </w:tabs>
        <w:ind w:left="1980" w:hanging="720"/>
      </w:pPr>
      <w:rPr>
        <w:rFonts w:hint="default"/>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01E8500D"/>
    <w:multiLevelType w:val="multilevel"/>
    <w:tmpl w:val="01E8500D"/>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5">
    <w:nsid w:val="024012D0"/>
    <w:multiLevelType w:val="multilevel"/>
    <w:tmpl w:val="024012D0"/>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6">
    <w:nsid w:val="07A89B2A"/>
    <w:multiLevelType w:val="singleLevel"/>
    <w:tmpl w:val="07A89B2A"/>
    <w:lvl w:ilvl="0" w:tentative="0">
      <w:start w:val="2"/>
      <w:numFmt w:val="decimal"/>
      <w:lvlText w:val="%1."/>
      <w:lvlJc w:val="left"/>
      <w:pPr>
        <w:tabs>
          <w:tab w:val="left" w:pos="312"/>
        </w:tabs>
      </w:pPr>
    </w:lvl>
  </w:abstractNum>
  <w:abstractNum w:abstractNumId="7">
    <w:nsid w:val="09E96978"/>
    <w:multiLevelType w:val="multilevel"/>
    <w:tmpl w:val="09E96978"/>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8">
    <w:nsid w:val="0C1C34D2"/>
    <w:multiLevelType w:val="multilevel"/>
    <w:tmpl w:val="0C1C34D2"/>
    <w:lvl w:ilvl="0" w:tentative="0">
      <w:start w:val="1"/>
      <w:numFmt w:val="decimal"/>
      <w:lvlText w:val="（%1）"/>
      <w:lvlJc w:val="left"/>
      <w:pPr>
        <w:tabs>
          <w:tab w:val="left" w:pos="1560"/>
        </w:tabs>
        <w:ind w:left="1560" w:hanging="1080"/>
      </w:pPr>
      <w:rPr>
        <w:rFonts w:hint="eastAsia"/>
      </w:rPr>
    </w:lvl>
    <w:lvl w:ilvl="1" w:tentative="0">
      <w:start w:val="1"/>
      <w:numFmt w:val="decimal"/>
      <w:lvlText w:val="（%2）"/>
      <w:lvlJc w:val="left"/>
      <w:pPr>
        <w:tabs>
          <w:tab w:val="left" w:pos="1620"/>
        </w:tabs>
        <w:ind w:left="1620" w:hanging="72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
    <w:nsid w:val="0D207EF1"/>
    <w:multiLevelType w:val="singleLevel"/>
    <w:tmpl w:val="0D207EF1"/>
    <w:lvl w:ilvl="0" w:tentative="0">
      <w:start w:val="2"/>
      <w:numFmt w:val="decimal"/>
      <w:suff w:val="nothing"/>
      <w:lvlText w:val="（%1）"/>
      <w:lvlJc w:val="left"/>
    </w:lvl>
  </w:abstractNum>
  <w:abstractNum w:abstractNumId="10">
    <w:nsid w:val="0E3E05E7"/>
    <w:multiLevelType w:val="multilevel"/>
    <w:tmpl w:val="0E3E05E7"/>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
    <w:nsid w:val="12156A11"/>
    <w:multiLevelType w:val="multilevel"/>
    <w:tmpl w:val="12156A11"/>
    <w:lvl w:ilvl="0" w:tentative="0">
      <w:start w:val="1"/>
      <w:numFmt w:val="decimalEnclosedCircle"/>
      <w:lvlText w:val="%1"/>
      <w:lvlJc w:val="left"/>
      <w:pPr>
        <w:ind w:left="840" w:hanging="360"/>
      </w:pPr>
      <w:rPr>
        <w:rFonts w:hint="default" w:cs="仿宋"/>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1E153F58"/>
    <w:multiLevelType w:val="multilevel"/>
    <w:tmpl w:val="1E153F58"/>
    <w:lvl w:ilvl="0" w:tentative="0">
      <w:start w:val="1"/>
      <w:numFmt w:val="decimal"/>
      <w:lvlText w:val="（%1）"/>
      <w:lvlJc w:val="left"/>
      <w:pPr>
        <w:tabs>
          <w:tab w:val="left" w:pos="2609"/>
        </w:tabs>
        <w:ind w:left="2609" w:hanging="72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3">
    <w:nsid w:val="22332556"/>
    <w:multiLevelType w:val="multilevel"/>
    <w:tmpl w:val="22332556"/>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14">
    <w:nsid w:val="253A68C1"/>
    <w:multiLevelType w:val="multilevel"/>
    <w:tmpl w:val="253A68C1"/>
    <w:lvl w:ilvl="0" w:tentative="0">
      <w:start w:val="1"/>
      <w:numFmt w:val="decimal"/>
      <w:lvlText w:val="（%1）"/>
      <w:lvlJc w:val="left"/>
      <w:pPr>
        <w:tabs>
          <w:tab w:val="left" w:pos="1440"/>
        </w:tabs>
        <w:ind w:left="1440" w:hanging="96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5">
    <w:nsid w:val="25D80AF4"/>
    <w:multiLevelType w:val="multilevel"/>
    <w:tmpl w:val="25D80AF4"/>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6">
    <w:nsid w:val="266F2840"/>
    <w:multiLevelType w:val="multilevel"/>
    <w:tmpl w:val="266F2840"/>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7">
    <w:nsid w:val="283C4915"/>
    <w:multiLevelType w:val="singleLevel"/>
    <w:tmpl w:val="283C4915"/>
    <w:lvl w:ilvl="0" w:tentative="0">
      <w:start w:val="1"/>
      <w:numFmt w:val="decimal"/>
      <w:suff w:val="space"/>
      <w:lvlText w:val="（%1）"/>
      <w:lvlJc w:val="left"/>
    </w:lvl>
  </w:abstractNum>
  <w:abstractNum w:abstractNumId="18">
    <w:nsid w:val="297241D1"/>
    <w:multiLevelType w:val="multilevel"/>
    <w:tmpl w:val="297241D1"/>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sz w:val="24"/>
        <w:szCs w:val="24"/>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9">
    <w:nsid w:val="2DC80B06"/>
    <w:multiLevelType w:val="multilevel"/>
    <w:tmpl w:val="2DC80B06"/>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20">
    <w:nsid w:val="2F940DF4"/>
    <w:multiLevelType w:val="multilevel"/>
    <w:tmpl w:val="2F940DF4"/>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21">
    <w:nsid w:val="36B74DA9"/>
    <w:multiLevelType w:val="multilevel"/>
    <w:tmpl w:val="36B74DA9"/>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2">
    <w:nsid w:val="36BA4641"/>
    <w:multiLevelType w:val="multilevel"/>
    <w:tmpl w:val="36BA4641"/>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3">
    <w:nsid w:val="3B2E0A0E"/>
    <w:multiLevelType w:val="multilevel"/>
    <w:tmpl w:val="3B2E0A0E"/>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620"/>
        </w:tabs>
        <w:ind w:left="1620" w:hanging="720"/>
      </w:pPr>
      <w:rPr>
        <w:rFonts w:ascii="宋体"/>
        <w:color w:val="auto"/>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4">
    <w:nsid w:val="3B3B7718"/>
    <w:multiLevelType w:val="singleLevel"/>
    <w:tmpl w:val="3B3B7718"/>
    <w:lvl w:ilvl="0" w:tentative="0">
      <w:start w:val="1"/>
      <w:numFmt w:val="decimal"/>
      <w:suff w:val="nothing"/>
      <w:lvlText w:val="%1、"/>
      <w:lvlJc w:val="left"/>
      <w:pPr>
        <w:ind w:left="480" w:firstLine="0"/>
      </w:pPr>
    </w:lvl>
  </w:abstractNum>
  <w:abstractNum w:abstractNumId="25">
    <w:nsid w:val="4056568E"/>
    <w:multiLevelType w:val="multilevel"/>
    <w:tmpl w:val="4056568E"/>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26">
    <w:nsid w:val="46D47E00"/>
    <w:multiLevelType w:val="multilevel"/>
    <w:tmpl w:val="46D47E00"/>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7">
    <w:nsid w:val="539677DF"/>
    <w:multiLevelType w:val="multilevel"/>
    <w:tmpl w:val="539677DF"/>
    <w:lvl w:ilvl="0" w:tentative="0">
      <w:start w:val="1"/>
      <w:numFmt w:val="decimalEnclosedCircle"/>
      <w:lvlText w:val="%1"/>
      <w:lvlJc w:val="left"/>
      <w:pPr>
        <w:ind w:left="1320" w:hanging="360"/>
      </w:pPr>
      <w:rPr>
        <w:rFonts w:hint="default"/>
        <w:u w:val="none"/>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abstractNum w:abstractNumId="28">
    <w:nsid w:val="57D559DE"/>
    <w:multiLevelType w:val="multilevel"/>
    <w:tmpl w:val="57D559DE"/>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9">
    <w:nsid w:val="5A360EEB"/>
    <w:multiLevelType w:val="multilevel"/>
    <w:tmpl w:val="5A360EEB"/>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sz w:val="24"/>
        <w:szCs w:val="24"/>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0">
    <w:nsid w:val="5B691D0A"/>
    <w:multiLevelType w:val="multilevel"/>
    <w:tmpl w:val="5B691D0A"/>
    <w:lvl w:ilvl="0" w:tentative="0">
      <w:start w:val="1"/>
      <w:numFmt w:val="decimal"/>
      <w:lvlText w:val="（%1）"/>
      <w:lvlJc w:val="left"/>
      <w:pPr>
        <w:tabs>
          <w:tab w:val="left" w:pos="1560"/>
        </w:tabs>
        <w:ind w:left="1560" w:hanging="1080"/>
      </w:pPr>
      <w:rPr>
        <w:rFonts w:hint="eastAsia"/>
      </w:rPr>
    </w:lvl>
    <w:lvl w:ilvl="1" w:tentative="0">
      <w:start w:val="4"/>
      <w:numFmt w:val="decimal"/>
      <w:lvlText w:val="(%2)"/>
      <w:lvlJc w:val="left"/>
      <w:pPr>
        <w:tabs>
          <w:tab w:val="left" w:pos="1410"/>
        </w:tabs>
        <w:ind w:left="1410" w:hanging="51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1">
    <w:nsid w:val="5EEA705D"/>
    <w:multiLevelType w:val="multilevel"/>
    <w:tmpl w:val="5EEA705D"/>
    <w:lvl w:ilvl="0" w:tentative="0">
      <w:start w:val="1"/>
      <w:numFmt w:val="decimal"/>
      <w:lvlText w:val="（%1）"/>
      <w:lvlJc w:val="left"/>
      <w:pPr>
        <w:tabs>
          <w:tab w:val="left" w:pos="1080"/>
        </w:tabs>
        <w:ind w:left="1080" w:hanging="60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2">
    <w:nsid w:val="62256771"/>
    <w:multiLevelType w:val="multilevel"/>
    <w:tmpl w:val="62256771"/>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3">
    <w:nsid w:val="64624B5C"/>
    <w:multiLevelType w:val="multilevel"/>
    <w:tmpl w:val="64624B5C"/>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34">
    <w:nsid w:val="64DF7DF1"/>
    <w:multiLevelType w:val="multilevel"/>
    <w:tmpl w:val="64DF7DF1"/>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sz w:val="24"/>
        <w:szCs w:val="24"/>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5">
    <w:nsid w:val="6A8425B5"/>
    <w:multiLevelType w:val="multilevel"/>
    <w:tmpl w:val="6A8425B5"/>
    <w:lvl w:ilvl="0" w:tentative="0">
      <w:start w:val="1"/>
      <w:numFmt w:val="decimal"/>
      <w:lvlText w:val="7.3.%1"/>
      <w:lvlJc w:val="left"/>
      <w:pPr>
        <w:ind w:left="2340" w:hanging="420"/>
      </w:pPr>
      <w:rPr>
        <w:rFonts w:hint="eastAsia"/>
      </w:rPr>
    </w:lvl>
    <w:lvl w:ilvl="1" w:tentative="0">
      <w:start w:val="1"/>
      <w:numFmt w:val="lowerLetter"/>
      <w:lvlText w:val="%2)"/>
      <w:lvlJc w:val="left"/>
      <w:pPr>
        <w:ind w:left="2760" w:hanging="420"/>
      </w:pPr>
    </w:lvl>
    <w:lvl w:ilvl="2" w:tentative="0">
      <w:start w:val="1"/>
      <w:numFmt w:val="lowerRoman"/>
      <w:lvlText w:val="%3."/>
      <w:lvlJc w:val="right"/>
      <w:pPr>
        <w:ind w:left="3180" w:hanging="420"/>
      </w:pPr>
    </w:lvl>
    <w:lvl w:ilvl="3" w:tentative="0">
      <w:start w:val="1"/>
      <w:numFmt w:val="decimal"/>
      <w:lvlText w:val="%4."/>
      <w:lvlJc w:val="left"/>
      <w:pPr>
        <w:ind w:left="3600" w:hanging="420"/>
      </w:pPr>
    </w:lvl>
    <w:lvl w:ilvl="4" w:tentative="0">
      <w:start w:val="1"/>
      <w:numFmt w:val="lowerLetter"/>
      <w:lvlText w:val="%5)"/>
      <w:lvlJc w:val="left"/>
      <w:pPr>
        <w:ind w:left="4020" w:hanging="420"/>
      </w:pPr>
    </w:lvl>
    <w:lvl w:ilvl="5" w:tentative="0">
      <w:start w:val="1"/>
      <w:numFmt w:val="lowerRoman"/>
      <w:lvlText w:val="%6."/>
      <w:lvlJc w:val="right"/>
      <w:pPr>
        <w:ind w:left="4440" w:hanging="420"/>
      </w:pPr>
    </w:lvl>
    <w:lvl w:ilvl="6" w:tentative="0">
      <w:start w:val="1"/>
      <w:numFmt w:val="decimal"/>
      <w:lvlText w:val="%7."/>
      <w:lvlJc w:val="left"/>
      <w:pPr>
        <w:ind w:left="4860" w:hanging="420"/>
      </w:pPr>
    </w:lvl>
    <w:lvl w:ilvl="7" w:tentative="0">
      <w:start w:val="1"/>
      <w:numFmt w:val="lowerLetter"/>
      <w:lvlText w:val="%8)"/>
      <w:lvlJc w:val="left"/>
      <w:pPr>
        <w:ind w:left="5280" w:hanging="420"/>
      </w:pPr>
    </w:lvl>
    <w:lvl w:ilvl="8" w:tentative="0">
      <w:start w:val="1"/>
      <w:numFmt w:val="lowerRoman"/>
      <w:lvlText w:val="%9."/>
      <w:lvlJc w:val="right"/>
      <w:pPr>
        <w:ind w:left="5700" w:hanging="420"/>
      </w:pPr>
    </w:lvl>
  </w:abstractNum>
  <w:abstractNum w:abstractNumId="36">
    <w:nsid w:val="6C1074F8"/>
    <w:multiLevelType w:val="multilevel"/>
    <w:tmpl w:val="6C1074F8"/>
    <w:lvl w:ilvl="0" w:tentative="0">
      <w:start w:val="1"/>
      <w:numFmt w:val="decimal"/>
      <w:lvlText w:val="（%1）"/>
      <w:lvlJc w:val="left"/>
      <w:pPr>
        <w:tabs>
          <w:tab w:val="left" w:pos="1110"/>
        </w:tabs>
        <w:ind w:left="1110" w:hanging="510"/>
      </w:pPr>
      <w:rPr>
        <w:rFonts w:hint="eastAsia"/>
        <w:color w:val="auto"/>
      </w:rPr>
    </w:lvl>
    <w:lvl w:ilvl="1" w:tentative="0">
      <w:start w:val="1"/>
      <w:numFmt w:val="decimal"/>
      <w:lvlText w:val="(%2)"/>
      <w:lvlJc w:val="left"/>
      <w:pPr>
        <w:tabs>
          <w:tab w:val="left" w:pos="1410"/>
        </w:tabs>
        <w:ind w:left="1410" w:hanging="390"/>
      </w:pPr>
    </w:lvl>
    <w:lvl w:ilvl="2" w:tentative="0">
      <w:start w:val="1"/>
      <w:numFmt w:val="decimal"/>
      <w:lvlText w:val="%3."/>
      <w:lvlJc w:val="left"/>
      <w:pPr>
        <w:tabs>
          <w:tab w:val="left" w:pos="2280"/>
        </w:tabs>
        <w:ind w:left="2280" w:hanging="360"/>
      </w:pPr>
    </w:lvl>
    <w:lvl w:ilvl="3" w:tentative="0">
      <w:start w:val="1"/>
      <w:numFmt w:val="decimal"/>
      <w:lvlText w:val="%4."/>
      <w:lvlJc w:val="left"/>
      <w:pPr>
        <w:tabs>
          <w:tab w:val="left" w:pos="3000"/>
        </w:tabs>
        <w:ind w:left="3000" w:hanging="360"/>
      </w:pPr>
    </w:lvl>
    <w:lvl w:ilvl="4" w:tentative="0">
      <w:start w:val="1"/>
      <w:numFmt w:val="decimal"/>
      <w:lvlText w:val="%5."/>
      <w:lvlJc w:val="left"/>
      <w:pPr>
        <w:tabs>
          <w:tab w:val="left" w:pos="3720"/>
        </w:tabs>
        <w:ind w:left="3720" w:hanging="360"/>
      </w:pPr>
    </w:lvl>
    <w:lvl w:ilvl="5" w:tentative="0">
      <w:start w:val="1"/>
      <w:numFmt w:val="decimal"/>
      <w:lvlText w:val="%6."/>
      <w:lvlJc w:val="left"/>
      <w:pPr>
        <w:tabs>
          <w:tab w:val="left" w:pos="4440"/>
        </w:tabs>
        <w:ind w:left="4440" w:hanging="360"/>
      </w:pPr>
    </w:lvl>
    <w:lvl w:ilvl="6" w:tentative="0">
      <w:start w:val="1"/>
      <w:numFmt w:val="decimal"/>
      <w:lvlText w:val="%7."/>
      <w:lvlJc w:val="left"/>
      <w:pPr>
        <w:tabs>
          <w:tab w:val="left" w:pos="5160"/>
        </w:tabs>
        <w:ind w:left="5160" w:hanging="360"/>
      </w:pPr>
    </w:lvl>
    <w:lvl w:ilvl="7" w:tentative="0">
      <w:start w:val="1"/>
      <w:numFmt w:val="decimal"/>
      <w:lvlText w:val="%8."/>
      <w:lvlJc w:val="left"/>
      <w:pPr>
        <w:tabs>
          <w:tab w:val="left" w:pos="5880"/>
        </w:tabs>
        <w:ind w:left="5880" w:hanging="360"/>
      </w:pPr>
    </w:lvl>
    <w:lvl w:ilvl="8" w:tentative="0">
      <w:start w:val="1"/>
      <w:numFmt w:val="decimal"/>
      <w:lvlText w:val="%9."/>
      <w:lvlJc w:val="left"/>
      <w:pPr>
        <w:tabs>
          <w:tab w:val="left" w:pos="6600"/>
        </w:tabs>
        <w:ind w:left="6600" w:hanging="360"/>
      </w:pPr>
    </w:lvl>
  </w:abstractNum>
  <w:abstractNum w:abstractNumId="37">
    <w:nsid w:val="6C4A1042"/>
    <w:multiLevelType w:val="multilevel"/>
    <w:tmpl w:val="6C4A1042"/>
    <w:lvl w:ilvl="0" w:tentative="0">
      <w:start w:val="1"/>
      <w:numFmt w:val="decimal"/>
      <w:lvlText w:val="（%1）"/>
      <w:lvlJc w:val="left"/>
      <w:pPr>
        <w:ind w:left="2270" w:hanging="420"/>
      </w:pPr>
      <w:rPr>
        <w:rFonts w:hint="eastAsia"/>
      </w:rPr>
    </w:lvl>
    <w:lvl w:ilvl="1" w:tentative="0">
      <w:start w:val="1"/>
      <w:numFmt w:val="lowerLetter"/>
      <w:lvlText w:val="%2)"/>
      <w:lvlJc w:val="left"/>
      <w:pPr>
        <w:ind w:left="2690" w:hanging="420"/>
      </w:pPr>
    </w:lvl>
    <w:lvl w:ilvl="2" w:tentative="0">
      <w:start w:val="1"/>
      <w:numFmt w:val="lowerRoman"/>
      <w:lvlText w:val="%3."/>
      <w:lvlJc w:val="right"/>
      <w:pPr>
        <w:ind w:left="3110" w:hanging="420"/>
      </w:pPr>
    </w:lvl>
    <w:lvl w:ilvl="3" w:tentative="0">
      <w:start w:val="1"/>
      <w:numFmt w:val="decimal"/>
      <w:lvlText w:val="%4."/>
      <w:lvlJc w:val="left"/>
      <w:pPr>
        <w:ind w:left="3530" w:hanging="420"/>
      </w:pPr>
    </w:lvl>
    <w:lvl w:ilvl="4" w:tentative="0">
      <w:start w:val="1"/>
      <w:numFmt w:val="lowerLetter"/>
      <w:lvlText w:val="%5)"/>
      <w:lvlJc w:val="left"/>
      <w:pPr>
        <w:ind w:left="3950" w:hanging="420"/>
      </w:pPr>
    </w:lvl>
    <w:lvl w:ilvl="5" w:tentative="0">
      <w:start w:val="1"/>
      <w:numFmt w:val="lowerRoman"/>
      <w:lvlText w:val="%6."/>
      <w:lvlJc w:val="right"/>
      <w:pPr>
        <w:ind w:left="4370" w:hanging="420"/>
      </w:pPr>
    </w:lvl>
    <w:lvl w:ilvl="6" w:tentative="0">
      <w:start w:val="1"/>
      <w:numFmt w:val="decimal"/>
      <w:lvlText w:val="%7."/>
      <w:lvlJc w:val="left"/>
      <w:pPr>
        <w:ind w:left="4790" w:hanging="420"/>
      </w:pPr>
    </w:lvl>
    <w:lvl w:ilvl="7" w:tentative="0">
      <w:start w:val="1"/>
      <w:numFmt w:val="lowerLetter"/>
      <w:lvlText w:val="%8)"/>
      <w:lvlJc w:val="left"/>
      <w:pPr>
        <w:ind w:left="5210" w:hanging="420"/>
      </w:pPr>
    </w:lvl>
    <w:lvl w:ilvl="8" w:tentative="0">
      <w:start w:val="1"/>
      <w:numFmt w:val="lowerRoman"/>
      <w:lvlText w:val="%9."/>
      <w:lvlJc w:val="right"/>
      <w:pPr>
        <w:ind w:left="5630" w:hanging="420"/>
      </w:pPr>
    </w:lvl>
  </w:abstractNum>
  <w:abstractNum w:abstractNumId="38">
    <w:nsid w:val="73A55E2C"/>
    <w:multiLevelType w:val="multilevel"/>
    <w:tmpl w:val="73A55E2C"/>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9">
    <w:nsid w:val="774C6470"/>
    <w:multiLevelType w:val="multilevel"/>
    <w:tmpl w:val="774C6470"/>
    <w:lvl w:ilvl="0" w:tentative="0">
      <w:start w:val="1"/>
      <w:numFmt w:val="decimal"/>
      <w:lvlText w:val="（%1）"/>
      <w:lvlJc w:val="left"/>
      <w:pPr>
        <w:tabs>
          <w:tab w:val="left" w:pos="1560"/>
        </w:tabs>
        <w:ind w:left="1560" w:hanging="1080"/>
      </w:pPr>
      <w:rPr>
        <w:rFonts w:hint="eastAsia"/>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0">
    <w:nsid w:val="7BE858F9"/>
    <w:multiLevelType w:val="multilevel"/>
    <w:tmpl w:val="7BE858F9"/>
    <w:lvl w:ilvl="0" w:tentative="0">
      <w:start w:val="1"/>
      <w:numFmt w:val="decimal"/>
      <w:lvlText w:val="（%1）"/>
      <w:lvlJc w:val="left"/>
      <w:pPr>
        <w:ind w:left="2340" w:hanging="720"/>
      </w:pPr>
      <w:rPr>
        <w:rFonts w:hint="default" w:cs="仿宋"/>
      </w:rPr>
    </w:lvl>
    <w:lvl w:ilvl="1" w:tentative="0">
      <w:start w:val="1"/>
      <w:numFmt w:val="lowerLetter"/>
      <w:lvlText w:val="%2)"/>
      <w:lvlJc w:val="left"/>
      <w:pPr>
        <w:ind w:left="2460" w:hanging="420"/>
      </w:pPr>
    </w:lvl>
    <w:lvl w:ilvl="2" w:tentative="0">
      <w:start w:val="1"/>
      <w:numFmt w:val="lowerRoman"/>
      <w:lvlText w:val="%3."/>
      <w:lvlJc w:val="right"/>
      <w:pPr>
        <w:ind w:left="2880" w:hanging="420"/>
      </w:pPr>
    </w:lvl>
    <w:lvl w:ilvl="3" w:tentative="0">
      <w:start w:val="1"/>
      <w:numFmt w:val="decimal"/>
      <w:lvlText w:val="%4."/>
      <w:lvlJc w:val="left"/>
      <w:pPr>
        <w:ind w:left="3300" w:hanging="420"/>
      </w:pPr>
    </w:lvl>
    <w:lvl w:ilvl="4" w:tentative="0">
      <w:start w:val="1"/>
      <w:numFmt w:val="lowerLetter"/>
      <w:lvlText w:val="%5)"/>
      <w:lvlJc w:val="left"/>
      <w:pPr>
        <w:ind w:left="3720" w:hanging="420"/>
      </w:pPr>
    </w:lvl>
    <w:lvl w:ilvl="5" w:tentative="0">
      <w:start w:val="1"/>
      <w:numFmt w:val="lowerRoman"/>
      <w:lvlText w:val="%6."/>
      <w:lvlJc w:val="right"/>
      <w:pPr>
        <w:ind w:left="4140" w:hanging="420"/>
      </w:pPr>
    </w:lvl>
    <w:lvl w:ilvl="6" w:tentative="0">
      <w:start w:val="1"/>
      <w:numFmt w:val="decimal"/>
      <w:lvlText w:val="%7."/>
      <w:lvlJc w:val="left"/>
      <w:pPr>
        <w:ind w:left="4560" w:hanging="420"/>
      </w:pPr>
    </w:lvl>
    <w:lvl w:ilvl="7" w:tentative="0">
      <w:start w:val="1"/>
      <w:numFmt w:val="lowerLetter"/>
      <w:lvlText w:val="%8)"/>
      <w:lvlJc w:val="left"/>
      <w:pPr>
        <w:ind w:left="4980" w:hanging="420"/>
      </w:pPr>
    </w:lvl>
    <w:lvl w:ilvl="8" w:tentative="0">
      <w:start w:val="1"/>
      <w:numFmt w:val="lowerRoman"/>
      <w:lvlText w:val="%9."/>
      <w:lvlJc w:val="right"/>
      <w:pPr>
        <w:ind w:left="5400" w:hanging="420"/>
      </w:pPr>
    </w:lvl>
  </w:abstractNum>
  <w:abstractNum w:abstractNumId="41">
    <w:nsid w:val="7E43197E"/>
    <w:multiLevelType w:val="multilevel"/>
    <w:tmpl w:val="7E43197E"/>
    <w:lvl w:ilvl="0" w:tentative="0">
      <w:start w:val="1"/>
      <w:numFmt w:val="decimal"/>
      <w:lvlText w:val="（%1）"/>
      <w:lvlJc w:val="left"/>
      <w:pPr>
        <w:tabs>
          <w:tab w:val="left" w:pos="960"/>
        </w:tabs>
        <w:ind w:left="960" w:hanging="480"/>
      </w:pPr>
      <w:rPr>
        <w:rFonts w:hint="eastAsia"/>
      </w:rPr>
    </w:lvl>
    <w:lvl w:ilvl="1" w:tentative="0">
      <w:start w:val="1"/>
      <w:numFmt w:val="decimal"/>
      <w:lvlText w:val="（%2）"/>
      <w:lvlJc w:val="left"/>
      <w:pPr>
        <w:tabs>
          <w:tab w:val="left" w:pos="3285"/>
        </w:tabs>
        <w:ind w:left="3285" w:hanging="1080"/>
      </w:pPr>
      <w:rPr>
        <w:b w:val="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3"/>
  </w:num>
  <w:num w:numId="2">
    <w:abstractNumId w:val="1"/>
  </w:num>
  <w:num w:numId="3">
    <w:abstractNumId w:val="9"/>
  </w:num>
  <w:num w:numId="4">
    <w:abstractNumId w:val="0"/>
  </w:num>
  <w:num w:numId="5">
    <w:abstractNumId w:val="17"/>
  </w:num>
  <w:num w:numId="6">
    <w:abstractNumId w:val="35"/>
  </w:num>
  <w:num w:numId="7">
    <w:abstractNumId w:val="36"/>
  </w:num>
  <w:num w:numId="8">
    <w:abstractNumId w:val="14"/>
  </w:num>
  <w:num w:numId="9">
    <w:abstractNumId w:val="23"/>
  </w:num>
  <w:num w:numId="10">
    <w:abstractNumId w:val="32"/>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8"/>
  </w:num>
  <w:num w:numId="14">
    <w:abstractNumId w:val="5"/>
  </w:num>
  <w:num w:numId="15">
    <w:abstractNumId w:val="31"/>
  </w:num>
  <w:num w:numId="16">
    <w:abstractNumId w:val="26"/>
  </w:num>
  <w:num w:numId="17">
    <w:abstractNumId w:val="33"/>
  </w:num>
  <w:num w:numId="18">
    <w:abstractNumId w:val="25"/>
  </w:num>
  <w:num w:numId="19">
    <w:abstractNumId w:val="19"/>
  </w:num>
  <w:num w:numId="20">
    <w:abstractNumId w:val="37"/>
  </w:num>
  <w:num w:numId="21">
    <w:abstractNumId w:val="22"/>
  </w:num>
  <w:num w:numId="22">
    <w:abstractNumId w:val="10"/>
  </w:num>
  <w:num w:numId="23">
    <w:abstractNumId w:val="15"/>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num>
  <w:num w:numId="26">
    <w:abstractNumId w:val="38"/>
  </w:num>
  <w:num w:numId="27">
    <w:abstractNumId w:val="41"/>
  </w:num>
  <w:num w:numId="28">
    <w:abstractNumId w:val="18"/>
  </w:num>
  <w:num w:numId="29">
    <w:abstractNumId w:val="39"/>
  </w:num>
  <w:num w:numId="30">
    <w:abstractNumId w:val="30"/>
  </w:num>
  <w:num w:numId="31">
    <w:abstractNumId w:val="28"/>
  </w:num>
  <w:num w:numId="32">
    <w:abstractNumId w:val="29"/>
  </w:num>
  <w:num w:numId="33">
    <w:abstractNumId w:val="34"/>
  </w:num>
  <w:num w:numId="34">
    <w:abstractNumId w:val="40"/>
  </w:num>
  <w:num w:numId="35">
    <w:abstractNumId w:val="4"/>
  </w:num>
  <w:num w:numId="36">
    <w:abstractNumId w:val="20"/>
  </w:num>
  <w:num w:numId="37">
    <w:abstractNumId w:val="27"/>
  </w:num>
  <w:num w:numId="38">
    <w:abstractNumId w:val="7"/>
  </w:num>
  <w:num w:numId="39">
    <w:abstractNumId w:val="13"/>
  </w:num>
  <w:num w:numId="40">
    <w:abstractNumId w:val="11"/>
  </w:num>
  <w:num w:numId="41">
    <w:abstractNumId w:val="6"/>
  </w:num>
  <w:num w:numId="42">
    <w:abstractNumId w:val="2"/>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0"/>
  <w:doNotHyphenateCaps/>
  <w:drawingGridHorizontalSpacing w:val="120"/>
  <w:drawingGridVerticalSpacing w:val="156"/>
  <w:displayHorizontalDrawingGridEvery w:val="0"/>
  <w:displayVerticalDrawingGridEvery w:val="2"/>
  <w:characterSpacingControl w:val="compressPunctuation"/>
  <w:doNotValidateAgainstSchema/>
  <w:doNotDemarcateInvalidXml/>
  <w:endnotePr>
    <w:numFmt w:val="decimal"/>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NlMDczNTNiMWY0M2QzNzQ3M2MwNGU0NmYyZWY4ZjcifQ=="/>
  </w:docVars>
  <w:rsids>
    <w:rsidRoot w:val="008C4325"/>
    <w:rsid w:val="00000082"/>
    <w:rsid w:val="00000940"/>
    <w:rsid w:val="0000102B"/>
    <w:rsid w:val="000013B6"/>
    <w:rsid w:val="00001A30"/>
    <w:rsid w:val="000020C3"/>
    <w:rsid w:val="0000222A"/>
    <w:rsid w:val="000027A2"/>
    <w:rsid w:val="00002886"/>
    <w:rsid w:val="0000294B"/>
    <w:rsid w:val="00002BBE"/>
    <w:rsid w:val="000031C6"/>
    <w:rsid w:val="00003237"/>
    <w:rsid w:val="00003415"/>
    <w:rsid w:val="00003B5F"/>
    <w:rsid w:val="00003C47"/>
    <w:rsid w:val="00003C8F"/>
    <w:rsid w:val="00003CF8"/>
    <w:rsid w:val="00004CBF"/>
    <w:rsid w:val="0000503E"/>
    <w:rsid w:val="0000553E"/>
    <w:rsid w:val="000055DE"/>
    <w:rsid w:val="00005A6D"/>
    <w:rsid w:val="00005A7F"/>
    <w:rsid w:val="00005FD6"/>
    <w:rsid w:val="0000604B"/>
    <w:rsid w:val="000063CD"/>
    <w:rsid w:val="0000667C"/>
    <w:rsid w:val="000068CA"/>
    <w:rsid w:val="000068EF"/>
    <w:rsid w:val="00006B46"/>
    <w:rsid w:val="00006CD8"/>
    <w:rsid w:val="00006F52"/>
    <w:rsid w:val="00007153"/>
    <w:rsid w:val="000071AE"/>
    <w:rsid w:val="000075AB"/>
    <w:rsid w:val="00010CAC"/>
    <w:rsid w:val="00010FE2"/>
    <w:rsid w:val="000116AD"/>
    <w:rsid w:val="00011908"/>
    <w:rsid w:val="00011A06"/>
    <w:rsid w:val="0001206A"/>
    <w:rsid w:val="00012161"/>
    <w:rsid w:val="00012A05"/>
    <w:rsid w:val="00012A53"/>
    <w:rsid w:val="0001388A"/>
    <w:rsid w:val="00013C17"/>
    <w:rsid w:val="00013E22"/>
    <w:rsid w:val="000143EB"/>
    <w:rsid w:val="0001460A"/>
    <w:rsid w:val="0001497A"/>
    <w:rsid w:val="00015118"/>
    <w:rsid w:val="00015316"/>
    <w:rsid w:val="00015C08"/>
    <w:rsid w:val="00015D50"/>
    <w:rsid w:val="00016474"/>
    <w:rsid w:val="00016BD8"/>
    <w:rsid w:val="0001737F"/>
    <w:rsid w:val="0001739B"/>
    <w:rsid w:val="0001768D"/>
    <w:rsid w:val="00017855"/>
    <w:rsid w:val="00020127"/>
    <w:rsid w:val="0002102A"/>
    <w:rsid w:val="00021149"/>
    <w:rsid w:val="0002117D"/>
    <w:rsid w:val="000214E5"/>
    <w:rsid w:val="000215A7"/>
    <w:rsid w:val="00021C89"/>
    <w:rsid w:val="00021E53"/>
    <w:rsid w:val="000222F4"/>
    <w:rsid w:val="00022720"/>
    <w:rsid w:val="00022739"/>
    <w:rsid w:val="00022E00"/>
    <w:rsid w:val="00022E6C"/>
    <w:rsid w:val="000232E4"/>
    <w:rsid w:val="00023411"/>
    <w:rsid w:val="00023604"/>
    <w:rsid w:val="000237A4"/>
    <w:rsid w:val="000238EE"/>
    <w:rsid w:val="0002403D"/>
    <w:rsid w:val="00024241"/>
    <w:rsid w:val="0002452C"/>
    <w:rsid w:val="0002462F"/>
    <w:rsid w:val="0002560B"/>
    <w:rsid w:val="00025CE4"/>
    <w:rsid w:val="00025E1E"/>
    <w:rsid w:val="000261E1"/>
    <w:rsid w:val="00026554"/>
    <w:rsid w:val="0002707E"/>
    <w:rsid w:val="00027124"/>
    <w:rsid w:val="00027289"/>
    <w:rsid w:val="000275B9"/>
    <w:rsid w:val="0002790B"/>
    <w:rsid w:val="00027EB2"/>
    <w:rsid w:val="0003070A"/>
    <w:rsid w:val="00030770"/>
    <w:rsid w:val="00030B6F"/>
    <w:rsid w:val="00031472"/>
    <w:rsid w:val="000315EB"/>
    <w:rsid w:val="00031684"/>
    <w:rsid w:val="00031D33"/>
    <w:rsid w:val="00031FE3"/>
    <w:rsid w:val="000321F9"/>
    <w:rsid w:val="0003223F"/>
    <w:rsid w:val="00032B2C"/>
    <w:rsid w:val="00033457"/>
    <w:rsid w:val="00033500"/>
    <w:rsid w:val="000335D6"/>
    <w:rsid w:val="000342C9"/>
    <w:rsid w:val="000345A2"/>
    <w:rsid w:val="0003463A"/>
    <w:rsid w:val="0003466A"/>
    <w:rsid w:val="00034916"/>
    <w:rsid w:val="000351D0"/>
    <w:rsid w:val="000354E7"/>
    <w:rsid w:val="000355FD"/>
    <w:rsid w:val="00035BBF"/>
    <w:rsid w:val="00036626"/>
    <w:rsid w:val="0003679C"/>
    <w:rsid w:val="000368D4"/>
    <w:rsid w:val="000368FA"/>
    <w:rsid w:val="000369ED"/>
    <w:rsid w:val="00037269"/>
    <w:rsid w:val="00037C79"/>
    <w:rsid w:val="00037D79"/>
    <w:rsid w:val="0004078C"/>
    <w:rsid w:val="00040848"/>
    <w:rsid w:val="00040ECF"/>
    <w:rsid w:val="0004100B"/>
    <w:rsid w:val="000416B5"/>
    <w:rsid w:val="000419E9"/>
    <w:rsid w:val="00041CB1"/>
    <w:rsid w:val="00042244"/>
    <w:rsid w:val="00042951"/>
    <w:rsid w:val="00042B23"/>
    <w:rsid w:val="0004302B"/>
    <w:rsid w:val="00043242"/>
    <w:rsid w:val="00043292"/>
    <w:rsid w:val="000435BA"/>
    <w:rsid w:val="00044086"/>
    <w:rsid w:val="000440FE"/>
    <w:rsid w:val="00044BB1"/>
    <w:rsid w:val="00044E36"/>
    <w:rsid w:val="00044E3E"/>
    <w:rsid w:val="00045756"/>
    <w:rsid w:val="00045847"/>
    <w:rsid w:val="000459FB"/>
    <w:rsid w:val="00045CD0"/>
    <w:rsid w:val="00045FD2"/>
    <w:rsid w:val="000467DD"/>
    <w:rsid w:val="00046AF7"/>
    <w:rsid w:val="00046CF7"/>
    <w:rsid w:val="000475F6"/>
    <w:rsid w:val="000479C6"/>
    <w:rsid w:val="00050049"/>
    <w:rsid w:val="00050C40"/>
    <w:rsid w:val="00050D07"/>
    <w:rsid w:val="0005122D"/>
    <w:rsid w:val="000512F3"/>
    <w:rsid w:val="000513FB"/>
    <w:rsid w:val="000516B6"/>
    <w:rsid w:val="00051959"/>
    <w:rsid w:val="00051C57"/>
    <w:rsid w:val="00051FB2"/>
    <w:rsid w:val="00052769"/>
    <w:rsid w:val="000529E7"/>
    <w:rsid w:val="00053269"/>
    <w:rsid w:val="00053319"/>
    <w:rsid w:val="0005332E"/>
    <w:rsid w:val="00053590"/>
    <w:rsid w:val="000539E2"/>
    <w:rsid w:val="000553EE"/>
    <w:rsid w:val="000554B4"/>
    <w:rsid w:val="0005568B"/>
    <w:rsid w:val="00055A11"/>
    <w:rsid w:val="00055C2D"/>
    <w:rsid w:val="00056002"/>
    <w:rsid w:val="00056120"/>
    <w:rsid w:val="00056553"/>
    <w:rsid w:val="00056639"/>
    <w:rsid w:val="000567B5"/>
    <w:rsid w:val="00056AFE"/>
    <w:rsid w:val="00056E82"/>
    <w:rsid w:val="00056EDA"/>
    <w:rsid w:val="00057515"/>
    <w:rsid w:val="000576F8"/>
    <w:rsid w:val="000578CD"/>
    <w:rsid w:val="00057B53"/>
    <w:rsid w:val="000603C8"/>
    <w:rsid w:val="00060416"/>
    <w:rsid w:val="0006058F"/>
    <w:rsid w:val="00060841"/>
    <w:rsid w:val="00061052"/>
    <w:rsid w:val="00061A94"/>
    <w:rsid w:val="00061CED"/>
    <w:rsid w:val="00061FF9"/>
    <w:rsid w:val="00062043"/>
    <w:rsid w:val="000621B6"/>
    <w:rsid w:val="000624A2"/>
    <w:rsid w:val="00062DF6"/>
    <w:rsid w:val="0006349F"/>
    <w:rsid w:val="0006386A"/>
    <w:rsid w:val="00063E33"/>
    <w:rsid w:val="00064068"/>
    <w:rsid w:val="000641FA"/>
    <w:rsid w:val="00064CFF"/>
    <w:rsid w:val="000652A4"/>
    <w:rsid w:val="000653F5"/>
    <w:rsid w:val="00065875"/>
    <w:rsid w:val="00065E73"/>
    <w:rsid w:val="00066031"/>
    <w:rsid w:val="000661CC"/>
    <w:rsid w:val="000664D3"/>
    <w:rsid w:val="0006662A"/>
    <w:rsid w:val="00066C9B"/>
    <w:rsid w:val="000672CD"/>
    <w:rsid w:val="000673CE"/>
    <w:rsid w:val="00067839"/>
    <w:rsid w:val="00067B5F"/>
    <w:rsid w:val="00070FC5"/>
    <w:rsid w:val="00070FF1"/>
    <w:rsid w:val="00071970"/>
    <w:rsid w:val="0007202B"/>
    <w:rsid w:val="000722CA"/>
    <w:rsid w:val="000727B9"/>
    <w:rsid w:val="00072AE7"/>
    <w:rsid w:val="00072C02"/>
    <w:rsid w:val="000732A7"/>
    <w:rsid w:val="0007335C"/>
    <w:rsid w:val="0007342C"/>
    <w:rsid w:val="000735F5"/>
    <w:rsid w:val="000737AC"/>
    <w:rsid w:val="00074021"/>
    <w:rsid w:val="000740CE"/>
    <w:rsid w:val="000742A2"/>
    <w:rsid w:val="00074387"/>
    <w:rsid w:val="000745D5"/>
    <w:rsid w:val="000746C0"/>
    <w:rsid w:val="000749D7"/>
    <w:rsid w:val="00074AF6"/>
    <w:rsid w:val="0007553C"/>
    <w:rsid w:val="000756D3"/>
    <w:rsid w:val="00075756"/>
    <w:rsid w:val="000762F5"/>
    <w:rsid w:val="00076C89"/>
    <w:rsid w:val="000770F1"/>
    <w:rsid w:val="000777EA"/>
    <w:rsid w:val="000779E9"/>
    <w:rsid w:val="00077D53"/>
    <w:rsid w:val="00080000"/>
    <w:rsid w:val="000805B1"/>
    <w:rsid w:val="0008082D"/>
    <w:rsid w:val="0008159E"/>
    <w:rsid w:val="00081DA8"/>
    <w:rsid w:val="00081F9C"/>
    <w:rsid w:val="00082503"/>
    <w:rsid w:val="0008287D"/>
    <w:rsid w:val="000829B7"/>
    <w:rsid w:val="00082F12"/>
    <w:rsid w:val="00082F16"/>
    <w:rsid w:val="00082F2B"/>
    <w:rsid w:val="00083CB2"/>
    <w:rsid w:val="000845C1"/>
    <w:rsid w:val="000846FE"/>
    <w:rsid w:val="00084C02"/>
    <w:rsid w:val="00084F3C"/>
    <w:rsid w:val="00086102"/>
    <w:rsid w:val="0008635E"/>
    <w:rsid w:val="00086549"/>
    <w:rsid w:val="000869BE"/>
    <w:rsid w:val="00086B27"/>
    <w:rsid w:val="0008789C"/>
    <w:rsid w:val="000879A8"/>
    <w:rsid w:val="00087AE0"/>
    <w:rsid w:val="00087C36"/>
    <w:rsid w:val="00087E7C"/>
    <w:rsid w:val="00087F62"/>
    <w:rsid w:val="000901B6"/>
    <w:rsid w:val="00090B05"/>
    <w:rsid w:val="00090DB4"/>
    <w:rsid w:val="000911CC"/>
    <w:rsid w:val="000913DC"/>
    <w:rsid w:val="00091E8C"/>
    <w:rsid w:val="000925C8"/>
    <w:rsid w:val="00092701"/>
    <w:rsid w:val="000927AA"/>
    <w:rsid w:val="00092803"/>
    <w:rsid w:val="00092C79"/>
    <w:rsid w:val="00092F87"/>
    <w:rsid w:val="000933C5"/>
    <w:rsid w:val="00093596"/>
    <w:rsid w:val="000938D0"/>
    <w:rsid w:val="00093A73"/>
    <w:rsid w:val="00093E80"/>
    <w:rsid w:val="00094A88"/>
    <w:rsid w:val="00094C4B"/>
    <w:rsid w:val="000952D0"/>
    <w:rsid w:val="00095468"/>
    <w:rsid w:val="000957ED"/>
    <w:rsid w:val="000970D9"/>
    <w:rsid w:val="000978C8"/>
    <w:rsid w:val="00097917"/>
    <w:rsid w:val="00097E9D"/>
    <w:rsid w:val="000A00D8"/>
    <w:rsid w:val="000A066D"/>
    <w:rsid w:val="000A09A1"/>
    <w:rsid w:val="000A2183"/>
    <w:rsid w:val="000A24C8"/>
    <w:rsid w:val="000A4B3A"/>
    <w:rsid w:val="000A4CFD"/>
    <w:rsid w:val="000A53A9"/>
    <w:rsid w:val="000A5591"/>
    <w:rsid w:val="000A564E"/>
    <w:rsid w:val="000A5B27"/>
    <w:rsid w:val="000A5B9B"/>
    <w:rsid w:val="000A60ED"/>
    <w:rsid w:val="000A66A2"/>
    <w:rsid w:val="000A66C3"/>
    <w:rsid w:val="000A6A56"/>
    <w:rsid w:val="000A6DA0"/>
    <w:rsid w:val="000A6DAD"/>
    <w:rsid w:val="000A7319"/>
    <w:rsid w:val="000A7B57"/>
    <w:rsid w:val="000B081C"/>
    <w:rsid w:val="000B09DA"/>
    <w:rsid w:val="000B1391"/>
    <w:rsid w:val="000B1631"/>
    <w:rsid w:val="000B1BDD"/>
    <w:rsid w:val="000B2052"/>
    <w:rsid w:val="000B212E"/>
    <w:rsid w:val="000B2FA1"/>
    <w:rsid w:val="000B3372"/>
    <w:rsid w:val="000B390C"/>
    <w:rsid w:val="000B39E6"/>
    <w:rsid w:val="000B3BBB"/>
    <w:rsid w:val="000B3F2E"/>
    <w:rsid w:val="000B42D9"/>
    <w:rsid w:val="000B45E7"/>
    <w:rsid w:val="000B4867"/>
    <w:rsid w:val="000B50DF"/>
    <w:rsid w:val="000B56AC"/>
    <w:rsid w:val="000B56E1"/>
    <w:rsid w:val="000B5B02"/>
    <w:rsid w:val="000B6342"/>
    <w:rsid w:val="000B6473"/>
    <w:rsid w:val="000B6690"/>
    <w:rsid w:val="000B6862"/>
    <w:rsid w:val="000B6EF8"/>
    <w:rsid w:val="000B6F81"/>
    <w:rsid w:val="000B717A"/>
    <w:rsid w:val="000B7190"/>
    <w:rsid w:val="000B74FE"/>
    <w:rsid w:val="000B7D39"/>
    <w:rsid w:val="000C0055"/>
    <w:rsid w:val="000C0839"/>
    <w:rsid w:val="000C0B48"/>
    <w:rsid w:val="000C0B7A"/>
    <w:rsid w:val="000C10DE"/>
    <w:rsid w:val="000C1929"/>
    <w:rsid w:val="000C240F"/>
    <w:rsid w:val="000C2514"/>
    <w:rsid w:val="000C2F6F"/>
    <w:rsid w:val="000C3301"/>
    <w:rsid w:val="000C3C03"/>
    <w:rsid w:val="000C3D54"/>
    <w:rsid w:val="000C49A6"/>
    <w:rsid w:val="000C5365"/>
    <w:rsid w:val="000C53D1"/>
    <w:rsid w:val="000C67E7"/>
    <w:rsid w:val="000C69FD"/>
    <w:rsid w:val="000C6C05"/>
    <w:rsid w:val="000C6C9F"/>
    <w:rsid w:val="000C7896"/>
    <w:rsid w:val="000D00EE"/>
    <w:rsid w:val="000D02C8"/>
    <w:rsid w:val="000D05A2"/>
    <w:rsid w:val="000D072D"/>
    <w:rsid w:val="000D07DC"/>
    <w:rsid w:val="000D0EA9"/>
    <w:rsid w:val="000D1087"/>
    <w:rsid w:val="000D11A7"/>
    <w:rsid w:val="000D1414"/>
    <w:rsid w:val="000D185D"/>
    <w:rsid w:val="000D1F3E"/>
    <w:rsid w:val="000D1F92"/>
    <w:rsid w:val="000D208D"/>
    <w:rsid w:val="000D2835"/>
    <w:rsid w:val="000D2E73"/>
    <w:rsid w:val="000D301F"/>
    <w:rsid w:val="000D333C"/>
    <w:rsid w:val="000D3488"/>
    <w:rsid w:val="000D3614"/>
    <w:rsid w:val="000D42D0"/>
    <w:rsid w:val="000D47D4"/>
    <w:rsid w:val="000D53B4"/>
    <w:rsid w:val="000D57CC"/>
    <w:rsid w:val="000D5B28"/>
    <w:rsid w:val="000D60A0"/>
    <w:rsid w:val="000D65D9"/>
    <w:rsid w:val="000D6F5D"/>
    <w:rsid w:val="000D703B"/>
    <w:rsid w:val="000D7617"/>
    <w:rsid w:val="000D78AC"/>
    <w:rsid w:val="000E0159"/>
    <w:rsid w:val="000E0220"/>
    <w:rsid w:val="000E02AD"/>
    <w:rsid w:val="000E0378"/>
    <w:rsid w:val="000E0535"/>
    <w:rsid w:val="000E08D6"/>
    <w:rsid w:val="000E0AB7"/>
    <w:rsid w:val="000E0C6E"/>
    <w:rsid w:val="000E12D6"/>
    <w:rsid w:val="000E1496"/>
    <w:rsid w:val="000E18F2"/>
    <w:rsid w:val="000E1EE4"/>
    <w:rsid w:val="000E232E"/>
    <w:rsid w:val="000E2E53"/>
    <w:rsid w:val="000E2F05"/>
    <w:rsid w:val="000E2F5F"/>
    <w:rsid w:val="000E32C8"/>
    <w:rsid w:val="000E3331"/>
    <w:rsid w:val="000E3942"/>
    <w:rsid w:val="000E4BE6"/>
    <w:rsid w:val="000E5645"/>
    <w:rsid w:val="000E57D0"/>
    <w:rsid w:val="000E5D2D"/>
    <w:rsid w:val="000E6ACF"/>
    <w:rsid w:val="000E6BCC"/>
    <w:rsid w:val="000E754F"/>
    <w:rsid w:val="000E770C"/>
    <w:rsid w:val="000E783B"/>
    <w:rsid w:val="000E792C"/>
    <w:rsid w:val="000F02EE"/>
    <w:rsid w:val="000F0A6B"/>
    <w:rsid w:val="000F0DFF"/>
    <w:rsid w:val="000F0EB1"/>
    <w:rsid w:val="000F110E"/>
    <w:rsid w:val="000F1274"/>
    <w:rsid w:val="000F131B"/>
    <w:rsid w:val="000F1758"/>
    <w:rsid w:val="000F1A4C"/>
    <w:rsid w:val="000F1E67"/>
    <w:rsid w:val="000F2E86"/>
    <w:rsid w:val="000F3076"/>
    <w:rsid w:val="000F417C"/>
    <w:rsid w:val="000F487E"/>
    <w:rsid w:val="000F48AC"/>
    <w:rsid w:val="000F5235"/>
    <w:rsid w:val="000F5A92"/>
    <w:rsid w:val="000F6AD9"/>
    <w:rsid w:val="000F6B0D"/>
    <w:rsid w:val="000F6EC0"/>
    <w:rsid w:val="000F70D8"/>
    <w:rsid w:val="000F77A9"/>
    <w:rsid w:val="000F7B35"/>
    <w:rsid w:val="000F7B8A"/>
    <w:rsid w:val="00100301"/>
    <w:rsid w:val="001005C5"/>
    <w:rsid w:val="001010EB"/>
    <w:rsid w:val="0010112D"/>
    <w:rsid w:val="00101547"/>
    <w:rsid w:val="0010185E"/>
    <w:rsid w:val="00101994"/>
    <w:rsid w:val="00101D72"/>
    <w:rsid w:val="00102863"/>
    <w:rsid w:val="001028F5"/>
    <w:rsid w:val="00102ECB"/>
    <w:rsid w:val="0010311E"/>
    <w:rsid w:val="00103377"/>
    <w:rsid w:val="001037DD"/>
    <w:rsid w:val="00103E03"/>
    <w:rsid w:val="00104AEE"/>
    <w:rsid w:val="00104C29"/>
    <w:rsid w:val="0010510D"/>
    <w:rsid w:val="001053AA"/>
    <w:rsid w:val="00105632"/>
    <w:rsid w:val="00105C96"/>
    <w:rsid w:val="001064E4"/>
    <w:rsid w:val="00107060"/>
    <w:rsid w:val="00107113"/>
    <w:rsid w:val="001074DB"/>
    <w:rsid w:val="00107506"/>
    <w:rsid w:val="001103FE"/>
    <w:rsid w:val="001108E7"/>
    <w:rsid w:val="00111B42"/>
    <w:rsid w:val="00111CDA"/>
    <w:rsid w:val="0011200C"/>
    <w:rsid w:val="00112571"/>
    <w:rsid w:val="00112690"/>
    <w:rsid w:val="0011276C"/>
    <w:rsid w:val="00112816"/>
    <w:rsid w:val="00112A7E"/>
    <w:rsid w:val="00112AC4"/>
    <w:rsid w:val="00112EFA"/>
    <w:rsid w:val="001133C6"/>
    <w:rsid w:val="001135DF"/>
    <w:rsid w:val="0011384F"/>
    <w:rsid w:val="0011399B"/>
    <w:rsid w:val="00114090"/>
    <w:rsid w:val="00114148"/>
    <w:rsid w:val="0011421F"/>
    <w:rsid w:val="001144F1"/>
    <w:rsid w:val="001146D5"/>
    <w:rsid w:val="00114708"/>
    <w:rsid w:val="00114AC2"/>
    <w:rsid w:val="00115ADF"/>
    <w:rsid w:val="001160D5"/>
    <w:rsid w:val="0011617C"/>
    <w:rsid w:val="001164E3"/>
    <w:rsid w:val="001165EA"/>
    <w:rsid w:val="00116B8D"/>
    <w:rsid w:val="00117601"/>
    <w:rsid w:val="00117A8E"/>
    <w:rsid w:val="00117AC3"/>
    <w:rsid w:val="0012051B"/>
    <w:rsid w:val="0012097D"/>
    <w:rsid w:val="00120AFF"/>
    <w:rsid w:val="00121550"/>
    <w:rsid w:val="00121A63"/>
    <w:rsid w:val="001222B2"/>
    <w:rsid w:val="001225E5"/>
    <w:rsid w:val="00122D14"/>
    <w:rsid w:val="00123087"/>
    <w:rsid w:val="0012370B"/>
    <w:rsid w:val="00123C2C"/>
    <w:rsid w:val="0012408C"/>
    <w:rsid w:val="00124B22"/>
    <w:rsid w:val="00124BA0"/>
    <w:rsid w:val="00125007"/>
    <w:rsid w:val="001253CD"/>
    <w:rsid w:val="001253D3"/>
    <w:rsid w:val="00125C6F"/>
    <w:rsid w:val="00125D0A"/>
    <w:rsid w:val="00125D4B"/>
    <w:rsid w:val="001264DE"/>
    <w:rsid w:val="00126858"/>
    <w:rsid w:val="001268A2"/>
    <w:rsid w:val="00126E42"/>
    <w:rsid w:val="00126F14"/>
    <w:rsid w:val="0012749B"/>
    <w:rsid w:val="00127DD0"/>
    <w:rsid w:val="0013040E"/>
    <w:rsid w:val="00130757"/>
    <w:rsid w:val="00130BE7"/>
    <w:rsid w:val="00130F08"/>
    <w:rsid w:val="00131760"/>
    <w:rsid w:val="00132370"/>
    <w:rsid w:val="00132BE4"/>
    <w:rsid w:val="00132D13"/>
    <w:rsid w:val="00132F91"/>
    <w:rsid w:val="00133066"/>
    <w:rsid w:val="00133439"/>
    <w:rsid w:val="00133A6F"/>
    <w:rsid w:val="00133D2B"/>
    <w:rsid w:val="001347CB"/>
    <w:rsid w:val="0013495A"/>
    <w:rsid w:val="001349BD"/>
    <w:rsid w:val="00134D46"/>
    <w:rsid w:val="001352B0"/>
    <w:rsid w:val="00135683"/>
    <w:rsid w:val="00136513"/>
    <w:rsid w:val="00136917"/>
    <w:rsid w:val="00136A50"/>
    <w:rsid w:val="00137358"/>
    <w:rsid w:val="001400E7"/>
    <w:rsid w:val="0014010B"/>
    <w:rsid w:val="001408EA"/>
    <w:rsid w:val="00140C56"/>
    <w:rsid w:val="00140CD7"/>
    <w:rsid w:val="00141071"/>
    <w:rsid w:val="00141497"/>
    <w:rsid w:val="001414C6"/>
    <w:rsid w:val="00141A32"/>
    <w:rsid w:val="00142198"/>
    <w:rsid w:val="001424E0"/>
    <w:rsid w:val="00142BEF"/>
    <w:rsid w:val="00142CB0"/>
    <w:rsid w:val="00142ED4"/>
    <w:rsid w:val="00143139"/>
    <w:rsid w:val="00143295"/>
    <w:rsid w:val="001434E7"/>
    <w:rsid w:val="0014353D"/>
    <w:rsid w:val="00143FDC"/>
    <w:rsid w:val="00144207"/>
    <w:rsid w:val="0014498A"/>
    <w:rsid w:val="00144B68"/>
    <w:rsid w:val="00145102"/>
    <w:rsid w:val="0014562B"/>
    <w:rsid w:val="00145BF5"/>
    <w:rsid w:val="00146639"/>
    <w:rsid w:val="0014699C"/>
    <w:rsid w:val="00146FF4"/>
    <w:rsid w:val="0014732A"/>
    <w:rsid w:val="00147AAC"/>
    <w:rsid w:val="00147E3D"/>
    <w:rsid w:val="0015061C"/>
    <w:rsid w:val="00150754"/>
    <w:rsid w:val="00150BFA"/>
    <w:rsid w:val="00150D30"/>
    <w:rsid w:val="001511CB"/>
    <w:rsid w:val="001516D1"/>
    <w:rsid w:val="00151BA9"/>
    <w:rsid w:val="0015202F"/>
    <w:rsid w:val="001520E3"/>
    <w:rsid w:val="001521FF"/>
    <w:rsid w:val="00152317"/>
    <w:rsid w:val="00152B0B"/>
    <w:rsid w:val="00152B5D"/>
    <w:rsid w:val="00152B93"/>
    <w:rsid w:val="00152DFC"/>
    <w:rsid w:val="00152F96"/>
    <w:rsid w:val="001533D1"/>
    <w:rsid w:val="001533E5"/>
    <w:rsid w:val="001536AB"/>
    <w:rsid w:val="0015391C"/>
    <w:rsid w:val="00153B33"/>
    <w:rsid w:val="00153C38"/>
    <w:rsid w:val="00154029"/>
    <w:rsid w:val="0015409F"/>
    <w:rsid w:val="0015431C"/>
    <w:rsid w:val="001546A3"/>
    <w:rsid w:val="00154B52"/>
    <w:rsid w:val="00154CF4"/>
    <w:rsid w:val="00155560"/>
    <w:rsid w:val="00155621"/>
    <w:rsid w:val="00155ACA"/>
    <w:rsid w:val="00155B54"/>
    <w:rsid w:val="00155C4B"/>
    <w:rsid w:val="0015609B"/>
    <w:rsid w:val="00156FE6"/>
    <w:rsid w:val="00157229"/>
    <w:rsid w:val="0015722A"/>
    <w:rsid w:val="0015768D"/>
    <w:rsid w:val="00157CF3"/>
    <w:rsid w:val="001604BF"/>
    <w:rsid w:val="001604C1"/>
    <w:rsid w:val="001604FE"/>
    <w:rsid w:val="001607D3"/>
    <w:rsid w:val="00160AD7"/>
    <w:rsid w:val="00160C8B"/>
    <w:rsid w:val="001625C4"/>
    <w:rsid w:val="00163186"/>
    <w:rsid w:val="0016320A"/>
    <w:rsid w:val="0016374F"/>
    <w:rsid w:val="00164460"/>
    <w:rsid w:val="001653BD"/>
    <w:rsid w:val="001653EC"/>
    <w:rsid w:val="0016552B"/>
    <w:rsid w:val="001656BC"/>
    <w:rsid w:val="0016572E"/>
    <w:rsid w:val="00165737"/>
    <w:rsid w:val="00165B37"/>
    <w:rsid w:val="00166025"/>
    <w:rsid w:val="00166382"/>
    <w:rsid w:val="001669A1"/>
    <w:rsid w:val="00166A96"/>
    <w:rsid w:val="00166D59"/>
    <w:rsid w:val="00167C6E"/>
    <w:rsid w:val="00167E8C"/>
    <w:rsid w:val="0017019E"/>
    <w:rsid w:val="00170C7E"/>
    <w:rsid w:val="00170CE2"/>
    <w:rsid w:val="00171014"/>
    <w:rsid w:val="0017204A"/>
    <w:rsid w:val="0017229E"/>
    <w:rsid w:val="00172B21"/>
    <w:rsid w:val="00172D87"/>
    <w:rsid w:val="00173554"/>
    <w:rsid w:val="00174143"/>
    <w:rsid w:val="00174DBB"/>
    <w:rsid w:val="0017536E"/>
    <w:rsid w:val="001754CD"/>
    <w:rsid w:val="00175582"/>
    <w:rsid w:val="00175954"/>
    <w:rsid w:val="0017596A"/>
    <w:rsid w:val="00175D78"/>
    <w:rsid w:val="00175E27"/>
    <w:rsid w:val="00175E7E"/>
    <w:rsid w:val="00175F86"/>
    <w:rsid w:val="0017638D"/>
    <w:rsid w:val="00176951"/>
    <w:rsid w:val="00176DB5"/>
    <w:rsid w:val="00177109"/>
    <w:rsid w:val="00177766"/>
    <w:rsid w:val="00177825"/>
    <w:rsid w:val="00177DCC"/>
    <w:rsid w:val="0018020A"/>
    <w:rsid w:val="00180B8E"/>
    <w:rsid w:val="001811AB"/>
    <w:rsid w:val="001811D2"/>
    <w:rsid w:val="00181546"/>
    <w:rsid w:val="0018158E"/>
    <w:rsid w:val="001816B3"/>
    <w:rsid w:val="0018185E"/>
    <w:rsid w:val="001818B1"/>
    <w:rsid w:val="00181B1F"/>
    <w:rsid w:val="001822E5"/>
    <w:rsid w:val="00182472"/>
    <w:rsid w:val="00182650"/>
    <w:rsid w:val="0018294D"/>
    <w:rsid w:val="001829F6"/>
    <w:rsid w:val="00182E6C"/>
    <w:rsid w:val="00183317"/>
    <w:rsid w:val="00183623"/>
    <w:rsid w:val="0018380A"/>
    <w:rsid w:val="001839F4"/>
    <w:rsid w:val="00183C79"/>
    <w:rsid w:val="00183F2D"/>
    <w:rsid w:val="00184470"/>
    <w:rsid w:val="0018466D"/>
    <w:rsid w:val="0018469A"/>
    <w:rsid w:val="00184C14"/>
    <w:rsid w:val="00184C5D"/>
    <w:rsid w:val="00184E27"/>
    <w:rsid w:val="00185062"/>
    <w:rsid w:val="001852D7"/>
    <w:rsid w:val="001855D6"/>
    <w:rsid w:val="0018646E"/>
    <w:rsid w:val="00186B55"/>
    <w:rsid w:val="00186EEE"/>
    <w:rsid w:val="00186F18"/>
    <w:rsid w:val="00187213"/>
    <w:rsid w:val="00187949"/>
    <w:rsid w:val="00187A11"/>
    <w:rsid w:val="00187A1B"/>
    <w:rsid w:val="00187A89"/>
    <w:rsid w:val="00187E38"/>
    <w:rsid w:val="00190081"/>
    <w:rsid w:val="0019023A"/>
    <w:rsid w:val="00191332"/>
    <w:rsid w:val="0019166C"/>
    <w:rsid w:val="00191FAE"/>
    <w:rsid w:val="00192ACD"/>
    <w:rsid w:val="001930B0"/>
    <w:rsid w:val="001939BA"/>
    <w:rsid w:val="00194883"/>
    <w:rsid w:val="00194B95"/>
    <w:rsid w:val="00194F03"/>
    <w:rsid w:val="001951AD"/>
    <w:rsid w:val="001954D9"/>
    <w:rsid w:val="00195922"/>
    <w:rsid w:val="00196338"/>
    <w:rsid w:val="00196D13"/>
    <w:rsid w:val="00196DD2"/>
    <w:rsid w:val="00196E4B"/>
    <w:rsid w:val="001970D9"/>
    <w:rsid w:val="0019748F"/>
    <w:rsid w:val="00197C3D"/>
    <w:rsid w:val="001A0C37"/>
    <w:rsid w:val="001A15C0"/>
    <w:rsid w:val="001A1666"/>
    <w:rsid w:val="001A17A9"/>
    <w:rsid w:val="001A1A36"/>
    <w:rsid w:val="001A26C8"/>
    <w:rsid w:val="001A285D"/>
    <w:rsid w:val="001A28E8"/>
    <w:rsid w:val="001A2CBF"/>
    <w:rsid w:val="001A2F07"/>
    <w:rsid w:val="001A2F17"/>
    <w:rsid w:val="001A3157"/>
    <w:rsid w:val="001A403D"/>
    <w:rsid w:val="001A4262"/>
    <w:rsid w:val="001A42EB"/>
    <w:rsid w:val="001A46C3"/>
    <w:rsid w:val="001A4788"/>
    <w:rsid w:val="001A5194"/>
    <w:rsid w:val="001A5510"/>
    <w:rsid w:val="001A67DE"/>
    <w:rsid w:val="001A68B4"/>
    <w:rsid w:val="001A799A"/>
    <w:rsid w:val="001A7E6E"/>
    <w:rsid w:val="001B02C0"/>
    <w:rsid w:val="001B0B29"/>
    <w:rsid w:val="001B0DAF"/>
    <w:rsid w:val="001B0E77"/>
    <w:rsid w:val="001B174B"/>
    <w:rsid w:val="001B1ECC"/>
    <w:rsid w:val="001B2FA7"/>
    <w:rsid w:val="001B3173"/>
    <w:rsid w:val="001B3592"/>
    <w:rsid w:val="001B3BAC"/>
    <w:rsid w:val="001B451A"/>
    <w:rsid w:val="001B4D07"/>
    <w:rsid w:val="001B56A8"/>
    <w:rsid w:val="001B5880"/>
    <w:rsid w:val="001B5BEA"/>
    <w:rsid w:val="001B6240"/>
    <w:rsid w:val="001B69E8"/>
    <w:rsid w:val="001B6B29"/>
    <w:rsid w:val="001B6C71"/>
    <w:rsid w:val="001B74F3"/>
    <w:rsid w:val="001B759B"/>
    <w:rsid w:val="001B7AED"/>
    <w:rsid w:val="001B7E23"/>
    <w:rsid w:val="001C077E"/>
    <w:rsid w:val="001C0905"/>
    <w:rsid w:val="001C2560"/>
    <w:rsid w:val="001C275B"/>
    <w:rsid w:val="001C3CE8"/>
    <w:rsid w:val="001C51BB"/>
    <w:rsid w:val="001C557A"/>
    <w:rsid w:val="001C6766"/>
    <w:rsid w:val="001C6E80"/>
    <w:rsid w:val="001C6F9B"/>
    <w:rsid w:val="001C79F8"/>
    <w:rsid w:val="001C7EDE"/>
    <w:rsid w:val="001D0126"/>
    <w:rsid w:val="001D0591"/>
    <w:rsid w:val="001D0701"/>
    <w:rsid w:val="001D073A"/>
    <w:rsid w:val="001D0C1D"/>
    <w:rsid w:val="001D0F55"/>
    <w:rsid w:val="001D2A3E"/>
    <w:rsid w:val="001D301C"/>
    <w:rsid w:val="001D3067"/>
    <w:rsid w:val="001D3331"/>
    <w:rsid w:val="001D3460"/>
    <w:rsid w:val="001D35F9"/>
    <w:rsid w:val="001D36D3"/>
    <w:rsid w:val="001D39BE"/>
    <w:rsid w:val="001D3C44"/>
    <w:rsid w:val="001D3DED"/>
    <w:rsid w:val="001D3F33"/>
    <w:rsid w:val="001D4297"/>
    <w:rsid w:val="001D443E"/>
    <w:rsid w:val="001D44C1"/>
    <w:rsid w:val="001D4A3F"/>
    <w:rsid w:val="001D54E1"/>
    <w:rsid w:val="001D5A86"/>
    <w:rsid w:val="001D6332"/>
    <w:rsid w:val="001D77C2"/>
    <w:rsid w:val="001D790A"/>
    <w:rsid w:val="001D7AE5"/>
    <w:rsid w:val="001D7E68"/>
    <w:rsid w:val="001E0166"/>
    <w:rsid w:val="001E0438"/>
    <w:rsid w:val="001E0908"/>
    <w:rsid w:val="001E0C4F"/>
    <w:rsid w:val="001E0CF9"/>
    <w:rsid w:val="001E0F9C"/>
    <w:rsid w:val="001E1130"/>
    <w:rsid w:val="001E113E"/>
    <w:rsid w:val="001E15CB"/>
    <w:rsid w:val="001E1B32"/>
    <w:rsid w:val="001E1B66"/>
    <w:rsid w:val="001E1C40"/>
    <w:rsid w:val="001E20B0"/>
    <w:rsid w:val="001E21EA"/>
    <w:rsid w:val="001E3612"/>
    <w:rsid w:val="001E40DE"/>
    <w:rsid w:val="001E413E"/>
    <w:rsid w:val="001E4338"/>
    <w:rsid w:val="001E4BDE"/>
    <w:rsid w:val="001E5073"/>
    <w:rsid w:val="001E55C4"/>
    <w:rsid w:val="001E5B63"/>
    <w:rsid w:val="001E62B5"/>
    <w:rsid w:val="001E67F1"/>
    <w:rsid w:val="001E6E95"/>
    <w:rsid w:val="001E6EAB"/>
    <w:rsid w:val="001E72BC"/>
    <w:rsid w:val="001E7414"/>
    <w:rsid w:val="001E7692"/>
    <w:rsid w:val="001E7A5A"/>
    <w:rsid w:val="001F020C"/>
    <w:rsid w:val="001F074A"/>
    <w:rsid w:val="001F0F7D"/>
    <w:rsid w:val="001F0F89"/>
    <w:rsid w:val="001F2540"/>
    <w:rsid w:val="001F262F"/>
    <w:rsid w:val="001F2FE8"/>
    <w:rsid w:val="001F30A2"/>
    <w:rsid w:val="001F38A9"/>
    <w:rsid w:val="001F3C61"/>
    <w:rsid w:val="001F3D0D"/>
    <w:rsid w:val="001F4068"/>
    <w:rsid w:val="001F4529"/>
    <w:rsid w:val="001F49AE"/>
    <w:rsid w:val="001F50EE"/>
    <w:rsid w:val="001F5797"/>
    <w:rsid w:val="001F57FE"/>
    <w:rsid w:val="001F5C7D"/>
    <w:rsid w:val="001F5E33"/>
    <w:rsid w:val="001F6A6D"/>
    <w:rsid w:val="001F6E51"/>
    <w:rsid w:val="001F6F9D"/>
    <w:rsid w:val="001F6FCC"/>
    <w:rsid w:val="001F7089"/>
    <w:rsid w:val="001F710F"/>
    <w:rsid w:val="001F71FA"/>
    <w:rsid w:val="001F755D"/>
    <w:rsid w:val="001F793E"/>
    <w:rsid w:val="002000EB"/>
    <w:rsid w:val="00200171"/>
    <w:rsid w:val="002008FA"/>
    <w:rsid w:val="00200B47"/>
    <w:rsid w:val="0020139B"/>
    <w:rsid w:val="00201DA2"/>
    <w:rsid w:val="0020209F"/>
    <w:rsid w:val="002020F5"/>
    <w:rsid w:val="00202A2E"/>
    <w:rsid w:val="00202EF0"/>
    <w:rsid w:val="002030FF"/>
    <w:rsid w:val="002033CB"/>
    <w:rsid w:val="00203408"/>
    <w:rsid w:val="00203725"/>
    <w:rsid w:val="002039FD"/>
    <w:rsid w:val="002040F3"/>
    <w:rsid w:val="002049FD"/>
    <w:rsid w:val="00204D66"/>
    <w:rsid w:val="00204E2F"/>
    <w:rsid w:val="00205028"/>
    <w:rsid w:val="002055BD"/>
    <w:rsid w:val="002055C6"/>
    <w:rsid w:val="002057DA"/>
    <w:rsid w:val="002058DE"/>
    <w:rsid w:val="00205EDB"/>
    <w:rsid w:val="0020603C"/>
    <w:rsid w:val="0020617E"/>
    <w:rsid w:val="002067DB"/>
    <w:rsid w:val="0020688C"/>
    <w:rsid w:val="00206C01"/>
    <w:rsid w:val="002075C9"/>
    <w:rsid w:val="00207F01"/>
    <w:rsid w:val="0021017D"/>
    <w:rsid w:val="0021032B"/>
    <w:rsid w:val="00210503"/>
    <w:rsid w:val="00210B3A"/>
    <w:rsid w:val="00210E57"/>
    <w:rsid w:val="00211663"/>
    <w:rsid w:val="002117A9"/>
    <w:rsid w:val="0021201B"/>
    <w:rsid w:val="00212154"/>
    <w:rsid w:val="00212176"/>
    <w:rsid w:val="00212DDF"/>
    <w:rsid w:val="00212DE1"/>
    <w:rsid w:val="00212F96"/>
    <w:rsid w:val="0021310F"/>
    <w:rsid w:val="0021332D"/>
    <w:rsid w:val="002134DB"/>
    <w:rsid w:val="00213A3A"/>
    <w:rsid w:val="00213FFD"/>
    <w:rsid w:val="0021416F"/>
    <w:rsid w:val="00214239"/>
    <w:rsid w:val="00214567"/>
    <w:rsid w:val="00215F7A"/>
    <w:rsid w:val="00215FEE"/>
    <w:rsid w:val="00216FD7"/>
    <w:rsid w:val="002171CB"/>
    <w:rsid w:val="00217D8C"/>
    <w:rsid w:val="002207B3"/>
    <w:rsid w:val="002208E1"/>
    <w:rsid w:val="00220A9C"/>
    <w:rsid w:val="00220C9A"/>
    <w:rsid w:val="0022123A"/>
    <w:rsid w:val="00221648"/>
    <w:rsid w:val="0022197F"/>
    <w:rsid w:val="00221B87"/>
    <w:rsid w:val="00221DFE"/>
    <w:rsid w:val="0022247D"/>
    <w:rsid w:val="00222716"/>
    <w:rsid w:val="00222940"/>
    <w:rsid w:val="00222B64"/>
    <w:rsid w:val="00223923"/>
    <w:rsid w:val="002239AE"/>
    <w:rsid w:val="00223C03"/>
    <w:rsid w:val="00223D32"/>
    <w:rsid w:val="002242D7"/>
    <w:rsid w:val="00224A7D"/>
    <w:rsid w:val="00224ED6"/>
    <w:rsid w:val="0022543B"/>
    <w:rsid w:val="00226759"/>
    <w:rsid w:val="00226A1E"/>
    <w:rsid w:val="002273A4"/>
    <w:rsid w:val="002275AD"/>
    <w:rsid w:val="0022775F"/>
    <w:rsid w:val="0022788F"/>
    <w:rsid w:val="00227C2A"/>
    <w:rsid w:val="00227F9A"/>
    <w:rsid w:val="00230B64"/>
    <w:rsid w:val="00230BCD"/>
    <w:rsid w:val="00230FA9"/>
    <w:rsid w:val="00231077"/>
    <w:rsid w:val="002310EA"/>
    <w:rsid w:val="00231353"/>
    <w:rsid w:val="00231C46"/>
    <w:rsid w:val="002323E2"/>
    <w:rsid w:val="00232813"/>
    <w:rsid w:val="002328C8"/>
    <w:rsid w:val="002334BE"/>
    <w:rsid w:val="0023357A"/>
    <w:rsid w:val="0023405D"/>
    <w:rsid w:val="00235198"/>
    <w:rsid w:val="002353E4"/>
    <w:rsid w:val="00235B34"/>
    <w:rsid w:val="002361C2"/>
    <w:rsid w:val="0023662F"/>
    <w:rsid w:val="002370CD"/>
    <w:rsid w:val="0023727F"/>
    <w:rsid w:val="0023738E"/>
    <w:rsid w:val="00237A6E"/>
    <w:rsid w:val="00240136"/>
    <w:rsid w:val="0024046A"/>
    <w:rsid w:val="002405C6"/>
    <w:rsid w:val="00240649"/>
    <w:rsid w:val="00240DFB"/>
    <w:rsid w:val="00240E5F"/>
    <w:rsid w:val="002411E3"/>
    <w:rsid w:val="00242299"/>
    <w:rsid w:val="002422BE"/>
    <w:rsid w:val="002429E1"/>
    <w:rsid w:val="0024319C"/>
    <w:rsid w:val="00243426"/>
    <w:rsid w:val="00243BE2"/>
    <w:rsid w:val="00243E91"/>
    <w:rsid w:val="00243F9D"/>
    <w:rsid w:val="0024404B"/>
    <w:rsid w:val="0024452A"/>
    <w:rsid w:val="00244593"/>
    <w:rsid w:val="00244677"/>
    <w:rsid w:val="00244EAB"/>
    <w:rsid w:val="00245981"/>
    <w:rsid w:val="0024607C"/>
    <w:rsid w:val="002465A6"/>
    <w:rsid w:val="002474A1"/>
    <w:rsid w:val="00247F2D"/>
    <w:rsid w:val="00250CFE"/>
    <w:rsid w:val="00250D38"/>
    <w:rsid w:val="0025107E"/>
    <w:rsid w:val="00251380"/>
    <w:rsid w:val="0025257E"/>
    <w:rsid w:val="002528FB"/>
    <w:rsid w:val="00252BEB"/>
    <w:rsid w:val="00252ED8"/>
    <w:rsid w:val="0025302D"/>
    <w:rsid w:val="0025354C"/>
    <w:rsid w:val="002537B5"/>
    <w:rsid w:val="0025522D"/>
    <w:rsid w:val="0025531A"/>
    <w:rsid w:val="00256032"/>
    <w:rsid w:val="002560E6"/>
    <w:rsid w:val="00256CD1"/>
    <w:rsid w:val="00257BC7"/>
    <w:rsid w:val="00257DDC"/>
    <w:rsid w:val="00261FDE"/>
    <w:rsid w:val="0026216A"/>
    <w:rsid w:val="002625B2"/>
    <w:rsid w:val="00262780"/>
    <w:rsid w:val="00262810"/>
    <w:rsid w:val="00262C8C"/>
    <w:rsid w:val="002637DE"/>
    <w:rsid w:val="00264B36"/>
    <w:rsid w:val="00265205"/>
    <w:rsid w:val="00265429"/>
    <w:rsid w:val="00265EAC"/>
    <w:rsid w:val="0026612D"/>
    <w:rsid w:val="00266379"/>
    <w:rsid w:val="0026687D"/>
    <w:rsid w:val="00266D8F"/>
    <w:rsid w:val="002671C4"/>
    <w:rsid w:val="0026732B"/>
    <w:rsid w:val="00267354"/>
    <w:rsid w:val="0026737A"/>
    <w:rsid w:val="0027039F"/>
    <w:rsid w:val="00270E2E"/>
    <w:rsid w:val="00270E46"/>
    <w:rsid w:val="00271295"/>
    <w:rsid w:val="00271328"/>
    <w:rsid w:val="00271451"/>
    <w:rsid w:val="002726CD"/>
    <w:rsid w:val="002727C8"/>
    <w:rsid w:val="0027290E"/>
    <w:rsid w:val="00272FF8"/>
    <w:rsid w:val="0027346B"/>
    <w:rsid w:val="00273798"/>
    <w:rsid w:val="00273D97"/>
    <w:rsid w:val="002740B0"/>
    <w:rsid w:val="002753BE"/>
    <w:rsid w:val="002753D7"/>
    <w:rsid w:val="00275E23"/>
    <w:rsid w:val="00275F94"/>
    <w:rsid w:val="002766A4"/>
    <w:rsid w:val="0027693F"/>
    <w:rsid w:val="002769A1"/>
    <w:rsid w:val="00276B16"/>
    <w:rsid w:val="00276DBC"/>
    <w:rsid w:val="00276F0F"/>
    <w:rsid w:val="0027734B"/>
    <w:rsid w:val="002775E4"/>
    <w:rsid w:val="002778B3"/>
    <w:rsid w:val="00277BE2"/>
    <w:rsid w:val="002800AD"/>
    <w:rsid w:val="002808A8"/>
    <w:rsid w:val="00280BDC"/>
    <w:rsid w:val="00280F73"/>
    <w:rsid w:val="00281241"/>
    <w:rsid w:val="0028130D"/>
    <w:rsid w:val="0028160E"/>
    <w:rsid w:val="00282848"/>
    <w:rsid w:val="00282D20"/>
    <w:rsid w:val="00282D56"/>
    <w:rsid w:val="00282E2A"/>
    <w:rsid w:val="00283277"/>
    <w:rsid w:val="0028358B"/>
    <w:rsid w:val="0028372B"/>
    <w:rsid w:val="00283817"/>
    <w:rsid w:val="00283CFF"/>
    <w:rsid w:val="002842DA"/>
    <w:rsid w:val="002844A9"/>
    <w:rsid w:val="00284729"/>
    <w:rsid w:val="00284EE9"/>
    <w:rsid w:val="00284F38"/>
    <w:rsid w:val="002850D4"/>
    <w:rsid w:val="0028618C"/>
    <w:rsid w:val="002862FD"/>
    <w:rsid w:val="00286873"/>
    <w:rsid w:val="00286B5B"/>
    <w:rsid w:val="002870F0"/>
    <w:rsid w:val="00287467"/>
    <w:rsid w:val="002878B9"/>
    <w:rsid w:val="002879B3"/>
    <w:rsid w:val="00287C2C"/>
    <w:rsid w:val="00287E76"/>
    <w:rsid w:val="00287EFD"/>
    <w:rsid w:val="002900CF"/>
    <w:rsid w:val="00290338"/>
    <w:rsid w:val="00290DB2"/>
    <w:rsid w:val="00290E42"/>
    <w:rsid w:val="00291058"/>
    <w:rsid w:val="002912EB"/>
    <w:rsid w:val="00291305"/>
    <w:rsid w:val="0029161C"/>
    <w:rsid w:val="00291B11"/>
    <w:rsid w:val="00292773"/>
    <w:rsid w:val="002927A0"/>
    <w:rsid w:val="00293274"/>
    <w:rsid w:val="0029336E"/>
    <w:rsid w:val="0029348A"/>
    <w:rsid w:val="002935FD"/>
    <w:rsid w:val="0029370B"/>
    <w:rsid w:val="0029385A"/>
    <w:rsid w:val="0029449E"/>
    <w:rsid w:val="002947A0"/>
    <w:rsid w:val="00294A98"/>
    <w:rsid w:val="00295D7D"/>
    <w:rsid w:val="002978C2"/>
    <w:rsid w:val="00297E72"/>
    <w:rsid w:val="00297F7A"/>
    <w:rsid w:val="002A120E"/>
    <w:rsid w:val="002A24CC"/>
    <w:rsid w:val="002A25EC"/>
    <w:rsid w:val="002A2754"/>
    <w:rsid w:val="002A2AB3"/>
    <w:rsid w:val="002A2DF1"/>
    <w:rsid w:val="002A3481"/>
    <w:rsid w:val="002A351E"/>
    <w:rsid w:val="002A38FB"/>
    <w:rsid w:val="002A391D"/>
    <w:rsid w:val="002A437B"/>
    <w:rsid w:val="002A52C9"/>
    <w:rsid w:val="002A5533"/>
    <w:rsid w:val="002A5DE9"/>
    <w:rsid w:val="002A5E08"/>
    <w:rsid w:val="002A6FCE"/>
    <w:rsid w:val="002B0777"/>
    <w:rsid w:val="002B14CA"/>
    <w:rsid w:val="002B1972"/>
    <w:rsid w:val="002B1B96"/>
    <w:rsid w:val="002B1DD9"/>
    <w:rsid w:val="002B26F1"/>
    <w:rsid w:val="002B27A8"/>
    <w:rsid w:val="002B2A9B"/>
    <w:rsid w:val="002B31EA"/>
    <w:rsid w:val="002B34AD"/>
    <w:rsid w:val="002B37C8"/>
    <w:rsid w:val="002B39D2"/>
    <w:rsid w:val="002B4989"/>
    <w:rsid w:val="002B49A1"/>
    <w:rsid w:val="002B4ACC"/>
    <w:rsid w:val="002B4CE7"/>
    <w:rsid w:val="002B5159"/>
    <w:rsid w:val="002B532F"/>
    <w:rsid w:val="002B53D8"/>
    <w:rsid w:val="002B5946"/>
    <w:rsid w:val="002B5D88"/>
    <w:rsid w:val="002B5EE4"/>
    <w:rsid w:val="002B62F1"/>
    <w:rsid w:val="002B6694"/>
    <w:rsid w:val="002B6779"/>
    <w:rsid w:val="002B6ABC"/>
    <w:rsid w:val="002B716C"/>
    <w:rsid w:val="002B7195"/>
    <w:rsid w:val="002B73C5"/>
    <w:rsid w:val="002B73DE"/>
    <w:rsid w:val="002B76CE"/>
    <w:rsid w:val="002B7C68"/>
    <w:rsid w:val="002B7D8A"/>
    <w:rsid w:val="002B7F62"/>
    <w:rsid w:val="002C02B6"/>
    <w:rsid w:val="002C04D2"/>
    <w:rsid w:val="002C07EE"/>
    <w:rsid w:val="002C0BF4"/>
    <w:rsid w:val="002C0C5C"/>
    <w:rsid w:val="002C1036"/>
    <w:rsid w:val="002C1A1C"/>
    <w:rsid w:val="002C27FE"/>
    <w:rsid w:val="002C3266"/>
    <w:rsid w:val="002C33F1"/>
    <w:rsid w:val="002C3669"/>
    <w:rsid w:val="002C3B94"/>
    <w:rsid w:val="002C429D"/>
    <w:rsid w:val="002C4852"/>
    <w:rsid w:val="002C4D23"/>
    <w:rsid w:val="002C546F"/>
    <w:rsid w:val="002C5A32"/>
    <w:rsid w:val="002C5DF1"/>
    <w:rsid w:val="002C610F"/>
    <w:rsid w:val="002C6231"/>
    <w:rsid w:val="002C6305"/>
    <w:rsid w:val="002C637A"/>
    <w:rsid w:val="002C761F"/>
    <w:rsid w:val="002C792F"/>
    <w:rsid w:val="002C7D85"/>
    <w:rsid w:val="002D0A13"/>
    <w:rsid w:val="002D0D5F"/>
    <w:rsid w:val="002D101E"/>
    <w:rsid w:val="002D112B"/>
    <w:rsid w:val="002D1291"/>
    <w:rsid w:val="002D2521"/>
    <w:rsid w:val="002D3190"/>
    <w:rsid w:val="002D36FB"/>
    <w:rsid w:val="002D3746"/>
    <w:rsid w:val="002D37AE"/>
    <w:rsid w:val="002D394A"/>
    <w:rsid w:val="002D4766"/>
    <w:rsid w:val="002D480C"/>
    <w:rsid w:val="002D574A"/>
    <w:rsid w:val="002D6339"/>
    <w:rsid w:val="002D6564"/>
    <w:rsid w:val="002D6773"/>
    <w:rsid w:val="002D6940"/>
    <w:rsid w:val="002D6B14"/>
    <w:rsid w:val="002D6F9F"/>
    <w:rsid w:val="002D773F"/>
    <w:rsid w:val="002D7E62"/>
    <w:rsid w:val="002E061A"/>
    <w:rsid w:val="002E105F"/>
    <w:rsid w:val="002E141A"/>
    <w:rsid w:val="002E1A6C"/>
    <w:rsid w:val="002E1AE7"/>
    <w:rsid w:val="002E2B6F"/>
    <w:rsid w:val="002E2EBF"/>
    <w:rsid w:val="002E33F1"/>
    <w:rsid w:val="002E3516"/>
    <w:rsid w:val="002E372F"/>
    <w:rsid w:val="002E37CC"/>
    <w:rsid w:val="002E3C98"/>
    <w:rsid w:val="002E3EB2"/>
    <w:rsid w:val="002E4A12"/>
    <w:rsid w:val="002E4A2C"/>
    <w:rsid w:val="002E4DD5"/>
    <w:rsid w:val="002E4EE1"/>
    <w:rsid w:val="002E5A9B"/>
    <w:rsid w:val="002E60B4"/>
    <w:rsid w:val="002E64AA"/>
    <w:rsid w:val="002E6849"/>
    <w:rsid w:val="002E698D"/>
    <w:rsid w:val="002E7D86"/>
    <w:rsid w:val="002F0106"/>
    <w:rsid w:val="002F07A3"/>
    <w:rsid w:val="002F0C0E"/>
    <w:rsid w:val="002F0E03"/>
    <w:rsid w:val="002F10C0"/>
    <w:rsid w:val="002F13FB"/>
    <w:rsid w:val="002F1B26"/>
    <w:rsid w:val="002F1B68"/>
    <w:rsid w:val="002F1CB3"/>
    <w:rsid w:val="002F2203"/>
    <w:rsid w:val="002F23A3"/>
    <w:rsid w:val="002F23F9"/>
    <w:rsid w:val="002F25A6"/>
    <w:rsid w:val="002F2724"/>
    <w:rsid w:val="002F3550"/>
    <w:rsid w:val="002F3625"/>
    <w:rsid w:val="002F3902"/>
    <w:rsid w:val="002F3C6D"/>
    <w:rsid w:val="002F3EE3"/>
    <w:rsid w:val="002F3F31"/>
    <w:rsid w:val="002F40E0"/>
    <w:rsid w:val="002F4442"/>
    <w:rsid w:val="002F46FD"/>
    <w:rsid w:val="002F4D34"/>
    <w:rsid w:val="002F4E78"/>
    <w:rsid w:val="002F531B"/>
    <w:rsid w:val="002F54AA"/>
    <w:rsid w:val="002F5E2F"/>
    <w:rsid w:val="002F5F3F"/>
    <w:rsid w:val="002F6356"/>
    <w:rsid w:val="002F6978"/>
    <w:rsid w:val="002F6C05"/>
    <w:rsid w:val="002F6E20"/>
    <w:rsid w:val="002F71B9"/>
    <w:rsid w:val="002F7387"/>
    <w:rsid w:val="002F7652"/>
    <w:rsid w:val="0030072B"/>
    <w:rsid w:val="00300822"/>
    <w:rsid w:val="00300B41"/>
    <w:rsid w:val="00300C23"/>
    <w:rsid w:val="00300D35"/>
    <w:rsid w:val="003015DA"/>
    <w:rsid w:val="003015E9"/>
    <w:rsid w:val="0030172D"/>
    <w:rsid w:val="00301DEB"/>
    <w:rsid w:val="003021CE"/>
    <w:rsid w:val="003023D5"/>
    <w:rsid w:val="003026CB"/>
    <w:rsid w:val="00302D75"/>
    <w:rsid w:val="0030388E"/>
    <w:rsid w:val="003038A2"/>
    <w:rsid w:val="003038D4"/>
    <w:rsid w:val="00303AA7"/>
    <w:rsid w:val="00303BEA"/>
    <w:rsid w:val="00303CAB"/>
    <w:rsid w:val="00304147"/>
    <w:rsid w:val="0030417E"/>
    <w:rsid w:val="003045D6"/>
    <w:rsid w:val="00304629"/>
    <w:rsid w:val="00304676"/>
    <w:rsid w:val="00304B64"/>
    <w:rsid w:val="00304F9E"/>
    <w:rsid w:val="003051E0"/>
    <w:rsid w:val="003053FB"/>
    <w:rsid w:val="00305773"/>
    <w:rsid w:val="003058A1"/>
    <w:rsid w:val="00305E33"/>
    <w:rsid w:val="003064AB"/>
    <w:rsid w:val="00306FA1"/>
    <w:rsid w:val="00307A37"/>
    <w:rsid w:val="00307DDD"/>
    <w:rsid w:val="00307E45"/>
    <w:rsid w:val="003106A3"/>
    <w:rsid w:val="003118BD"/>
    <w:rsid w:val="00311947"/>
    <w:rsid w:val="00311E40"/>
    <w:rsid w:val="00311E41"/>
    <w:rsid w:val="00311E54"/>
    <w:rsid w:val="003126A9"/>
    <w:rsid w:val="00312888"/>
    <w:rsid w:val="00313047"/>
    <w:rsid w:val="0031359D"/>
    <w:rsid w:val="00314252"/>
    <w:rsid w:val="003144FA"/>
    <w:rsid w:val="00314EED"/>
    <w:rsid w:val="0031506B"/>
    <w:rsid w:val="00315337"/>
    <w:rsid w:val="00315E6C"/>
    <w:rsid w:val="00315F1D"/>
    <w:rsid w:val="00316445"/>
    <w:rsid w:val="003165D3"/>
    <w:rsid w:val="003168C0"/>
    <w:rsid w:val="00316C98"/>
    <w:rsid w:val="00316FFA"/>
    <w:rsid w:val="0031704F"/>
    <w:rsid w:val="00317449"/>
    <w:rsid w:val="003177BA"/>
    <w:rsid w:val="00317AF4"/>
    <w:rsid w:val="003200DD"/>
    <w:rsid w:val="00320791"/>
    <w:rsid w:val="0032087E"/>
    <w:rsid w:val="00320C21"/>
    <w:rsid w:val="0032107F"/>
    <w:rsid w:val="00321376"/>
    <w:rsid w:val="00321403"/>
    <w:rsid w:val="00321BC7"/>
    <w:rsid w:val="00321DF5"/>
    <w:rsid w:val="00321DFA"/>
    <w:rsid w:val="003224EC"/>
    <w:rsid w:val="0032269B"/>
    <w:rsid w:val="003226CC"/>
    <w:rsid w:val="003228B2"/>
    <w:rsid w:val="00323F12"/>
    <w:rsid w:val="00323F27"/>
    <w:rsid w:val="00324126"/>
    <w:rsid w:val="0032463D"/>
    <w:rsid w:val="00324A83"/>
    <w:rsid w:val="00324AC5"/>
    <w:rsid w:val="00324C39"/>
    <w:rsid w:val="003251F9"/>
    <w:rsid w:val="0032559F"/>
    <w:rsid w:val="003257EF"/>
    <w:rsid w:val="00325802"/>
    <w:rsid w:val="0032581C"/>
    <w:rsid w:val="00325949"/>
    <w:rsid w:val="00325C55"/>
    <w:rsid w:val="00325C82"/>
    <w:rsid w:val="00325E97"/>
    <w:rsid w:val="00325EE7"/>
    <w:rsid w:val="003266A8"/>
    <w:rsid w:val="00326C3A"/>
    <w:rsid w:val="00326C48"/>
    <w:rsid w:val="0032710C"/>
    <w:rsid w:val="00327141"/>
    <w:rsid w:val="0032782B"/>
    <w:rsid w:val="0032798C"/>
    <w:rsid w:val="00330505"/>
    <w:rsid w:val="0033060C"/>
    <w:rsid w:val="00330F8F"/>
    <w:rsid w:val="00331BFD"/>
    <w:rsid w:val="003321E0"/>
    <w:rsid w:val="00332510"/>
    <w:rsid w:val="003326D3"/>
    <w:rsid w:val="00332964"/>
    <w:rsid w:val="00333014"/>
    <w:rsid w:val="00333089"/>
    <w:rsid w:val="00333AC0"/>
    <w:rsid w:val="00333B36"/>
    <w:rsid w:val="00333C39"/>
    <w:rsid w:val="00333EAE"/>
    <w:rsid w:val="00334E8C"/>
    <w:rsid w:val="00334EBF"/>
    <w:rsid w:val="003350C6"/>
    <w:rsid w:val="003350D8"/>
    <w:rsid w:val="0033533B"/>
    <w:rsid w:val="003359CE"/>
    <w:rsid w:val="0033646F"/>
    <w:rsid w:val="00336607"/>
    <w:rsid w:val="0033664C"/>
    <w:rsid w:val="003366C9"/>
    <w:rsid w:val="00336833"/>
    <w:rsid w:val="00336C69"/>
    <w:rsid w:val="00336CCD"/>
    <w:rsid w:val="00337166"/>
    <w:rsid w:val="003373D4"/>
    <w:rsid w:val="0034028C"/>
    <w:rsid w:val="003405D4"/>
    <w:rsid w:val="003406AD"/>
    <w:rsid w:val="003407B4"/>
    <w:rsid w:val="00340CDC"/>
    <w:rsid w:val="00340F8C"/>
    <w:rsid w:val="0034133C"/>
    <w:rsid w:val="0034163D"/>
    <w:rsid w:val="0034200E"/>
    <w:rsid w:val="0034201E"/>
    <w:rsid w:val="0034207E"/>
    <w:rsid w:val="00342442"/>
    <w:rsid w:val="00342D64"/>
    <w:rsid w:val="003437E9"/>
    <w:rsid w:val="003437EA"/>
    <w:rsid w:val="00343EA8"/>
    <w:rsid w:val="00344F2A"/>
    <w:rsid w:val="0034522E"/>
    <w:rsid w:val="00345545"/>
    <w:rsid w:val="00347131"/>
    <w:rsid w:val="003471D1"/>
    <w:rsid w:val="00347344"/>
    <w:rsid w:val="00347387"/>
    <w:rsid w:val="003478A1"/>
    <w:rsid w:val="00347BAB"/>
    <w:rsid w:val="003501D5"/>
    <w:rsid w:val="00350453"/>
    <w:rsid w:val="0035075D"/>
    <w:rsid w:val="00350814"/>
    <w:rsid w:val="0035089A"/>
    <w:rsid w:val="00350949"/>
    <w:rsid w:val="00350B3F"/>
    <w:rsid w:val="003511C5"/>
    <w:rsid w:val="003516FB"/>
    <w:rsid w:val="003521BE"/>
    <w:rsid w:val="0035223E"/>
    <w:rsid w:val="00352DC2"/>
    <w:rsid w:val="00353FAD"/>
    <w:rsid w:val="0035415F"/>
    <w:rsid w:val="003541BD"/>
    <w:rsid w:val="00354B48"/>
    <w:rsid w:val="00354B4E"/>
    <w:rsid w:val="00354CDE"/>
    <w:rsid w:val="00354F8F"/>
    <w:rsid w:val="00355140"/>
    <w:rsid w:val="003553C7"/>
    <w:rsid w:val="003556B3"/>
    <w:rsid w:val="003557CA"/>
    <w:rsid w:val="00355AD9"/>
    <w:rsid w:val="00355FAA"/>
    <w:rsid w:val="003560A4"/>
    <w:rsid w:val="00356246"/>
    <w:rsid w:val="00356951"/>
    <w:rsid w:val="0035760E"/>
    <w:rsid w:val="00357898"/>
    <w:rsid w:val="00357946"/>
    <w:rsid w:val="0036011C"/>
    <w:rsid w:val="003606AA"/>
    <w:rsid w:val="00360751"/>
    <w:rsid w:val="00361E2F"/>
    <w:rsid w:val="00363000"/>
    <w:rsid w:val="00363DE2"/>
    <w:rsid w:val="00363ED5"/>
    <w:rsid w:val="00363EDE"/>
    <w:rsid w:val="00364449"/>
    <w:rsid w:val="00364983"/>
    <w:rsid w:val="00364F51"/>
    <w:rsid w:val="003654EC"/>
    <w:rsid w:val="003656AA"/>
    <w:rsid w:val="0036573D"/>
    <w:rsid w:val="00365825"/>
    <w:rsid w:val="00365976"/>
    <w:rsid w:val="00365D83"/>
    <w:rsid w:val="00365F35"/>
    <w:rsid w:val="0036644A"/>
    <w:rsid w:val="003664AE"/>
    <w:rsid w:val="00366BCA"/>
    <w:rsid w:val="00366C53"/>
    <w:rsid w:val="003674A1"/>
    <w:rsid w:val="00367655"/>
    <w:rsid w:val="003677CE"/>
    <w:rsid w:val="00367B8B"/>
    <w:rsid w:val="0037037B"/>
    <w:rsid w:val="003704A9"/>
    <w:rsid w:val="0037066B"/>
    <w:rsid w:val="00370903"/>
    <w:rsid w:val="00370A82"/>
    <w:rsid w:val="00371577"/>
    <w:rsid w:val="0037175A"/>
    <w:rsid w:val="00371779"/>
    <w:rsid w:val="0037263B"/>
    <w:rsid w:val="00372A84"/>
    <w:rsid w:val="00372BF9"/>
    <w:rsid w:val="00372E58"/>
    <w:rsid w:val="00372EE4"/>
    <w:rsid w:val="00372FD6"/>
    <w:rsid w:val="003732B4"/>
    <w:rsid w:val="00373ADC"/>
    <w:rsid w:val="0037404D"/>
    <w:rsid w:val="00374799"/>
    <w:rsid w:val="00374A23"/>
    <w:rsid w:val="00374C8A"/>
    <w:rsid w:val="00375434"/>
    <w:rsid w:val="0037562C"/>
    <w:rsid w:val="00375760"/>
    <w:rsid w:val="00375DCD"/>
    <w:rsid w:val="003763B3"/>
    <w:rsid w:val="003766CF"/>
    <w:rsid w:val="00377115"/>
    <w:rsid w:val="00377B37"/>
    <w:rsid w:val="0038005A"/>
    <w:rsid w:val="0038042E"/>
    <w:rsid w:val="0038096B"/>
    <w:rsid w:val="00381323"/>
    <w:rsid w:val="00381F36"/>
    <w:rsid w:val="00382E5E"/>
    <w:rsid w:val="00383077"/>
    <w:rsid w:val="003833A8"/>
    <w:rsid w:val="003833BB"/>
    <w:rsid w:val="00383D05"/>
    <w:rsid w:val="00383E23"/>
    <w:rsid w:val="0038482E"/>
    <w:rsid w:val="00384FAD"/>
    <w:rsid w:val="0038517B"/>
    <w:rsid w:val="0038533F"/>
    <w:rsid w:val="00385457"/>
    <w:rsid w:val="00385790"/>
    <w:rsid w:val="003857C3"/>
    <w:rsid w:val="00385B92"/>
    <w:rsid w:val="00385BB3"/>
    <w:rsid w:val="00386096"/>
    <w:rsid w:val="00386669"/>
    <w:rsid w:val="00386DB9"/>
    <w:rsid w:val="003878BE"/>
    <w:rsid w:val="00387A74"/>
    <w:rsid w:val="00387C8C"/>
    <w:rsid w:val="00390521"/>
    <w:rsid w:val="00391027"/>
    <w:rsid w:val="00391120"/>
    <w:rsid w:val="00391190"/>
    <w:rsid w:val="00391851"/>
    <w:rsid w:val="0039195E"/>
    <w:rsid w:val="00392072"/>
    <w:rsid w:val="0039267E"/>
    <w:rsid w:val="0039270E"/>
    <w:rsid w:val="00392A21"/>
    <w:rsid w:val="003932B3"/>
    <w:rsid w:val="00393462"/>
    <w:rsid w:val="0039355E"/>
    <w:rsid w:val="003937EC"/>
    <w:rsid w:val="00393828"/>
    <w:rsid w:val="00393B2D"/>
    <w:rsid w:val="00393B6E"/>
    <w:rsid w:val="00393B70"/>
    <w:rsid w:val="0039440E"/>
    <w:rsid w:val="0039460F"/>
    <w:rsid w:val="00394D97"/>
    <w:rsid w:val="00394F77"/>
    <w:rsid w:val="0039500F"/>
    <w:rsid w:val="003950E4"/>
    <w:rsid w:val="003951AD"/>
    <w:rsid w:val="00395625"/>
    <w:rsid w:val="00395FA9"/>
    <w:rsid w:val="00396015"/>
    <w:rsid w:val="003960C5"/>
    <w:rsid w:val="00396115"/>
    <w:rsid w:val="00397B28"/>
    <w:rsid w:val="003A05FE"/>
    <w:rsid w:val="003A0706"/>
    <w:rsid w:val="003A07DD"/>
    <w:rsid w:val="003A0A51"/>
    <w:rsid w:val="003A10CE"/>
    <w:rsid w:val="003A12B0"/>
    <w:rsid w:val="003A193E"/>
    <w:rsid w:val="003A1991"/>
    <w:rsid w:val="003A1ACA"/>
    <w:rsid w:val="003A1DE3"/>
    <w:rsid w:val="003A1E80"/>
    <w:rsid w:val="003A21FF"/>
    <w:rsid w:val="003A2EC1"/>
    <w:rsid w:val="003A31A7"/>
    <w:rsid w:val="003A35F9"/>
    <w:rsid w:val="003A36F9"/>
    <w:rsid w:val="003A3D0E"/>
    <w:rsid w:val="003A3EFA"/>
    <w:rsid w:val="003A42CC"/>
    <w:rsid w:val="003A47A5"/>
    <w:rsid w:val="003A48DA"/>
    <w:rsid w:val="003A4BB9"/>
    <w:rsid w:val="003A4CDB"/>
    <w:rsid w:val="003A4F4E"/>
    <w:rsid w:val="003A5412"/>
    <w:rsid w:val="003A56EF"/>
    <w:rsid w:val="003A5CAD"/>
    <w:rsid w:val="003A6C2E"/>
    <w:rsid w:val="003A6FA4"/>
    <w:rsid w:val="003A7759"/>
    <w:rsid w:val="003B0104"/>
    <w:rsid w:val="003B03E6"/>
    <w:rsid w:val="003B03F1"/>
    <w:rsid w:val="003B1342"/>
    <w:rsid w:val="003B188E"/>
    <w:rsid w:val="003B2406"/>
    <w:rsid w:val="003B2B85"/>
    <w:rsid w:val="003B3B12"/>
    <w:rsid w:val="003B42E0"/>
    <w:rsid w:val="003B4DBC"/>
    <w:rsid w:val="003B4F24"/>
    <w:rsid w:val="003B518E"/>
    <w:rsid w:val="003B5A6C"/>
    <w:rsid w:val="003B5E7C"/>
    <w:rsid w:val="003B60EA"/>
    <w:rsid w:val="003B646B"/>
    <w:rsid w:val="003B6714"/>
    <w:rsid w:val="003B74A5"/>
    <w:rsid w:val="003B7EE4"/>
    <w:rsid w:val="003B7EE8"/>
    <w:rsid w:val="003C013E"/>
    <w:rsid w:val="003C03EC"/>
    <w:rsid w:val="003C0E14"/>
    <w:rsid w:val="003C1601"/>
    <w:rsid w:val="003C1A30"/>
    <w:rsid w:val="003C1D0B"/>
    <w:rsid w:val="003C1FF1"/>
    <w:rsid w:val="003C2395"/>
    <w:rsid w:val="003C3326"/>
    <w:rsid w:val="003C40E4"/>
    <w:rsid w:val="003C481B"/>
    <w:rsid w:val="003C4F65"/>
    <w:rsid w:val="003C4F98"/>
    <w:rsid w:val="003C5303"/>
    <w:rsid w:val="003C540F"/>
    <w:rsid w:val="003C63D5"/>
    <w:rsid w:val="003C67B4"/>
    <w:rsid w:val="003C7ABD"/>
    <w:rsid w:val="003D028F"/>
    <w:rsid w:val="003D0337"/>
    <w:rsid w:val="003D0817"/>
    <w:rsid w:val="003D0FDB"/>
    <w:rsid w:val="003D12D4"/>
    <w:rsid w:val="003D184A"/>
    <w:rsid w:val="003D1EC5"/>
    <w:rsid w:val="003D2196"/>
    <w:rsid w:val="003D2510"/>
    <w:rsid w:val="003D2B40"/>
    <w:rsid w:val="003D2CBC"/>
    <w:rsid w:val="003D3A42"/>
    <w:rsid w:val="003D3E6B"/>
    <w:rsid w:val="003D44B3"/>
    <w:rsid w:val="003D47AB"/>
    <w:rsid w:val="003D5109"/>
    <w:rsid w:val="003D530F"/>
    <w:rsid w:val="003D54AC"/>
    <w:rsid w:val="003D5890"/>
    <w:rsid w:val="003D5971"/>
    <w:rsid w:val="003D5C21"/>
    <w:rsid w:val="003D604E"/>
    <w:rsid w:val="003D642A"/>
    <w:rsid w:val="003D6A30"/>
    <w:rsid w:val="003D6D88"/>
    <w:rsid w:val="003D741B"/>
    <w:rsid w:val="003E0150"/>
    <w:rsid w:val="003E0282"/>
    <w:rsid w:val="003E041F"/>
    <w:rsid w:val="003E0E98"/>
    <w:rsid w:val="003E0F19"/>
    <w:rsid w:val="003E0F89"/>
    <w:rsid w:val="003E118B"/>
    <w:rsid w:val="003E163E"/>
    <w:rsid w:val="003E2389"/>
    <w:rsid w:val="003E275F"/>
    <w:rsid w:val="003E2BEC"/>
    <w:rsid w:val="003E2F98"/>
    <w:rsid w:val="003E3277"/>
    <w:rsid w:val="003E33D3"/>
    <w:rsid w:val="003E3691"/>
    <w:rsid w:val="003E3755"/>
    <w:rsid w:val="003E3A9E"/>
    <w:rsid w:val="003E461E"/>
    <w:rsid w:val="003E5A8B"/>
    <w:rsid w:val="003E6743"/>
    <w:rsid w:val="003E6870"/>
    <w:rsid w:val="003E68DB"/>
    <w:rsid w:val="003E753F"/>
    <w:rsid w:val="003E7750"/>
    <w:rsid w:val="003E796C"/>
    <w:rsid w:val="003E7A15"/>
    <w:rsid w:val="003E7A64"/>
    <w:rsid w:val="003F0A33"/>
    <w:rsid w:val="003F0B55"/>
    <w:rsid w:val="003F0D8D"/>
    <w:rsid w:val="003F142A"/>
    <w:rsid w:val="003F1675"/>
    <w:rsid w:val="003F1A04"/>
    <w:rsid w:val="003F1C35"/>
    <w:rsid w:val="003F26FD"/>
    <w:rsid w:val="003F27D9"/>
    <w:rsid w:val="003F28BE"/>
    <w:rsid w:val="003F2E43"/>
    <w:rsid w:val="003F2E8C"/>
    <w:rsid w:val="003F30B4"/>
    <w:rsid w:val="003F373A"/>
    <w:rsid w:val="003F41C9"/>
    <w:rsid w:val="003F42CA"/>
    <w:rsid w:val="003F44FF"/>
    <w:rsid w:val="003F4D3B"/>
    <w:rsid w:val="003F4DB4"/>
    <w:rsid w:val="003F4DBE"/>
    <w:rsid w:val="003F4EC7"/>
    <w:rsid w:val="003F541B"/>
    <w:rsid w:val="003F54C8"/>
    <w:rsid w:val="003F55B7"/>
    <w:rsid w:val="003F560F"/>
    <w:rsid w:val="003F606D"/>
    <w:rsid w:val="003F66BB"/>
    <w:rsid w:val="003F6789"/>
    <w:rsid w:val="003F6897"/>
    <w:rsid w:val="003F689B"/>
    <w:rsid w:val="003F7339"/>
    <w:rsid w:val="003F7477"/>
    <w:rsid w:val="003F77BD"/>
    <w:rsid w:val="003F7A54"/>
    <w:rsid w:val="003F7AF6"/>
    <w:rsid w:val="003F7B1C"/>
    <w:rsid w:val="003F7B2B"/>
    <w:rsid w:val="003F7F42"/>
    <w:rsid w:val="0040039A"/>
    <w:rsid w:val="00400B64"/>
    <w:rsid w:val="00401084"/>
    <w:rsid w:val="0040127D"/>
    <w:rsid w:val="00402257"/>
    <w:rsid w:val="004022CB"/>
    <w:rsid w:val="00402885"/>
    <w:rsid w:val="004028FD"/>
    <w:rsid w:val="004030A5"/>
    <w:rsid w:val="00403752"/>
    <w:rsid w:val="004038A2"/>
    <w:rsid w:val="00403A51"/>
    <w:rsid w:val="004041FE"/>
    <w:rsid w:val="00404717"/>
    <w:rsid w:val="00405221"/>
    <w:rsid w:val="00405441"/>
    <w:rsid w:val="004059BB"/>
    <w:rsid w:val="00405B93"/>
    <w:rsid w:val="00406234"/>
    <w:rsid w:val="00406737"/>
    <w:rsid w:val="004069ED"/>
    <w:rsid w:val="00406E76"/>
    <w:rsid w:val="00406F86"/>
    <w:rsid w:val="004073CE"/>
    <w:rsid w:val="00410028"/>
    <w:rsid w:val="00410790"/>
    <w:rsid w:val="00410824"/>
    <w:rsid w:val="00410D1D"/>
    <w:rsid w:val="00410D96"/>
    <w:rsid w:val="00411473"/>
    <w:rsid w:val="004115DA"/>
    <w:rsid w:val="00411A40"/>
    <w:rsid w:val="00411C39"/>
    <w:rsid w:val="00411D5A"/>
    <w:rsid w:val="00411FC7"/>
    <w:rsid w:val="004122CC"/>
    <w:rsid w:val="004123F9"/>
    <w:rsid w:val="00413507"/>
    <w:rsid w:val="00413882"/>
    <w:rsid w:val="004144F4"/>
    <w:rsid w:val="00414741"/>
    <w:rsid w:val="00414986"/>
    <w:rsid w:val="00415987"/>
    <w:rsid w:val="0041602B"/>
    <w:rsid w:val="0041637C"/>
    <w:rsid w:val="004165E8"/>
    <w:rsid w:val="004168F2"/>
    <w:rsid w:val="00416DA1"/>
    <w:rsid w:val="00420AFE"/>
    <w:rsid w:val="00420D9E"/>
    <w:rsid w:val="00421769"/>
    <w:rsid w:val="00421981"/>
    <w:rsid w:val="00421B98"/>
    <w:rsid w:val="0042222D"/>
    <w:rsid w:val="0042227F"/>
    <w:rsid w:val="004222BD"/>
    <w:rsid w:val="0042274B"/>
    <w:rsid w:val="004228AA"/>
    <w:rsid w:val="00422B50"/>
    <w:rsid w:val="00422CCB"/>
    <w:rsid w:val="00423239"/>
    <w:rsid w:val="004234F0"/>
    <w:rsid w:val="00423907"/>
    <w:rsid w:val="00424356"/>
    <w:rsid w:val="004245D5"/>
    <w:rsid w:val="00424677"/>
    <w:rsid w:val="00424709"/>
    <w:rsid w:val="00424ED0"/>
    <w:rsid w:val="00425542"/>
    <w:rsid w:val="00426621"/>
    <w:rsid w:val="00426CD4"/>
    <w:rsid w:val="004273B9"/>
    <w:rsid w:val="00427A7F"/>
    <w:rsid w:val="00427B93"/>
    <w:rsid w:val="00431E58"/>
    <w:rsid w:val="004327DF"/>
    <w:rsid w:val="004329DF"/>
    <w:rsid w:val="00432DE8"/>
    <w:rsid w:val="004332C2"/>
    <w:rsid w:val="00433AAB"/>
    <w:rsid w:val="00433D96"/>
    <w:rsid w:val="00434353"/>
    <w:rsid w:val="00434359"/>
    <w:rsid w:val="00434853"/>
    <w:rsid w:val="0043491C"/>
    <w:rsid w:val="00435077"/>
    <w:rsid w:val="00435260"/>
    <w:rsid w:val="00435E9B"/>
    <w:rsid w:val="0043604C"/>
    <w:rsid w:val="00436365"/>
    <w:rsid w:val="00436538"/>
    <w:rsid w:val="004366FF"/>
    <w:rsid w:val="00436A66"/>
    <w:rsid w:val="00436AA1"/>
    <w:rsid w:val="00436C83"/>
    <w:rsid w:val="00437684"/>
    <w:rsid w:val="004378BC"/>
    <w:rsid w:val="00437973"/>
    <w:rsid w:val="0043799E"/>
    <w:rsid w:val="00440675"/>
    <w:rsid w:val="0044153F"/>
    <w:rsid w:val="004418B9"/>
    <w:rsid w:val="00441A89"/>
    <w:rsid w:val="00441B2A"/>
    <w:rsid w:val="00441C1E"/>
    <w:rsid w:val="00441D7C"/>
    <w:rsid w:val="00441F64"/>
    <w:rsid w:val="00442435"/>
    <w:rsid w:val="00442586"/>
    <w:rsid w:val="0044287B"/>
    <w:rsid w:val="004430C4"/>
    <w:rsid w:val="00443253"/>
    <w:rsid w:val="00443D32"/>
    <w:rsid w:val="00443D97"/>
    <w:rsid w:val="00444385"/>
    <w:rsid w:val="00444921"/>
    <w:rsid w:val="00444955"/>
    <w:rsid w:val="00444DD9"/>
    <w:rsid w:val="0044536E"/>
    <w:rsid w:val="004454C8"/>
    <w:rsid w:val="004454E3"/>
    <w:rsid w:val="004457B6"/>
    <w:rsid w:val="004459EB"/>
    <w:rsid w:val="0044692E"/>
    <w:rsid w:val="0044694D"/>
    <w:rsid w:val="00446CD3"/>
    <w:rsid w:val="00447399"/>
    <w:rsid w:val="00447AC4"/>
    <w:rsid w:val="00447BAC"/>
    <w:rsid w:val="00447CA9"/>
    <w:rsid w:val="00447E8B"/>
    <w:rsid w:val="004506D5"/>
    <w:rsid w:val="004529B7"/>
    <w:rsid w:val="00452A0B"/>
    <w:rsid w:val="00452A63"/>
    <w:rsid w:val="00452B5C"/>
    <w:rsid w:val="00452BB3"/>
    <w:rsid w:val="00452DDA"/>
    <w:rsid w:val="00453950"/>
    <w:rsid w:val="00453AF7"/>
    <w:rsid w:val="004543C3"/>
    <w:rsid w:val="00454CA1"/>
    <w:rsid w:val="00455B92"/>
    <w:rsid w:val="00455E3C"/>
    <w:rsid w:val="00456398"/>
    <w:rsid w:val="00456436"/>
    <w:rsid w:val="00456959"/>
    <w:rsid w:val="00456AB6"/>
    <w:rsid w:val="004572FB"/>
    <w:rsid w:val="00457334"/>
    <w:rsid w:val="00457450"/>
    <w:rsid w:val="004574C4"/>
    <w:rsid w:val="0045758F"/>
    <w:rsid w:val="004578D6"/>
    <w:rsid w:val="00457A21"/>
    <w:rsid w:val="00460089"/>
    <w:rsid w:val="0046026A"/>
    <w:rsid w:val="00460506"/>
    <w:rsid w:val="0046059F"/>
    <w:rsid w:val="00460B9D"/>
    <w:rsid w:val="00461164"/>
    <w:rsid w:val="00461BA3"/>
    <w:rsid w:val="00461C89"/>
    <w:rsid w:val="00461F1A"/>
    <w:rsid w:val="00461F9D"/>
    <w:rsid w:val="004620C5"/>
    <w:rsid w:val="00462314"/>
    <w:rsid w:val="00462489"/>
    <w:rsid w:val="004626B7"/>
    <w:rsid w:val="00462815"/>
    <w:rsid w:val="0046288F"/>
    <w:rsid w:val="00462991"/>
    <w:rsid w:val="00462F68"/>
    <w:rsid w:val="00463083"/>
    <w:rsid w:val="004632CD"/>
    <w:rsid w:val="00463976"/>
    <w:rsid w:val="004639AA"/>
    <w:rsid w:val="0046430B"/>
    <w:rsid w:val="0046479E"/>
    <w:rsid w:val="0046488D"/>
    <w:rsid w:val="00464986"/>
    <w:rsid w:val="00464A79"/>
    <w:rsid w:val="00464E4F"/>
    <w:rsid w:val="00464FA0"/>
    <w:rsid w:val="004653B4"/>
    <w:rsid w:val="00465D8D"/>
    <w:rsid w:val="00465DED"/>
    <w:rsid w:val="00465FED"/>
    <w:rsid w:val="0046635D"/>
    <w:rsid w:val="00466DA4"/>
    <w:rsid w:val="00467214"/>
    <w:rsid w:val="0046722F"/>
    <w:rsid w:val="004676CB"/>
    <w:rsid w:val="004676D6"/>
    <w:rsid w:val="004678CF"/>
    <w:rsid w:val="00467968"/>
    <w:rsid w:val="00467D61"/>
    <w:rsid w:val="00467E98"/>
    <w:rsid w:val="004704F7"/>
    <w:rsid w:val="004706F1"/>
    <w:rsid w:val="00470BD7"/>
    <w:rsid w:val="00470D1D"/>
    <w:rsid w:val="00470F00"/>
    <w:rsid w:val="0047113C"/>
    <w:rsid w:val="004716C8"/>
    <w:rsid w:val="00471981"/>
    <w:rsid w:val="00471CAC"/>
    <w:rsid w:val="00471E38"/>
    <w:rsid w:val="00472787"/>
    <w:rsid w:val="00472B46"/>
    <w:rsid w:val="00472C4F"/>
    <w:rsid w:val="004739F7"/>
    <w:rsid w:val="00473BC2"/>
    <w:rsid w:val="00474776"/>
    <w:rsid w:val="00474815"/>
    <w:rsid w:val="004755C3"/>
    <w:rsid w:val="004756AE"/>
    <w:rsid w:val="00475AE0"/>
    <w:rsid w:val="00475B08"/>
    <w:rsid w:val="00476A95"/>
    <w:rsid w:val="00476E07"/>
    <w:rsid w:val="00476EE3"/>
    <w:rsid w:val="00476F99"/>
    <w:rsid w:val="004772B8"/>
    <w:rsid w:val="00477757"/>
    <w:rsid w:val="004777A5"/>
    <w:rsid w:val="00480418"/>
    <w:rsid w:val="0048205E"/>
    <w:rsid w:val="004825AA"/>
    <w:rsid w:val="00482A99"/>
    <w:rsid w:val="00482B85"/>
    <w:rsid w:val="00482EC6"/>
    <w:rsid w:val="00482FBB"/>
    <w:rsid w:val="00483120"/>
    <w:rsid w:val="00483726"/>
    <w:rsid w:val="004838FF"/>
    <w:rsid w:val="00483AB2"/>
    <w:rsid w:val="00484858"/>
    <w:rsid w:val="00484A89"/>
    <w:rsid w:val="00484BE6"/>
    <w:rsid w:val="00484C06"/>
    <w:rsid w:val="00485A53"/>
    <w:rsid w:val="00485B32"/>
    <w:rsid w:val="00485D7C"/>
    <w:rsid w:val="004860F6"/>
    <w:rsid w:val="004863A4"/>
    <w:rsid w:val="004863F2"/>
    <w:rsid w:val="00486516"/>
    <w:rsid w:val="00486823"/>
    <w:rsid w:val="00486BF0"/>
    <w:rsid w:val="004878A7"/>
    <w:rsid w:val="00487DAD"/>
    <w:rsid w:val="00487DF3"/>
    <w:rsid w:val="00487E4D"/>
    <w:rsid w:val="00490115"/>
    <w:rsid w:val="004907F0"/>
    <w:rsid w:val="0049082D"/>
    <w:rsid w:val="004908DB"/>
    <w:rsid w:val="004909CC"/>
    <w:rsid w:val="00490C57"/>
    <w:rsid w:val="00490D15"/>
    <w:rsid w:val="00490E79"/>
    <w:rsid w:val="00491752"/>
    <w:rsid w:val="004939D9"/>
    <w:rsid w:val="004943A0"/>
    <w:rsid w:val="00494BB1"/>
    <w:rsid w:val="004959B1"/>
    <w:rsid w:val="00495E0C"/>
    <w:rsid w:val="00495F0F"/>
    <w:rsid w:val="00496208"/>
    <w:rsid w:val="00496CB2"/>
    <w:rsid w:val="00496EE6"/>
    <w:rsid w:val="0049726C"/>
    <w:rsid w:val="00497866"/>
    <w:rsid w:val="00497DCD"/>
    <w:rsid w:val="004A06CE"/>
    <w:rsid w:val="004A093C"/>
    <w:rsid w:val="004A09FA"/>
    <w:rsid w:val="004A104A"/>
    <w:rsid w:val="004A14C6"/>
    <w:rsid w:val="004A1515"/>
    <w:rsid w:val="004A2093"/>
    <w:rsid w:val="004A2608"/>
    <w:rsid w:val="004A282C"/>
    <w:rsid w:val="004A2A97"/>
    <w:rsid w:val="004A2D39"/>
    <w:rsid w:val="004A32CC"/>
    <w:rsid w:val="004A359E"/>
    <w:rsid w:val="004A3866"/>
    <w:rsid w:val="004A3870"/>
    <w:rsid w:val="004A3BF5"/>
    <w:rsid w:val="004A3C60"/>
    <w:rsid w:val="004A42FF"/>
    <w:rsid w:val="004A495A"/>
    <w:rsid w:val="004A4C92"/>
    <w:rsid w:val="004A547D"/>
    <w:rsid w:val="004A559D"/>
    <w:rsid w:val="004A5BA0"/>
    <w:rsid w:val="004A5D7C"/>
    <w:rsid w:val="004A6428"/>
    <w:rsid w:val="004A69A1"/>
    <w:rsid w:val="004A7123"/>
    <w:rsid w:val="004A729D"/>
    <w:rsid w:val="004A7623"/>
    <w:rsid w:val="004A778E"/>
    <w:rsid w:val="004A7A13"/>
    <w:rsid w:val="004A7AA9"/>
    <w:rsid w:val="004A7B36"/>
    <w:rsid w:val="004A7CCF"/>
    <w:rsid w:val="004A7E95"/>
    <w:rsid w:val="004B061A"/>
    <w:rsid w:val="004B0723"/>
    <w:rsid w:val="004B08DD"/>
    <w:rsid w:val="004B0B9E"/>
    <w:rsid w:val="004B18F6"/>
    <w:rsid w:val="004B1ABD"/>
    <w:rsid w:val="004B27EE"/>
    <w:rsid w:val="004B2C44"/>
    <w:rsid w:val="004B2D19"/>
    <w:rsid w:val="004B322E"/>
    <w:rsid w:val="004B32BD"/>
    <w:rsid w:val="004B362C"/>
    <w:rsid w:val="004B379A"/>
    <w:rsid w:val="004B3BAD"/>
    <w:rsid w:val="004B3C50"/>
    <w:rsid w:val="004B4159"/>
    <w:rsid w:val="004B47A7"/>
    <w:rsid w:val="004B4A1B"/>
    <w:rsid w:val="004B4A87"/>
    <w:rsid w:val="004B51BA"/>
    <w:rsid w:val="004B56EF"/>
    <w:rsid w:val="004B5A30"/>
    <w:rsid w:val="004B5B9C"/>
    <w:rsid w:val="004B60F7"/>
    <w:rsid w:val="004B655E"/>
    <w:rsid w:val="004B6EBB"/>
    <w:rsid w:val="004B7223"/>
    <w:rsid w:val="004B7B7D"/>
    <w:rsid w:val="004B7E5D"/>
    <w:rsid w:val="004B7E89"/>
    <w:rsid w:val="004B7F57"/>
    <w:rsid w:val="004B7F8F"/>
    <w:rsid w:val="004C03E0"/>
    <w:rsid w:val="004C09F7"/>
    <w:rsid w:val="004C1261"/>
    <w:rsid w:val="004C19CA"/>
    <w:rsid w:val="004C1B40"/>
    <w:rsid w:val="004C1E63"/>
    <w:rsid w:val="004C2376"/>
    <w:rsid w:val="004C278E"/>
    <w:rsid w:val="004C2B3A"/>
    <w:rsid w:val="004C2C11"/>
    <w:rsid w:val="004C2C1F"/>
    <w:rsid w:val="004C2C45"/>
    <w:rsid w:val="004C2E15"/>
    <w:rsid w:val="004C2F16"/>
    <w:rsid w:val="004C3114"/>
    <w:rsid w:val="004C44A0"/>
    <w:rsid w:val="004C4F8E"/>
    <w:rsid w:val="004C510E"/>
    <w:rsid w:val="004C5666"/>
    <w:rsid w:val="004C5B0C"/>
    <w:rsid w:val="004C5CB9"/>
    <w:rsid w:val="004C5EA7"/>
    <w:rsid w:val="004C6678"/>
    <w:rsid w:val="004C6EC7"/>
    <w:rsid w:val="004C6FE4"/>
    <w:rsid w:val="004C733A"/>
    <w:rsid w:val="004C7481"/>
    <w:rsid w:val="004C74A5"/>
    <w:rsid w:val="004C7706"/>
    <w:rsid w:val="004C7834"/>
    <w:rsid w:val="004D02D3"/>
    <w:rsid w:val="004D0656"/>
    <w:rsid w:val="004D0667"/>
    <w:rsid w:val="004D1106"/>
    <w:rsid w:val="004D1835"/>
    <w:rsid w:val="004D20CF"/>
    <w:rsid w:val="004D237A"/>
    <w:rsid w:val="004D2CC4"/>
    <w:rsid w:val="004D2E8F"/>
    <w:rsid w:val="004D3123"/>
    <w:rsid w:val="004D3272"/>
    <w:rsid w:val="004D32E8"/>
    <w:rsid w:val="004D3CE7"/>
    <w:rsid w:val="004D4108"/>
    <w:rsid w:val="004D4BDA"/>
    <w:rsid w:val="004D4C9B"/>
    <w:rsid w:val="004D51E1"/>
    <w:rsid w:val="004D52F6"/>
    <w:rsid w:val="004D55B2"/>
    <w:rsid w:val="004D5BF1"/>
    <w:rsid w:val="004D5C1B"/>
    <w:rsid w:val="004D69AC"/>
    <w:rsid w:val="004D6F2B"/>
    <w:rsid w:val="004D71E0"/>
    <w:rsid w:val="004D763E"/>
    <w:rsid w:val="004D7A62"/>
    <w:rsid w:val="004D7D87"/>
    <w:rsid w:val="004D7E21"/>
    <w:rsid w:val="004D7F88"/>
    <w:rsid w:val="004E0476"/>
    <w:rsid w:val="004E0698"/>
    <w:rsid w:val="004E0726"/>
    <w:rsid w:val="004E0BDE"/>
    <w:rsid w:val="004E0F59"/>
    <w:rsid w:val="004E1387"/>
    <w:rsid w:val="004E13E3"/>
    <w:rsid w:val="004E16EA"/>
    <w:rsid w:val="004E2635"/>
    <w:rsid w:val="004E28BE"/>
    <w:rsid w:val="004E29CF"/>
    <w:rsid w:val="004E2BA3"/>
    <w:rsid w:val="004E2EA2"/>
    <w:rsid w:val="004E3016"/>
    <w:rsid w:val="004E3772"/>
    <w:rsid w:val="004E39D7"/>
    <w:rsid w:val="004E43ED"/>
    <w:rsid w:val="004E4DBC"/>
    <w:rsid w:val="004E4FED"/>
    <w:rsid w:val="004E502B"/>
    <w:rsid w:val="004E5454"/>
    <w:rsid w:val="004E54B8"/>
    <w:rsid w:val="004E609F"/>
    <w:rsid w:val="004E63D6"/>
    <w:rsid w:val="004E647E"/>
    <w:rsid w:val="004E6732"/>
    <w:rsid w:val="004E6813"/>
    <w:rsid w:val="004E6960"/>
    <w:rsid w:val="004E6D5E"/>
    <w:rsid w:val="004E6FD6"/>
    <w:rsid w:val="004E7847"/>
    <w:rsid w:val="004E7B3F"/>
    <w:rsid w:val="004E7FB6"/>
    <w:rsid w:val="004F03AD"/>
    <w:rsid w:val="004F06BF"/>
    <w:rsid w:val="004F0744"/>
    <w:rsid w:val="004F0BC8"/>
    <w:rsid w:val="004F0DEA"/>
    <w:rsid w:val="004F12E5"/>
    <w:rsid w:val="004F15F5"/>
    <w:rsid w:val="004F1720"/>
    <w:rsid w:val="004F1907"/>
    <w:rsid w:val="004F1F0C"/>
    <w:rsid w:val="004F22A8"/>
    <w:rsid w:val="004F2F74"/>
    <w:rsid w:val="004F3E70"/>
    <w:rsid w:val="004F3F05"/>
    <w:rsid w:val="004F474C"/>
    <w:rsid w:val="004F4966"/>
    <w:rsid w:val="004F4F21"/>
    <w:rsid w:val="004F4F79"/>
    <w:rsid w:val="004F5246"/>
    <w:rsid w:val="004F583C"/>
    <w:rsid w:val="004F5982"/>
    <w:rsid w:val="004F6001"/>
    <w:rsid w:val="004F60B4"/>
    <w:rsid w:val="004F67BA"/>
    <w:rsid w:val="004F6D04"/>
    <w:rsid w:val="004F6D9A"/>
    <w:rsid w:val="004F735E"/>
    <w:rsid w:val="004F73F4"/>
    <w:rsid w:val="004F7447"/>
    <w:rsid w:val="004F780F"/>
    <w:rsid w:val="004F7975"/>
    <w:rsid w:val="004F7A7E"/>
    <w:rsid w:val="0050055D"/>
    <w:rsid w:val="00500BB2"/>
    <w:rsid w:val="00500BDE"/>
    <w:rsid w:val="00500F62"/>
    <w:rsid w:val="005010E9"/>
    <w:rsid w:val="00501599"/>
    <w:rsid w:val="0050197A"/>
    <w:rsid w:val="00501B38"/>
    <w:rsid w:val="00501EC3"/>
    <w:rsid w:val="00502928"/>
    <w:rsid w:val="00502BDB"/>
    <w:rsid w:val="00502EF6"/>
    <w:rsid w:val="005037FA"/>
    <w:rsid w:val="005044E1"/>
    <w:rsid w:val="0050454E"/>
    <w:rsid w:val="0050479E"/>
    <w:rsid w:val="00504BE5"/>
    <w:rsid w:val="0050529E"/>
    <w:rsid w:val="005057FB"/>
    <w:rsid w:val="00505918"/>
    <w:rsid w:val="00506AC1"/>
    <w:rsid w:val="00507258"/>
    <w:rsid w:val="005073BC"/>
    <w:rsid w:val="00507935"/>
    <w:rsid w:val="0051019E"/>
    <w:rsid w:val="00510642"/>
    <w:rsid w:val="00510AC6"/>
    <w:rsid w:val="00510B56"/>
    <w:rsid w:val="005113F5"/>
    <w:rsid w:val="00512080"/>
    <w:rsid w:val="005122E8"/>
    <w:rsid w:val="0051232A"/>
    <w:rsid w:val="00512332"/>
    <w:rsid w:val="00512541"/>
    <w:rsid w:val="0051261A"/>
    <w:rsid w:val="00512D62"/>
    <w:rsid w:val="00514603"/>
    <w:rsid w:val="00514A96"/>
    <w:rsid w:val="005155BC"/>
    <w:rsid w:val="00515F5A"/>
    <w:rsid w:val="005162C5"/>
    <w:rsid w:val="00516D58"/>
    <w:rsid w:val="00516D84"/>
    <w:rsid w:val="0051704B"/>
    <w:rsid w:val="005175DD"/>
    <w:rsid w:val="005179DA"/>
    <w:rsid w:val="005201F9"/>
    <w:rsid w:val="00520503"/>
    <w:rsid w:val="00520E5C"/>
    <w:rsid w:val="00520E65"/>
    <w:rsid w:val="00520ED0"/>
    <w:rsid w:val="00521018"/>
    <w:rsid w:val="00521214"/>
    <w:rsid w:val="005213F3"/>
    <w:rsid w:val="00521668"/>
    <w:rsid w:val="005216A9"/>
    <w:rsid w:val="00522734"/>
    <w:rsid w:val="00522BC6"/>
    <w:rsid w:val="00522E35"/>
    <w:rsid w:val="00523448"/>
    <w:rsid w:val="005234BC"/>
    <w:rsid w:val="005234F6"/>
    <w:rsid w:val="00523FA1"/>
    <w:rsid w:val="0052449A"/>
    <w:rsid w:val="00524C9B"/>
    <w:rsid w:val="00525019"/>
    <w:rsid w:val="005252B2"/>
    <w:rsid w:val="00526720"/>
    <w:rsid w:val="00526FB0"/>
    <w:rsid w:val="00527E51"/>
    <w:rsid w:val="005301F7"/>
    <w:rsid w:val="0053075C"/>
    <w:rsid w:val="00530FDA"/>
    <w:rsid w:val="005317F9"/>
    <w:rsid w:val="00531A1A"/>
    <w:rsid w:val="0053278C"/>
    <w:rsid w:val="005327E0"/>
    <w:rsid w:val="00532863"/>
    <w:rsid w:val="00532CE1"/>
    <w:rsid w:val="00533BAD"/>
    <w:rsid w:val="00533D7F"/>
    <w:rsid w:val="00533EF9"/>
    <w:rsid w:val="005341D9"/>
    <w:rsid w:val="00534783"/>
    <w:rsid w:val="005348DD"/>
    <w:rsid w:val="00534A35"/>
    <w:rsid w:val="00534ABD"/>
    <w:rsid w:val="00534F09"/>
    <w:rsid w:val="00535AA5"/>
    <w:rsid w:val="00535C0D"/>
    <w:rsid w:val="00535E66"/>
    <w:rsid w:val="00536FC6"/>
    <w:rsid w:val="00537B59"/>
    <w:rsid w:val="00537E5C"/>
    <w:rsid w:val="00537FBB"/>
    <w:rsid w:val="0054031E"/>
    <w:rsid w:val="005405CB"/>
    <w:rsid w:val="00540A69"/>
    <w:rsid w:val="00540CDE"/>
    <w:rsid w:val="00540FB2"/>
    <w:rsid w:val="00541485"/>
    <w:rsid w:val="005417F5"/>
    <w:rsid w:val="00541FD1"/>
    <w:rsid w:val="005420CE"/>
    <w:rsid w:val="00542795"/>
    <w:rsid w:val="00542E28"/>
    <w:rsid w:val="00542ED7"/>
    <w:rsid w:val="0054313B"/>
    <w:rsid w:val="005432D2"/>
    <w:rsid w:val="00543BBC"/>
    <w:rsid w:val="00543F51"/>
    <w:rsid w:val="005443FB"/>
    <w:rsid w:val="0054442A"/>
    <w:rsid w:val="00545345"/>
    <w:rsid w:val="005455A2"/>
    <w:rsid w:val="005455F2"/>
    <w:rsid w:val="0054566C"/>
    <w:rsid w:val="00547407"/>
    <w:rsid w:val="00547421"/>
    <w:rsid w:val="0054780E"/>
    <w:rsid w:val="005478D2"/>
    <w:rsid w:val="00547A07"/>
    <w:rsid w:val="00547F04"/>
    <w:rsid w:val="005500B2"/>
    <w:rsid w:val="005503A2"/>
    <w:rsid w:val="00550661"/>
    <w:rsid w:val="005509AF"/>
    <w:rsid w:val="00550F98"/>
    <w:rsid w:val="00551070"/>
    <w:rsid w:val="005511C0"/>
    <w:rsid w:val="0055145D"/>
    <w:rsid w:val="00551684"/>
    <w:rsid w:val="005516D9"/>
    <w:rsid w:val="0055178B"/>
    <w:rsid w:val="00552562"/>
    <w:rsid w:val="00552707"/>
    <w:rsid w:val="00553935"/>
    <w:rsid w:val="005540D6"/>
    <w:rsid w:val="00554128"/>
    <w:rsid w:val="00554702"/>
    <w:rsid w:val="00554815"/>
    <w:rsid w:val="0055552F"/>
    <w:rsid w:val="0055561E"/>
    <w:rsid w:val="0055563C"/>
    <w:rsid w:val="005558D2"/>
    <w:rsid w:val="00555AA6"/>
    <w:rsid w:val="00555B3A"/>
    <w:rsid w:val="00556586"/>
    <w:rsid w:val="00556AA9"/>
    <w:rsid w:val="00557B65"/>
    <w:rsid w:val="00557BB4"/>
    <w:rsid w:val="00557FEE"/>
    <w:rsid w:val="005600D7"/>
    <w:rsid w:val="00560253"/>
    <w:rsid w:val="00560853"/>
    <w:rsid w:val="00560AE3"/>
    <w:rsid w:val="00560E27"/>
    <w:rsid w:val="0056153B"/>
    <w:rsid w:val="005615D2"/>
    <w:rsid w:val="005615E0"/>
    <w:rsid w:val="005617BB"/>
    <w:rsid w:val="00561974"/>
    <w:rsid w:val="00561D39"/>
    <w:rsid w:val="005620C7"/>
    <w:rsid w:val="00562DFF"/>
    <w:rsid w:val="00563003"/>
    <w:rsid w:val="00563E67"/>
    <w:rsid w:val="00563FA0"/>
    <w:rsid w:val="0056408B"/>
    <w:rsid w:val="005642AA"/>
    <w:rsid w:val="0056445A"/>
    <w:rsid w:val="0056449D"/>
    <w:rsid w:val="00564BF1"/>
    <w:rsid w:val="00565250"/>
    <w:rsid w:val="00566604"/>
    <w:rsid w:val="005669FD"/>
    <w:rsid w:val="00566B0A"/>
    <w:rsid w:val="00566C35"/>
    <w:rsid w:val="00566D0B"/>
    <w:rsid w:val="00566EC6"/>
    <w:rsid w:val="00567793"/>
    <w:rsid w:val="00567799"/>
    <w:rsid w:val="00570592"/>
    <w:rsid w:val="00570874"/>
    <w:rsid w:val="00570F2D"/>
    <w:rsid w:val="00570F2E"/>
    <w:rsid w:val="00571265"/>
    <w:rsid w:val="0057159D"/>
    <w:rsid w:val="005715FC"/>
    <w:rsid w:val="00571E91"/>
    <w:rsid w:val="00572568"/>
    <w:rsid w:val="005727C2"/>
    <w:rsid w:val="00572B6E"/>
    <w:rsid w:val="00572D77"/>
    <w:rsid w:val="005734DF"/>
    <w:rsid w:val="0057383D"/>
    <w:rsid w:val="00573AA9"/>
    <w:rsid w:val="00573DC4"/>
    <w:rsid w:val="00573FBD"/>
    <w:rsid w:val="0057422C"/>
    <w:rsid w:val="00574CC9"/>
    <w:rsid w:val="00575747"/>
    <w:rsid w:val="0057588D"/>
    <w:rsid w:val="00575F60"/>
    <w:rsid w:val="00575F87"/>
    <w:rsid w:val="00575FB8"/>
    <w:rsid w:val="00576034"/>
    <w:rsid w:val="00576178"/>
    <w:rsid w:val="005773FB"/>
    <w:rsid w:val="0057759F"/>
    <w:rsid w:val="0057775F"/>
    <w:rsid w:val="00577978"/>
    <w:rsid w:val="00577FA9"/>
    <w:rsid w:val="00580296"/>
    <w:rsid w:val="00580408"/>
    <w:rsid w:val="00580806"/>
    <w:rsid w:val="00580824"/>
    <w:rsid w:val="00580EBC"/>
    <w:rsid w:val="00581314"/>
    <w:rsid w:val="005819E7"/>
    <w:rsid w:val="00581D7D"/>
    <w:rsid w:val="005820BD"/>
    <w:rsid w:val="00582542"/>
    <w:rsid w:val="005825A2"/>
    <w:rsid w:val="00582FD8"/>
    <w:rsid w:val="005830F9"/>
    <w:rsid w:val="005830FC"/>
    <w:rsid w:val="00583163"/>
    <w:rsid w:val="00584219"/>
    <w:rsid w:val="00584482"/>
    <w:rsid w:val="00584922"/>
    <w:rsid w:val="00584EE3"/>
    <w:rsid w:val="005861DC"/>
    <w:rsid w:val="00587131"/>
    <w:rsid w:val="005871C2"/>
    <w:rsid w:val="00587CC9"/>
    <w:rsid w:val="00587DAF"/>
    <w:rsid w:val="005906BC"/>
    <w:rsid w:val="00590994"/>
    <w:rsid w:val="00591D6E"/>
    <w:rsid w:val="005922BA"/>
    <w:rsid w:val="005923A8"/>
    <w:rsid w:val="0059244E"/>
    <w:rsid w:val="005924EB"/>
    <w:rsid w:val="00592579"/>
    <w:rsid w:val="00592635"/>
    <w:rsid w:val="00592C2F"/>
    <w:rsid w:val="00592DE6"/>
    <w:rsid w:val="00592F0E"/>
    <w:rsid w:val="00593072"/>
    <w:rsid w:val="00593677"/>
    <w:rsid w:val="005936FA"/>
    <w:rsid w:val="00593769"/>
    <w:rsid w:val="0059383A"/>
    <w:rsid w:val="00593EDF"/>
    <w:rsid w:val="00593F02"/>
    <w:rsid w:val="00594210"/>
    <w:rsid w:val="005942C9"/>
    <w:rsid w:val="00594721"/>
    <w:rsid w:val="005949C4"/>
    <w:rsid w:val="005950A4"/>
    <w:rsid w:val="005951B3"/>
    <w:rsid w:val="005952E2"/>
    <w:rsid w:val="0059569C"/>
    <w:rsid w:val="00595A54"/>
    <w:rsid w:val="00595D26"/>
    <w:rsid w:val="005963D9"/>
    <w:rsid w:val="00596837"/>
    <w:rsid w:val="00596BD2"/>
    <w:rsid w:val="00596FEA"/>
    <w:rsid w:val="00597658"/>
    <w:rsid w:val="005A0B4F"/>
    <w:rsid w:val="005A0CFD"/>
    <w:rsid w:val="005A1685"/>
    <w:rsid w:val="005A18A9"/>
    <w:rsid w:val="005A2705"/>
    <w:rsid w:val="005A2BC0"/>
    <w:rsid w:val="005A3049"/>
    <w:rsid w:val="005A35B0"/>
    <w:rsid w:val="005A3789"/>
    <w:rsid w:val="005A3A17"/>
    <w:rsid w:val="005A3A6F"/>
    <w:rsid w:val="005A3D15"/>
    <w:rsid w:val="005A3DA1"/>
    <w:rsid w:val="005A4E10"/>
    <w:rsid w:val="005A5079"/>
    <w:rsid w:val="005A6416"/>
    <w:rsid w:val="005A65ED"/>
    <w:rsid w:val="005A7132"/>
    <w:rsid w:val="005A72D2"/>
    <w:rsid w:val="005A743F"/>
    <w:rsid w:val="005A7656"/>
    <w:rsid w:val="005A799B"/>
    <w:rsid w:val="005A7C0C"/>
    <w:rsid w:val="005A7C98"/>
    <w:rsid w:val="005B0E20"/>
    <w:rsid w:val="005B1250"/>
    <w:rsid w:val="005B178C"/>
    <w:rsid w:val="005B18AA"/>
    <w:rsid w:val="005B1F63"/>
    <w:rsid w:val="005B239D"/>
    <w:rsid w:val="005B26D2"/>
    <w:rsid w:val="005B2B08"/>
    <w:rsid w:val="005B31B9"/>
    <w:rsid w:val="005B37F0"/>
    <w:rsid w:val="005B3893"/>
    <w:rsid w:val="005B3C73"/>
    <w:rsid w:val="005B3E17"/>
    <w:rsid w:val="005B483E"/>
    <w:rsid w:val="005B4907"/>
    <w:rsid w:val="005B4EAF"/>
    <w:rsid w:val="005B50CF"/>
    <w:rsid w:val="005B5499"/>
    <w:rsid w:val="005B5781"/>
    <w:rsid w:val="005B590E"/>
    <w:rsid w:val="005B5977"/>
    <w:rsid w:val="005B5E07"/>
    <w:rsid w:val="005B62E5"/>
    <w:rsid w:val="005B65E3"/>
    <w:rsid w:val="005B69B9"/>
    <w:rsid w:val="005B6BC0"/>
    <w:rsid w:val="005B7035"/>
    <w:rsid w:val="005B713B"/>
    <w:rsid w:val="005B7789"/>
    <w:rsid w:val="005B78DD"/>
    <w:rsid w:val="005B7FB9"/>
    <w:rsid w:val="005C0A24"/>
    <w:rsid w:val="005C118A"/>
    <w:rsid w:val="005C1988"/>
    <w:rsid w:val="005C1A29"/>
    <w:rsid w:val="005C1E38"/>
    <w:rsid w:val="005C226B"/>
    <w:rsid w:val="005C2688"/>
    <w:rsid w:val="005C275C"/>
    <w:rsid w:val="005C3333"/>
    <w:rsid w:val="005C353D"/>
    <w:rsid w:val="005C4226"/>
    <w:rsid w:val="005C4C87"/>
    <w:rsid w:val="005C4D56"/>
    <w:rsid w:val="005C4DD9"/>
    <w:rsid w:val="005C5100"/>
    <w:rsid w:val="005C5757"/>
    <w:rsid w:val="005C614C"/>
    <w:rsid w:val="005C63DA"/>
    <w:rsid w:val="005C6489"/>
    <w:rsid w:val="005C6B9B"/>
    <w:rsid w:val="005C6C8B"/>
    <w:rsid w:val="005C6C8F"/>
    <w:rsid w:val="005C7B81"/>
    <w:rsid w:val="005C7D50"/>
    <w:rsid w:val="005C7DE2"/>
    <w:rsid w:val="005D03F7"/>
    <w:rsid w:val="005D066F"/>
    <w:rsid w:val="005D0DC4"/>
    <w:rsid w:val="005D1073"/>
    <w:rsid w:val="005D195F"/>
    <w:rsid w:val="005D1D26"/>
    <w:rsid w:val="005D1EA8"/>
    <w:rsid w:val="005D2003"/>
    <w:rsid w:val="005D2184"/>
    <w:rsid w:val="005D2501"/>
    <w:rsid w:val="005D2C2F"/>
    <w:rsid w:val="005D2DC5"/>
    <w:rsid w:val="005D3612"/>
    <w:rsid w:val="005D37D5"/>
    <w:rsid w:val="005D3CF9"/>
    <w:rsid w:val="005D4196"/>
    <w:rsid w:val="005D4656"/>
    <w:rsid w:val="005D4A6D"/>
    <w:rsid w:val="005D4B00"/>
    <w:rsid w:val="005D4C1B"/>
    <w:rsid w:val="005D4DE0"/>
    <w:rsid w:val="005D500D"/>
    <w:rsid w:val="005D5990"/>
    <w:rsid w:val="005D5D96"/>
    <w:rsid w:val="005D60D9"/>
    <w:rsid w:val="005D642E"/>
    <w:rsid w:val="005D64C7"/>
    <w:rsid w:val="005D6EC2"/>
    <w:rsid w:val="005D6F0A"/>
    <w:rsid w:val="005D7202"/>
    <w:rsid w:val="005E00C6"/>
    <w:rsid w:val="005E011B"/>
    <w:rsid w:val="005E168A"/>
    <w:rsid w:val="005E1DB0"/>
    <w:rsid w:val="005E2EA5"/>
    <w:rsid w:val="005E3289"/>
    <w:rsid w:val="005E3A30"/>
    <w:rsid w:val="005E3C81"/>
    <w:rsid w:val="005E3D59"/>
    <w:rsid w:val="005E40B6"/>
    <w:rsid w:val="005E428A"/>
    <w:rsid w:val="005E45E1"/>
    <w:rsid w:val="005E5074"/>
    <w:rsid w:val="005E512A"/>
    <w:rsid w:val="005E594E"/>
    <w:rsid w:val="005E661F"/>
    <w:rsid w:val="005E6717"/>
    <w:rsid w:val="005E6864"/>
    <w:rsid w:val="005E68DA"/>
    <w:rsid w:val="005E6C27"/>
    <w:rsid w:val="005E6D15"/>
    <w:rsid w:val="005E7160"/>
    <w:rsid w:val="005E71C4"/>
    <w:rsid w:val="005E79E1"/>
    <w:rsid w:val="005E7A6A"/>
    <w:rsid w:val="005E7D28"/>
    <w:rsid w:val="005E7F32"/>
    <w:rsid w:val="005F0016"/>
    <w:rsid w:val="005F0179"/>
    <w:rsid w:val="005F036B"/>
    <w:rsid w:val="005F10A6"/>
    <w:rsid w:val="005F1379"/>
    <w:rsid w:val="005F1D66"/>
    <w:rsid w:val="005F1DA3"/>
    <w:rsid w:val="005F25FB"/>
    <w:rsid w:val="005F2FD9"/>
    <w:rsid w:val="005F359D"/>
    <w:rsid w:val="005F3C73"/>
    <w:rsid w:val="005F3D7D"/>
    <w:rsid w:val="005F4919"/>
    <w:rsid w:val="005F4C98"/>
    <w:rsid w:val="005F50A5"/>
    <w:rsid w:val="005F562D"/>
    <w:rsid w:val="005F5F8E"/>
    <w:rsid w:val="005F6625"/>
    <w:rsid w:val="005F6986"/>
    <w:rsid w:val="005F72F6"/>
    <w:rsid w:val="005F770C"/>
    <w:rsid w:val="006003FE"/>
    <w:rsid w:val="006004E2"/>
    <w:rsid w:val="006006B5"/>
    <w:rsid w:val="00600791"/>
    <w:rsid w:val="00600956"/>
    <w:rsid w:val="00600AB4"/>
    <w:rsid w:val="00600E04"/>
    <w:rsid w:val="0060143D"/>
    <w:rsid w:val="0060147A"/>
    <w:rsid w:val="00601702"/>
    <w:rsid w:val="0060177D"/>
    <w:rsid w:val="006019BC"/>
    <w:rsid w:val="00602284"/>
    <w:rsid w:val="00602301"/>
    <w:rsid w:val="00602686"/>
    <w:rsid w:val="00602C98"/>
    <w:rsid w:val="00603E93"/>
    <w:rsid w:val="00603F2A"/>
    <w:rsid w:val="00604049"/>
    <w:rsid w:val="006041B4"/>
    <w:rsid w:val="006047EC"/>
    <w:rsid w:val="00604AE5"/>
    <w:rsid w:val="00604FDD"/>
    <w:rsid w:val="006050AF"/>
    <w:rsid w:val="00605116"/>
    <w:rsid w:val="00605643"/>
    <w:rsid w:val="00605961"/>
    <w:rsid w:val="00605ADB"/>
    <w:rsid w:val="00605E35"/>
    <w:rsid w:val="00606042"/>
    <w:rsid w:val="0060644D"/>
    <w:rsid w:val="00606F37"/>
    <w:rsid w:val="006072AD"/>
    <w:rsid w:val="00607C22"/>
    <w:rsid w:val="00607EEF"/>
    <w:rsid w:val="00610101"/>
    <w:rsid w:val="00610603"/>
    <w:rsid w:val="00610680"/>
    <w:rsid w:val="00610AC9"/>
    <w:rsid w:val="00610EDE"/>
    <w:rsid w:val="00611B11"/>
    <w:rsid w:val="00611F62"/>
    <w:rsid w:val="00612150"/>
    <w:rsid w:val="0061250E"/>
    <w:rsid w:val="006125B4"/>
    <w:rsid w:val="00612789"/>
    <w:rsid w:val="00612AE9"/>
    <w:rsid w:val="00612BAE"/>
    <w:rsid w:val="00612D25"/>
    <w:rsid w:val="006132F3"/>
    <w:rsid w:val="00613329"/>
    <w:rsid w:val="00613542"/>
    <w:rsid w:val="006139AC"/>
    <w:rsid w:val="00613A53"/>
    <w:rsid w:val="00614E9E"/>
    <w:rsid w:val="006158AE"/>
    <w:rsid w:val="00615A4F"/>
    <w:rsid w:val="00615EC1"/>
    <w:rsid w:val="0061666A"/>
    <w:rsid w:val="00616E0A"/>
    <w:rsid w:val="006170DD"/>
    <w:rsid w:val="006178C2"/>
    <w:rsid w:val="006179DE"/>
    <w:rsid w:val="00617E15"/>
    <w:rsid w:val="006201AD"/>
    <w:rsid w:val="00620334"/>
    <w:rsid w:val="006207D8"/>
    <w:rsid w:val="00620875"/>
    <w:rsid w:val="00620E8A"/>
    <w:rsid w:val="00621685"/>
    <w:rsid w:val="00621BA1"/>
    <w:rsid w:val="00621D8B"/>
    <w:rsid w:val="00622067"/>
    <w:rsid w:val="00622BFF"/>
    <w:rsid w:val="00622C5A"/>
    <w:rsid w:val="00622E3D"/>
    <w:rsid w:val="0062324E"/>
    <w:rsid w:val="0062382C"/>
    <w:rsid w:val="006238DB"/>
    <w:rsid w:val="006239F6"/>
    <w:rsid w:val="0062492C"/>
    <w:rsid w:val="00624B81"/>
    <w:rsid w:val="00625763"/>
    <w:rsid w:val="00625857"/>
    <w:rsid w:val="006259D8"/>
    <w:rsid w:val="0062605F"/>
    <w:rsid w:val="0062631F"/>
    <w:rsid w:val="00626468"/>
    <w:rsid w:val="006264EE"/>
    <w:rsid w:val="0062665A"/>
    <w:rsid w:val="00626EE0"/>
    <w:rsid w:val="006275E1"/>
    <w:rsid w:val="006277C3"/>
    <w:rsid w:val="00627854"/>
    <w:rsid w:val="00627DB3"/>
    <w:rsid w:val="00630109"/>
    <w:rsid w:val="00630884"/>
    <w:rsid w:val="00630AC1"/>
    <w:rsid w:val="00630CE4"/>
    <w:rsid w:val="00631023"/>
    <w:rsid w:val="0063229D"/>
    <w:rsid w:val="00632400"/>
    <w:rsid w:val="00632522"/>
    <w:rsid w:val="0063277F"/>
    <w:rsid w:val="00633E63"/>
    <w:rsid w:val="00634246"/>
    <w:rsid w:val="006344B2"/>
    <w:rsid w:val="0063460B"/>
    <w:rsid w:val="00634FB1"/>
    <w:rsid w:val="00635173"/>
    <w:rsid w:val="006360C1"/>
    <w:rsid w:val="0063653A"/>
    <w:rsid w:val="006366AD"/>
    <w:rsid w:val="006371F4"/>
    <w:rsid w:val="006377BF"/>
    <w:rsid w:val="00637AF0"/>
    <w:rsid w:val="00637D0A"/>
    <w:rsid w:val="00640233"/>
    <w:rsid w:val="006402C8"/>
    <w:rsid w:val="006406EB"/>
    <w:rsid w:val="00640C85"/>
    <w:rsid w:val="00640E1B"/>
    <w:rsid w:val="00640EF0"/>
    <w:rsid w:val="0064106A"/>
    <w:rsid w:val="00641643"/>
    <w:rsid w:val="00641879"/>
    <w:rsid w:val="00641B9E"/>
    <w:rsid w:val="006428BF"/>
    <w:rsid w:val="00642B79"/>
    <w:rsid w:val="00642CA7"/>
    <w:rsid w:val="00642D36"/>
    <w:rsid w:val="00642D39"/>
    <w:rsid w:val="00642D4A"/>
    <w:rsid w:val="00642F89"/>
    <w:rsid w:val="0064345B"/>
    <w:rsid w:val="006438C2"/>
    <w:rsid w:val="00643EA0"/>
    <w:rsid w:val="00643F31"/>
    <w:rsid w:val="0064416D"/>
    <w:rsid w:val="006442F8"/>
    <w:rsid w:val="006447B2"/>
    <w:rsid w:val="0064500D"/>
    <w:rsid w:val="00645382"/>
    <w:rsid w:val="006455A0"/>
    <w:rsid w:val="00645752"/>
    <w:rsid w:val="00645DAD"/>
    <w:rsid w:val="00645E31"/>
    <w:rsid w:val="00645F74"/>
    <w:rsid w:val="00646571"/>
    <w:rsid w:val="00646717"/>
    <w:rsid w:val="00646B1C"/>
    <w:rsid w:val="00646E3D"/>
    <w:rsid w:val="00646EDE"/>
    <w:rsid w:val="00646FC6"/>
    <w:rsid w:val="00647372"/>
    <w:rsid w:val="00647527"/>
    <w:rsid w:val="00647DE0"/>
    <w:rsid w:val="006500B4"/>
    <w:rsid w:val="00650300"/>
    <w:rsid w:val="006513C8"/>
    <w:rsid w:val="00651E2E"/>
    <w:rsid w:val="006524D3"/>
    <w:rsid w:val="00652D11"/>
    <w:rsid w:val="00652EDF"/>
    <w:rsid w:val="006534F4"/>
    <w:rsid w:val="0065353C"/>
    <w:rsid w:val="0065356A"/>
    <w:rsid w:val="006536DC"/>
    <w:rsid w:val="00653C87"/>
    <w:rsid w:val="0065400B"/>
    <w:rsid w:val="006540C6"/>
    <w:rsid w:val="006541A6"/>
    <w:rsid w:val="0065482C"/>
    <w:rsid w:val="00654B94"/>
    <w:rsid w:val="00654CFA"/>
    <w:rsid w:val="00655196"/>
    <w:rsid w:val="00655430"/>
    <w:rsid w:val="0065550B"/>
    <w:rsid w:val="00655D6F"/>
    <w:rsid w:val="00656D3C"/>
    <w:rsid w:val="00656E3A"/>
    <w:rsid w:val="006572FB"/>
    <w:rsid w:val="00657924"/>
    <w:rsid w:val="00657CF2"/>
    <w:rsid w:val="006601C0"/>
    <w:rsid w:val="00660559"/>
    <w:rsid w:val="00660593"/>
    <w:rsid w:val="0066175A"/>
    <w:rsid w:val="00661A64"/>
    <w:rsid w:val="00661C15"/>
    <w:rsid w:val="00662444"/>
    <w:rsid w:val="00662828"/>
    <w:rsid w:val="00662906"/>
    <w:rsid w:val="00662F54"/>
    <w:rsid w:val="006639A5"/>
    <w:rsid w:val="00663FAE"/>
    <w:rsid w:val="0066464F"/>
    <w:rsid w:val="00665B52"/>
    <w:rsid w:val="00665C65"/>
    <w:rsid w:val="00665F44"/>
    <w:rsid w:val="00666022"/>
    <w:rsid w:val="00666A94"/>
    <w:rsid w:val="00666B39"/>
    <w:rsid w:val="006670EE"/>
    <w:rsid w:val="00667391"/>
    <w:rsid w:val="00667597"/>
    <w:rsid w:val="00667D42"/>
    <w:rsid w:val="00671014"/>
    <w:rsid w:val="00671114"/>
    <w:rsid w:val="00671375"/>
    <w:rsid w:val="00671C87"/>
    <w:rsid w:val="00671D7B"/>
    <w:rsid w:val="0067221C"/>
    <w:rsid w:val="00672BFD"/>
    <w:rsid w:val="00672C71"/>
    <w:rsid w:val="00672D03"/>
    <w:rsid w:val="00672FDB"/>
    <w:rsid w:val="00673191"/>
    <w:rsid w:val="00673314"/>
    <w:rsid w:val="0067355C"/>
    <w:rsid w:val="0067359C"/>
    <w:rsid w:val="00673703"/>
    <w:rsid w:val="006737B2"/>
    <w:rsid w:val="0067384C"/>
    <w:rsid w:val="00673A1E"/>
    <w:rsid w:val="006745F5"/>
    <w:rsid w:val="006747A6"/>
    <w:rsid w:val="00674CB6"/>
    <w:rsid w:val="0067573D"/>
    <w:rsid w:val="006757A9"/>
    <w:rsid w:val="00675814"/>
    <w:rsid w:val="00675A16"/>
    <w:rsid w:val="00675CA0"/>
    <w:rsid w:val="00675DA6"/>
    <w:rsid w:val="00676332"/>
    <w:rsid w:val="00676606"/>
    <w:rsid w:val="006766E3"/>
    <w:rsid w:val="0067685B"/>
    <w:rsid w:val="00676A07"/>
    <w:rsid w:val="00676ADA"/>
    <w:rsid w:val="00676F7E"/>
    <w:rsid w:val="00677389"/>
    <w:rsid w:val="0067760D"/>
    <w:rsid w:val="00677CCF"/>
    <w:rsid w:val="00680093"/>
    <w:rsid w:val="00680265"/>
    <w:rsid w:val="00680384"/>
    <w:rsid w:val="00680954"/>
    <w:rsid w:val="00680F5C"/>
    <w:rsid w:val="00680F6B"/>
    <w:rsid w:val="00680F9A"/>
    <w:rsid w:val="006815B7"/>
    <w:rsid w:val="00681FA1"/>
    <w:rsid w:val="00681FCB"/>
    <w:rsid w:val="0068262D"/>
    <w:rsid w:val="0068267C"/>
    <w:rsid w:val="006828F0"/>
    <w:rsid w:val="00682962"/>
    <w:rsid w:val="006829EC"/>
    <w:rsid w:val="00682A4D"/>
    <w:rsid w:val="0068335E"/>
    <w:rsid w:val="006834EE"/>
    <w:rsid w:val="00683C93"/>
    <w:rsid w:val="00683CFD"/>
    <w:rsid w:val="00683ED5"/>
    <w:rsid w:val="00684187"/>
    <w:rsid w:val="00684385"/>
    <w:rsid w:val="006852F0"/>
    <w:rsid w:val="006861EC"/>
    <w:rsid w:val="006863A7"/>
    <w:rsid w:val="0068664E"/>
    <w:rsid w:val="00686C61"/>
    <w:rsid w:val="0068712A"/>
    <w:rsid w:val="0068739E"/>
    <w:rsid w:val="00690093"/>
    <w:rsid w:val="0069050F"/>
    <w:rsid w:val="00690A76"/>
    <w:rsid w:val="0069204D"/>
    <w:rsid w:val="00692FBE"/>
    <w:rsid w:val="00693063"/>
    <w:rsid w:val="00693662"/>
    <w:rsid w:val="00694719"/>
    <w:rsid w:val="00694EFB"/>
    <w:rsid w:val="00695648"/>
    <w:rsid w:val="0069564C"/>
    <w:rsid w:val="00695693"/>
    <w:rsid w:val="006957D4"/>
    <w:rsid w:val="00695D9B"/>
    <w:rsid w:val="00696228"/>
    <w:rsid w:val="006962A4"/>
    <w:rsid w:val="00696C38"/>
    <w:rsid w:val="00696F0C"/>
    <w:rsid w:val="0069798F"/>
    <w:rsid w:val="00697D30"/>
    <w:rsid w:val="006A0249"/>
    <w:rsid w:val="006A02C0"/>
    <w:rsid w:val="006A0328"/>
    <w:rsid w:val="006A0E7E"/>
    <w:rsid w:val="006A1121"/>
    <w:rsid w:val="006A15C7"/>
    <w:rsid w:val="006A1AFE"/>
    <w:rsid w:val="006A24F4"/>
    <w:rsid w:val="006A2604"/>
    <w:rsid w:val="006A30F8"/>
    <w:rsid w:val="006A338D"/>
    <w:rsid w:val="006A3550"/>
    <w:rsid w:val="006A3860"/>
    <w:rsid w:val="006A4152"/>
    <w:rsid w:val="006A41D5"/>
    <w:rsid w:val="006A42AD"/>
    <w:rsid w:val="006A4CF2"/>
    <w:rsid w:val="006A4F37"/>
    <w:rsid w:val="006A58AD"/>
    <w:rsid w:val="006A5B57"/>
    <w:rsid w:val="006A5DFC"/>
    <w:rsid w:val="006A617E"/>
    <w:rsid w:val="006A6803"/>
    <w:rsid w:val="006A761E"/>
    <w:rsid w:val="006A76BE"/>
    <w:rsid w:val="006A778C"/>
    <w:rsid w:val="006A7AA3"/>
    <w:rsid w:val="006B04EB"/>
    <w:rsid w:val="006B060D"/>
    <w:rsid w:val="006B06A4"/>
    <w:rsid w:val="006B0CFC"/>
    <w:rsid w:val="006B1401"/>
    <w:rsid w:val="006B1B08"/>
    <w:rsid w:val="006B1E3E"/>
    <w:rsid w:val="006B287C"/>
    <w:rsid w:val="006B347C"/>
    <w:rsid w:val="006B358C"/>
    <w:rsid w:val="006B3DD9"/>
    <w:rsid w:val="006B40A0"/>
    <w:rsid w:val="006B40B5"/>
    <w:rsid w:val="006B4D5C"/>
    <w:rsid w:val="006B5871"/>
    <w:rsid w:val="006B5B8C"/>
    <w:rsid w:val="006B5E4D"/>
    <w:rsid w:val="006B5F75"/>
    <w:rsid w:val="006B63D0"/>
    <w:rsid w:val="006B6525"/>
    <w:rsid w:val="006B6ADA"/>
    <w:rsid w:val="006B6DC8"/>
    <w:rsid w:val="006B72CA"/>
    <w:rsid w:val="006B74C0"/>
    <w:rsid w:val="006B76A2"/>
    <w:rsid w:val="006B798C"/>
    <w:rsid w:val="006C0BB1"/>
    <w:rsid w:val="006C1298"/>
    <w:rsid w:val="006C1AA2"/>
    <w:rsid w:val="006C1C55"/>
    <w:rsid w:val="006C2514"/>
    <w:rsid w:val="006C3578"/>
    <w:rsid w:val="006C397A"/>
    <w:rsid w:val="006C399C"/>
    <w:rsid w:val="006C3CC9"/>
    <w:rsid w:val="006C3F0F"/>
    <w:rsid w:val="006C4127"/>
    <w:rsid w:val="006C435E"/>
    <w:rsid w:val="006C43EA"/>
    <w:rsid w:val="006C4585"/>
    <w:rsid w:val="006C4A1D"/>
    <w:rsid w:val="006C629A"/>
    <w:rsid w:val="006C659A"/>
    <w:rsid w:val="006C65F2"/>
    <w:rsid w:val="006C67E7"/>
    <w:rsid w:val="006C6800"/>
    <w:rsid w:val="006C6D7A"/>
    <w:rsid w:val="006C7724"/>
    <w:rsid w:val="006C77BA"/>
    <w:rsid w:val="006C78D1"/>
    <w:rsid w:val="006C7940"/>
    <w:rsid w:val="006D0034"/>
    <w:rsid w:val="006D0705"/>
    <w:rsid w:val="006D0D99"/>
    <w:rsid w:val="006D1601"/>
    <w:rsid w:val="006D1606"/>
    <w:rsid w:val="006D16F2"/>
    <w:rsid w:val="006D1A56"/>
    <w:rsid w:val="006D1C6A"/>
    <w:rsid w:val="006D1DC2"/>
    <w:rsid w:val="006D26BD"/>
    <w:rsid w:val="006D2C9C"/>
    <w:rsid w:val="006D2E47"/>
    <w:rsid w:val="006D30DB"/>
    <w:rsid w:val="006D332B"/>
    <w:rsid w:val="006D3952"/>
    <w:rsid w:val="006D3EBF"/>
    <w:rsid w:val="006D410B"/>
    <w:rsid w:val="006D4234"/>
    <w:rsid w:val="006D4A47"/>
    <w:rsid w:val="006D4B7B"/>
    <w:rsid w:val="006D4E4F"/>
    <w:rsid w:val="006D575D"/>
    <w:rsid w:val="006D5B47"/>
    <w:rsid w:val="006D5BCB"/>
    <w:rsid w:val="006D6294"/>
    <w:rsid w:val="006D6A54"/>
    <w:rsid w:val="006D6B5B"/>
    <w:rsid w:val="006D72F8"/>
    <w:rsid w:val="006D7A83"/>
    <w:rsid w:val="006D7AFA"/>
    <w:rsid w:val="006D7C98"/>
    <w:rsid w:val="006D7F2D"/>
    <w:rsid w:val="006E060B"/>
    <w:rsid w:val="006E1858"/>
    <w:rsid w:val="006E1C67"/>
    <w:rsid w:val="006E1F50"/>
    <w:rsid w:val="006E236B"/>
    <w:rsid w:val="006E24E8"/>
    <w:rsid w:val="006E28D2"/>
    <w:rsid w:val="006E30E4"/>
    <w:rsid w:val="006E345F"/>
    <w:rsid w:val="006E37D4"/>
    <w:rsid w:val="006E3CDD"/>
    <w:rsid w:val="006E3DEF"/>
    <w:rsid w:val="006E447F"/>
    <w:rsid w:val="006E4845"/>
    <w:rsid w:val="006E4A0A"/>
    <w:rsid w:val="006E4DFC"/>
    <w:rsid w:val="006E4EA0"/>
    <w:rsid w:val="006E587A"/>
    <w:rsid w:val="006E598E"/>
    <w:rsid w:val="006E6BE9"/>
    <w:rsid w:val="006F0065"/>
    <w:rsid w:val="006F0C5F"/>
    <w:rsid w:val="006F140A"/>
    <w:rsid w:val="006F19A0"/>
    <w:rsid w:val="006F1B9A"/>
    <w:rsid w:val="006F2527"/>
    <w:rsid w:val="006F26A9"/>
    <w:rsid w:val="006F2913"/>
    <w:rsid w:val="006F2DD2"/>
    <w:rsid w:val="006F2F10"/>
    <w:rsid w:val="006F387D"/>
    <w:rsid w:val="006F3983"/>
    <w:rsid w:val="006F4066"/>
    <w:rsid w:val="006F4223"/>
    <w:rsid w:val="006F4E9C"/>
    <w:rsid w:val="006F556B"/>
    <w:rsid w:val="006F5638"/>
    <w:rsid w:val="006F585D"/>
    <w:rsid w:val="006F58F8"/>
    <w:rsid w:val="006F5915"/>
    <w:rsid w:val="006F599B"/>
    <w:rsid w:val="006F614B"/>
    <w:rsid w:val="006F66C7"/>
    <w:rsid w:val="006F6A52"/>
    <w:rsid w:val="006F6F59"/>
    <w:rsid w:val="006F7741"/>
    <w:rsid w:val="007000C1"/>
    <w:rsid w:val="00700B1C"/>
    <w:rsid w:val="00701159"/>
    <w:rsid w:val="00701C8C"/>
    <w:rsid w:val="007023DB"/>
    <w:rsid w:val="007026BC"/>
    <w:rsid w:val="00702A6A"/>
    <w:rsid w:val="00703A9E"/>
    <w:rsid w:val="00703B40"/>
    <w:rsid w:val="00703E30"/>
    <w:rsid w:val="0070430E"/>
    <w:rsid w:val="007045AE"/>
    <w:rsid w:val="00704623"/>
    <w:rsid w:val="00704B0E"/>
    <w:rsid w:val="0070535A"/>
    <w:rsid w:val="00705CB9"/>
    <w:rsid w:val="00706291"/>
    <w:rsid w:val="00707044"/>
    <w:rsid w:val="0070740B"/>
    <w:rsid w:val="00707468"/>
    <w:rsid w:val="00707562"/>
    <w:rsid w:val="00710082"/>
    <w:rsid w:val="00710F7D"/>
    <w:rsid w:val="00711168"/>
    <w:rsid w:val="007115CF"/>
    <w:rsid w:val="00711645"/>
    <w:rsid w:val="007117EC"/>
    <w:rsid w:val="007119C6"/>
    <w:rsid w:val="00711BE4"/>
    <w:rsid w:val="0071224C"/>
    <w:rsid w:val="00712452"/>
    <w:rsid w:val="00712726"/>
    <w:rsid w:val="0071279D"/>
    <w:rsid w:val="00712E22"/>
    <w:rsid w:val="00713A7B"/>
    <w:rsid w:val="00713C5A"/>
    <w:rsid w:val="007141CA"/>
    <w:rsid w:val="00714CE7"/>
    <w:rsid w:val="00714EF0"/>
    <w:rsid w:val="00715082"/>
    <w:rsid w:val="0071577D"/>
    <w:rsid w:val="0071597F"/>
    <w:rsid w:val="00716068"/>
    <w:rsid w:val="00716411"/>
    <w:rsid w:val="00716C8C"/>
    <w:rsid w:val="00716D00"/>
    <w:rsid w:val="00716F34"/>
    <w:rsid w:val="0071707B"/>
    <w:rsid w:val="00717229"/>
    <w:rsid w:val="007178D2"/>
    <w:rsid w:val="00717D12"/>
    <w:rsid w:val="00720124"/>
    <w:rsid w:val="007202A1"/>
    <w:rsid w:val="007206B9"/>
    <w:rsid w:val="00720B83"/>
    <w:rsid w:val="00720F7B"/>
    <w:rsid w:val="00721272"/>
    <w:rsid w:val="00721325"/>
    <w:rsid w:val="007214CE"/>
    <w:rsid w:val="00721521"/>
    <w:rsid w:val="00721C48"/>
    <w:rsid w:val="0072237E"/>
    <w:rsid w:val="00722630"/>
    <w:rsid w:val="007234B7"/>
    <w:rsid w:val="00723522"/>
    <w:rsid w:val="00723B26"/>
    <w:rsid w:val="00724388"/>
    <w:rsid w:val="00724552"/>
    <w:rsid w:val="007245ED"/>
    <w:rsid w:val="00724CCE"/>
    <w:rsid w:val="00725104"/>
    <w:rsid w:val="0072528F"/>
    <w:rsid w:val="007253E4"/>
    <w:rsid w:val="0072554A"/>
    <w:rsid w:val="0072582C"/>
    <w:rsid w:val="00725C81"/>
    <w:rsid w:val="0072634A"/>
    <w:rsid w:val="00727702"/>
    <w:rsid w:val="00730181"/>
    <w:rsid w:val="00730271"/>
    <w:rsid w:val="00730789"/>
    <w:rsid w:val="00731C22"/>
    <w:rsid w:val="007325C8"/>
    <w:rsid w:val="007333F7"/>
    <w:rsid w:val="00733B3B"/>
    <w:rsid w:val="00733EF1"/>
    <w:rsid w:val="007341D9"/>
    <w:rsid w:val="007350C4"/>
    <w:rsid w:val="00735592"/>
    <w:rsid w:val="007357A5"/>
    <w:rsid w:val="00735E8E"/>
    <w:rsid w:val="00735F7D"/>
    <w:rsid w:val="007365F3"/>
    <w:rsid w:val="00736C5B"/>
    <w:rsid w:val="00736F3A"/>
    <w:rsid w:val="00737629"/>
    <w:rsid w:val="007376FB"/>
    <w:rsid w:val="00737AD8"/>
    <w:rsid w:val="00737BCE"/>
    <w:rsid w:val="00737C6C"/>
    <w:rsid w:val="00737CB8"/>
    <w:rsid w:val="00740FA5"/>
    <w:rsid w:val="0074106C"/>
    <w:rsid w:val="0074124E"/>
    <w:rsid w:val="007413DE"/>
    <w:rsid w:val="00741544"/>
    <w:rsid w:val="007416B0"/>
    <w:rsid w:val="007417EB"/>
    <w:rsid w:val="00741C35"/>
    <w:rsid w:val="00742A04"/>
    <w:rsid w:val="00742EE7"/>
    <w:rsid w:val="00743402"/>
    <w:rsid w:val="007438C2"/>
    <w:rsid w:val="00743B2A"/>
    <w:rsid w:val="00743BB2"/>
    <w:rsid w:val="00743C00"/>
    <w:rsid w:val="00743C86"/>
    <w:rsid w:val="00743D70"/>
    <w:rsid w:val="0074494C"/>
    <w:rsid w:val="00744AB7"/>
    <w:rsid w:val="00744EB1"/>
    <w:rsid w:val="007452A9"/>
    <w:rsid w:val="00745E1C"/>
    <w:rsid w:val="0074618F"/>
    <w:rsid w:val="0074658E"/>
    <w:rsid w:val="00747468"/>
    <w:rsid w:val="007474EA"/>
    <w:rsid w:val="0074760C"/>
    <w:rsid w:val="0074793D"/>
    <w:rsid w:val="007479F8"/>
    <w:rsid w:val="00747BBC"/>
    <w:rsid w:val="00747D46"/>
    <w:rsid w:val="007500F5"/>
    <w:rsid w:val="007504B0"/>
    <w:rsid w:val="007506B7"/>
    <w:rsid w:val="007506BB"/>
    <w:rsid w:val="00750780"/>
    <w:rsid w:val="007508FA"/>
    <w:rsid w:val="00750984"/>
    <w:rsid w:val="007519C9"/>
    <w:rsid w:val="00751C3E"/>
    <w:rsid w:val="00751D5E"/>
    <w:rsid w:val="00751DB9"/>
    <w:rsid w:val="00751E5B"/>
    <w:rsid w:val="00752855"/>
    <w:rsid w:val="007531E0"/>
    <w:rsid w:val="00753397"/>
    <w:rsid w:val="00753859"/>
    <w:rsid w:val="00754165"/>
    <w:rsid w:val="00754468"/>
    <w:rsid w:val="0075515D"/>
    <w:rsid w:val="00755261"/>
    <w:rsid w:val="007552C4"/>
    <w:rsid w:val="0075587C"/>
    <w:rsid w:val="00755B0D"/>
    <w:rsid w:val="00755B67"/>
    <w:rsid w:val="00755C73"/>
    <w:rsid w:val="00755E82"/>
    <w:rsid w:val="0075610A"/>
    <w:rsid w:val="00756397"/>
    <w:rsid w:val="00756DAB"/>
    <w:rsid w:val="007571DB"/>
    <w:rsid w:val="00757400"/>
    <w:rsid w:val="00757817"/>
    <w:rsid w:val="00757F8B"/>
    <w:rsid w:val="007601E5"/>
    <w:rsid w:val="0076079F"/>
    <w:rsid w:val="0076082C"/>
    <w:rsid w:val="00761084"/>
    <w:rsid w:val="007613F0"/>
    <w:rsid w:val="00761485"/>
    <w:rsid w:val="00761519"/>
    <w:rsid w:val="00761BDD"/>
    <w:rsid w:val="00761BE3"/>
    <w:rsid w:val="00762376"/>
    <w:rsid w:val="0076288F"/>
    <w:rsid w:val="00762A10"/>
    <w:rsid w:val="00762A99"/>
    <w:rsid w:val="00762B16"/>
    <w:rsid w:val="00763240"/>
    <w:rsid w:val="00763518"/>
    <w:rsid w:val="0076374E"/>
    <w:rsid w:val="00763A03"/>
    <w:rsid w:val="00763F93"/>
    <w:rsid w:val="00764169"/>
    <w:rsid w:val="00764391"/>
    <w:rsid w:val="0076463D"/>
    <w:rsid w:val="00764701"/>
    <w:rsid w:val="00764C8F"/>
    <w:rsid w:val="00765B42"/>
    <w:rsid w:val="00765E73"/>
    <w:rsid w:val="0076650E"/>
    <w:rsid w:val="00766921"/>
    <w:rsid w:val="00767319"/>
    <w:rsid w:val="00767367"/>
    <w:rsid w:val="00767573"/>
    <w:rsid w:val="007679D5"/>
    <w:rsid w:val="00770089"/>
    <w:rsid w:val="0077088A"/>
    <w:rsid w:val="007709D4"/>
    <w:rsid w:val="00770C3A"/>
    <w:rsid w:val="00771055"/>
    <w:rsid w:val="00771B46"/>
    <w:rsid w:val="00771FEB"/>
    <w:rsid w:val="0077230B"/>
    <w:rsid w:val="007724B4"/>
    <w:rsid w:val="007724B7"/>
    <w:rsid w:val="0077288F"/>
    <w:rsid w:val="00772920"/>
    <w:rsid w:val="00772C8D"/>
    <w:rsid w:val="00772DC2"/>
    <w:rsid w:val="00772E53"/>
    <w:rsid w:val="00772ED8"/>
    <w:rsid w:val="00773239"/>
    <w:rsid w:val="00774103"/>
    <w:rsid w:val="007742D7"/>
    <w:rsid w:val="00774304"/>
    <w:rsid w:val="00774A11"/>
    <w:rsid w:val="00774FEB"/>
    <w:rsid w:val="00775119"/>
    <w:rsid w:val="0077525E"/>
    <w:rsid w:val="007755E3"/>
    <w:rsid w:val="0077578A"/>
    <w:rsid w:val="00775C5E"/>
    <w:rsid w:val="00775CC0"/>
    <w:rsid w:val="00775DFB"/>
    <w:rsid w:val="00776109"/>
    <w:rsid w:val="00776827"/>
    <w:rsid w:val="00776AD7"/>
    <w:rsid w:val="0077723A"/>
    <w:rsid w:val="007802BA"/>
    <w:rsid w:val="00780510"/>
    <w:rsid w:val="00780CC3"/>
    <w:rsid w:val="00780F99"/>
    <w:rsid w:val="0078102F"/>
    <w:rsid w:val="00781242"/>
    <w:rsid w:val="007813E1"/>
    <w:rsid w:val="00781AA6"/>
    <w:rsid w:val="00782443"/>
    <w:rsid w:val="007826F1"/>
    <w:rsid w:val="007826F8"/>
    <w:rsid w:val="00782B57"/>
    <w:rsid w:val="00782D20"/>
    <w:rsid w:val="00782DA7"/>
    <w:rsid w:val="00782FB4"/>
    <w:rsid w:val="00783264"/>
    <w:rsid w:val="0078372A"/>
    <w:rsid w:val="00783DEC"/>
    <w:rsid w:val="00783F11"/>
    <w:rsid w:val="00784562"/>
    <w:rsid w:val="007847B5"/>
    <w:rsid w:val="00784A5E"/>
    <w:rsid w:val="00784D8F"/>
    <w:rsid w:val="0078579F"/>
    <w:rsid w:val="00785EC3"/>
    <w:rsid w:val="007864A1"/>
    <w:rsid w:val="00786507"/>
    <w:rsid w:val="007872E7"/>
    <w:rsid w:val="00787492"/>
    <w:rsid w:val="007878A7"/>
    <w:rsid w:val="00787D79"/>
    <w:rsid w:val="00790E92"/>
    <w:rsid w:val="0079136E"/>
    <w:rsid w:val="00791A0C"/>
    <w:rsid w:val="00791AAC"/>
    <w:rsid w:val="00792036"/>
    <w:rsid w:val="007926E6"/>
    <w:rsid w:val="00792C8B"/>
    <w:rsid w:val="007930B0"/>
    <w:rsid w:val="00793239"/>
    <w:rsid w:val="00793335"/>
    <w:rsid w:val="007936A2"/>
    <w:rsid w:val="00793F9A"/>
    <w:rsid w:val="007940A6"/>
    <w:rsid w:val="0079436E"/>
    <w:rsid w:val="00794440"/>
    <w:rsid w:val="007947AC"/>
    <w:rsid w:val="007948F1"/>
    <w:rsid w:val="00794A1C"/>
    <w:rsid w:val="00795561"/>
    <w:rsid w:val="00795A5B"/>
    <w:rsid w:val="00796484"/>
    <w:rsid w:val="007967A6"/>
    <w:rsid w:val="00796974"/>
    <w:rsid w:val="0079698B"/>
    <w:rsid w:val="00796993"/>
    <w:rsid w:val="00796A81"/>
    <w:rsid w:val="00796BE1"/>
    <w:rsid w:val="00796CF7"/>
    <w:rsid w:val="007973E9"/>
    <w:rsid w:val="00797B48"/>
    <w:rsid w:val="00797B6C"/>
    <w:rsid w:val="007A032B"/>
    <w:rsid w:val="007A0400"/>
    <w:rsid w:val="007A041B"/>
    <w:rsid w:val="007A10A6"/>
    <w:rsid w:val="007A128F"/>
    <w:rsid w:val="007A1872"/>
    <w:rsid w:val="007A1A4D"/>
    <w:rsid w:val="007A1F8C"/>
    <w:rsid w:val="007A2149"/>
    <w:rsid w:val="007A2207"/>
    <w:rsid w:val="007A26E8"/>
    <w:rsid w:val="007A2C0B"/>
    <w:rsid w:val="007A2C28"/>
    <w:rsid w:val="007A2C9D"/>
    <w:rsid w:val="007A2DBA"/>
    <w:rsid w:val="007A307F"/>
    <w:rsid w:val="007A35F6"/>
    <w:rsid w:val="007A3808"/>
    <w:rsid w:val="007A3E20"/>
    <w:rsid w:val="007A4480"/>
    <w:rsid w:val="007A4882"/>
    <w:rsid w:val="007A49A5"/>
    <w:rsid w:val="007A5C54"/>
    <w:rsid w:val="007A5F2A"/>
    <w:rsid w:val="007A5F89"/>
    <w:rsid w:val="007A705A"/>
    <w:rsid w:val="007A7401"/>
    <w:rsid w:val="007A764A"/>
    <w:rsid w:val="007A7B2D"/>
    <w:rsid w:val="007A7D42"/>
    <w:rsid w:val="007B0912"/>
    <w:rsid w:val="007B0BA5"/>
    <w:rsid w:val="007B1290"/>
    <w:rsid w:val="007B1A8D"/>
    <w:rsid w:val="007B1E5C"/>
    <w:rsid w:val="007B20CF"/>
    <w:rsid w:val="007B237B"/>
    <w:rsid w:val="007B2473"/>
    <w:rsid w:val="007B2AB0"/>
    <w:rsid w:val="007B2ABA"/>
    <w:rsid w:val="007B30DE"/>
    <w:rsid w:val="007B33D3"/>
    <w:rsid w:val="007B37A6"/>
    <w:rsid w:val="007B3F61"/>
    <w:rsid w:val="007B4BDC"/>
    <w:rsid w:val="007B560F"/>
    <w:rsid w:val="007B5637"/>
    <w:rsid w:val="007B63FA"/>
    <w:rsid w:val="007B656A"/>
    <w:rsid w:val="007B7521"/>
    <w:rsid w:val="007B756D"/>
    <w:rsid w:val="007B7717"/>
    <w:rsid w:val="007B7B54"/>
    <w:rsid w:val="007C07C4"/>
    <w:rsid w:val="007C0BF7"/>
    <w:rsid w:val="007C1224"/>
    <w:rsid w:val="007C21BA"/>
    <w:rsid w:val="007C2863"/>
    <w:rsid w:val="007C2D87"/>
    <w:rsid w:val="007C2EE9"/>
    <w:rsid w:val="007C2F10"/>
    <w:rsid w:val="007C3657"/>
    <w:rsid w:val="007C3C5F"/>
    <w:rsid w:val="007C4544"/>
    <w:rsid w:val="007C4725"/>
    <w:rsid w:val="007C4896"/>
    <w:rsid w:val="007C49C7"/>
    <w:rsid w:val="007C4A64"/>
    <w:rsid w:val="007C50F4"/>
    <w:rsid w:val="007C5525"/>
    <w:rsid w:val="007C57D9"/>
    <w:rsid w:val="007C57F7"/>
    <w:rsid w:val="007C5CFE"/>
    <w:rsid w:val="007C5F2C"/>
    <w:rsid w:val="007C5FDA"/>
    <w:rsid w:val="007C6068"/>
    <w:rsid w:val="007C7874"/>
    <w:rsid w:val="007D014C"/>
    <w:rsid w:val="007D02E5"/>
    <w:rsid w:val="007D0877"/>
    <w:rsid w:val="007D0937"/>
    <w:rsid w:val="007D0B18"/>
    <w:rsid w:val="007D0B3B"/>
    <w:rsid w:val="007D13A6"/>
    <w:rsid w:val="007D1C23"/>
    <w:rsid w:val="007D1F1B"/>
    <w:rsid w:val="007D233F"/>
    <w:rsid w:val="007D2572"/>
    <w:rsid w:val="007D2685"/>
    <w:rsid w:val="007D299A"/>
    <w:rsid w:val="007D3114"/>
    <w:rsid w:val="007D31F8"/>
    <w:rsid w:val="007D32A8"/>
    <w:rsid w:val="007D3706"/>
    <w:rsid w:val="007D3789"/>
    <w:rsid w:val="007D38BB"/>
    <w:rsid w:val="007D3A59"/>
    <w:rsid w:val="007D45F6"/>
    <w:rsid w:val="007D4978"/>
    <w:rsid w:val="007D5266"/>
    <w:rsid w:val="007D5CF9"/>
    <w:rsid w:val="007D5EBC"/>
    <w:rsid w:val="007D642B"/>
    <w:rsid w:val="007D6CE9"/>
    <w:rsid w:val="007D6FC6"/>
    <w:rsid w:val="007D742D"/>
    <w:rsid w:val="007D7B96"/>
    <w:rsid w:val="007E010C"/>
    <w:rsid w:val="007E02CC"/>
    <w:rsid w:val="007E04C8"/>
    <w:rsid w:val="007E05C4"/>
    <w:rsid w:val="007E0740"/>
    <w:rsid w:val="007E0A64"/>
    <w:rsid w:val="007E0DB4"/>
    <w:rsid w:val="007E121C"/>
    <w:rsid w:val="007E1237"/>
    <w:rsid w:val="007E1608"/>
    <w:rsid w:val="007E1840"/>
    <w:rsid w:val="007E1C3A"/>
    <w:rsid w:val="007E1DCB"/>
    <w:rsid w:val="007E29F3"/>
    <w:rsid w:val="007E36AF"/>
    <w:rsid w:val="007E44D1"/>
    <w:rsid w:val="007E46F4"/>
    <w:rsid w:val="007E4888"/>
    <w:rsid w:val="007E4E75"/>
    <w:rsid w:val="007E4FA3"/>
    <w:rsid w:val="007E5183"/>
    <w:rsid w:val="007E5700"/>
    <w:rsid w:val="007E59AE"/>
    <w:rsid w:val="007E6509"/>
    <w:rsid w:val="007E65F9"/>
    <w:rsid w:val="007E673C"/>
    <w:rsid w:val="007E6C57"/>
    <w:rsid w:val="007E71CE"/>
    <w:rsid w:val="007E7D68"/>
    <w:rsid w:val="007E7F27"/>
    <w:rsid w:val="007F02CD"/>
    <w:rsid w:val="007F0918"/>
    <w:rsid w:val="007F0C33"/>
    <w:rsid w:val="007F131D"/>
    <w:rsid w:val="007F132B"/>
    <w:rsid w:val="007F14FB"/>
    <w:rsid w:val="007F154F"/>
    <w:rsid w:val="007F16EB"/>
    <w:rsid w:val="007F1971"/>
    <w:rsid w:val="007F1B80"/>
    <w:rsid w:val="007F210D"/>
    <w:rsid w:val="007F21AD"/>
    <w:rsid w:val="007F223D"/>
    <w:rsid w:val="007F2470"/>
    <w:rsid w:val="007F34E5"/>
    <w:rsid w:val="007F3642"/>
    <w:rsid w:val="007F4476"/>
    <w:rsid w:val="007F44AC"/>
    <w:rsid w:val="007F4F94"/>
    <w:rsid w:val="007F5022"/>
    <w:rsid w:val="007F50B1"/>
    <w:rsid w:val="007F5F52"/>
    <w:rsid w:val="007F605D"/>
    <w:rsid w:val="007F6402"/>
    <w:rsid w:val="007F65C2"/>
    <w:rsid w:val="007F66AC"/>
    <w:rsid w:val="007F66FB"/>
    <w:rsid w:val="007F6B17"/>
    <w:rsid w:val="007F792C"/>
    <w:rsid w:val="007F797A"/>
    <w:rsid w:val="007F7C34"/>
    <w:rsid w:val="00800022"/>
    <w:rsid w:val="00800E85"/>
    <w:rsid w:val="0080159D"/>
    <w:rsid w:val="00801E66"/>
    <w:rsid w:val="00801EC2"/>
    <w:rsid w:val="0080265D"/>
    <w:rsid w:val="00802943"/>
    <w:rsid w:val="0080342F"/>
    <w:rsid w:val="00804167"/>
    <w:rsid w:val="008041DC"/>
    <w:rsid w:val="008043E6"/>
    <w:rsid w:val="00804ABD"/>
    <w:rsid w:val="0080548D"/>
    <w:rsid w:val="008062FE"/>
    <w:rsid w:val="008064E9"/>
    <w:rsid w:val="008065BF"/>
    <w:rsid w:val="008072C9"/>
    <w:rsid w:val="00807834"/>
    <w:rsid w:val="00807B02"/>
    <w:rsid w:val="00807BEA"/>
    <w:rsid w:val="00807C2C"/>
    <w:rsid w:val="00807CE1"/>
    <w:rsid w:val="00807E8D"/>
    <w:rsid w:val="00807FAF"/>
    <w:rsid w:val="0081002F"/>
    <w:rsid w:val="008101DA"/>
    <w:rsid w:val="00810962"/>
    <w:rsid w:val="00810A0E"/>
    <w:rsid w:val="008112E4"/>
    <w:rsid w:val="00811450"/>
    <w:rsid w:val="008114B0"/>
    <w:rsid w:val="008119F9"/>
    <w:rsid w:val="00811E30"/>
    <w:rsid w:val="0081287F"/>
    <w:rsid w:val="00812D6C"/>
    <w:rsid w:val="008130D8"/>
    <w:rsid w:val="008132CD"/>
    <w:rsid w:val="00813434"/>
    <w:rsid w:val="0081389B"/>
    <w:rsid w:val="008138AE"/>
    <w:rsid w:val="00813979"/>
    <w:rsid w:val="00813AFB"/>
    <w:rsid w:val="0081436B"/>
    <w:rsid w:val="008149EC"/>
    <w:rsid w:val="00814C54"/>
    <w:rsid w:val="00814F2D"/>
    <w:rsid w:val="00815200"/>
    <w:rsid w:val="0081522E"/>
    <w:rsid w:val="0081588A"/>
    <w:rsid w:val="00815F99"/>
    <w:rsid w:val="008165C1"/>
    <w:rsid w:val="008167A5"/>
    <w:rsid w:val="008167B3"/>
    <w:rsid w:val="00816939"/>
    <w:rsid w:val="00816A0A"/>
    <w:rsid w:val="00816C02"/>
    <w:rsid w:val="00816CC4"/>
    <w:rsid w:val="00816E14"/>
    <w:rsid w:val="00817274"/>
    <w:rsid w:val="0081752E"/>
    <w:rsid w:val="00817828"/>
    <w:rsid w:val="00817ACF"/>
    <w:rsid w:val="00817CE9"/>
    <w:rsid w:val="00820088"/>
    <w:rsid w:val="00820583"/>
    <w:rsid w:val="00820EF1"/>
    <w:rsid w:val="00821743"/>
    <w:rsid w:val="0082189B"/>
    <w:rsid w:val="008229AB"/>
    <w:rsid w:val="00822B1D"/>
    <w:rsid w:val="00822D48"/>
    <w:rsid w:val="00823543"/>
    <w:rsid w:val="00823565"/>
    <w:rsid w:val="00823733"/>
    <w:rsid w:val="00823C23"/>
    <w:rsid w:val="00823E82"/>
    <w:rsid w:val="00824468"/>
    <w:rsid w:val="00824858"/>
    <w:rsid w:val="0082485E"/>
    <w:rsid w:val="00824C21"/>
    <w:rsid w:val="00824E69"/>
    <w:rsid w:val="00825791"/>
    <w:rsid w:val="00825903"/>
    <w:rsid w:val="00826161"/>
    <w:rsid w:val="00826834"/>
    <w:rsid w:val="008269F7"/>
    <w:rsid w:val="00827743"/>
    <w:rsid w:val="00827966"/>
    <w:rsid w:val="0083105E"/>
    <w:rsid w:val="008311BA"/>
    <w:rsid w:val="008314B7"/>
    <w:rsid w:val="00831CAD"/>
    <w:rsid w:val="00832304"/>
    <w:rsid w:val="00832702"/>
    <w:rsid w:val="00832E96"/>
    <w:rsid w:val="0083381F"/>
    <w:rsid w:val="00833A7A"/>
    <w:rsid w:val="00833C86"/>
    <w:rsid w:val="00833D8D"/>
    <w:rsid w:val="008340B0"/>
    <w:rsid w:val="00834182"/>
    <w:rsid w:val="008345D6"/>
    <w:rsid w:val="008346A9"/>
    <w:rsid w:val="008346D3"/>
    <w:rsid w:val="008349E1"/>
    <w:rsid w:val="00834B05"/>
    <w:rsid w:val="00834C10"/>
    <w:rsid w:val="00835929"/>
    <w:rsid w:val="00835FE8"/>
    <w:rsid w:val="008361D0"/>
    <w:rsid w:val="00837AFA"/>
    <w:rsid w:val="00837D1A"/>
    <w:rsid w:val="00837FAF"/>
    <w:rsid w:val="008401C9"/>
    <w:rsid w:val="008403FF"/>
    <w:rsid w:val="00840BD6"/>
    <w:rsid w:val="0084188C"/>
    <w:rsid w:val="00842759"/>
    <w:rsid w:val="00842B55"/>
    <w:rsid w:val="00842E0F"/>
    <w:rsid w:val="008432E9"/>
    <w:rsid w:val="0084331D"/>
    <w:rsid w:val="00843502"/>
    <w:rsid w:val="00843B45"/>
    <w:rsid w:val="00843EAA"/>
    <w:rsid w:val="008442AB"/>
    <w:rsid w:val="008444FF"/>
    <w:rsid w:val="008453D9"/>
    <w:rsid w:val="008458D2"/>
    <w:rsid w:val="00846439"/>
    <w:rsid w:val="00846B05"/>
    <w:rsid w:val="00846BBA"/>
    <w:rsid w:val="00846BCB"/>
    <w:rsid w:val="008475C6"/>
    <w:rsid w:val="00847646"/>
    <w:rsid w:val="00847C61"/>
    <w:rsid w:val="00847C7C"/>
    <w:rsid w:val="00847E41"/>
    <w:rsid w:val="00847E8D"/>
    <w:rsid w:val="00850001"/>
    <w:rsid w:val="00850341"/>
    <w:rsid w:val="00850375"/>
    <w:rsid w:val="0085051E"/>
    <w:rsid w:val="00851045"/>
    <w:rsid w:val="00851059"/>
    <w:rsid w:val="0085115A"/>
    <w:rsid w:val="00851B46"/>
    <w:rsid w:val="00851D85"/>
    <w:rsid w:val="0085223D"/>
    <w:rsid w:val="008522F9"/>
    <w:rsid w:val="00852849"/>
    <w:rsid w:val="00852B66"/>
    <w:rsid w:val="00852F47"/>
    <w:rsid w:val="00854821"/>
    <w:rsid w:val="00854B8C"/>
    <w:rsid w:val="00854ED1"/>
    <w:rsid w:val="008550F2"/>
    <w:rsid w:val="00855401"/>
    <w:rsid w:val="00855700"/>
    <w:rsid w:val="0085587C"/>
    <w:rsid w:val="00855A44"/>
    <w:rsid w:val="008560B4"/>
    <w:rsid w:val="00856C93"/>
    <w:rsid w:val="008572A6"/>
    <w:rsid w:val="0085734D"/>
    <w:rsid w:val="008575D0"/>
    <w:rsid w:val="0085762B"/>
    <w:rsid w:val="00860321"/>
    <w:rsid w:val="00860F8A"/>
    <w:rsid w:val="008611A5"/>
    <w:rsid w:val="00861540"/>
    <w:rsid w:val="008619D8"/>
    <w:rsid w:val="00861C85"/>
    <w:rsid w:val="00862774"/>
    <w:rsid w:val="0086283B"/>
    <w:rsid w:val="00863006"/>
    <w:rsid w:val="00863256"/>
    <w:rsid w:val="00863856"/>
    <w:rsid w:val="00863C2F"/>
    <w:rsid w:val="00863DC6"/>
    <w:rsid w:val="00864749"/>
    <w:rsid w:val="008648E8"/>
    <w:rsid w:val="00864B43"/>
    <w:rsid w:val="00864E6D"/>
    <w:rsid w:val="00865868"/>
    <w:rsid w:val="00865D9D"/>
    <w:rsid w:val="00865F28"/>
    <w:rsid w:val="00865F2D"/>
    <w:rsid w:val="008660A0"/>
    <w:rsid w:val="00866914"/>
    <w:rsid w:val="00866B46"/>
    <w:rsid w:val="00866EC9"/>
    <w:rsid w:val="00867767"/>
    <w:rsid w:val="00867867"/>
    <w:rsid w:val="00867985"/>
    <w:rsid w:val="00870846"/>
    <w:rsid w:val="00870BB0"/>
    <w:rsid w:val="00870D40"/>
    <w:rsid w:val="00871451"/>
    <w:rsid w:val="008719E1"/>
    <w:rsid w:val="00871E3A"/>
    <w:rsid w:val="00872253"/>
    <w:rsid w:val="00872A20"/>
    <w:rsid w:val="00872B27"/>
    <w:rsid w:val="00872ECC"/>
    <w:rsid w:val="00873025"/>
    <w:rsid w:val="008732A9"/>
    <w:rsid w:val="0087370A"/>
    <w:rsid w:val="00873818"/>
    <w:rsid w:val="008740EC"/>
    <w:rsid w:val="0087478C"/>
    <w:rsid w:val="00874BA8"/>
    <w:rsid w:val="00874D91"/>
    <w:rsid w:val="00875444"/>
    <w:rsid w:val="0087572B"/>
    <w:rsid w:val="00875A17"/>
    <w:rsid w:val="00875DAB"/>
    <w:rsid w:val="008761CD"/>
    <w:rsid w:val="008765B5"/>
    <w:rsid w:val="008766C2"/>
    <w:rsid w:val="00876785"/>
    <w:rsid w:val="008767B0"/>
    <w:rsid w:val="008768DF"/>
    <w:rsid w:val="00876C99"/>
    <w:rsid w:val="008772AC"/>
    <w:rsid w:val="00877AF1"/>
    <w:rsid w:val="00877FDF"/>
    <w:rsid w:val="00880470"/>
    <w:rsid w:val="008808BB"/>
    <w:rsid w:val="00880D79"/>
    <w:rsid w:val="00880DA5"/>
    <w:rsid w:val="0088124B"/>
    <w:rsid w:val="008812BF"/>
    <w:rsid w:val="008816E6"/>
    <w:rsid w:val="00881A57"/>
    <w:rsid w:val="0088275B"/>
    <w:rsid w:val="00882D3F"/>
    <w:rsid w:val="00882E81"/>
    <w:rsid w:val="00882F7B"/>
    <w:rsid w:val="008831D3"/>
    <w:rsid w:val="0088347F"/>
    <w:rsid w:val="008834B0"/>
    <w:rsid w:val="00883738"/>
    <w:rsid w:val="00884914"/>
    <w:rsid w:val="00884C1D"/>
    <w:rsid w:val="008851E5"/>
    <w:rsid w:val="008856A1"/>
    <w:rsid w:val="00885FDE"/>
    <w:rsid w:val="008861A5"/>
    <w:rsid w:val="00886522"/>
    <w:rsid w:val="008866AF"/>
    <w:rsid w:val="00886AD2"/>
    <w:rsid w:val="00886BEE"/>
    <w:rsid w:val="00886CF4"/>
    <w:rsid w:val="00886DCD"/>
    <w:rsid w:val="00887139"/>
    <w:rsid w:val="00887166"/>
    <w:rsid w:val="0088754D"/>
    <w:rsid w:val="00887583"/>
    <w:rsid w:val="008877D8"/>
    <w:rsid w:val="00887D45"/>
    <w:rsid w:val="00890274"/>
    <w:rsid w:val="00890900"/>
    <w:rsid w:val="00890AAC"/>
    <w:rsid w:val="00890F80"/>
    <w:rsid w:val="008915A2"/>
    <w:rsid w:val="0089184E"/>
    <w:rsid w:val="00892358"/>
    <w:rsid w:val="00892442"/>
    <w:rsid w:val="00892959"/>
    <w:rsid w:val="00893063"/>
    <w:rsid w:val="00893764"/>
    <w:rsid w:val="00894097"/>
    <w:rsid w:val="00894648"/>
    <w:rsid w:val="0089538B"/>
    <w:rsid w:val="008966EA"/>
    <w:rsid w:val="00896A1F"/>
    <w:rsid w:val="00897904"/>
    <w:rsid w:val="00897A48"/>
    <w:rsid w:val="00897F9C"/>
    <w:rsid w:val="008A0397"/>
    <w:rsid w:val="008A11BD"/>
    <w:rsid w:val="008A12AA"/>
    <w:rsid w:val="008A1750"/>
    <w:rsid w:val="008A1A74"/>
    <w:rsid w:val="008A203F"/>
    <w:rsid w:val="008A2D00"/>
    <w:rsid w:val="008A2FBA"/>
    <w:rsid w:val="008A33A8"/>
    <w:rsid w:val="008A3A0B"/>
    <w:rsid w:val="008A4A64"/>
    <w:rsid w:val="008A4B1D"/>
    <w:rsid w:val="008A5075"/>
    <w:rsid w:val="008A545D"/>
    <w:rsid w:val="008A5866"/>
    <w:rsid w:val="008A5CF0"/>
    <w:rsid w:val="008A5FC7"/>
    <w:rsid w:val="008A6726"/>
    <w:rsid w:val="008A6A00"/>
    <w:rsid w:val="008A6A6E"/>
    <w:rsid w:val="008A6C68"/>
    <w:rsid w:val="008A7388"/>
    <w:rsid w:val="008A73F5"/>
    <w:rsid w:val="008A7E32"/>
    <w:rsid w:val="008A7FA2"/>
    <w:rsid w:val="008B0214"/>
    <w:rsid w:val="008B05E8"/>
    <w:rsid w:val="008B0750"/>
    <w:rsid w:val="008B14EB"/>
    <w:rsid w:val="008B1E70"/>
    <w:rsid w:val="008B1FEA"/>
    <w:rsid w:val="008B2142"/>
    <w:rsid w:val="008B21A7"/>
    <w:rsid w:val="008B2A4B"/>
    <w:rsid w:val="008B318C"/>
    <w:rsid w:val="008B334B"/>
    <w:rsid w:val="008B37C1"/>
    <w:rsid w:val="008B45A4"/>
    <w:rsid w:val="008B47AC"/>
    <w:rsid w:val="008B4A3D"/>
    <w:rsid w:val="008B4B11"/>
    <w:rsid w:val="008B4BA5"/>
    <w:rsid w:val="008B4C6E"/>
    <w:rsid w:val="008B4D4F"/>
    <w:rsid w:val="008B4FDF"/>
    <w:rsid w:val="008B517A"/>
    <w:rsid w:val="008B6220"/>
    <w:rsid w:val="008B62D8"/>
    <w:rsid w:val="008B64DF"/>
    <w:rsid w:val="008B6788"/>
    <w:rsid w:val="008B699E"/>
    <w:rsid w:val="008B6B76"/>
    <w:rsid w:val="008B705B"/>
    <w:rsid w:val="008B7194"/>
    <w:rsid w:val="008B753C"/>
    <w:rsid w:val="008B79B9"/>
    <w:rsid w:val="008C1731"/>
    <w:rsid w:val="008C173A"/>
    <w:rsid w:val="008C1788"/>
    <w:rsid w:val="008C1AA5"/>
    <w:rsid w:val="008C1FC3"/>
    <w:rsid w:val="008C226D"/>
    <w:rsid w:val="008C2300"/>
    <w:rsid w:val="008C23CC"/>
    <w:rsid w:val="008C2DC1"/>
    <w:rsid w:val="008C2E33"/>
    <w:rsid w:val="008C33B0"/>
    <w:rsid w:val="008C340C"/>
    <w:rsid w:val="008C39BD"/>
    <w:rsid w:val="008C4325"/>
    <w:rsid w:val="008C4789"/>
    <w:rsid w:val="008C494D"/>
    <w:rsid w:val="008C49C0"/>
    <w:rsid w:val="008C4ECD"/>
    <w:rsid w:val="008C5F3D"/>
    <w:rsid w:val="008C61AC"/>
    <w:rsid w:val="008C63B1"/>
    <w:rsid w:val="008C63BE"/>
    <w:rsid w:val="008C667C"/>
    <w:rsid w:val="008C6A78"/>
    <w:rsid w:val="008C7737"/>
    <w:rsid w:val="008C7998"/>
    <w:rsid w:val="008C7AD3"/>
    <w:rsid w:val="008D002A"/>
    <w:rsid w:val="008D014B"/>
    <w:rsid w:val="008D05E3"/>
    <w:rsid w:val="008D061F"/>
    <w:rsid w:val="008D1191"/>
    <w:rsid w:val="008D1331"/>
    <w:rsid w:val="008D134B"/>
    <w:rsid w:val="008D164D"/>
    <w:rsid w:val="008D16C1"/>
    <w:rsid w:val="008D1956"/>
    <w:rsid w:val="008D19BC"/>
    <w:rsid w:val="008D1BFD"/>
    <w:rsid w:val="008D1D70"/>
    <w:rsid w:val="008D1ECE"/>
    <w:rsid w:val="008D202D"/>
    <w:rsid w:val="008D21CF"/>
    <w:rsid w:val="008D2413"/>
    <w:rsid w:val="008D242F"/>
    <w:rsid w:val="008D290A"/>
    <w:rsid w:val="008D2CE0"/>
    <w:rsid w:val="008D2D74"/>
    <w:rsid w:val="008D2EE6"/>
    <w:rsid w:val="008D3B0D"/>
    <w:rsid w:val="008D3D81"/>
    <w:rsid w:val="008D4615"/>
    <w:rsid w:val="008D491C"/>
    <w:rsid w:val="008D4CE8"/>
    <w:rsid w:val="008D5DC7"/>
    <w:rsid w:val="008D63EB"/>
    <w:rsid w:val="008D64C2"/>
    <w:rsid w:val="008D67B5"/>
    <w:rsid w:val="008D6A36"/>
    <w:rsid w:val="008D736D"/>
    <w:rsid w:val="008D7A93"/>
    <w:rsid w:val="008E01DF"/>
    <w:rsid w:val="008E0276"/>
    <w:rsid w:val="008E0ADA"/>
    <w:rsid w:val="008E124C"/>
    <w:rsid w:val="008E1D06"/>
    <w:rsid w:val="008E2282"/>
    <w:rsid w:val="008E29FF"/>
    <w:rsid w:val="008E309A"/>
    <w:rsid w:val="008E37CD"/>
    <w:rsid w:val="008E3E35"/>
    <w:rsid w:val="008E3EBC"/>
    <w:rsid w:val="008E3EFF"/>
    <w:rsid w:val="008E4BA9"/>
    <w:rsid w:val="008E5831"/>
    <w:rsid w:val="008E58C0"/>
    <w:rsid w:val="008E5BE5"/>
    <w:rsid w:val="008E5FC6"/>
    <w:rsid w:val="008E6C79"/>
    <w:rsid w:val="008E6FDE"/>
    <w:rsid w:val="008E73AF"/>
    <w:rsid w:val="008E7AC3"/>
    <w:rsid w:val="008E7B1E"/>
    <w:rsid w:val="008E7F1A"/>
    <w:rsid w:val="008E7F6A"/>
    <w:rsid w:val="008E7FF6"/>
    <w:rsid w:val="008F0355"/>
    <w:rsid w:val="008F0B7E"/>
    <w:rsid w:val="008F0FC5"/>
    <w:rsid w:val="008F10BC"/>
    <w:rsid w:val="008F1440"/>
    <w:rsid w:val="008F1526"/>
    <w:rsid w:val="008F1602"/>
    <w:rsid w:val="008F171D"/>
    <w:rsid w:val="008F1720"/>
    <w:rsid w:val="008F183A"/>
    <w:rsid w:val="008F1BC1"/>
    <w:rsid w:val="008F1DCF"/>
    <w:rsid w:val="008F2A3F"/>
    <w:rsid w:val="008F4002"/>
    <w:rsid w:val="008F4610"/>
    <w:rsid w:val="008F496E"/>
    <w:rsid w:val="008F4BBC"/>
    <w:rsid w:val="008F4D6A"/>
    <w:rsid w:val="008F5108"/>
    <w:rsid w:val="008F5514"/>
    <w:rsid w:val="008F5C0A"/>
    <w:rsid w:val="008F6154"/>
    <w:rsid w:val="008F6E7D"/>
    <w:rsid w:val="008F6F6E"/>
    <w:rsid w:val="008F7119"/>
    <w:rsid w:val="008F7161"/>
    <w:rsid w:val="008F7FD1"/>
    <w:rsid w:val="00900966"/>
    <w:rsid w:val="00900994"/>
    <w:rsid w:val="009010EA"/>
    <w:rsid w:val="00901445"/>
    <w:rsid w:val="00901AD0"/>
    <w:rsid w:val="00901C6B"/>
    <w:rsid w:val="009025F8"/>
    <w:rsid w:val="00902FFF"/>
    <w:rsid w:val="00903106"/>
    <w:rsid w:val="0090345F"/>
    <w:rsid w:val="00903693"/>
    <w:rsid w:val="00903CB9"/>
    <w:rsid w:val="00903E60"/>
    <w:rsid w:val="00903EB8"/>
    <w:rsid w:val="00905029"/>
    <w:rsid w:val="00905B2A"/>
    <w:rsid w:val="00906EAE"/>
    <w:rsid w:val="009076D0"/>
    <w:rsid w:val="009077B0"/>
    <w:rsid w:val="00907A3F"/>
    <w:rsid w:val="00907AE1"/>
    <w:rsid w:val="00907C46"/>
    <w:rsid w:val="0091067A"/>
    <w:rsid w:val="009107E6"/>
    <w:rsid w:val="00910FD7"/>
    <w:rsid w:val="009114C8"/>
    <w:rsid w:val="00911E31"/>
    <w:rsid w:val="009121B8"/>
    <w:rsid w:val="00912B88"/>
    <w:rsid w:val="00912D38"/>
    <w:rsid w:val="00912E77"/>
    <w:rsid w:val="00913630"/>
    <w:rsid w:val="00913971"/>
    <w:rsid w:val="0091459C"/>
    <w:rsid w:val="00914804"/>
    <w:rsid w:val="00914A4C"/>
    <w:rsid w:val="00915166"/>
    <w:rsid w:val="00915364"/>
    <w:rsid w:val="00915572"/>
    <w:rsid w:val="00915838"/>
    <w:rsid w:val="00915C65"/>
    <w:rsid w:val="00915F7D"/>
    <w:rsid w:val="009163B6"/>
    <w:rsid w:val="00916C5B"/>
    <w:rsid w:val="009170F2"/>
    <w:rsid w:val="00917171"/>
    <w:rsid w:val="00917B09"/>
    <w:rsid w:val="00917B0C"/>
    <w:rsid w:val="00917B32"/>
    <w:rsid w:val="00917D42"/>
    <w:rsid w:val="00920236"/>
    <w:rsid w:val="00920836"/>
    <w:rsid w:val="00920A29"/>
    <w:rsid w:val="0092108D"/>
    <w:rsid w:val="00921106"/>
    <w:rsid w:val="009214F5"/>
    <w:rsid w:val="0092192D"/>
    <w:rsid w:val="00922230"/>
    <w:rsid w:val="009224FE"/>
    <w:rsid w:val="00922FEF"/>
    <w:rsid w:val="00923093"/>
    <w:rsid w:val="0092323F"/>
    <w:rsid w:val="009238F9"/>
    <w:rsid w:val="0092391F"/>
    <w:rsid w:val="00923960"/>
    <w:rsid w:val="00923D82"/>
    <w:rsid w:val="00923E69"/>
    <w:rsid w:val="00924167"/>
    <w:rsid w:val="00924721"/>
    <w:rsid w:val="00924746"/>
    <w:rsid w:val="0092516C"/>
    <w:rsid w:val="00925B81"/>
    <w:rsid w:val="00925D9F"/>
    <w:rsid w:val="009274D0"/>
    <w:rsid w:val="0092765F"/>
    <w:rsid w:val="00927849"/>
    <w:rsid w:val="009301C0"/>
    <w:rsid w:val="00930C59"/>
    <w:rsid w:val="00930E77"/>
    <w:rsid w:val="00931008"/>
    <w:rsid w:val="0093162C"/>
    <w:rsid w:val="009316BC"/>
    <w:rsid w:val="00931E82"/>
    <w:rsid w:val="009320F1"/>
    <w:rsid w:val="00932266"/>
    <w:rsid w:val="009322CF"/>
    <w:rsid w:val="009329FA"/>
    <w:rsid w:val="00932F66"/>
    <w:rsid w:val="00932FC4"/>
    <w:rsid w:val="009331BD"/>
    <w:rsid w:val="0093320E"/>
    <w:rsid w:val="00933330"/>
    <w:rsid w:val="00933453"/>
    <w:rsid w:val="00933AC9"/>
    <w:rsid w:val="00933BDE"/>
    <w:rsid w:val="00933C59"/>
    <w:rsid w:val="00933DD2"/>
    <w:rsid w:val="009343CA"/>
    <w:rsid w:val="00934724"/>
    <w:rsid w:val="0093569C"/>
    <w:rsid w:val="00935793"/>
    <w:rsid w:val="009357DF"/>
    <w:rsid w:val="009359AC"/>
    <w:rsid w:val="009361D9"/>
    <w:rsid w:val="009362F2"/>
    <w:rsid w:val="009364BA"/>
    <w:rsid w:val="0093651C"/>
    <w:rsid w:val="00936AA5"/>
    <w:rsid w:val="00936B23"/>
    <w:rsid w:val="00936D59"/>
    <w:rsid w:val="00937333"/>
    <w:rsid w:val="00937680"/>
    <w:rsid w:val="00937920"/>
    <w:rsid w:val="009405B9"/>
    <w:rsid w:val="00940997"/>
    <w:rsid w:val="00940B5D"/>
    <w:rsid w:val="00940B9D"/>
    <w:rsid w:val="009412C9"/>
    <w:rsid w:val="009412DF"/>
    <w:rsid w:val="009417CD"/>
    <w:rsid w:val="00941DE3"/>
    <w:rsid w:val="009428D3"/>
    <w:rsid w:val="00942CA4"/>
    <w:rsid w:val="00943981"/>
    <w:rsid w:val="00943A1F"/>
    <w:rsid w:val="00943AC4"/>
    <w:rsid w:val="00943BDF"/>
    <w:rsid w:val="00944287"/>
    <w:rsid w:val="00944AAC"/>
    <w:rsid w:val="00944FFB"/>
    <w:rsid w:val="00945181"/>
    <w:rsid w:val="009454D9"/>
    <w:rsid w:val="009456E7"/>
    <w:rsid w:val="0094625D"/>
    <w:rsid w:val="00946C0E"/>
    <w:rsid w:val="0094724A"/>
    <w:rsid w:val="00947581"/>
    <w:rsid w:val="009475FB"/>
    <w:rsid w:val="00947C2B"/>
    <w:rsid w:val="009504DF"/>
    <w:rsid w:val="009507FE"/>
    <w:rsid w:val="00950C07"/>
    <w:rsid w:val="0095179C"/>
    <w:rsid w:val="00951947"/>
    <w:rsid w:val="00951D25"/>
    <w:rsid w:val="00952336"/>
    <w:rsid w:val="0095237C"/>
    <w:rsid w:val="00952569"/>
    <w:rsid w:val="00952E06"/>
    <w:rsid w:val="00953053"/>
    <w:rsid w:val="00953390"/>
    <w:rsid w:val="0095361B"/>
    <w:rsid w:val="00953A6A"/>
    <w:rsid w:val="00953DAB"/>
    <w:rsid w:val="0095456F"/>
    <w:rsid w:val="00954603"/>
    <w:rsid w:val="00954637"/>
    <w:rsid w:val="0095470C"/>
    <w:rsid w:val="009547B5"/>
    <w:rsid w:val="009548E3"/>
    <w:rsid w:val="00954BF4"/>
    <w:rsid w:val="00954DDF"/>
    <w:rsid w:val="00955192"/>
    <w:rsid w:val="009552FD"/>
    <w:rsid w:val="009556F8"/>
    <w:rsid w:val="00955CEC"/>
    <w:rsid w:val="00955D95"/>
    <w:rsid w:val="00955DB1"/>
    <w:rsid w:val="00956135"/>
    <w:rsid w:val="0095687D"/>
    <w:rsid w:val="00956B48"/>
    <w:rsid w:val="00956F84"/>
    <w:rsid w:val="0095792D"/>
    <w:rsid w:val="00957ED7"/>
    <w:rsid w:val="009601F3"/>
    <w:rsid w:val="009602AE"/>
    <w:rsid w:val="0096045A"/>
    <w:rsid w:val="0096084C"/>
    <w:rsid w:val="00960F5E"/>
    <w:rsid w:val="009612F1"/>
    <w:rsid w:val="00961348"/>
    <w:rsid w:val="0096139A"/>
    <w:rsid w:val="00961570"/>
    <w:rsid w:val="009616CA"/>
    <w:rsid w:val="00961D90"/>
    <w:rsid w:val="009621FF"/>
    <w:rsid w:val="00962449"/>
    <w:rsid w:val="0096291A"/>
    <w:rsid w:val="00962A8B"/>
    <w:rsid w:val="00962BAA"/>
    <w:rsid w:val="009634B8"/>
    <w:rsid w:val="009635C4"/>
    <w:rsid w:val="00963BE6"/>
    <w:rsid w:val="00964145"/>
    <w:rsid w:val="0096440D"/>
    <w:rsid w:val="0096451E"/>
    <w:rsid w:val="00964D2E"/>
    <w:rsid w:val="00965073"/>
    <w:rsid w:val="00965785"/>
    <w:rsid w:val="0096581F"/>
    <w:rsid w:val="009658EF"/>
    <w:rsid w:val="00965AA3"/>
    <w:rsid w:val="00965FFC"/>
    <w:rsid w:val="009665C0"/>
    <w:rsid w:val="0096676C"/>
    <w:rsid w:val="009667C7"/>
    <w:rsid w:val="0096688D"/>
    <w:rsid w:val="0096701D"/>
    <w:rsid w:val="0096702E"/>
    <w:rsid w:val="00967314"/>
    <w:rsid w:val="00970066"/>
    <w:rsid w:val="00970126"/>
    <w:rsid w:val="00970241"/>
    <w:rsid w:val="009704FF"/>
    <w:rsid w:val="00970A55"/>
    <w:rsid w:val="00971413"/>
    <w:rsid w:val="00971CB3"/>
    <w:rsid w:val="00971E55"/>
    <w:rsid w:val="0097209E"/>
    <w:rsid w:val="00972BA6"/>
    <w:rsid w:val="00973614"/>
    <w:rsid w:val="00973FA7"/>
    <w:rsid w:val="009740D2"/>
    <w:rsid w:val="009749D3"/>
    <w:rsid w:val="00975281"/>
    <w:rsid w:val="00975407"/>
    <w:rsid w:val="009755DA"/>
    <w:rsid w:val="009757ED"/>
    <w:rsid w:val="00976026"/>
    <w:rsid w:val="009760AD"/>
    <w:rsid w:val="009763E4"/>
    <w:rsid w:val="0097691F"/>
    <w:rsid w:val="00976B39"/>
    <w:rsid w:val="00976DF1"/>
    <w:rsid w:val="00976E8F"/>
    <w:rsid w:val="00976ED0"/>
    <w:rsid w:val="00977198"/>
    <w:rsid w:val="009778BD"/>
    <w:rsid w:val="00977BE1"/>
    <w:rsid w:val="00977DBA"/>
    <w:rsid w:val="00980035"/>
    <w:rsid w:val="0098026A"/>
    <w:rsid w:val="0098027A"/>
    <w:rsid w:val="00980DD4"/>
    <w:rsid w:val="0098114A"/>
    <w:rsid w:val="00981438"/>
    <w:rsid w:val="009814BC"/>
    <w:rsid w:val="0098180D"/>
    <w:rsid w:val="0098240F"/>
    <w:rsid w:val="00982EBC"/>
    <w:rsid w:val="00982FBE"/>
    <w:rsid w:val="0098303B"/>
    <w:rsid w:val="009831E0"/>
    <w:rsid w:val="0098356C"/>
    <w:rsid w:val="0098357C"/>
    <w:rsid w:val="00983C33"/>
    <w:rsid w:val="00983DE3"/>
    <w:rsid w:val="0098404D"/>
    <w:rsid w:val="009842DF"/>
    <w:rsid w:val="0098430D"/>
    <w:rsid w:val="0098493D"/>
    <w:rsid w:val="00984E92"/>
    <w:rsid w:val="0098500D"/>
    <w:rsid w:val="00985581"/>
    <w:rsid w:val="009858EF"/>
    <w:rsid w:val="00986A3F"/>
    <w:rsid w:val="00986BD7"/>
    <w:rsid w:val="0098750D"/>
    <w:rsid w:val="00990B87"/>
    <w:rsid w:val="0099130E"/>
    <w:rsid w:val="00991702"/>
    <w:rsid w:val="00991CBE"/>
    <w:rsid w:val="00992D8D"/>
    <w:rsid w:val="00993774"/>
    <w:rsid w:val="009939E8"/>
    <w:rsid w:val="00993B1E"/>
    <w:rsid w:val="009942F8"/>
    <w:rsid w:val="00994812"/>
    <w:rsid w:val="00994B1B"/>
    <w:rsid w:val="00995441"/>
    <w:rsid w:val="00995466"/>
    <w:rsid w:val="00995836"/>
    <w:rsid w:val="0099595A"/>
    <w:rsid w:val="00995A8F"/>
    <w:rsid w:val="00995C2E"/>
    <w:rsid w:val="009964B3"/>
    <w:rsid w:val="0099653E"/>
    <w:rsid w:val="00996C46"/>
    <w:rsid w:val="00996F9D"/>
    <w:rsid w:val="00997127"/>
    <w:rsid w:val="00997680"/>
    <w:rsid w:val="009A05C4"/>
    <w:rsid w:val="009A0808"/>
    <w:rsid w:val="009A1136"/>
    <w:rsid w:val="009A14F9"/>
    <w:rsid w:val="009A15B1"/>
    <w:rsid w:val="009A15BD"/>
    <w:rsid w:val="009A1751"/>
    <w:rsid w:val="009A1BC2"/>
    <w:rsid w:val="009A202D"/>
    <w:rsid w:val="009A245B"/>
    <w:rsid w:val="009A250F"/>
    <w:rsid w:val="009A33DD"/>
    <w:rsid w:val="009A385F"/>
    <w:rsid w:val="009A386A"/>
    <w:rsid w:val="009A3B03"/>
    <w:rsid w:val="009A3B59"/>
    <w:rsid w:val="009A3E8E"/>
    <w:rsid w:val="009A42D3"/>
    <w:rsid w:val="009A479D"/>
    <w:rsid w:val="009A4B25"/>
    <w:rsid w:val="009A4DCE"/>
    <w:rsid w:val="009A5126"/>
    <w:rsid w:val="009A5142"/>
    <w:rsid w:val="009A52EE"/>
    <w:rsid w:val="009A561E"/>
    <w:rsid w:val="009A618A"/>
    <w:rsid w:val="009A62BB"/>
    <w:rsid w:val="009A6920"/>
    <w:rsid w:val="009A6CDD"/>
    <w:rsid w:val="009A7374"/>
    <w:rsid w:val="009A741B"/>
    <w:rsid w:val="009A7D85"/>
    <w:rsid w:val="009B032A"/>
    <w:rsid w:val="009B0AFB"/>
    <w:rsid w:val="009B0C69"/>
    <w:rsid w:val="009B0EF8"/>
    <w:rsid w:val="009B1055"/>
    <w:rsid w:val="009B1503"/>
    <w:rsid w:val="009B1A87"/>
    <w:rsid w:val="009B2345"/>
    <w:rsid w:val="009B23B3"/>
    <w:rsid w:val="009B2700"/>
    <w:rsid w:val="009B2B23"/>
    <w:rsid w:val="009B34A0"/>
    <w:rsid w:val="009B38D0"/>
    <w:rsid w:val="009B38EE"/>
    <w:rsid w:val="009B3CC0"/>
    <w:rsid w:val="009B46B2"/>
    <w:rsid w:val="009B4770"/>
    <w:rsid w:val="009B478B"/>
    <w:rsid w:val="009B4931"/>
    <w:rsid w:val="009B4A8B"/>
    <w:rsid w:val="009B4B50"/>
    <w:rsid w:val="009B4E1A"/>
    <w:rsid w:val="009B51EC"/>
    <w:rsid w:val="009B58D5"/>
    <w:rsid w:val="009B5A75"/>
    <w:rsid w:val="009B5AF9"/>
    <w:rsid w:val="009B6576"/>
    <w:rsid w:val="009B68DD"/>
    <w:rsid w:val="009B68FB"/>
    <w:rsid w:val="009B6BCE"/>
    <w:rsid w:val="009B6E29"/>
    <w:rsid w:val="009B7092"/>
    <w:rsid w:val="009B7402"/>
    <w:rsid w:val="009B7811"/>
    <w:rsid w:val="009B7F90"/>
    <w:rsid w:val="009C026E"/>
    <w:rsid w:val="009C0CBB"/>
    <w:rsid w:val="009C1246"/>
    <w:rsid w:val="009C28F6"/>
    <w:rsid w:val="009C2B56"/>
    <w:rsid w:val="009C2E60"/>
    <w:rsid w:val="009C3288"/>
    <w:rsid w:val="009C3362"/>
    <w:rsid w:val="009C3AF4"/>
    <w:rsid w:val="009C3C9B"/>
    <w:rsid w:val="009C4076"/>
    <w:rsid w:val="009C4233"/>
    <w:rsid w:val="009C45B4"/>
    <w:rsid w:val="009C492A"/>
    <w:rsid w:val="009C4B7E"/>
    <w:rsid w:val="009C4E58"/>
    <w:rsid w:val="009C507E"/>
    <w:rsid w:val="009C5453"/>
    <w:rsid w:val="009C5518"/>
    <w:rsid w:val="009C5893"/>
    <w:rsid w:val="009C5DC3"/>
    <w:rsid w:val="009C5E76"/>
    <w:rsid w:val="009C6428"/>
    <w:rsid w:val="009C6947"/>
    <w:rsid w:val="009C6A51"/>
    <w:rsid w:val="009C7111"/>
    <w:rsid w:val="009C72DF"/>
    <w:rsid w:val="009C7885"/>
    <w:rsid w:val="009D09F5"/>
    <w:rsid w:val="009D0ECC"/>
    <w:rsid w:val="009D2263"/>
    <w:rsid w:val="009D245A"/>
    <w:rsid w:val="009D25AD"/>
    <w:rsid w:val="009D2712"/>
    <w:rsid w:val="009D2CE2"/>
    <w:rsid w:val="009D2F35"/>
    <w:rsid w:val="009D3149"/>
    <w:rsid w:val="009D3359"/>
    <w:rsid w:val="009D37DB"/>
    <w:rsid w:val="009D3B76"/>
    <w:rsid w:val="009D3B8A"/>
    <w:rsid w:val="009D3F7D"/>
    <w:rsid w:val="009D4323"/>
    <w:rsid w:val="009D44DD"/>
    <w:rsid w:val="009D51EB"/>
    <w:rsid w:val="009D5399"/>
    <w:rsid w:val="009D5DD5"/>
    <w:rsid w:val="009D6274"/>
    <w:rsid w:val="009D6654"/>
    <w:rsid w:val="009D6DBA"/>
    <w:rsid w:val="009D7448"/>
    <w:rsid w:val="009D7A72"/>
    <w:rsid w:val="009E0774"/>
    <w:rsid w:val="009E07E5"/>
    <w:rsid w:val="009E0A85"/>
    <w:rsid w:val="009E11DC"/>
    <w:rsid w:val="009E1399"/>
    <w:rsid w:val="009E165B"/>
    <w:rsid w:val="009E187F"/>
    <w:rsid w:val="009E190D"/>
    <w:rsid w:val="009E29F0"/>
    <w:rsid w:val="009E30AC"/>
    <w:rsid w:val="009E3AA9"/>
    <w:rsid w:val="009E3C75"/>
    <w:rsid w:val="009E40E0"/>
    <w:rsid w:val="009E419C"/>
    <w:rsid w:val="009E43AC"/>
    <w:rsid w:val="009E4C8F"/>
    <w:rsid w:val="009E5341"/>
    <w:rsid w:val="009E585A"/>
    <w:rsid w:val="009E5B60"/>
    <w:rsid w:val="009E5C9C"/>
    <w:rsid w:val="009E6325"/>
    <w:rsid w:val="009E6461"/>
    <w:rsid w:val="009E6937"/>
    <w:rsid w:val="009E6DA9"/>
    <w:rsid w:val="009E6F45"/>
    <w:rsid w:val="009E71BF"/>
    <w:rsid w:val="009E745F"/>
    <w:rsid w:val="009E7725"/>
    <w:rsid w:val="009E79EC"/>
    <w:rsid w:val="009E7C29"/>
    <w:rsid w:val="009F0149"/>
    <w:rsid w:val="009F0D61"/>
    <w:rsid w:val="009F1D9A"/>
    <w:rsid w:val="009F2158"/>
    <w:rsid w:val="009F2B8F"/>
    <w:rsid w:val="009F2E1B"/>
    <w:rsid w:val="009F31B9"/>
    <w:rsid w:val="009F34F9"/>
    <w:rsid w:val="009F3794"/>
    <w:rsid w:val="009F4202"/>
    <w:rsid w:val="009F44EA"/>
    <w:rsid w:val="009F4598"/>
    <w:rsid w:val="009F49AE"/>
    <w:rsid w:val="009F4B7D"/>
    <w:rsid w:val="009F4BF0"/>
    <w:rsid w:val="009F59F7"/>
    <w:rsid w:val="009F5E4E"/>
    <w:rsid w:val="009F5FBC"/>
    <w:rsid w:val="009F6272"/>
    <w:rsid w:val="009F67A2"/>
    <w:rsid w:val="009F6AAF"/>
    <w:rsid w:val="009F6DA9"/>
    <w:rsid w:val="009F7844"/>
    <w:rsid w:val="009F7A7C"/>
    <w:rsid w:val="009F7C66"/>
    <w:rsid w:val="00A01090"/>
    <w:rsid w:val="00A01381"/>
    <w:rsid w:val="00A013D6"/>
    <w:rsid w:val="00A0141C"/>
    <w:rsid w:val="00A0258E"/>
    <w:rsid w:val="00A0276D"/>
    <w:rsid w:val="00A038F1"/>
    <w:rsid w:val="00A044AE"/>
    <w:rsid w:val="00A04763"/>
    <w:rsid w:val="00A04966"/>
    <w:rsid w:val="00A04BEC"/>
    <w:rsid w:val="00A04FA7"/>
    <w:rsid w:val="00A0519B"/>
    <w:rsid w:val="00A05802"/>
    <w:rsid w:val="00A0581C"/>
    <w:rsid w:val="00A05A00"/>
    <w:rsid w:val="00A05B1C"/>
    <w:rsid w:val="00A05B57"/>
    <w:rsid w:val="00A05B5F"/>
    <w:rsid w:val="00A05D17"/>
    <w:rsid w:val="00A06300"/>
    <w:rsid w:val="00A066CB"/>
    <w:rsid w:val="00A06904"/>
    <w:rsid w:val="00A06C37"/>
    <w:rsid w:val="00A06E6C"/>
    <w:rsid w:val="00A06E84"/>
    <w:rsid w:val="00A073B9"/>
    <w:rsid w:val="00A07458"/>
    <w:rsid w:val="00A074ED"/>
    <w:rsid w:val="00A07614"/>
    <w:rsid w:val="00A07BF5"/>
    <w:rsid w:val="00A07E9D"/>
    <w:rsid w:val="00A10705"/>
    <w:rsid w:val="00A11598"/>
    <w:rsid w:val="00A11C54"/>
    <w:rsid w:val="00A11CAF"/>
    <w:rsid w:val="00A11DEB"/>
    <w:rsid w:val="00A12155"/>
    <w:rsid w:val="00A1292D"/>
    <w:rsid w:val="00A13641"/>
    <w:rsid w:val="00A13930"/>
    <w:rsid w:val="00A1393A"/>
    <w:rsid w:val="00A13FA5"/>
    <w:rsid w:val="00A14D5D"/>
    <w:rsid w:val="00A14D92"/>
    <w:rsid w:val="00A1531B"/>
    <w:rsid w:val="00A15620"/>
    <w:rsid w:val="00A15C1C"/>
    <w:rsid w:val="00A15E73"/>
    <w:rsid w:val="00A161BB"/>
    <w:rsid w:val="00A16279"/>
    <w:rsid w:val="00A167A7"/>
    <w:rsid w:val="00A168F5"/>
    <w:rsid w:val="00A16962"/>
    <w:rsid w:val="00A17336"/>
    <w:rsid w:val="00A17843"/>
    <w:rsid w:val="00A17C74"/>
    <w:rsid w:val="00A20402"/>
    <w:rsid w:val="00A21354"/>
    <w:rsid w:val="00A214D6"/>
    <w:rsid w:val="00A2259A"/>
    <w:rsid w:val="00A226A0"/>
    <w:rsid w:val="00A22795"/>
    <w:rsid w:val="00A227BD"/>
    <w:rsid w:val="00A22EC8"/>
    <w:rsid w:val="00A23289"/>
    <w:rsid w:val="00A237F3"/>
    <w:rsid w:val="00A23817"/>
    <w:rsid w:val="00A24EA1"/>
    <w:rsid w:val="00A2513D"/>
    <w:rsid w:val="00A2532E"/>
    <w:rsid w:val="00A258F2"/>
    <w:rsid w:val="00A26428"/>
    <w:rsid w:val="00A2645A"/>
    <w:rsid w:val="00A266D4"/>
    <w:rsid w:val="00A269E4"/>
    <w:rsid w:val="00A26C32"/>
    <w:rsid w:val="00A2713C"/>
    <w:rsid w:val="00A274DC"/>
    <w:rsid w:val="00A275F9"/>
    <w:rsid w:val="00A27E2E"/>
    <w:rsid w:val="00A301BF"/>
    <w:rsid w:val="00A303C2"/>
    <w:rsid w:val="00A30850"/>
    <w:rsid w:val="00A30D58"/>
    <w:rsid w:val="00A30EF1"/>
    <w:rsid w:val="00A31775"/>
    <w:rsid w:val="00A3322C"/>
    <w:rsid w:val="00A33CAC"/>
    <w:rsid w:val="00A341A4"/>
    <w:rsid w:val="00A341F2"/>
    <w:rsid w:val="00A34228"/>
    <w:rsid w:val="00A344E3"/>
    <w:rsid w:val="00A34533"/>
    <w:rsid w:val="00A34DB7"/>
    <w:rsid w:val="00A357BF"/>
    <w:rsid w:val="00A35862"/>
    <w:rsid w:val="00A36046"/>
    <w:rsid w:val="00A360E6"/>
    <w:rsid w:val="00A361B3"/>
    <w:rsid w:val="00A3643D"/>
    <w:rsid w:val="00A364B4"/>
    <w:rsid w:val="00A36843"/>
    <w:rsid w:val="00A36989"/>
    <w:rsid w:val="00A36E65"/>
    <w:rsid w:val="00A37042"/>
    <w:rsid w:val="00A37581"/>
    <w:rsid w:val="00A37886"/>
    <w:rsid w:val="00A37A6F"/>
    <w:rsid w:val="00A37B36"/>
    <w:rsid w:val="00A37EB5"/>
    <w:rsid w:val="00A408F4"/>
    <w:rsid w:val="00A410C9"/>
    <w:rsid w:val="00A41CE8"/>
    <w:rsid w:val="00A42019"/>
    <w:rsid w:val="00A4202C"/>
    <w:rsid w:val="00A42288"/>
    <w:rsid w:val="00A42455"/>
    <w:rsid w:val="00A4260E"/>
    <w:rsid w:val="00A42ABC"/>
    <w:rsid w:val="00A42DE3"/>
    <w:rsid w:val="00A43121"/>
    <w:rsid w:val="00A43390"/>
    <w:rsid w:val="00A435E8"/>
    <w:rsid w:val="00A43818"/>
    <w:rsid w:val="00A440B1"/>
    <w:rsid w:val="00A44C43"/>
    <w:rsid w:val="00A44D6A"/>
    <w:rsid w:val="00A45028"/>
    <w:rsid w:val="00A451F1"/>
    <w:rsid w:val="00A454B1"/>
    <w:rsid w:val="00A45C47"/>
    <w:rsid w:val="00A45CCC"/>
    <w:rsid w:val="00A4668E"/>
    <w:rsid w:val="00A4694E"/>
    <w:rsid w:val="00A46EC1"/>
    <w:rsid w:val="00A47687"/>
    <w:rsid w:val="00A47EDC"/>
    <w:rsid w:val="00A502AA"/>
    <w:rsid w:val="00A507F8"/>
    <w:rsid w:val="00A50847"/>
    <w:rsid w:val="00A50A2A"/>
    <w:rsid w:val="00A50CF1"/>
    <w:rsid w:val="00A50E06"/>
    <w:rsid w:val="00A50FA7"/>
    <w:rsid w:val="00A513B3"/>
    <w:rsid w:val="00A5174F"/>
    <w:rsid w:val="00A5191E"/>
    <w:rsid w:val="00A51B99"/>
    <w:rsid w:val="00A520FA"/>
    <w:rsid w:val="00A525DA"/>
    <w:rsid w:val="00A52618"/>
    <w:rsid w:val="00A527A4"/>
    <w:rsid w:val="00A547D7"/>
    <w:rsid w:val="00A549CB"/>
    <w:rsid w:val="00A549FF"/>
    <w:rsid w:val="00A54A5D"/>
    <w:rsid w:val="00A54E27"/>
    <w:rsid w:val="00A554F4"/>
    <w:rsid w:val="00A55751"/>
    <w:rsid w:val="00A55ADD"/>
    <w:rsid w:val="00A55C44"/>
    <w:rsid w:val="00A55CDE"/>
    <w:rsid w:val="00A55F38"/>
    <w:rsid w:val="00A55FDB"/>
    <w:rsid w:val="00A563AE"/>
    <w:rsid w:val="00A563E3"/>
    <w:rsid w:val="00A56761"/>
    <w:rsid w:val="00A569C5"/>
    <w:rsid w:val="00A576F5"/>
    <w:rsid w:val="00A57759"/>
    <w:rsid w:val="00A57D66"/>
    <w:rsid w:val="00A61337"/>
    <w:rsid w:val="00A61D01"/>
    <w:rsid w:val="00A6212C"/>
    <w:rsid w:val="00A62254"/>
    <w:rsid w:val="00A623BF"/>
    <w:rsid w:val="00A6252F"/>
    <w:rsid w:val="00A62CE7"/>
    <w:rsid w:val="00A62EFB"/>
    <w:rsid w:val="00A630A7"/>
    <w:rsid w:val="00A6333B"/>
    <w:rsid w:val="00A63513"/>
    <w:rsid w:val="00A63808"/>
    <w:rsid w:val="00A64700"/>
    <w:rsid w:val="00A6476E"/>
    <w:rsid w:val="00A6487C"/>
    <w:rsid w:val="00A652CB"/>
    <w:rsid w:val="00A6539E"/>
    <w:rsid w:val="00A6584B"/>
    <w:rsid w:val="00A658A6"/>
    <w:rsid w:val="00A658FB"/>
    <w:rsid w:val="00A65E45"/>
    <w:rsid w:val="00A662F9"/>
    <w:rsid w:val="00A668A3"/>
    <w:rsid w:val="00A6692F"/>
    <w:rsid w:val="00A66988"/>
    <w:rsid w:val="00A66D7E"/>
    <w:rsid w:val="00A67409"/>
    <w:rsid w:val="00A67772"/>
    <w:rsid w:val="00A67C31"/>
    <w:rsid w:val="00A700B4"/>
    <w:rsid w:val="00A707E6"/>
    <w:rsid w:val="00A70A85"/>
    <w:rsid w:val="00A70D46"/>
    <w:rsid w:val="00A70D79"/>
    <w:rsid w:val="00A71B4D"/>
    <w:rsid w:val="00A71C0E"/>
    <w:rsid w:val="00A72BAD"/>
    <w:rsid w:val="00A72C68"/>
    <w:rsid w:val="00A72EF9"/>
    <w:rsid w:val="00A73383"/>
    <w:rsid w:val="00A73E7E"/>
    <w:rsid w:val="00A74284"/>
    <w:rsid w:val="00A74462"/>
    <w:rsid w:val="00A746C1"/>
    <w:rsid w:val="00A7476A"/>
    <w:rsid w:val="00A747B0"/>
    <w:rsid w:val="00A7482C"/>
    <w:rsid w:val="00A74DA0"/>
    <w:rsid w:val="00A75209"/>
    <w:rsid w:val="00A75577"/>
    <w:rsid w:val="00A756C6"/>
    <w:rsid w:val="00A7580F"/>
    <w:rsid w:val="00A764AC"/>
    <w:rsid w:val="00A7655A"/>
    <w:rsid w:val="00A76EAE"/>
    <w:rsid w:val="00A76FFB"/>
    <w:rsid w:val="00A771B7"/>
    <w:rsid w:val="00A7734A"/>
    <w:rsid w:val="00A7742D"/>
    <w:rsid w:val="00A7747F"/>
    <w:rsid w:val="00A80475"/>
    <w:rsid w:val="00A8047C"/>
    <w:rsid w:val="00A80974"/>
    <w:rsid w:val="00A80C1E"/>
    <w:rsid w:val="00A81CAD"/>
    <w:rsid w:val="00A8201C"/>
    <w:rsid w:val="00A82190"/>
    <w:rsid w:val="00A82484"/>
    <w:rsid w:val="00A82CA2"/>
    <w:rsid w:val="00A82D1F"/>
    <w:rsid w:val="00A83745"/>
    <w:rsid w:val="00A846E7"/>
    <w:rsid w:val="00A84B3B"/>
    <w:rsid w:val="00A84DC6"/>
    <w:rsid w:val="00A84E8F"/>
    <w:rsid w:val="00A857C2"/>
    <w:rsid w:val="00A864B3"/>
    <w:rsid w:val="00A865E5"/>
    <w:rsid w:val="00A86713"/>
    <w:rsid w:val="00A86AC3"/>
    <w:rsid w:val="00A86D25"/>
    <w:rsid w:val="00A874B1"/>
    <w:rsid w:val="00A87693"/>
    <w:rsid w:val="00A90818"/>
    <w:rsid w:val="00A90E6B"/>
    <w:rsid w:val="00A911CF"/>
    <w:rsid w:val="00A915C8"/>
    <w:rsid w:val="00A91B88"/>
    <w:rsid w:val="00A91DF9"/>
    <w:rsid w:val="00A9306D"/>
    <w:rsid w:val="00A93207"/>
    <w:rsid w:val="00A9340C"/>
    <w:rsid w:val="00A935B7"/>
    <w:rsid w:val="00A936E7"/>
    <w:rsid w:val="00A937C5"/>
    <w:rsid w:val="00A937DE"/>
    <w:rsid w:val="00A93912"/>
    <w:rsid w:val="00A93948"/>
    <w:rsid w:val="00A94731"/>
    <w:rsid w:val="00A94802"/>
    <w:rsid w:val="00A94E4A"/>
    <w:rsid w:val="00A94F9C"/>
    <w:rsid w:val="00A94FC0"/>
    <w:rsid w:val="00A9612A"/>
    <w:rsid w:val="00A9693D"/>
    <w:rsid w:val="00A96C14"/>
    <w:rsid w:val="00A96E3F"/>
    <w:rsid w:val="00A97220"/>
    <w:rsid w:val="00A97397"/>
    <w:rsid w:val="00A974B6"/>
    <w:rsid w:val="00A97783"/>
    <w:rsid w:val="00A97BAD"/>
    <w:rsid w:val="00A97D64"/>
    <w:rsid w:val="00A97F3B"/>
    <w:rsid w:val="00AA0B3B"/>
    <w:rsid w:val="00AA0F88"/>
    <w:rsid w:val="00AA10F7"/>
    <w:rsid w:val="00AA16EB"/>
    <w:rsid w:val="00AA26C2"/>
    <w:rsid w:val="00AA2CF9"/>
    <w:rsid w:val="00AA2E37"/>
    <w:rsid w:val="00AA2E96"/>
    <w:rsid w:val="00AA2FBD"/>
    <w:rsid w:val="00AA33A9"/>
    <w:rsid w:val="00AA363A"/>
    <w:rsid w:val="00AA36B4"/>
    <w:rsid w:val="00AA388B"/>
    <w:rsid w:val="00AA4598"/>
    <w:rsid w:val="00AA484E"/>
    <w:rsid w:val="00AA48F6"/>
    <w:rsid w:val="00AA4E11"/>
    <w:rsid w:val="00AA4F73"/>
    <w:rsid w:val="00AA51F5"/>
    <w:rsid w:val="00AA57A4"/>
    <w:rsid w:val="00AA5832"/>
    <w:rsid w:val="00AA5F13"/>
    <w:rsid w:val="00AA69AF"/>
    <w:rsid w:val="00AA6BF2"/>
    <w:rsid w:val="00AA6F85"/>
    <w:rsid w:val="00AA7043"/>
    <w:rsid w:val="00AA70A5"/>
    <w:rsid w:val="00AA71EA"/>
    <w:rsid w:val="00AA72B5"/>
    <w:rsid w:val="00AA7A75"/>
    <w:rsid w:val="00AA7E4C"/>
    <w:rsid w:val="00AA7E9B"/>
    <w:rsid w:val="00AB0380"/>
    <w:rsid w:val="00AB0384"/>
    <w:rsid w:val="00AB097D"/>
    <w:rsid w:val="00AB0C20"/>
    <w:rsid w:val="00AB0D9D"/>
    <w:rsid w:val="00AB17C6"/>
    <w:rsid w:val="00AB229A"/>
    <w:rsid w:val="00AB2450"/>
    <w:rsid w:val="00AB28EA"/>
    <w:rsid w:val="00AB2CC1"/>
    <w:rsid w:val="00AB366A"/>
    <w:rsid w:val="00AB36F5"/>
    <w:rsid w:val="00AB36FA"/>
    <w:rsid w:val="00AB3D3D"/>
    <w:rsid w:val="00AB40AF"/>
    <w:rsid w:val="00AB43E8"/>
    <w:rsid w:val="00AB4D93"/>
    <w:rsid w:val="00AB4E54"/>
    <w:rsid w:val="00AB50D8"/>
    <w:rsid w:val="00AB5629"/>
    <w:rsid w:val="00AB5FCD"/>
    <w:rsid w:val="00AB626D"/>
    <w:rsid w:val="00AB685D"/>
    <w:rsid w:val="00AB688A"/>
    <w:rsid w:val="00AB6C7A"/>
    <w:rsid w:val="00AB6CD7"/>
    <w:rsid w:val="00AB6EB5"/>
    <w:rsid w:val="00AB6F5C"/>
    <w:rsid w:val="00AB7513"/>
    <w:rsid w:val="00AC0020"/>
    <w:rsid w:val="00AC07DF"/>
    <w:rsid w:val="00AC0B62"/>
    <w:rsid w:val="00AC0E08"/>
    <w:rsid w:val="00AC0E98"/>
    <w:rsid w:val="00AC18D8"/>
    <w:rsid w:val="00AC1914"/>
    <w:rsid w:val="00AC22C5"/>
    <w:rsid w:val="00AC2330"/>
    <w:rsid w:val="00AC23DC"/>
    <w:rsid w:val="00AC2AD6"/>
    <w:rsid w:val="00AC2DD5"/>
    <w:rsid w:val="00AC2EE6"/>
    <w:rsid w:val="00AC335A"/>
    <w:rsid w:val="00AC381F"/>
    <w:rsid w:val="00AC3C0C"/>
    <w:rsid w:val="00AC3C78"/>
    <w:rsid w:val="00AC4253"/>
    <w:rsid w:val="00AC477C"/>
    <w:rsid w:val="00AC47A6"/>
    <w:rsid w:val="00AC4C68"/>
    <w:rsid w:val="00AC4EAD"/>
    <w:rsid w:val="00AC50D3"/>
    <w:rsid w:val="00AC5689"/>
    <w:rsid w:val="00AC5F6C"/>
    <w:rsid w:val="00AC5FD7"/>
    <w:rsid w:val="00AC699B"/>
    <w:rsid w:val="00AC6E2C"/>
    <w:rsid w:val="00AC7074"/>
    <w:rsid w:val="00AC7187"/>
    <w:rsid w:val="00AC74F0"/>
    <w:rsid w:val="00AC7FC8"/>
    <w:rsid w:val="00AD0DBA"/>
    <w:rsid w:val="00AD0F6D"/>
    <w:rsid w:val="00AD1CB6"/>
    <w:rsid w:val="00AD2098"/>
    <w:rsid w:val="00AD2238"/>
    <w:rsid w:val="00AD2466"/>
    <w:rsid w:val="00AD2FFA"/>
    <w:rsid w:val="00AD3081"/>
    <w:rsid w:val="00AD33A6"/>
    <w:rsid w:val="00AD3671"/>
    <w:rsid w:val="00AD3680"/>
    <w:rsid w:val="00AD3ABA"/>
    <w:rsid w:val="00AD4076"/>
    <w:rsid w:val="00AD43B7"/>
    <w:rsid w:val="00AD4866"/>
    <w:rsid w:val="00AD498E"/>
    <w:rsid w:val="00AD4DE8"/>
    <w:rsid w:val="00AD52A8"/>
    <w:rsid w:val="00AD54CE"/>
    <w:rsid w:val="00AD56FF"/>
    <w:rsid w:val="00AD58E2"/>
    <w:rsid w:val="00AD60EF"/>
    <w:rsid w:val="00AD61BB"/>
    <w:rsid w:val="00AD7001"/>
    <w:rsid w:val="00AE00BB"/>
    <w:rsid w:val="00AE01CB"/>
    <w:rsid w:val="00AE0657"/>
    <w:rsid w:val="00AE09D3"/>
    <w:rsid w:val="00AE0BF8"/>
    <w:rsid w:val="00AE0C7C"/>
    <w:rsid w:val="00AE0FC5"/>
    <w:rsid w:val="00AE10AE"/>
    <w:rsid w:val="00AE15A6"/>
    <w:rsid w:val="00AE1C23"/>
    <w:rsid w:val="00AE1E28"/>
    <w:rsid w:val="00AE1EEB"/>
    <w:rsid w:val="00AE1FDA"/>
    <w:rsid w:val="00AE23B7"/>
    <w:rsid w:val="00AE2528"/>
    <w:rsid w:val="00AE26D6"/>
    <w:rsid w:val="00AE33D9"/>
    <w:rsid w:val="00AE3555"/>
    <w:rsid w:val="00AE35E4"/>
    <w:rsid w:val="00AE41AC"/>
    <w:rsid w:val="00AE429B"/>
    <w:rsid w:val="00AE4521"/>
    <w:rsid w:val="00AE472B"/>
    <w:rsid w:val="00AE49A0"/>
    <w:rsid w:val="00AE4CC6"/>
    <w:rsid w:val="00AE4E9A"/>
    <w:rsid w:val="00AE517F"/>
    <w:rsid w:val="00AE5208"/>
    <w:rsid w:val="00AE548B"/>
    <w:rsid w:val="00AE556B"/>
    <w:rsid w:val="00AE55C8"/>
    <w:rsid w:val="00AE5A17"/>
    <w:rsid w:val="00AE60E6"/>
    <w:rsid w:val="00AE6173"/>
    <w:rsid w:val="00AE67B6"/>
    <w:rsid w:val="00AE6F87"/>
    <w:rsid w:val="00AE7440"/>
    <w:rsid w:val="00AE75A2"/>
    <w:rsid w:val="00AE7C15"/>
    <w:rsid w:val="00AF077A"/>
    <w:rsid w:val="00AF0AFA"/>
    <w:rsid w:val="00AF0E3F"/>
    <w:rsid w:val="00AF0EA5"/>
    <w:rsid w:val="00AF17EB"/>
    <w:rsid w:val="00AF19E8"/>
    <w:rsid w:val="00AF1B7C"/>
    <w:rsid w:val="00AF1FF5"/>
    <w:rsid w:val="00AF2926"/>
    <w:rsid w:val="00AF3395"/>
    <w:rsid w:val="00AF4CD1"/>
    <w:rsid w:val="00AF5A20"/>
    <w:rsid w:val="00AF6303"/>
    <w:rsid w:val="00AF6530"/>
    <w:rsid w:val="00AF66F0"/>
    <w:rsid w:val="00AF79E8"/>
    <w:rsid w:val="00AF7FA8"/>
    <w:rsid w:val="00B000FF"/>
    <w:rsid w:val="00B0086C"/>
    <w:rsid w:val="00B00ABD"/>
    <w:rsid w:val="00B0117C"/>
    <w:rsid w:val="00B017BF"/>
    <w:rsid w:val="00B021F0"/>
    <w:rsid w:val="00B02D9E"/>
    <w:rsid w:val="00B030C2"/>
    <w:rsid w:val="00B03276"/>
    <w:rsid w:val="00B03449"/>
    <w:rsid w:val="00B04079"/>
    <w:rsid w:val="00B041E2"/>
    <w:rsid w:val="00B04370"/>
    <w:rsid w:val="00B04517"/>
    <w:rsid w:val="00B049AD"/>
    <w:rsid w:val="00B04E4F"/>
    <w:rsid w:val="00B05129"/>
    <w:rsid w:val="00B058CA"/>
    <w:rsid w:val="00B05B65"/>
    <w:rsid w:val="00B05B6A"/>
    <w:rsid w:val="00B06055"/>
    <w:rsid w:val="00B068EA"/>
    <w:rsid w:val="00B069F9"/>
    <w:rsid w:val="00B06B18"/>
    <w:rsid w:val="00B06B6E"/>
    <w:rsid w:val="00B06F41"/>
    <w:rsid w:val="00B07268"/>
    <w:rsid w:val="00B0735B"/>
    <w:rsid w:val="00B0765F"/>
    <w:rsid w:val="00B10626"/>
    <w:rsid w:val="00B10A73"/>
    <w:rsid w:val="00B10DDD"/>
    <w:rsid w:val="00B11096"/>
    <w:rsid w:val="00B11291"/>
    <w:rsid w:val="00B117CC"/>
    <w:rsid w:val="00B11E3E"/>
    <w:rsid w:val="00B121B2"/>
    <w:rsid w:val="00B121C8"/>
    <w:rsid w:val="00B12584"/>
    <w:rsid w:val="00B125F6"/>
    <w:rsid w:val="00B12935"/>
    <w:rsid w:val="00B12C03"/>
    <w:rsid w:val="00B135FA"/>
    <w:rsid w:val="00B137B8"/>
    <w:rsid w:val="00B145F9"/>
    <w:rsid w:val="00B1471F"/>
    <w:rsid w:val="00B147EA"/>
    <w:rsid w:val="00B14F58"/>
    <w:rsid w:val="00B152C5"/>
    <w:rsid w:val="00B152E0"/>
    <w:rsid w:val="00B153BF"/>
    <w:rsid w:val="00B1573F"/>
    <w:rsid w:val="00B15AEC"/>
    <w:rsid w:val="00B16142"/>
    <w:rsid w:val="00B1662E"/>
    <w:rsid w:val="00B16C84"/>
    <w:rsid w:val="00B170D9"/>
    <w:rsid w:val="00B172B4"/>
    <w:rsid w:val="00B173CE"/>
    <w:rsid w:val="00B17D8A"/>
    <w:rsid w:val="00B20514"/>
    <w:rsid w:val="00B20539"/>
    <w:rsid w:val="00B2099A"/>
    <w:rsid w:val="00B2099F"/>
    <w:rsid w:val="00B20D8D"/>
    <w:rsid w:val="00B20EE2"/>
    <w:rsid w:val="00B213AF"/>
    <w:rsid w:val="00B218F3"/>
    <w:rsid w:val="00B21B70"/>
    <w:rsid w:val="00B22287"/>
    <w:rsid w:val="00B222DB"/>
    <w:rsid w:val="00B2230F"/>
    <w:rsid w:val="00B22394"/>
    <w:rsid w:val="00B22421"/>
    <w:rsid w:val="00B2264B"/>
    <w:rsid w:val="00B22695"/>
    <w:rsid w:val="00B228BB"/>
    <w:rsid w:val="00B22946"/>
    <w:rsid w:val="00B22959"/>
    <w:rsid w:val="00B22B27"/>
    <w:rsid w:val="00B22CF7"/>
    <w:rsid w:val="00B23011"/>
    <w:rsid w:val="00B234EB"/>
    <w:rsid w:val="00B2391E"/>
    <w:rsid w:val="00B23D27"/>
    <w:rsid w:val="00B23E7D"/>
    <w:rsid w:val="00B23F10"/>
    <w:rsid w:val="00B24823"/>
    <w:rsid w:val="00B24E53"/>
    <w:rsid w:val="00B25481"/>
    <w:rsid w:val="00B254BA"/>
    <w:rsid w:val="00B25828"/>
    <w:rsid w:val="00B25BEF"/>
    <w:rsid w:val="00B265B1"/>
    <w:rsid w:val="00B26CCC"/>
    <w:rsid w:val="00B27224"/>
    <w:rsid w:val="00B274A4"/>
    <w:rsid w:val="00B274E3"/>
    <w:rsid w:val="00B275E0"/>
    <w:rsid w:val="00B27CDE"/>
    <w:rsid w:val="00B3014D"/>
    <w:rsid w:val="00B301AB"/>
    <w:rsid w:val="00B30369"/>
    <w:rsid w:val="00B303A2"/>
    <w:rsid w:val="00B3060B"/>
    <w:rsid w:val="00B30AC7"/>
    <w:rsid w:val="00B3104E"/>
    <w:rsid w:val="00B31621"/>
    <w:rsid w:val="00B316A3"/>
    <w:rsid w:val="00B31B01"/>
    <w:rsid w:val="00B31D26"/>
    <w:rsid w:val="00B32673"/>
    <w:rsid w:val="00B32917"/>
    <w:rsid w:val="00B32CC5"/>
    <w:rsid w:val="00B33DD8"/>
    <w:rsid w:val="00B35349"/>
    <w:rsid w:val="00B355B6"/>
    <w:rsid w:val="00B355D8"/>
    <w:rsid w:val="00B359CF"/>
    <w:rsid w:val="00B35C86"/>
    <w:rsid w:val="00B36AD8"/>
    <w:rsid w:val="00B36ED9"/>
    <w:rsid w:val="00B36F06"/>
    <w:rsid w:val="00B36F52"/>
    <w:rsid w:val="00B37318"/>
    <w:rsid w:val="00B40506"/>
    <w:rsid w:val="00B4055C"/>
    <w:rsid w:val="00B40611"/>
    <w:rsid w:val="00B406C4"/>
    <w:rsid w:val="00B407A6"/>
    <w:rsid w:val="00B409EB"/>
    <w:rsid w:val="00B41A5D"/>
    <w:rsid w:val="00B42135"/>
    <w:rsid w:val="00B423A7"/>
    <w:rsid w:val="00B42A84"/>
    <w:rsid w:val="00B42F9F"/>
    <w:rsid w:val="00B43017"/>
    <w:rsid w:val="00B4355E"/>
    <w:rsid w:val="00B435C0"/>
    <w:rsid w:val="00B43D26"/>
    <w:rsid w:val="00B440C4"/>
    <w:rsid w:val="00B4422D"/>
    <w:rsid w:val="00B44A32"/>
    <w:rsid w:val="00B44F15"/>
    <w:rsid w:val="00B45027"/>
    <w:rsid w:val="00B4512F"/>
    <w:rsid w:val="00B453A9"/>
    <w:rsid w:val="00B455B0"/>
    <w:rsid w:val="00B46192"/>
    <w:rsid w:val="00B46266"/>
    <w:rsid w:val="00B46546"/>
    <w:rsid w:val="00B46591"/>
    <w:rsid w:val="00B466C0"/>
    <w:rsid w:val="00B467FE"/>
    <w:rsid w:val="00B4688F"/>
    <w:rsid w:val="00B46B30"/>
    <w:rsid w:val="00B47917"/>
    <w:rsid w:val="00B47D8E"/>
    <w:rsid w:val="00B47DB2"/>
    <w:rsid w:val="00B47DC5"/>
    <w:rsid w:val="00B50216"/>
    <w:rsid w:val="00B50328"/>
    <w:rsid w:val="00B50444"/>
    <w:rsid w:val="00B50C1A"/>
    <w:rsid w:val="00B50C5D"/>
    <w:rsid w:val="00B50E5E"/>
    <w:rsid w:val="00B51336"/>
    <w:rsid w:val="00B518E7"/>
    <w:rsid w:val="00B51D43"/>
    <w:rsid w:val="00B5247B"/>
    <w:rsid w:val="00B52BA8"/>
    <w:rsid w:val="00B52BE6"/>
    <w:rsid w:val="00B53233"/>
    <w:rsid w:val="00B53957"/>
    <w:rsid w:val="00B53E0B"/>
    <w:rsid w:val="00B540F9"/>
    <w:rsid w:val="00B5415D"/>
    <w:rsid w:val="00B5480B"/>
    <w:rsid w:val="00B54E5D"/>
    <w:rsid w:val="00B54FC9"/>
    <w:rsid w:val="00B5574E"/>
    <w:rsid w:val="00B55C3C"/>
    <w:rsid w:val="00B56312"/>
    <w:rsid w:val="00B56390"/>
    <w:rsid w:val="00B56506"/>
    <w:rsid w:val="00B5659C"/>
    <w:rsid w:val="00B5690B"/>
    <w:rsid w:val="00B56B62"/>
    <w:rsid w:val="00B56DFD"/>
    <w:rsid w:val="00B5707C"/>
    <w:rsid w:val="00B5737D"/>
    <w:rsid w:val="00B573DE"/>
    <w:rsid w:val="00B6064A"/>
    <w:rsid w:val="00B6066B"/>
    <w:rsid w:val="00B60880"/>
    <w:rsid w:val="00B608F8"/>
    <w:rsid w:val="00B60B27"/>
    <w:rsid w:val="00B6162A"/>
    <w:rsid w:val="00B61D90"/>
    <w:rsid w:val="00B621B7"/>
    <w:rsid w:val="00B62289"/>
    <w:rsid w:val="00B6333E"/>
    <w:rsid w:val="00B636F4"/>
    <w:rsid w:val="00B63A4F"/>
    <w:rsid w:val="00B64636"/>
    <w:rsid w:val="00B649F0"/>
    <w:rsid w:val="00B64C6D"/>
    <w:rsid w:val="00B64C91"/>
    <w:rsid w:val="00B6532E"/>
    <w:rsid w:val="00B65533"/>
    <w:rsid w:val="00B65C7A"/>
    <w:rsid w:val="00B65FE7"/>
    <w:rsid w:val="00B666F4"/>
    <w:rsid w:val="00B66B4D"/>
    <w:rsid w:val="00B66C7D"/>
    <w:rsid w:val="00B66CA8"/>
    <w:rsid w:val="00B6759B"/>
    <w:rsid w:val="00B675CE"/>
    <w:rsid w:val="00B678EE"/>
    <w:rsid w:val="00B67C5A"/>
    <w:rsid w:val="00B70417"/>
    <w:rsid w:val="00B704AE"/>
    <w:rsid w:val="00B7063C"/>
    <w:rsid w:val="00B70799"/>
    <w:rsid w:val="00B70F10"/>
    <w:rsid w:val="00B71715"/>
    <w:rsid w:val="00B7180A"/>
    <w:rsid w:val="00B71A8D"/>
    <w:rsid w:val="00B71B18"/>
    <w:rsid w:val="00B725DE"/>
    <w:rsid w:val="00B72F28"/>
    <w:rsid w:val="00B73335"/>
    <w:rsid w:val="00B73629"/>
    <w:rsid w:val="00B738EC"/>
    <w:rsid w:val="00B73A0A"/>
    <w:rsid w:val="00B73AD5"/>
    <w:rsid w:val="00B74064"/>
    <w:rsid w:val="00B753CE"/>
    <w:rsid w:val="00B755F1"/>
    <w:rsid w:val="00B75C48"/>
    <w:rsid w:val="00B75D82"/>
    <w:rsid w:val="00B76784"/>
    <w:rsid w:val="00B767DD"/>
    <w:rsid w:val="00B7683A"/>
    <w:rsid w:val="00B76C2C"/>
    <w:rsid w:val="00B76E00"/>
    <w:rsid w:val="00B77669"/>
    <w:rsid w:val="00B8095A"/>
    <w:rsid w:val="00B80AF0"/>
    <w:rsid w:val="00B80DE1"/>
    <w:rsid w:val="00B82A8E"/>
    <w:rsid w:val="00B82F1F"/>
    <w:rsid w:val="00B83B44"/>
    <w:rsid w:val="00B84737"/>
    <w:rsid w:val="00B8488D"/>
    <w:rsid w:val="00B851B6"/>
    <w:rsid w:val="00B85704"/>
    <w:rsid w:val="00B85AFD"/>
    <w:rsid w:val="00B85F68"/>
    <w:rsid w:val="00B86444"/>
    <w:rsid w:val="00B86D44"/>
    <w:rsid w:val="00B87333"/>
    <w:rsid w:val="00B87675"/>
    <w:rsid w:val="00B87B50"/>
    <w:rsid w:val="00B901F5"/>
    <w:rsid w:val="00B905D9"/>
    <w:rsid w:val="00B90C76"/>
    <w:rsid w:val="00B90EF0"/>
    <w:rsid w:val="00B911DD"/>
    <w:rsid w:val="00B91ACC"/>
    <w:rsid w:val="00B91C1B"/>
    <w:rsid w:val="00B91D3B"/>
    <w:rsid w:val="00B920BF"/>
    <w:rsid w:val="00B92511"/>
    <w:rsid w:val="00B926CD"/>
    <w:rsid w:val="00B92718"/>
    <w:rsid w:val="00B9357B"/>
    <w:rsid w:val="00B93B49"/>
    <w:rsid w:val="00B94173"/>
    <w:rsid w:val="00B9446C"/>
    <w:rsid w:val="00B949AE"/>
    <w:rsid w:val="00B95064"/>
    <w:rsid w:val="00B95660"/>
    <w:rsid w:val="00B95AAA"/>
    <w:rsid w:val="00B95ABF"/>
    <w:rsid w:val="00B95BB5"/>
    <w:rsid w:val="00B95C9C"/>
    <w:rsid w:val="00B95DE4"/>
    <w:rsid w:val="00B96042"/>
    <w:rsid w:val="00B96057"/>
    <w:rsid w:val="00B966A8"/>
    <w:rsid w:val="00B96C24"/>
    <w:rsid w:val="00B96DC3"/>
    <w:rsid w:val="00B973B3"/>
    <w:rsid w:val="00B97D1B"/>
    <w:rsid w:val="00B97DCF"/>
    <w:rsid w:val="00B97F86"/>
    <w:rsid w:val="00BA0D4E"/>
    <w:rsid w:val="00BA10DB"/>
    <w:rsid w:val="00BA15A2"/>
    <w:rsid w:val="00BA1D20"/>
    <w:rsid w:val="00BA1FE8"/>
    <w:rsid w:val="00BA1FE9"/>
    <w:rsid w:val="00BA23A9"/>
    <w:rsid w:val="00BA2F2F"/>
    <w:rsid w:val="00BA3054"/>
    <w:rsid w:val="00BA3462"/>
    <w:rsid w:val="00BA34D5"/>
    <w:rsid w:val="00BA3547"/>
    <w:rsid w:val="00BA39FD"/>
    <w:rsid w:val="00BA3D82"/>
    <w:rsid w:val="00BA3FD6"/>
    <w:rsid w:val="00BA42D0"/>
    <w:rsid w:val="00BA48B8"/>
    <w:rsid w:val="00BA4E0C"/>
    <w:rsid w:val="00BA4F4A"/>
    <w:rsid w:val="00BA509F"/>
    <w:rsid w:val="00BA5143"/>
    <w:rsid w:val="00BA554B"/>
    <w:rsid w:val="00BA55FE"/>
    <w:rsid w:val="00BA57AF"/>
    <w:rsid w:val="00BA5849"/>
    <w:rsid w:val="00BA5B80"/>
    <w:rsid w:val="00BA5CB2"/>
    <w:rsid w:val="00BA5E02"/>
    <w:rsid w:val="00BA6701"/>
    <w:rsid w:val="00BA672D"/>
    <w:rsid w:val="00BA682F"/>
    <w:rsid w:val="00BA6938"/>
    <w:rsid w:val="00BA6DF4"/>
    <w:rsid w:val="00BB039E"/>
    <w:rsid w:val="00BB043F"/>
    <w:rsid w:val="00BB1F9D"/>
    <w:rsid w:val="00BB2050"/>
    <w:rsid w:val="00BB234E"/>
    <w:rsid w:val="00BB24CC"/>
    <w:rsid w:val="00BB267F"/>
    <w:rsid w:val="00BB27A5"/>
    <w:rsid w:val="00BB2DC4"/>
    <w:rsid w:val="00BB3227"/>
    <w:rsid w:val="00BB328D"/>
    <w:rsid w:val="00BB360B"/>
    <w:rsid w:val="00BB3662"/>
    <w:rsid w:val="00BB369A"/>
    <w:rsid w:val="00BB3C76"/>
    <w:rsid w:val="00BB3F53"/>
    <w:rsid w:val="00BB45C6"/>
    <w:rsid w:val="00BB48BA"/>
    <w:rsid w:val="00BB4C6A"/>
    <w:rsid w:val="00BB4CF2"/>
    <w:rsid w:val="00BB532E"/>
    <w:rsid w:val="00BB5373"/>
    <w:rsid w:val="00BB5CD5"/>
    <w:rsid w:val="00BB6249"/>
    <w:rsid w:val="00BB71B5"/>
    <w:rsid w:val="00BB7CF6"/>
    <w:rsid w:val="00BB7EDF"/>
    <w:rsid w:val="00BC009B"/>
    <w:rsid w:val="00BC07F6"/>
    <w:rsid w:val="00BC08C4"/>
    <w:rsid w:val="00BC098C"/>
    <w:rsid w:val="00BC09DF"/>
    <w:rsid w:val="00BC0D0F"/>
    <w:rsid w:val="00BC13C9"/>
    <w:rsid w:val="00BC1B0D"/>
    <w:rsid w:val="00BC1D10"/>
    <w:rsid w:val="00BC217D"/>
    <w:rsid w:val="00BC2248"/>
    <w:rsid w:val="00BC22CD"/>
    <w:rsid w:val="00BC273E"/>
    <w:rsid w:val="00BC2CF3"/>
    <w:rsid w:val="00BC2D26"/>
    <w:rsid w:val="00BC2D87"/>
    <w:rsid w:val="00BC3BD2"/>
    <w:rsid w:val="00BC4349"/>
    <w:rsid w:val="00BC49F1"/>
    <w:rsid w:val="00BC4C42"/>
    <w:rsid w:val="00BC516C"/>
    <w:rsid w:val="00BC652E"/>
    <w:rsid w:val="00BC6778"/>
    <w:rsid w:val="00BC6DBA"/>
    <w:rsid w:val="00BC6E39"/>
    <w:rsid w:val="00BC723F"/>
    <w:rsid w:val="00BC79F0"/>
    <w:rsid w:val="00BD00DD"/>
    <w:rsid w:val="00BD00F3"/>
    <w:rsid w:val="00BD01B9"/>
    <w:rsid w:val="00BD0413"/>
    <w:rsid w:val="00BD0722"/>
    <w:rsid w:val="00BD0EE5"/>
    <w:rsid w:val="00BD15BB"/>
    <w:rsid w:val="00BD1ED2"/>
    <w:rsid w:val="00BD1F92"/>
    <w:rsid w:val="00BD20EA"/>
    <w:rsid w:val="00BD2543"/>
    <w:rsid w:val="00BD2615"/>
    <w:rsid w:val="00BD2A03"/>
    <w:rsid w:val="00BD2E5C"/>
    <w:rsid w:val="00BD2F58"/>
    <w:rsid w:val="00BD2FAF"/>
    <w:rsid w:val="00BD35AA"/>
    <w:rsid w:val="00BD37DA"/>
    <w:rsid w:val="00BD3D8A"/>
    <w:rsid w:val="00BD40DB"/>
    <w:rsid w:val="00BD419D"/>
    <w:rsid w:val="00BD4720"/>
    <w:rsid w:val="00BD4833"/>
    <w:rsid w:val="00BD4A04"/>
    <w:rsid w:val="00BD4FE9"/>
    <w:rsid w:val="00BD53A7"/>
    <w:rsid w:val="00BD549D"/>
    <w:rsid w:val="00BD589E"/>
    <w:rsid w:val="00BD5A69"/>
    <w:rsid w:val="00BD5CF7"/>
    <w:rsid w:val="00BD5DF3"/>
    <w:rsid w:val="00BD6475"/>
    <w:rsid w:val="00BD653D"/>
    <w:rsid w:val="00BD6641"/>
    <w:rsid w:val="00BD6689"/>
    <w:rsid w:val="00BD67BA"/>
    <w:rsid w:val="00BD6F91"/>
    <w:rsid w:val="00BD740A"/>
    <w:rsid w:val="00BD7A0F"/>
    <w:rsid w:val="00BD7D13"/>
    <w:rsid w:val="00BD7D5F"/>
    <w:rsid w:val="00BD7E15"/>
    <w:rsid w:val="00BD7F14"/>
    <w:rsid w:val="00BE06C6"/>
    <w:rsid w:val="00BE0BA6"/>
    <w:rsid w:val="00BE120D"/>
    <w:rsid w:val="00BE1385"/>
    <w:rsid w:val="00BE1603"/>
    <w:rsid w:val="00BE17DB"/>
    <w:rsid w:val="00BE1A72"/>
    <w:rsid w:val="00BE1B66"/>
    <w:rsid w:val="00BE1BF1"/>
    <w:rsid w:val="00BE2239"/>
    <w:rsid w:val="00BE2329"/>
    <w:rsid w:val="00BE291A"/>
    <w:rsid w:val="00BE2A73"/>
    <w:rsid w:val="00BE330C"/>
    <w:rsid w:val="00BE33A9"/>
    <w:rsid w:val="00BE35F9"/>
    <w:rsid w:val="00BE3CEC"/>
    <w:rsid w:val="00BE40D3"/>
    <w:rsid w:val="00BE424A"/>
    <w:rsid w:val="00BE4401"/>
    <w:rsid w:val="00BE48CA"/>
    <w:rsid w:val="00BE4CE0"/>
    <w:rsid w:val="00BE4DAA"/>
    <w:rsid w:val="00BE5029"/>
    <w:rsid w:val="00BE5723"/>
    <w:rsid w:val="00BE59EC"/>
    <w:rsid w:val="00BE5FA3"/>
    <w:rsid w:val="00BE6757"/>
    <w:rsid w:val="00BE6FAA"/>
    <w:rsid w:val="00BE7139"/>
    <w:rsid w:val="00BE7398"/>
    <w:rsid w:val="00BE77E4"/>
    <w:rsid w:val="00BE7A87"/>
    <w:rsid w:val="00BE7D5A"/>
    <w:rsid w:val="00BE7ED4"/>
    <w:rsid w:val="00BE7F1C"/>
    <w:rsid w:val="00BF026C"/>
    <w:rsid w:val="00BF088B"/>
    <w:rsid w:val="00BF0943"/>
    <w:rsid w:val="00BF095D"/>
    <w:rsid w:val="00BF0B9E"/>
    <w:rsid w:val="00BF0BF5"/>
    <w:rsid w:val="00BF1103"/>
    <w:rsid w:val="00BF1406"/>
    <w:rsid w:val="00BF1C62"/>
    <w:rsid w:val="00BF1ECA"/>
    <w:rsid w:val="00BF216E"/>
    <w:rsid w:val="00BF2CD0"/>
    <w:rsid w:val="00BF2DEB"/>
    <w:rsid w:val="00BF3B24"/>
    <w:rsid w:val="00BF3CC3"/>
    <w:rsid w:val="00BF3E75"/>
    <w:rsid w:val="00BF3EC4"/>
    <w:rsid w:val="00BF3F88"/>
    <w:rsid w:val="00BF43AE"/>
    <w:rsid w:val="00BF47B7"/>
    <w:rsid w:val="00BF52CB"/>
    <w:rsid w:val="00BF57B8"/>
    <w:rsid w:val="00BF5C65"/>
    <w:rsid w:val="00BF5F23"/>
    <w:rsid w:val="00BF674A"/>
    <w:rsid w:val="00BF68F3"/>
    <w:rsid w:val="00BF6CBA"/>
    <w:rsid w:val="00BF6F54"/>
    <w:rsid w:val="00BF70D3"/>
    <w:rsid w:val="00BF74A9"/>
    <w:rsid w:val="00BF7A39"/>
    <w:rsid w:val="00C000DD"/>
    <w:rsid w:val="00C0067E"/>
    <w:rsid w:val="00C006A2"/>
    <w:rsid w:val="00C00810"/>
    <w:rsid w:val="00C00884"/>
    <w:rsid w:val="00C00A89"/>
    <w:rsid w:val="00C0146C"/>
    <w:rsid w:val="00C0193C"/>
    <w:rsid w:val="00C01991"/>
    <w:rsid w:val="00C01A33"/>
    <w:rsid w:val="00C01C95"/>
    <w:rsid w:val="00C01CC5"/>
    <w:rsid w:val="00C02220"/>
    <w:rsid w:val="00C025B7"/>
    <w:rsid w:val="00C030A9"/>
    <w:rsid w:val="00C03525"/>
    <w:rsid w:val="00C0362D"/>
    <w:rsid w:val="00C03C3B"/>
    <w:rsid w:val="00C04273"/>
    <w:rsid w:val="00C047EE"/>
    <w:rsid w:val="00C05A13"/>
    <w:rsid w:val="00C05C9C"/>
    <w:rsid w:val="00C05FA1"/>
    <w:rsid w:val="00C06071"/>
    <w:rsid w:val="00C061DC"/>
    <w:rsid w:val="00C063E2"/>
    <w:rsid w:val="00C064B9"/>
    <w:rsid w:val="00C06597"/>
    <w:rsid w:val="00C06685"/>
    <w:rsid w:val="00C06EED"/>
    <w:rsid w:val="00C06FE5"/>
    <w:rsid w:val="00C10597"/>
    <w:rsid w:val="00C1097A"/>
    <w:rsid w:val="00C10CBD"/>
    <w:rsid w:val="00C10D30"/>
    <w:rsid w:val="00C11505"/>
    <w:rsid w:val="00C1166E"/>
    <w:rsid w:val="00C116C9"/>
    <w:rsid w:val="00C11926"/>
    <w:rsid w:val="00C11D31"/>
    <w:rsid w:val="00C126C8"/>
    <w:rsid w:val="00C12929"/>
    <w:rsid w:val="00C138C7"/>
    <w:rsid w:val="00C139BA"/>
    <w:rsid w:val="00C13DB7"/>
    <w:rsid w:val="00C147C1"/>
    <w:rsid w:val="00C14D14"/>
    <w:rsid w:val="00C14DE6"/>
    <w:rsid w:val="00C14E08"/>
    <w:rsid w:val="00C1589E"/>
    <w:rsid w:val="00C159F7"/>
    <w:rsid w:val="00C15F29"/>
    <w:rsid w:val="00C16AB4"/>
    <w:rsid w:val="00C17BF9"/>
    <w:rsid w:val="00C17C38"/>
    <w:rsid w:val="00C17D6E"/>
    <w:rsid w:val="00C17FD7"/>
    <w:rsid w:val="00C20CC8"/>
    <w:rsid w:val="00C211A1"/>
    <w:rsid w:val="00C216F7"/>
    <w:rsid w:val="00C21A4A"/>
    <w:rsid w:val="00C21C39"/>
    <w:rsid w:val="00C21F69"/>
    <w:rsid w:val="00C2295C"/>
    <w:rsid w:val="00C23209"/>
    <w:rsid w:val="00C237ED"/>
    <w:rsid w:val="00C2393C"/>
    <w:rsid w:val="00C23B9D"/>
    <w:rsid w:val="00C23BD6"/>
    <w:rsid w:val="00C23EB0"/>
    <w:rsid w:val="00C240DC"/>
    <w:rsid w:val="00C24254"/>
    <w:rsid w:val="00C246C1"/>
    <w:rsid w:val="00C24AA0"/>
    <w:rsid w:val="00C24DA2"/>
    <w:rsid w:val="00C2513A"/>
    <w:rsid w:val="00C25502"/>
    <w:rsid w:val="00C255EB"/>
    <w:rsid w:val="00C257C0"/>
    <w:rsid w:val="00C26517"/>
    <w:rsid w:val="00C265CB"/>
    <w:rsid w:val="00C267E7"/>
    <w:rsid w:val="00C26BAA"/>
    <w:rsid w:val="00C30607"/>
    <w:rsid w:val="00C308F9"/>
    <w:rsid w:val="00C30E8D"/>
    <w:rsid w:val="00C30F1B"/>
    <w:rsid w:val="00C315E5"/>
    <w:rsid w:val="00C31F16"/>
    <w:rsid w:val="00C320F0"/>
    <w:rsid w:val="00C322C1"/>
    <w:rsid w:val="00C325D0"/>
    <w:rsid w:val="00C32990"/>
    <w:rsid w:val="00C329AA"/>
    <w:rsid w:val="00C32AD7"/>
    <w:rsid w:val="00C32CF7"/>
    <w:rsid w:val="00C33352"/>
    <w:rsid w:val="00C336E8"/>
    <w:rsid w:val="00C33CBE"/>
    <w:rsid w:val="00C3428B"/>
    <w:rsid w:val="00C34B0E"/>
    <w:rsid w:val="00C34B49"/>
    <w:rsid w:val="00C35603"/>
    <w:rsid w:val="00C356F4"/>
    <w:rsid w:val="00C35867"/>
    <w:rsid w:val="00C35A35"/>
    <w:rsid w:val="00C36085"/>
    <w:rsid w:val="00C36494"/>
    <w:rsid w:val="00C36D93"/>
    <w:rsid w:val="00C37020"/>
    <w:rsid w:val="00C37307"/>
    <w:rsid w:val="00C3785C"/>
    <w:rsid w:val="00C4022A"/>
    <w:rsid w:val="00C40265"/>
    <w:rsid w:val="00C407B5"/>
    <w:rsid w:val="00C40DE4"/>
    <w:rsid w:val="00C4108B"/>
    <w:rsid w:val="00C4140C"/>
    <w:rsid w:val="00C4148C"/>
    <w:rsid w:val="00C4160E"/>
    <w:rsid w:val="00C4170F"/>
    <w:rsid w:val="00C41F89"/>
    <w:rsid w:val="00C4267F"/>
    <w:rsid w:val="00C4290E"/>
    <w:rsid w:val="00C42937"/>
    <w:rsid w:val="00C42ABC"/>
    <w:rsid w:val="00C42C37"/>
    <w:rsid w:val="00C430B0"/>
    <w:rsid w:val="00C4313A"/>
    <w:rsid w:val="00C43459"/>
    <w:rsid w:val="00C43AC4"/>
    <w:rsid w:val="00C43E8B"/>
    <w:rsid w:val="00C440F8"/>
    <w:rsid w:val="00C45467"/>
    <w:rsid w:val="00C45BFE"/>
    <w:rsid w:val="00C45CC4"/>
    <w:rsid w:val="00C46801"/>
    <w:rsid w:val="00C46C46"/>
    <w:rsid w:val="00C46C51"/>
    <w:rsid w:val="00C46C9A"/>
    <w:rsid w:val="00C46CE1"/>
    <w:rsid w:val="00C46F56"/>
    <w:rsid w:val="00C472ED"/>
    <w:rsid w:val="00C4758F"/>
    <w:rsid w:val="00C477F9"/>
    <w:rsid w:val="00C477FC"/>
    <w:rsid w:val="00C50651"/>
    <w:rsid w:val="00C5090F"/>
    <w:rsid w:val="00C50A2B"/>
    <w:rsid w:val="00C50C43"/>
    <w:rsid w:val="00C50F99"/>
    <w:rsid w:val="00C512E1"/>
    <w:rsid w:val="00C5171C"/>
    <w:rsid w:val="00C517C4"/>
    <w:rsid w:val="00C5284A"/>
    <w:rsid w:val="00C53072"/>
    <w:rsid w:val="00C53D6B"/>
    <w:rsid w:val="00C5482A"/>
    <w:rsid w:val="00C5498F"/>
    <w:rsid w:val="00C54A57"/>
    <w:rsid w:val="00C54CBB"/>
    <w:rsid w:val="00C54D1B"/>
    <w:rsid w:val="00C54F26"/>
    <w:rsid w:val="00C54F2A"/>
    <w:rsid w:val="00C5507B"/>
    <w:rsid w:val="00C55320"/>
    <w:rsid w:val="00C554EE"/>
    <w:rsid w:val="00C55FCE"/>
    <w:rsid w:val="00C5606E"/>
    <w:rsid w:val="00C56269"/>
    <w:rsid w:val="00C567AB"/>
    <w:rsid w:val="00C56989"/>
    <w:rsid w:val="00C569D2"/>
    <w:rsid w:val="00C56B29"/>
    <w:rsid w:val="00C57253"/>
    <w:rsid w:val="00C57459"/>
    <w:rsid w:val="00C57527"/>
    <w:rsid w:val="00C57613"/>
    <w:rsid w:val="00C57B8C"/>
    <w:rsid w:val="00C57C70"/>
    <w:rsid w:val="00C608A2"/>
    <w:rsid w:val="00C60BDE"/>
    <w:rsid w:val="00C60DB8"/>
    <w:rsid w:val="00C618A2"/>
    <w:rsid w:val="00C61903"/>
    <w:rsid w:val="00C623FF"/>
    <w:rsid w:val="00C6267D"/>
    <w:rsid w:val="00C62976"/>
    <w:rsid w:val="00C638C9"/>
    <w:rsid w:val="00C63BA9"/>
    <w:rsid w:val="00C63F25"/>
    <w:rsid w:val="00C63F67"/>
    <w:rsid w:val="00C63FD1"/>
    <w:rsid w:val="00C645E2"/>
    <w:rsid w:val="00C6483B"/>
    <w:rsid w:val="00C64FBA"/>
    <w:rsid w:val="00C6544E"/>
    <w:rsid w:val="00C656AF"/>
    <w:rsid w:val="00C659BD"/>
    <w:rsid w:val="00C65E4C"/>
    <w:rsid w:val="00C6613F"/>
    <w:rsid w:val="00C66172"/>
    <w:rsid w:val="00C66290"/>
    <w:rsid w:val="00C666CE"/>
    <w:rsid w:val="00C67C8D"/>
    <w:rsid w:val="00C70C27"/>
    <w:rsid w:val="00C70F84"/>
    <w:rsid w:val="00C712ED"/>
    <w:rsid w:val="00C71FAB"/>
    <w:rsid w:val="00C722CF"/>
    <w:rsid w:val="00C72475"/>
    <w:rsid w:val="00C72599"/>
    <w:rsid w:val="00C72AC6"/>
    <w:rsid w:val="00C72AD6"/>
    <w:rsid w:val="00C72F50"/>
    <w:rsid w:val="00C736F4"/>
    <w:rsid w:val="00C73A7C"/>
    <w:rsid w:val="00C73BB7"/>
    <w:rsid w:val="00C73BDF"/>
    <w:rsid w:val="00C73CE6"/>
    <w:rsid w:val="00C73E12"/>
    <w:rsid w:val="00C74033"/>
    <w:rsid w:val="00C74234"/>
    <w:rsid w:val="00C74398"/>
    <w:rsid w:val="00C7491C"/>
    <w:rsid w:val="00C7499F"/>
    <w:rsid w:val="00C74B16"/>
    <w:rsid w:val="00C75143"/>
    <w:rsid w:val="00C7588F"/>
    <w:rsid w:val="00C75C10"/>
    <w:rsid w:val="00C75E7A"/>
    <w:rsid w:val="00C75FF1"/>
    <w:rsid w:val="00C76192"/>
    <w:rsid w:val="00C763C5"/>
    <w:rsid w:val="00C76400"/>
    <w:rsid w:val="00C7661A"/>
    <w:rsid w:val="00C766C8"/>
    <w:rsid w:val="00C769CF"/>
    <w:rsid w:val="00C76EB4"/>
    <w:rsid w:val="00C774A0"/>
    <w:rsid w:val="00C7759F"/>
    <w:rsid w:val="00C80844"/>
    <w:rsid w:val="00C8085B"/>
    <w:rsid w:val="00C809D7"/>
    <w:rsid w:val="00C80A98"/>
    <w:rsid w:val="00C80E5C"/>
    <w:rsid w:val="00C81D70"/>
    <w:rsid w:val="00C81F1E"/>
    <w:rsid w:val="00C81F48"/>
    <w:rsid w:val="00C83156"/>
    <w:rsid w:val="00C8317E"/>
    <w:rsid w:val="00C83522"/>
    <w:rsid w:val="00C836D6"/>
    <w:rsid w:val="00C846FA"/>
    <w:rsid w:val="00C84B5E"/>
    <w:rsid w:val="00C8525C"/>
    <w:rsid w:val="00C85299"/>
    <w:rsid w:val="00C85B0C"/>
    <w:rsid w:val="00C85E0D"/>
    <w:rsid w:val="00C85F5C"/>
    <w:rsid w:val="00C86563"/>
    <w:rsid w:val="00C86C30"/>
    <w:rsid w:val="00C87047"/>
    <w:rsid w:val="00C87093"/>
    <w:rsid w:val="00C87458"/>
    <w:rsid w:val="00C87643"/>
    <w:rsid w:val="00C877C7"/>
    <w:rsid w:val="00C87EC8"/>
    <w:rsid w:val="00C87F13"/>
    <w:rsid w:val="00C9040B"/>
    <w:rsid w:val="00C9041D"/>
    <w:rsid w:val="00C90B00"/>
    <w:rsid w:val="00C90F85"/>
    <w:rsid w:val="00C91684"/>
    <w:rsid w:val="00C916D0"/>
    <w:rsid w:val="00C9197F"/>
    <w:rsid w:val="00C91ADA"/>
    <w:rsid w:val="00C91D5E"/>
    <w:rsid w:val="00C91F74"/>
    <w:rsid w:val="00C92AD3"/>
    <w:rsid w:val="00C92B63"/>
    <w:rsid w:val="00C92E7A"/>
    <w:rsid w:val="00C93347"/>
    <w:rsid w:val="00C94281"/>
    <w:rsid w:val="00C94738"/>
    <w:rsid w:val="00C94FF7"/>
    <w:rsid w:val="00C950D6"/>
    <w:rsid w:val="00C9559D"/>
    <w:rsid w:val="00C9565E"/>
    <w:rsid w:val="00C95812"/>
    <w:rsid w:val="00C96767"/>
    <w:rsid w:val="00C96EC8"/>
    <w:rsid w:val="00C96FB4"/>
    <w:rsid w:val="00C97494"/>
    <w:rsid w:val="00C97712"/>
    <w:rsid w:val="00C97C5F"/>
    <w:rsid w:val="00CA07B7"/>
    <w:rsid w:val="00CA0C7D"/>
    <w:rsid w:val="00CA0EAD"/>
    <w:rsid w:val="00CA13D3"/>
    <w:rsid w:val="00CA2449"/>
    <w:rsid w:val="00CA254E"/>
    <w:rsid w:val="00CA25B4"/>
    <w:rsid w:val="00CA294B"/>
    <w:rsid w:val="00CA2DF5"/>
    <w:rsid w:val="00CA40D0"/>
    <w:rsid w:val="00CA47F2"/>
    <w:rsid w:val="00CA4B87"/>
    <w:rsid w:val="00CA4C7C"/>
    <w:rsid w:val="00CA4F05"/>
    <w:rsid w:val="00CA50E1"/>
    <w:rsid w:val="00CA7269"/>
    <w:rsid w:val="00CA7312"/>
    <w:rsid w:val="00CA73F2"/>
    <w:rsid w:val="00CA790E"/>
    <w:rsid w:val="00CA7A0C"/>
    <w:rsid w:val="00CA7A47"/>
    <w:rsid w:val="00CA7B01"/>
    <w:rsid w:val="00CB008F"/>
    <w:rsid w:val="00CB023A"/>
    <w:rsid w:val="00CB08F8"/>
    <w:rsid w:val="00CB0BEA"/>
    <w:rsid w:val="00CB0CDB"/>
    <w:rsid w:val="00CB0D2D"/>
    <w:rsid w:val="00CB0F61"/>
    <w:rsid w:val="00CB105A"/>
    <w:rsid w:val="00CB1125"/>
    <w:rsid w:val="00CB135C"/>
    <w:rsid w:val="00CB1875"/>
    <w:rsid w:val="00CB1EEF"/>
    <w:rsid w:val="00CB203F"/>
    <w:rsid w:val="00CB23B9"/>
    <w:rsid w:val="00CB2409"/>
    <w:rsid w:val="00CB25C0"/>
    <w:rsid w:val="00CB26EF"/>
    <w:rsid w:val="00CB29ED"/>
    <w:rsid w:val="00CB3661"/>
    <w:rsid w:val="00CB376D"/>
    <w:rsid w:val="00CB452C"/>
    <w:rsid w:val="00CB459E"/>
    <w:rsid w:val="00CB46BA"/>
    <w:rsid w:val="00CB46DB"/>
    <w:rsid w:val="00CB4ACA"/>
    <w:rsid w:val="00CB4DB5"/>
    <w:rsid w:val="00CB4DCF"/>
    <w:rsid w:val="00CB51B7"/>
    <w:rsid w:val="00CB5318"/>
    <w:rsid w:val="00CB584C"/>
    <w:rsid w:val="00CB5C33"/>
    <w:rsid w:val="00CB5F07"/>
    <w:rsid w:val="00CB64C4"/>
    <w:rsid w:val="00CB6523"/>
    <w:rsid w:val="00CB6D19"/>
    <w:rsid w:val="00CB7359"/>
    <w:rsid w:val="00CB7DBE"/>
    <w:rsid w:val="00CC00B6"/>
    <w:rsid w:val="00CC03B8"/>
    <w:rsid w:val="00CC05DF"/>
    <w:rsid w:val="00CC06EF"/>
    <w:rsid w:val="00CC08C0"/>
    <w:rsid w:val="00CC145C"/>
    <w:rsid w:val="00CC15FE"/>
    <w:rsid w:val="00CC1B99"/>
    <w:rsid w:val="00CC1C30"/>
    <w:rsid w:val="00CC2375"/>
    <w:rsid w:val="00CC2979"/>
    <w:rsid w:val="00CC2A05"/>
    <w:rsid w:val="00CC2CB8"/>
    <w:rsid w:val="00CC3503"/>
    <w:rsid w:val="00CC3EF8"/>
    <w:rsid w:val="00CC43E9"/>
    <w:rsid w:val="00CC47D0"/>
    <w:rsid w:val="00CC4BF0"/>
    <w:rsid w:val="00CC4DE6"/>
    <w:rsid w:val="00CC4EBF"/>
    <w:rsid w:val="00CC5876"/>
    <w:rsid w:val="00CC5EC3"/>
    <w:rsid w:val="00CC6381"/>
    <w:rsid w:val="00CC65A5"/>
    <w:rsid w:val="00CC6808"/>
    <w:rsid w:val="00CC6859"/>
    <w:rsid w:val="00CC6885"/>
    <w:rsid w:val="00CC693E"/>
    <w:rsid w:val="00CC698F"/>
    <w:rsid w:val="00CC6EE4"/>
    <w:rsid w:val="00CC726E"/>
    <w:rsid w:val="00CC730D"/>
    <w:rsid w:val="00CC7376"/>
    <w:rsid w:val="00CC7529"/>
    <w:rsid w:val="00CC7643"/>
    <w:rsid w:val="00CC7648"/>
    <w:rsid w:val="00CC7CBF"/>
    <w:rsid w:val="00CD009B"/>
    <w:rsid w:val="00CD1250"/>
    <w:rsid w:val="00CD132B"/>
    <w:rsid w:val="00CD15AC"/>
    <w:rsid w:val="00CD1B8E"/>
    <w:rsid w:val="00CD207D"/>
    <w:rsid w:val="00CD2204"/>
    <w:rsid w:val="00CD2BAA"/>
    <w:rsid w:val="00CD3850"/>
    <w:rsid w:val="00CD3BA5"/>
    <w:rsid w:val="00CD4020"/>
    <w:rsid w:val="00CD4030"/>
    <w:rsid w:val="00CD440F"/>
    <w:rsid w:val="00CD4417"/>
    <w:rsid w:val="00CD489B"/>
    <w:rsid w:val="00CD4991"/>
    <w:rsid w:val="00CD4EC6"/>
    <w:rsid w:val="00CD5204"/>
    <w:rsid w:val="00CD5575"/>
    <w:rsid w:val="00CD5746"/>
    <w:rsid w:val="00CD5E47"/>
    <w:rsid w:val="00CD6861"/>
    <w:rsid w:val="00CD6BAD"/>
    <w:rsid w:val="00CD716C"/>
    <w:rsid w:val="00CD772C"/>
    <w:rsid w:val="00CD7AB7"/>
    <w:rsid w:val="00CD7D6E"/>
    <w:rsid w:val="00CD7EB2"/>
    <w:rsid w:val="00CE02B6"/>
    <w:rsid w:val="00CE1676"/>
    <w:rsid w:val="00CE19AB"/>
    <w:rsid w:val="00CE1BEC"/>
    <w:rsid w:val="00CE2270"/>
    <w:rsid w:val="00CE2C29"/>
    <w:rsid w:val="00CE2CAD"/>
    <w:rsid w:val="00CE2D61"/>
    <w:rsid w:val="00CE30D1"/>
    <w:rsid w:val="00CE3114"/>
    <w:rsid w:val="00CE3355"/>
    <w:rsid w:val="00CE47A4"/>
    <w:rsid w:val="00CE4FE7"/>
    <w:rsid w:val="00CE5508"/>
    <w:rsid w:val="00CE5590"/>
    <w:rsid w:val="00CE6236"/>
    <w:rsid w:val="00CE625A"/>
    <w:rsid w:val="00CE6F93"/>
    <w:rsid w:val="00CE7289"/>
    <w:rsid w:val="00CF0829"/>
    <w:rsid w:val="00CF1272"/>
    <w:rsid w:val="00CF137F"/>
    <w:rsid w:val="00CF156B"/>
    <w:rsid w:val="00CF1880"/>
    <w:rsid w:val="00CF2168"/>
    <w:rsid w:val="00CF23EB"/>
    <w:rsid w:val="00CF25E7"/>
    <w:rsid w:val="00CF2D5C"/>
    <w:rsid w:val="00CF311F"/>
    <w:rsid w:val="00CF3338"/>
    <w:rsid w:val="00CF3987"/>
    <w:rsid w:val="00CF4720"/>
    <w:rsid w:val="00CF48A5"/>
    <w:rsid w:val="00CF531E"/>
    <w:rsid w:val="00CF5806"/>
    <w:rsid w:val="00CF5982"/>
    <w:rsid w:val="00CF65F1"/>
    <w:rsid w:val="00CF6693"/>
    <w:rsid w:val="00CF6C23"/>
    <w:rsid w:val="00CF7372"/>
    <w:rsid w:val="00CF7CE0"/>
    <w:rsid w:val="00CF7FCD"/>
    <w:rsid w:val="00D00133"/>
    <w:rsid w:val="00D010A0"/>
    <w:rsid w:val="00D013A9"/>
    <w:rsid w:val="00D016C4"/>
    <w:rsid w:val="00D01CFD"/>
    <w:rsid w:val="00D02457"/>
    <w:rsid w:val="00D02810"/>
    <w:rsid w:val="00D02A16"/>
    <w:rsid w:val="00D032A3"/>
    <w:rsid w:val="00D04013"/>
    <w:rsid w:val="00D044DE"/>
    <w:rsid w:val="00D04572"/>
    <w:rsid w:val="00D045A2"/>
    <w:rsid w:val="00D04709"/>
    <w:rsid w:val="00D049AE"/>
    <w:rsid w:val="00D04A0B"/>
    <w:rsid w:val="00D04DB1"/>
    <w:rsid w:val="00D055BB"/>
    <w:rsid w:val="00D05AA3"/>
    <w:rsid w:val="00D05B84"/>
    <w:rsid w:val="00D0610F"/>
    <w:rsid w:val="00D06DE5"/>
    <w:rsid w:val="00D0700A"/>
    <w:rsid w:val="00D0787A"/>
    <w:rsid w:val="00D07D8E"/>
    <w:rsid w:val="00D07F36"/>
    <w:rsid w:val="00D104F9"/>
    <w:rsid w:val="00D105A4"/>
    <w:rsid w:val="00D10A36"/>
    <w:rsid w:val="00D10C11"/>
    <w:rsid w:val="00D11500"/>
    <w:rsid w:val="00D119F9"/>
    <w:rsid w:val="00D11DE1"/>
    <w:rsid w:val="00D1208B"/>
    <w:rsid w:val="00D12552"/>
    <w:rsid w:val="00D127BF"/>
    <w:rsid w:val="00D12A19"/>
    <w:rsid w:val="00D12EA2"/>
    <w:rsid w:val="00D1314B"/>
    <w:rsid w:val="00D13539"/>
    <w:rsid w:val="00D13559"/>
    <w:rsid w:val="00D13735"/>
    <w:rsid w:val="00D139AC"/>
    <w:rsid w:val="00D13DA2"/>
    <w:rsid w:val="00D14105"/>
    <w:rsid w:val="00D141C0"/>
    <w:rsid w:val="00D152ED"/>
    <w:rsid w:val="00D15494"/>
    <w:rsid w:val="00D155E4"/>
    <w:rsid w:val="00D1560E"/>
    <w:rsid w:val="00D15900"/>
    <w:rsid w:val="00D15F6C"/>
    <w:rsid w:val="00D167CD"/>
    <w:rsid w:val="00D17418"/>
    <w:rsid w:val="00D20039"/>
    <w:rsid w:val="00D20332"/>
    <w:rsid w:val="00D207DB"/>
    <w:rsid w:val="00D211CB"/>
    <w:rsid w:val="00D21333"/>
    <w:rsid w:val="00D21382"/>
    <w:rsid w:val="00D21AE1"/>
    <w:rsid w:val="00D222AA"/>
    <w:rsid w:val="00D2246E"/>
    <w:rsid w:val="00D22550"/>
    <w:rsid w:val="00D2279A"/>
    <w:rsid w:val="00D233E2"/>
    <w:rsid w:val="00D2404A"/>
    <w:rsid w:val="00D2418B"/>
    <w:rsid w:val="00D24327"/>
    <w:rsid w:val="00D24444"/>
    <w:rsid w:val="00D244CC"/>
    <w:rsid w:val="00D24601"/>
    <w:rsid w:val="00D246F5"/>
    <w:rsid w:val="00D250A6"/>
    <w:rsid w:val="00D25229"/>
    <w:rsid w:val="00D25336"/>
    <w:rsid w:val="00D25534"/>
    <w:rsid w:val="00D256CE"/>
    <w:rsid w:val="00D25D0A"/>
    <w:rsid w:val="00D26152"/>
    <w:rsid w:val="00D2637A"/>
    <w:rsid w:val="00D26F12"/>
    <w:rsid w:val="00D27208"/>
    <w:rsid w:val="00D2729E"/>
    <w:rsid w:val="00D2778E"/>
    <w:rsid w:val="00D27871"/>
    <w:rsid w:val="00D27940"/>
    <w:rsid w:val="00D3039D"/>
    <w:rsid w:val="00D30588"/>
    <w:rsid w:val="00D309DA"/>
    <w:rsid w:val="00D30C01"/>
    <w:rsid w:val="00D30FD0"/>
    <w:rsid w:val="00D3149F"/>
    <w:rsid w:val="00D315A3"/>
    <w:rsid w:val="00D31DE6"/>
    <w:rsid w:val="00D32C0B"/>
    <w:rsid w:val="00D32EBB"/>
    <w:rsid w:val="00D33131"/>
    <w:rsid w:val="00D33FE0"/>
    <w:rsid w:val="00D3477C"/>
    <w:rsid w:val="00D348C5"/>
    <w:rsid w:val="00D361B4"/>
    <w:rsid w:val="00D366EF"/>
    <w:rsid w:val="00D36A20"/>
    <w:rsid w:val="00D36BC4"/>
    <w:rsid w:val="00D36F67"/>
    <w:rsid w:val="00D37E52"/>
    <w:rsid w:val="00D400B9"/>
    <w:rsid w:val="00D40202"/>
    <w:rsid w:val="00D40716"/>
    <w:rsid w:val="00D407C2"/>
    <w:rsid w:val="00D407F9"/>
    <w:rsid w:val="00D40BFF"/>
    <w:rsid w:val="00D40FAA"/>
    <w:rsid w:val="00D40FD7"/>
    <w:rsid w:val="00D41123"/>
    <w:rsid w:val="00D41E6B"/>
    <w:rsid w:val="00D424D7"/>
    <w:rsid w:val="00D4260B"/>
    <w:rsid w:val="00D42635"/>
    <w:rsid w:val="00D42A4D"/>
    <w:rsid w:val="00D42D1C"/>
    <w:rsid w:val="00D42D71"/>
    <w:rsid w:val="00D43091"/>
    <w:rsid w:val="00D43528"/>
    <w:rsid w:val="00D43789"/>
    <w:rsid w:val="00D43D65"/>
    <w:rsid w:val="00D43E31"/>
    <w:rsid w:val="00D43FD2"/>
    <w:rsid w:val="00D4420A"/>
    <w:rsid w:val="00D44C39"/>
    <w:rsid w:val="00D45041"/>
    <w:rsid w:val="00D45373"/>
    <w:rsid w:val="00D45604"/>
    <w:rsid w:val="00D45769"/>
    <w:rsid w:val="00D45C66"/>
    <w:rsid w:val="00D46223"/>
    <w:rsid w:val="00D464B6"/>
    <w:rsid w:val="00D467A1"/>
    <w:rsid w:val="00D468EB"/>
    <w:rsid w:val="00D46C5B"/>
    <w:rsid w:val="00D46DB9"/>
    <w:rsid w:val="00D46E07"/>
    <w:rsid w:val="00D475A2"/>
    <w:rsid w:val="00D50820"/>
    <w:rsid w:val="00D50983"/>
    <w:rsid w:val="00D5109A"/>
    <w:rsid w:val="00D51981"/>
    <w:rsid w:val="00D51F40"/>
    <w:rsid w:val="00D52227"/>
    <w:rsid w:val="00D5272A"/>
    <w:rsid w:val="00D528A7"/>
    <w:rsid w:val="00D52C33"/>
    <w:rsid w:val="00D53A0F"/>
    <w:rsid w:val="00D53C0D"/>
    <w:rsid w:val="00D53C3F"/>
    <w:rsid w:val="00D545E4"/>
    <w:rsid w:val="00D547E2"/>
    <w:rsid w:val="00D54976"/>
    <w:rsid w:val="00D54A69"/>
    <w:rsid w:val="00D54B38"/>
    <w:rsid w:val="00D55862"/>
    <w:rsid w:val="00D55A2D"/>
    <w:rsid w:val="00D55A85"/>
    <w:rsid w:val="00D55ABF"/>
    <w:rsid w:val="00D55CB6"/>
    <w:rsid w:val="00D55D25"/>
    <w:rsid w:val="00D55D77"/>
    <w:rsid w:val="00D55F04"/>
    <w:rsid w:val="00D566AE"/>
    <w:rsid w:val="00D56780"/>
    <w:rsid w:val="00D57026"/>
    <w:rsid w:val="00D57C1D"/>
    <w:rsid w:val="00D57CC3"/>
    <w:rsid w:val="00D6060F"/>
    <w:rsid w:val="00D60A43"/>
    <w:rsid w:val="00D60D4C"/>
    <w:rsid w:val="00D60FB7"/>
    <w:rsid w:val="00D6102F"/>
    <w:rsid w:val="00D61851"/>
    <w:rsid w:val="00D61A31"/>
    <w:rsid w:val="00D61C7D"/>
    <w:rsid w:val="00D61F48"/>
    <w:rsid w:val="00D620CE"/>
    <w:rsid w:val="00D62235"/>
    <w:rsid w:val="00D62659"/>
    <w:rsid w:val="00D62DCC"/>
    <w:rsid w:val="00D62F19"/>
    <w:rsid w:val="00D630A6"/>
    <w:rsid w:val="00D63FCF"/>
    <w:rsid w:val="00D64031"/>
    <w:rsid w:val="00D64A5E"/>
    <w:rsid w:val="00D64BF1"/>
    <w:rsid w:val="00D65B5E"/>
    <w:rsid w:val="00D66213"/>
    <w:rsid w:val="00D664E7"/>
    <w:rsid w:val="00D66691"/>
    <w:rsid w:val="00D66720"/>
    <w:rsid w:val="00D66B02"/>
    <w:rsid w:val="00D66C9F"/>
    <w:rsid w:val="00D674D6"/>
    <w:rsid w:val="00D6756C"/>
    <w:rsid w:val="00D676ED"/>
    <w:rsid w:val="00D677AF"/>
    <w:rsid w:val="00D6798A"/>
    <w:rsid w:val="00D701CB"/>
    <w:rsid w:val="00D7090B"/>
    <w:rsid w:val="00D709F4"/>
    <w:rsid w:val="00D715C5"/>
    <w:rsid w:val="00D717F4"/>
    <w:rsid w:val="00D718A8"/>
    <w:rsid w:val="00D71A71"/>
    <w:rsid w:val="00D71F0E"/>
    <w:rsid w:val="00D728C7"/>
    <w:rsid w:val="00D72932"/>
    <w:rsid w:val="00D72CD0"/>
    <w:rsid w:val="00D72D9B"/>
    <w:rsid w:val="00D734D2"/>
    <w:rsid w:val="00D73E6F"/>
    <w:rsid w:val="00D73E9A"/>
    <w:rsid w:val="00D73EEC"/>
    <w:rsid w:val="00D744B5"/>
    <w:rsid w:val="00D74597"/>
    <w:rsid w:val="00D746D7"/>
    <w:rsid w:val="00D746FF"/>
    <w:rsid w:val="00D74A3A"/>
    <w:rsid w:val="00D74A8F"/>
    <w:rsid w:val="00D74E3F"/>
    <w:rsid w:val="00D75302"/>
    <w:rsid w:val="00D7533A"/>
    <w:rsid w:val="00D76563"/>
    <w:rsid w:val="00D77553"/>
    <w:rsid w:val="00D775A5"/>
    <w:rsid w:val="00D77617"/>
    <w:rsid w:val="00D77C75"/>
    <w:rsid w:val="00D77CAE"/>
    <w:rsid w:val="00D77CD0"/>
    <w:rsid w:val="00D80050"/>
    <w:rsid w:val="00D8021E"/>
    <w:rsid w:val="00D80620"/>
    <w:rsid w:val="00D8135C"/>
    <w:rsid w:val="00D81423"/>
    <w:rsid w:val="00D81A45"/>
    <w:rsid w:val="00D81DFB"/>
    <w:rsid w:val="00D81F97"/>
    <w:rsid w:val="00D82027"/>
    <w:rsid w:val="00D82F28"/>
    <w:rsid w:val="00D82FDA"/>
    <w:rsid w:val="00D83C59"/>
    <w:rsid w:val="00D842DE"/>
    <w:rsid w:val="00D844AA"/>
    <w:rsid w:val="00D846FF"/>
    <w:rsid w:val="00D84ABD"/>
    <w:rsid w:val="00D84C52"/>
    <w:rsid w:val="00D84D1C"/>
    <w:rsid w:val="00D85041"/>
    <w:rsid w:val="00D85954"/>
    <w:rsid w:val="00D85A3C"/>
    <w:rsid w:val="00D85CBF"/>
    <w:rsid w:val="00D85F00"/>
    <w:rsid w:val="00D85F83"/>
    <w:rsid w:val="00D86CC3"/>
    <w:rsid w:val="00D870D0"/>
    <w:rsid w:val="00D878B5"/>
    <w:rsid w:val="00D9006E"/>
    <w:rsid w:val="00D902A9"/>
    <w:rsid w:val="00D906F0"/>
    <w:rsid w:val="00D90BF2"/>
    <w:rsid w:val="00D90DFA"/>
    <w:rsid w:val="00D918FE"/>
    <w:rsid w:val="00D91EFF"/>
    <w:rsid w:val="00D91F1F"/>
    <w:rsid w:val="00D92067"/>
    <w:rsid w:val="00D92C65"/>
    <w:rsid w:val="00D92D71"/>
    <w:rsid w:val="00D92E2A"/>
    <w:rsid w:val="00D9348B"/>
    <w:rsid w:val="00D9359D"/>
    <w:rsid w:val="00D93773"/>
    <w:rsid w:val="00D93952"/>
    <w:rsid w:val="00D93B70"/>
    <w:rsid w:val="00D93CE6"/>
    <w:rsid w:val="00D94088"/>
    <w:rsid w:val="00D94285"/>
    <w:rsid w:val="00D94994"/>
    <w:rsid w:val="00D952E5"/>
    <w:rsid w:val="00D9545F"/>
    <w:rsid w:val="00D9562A"/>
    <w:rsid w:val="00D96188"/>
    <w:rsid w:val="00D9721E"/>
    <w:rsid w:val="00D97360"/>
    <w:rsid w:val="00D97DB0"/>
    <w:rsid w:val="00DA01B7"/>
    <w:rsid w:val="00DA0411"/>
    <w:rsid w:val="00DA0A2D"/>
    <w:rsid w:val="00DA0E05"/>
    <w:rsid w:val="00DA0F6C"/>
    <w:rsid w:val="00DA11C8"/>
    <w:rsid w:val="00DA11F5"/>
    <w:rsid w:val="00DA19AF"/>
    <w:rsid w:val="00DA1A54"/>
    <w:rsid w:val="00DA2505"/>
    <w:rsid w:val="00DA2777"/>
    <w:rsid w:val="00DA2DA3"/>
    <w:rsid w:val="00DA2E28"/>
    <w:rsid w:val="00DA3175"/>
    <w:rsid w:val="00DA339A"/>
    <w:rsid w:val="00DA3F50"/>
    <w:rsid w:val="00DA4723"/>
    <w:rsid w:val="00DA47A2"/>
    <w:rsid w:val="00DA4814"/>
    <w:rsid w:val="00DA48B8"/>
    <w:rsid w:val="00DA4A09"/>
    <w:rsid w:val="00DA4AF4"/>
    <w:rsid w:val="00DA4FDD"/>
    <w:rsid w:val="00DA54D7"/>
    <w:rsid w:val="00DA5815"/>
    <w:rsid w:val="00DA5D8D"/>
    <w:rsid w:val="00DA6173"/>
    <w:rsid w:val="00DA626F"/>
    <w:rsid w:val="00DA6304"/>
    <w:rsid w:val="00DA639C"/>
    <w:rsid w:val="00DA6757"/>
    <w:rsid w:val="00DA7139"/>
    <w:rsid w:val="00DA747F"/>
    <w:rsid w:val="00DA7AEE"/>
    <w:rsid w:val="00DA7C81"/>
    <w:rsid w:val="00DA7DA0"/>
    <w:rsid w:val="00DB02F9"/>
    <w:rsid w:val="00DB08EF"/>
    <w:rsid w:val="00DB0F0C"/>
    <w:rsid w:val="00DB1015"/>
    <w:rsid w:val="00DB1137"/>
    <w:rsid w:val="00DB1463"/>
    <w:rsid w:val="00DB21E9"/>
    <w:rsid w:val="00DB232C"/>
    <w:rsid w:val="00DB23AF"/>
    <w:rsid w:val="00DB23E5"/>
    <w:rsid w:val="00DB24F9"/>
    <w:rsid w:val="00DB265A"/>
    <w:rsid w:val="00DB276B"/>
    <w:rsid w:val="00DB28A4"/>
    <w:rsid w:val="00DB2C42"/>
    <w:rsid w:val="00DB2D21"/>
    <w:rsid w:val="00DB2E28"/>
    <w:rsid w:val="00DB2EE3"/>
    <w:rsid w:val="00DB335C"/>
    <w:rsid w:val="00DB3671"/>
    <w:rsid w:val="00DB416A"/>
    <w:rsid w:val="00DB4B52"/>
    <w:rsid w:val="00DB5016"/>
    <w:rsid w:val="00DB5785"/>
    <w:rsid w:val="00DB5C3A"/>
    <w:rsid w:val="00DB5E51"/>
    <w:rsid w:val="00DB5E61"/>
    <w:rsid w:val="00DB6565"/>
    <w:rsid w:val="00DB6917"/>
    <w:rsid w:val="00DB6BB8"/>
    <w:rsid w:val="00DB6D0B"/>
    <w:rsid w:val="00DB6D2B"/>
    <w:rsid w:val="00DB74D5"/>
    <w:rsid w:val="00DB75BB"/>
    <w:rsid w:val="00DB75F1"/>
    <w:rsid w:val="00DB7915"/>
    <w:rsid w:val="00DB7A7C"/>
    <w:rsid w:val="00DB7D47"/>
    <w:rsid w:val="00DB7DD6"/>
    <w:rsid w:val="00DC0184"/>
    <w:rsid w:val="00DC0399"/>
    <w:rsid w:val="00DC09C4"/>
    <w:rsid w:val="00DC0C1D"/>
    <w:rsid w:val="00DC0D4A"/>
    <w:rsid w:val="00DC0DFA"/>
    <w:rsid w:val="00DC1430"/>
    <w:rsid w:val="00DC159D"/>
    <w:rsid w:val="00DC2070"/>
    <w:rsid w:val="00DC227C"/>
    <w:rsid w:val="00DC22A5"/>
    <w:rsid w:val="00DC237C"/>
    <w:rsid w:val="00DC3658"/>
    <w:rsid w:val="00DC3882"/>
    <w:rsid w:val="00DC3CDA"/>
    <w:rsid w:val="00DC5959"/>
    <w:rsid w:val="00DC5B02"/>
    <w:rsid w:val="00DC5D31"/>
    <w:rsid w:val="00DC5DA1"/>
    <w:rsid w:val="00DC5FB4"/>
    <w:rsid w:val="00DC6392"/>
    <w:rsid w:val="00DC673A"/>
    <w:rsid w:val="00DC69E9"/>
    <w:rsid w:val="00DC6AFE"/>
    <w:rsid w:val="00DC6C56"/>
    <w:rsid w:val="00DC6EBF"/>
    <w:rsid w:val="00DC72F3"/>
    <w:rsid w:val="00DC7B20"/>
    <w:rsid w:val="00DC7B76"/>
    <w:rsid w:val="00DC7BCE"/>
    <w:rsid w:val="00DC7F75"/>
    <w:rsid w:val="00DD01AF"/>
    <w:rsid w:val="00DD03CB"/>
    <w:rsid w:val="00DD03EB"/>
    <w:rsid w:val="00DD03FA"/>
    <w:rsid w:val="00DD0856"/>
    <w:rsid w:val="00DD0ACF"/>
    <w:rsid w:val="00DD128C"/>
    <w:rsid w:val="00DD1D93"/>
    <w:rsid w:val="00DD24F5"/>
    <w:rsid w:val="00DD258A"/>
    <w:rsid w:val="00DD2661"/>
    <w:rsid w:val="00DD2E67"/>
    <w:rsid w:val="00DD419B"/>
    <w:rsid w:val="00DD432C"/>
    <w:rsid w:val="00DD4E4F"/>
    <w:rsid w:val="00DD51C8"/>
    <w:rsid w:val="00DD5908"/>
    <w:rsid w:val="00DD6417"/>
    <w:rsid w:val="00DD6626"/>
    <w:rsid w:val="00DD665B"/>
    <w:rsid w:val="00DD6919"/>
    <w:rsid w:val="00DD6EDB"/>
    <w:rsid w:val="00DD70CA"/>
    <w:rsid w:val="00DD7B4E"/>
    <w:rsid w:val="00DE01D5"/>
    <w:rsid w:val="00DE0301"/>
    <w:rsid w:val="00DE1013"/>
    <w:rsid w:val="00DE120D"/>
    <w:rsid w:val="00DE159B"/>
    <w:rsid w:val="00DE1D9E"/>
    <w:rsid w:val="00DE1EB9"/>
    <w:rsid w:val="00DE1F68"/>
    <w:rsid w:val="00DE213F"/>
    <w:rsid w:val="00DE2282"/>
    <w:rsid w:val="00DE2565"/>
    <w:rsid w:val="00DE3875"/>
    <w:rsid w:val="00DE42AD"/>
    <w:rsid w:val="00DE459A"/>
    <w:rsid w:val="00DE5894"/>
    <w:rsid w:val="00DE59C1"/>
    <w:rsid w:val="00DE5ADD"/>
    <w:rsid w:val="00DE5B9D"/>
    <w:rsid w:val="00DE5DCA"/>
    <w:rsid w:val="00DE5F2A"/>
    <w:rsid w:val="00DE6321"/>
    <w:rsid w:val="00DE6390"/>
    <w:rsid w:val="00DE72CF"/>
    <w:rsid w:val="00DE7DA7"/>
    <w:rsid w:val="00DE7F5D"/>
    <w:rsid w:val="00DF0231"/>
    <w:rsid w:val="00DF0265"/>
    <w:rsid w:val="00DF0BB8"/>
    <w:rsid w:val="00DF0E0B"/>
    <w:rsid w:val="00DF0F5F"/>
    <w:rsid w:val="00DF1237"/>
    <w:rsid w:val="00DF1FF3"/>
    <w:rsid w:val="00DF20D0"/>
    <w:rsid w:val="00DF242B"/>
    <w:rsid w:val="00DF27F6"/>
    <w:rsid w:val="00DF28D0"/>
    <w:rsid w:val="00DF2FD9"/>
    <w:rsid w:val="00DF35B4"/>
    <w:rsid w:val="00DF4A2F"/>
    <w:rsid w:val="00DF4EED"/>
    <w:rsid w:val="00DF5351"/>
    <w:rsid w:val="00DF543B"/>
    <w:rsid w:val="00DF58AE"/>
    <w:rsid w:val="00DF5C2D"/>
    <w:rsid w:val="00DF5FF0"/>
    <w:rsid w:val="00DF624E"/>
    <w:rsid w:val="00DF625C"/>
    <w:rsid w:val="00DF66D2"/>
    <w:rsid w:val="00DF6E75"/>
    <w:rsid w:val="00DF724F"/>
    <w:rsid w:val="00DF7547"/>
    <w:rsid w:val="00DF75E7"/>
    <w:rsid w:val="00DF7B3B"/>
    <w:rsid w:val="00E001F9"/>
    <w:rsid w:val="00E00391"/>
    <w:rsid w:val="00E008FD"/>
    <w:rsid w:val="00E00A16"/>
    <w:rsid w:val="00E02247"/>
    <w:rsid w:val="00E024A2"/>
    <w:rsid w:val="00E027C5"/>
    <w:rsid w:val="00E02865"/>
    <w:rsid w:val="00E02AC8"/>
    <w:rsid w:val="00E02B93"/>
    <w:rsid w:val="00E02C2B"/>
    <w:rsid w:val="00E02C60"/>
    <w:rsid w:val="00E03119"/>
    <w:rsid w:val="00E0335B"/>
    <w:rsid w:val="00E03BAA"/>
    <w:rsid w:val="00E03D39"/>
    <w:rsid w:val="00E03FDB"/>
    <w:rsid w:val="00E0420C"/>
    <w:rsid w:val="00E0480F"/>
    <w:rsid w:val="00E04AB8"/>
    <w:rsid w:val="00E04E17"/>
    <w:rsid w:val="00E04E9D"/>
    <w:rsid w:val="00E05FDE"/>
    <w:rsid w:val="00E0665E"/>
    <w:rsid w:val="00E06907"/>
    <w:rsid w:val="00E06C2A"/>
    <w:rsid w:val="00E06C51"/>
    <w:rsid w:val="00E06D04"/>
    <w:rsid w:val="00E06DC1"/>
    <w:rsid w:val="00E06DCD"/>
    <w:rsid w:val="00E06FFE"/>
    <w:rsid w:val="00E0714C"/>
    <w:rsid w:val="00E07466"/>
    <w:rsid w:val="00E077D0"/>
    <w:rsid w:val="00E07845"/>
    <w:rsid w:val="00E10831"/>
    <w:rsid w:val="00E10E7B"/>
    <w:rsid w:val="00E1179F"/>
    <w:rsid w:val="00E11F97"/>
    <w:rsid w:val="00E12431"/>
    <w:rsid w:val="00E12482"/>
    <w:rsid w:val="00E1287B"/>
    <w:rsid w:val="00E12A70"/>
    <w:rsid w:val="00E131BF"/>
    <w:rsid w:val="00E134C6"/>
    <w:rsid w:val="00E13B53"/>
    <w:rsid w:val="00E1416A"/>
    <w:rsid w:val="00E14617"/>
    <w:rsid w:val="00E14B9B"/>
    <w:rsid w:val="00E14B9C"/>
    <w:rsid w:val="00E14EF2"/>
    <w:rsid w:val="00E14FC8"/>
    <w:rsid w:val="00E15218"/>
    <w:rsid w:val="00E1530D"/>
    <w:rsid w:val="00E154C3"/>
    <w:rsid w:val="00E160DA"/>
    <w:rsid w:val="00E16250"/>
    <w:rsid w:val="00E16C74"/>
    <w:rsid w:val="00E1732A"/>
    <w:rsid w:val="00E1782B"/>
    <w:rsid w:val="00E2018B"/>
    <w:rsid w:val="00E20279"/>
    <w:rsid w:val="00E208DC"/>
    <w:rsid w:val="00E20C23"/>
    <w:rsid w:val="00E21D1B"/>
    <w:rsid w:val="00E229BA"/>
    <w:rsid w:val="00E22B13"/>
    <w:rsid w:val="00E22ED1"/>
    <w:rsid w:val="00E23221"/>
    <w:rsid w:val="00E23B11"/>
    <w:rsid w:val="00E23BF7"/>
    <w:rsid w:val="00E2402B"/>
    <w:rsid w:val="00E241FA"/>
    <w:rsid w:val="00E24221"/>
    <w:rsid w:val="00E2425C"/>
    <w:rsid w:val="00E24272"/>
    <w:rsid w:val="00E242BE"/>
    <w:rsid w:val="00E243CB"/>
    <w:rsid w:val="00E24440"/>
    <w:rsid w:val="00E247CA"/>
    <w:rsid w:val="00E257B9"/>
    <w:rsid w:val="00E2580A"/>
    <w:rsid w:val="00E25F62"/>
    <w:rsid w:val="00E26414"/>
    <w:rsid w:val="00E269A8"/>
    <w:rsid w:val="00E26F2E"/>
    <w:rsid w:val="00E276E0"/>
    <w:rsid w:val="00E279A2"/>
    <w:rsid w:val="00E27E0A"/>
    <w:rsid w:val="00E27FDD"/>
    <w:rsid w:val="00E304D7"/>
    <w:rsid w:val="00E30CE3"/>
    <w:rsid w:val="00E31D6E"/>
    <w:rsid w:val="00E32385"/>
    <w:rsid w:val="00E3247A"/>
    <w:rsid w:val="00E32691"/>
    <w:rsid w:val="00E32932"/>
    <w:rsid w:val="00E32B80"/>
    <w:rsid w:val="00E32BFA"/>
    <w:rsid w:val="00E32E99"/>
    <w:rsid w:val="00E33D70"/>
    <w:rsid w:val="00E33DDC"/>
    <w:rsid w:val="00E34027"/>
    <w:rsid w:val="00E34EE0"/>
    <w:rsid w:val="00E354BE"/>
    <w:rsid w:val="00E35D02"/>
    <w:rsid w:val="00E360E0"/>
    <w:rsid w:val="00E364C7"/>
    <w:rsid w:val="00E3677B"/>
    <w:rsid w:val="00E377C6"/>
    <w:rsid w:val="00E37E3E"/>
    <w:rsid w:val="00E405DB"/>
    <w:rsid w:val="00E4114C"/>
    <w:rsid w:val="00E41675"/>
    <w:rsid w:val="00E41C1E"/>
    <w:rsid w:val="00E41CFB"/>
    <w:rsid w:val="00E41EFA"/>
    <w:rsid w:val="00E42460"/>
    <w:rsid w:val="00E425B5"/>
    <w:rsid w:val="00E4279F"/>
    <w:rsid w:val="00E43948"/>
    <w:rsid w:val="00E44380"/>
    <w:rsid w:val="00E44F48"/>
    <w:rsid w:val="00E45847"/>
    <w:rsid w:val="00E45DF5"/>
    <w:rsid w:val="00E45F1A"/>
    <w:rsid w:val="00E45F7F"/>
    <w:rsid w:val="00E463B7"/>
    <w:rsid w:val="00E470F1"/>
    <w:rsid w:val="00E4777D"/>
    <w:rsid w:val="00E47AD5"/>
    <w:rsid w:val="00E50116"/>
    <w:rsid w:val="00E5017C"/>
    <w:rsid w:val="00E5063D"/>
    <w:rsid w:val="00E50969"/>
    <w:rsid w:val="00E50C3A"/>
    <w:rsid w:val="00E510B1"/>
    <w:rsid w:val="00E513C8"/>
    <w:rsid w:val="00E51491"/>
    <w:rsid w:val="00E51C35"/>
    <w:rsid w:val="00E51D96"/>
    <w:rsid w:val="00E5328F"/>
    <w:rsid w:val="00E536F2"/>
    <w:rsid w:val="00E5384E"/>
    <w:rsid w:val="00E549E3"/>
    <w:rsid w:val="00E54A0B"/>
    <w:rsid w:val="00E550D9"/>
    <w:rsid w:val="00E55536"/>
    <w:rsid w:val="00E557F0"/>
    <w:rsid w:val="00E55C09"/>
    <w:rsid w:val="00E55C11"/>
    <w:rsid w:val="00E5649D"/>
    <w:rsid w:val="00E56BF7"/>
    <w:rsid w:val="00E56D89"/>
    <w:rsid w:val="00E5765C"/>
    <w:rsid w:val="00E601C1"/>
    <w:rsid w:val="00E6038D"/>
    <w:rsid w:val="00E60AA9"/>
    <w:rsid w:val="00E60BF0"/>
    <w:rsid w:val="00E612D3"/>
    <w:rsid w:val="00E615A3"/>
    <w:rsid w:val="00E6170A"/>
    <w:rsid w:val="00E61BAB"/>
    <w:rsid w:val="00E61EC5"/>
    <w:rsid w:val="00E620DA"/>
    <w:rsid w:val="00E6249A"/>
    <w:rsid w:val="00E62645"/>
    <w:rsid w:val="00E62980"/>
    <w:rsid w:val="00E62AD5"/>
    <w:rsid w:val="00E63BA0"/>
    <w:rsid w:val="00E63BFC"/>
    <w:rsid w:val="00E63C80"/>
    <w:rsid w:val="00E64657"/>
    <w:rsid w:val="00E64821"/>
    <w:rsid w:val="00E656A5"/>
    <w:rsid w:val="00E65BEE"/>
    <w:rsid w:val="00E668BC"/>
    <w:rsid w:val="00E66C9F"/>
    <w:rsid w:val="00E66CD2"/>
    <w:rsid w:val="00E67176"/>
    <w:rsid w:val="00E67B20"/>
    <w:rsid w:val="00E70400"/>
    <w:rsid w:val="00E71153"/>
    <w:rsid w:val="00E7122D"/>
    <w:rsid w:val="00E71362"/>
    <w:rsid w:val="00E717AC"/>
    <w:rsid w:val="00E717BF"/>
    <w:rsid w:val="00E7256C"/>
    <w:rsid w:val="00E730A9"/>
    <w:rsid w:val="00E731B7"/>
    <w:rsid w:val="00E735D0"/>
    <w:rsid w:val="00E73A11"/>
    <w:rsid w:val="00E7405F"/>
    <w:rsid w:val="00E74A81"/>
    <w:rsid w:val="00E74ED1"/>
    <w:rsid w:val="00E7523B"/>
    <w:rsid w:val="00E752F4"/>
    <w:rsid w:val="00E754E8"/>
    <w:rsid w:val="00E7561B"/>
    <w:rsid w:val="00E75AA2"/>
    <w:rsid w:val="00E7605A"/>
    <w:rsid w:val="00E76A38"/>
    <w:rsid w:val="00E76B7A"/>
    <w:rsid w:val="00E7700F"/>
    <w:rsid w:val="00E7759B"/>
    <w:rsid w:val="00E77C3E"/>
    <w:rsid w:val="00E80395"/>
    <w:rsid w:val="00E80695"/>
    <w:rsid w:val="00E809C1"/>
    <w:rsid w:val="00E80DF2"/>
    <w:rsid w:val="00E81137"/>
    <w:rsid w:val="00E818B9"/>
    <w:rsid w:val="00E82370"/>
    <w:rsid w:val="00E823D6"/>
    <w:rsid w:val="00E82472"/>
    <w:rsid w:val="00E82643"/>
    <w:rsid w:val="00E82AB6"/>
    <w:rsid w:val="00E83122"/>
    <w:rsid w:val="00E84039"/>
    <w:rsid w:val="00E84082"/>
    <w:rsid w:val="00E84A5E"/>
    <w:rsid w:val="00E84C4C"/>
    <w:rsid w:val="00E85345"/>
    <w:rsid w:val="00E85D51"/>
    <w:rsid w:val="00E86001"/>
    <w:rsid w:val="00E861D0"/>
    <w:rsid w:val="00E865B2"/>
    <w:rsid w:val="00E86A7A"/>
    <w:rsid w:val="00E86D3D"/>
    <w:rsid w:val="00E87447"/>
    <w:rsid w:val="00E87E96"/>
    <w:rsid w:val="00E90C55"/>
    <w:rsid w:val="00E91645"/>
    <w:rsid w:val="00E91F27"/>
    <w:rsid w:val="00E92273"/>
    <w:rsid w:val="00E92971"/>
    <w:rsid w:val="00E9314C"/>
    <w:rsid w:val="00E931CC"/>
    <w:rsid w:val="00E932D8"/>
    <w:rsid w:val="00E932E4"/>
    <w:rsid w:val="00E93B4F"/>
    <w:rsid w:val="00E94AF1"/>
    <w:rsid w:val="00E959A4"/>
    <w:rsid w:val="00E9631C"/>
    <w:rsid w:val="00E964F0"/>
    <w:rsid w:val="00E9661D"/>
    <w:rsid w:val="00E968A3"/>
    <w:rsid w:val="00E96A3E"/>
    <w:rsid w:val="00E96F39"/>
    <w:rsid w:val="00E96FC2"/>
    <w:rsid w:val="00E97292"/>
    <w:rsid w:val="00E97A15"/>
    <w:rsid w:val="00EA0262"/>
    <w:rsid w:val="00EA0866"/>
    <w:rsid w:val="00EA08CB"/>
    <w:rsid w:val="00EA0B71"/>
    <w:rsid w:val="00EA3468"/>
    <w:rsid w:val="00EA3F1A"/>
    <w:rsid w:val="00EA4A41"/>
    <w:rsid w:val="00EA545E"/>
    <w:rsid w:val="00EA61BF"/>
    <w:rsid w:val="00EA634E"/>
    <w:rsid w:val="00EA639B"/>
    <w:rsid w:val="00EA6AE0"/>
    <w:rsid w:val="00EA6E3E"/>
    <w:rsid w:val="00EA7137"/>
    <w:rsid w:val="00EA775C"/>
    <w:rsid w:val="00EA7FDE"/>
    <w:rsid w:val="00EB000C"/>
    <w:rsid w:val="00EB0111"/>
    <w:rsid w:val="00EB080C"/>
    <w:rsid w:val="00EB0962"/>
    <w:rsid w:val="00EB0CE5"/>
    <w:rsid w:val="00EB107A"/>
    <w:rsid w:val="00EB11CF"/>
    <w:rsid w:val="00EB17BE"/>
    <w:rsid w:val="00EB19C6"/>
    <w:rsid w:val="00EB1DD5"/>
    <w:rsid w:val="00EB22C2"/>
    <w:rsid w:val="00EB284A"/>
    <w:rsid w:val="00EB2CB8"/>
    <w:rsid w:val="00EB2D85"/>
    <w:rsid w:val="00EB3201"/>
    <w:rsid w:val="00EB3507"/>
    <w:rsid w:val="00EB3682"/>
    <w:rsid w:val="00EB3BEE"/>
    <w:rsid w:val="00EB3E26"/>
    <w:rsid w:val="00EB3EF8"/>
    <w:rsid w:val="00EB3FB4"/>
    <w:rsid w:val="00EB45EB"/>
    <w:rsid w:val="00EB4884"/>
    <w:rsid w:val="00EB548E"/>
    <w:rsid w:val="00EB598F"/>
    <w:rsid w:val="00EB5D30"/>
    <w:rsid w:val="00EB608F"/>
    <w:rsid w:val="00EB6356"/>
    <w:rsid w:val="00EB64CE"/>
    <w:rsid w:val="00EB6D99"/>
    <w:rsid w:val="00EB71F4"/>
    <w:rsid w:val="00EB7309"/>
    <w:rsid w:val="00EB7B25"/>
    <w:rsid w:val="00EB7BE2"/>
    <w:rsid w:val="00EB7C48"/>
    <w:rsid w:val="00EC0357"/>
    <w:rsid w:val="00EC06A7"/>
    <w:rsid w:val="00EC0987"/>
    <w:rsid w:val="00EC0C1D"/>
    <w:rsid w:val="00EC114D"/>
    <w:rsid w:val="00EC14E0"/>
    <w:rsid w:val="00EC153F"/>
    <w:rsid w:val="00EC1727"/>
    <w:rsid w:val="00EC1AE1"/>
    <w:rsid w:val="00EC1BEA"/>
    <w:rsid w:val="00EC1C10"/>
    <w:rsid w:val="00EC26D8"/>
    <w:rsid w:val="00EC2906"/>
    <w:rsid w:val="00EC299D"/>
    <w:rsid w:val="00EC2C0C"/>
    <w:rsid w:val="00EC31E5"/>
    <w:rsid w:val="00EC393A"/>
    <w:rsid w:val="00EC3A41"/>
    <w:rsid w:val="00EC4150"/>
    <w:rsid w:val="00EC43A4"/>
    <w:rsid w:val="00EC492B"/>
    <w:rsid w:val="00EC4BFE"/>
    <w:rsid w:val="00EC51FD"/>
    <w:rsid w:val="00EC5DE7"/>
    <w:rsid w:val="00EC5F8B"/>
    <w:rsid w:val="00EC606B"/>
    <w:rsid w:val="00EC628D"/>
    <w:rsid w:val="00EC64D3"/>
    <w:rsid w:val="00EC688F"/>
    <w:rsid w:val="00EC6A23"/>
    <w:rsid w:val="00EC6A9A"/>
    <w:rsid w:val="00EC721C"/>
    <w:rsid w:val="00EC74A0"/>
    <w:rsid w:val="00EC74D1"/>
    <w:rsid w:val="00EC76D9"/>
    <w:rsid w:val="00EC78CA"/>
    <w:rsid w:val="00ED0A34"/>
    <w:rsid w:val="00ED15E5"/>
    <w:rsid w:val="00ED18F1"/>
    <w:rsid w:val="00ED200E"/>
    <w:rsid w:val="00ED244B"/>
    <w:rsid w:val="00ED2F7F"/>
    <w:rsid w:val="00ED37B2"/>
    <w:rsid w:val="00ED3E48"/>
    <w:rsid w:val="00ED3FF6"/>
    <w:rsid w:val="00ED419D"/>
    <w:rsid w:val="00ED44E9"/>
    <w:rsid w:val="00ED4652"/>
    <w:rsid w:val="00ED4C5C"/>
    <w:rsid w:val="00ED5360"/>
    <w:rsid w:val="00ED56B8"/>
    <w:rsid w:val="00ED576F"/>
    <w:rsid w:val="00ED5E65"/>
    <w:rsid w:val="00ED5EE5"/>
    <w:rsid w:val="00ED6108"/>
    <w:rsid w:val="00ED6542"/>
    <w:rsid w:val="00ED6AC9"/>
    <w:rsid w:val="00ED7075"/>
    <w:rsid w:val="00ED7BC3"/>
    <w:rsid w:val="00EE0883"/>
    <w:rsid w:val="00EE0DB6"/>
    <w:rsid w:val="00EE11AF"/>
    <w:rsid w:val="00EE29AE"/>
    <w:rsid w:val="00EE2BEE"/>
    <w:rsid w:val="00EE2FF1"/>
    <w:rsid w:val="00EE3474"/>
    <w:rsid w:val="00EE34CE"/>
    <w:rsid w:val="00EE34FA"/>
    <w:rsid w:val="00EE361D"/>
    <w:rsid w:val="00EE3E6F"/>
    <w:rsid w:val="00EE423E"/>
    <w:rsid w:val="00EE4B3C"/>
    <w:rsid w:val="00EE5562"/>
    <w:rsid w:val="00EE56C5"/>
    <w:rsid w:val="00EE577B"/>
    <w:rsid w:val="00EE6340"/>
    <w:rsid w:val="00EE6BD5"/>
    <w:rsid w:val="00EE7F6F"/>
    <w:rsid w:val="00EF0183"/>
    <w:rsid w:val="00EF1042"/>
    <w:rsid w:val="00EF1A49"/>
    <w:rsid w:val="00EF1E80"/>
    <w:rsid w:val="00EF2865"/>
    <w:rsid w:val="00EF2A94"/>
    <w:rsid w:val="00EF2D01"/>
    <w:rsid w:val="00EF2E56"/>
    <w:rsid w:val="00EF33CD"/>
    <w:rsid w:val="00EF39B0"/>
    <w:rsid w:val="00EF4036"/>
    <w:rsid w:val="00EF46AE"/>
    <w:rsid w:val="00EF4C06"/>
    <w:rsid w:val="00EF4C95"/>
    <w:rsid w:val="00EF51C6"/>
    <w:rsid w:val="00EF55A5"/>
    <w:rsid w:val="00EF55AC"/>
    <w:rsid w:val="00EF6602"/>
    <w:rsid w:val="00EF69FB"/>
    <w:rsid w:val="00EF6BC5"/>
    <w:rsid w:val="00EF7126"/>
    <w:rsid w:val="00EF75B8"/>
    <w:rsid w:val="00EF7980"/>
    <w:rsid w:val="00F001CD"/>
    <w:rsid w:val="00F0023B"/>
    <w:rsid w:val="00F003D0"/>
    <w:rsid w:val="00F0081C"/>
    <w:rsid w:val="00F009A9"/>
    <w:rsid w:val="00F00D90"/>
    <w:rsid w:val="00F01428"/>
    <w:rsid w:val="00F016A9"/>
    <w:rsid w:val="00F02330"/>
    <w:rsid w:val="00F031D2"/>
    <w:rsid w:val="00F037FE"/>
    <w:rsid w:val="00F03BCA"/>
    <w:rsid w:val="00F03D5C"/>
    <w:rsid w:val="00F052A4"/>
    <w:rsid w:val="00F0579E"/>
    <w:rsid w:val="00F05E49"/>
    <w:rsid w:val="00F06119"/>
    <w:rsid w:val="00F06423"/>
    <w:rsid w:val="00F0699B"/>
    <w:rsid w:val="00F075DF"/>
    <w:rsid w:val="00F078C6"/>
    <w:rsid w:val="00F07D60"/>
    <w:rsid w:val="00F1003D"/>
    <w:rsid w:val="00F1030A"/>
    <w:rsid w:val="00F103A0"/>
    <w:rsid w:val="00F10716"/>
    <w:rsid w:val="00F109C1"/>
    <w:rsid w:val="00F10D49"/>
    <w:rsid w:val="00F11242"/>
    <w:rsid w:val="00F1162F"/>
    <w:rsid w:val="00F1197A"/>
    <w:rsid w:val="00F119D1"/>
    <w:rsid w:val="00F11C57"/>
    <w:rsid w:val="00F12169"/>
    <w:rsid w:val="00F12347"/>
    <w:rsid w:val="00F12C18"/>
    <w:rsid w:val="00F12DAD"/>
    <w:rsid w:val="00F13070"/>
    <w:rsid w:val="00F1344D"/>
    <w:rsid w:val="00F1358F"/>
    <w:rsid w:val="00F13E2C"/>
    <w:rsid w:val="00F1433C"/>
    <w:rsid w:val="00F14567"/>
    <w:rsid w:val="00F145C7"/>
    <w:rsid w:val="00F1463C"/>
    <w:rsid w:val="00F152EB"/>
    <w:rsid w:val="00F15977"/>
    <w:rsid w:val="00F162EA"/>
    <w:rsid w:val="00F166FD"/>
    <w:rsid w:val="00F167C4"/>
    <w:rsid w:val="00F177FD"/>
    <w:rsid w:val="00F20818"/>
    <w:rsid w:val="00F209CE"/>
    <w:rsid w:val="00F20C25"/>
    <w:rsid w:val="00F220B6"/>
    <w:rsid w:val="00F226BA"/>
    <w:rsid w:val="00F238B9"/>
    <w:rsid w:val="00F24082"/>
    <w:rsid w:val="00F241B6"/>
    <w:rsid w:val="00F2458C"/>
    <w:rsid w:val="00F24A93"/>
    <w:rsid w:val="00F24AB8"/>
    <w:rsid w:val="00F250AE"/>
    <w:rsid w:val="00F25417"/>
    <w:rsid w:val="00F257F6"/>
    <w:rsid w:val="00F25BEC"/>
    <w:rsid w:val="00F25BFC"/>
    <w:rsid w:val="00F26B40"/>
    <w:rsid w:val="00F26CB0"/>
    <w:rsid w:val="00F26D01"/>
    <w:rsid w:val="00F2731F"/>
    <w:rsid w:val="00F276A1"/>
    <w:rsid w:val="00F30265"/>
    <w:rsid w:val="00F3065F"/>
    <w:rsid w:val="00F3069D"/>
    <w:rsid w:val="00F30EFC"/>
    <w:rsid w:val="00F30FB8"/>
    <w:rsid w:val="00F3118C"/>
    <w:rsid w:val="00F31241"/>
    <w:rsid w:val="00F32A92"/>
    <w:rsid w:val="00F32C53"/>
    <w:rsid w:val="00F33618"/>
    <w:rsid w:val="00F33C29"/>
    <w:rsid w:val="00F34333"/>
    <w:rsid w:val="00F344A3"/>
    <w:rsid w:val="00F3461C"/>
    <w:rsid w:val="00F3486F"/>
    <w:rsid w:val="00F350CB"/>
    <w:rsid w:val="00F35913"/>
    <w:rsid w:val="00F3662F"/>
    <w:rsid w:val="00F36891"/>
    <w:rsid w:val="00F36E84"/>
    <w:rsid w:val="00F370F9"/>
    <w:rsid w:val="00F3764C"/>
    <w:rsid w:val="00F37DA0"/>
    <w:rsid w:val="00F40036"/>
    <w:rsid w:val="00F40685"/>
    <w:rsid w:val="00F41563"/>
    <w:rsid w:val="00F41737"/>
    <w:rsid w:val="00F41781"/>
    <w:rsid w:val="00F419AC"/>
    <w:rsid w:val="00F41E2F"/>
    <w:rsid w:val="00F41E85"/>
    <w:rsid w:val="00F41ECF"/>
    <w:rsid w:val="00F41F24"/>
    <w:rsid w:val="00F41F7A"/>
    <w:rsid w:val="00F431B4"/>
    <w:rsid w:val="00F43541"/>
    <w:rsid w:val="00F435CD"/>
    <w:rsid w:val="00F441CC"/>
    <w:rsid w:val="00F4458C"/>
    <w:rsid w:val="00F44B13"/>
    <w:rsid w:val="00F44F8A"/>
    <w:rsid w:val="00F450E1"/>
    <w:rsid w:val="00F4535F"/>
    <w:rsid w:val="00F453A4"/>
    <w:rsid w:val="00F457C6"/>
    <w:rsid w:val="00F45BD8"/>
    <w:rsid w:val="00F46271"/>
    <w:rsid w:val="00F46565"/>
    <w:rsid w:val="00F46AC3"/>
    <w:rsid w:val="00F4734F"/>
    <w:rsid w:val="00F473E3"/>
    <w:rsid w:val="00F4764E"/>
    <w:rsid w:val="00F47B28"/>
    <w:rsid w:val="00F47BB7"/>
    <w:rsid w:val="00F47C83"/>
    <w:rsid w:val="00F47DB7"/>
    <w:rsid w:val="00F47F6C"/>
    <w:rsid w:val="00F50395"/>
    <w:rsid w:val="00F504DB"/>
    <w:rsid w:val="00F50A47"/>
    <w:rsid w:val="00F50EB3"/>
    <w:rsid w:val="00F513A7"/>
    <w:rsid w:val="00F51F0D"/>
    <w:rsid w:val="00F52313"/>
    <w:rsid w:val="00F524BA"/>
    <w:rsid w:val="00F525D0"/>
    <w:rsid w:val="00F528E6"/>
    <w:rsid w:val="00F529F3"/>
    <w:rsid w:val="00F5311E"/>
    <w:rsid w:val="00F5334D"/>
    <w:rsid w:val="00F53551"/>
    <w:rsid w:val="00F53A46"/>
    <w:rsid w:val="00F53AE2"/>
    <w:rsid w:val="00F53ECC"/>
    <w:rsid w:val="00F54014"/>
    <w:rsid w:val="00F5422C"/>
    <w:rsid w:val="00F552C7"/>
    <w:rsid w:val="00F553D6"/>
    <w:rsid w:val="00F55773"/>
    <w:rsid w:val="00F55DB2"/>
    <w:rsid w:val="00F55E51"/>
    <w:rsid w:val="00F561D5"/>
    <w:rsid w:val="00F56545"/>
    <w:rsid w:val="00F5676C"/>
    <w:rsid w:val="00F56C49"/>
    <w:rsid w:val="00F56F5E"/>
    <w:rsid w:val="00F574A6"/>
    <w:rsid w:val="00F5774F"/>
    <w:rsid w:val="00F5792C"/>
    <w:rsid w:val="00F60612"/>
    <w:rsid w:val="00F60EC1"/>
    <w:rsid w:val="00F614ED"/>
    <w:rsid w:val="00F61885"/>
    <w:rsid w:val="00F61BD4"/>
    <w:rsid w:val="00F62258"/>
    <w:rsid w:val="00F6227F"/>
    <w:rsid w:val="00F62303"/>
    <w:rsid w:val="00F62945"/>
    <w:rsid w:val="00F62986"/>
    <w:rsid w:val="00F63548"/>
    <w:rsid w:val="00F639E8"/>
    <w:rsid w:val="00F63FF4"/>
    <w:rsid w:val="00F64AA0"/>
    <w:rsid w:val="00F64ED1"/>
    <w:rsid w:val="00F652CF"/>
    <w:rsid w:val="00F652ED"/>
    <w:rsid w:val="00F654AE"/>
    <w:rsid w:val="00F66297"/>
    <w:rsid w:val="00F665D0"/>
    <w:rsid w:val="00F66B49"/>
    <w:rsid w:val="00F66C94"/>
    <w:rsid w:val="00F670E5"/>
    <w:rsid w:val="00F705EE"/>
    <w:rsid w:val="00F70BA9"/>
    <w:rsid w:val="00F70DA1"/>
    <w:rsid w:val="00F7151D"/>
    <w:rsid w:val="00F71947"/>
    <w:rsid w:val="00F71E52"/>
    <w:rsid w:val="00F7273B"/>
    <w:rsid w:val="00F72F47"/>
    <w:rsid w:val="00F73205"/>
    <w:rsid w:val="00F736F5"/>
    <w:rsid w:val="00F745FE"/>
    <w:rsid w:val="00F74637"/>
    <w:rsid w:val="00F746E7"/>
    <w:rsid w:val="00F74A55"/>
    <w:rsid w:val="00F750C1"/>
    <w:rsid w:val="00F7596F"/>
    <w:rsid w:val="00F766C1"/>
    <w:rsid w:val="00F76908"/>
    <w:rsid w:val="00F76A21"/>
    <w:rsid w:val="00F76BB7"/>
    <w:rsid w:val="00F770F7"/>
    <w:rsid w:val="00F77665"/>
    <w:rsid w:val="00F77BC0"/>
    <w:rsid w:val="00F77C58"/>
    <w:rsid w:val="00F77E3B"/>
    <w:rsid w:val="00F77E4E"/>
    <w:rsid w:val="00F80A75"/>
    <w:rsid w:val="00F80B70"/>
    <w:rsid w:val="00F80F46"/>
    <w:rsid w:val="00F81085"/>
    <w:rsid w:val="00F81533"/>
    <w:rsid w:val="00F82054"/>
    <w:rsid w:val="00F822D4"/>
    <w:rsid w:val="00F824FA"/>
    <w:rsid w:val="00F8279F"/>
    <w:rsid w:val="00F828AC"/>
    <w:rsid w:val="00F82C28"/>
    <w:rsid w:val="00F82E8B"/>
    <w:rsid w:val="00F82E95"/>
    <w:rsid w:val="00F831DC"/>
    <w:rsid w:val="00F8328E"/>
    <w:rsid w:val="00F838A0"/>
    <w:rsid w:val="00F83B18"/>
    <w:rsid w:val="00F8402B"/>
    <w:rsid w:val="00F84100"/>
    <w:rsid w:val="00F843A7"/>
    <w:rsid w:val="00F84E7A"/>
    <w:rsid w:val="00F8505D"/>
    <w:rsid w:val="00F85720"/>
    <w:rsid w:val="00F8598A"/>
    <w:rsid w:val="00F85D42"/>
    <w:rsid w:val="00F85F86"/>
    <w:rsid w:val="00F86018"/>
    <w:rsid w:val="00F86226"/>
    <w:rsid w:val="00F86619"/>
    <w:rsid w:val="00F86A6E"/>
    <w:rsid w:val="00F86B43"/>
    <w:rsid w:val="00F87660"/>
    <w:rsid w:val="00F87A4E"/>
    <w:rsid w:val="00F904D4"/>
    <w:rsid w:val="00F9099B"/>
    <w:rsid w:val="00F90BAE"/>
    <w:rsid w:val="00F90E35"/>
    <w:rsid w:val="00F90EB7"/>
    <w:rsid w:val="00F9137A"/>
    <w:rsid w:val="00F91496"/>
    <w:rsid w:val="00F9228A"/>
    <w:rsid w:val="00F92BAC"/>
    <w:rsid w:val="00F92E51"/>
    <w:rsid w:val="00F931A6"/>
    <w:rsid w:val="00F93565"/>
    <w:rsid w:val="00F94159"/>
    <w:rsid w:val="00F94282"/>
    <w:rsid w:val="00F945AA"/>
    <w:rsid w:val="00F94F68"/>
    <w:rsid w:val="00F95265"/>
    <w:rsid w:val="00F952D8"/>
    <w:rsid w:val="00F95462"/>
    <w:rsid w:val="00F958CA"/>
    <w:rsid w:val="00F95E7E"/>
    <w:rsid w:val="00F96377"/>
    <w:rsid w:val="00F9658F"/>
    <w:rsid w:val="00F97135"/>
    <w:rsid w:val="00F971F0"/>
    <w:rsid w:val="00F97279"/>
    <w:rsid w:val="00FA071F"/>
    <w:rsid w:val="00FA0E6C"/>
    <w:rsid w:val="00FA0F69"/>
    <w:rsid w:val="00FA1526"/>
    <w:rsid w:val="00FA17A9"/>
    <w:rsid w:val="00FA1915"/>
    <w:rsid w:val="00FA196F"/>
    <w:rsid w:val="00FA1E64"/>
    <w:rsid w:val="00FA24F7"/>
    <w:rsid w:val="00FA2509"/>
    <w:rsid w:val="00FA340F"/>
    <w:rsid w:val="00FA369A"/>
    <w:rsid w:val="00FA3B5B"/>
    <w:rsid w:val="00FA400D"/>
    <w:rsid w:val="00FA42D3"/>
    <w:rsid w:val="00FA4503"/>
    <w:rsid w:val="00FA4F2E"/>
    <w:rsid w:val="00FA5308"/>
    <w:rsid w:val="00FA5C4A"/>
    <w:rsid w:val="00FA6920"/>
    <w:rsid w:val="00FA74BB"/>
    <w:rsid w:val="00FA7CA7"/>
    <w:rsid w:val="00FB009E"/>
    <w:rsid w:val="00FB030F"/>
    <w:rsid w:val="00FB034E"/>
    <w:rsid w:val="00FB0B0F"/>
    <w:rsid w:val="00FB0E25"/>
    <w:rsid w:val="00FB12D8"/>
    <w:rsid w:val="00FB16A0"/>
    <w:rsid w:val="00FB17DF"/>
    <w:rsid w:val="00FB197D"/>
    <w:rsid w:val="00FB212F"/>
    <w:rsid w:val="00FB2B16"/>
    <w:rsid w:val="00FB3542"/>
    <w:rsid w:val="00FB3587"/>
    <w:rsid w:val="00FB383B"/>
    <w:rsid w:val="00FB39E2"/>
    <w:rsid w:val="00FB3F14"/>
    <w:rsid w:val="00FB4337"/>
    <w:rsid w:val="00FB479B"/>
    <w:rsid w:val="00FB47D3"/>
    <w:rsid w:val="00FB4810"/>
    <w:rsid w:val="00FB4EE1"/>
    <w:rsid w:val="00FB5053"/>
    <w:rsid w:val="00FB6364"/>
    <w:rsid w:val="00FB6807"/>
    <w:rsid w:val="00FB6DB2"/>
    <w:rsid w:val="00FB7040"/>
    <w:rsid w:val="00FB70AB"/>
    <w:rsid w:val="00FB745B"/>
    <w:rsid w:val="00FB7580"/>
    <w:rsid w:val="00FC0B97"/>
    <w:rsid w:val="00FC0C3D"/>
    <w:rsid w:val="00FC108A"/>
    <w:rsid w:val="00FC15BC"/>
    <w:rsid w:val="00FC15C0"/>
    <w:rsid w:val="00FC17A9"/>
    <w:rsid w:val="00FC1A72"/>
    <w:rsid w:val="00FC1D46"/>
    <w:rsid w:val="00FC1FD2"/>
    <w:rsid w:val="00FC2790"/>
    <w:rsid w:val="00FC2A39"/>
    <w:rsid w:val="00FC30D7"/>
    <w:rsid w:val="00FC3928"/>
    <w:rsid w:val="00FC394E"/>
    <w:rsid w:val="00FC3CA0"/>
    <w:rsid w:val="00FC3E45"/>
    <w:rsid w:val="00FC4709"/>
    <w:rsid w:val="00FC48D8"/>
    <w:rsid w:val="00FC4B88"/>
    <w:rsid w:val="00FC4C63"/>
    <w:rsid w:val="00FC4E7C"/>
    <w:rsid w:val="00FC4F4C"/>
    <w:rsid w:val="00FC5061"/>
    <w:rsid w:val="00FC5075"/>
    <w:rsid w:val="00FC53CD"/>
    <w:rsid w:val="00FC5D3B"/>
    <w:rsid w:val="00FC6748"/>
    <w:rsid w:val="00FD0A7A"/>
    <w:rsid w:val="00FD0B1E"/>
    <w:rsid w:val="00FD0E39"/>
    <w:rsid w:val="00FD166D"/>
    <w:rsid w:val="00FD1C47"/>
    <w:rsid w:val="00FD1C81"/>
    <w:rsid w:val="00FD294C"/>
    <w:rsid w:val="00FD2B51"/>
    <w:rsid w:val="00FD2D0E"/>
    <w:rsid w:val="00FD2DD2"/>
    <w:rsid w:val="00FD2FBC"/>
    <w:rsid w:val="00FD3207"/>
    <w:rsid w:val="00FD36F3"/>
    <w:rsid w:val="00FD3EDD"/>
    <w:rsid w:val="00FD412E"/>
    <w:rsid w:val="00FD41BC"/>
    <w:rsid w:val="00FD420A"/>
    <w:rsid w:val="00FD4592"/>
    <w:rsid w:val="00FD497D"/>
    <w:rsid w:val="00FD5117"/>
    <w:rsid w:val="00FD517C"/>
    <w:rsid w:val="00FD54D6"/>
    <w:rsid w:val="00FD55C2"/>
    <w:rsid w:val="00FD5EE0"/>
    <w:rsid w:val="00FD657A"/>
    <w:rsid w:val="00FD6A58"/>
    <w:rsid w:val="00FD6FA8"/>
    <w:rsid w:val="00FD7399"/>
    <w:rsid w:val="00FD7C48"/>
    <w:rsid w:val="00FE05BE"/>
    <w:rsid w:val="00FE08B4"/>
    <w:rsid w:val="00FE0E64"/>
    <w:rsid w:val="00FE0EC2"/>
    <w:rsid w:val="00FE13D0"/>
    <w:rsid w:val="00FE1D34"/>
    <w:rsid w:val="00FE2293"/>
    <w:rsid w:val="00FE23A0"/>
    <w:rsid w:val="00FE2AFE"/>
    <w:rsid w:val="00FE2CA8"/>
    <w:rsid w:val="00FE3468"/>
    <w:rsid w:val="00FE38C6"/>
    <w:rsid w:val="00FE39F5"/>
    <w:rsid w:val="00FE3C4A"/>
    <w:rsid w:val="00FE3CC9"/>
    <w:rsid w:val="00FE3CEF"/>
    <w:rsid w:val="00FE4007"/>
    <w:rsid w:val="00FE43A8"/>
    <w:rsid w:val="00FE44E8"/>
    <w:rsid w:val="00FE47EA"/>
    <w:rsid w:val="00FE4AA8"/>
    <w:rsid w:val="00FE4B98"/>
    <w:rsid w:val="00FE5158"/>
    <w:rsid w:val="00FE583E"/>
    <w:rsid w:val="00FE5B22"/>
    <w:rsid w:val="00FE5E2A"/>
    <w:rsid w:val="00FE5F5F"/>
    <w:rsid w:val="00FE5F82"/>
    <w:rsid w:val="00FE60AE"/>
    <w:rsid w:val="00FE61CC"/>
    <w:rsid w:val="00FE6750"/>
    <w:rsid w:val="00FE6BEC"/>
    <w:rsid w:val="00FE6FAE"/>
    <w:rsid w:val="00FE6FB3"/>
    <w:rsid w:val="00FE70DB"/>
    <w:rsid w:val="00FE75B9"/>
    <w:rsid w:val="00FE7770"/>
    <w:rsid w:val="00FE7BC3"/>
    <w:rsid w:val="00FF0164"/>
    <w:rsid w:val="00FF02E8"/>
    <w:rsid w:val="00FF0433"/>
    <w:rsid w:val="00FF0490"/>
    <w:rsid w:val="00FF09FA"/>
    <w:rsid w:val="00FF0C1E"/>
    <w:rsid w:val="00FF1B25"/>
    <w:rsid w:val="00FF1D4B"/>
    <w:rsid w:val="00FF1D6C"/>
    <w:rsid w:val="00FF2032"/>
    <w:rsid w:val="00FF233D"/>
    <w:rsid w:val="00FF2913"/>
    <w:rsid w:val="00FF352B"/>
    <w:rsid w:val="00FF3A10"/>
    <w:rsid w:val="00FF3EAD"/>
    <w:rsid w:val="00FF5244"/>
    <w:rsid w:val="00FF56A7"/>
    <w:rsid w:val="00FF6583"/>
    <w:rsid w:val="00FF687C"/>
    <w:rsid w:val="00FF7370"/>
    <w:rsid w:val="00FF738E"/>
    <w:rsid w:val="010052E2"/>
    <w:rsid w:val="01013DEF"/>
    <w:rsid w:val="010F4344"/>
    <w:rsid w:val="011807F3"/>
    <w:rsid w:val="01191526"/>
    <w:rsid w:val="011C44BE"/>
    <w:rsid w:val="0124778E"/>
    <w:rsid w:val="012770A9"/>
    <w:rsid w:val="01303AC5"/>
    <w:rsid w:val="01312A3E"/>
    <w:rsid w:val="01394CCF"/>
    <w:rsid w:val="013F7486"/>
    <w:rsid w:val="014337F8"/>
    <w:rsid w:val="01463ACA"/>
    <w:rsid w:val="014A18ED"/>
    <w:rsid w:val="014C5289"/>
    <w:rsid w:val="014D4F8B"/>
    <w:rsid w:val="015E68AB"/>
    <w:rsid w:val="01620926"/>
    <w:rsid w:val="016C2D4F"/>
    <w:rsid w:val="0170535C"/>
    <w:rsid w:val="01722330"/>
    <w:rsid w:val="017256A9"/>
    <w:rsid w:val="01777B95"/>
    <w:rsid w:val="017C4AAD"/>
    <w:rsid w:val="017E4EA8"/>
    <w:rsid w:val="017F1AD4"/>
    <w:rsid w:val="01824C12"/>
    <w:rsid w:val="01874044"/>
    <w:rsid w:val="019A1AD4"/>
    <w:rsid w:val="019A6EC8"/>
    <w:rsid w:val="019B0380"/>
    <w:rsid w:val="019B574B"/>
    <w:rsid w:val="01A013E9"/>
    <w:rsid w:val="01A02BCC"/>
    <w:rsid w:val="01A45904"/>
    <w:rsid w:val="01A727E0"/>
    <w:rsid w:val="01B057FC"/>
    <w:rsid w:val="01B3523A"/>
    <w:rsid w:val="01B43C56"/>
    <w:rsid w:val="01B549D1"/>
    <w:rsid w:val="01BF0CD9"/>
    <w:rsid w:val="01C545C0"/>
    <w:rsid w:val="01CE29B7"/>
    <w:rsid w:val="01DD4452"/>
    <w:rsid w:val="01E449A1"/>
    <w:rsid w:val="01E63DFA"/>
    <w:rsid w:val="01E74ACC"/>
    <w:rsid w:val="01EC03AF"/>
    <w:rsid w:val="01F147EB"/>
    <w:rsid w:val="01F36FCC"/>
    <w:rsid w:val="01F64B87"/>
    <w:rsid w:val="01F830C5"/>
    <w:rsid w:val="01F84179"/>
    <w:rsid w:val="020C4532"/>
    <w:rsid w:val="021128DA"/>
    <w:rsid w:val="02226816"/>
    <w:rsid w:val="02291F57"/>
    <w:rsid w:val="022A7399"/>
    <w:rsid w:val="0240410D"/>
    <w:rsid w:val="02474B83"/>
    <w:rsid w:val="02522FDA"/>
    <w:rsid w:val="025D5814"/>
    <w:rsid w:val="026A0C2B"/>
    <w:rsid w:val="026B2A9A"/>
    <w:rsid w:val="026F4C85"/>
    <w:rsid w:val="02732B6D"/>
    <w:rsid w:val="02792328"/>
    <w:rsid w:val="027B4F29"/>
    <w:rsid w:val="028579E6"/>
    <w:rsid w:val="028D236B"/>
    <w:rsid w:val="028F1DEC"/>
    <w:rsid w:val="02946093"/>
    <w:rsid w:val="02954C0E"/>
    <w:rsid w:val="02962A5F"/>
    <w:rsid w:val="029F3196"/>
    <w:rsid w:val="02AA1D8B"/>
    <w:rsid w:val="02AC53F2"/>
    <w:rsid w:val="02B37385"/>
    <w:rsid w:val="02BD2D97"/>
    <w:rsid w:val="02C00F2D"/>
    <w:rsid w:val="02C60B85"/>
    <w:rsid w:val="02C80459"/>
    <w:rsid w:val="02CB524D"/>
    <w:rsid w:val="02CC7703"/>
    <w:rsid w:val="02D451DF"/>
    <w:rsid w:val="02D60E3E"/>
    <w:rsid w:val="02D87A28"/>
    <w:rsid w:val="02DD1A2B"/>
    <w:rsid w:val="02DE7995"/>
    <w:rsid w:val="02E4209B"/>
    <w:rsid w:val="02E95986"/>
    <w:rsid w:val="02FA1BC9"/>
    <w:rsid w:val="030A72F3"/>
    <w:rsid w:val="030B6548"/>
    <w:rsid w:val="03120BBC"/>
    <w:rsid w:val="031635ED"/>
    <w:rsid w:val="03176776"/>
    <w:rsid w:val="031848EE"/>
    <w:rsid w:val="0319645B"/>
    <w:rsid w:val="032147DA"/>
    <w:rsid w:val="03500296"/>
    <w:rsid w:val="035031CD"/>
    <w:rsid w:val="0351212F"/>
    <w:rsid w:val="03561F09"/>
    <w:rsid w:val="03563691"/>
    <w:rsid w:val="03596601"/>
    <w:rsid w:val="03601057"/>
    <w:rsid w:val="03686B4B"/>
    <w:rsid w:val="036A6ED9"/>
    <w:rsid w:val="03711519"/>
    <w:rsid w:val="03713F36"/>
    <w:rsid w:val="03716C72"/>
    <w:rsid w:val="0377290A"/>
    <w:rsid w:val="037A07A4"/>
    <w:rsid w:val="037B371D"/>
    <w:rsid w:val="037E7463"/>
    <w:rsid w:val="038779CB"/>
    <w:rsid w:val="0388408C"/>
    <w:rsid w:val="038A360B"/>
    <w:rsid w:val="03914B20"/>
    <w:rsid w:val="039816E3"/>
    <w:rsid w:val="0398482D"/>
    <w:rsid w:val="03990B23"/>
    <w:rsid w:val="03A76EF9"/>
    <w:rsid w:val="03B05BEF"/>
    <w:rsid w:val="03B81543"/>
    <w:rsid w:val="03BA115A"/>
    <w:rsid w:val="03C07CDA"/>
    <w:rsid w:val="03C26AEB"/>
    <w:rsid w:val="03C93B1F"/>
    <w:rsid w:val="03C947DD"/>
    <w:rsid w:val="03D2624F"/>
    <w:rsid w:val="03D36187"/>
    <w:rsid w:val="03D830F9"/>
    <w:rsid w:val="03D97EDF"/>
    <w:rsid w:val="03DB42CC"/>
    <w:rsid w:val="03E21817"/>
    <w:rsid w:val="03E2358E"/>
    <w:rsid w:val="03E357F4"/>
    <w:rsid w:val="03E97DBE"/>
    <w:rsid w:val="03F86B1C"/>
    <w:rsid w:val="040707A2"/>
    <w:rsid w:val="040C26B9"/>
    <w:rsid w:val="040C7183"/>
    <w:rsid w:val="04183D1C"/>
    <w:rsid w:val="041D6375"/>
    <w:rsid w:val="041E43FE"/>
    <w:rsid w:val="04236473"/>
    <w:rsid w:val="04236BE5"/>
    <w:rsid w:val="04295954"/>
    <w:rsid w:val="04330A26"/>
    <w:rsid w:val="043607ED"/>
    <w:rsid w:val="04376CBF"/>
    <w:rsid w:val="043C0559"/>
    <w:rsid w:val="043E18B7"/>
    <w:rsid w:val="044247A2"/>
    <w:rsid w:val="044404B7"/>
    <w:rsid w:val="04442C52"/>
    <w:rsid w:val="04484874"/>
    <w:rsid w:val="044D269E"/>
    <w:rsid w:val="045A41C2"/>
    <w:rsid w:val="045C5B14"/>
    <w:rsid w:val="046B2838"/>
    <w:rsid w:val="0472717F"/>
    <w:rsid w:val="04732647"/>
    <w:rsid w:val="04842AA6"/>
    <w:rsid w:val="0486237A"/>
    <w:rsid w:val="048A6351"/>
    <w:rsid w:val="04951484"/>
    <w:rsid w:val="049802FF"/>
    <w:rsid w:val="04996B0B"/>
    <w:rsid w:val="049A5E25"/>
    <w:rsid w:val="049B394B"/>
    <w:rsid w:val="049C2BA0"/>
    <w:rsid w:val="049E6644"/>
    <w:rsid w:val="04A96495"/>
    <w:rsid w:val="04AB3B8E"/>
    <w:rsid w:val="04B10511"/>
    <w:rsid w:val="04B87A29"/>
    <w:rsid w:val="04B93CA0"/>
    <w:rsid w:val="04BA0275"/>
    <w:rsid w:val="04BC4372"/>
    <w:rsid w:val="04BE2E12"/>
    <w:rsid w:val="04CA4DE0"/>
    <w:rsid w:val="04CA5335"/>
    <w:rsid w:val="04D07A99"/>
    <w:rsid w:val="04D24193"/>
    <w:rsid w:val="04D55CB1"/>
    <w:rsid w:val="04D76384"/>
    <w:rsid w:val="04DF0629"/>
    <w:rsid w:val="04EF06A9"/>
    <w:rsid w:val="04F62FB3"/>
    <w:rsid w:val="050002A5"/>
    <w:rsid w:val="05091972"/>
    <w:rsid w:val="050A35AF"/>
    <w:rsid w:val="050C1190"/>
    <w:rsid w:val="051A1072"/>
    <w:rsid w:val="051D0035"/>
    <w:rsid w:val="051D5A25"/>
    <w:rsid w:val="05201407"/>
    <w:rsid w:val="052B05EB"/>
    <w:rsid w:val="052E1931"/>
    <w:rsid w:val="05310B77"/>
    <w:rsid w:val="053A6A10"/>
    <w:rsid w:val="053D0D99"/>
    <w:rsid w:val="053F1908"/>
    <w:rsid w:val="0542333A"/>
    <w:rsid w:val="054A784B"/>
    <w:rsid w:val="054B265F"/>
    <w:rsid w:val="05585C8B"/>
    <w:rsid w:val="055A7016"/>
    <w:rsid w:val="055B7D55"/>
    <w:rsid w:val="055C757F"/>
    <w:rsid w:val="05681A7F"/>
    <w:rsid w:val="056B6A53"/>
    <w:rsid w:val="056F6481"/>
    <w:rsid w:val="05750C0A"/>
    <w:rsid w:val="05784026"/>
    <w:rsid w:val="058022EC"/>
    <w:rsid w:val="058F1A17"/>
    <w:rsid w:val="059B4751"/>
    <w:rsid w:val="059D4819"/>
    <w:rsid w:val="05A74906"/>
    <w:rsid w:val="05A95A36"/>
    <w:rsid w:val="05AE52C5"/>
    <w:rsid w:val="05B268F1"/>
    <w:rsid w:val="05B84A50"/>
    <w:rsid w:val="05BE67F7"/>
    <w:rsid w:val="05BF45FB"/>
    <w:rsid w:val="05C47ED0"/>
    <w:rsid w:val="05CE00F6"/>
    <w:rsid w:val="05DE4BEF"/>
    <w:rsid w:val="05E53EAE"/>
    <w:rsid w:val="05E562F7"/>
    <w:rsid w:val="05F26B53"/>
    <w:rsid w:val="06043E9E"/>
    <w:rsid w:val="06047BEB"/>
    <w:rsid w:val="060A3464"/>
    <w:rsid w:val="060F2AA1"/>
    <w:rsid w:val="06255BC2"/>
    <w:rsid w:val="062E2CC9"/>
    <w:rsid w:val="06335042"/>
    <w:rsid w:val="064A10CF"/>
    <w:rsid w:val="06562220"/>
    <w:rsid w:val="06595FA7"/>
    <w:rsid w:val="065B1719"/>
    <w:rsid w:val="06643766"/>
    <w:rsid w:val="06655992"/>
    <w:rsid w:val="067E4D2E"/>
    <w:rsid w:val="068679BD"/>
    <w:rsid w:val="06871D11"/>
    <w:rsid w:val="06897EFF"/>
    <w:rsid w:val="06910B44"/>
    <w:rsid w:val="06941E63"/>
    <w:rsid w:val="06976AC0"/>
    <w:rsid w:val="069E3A4D"/>
    <w:rsid w:val="06A10A73"/>
    <w:rsid w:val="06A70BB8"/>
    <w:rsid w:val="06B5215B"/>
    <w:rsid w:val="06BC6ABF"/>
    <w:rsid w:val="06BD23A7"/>
    <w:rsid w:val="06BE1860"/>
    <w:rsid w:val="06BF7412"/>
    <w:rsid w:val="06CC49F3"/>
    <w:rsid w:val="06D74415"/>
    <w:rsid w:val="06E82466"/>
    <w:rsid w:val="06E84F1D"/>
    <w:rsid w:val="06E903D2"/>
    <w:rsid w:val="06F14934"/>
    <w:rsid w:val="070D6120"/>
    <w:rsid w:val="070E1DB1"/>
    <w:rsid w:val="07104C12"/>
    <w:rsid w:val="07195773"/>
    <w:rsid w:val="071A4705"/>
    <w:rsid w:val="07260341"/>
    <w:rsid w:val="07262433"/>
    <w:rsid w:val="07287718"/>
    <w:rsid w:val="072D0AF6"/>
    <w:rsid w:val="072D2F81"/>
    <w:rsid w:val="072F043D"/>
    <w:rsid w:val="07437BBB"/>
    <w:rsid w:val="07496C74"/>
    <w:rsid w:val="075536EE"/>
    <w:rsid w:val="07563E12"/>
    <w:rsid w:val="075B3056"/>
    <w:rsid w:val="075B6744"/>
    <w:rsid w:val="075C43FD"/>
    <w:rsid w:val="07612F8C"/>
    <w:rsid w:val="07625087"/>
    <w:rsid w:val="076B1CFB"/>
    <w:rsid w:val="078416F3"/>
    <w:rsid w:val="07853B29"/>
    <w:rsid w:val="078C7734"/>
    <w:rsid w:val="079E2579"/>
    <w:rsid w:val="07AD69BA"/>
    <w:rsid w:val="07B42921"/>
    <w:rsid w:val="07B43DA5"/>
    <w:rsid w:val="07BF329A"/>
    <w:rsid w:val="07C75183"/>
    <w:rsid w:val="07CB6508"/>
    <w:rsid w:val="07CD783F"/>
    <w:rsid w:val="07CF228A"/>
    <w:rsid w:val="07D653C6"/>
    <w:rsid w:val="07DB0C2F"/>
    <w:rsid w:val="07DD28A8"/>
    <w:rsid w:val="07E5158C"/>
    <w:rsid w:val="080041F1"/>
    <w:rsid w:val="08033DE7"/>
    <w:rsid w:val="081171FC"/>
    <w:rsid w:val="08147C9D"/>
    <w:rsid w:val="08155263"/>
    <w:rsid w:val="08184945"/>
    <w:rsid w:val="08186402"/>
    <w:rsid w:val="08225560"/>
    <w:rsid w:val="082A67AE"/>
    <w:rsid w:val="082B071E"/>
    <w:rsid w:val="082C7B47"/>
    <w:rsid w:val="08334643"/>
    <w:rsid w:val="083457BE"/>
    <w:rsid w:val="08386081"/>
    <w:rsid w:val="083F52A2"/>
    <w:rsid w:val="084F4AD8"/>
    <w:rsid w:val="084F690E"/>
    <w:rsid w:val="085F5CCE"/>
    <w:rsid w:val="086B68D0"/>
    <w:rsid w:val="086E6F3E"/>
    <w:rsid w:val="08732C15"/>
    <w:rsid w:val="087E1AA3"/>
    <w:rsid w:val="087F1A95"/>
    <w:rsid w:val="087F5A5E"/>
    <w:rsid w:val="088B26B1"/>
    <w:rsid w:val="08954992"/>
    <w:rsid w:val="089739B7"/>
    <w:rsid w:val="089B4ABA"/>
    <w:rsid w:val="08A2003A"/>
    <w:rsid w:val="08AF4F12"/>
    <w:rsid w:val="08B651F8"/>
    <w:rsid w:val="08BB45BC"/>
    <w:rsid w:val="08BB636A"/>
    <w:rsid w:val="08BF7557"/>
    <w:rsid w:val="08C02906"/>
    <w:rsid w:val="08CB0141"/>
    <w:rsid w:val="08D411DD"/>
    <w:rsid w:val="08D67AEE"/>
    <w:rsid w:val="08DB3E97"/>
    <w:rsid w:val="08E41D65"/>
    <w:rsid w:val="08E73787"/>
    <w:rsid w:val="08ED4261"/>
    <w:rsid w:val="08EF734E"/>
    <w:rsid w:val="08FC4724"/>
    <w:rsid w:val="09110D3D"/>
    <w:rsid w:val="091972B0"/>
    <w:rsid w:val="091D3E24"/>
    <w:rsid w:val="091E61BB"/>
    <w:rsid w:val="092150A3"/>
    <w:rsid w:val="09223378"/>
    <w:rsid w:val="092C65B3"/>
    <w:rsid w:val="09322CFF"/>
    <w:rsid w:val="09371E95"/>
    <w:rsid w:val="093D463D"/>
    <w:rsid w:val="09401A6E"/>
    <w:rsid w:val="094560C7"/>
    <w:rsid w:val="094822F4"/>
    <w:rsid w:val="0948778A"/>
    <w:rsid w:val="094B0BE3"/>
    <w:rsid w:val="094C3A6C"/>
    <w:rsid w:val="094E5430"/>
    <w:rsid w:val="095348BA"/>
    <w:rsid w:val="09552951"/>
    <w:rsid w:val="095A3DD5"/>
    <w:rsid w:val="095D055B"/>
    <w:rsid w:val="09615005"/>
    <w:rsid w:val="096E525F"/>
    <w:rsid w:val="09776735"/>
    <w:rsid w:val="09776D84"/>
    <w:rsid w:val="09777A04"/>
    <w:rsid w:val="097A75F4"/>
    <w:rsid w:val="097D39CA"/>
    <w:rsid w:val="098A4D18"/>
    <w:rsid w:val="098F4705"/>
    <w:rsid w:val="0992592A"/>
    <w:rsid w:val="09926D5C"/>
    <w:rsid w:val="099E4291"/>
    <w:rsid w:val="099E4CA7"/>
    <w:rsid w:val="09AD1A84"/>
    <w:rsid w:val="09AD23B6"/>
    <w:rsid w:val="09B663F3"/>
    <w:rsid w:val="09B90FB2"/>
    <w:rsid w:val="09C474A0"/>
    <w:rsid w:val="09CE0261"/>
    <w:rsid w:val="09CE6E42"/>
    <w:rsid w:val="09D64EA5"/>
    <w:rsid w:val="09F309B5"/>
    <w:rsid w:val="09F70BE3"/>
    <w:rsid w:val="0A03621B"/>
    <w:rsid w:val="0A0A7FCB"/>
    <w:rsid w:val="0A0C1573"/>
    <w:rsid w:val="0A0D7DEF"/>
    <w:rsid w:val="0A0F6050"/>
    <w:rsid w:val="0A11336E"/>
    <w:rsid w:val="0A130E88"/>
    <w:rsid w:val="0A140F44"/>
    <w:rsid w:val="0A2115E4"/>
    <w:rsid w:val="0A234366"/>
    <w:rsid w:val="0A270004"/>
    <w:rsid w:val="0A272C22"/>
    <w:rsid w:val="0A2A0693"/>
    <w:rsid w:val="0A4F320E"/>
    <w:rsid w:val="0A515D55"/>
    <w:rsid w:val="0A526333"/>
    <w:rsid w:val="0A5617BA"/>
    <w:rsid w:val="0A5C4DDC"/>
    <w:rsid w:val="0A603998"/>
    <w:rsid w:val="0A624B0B"/>
    <w:rsid w:val="0A674628"/>
    <w:rsid w:val="0A690774"/>
    <w:rsid w:val="0A6E06DB"/>
    <w:rsid w:val="0A6E1ADD"/>
    <w:rsid w:val="0A704B45"/>
    <w:rsid w:val="0A717446"/>
    <w:rsid w:val="0A8026FD"/>
    <w:rsid w:val="0A826A21"/>
    <w:rsid w:val="0A867E89"/>
    <w:rsid w:val="0A913826"/>
    <w:rsid w:val="0A9A02B1"/>
    <w:rsid w:val="0A9C79CD"/>
    <w:rsid w:val="0A9E4D3E"/>
    <w:rsid w:val="0AA163F9"/>
    <w:rsid w:val="0AA6405D"/>
    <w:rsid w:val="0AC77248"/>
    <w:rsid w:val="0ACC0D02"/>
    <w:rsid w:val="0ACC31E8"/>
    <w:rsid w:val="0AD04C9C"/>
    <w:rsid w:val="0AD376B3"/>
    <w:rsid w:val="0ADB3590"/>
    <w:rsid w:val="0AE5521B"/>
    <w:rsid w:val="0AEC24B7"/>
    <w:rsid w:val="0AED55AB"/>
    <w:rsid w:val="0AEF03FD"/>
    <w:rsid w:val="0AF10487"/>
    <w:rsid w:val="0AFB4C31"/>
    <w:rsid w:val="0B0855E6"/>
    <w:rsid w:val="0B18614B"/>
    <w:rsid w:val="0B1D24CA"/>
    <w:rsid w:val="0B1D46D0"/>
    <w:rsid w:val="0B235F52"/>
    <w:rsid w:val="0B2823DD"/>
    <w:rsid w:val="0B39313A"/>
    <w:rsid w:val="0B3A4EE7"/>
    <w:rsid w:val="0B3D17CA"/>
    <w:rsid w:val="0B3D3052"/>
    <w:rsid w:val="0B40118F"/>
    <w:rsid w:val="0B4C3958"/>
    <w:rsid w:val="0B507E05"/>
    <w:rsid w:val="0B533537"/>
    <w:rsid w:val="0B57681E"/>
    <w:rsid w:val="0B5A38E8"/>
    <w:rsid w:val="0B5B1C61"/>
    <w:rsid w:val="0B5C1E9D"/>
    <w:rsid w:val="0B64674D"/>
    <w:rsid w:val="0B6D458E"/>
    <w:rsid w:val="0B6F14F7"/>
    <w:rsid w:val="0B700349"/>
    <w:rsid w:val="0B731D47"/>
    <w:rsid w:val="0B753B2C"/>
    <w:rsid w:val="0B7C1696"/>
    <w:rsid w:val="0B7C4627"/>
    <w:rsid w:val="0B891F50"/>
    <w:rsid w:val="0B8B1A38"/>
    <w:rsid w:val="0B8D4BB5"/>
    <w:rsid w:val="0B97557A"/>
    <w:rsid w:val="0B9823E7"/>
    <w:rsid w:val="0BA11C3B"/>
    <w:rsid w:val="0BA92786"/>
    <w:rsid w:val="0BAA2BC6"/>
    <w:rsid w:val="0BAC3213"/>
    <w:rsid w:val="0BB87866"/>
    <w:rsid w:val="0BBB6132"/>
    <w:rsid w:val="0BBC3C94"/>
    <w:rsid w:val="0BBE124B"/>
    <w:rsid w:val="0BBF6171"/>
    <w:rsid w:val="0BC336C4"/>
    <w:rsid w:val="0BCD4D32"/>
    <w:rsid w:val="0BCE3AE3"/>
    <w:rsid w:val="0BCE4B7F"/>
    <w:rsid w:val="0BD24CE6"/>
    <w:rsid w:val="0BD75BB1"/>
    <w:rsid w:val="0BEB2B73"/>
    <w:rsid w:val="0BF12638"/>
    <w:rsid w:val="0BF976A6"/>
    <w:rsid w:val="0C1B5AB1"/>
    <w:rsid w:val="0C1C3767"/>
    <w:rsid w:val="0C1D0D58"/>
    <w:rsid w:val="0C1F6501"/>
    <w:rsid w:val="0C1F71E9"/>
    <w:rsid w:val="0C236700"/>
    <w:rsid w:val="0C2C1973"/>
    <w:rsid w:val="0C3015C1"/>
    <w:rsid w:val="0C4B19EE"/>
    <w:rsid w:val="0C4C6BDA"/>
    <w:rsid w:val="0C527FE8"/>
    <w:rsid w:val="0C543CB5"/>
    <w:rsid w:val="0C550884"/>
    <w:rsid w:val="0C593834"/>
    <w:rsid w:val="0C5C6C30"/>
    <w:rsid w:val="0C636F2E"/>
    <w:rsid w:val="0C654F6B"/>
    <w:rsid w:val="0C6812A8"/>
    <w:rsid w:val="0C687A50"/>
    <w:rsid w:val="0C6918E7"/>
    <w:rsid w:val="0C6B0AAF"/>
    <w:rsid w:val="0C70424A"/>
    <w:rsid w:val="0C7142A5"/>
    <w:rsid w:val="0C751661"/>
    <w:rsid w:val="0C762164"/>
    <w:rsid w:val="0C767178"/>
    <w:rsid w:val="0C787F37"/>
    <w:rsid w:val="0C7D2637"/>
    <w:rsid w:val="0C811C7B"/>
    <w:rsid w:val="0C8312A6"/>
    <w:rsid w:val="0C843B26"/>
    <w:rsid w:val="0C853D53"/>
    <w:rsid w:val="0C8B48EC"/>
    <w:rsid w:val="0C94713B"/>
    <w:rsid w:val="0CA073F4"/>
    <w:rsid w:val="0CA15135"/>
    <w:rsid w:val="0CA54D94"/>
    <w:rsid w:val="0CAC29D7"/>
    <w:rsid w:val="0CB07770"/>
    <w:rsid w:val="0CB657C6"/>
    <w:rsid w:val="0CC57BA9"/>
    <w:rsid w:val="0CC712FC"/>
    <w:rsid w:val="0CC872A8"/>
    <w:rsid w:val="0CCD0E51"/>
    <w:rsid w:val="0CDD0FA5"/>
    <w:rsid w:val="0CE73BD2"/>
    <w:rsid w:val="0CEA6DC6"/>
    <w:rsid w:val="0CF167FE"/>
    <w:rsid w:val="0CFB25DD"/>
    <w:rsid w:val="0CFB2F25"/>
    <w:rsid w:val="0CFE3CFD"/>
    <w:rsid w:val="0D0B532E"/>
    <w:rsid w:val="0D0E115E"/>
    <w:rsid w:val="0D0F40CA"/>
    <w:rsid w:val="0D15613A"/>
    <w:rsid w:val="0D176038"/>
    <w:rsid w:val="0D28274F"/>
    <w:rsid w:val="0D2C6A93"/>
    <w:rsid w:val="0D317D95"/>
    <w:rsid w:val="0D3D1EE7"/>
    <w:rsid w:val="0D3F74A1"/>
    <w:rsid w:val="0D417786"/>
    <w:rsid w:val="0D4C612B"/>
    <w:rsid w:val="0D5D20E6"/>
    <w:rsid w:val="0D5E0FC8"/>
    <w:rsid w:val="0D633EBC"/>
    <w:rsid w:val="0D660ECD"/>
    <w:rsid w:val="0D735B91"/>
    <w:rsid w:val="0D7F6062"/>
    <w:rsid w:val="0D8717CE"/>
    <w:rsid w:val="0D8A1ECF"/>
    <w:rsid w:val="0D8E6743"/>
    <w:rsid w:val="0D8F4236"/>
    <w:rsid w:val="0D902275"/>
    <w:rsid w:val="0D9244F6"/>
    <w:rsid w:val="0D935B9F"/>
    <w:rsid w:val="0D9A1054"/>
    <w:rsid w:val="0D9F44AC"/>
    <w:rsid w:val="0DA11FD2"/>
    <w:rsid w:val="0DAB10A3"/>
    <w:rsid w:val="0DAB2E51"/>
    <w:rsid w:val="0DB00B4F"/>
    <w:rsid w:val="0DB869ED"/>
    <w:rsid w:val="0DB92D7C"/>
    <w:rsid w:val="0DBA12E6"/>
    <w:rsid w:val="0DBC6760"/>
    <w:rsid w:val="0DC166D7"/>
    <w:rsid w:val="0DCC5609"/>
    <w:rsid w:val="0DCF7B7B"/>
    <w:rsid w:val="0DD95C14"/>
    <w:rsid w:val="0DDD137A"/>
    <w:rsid w:val="0DDF67D7"/>
    <w:rsid w:val="0DE73CA9"/>
    <w:rsid w:val="0DED10D7"/>
    <w:rsid w:val="0DF5354C"/>
    <w:rsid w:val="0E086FD5"/>
    <w:rsid w:val="0E106F57"/>
    <w:rsid w:val="0E175DD5"/>
    <w:rsid w:val="0E1A1D85"/>
    <w:rsid w:val="0E1B1E7D"/>
    <w:rsid w:val="0E227205"/>
    <w:rsid w:val="0E262A82"/>
    <w:rsid w:val="0E2A696E"/>
    <w:rsid w:val="0E2F0E28"/>
    <w:rsid w:val="0E4E761E"/>
    <w:rsid w:val="0E512F07"/>
    <w:rsid w:val="0E5E0C73"/>
    <w:rsid w:val="0E961D98"/>
    <w:rsid w:val="0E972B26"/>
    <w:rsid w:val="0E9C0445"/>
    <w:rsid w:val="0EA03BF7"/>
    <w:rsid w:val="0EAB3206"/>
    <w:rsid w:val="0EAE3742"/>
    <w:rsid w:val="0EBB70C4"/>
    <w:rsid w:val="0EBF18BB"/>
    <w:rsid w:val="0ECB4A21"/>
    <w:rsid w:val="0ECE608A"/>
    <w:rsid w:val="0ED66D91"/>
    <w:rsid w:val="0ED8784A"/>
    <w:rsid w:val="0EDB1903"/>
    <w:rsid w:val="0EDE2E67"/>
    <w:rsid w:val="0EE473DB"/>
    <w:rsid w:val="0EE704EA"/>
    <w:rsid w:val="0EEA7C30"/>
    <w:rsid w:val="0EF95E3E"/>
    <w:rsid w:val="0F192438"/>
    <w:rsid w:val="0F1B4006"/>
    <w:rsid w:val="0F1C5A5E"/>
    <w:rsid w:val="0F1D46D8"/>
    <w:rsid w:val="0F2A5FF8"/>
    <w:rsid w:val="0F2B249C"/>
    <w:rsid w:val="0F362DBF"/>
    <w:rsid w:val="0F3B5516"/>
    <w:rsid w:val="0F3E1F32"/>
    <w:rsid w:val="0F4755CE"/>
    <w:rsid w:val="0F4C6A04"/>
    <w:rsid w:val="0F5851D7"/>
    <w:rsid w:val="0F5E0835"/>
    <w:rsid w:val="0F5E1F7E"/>
    <w:rsid w:val="0F6173C0"/>
    <w:rsid w:val="0F631D95"/>
    <w:rsid w:val="0F672DA8"/>
    <w:rsid w:val="0F6C03BE"/>
    <w:rsid w:val="0F76123D"/>
    <w:rsid w:val="0F791CF6"/>
    <w:rsid w:val="0F804185"/>
    <w:rsid w:val="0F8126F6"/>
    <w:rsid w:val="0F822D9A"/>
    <w:rsid w:val="0F830EFB"/>
    <w:rsid w:val="0F834891"/>
    <w:rsid w:val="0F870888"/>
    <w:rsid w:val="0F8A3E81"/>
    <w:rsid w:val="0F8D6C17"/>
    <w:rsid w:val="0F933BB4"/>
    <w:rsid w:val="0F9767CA"/>
    <w:rsid w:val="0F990CCC"/>
    <w:rsid w:val="0F9B26AD"/>
    <w:rsid w:val="0FA43289"/>
    <w:rsid w:val="0FA729AC"/>
    <w:rsid w:val="0FA86185"/>
    <w:rsid w:val="0FAD3417"/>
    <w:rsid w:val="0FAE6D8C"/>
    <w:rsid w:val="0FB64B1E"/>
    <w:rsid w:val="0FB8068E"/>
    <w:rsid w:val="0FB87864"/>
    <w:rsid w:val="0FB94838"/>
    <w:rsid w:val="0FBD1C3B"/>
    <w:rsid w:val="0FC81397"/>
    <w:rsid w:val="0FC84547"/>
    <w:rsid w:val="0FD03CA2"/>
    <w:rsid w:val="0FD81768"/>
    <w:rsid w:val="0FEA2D27"/>
    <w:rsid w:val="0FED1E1C"/>
    <w:rsid w:val="0FEE1FF3"/>
    <w:rsid w:val="0FEF7C32"/>
    <w:rsid w:val="0FF104EB"/>
    <w:rsid w:val="0FF545C1"/>
    <w:rsid w:val="0FF61AB5"/>
    <w:rsid w:val="0FFB684F"/>
    <w:rsid w:val="0FFC5AE4"/>
    <w:rsid w:val="100A522A"/>
    <w:rsid w:val="10102F44"/>
    <w:rsid w:val="101B0A43"/>
    <w:rsid w:val="101D2B5B"/>
    <w:rsid w:val="101E3DAE"/>
    <w:rsid w:val="10227817"/>
    <w:rsid w:val="102E2971"/>
    <w:rsid w:val="10381991"/>
    <w:rsid w:val="1045758D"/>
    <w:rsid w:val="10464F01"/>
    <w:rsid w:val="10482B55"/>
    <w:rsid w:val="10522022"/>
    <w:rsid w:val="10593E43"/>
    <w:rsid w:val="1059496D"/>
    <w:rsid w:val="1061678E"/>
    <w:rsid w:val="1063167B"/>
    <w:rsid w:val="106E5D8E"/>
    <w:rsid w:val="10717B6B"/>
    <w:rsid w:val="10797237"/>
    <w:rsid w:val="1080738A"/>
    <w:rsid w:val="10822645"/>
    <w:rsid w:val="10867F82"/>
    <w:rsid w:val="10953945"/>
    <w:rsid w:val="109804E6"/>
    <w:rsid w:val="10A860EF"/>
    <w:rsid w:val="10AC52A9"/>
    <w:rsid w:val="10B44B4F"/>
    <w:rsid w:val="10B81768"/>
    <w:rsid w:val="10BB269A"/>
    <w:rsid w:val="10BC140D"/>
    <w:rsid w:val="10C1531D"/>
    <w:rsid w:val="10C5750C"/>
    <w:rsid w:val="10C8650E"/>
    <w:rsid w:val="10CA716A"/>
    <w:rsid w:val="10D153C9"/>
    <w:rsid w:val="10D40911"/>
    <w:rsid w:val="10EF5F3F"/>
    <w:rsid w:val="10F564F1"/>
    <w:rsid w:val="10FF42B4"/>
    <w:rsid w:val="1106525F"/>
    <w:rsid w:val="110A48CA"/>
    <w:rsid w:val="110D37EA"/>
    <w:rsid w:val="111305B1"/>
    <w:rsid w:val="111921D0"/>
    <w:rsid w:val="11252D26"/>
    <w:rsid w:val="112E36F9"/>
    <w:rsid w:val="11303D67"/>
    <w:rsid w:val="113179F7"/>
    <w:rsid w:val="113D0264"/>
    <w:rsid w:val="114D3DF0"/>
    <w:rsid w:val="115759BF"/>
    <w:rsid w:val="115B278A"/>
    <w:rsid w:val="116700E3"/>
    <w:rsid w:val="11672756"/>
    <w:rsid w:val="116727A5"/>
    <w:rsid w:val="116B4C95"/>
    <w:rsid w:val="11731ED8"/>
    <w:rsid w:val="11754151"/>
    <w:rsid w:val="11762BB5"/>
    <w:rsid w:val="11770245"/>
    <w:rsid w:val="117B1DDF"/>
    <w:rsid w:val="117C3029"/>
    <w:rsid w:val="11802789"/>
    <w:rsid w:val="11A77DD3"/>
    <w:rsid w:val="11AE5BEC"/>
    <w:rsid w:val="11B50C1E"/>
    <w:rsid w:val="11B70CAE"/>
    <w:rsid w:val="11CB6B25"/>
    <w:rsid w:val="11DB688F"/>
    <w:rsid w:val="11DD00B4"/>
    <w:rsid w:val="11E12852"/>
    <w:rsid w:val="11E77402"/>
    <w:rsid w:val="11EC524A"/>
    <w:rsid w:val="11EF4327"/>
    <w:rsid w:val="11F5408B"/>
    <w:rsid w:val="11FF3067"/>
    <w:rsid w:val="11FF7271"/>
    <w:rsid w:val="12040D82"/>
    <w:rsid w:val="12052C47"/>
    <w:rsid w:val="121A05A5"/>
    <w:rsid w:val="121F7F2B"/>
    <w:rsid w:val="12295577"/>
    <w:rsid w:val="12347F17"/>
    <w:rsid w:val="123A08DF"/>
    <w:rsid w:val="123C2AA5"/>
    <w:rsid w:val="123D3A46"/>
    <w:rsid w:val="124174E8"/>
    <w:rsid w:val="124A2CFA"/>
    <w:rsid w:val="124A3A51"/>
    <w:rsid w:val="12530920"/>
    <w:rsid w:val="125E4936"/>
    <w:rsid w:val="126434FF"/>
    <w:rsid w:val="12666A8D"/>
    <w:rsid w:val="12674CCF"/>
    <w:rsid w:val="126D7F44"/>
    <w:rsid w:val="126E12BA"/>
    <w:rsid w:val="127A143C"/>
    <w:rsid w:val="127F5181"/>
    <w:rsid w:val="128F7B10"/>
    <w:rsid w:val="1297779D"/>
    <w:rsid w:val="12A54CD8"/>
    <w:rsid w:val="12A850A5"/>
    <w:rsid w:val="12AC6B8A"/>
    <w:rsid w:val="12B90A48"/>
    <w:rsid w:val="12BC338F"/>
    <w:rsid w:val="12C03EEB"/>
    <w:rsid w:val="12C23037"/>
    <w:rsid w:val="12C94FEB"/>
    <w:rsid w:val="12CD4665"/>
    <w:rsid w:val="12D4166D"/>
    <w:rsid w:val="12D62312"/>
    <w:rsid w:val="12D64A2E"/>
    <w:rsid w:val="12D97605"/>
    <w:rsid w:val="12DB6F47"/>
    <w:rsid w:val="12DC1B55"/>
    <w:rsid w:val="12E1526B"/>
    <w:rsid w:val="12E7504C"/>
    <w:rsid w:val="12EB0686"/>
    <w:rsid w:val="12EC1224"/>
    <w:rsid w:val="12F2198D"/>
    <w:rsid w:val="130224F5"/>
    <w:rsid w:val="13113DA2"/>
    <w:rsid w:val="13130D79"/>
    <w:rsid w:val="131565EB"/>
    <w:rsid w:val="13165211"/>
    <w:rsid w:val="131864C9"/>
    <w:rsid w:val="131A0B66"/>
    <w:rsid w:val="131C34F9"/>
    <w:rsid w:val="133633BB"/>
    <w:rsid w:val="13397F2D"/>
    <w:rsid w:val="13477178"/>
    <w:rsid w:val="13494E20"/>
    <w:rsid w:val="1350543E"/>
    <w:rsid w:val="13565218"/>
    <w:rsid w:val="1356607A"/>
    <w:rsid w:val="135847C2"/>
    <w:rsid w:val="1367749F"/>
    <w:rsid w:val="136B5577"/>
    <w:rsid w:val="13773980"/>
    <w:rsid w:val="138D0FB3"/>
    <w:rsid w:val="13923D59"/>
    <w:rsid w:val="1398538B"/>
    <w:rsid w:val="139879D4"/>
    <w:rsid w:val="13A334DD"/>
    <w:rsid w:val="13B33689"/>
    <w:rsid w:val="13B75DBC"/>
    <w:rsid w:val="13D015E4"/>
    <w:rsid w:val="13D16C86"/>
    <w:rsid w:val="13D93849"/>
    <w:rsid w:val="13D97B23"/>
    <w:rsid w:val="13DB5BC6"/>
    <w:rsid w:val="13E1127D"/>
    <w:rsid w:val="13E35D15"/>
    <w:rsid w:val="13E65EB9"/>
    <w:rsid w:val="13EE03DE"/>
    <w:rsid w:val="13F42753"/>
    <w:rsid w:val="13F50FD1"/>
    <w:rsid w:val="13FA1255"/>
    <w:rsid w:val="13FD047E"/>
    <w:rsid w:val="13FF2113"/>
    <w:rsid w:val="140648C0"/>
    <w:rsid w:val="14083F37"/>
    <w:rsid w:val="1409431B"/>
    <w:rsid w:val="140E413A"/>
    <w:rsid w:val="14164DC9"/>
    <w:rsid w:val="141A4247"/>
    <w:rsid w:val="141F689C"/>
    <w:rsid w:val="14204A21"/>
    <w:rsid w:val="14226501"/>
    <w:rsid w:val="14233A93"/>
    <w:rsid w:val="14277029"/>
    <w:rsid w:val="14352CA7"/>
    <w:rsid w:val="1439686D"/>
    <w:rsid w:val="143A6CDD"/>
    <w:rsid w:val="144B0AAC"/>
    <w:rsid w:val="1461070D"/>
    <w:rsid w:val="14691B6A"/>
    <w:rsid w:val="14767435"/>
    <w:rsid w:val="14786C93"/>
    <w:rsid w:val="147F2942"/>
    <w:rsid w:val="14836234"/>
    <w:rsid w:val="14933E8F"/>
    <w:rsid w:val="1497412F"/>
    <w:rsid w:val="149E02E6"/>
    <w:rsid w:val="149E66C7"/>
    <w:rsid w:val="14A33F4F"/>
    <w:rsid w:val="14A34882"/>
    <w:rsid w:val="14AF0006"/>
    <w:rsid w:val="14AF3210"/>
    <w:rsid w:val="14C35D55"/>
    <w:rsid w:val="14CC3FB7"/>
    <w:rsid w:val="14CE5C1D"/>
    <w:rsid w:val="14D65201"/>
    <w:rsid w:val="14D9714C"/>
    <w:rsid w:val="14E3403A"/>
    <w:rsid w:val="14E5572E"/>
    <w:rsid w:val="14F364C5"/>
    <w:rsid w:val="14F3765A"/>
    <w:rsid w:val="14FA2EBD"/>
    <w:rsid w:val="15003A82"/>
    <w:rsid w:val="150A672B"/>
    <w:rsid w:val="150B4F2B"/>
    <w:rsid w:val="150C0679"/>
    <w:rsid w:val="15107BF5"/>
    <w:rsid w:val="15285555"/>
    <w:rsid w:val="152A0AFF"/>
    <w:rsid w:val="152D0236"/>
    <w:rsid w:val="152F06F4"/>
    <w:rsid w:val="153B4041"/>
    <w:rsid w:val="153F1B65"/>
    <w:rsid w:val="153F63F5"/>
    <w:rsid w:val="154336E9"/>
    <w:rsid w:val="1545366E"/>
    <w:rsid w:val="15480B88"/>
    <w:rsid w:val="154A1AF8"/>
    <w:rsid w:val="15506828"/>
    <w:rsid w:val="15520BBD"/>
    <w:rsid w:val="15522AFE"/>
    <w:rsid w:val="156603B9"/>
    <w:rsid w:val="156D15F3"/>
    <w:rsid w:val="156F0C08"/>
    <w:rsid w:val="15841169"/>
    <w:rsid w:val="1584500F"/>
    <w:rsid w:val="1586474C"/>
    <w:rsid w:val="158C2AD1"/>
    <w:rsid w:val="158E6F99"/>
    <w:rsid w:val="158E72E0"/>
    <w:rsid w:val="159954E8"/>
    <w:rsid w:val="159A0734"/>
    <w:rsid w:val="159A5332"/>
    <w:rsid w:val="159D2348"/>
    <w:rsid w:val="15A23F05"/>
    <w:rsid w:val="15AA6500"/>
    <w:rsid w:val="15B6699C"/>
    <w:rsid w:val="15C036A5"/>
    <w:rsid w:val="15C433C7"/>
    <w:rsid w:val="15C666A0"/>
    <w:rsid w:val="15D56484"/>
    <w:rsid w:val="15DB3F6A"/>
    <w:rsid w:val="15DD2016"/>
    <w:rsid w:val="15E721E2"/>
    <w:rsid w:val="15F131CB"/>
    <w:rsid w:val="15F31839"/>
    <w:rsid w:val="15F31B90"/>
    <w:rsid w:val="15F4647A"/>
    <w:rsid w:val="15F56B46"/>
    <w:rsid w:val="15FB06EE"/>
    <w:rsid w:val="15FD4721"/>
    <w:rsid w:val="1603233B"/>
    <w:rsid w:val="16096967"/>
    <w:rsid w:val="161104B9"/>
    <w:rsid w:val="161A43CF"/>
    <w:rsid w:val="161B0176"/>
    <w:rsid w:val="16254540"/>
    <w:rsid w:val="162E19AF"/>
    <w:rsid w:val="163838F7"/>
    <w:rsid w:val="163D25F4"/>
    <w:rsid w:val="164A4293"/>
    <w:rsid w:val="16525EEF"/>
    <w:rsid w:val="165F3E4D"/>
    <w:rsid w:val="165F493B"/>
    <w:rsid w:val="16624ECE"/>
    <w:rsid w:val="16674BA1"/>
    <w:rsid w:val="16680DBB"/>
    <w:rsid w:val="16691CD1"/>
    <w:rsid w:val="166B7EA8"/>
    <w:rsid w:val="1671348F"/>
    <w:rsid w:val="167829BC"/>
    <w:rsid w:val="167D5097"/>
    <w:rsid w:val="16897AA8"/>
    <w:rsid w:val="169139BB"/>
    <w:rsid w:val="169F551D"/>
    <w:rsid w:val="16A12E85"/>
    <w:rsid w:val="16A14570"/>
    <w:rsid w:val="16B950F1"/>
    <w:rsid w:val="16BF599A"/>
    <w:rsid w:val="16C10492"/>
    <w:rsid w:val="16C86822"/>
    <w:rsid w:val="16C90EC2"/>
    <w:rsid w:val="16E67B3C"/>
    <w:rsid w:val="16E972BD"/>
    <w:rsid w:val="16EC1FFF"/>
    <w:rsid w:val="16FA4E69"/>
    <w:rsid w:val="1702117B"/>
    <w:rsid w:val="17067A06"/>
    <w:rsid w:val="170C5D47"/>
    <w:rsid w:val="171001C9"/>
    <w:rsid w:val="171110C1"/>
    <w:rsid w:val="171A74CD"/>
    <w:rsid w:val="171C6B6E"/>
    <w:rsid w:val="17233B30"/>
    <w:rsid w:val="172A22E4"/>
    <w:rsid w:val="172C5003"/>
    <w:rsid w:val="172F4AF3"/>
    <w:rsid w:val="17335271"/>
    <w:rsid w:val="173871BF"/>
    <w:rsid w:val="173945B8"/>
    <w:rsid w:val="17397F54"/>
    <w:rsid w:val="173B0266"/>
    <w:rsid w:val="173D449C"/>
    <w:rsid w:val="173E4F5C"/>
    <w:rsid w:val="174945F8"/>
    <w:rsid w:val="17594918"/>
    <w:rsid w:val="176956A1"/>
    <w:rsid w:val="177462D7"/>
    <w:rsid w:val="177F0FBB"/>
    <w:rsid w:val="17836BED"/>
    <w:rsid w:val="17977F23"/>
    <w:rsid w:val="179F3701"/>
    <w:rsid w:val="17A038E1"/>
    <w:rsid w:val="17A50876"/>
    <w:rsid w:val="17A66D75"/>
    <w:rsid w:val="17A97772"/>
    <w:rsid w:val="17B52BBE"/>
    <w:rsid w:val="17C12FF6"/>
    <w:rsid w:val="17C43781"/>
    <w:rsid w:val="17C53619"/>
    <w:rsid w:val="17CA3C4C"/>
    <w:rsid w:val="17D7566C"/>
    <w:rsid w:val="17E062E1"/>
    <w:rsid w:val="17EE031C"/>
    <w:rsid w:val="17F05D40"/>
    <w:rsid w:val="17FE2F59"/>
    <w:rsid w:val="18083836"/>
    <w:rsid w:val="180A0503"/>
    <w:rsid w:val="180C4C4A"/>
    <w:rsid w:val="18221F62"/>
    <w:rsid w:val="18226B93"/>
    <w:rsid w:val="18254DE9"/>
    <w:rsid w:val="18286635"/>
    <w:rsid w:val="182A24AF"/>
    <w:rsid w:val="182D50E4"/>
    <w:rsid w:val="182E23F2"/>
    <w:rsid w:val="18307812"/>
    <w:rsid w:val="18343B97"/>
    <w:rsid w:val="1840063A"/>
    <w:rsid w:val="18446580"/>
    <w:rsid w:val="18464271"/>
    <w:rsid w:val="18472D36"/>
    <w:rsid w:val="18553484"/>
    <w:rsid w:val="185B7D93"/>
    <w:rsid w:val="185E140F"/>
    <w:rsid w:val="18705F8F"/>
    <w:rsid w:val="187756DE"/>
    <w:rsid w:val="18793121"/>
    <w:rsid w:val="187B6255"/>
    <w:rsid w:val="187F0F77"/>
    <w:rsid w:val="18804328"/>
    <w:rsid w:val="18852BAC"/>
    <w:rsid w:val="18910E95"/>
    <w:rsid w:val="189A2440"/>
    <w:rsid w:val="18A265DF"/>
    <w:rsid w:val="18A34D42"/>
    <w:rsid w:val="18A62FCD"/>
    <w:rsid w:val="18A810A8"/>
    <w:rsid w:val="18AA0E52"/>
    <w:rsid w:val="18B334B7"/>
    <w:rsid w:val="18B855F9"/>
    <w:rsid w:val="18B96DC7"/>
    <w:rsid w:val="18BB3F94"/>
    <w:rsid w:val="18C33745"/>
    <w:rsid w:val="18C63D0F"/>
    <w:rsid w:val="18CD4921"/>
    <w:rsid w:val="18D25736"/>
    <w:rsid w:val="18E1311B"/>
    <w:rsid w:val="18E35FBD"/>
    <w:rsid w:val="18E74AB6"/>
    <w:rsid w:val="18FF116A"/>
    <w:rsid w:val="19045E0C"/>
    <w:rsid w:val="190E3EAE"/>
    <w:rsid w:val="19117AB1"/>
    <w:rsid w:val="191252F8"/>
    <w:rsid w:val="19196DF1"/>
    <w:rsid w:val="191D6F4A"/>
    <w:rsid w:val="192D35CA"/>
    <w:rsid w:val="192E13F5"/>
    <w:rsid w:val="192F4936"/>
    <w:rsid w:val="192F7832"/>
    <w:rsid w:val="19320E6A"/>
    <w:rsid w:val="19337009"/>
    <w:rsid w:val="1937499B"/>
    <w:rsid w:val="19381605"/>
    <w:rsid w:val="193D186F"/>
    <w:rsid w:val="19404D95"/>
    <w:rsid w:val="194149E5"/>
    <w:rsid w:val="194B3ED9"/>
    <w:rsid w:val="19546523"/>
    <w:rsid w:val="19555B9C"/>
    <w:rsid w:val="1958309F"/>
    <w:rsid w:val="196606C6"/>
    <w:rsid w:val="19674EA1"/>
    <w:rsid w:val="19833601"/>
    <w:rsid w:val="19884DD1"/>
    <w:rsid w:val="198F7F74"/>
    <w:rsid w:val="199D3F96"/>
    <w:rsid w:val="19A0376F"/>
    <w:rsid w:val="19A35324"/>
    <w:rsid w:val="19AB3840"/>
    <w:rsid w:val="19AB5AD3"/>
    <w:rsid w:val="19AC08F9"/>
    <w:rsid w:val="19B11B6A"/>
    <w:rsid w:val="19C46A48"/>
    <w:rsid w:val="19C86B39"/>
    <w:rsid w:val="19D710D9"/>
    <w:rsid w:val="19DC4D2C"/>
    <w:rsid w:val="19E944DB"/>
    <w:rsid w:val="19EA513E"/>
    <w:rsid w:val="19F636A6"/>
    <w:rsid w:val="1A0314E0"/>
    <w:rsid w:val="1A045DC3"/>
    <w:rsid w:val="1A070E90"/>
    <w:rsid w:val="1A0905A2"/>
    <w:rsid w:val="1A091D2E"/>
    <w:rsid w:val="1A09601C"/>
    <w:rsid w:val="1A1516BA"/>
    <w:rsid w:val="1A163D48"/>
    <w:rsid w:val="1A191D1E"/>
    <w:rsid w:val="1A217544"/>
    <w:rsid w:val="1A2440AC"/>
    <w:rsid w:val="1A275583"/>
    <w:rsid w:val="1A2A542C"/>
    <w:rsid w:val="1A2C70C8"/>
    <w:rsid w:val="1A4631BE"/>
    <w:rsid w:val="1A46462D"/>
    <w:rsid w:val="1A535C55"/>
    <w:rsid w:val="1A536F95"/>
    <w:rsid w:val="1A5D3725"/>
    <w:rsid w:val="1A5D37B2"/>
    <w:rsid w:val="1A5F1D3A"/>
    <w:rsid w:val="1A627879"/>
    <w:rsid w:val="1A6A77F1"/>
    <w:rsid w:val="1A6A7E65"/>
    <w:rsid w:val="1A6F3E59"/>
    <w:rsid w:val="1A775C02"/>
    <w:rsid w:val="1A7977B6"/>
    <w:rsid w:val="1A7A317F"/>
    <w:rsid w:val="1A7D16C9"/>
    <w:rsid w:val="1A815E3D"/>
    <w:rsid w:val="1A8A13ED"/>
    <w:rsid w:val="1A8B4A71"/>
    <w:rsid w:val="1A8E5413"/>
    <w:rsid w:val="1A910D13"/>
    <w:rsid w:val="1A9E1DFA"/>
    <w:rsid w:val="1A9F4350"/>
    <w:rsid w:val="1AA71EB3"/>
    <w:rsid w:val="1AA818CC"/>
    <w:rsid w:val="1AB64BE3"/>
    <w:rsid w:val="1AB80A87"/>
    <w:rsid w:val="1ACD760E"/>
    <w:rsid w:val="1AD67065"/>
    <w:rsid w:val="1AD81472"/>
    <w:rsid w:val="1ADA442A"/>
    <w:rsid w:val="1ADB2825"/>
    <w:rsid w:val="1AE74460"/>
    <w:rsid w:val="1AE75336"/>
    <w:rsid w:val="1AF35E37"/>
    <w:rsid w:val="1AF44F07"/>
    <w:rsid w:val="1AF94AB2"/>
    <w:rsid w:val="1AFE2D80"/>
    <w:rsid w:val="1B0055AC"/>
    <w:rsid w:val="1B023D66"/>
    <w:rsid w:val="1B085409"/>
    <w:rsid w:val="1B0E2FFE"/>
    <w:rsid w:val="1B1A72DE"/>
    <w:rsid w:val="1B1D77BA"/>
    <w:rsid w:val="1B2674C4"/>
    <w:rsid w:val="1B2B3823"/>
    <w:rsid w:val="1B352844"/>
    <w:rsid w:val="1B3C7C5A"/>
    <w:rsid w:val="1B461A53"/>
    <w:rsid w:val="1B46240B"/>
    <w:rsid w:val="1B55264E"/>
    <w:rsid w:val="1B5C51BE"/>
    <w:rsid w:val="1B684130"/>
    <w:rsid w:val="1B6B55E1"/>
    <w:rsid w:val="1B6E1726"/>
    <w:rsid w:val="1B6F3710"/>
    <w:rsid w:val="1B72739C"/>
    <w:rsid w:val="1B7470A0"/>
    <w:rsid w:val="1B7779F9"/>
    <w:rsid w:val="1B7A0115"/>
    <w:rsid w:val="1B7F2F2E"/>
    <w:rsid w:val="1B9201BC"/>
    <w:rsid w:val="1BA75C0A"/>
    <w:rsid w:val="1BAA6775"/>
    <w:rsid w:val="1BAE4E2B"/>
    <w:rsid w:val="1BB11F7A"/>
    <w:rsid w:val="1BB64C91"/>
    <w:rsid w:val="1BB67591"/>
    <w:rsid w:val="1BBC26CD"/>
    <w:rsid w:val="1BBE6D5D"/>
    <w:rsid w:val="1BBE6DC5"/>
    <w:rsid w:val="1BC82E9B"/>
    <w:rsid w:val="1BCB16F2"/>
    <w:rsid w:val="1BD23CC7"/>
    <w:rsid w:val="1BE01284"/>
    <w:rsid w:val="1BE45714"/>
    <w:rsid w:val="1BE55780"/>
    <w:rsid w:val="1BEB3977"/>
    <w:rsid w:val="1BEC1FD1"/>
    <w:rsid w:val="1BED2270"/>
    <w:rsid w:val="1C035F1D"/>
    <w:rsid w:val="1C0631C4"/>
    <w:rsid w:val="1C0D54E1"/>
    <w:rsid w:val="1C1047B8"/>
    <w:rsid w:val="1C110790"/>
    <w:rsid w:val="1C143553"/>
    <w:rsid w:val="1C163B8C"/>
    <w:rsid w:val="1C1A6399"/>
    <w:rsid w:val="1C1D2793"/>
    <w:rsid w:val="1C231768"/>
    <w:rsid w:val="1C292D54"/>
    <w:rsid w:val="1C33151E"/>
    <w:rsid w:val="1C3861F8"/>
    <w:rsid w:val="1C3A6E7D"/>
    <w:rsid w:val="1C3A75CC"/>
    <w:rsid w:val="1C3C11BD"/>
    <w:rsid w:val="1C3E383D"/>
    <w:rsid w:val="1C3F03DB"/>
    <w:rsid w:val="1C4765D7"/>
    <w:rsid w:val="1C481321"/>
    <w:rsid w:val="1C5F59A1"/>
    <w:rsid w:val="1C613B86"/>
    <w:rsid w:val="1C632147"/>
    <w:rsid w:val="1C676D23"/>
    <w:rsid w:val="1C6B67B8"/>
    <w:rsid w:val="1C6C5EA1"/>
    <w:rsid w:val="1C6F0789"/>
    <w:rsid w:val="1C7309CC"/>
    <w:rsid w:val="1C7342E2"/>
    <w:rsid w:val="1C7F346B"/>
    <w:rsid w:val="1C816C1F"/>
    <w:rsid w:val="1C8E406A"/>
    <w:rsid w:val="1C971693"/>
    <w:rsid w:val="1C9910E5"/>
    <w:rsid w:val="1C9C3B70"/>
    <w:rsid w:val="1CAA2B07"/>
    <w:rsid w:val="1CAD2D2D"/>
    <w:rsid w:val="1CB17D91"/>
    <w:rsid w:val="1CB5726E"/>
    <w:rsid w:val="1CBB5591"/>
    <w:rsid w:val="1CBF2A17"/>
    <w:rsid w:val="1CC819E3"/>
    <w:rsid w:val="1CC874B0"/>
    <w:rsid w:val="1CCB7531"/>
    <w:rsid w:val="1CCC0762"/>
    <w:rsid w:val="1CD11D24"/>
    <w:rsid w:val="1CD8491A"/>
    <w:rsid w:val="1CE521E6"/>
    <w:rsid w:val="1CF10155"/>
    <w:rsid w:val="1CF163A7"/>
    <w:rsid w:val="1CF540E9"/>
    <w:rsid w:val="1CFC456C"/>
    <w:rsid w:val="1D0205B4"/>
    <w:rsid w:val="1D0271F2"/>
    <w:rsid w:val="1D081BEC"/>
    <w:rsid w:val="1D09300E"/>
    <w:rsid w:val="1D17405F"/>
    <w:rsid w:val="1D1F3C33"/>
    <w:rsid w:val="1D1F4CC2"/>
    <w:rsid w:val="1D251542"/>
    <w:rsid w:val="1D265467"/>
    <w:rsid w:val="1D277D74"/>
    <w:rsid w:val="1D315183"/>
    <w:rsid w:val="1D365280"/>
    <w:rsid w:val="1D3B2B55"/>
    <w:rsid w:val="1D565CE9"/>
    <w:rsid w:val="1D5E7BA2"/>
    <w:rsid w:val="1D60103D"/>
    <w:rsid w:val="1D630AE1"/>
    <w:rsid w:val="1D64235D"/>
    <w:rsid w:val="1D657DE0"/>
    <w:rsid w:val="1D666D95"/>
    <w:rsid w:val="1D756FD8"/>
    <w:rsid w:val="1D7F1C04"/>
    <w:rsid w:val="1D845887"/>
    <w:rsid w:val="1D8B607A"/>
    <w:rsid w:val="1D8D20AF"/>
    <w:rsid w:val="1D9A14E3"/>
    <w:rsid w:val="1DAD14C4"/>
    <w:rsid w:val="1DB6781D"/>
    <w:rsid w:val="1DBC4C07"/>
    <w:rsid w:val="1DC1221D"/>
    <w:rsid w:val="1DCB00EF"/>
    <w:rsid w:val="1DCC6561"/>
    <w:rsid w:val="1DD43FB6"/>
    <w:rsid w:val="1DD97837"/>
    <w:rsid w:val="1DDB0CDF"/>
    <w:rsid w:val="1DDC0732"/>
    <w:rsid w:val="1DDF347E"/>
    <w:rsid w:val="1DE008F5"/>
    <w:rsid w:val="1DE230FF"/>
    <w:rsid w:val="1DE55529"/>
    <w:rsid w:val="1DFD14A7"/>
    <w:rsid w:val="1E061DEF"/>
    <w:rsid w:val="1E0A6CE5"/>
    <w:rsid w:val="1E294A25"/>
    <w:rsid w:val="1E30079D"/>
    <w:rsid w:val="1E316B15"/>
    <w:rsid w:val="1E3B54C4"/>
    <w:rsid w:val="1E3D10C7"/>
    <w:rsid w:val="1E3E311D"/>
    <w:rsid w:val="1E3E7445"/>
    <w:rsid w:val="1E556610"/>
    <w:rsid w:val="1E597A56"/>
    <w:rsid w:val="1E673C89"/>
    <w:rsid w:val="1E68078F"/>
    <w:rsid w:val="1E69034D"/>
    <w:rsid w:val="1E6D4140"/>
    <w:rsid w:val="1E706893"/>
    <w:rsid w:val="1E7735B5"/>
    <w:rsid w:val="1E7A4E22"/>
    <w:rsid w:val="1E7C7CD7"/>
    <w:rsid w:val="1E870D71"/>
    <w:rsid w:val="1E8A6AB3"/>
    <w:rsid w:val="1E8E3646"/>
    <w:rsid w:val="1E9B14E0"/>
    <w:rsid w:val="1E9D0594"/>
    <w:rsid w:val="1EA42FBE"/>
    <w:rsid w:val="1EAF3CBB"/>
    <w:rsid w:val="1EB00C3D"/>
    <w:rsid w:val="1EB359F1"/>
    <w:rsid w:val="1EB43ABE"/>
    <w:rsid w:val="1EB81B1A"/>
    <w:rsid w:val="1EC27C9B"/>
    <w:rsid w:val="1ECE2E43"/>
    <w:rsid w:val="1ED13280"/>
    <w:rsid w:val="1EDA76C3"/>
    <w:rsid w:val="1EEC32CA"/>
    <w:rsid w:val="1EF02DBA"/>
    <w:rsid w:val="1EF10737"/>
    <w:rsid w:val="1F057072"/>
    <w:rsid w:val="1F0618CF"/>
    <w:rsid w:val="1F071EB1"/>
    <w:rsid w:val="1F073DF4"/>
    <w:rsid w:val="1F0818B3"/>
    <w:rsid w:val="1F093981"/>
    <w:rsid w:val="1F1B1C1B"/>
    <w:rsid w:val="1F1C08BB"/>
    <w:rsid w:val="1F1D57D6"/>
    <w:rsid w:val="1F22528B"/>
    <w:rsid w:val="1F34242D"/>
    <w:rsid w:val="1F3B03AF"/>
    <w:rsid w:val="1F3E1D77"/>
    <w:rsid w:val="1F42113B"/>
    <w:rsid w:val="1F62435B"/>
    <w:rsid w:val="1F651C69"/>
    <w:rsid w:val="1F653948"/>
    <w:rsid w:val="1F666A8E"/>
    <w:rsid w:val="1F70449D"/>
    <w:rsid w:val="1F7959D1"/>
    <w:rsid w:val="1F7B09C6"/>
    <w:rsid w:val="1F803F45"/>
    <w:rsid w:val="1F870A6D"/>
    <w:rsid w:val="1F87303F"/>
    <w:rsid w:val="1F881019"/>
    <w:rsid w:val="1F883576"/>
    <w:rsid w:val="1F8A4B03"/>
    <w:rsid w:val="1F9C2F09"/>
    <w:rsid w:val="1F9C6A9E"/>
    <w:rsid w:val="1FA40A2A"/>
    <w:rsid w:val="1FA8104C"/>
    <w:rsid w:val="1FB13CD8"/>
    <w:rsid w:val="1FB45D72"/>
    <w:rsid w:val="1FC163B9"/>
    <w:rsid w:val="1FCF0C21"/>
    <w:rsid w:val="1FD01081"/>
    <w:rsid w:val="1FD06E6F"/>
    <w:rsid w:val="1FD12DF7"/>
    <w:rsid w:val="1FD13A44"/>
    <w:rsid w:val="1FDF573F"/>
    <w:rsid w:val="1FE40E28"/>
    <w:rsid w:val="1FE43FA1"/>
    <w:rsid w:val="1FE50445"/>
    <w:rsid w:val="1FE80F74"/>
    <w:rsid w:val="1FEF007F"/>
    <w:rsid w:val="1FF61305"/>
    <w:rsid w:val="1FFA4197"/>
    <w:rsid w:val="1FFF3E94"/>
    <w:rsid w:val="20001875"/>
    <w:rsid w:val="200803B5"/>
    <w:rsid w:val="20195E91"/>
    <w:rsid w:val="201E1E73"/>
    <w:rsid w:val="2020147D"/>
    <w:rsid w:val="202447DE"/>
    <w:rsid w:val="202571B1"/>
    <w:rsid w:val="202E21BD"/>
    <w:rsid w:val="202F1595"/>
    <w:rsid w:val="20313B9E"/>
    <w:rsid w:val="203F331C"/>
    <w:rsid w:val="204606F3"/>
    <w:rsid w:val="204B289E"/>
    <w:rsid w:val="204D7D98"/>
    <w:rsid w:val="204F31E6"/>
    <w:rsid w:val="205223B3"/>
    <w:rsid w:val="20546579"/>
    <w:rsid w:val="206121B1"/>
    <w:rsid w:val="2076144E"/>
    <w:rsid w:val="207E6EDB"/>
    <w:rsid w:val="20820400"/>
    <w:rsid w:val="20887B71"/>
    <w:rsid w:val="208A0FEC"/>
    <w:rsid w:val="208A5FA1"/>
    <w:rsid w:val="2090677E"/>
    <w:rsid w:val="2094170A"/>
    <w:rsid w:val="20947509"/>
    <w:rsid w:val="209D77F6"/>
    <w:rsid w:val="20A00F53"/>
    <w:rsid w:val="20A15F4F"/>
    <w:rsid w:val="20AB1D24"/>
    <w:rsid w:val="20B15C43"/>
    <w:rsid w:val="20C47BBE"/>
    <w:rsid w:val="20C57BBC"/>
    <w:rsid w:val="20C904A4"/>
    <w:rsid w:val="20D35AF3"/>
    <w:rsid w:val="20D3607A"/>
    <w:rsid w:val="20D62BCF"/>
    <w:rsid w:val="20F41A83"/>
    <w:rsid w:val="20F6042F"/>
    <w:rsid w:val="21136069"/>
    <w:rsid w:val="21191EEF"/>
    <w:rsid w:val="21194C54"/>
    <w:rsid w:val="211A1985"/>
    <w:rsid w:val="211C74CD"/>
    <w:rsid w:val="212E3725"/>
    <w:rsid w:val="21393878"/>
    <w:rsid w:val="213C6795"/>
    <w:rsid w:val="213D54AB"/>
    <w:rsid w:val="21502456"/>
    <w:rsid w:val="21515BF5"/>
    <w:rsid w:val="21551585"/>
    <w:rsid w:val="215C4BB4"/>
    <w:rsid w:val="215C792C"/>
    <w:rsid w:val="215E1D7B"/>
    <w:rsid w:val="21633F00"/>
    <w:rsid w:val="21642682"/>
    <w:rsid w:val="21711B13"/>
    <w:rsid w:val="217952E8"/>
    <w:rsid w:val="217C26E3"/>
    <w:rsid w:val="217C6B87"/>
    <w:rsid w:val="217D7BE7"/>
    <w:rsid w:val="217F2931"/>
    <w:rsid w:val="2182201F"/>
    <w:rsid w:val="218424C9"/>
    <w:rsid w:val="2186234F"/>
    <w:rsid w:val="219F223A"/>
    <w:rsid w:val="21A2243F"/>
    <w:rsid w:val="21A36A20"/>
    <w:rsid w:val="21A92174"/>
    <w:rsid w:val="21B050D8"/>
    <w:rsid w:val="21B54D9A"/>
    <w:rsid w:val="21B67C56"/>
    <w:rsid w:val="21BF4CC5"/>
    <w:rsid w:val="21C1708E"/>
    <w:rsid w:val="21C44941"/>
    <w:rsid w:val="21E32E86"/>
    <w:rsid w:val="21E337BD"/>
    <w:rsid w:val="21E464DA"/>
    <w:rsid w:val="21E55D0F"/>
    <w:rsid w:val="21F5200C"/>
    <w:rsid w:val="21FB0435"/>
    <w:rsid w:val="21FE18E8"/>
    <w:rsid w:val="220F02B4"/>
    <w:rsid w:val="220F5FC2"/>
    <w:rsid w:val="22101DA7"/>
    <w:rsid w:val="221023FC"/>
    <w:rsid w:val="22170759"/>
    <w:rsid w:val="221C7868"/>
    <w:rsid w:val="22205D6D"/>
    <w:rsid w:val="22222FDF"/>
    <w:rsid w:val="222A0BA4"/>
    <w:rsid w:val="222C72D9"/>
    <w:rsid w:val="2234377C"/>
    <w:rsid w:val="22353CA3"/>
    <w:rsid w:val="223A3C38"/>
    <w:rsid w:val="22476A3E"/>
    <w:rsid w:val="224D1F3E"/>
    <w:rsid w:val="225350D3"/>
    <w:rsid w:val="22535E73"/>
    <w:rsid w:val="226646C9"/>
    <w:rsid w:val="2276072D"/>
    <w:rsid w:val="227A1C4C"/>
    <w:rsid w:val="22801A9A"/>
    <w:rsid w:val="22824060"/>
    <w:rsid w:val="228C33A4"/>
    <w:rsid w:val="228F05B6"/>
    <w:rsid w:val="22963C78"/>
    <w:rsid w:val="229E40E2"/>
    <w:rsid w:val="22AF297E"/>
    <w:rsid w:val="22B200FD"/>
    <w:rsid w:val="22B4559C"/>
    <w:rsid w:val="22C52953"/>
    <w:rsid w:val="22C535D6"/>
    <w:rsid w:val="22C53E3C"/>
    <w:rsid w:val="22CC5169"/>
    <w:rsid w:val="22D26A45"/>
    <w:rsid w:val="22D47A70"/>
    <w:rsid w:val="22D66BA2"/>
    <w:rsid w:val="22E617E6"/>
    <w:rsid w:val="22F3562B"/>
    <w:rsid w:val="22F411D2"/>
    <w:rsid w:val="22FE5911"/>
    <w:rsid w:val="23035B74"/>
    <w:rsid w:val="231A2317"/>
    <w:rsid w:val="231C30C0"/>
    <w:rsid w:val="231C3560"/>
    <w:rsid w:val="232102A3"/>
    <w:rsid w:val="23284083"/>
    <w:rsid w:val="23291F54"/>
    <w:rsid w:val="233B391F"/>
    <w:rsid w:val="2346744C"/>
    <w:rsid w:val="23474F72"/>
    <w:rsid w:val="234D31D3"/>
    <w:rsid w:val="234D7347"/>
    <w:rsid w:val="234E50A5"/>
    <w:rsid w:val="235346EB"/>
    <w:rsid w:val="2355454D"/>
    <w:rsid w:val="235E5D50"/>
    <w:rsid w:val="2360760B"/>
    <w:rsid w:val="23646B0E"/>
    <w:rsid w:val="23680A25"/>
    <w:rsid w:val="2369413C"/>
    <w:rsid w:val="2370745B"/>
    <w:rsid w:val="23720241"/>
    <w:rsid w:val="237415CC"/>
    <w:rsid w:val="23741FDB"/>
    <w:rsid w:val="237A4758"/>
    <w:rsid w:val="238060AA"/>
    <w:rsid w:val="23872B3E"/>
    <w:rsid w:val="23885DC5"/>
    <w:rsid w:val="238D1B89"/>
    <w:rsid w:val="239408B4"/>
    <w:rsid w:val="2394744C"/>
    <w:rsid w:val="23A00E7F"/>
    <w:rsid w:val="23A7444F"/>
    <w:rsid w:val="23A80A26"/>
    <w:rsid w:val="23BE2F3D"/>
    <w:rsid w:val="23C109DB"/>
    <w:rsid w:val="23C271EA"/>
    <w:rsid w:val="23CC5A96"/>
    <w:rsid w:val="23D9206E"/>
    <w:rsid w:val="23DD37FD"/>
    <w:rsid w:val="23DE179B"/>
    <w:rsid w:val="23E05C61"/>
    <w:rsid w:val="23EC685B"/>
    <w:rsid w:val="23FC0DBC"/>
    <w:rsid w:val="23FC5A0E"/>
    <w:rsid w:val="240110F8"/>
    <w:rsid w:val="2409084A"/>
    <w:rsid w:val="240B41B4"/>
    <w:rsid w:val="240C3033"/>
    <w:rsid w:val="240F0C59"/>
    <w:rsid w:val="24103087"/>
    <w:rsid w:val="2412004C"/>
    <w:rsid w:val="24132FC6"/>
    <w:rsid w:val="24193D6D"/>
    <w:rsid w:val="241E3F25"/>
    <w:rsid w:val="241F30F6"/>
    <w:rsid w:val="24241CB7"/>
    <w:rsid w:val="2435110C"/>
    <w:rsid w:val="2439325C"/>
    <w:rsid w:val="243B2B82"/>
    <w:rsid w:val="243C2234"/>
    <w:rsid w:val="243D51B4"/>
    <w:rsid w:val="244058C3"/>
    <w:rsid w:val="245A051E"/>
    <w:rsid w:val="245C4D20"/>
    <w:rsid w:val="245E4322"/>
    <w:rsid w:val="24686681"/>
    <w:rsid w:val="246932FF"/>
    <w:rsid w:val="246E28EB"/>
    <w:rsid w:val="24727DCD"/>
    <w:rsid w:val="24781D7F"/>
    <w:rsid w:val="248C297E"/>
    <w:rsid w:val="248E30DB"/>
    <w:rsid w:val="248F0A03"/>
    <w:rsid w:val="249146F7"/>
    <w:rsid w:val="24A46B9D"/>
    <w:rsid w:val="24AE10D4"/>
    <w:rsid w:val="24B40620"/>
    <w:rsid w:val="24BB5C18"/>
    <w:rsid w:val="24C019BD"/>
    <w:rsid w:val="24C2479C"/>
    <w:rsid w:val="24C60713"/>
    <w:rsid w:val="24DC62DB"/>
    <w:rsid w:val="24DC64AD"/>
    <w:rsid w:val="24DF7F58"/>
    <w:rsid w:val="24E72627"/>
    <w:rsid w:val="24E832A7"/>
    <w:rsid w:val="24E8578D"/>
    <w:rsid w:val="24F161D9"/>
    <w:rsid w:val="25067475"/>
    <w:rsid w:val="25116B6A"/>
    <w:rsid w:val="251412E6"/>
    <w:rsid w:val="251C6483"/>
    <w:rsid w:val="25267800"/>
    <w:rsid w:val="25291AC8"/>
    <w:rsid w:val="25295A20"/>
    <w:rsid w:val="252B5A91"/>
    <w:rsid w:val="25323E3A"/>
    <w:rsid w:val="25347E33"/>
    <w:rsid w:val="253E48FF"/>
    <w:rsid w:val="25486610"/>
    <w:rsid w:val="254F10C5"/>
    <w:rsid w:val="25530B59"/>
    <w:rsid w:val="255B091B"/>
    <w:rsid w:val="255B370E"/>
    <w:rsid w:val="25610D61"/>
    <w:rsid w:val="256A6161"/>
    <w:rsid w:val="256A7B23"/>
    <w:rsid w:val="256C7D65"/>
    <w:rsid w:val="256D42DE"/>
    <w:rsid w:val="256E5401"/>
    <w:rsid w:val="25723FD0"/>
    <w:rsid w:val="25724840"/>
    <w:rsid w:val="25872F21"/>
    <w:rsid w:val="25956E38"/>
    <w:rsid w:val="25973F8F"/>
    <w:rsid w:val="259820CC"/>
    <w:rsid w:val="25987D07"/>
    <w:rsid w:val="25A63722"/>
    <w:rsid w:val="25AA1C70"/>
    <w:rsid w:val="25B80CA1"/>
    <w:rsid w:val="25BC228E"/>
    <w:rsid w:val="25C043B3"/>
    <w:rsid w:val="25C27CF4"/>
    <w:rsid w:val="25D45B8A"/>
    <w:rsid w:val="25D63E38"/>
    <w:rsid w:val="25D75C23"/>
    <w:rsid w:val="25D845A8"/>
    <w:rsid w:val="25E22D30"/>
    <w:rsid w:val="25E44CFA"/>
    <w:rsid w:val="25F006E8"/>
    <w:rsid w:val="25F525ED"/>
    <w:rsid w:val="25F96294"/>
    <w:rsid w:val="25FD40FF"/>
    <w:rsid w:val="260265CC"/>
    <w:rsid w:val="260D4251"/>
    <w:rsid w:val="26151559"/>
    <w:rsid w:val="26192BF6"/>
    <w:rsid w:val="262A236D"/>
    <w:rsid w:val="262A4E03"/>
    <w:rsid w:val="262F4BB4"/>
    <w:rsid w:val="263127E7"/>
    <w:rsid w:val="2631375B"/>
    <w:rsid w:val="26321F46"/>
    <w:rsid w:val="26393425"/>
    <w:rsid w:val="264A7253"/>
    <w:rsid w:val="26515924"/>
    <w:rsid w:val="26517C6C"/>
    <w:rsid w:val="26526108"/>
    <w:rsid w:val="265454AE"/>
    <w:rsid w:val="2658635E"/>
    <w:rsid w:val="265C6E15"/>
    <w:rsid w:val="2663199A"/>
    <w:rsid w:val="26666101"/>
    <w:rsid w:val="266876DA"/>
    <w:rsid w:val="266D3D2B"/>
    <w:rsid w:val="26764F4E"/>
    <w:rsid w:val="267E5FC8"/>
    <w:rsid w:val="268057B6"/>
    <w:rsid w:val="26896FE2"/>
    <w:rsid w:val="268A0AF7"/>
    <w:rsid w:val="268A60EE"/>
    <w:rsid w:val="26904754"/>
    <w:rsid w:val="269B5806"/>
    <w:rsid w:val="26A24E49"/>
    <w:rsid w:val="26AD7236"/>
    <w:rsid w:val="26B26825"/>
    <w:rsid w:val="26BF160B"/>
    <w:rsid w:val="26C2328E"/>
    <w:rsid w:val="26C30D57"/>
    <w:rsid w:val="26C34C25"/>
    <w:rsid w:val="26C412B6"/>
    <w:rsid w:val="26C72A30"/>
    <w:rsid w:val="26C86471"/>
    <w:rsid w:val="26CC743B"/>
    <w:rsid w:val="26D3625D"/>
    <w:rsid w:val="26D905D7"/>
    <w:rsid w:val="26E00D0E"/>
    <w:rsid w:val="26EC030B"/>
    <w:rsid w:val="26ED7BDF"/>
    <w:rsid w:val="26F176CF"/>
    <w:rsid w:val="26F90CC5"/>
    <w:rsid w:val="270179E0"/>
    <w:rsid w:val="27024358"/>
    <w:rsid w:val="270A1556"/>
    <w:rsid w:val="270B1670"/>
    <w:rsid w:val="270B1EA6"/>
    <w:rsid w:val="271773F8"/>
    <w:rsid w:val="272C0F38"/>
    <w:rsid w:val="27365509"/>
    <w:rsid w:val="273C2397"/>
    <w:rsid w:val="273D0B66"/>
    <w:rsid w:val="27427F2B"/>
    <w:rsid w:val="2749750B"/>
    <w:rsid w:val="275654B3"/>
    <w:rsid w:val="275A494D"/>
    <w:rsid w:val="275E4319"/>
    <w:rsid w:val="275F0ADD"/>
    <w:rsid w:val="27605944"/>
    <w:rsid w:val="27681D40"/>
    <w:rsid w:val="276C6A56"/>
    <w:rsid w:val="276E3745"/>
    <w:rsid w:val="277C065D"/>
    <w:rsid w:val="277D20F6"/>
    <w:rsid w:val="27875183"/>
    <w:rsid w:val="27887B88"/>
    <w:rsid w:val="279C73CC"/>
    <w:rsid w:val="279F26A2"/>
    <w:rsid w:val="27A115DF"/>
    <w:rsid w:val="27AC7A9A"/>
    <w:rsid w:val="27B874B5"/>
    <w:rsid w:val="27B95139"/>
    <w:rsid w:val="27BC5AEA"/>
    <w:rsid w:val="27C1199D"/>
    <w:rsid w:val="27C22640"/>
    <w:rsid w:val="27C306E3"/>
    <w:rsid w:val="27CF70EE"/>
    <w:rsid w:val="27D05536"/>
    <w:rsid w:val="27D06C18"/>
    <w:rsid w:val="27D33BB7"/>
    <w:rsid w:val="27D77FA2"/>
    <w:rsid w:val="27DF5BE4"/>
    <w:rsid w:val="27E324BC"/>
    <w:rsid w:val="27E3316E"/>
    <w:rsid w:val="27EB0374"/>
    <w:rsid w:val="27F356C9"/>
    <w:rsid w:val="27F52DEB"/>
    <w:rsid w:val="27FF4514"/>
    <w:rsid w:val="27FFCEDD"/>
    <w:rsid w:val="2802590C"/>
    <w:rsid w:val="2803432E"/>
    <w:rsid w:val="28141B87"/>
    <w:rsid w:val="28153D7B"/>
    <w:rsid w:val="281F64BE"/>
    <w:rsid w:val="28250930"/>
    <w:rsid w:val="28305F2A"/>
    <w:rsid w:val="28386192"/>
    <w:rsid w:val="28386BA4"/>
    <w:rsid w:val="283A5232"/>
    <w:rsid w:val="284356A4"/>
    <w:rsid w:val="2855438B"/>
    <w:rsid w:val="28563628"/>
    <w:rsid w:val="285D36B8"/>
    <w:rsid w:val="286A04EE"/>
    <w:rsid w:val="286D2CD9"/>
    <w:rsid w:val="286E72FE"/>
    <w:rsid w:val="286F16EF"/>
    <w:rsid w:val="2870559E"/>
    <w:rsid w:val="28724840"/>
    <w:rsid w:val="28795080"/>
    <w:rsid w:val="287B497A"/>
    <w:rsid w:val="28875432"/>
    <w:rsid w:val="288E2F58"/>
    <w:rsid w:val="28931DBD"/>
    <w:rsid w:val="28A92E5F"/>
    <w:rsid w:val="28AA222B"/>
    <w:rsid w:val="28AB02BA"/>
    <w:rsid w:val="28AF1A9A"/>
    <w:rsid w:val="28B207D5"/>
    <w:rsid w:val="28B34B98"/>
    <w:rsid w:val="28B414AF"/>
    <w:rsid w:val="28D320B0"/>
    <w:rsid w:val="28D76833"/>
    <w:rsid w:val="28E2112A"/>
    <w:rsid w:val="28E2173A"/>
    <w:rsid w:val="28F47D25"/>
    <w:rsid w:val="28FB6BE0"/>
    <w:rsid w:val="28FE2577"/>
    <w:rsid w:val="29036B47"/>
    <w:rsid w:val="29053906"/>
    <w:rsid w:val="29057B0C"/>
    <w:rsid w:val="29062898"/>
    <w:rsid w:val="290C4374"/>
    <w:rsid w:val="291547D0"/>
    <w:rsid w:val="291853E7"/>
    <w:rsid w:val="291F5BA6"/>
    <w:rsid w:val="29213EB0"/>
    <w:rsid w:val="29282AC7"/>
    <w:rsid w:val="292A6940"/>
    <w:rsid w:val="29365CAE"/>
    <w:rsid w:val="293722E6"/>
    <w:rsid w:val="29497FAE"/>
    <w:rsid w:val="29503035"/>
    <w:rsid w:val="2953747F"/>
    <w:rsid w:val="295403FF"/>
    <w:rsid w:val="29586688"/>
    <w:rsid w:val="295C2DFA"/>
    <w:rsid w:val="295D356E"/>
    <w:rsid w:val="295E4339"/>
    <w:rsid w:val="298011DE"/>
    <w:rsid w:val="29822922"/>
    <w:rsid w:val="29866C03"/>
    <w:rsid w:val="299017F5"/>
    <w:rsid w:val="29913DD3"/>
    <w:rsid w:val="29955D2B"/>
    <w:rsid w:val="29986528"/>
    <w:rsid w:val="29A53DEF"/>
    <w:rsid w:val="29A95440"/>
    <w:rsid w:val="29B319F3"/>
    <w:rsid w:val="29B348A7"/>
    <w:rsid w:val="29C70325"/>
    <w:rsid w:val="29CA7119"/>
    <w:rsid w:val="29D217FD"/>
    <w:rsid w:val="29D228C6"/>
    <w:rsid w:val="29D82DC8"/>
    <w:rsid w:val="29E0088A"/>
    <w:rsid w:val="29E36270"/>
    <w:rsid w:val="29E77AD8"/>
    <w:rsid w:val="29ED3F43"/>
    <w:rsid w:val="29F52CA2"/>
    <w:rsid w:val="29FD45DD"/>
    <w:rsid w:val="2A0168D2"/>
    <w:rsid w:val="2A0C17BC"/>
    <w:rsid w:val="2A1C4E2C"/>
    <w:rsid w:val="2A1D622F"/>
    <w:rsid w:val="2A231237"/>
    <w:rsid w:val="2A266DC1"/>
    <w:rsid w:val="2A281B24"/>
    <w:rsid w:val="2A292AB2"/>
    <w:rsid w:val="2A2D4EC2"/>
    <w:rsid w:val="2A2D6AAB"/>
    <w:rsid w:val="2A3158CE"/>
    <w:rsid w:val="2A37202C"/>
    <w:rsid w:val="2A3E7B22"/>
    <w:rsid w:val="2A41096D"/>
    <w:rsid w:val="2A425F86"/>
    <w:rsid w:val="2A4357C9"/>
    <w:rsid w:val="2A4A3DFF"/>
    <w:rsid w:val="2A4C0894"/>
    <w:rsid w:val="2A581ED5"/>
    <w:rsid w:val="2A67243F"/>
    <w:rsid w:val="2A691C72"/>
    <w:rsid w:val="2A693A20"/>
    <w:rsid w:val="2A7A01C0"/>
    <w:rsid w:val="2A835703"/>
    <w:rsid w:val="2A903383"/>
    <w:rsid w:val="2A99054D"/>
    <w:rsid w:val="2AA537EC"/>
    <w:rsid w:val="2AA5420E"/>
    <w:rsid w:val="2AA63FAD"/>
    <w:rsid w:val="2AA753B3"/>
    <w:rsid w:val="2AAA6513"/>
    <w:rsid w:val="2AB47391"/>
    <w:rsid w:val="2ABB71F2"/>
    <w:rsid w:val="2ABF498C"/>
    <w:rsid w:val="2AC32CF4"/>
    <w:rsid w:val="2AD11BDB"/>
    <w:rsid w:val="2AD26FBD"/>
    <w:rsid w:val="2AD43590"/>
    <w:rsid w:val="2AD45DCE"/>
    <w:rsid w:val="2AD532EA"/>
    <w:rsid w:val="2AD92835"/>
    <w:rsid w:val="2ADF63BA"/>
    <w:rsid w:val="2AEA71E0"/>
    <w:rsid w:val="2AF459E0"/>
    <w:rsid w:val="2AF97449"/>
    <w:rsid w:val="2AFA06C0"/>
    <w:rsid w:val="2B0935CA"/>
    <w:rsid w:val="2B125463"/>
    <w:rsid w:val="2B134D85"/>
    <w:rsid w:val="2B196A82"/>
    <w:rsid w:val="2B1C2B42"/>
    <w:rsid w:val="2B243569"/>
    <w:rsid w:val="2B2771C3"/>
    <w:rsid w:val="2B2D4A4E"/>
    <w:rsid w:val="2B38653A"/>
    <w:rsid w:val="2B3918D2"/>
    <w:rsid w:val="2B4C1378"/>
    <w:rsid w:val="2B4F3293"/>
    <w:rsid w:val="2B53498F"/>
    <w:rsid w:val="2B5813C6"/>
    <w:rsid w:val="2B621144"/>
    <w:rsid w:val="2B656E2B"/>
    <w:rsid w:val="2B6851E9"/>
    <w:rsid w:val="2B6A50C4"/>
    <w:rsid w:val="2B6C1190"/>
    <w:rsid w:val="2B717E43"/>
    <w:rsid w:val="2B7C2569"/>
    <w:rsid w:val="2B7C5990"/>
    <w:rsid w:val="2B7E0424"/>
    <w:rsid w:val="2B80286A"/>
    <w:rsid w:val="2B831697"/>
    <w:rsid w:val="2B865201"/>
    <w:rsid w:val="2B874DCD"/>
    <w:rsid w:val="2B895690"/>
    <w:rsid w:val="2B913AA0"/>
    <w:rsid w:val="2B936FA7"/>
    <w:rsid w:val="2BAC5DF7"/>
    <w:rsid w:val="2BAE7D41"/>
    <w:rsid w:val="2BB15CEB"/>
    <w:rsid w:val="2BB37649"/>
    <w:rsid w:val="2BB4490F"/>
    <w:rsid w:val="2BB726F2"/>
    <w:rsid w:val="2BBC371D"/>
    <w:rsid w:val="2BC22551"/>
    <w:rsid w:val="2BC26C3E"/>
    <w:rsid w:val="2BC4373C"/>
    <w:rsid w:val="2BC472DF"/>
    <w:rsid w:val="2BD94472"/>
    <w:rsid w:val="2BDA77AF"/>
    <w:rsid w:val="2BDE5D6C"/>
    <w:rsid w:val="2BE07903"/>
    <w:rsid w:val="2BFC43F6"/>
    <w:rsid w:val="2BFF5164"/>
    <w:rsid w:val="2BFF6A67"/>
    <w:rsid w:val="2BFFC30F"/>
    <w:rsid w:val="2C0004FA"/>
    <w:rsid w:val="2C011262"/>
    <w:rsid w:val="2C084AE0"/>
    <w:rsid w:val="2C1E6BEE"/>
    <w:rsid w:val="2C1E6C49"/>
    <w:rsid w:val="2C242D14"/>
    <w:rsid w:val="2C2A1CD2"/>
    <w:rsid w:val="2C2B5431"/>
    <w:rsid w:val="2C2D3C81"/>
    <w:rsid w:val="2C2D7517"/>
    <w:rsid w:val="2C3F598A"/>
    <w:rsid w:val="2C435ECB"/>
    <w:rsid w:val="2C4446E5"/>
    <w:rsid w:val="2C4544D1"/>
    <w:rsid w:val="2C4B41E1"/>
    <w:rsid w:val="2C5A3FE0"/>
    <w:rsid w:val="2C5E3E0A"/>
    <w:rsid w:val="2C610E53"/>
    <w:rsid w:val="2C641388"/>
    <w:rsid w:val="2C673F8F"/>
    <w:rsid w:val="2C6D7D6B"/>
    <w:rsid w:val="2C7231CE"/>
    <w:rsid w:val="2C730D26"/>
    <w:rsid w:val="2C7A0167"/>
    <w:rsid w:val="2C860C8A"/>
    <w:rsid w:val="2C8D7E9A"/>
    <w:rsid w:val="2C8F7EA0"/>
    <w:rsid w:val="2C903B2C"/>
    <w:rsid w:val="2C94230C"/>
    <w:rsid w:val="2C98620A"/>
    <w:rsid w:val="2C991698"/>
    <w:rsid w:val="2CA43AF1"/>
    <w:rsid w:val="2CAD22EA"/>
    <w:rsid w:val="2CAE4DC1"/>
    <w:rsid w:val="2CB64528"/>
    <w:rsid w:val="2CBE44F7"/>
    <w:rsid w:val="2CC240A9"/>
    <w:rsid w:val="2CC64317"/>
    <w:rsid w:val="2CD40BC7"/>
    <w:rsid w:val="2CDF66B1"/>
    <w:rsid w:val="2CE35D16"/>
    <w:rsid w:val="2CEB5718"/>
    <w:rsid w:val="2CEC4515"/>
    <w:rsid w:val="2CF230F2"/>
    <w:rsid w:val="2CF627F8"/>
    <w:rsid w:val="2CF70A12"/>
    <w:rsid w:val="2CFA289C"/>
    <w:rsid w:val="2CFA7452"/>
    <w:rsid w:val="2D040B6E"/>
    <w:rsid w:val="2D1265F1"/>
    <w:rsid w:val="2D215F16"/>
    <w:rsid w:val="2D251DA6"/>
    <w:rsid w:val="2D2C37EF"/>
    <w:rsid w:val="2D2D248B"/>
    <w:rsid w:val="2D32459D"/>
    <w:rsid w:val="2D393271"/>
    <w:rsid w:val="2D3C333D"/>
    <w:rsid w:val="2D3D7D7E"/>
    <w:rsid w:val="2D485B6F"/>
    <w:rsid w:val="2D4B565F"/>
    <w:rsid w:val="2D5A438B"/>
    <w:rsid w:val="2D5B403B"/>
    <w:rsid w:val="2D5F4A20"/>
    <w:rsid w:val="2D605B84"/>
    <w:rsid w:val="2D611947"/>
    <w:rsid w:val="2D651E65"/>
    <w:rsid w:val="2D6A36C2"/>
    <w:rsid w:val="2D6B3A49"/>
    <w:rsid w:val="2D74572C"/>
    <w:rsid w:val="2D770F29"/>
    <w:rsid w:val="2D7F16BC"/>
    <w:rsid w:val="2D815BCA"/>
    <w:rsid w:val="2D9069F1"/>
    <w:rsid w:val="2D966728"/>
    <w:rsid w:val="2D9A067B"/>
    <w:rsid w:val="2D9A109B"/>
    <w:rsid w:val="2D9C6103"/>
    <w:rsid w:val="2D9D410D"/>
    <w:rsid w:val="2DA3449C"/>
    <w:rsid w:val="2DA62752"/>
    <w:rsid w:val="2DA74809"/>
    <w:rsid w:val="2DA91BAF"/>
    <w:rsid w:val="2DB72CF5"/>
    <w:rsid w:val="2DC75FCC"/>
    <w:rsid w:val="2DC84C4B"/>
    <w:rsid w:val="2DC97A6F"/>
    <w:rsid w:val="2DCE6628"/>
    <w:rsid w:val="2DCF2A69"/>
    <w:rsid w:val="2DD55F04"/>
    <w:rsid w:val="2DD93E83"/>
    <w:rsid w:val="2DD968DA"/>
    <w:rsid w:val="2DDA0D8A"/>
    <w:rsid w:val="2DDB69E3"/>
    <w:rsid w:val="2DDE787C"/>
    <w:rsid w:val="2DE115F0"/>
    <w:rsid w:val="2DE809D1"/>
    <w:rsid w:val="2DE8485D"/>
    <w:rsid w:val="2DE97352"/>
    <w:rsid w:val="2DF12716"/>
    <w:rsid w:val="2DF7386D"/>
    <w:rsid w:val="2E027003"/>
    <w:rsid w:val="2E0A47E7"/>
    <w:rsid w:val="2E0B0DBD"/>
    <w:rsid w:val="2E181705"/>
    <w:rsid w:val="2E1C43F9"/>
    <w:rsid w:val="2E223DF5"/>
    <w:rsid w:val="2E3014D6"/>
    <w:rsid w:val="2E3B56D4"/>
    <w:rsid w:val="2E4610C5"/>
    <w:rsid w:val="2E4B121E"/>
    <w:rsid w:val="2E513149"/>
    <w:rsid w:val="2E58236D"/>
    <w:rsid w:val="2E592A12"/>
    <w:rsid w:val="2E6E3CAD"/>
    <w:rsid w:val="2E710B8E"/>
    <w:rsid w:val="2E7446AD"/>
    <w:rsid w:val="2E783E12"/>
    <w:rsid w:val="2E841409"/>
    <w:rsid w:val="2E872443"/>
    <w:rsid w:val="2E933762"/>
    <w:rsid w:val="2E936DD6"/>
    <w:rsid w:val="2E954E8B"/>
    <w:rsid w:val="2EB4208A"/>
    <w:rsid w:val="2EBA13FD"/>
    <w:rsid w:val="2EBA484A"/>
    <w:rsid w:val="2EBE07DF"/>
    <w:rsid w:val="2EC044D1"/>
    <w:rsid w:val="2EC210EE"/>
    <w:rsid w:val="2EC67120"/>
    <w:rsid w:val="2ED56698"/>
    <w:rsid w:val="2ED744F6"/>
    <w:rsid w:val="2EE45A35"/>
    <w:rsid w:val="2EE46D8D"/>
    <w:rsid w:val="2EE57E4D"/>
    <w:rsid w:val="2EE675E6"/>
    <w:rsid w:val="2EF46812"/>
    <w:rsid w:val="2EF849D2"/>
    <w:rsid w:val="2EFE3B2E"/>
    <w:rsid w:val="2F010851"/>
    <w:rsid w:val="2F0545FE"/>
    <w:rsid w:val="2F0676B6"/>
    <w:rsid w:val="2F081F5B"/>
    <w:rsid w:val="2F106B60"/>
    <w:rsid w:val="2F133AB3"/>
    <w:rsid w:val="2F1F6B80"/>
    <w:rsid w:val="2F293042"/>
    <w:rsid w:val="2F3D6434"/>
    <w:rsid w:val="2F4131BE"/>
    <w:rsid w:val="2F4C564E"/>
    <w:rsid w:val="2F4D3910"/>
    <w:rsid w:val="2F525B7F"/>
    <w:rsid w:val="2F55611B"/>
    <w:rsid w:val="2F5A03A3"/>
    <w:rsid w:val="2F6158A0"/>
    <w:rsid w:val="2F637D0F"/>
    <w:rsid w:val="2F704AC4"/>
    <w:rsid w:val="2F79680E"/>
    <w:rsid w:val="2F7B222C"/>
    <w:rsid w:val="2F7D6BE6"/>
    <w:rsid w:val="2F81180C"/>
    <w:rsid w:val="2F820853"/>
    <w:rsid w:val="2F8337D6"/>
    <w:rsid w:val="2F860E2B"/>
    <w:rsid w:val="2F9A06E9"/>
    <w:rsid w:val="2FA3554F"/>
    <w:rsid w:val="2FA41232"/>
    <w:rsid w:val="2FAA391B"/>
    <w:rsid w:val="2FB27537"/>
    <w:rsid w:val="2FB37CAB"/>
    <w:rsid w:val="2FBB793E"/>
    <w:rsid w:val="2FBC77FF"/>
    <w:rsid w:val="2FBF57FB"/>
    <w:rsid w:val="2FC4541B"/>
    <w:rsid w:val="2FC61A99"/>
    <w:rsid w:val="2FC72125"/>
    <w:rsid w:val="2FCA71CF"/>
    <w:rsid w:val="2FCF2577"/>
    <w:rsid w:val="2FD021B9"/>
    <w:rsid w:val="2FD17F97"/>
    <w:rsid w:val="2FE86CE8"/>
    <w:rsid w:val="2FE86D42"/>
    <w:rsid w:val="2FE9188B"/>
    <w:rsid w:val="2FEFC86D"/>
    <w:rsid w:val="2FF124EE"/>
    <w:rsid w:val="2FF741BF"/>
    <w:rsid w:val="2FFC0C41"/>
    <w:rsid w:val="2FFF3631"/>
    <w:rsid w:val="300C7417"/>
    <w:rsid w:val="301476F9"/>
    <w:rsid w:val="30172E8A"/>
    <w:rsid w:val="30226B4B"/>
    <w:rsid w:val="302A58EA"/>
    <w:rsid w:val="30313232"/>
    <w:rsid w:val="3032262E"/>
    <w:rsid w:val="30495208"/>
    <w:rsid w:val="30536F80"/>
    <w:rsid w:val="30625472"/>
    <w:rsid w:val="30676C54"/>
    <w:rsid w:val="306957B3"/>
    <w:rsid w:val="307F7A21"/>
    <w:rsid w:val="308126D2"/>
    <w:rsid w:val="30846B05"/>
    <w:rsid w:val="308826D8"/>
    <w:rsid w:val="308E355D"/>
    <w:rsid w:val="308E49A2"/>
    <w:rsid w:val="309B70ED"/>
    <w:rsid w:val="309C4B4F"/>
    <w:rsid w:val="309D23E8"/>
    <w:rsid w:val="309D4424"/>
    <w:rsid w:val="309D61D2"/>
    <w:rsid w:val="30AA7ACB"/>
    <w:rsid w:val="30AB1CAF"/>
    <w:rsid w:val="30AB4B3C"/>
    <w:rsid w:val="30B17ECF"/>
    <w:rsid w:val="30B97487"/>
    <w:rsid w:val="30C64254"/>
    <w:rsid w:val="30C75C25"/>
    <w:rsid w:val="30CF00A6"/>
    <w:rsid w:val="30D362E8"/>
    <w:rsid w:val="30D376E3"/>
    <w:rsid w:val="30D75AC0"/>
    <w:rsid w:val="30DA7426"/>
    <w:rsid w:val="30E36F1A"/>
    <w:rsid w:val="30E9120F"/>
    <w:rsid w:val="30E92916"/>
    <w:rsid w:val="30F42827"/>
    <w:rsid w:val="30F44BED"/>
    <w:rsid w:val="30FA0849"/>
    <w:rsid w:val="31081E06"/>
    <w:rsid w:val="310935FB"/>
    <w:rsid w:val="310D497F"/>
    <w:rsid w:val="311C2DD2"/>
    <w:rsid w:val="311C6EB7"/>
    <w:rsid w:val="311E25FA"/>
    <w:rsid w:val="311E6779"/>
    <w:rsid w:val="311F308B"/>
    <w:rsid w:val="31274263"/>
    <w:rsid w:val="31277BC2"/>
    <w:rsid w:val="312D4BBA"/>
    <w:rsid w:val="31321010"/>
    <w:rsid w:val="31370256"/>
    <w:rsid w:val="313E1763"/>
    <w:rsid w:val="313F372D"/>
    <w:rsid w:val="31475DE2"/>
    <w:rsid w:val="315B22AF"/>
    <w:rsid w:val="315C31FA"/>
    <w:rsid w:val="315C56C7"/>
    <w:rsid w:val="3163665A"/>
    <w:rsid w:val="31660CB9"/>
    <w:rsid w:val="31682C84"/>
    <w:rsid w:val="316A2872"/>
    <w:rsid w:val="316D41A0"/>
    <w:rsid w:val="31755F73"/>
    <w:rsid w:val="318536C6"/>
    <w:rsid w:val="31854A74"/>
    <w:rsid w:val="31874329"/>
    <w:rsid w:val="3188485A"/>
    <w:rsid w:val="319951CC"/>
    <w:rsid w:val="31997C3A"/>
    <w:rsid w:val="31A03F80"/>
    <w:rsid w:val="31A42FFB"/>
    <w:rsid w:val="31A60907"/>
    <w:rsid w:val="31A66403"/>
    <w:rsid w:val="31B13ED7"/>
    <w:rsid w:val="31B23EFF"/>
    <w:rsid w:val="31C11EC0"/>
    <w:rsid w:val="31C33656"/>
    <w:rsid w:val="31CA1097"/>
    <w:rsid w:val="31D55606"/>
    <w:rsid w:val="31D738B6"/>
    <w:rsid w:val="31DE0965"/>
    <w:rsid w:val="31DF0E06"/>
    <w:rsid w:val="31E4096B"/>
    <w:rsid w:val="31E70436"/>
    <w:rsid w:val="31E76021"/>
    <w:rsid w:val="31E915D7"/>
    <w:rsid w:val="31EB11BF"/>
    <w:rsid w:val="31FA7495"/>
    <w:rsid w:val="31FC68F8"/>
    <w:rsid w:val="31FE6B45"/>
    <w:rsid w:val="320A71CE"/>
    <w:rsid w:val="320F5574"/>
    <w:rsid w:val="32146531"/>
    <w:rsid w:val="3214729F"/>
    <w:rsid w:val="32185A9E"/>
    <w:rsid w:val="321C7D1E"/>
    <w:rsid w:val="321D782E"/>
    <w:rsid w:val="321F1BCC"/>
    <w:rsid w:val="32235E45"/>
    <w:rsid w:val="3231130C"/>
    <w:rsid w:val="32367539"/>
    <w:rsid w:val="323D5EBE"/>
    <w:rsid w:val="324978FA"/>
    <w:rsid w:val="32503C29"/>
    <w:rsid w:val="32506D35"/>
    <w:rsid w:val="325154C6"/>
    <w:rsid w:val="32543605"/>
    <w:rsid w:val="32546B04"/>
    <w:rsid w:val="32584B60"/>
    <w:rsid w:val="32596FD9"/>
    <w:rsid w:val="325D2832"/>
    <w:rsid w:val="32634038"/>
    <w:rsid w:val="32685C24"/>
    <w:rsid w:val="326A0031"/>
    <w:rsid w:val="326A4534"/>
    <w:rsid w:val="326A6587"/>
    <w:rsid w:val="326B370E"/>
    <w:rsid w:val="326E414A"/>
    <w:rsid w:val="32703524"/>
    <w:rsid w:val="327465BF"/>
    <w:rsid w:val="327E055E"/>
    <w:rsid w:val="328851D7"/>
    <w:rsid w:val="32900DFA"/>
    <w:rsid w:val="32A41A99"/>
    <w:rsid w:val="32C04BAB"/>
    <w:rsid w:val="32C263C3"/>
    <w:rsid w:val="32C620D0"/>
    <w:rsid w:val="32C64389"/>
    <w:rsid w:val="32D63BEA"/>
    <w:rsid w:val="32D94CDA"/>
    <w:rsid w:val="32DB0472"/>
    <w:rsid w:val="32DC5959"/>
    <w:rsid w:val="32DF1BDC"/>
    <w:rsid w:val="32E17A1F"/>
    <w:rsid w:val="32E82538"/>
    <w:rsid w:val="32F17C78"/>
    <w:rsid w:val="32F23D77"/>
    <w:rsid w:val="32F96888"/>
    <w:rsid w:val="32FD2AED"/>
    <w:rsid w:val="33012E26"/>
    <w:rsid w:val="33044C2E"/>
    <w:rsid w:val="33082955"/>
    <w:rsid w:val="330D06C5"/>
    <w:rsid w:val="330D3AE3"/>
    <w:rsid w:val="330D6F60"/>
    <w:rsid w:val="3312027B"/>
    <w:rsid w:val="331410A3"/>
    <w:rsid w:val="33145E1E"/>
    <w:rsid w:val="33172142"/>
    <w:rsid w:val="3318639D"/>
    <w:rsid w:val="331F55C4"/>
    <w:rsid w:val="332350B4"/>
    <w:rsid w:val="33277E68"/>
    <w:rsid w:val="33343B87"/>
    <w:rsid w:val="334004F7"/>
    <w:rsid w:val="3340248F"/>
    <w:rsid w:val="334B463B"/>
    <w:rsid w:val="334C4DA1"/>
    <w:rsid w:val="334F34B6"/>
    <w:rsid w:val="33516036"/>
    <w:rsid w:val="33605F39"/>
    <w:rsid w:val="336077BC"/>
    <w:rsid w:val="33822A31"/>
    <w:rsid w:val="33867361"/>
    <w:rsid w:val="338A15D4"/>
    <w:rsid w:val="339064C2"/>
    <w:rsid w:val="33971AF0"/>
    <w:rsid w:val="339733AC"/>
    <w:rsid w:val="33A93E2C"/>
    <w:rsid w:val="33AB0BF1"/>
    <w:rsid w:val="33AB50A9"/>
    <w:rsid w:val="33AD2568"/>
    <w:rsid w:val="33B01CF9"/>
    <w:rsid w:val="33C07930"/>
    <w:rsid w:val="33C72B51"/>
    <w:rsid w:val="33D24AD2"/>
    <w:rsid w:val="33D95579"/>
    <w:rsid w:val="33D95B7A"/>
    <w:rsid w:val="33E05B27"/>
    <w:rsid w:val="33E800AC"/>
    <w:rsid w:val="33EA6243"/>
    <w:rsid w:val="33F20F2A"/>
    <w:rsid w:val="33F74EE9"/>
    <w:rsid w:val="33FF0ACE"/>
    <w:rsid w:val="33FF78B0"/>
    <w:rsid w:val="340B13B0"/>
    <w:rsid w:val="340E5809"/>
    <w:rsid w:val="341678CD"/>
    <w:rsid w:val="34176D6E"/>
    <w:rsid w:val="341931BA"/>
    <w:rsid w:val="34237336"/>
    <w:rsid w:val="34246AE9"/>
    <w:rsid w:val="34274E4E"/>
    <w:rsid w:val="342A2472"/>
    <w:rsid w:val="342A43F0"/>
    <w:rsid w:val="3439272A"/>
    <w:rsid w:val="3439671A"/>
    <w:rsid w:val="34461C25"/>
    <w:rsid w:val="34495D1E"/>
    <w:rsid w:val="344B5DC1"/>
    <w:rsid w:val="344C7D23"/>
    <w:rsid w:val="34592D70"/>
    <w:rsid w:val="34667777"/>
    <w:rsid w:val="34677222"/>
    <w:rsid w:val="346E439E"/>
    <w:rsid w:val="3472779D"/>
    <w:rsid w:val="347E1828"/>
    <w:rsid w:val="347F27BE"/>
    <w:rsid w:val="34831B82"/>
    <w:rsid w:val="349124F0"/>
    <w:rsid w:val="34960538"/>
    <w:rsid w:val="349875D2"/>
    <w:rsid w:val="34A51E74"/>
    <w:rsid w:val="34A715FC"/>
    <w:rsid w:val="34A7198B"/>
    <w:rsid w:val="34AD42DB"/>
    <w:rsid w:val="34AE25DC"/>
    <w:rsid w:val="34B2655E"/>
    <w:rsid w:val="34B378CC"/>
    <w:rsid w:val="34B51843"/>
    <w:rsid w:val="34B63D06"/>
    <w:rsid w:val="34B87AE8"/>
    <w:rsid w:val="34C416B3"/>
    <w:rsid w:val="34D84002"/>
    <w:rsid w:val="34DF4AA5"/>
    <w:rsid w:val="34E62BF5"/>
    <w:rsid w:val="34EC3BCC"/>
    <w:rsid w:val="34F1008C"/>
    <w:rsid w:val="34F721FA"/>
    <w:rsid w:val="34FA76EE"/>
    <w:rsid w:val="34FF6E9B"/>
    <w:rsid w:val="35003508"/>
    <w:rsid w:val="35032286"/>
    <w:rsid w:val="35056C96"/>
    <w:rsid w:val="35064AA3"/>
    <w:rsid w:val="35093AFE"/>
    <w:rsid w:val="350B2392"/>
    <w:rsid w:val="350D1D8D"/>
    <w:rsid w:val="350E76E0"/>
    <w:rsid w:val="35134CB4"/>
    <w:rsid w:val="351B3BDA"/>
    <w:rsid w:val="352415C7"/>
    <w:rsid w:val="35243365"/>
    <w:rsid w:val="3525653B"/>
    <w:rsid w:val="352670DB"/>
    <w:rsid w:val="352F5748"/>
    <w:rsid w:val="353006BF"/>
    <w:rsid w:val="353848D4"/>
    <w:rsid w:val="353A4A71"/>
    <w:rsid w:val="353B5752"/>
    <w:rsid w:val="353C6512"/>
    <w:rsid w:val="353C6E54"/>
    <w:rsid w:val="35474B9C"/>
    <w:rsid w:val="355756DE"/>
    <w:rsid w:val="355C1F6C"/>
    <w:rsid w:val="355F7EFA"/>
    <w:rsid w:val="35651264"/>
    <w:rsid w:val="3565635D"/>
    <w:rsid w:val="356B438F"/>
    <w:rsid w:val="35751F56"/>
    <w:rsid w:val="35810FCD"/>
    <w:rsid w:val="358143CE"/>
    <w:rsid w:val="3582046E"/>
    <w:rsid w:val="358C393A"/>
    <w:rsid w:val="358E75C4"/>
    <w:rsid w:val="35945C42"/>
    <w:rsid w:val="35960DDA"/>
    <w:rsid w:val="359C73A0"/>
    <w:rsid w:val="359F29EC"/>
    <w:rsid w:val="359F6D6B"/>
    <w:rsid w:val="35A72193"/>
    <w:rsid w:val="35A8409B"/>
    <w:rsid w:val="35B446E9"/>
    <w:rsid w:val="35B56D67"/>
    <w:rsid w:val="35C44C2A"/>
    <w:rsid w:val="35CD7559"/>
    <w:rsid w:val="35CE452A"/>
    <w:rsid w:val="35D0695D"/>
    <w:rsid w:val="35DA1ED2"/>
    <w:rsid w:val="35DD65E7"/>
    <w:rsid w:val="35DE1766"/>
    <w:rsid w:val="35E20D83"/>
    <w:rsid w:val="35EA6539"/>
    <w:rsid w:val="35EB1A05"/>
    <w:rsid w:val="35EE5A12"/>
    <w:rsid w:val="35F05BDE"/>
    <w:rsid w:val="35F1149A"/>
    <w:rsid w:val="35F73B86"/>
    <w:rsid w:val="36006AF2"/>
    <w:rsid w:val="36006BAA"/>
    <w:rsid w:val="36092FF1"/>
    <w:rsid w:val="360C30AD"/>
    <w:rsid w:val="3619454C"/>
    <w:rsid w:val="362517B8"/>
    <w:rsid w:val="362772AC"/>
    <w:rsid w:val="363E0DDF"/>
    <w:rsid w:val="36423116"/>
    <w:rsid w:val="36431A8B"/>
    <w:rsid w:val="36484195"/>
    <w:rsid w:val="3648502B"/>
    <w:rsid w:val="36515936"/>
    <w:rsid w:val="36556E4D"/>
    <w:rsid w:val="365D1A59"/>
    <w:rsid w:val="366F7AD8"/>
    <w:rsid w:val="3671308E"/>
    <w:rsid w:val="3675460D"/>
    <w:rsid w:val="367D2D2D"/>
    <w:rsid w:val="36801B81"/>
    <w:rsid w:val="36811DC7"/>
    <w:rsid w:val="36827B01"/>
    <w:rsid w:val="368B78F1"/>
    <w:rsid w:val="369B40B2"/>
    <w:rsid w:val="369E09BC"/>
    <w:rsid w:val="369F24F0"/>
    <w:rsid w:val="36AB4236"/>
    <w:rsid w:val="36B239CE"/>
    <w:rsid w:val="36B4223D"/>
    <w:rsid w:val="36BB43C6"/>
    <w:rsid w:val="36C24BE4"/>
    <w:rsid w:val="36C81D43"/>
    <w:rsid w:val="36D203BF"/>
    <w:rsid w:val="36DC3A16"/>
    <w:rsid w:val="36E06758"/>
    <w:rsid w:val="36E16DF4"/>
    <w:rsid w:val="36F27B6A"/>
    <w:rsid w:val="36F338F2"/>
    <w:rsid w:val="36F7633E"/>
    <w:rsid w:val="36FD00EC"/>
    <w:rsid w:val="37014C43"/>
    <w:rsid w:val="37017F1A"/>
    <w:rsid w:val="370276D6"/>
    <w:rsid w:val="371371EE"/>
    <w:rsid w:val="371D2E2B"/>
    <w:rsid w:val="37222F65"/>
    <w:rsid w:val="372A6982"/>
    <w:rsid w:val="3736611F"/>
    <w:rsid w:val="373934A5"/>
    <w:rsid w:val="373E204D"/>
    <w:rsid w:val="373E461C"/>
    <w:rsid w:val="37420974"/>
    <w:rsid w:val="374760C9"/>
    <w:rsid w:val="374970B3"/>
    <w:rsid w:val="374B3F94"/>
    <w:rsid w:val="3756532C"/>
    <w:rsid w:val="37622064"/>
    <w:rsid w:val="3763749D"/>
    <w:rsid w:val="376C3815"/>
    <w:rsid w:val="376D7D95"/>
    <w:rsid w:val="377073F0"/>
    <w:rsid w:val="377117AD"/>
    <w:rsid w:val="37790A12"/>
    <w:rsid w:val="377C24B2"/>
    <w:rsid w:val="378620B5"/>
    <w:rsid w:val="378D50FC"/>
    <w:rsid w:val="37900C0B"/>
    <w:rsid w:val="37A86B60"/>
    <w:rsid w:val="37A900F2"/>
    <w:rsid w:val="37AD3BFC"/>
    <w:rsid w:val="37AE77CE"/>
    <w:rsid w:val="37B211E9"/>
    <w:rsid w:val="37BA0AC7"/>
    <w:rsid w:val="37C8428A"/>
    <w:rsid w:val="37C85B4A"/>
    <w:rsid w:val="37CB0777"/>
    <w:rsid w:val="37CB5F65"/>
    <w:rsid w:val="37CE028F"/>
    <w:rsid w:val="37CE0538"/>
    <w:rsid w:val="37DA69E8"/>
    <w:rsid w:val="37DF02E4"/>
    <w:rsid w:val="37F35F6E"/>
    <w:rsid w:val="37FB4C3E"/>
    <w:rsid w:val="37FE0959"/>
    <w:rsid w:val="38070EEB"/>
    <w:rsid w:val="38074E86"/>
    <w:rsid w:val="380D4E0E"/>
    <w:rsid w:val="38186A25"/>
    <w:rsid w:val="382E0B3B"/>
    <w:rsid w:val="38344445"/>
    <w:rsid w:val="383453B8"/>
    <w:rsid w:val="383B6651"/>
    <w:rsid w:val="383F6FB8"/>
    <w:rsid w:val="384C03EA"/>
    <w:rsid w:val="384D672F"/>
    <w:rsid w:val="384E1A7B"/>
    <w:rsid w:val="385604B0"/>
    <w:rsid w:val="3857135C"/>
    <w:rsid w:val="385A6444"/>
    <w:rsid w:val="38674BB6"/>
    <w:rsid w:val="38685211"/>
    <w:rsid w:val="386D6DD1"/>
    <w:rsid w:val="38726196"/>
    <w:rsid w:val="387600A5"/>
    <w:rsid w:val="387B56BA"/>
    <w:rsid w:val="38842F1F"/>
    <w:rsid w:val="388760A0"/>
    <w:rsid w:val="388B68FD"/>
    <w:rsid w:val="388D2FD0"/>
    <w:rsid w:val="389600D6"/>
    <w:rsid w:val="389972C1"/>
    <w:rsid w:val="389E58F2"/>
    <w:rsid w:val="38A00F55"/>
    <w:rsid w:val="38A14677"/>
    <w:rsid w:val="38A950FD"/>
    <w:rsid w:val="38C6156D"/>
    <w:rsid w:val="38C703B4"/>
    <w:rsid w:val="38CA3B45"/>
    <w:rsid w:val="38D90859"/>
    <w:rsid w:val="38DA0A7C"/>
    <w:rsid w:val="38DF5BEA"/>
    <w:rsid w:val="38F32E2D"/>
    <w:rsid w:val="38F41545"/>
    <w:rsid w:val="38F50C0B"/>
    <w:rsid w:val="38F76425"/>
    <w:rsid w:val="38F85F15"/>
    <w:rsid w:val="39081076"/>
    <w:rsid w:val="39122722"/>
    <w:rsid w:val="39146EAF"/>
    <w:rsid w:val="39167469"/>
    <w:rsid w:val="39173FC1"/>
    <w:rsid w:val="3918231B"/>
    <w:rsid w:val="391A2AB5"/>
    <w:rsid w:val="391D0471"/>
    <w:rsid w:val="391D25A6"/>
    <w:rsid w:val="391E075D"/>
    <w:rsid w:val="39214D4E"/>
    <w:rsid w:val="392439C6"/>
    <w:rsid w:val="392456E2"/>
    <w:rsid w:val="39254E3A"/>
    <w:rsid w:val="39266524"/>
    <w:rsid w:val="3929085F"/>
    <w:rsid w:val="392A4C8F"/>
    <w:rsid w:val="392E030F"/>
    <w:rsid w:val="3937518E"/>
    <w:rsid w:val="39380968"/>
    <w:rsid w:val="393931BF"/>
    <w:rsid w:val="394538AA"/>
    <w:rsid w:val="39455658"/>
    <w:rsid w:val="39465C80"/>
    <w:rsid w:val="39466518"/>
    <w:rsid w:val="39474709"/>
    <w:rsid w:val="3951224F"/>
    <w:rsid w:val="39605D36"/>
    <w:rsid w:val="39706B79"/>
    <w:rsid w:val="397528BF"/>
    <w:rsid w:val="397743D8"/>
    <w:rsid w:val="397C5933"/>
    <w:rsid w:val="397D55D9"/>
    <w:rsid w:val="39822409"/>
    <w:rsid w:val="398573FE"/>
    <w:rsid w:val="39914227"/>
    <w:rsid w:val="399B41D3"/>
    <w:rsid w:val="399D7D20"/>
    <w:rsid w:val="399F551B"/>
    <w:rsid w:val="39A3652C"/>
    <w:rsid w:val="39A40929"/>
    <w:rsid w:val="39AF6A7D"/>
    <w:rsid w:val="39B74B79"/>
    <w:rsid w:val="39B8299B"/>
    <w:rsid w:val="39BF365D"/>
    <w:rsid w:val="39C57C52"/>
    <w:rsid w:val="39C94B58"/>
    <w:rsid w:val="39CB23D2"/>
    <w:rsid w:val="39CB48B4"/>
    <w:rsid w:val="39DE1D35"/>
    <w:rsid w:val="39E13D3B"/>
    <w:rsid w:val="39E8469B"/>
    <w:rsid w:val="39F02DA5"/>
    <w:rsid w:val="39F125D0"/>
    <w:rsid w:val="39F72FC6"/>
    <w:rsid w:val="39F84AD5"/>
    <w:rsid w:val="39FF5AD5"/>
    <w:rsid w:val="3A0E30BD"/>
    <w:rsid w:val="3A0F2911"/>
    <w:rsid w:val="3A137C03"/>
    <w:rsid w:val="3A175247"/>
    <w:rsid w:val="3A1F1D83"/>
    <w:rsid w:val="3A226D4B"/>
    <w:rsid w:val="3A2F4DAA"/>
    <w:rsid w:val="3A3365A1"/>
    <w:rsid w:val="3A376CB2"/>
    <w:rsid w:val="3A3E3E74"/>
    <w:rsid w:val="3A420BDD"/>
    <w:rsid w:val="3A4A5671"/>
    <w:rsid w:val="3A4D4636"/>
    <w:rsid w:val="3A4E44AD"/>
    <w:rsid w:val="3A5F3CA8"/>
    <w:rsid w:val="3A5F44FC"/>
    <w:rsid w:val="3A63048C"/>
    <w:rsid w:val="3A653C1F"/>
    <w:rsid w:val="3A782EB9"/>
    <w:rsid w:val="3A844A0F"/>
    <w:rsid w:val="3A8572B8"/>
    <w:rsid w:val="3A870BA7"/>
    <w:rsid w:val="3A8E0E14"/>
    <w:rsid w:val="3A96260F"/>
    <w:rsid w:val="3AA173BE"/>
    <w:rsid w:val="3AB311F8"/>
    <w:rsid w:val="3AB94B13"/>
    <w:rsid w:val="3ABE1A04"/>
    <w:rsid w:val="3AC151B3"/>
    <w:rsid w:val="3AC6552C"/>
    <w:rsid w:val="3ACA050B"/>
    <w:rsid w:val="3AD24146"/>
    <w:rsid w:val="3AD47015"/>
    <w:rsid w:val="3AD932F8"/>
    <w:rsid w:val="3ADE7B13"/>
    <w:rsid w:val="3AE02923"/>
    <w:rsid w:val="3AE45E69"/>
    <w:rsid w:val="3AE5658A"/>
    <w:rsid w:val="3AE72E6B"/>
    <w:rsid w:val="3AE840B9"/>
    <w:rsid w:val="3AEC66D3"/>
    <w:rsid w:val="3AED7749"/>
    <w:rsid w:val="3AF856FE"/>
    <w:rsid w:val="3AF95E88"/>
    <w:rsid w:val="3AFE14AE"/>
    <w:rsid w:val="3B0026E0"/>
    <w:rsid w:val="3B0961B4"/>
    <w:rsid w:val="3B0C49D6"/>
    <w:rsid w:val="3B0F18F1"/>
    <w:rsid w:val="3B0F4A8C"/>
    <w:rsid w:val="3B1221C3"/>
    <w:rsid w:val="3B126AC4"/>
    <w:rsid w:val="3B181501"/>
    <w:rsid w:val="3B1D5138"/>
    <w:rsid w:val="3B20190D"/>
    <w:rsid w:val="3B210927"/>
    <w:rsid w:val="3B21603C"/>
    <w:rsid w:val="3B2C0E74"/>
    <w:rsid w:val="3B2D0A60"/>
    <w:rsid w:val="3B306CB4"/>
    <w:rsid w:val="3B457948"/>
    <w:rsid w:val="3B463825"/>
    <w:rsid w:val="3B4711C1"/>
    <w:rsid w:val="3B4C4552"/>
    <w:rsid w:val="3B4D64DA"/>
    <w:rsid w:val="3B581EA1"/>
    <w:rsid w:val="3B5A363D"/>
    <w:rsid w:val="3B660235"/>
    <w:rsid w:val="3B6F4C0F"/>
    <w:rsid w:val="3B78695F"/>
    <w:rsid w:val="3B7A1339"/>
    <w:rsid w:val="3B9528C7"/>
    <w:rsid w:val="3B9842D8"/>
    <w:rsid w:val="3B9A6C8A"/>
    <w:rsid w:val="3B9C6453"/>
    <w:rsid w:val="3B9F3746"/>
    <w:rsid w:val="3BA5280E"/>
    <w:rsid w:val="3BB324A1"/>
    <w:rsid w:val="3BB352C0"/>
    <w:rsid w:val="3BB40190"/>
    <w:rsid w:val="3BB76F46"/>
    <w:rsid w:val="3BC1543E"/>
    <w:rsid w:val="3BC92571"/>
    <w:rsid w:val="3BC973A6"/>
    <w:rsid w:val="3BCB13DE"/>
    <w:rsid w:val="3BCC3353"/>
    <w:rsid w:val="3BD6747D"/>
    <w:rsid w:val="3BD76A98"/>
    <w:rsid w:val="3BDE4119"/>
    <w:rsid w:val="3BDE6DF2"/>
    <w:rsid w:val="3BE11723"/>
    <w:rsid w:val="3BE26390"/>
    <w:rsid w:val="3BE41159"/>
    <w:rsid w:val="3BE9F640"/>
    <w:rsid w:val="3BEA355F"/>
    <w:rsid w:val="3BFD7CE1"/>
    <w:rsid w:val="3BFE66BE"/>
    <w:rsid w:val="3C005A32"/>
    <w:rsid w:val="3C0268E9"/>
    <w:rsid w:val="3C067551"/>
    <w:rsid w:val="3C0813C7"/>
    <w:rsid w:val="3C135BC4"/>
    <w:rsid w:val="3C1C295B"/>
    <w:rsid w:val="3C205E43"/>
    <w:rsid w:val="3C20718A"/>
    <w:rsid w:val="3C2459F9"/>
    <w:rsid w:val="3C2E28D2"/>
    <w:rsid w:val="3C2F56A0"/>
    <w:rsid w:val="3C365AF8"/>
    <w:rsid w:val="3C39441E"/>
    <w:rsid w:val="3C3C3CE5"/>
    <w:rsid w:val="3C3F4D69"/>
    <w:rsid w:val="3C621881"/>
    <w:rsid w:val="3C626530"/>
    <w:rsid w:val="3C6505D1"/>
    <w:rsid w:val="3C6777F4"/>
    <w:rsid w:val="3C6B65FA"/>
    <w:rsid w:val="3C6D28CB"/>
    <w:rsid w:val="3C7B6538"/>
    <w:rsid w:val="3C7C62E5"/>
    <w:rsid w:val="3C7D6B6A"/>
    <w:rsid w:val="3C801030"/>
    <w:rsid w:val="3C843DC2"/>
    <w:rsid w:val="3C844CB1"/>
    <w:rsid w:val="3C8457DE"/>
    <w:rsid w:val="3C971F9B"/>
    <w:rsid w:val="3CA10209"/>
    <w:rsid w:val="3CA10480"/>
    <w:rsid w:val="3CA453D1"/>
    <w:rsid w:val="3CA8662A"/>
    <w:rsid w:val="3CAD1E92"/>
    <w:rsid w:val="3CAE4A0A"/>
    <w:rsid w:val="3CBE598A"/>
    <w:rsid w:val="3CD17199"/>
    <w:rsid w:val="3CEB6449"/>
    <w:rsid w:val="3CF8135F"/>
    <w:rsid w:val="3CFE2722"/>
    <w:rsid w:val="3D0111E9"/>
    <w:rsid w:val="3D0141B6"/>
    <w:rsid w:val="3D0459B0"/>
    <w:rsid w:val="3D0715A3"/>
    <w:rsid w:val="3D157717"/>
    <w:rsid w:val="3D1B3514"/>
    <w:rsid w:val="3D1D1BF6"/>
    <w:rsid w:val="3D2C5736"/>
    <w:rsid w:val="3D3C566A"/>
    <w:rsid w:val="3D3E7FAE"/>
    <w:rsid w:val="3D424389"/>
    <w:rsid w:val="3D445B85"/>
    <w:rsid w:val="3D463F7F"/>
    <w:rsid w:val="3D51281E"/>
    <w:rsid w:val="3D566E05"/>
    <w:rsid w:val="3D5C70BD"/>
    <w:rsid w:val="3D5D7415"/>
    <w:rsid w:val="3D5F5BF9"/>
    <w:rsid w:val="3D6052A8"/>
    <w:rsid w:val="3D6715B6"/>
    <w:rsid w:val="3D6A0E68"/>
    <w:rsid w:val="3D757AC6"/>
    <w:rsid w:val="3D827F9E"/>
    <w:rsid w:val="3D857B57"/>
    <w:rsid w:val="3D8D681A"/>
    <w:rsid w:val="3D8E473F"/>
    <w:rsid w:val="3D9A6F76"/>
    <w:rsid w:val="3D9D1F07"/>
    <w:rsid w:val="3DA24BF3"/>
    <w:rsid w:val="3DA37D71"/>
    <w:rsid w:val="3DAA124A"/>
    <w:rsid w:val="3DB86D41"/>
    <w:rsid w:val="3DBD70A4"/>
    <w:rsid w:val="3DC05C7B"/>
    <w:rsid w:val="3DC0773F"/>
    <w:rsid w:val="3DC76F84"/>
    <w:rsid w:val="3DC91A8B"/>
    <w:rsid w:val="3DCC1E35"/>
    <w:rsid w:val="3DCE26E6"/>
    <w:rsid w:val="3DCE2F44"/>
    <w:rsid w:val="3DD376D7"/>
    <w:rsid w:val="3DD552BA"/>
    <w:rsid w:val="3DD93CC7"/>
    <w:rsid w:val="3DE1489E"/>
    <w:rsid w:val="3DE64602"/>
    <w:rsid w:val="3DEA331E"/>
    <w:rsid w:val="3DEC2546"/>
    <w:rsid w:val="3DEC61FF"/>
    <w:rsid w:val="3DF05A53"/>
    <w:rsid w:val="3DF43595"/>
    <w:rsid w:val="3DF61AFE"/>
    <w:rsid w:val="3DF66592"/>
    <w:rsid w:val="3E0F192F"/>
    <w:rsid w:val="3E156FDB"/>
    <w:rsid w:val="3E216694"/>
    <w:rsid w:val="3E2B1FA6"/>
    <w:rsid w:val="3E2E2AC3"/>
    <w:rsid w:val="3E2E58C2"/>
    <w:rsid w:val="3E304478"/>
    <w:rsid w:val="3E310BAF"/>
    <w:rsid w:val="3E3730A5"/>
    <w:rsid w:val="3E401621"/>
    <w:rsid w:val="3E4621F2"/>
    <w:rsid w:val="3E483E7F"/>
    <w:rsid w:val="3E4C653C"/>
    <w:rsid w:val="3E4D0306"/>
    <w:rsid w:val="3E4E05B8"/>
    <w:rsid w:val="3E4F4597"/>
    <w:rsid w:val="3E501D7D"/>
    <w:rsid w:val="3E527312"/>
    <w:rsid w:val="3E534CEE"/>
    <w:rsid w:val="3E552264"/>
    <w:rsid w:val="3E5E0252"/>
    <w:rsid w:val="3E604FE1"/>
    <w:rsid w:val="3E701A0E"/>
    <w:rsid w:val="3E732E54"/>
    <w:rsid w:val="3E7E4EBA"/>
    <w:rsid w:val="3E821DED"/>
    <w:rsid w:val="3E895FE7"/>
    <w:rsid w:val="3E8A3646"/>
    <w:rsid w:val="3E8D154B"/>
    <w:rsid w:val="3E901C33"/>
    <w:rsid w:val="3E9208D6"/>
    <w:rsid w:val="3E9216B7"/>
    <w:rsid w:val="3E941C15"/>
    <w:rsid w:val="3E9F4C36"/>
    <w:rsid w:val="3EA3354D"/>
    <w:rsid w:val="3EB7535A"/>
    <w:rsid w:val="3EBC63BD"/>
    <w:rsid w:val="3EC03EDD"/>
    <w:rsid w:val="3EC84D62"/>
    <w:rsid w:val="3ED3535A"/>
    <w:rsid w:val="3ED708DB"/>
    <w:rsid w:val="3ED86C7F"/>
    <w:rsid w:val="3EF06BB7"/>
    <w:rsid w:val="3EF4041D"/>
    <w:rsid w:val="3EF72CF8"/>
    <w:rsid w:val="3EFF246E"/>
    <w:rsid w:val="3F144A1C"/>
    <w:rsid w:val="3F1730E4"/>
    <w:rsid w:val="3F1D06B2"/>
    <w:rsid w:val="3F226AEF"/>
    <w:rsid w:val="3F23518B"/>
    <w:rsid w:val="3F270257"/>
    <w:rsid w:val="3F285C84"/>
    <w:rsid w:val="3F2A5A1C"/>
    <w:rsid w:val="3F2D5D88"/>
    <w:rsid w:val="3F473721"/>
    <w:rsid w:val="3F4B043C"/>
    <w:rsid w:val="3F4B52A9"/>
    <w:rsid w:val="3F4C1405"/>
    <w:rsid w:val="3F4C14EF"/>
    <w:rsid w:val="3F520ACF"/>
    <w:rsid w:val="3F533102"/>
    <w:rsid w:val="3F604797"/>
    <w:rsid w:val="3F654A9F"/>
    <w:rsid w:val="3F6F7F2C"/>
    <w:rsid w:val="3F715DDB"/>
    <w:rsid w:val="3F717D2A"/>
    <w:rsid w:val="3F830503"/>
    <w:rsid w:val="3F83095B"/>
    <w:rsid w:val="3F8352C1"/>
    <w:rsid w:val="3F8915BC"/>
    <w:rsid w:val="3FA327AE"/>
    <w:rsid w:val="3FA4757D"/>
    <w:rsid w:val="3FA91C4B"/>
    <w:rsid w:val="3FB10CAA"/>
    <w:rsid w:val="3FB1665F"/>
    <w:rsid w:val="3FB70A3D"/>
    <w:rsid w:val="3FCA004F"/>
    <w:rsid w:val="3FCD0603"/>
    <w:rsid w:val="3FDA916F"/>
    <w:rsid w:val="3FE85A9C"/>
    <w:rsid w:val="3FF26629"/>
    <w:rsid w:val="3FF6169E"/>
    <w:rsid w:val="3FFD1B81"/>
    <w:rsid w:val="3FFE3379"/>
    <w:rsid w:val="400132AA"/>
    <w:rsid w:val="40032CDD"/>
    <w:rsid w:val="40050501"/>
    <w:rsid w:val="40066EF1"/>
    <w:rsid w:val="400E2C6B"/>
    <w:rsid w:val="400E49F6"/>
    <w:rsid w:val="40251201"/>
    <w:rsid w:val="40291C2B"/>
    <w:rsid w:val="40354D3E"/>
    <w:rsid w:val="403E5B3C"/>
    <w:rsid w:val="40436D96"/>
    <w:rsid w:val="40497FD0"/>
    <w:rsid w:val="40503261"/>
    <w:rsid w:val="40543768"/>
    <w:rsid w:val="40550877"/>
    <w:rsid w:val="40561C68"/>
    <w:rsid w:val="40646D0C"/>
    <w:rsid w:val="406867FC"/>
    <w:rsid w:val="407507B2"/>
    <w:rsid w:val="40765CCD"/>
    <w:rsid w:val="407765FE"/>
    <w:rsid w:val="407B6130"/>
    <w:rsid w:val="40866FF3"/>
    <w:rsid w:val="40881665"/>
    <w:rsid w:val="408D1DBF"/>
    <w:rsid w:val="409125D9"/>
    <w:rsid w:val="409F208D"/>
    <w:rsid w:val="40A73520"/>
    <w:rsid w:val="40A84E4B"/>
    <w:rsid w:val="40A9471F"/>
    <w:rsid w:val="40AA3127"/>
    <w:rsid w:val="40AA5046"/>
    <w:rsid w:val="40AB0497"/>
    <w:rsid w:val="40AC48AA"/>
    <w:rsid w:val="40B411BC"/>
    <w:rsid w:val="40B437FE"/>
    <w:rsid w:val="40B53060"/>
    <w:rsid w:val="40C93868"/>
    <w:rsid w:val="40D05FDE"/>
    <w:rsid w:val="40D133A0"/>
    <w:rsid w:val="40D46C4F"/>
    <w:rsid w:val="40D64B0A"/>
    <w:rsid w:val="40D84E5D"/>
    <w:rsid w:val="40E01FA4"/>
    <w:rsid w:val="40E37ADA"/>
    <w:rsid w:val="40E47926"/>
    <w:rsid w:val="40EA6057"/>
    <w:rsid w:val="40F95158"/>
    <w:rsid w:val="40FD234C"/>
    <w:rsid w:val="41016745"/>
    <w:rsid w:val="41076015"/>
    <w:rsid w:val="410D5399"/>
    <w:rsid w:val="410F6C78"/>
    <w:rsid w:val="411A2914"/>
    <w:rsid w:val="41280EEB"/>
    <w:rsid w:val="412B3B20"/>
    <w:rsid w:val="412C578A"/>
    <w:rsid w:val="412C5AE4"/>
    <w:rsid w:val="41357D18"/>
    <w:rsid w:val="41392024"/>
    <w:rsid w:val="413D1CC8"/>
    <w:rsid w:val="41405D90"/>
    <w:rsid w:val="41466412"/>
    <w:rsid w:val="414863E4"/>
    <w:rsid w:val="41547580"/>
    <w:rsid w:val="41597EA9"/>
    <w:rsid w:val="415B5F7C"/>
    <w:rsid w:val="41606CC2"/>
    <w:rsid w:val="41623F60"/>
    <w:rsid w:val="416917A7"/>
    <w:rsid w:val="416C5B52"/>
    <w:rsid w:val="4173234D"/>
    <w:rsid w:val="41793E58"/>
    <w:rsid w:val="417E5BAB"/>
    <w:rsid w:val="41807A0E"/>
    <w:rsid w:val="41856C90"/>
    <w:rsid w:val="41876636"/>
    <w:rsid w:val="418C3DCF"/>
    <w:rsid w:val="41907C1E"/>
    <w:rsid w:val="419164D0"/>
    <w:rsid w:val="41A12733"/>
    <w:rsid w:val="41A35587"/>
    <w:rsid w:val="41AA55CE"/>
    <w:rsid w:val="41B63597"/>
    <w:rsid w:val="41C25B4A"/>
    <w:rsid w:val="41C46D3E"/>
    <w:rsid w:val="41C80E93"/>
    <w:rsid w:val="41D31D2F"/>
    <w:rsid w:val="41D332B9"/>
    <w:rsid w:val="41D57EC1"/>
    <w:rsid w:val="41D61543"/>
    <w:rsid w:val="41DB2CA2"/>
    <w:rsid w:val="41DC46B3"/>
    <w:rsid w:val="41DD6D76"/>
    <w:rsid w:val="41F83BB0"/>
    <w:rsid w:val="41FD3CE1"/>
    <w:rsid w:val="41FF0A9A"/>
    <w:rsid w:val="4200113A"/>
    <w:rsid w:val="420B4D6E"/>
    <w:rsid w:val="420B5BD4"/>
    <w:rsid w:val="42123101"/>
    <w:rsid w:val="421913E3"/>
    <w:rsid w:val="421D464B"/>
    <w:rsid w:val="422A5979"/>
    <w:rsid w:val="422B1AE1"/>
    <w:rsid w:val="422F44B8"/>
    <w:rsid w:val="42320BAF"/>
    <w:rsid w:val="4234503B"/>
    <w:rsid w:val="42351E4A"/>
    <w:rsid w:val="424167E7"/>
    <w:rsid w:val="42437038"/>
    <w:rsid w:val="42442951"/>
    <w:rsid w:val="424549A4"/>
    <w:rsid w:val="424F7250"/>
    <w:rsid w:val="425318CB"/>
    <w:rsid w:val="42562CE9"/>
    <w:rsid w:val="425846CB"/>
    <w:rsid w:val="4261189E"/>
    <w:rsid w:val="426E1652"/>
    <w:rsid w:val="4270639C"/>
    <w:rsid w:val="427A3326"/>
    <w:rsid w:val="427B0009"/>
    <w:rsid w:val="427F038D"/>
    <w:rsid w:val="42824101"/>
    <w:rsid w:val="4287248B"/>
    <w:rsid w:val="42920E70"/>
    <w:rsid w:val="42967F14"/>
    <w:rsid w:val="42992CD5"/>
    <w:rsid w:val="429E0513"/>
    <w:rsid w:val="42A94C93"/>
    <w:rsid w:val="42B46154"/>
    <w:rsid w:val="42C56797"/>
    <w:rsid w:val="42D00689"/>
    <w:rsid w:val="42DE4B92"/>
    <w:rsid w:val="42E16641"/>
    <w:rsid w:val="42ED1811"/>
    <w:rsid w:val="43011983"/>
    <w:rsid w:val="430D67CA"/>
    <w:rsid w:val="431439EF"/>
    <w:rsid w:val="431C5A14"/>
    <w:rsid w:val="43210071"/>
    <w:rsid w:val="43241A97"/>
    <w:rsid w:val="432509D4"/>
    <w:rsid w:val="4325409F"/>
    <w:rsid w:val="432E3C17"/>
    <w:rsid w:val="43352D09"/>
    <w:rsid w:val="433805B6"/>
    <w:rsid w:val="433840B7"/>
    <w:rsid w:val="433A4ADA"/>
    <w:rsid w:val="433C45AE"/>
    <w:rsid w:val="433E1B4F"/>
    <w:rsid w:val="43456817"/>
    <w:rsid w:val="434925BD"/>
    <w:rsid w:val="434B2805"/>
    <w:rsid w:val="434E516C"/>
    <w:rsid w:val="434E6F31"/>
    <w:rsid w:val="435111CA"/>
    <w:rsid w:val="43527BFD"/>
    <w:rsid w:val="43536184"/>
    <w:rsid w:val="4355340E"/>
    <w:rsid w:val="436368B5"/>
    <w:rsid w:val="43726C6D"/>
    <w:rsid w:val="437B270B"/>
    <w:rsid w:val="437C24A9"/>
    <w:rsid w:val="437E552A"/>
    <w:rsid w:val="437E7B6F"/>
    <w:rsid w:val="43816018"/>
    <w:rsid w:val="43843B5C"/>
    <w:rsid w:val="438D2E4C"/>
    <w:rsid w:val="438F22F2"/>
    <w:rsid w:val="43936578"/>
    <w:rsid w:val="43972DB1"/>
    <w:rsid w:val="43A84430"/>
    <w:rsid w:val="43AA19A0"/>
    <w:rsid w:val="43C006FD"/>
    <w:rsid w:val="43C74A32"/>
    <w:rsid w:val="43D145FA"/>
    <w:rsid w:val="43D356EC"/>
    <w:rsid w:val="43DD31AC"/>
    <w:rsid w:val="43DF17CA"/>
    <w:rsid w:val="43E3561F"/>
    <w:rsid w:val="43E97C79"/>
    <w:rsid w:val="43EE7018"/>
    <w:rsid w:val="43F63DBB"/>
    <w:rsid w:val="43FF4BE9"/>
    <w:rsid w:val="440447A3"/>
    <w:rsid w:val="4406450E"/>
    <w:rsid w:val="440E1AE9"/>
    <w:rsid w:val="440E6A21"/>
    <w:rsid w:val="441C4844"/>
    <w:rsid w:val="442073EE"/>
    <w:rsid w:val="44225D47"/>
    <w:rsid w:val="442835B9"/>
    <w:rsid w:val="44324E3E"/>
    <w:rsid w:val="443F16F6"/>
    <w:rsid w:val="444C01E3"/>
    <w:rsid w:val="44507CD3"/>
    <w:rsid w:val="44557577"/>
    <w:rsid w:val="445B0426"/>
    <w:rsid w:val="445E35D2"/>
    <w:rsid w:val="446077EA"/>
    <w:rsid w:val="44612FBF"/>
    <w:rsid w:val="4467510F"/>
    <w:rsid w:val="44685B6C"/>
    <w:rsid w:val="446F27A1"/>
    <w:rsid w:val="44766C48"/>
    <w:rsid w:val="44773F53"/>
    <w:rsid w:val="447B03F9"/>
    <w:rsid w:val="447C7A12"/>
    <w:rsid w:val="449043CB"/>
    <w:rsid w:val="449048AD"/>
    <w:rsid w:val="44915BF6"/>
    <w:rsid w:val="44953938"/>
    <w:rsid w:val="44A0251B"/>
    <w:rsid w:val="44A43B7B"/>
    <w:rsid w:val="44A50B01"/>
    <w:rsid w:val="44A53B6B"/>
    <w:rsid w:val="44A57A64"/>
    <w:rsid w:val="44A87D00"/>
    <w:rsid w:val="44B33DBE"/>
    <w:rsid w:val="44BD642A"/>
    <w:rsid w:val="44CB49F7"/>
    <w:rsid w:val="44CC1879"/>
    <w:rsid w:val="44D14F5F"/>
    <w:rsid w:val="44D244E9"/>
    <w:rsid w:val="44D34460"/>
    <w:rsid w:val="44D64396"/>
    <w:rsid w:val="44DA47F9"/>
    <w:rsid w:val="44DF446B"/>
    <w:rsid w:val="44E06139"/>
    <w:rsid w:val="44ED17A0"/>
    <w:rsid w:val="44EE43B8"/>
    <w:rsid w:val="44EF20D5"/>
    <w:rsid w:val="44EF76FC"/>
    <w:rsid w:val="44F1103A"/>
    <w:rsid w:val="44FF65B5"/>
    <w:rsid w:val="450511B7"/>
    <w:rsid w:val="45097E82"/>
    <w:rsid w:val="45123EED"/>
    <w:rsid w:val="451B46E1"/>
    <w:rsid w:val="451B79FE"/>
    <w:rsid w:val="451D167A"/>
    <w:rsid w:val="452758AE"/>
    <w:rsid w:val="452B7DF8"/>
    <w:rsid w:val="452D76A4"/>
    <w:rsid w:val="452E1054"/>
    <w:rsid w:val="452E6B9A"/>
    <w:rsid w:val="453D2B58"/>
    <w:rsid w:val="453F7092"/>
    <w:rsid w:val="45447BEB"/>
    <w:rsid w:val="45486F85"/>
    <w:rsid w:val="45525966"/>
    <w:rsid w:val="4553736A"/>
    <w:rsid w:val="45577160"/>
    <w:rsid w:val="455916A2"/>
    <w:rsid w:val="455B0B84"/>
    <w:rsid w:val="455C75CC"/>
    <w:rsid w:val="4560378B"/>
    <w:rsid w:val="45654557"/>
    <w:rsid w:val="456D2FD6"/>
    <w:rsid w:val="45717784"/>
    <w:rsid w:val="457F7B00"/>
    <w:rsid w:val="45845065"/>
    <w:rsid w:val="458A3B63"/>
    <w:rsid w:val="458C19C5"/>
    <w:rsid w:val="45943E18"/>
    <w:rsid w:val="45961681"/>
    <w:rsid w:val="459E4D1A"/>
    <w:rsid w:val="45A633FB"/>
    <w:rsid w:val="45A97077"/>
    <w:rsid w:val="45AC1B90"/>
    <w:rsid w:val="45B01FAA"/>
    <w:rsid w:val="45B46213"/>
    <w:rsid w:val="45C023ED"/>
    <w:rsid w:val="45CC15DB"/>
    <w:rsid w:val="45D97854"/>
    <w:rsid w:val="45E61FDD"/>
    <w:rsid w:val="45EC77A7"/>
    <w:rsid w:val="45F36C99"/>
    <w:rsid w:val="45F44CA7"/>
    <w:rsid w:val="45FB0037"/>
    <w:rsid w:val="460626AF"/>
    <w:rsid w:val="46073F9A"/>
    <w:rsid w:val="460A33FF"/>
    <w:rsid w:val="460D3D5A"/>
    <w:rsid w:val="460D5750"/>
    <w:rsid w:val="4612003A"/>
    <w:rsid w:val="46124AD6"/>
    <w:rsid w:val="4612675B"/>
    <w:rsid w:val="461D24DE"/>
    <w:rsid w:val="4622744D"/>
    <w:rsid w:val="462A1C6F"/>
    <w:rsid w:val="462C5D7D"/>
    <w:rsid w:val="4638055D"/>
    <w:rsid w:val="463B1FD6"/>
    <w:rsid w:val="463C316B"/>
    <w:rsid w:val="464E7701"/>
    <w:rsid w:val="464F76A7"/>
    <w:rsid w:val="465379BE"/>
    <w:rsid w:val="465A7B62"/>
    <w:rsid w:val="465A7E70"/>
    <w:rsid w:val="466864CB"/>
    <w:rsid w:val="466F0E0C"/>
    <w:rsid w:val="466F6BC5"/>
    <w:rsid w:val="468872E0"/>
    <w:rsid w:val="469320F9"/>
    <w:rsid w:val="469A4C14"/>
    <w:rsid w:val="469C64C9"/>
    <w:rsid w:val="46AE1A2F"/>
    <w:rsid w:val="46B333F3"/>
    <w:rsid w:val="46B40727"/>
    <w:rsid w:val="46B447B7"/>
    <w:rsid w:val="46B835CE"/>
    <w:rsid w:val="46BC6685"/>
    <w:rsid w:val="46BC791E"/>
    <w:rsid w:val="46C45BE7"/>
    <w:rsid w:val="46CA0DB1"/>
    <w:rsid w:val="46D01A62"/>
    <w:rsid w:val="46D16954"/>
    <w:rsid w:val="46D54904"/>
    <w:rsid w:val="46D919C0"/>
    <w:rsid w:val="46EC072B"/>
    <w:rsid w:val="46EC7579"/>
    <w:rsid w:val="46EF7C20"/>
    <w:rsid w:val="46FF0D59"/>
    <w:rsid w:val="470110B5"/>
    <w:rsid w:val="47013507"/>
    <w:rsid w:val="47095F17"/>
    <w:rsid w:val="470B6133"/>
    <w:rsid w:val="470D5A07"/>
    <w:rsid w:val="470E139A"/>
    <w:rsid w:val="47150D60"/>
    <w:rsid w:val="47167E24"/>
    <w:rsid w:val="472114B3"/>
    <w:rsid w:val="472526F3"/>
    <w:rsid w:val="472B3719"/>
    <w:rsid w:val="47413903"/>
    <w:rsid w:val="474C4649"/>
    <w:rsid w:val="474D5F2F"/>
    <w:rsid w:val="475B2E30"/>
    <w:rsid w:val="476601E2"/>
    <w:rsid w:val="476A62A3"/>
    <w:rsid w:val="476F4C43"/>
    <w:rsid w:val="4770188D"/>
    <w:rsid w:val="47737835"/>
    <w:rsid w:val="477A1AFF"/>
    <w:rsid w:val="477E1687"/>
    <w:rsid w:val="477F6597"/>
    <w:rsid w:val="4781088A"/>
    <w:rsid w:val="47847A1B"/>
    <w:rsid w:val="4786176C"/>
    <w:rsid w:val="47870D52"/>
    <w:rsid w:val="47931A85"/>
    <w:rsid w:val="479672F6"/>
    <w:rsid w:val="47984FB8"/>
    <w:rsid w:val="47A13697"/>
    <w:rsid w:val="47A85C25"/>
    <w:rsid w:val="47AB7DE6"/>
    <w:rsid w:val="47B52F22"/>
    <w:rsid w:val="47B64420"/>
    <w:rsid w:val="47C61C84"/>
    <w:rsid w:val="47CB7671"/>
    <w:rsid w:val="47D26C51"/>
    <w:rsid w:val="47F6293F"/>
    <w:rsid w:val="47FC5A7C"/>
    <w:rsid w:val="48075175"/>
    <w:rsid w:val="48137C88"/>
    <w:rsid w:val="481728B6"/>
    <w:rsid w:val="48176A06"/>
    <w:rsid w:val="4818364E"/>
    <w:rsid w:val="481C22CA"/>
    <w:rsid w:val="481D6164"/>
    <w:rsid w:val="482476E5"/>
    <w:rsid w:val="482C64EE"/>
    <w:rsid w:val="482E032B"/>
    <w:rsid w:val="482E56D4"/>
    <w:rsid w:val="48314631"/>
    <w:rsid w:val="483376F0"/>
    <w:rsid w:val="48362D3C"/>
    <w:rsid w:val="4840749F"/>
    <w:rsid w:val="48417B5D"/>
    <w:rsid w:val="48445826"/>
    <w:rsid w:val="484B139E"/>
    <w:rsid w:val="484C1A40"/>
    <w:rsid w:val="4852144C"/>
    <w:rsid w:val="48555347"/>
    <w:rsid w:val="486423EC"/>
    <w:rsid w:val="486C3A2F"/>
    <w:rsid w:val="487C7152"/>
    <w:rsid w:val="48831EEE"/>
    <w:rsid w:val="4887374C"/>
    <w:rsid w:val="4889491F"/>
    <w:rsid w:val="488F069E"/>
    <w:rsid w:val="48902DDD"/>
    <w:rsid w:val="48943CD0"/>
    <w:rsid w:val="489460C1"/>
    <w:rsid w:val="489826C0"/>
    <w:rsid w:val="489A62D3"/>
    <w:rsid w:val="48B325DE"/>
    <w:rsid w:val="48B6497B"/>
    <w:rsid w:val="48C90054"/>
    <w:rsid w:val="48DB0784"/>
    <w:rsid w:val="48E56F59"/>
    <w:rsid w:val="48EC694D"/>
    <w:rsid w:val="48ED77EE"/>
    <w:rsid w:val="48F30C2D"/>
    <w:rsid w:val="48F657F7"/>
    <w:rsid w:val="48F826E7"/>
    <w:rsid w:val="48FB3257"/>
    <w:rsid w:val="49000BF8"/>
    <w:rsid w:val="490D3A4C"/>
    <w:rsid w:val="49131411"/>
    <w:rsid w:val="49132E8D"/>
    <w:rsid w:val="49226B34"/>
    <w:rsid w:val="49243CF5"/>
    <w:rsid w:val="49253068"/>
    <w:rsid w:val="49265F11"/>
    <w:rsid w:val="49290AF3"/>
    <w:rsid w:val="492A1C73"/>
    <w:rsid w:val="492D0E31"/>
    <w:rsid w:val="4930671C"/>
    <w:rsid w:val="493201F1"/>
    <w:rsid w:val="493261BB"/>
    <w:rsid w:val="4934536D"/>
    <w:rsid w:val="493707D2"/>
    <w:rsid w:val="49394D11"/>
    <w:rsid w:val="4941595A"/>
    <w:rsid w:val="49415E3C"/>
    <w:rsid w:val="494A6B61"/>
    <w:rsid w:val="49577434"/>
    <w:rsid w:val="49673602"/>
    <w:rsid w:val="496E56FA"/>
    <w:rsid w:val="496F29A9"/>
    <w:rsid w:val="49713534"/>
    <w:rsid w:val="49726ECB"/>
    <w:rsid w:val="49753D38"/>
    <w:rsid w:val="497957F5"/>
    <w:rsid w:val="497C5FA8"/>
    <w:rsid w:val="497F6025"/>
    <w:rsid w:val="49821DFA"/>
    <w:rsid w:val="49873416"/>
    <w:rsid w:val="498E22BC"/>
    <w:rsid w:val="499917D4"/>
    <w:rsid w:val="49997E5B"/>
    <w:rsid w:val="499B7C3A"/>
    <w:rsid w:val="49A10B52"/>
    <w:rsid w:val="49A32138"/>
    <w:rsid w:val="49A3569E"/>
    <w:rsid w:val="49AE3A98"/>
    <w:rsid w:val="49B079F2"/>
    <w:rsid w:val="49B27865"/>
    <w:rsid w:val="49B54904"/>
    <w:rsid w:val="49BC3715"/>
    <w:rsid w:val="49C5081B"/>
    <w:rsid w:val="49CA5465"/>
    <w:rsid w:val="49D44D08"/>
    <w:rsid w:val="49D46CB0"/>
    <w:rsid w:val="49D82BA4"/>
    <w:rsid w:val="49E072CF"/>
    <w:rsid w:val="49E371FF"/>
    <w:rsid w:val="49E54A1A"/>
    <w:rsid w:val="49E57110"/>
    <w:rsid w:val="49E94D38"/>
    <w:rsid w:val="49FA19E2"/>
    <w:rsid w:val="49FD7C2E"/>
    <w:rsid w:val="49FE5ADB"/>
    <w:rsid w:val="4A0564BF"/>
    <w:rsid w:val="4A077FAD"/>
    <w:rsid w:val="4A0C558A"/>
    <w:rsid w:val="4A0F2FD1"/>
    <w:rsid w:val="4A203C21"/>
    <w:rsid w:val="4A254D39"/>
    <w:rsid w:val="4A351F3C"/>
    <w:rsid w:val="4A3A65E7"/>
    <w:rsid w:val="4A3C0443"/>
    <w:rsid w:val="4A46208E"/>
    <w:rsid w:val="4A4717D6"/>
    <w:rsid w:val="4A4831FA"/>
    <w:rsid w:val="4A4B0597"/>
    <w:rsid w:val="4A536D2D"/>
    <w:rsid w:val="4A54394D"/>
    <w:rsid w:val="4A5F207E"/>
    <w:rsid w:val="4A73273F"/>
    <w:rsid w:val="4A7F554B"/>
    <w:rsid w:val="4A873D23"/>
    <w:rsid w:val="4A9A0E78"/>
    <w:rsid w:val="4A9B3185"/>
    <w:rsid w:val="4AB465F4"/>
    <w:rsid w:val="4AB62A48"/>
    <w:rsid w:val="4AB9317C"/>
    <w:rsid w:val="4AB979F8"/>
    <w:rsid w:val="4ABC38B5"/>
    <w:rsid w:val="4AC60559"/>
    <w:rsid w:val="4ACD7D86"/>
    <w:rsid w:val="4AD0055A"/>
    <w:rsid w:val="4AD53437"/>
    <w:rsid w:val="4AD56A02"/>
    <w:rsid w:val="4AD847E8"/>
    <w:rsid w:val="4ADA4D79"/>
    <w:rsid w:val="4ADD13DB"/>
    <w:rsid w:val="4ADD2935"/>
    <w:rsid w:val="4AF23074"/>
    <w:rsid w:val="4AF50041"/>
    <w:rsid w:val="4AFE2A81"/>
    <w:rsid w:val="4B0709C0"/>
    <w:rsid w:val="4B0B04B0"/>
    <w:rsid w:val="4B0C2889"/>
    <w:rsid w:val="4B100CDF"/>
    <w:rsid w:val="4B133808"/>
    <w:rsid w:val="4B140463"/>
    <w:rsid w:val="4B1E6FC0"/>
    <w:rsid w:val="4B281360"/>
    <w:rsid w:val="4B3049EF"/>
    <w:rsid w:val="4B3C2C6E"/>
    <w:rsid w:val="4B3D4240"/>
    <w:rsid w:val="4B436067"/>
    <w:rsid w:val="4B4F09A3"/>
    <w:rsid w:val="4B503EB8"/>
    <w:rsid w:val="4B5327D6"/>
    <w:rsid w:val="4B6C4E96"/>
    <w:rsid w:val="4B737E6C"/>
    <w:rsid w:val="4B750ACE"/>
    <w:rsid w:val="4B7F6330"/>
    <w:rsid w:val="4B8D57FB"/>
    <w:rsid w:val="4B95421D"/>
    <w:rsid w:val="4B9663E0"/>
    <w:rsid w:val="4B9C5D39"/>
    <w:rsid w:val="4BA3693A"/>
    <w:rsid w:val="4BA620A8"/>
    <w:rsid w:val="4BA83C82"/>
    <w:rsid w:val="4BA944EE"/>
    <w:rsid w:val="4BB36C56"/>
    <w:rsid w:val="4BB72FEE"/>
    <w:rsid w:val="4BC2486B"/>
    <w:rsid w:val="4BC468B1"/>
    <w:rsid w:val="4BCB17D4"/>
    <w:rsid w:val="4BCD7A03"/>
    <w:rsid w:val="4BCE17C4"/>
    <w:rsid w:val="4BDB487F"/>
    <w:rsid w:val="4BDF2AE3"/>
    <w:rsid w:val="4BE57FBE"/>
    <w:rsid w:val="4BEB3D68"/>
    <w:rsid w:val="4BF43230"/>
    <w:rsid w:val="4BF54305"/>
    <w:rsid w:val="4BFA764F"/>
    <w:rsid w:val="4C0E30F8"/>
    <w:rsid w:val="4C101538"/>
    <w:rsid w:val="4C166617"/>
    <w:rsid w:val="4C174E08"/>
    <w:rsid w:val="4C18775B"/>
    <w:rsid w:val="4C222DEA"/>
    <w:rsid w:val="4C234AEB"/>
    <w:rsid w:val="4C236007"/>
    <w:rsid w:val="4C261FBC"/>
    <w:rsid w:val="4C2B73C6"/>
    <w:rsid w:val="4C2E397F"/>
    <w:rsid w:val="4C312198"/>
    <w:rsid w:val="4C323015"/>
    <w:rsid w:val="4C354E3E"/>
    <w:rsid w:val="4C365A66"/>
    <w:rsid w:val="4C380987"/>
    <w:rsid w:val="4C3C7AE4"/>
    <w:rsid w:val="4C4C5914"/>
    <w:rsid w:val="4C507ECC"/>
    <w:rsid w:val="4C525334"/>
    <w:rsid w:val="4C573224"/>
    <w:rsid w:val="4C5872A2"/>
    <w:rsid w:val="4C690591"/>
    <w:rsid w:val="4C6D519A"/>
    <w:rsid w:val="4C6F0B71"/>
    <w:rsid w:val="4C730EFA"/>
    <w:rsid w:val="4C7B3018"/>
    <w:rsid w:val="4C8521CC"/>
    <w:rsid w:val="4C8C3872"/>
    <w:rsid w:val="4C921676"/>
    <w:rsid w:val="4C9E1AD8"/>
    <w:rsid w:val="4CA2395D"/>
    <w:rsid w:val="4CAA446A"/>
    <w:rsid w:val="4CAF7E54"/>
    <w:rsid w:val="4CB01F1E"/>
    <w:rsid w:val="4CB03124"/>
    <w:rsid w:val="4CB54D42"/>
    <w:rsid w:val="4CB84F49"/>
    <w:rsid w:val="4CBB2D0F"/>
    <w:rsid w:val="4CC0377D"/>
    <w:rsid w:val="4CC11DA5"/>
    <w:rsid w:val="4CC21E59"/>
    <w:rsid w:val="4CC21E65"/>
    <w:rsid w:val="4CC72AFC"/>
    <w:rsid w:val="4CCD0F5C"/>
    <w:rsid w:val="4CE50BA4"/>
    <w:rsid w:val="4CE974A6"/>
    <w:rsid w:val="4CF17B79"/>
    <w:rsid w:val="4CF202C6"/>
    <w:rsid w:val="4CF42007"/>
    <w:rsid w:val="4CF77A2A"/>
    <w:rsid w:val="4CF92C0D"/>
    <w:rsid w:val="4CF93734"/>
    <w:rsid w:val="4CFB4EA2"/>
    <w:rsid w:val="4CFB75ED"/>
    <w:rsid w:val="4D0002E6"/>
    <w:rsid w:val="4D041F16"/>
    <w:rsid w:val="4D063750"/>
    <w:rsid w:val="4D0756E3"/>
    <w:rsid w:val="4D0F5B3A"/>
    <w:rsid w:val="4D186EB4"/>
    <w:rsid w:val="4D197D00"/>
    <w:rsid w:val="4D210B39"/>
    <w:rsid w:val="4D3006A2"/>
    <w:rsid w:val="4D37381C"/>
    <w:rsid w:val="4D412E74"/>
    <w:rsid w:val="4D4A36B5"/>
    <w:rsid w:val="4D4B086D"/>
    <w:rsid w:val="4D4B1887"/>
    <w:rsid w:val="4D50664E"/>
    <w:rsid w:val="4D57234C"/>
    <w:rsid w:val="4D5A0EB4"/>
    <w:rsid w:val="4D5A1E73"/>
    <w:rsid w:val="4D5B29BC"/>
    <w:rsid w:val="4D682100"/>
    <w:rsid w:val="4D6C176B"/>
    <w:rsid w:val="4D7115B7"/>
    <w:rsid w:val="4D746345"/>
    <w:rsid w:val="4D77007F"/>
    <w:rsid w:val="4D7B4020"/>
    <w:rsid w:val="4D7F24F7"/>
    <w:rsid w:val="4D8815F4"/>
    <w:rsid w:val="4D8913BD"/>
    <w:rsid w:val="4D8D6D83"/>
    <w:rsid w:val="4D8F443A"/>
    <w:rsid w:val="4D910009"/>
    <w:rsid w:val="4D9635BE"/>
    <w:rsid w:val="4DA3249D"/>
    <w:rsid w:val="4DA771A7"/>
    <w:rsid w:val="4DA8591C"/>
    <w:rsid w:val="4DAD5F22"/>
    <w:rsid w:val="4DB86553"/>
    <w:rsid w:val="4DB97CBA"/>
    <w:rsid w:val="4DBF0A7C"/>
    <w:rsid w:val="4DC13C3C"/>
    <w:rsid w:val="4DC4512F"/>
    <w:rsid w:val="4DCE4D9D"/>
    <w:rsid w:val="4DDE14C0"/>
    <w:rsid w:val="4DDF3438"/>
    <w:rsid w:val="4DE95D76"/>
    <w:rsid w:val="4DF814C5"/>
    <w:rsid w:val="4E0663C2"/>
    <w:rsid w:val="4E0A7BCE"/>
    <w:rsid w:val="4E0C2647"/>
    <w:rsid w:val="4E0D02BE"/>
    <w:rsid w:val="4E102281"/>
    <w:rsid w:val="4E104091"/>
    <w:rsid w:val="4E145E9A"/>
    <w:rsid w:val="4E156CD7"/>
    <w:rsid w:val="4E1E69DF"/>
    <w:rsid w:val="4E261AA5"/>
    <w:rsid w:val="4E3745FA"/>
    <w:rsid w:val="4E38711A"/>
    <w:rsid w:val="4E3D5AEC"/>
    <w:rsid w:val="4E4B52AB"/>
    <w:rsid w:val="4E610689"/>
    <w:rsid w:val="4E690CF9"/>
    <w:rsid w:val="4E696EE0"/>
    <w:rsid w:val="4E6B0072"/>
    <w:rsid w:val="4E726A98"/>
    <w:rsid w:val="4E7C4EA3"/>
    <w:rsid w:val="4E7D22C8"/>
    <w:rsid w:val="4E833C53"/>
    <w:rsid w:val="4E923772"/>
    <w:rsid w:val="4EA91F16"/>
    <w:rsid w:val="4EAF3848"/>
    <w:rsid w:val="4EB317F5"/>
    <w:rsid w:val="4EC067EC"/>
    <w:rsid w:val="4EC24D4C"/>
    <w:rsid w:val="4EC340C0"/>
    <w:rsid w:val="4ECA7DC8"/>
    <w:rsid w:val="4ED25047"/>
    <w:rsid w:val="4ED2596D"/>
    <w:rsid w:val="4EDF5896"/>
    <w:rsid w:val="4EE73F3E"/>
    <w:rsid w:val="4EF2312D"/>
    <w:rsid w:val="4EF33224"/>
    <w:rsid w:val="4EF75B01"/>
    <w:rsid w:val="4F003C93"/>
    <w:rsid w:val="4F065331"/>
    <w:rsid w:val="4F1830F5"/>
    <w:rsid w:val="4F243254"/>
    <w:rsid w:val="4F245FE4"/>
    <w:rsid w:val="4F262973"/>
    <w:rsid w:val="4F2A4D76"/>
    <w:rsid w:val="4F2E627E"/>
    <w:rsid w:val="4F356B86"/>
    <w:rsid w:val="4F3A3862"/>
    <w:rsid w:val="4F4917F6"/>
    <w:rsid w:val="4F4B60E3"/>
    <w:rsid w:val="4F4D3F8F"/>
    <w:rsid w:val="4F4E0C56"/>
    <w:rsid w:val="4F5251F2"/>
    <w:rsid w:val="4F5654B7"/>
    <w:rsid w:val="4F640592"/>
    <w:rsid w:val="4F691D8D"/>
    <w:rsid w:val="4F730DF2"/>
    <w:rsid w:val="4F732E4E"/>
    <w:rsid w:val="4F773C19"/>
    <w:rsid w:val="4F810E88"/>
    <w:rsid w:val="4F861262"/>
    <w:rsid w:val="4F8A0334"/>
    <w:rsid w:val="4F8B386F"/>
    <w:rsid w:val="4F9206E9"/>
    <w:rsid w:val="4F951FBE"/>
    <w:rsid w:val="4F9E7F1D"/>
    <w:rsid w:val="4FA677A1"/>
    <w:rsid w:val="4FA70478"/>
    <w:rsid w:val="4FB664D2"/>
    <w:rsid w:val="4FC02DD2"/>
    <w:rsid w:val="4FC02EB1"/>
    <w:rsid w:val="4FCC3F86"/>
    <w:rsid w:val="4FD47BF3"/>
    <w:rsid w:val="4FE27A52"/>
    <w:rsid w:val="4FE51AF2"/>
    <w:rsid w:val="4FF4529B"/>
    <w:rsid w:val="4FFF6EDC"/>
    <w:rsid w:val="4FFF73C1"/>
    <w:rsid w:val="500174DD"/>
    <w:rsid w:val="50081EA2"/>
    <w:rsid w:val="50145D74"/>
    <w:rsid w:val="502626F1"/>
    <w:rsid w:val="502B5D7A"/>
    <w:rsid w:val="502E33DE"/>
    <w:rsid w:val="502E59EE"/>
    <w:rsid w:val="504472BB"/>
    <w:rsid w:val="5047511F"/>
    <w:rsid w:val="50483F54"/>
    <w:rsid w:val="504A7CCC"/>
    <w:rsid w:val="504E088C"/>
    <w:rsid w:val="50527546"/>
    <w:rsid w:val="50616245"/>
    <w:rsid w:val="506434C6"/>
    <w:rsid w:val="50684BC6"/>
    <w:rsid w:val="507414CB"/>
    <w:rsid w:val="50812FC2"/>
    <w:rsid w:val="50850D04"/>
    <w:rsid w:val="50852AB2"/>
    <w:rsid w:val="508B3E41"/>
    <w:rsid w:val="50901457"/>
    <w:rsid w:val="50917A77"/>
    <w:rsid w:val="509D34CD"/>
    <w:rsid w:val="509E1DC6"/>
    <w:rsid w:val="50A05B3E"/>
    <w:rsid w:val="50A13664"/>
    <w:rsid w:val="50A31E41"/>
    <w:rsid w:val="50AA2519"/>
    <w:rsid w:val="50AB003F"/>
    <w:rsid w:val="50AE3023"/>
    <w:rsid w:val="50AE5B3E"/>
    <w:rsid w:val="50BE1EBB"/>
    <w:rsid w:val="50C41E3B"/>
    <w:rsid w:val="50C84035"/>
    <w:rsid w:val="50CB0A07"/>
    <w:rsid w:val="50CB4420"/>
    <w:rsid w:val="50D4666F"/>
    <w:rsid w:val="50D7500A"/>
    <w:rsid w:val="50DB101F"/>
    <w:rsid w:val="50EB7E70"/>
    <w:rsid w:val="50EC7761"/>
    <w:rsid w:val="50EE7D20"/>
    <w:rsid w:val="50F14C9C"/>
    <w:rsid w:val="50F35CDE"/>
    <w:rsid w:val="50F56409"/>
    <w:rsid w:val="50FD4D3F"/>
    <w:rsid w:val="51031C29"/>
    <w:rsid w:val="5104306A"/>
    <w:rsid w:val="51054616"/>
    <w:rsid w:val="510736BD"/>
    <w:rsid w:val="510B2771"/>
    <w:rsid w:val="510B29B7"/>
    <w:rsid w:val="510E6953"/>
    <w:rsid w:val="5115181C"/>
    <w:rsid w:val="511A5306"/>
    <w:rsid w:val="51226553"/>
    <w:rsid w:val="512A3D58"/>
    <w:rsid w:val="512E5610"/>
    <w:rsid w:val="512E7E3E"/>
    <w:rsid w:val="51302947"/>
    <w:rsid w:val="51350BB6"/>
    <w:rsid w:val="51413E72"/>
    <w:rsid w:val="51492FE2"/>
    <w:rsid w:val="514A721C"/>
    <w:rsid w:val="51527728"/>
    <w:rsid w:val="51582B61"/>
    <w:rsid w:val="5158775C"/>
    <w:rsid w:val="5160532C"/>
    <w:rsid w:val="51646B6C"/>
    <w:rsid w:val="516C04B7"/>
    <w:rsid w:val="516E747C"/>
    <w:rsid w:val="517933FA"/>
    <w:rsid w:val="517C7F19"/>
    <w:rsid w:val="517D6AA7"/>
    <w:rsid w:val="517F39A6"/>
    <w:rsid w:val="518014CC"/>
    <w:rsid w:val="51840494"/>
    <w:rsid w:val="5184360B"/>
    <w:rsid w:val="51860BDE"/>
    <w:rsid w:val="51863D3A"/>
    <w:rsid w:val="51A92492"/>
    <w:rsid w:val="51AA1D87"/>
    <w:rsid w:val="51AB0F2D"/>
    <w:rsid w:val="51AC001F"/>
    <w:rsid w:val="51AE41BE"/>
    <w:rsid w:val="51AF6AE1"/>
    <w:rsid w:val="51AF7BD9"/>
    <w:rsid w:val="51B00003"/>
    <w:rsid w:val="51B11B36"/>
    <w:rsid w:val="51B23CD2"/>
    <w:rsid w:val="51B4296E"/>
    <w:rsid w:val="51B86EB8"/>
    <w:rsid w:val="51BC0756"/>
    <w:rsid w:val="51BF1FF4"/>
    <w:rsid w:val="51C07B1A"/>
    <w:rsid w:val="51C57038"/>
    <w:rsid w:val="51CA13B1"/>
    <w:rsid w:val="51DB0414"/>
    <w:rsid w:val="51DC2377"/>
    <w:rsid w:val="51E01F6D"/>
    <w:rsid w:val="51E07ABD"/>
    <w:rsid w:val="51EE41DA"/>
    <w:rsid w:val="51EF6049"/>
    <w:rsid w:val="51FA728F"/>
    <w:rsid w:val="51FE1B20"/>
    <w:rsid w:val="51FF4AE6"/>
    <w:rsid w:val="52006DB9"/>
    <w:rsid w:val="520424E6"/>
    <w:rsid w:val="520E33F1"/>
    <w:rsid w:val="52100AA2"/>
    <w:rsid w:val="52157BA1"/>
    <w:rsid w:val="521D6CE7"/>
    <w:rsid w:val="52207600"/>
    <w:rsid w:val="52311B6D"/>
    <w:rsid w:val="52350508"/>
    <w:rsid w:val="52350A0D"/>
    <w:rsid w:val="523860FD"/>
    <w:rsid w:val="523B0E2D"/>
    <w:rsid w:val="52405EF5"/>
    <w:rsid w:val="524424F9"/>
    <w:rsid w:val="52457655"/>
    <w:rsid w:val="52516AE8"/>
    <w:rsid w:val="52522E68"/>
    <w:rsid w:val="526B0681"/>
    <w:rsid w:val="526F0FF4"/>
    <w:rsid w:val="5273373B"/>
    <w:rsid w:val="52794D53"/>
    <w:rsid w:val="527A0E1B"/>
    <w:rsid w:val="527B1DC7"/>
    <w:rsid w:val="527D5F08"/>
    <w:rsid w:val="52822BE5"/>
    <w:rsid w:val="52973B09"/>
    <w:rsid w:val="529D43D3"/>
    <w:rsid w:val="52A445CA"/>
    <w:rsid w:val="52AB0A8C"/>
    <w:rsid w:val="52B94C95"/>
    <w:rsid w:val="52BD736A"/>
    <w:rsid w:val="52C73962"/>
    <w:rsid w:val="52D15F58"/>
    <w:rsid w:val="52D3367C"/>
    <w:rsid w:val="52D7093D"/>
    <w:rsid w:val="52D95DD1"/>
    <w:rsid w:val="52DB10B0"/>
    <w:rsid w:val="52DF6845"/>
    <w:rsid w:val="52EC3761"/>
    <w:rsid w:val="52ED027A"/>
    <w:rsid w:val="52EF06B7"/>
    <w:rsid w:val="52F22F1A"/>
    <w:rsid w:val="52F821D4"/>
    <w:rsid w:val="52F85E79"/>
    <w:rsid w:val="52FD1678"/>
    <w:rsid w:val="53025EE6"/>
    <w:rsid w:val="53080896"/>
    <w:rsid w:val="530F4929"/>
    <w:rsid w:val="53115F8A"/>
    <w:rsid w:val="531811AE"/>
    <w:rsid w:val="53364538"/>
    <w:rsid w:val="53371B23"/>
    <w:rsid w:val="53385F9B"/>
    <w:rsid w:val="533B1B4E"/>
    <w:rsid w:val="533D4580"/>
    <w:rsid w:val="533D7674"/>
    <w:rsid w:val="53400BC4"/>
    <w:rsid w:val="534266DA"/>
    <w:rsid w:val="53452DF2"/>
    <w:rsid w:val="534B222D"/>
    <w:rsid w:val="535350A5"/>
    <w:rsid w:val="53566988"/>
    <w:rsid w:val="535944F1"/>
    <w:rsid w:val="536308BD"/>
    <w:rsid w:val="53634C01"/>
    <w:rsid w:val="536C59FA"/>
    <w:rsid w:val="536D1715"/>
    <w:rsid w:val="53721B3A"/>
    <w:rsid w:val="53760DD8"/>
    <w:rsid w:val="5377546E"/>
    <w:rsid w:val="537F7CB1"/>
    <w:rsid w:val="538116B2"/>
    <w:rsid w:val="538434F5"/>
    <w:rsid w:val="53853717"/>
    <w:rsid w:val="538D5E9A"/>
    <w:rsid w:val="5398325F"/>
    <w:rsid w:val="53A015F3"/>
    <w:rsid w:val="53A5219C"/>
    <w:rsid w:val="53BA1755"/>
    <w:rsid w:val="53C0501B"/>
    <w:rsid w:val="53CB78EE"/>
    <w:rsid w:val="53D24CE6"/>
    <w:rsid w:val="53D3130C"/>
    <w:rsid w:val="53DD74CF"/>
    <w:rsid w:val="53E2021C"/>
    <w:rsid w:val="53E25515"/>
    <w:rsid w:val="53E63994"/>
    <w:rsid w:val="53E64C98"/>
    <w:rsid w:val="53EC4BF7"/>
    <w:rsid w:val="53F302ED"/>
    <w:rsid w:val="53FD32A8"/>
    <w:rsid w:val="54014506"/>
    <w:rsid w:val="54014BAD"/>
    <w:rsid w:val="540F767A"/>
    <w:rsid w:val="541025FD"/>
    <w:rsid w:val="541F37B3"/>
    <w:rsid w:val="54221194"/>
    <w:rsid w:val="542D2415"/>
    <w:rsid w:val="542D4C29"/>
    <w:rsid w:val="542E6EC5"/>
    <w:rsid w:val="54367068"/>
    <w:rsid w:val="543829AA"/>
    <w:rsid w:val="54462559"/>
    <w:rsid w:val="544700E1"/>
    <w:rsid w:val="545253A1"/>
    <w:rsid w:val="545604BA"/>
    <w:rsid w:val="545648C6"/>
    <w:rsid w:val="5463310B"/>
    <w:rsid w:val="546D35EA"/>
    <w:rsid w:val="54737A6F"/>
    <w:rsid w:val="547D68CB"/>
    <w:rsid w:val="547E1A99"/>
    <w:rsid w:val="547F76A3"/>
    <w:rsid w:val="54812A39"/>
    <w:rsid w:val="54863830"/>
    <w:rsid w:val="548D7900"/>
    <w:rsid w:val="548E16E5"/>
    <w:rsid w:val="54910DA9"/>
    <w:rsid w:val="54942314"/>
    <w:rsid w:val="54A109EB"/>
    <w:rsid w:val="54A64A95"/>
    <w:rsid w:val="54A9725D"/>
    <w:rsid w:val="54B03BE2"/>
    <w:rsid w:val="54B57332"/>
    <w:rsid w:val="54BF40B9"/>
    <w:rsid w:val="54CE2E8F"/>
    <w:rsid w:val="54CE6C43"/>
    <w:rsid w:val="54DD715B"/>
    <w:rsid w:val="54E104D3"/>
    <w:rsid w:val="54E40912"/>
    <w:rsid w:val="54E748AD"/>
    <w:rsid w:val="54EB4E0F"/>
    <w:rsid w:val="54F83254"/>
    <w:rsid w:val="55057E5B"/>
    <w:rsid w:val="550814C5"/>
    <w:rsid w:val="55181CDF"/>
    <w:rsid w:val="553A38B0"/>
    <w:rsid w:val="553A7C67"/>
    <w:rsid w:val="554242CF"/>
    <w:rsid w:val="55466588"/>
    <w:rsid w:val="5548591B"/>
    <w:rsid w:val="554E5211"/>
    <w:rsid w:val="555005A6"/>
    <w:rsid w:val="5552106E"/>
    <w:rsid w:val="55592760"/>
    <w:rsid w:val="556C5FEF"/>
    <w:rsid w:val="55701340"/>
    <w:rsid w:val="55707E52"/>
    <w:rsid w:val="55954D4F"/>
    <w:rsid w:val="55996C5F"/>
    <w:rsid w:val="559B711C"/>
    <w:rsid w:val="55AD6E73"/>
    <w:rsid w:val="55B654BC"/>
    <w:rsid w:val="55B97623"/>
    <w:rsid w:val="55C91DD3"/>
    <w:rsid w:val="55CA251B"/>
    <w:rsid w:val="55CB161C"/>
    <w:rsid w:val="55CC253A"/>
    <w:rsid w:val="55DF6F62"/>
    <w:rsid w:val="55ED773E"/>
    <w:rsid w:val="55EF09CE"/>
    <w:rsid w:val="55F109BE"/>
    <w:rsid w:val="55F45FE4"/>
    <w:rsid w:val="55FE4CAD"/>
    <w:rsid w:val="560D0C84"/>
    <w:rsid w:val="560D4917"/>
    <w:rsid w:val="560F514A"/>
    <w:rsid w:val="56102784"/>
    <w:rsid w:val="56124584"/>
    <w:rsid w:val="561623FF"/>
    <w:rsid w:val="561679DE"/>
    <w:rsid w:val="56175D37"/>
    <w:rsid w:val="561D19DF"/>
    <w:rsid w:val="561D5297"/>
    <w:rsid w:val="561E0B74"/>
    <w:rsid w:val="562051D2"/>
    <w:rsid w:val="5620704A"/>
    <w:rsid w:val="562C076C"/>
    <w:rsid w:val="562C542C"/>
    <w:rsid w:val="56358EA3"/>
    <w:rsid w:val="564A64D2"/>
    <w:rsid w:val="565A5989"/>
    <w:rsid w:val="565F147D"/>
    <w:rsid w:val="566E4C3C"/>
    <w:rsid w:val="56730465"/>
    <w:rsid w:val="56752C35"/>
    <w:rsid w:val="56815ACA"/>
    <w:rsid w:val="56837877"/>
    <w:rsid w:val="56861332"/>
    <w:rsid w:val="56874AB0"/>
    <w:rsid w:val="568B4369"/>
    <w:rsid w:val="568C1CC1"/>
    <w:rsid w:val="568D48D7"/>
    <w:rsid w:val="56927DAE"/>
    <w:rsid w:val="56A33C92"/>
    <w:rsid w:val="56A812A9"/>
    <w:rsid w:val="56AD4F90"/>
    <w:rsid w:val="56B57E6A"/>
    <w:rsid w:val="56BD1CA9"/>
    <w:rsid w:val="56BD2018"/>
    <w:rsid w:val="56C525A5"/>
    <w:rsid w:val="56CC5D46"/>
    <w:rsid w:val="56D305DF"/>
    <w:rsid w:val="56D649C0"/>
    <w:rsid w:val="56E72911"/>
    <w:rsid w:val="56E76C4A"/>
    <w:rsid w:val="56E90AAC"/>
    <w:rsid w:val="56EF38D7"/>
    <w:rsid w:val="56F736FD"/>
    <w:rsid w:val="56FA2DF1"/>
    <w:rsid w:val="56FA5830"/>
    <w:rsid w:val="56FC059E"/>
    <w:rsid w:val="570008F3"/>
    <w:rsid w:val="570A442A"/>
    <w:rsid w:val="570E6D7E"/>
    <w:rsid w:val="571222F7"/>
    <w:rsid w:val="571C4E5F"/>
    <w:rsid w:val="571D2CB4"/>
    <w:rsid w:val="57262C8E"/>
    <w:rsid w:val="572B4585"/>
    <w:rsid w:val="572F7DD8"/>
    <w:rsid w:val="5734018A"/>
    <w:rsid w:val="5737178B"/>
    <w:rsid w:val="573B211D"/>
    <w:rsid w:val="573F6ACC"/>
    <w:rsid w:val="574F273A"/>
    <w:rsid w:val="574F7588"/>
    <w:rsid w:val="57516D9A"/>
    <w:rsid w:val="57540EF0"/>
    <w:rsid w:val="575431DF"/>
    <w:rsid w:val="575A28DF"/>
    <w:rsid w:val="575F662C"/>
    <w:rsid w:val="57621DD9"/>
    <w:rsid w:val="57682AA0"/>
    <w:rsid w:val="576A47B0"/>
    <w:rsid w:val="577262C7"/>
    <w:rsid w:val="577350E1"/>
    <w:rsid w:val="577B12F1"/>
    <w:rsid w:val="577D79E1"/>
    <w:rsid w:val="5782751E"/>
    <w:rsid w:val="57827D4C"/>
    <w:rsid w:val="57850648"/>
    <w:rsid w:val="57882A6F"/>
    <w:rsid w:val="578E643E"/>
    <w:rsid w:val="578F58C0"/>
    <w:rsid w:val="57945C9E"/>
    <w:rsid w:val="579C6A54"/>
    <w:rsid w:val="57A001D2"/>
    <w:rsid w:val="57A03B83"/>
    <w:rsid w:val="57B618C8"/>
    <w:rsid w:val="57B71413"/>
    <w:rsid w:val="57BA41AE"/>
    <w:rsid w:val="57D52BE5"/>
    <w:rsid w:val="57D92BBE"/>
    <w:rsid w:val="57DD7758"/>
    <w:rsid w:val="57E72222"/>
    <w:rsid w:val="57ED6A3A"/>
    <w:rsid w:val="57F64296"/>
    <w:rsid w:val="57FF4BCF"/>
    <w:rsid w:val="58021AD1"/>
    <w:rsid w:val="5802505B"/>
    <w:rsid w:val="580940DC"/>
    <w:rsid w:val="580A3F2B"/>
    <w:rsid w:val="580E3B22"/>
    <w:rsid w:val="581A38B8"/>
    <w:rsid w:val="581C534A"/>
    <w:rsid w:val="582C1BB1"/>
    <w:rsid w:val="58320458"/>
    <w:rsid w:val="58330558"/>
    <w:rsid w:val="583E487B"/>
    <w:rsid w:val="584828F1"/>
    <w:rsid w:val="58627661"/>
    <w:rsid w:val="586351B5"/>
    <w:rsid w:val="58637402"/>
    <w:rsid w:val="58646F13"/>
    <w:rsid w:val="586A3274"/>
    <w:rsid w:val="586A6997"/>
    <w:rsid w:val="586D629F"/>
    <w:rsid w:val="586D7199"/>
    <w:rsid w:val="58720F97"/>
    <w:rsid w:val="587F7111"/>
    <w:rsid w:val="58875765"/>
    <w:rsid w:val="588876ED"/>
    <w:rsid w:val="588D2EE9"/>
    <w:rsid w:val="58905AE7"/>
    <w:rsid w:val="58941B53"/>
    <w:rsid w:val="58951D01"/>
    <w:rsid w:val="589A10C5"/>
    <w:rsid w:val="58A57D62"/>
    <w:rsid w:val="58A64F32"/>
    <w:rsid w:val="58A768B9"/>
    <w:rsid w:val="58AC5B27"/>
    <w:rsid w:val="58B423A5"/>
    <w:rsid w:val="58B50DCE"/>
    <w:rsid w:val="58B7445E"/>
    <w:rsid w:val="58B97D56"/>
    <w:rsid w:val="58BF28DA"/>
    <w:rsid w:val="58C35115"/>
    <w:rsid w:val="58C43F0F"/>
    <w:rsid w:val="58C9355E"/>
    <w:rsid w:val="58C979CA"/>
    <w:rsid w:val="58CE203A"/>
    <w:rsid w:val="58DC3FFB"/>
    <w:rsid w:val="58DF268A"/>
    <w:rsid w:val="58E16EAD"/>
    <w:rsid w:val="58EA0F2A"/>
    <w:rsid w:val="58ED4DAF"/>
    <w:rsid w:val="58F07E07"/>
    <w:rsid w:val="590751BB"/>
    <w:rsid w:val="591A55A8"/>
    <w:rsid w:val="591A6DB7"/>
    <w:rsid w:val="591A78B6"/>
    <w:rsid w:val="59200A8D"/>
    <w:rsid w:val="59275746"/>
    <w:rsid w:val="592F660C"/>
    <w:rsid w:val="5930635B"/>
    <w:rsid w:val="5932754F"/>
    <w:rsid w:val="593300AD"/>
    <w:rsid w:val="593B529B"/>
    <w:rsid w:val="594E5AF8"/>
    <w:rsid w:val="59545718"/>
    <w:rsid w:val="59572197"/>
    <w:rsid w:val="595A6F60"/>
    <w:rsid w:val="595C08BA"/>
    <w:rsid w:val="59611920"/>
    <w:rsid w:val="59635967"/>
    <w:rsid w:val="59722AEE"/>
    <w:rsid w:val="59732382"/>
    <w:rsid w:val="597747CB"/>
    <w:rsid w:val="59793D78"/>
    <w:rsid w:val="597D0F76"/>
    <w:rsid w:val="59865A35"/>
    <w:rsid w:val="59901E38"/>
    <w:rsid w:val="59921DEF"/>
    <w:rsid w:val="599A6324"/>
    <w:rsid w:val="599B09C5"/>
    <w:rsid w:val="599D3B2C"/>
    <w:rsid w:val="59A22726"/>
    <w:rsid w:val="59A57D21"/>
    <w:rsid w:val="59A85A64"/>
    <w:rsid w:val="59A87812"/>
    <w:rsid w:val="59B633B9"/>
    <w:rsid w:val="59BB7545"/>
    <w:rsid w:val="59D81380"/>
    <w:rsid w:val="59D81EA5"/>
    <w:rsid w:val="59E46CB0"/>
    <w:rsid w:val="59E637FA"/>
    <w:rsid w:val="59EB1A75"/>
    <w:rsid w:val="59ED765A"/>
    <w:rsid w:val="59F13ECB"/>
    <w:rsid w:val="59FD3754"/>
    <w:rsid w:val="59FD41C0"/>
    <w:rsid w:val="59FF6F37"/>
    <w:rsid w:val="5A012372"/>
    <w:rsid w:val="5A015B0C"/>
    <w:rsid w:val="5A0459E2"/>
    <w:rsid w:val="5A082CB7"/>
    <w:rsid w:val="5A123DA4"/>
    <w:rsid w:val="5A196377"/>
    <w:rsid w:val="5A1A6BE7"/>
    <w:rsid w:val="5A20384C"/>
    <w:rsid w:val="5A2807A4"/>
    <w:rsid w:val="5A3258A6"/>
    <w:rsid w:val="5A3A51EB"/>
    <w:rsid w:val="5A421A14"/>
    <w:rsid w:val="5A434E0E"/>
    <w:rsid w:val="5A4558BF"/>
    <w:rsid w:val="5A47082A"/>
    <w:rsid w:val="5A523D62"/>
    <w:rsid w:val="5A587151"/>
    <w:rsid w:val="5A64198B"/>
    <w:rsid w:val="5A6B0F6B"/>
    <w:rsid w:val="5A783688"/>
    <w:rsid w:val="5A7E7FA0"/>
    <w:rsid w:val="5A852969"/>
    <w:rsid w:val="5A8F6F97"/>
    <w:rsid w:val="5A912AFF"/>
    <w:rsid w:val="5A9245F9"/>
    <w:rsid w:val="5A955A40"/>
    <w:rsid w:val="5AA04591"/>
    <w:rsid w:val="5AA31776"/>
    <w:rsid w:val="5AB37EBE"/>
    <w:rsid w:val="5AB836A4"/>
    <w:rsid w:val="5ABB6369"/>
    <w:rsid w:val="5AC769FA"/>
    <w:rsid w:val="5ACC432E"/>
    <w:rsid w:val="5AD160A9"/>
    <w:rsid w:val="5ADC59C5"/>
    <w:rsid w:val="5AE151B2"/>
    <w:rsid w:val="5AF0323A"/>
    <w:rsid w:val="5AF32C10"/>
    <w:rsid w:val="5B012FEF"/>
    <w:rsid w:val="5B096D18"/>
    <w:rsid w:val="5B0D5732"/>
    <w:rsid w:val="5B1558C6"/>
    <w:rsid w:val="5B182B9D"/>
    <w:rsid w:val="5B1D739E"/>
    <w:rsid w:val="5B24736C"/>
    <w:rsid w:val="5B281A9A"/>
    <w:rsid w:val="5B2A48D4"/>
    <w:rsid w:val="5B3338A7"/>
    <w:rsid w:val="5B4302A8"/>
    <w:rsid w:val="5B435F5F"/>
    <w:rsid w:val="5B523C61"/>
    <w:rsid w:val="5B53157B"/>
    <w:rsid w:val="5B542EF2"/>
    <w:rsid w:val="5B607761"/>
    <w:rsid w:val="5B637E94"/>
    <w:rsid w:val="5B685FE5"/>
    <w:rsid w:val="5B6902E5"/>
    <w:rsid w:val="5B7D0A55"/>
    <w:rsid w:val="5B800597"/>
    <w:rsid w:val="5B841BB9"/>
    <w:rsid w:val="5B8E5C4F"/>
    <w:rsid w:val="5B9242D5"/>
    <w:rsid w:val="5B9C63F0"/>
    <w:rsid w:val="5BA259F1"/>
    <w:rsid w:val="5BB95C6D"/>
    <w:rsid w:val="5BC20B4F"/>
    <w:rsid w:val="5BC427E1"/>
    <w:rsid w:val="5BC975CA"/>
    <w:rsid w:val="5BCA0B5D"/>
    <w:rsid w:val="5BCC233D"/>
    <w:rsid w:val="5BCF693E"/>
    <w:rsid w:val="5BD4364E"/>
    <w:rsid w:val="5BEE3288"/>
    <w:rsid w:val="5BF00879"/>
    <w:rsid w:val="5BF31218"/>
    <w:rsid w:val="5BF95455"/>
    <w:rsid w:val="5BFA19E9"/>
    <w:rsid w:val="5C02145B"/>
    <w:rsid w:val="5C124503"/>
    <w:rsid w:val="5C132E55"/>
    <w:rsid w:val="5C196882"/>
    <w:rsid w:val="5C1E59A6"/>
    <w:rsid w:val="5C251C12"/>
    <w:rsid w:val="5C31421E"/>
    <w:rsid w:val="5C336B9D"/>
    <w:rsid w:val="5C3B6989"/>
    <w:rsid w:val="5C4477B9"/>
    <w:rsid w:val="5C45051B"/>
    <w:rsid w:val="5C462AF2"/>
    <w:rsid w:val="5C47391A"/>
    <w:rsid w:val="5C4B1624"/>
    <w:rsid w:val="5C4F1D5F"/>
    <w:rsid w:val="5C502C80"/>
    <w:rsid w:val="5C5416C2"/>
    <w:rsid w:val="5C554ACB"/>
    <w:rsid w:val="5C5C6369"/>
    <w:rsid w:val="5C625AA3"/>
    <w:rsid w:val="5C6C549D"/>
    <w:rsid w:val="5C6F0E46"/>
    <w:rsid w:val="5C71703A"/>
    <w:rsid w:val="5C726963"/>
    <w:rsid w:val="5C7B368F"/>
    <w:rsid w:val="5C7E4B9B"/>
    <w:rsid w:val="5C82277B"/>
    <w:rsid w:val="5C8F4F6B"/>
    <w:rsid w:val="5C8F7060"/>
    <w:rsid w:val="5C91368C"/>
    <w:rsid w:val="5C936557"/>
    <w:rsid w:val="5CAF4C6D"/>
    <w:rsid w:val="5CB0535B"/>
    <w:rsid w:val="5CB52971"/>
    <w:rsid w:val="5CB71522"/>
    <w:rsid w:val="5CBD1826"/>
    <w:rsid w:val="5CC11084"/>
    <w:rsid w:val="5CCB6698"/>
    <w:rsid w:val="5CD10EE8"/>
    <w:rsid w:val="5CD66444"/>
    <w:rsid w:val="5CD66505"/>
    <w:rsid w:val="5CDA23D8"/>
    <w:rsid w:val="5CDC6A49"/>
    <w:rsid w:val="5CDE1CFC"/>
    <w:rsid w:val="5CDFE623"/>
    <w:rsid w:val="5CE61242"/>
    <w:rsid w:val="5CF96460"/>
    <w:rsid w:val="5CFA65D6"/>
    <w:rsid w:val="5CFC0E48"/>
    <w:rsid w:val="5D0C4A07"/>
    <w:rsid w:val="5D0C6D83"/>
    <w:rsid w:val="5D13313D"/>
    <w:rsid w:val="5D1A3C80"/>
    <w:rsid w:val="5D2E662C"/>
    <w:rsid w:val="5D345B19"/>
    <w:rsid w:val="5D382920"/>
    <w:rsid w:val="5D3A4C25"/>
    <w:rsid w:val="5D405232"/>
    <w:rsid w:val="5D442AF2"/>
    <w:rsid w:val="5D4817CE"/>
    <w:rsid w:val="5D4B4CCE"/>
    <w:rsid w:val="5D501390"/>
    <w:rsid w:val="5D502173"/>
    <w:rsid w:val="5D577585"/>
    <w:rsid w:val="5D5C648E"/>
    <w:rsid w:val="5D5E21D2"/>
    <w:rsid w:val="5D61296C"/>
    <w:rsid w:val="5D682132"/>
    <w:rsid w:val="5D6858AC"/>
    <w:rsid w:val="5D6C2B93"/>
    <w:rsid w:val="5D6D6173"/>
    <w:rsid w:val="5D8363BA"/>
    <w:rsid w:val="5D847933"/>
    <w:rsid w:val="5D857E32"/>
    <w:rsid w:val="5D861B31"/>
    <w:rsid w:val="5D8639B3"/>
    <w:rsid w:val="5D8822CA"/>
    <w:rsid w:val="5D90460E"/>
    <w:rsid w:val="5D915614"/>
    <w:rsid w:val="5D956A47"/>
    <w:rsid w:val="5D99582D"/>
    <w:rsid w:val="5D9A3915"/>
    <w:rsid w:val="5DA0717E"/>
    <w:rsid w:val="5DA20103"/>
    <w:rsid w:val="5DA4735C"/>
    <w:rsid w:val="5DA95CC7"/>
    <w:rsid w:val="5DAA0D86"/>
    <w:rsid w:val="5DAF3314"/>
    <w:rsid w:val="5DB045F7"/>
    <w:rsid w:val="5DBB07D8"/>
    <w:rsid w:val="5DBE5DAE"/>
    <w:rsid w:val="5DC00239"/>
    <w:rsid w:val="5DC114E4"/>
    <w:rsid w:val="5DCA0A2F"/>
    <w:rsid w:val="5DCA246B"/>
    <w:rsid w:val="5DCD16EB"/>
    <w:rsid w:val="5DCE11B6"/>
    <w:rsid w:val="5DCE56AC"/>
    <w:rsid w:val="5DD3203E"/>
    <w:rsid w:val="5DDC3F2E"/>
    <w:rsid w:val="5DE30E18"/>
    <w:rsid w:val="5DE41B4D"/>
    <w:rsid w:val="5DE57630"/>
    <w:rsid w:val="5DE74DAC"/>
    <w:rsid w:val="5DED1563"/>
    <w:rsid w:val="5DEF3C61"/>
    <w:rsid w:val="5DF12169"/>
    <w:rsid w:val="5DFB1451"/>
    <w:rsid w:val="5E063A3A"/>
    <w:rsid w:val="5E0747FF"/>
    <w:rsid w:val="5E0B4272"/>
    <w:rsid w:val="5E0C2CB7"/>
    <w:rsid w:val="5E0E058B"/>
    <w:rsid w:val="5E142C8D"/>
    <w:rsid w:val="5E145476"/>
    <w:rsid w:val="5E21593C"/>
    <w:rsid w:val="5E2720FB"/>
    <w:rsid w:val="5E301D0D"/>
    <w:rsid w:val="5E326FE4"/>
    <w:rsid w:val="5E35799E"/>
    <w:rsid w:val="5E391C7D"/>
    <w:rsid w:val="5E3B6EA6"/>
    <w:rsid w:val="5E3D3B22"/>
    <w:rsid w:val="5E4418F9"/>
    <w:rsid w:val="5E48442D"/>
    <w:rsid w:val="5E4853B5"/>
    <w:rsid w:val="5E594E42"/>
    <w:rsid w:val="5E5A5CAB"/>
    <w:rsid w:val="5E610991"/>
    <w:rsid w:val="5E6D4D38"/>
    <w:rsid w:val="5E736640"/>
    <w:rsid w:val="5E757344"/>
    <w:rsid w:val="5E7E5D14"/>
    <w:rsid w:val="5E7E7CDE"/>
    <w:rsid w:val="5E7F5C60"/>
    <w:rsid w:val="5E85682B"/>
    <w:rsid w:val="5E974288"/>
    <w:rsid w:val="5E9A119C"/>
    <w:rsid w:val="5E9B0DFD"/>
    <w:rsid w:val="5E9B5B97"/>
    <w:rsid w:val="5EA03679"/>
    <w:rsid w:val="5EA37282"/>
    <w:rsid w:val="5EA445BE"/>
    <w:rsid w:val="5EA83C86"/>
    <w:rsid w:val="5EA844A8"/>
    <w:rsid w:val="5EAB491E"/>
    <w:rsid w:val="5EAD3BFE"/>
    <w:rsid w:val="5EAF4497"/>
    <w:rsid w:val="5EB60016"/>
    <w:rsid w:val="5EBB43A8"/>
    <w:rsid w:val="5EBB4C99"/>
    <w:rsid w:val="5EC52F5D"/>
    <w:rsid w:val="5EC76E19"/>
    <w:rsid w:val="5ECA2CF4"/>
    <w:rsid w:val="5ECA37BC"/>
    <w:rsid w:val="5ECC1EB1"/>
    <w:rsid w:val="5ED619FA"/>
    <w:rsid w:val="5EE05729"/>
    <w:rsid w:val="5EEF78FA"/>
    <w:rsid w:val="5EF14CC1"/>
    <w:rsid w:val="5EF35F3F"/>
    <w:rsid w:val="5EFE2318"/>
    <w:rsid w:val="5F0D0843"/>
    <w:rsid w:val="5F186A9B"/>
    <w:rsid w:val="5F1C356A"/>
    <w:rsid w:val="5F21743D"/>
    <w:rsid w:val="5F221E14"/>
    <w:rsid w:val="5F2913F5"/>
    <w:rsid w:val="5F2D5514"/>
    <w:rsid w:val="5F3D5234"/>
    <w:rsid w:val="5F3EC4FB"/>
    <w:rsid w:val="5F446766"/>
    <w:rsid w:val="5F454515"/>
    <w:rsid w:val="5F4E40B6"/>
    <w:rsid w:val="5F6B1E45"/>
    <w:rsid w:val="5F6C4D75"/>
    <w:rsid w:val="5F700DD2"/>
    <w:rsid w:val="5F74723C"/>
    <w:rsid w:val="5F7C7DF2"/>
    <w:rsid w:val="5F8B0316"/>
    <w:rsid w:val="5F8D0480"/>
    <w:rsid w:val="5F8F1BA0"/>
    <w:rsid w:val="5F9051AD"/>
    <w:rsid w:val="5F9C6DB5"/>
    <w:rsid w:val="5FA90F89"/>
    <w:rsid w:val="5FAE5456"/>
    <w:rsid w:val="5FAF4215"/>
    <w:rsid w:val="5FB4193E"/>
    <w:rsid w:val="5FBA505B"/>
    <w:rsid w:val="5FBD432C"/>
    <w:rsid w:val="5FC04FB3"/>
    <w:rsid w:val="5FCDA25F"/>
    <w:rsid w:val="5FD01870"/>
    <w:rsid w:val="5FDA449D"/>
    <w:rsid w:val="5FE11611"/>
    <w:rsid w:val="5FEB16DA"/>
    <w:rsid w:val="5FEB378F"/>
    <w:rsid w:val="5FEB3DCD"/>
    <w:rsid w:val="60063266"/>
    <w:rsid w:val="600E33C0"/>
    <w:rsid w:val="60114463"/>
    <w:rsid w:val="60114DCA"/>
    <w:rsid w:val="60155605"/>
    <w:rsid w:val="602902C2"/>
    <w:rsid w:val="60331C64"/>
    <w:rsid w:val="6033640F"/>
    <w:rsid w:val="60367328"/>
    <w:rsid w:val="603806A2"/>
    <w:rsid w:val="60383137"/>
    <w:rsid w:val="603B76CA"/>
    <w:rsid w:val="60411DFE"/>
    <w:rsid w:val="604268E5"/>
    <w:rsid w:val="604364E6"/>
    <w:rsid w:val="60491E49"/>
    <w:rsid w:val="604A42FB"/>
    <w:rsid w:val="60516B0D"/>
    <w:rsid w:val="605A30C1"/>
    <w:rsid w:val="605F73DE"/>
    <w:rsid w:val="6065059E"/>
    <w:rsid w:val="606624D6"/>
    <w:rsid w:val="606E4AE6"/>
    <w:rsid w:val="606F1089"/>
    <w:rsid w:val="606F2F85"/>
    <w:rsid w:val="607344B6"/>
    <w:rsid w:val="607E01F8"/>
    <w:rsid w:val="6081142D"/>
    <w:rsid w:val="608D7491"/>
    <w:rsid w:val="608E59B3"/>
    <w:rsid w:val="60907AF2"/>
    <w:rsid w:val="60940AF0"/>
    <w:rsid w:val="60AA5345"/>
    <w:rsid w:val="60AB51A0"/>
    <w:rsid w:val="60B07C3F"/>
    <w:rsid w:val="60B82A30"/>
    <w:rsid w:val="60C04C4E"/>
    <w:rsid w:val="60C137F5"/>
    <w:rsid w:val="60C17342"/>
    <w:rsid w:val="60C546D6"/>
    <w:rsid w:val="60CF38D6"/>
    <w:rsid w:val="60D93AFA"/>
    <w:rsid w:val="60DD5769"/>
    <w:rsid w:val="60EA0665"/>
    <w:rsid w:val="60EA2A0F"/>
    <w:rsid w:val="60F07652"/>
    <w:rsid w:val="60F47C98"/>
    <w:rsid w:val="60F577B3"/>
    <w:rsid w:val="6109083B"/>
    <w:rsid w:val="610B1CCC"/>
    <w:rsid w:val="612C00F4"/>
    <w:rsid w:val="61306F64"/>
    <w:rsid w:val="61363662"/>
    <w:rsid w:val="61393622"/>
    <w:rsid w:val="61401BA5"/>
    <w:rsid w:val="614020CC"/>
    <w:rsid w:val="61423120"/>
    <w:rsid w:val="6145757D"/>
    <w:rsid w:val="6148266D"/>
    <w:rsid w:val="614B7400"/>
    <w:rsid w:val="614F3392"/>
    <w:rsid w:val="615255E9"/>
    <w:rsid w:val="6161146D"/>
    <w:rsid w:val="6166423A"/>
    <w:rsid w:val="61671D60"/>
    <w:rsid w:val="616B7AA3"/>
    <w:rsid w:val="616F4541"/>
    <w:rsid w:val="616F7DE1"/>
    <w:rsid w:val="617870FC"/>
    <w:rsid w:val="617A0482"/>
    <w:rsid w:val="617D722B"/>
    <w:rsid w:val="61817102"/>
    <w:rsid w:val="61856980"/>
    <w:rsid w:val="618A1273"/>
    <w:rsid w:val="61A522FB"/>
    <w:rsid w:val="61A702F4"/>
    <w:rsid w:val="61A74ACB"/>
    <w:rsid w:val="61AD23CA"/>
    <w:rsid w:val="61B067FD"/>
    <w:rsid w:val="61B16E22"/>
    <w:rsid w:val="61BE4076"/>
    <w:rsid w:val="61BE4D01"/>
    <w:rsid w:val="61C70C33"/>
    <w:rsid w:val="61C969B5"/>
    <w:rsid w:val="61CD250B"/>
    <w:rsid w:val="61D06F04"/>
    <w:rsid w:val="61D75138"/>
    <w:rsid w:val="61D86473"/>
    <w:rsid w:val="61E95AEE"/>
    <w:rsid w:val="61EA4E6B"/>
    <w:rsid w:val="61EF4230"/>
    <w:rsid w:val="61F87147"/>
    <w:rsid w:val="62105165"/>
    <w:rsid w:val="621B3442"/>
    <w:rsid w:val="621C77A4"/>
    <w:rsid w:val="621E16E6"/>
    <w:rsid w:val="622814F0"/>
    <w:rsid w:val="62374F06"/>
    <w:rsid w:val="62375BD7"/>
    <w:rsid w:val="623A4BA7"/>
    <w:rsid w:val="623E0C42"/>
    <w:rsid w:val="623E0D13"/>
    <w:rsid w:val="623F5846"/>
    <w:rsid w:val="624249BE"/>
    <w:rsid w:val="624F1172"/>
    <w:rsid w:val="624F24D3"/>
    <w:rsid w:val="62500210"/>
    <w:rsid w:val="62501664"/>
    <w:rsid w:val="625E7E4C"/>
    <w:rsid w:val="626731BA"/>
    <w:rsid w:val="626C37C5"/>
    <w:rsid w:val="627469BC"/>
    <w:rsid w:val="6275159F"/>
    <w:rsid w:val="627912B7"/>
    <w:rsid w:val="627D2634"/>
    <w:rsid w:val="627E03E7"/>
    <w:rsid w:val="627E30E5"/>
    <w:rsid w:val="62872DF6"/>
    <w:rsid w:val="628747CA"/>
    <w:rsid w:val="628A3F58"/>
    <w:rsid w:val="62977068"/>
    <w:rsid w:val="62A72F83"/>
    <w:rsid w:val="62A72FF5"/>
    <w:rsid w:val="62A937FC"/>
    <w:rsid w:val="62AD24B2"/>
    <w:rsid w:val="62AE5E86"/>
    <w:rsid w:val="62B7079F"/>
    <w:rsid w:val="62BC5532"/>
    <w:rsid w:val="62C17245"/>
    <w:rsid w:val="62C772CA"/>
    <w:rsid w:val="62CD1DFC"/>
    <w:rsid w:val="62D270E8"/>
    <w:rsid w:val="62E417CC"/>
    <w:rsid w:val="62E717D1"/>
    <w:rsid w:val="62EA2C49"/>
    <w:rsid w:val="62FF4946"/>
    <w:rsid w:val="62FF5CAE"/>
    <w:rsid w:val="63001B80"/>
    <w:rsid w:val="630039CB"/>
    <w:rsid w:val="63033096"/>
    <w:rsid w:val="630C3DD6"/>
    <w:rsid w:val="6318060D"/>
    <w:rsid w:val="63195A9B"/>
    <w:rsid w:val="631C64F7"/>
    <w:rsid w:val="631D0FE2"/>
    <w:rsid w:val="63213F24"/>
    <w:rsid w:val="63255324"/>
    <w:rsid w:val="632610AA"/>
    <w:rsid w:val="632B3029"/>
    <w:rsid w:val="63304B00"/>
    <w:rsid w:val="63310F5B"/>
    <w:rsid w:val="6332434D"/>
    <w:rsid w:val="63332842"/>
    <w:rsid w:val="63372572"/>
    <w:rsid w:val="634111CC"/>
    <w:rsid w:val="634673F6"/>
    <w:rsid w:val="634A0086"/>
    <w:rsid w:val="634C4C5E"/>
    <w:rsid w:val="634D7364"/>
    <w:rsid w:val="6356205F"/>
    <w:rsid w:val="635761B8"/>
    <w:rsid w:val="635C3835"/>
    <w:rsid w:val="635E45FF"/>
    <w:rsid w:val="63651F91"/>
    <w:rsid w:val="636955E1"/>
    <w:rsid w:val="63707614"/>
    <w:rsid w:val="6373139F"/>
    <w:rsid w:val="63762324"/>
    <w:rsid w:val="637F7764"/>
    <w:rsid w:val="63901A42"/>
    <w:rsid w:val="6398372C"/>
    <w:rsid w:val="63AA5BCD"/>
    <w:rsid w:val="63B50CF4"/>
    <w:rsid w:val="63B54FE7"/>
    <w:rsid w:val="63B60606"/>
    <w:rsid w:val="63B825A7"/>
    <w:rsid w:val="63B870B2"/>
    <w:rsid w:val="63B91618"/>
    <w:rsid w:val="63BB0A19"/>
    <w:rsid w:val="63BE65AF"/>
    <w:rsid w:val="63C13D74"/>
    <w:rsid w:val="63C4437D"/>
    <w:rsid w:val="63C4476F"/>
    <w:rsid w:val="63C67081"/>
    <w:rsid w:val="63D336DD"/>
    <w:rsid w:val="63DB3CE6"/>
    <w:rsid w:val="63E37DC4"/>
    <w:rsid w:val="63E40459"/>
    <w:rsid w:val="63E77BF1"/>
    <w:rsid w:val="63EA6E37"/>
    <w:rsid w:val="63EE17E5"/>
    <w:rsid w:val="63FF29F0"/>
    <w:rsid w:val="640C1BC7"/>
    <w:rsid w:val="641A66DF"/>
    <w:rsid w:val="642108EC"/>
    <w:rsid w:val="64241FE4"/>
    <w:rsid w:val="642503DD"/>
    <w:rsid w:val="642869E0"/>
    <w:rsid w:val="643B11D3"/>
    <w:rsid w:val="643E5DC3"/>
    <w:rsid w:val="64410F8F"/>
    <w:rsid w:val="6442403B"/>
    <w:rsid w:val="644A1BF1"/>
    <w:rsid w:val="644E14F7"/>
    <w:rsid w:val="64552298"/>
    <w:rsid w:val="645962D8"/>
    <w:rsid w:val="64656A2B"/>
    <w:rsid w:val="646F37E0"/>
    <w:rsid w:val="648023C3"/>
    <w:rsid w:val="648354F3"/>
    <w:rsid w:val="64836EB1"/>
    <w:rsid w:val="6486184B"/>
    <w:rsid w:val="64892002"/>
    <w:rsid w:val="648F3CAD"/>
    <w:rsid w:val="64927CE6"/>
    <w:rsid w:val="64977EA4"/>
    <w:rsid w:val="649D478A"/>
    <w:rsid w:val="64C14114"/>
    <w:rsid w:val="64C71494"/>
    <w:rsid w:val="64C86FBA"/>
    <w:rsid w:val="64C9393B"/>
    <w:rsid w:val="64CC56A2"/>
    <w:rsid w:val="64CD637E"/>
    <w:rsid w:val="64D1206A"/>
    <w:rsid w:val="64DD4756"/>
    <w:rsid w:val="64E75692"/>
    <w:rsid w:val="64E8763B"/>
    <w:rsid w:val="64F756B1"/>
    <w:rsid w:val="64FB3D14"/>
    <w:rsid w:val="65034DB1"/>
    <w:rsid w:val="650A75D2"/>
    <w:rsid w:val="650F094B"/>
    <w:rsid w:val="6512562C"/>
    <w:rsid w:val="651B44F8"/>
    <w:rsid w:val="651D4C82"/>
    <w:rsid w:val="651E32AB"/>
    <w:rsid w:val="65284A7C"/>
    <w:rsid w:val="6531283C"/>
    <w:rsid w:val="65346883"/>
    <w:rsid w:val="65366619"/>
    <w:rsid w:val="654D06F1"/>
    <w:rsid w:val="654E0DEF"/>
    <w:rsid w:val="6552050C"/>
    <w:rsid w:val="656E225B"/>
    <w:rsid w:val="65763E62"/>
    <w:rsid w:val="65771612"/>
    <w:rsid w:val="65817895"/>
    <w:rsid w:val="658D56BD"/>
    <w:rsid w:val="65904ED2"/>
    <w:rsid w:val="65922D95"/>
    <w:rsid w:val="659869D6"/>
    <w:rsid w:val="659E060E"/>
    <w:rsid w:val="65A57F5B"/>
    <w:rsid w:val="65AD0FFB"/>
    <w:rsid w:val="65B43CE6"/>
    <w:rsid w:val="65B977A2"/>
    <w:rsid w:val="65BC08CD"/>
    <w:rsid w:val="65C46A2B"/>
    <w:rsid w:val="65C86202"/>
    <w:rsid w:val="65C92683"/>
    <w:rsid w:val="65D57EDD"/>
    <w:rsid w:val="65DA1AC7"/>
    <w:rsid w:val="65ED392D"/>
    <w:rsid w:val="65F53318"/>
    <w:rsid w:val="65F84A3B"/>
    <w:rsid w:val="660B2CEE"/>
    <w:rsid w:val="660D6D9C"/>
    <w:rsid w:val="660D7EB0"/>
    <w:rsid w:val="660E20C2"/>
    <w:rsid w:val="660E74A3"/>
    <w:rsid w:val="66137988"/>
    <w:rsid w:val="66195EF2"/>
    <w:rsid w:val="661C0FBE"/>
    <w:rsid w:val="661C136B"/>
    <w:rsid w:val="661C6885"/>
    <w:rsid w:val="661D73E4"/>
    <w:rsid w:val="662A0E4B"/>
    <w:rsid w:val="664E18E6"/>
    <w:rsid w:val="664F5B89"/>
    <w:rsid w:val="6652496E"/>
    <w:rsid w:val="66552810"/>
    <w:rsid w:val="665A204B"/>
    <w:rsid w:val="666B40A1"/>
    <w:rsid w:val="666E380E"/>
    <w:rsid w:val="66721E42"/>
    <w:rsid w:val="66721FAE"/>
    <w:rsid w:val="667710B9"/>
    <w:rsid w:val="66860EDB"/>
    <w:rsid w:val="66927856"/>
    <w:rsid w:val="66985DA5"/>
    <w:rsid w:val="66987994"/>
    <w:rsid w:val="66A348DB"/>
    <w:rsid w:val="66A74D61"/>
    <w:rsid w:val="66AB4831"/>
    <w:rsid w:val="66BF0915"/>
    <w:rsid w:val="66C05E8E"/>
    <w:rsid w:val="66C26FD1"/>
    <w:rsid w:val="66C33EDD"/>
    <w:rsid w:val="66CB25C9"/>
    <w:rsid w:val="66CD6FD0"/>
    <w:rsid w:val="66D2458C"/>
    <w:rsid w:val="66DC53F8"/>
    <w:rsid w:val="66DC6D4D"/>
    <w:rsid w:val="66DE5188"/>
    <w:rsid w:val="66E7164D"/>
    <w:rsid w:val="66E92394"/>
    <w:rsid w:val="66ED6A19"/>
    <w:rsid w:val="66ED7191"/>
    <w:rsid w:val="66F10A4A"/>
    <w:rsid w:val="67042D07"/>
    <w:rsid w:val="67136123"/>
    <w:rsid w:val="671707D5"/>
    <w:rsid w:val="671A0889"/>
    <w:rsid w:val="67224B8A"/>
    <w:rsid w:val="67255F61"/>
    <w:rsid w:val="6727446C"/>
    <w:rsid w:val="672A1F4E"/>
    <w:rsid w:val="672D4418"/>
    <w:rsid w:val="67302813"/>
    <w:rsid w:val="67395F4D"/>
    <w:rsid w:val="67437BF0"/>
    <w:rsid w:val="674566A0"/>
    <w:rsid w:val="674715BE"/>
    <w:rsid w:val="674938D7"/>
    <w:rsid w:val="674943E2"/>
    <w:rsid w:val="674D0098"/>
    <w:rsid w:val="67503C7A"/>
    <w:rsid w:val="67546D69"/>
    <w:rsid w:val="67556074"/>
    <w:rsid w:val="675A37C0"/>
    <w:rsid w:val="675D1C3B"/>
    <w:rsid w:val="675D68E0"/>
    <w:rsid w:val="67601D92"/>
    <w:rsid w:val="6765537C"/>
    <w:rsid w:val="67694D5A"/>
    <w:rsid w:val="676D4080"/>
    <w:rsid w:val="676D71F6"/>
    <w:rsid w:val="677567BE"/>
    <w:rsid w:val="677672C4"/>
    <w:rsid w:val="677EBD9B"/>
    <w:rsid w:val="67823E2F"/>
    <w:rsid w:val="67851192"/>
    <w:rsid w:val="678546C3"/>
    <w:rsid w:val="678C40C0"/>
    <w:rsid w:val="678F7B58"/>
    <w:rsid w:val="6790670A"/>
    <w:rsid w:val="679A467A"/>
    <w:rsid w:val="67A036E1"/>
    <w:rsid w:val="67AE2D81"/>
    <w:rsid w:val="67AE30BA"/>
    <w:rsid w:val="67B204C4"/>
    <w:rsid w:val="67B33F51"/>
    <w:rsid w:val="67B34250"/>
    <w:rsid w:val="67C14DC4"/>
    <w:rsid w:val="67C23318"/>
    <w:rsid w:val="67C63C85"/>
    <w:rsid w:val="67C72A6F"/>
    <w:rsid w:val="67CB129B"/>
    <w:rsid w:val="67CC0884"/>
    <w:rsid w:val="67E43223"/>
    <w:rsid w:val="67E65EC6"/>
    <w:rsid w:val="67EA69D4"/>
    <w:rsid w:val="67EB4D3B"/>
    <w:rsid w:val="67F4133F"/>
    <w:rsid w:val="67F67B8E"/>
    <w:rsid w:val="67F72090"/>
    <w:rsid w:val="67FA401B"/>
    <w:rsid w:val="67FF5491"/>
    <w:rsid w:val="680C0EEC"/>
    <w:rsid w:val="680F30E4"/>
    <w:rsid w:val="681642B0"/>
    <w:rsid w:val="681D77EE"/>
    <w:rsid w:val="68264A44"/>
    <w:rsid w:val="68307331"/>
    <w:rsid w:val="68361829"/>
    <w:rsid w:val="68386905"/>
    <w:rsid w:val="68397A9C"/>
    <w:rsid w:val="684227E5"/>
    <w:rsid w:val="68434803"/>
    <w:rsid w:val="684D3A5E"/>
    <w:rsid w:val="684F4557"/>
    <w:rsid w:val="68510473"/>
    <w:rsid w:val="6852451D"/>
    <w:rsid w:val="68595433"/>
    <w:rsid w:val="685B5B02"/>
    <w:rsid w:val="68663FB4"/>
    <w:rsid w:val="68680898"/>
    <w:rsid w:val="686C35A0"/>
    <w:rsid w:val="687037F4"/>
    <w:rsid w:val="6872592B"/>
    <w:rsid w:val="68740480"/>
    <w:rsid w:val="6887746A"/>
    <w:rsid w:val="688A0342"/>
    <w:rsid w:val="68921DB9"/>
    <w:rsid w:val="689311FC"/>
    <w:rsid w:val="68995D70"/>
    <w:rsid w:val="68A038F2"/>
    <w:rsid w:val="68A17A38"/>
    <w:rsid w:val="68A60111"/>
    <w:rsid w:val="68A851D6"/>
    <w:rsid w:val="68AA0334"/>
    <w:rsid w:val="68AB7B2E"/>
    <w:rsid w:val="68AD1B39"/>
    <w:rsid w:val="68B24607"/>
    <w:rsid w:val="68B25FB7"/>
    <w:rsid w:val="68B3534C"/>
    <w:rsid w:val="68C16ACE"/>
    <w:rsid w:val="68C224E3"/>
    <w:rsid w:val="68CE6183"/>
    <w:rsid w:val="68CE7F57"/>
    <w:rsid w:val="68D0468F"/>
    <w:rsid w:val="68DF0B2F"/>
    <w:rsid w:val="68DF4086"/>
    <w:rsid w:val="68DF4CB9"/>
    <w:rsid w:val="68E155B9"/>
    <w:rsid w:val="68F22CB4"/>
    <w:rsid w:val="68F50E4B"/>
    <w:rsid w:val="69042532"/>
    <w:rsid w:val="690A7BA1"/>
    <w:rsid w:val="69117181"/>
    <w:rsid w:val="69123269"/>
    <w:rsid w:val="69173E2A"/>
    <w:rsid w:val="69221B3E"/>
    <w:rsid w:val="692757B4"/>
    <w:rsid w:val="692D0395"/>
    <w:rsid w:val="693410C2"/>
    <w:rsid w:val="69372AB2"/>
    <w:rsid w:val="69374ECA"/>
    <w:rsid w:val="693D67A9"/>
    <w:rsid w:val="694153BD"/>
    <w:rsid w:val="694D6067"/>
    <w:rsid w:val="69562DE6"/>
    <w:rsid w:val="69597330"/>
    <w:rsid w:val="696E0130"/>
    <w:rsid w:val="696E7767"/>
    <w:rsid w:val="697463CB"/>
    <w:rsid w:val="697A0150"/>
    <w:rsid w:val="697F16E6"/>
    <w:rsid w:val="69843021"/>
    <w:rsid w:val="698C05B6"/>
    <w:rsid w:val="699303C6"/>
    <w:rsid w:val="699912D9"/>
    <w:rsid w:val="699B33FA"/>
    <w:rsid w:val="69A60CF3"/>
    <w:rsid w:val="69AB1177"/>
    <w:rsid w:val="69AC0667"/>
    <w:rsid w:val="69BA0BDC"/>
    <w:rsid w:val="69C75E65"/>
    <w:rsid w:val="69C86400"/>
    <w:rsid w:val="69CB6C07"/>
    <w:rsid w:val="69CD2782"/>
    <w:rsid w:val="69CD2DDC"/>
    <w:rsid w:val="69D178BA"/>
    <w:rsid w:val="69D7304A"/>
    <w:rsid w:val="69D80F0D"/>
    <w:rsid w:val="69DE0087"/>
    <w:rsid w:val="69DF06A1"/>
    <w:rsid w:val="69E527E5"/>
    <w:rsid w:val="69F02667"/>
    <w:rsid w:val="69F745C9"/>
    <w:rsid w:val="6A0454F0"/>
    <w:rsid w:val="6A097306"/>
    <w:rsid w:val="6A0B3BD1"/>
    <w:rsid w:val="6A1225BF"/>
    <w:rsid w:val="6A1A4220"/>
    <w:rsid w:val="6A1F6255"/>
    <w:rsid w:val="6A262859"/>
    <w:rsid w:val="6A2676EA"/>
    <w:rsid w:val="6A2B1399"/>
    <w:rsid w:val="6A2B2B7B"/>
    <w:rsid w:val="6A360DB8"/>
    <w:rsid w:val="6A3B195D"/>
    <w:rsid w:val="6A3C6988"/>
    <w:rsid w:val="6A4175F2"/>
    <w:rsid w:val="6A4342C8"/>
    <w:rsid w:val="6A465A9B"/>
    <w:rsid w:val="6A4E73C5"/>
    <w:rsid w:val="6A4F1A15"/>
    <w:rsid w:val="6A4F55D9"/>
    <w:rsid w:val="6A5331DD"/>
    <w:rsid w:val="6A593FAD"/>
    <w:rsid w:val="6A5D1F52"/>
    <w:rsid w:val="6A6A6C73"/>
    <w:rsid w:val="6A6E7381"/>
    <w:rsid w:val="6A7E0FA9"/>
    <w:rsid w:val="6A887C7D"/>
    <w:rsid w:val="6A896B22"/>
    <w:rsid w:val="6A927E92"/>
    <w:rsid w:val="6A954E22"/>
    <w:rsid w:val="6A970EFA"/>
    <w:rsid w:val="6A9D3655"/>
    <w:rsid w:val="6AA128AB"/>
    <w:rsid w:val="6AA207A6"/>
    <w:rsid w:val="6AA22B77"/>
    <w:rsid w:val="6AA41956"/>
    <w:rsid w:val="6AA41A1E"/>
    <w:rsid w:val="6AA8630D"/>
    <w:rsid w:val="6AAB13DB"/>
    <w:rsid w:val="6AAC1FB2"/>
    <w:rsid w:val="6AAD6958"/>
    <w:rsid w:val="6AB029CA"/>
    <w:rsid w:val="6AB41BA9"/>
    <w:rsid w:val="6AC01CA9"/>
    <w:rsid w:val="6AC36C2A"/>
    <w:rsid w:val="6AC404D8"/>
    <w:rsid w:val="6AC408FE"/>
    <w:rsid w:val="6AC7172E"/>
    <w:rsid w:val="6AD62244"/>
    <w:rsid w:val="6ADA2C14"/>
    <w:rsid w:val="6ADD6067"/>
    <w:rsid w:val="6ADF1E37"/>
    <w:rsid w:val="6AE23D6F"/>
    <w:rsid w:val="6AE61F48"/>
    <w:rsid w:val="6AE77638"/>
    <w:rsid w:val="6AEC1E81"/>
    <w:rsid w:val="6AEC6CAA"/>
    <w:rsid w:val="6AEF52A0"/>
    <w:rsid w:val="6AF17B50"/>
    <w:rsid w:val="6AF46E33"/>
    <w:rsid w:val="6AF75423"/>
    <w:rsid w:val="6AF97AF0"/>
    <w:rsid w:val="6B037DE6"/>
    <w:rsid w:val="6B0B578F"/>
    <w:rsid w:val="6B0B79ED"/>
    <w:rsid w:val="6B0F020C"/>
    <w:rsid w:val="6B20077E"/>
    <w:rsid w:val="6B243E07"/>
    <w:rsid w:val="6B257EF4"/>
    <w:rsid w:val="6B2665CE"/>
    <w:rsid w:val="6B2968F7"/>
    <w:rsid w:val="6B302016"/>
    <w:rsid w:val="6B3050CD"/>
    <w:rsid w:val="6B3519E2"/>
    <w:rsid w:val="6B370E8D"/>
    <w:rsid w:val="6B451769"/>
    <w:rsid w:val="6B4B2997"/>
    <w:rsid w:val="6B4D0219"/>
    <w:rsid w:val="6B5035DE"/>
    <w:rsid w:val="6B5415A7"/>
    <w:rsid w:val="6B5530C9"/>
    <w:rsid w:val="6B5B25D8"/>
    <w:rsid w:val="6B5E2682"/>
    <w:rsid w:val="6B600F53"/>
    <w:rsid w:val="6B603CE0"/>
    <w:rsid w:val="6B6537B4"/>
    <w:rsid w:val="6B727806"/>
    <w:rsid w:val="6B765953"/>
    <w:rsid w:val="6B797532"/>
    <w:rsid w:val="6B870672"/>
    <w:rsid w:val="6B87372B"/>
    <w:rsid w:val="6B8B2127"/>
    <w:rsid w:val="6B8F1F90"/>
    <w:rsid w:val="6B916F17"/>
    <w:rsid w:val="6B92122F"/>
    <w:rsid w:val="6B946967"/>
    <w:rsid w:val="6B961BC0"/>
    <w:rsid w:val="6BA27696"/>
    <w:rsid w:val="6BA63F35"/>
    <w:rsid w:val="6BAE03FC"/>
    <w:rsid w:val="6BAE515B"/>
    <w:rsid w:val="6BB72F46"/>
    <w:rsid w:val="6BB96B73"/>
    <w:rsid w:val="6BBA4068"/>
    <w:rsid w:val="6BBA58AE"/>
    <w:rsid w:val="6BC57344"/>
    <w:rsid w:val="6BCA72EF"/>
    <w:rsid w:val="6BD36970"/>
    <w:rsid w:val="6BDC7B43"/>
    <w:rsid w:val="6BE24E05"/>
    <w:rsid w:val="6BE4268A"/>
    <w:rsid w:val="6BE74996"/>
    <w:rsid w:val="6BEB6F11"/>
    <w:rsid w:val="6BEC17E0"/>
    <w:rsid w:val="6BEC6542"/>
    <w:rsid w:val="6BEC7A32"/>
    <w:rsid w:val="6BF2105E"/>
    <w:rsid w:val="6C042FCD"/>
    <w:rsid w:val="6C095CB4"/>
    <w:rsid w:val="6C096FF1"/>
    <w:rsid w:val="6C0A1516"/>
    <w:rsid w:val="6C1A34B1"/>
    <w:rsid w:val="6C1C31D0"/>
    <w:rsid w:val="6C2C7908"/>
    <w:rsid w:val="6C3039DD"/>
    <w:rsid w:val="6C3119B3"/>
    <w:rsid w:val="6C4B6BB2"/>
    <w:rsid w:val="6C4E7BC8"/>
    <w:rsid w:val="6C574E8D"/>
    <w:rsid w:val="6C5B19D8"/>
    <w:rsid w:val="6C5F64C9"/>
    <w:rsid w:val="6C6315C2"/>
    <w:rsid w:val="6C665E00"/>
    <w:rsid w:val="6C700663"/>
    <w:rsid w:val="6C746413"/>
    <w:rsid w:val="6C7A6D6E"/>
    <w:rsid w:val="6C85799E"/>
    <w:rsid w:val="6C897BBC"/>
    <w:rsid w:val="6C8B02B2"/>
    <w:rsid w:val="6C937C50"/>
    <w:rsid w:val="6C9F5B5E"/>
    <w:rsid w:val="6CAE4A87"/>
    <w:rsid w:val="6CB32DC1"/>
    <w:rsid w:val="6CB73791"/>
    <w:rsid w:val="6CBB4A06"/>
    <w:rsid w:val="6CBD0FA8"/>
    <w:rsid w:val="6CC74D4C"/>
    <w:rsid w:val="6CCD1A2C"/>
    <w:rsid w:val="6CD04C5E"/>
    <w:rsid w:val="6CDC74B4"/>
    <w:rsid w:val="6CE74DF5"/>
    <w:rsid w:val="6CE82457"/>
    <w:rsid w:val="6D032F70"/>
    <w:rsid w:val="6D087710"/>
    <w:rsid w:val="6D0B08CC"/>
    <w:rsid w:val="6D0D2C2F"/>
    <w:rsid w:val="6D0E0A2E"/>
    <w:rsid w:val="6D116E07"/>
    <w:rsid w:val="6D1458A7"/>
    <w:rsid w:val="6D1B2988"/>
    <w:rsid w:val="6D1C60F5"/>
    <w:rsid w:val="6D262AD0"/>
    <w:rsid w:val="6D287535"/>
    <w:rsid w:val="6D2F2E2B"/>
    <w:rsid w:val="6D3276C6"/>
    <w:rsid w:val="6D446E36"/>
    <w:rsid w:val="6D4D3485"/>
    <w:rsid w:val="6D517A54"/>
    <w:rsid w:val="6D671289"/>
    <w:rsid w:val="6D76533D"/>
    <w:rsid w:val="6D774F15"/>
    <w:rsid w:val="6D7B2E1B"/>
    <w:rsid w:val="6D7D3176"/>
    <w:rsid w:val="6D7E2B84"/>
    <w:rsid w:val="6D885246"/>
    <w:rsid w:val="6D8A5754"/>
    <w:rsid w:val="6D8B0684"/>
    <w:rsid w:val="6D8B0AC9"/>
    <w:rsid w:val="6D8B4DCF"/>
    <w:rsid w:val="6D8F468F"/>
    <w:rsid w:val="6D90405C"/>
    <w:rsid w:val="6D9247D8"/>
    <w:rsid w:val="6D94212F"/>
    <w:rsid w:val="6D9465F9"/>
    <w:rsid w:val="6D9E3C5B"/>
    <w:rsid w:val="6D9E4262"/>
    <w:rsid w:val="6DA85831"/>
    <w:rsid w:val="6DAC56CB"/>
    <w:rsid w:val="6DB76F1E"/>
    <w:rsid w:val="6DB84AC7"/>
    <w:rsid w:val="6DBB3293"/>
    <w:rsid w:val="6DC522E8"/>
    <w:rsid w:val="6DCA1725"/>
    <w:rsid w:val="6DD726C4"/>
    <w:rsid w:val="6DD95D94"/>
    <w:rsid w:val="6DDA469C"/>
    <w:rsid w:val="6DE457F5"/>
    <w:rsid w:val="6DEC6B69"/>
    <w:rsid w:val="6DEF7133"/>
    <w:rsid w:val="6DEF7365"/>
    <w:rsid w:val="6DF07EE4"/>
    <w:rsid w:val="6DF11B55"/>
    <w:rsid w:val="6DF66AF5"/>
    <w:rsid w:val="6DF92996"/>
    <w:rsid w:val="6E021A03"/>
    <w:rsid w:val="6E027BA4"/>
    <w:rsid w:val="6E0F1C00"/>
    <w:rsid w:val="6E1456C3"/>
    <w:rsid w:val="6E17097D"/>
    <w:rsid w:val="6E18442B"/>
    <w:rsid w:val="6E1A4DE4"/>
    <w:rsid w:val="6E1F3E27"/>
    <w:rsid w:val="6E286EFA"/>
    <w:rsid w:val="6E35350C"/>
    <w:rsid w:val="6E3556C0"/>
    <w:rsid w:val="6E364FE1"/>
    <w:rsid w:val="6E38233F"/>
    <w:rsid w:val="6E4C7288"/>
    <w:rsid w:val="6E4F6056"/>
    <w:rsid w:val="6E583C96"/>
    <w:rsid w:val="6E6C45F5"/>
    <w:rsid w:val="6E6C7980"/>
    <w:rsid w:val="6E765F7D"/>
    <w:rsid w:val="6E7C322E"/>
    <w:rsid w:val="6E7F676B"/>
    <w:rsid w:val="6E81394E"/>
    <w:rsid w:val="6E8A0F49"/>
    <w:rsid w:val="6E8C6852"/>
    <w:rsid w:val="6E9323E7"/>
    <w:rsid w:val="6E93709F"/>
    <w:rsid w:val="6E96383F"/>
    <w:rsid w:val="6E981757"/>
    <w:rsid w:val="6E9A3775"/>
    <w:rsid w:val="6E9C7446"/>
    <w:rsid w:val="6EA2609F"/>
    <w:rsid w:val="6EA269D0"/>
    <w:rsid w:val="6EA75E92"/>
    <w:rsid w:val="6EAB3BD4"/>
    <w:rsid w:val="6EB63A8C"/>
    <w:rsid w:val="6EB86264"/>
    <w:rsid w:val="6EC93890"/>
    <w:rsid w:val="6ECA23B7"/>
    <w:rsid w:val="6ECB4E9A"/>
    <w:rsid w:val="6ED01B2F"/>
    <w:rsid w:val="6ED90BD7"/>
    <w:rsid w:val="6ED92276"/>
    <w:rsid w:val="6EDB3690"/>
    <w:rsid w:val="6EDC704F"/>
    <w:rsid w:val="6EDD63A1"/>
    <w:rsid w:val="6EDD7CBA"/>
    <w:rsid w:val="6EE229F9"/>
    <w:rsid w:val="6EE25C39"/>
    <w:rsid w:val="6EEB454B"/>
    <w:rsid w:val="6EF966EE"/>
    <w:rsid w:val="6F02283D"/>
    <w:rsid w:val="6F025E22"/>
    <w:rsid w:val="6F0637D9"/>
    <w:rsid w:val="6F0A7FF1"/>
    <w:rsid w:val="6F0C1D1F"/>
    <w:rsid w:val="6F0F5E68"/>
    <w:rsid w:val="6F115264"/>
    <w:rsid w:val="6F18583D"/>
    <w:rsid w:val="6F27041B"/>
    <w:rsid w:val="6F273A90"/>
    <w:rsid w:val="6F363EBD"/>
    <w:rsid w:val="6F38111A"/>
    <w:rsid w:val="6F3961A0"/>
    <w:rsid w:val="6F422405"/>
    <w:rsid w:val="6F47777E"/>
    <w:rsid w:val="6F49030E"/>
    <w:rsid w:val="6F5705FC"/>
    <w:rsid w:val="6F595838"/>
    <w:rsid w:val="6F6049BF"/>
    <w:rsid w:val="6F683873"/>
    <w:rsid w:val="6F6E3846"/>
    <w:rsid w:val="6F7048ED"/>
    <w:rsid w:val="6F805B7A"/>
    <w:rsid w:val="6F814935"/>
    <w:rsid w:val="6F854620"/>
    <w:rsid w:val="6F890572"/>
    <w:rsid w:val="6F8D4F24"/>
    <w:rsid w:val="6F8E178A"/>
    <w:rsid w:val="6F907577"/>
    <w:rsid w:val="6F936371"/>
    <w:rsid w:val="6F954F09"/>
    <w:rsid w:val="6F9A4EDB"/>
    <w:rsid w:val="6F9D176F"/>
    <w:rsid w:val="6FA21C05"/>
    <w:rsid w:val="6FA63B47"/>
    <w:rsid w:val="6FAA322D"/>
    <w:rsid w:val="6FAF14A2"/>
    <w:rsid w:val="6FBE2E57"/>
    <w:rsid w:val="6FC24260"/>
    <w:rsid w:val="6FC75BF2"/>
    <w:rsid w:val="6FCC62BD"/>
    <w:rsid w:val="6FCE6CF1"/>
    <w:rsid w:val="6FD0164A"/>
    <w:rsid w:val="6FD50F61"/>
    <w:rsid w:val="6FD54E96"/>
    <w:rsid w:val="6FD92D8D"/>
    <w:rsid w:val="6FDB3945"/>
    <w:rsid w:val="6FE43EB0"/>
    <w:rsid w:val="6FE839AB"/>
    <w:rsid w:val="6FFB025C"/>
    <w:rsid w:val="6FFBBC1D"/>
    <w:rsid w:val="6FFC5584"/>
    <w:rsid w:val="700510C2"/>
    <w:rsid w:val="7009056C"/>
    <w:rsid w:val="70143973"/>
    <w:rsid w:val="70147F80"/>
    <w:rsid w:val="70190E74"/>
    <w:rsid w:val="701A54AC"/>
    <w:rsid w:val="701B7D55"/>
    <w:rsid w:val="701D01C7"/>
    <w:rsid w:val="70283038"/>
    <w:rsid w:val="702C72CB"/>
    <w:rsid w:val="703005C2"/>
    <w:rsid w:val="70347C36"/>
    <w:rsid w:val="70460EB4"/>
    <w:rsid w:val="70464E2D"/>
    <w:rsid w:val="704773A1"/>
    <w:rsid w:val="704957D4"/>
    <w:rsid w:val="704C4ED2"/>
    <w:rsid w:val="704E08DA"/>
    <w:rsid w:val="705063FE"/>
    <w:rsid w:val="705067E1"/>
    <w:rsid w:val="70560562"/>
    <w:rsid w:val="70585696"/>
    <w:rsid w:val="705E1574"/>
    <w:rsid w:val="705E430F"/>
    <w:rsid w:val="706D67EA"/>
    <w:rsid w:val="70766740"/>
    <w:rsid w:val="70795446"/>
    <w:rsid w:val="708107A5"/>
    <w:rsid w:val="70824385"/>
    <w:rsid w:val="70862203"/>
    <w:rsid w:val="70893E28"/>
    <w:rsid w:val="709128C8"/>
    <w:rsid w:val="70921AE7"/>
    <w:rsid w:val="709B2A9D"/>
    <w:rsid w:val="709D754D"/>
    <w:rsid w:val="70A44FA9"/>
    <w:rsid w:val="70AF0E1F"/>
    <w:rsid w:val="70AF4F66"/>
    <w:rsid w:val="70B52AE8"/>
    <w:rsid w:val="70B77790"/>
    <w:rsid w:val="70C1148D"/>
    <w:rsid w:val="70C56E5A"/>
    <w:rsid w:val="70C76378"/>
    <w:rsid w:val="70C8605D"/>
    <w:rsid w:val="70CC566D"/>
    <w:rsid w:val="70CD6084"/>
    <w:rsid w:val="70CE7A62"/>
    <w:rsid w:val="70D65870"/>
    <w:rsid w:val="70E371D1"/>
    <w:rsid w:val="70E4517B"/>
    <w:rsid w:val="70EB6A28"/>
    <w:rsid w:val="70FB7449"/>
    <w:rsid w:val="70FC221E"/>
    <w:rsid w:val="70FE78E8"/>
    <w:rsid w:val="71034200"/>
    <w:rsid w:val="710571BE"/>
    <w:rsid w:val="710E5D2F"/>
    <w:rsid w:val="711F1493"/>
    <w:rsid w:val="71205240"/>
    <w:rsid w:val="71231BDD"/>
    <w:rsid w:val="712C4B10"/>
    <w:rsid w:val="71341C5F"/>
    <w:rsid w:val="7138203C"/>
    <w:rsid w:val="713A4B70"/>
    <w:rsid w:val="713D631F"/>
    <w:rsid w:val="714514B5"/>
    <w:rsid w:val="71467BE4"/>
    <w:rsid w:val="714F09F6"/>
    <w:rsid w:val="71591CE5"/>
    <w:rsid w:val="715E70B1"/>
    <w:rsid w:val="71637135"/>
    <w:rsid w:val="716444AB"/>
    <w:rsid w:val="716B6433"/>
    <w:rsid w:val="716B7D69"/>
    <w:rsid w:val="71713F3E"/>
    <w:rsid w:val="717B4D84"/>
    <w:rsid w:val="71822978"/>
    <w:rsid w:val="718B45D2"/>
    <w:rsid w:val="719C12D7"/>
    <w:rsid w:val="719E17CE"/>
    <w:rsid w:val="719F0DCB"/>
    <w:rsid w:val="71A8006A"/>
    <w:rsid w:val="71AB7735"/>
    <w:rsid w:val="71AF339E"/>
    <w:rsid w:val="71B53FDD"/>
    <w:rsid w:val="71B966AB"/>
    <w:rsid w:val="71BD3770"/>
    <w:rsid w:val="71CB674B"/>
    <w:rsid w:val="71CC633B"/>
    <w:rsid w:val="71ED5440"/>
    <w:rsid w:val="71F10183"/>
    <w:rsid w:val="72007615"/>
    <w:rsid w:val="720419D3"/>
    <w:rsid w:val="7207306E"/>
    <w:rsid w:val="72102180"/>
    <w:rsid w:val="72106582"/>
    <w:rsid w:val="72185205"/>
    <w:rsid w:val="721E1EC5"/>
    <w:rsid w:val="721E27AE"/>
    <w:rsid w:val="722A53C9"/>
    <w:rsid w:val="722C2425"/>
    <w:rsid w:val="72380D3A"/>
    <w:rsid w:val="723914F7"/>
    <w:rsid w:val="723A7F78"/>
    <w:rsid w:val="72472F65"/>
    <w:rsid w:val="7249798C"/>
    <w:rsid w:val="7251240A"/>
    <w:rsid w:val="7251502D"/>
    <w:rsid w:val="72574AF0"/>
    <w:rsid w:val="725825B0"/>
    <w:rsid w:val="7261536A"/>
    <w:rsid w:val="7264061F"/>
    <w:rsid w:val="726F7BC9"/>
    <w:rsid w:val="727231E5"/>
    <w:rsid w:val="72734A09"/>
    <w:rsid w:val="7279088E"/>
    <w:rsid w:val="727B111A"/>
    <w:rsid w:val="727C65CC"/>
    <w:rsid w:val="728A3B01"/>
    <w:rsid w:val="728A3BD2"/>
    <w:rsid w:val="728D2A9F"/>
    <w:rsid w:val="729130E1"/>
    <w:rsid w:val="72973C66"/>
    <w:rsid w:val="7299052A"/>
    <w:rsid w:val="729C6CFE"/>
    <w:rsid w:val="72AC2EF3"/>
    <w:rsid w:val="72AE73C2"/>
    <w:rsid w:val="72AF5315"/>
    <w:rsid w:val="72B31998"/>
    <w:rsid w:val="72B956E9"/>
    <w:rsid w:val="72BD4F43"/>
    <w:rsid w:val="72BE4DEB"/>
    <w:rsid w:val="72C0784A"/>
    <w:rsid w:val="72C47013"/>
    <w:rsid w:val="72CA0194"/>
    <w:rsid w:val="72CB7771"/>
    <w:rsid w:val="72CF194A"/>
    <w:rsid w:val="72D21F8E"/>
    <w:rsid w:val="72D30A2A"/>
    <w:rsid w:val="72DC43B0"/>
    <w:rsid w:val="72DF3E4C"/>
    <w:rsid w:val="72E04B56"/>
    <w:rsid w:val="72E47598"/>
    <w:rsid w:val="72F024A7"/>
    <w:rsid w:val="72F1592E"/>
    <w:rsid w:val="72F66C2E"/>
    <w:rsid w:val="72FB3A37"/>
    <w:rsid w:val="73001819"/>
    <w:rsid w:val="730114A6"/>
    <w:rsid w:val="73043C04"/>
    <w:rsid w:val="730918B1"/>
    <w:rsid w:val="73136A04"/>
    <w:rsid w:val="73175677"/>
    <w:rsid w:val="73353A6C"/>
    <w:rsid w:val="7336009C"/>
    <w:rsid w:val="733801AF"/>
    <w:rsid w:val="733B7ABC"/>
    <w:rsid w:val="733D1624"/>
    <w:rsid w:val="73544476"/>
    <w:rsid w:val="735465E8"/>
    <w:rsid w:val="73585122"/>
    <w:rsid w:val="7358775E"/>
    <w:rsid w:val="73650B9E"/>
    <w:rsid w:val="73682094"/>
    <w:rsid w:val="73756010"/>
    <w:rsid w:val="7376485B"/>
    <w:rsid w:val="737722D7"/>
    <w:rsid w:val="737A789D"/>
    <w:rsid w:val="737E3665"/>
    <w:rsid w:val="738035AF"/>
    <w:rsid w:val="73A32FCC"/>
    <w:rsid w:val="73AF74CB"/>
    <w:rsid w:val="73B47087"/>
    <w:rsid w:val="73BA4077"/>
    <w:rsid w:val="73C85E19"/>
    <w:rsid w:val="73C9050F"/>
    <w:rsid w:val="73CB0C82"/>
    <w:rsid w:val="73D37276"/>
    <w:rsid w:val="73D62BB3"/>
    <w:rsid w:val="73D64A47"/>
    <w:rsid w:val="73D81E31"/>
    <w:rsid w:val="73DA11F5"/>
    <w:rsid w:val="73E0412F"/>
    <w:rsid w:val="73E27E5A"/>
    <w:rsid w:val="73E6580F"/>
    <w:rsid w:val="73E82477"/>
    <w:rsid w:val="73F32304"/>
    <w:rsid w:val="73F34735"/>
    <w:rsid w:val="73F535D1"/>
    <w:rsid w:val="73F7086F"/>
    <w:rsid w:val="73F71A72"/>
    <w:rsid w:val="74096BB6"/>
    <w:rsid w:val="740A314B"/>
    <w:rsid w:val="74145000"/>
    <w:rsid w:val="74155D13"/>
    <w:rsid w:val="741A2688"/>
    <w:rsid w:val="741C3865"/>
    <w:rsid w:val="741D2E7E"/>
    <w:rsid w:val="74343D24"/>
    <w:rsid w:val="74496408"/>
    <w:rsid w:val="744D17B4"/>
    <w:rsid w:val="744D7724"/>
    <w:rsid w:val="74556A1F"/>
    <w:rsid w:val="74596ABB"/>
    <w:rsid w:val="746553D5"/>
    <w:rsid w:val="746749C6"/>
    <w:rsid w:val="746D05CC"/>
    <w:rsid w:val="74731735"/>
    <w:rsid w:val="7475018B"/>
    <w:rsid w:val="74761C26"/>
    <w:rsid w:val="74827185"/>
    <w:rsid w:val="748712BE"/>
    <w:rsid w:val="748B3BA6"/>
    <w:rsid w:val="74962C31"/>
    <w:rsid w:val="74967709"/>
    <w:rsid w:val="749A4686"/>
    <w:rsid w:val="74A62AF8"/>
    <w:rsid w:val="74AB52BF"/>
    <w:rsid w:val="74AF457D"/>
    <w:rsid w:val="74B75166"/>
    <w:rsid w:val="74BC4AA6"/>
    <w:rsid w:val="74C166FA"/>
    <w:rsid w:val="74C94DB4"/>
    <w:rsid w:val="74C95A09"/>
    <w:rsid w:val="74D261E6"/>
    <w:rsid w:val="74D8683F"/>
    <w:rsid w:val="74DD3A4E"/>
    <w:rsid w:val="74DD49D9"/>
    <w:rsid w:val="74DF6F97"/>
    <w:rsid w:val="74E61D1C"/>
    <w:rsid w:val="74F5489D"/>
    <w:rsid w:val="74FA2CDD"/>
    <w:rsid w:val="74FD4C47"/>
    <w:rsid w:val="750129B3"/>
    <w:rsid w:val="75087EDD"/>
    <w:rsid w:val="750E55B9"/>
    <w:rsid w:val="75256042"/>
    <w:rsid w:val="752C61A9"/>
    <w:rsid w:val="75366B46"/>
    <w:rsid w:val="75493668"/>
    <w:rsid w:val="755B7D7E"/>
    <w:rsid w:val="756C0DDA"/>
    <w:rsid w:val="756F185B"/>
    <w:rsid w:val="75705230"/>
    <w:rsid w:val="75734628"/>
    <w:rsid w:val="757479DF"/>
    <w:rsid w:val="757F7B40"/>
    <w:rsid w:val="758B325F"/>
    <w:rsid w:val="759030A5"/>
    <w:rsid w:val="75907E9B"/>
    <w:rsid w:val="759171A9"/>
    <w:rsid w:val="75972883"/>
    <w:rsid w:val="75A103A4"/>
    <w:rsid w:val="75A708C9"/>
    <w:rsid w:val="75AB1D90"/>
    <w:rsid w:val="75B50E95"/>
    <w:rsid w:val="75BE6C9A"/>
    <w:rsid w:val="75BF1320"/>
    <w:rsid w:val="75C353E3"/>
    <w:rsid w:val="75C829C3"/>
    <w:rsid w:val="75CB5152"/>
    <w:rsid w:val="75CB54D3"/>
    <w:rsid w:val="75CD59E6"/>
    <w:rsid w:val="75CF63FA"/>
    <w:rsid w:val="75D4756D"/>
    <w:rsid w:val="75E34843"/>
    <w:rsid w:val="75E43317"/>
    <w:rsid w:val="75EF3824"/>
    <w:rsid w:val="75F6698E"/>
    <w:rsid w:val="75FA6CE4"/>
    <w:rsid w:val="75FB12E0"/>
    <w:rsid w:val="75FF1C54"/>
    <w:rsid w:val="760065B4"/>
    <w:rsid w:val="76200A0C"/>
    <w:rsid w:val="76221318"/>
    <w:rsid w:val="762F6E99"/>
    <w:rsid w:val="763136E4"/>
    <w:rsid w:val="76382468"/>
    <w:rsid w:val="76475265"/>
    <w:rsid w:val="764C01D0"/>
    <w:rsid w:val="76503CFB"/>
    <w:rsid w:val="7655072B"/>
    <w:rsid w:val="765BBEC7"/>
    <w:rsid w:val="765E152C"/>
    <w:rsid w:val="766036F6"/>
    <w:rsid w:val="766453BD"/>
    <w:rsid w:val="76695331"/>
    <w:rsid w:val="766C17ED"/>
    <w:rsid w:val="76797230"/>
    <w:rsid w:val="769706C9"/>
    <w:rsid w:val="76A52548"/>
    <w:rsid w:val="76A8416B"/>
    <w:rsid w:val="76B30AA4"/>
    <w:rsid w:val="76B40D31"/>
    <w:rsid w:val="76B661E7"/>
    <w:rsid w:val="76BA4E40"/>
    <w:rsid w:val="76BB697E"/>
    <w:rsid w:val="76C770D1"/>
    <w:rsid w:val="76CB51D6"/>
    <w:rsid w:val="76D57A40"/>
    <w:rsid w:val="76F066AA"/>
    <w:rsid w:val="76F34329"/>
    <w:rsid w:val="76F452A1"/>
    <w:rsid w:val="76F9022F"/>
    <w:rsid w:val="77082B4F"/>
    <w:rsid w:val="770B1158"/>
    <w:rsid w:val="770D6CDF"/>
    <w:rsid w:val="7722019C"/>
    <w:rsid w:val="7722787B"/>
    <w:rsid w:val="772365CD"/>
    <w:rsid w:val="772938E8"/>
    <w:rsid w:val="772A19D1"/>
    <w:rsid w:val="773329B9"/>
    <w:rsid w:val="775A07EB"/>
    <w:rsid w:val="775B6B1C"/>
    <w:rsid w:val="775C14E6"/>
    <w:rsid w:val="776943C3"/>
    <w:rsid w:val="777139E2"/>
    <w:rsid w:val="7771703D"/>
    <w:rsid w:val="77743A3F"/>
    <w:rsid w:val="777660FB"/>
    <w:rsid w:val="777FB127"/>
    <w:rsid w:val="77827031"/>
    <w:rsid w:val="778271EA"/>
    <w:rsid w:val="77850C07"/>
    <w:rsid w:val="77853EB4"/>
    <w:rsid w:val="778F17AB"/>
    <w:rsid w:val="778F2B05"/>
    <w:rsid w:val="778F68D8"/>
    <w:rsid w:val="77956E61"/>
    <w:rsid w:val="77A24E83"/>
    <w:rsid w:val="77A776E3"/>
    <w:rsid w:val="77AB2F6C"/>
    <w:rsid w:val="77B7A832"/>
    <w:rsid w:val="77BF424C"/>
    <w:rsid w:val="77BF4864"/>
    <w:rsid w:val="77C95368"/>
    <w:rsid w:val="77D10BCD"/>
    <w:rsid w:val="77D228CF"/>
    <w:rsid w:val="77D53A70"/>
    <w:rsid w:val="77DC4DFE"/>
    <w:rsid w:val="77DE2A87"/>
    <w:rsid w:val="77DE40C5"/>
    <w:rsid w:val="77E6488C"/>
    <w:rsid w:val="77E81FF3"/>
    <w:rsid w:val="77EC5412"/>
    <w:rsid w:val="77ED76DD"/>
    <w:rsid w:val="77EE3ECD"/>
    <w:rsid w:val="77F45FA2"/>
    <w:rsid w:val="780305DD"/>
    <w:rsid w:val="7804568C"/>
    <w:rsid w:val="78066D81"/>
    <w:rsid w:val="781349B7"/>
    <w:rsid w:val="78201C49"/>
    <w:rsid w:val="782275DE"/>
    <w:rsid w:val="782A53AA"/>
    <w:rsid w:val="782B755D"/>
    <w:rsid w:val="7832196B"/>
    <w:rsid w:val="78354512"/>
    <w:rsid w:val="783E713C"/>
    <w:rsid w:val="78415620"/>
    <w:rsid w:val="784F5722"/>
    <w:rsid w:val="784F6D12"/>
    <w:rsid w:val="78500C84"/>
    <w:rsid w:val="78602E1D"/>
    <w:rsid w:val="786771E1"/>
    <w:rsid w:val="786772B8"/>
    <w:rsid w:val="786B1CDE"/>
    <w:rsid w:val="787221E7"/>
    <w:rsid w:val="78755A7C"/>
    <w:rsid w:val="78760D4D"/>
    <w:rsid w:val="787B63C5"/>
    <w:rsid w:val="787C060D"/>
    <w:rsid w:val="788565F9"/>
    <w:rsid w:val="78874D6A"/>
    <w:rsid w:val="788A6FAE"/>
    <w:rsid w:val="788D5A94"/>
    <w:rsid w:val="78912B58"/>
    <w:rsid w:val="789971B6"/>
    <w:rsid w:val="789B59BC"/>
    <w:rsid w:val="78A16413"/>
    <w:rsid w:val="78A72B40"/>
    <w:rsid w:val="78A90A06"/>
    <w:rsid w:val="78AE4042"/>
    <w:rsid w:val="78B21A34"/>
    <w:rsid w:val="78B73D04"/>
    <w:rsid w:val="78B76314"/>
    <w:rsid w:val="78B87E77"/>
    <w:rsid w:val="78B95BF5"/>
    <w:rsid w:val="78BE2727"/>
    <w:rsid w:val="78BF5821"/>
    <w:rsid w:val="78C40CCB"/>
    <w:rsid w:val="78C54625"/>
    <w:rsid w:val="78C67B1C"/>
    <w:rsid w:val="78D97B65"/>
    <w:rsid w:val="78E36DAD"/>
    <w:rsid w:val="78FA35E1"/>
    <w:rsid w:val="78FD7029"/>
    <w:rsid w:val="78FF6E0C"/>
    <w:rsid w:val="7909189F"/>
    <w:rsid w:val="791439BA"/>
    <w:rsid w:val="791C322D"/>
    <w:rsid w:val="791C5857"/>
    <w:rsid w:val="792962A0"/>
    <w:rsid w:val="79345136"/>
    <w:rsid w:val="79346574"/>
    <w:rsid w:val="79405BCB"/>
    <w:rsid w:val="7944774E"/>
    <w:rsid w:val="795E44A7"/>
    <w:rsid w:val="795E4C90"/>
    <w:rsid w:val="79615B12"/>
    <w:rsid w:val="79674B9C"/>
    <w:rsid w:val="79676E43"/>
    <w:rsid w:val="796F04E5"/>
    <w:rsid w:val="79734430"/>
    <w:rsid w:val="797628AF"/>
    <w:rsid w:val="797F77E9"/>
    <w:rsid w:val="79835FB1"/>
    <w:rsid w:val="798718B5"/>
    <w:rsid w:val="798C4038"/>
    <w:rsid w:val="798D4602"/>
    <w:rsid w:val="798D630D"/>
    <w:rsid w:val="79915775"/>
    <w:rsid w:val="79984D20"/>
    <w:rsid w:val="799A7DA0"/>
    <w:rsid w:val="79A0269B"/>
    <w:rsid w:val="79A53F04"/>
    <w:rsid w:val="79AF2693"/>
    <w:rsid w:val="79B13D07"/>
    <w:rsid w:val="79B5491B"/>
    <w:rsid w:val="79BD5F57"/>
    <w:rsid w:val="79BE3C22"/>
    <w:rsid w:val="79C377FC"/>
    <w:rsid w:val="79C64546"/>
    <w:rsid w:val="79CB5CFD"/>
    <w:rsid w:val="79CD2677"/>
    <w:rsid w:val="79D15C2F"/>
    <w:rsid w:val="79DA0D9B"/>
    <w:rsid w:val="79DB0C43"/>
    <w:rsid w:val="79ED0053"/>
    <w:rsid w:val="79EE7761"/>
    <w:rsid w:val="79EF0AE3"/>
    <w:rsid w:val="79EF360C"/>
    <w:rsid w:val="79EFDF36"/>
    <w:rsid w:val="79F17412"/>
    <w:rsid w:val="79F256B8"/>
    <w:rsid w:val="79F67A83"/>
    <w:rsid w:val="79FA5BAF"/>
    <w:rsid w:val="7A170043"/>
    <w:rsid w:val="7A1B699C"/>
    <w:rsid w:val="7A1D4079"/>
    <w:rsid w:val="7A1E3AE7"/>
    <w:rsid w:val="7A1F0F5C"/>
    <w:rsid w:val="7A286472"/>
    <w:rsid w:val="7A292A2B"/>
    <w:rsid w:val="7A29510C"/>
    <w:rsid w:val="7A306D88"/>
    <w:rsid w:val="7A3304A7"/>
    <w:rsid w:val="7A35051B"/>
    <w:rsid w:val="7A36089E"/>
    <w:rsid w:val="7A376DFE"/>
    <w:rsid w:val="7A3A5A65"/>
    <w:rsid w:val="7A41363F"/>
    <w:rsid w:val="7A431165"/>
    <w:rsid w:val="7A442C1F"/>
    <w:rsid w:val="7A4A1BA8"/>
    <w:rsid w:val="7A5A0B12"/>
    <w:rsid w:val="7A6B4E9F"/>
    <w:rsid w:val="7A6D0311"/>
    <w:rsid w:val="7A6F3759"/>
    <w:rsid w:val="7A6F5D22"/>
    <w:rsid w:val="7A7218B5"/>
    <w:rsid w:val="7A765963"/>
    <w:rsid w:val="7A794B87"/>
    <w:rsid w:val="7A8A6D94"/>
    <w:rsid w:val="7A8D0FFE"/>
    <w:rsid w:val="7A9410E7"/>
    <w:rsid w:val="7A992994"/>
    <w:rsid w:val="7A9ADDE3"/>
    <w:rsid w:val="7A9B445C"/>
    <w:rsid w:val="7A9E45ED"/>
    <w:rsid w:val="7A9E5878"/>
    <w:rsid w:val="7A9F1ECA"/>
    <w:rsid w:val="7AA0198A"/>
    <w:rsid w:val="7AA747BC"/>
    <w:rsid w:val="7AAF3CCD"/>
    <w:rsid w:val="7ABC170B"/>
    <w:rsid w:val="7AC15427"/>
    <w:rsid w:val="7AC869CB"/>
    <w:rsid w:val="7ACC5667"/>
    <w:rsid w:val="7ADD5115"/>
    <w:rsid w:val="7AE6775E"/>
    <w:rsid w:val="7AE76AC5"/>
    <w:rsid w:val="7AF13754"/>
    <w:rsid w:val="7AF16E13"/>
    <w:rsid w:val="7AF34939"/>
    <w:rsid w:val="7AF61B9E"/>
    <w:rsid w:val="7AF81791"/>
    <w:rsid w:val="7AF9567E"/>
    <w:rsid w:val="7AFD57B8"/>
    <w:rsid w:val="7B002BB2"/>
    <w:rsid w:val="7B1F4D2A"/>
    <w:rsid w:val="7B2230DF"/>
    <w:rsid w:val="7B263453"/>
    <w:rsid w:val="7B271E8E"/>
    <w:rsid w:val="7B393978"/>
    <w:rsid w:val="7B394BD2"/>
    <w:rsid w:val="7B401F06"/>
    <w:rsid w:val="7B4A111F"/>
    <w:rsid w:val="7B533AF7"/>
    <w:rsid w:val="7B534407"/>
    <w:rsid w:val="7B583C73"/>
    <w:rsid w:val="7B5A7031"/>
    <w:rsid w:val="7B6016CD"/>
    <w:rsid w:val="7B677757"/>
    <w:rsid w:val="7B7661A4"/>
    <w:rsid w:val="7B795CF6"/>
    <w:rsid w:val="7B827C7F"/>
    <w:rsid w:val="7B827F99"/>
    <w:rsid w:val="7B876E2F"/>
    <w:rsid w:val="7B9020DD"/>
    <w:rsid w:val="7B964876"/>
    <w:rsid w:val="7B984086"/>
    <w:rsid w:val="7B9962B5"/>
    <w:rsid w:val="7B9B0B2D"/>
    <w:rsid w:val="7B9D193A"/>
    <w:rsid w:val="7BA63759"/>
    <w:rsid w:val="7BA67464"/>
    <w:rsid w:val="7BAC6620"/>
    <w:rsid w:val="7BAD4D49"/>
    <w:rsid w:val="7BAF4B16"/>
    <w:rsid w:val="7BB269E6"/>
    <w:rsid w:val="7BB4101B"/>
    <w:rsid w:val="7BB55E2E"/>
    <w:rsid w:val="7BB664A5"/>
    <w:rsid w:val="7BB747C3"/>
    <w:rsid w:val="7BB76117"/>
    <w:rsid w:val="7BBB4F4A"/>
    <w:rsid w:val="7BC10593"/>
    <w:rsid w:val="7BC91DA2"/>
    <w:rsid w:val="7BCA174E"/>
    <w:rsid w:val="7BDF30EE"/>
    <w:rsid w:val="7BE31F4B"/>
    <w:rsid w:val="7BE44282"/>
    <w:rsid w:val="7BF3A7A2"/>
    <w:rsid w:val="7BF6352D"/>
    <w:rsid w:val="7C0867FE"/>
    <w:rsid w:val="7C0964DF"/>
    <w:rsid w:val="7C0A5EEB"/>
    <w:rsid w:val="7C0E7C32"/>
    <w:rsid w:val="7C176405"/>
    <w:rsid w:val="7C1B4484"/>
    <w:rsid w:val="7C1C58FE"/>
    <w:rsid w:val="7C1D66F2"/>
    <w:rsid w:val="7C1E397C"/>
    <w:rsid w:val="7C1E59E5"/>
    <w:rsid w:val="7C2E7844"/>
    <w:rsid w:val="7C2E7ED1"/>
    <w:rsid w:val="7C3067BB"/>
    <w:rsid w:val="7C3C6A8A"/>
    <w:rsid w:val="7C4456B2"/>
    <w:rsid w:val="7C4906D7"/>
    <w:rsid w:val="7C4C213B"/>
    <w:rsid w:val="7C4C466D"/>
    <w:rsid w:val="7C4D7B48"/>
    <w:rsid w:val="7C5B6663"/>
    <w:rsid w:val="7C5D35F0"/>
    <w:rsid w:val="7C5D69EB"/>
    <w:rsid w:val="7C624011"/>
    <w:rsid w:val="7C683ED6"/>
    <w:rsid w:val="7C6B49A3"/>
    <w:rsid w:val="7C6C1D74"/>
    <w:rsid w:val="7C6E043B"/>
    <w:rsid w:val="7C7307B8"/>
    <w:rsid w:val="7C767BA3"/>
    <w:rsid w:val="7C7724B2"/>
    <w:rsid w:val="7C7A02DE"/>
    <w:rsid w:val="7C7C2BC3"/>
    <w:rsid w:val="7C7F3BF3"/>
    <w:rsid w:val="7C7F48B5"/>
    <w:rsid w:val="7C83618A"/>
    <w:rsid w:val="7C844E6E"/>
    <w:rsid w:val="7C8F4539"/>
    <w:rsid w:val="7C930039"/>
    <w:rsid w:val="7C9314B9"/>
    <w:rsid w:val="7C9D0DA5"/>
    <w:rsid w:val="7C9F0D28"/>
    <w:rsid w:val="7CA4598B"/>
    <w:rsid w:val="7CA54E21"/>
    <w:rsid w:val="7CA778A1"/>
    <w:rsid w:val="7CB07CD3"/>
    <w:rsid w:val="7CBA01BA"/>
    <w:rsid w:val="7CC6163F"/>
    <w:rsid w:val="7CC7600D"/>
    <w:rsid w:val="7CCB3032"/>
    <w:rsid w:val="7CD647E6"/>
    <w:rsid w:val="7CD66DCC"/>
    <w:rsid w:val="7CED65A5"/>
    <w:rsid w:val="7CF0080A"/>
    <w:rsid w:val="7CFB2C31"/>
    <w:rsid w:val="7CFB5D27"/>
    <w:rsid w:val="7CFE7F6F"/>
    <w:rsid w:val="7D00223A"/>
    <w:rsid w:val="7D09189F"/>
    <w:rsid w:val="7D0D4261"/>
    <w:rsid w:val="7D101F85"/>
    <w:rsid w:val="7D17595C"/>
    <w:rsid w:val="7D1D007C"/>
    <w:rsid w:val="7D2B7F7B"/>
    <w:rsid w:val="7D3F0E86"/>
    <w:rsid w:val="7D445382"/>
    <w:rsid w:val="7D4C62F7"/>
    <w:rsid w:val="7D4D7BBF"/>
    <w:rsid w:val="7D502CB8"/>
    <w:rsid w:val="7D52346D"/>
    <w:rsid w:val="7D604310"/>
    <w:rsid w:val="7D6A1784"/>
    <w:rsid w:val="7D6E474B"/>
    <w:rsid w:val="7D704E5D"/>
    <w:rsid w:val="7D760768"/>
    <w:rsid w:val="7D7617A7"/>
    <w:rsid w:val="7D7C7FD9"/>
    <w:rsid w:val="7D7D498E"/>
    <w:rsid w:val="7D8C7566"/>
    <w:rsid w:val="7D9114D1"/>
    <w:rsid w:val="7D912281"/>
    <w:rsid w:val="7D9720A1"/>
    <w:rsid w:val="7D9B4E14"/>
    <w:rsid w:val="7D9D7629"/>
    <w:rsid w:val="7D9E4330"/>
    <w:rsid w:val="7DA84A41"/>
    <w:rsid w:val="7DA916C2"/>
    <w:rsid w:val="7DAA32A9"/>
    <w:rsid w:val="7DAA7303"/>
    <w:rsid w:val="7DB22210"/>
    <w:rsid w:val="7DB664C2"/>
    <w:rsid w:val="7DB87774"/>
    <w:rsid w:val="7DBAF338"/>
    <w:rsid w:val="7DBF0B02"/>
    <w:rsid w:val="7DC13B56"/>
    <w:rsid w:val="7DC24845"/>
    <w:rsid w:val="7DC55CA9"/>
    <w:rsid w:val="7DC61971"/>
    <w:rsid w:val="7DCA6599"/>
    <w:rsid w:val="7DCC294E"/>
    <w:rsid w:val="7DD37CEC"/>
    <w:rsid w:val="7DE15B44"/>
    <w:rsid w:val="7DE3118E"/>
    <w:rsid w:val="7DE519B3"/>
    <w:rsid w:val="7DEC126F"/>
    <w:rsid w:val="7DF53128"/>
    <w:rsid w:val="7DF9E2E0"/>
    <w:rsid w:val="7DFC7552"/>
    <w:rsid w:val="7DFEA8C0"/>
    <w:rsid w:val="7E061943"/>
    <w:rsid w:val="7E1917F1"/>
    <w:rsid w:val="7E2663D5"/>
    <w:rsid w:val="7E2B6198"/>
    <w:rsid w:val="7E2D4C1A"/>
    <w:rsid w:val="7E3152AB"/>
    <w:rsid w:val="7E3170E6"/>
    <w:rsid w:val="7E346870"/>
    <w:rsid w:val="7E3C3FF1"/>
    <w:rsid w:val="7E4067F7"/>
    <w:rsid w:val="7E424900"/>
    <w:rsid w:val="7E43581D"/>
    <w:rsid w:val="7E45395E"/>
    <w:rsid w:val="7E4D4360"/>
    <w:rsid w:val="7E5E76AD"/>
    <w:rsid w:val="7E6C72CE"/>
    <w:rsid w:val="7E7B17F2"/>
    <w:rsid w:val="7E7F687E"/>
    <w:rsid w:val="7E7F7167"/>
    <w:rsid w:val="7E8C68BE"/>
    <w:rsid w:val="7E910D30"/>
    <w:rsid w:val="7E971F26"/>
    <w:rsid w:val="7E9A50CB"/>
    <w:rsid w:val="7E9B4F2F"/>
    <w:rsid w:val="7EA40295"/>
    <w:rsid w:val="7EAF6A9E"/>
    <w:rsid w:val="7EB968A5"/>
    <w:rsid w:val="7EBE18FF"/>
    <w:rsid w:val="7EC1522C"/>
    <w:rsid w:val="7EC73CBD"/>
    <w:rsid w:val="7EC81B73"/>
    <w:rsid w:val="7ECB797B"/>
    <w:rsid w:val="7ECC37C0"/>
    <w:rsid w:val="7ECE4F01"/>
    <w:rsid w:val="7ED310A0"/>
    <w:rsid w:val="7ED5139D"/>
    <w:rsid w:val="7ED56104"/>
    <w:rsid w:val="7ED93E46"/>
    <w:rsid w:val="7EE47BF8"/>
    <w:rsid w:val="7EE75DB1"/>
    <w:rsid w:val="7EE96330"/>
    <w:rsid w:val="7EEC0B46"/>
    <w:rsid w:val="7EF047DC"/>
    <w:rsid w:val="7EF34A95"/>
    <w:rsid w:val="7EF74106"/>
    <w:rsid w:val="7F025C9B"/>
    <w:rsid w:val="7F051D03"/>
    <w:rsid w:val="7F12044F"/>
    <w:rsid w:val="7F1F3FA0"/>
    <w:rsid w:val="7F1F5413"/>
    <w:rsid w:val="7F1F542F"/>
    <w:rsid w:val="7F212ABD"/>
    <w:rsid w:val="7F2E4DB5"/>
    <w:rsid w:val="7F3B3C83"/>
    <w:rsid w:val="7F3D2627"/>
    <w:rsid w:val="7F442D36"/>
    <w:rsid w:val="7F475253"/>
    <w:rsid w:val="7F4904AD"/>
    <w:rsid w:val="7F4B1D42"/>
    <w:rsid w:val="7F572FBC"/>
    <w:rsid w:val="7F59E29E"/>
    <w:rsid w:val="7F5B0CFF"/>
    <w:rsid w:val="7F5D1C39"/>
    <w:rsid w:val="7F65016E"/>
    <w:rsid w:val="7F6B1AE3"/>
    <w:rsid w:val="7F6C67FD"/>
    <w:rsid w:val="7F713505"/>
    <w:rsid w:val="7F7B4A40"/>
    <w:rsid w:val="7F7B6CAB"/>
    <w:rsid w:val="7F7E0B58"/>
    <w:rsid w:val="7F7F357B"/>
    <w:rsid w:val="7F893BC2"/>
    <w:rsid w:val="7F8B1B8E"/>
    <w:rsid w:val="7F8F503A"/>
    <w:rsid w:val="7F9211A1"/>
    <w:rsid w:val="7F925F65"/>
    <w:rsid w:val="7FA1136E"/>
    <w:rsid w:val="7FAA4092"/>
    <w:rsid w:val="7FAB7A6B"/>
    <w:rsid w:val="7FAC082B"/>
    <w:rsid w:val="7FAC68A6"/>
    <w:rsid w:val="7FAD6999"/>
    <w:rsid w:val="7FAE074D"/>
    <w:rsid w:val="7FAF7116"/>
    <w:rsid w:val="7FBA7398"/>
    <w:rsid w:val="7FBF0489"/>
    <w:rsid w:val="7FBF140F"/>
    <w:rsid w:val="7FC01A96"/>
    <w:rsid w:val="7FC44D27"/>
    <w:rsid w:val="7FD02BD8"/>
    <w:rsid w:val="7FDBC57E"/>
    <w:rsid w:val="7FDF5177"/>
    <w:rsid w:val="7FE40CF4"/>
    <w:rsid w:val="7FE52A63"/>
    <w:rsid w:val="7FE94365"/>
    <w:rsid w:val="7FED0D17"/>
    <w:rsid w:val="7FEF36A7"/>
    <w:rsid w:val="7FFE4361"/>
    <w:rsid w:val="7FFF34EC"/>
    <w:rsid w:val="7FFFE835"/>
    <w:rsid w:val="8DFD8C61"/>
    <w:rsid w:val="9BFE6072"/>
    <w:rsid w:val="9DF9EA89"/>
    <w:rsid w:val="9FCC4AAE"/>
    <w:rsid w:val="AEA594FB"/>
    <w:rsid w:val="B0FF8C90"/>
    <w:rsid w:val="B6E5CA0B"/>
    <w:rsid w:val="BA7B23C6"/>
    <w:rsid w:val="BE1FB12F"/>
    <w:rsid w:val="BEFFD6D2"/>
    <w:rsid w:val="BF531D6C"/>
    <w:rsid w:val="BF5E25C0"/>
    <w:rsid w:val="BFAA2C13"/>
    <w:rsid w:val="BFFED81C"/>
    <w:rsid w:val="BFFF9277"/>
    <w:rsid w:val="BFFFFCF3"/>
    <w:rsid w:val="C57FFF89"/>
    <w:rsid w:val="C5EBD8B6"/>
    <w:rsid w:val="CB3244C3"/>
    <w:rsid w:val="D3777068"/>
    <w:rsid w:val="D5FE4C8E"/>
    <w:rsid w:val="D7F2E3D2"/>
    <w:rsid w:val="DFBB2034"/>
    <w:rsid w:val="DFED4750"/>
    <w:rsid w:val="E37F4C89"/>
    <w:rsid w:val="E4DFD295"/>
    <w:rsid w:val="EDF99B31"/>
    <w:rsid w:val="EDFFD310"/>
    <w:rsid w:val="EF27C741"/>
    <w:rsid w:val="F3F594DE"/>
    <w:rsid w:val="F3FF83B5"/>
    <w:rsid w:val="F4FFBC81"/>
    <w:rsid w:val="F6E7DFA5"/>
    <w:rsid w:val="F6FF3C21"/>
    <w:rsid w:val="F75278A3"/>
    <w:rsid w:val="F77AC06D"/>
    <w:rsid w:val="F7975440"/>
    <w:rsid w:val="F7BF772E"/>
    <w:rsid w:val="F7FDA929"/>
    <w:rsid w:val="FB9AC0A7"/>
    <w:rsid w:val="FBFDEDF5"/>
    <w:rsid w:val="FDFE8422"/>
    <w:rsid w:val="FE7BAF61"/>
    <w:rsid w:val="FEAFDBB4"/>
    <w:rsid w:val="FEF73F35"/>
    <w:rsid w:val="FEFEAA10"/>
    <w:rsid w:val="FEFF5960"/>
    <w:rsid w:val="FEFF8E0B"/>
    <w:rsid w:val="FF6BC4AF"/>
    <w:rsid w:val="FF7F87FB"/>
    <w:rsid w:val="FFBBBA4A"/>
    <w:rsid w:val="FFBE4FF0"/>
    <w:rsid w:val="FFE8DCD7"/>
    <w:rsid w:val="FFF15AE1"/>
    <w:rsid w:val="FFF33C7B"/>
    <w:rsid w:val="FFF917D7"/>
    <w:rsid w:val="FFFAD68C"/>
    <w:rsid w:val="FFFF0006"/>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9" w:semiHidden="0" w:name="heading 7"/>
    <w:lsdException w:qFormat="1" w:unhideWhenUsed="0" w:uiPriority="9"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0" w:semiHidden="0" w:name="caption" w:locked="1"/>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uiPriority="99" w:name="endnote reference"/>
    <w:lsdException w:qFormat="1" w:unhideWhenUsed="0" w:uiPriority="0" w:semiHidden="0" w:name="endnote text"/>
    <w:lsdException w:uiPriority="99" w:name="table of authorities"/>
    <w:lsdException w:qFormat="1" w:unhideWhenUsed="0" w:uiPriority="99"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9"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99"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99" w:semiHidden="0" w:name="Date"/>
    <w:lsdException w:qFormat="1" w:uiPriority="0" w:semiHidden="0" w:name="Body Text First Indent"/>
    <w:lsdException w:qFormat="1"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ocked="1"/>
    <w:lsdException w:qFormat="1" w:unhideWhenUsed="0" w:uiPriority="0" w:semiHidden="0" w:name="Emphasis" w:locked="1"/>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iPriority="99"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Times New Roman" w:hAnsi="Times New Roman" w:eastAsia="宋体" w:cs="Times New Roman"/>
      <w:sz w:val="24"/>
      <w:szCs w:val="24"/>
      <w:lang w:val="en-US" w:eastAsia="en-US" w:bidi="en-US"/>
    </w:rPr>
  </w:style>
  <w:style w:type="paragraph" w:styleId="4">
    <w:name w:val="heading 1"/>
    <w:basedOn w:val="1"/>
    <w:next w:val="1"/>
    <w:link w:val="98"/>
    <w:qFormat/>
    <w:uiPriority w:val="0"/>
    <w:pPr>
      <w:keepNext/>
      <w:spacing w:before="240" w:after="60"/>
      <w:outlineLvl w:val="0"/>
    </w:pPr>
    <w:rPr>
      <w:rFonts w:ascii="Cambria" w:hAnsi="Cambria"/>
      <w:b/>
      <w:bCs/>
      <w:kern w:val="32"/>
      <w:sz w:val="32"/>
      <w:szCs w:val="32"/>
      <w:lang w:bidi="ar-SA"/>
    </w:rPr>
  </w:style>
  <w:style w:type="paragraph" w:styleId="5">
    <w:name w:val="heading 2"/>
    <w:basedOn w:val="1"/>
    <w:link w:val="99"/>
    <w:qFormat/>
    <w:uiPriority w:val="0"/>
    <w:pPr>
      <w:keepNext/>
      <w:spacing w:before="240" w:after="60"/>
      <w:outlineLvl w:val="1"/>
    </w:pPr>
    <w:rPr>
      <w:rFonts w:ascii="Cambria" w:hAnsi="Cambria"/>
      <w:b/>
      <w:bCs/>
      <w:i/>
      <w:iCs/>
      <w:sz w:val="28"/>
      <w:szCs w:val="28"/>
      <w:lang w:bidi="ar-SA"/>
    </w:rPr>
  </w:style>
  <w:style w:type="paragraph" w:styleId="6">
    <w:name w:val="heading 3"/>
    <w:basedOn w:val="1"/>
    <w:next w:val="1"/>
    <w:link w:val="100"/>
    <w:qFormat/>
    <w:uiPriority w:val="0"/>
    <w:pPr>
      <w:keepNext/>
      <w:spacing w:before="240" w:after="60"/>
      <w:outlineLvl w:val="2"/>
    </w:pPr>
    <w:rPr>
      <w:rFonts w:ascii="Cambria" w:hAnsi="Cambria"/>
      <w:b/>
      <w:bCs/>
      <w:sz w:val="26"/>
      <w:szCs w:val="26"/>
      <w:lang w:bidi="ar-SA"/>
    </w:rPr>
  </w:style>
  <w:style w:type="paragraph" w:styleId="7">
    <w:name w:val="heading 4"/>
    <w:basedOn w:val="1"/>
    <w:next w:val="1"/>
    <w:link w:val="101"/>
    <w:qFormat/>
    <w:uiPriority w:val="0"/>
    <w:pPr>
      <w:keepNext/>
      <w:spacing w:before="240" w:after="60"/>
      <w:outlineLvl w:val="3"/>
    </w:pPr>
    <w:rPr>
      <w:b/>
      <w:bCs/>
      <w:sz w:val="28"/>
      <w:szCs w:val="28"/>
      <w:lang w:bidi="ar-SA"/>
    </w:rPr>
  </w:style>
  <w:style w:type="paragraph" w:styleId="8">
    <w:name w:val="heading 5"/>
    <w:basedOn w:val="1"/>
    <w:next w:val="1"/>
    <w:link w:val="102"/>
    <w:qFormat/>
    <w:uiPriority w:val="0"/>
    <w:pPr>
      <w:spacing w:before="240" w:after="60"/>
      <w:outlineLvl w:val="4"/>
    </w:pPr>
    <w:rPr>
      <w:b/>
      <w:bCs/>
      <w:i/>
      <w:iCs/>
      <w:sz w:val="26"/>
      <w:szCs w:val="26"/>
      <w:lang w:bidi="ar-SA"/>
    </w:rPr>
  </w:style>
  <w:style w:type="paragraph" w:styleId="9">
    <w:name w:val="heading 6"/>
    <w:basedOn w:val="1"/>
    <w:next w:val="1"/>
    <w:link w:val="103"/>
    <w:qFormat/>
    <w:uiPriority w:val="0"/>
    <w:pPr>
      <w:spacing w:before="240" w:after="60"/>
      <w:outlineLvl w:val="5"/>
    </w:pPr>
    <w:rPr>
      <w:b/>
      <w:bCs/>
      <w:sz w:val="20"/>
      <w:szCs w:val="20"/>
      <w:lang w:bidi="ar-SA"/>
    </w:rPr>
  </w:style>
  <w:style w:type="paragraph" w:styleId="10">
    <w:name w:val="heading 7"/>
    <w:basedOn w:val="1"/>
    <w:next w:val="1"/>
    <w:link w:val="104"/>
    <w:qFormat/>
    <w:uiPriority w:val="9"/>
    <w:pPr>
      <w:spacing w:before="240" w:after="60"/>
      <w:outlineLvl w:val="6"/>
    </w:pPr>
    <w:rPr>
      <w:lang w:bidi="ar-SA"/>
    </w:rPr>
  </w:style>
  <w:style w:type="paragraph" w:styleId="11">
    <w:name w:val="heading 8"/>
    <w:basedOn w:val="1"/>
    <w:next w:val="1"/>
    <w:link w:val="105"/>
    <w:qFormat/>
    <w:uiPriority w:val="9"/>
    <w:pPr>
      <w:spacing w:before="240" w:after="60"/>
      <w:outlineLvl w:val="7"/>
    </w:pPr>
    <w:rPr>
      <w:i/>
      <w:iCs/>
      <w:lang w:bidi="ar-SA"/>
    </w:rPr>
  </w:style>
  <w:style w:type="paragraph" w:styleId="12">
    <w:name w:val="heading 9"/>
    <w:basedOn w:val="1"/>
    <w:next w:val="1"/>
    <w:link w:val="106"/>
    <w:qFormat/>
    <w:uiPriority w:val="0"/>
    <w:pPr>
      <w:spacing w:before="240" w:after="60"/>
      <w:outlineLvl w:val="8"/>
    </w:pPr>
    <w:rPr>
      <w:rFonts w:ascii="Cambria" w:hAnsi="Cambria"/>
      <w:sz w:val="20"/>
      <w:szCs w:val="20"/>
      <w:lang w:bidi="ar-SA"/>
    </w:rPr>
  </w:style>
  <w:style w:type="character" w:default="1" w:styleId="80">
    <w:name w:val="Default Paragraph Font"/>
    <w:semiHidden/>
    <w:unhideWhenUsed/>
    <w:qFormat/>
    <w:uiPriority w:val="1"/>
  </w:style>
  <w:style w:type="table" w:default="1" w:styleId="7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2">
    <w:name w:val="Plain Text"/>
    <w:basedOn w:val="1"/>
    <w:next w:val="1"/>
    <w:link w:val="118"/>
    <w:qFormat/>
    <w:uiPriority w:val="0"/>
    <w:rPr>
      <w:rFonts w:ascii="宋体" w:hAnsi="Courier New"/>
      <w:sz w:val="20"/>
      <w:szCs w:val="20"/>
      <w:lang w:bidi="ar-SA"/>
    </w:rPr>
  </w:style>
  <w:style w:type="paragraph" w:styleId="3">
    <w:name w:val="macro"/>
    <w:link w:val="97"/>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Times New Roman"/>
      <w:kern w:val="2"/>
      <w:sz w:val="24"/>
      <w:szCs w:val="24"/>
      <w:lang w:val="en-US" w:eastAsia="zh-CN" w:bidi="ar-SA"/>
    </w:rPr>
  </w:style>
  <w:style w:type="paragraph" w:styleId="13">
    <w:name w:val="List 3"/>
    <w:basedOn w:val="1"/>
    <w:qFormat/>
    <w:uiPriority w:val="0"/>
    <w:pPr>
      <w:widowControl w:val="0"/>
      <w:ind w:left="100" w:leftChars="400" w:hanging="200" w:hangingChars="200"/>
      <w:jc w:val="both"/>
    </w:pPr>
    <w:rPr>
      <w:rFonts w:ascii="Calibri" w:hAnsi="Calibri"/>
      <w:kern w:val="2"/>
      <w:sz w:val="21"/>
      <w:lang w:eastAsia="zh-CN" w:bidi="ar-SA"/>
    </w:rPr>
  </w:style>
  <w:style w:type="paragraph" w:styleId="14">
    <w:name w:val="toc 7"/>
    <w:basedOn w:val="1"/>
    <w:next w:val="1"/>
    <w:qFormat/>
    <w:uiPriority w:val="39"/>
    <w:pPr>
      <w:ind w:left="1260"/>
    </w:pPr>
    <w:rPr>
      <w:sz w:val="18"/>
      <w:szCs w:val="18"/>
    </w:rPr>
  </w:style>
  <w:style w:type="paragraph" w:styleId="15">
    <w:name w:val="List Number 2"/>
    <w:basedOn w:val="1"/>
    <w:qFormat/>
    <w:uiPriority w:val="0"/>
    <w:pPr>
      <w:widowControl w:val="0"/>
      <w:tabs>
        <w:tab w:val="left" w:pos="780"/>
        <w:tab w:val="left" w:pos="1053"/>
        <w:tab w:val="left" w:pos="1080"/>
      </w:tabs>
      <w:ind w:left="1560" w:hanging="720"/>
      <w:jc w:val="both"/>
    </w:pPr>
    <w:rPr>
      <w:rFonts w:ascii="Calibri" w:hAnsi="Calibri"/>
      <w:kern w:val="2"/>
      <w:sz w:val="21"/>
      <w:lang w:eastAsia="zh-CN" w:bidi="ar-SA"/>
    </w:rPr>
  </w:style>
  <w:style w:type="paragraph" w:styleId="16">
    <w:name w:val="Note Heading"/>
    <w:basedOn w:val="1"/>
    <w:next w:val="1"/>
    <w:link w:val="107"/>
    <w:qFormat/>
    <w:uiPriority w:val="0"/>
    <w:pPr>
      <w:widowControl w:val="0"/>
      <w:jc w:val="center"/>
    </w:pPr>
    <w:rPr>
      <w:rFonts w:ascii="Calibri" w:hAnsi="Calibri" w:eastAsia="方正大标宋简体"/>
      <w:kern w:val="2"/>
      <w:szCs w:val="20"/>
      <w:lang w:eastAsia="zh-TW" w:bidi="ar-SA"/>
    </w:rPr>
  </w:style>
  <w:style w:type="paragraph" w:styleId="17">
    <w:name w:val="List Bullet 4"/>
    <w:basedOn w:val="1"/>
    <w:qFormat/>
    <w:uiPriority w:val="0"/>
    <w:pPr>
      <w:widowControl w:val="0"/>
      <w:tabs>
        <w:tab w:val="left" w:pos="990"/>
        <w:tab w:val="left" w:pos="1620"/>
      </w:tabs>
      <w:jc w:val="both"/>
    </w:pPr>
    <w:rPr>
      <w:rFonts w:ascii="Calibri" w:hAnsi="Calibri"/>
      <w:kern w:val="2"/>
      <w:sz w:val="21"/>
      <w:lang w:eastAsia="zh-CN" w:bidi="ar-SA"/>
    </w:rPr>
  </w:style>
  <w:style w:type="paragraph" w:styleId="18">
    <w:name w:val="E-mail Signature"/>
    <w:basedOn w:val="1"/>
    <w:link w:val="108"/>
    <w:qFormat/>
    <w:uiPriority w:val="0"/>
    <w:pPr>
      <w:widowControl w:val="0"/>
      <w:jc w:val="both"/>
    </w:pPr>
    <w:rPr>
      <w:rFonts w:ascii="Calibri" w:hAnsi="Calibri"/>
      <w:kern w:val="2"/>
      <w:sz w:val="21"/>
      <w:lang w:eastAsia="zh-CN" w:bidi="ar-SA"/>
    </w:rPr>
  </w:style>
  <w:style w:type="paragraph" w:styleId="19">
    <w:name w:val="List Number"/>
    <w:basedOn w:val="1"/>
    <w:qFormat/>
    <w:uiPriority w:val="0"/>
    <w:pPr>
      <w:widowControl w:val="0"/>
      <w:tabs>
        <w:tab w:val="left" w:pos="360"/>
      </w:tabs>
      <w:jc w:val="both"/>
    </w:pPr>
    <w:rPr>
      <w:rFonts w:ascii="Calibri" w:hAnsi="Calibri"/>
      <w:kern w:val="2"/>
      <w:sz w:val="21"/>
      <w:lang w:eastAsia="zh-CN" w:bidi="ar-SA"/>
    </w:rPr>
  </w:style>
  <w:style w:type="paragraph" w:styleId="20">
    <w:name w:val="Normal Indent"/>
    <w:basedOn w:val="1"/>
    <w:next w:val="1"/>
    <w:link w:val="109"/>
    <w:qFormat/>
    <w:uiPriority w:val="0"/>
    <w:pPr>
      <w:ind w:firstLine="420"/>
    </w:pPr>
  </w:style>
  <w:style w:type="paragraph" w:styleId="21">
    <w:name w:val="caption"/>
    <w:next w:val="1"/>
    <w:qFormat/>
    <w:locked/>
    <w:uiPriority w:val="0"/>
    <w:pPr>
      <w:jc w:val="center"/>
    </w:pPr>
    <w:rPr>
      <w:rFonts w:ascii="Times New Roman" w:hAnsi="Times New Roman" w:eastAsia="宋体" w:cs="Times New Roman"/>
      <w:b/>
      <w:kern w:val="2"/>
      <w:sz w:val="21"/>
      <w:lang w:val="en-US" w:eastAsia="zh-CN" w:bidi="ar-SA"/>
    </w:rPr>
  </w:style>
  <w:style w:type="paragraph" w:styleId="22">
    <w:name w:val="List Bullet"/>
    <w:basedOn w:val="1"/>
    <w:next w:val="1"/>
    <w:qFormat/>
    <w:uiPriority w:val="0"/>
    <w:pPr>
      <w:tabs>
        <w:tab w:val="left" w:pos="360"/>
      </w:tabs>
      <w:ind w:left="360" w:hanging="360" w:hangingChars="200"/>
    </w:pPr>
  </w:style>
  <w:style w:type="paragraph" w:styleId="23">
    <w:name w:val="envelope address"/>
    <w:basedOn w:val="1"/>
    <w:qFormat/>
    <w:uiPriority w:val="0"/>
    <w:pPr>
      <w:widowControl w:val="0"/>
      <w:snapToGrid w:val="0"/>
      <w:ind w:left="100" w:leftChars="1400"/>
      <w:jc w:val="both"/>
    </w:pPr>
    <w:rPr>
      <w:rFonts w:ascii="Arial" w:hAnsi="Arial" w:cs="Arial"/>
      <w:kern w:val="2"/>
      <w:lang w:eastAsia="zh-CN" w:bidi="ar-SA"/>
    </w:rPr>
  </w:style>
  <w:style w:type="paragraph" w:styleId="24">
    <w:name w:val="Document Map"/>
    <w:basedOn w:val="1"/>
    <w:next w:val="1"/>
    <w:link w:val="110"/>
    <w:qFormat/>
    <w:uiPriority w:val="0"/>
    <w:pPr>
      <w:shd w:val="clear" w:color="auto" w:fill="000080"/>
    </w:pPr>
    <w:rPr>
      <w:lang w:bidi="ar-SA"/>
    </w:rPr>
  </w:style>
  <w:style w:type="paragraph" w:styleId="25">
    <w:name w:val="toa heading"/>
    <w:basedOn w:val="1"/>
    <w:next w:val="1"/>
    <w:qFormat/>
    <w:uiPriority w:val="0"/>
    <w:pPr>
      <w:widowControl w:val="0"/>
      <w:spacing w:before="120"/>
      <w:jc w:val="both"/>
    </w:pPr>
    <w:rPr>
      <w:rFonts w:ascii="Arial" w:hAnsi="Arial" w:cs="Arial"/>
      <w:kern w:val="2"/>
      <w:lang w:eastAsia="zh-CN" w:bidi="ar-SA"/>
    </w:rPr>
  </w:style>
  <w:style w:type="paragraph" w:styleId="26">
    <w:name w:val="annotation text"/>
    <w:basedOn w:val="1"/>
    <w:link w:val="111"/>
    <w:qFormat/>
    <w:uiPriority w:val="0"/>
    <w:rPr>
      <w:lang w:bidi="ar-SA"/>
    </w:rPr>
  </w:style>
  <w:style w:type="paragraph" w:styleId="27">
    <w:name w:val="Salutation"/>
    <w:basedOn w:val="1"/>
    <w:next w:val="1"/>
    <w:link w:val="112"/>
    <w:qFormat/>
    <w:uiPriority w:val="0"/>
    <w:pPr>
      <w:widowControl w:val="0"/>
      <w:jc w:val="both"/>
    </w:pPr>
    <w:rPr>
      <w:rFonts w:ascii="Calibri" w:hAnsi="Calibri"/>
      <w:kern w:val="2"/>
      <w:sz w:val="21"/>
      <w:lang w:eastAsia="zh-CN" w:bidi="ar-SA"/>
    </w:rPr>
  </w:style>
  <w:style w:type="paragraph" w:styleId="28">
    <w:name w:val="Body Text 3"/>
    <w:basedOn w:val="1"/>
    <w:next w:val="1"/>
    <w:link w:val="113"/>
    <w:qFormat/>
    <w:uiPriority w:val="0"/>
    <w:pPr>
      <w:spacing w:after="120"/>
    </w:pPr>
    <w:rPr>
      <w:sz w:val="16"/>
      <w:szCs w:val="16"/>
      <w:lang w:bidi="ar-SA"/>
    </w:rPr>
  </w:style>
  <w:style w:type="paragraph" w:styleId="29">
    <w:name w:val="Closing"/>
    <w:basedOn w:val="1"/>
    <w:link w:val="114"/>
    <w:qFormat/>
    <w:uiPriority w:val="0"/>
    <w:pPr>
      <w:widowControl w:val="0"/>
      <w:ind w:left="100" w:leftChars="2100"/>
      <w:jc w:val="both"/>
    </w:pPr>
    <w:rPr>
      <w:rFonts w:ascii="Calibri" w:hAnsi="Calibri"/>
      <w:kern w:val="2"/>
      <w:sz w:val="21"/>
      <w:lang w:eastAsia="zh-CN" w:bidi="ar-SA"/>
    </w:rPr>
  </w:style>
  <w:style w:type="paragraph" w:styleId="30">
    <w:name w:val="List Bullet 3"/>
    <w:basedOn w:val="1"/>
    <w:qFormat/>
    <w:uiPriority w:val="0"/>
    <w:pPr>
      <w:widowControl w:val="0"/>
      <w:tabs>
        <w:tab w:val="left" w:pos="814"/>
        <w:tab w:val="left" w:pos="1110"/>
        <w:tab w:val="left" w:pos="1200"/>
      </w:tabs>
      <w:ind w:left="780" w:hanging="360"/>
      <w:jc w:val="both"/>
    </w:pPr>
    <w:rPr>
      <w:rFonts w:ascii="Calibri" w:hAnsi="Calibri"/>
      <w:kern w:val="2"/>
      <w:sz w:val="21"/>
      <w:lang w:eastAsia="zh-CN" w:bidi="ar-SA"/>
    </w:rPr>
  </w:style>
  <w:style w:type="paragraph" w:styleId="31">
    <w:name w:val="Body Text"/>
    <w:basedOn w:val="1"/>
    <w:next w:val="1"/>
    <w:link w:val="115"/>
    <w:qFormat/>
    <w:uiPriority w:val="99"/>
    <w:pPr>
      <w:spacing w:after="120"/>
    </w:pPr>
    <w:rPr>
      <w:lang w:bidi="ar-SA"/>
    </w:rPr>
  </w:style>
  <w:style w:type="paragraph" w:styleId="32">
    <w:name w:val="Body Text Indent"/>
    <w:basedOn w:val="1"/>
    <w:next w:val="1"/>
    <w:link w:val="116"/>
    <w:qFormat/>
    <w:uiPriority w:val="0"/>
    <w:pPr>
      <w:ind w:firstLine="630"/>
    </w:pPr>
    <w:rPr>
      <w:rFonts w:ascii="宋体"/>
      <w:sz w:val="20"/>
      <w:szCs w:val="20"/>
      <w:lang w:bidi="ar-SA"/>
    </w:rPr>
  </w:style>
  <w:style w:type="paragraph" w:styleId="33">
    <w:name w:val="List Number 3"/>
    <w:basedOn w:val="1"/>
    <w:qFormat/>
    <w:uiPriority w:val="0"/>
    <w:pPr>
      <w:widowControl w:val="0"/>
      <w:tabs>
        <w:tab w:val="left" w:pos="720"/>
        <w:tab w:val="left" w:pos="1200"/>
        <w:tab w:val="left" w:pos="2480"/>
      </w:tabs>
      <w:ind w:left="720"/>
      <w:jc w:val="both"/>
    </w:pPr>
    <w:rPr>
      <w:kern w:val="2"/>
      <w:sz w:val="21"/>
      <w:lang w:eastAsia="zh-CN" w:bidi="ar-SA"/>
    </w:rPr>
  </w:style>
  <w:style w:type="paragraph" w:styleId="34">
    <w:name w:val="List 2"/>
    <w:basedOn w:val="1"/>
    <w:qFormat/>
    <w:uiPriority w:val="0"/>
    <w:pPr>
      <w:widowControl w:val="0"/>
      <w:jc w:val="center"/>
    </w:pPr>
    <w:rPr>
      <w:rFonts w:ascii="宋体" w:hAnsi="Calibri"/>
      <w:kern w:val="2"/>
      <w:szCs w:val="20"/>
      <w:lang w:eastAsia="zh-CN" w:bidi="ar-SA"/>
    </w:rPr>
  </w:style>
  <w:style w:type="paragraph" w:styleId="35">
    <w:name w:val="List Continue"/>
    <w:basedOn w:val="1"/>
    <w:qFormat/>
    <w:uiPriority w:val="0"/>
    <w:pPr>
      <w:widowControl w:val="0"/>
      <w:ind w:left="420" w:leftChars="200"/>
      <w:jc w:val="both"/>
    </w:pPr>
    <w:rPr>
      <w:rFonts w:ascii="Calibri" w:hAnsi="Calibri"/>
      <w:kern w:val="2"/>
      <w:sz w:val="21"/>
      <w:lang w:eastAsia="zh-CN" w:bidi="ar-SA"/>
    </w:rPr>
  </w:style>
  <w:style w:type="paragraph" w:styleId="36">
    <w:name w:val="Block Text"/>
    <w:basedOn w:val="1"/>
    <w:qFormat/>
    <w:uiPriority w:val="0"/>
    <w:pPr>
      <w:widowControl w:val="0"/>
      <w:adjustRightInd w:val="0"/>
      <w:ind w:left="420" w:right="33"/>
      <w:textAlignment w:val="baseline"/>
    </w:pPr>
    <w:rPr>
      <w:rFonts w:ascii="Calibri" w:hAnsi="Calibri"/>
      <w:szCs w:val="20"/>
      <w:lang w:eastAsia="zh-CN" w:bidi="ar-SA"/>
    </w:rPr>
  </w:style>
  <w:style w:type="paragraph" w:styleId="37">
    <w:name w:val="List Bullet 2"/>
    <w:basedOn w:val="22"/>
    <w:next w:val="1"/>
    <w:qFormat/>
    <w:uiPriority w:val="0"/>
    <w:pPr>
      <w:tabs>
        <w:tab w:val="left" w:pos="432"/>
        <w:tab w:val="clear" w:pos="360"/>
      </w:tabs>
      <w:spacing w:after="220" w:line="220" w:lineRule="atLeast"/>
      <w:ind w:left="2160" w:right="720" w:hanging="432" w:firstLineChars="0"/>
    </w:pPr>
  </w:style>
  <w:style w:type="paragraph" w:styleId="38">
    <w:name w:val="HTML Address"/>
    <w:basedOn w:val="1"/>
    <w:link w:val="117"/>
    <w:qFormat/>
    <w:uiPriority w:val="0"/>
    <w:pPr>
      <w:widowControl w:val="0"/>
      <w:jc w:val="both"/>
    </w:pPr>
    <w:rPr>
      <w:rFonts w:ascii="Calibri" w:hAnsi="Calibri"/>
      <w:i/>
      <w:iCs/>
      <w:kern w:val="2"/>
      <w:sz w:val="21"/>
      <w:lang w:eastAsia="zh-CN" w:bidi="ar-SA"/>
    </w:rPr>
  </w:style>
  <w:style w:type="paragraph" w:styleId="39">
    <w:name w:val="toc 5"/>
    <w:basedOn w:val="1"/>
    <w:next w:val="1"/>
    <w:qFormat/>
    <w:uiPriority w:val="39"/>
    <w:pPr>
      <w:ind w:left="840"/>
    </w:pPr>
    <w:rPr>
      <w:sz w:val="18"/>
      <w:szCs w:val="18"/>
    </w:rPr>
  </w:style>
  <w:style w:type="paragraph" w:styleId="40">
    <w:name w:val="toc 3"/>
    <w:basedOn w:val="1"/>
    <w:next w:val="1"/>
    <w:qFormat/>
    <w:uiPriority w:val="39"/>
    <w:pPr>
      <w:ind w:left="420"/>
    </w:pPr>
    <w:rPr>
      <w:iCs/>
      <w:sz w:val="20"/>
      <w:szCs w:val="20"/>
    </w:rPr>
  </w:style>
  <w:style w:type="paragraph" w:styleId="41">
    <w:name w:val="List Bullet 5"/>
    <w:basedOn w:val="1"/>
    <w:qFormat/>
    <w:uiPriority w:val="0"/>
    <w:pPr>
      <w:widowControl w:val="0"/>
      <w:tabs>
        <w:tab w:val="left" w:pos="624"/>
        <w:tab w:val="left" w:pos="814"/>
        <w:tab w:val="left" w:pos="2040"/>
        <w:tab w:val="left" w:pos="2339"/>
      </w:tabs>
      <w:ind w:left="624" w:hanging="624"/>
      <w:jc w:val="both"/>
    </w:pPr>
    <w:rPr>
      <w:rFonts w:ascii="Calibri" w:hAnsi="Calibri"/>
      <w:kern w:val="2"/>
      <w:sz w:val="21"/>
      <w:lang w:eastAsia="zh-CN" w:bidi="ar-SA"/>
    </w:rPr>
  </w:style>
  <w:style w:type="paragraph" w:styleId="42">
    <w:name w:val="List Number 4"/>
    <w:basedOn w:val="1"/>
    <w:qFormat/>
    <w:uiPriority w:val="0"/>
    <w:pPr>
      <w:widowControl w:val="0"/>
      <w:tabs>
        <w:tab w:val="left" w:pos="782"/>
        <w:tab w:val="left" w:pos="1560"/>
        <w:tab w:val="left" w:pos="1620"/>
      </w:tabs>
      <w:ind w:left="851"/>
      <w:jc w:val="both"/>
    </w:pPr>
    <w:rPr>
      <w:rFonts w:ascii="Calibri" w:hAnsi="Calibri"/>
      <w:kern w:val="2"/>
      <w:sz w:val="21"/>
      <w:lang w:eastAsia="zh-CN" w:bidi="ar-SA"/>
    </w:rPr>
  </w:style>
  <w:style w:type="paragraph" w:styleId="43">
    <w:name w:val="toc 8"/>
    <w:basedOn w:val="1"/>
    <w:next w:val="1"/>
    <w:qFormat/>
    <w:uiPriority w:val="39"/>
    <w:pPr>
      <w:ind w:left="1470"/>
    </w:pPr>
    <w:rPr>
      <w:sz w:val="18"/>
      <w:szCs w:val="18"/>
    </w:rPr>
  </w:style>
  <w:style w:type="paragraph" w:styleId="44">
    <w:name w:val="Date"/>
    <w:basedOn w:val="1"/>
    <w:next w:val="1"/>
    <w:link w:val="119"/>
    <w:qFormat/>
    <w:uiPriority w:val="99"/>
    <w:pPr>
      <w:ind w:left="100" w:leftChars="2500"/>
    </w:pPr>
    <w:rPr>
      <w:rFonts w:ascii="仿宋_GB2312" w:eastAsia="仿宋_GB2312"/>
      <w:b/>
      <w:bCs/>
      <w:lang w:bidi="ar-SA"/>
    </w:rPr>
  </w:style>
  <w:style w:type="paragraph" w:styleId="45">
    <w:name w:val="Body Text Indent 2"/>
    <w:basedOn w:val="1"/>
    <w:next w:val="1"/>
    <w:link w:val="120"/>
    <w:qFormat/>
    <w:uiPriority w:val="0"/>
    <w:pPr>
      <w:tabs>
        <w:tab w:val="left" w:pos="4970"/>
      </w:tabs>
      <w:spacing w:line="360" w:lineRule="auto"/>
      <w:ind w:firstLine="480" w:firstLineChars="200"/>
    </w:pPr>
    <w:rPr>
      <w:lang w:bidi="ar-SA"/>
    </w:rPr>
  </w:style>
  <w:style w:type="paragraph" w:styleId="46">
    <w:name w:val="endnote text"/>
    <w:basedOn w:val="1"/>
    <w:link w:val="121"/>
    <w:qFormat/>
    <w:uiPriority w:val="0"/>
    <w:pPr>
      <w:widowControl w:val="0"/>
      <w:snapToGrid w:val="0"/>
    </w:pPr>
    <w:rPr>
      <w:rFonts w:ascii="Calibri" w:hAnsi="Calibri"/>
      <w:kern w:val="2"/>
      <w:sz w:val="21"/>
      <w:szCs w:val="20"/>
      <w:lang w:eastAsia="zh-CN" w:bidi="ar-SA"/>
    </w:rPr>
  </w:style>
  <w:style w:type="paragraph" w:styleId="47">
    <w:name w:val="List Continue 5"/>
    <w:basedOn w:val="1"/>
    <w:qFormat/>
    <w:uiPriority w:val="0"/>
    <w:pPr>
      <w:widowControl w:val="0"/>
      <w:ind w:left="2100" w:leftChars="1000"/>
      <w:jc w:val="both"/>
    </w:pPr>
    <w:rPr>
      <w:rFonts w:ascii="Calibri" w:hAnsi="Calibri"/>
      <w:kern w:val="2"/>
      <w:sz w:val="21"/>
      <w:lang w:eastAsia="zh-CN" w:bidi="ar-SA"/>
    </w:rPr>
  </w:style>
  <w:style w:type="paragraph" w:styleId="48">
    <w:name w:val="Balloon Text"/>
    <w:basedOn w:val="1"/>
    <w:next w:val="1"/>
    <w:link w:val="122"/>
    <w:qFormat/>
    <w:uiPriority w:val="0"/>
    <w:rPr>
      <w:sz w:val="18"/>
      <w:szCs w:val="18"/>
      <w:lang w:bidi="ar-SA"/>
    </w:rPr>
  </w:style>
  <w:style w:type="paragraph" w:styleId="49">
    <w:name w:val="footer"/>
    <w:basedOn w:val="1"/>
    <w:link w:val="123"/>
    <w:qFormat/>
    <w:uiPriority w:val="99"/>
    <w:pPr>
      <w:tabs>
        <w:tab w:val="center" w:pos="4153"/>
        <w:tab w:val="right" w:pos="8306"/>
      </w:tabs>
      <w:snapToGrid w:val="0"/>
    </w:pPr>
    <w:rPr>
      <w:sz w:val="18"/>
      <w:szCs w:val="18"/>
      <w:lang w:bidi="ar-SA"/>
    </w:rPr>
  </w:style>
  <w:style w:type="paragraph" w:styleId="50">
    <w:name w:val="envelope return"/>
    <w:basedOn w:val="1"/>
    <w:qFormat/>
    <w:uiPriority w:val="0"/>
    <w:pPr>
      <w:widowControl w:val="0"/>
      <w:snapToGrid w:val="0"/>
      <w:jc w:val="both"/>
    </w:pPr>
    <w:rPr>
      <w:rFonts w:ascii="Arial" w:hAnsi="Arial" w:cs="Arial"/>
      <w:kern w:val="2"/>
      <w:sz w:val="21"/>
      <w:lang w:eastAsia="zh-CN" w:bidi="ar-SA"/>
    </w:rPr>
  </w:style>
  <w:style w:type="paragraph" w:styleId="51">
    <w:name w:val="header"/>
    <w:basedOn w:val="1"/>
    <w:link w:val="124"/>
    <w:qFormat/>
    <w:uiPriority w:val="99"/>
    <w:pPr>
      <w:pBdr>
        <w:bottom w:val="single" w:color="auto" w:sz="6" w:space="1"/>
      </w:pBdr>
      <w:tabs>
        <w:tab w:val="center" w:pos="4153"/>
        <w:tab w:val="right" w:pos="8306"/>
      </w:tabs>
      <w:snapToGrid w:val="0"/>
      <w:jc w:val="center"/>
    </w:pPr>
    <w:rPr>
      <w:sz w:val="18"/>
      <w:szCs w:val="18"/>
      <w:lang w:bidi="ar-SA"/>
    </w:rPr>
  </w:style>
  <w:style w:type="paragraph" w:styleId="52">
    <w:name w:val="Signature"/>
    <w:basedOn w:val="1"/>
    <w:link w:val="125"/>
    <w:qFormat/>
    <w:uiPriority w:val="0"/>
    <w:pPr>
      <w:widowControl w:val="0"/>
      <w:ind w:left="100" w:leftChars="2100"/>
      <w:jc w:val="both"/>
    </w:pPr>
    <w:rPr>
      <w:rFonts w:ascii="Calibri" w:hAnsi="Calibri"/>
      <w:kern w:val="2"/>
      <w:sz w:val="21"/>
      <w:lang w:eastAsia="zh-CN" w:bidi="ar-SA"/>
    </w:rPr>
  </w:style>
  <w:style w:type="paragraph" w:styleId="53">
    <w:name w:val="toc 1"/>
    <w:basedOn w:val="1"/>
    <w:next w:val="1"/>
    <w:qFormat/>
    <w:uiPriority w:val="39"/>
    <w:pPr>
      <w:spacing w:before="120" w:after="120"/>
    </w:pPr>
    <w:rPr>
      <w:b/>
      <w:bCs/>
      <w:caps/>
      <w:sz w:val="20"/>
      <w:szCs w:val="20"/>
    </w:rPr>
  </w:style>
  <w:style w:type="paragraph" w:styleId="54">
    <w:name w:val="List Continue 4"/>
    <w:basedOn w:val="1"/>
    <w:qFormat/>
    <w:uiPriority w:val="0"/>
    <w:pPr>
      <w:widowControl w:val="0"/>
      <w:ind w:left="1680" w:leftChars="800"/>
      <w:jc w:val="both"/>
    </w:pPr>
    <w:rPr>
      <w:rFonts w:ascii="Calibri" w:hAnsi="Calibri"/>
      <w:kern w:val="2"/>
      <w:sz w:val="21"/>
      <w:lang w:eastAsia="zh-CN" w:bidi="ar-SA"/>
    </w:rPr>
  </w:style>
  <w:style w:type="paragraph" w:styleId="55">
    <w:name w:val="toc 4"/>
    <w:basedOn w:val="1"/>
    <w:next w:val="1"/>
    <w:qFormat/>
    <w:uiPriority w:val="39"/>
    <w:pPr>
      <w:ind w:left="630"/>
    </w:pPr>
    <w:rPr>
      <w:sz w:val="18"/>
      <w:szCs w:val="18"/>
    </w:rPr>
  </w:style>
  <w:style w:type="paragraph" w:styleId="56">
    <w:name w:val="Subtitle"/>
    <w:basedOn w:val="1"/>
    <w:next w:val="1"/>
    <w:link w:val="126"/>
    <w:qFormat/>
    <w:uiPriority w:val="0"/>
    <w:pPr>
      <w:spacing w:after="60"/>
      <w:jc w:val="center"/>
      <w:outlineLvl w:val="1"/>
    </w:pPr>
    <w:rPr>
      <w:rFonts w:ascii="Cambria" w:hAnsi="Cambria"/>
      <w:lang w:bidi="ar-SA"/>
    </w:rPr>
  </w:style>
  <w:style w:type="paragraph" w:styleId="57">
    <w:name w:val="List Number 5"/>
    <w:basedOn w:val="1"/>
    <w:qFormat/>
    <w:uiPriority w:val="0"/>
    <w:pPr>
      <w:widowControl w:val="0"/>
      <w:tabs>
        <w:tab w:val="left" w:pos="782"/>
        <w:tab w:val="left" w:pos="1440"/>
        <w:tab w:val="left" w:pos="2040"/>
      </w:tabs>
      <w:ind w:left="420" w:hanging="420"/>
      <w:jc w:val="both"/>
    </w:pPr>
    <w:rPr>
      <w:rFonts w:ascii="Calibri" w:hAnsi="Calibri"/>
      <w:kern w:val="2"/>
      <w:sz w:val="21"/>
      <w:lang w:eastAsia="zh-CN" w:bidi="ar-SA"/>
    </w:rPr>
  </w:style>
  <w:style w:type="paragraph" w:styleId="58">
    <w:name w:val="List"/>
    <w:basedOn w:val="1"/>
    <w:qFormat/>
    <w:uiPriority w:val="0"/>
    <w:pPr>
      <w:widowControl w:val="0"/>
      <w:jc w:val="both"/>
    </w:pPr>
    <w:rPr>
      <w:rFonts w:ascii="Calibri" w:hAnsi="Calibri"/>
      <w:kern w:val="2"/>
      <w:sz w:val="21"/>
      <w:lang w:eastAsia="zh-CN" w:bidi="ar-SA"/>
    </w:rPr>
  </w:style>
  <w:style w:type="paragraph" w:styleId="59">
    <w:name w:val="footnote text"/>
    <w:basedOn w:val="1"/>
    <w:link w:val="127"/>
    <w:qFormat/>
    <w:uiPriority w:val="0"/>
    <w:pPr>
      <w:widowControl w:val="0"/>
      <w:snapToGrid w:val="0"/>
    </w:pPr>
    <w:rPr>
      <w:kern w:val="2"/>
      <w:sz w:val="18"/>
      <w:szCs w:val="20"/>
      <w:lang w:eastAsia="zh-CN" w:bidi="ar-SA"/>
    </w:rPr>
  </w:style>
  <w:style w:type="paragraph" w:styleId="60">
    <w:name w:val="toc 6"/>
    <w:basedOn w:val="1"/>
    <w:next w:val="1"/>
    <w:qFormat/>
    <w:uiPriority w:val="39"/>
    <w:pPr>
      <w:ind w:left="1050"/>
    </w:pPr>
    <w:rPr>
      <w:sz w:val="18"/>
      <w:szCs w:val="18"/>
    </w:rPr>
  </w:style>
  <w:style w:type="paragraph" w:styleId="61">
    <w:name w:val="List 5"/>
    <w:basedOn w:val="1"/>
    <w:qFormat/>
    <w:uiPriority w:val="0"/>
    <w:pPr>
      <w:widowControl w:val="0"/>
      <w:ind w:left="100" w:leftChars="800" w:hanging="200" w:hangingChars="200"/>
      <w:jc w:val="both"/>
    </w:pPr>
    <w:rPr>
      <w:rFonts w:ascii="Calibri" w:hAnsi="Calibri"/>
      <w:kern w:val="2"/>
      <w:sz w:val="21"/>
      <w:lang w:eastAsia="zh-CN" w:bidi="ar-SA"/>
    </w:rPr>
  </w:style>
  <w:style w:type="paragraph" w:styleId="62">
    <w:name w:val="Body Text Indent 3"/>
    <w:basedOn w:val="1"/>
    <w:next w:val="1"/>
    <w:link w:val="128"/>
    <w:qFormat/>
    <w:uiPriority w:val="0"/>
    <w:pPr>
      <w:spacing w:line="360" w:lineRule="auto"/>
      <w:ind w:left="1978" w:leftChars="942"/>
    </w:pPr>
    <w:rPr>
      <w:rFonts w:hAnsi="宋体"/>
      <w:lang w:bidi="ar-SA"/>
    </w:rPr>
  </w:style>
  <w:style w:type="paragraph" w:styleId="63">
    <w:name w:val="table of figures"/>
    <w:basedOn w:val="1"/>
    <w:next w:val="1"/>
    <w:qFormat/>
    <w:uiPriority w:val="0"/>
    <w:pPr>
      <w:widowControl w:val="0"/>
      <w:ind w:left="200" w:leftChars="200" w:hanging="200" w:hangingChars="200"/>
      <w:jc w:val="both"/>
    </w:pPr>
    <w:rPr>
      <w:rFonts w:ascii="Calibri" w:hAnsi="Calibri"/>
      <w:kern w:val="2"/>
      <w:lang w:eastAsia="zh-CN" w:bidi="ar-SA"/>
    </w:rPr>
  </w:style>
  <w:style w:type="paragraph" w:styleId="64">
    <w:name w:val="toc 2"/>
    <w:basedOn w:val="1"/>
    <w:next w:val="1"/>
    <w:qFormat/>
    <w:uiPriority w:val="39"/>
    <w:pPr>
      <w:ind w:left="210"/>
    </w:pPr>
    <w:rPr>
      <w:smallCaps/>
      <w:sz w:val="20"/>
      <w:szCs w:val="20"/>
    </w:rPr>
  </w:style>
  <w:style w:type="paragraph" w:styleId="65">
    <w:name w:val="toc 9"/>
    <w:basedOn w:val="1"/>
    <w:next w:val="1"/>
    <w:qFormat/>
    <w:uiPriority w:val="39"/>
    <w:pPr>
      <w:ind w:left="1680"/>
    </w:pPr>
    <w:rPr>
      <w:sz w:val="18"/>
      <w:szCs w:val="18"/>
    </w:rPr>
  </w:style>
  <w:style w:type="paragraph" w:styleId="66">
    <w:name w:val="Body Text 2"/>
    <w:basedOn w:val="1"/>
    <w:next w:val="1"/>
    <w:link w:val="129"/>
    <w:qFormat/>
    <w:uiPriority w:val="0"/>
    <w:rPr>
      <w:rFonts w:eastAsia="楷体_GB2312"/>
      <w:b/>
      <w:bCs/>
      <w:lang w:bidi="ar-SA"/>
    </w:rPr>
  </w:style>
  <w:style w:type="paragraph" w:styleId="67">
    <w:name w:val="List 4"/>
    <w:basedOn w:val="1"/>
    <w:qFormat/>
    <w:uiPriority w:val="0"/>
    <w:pPr>
      <w:widowControl w:val="0"/>
      <w:ind w:left="100" w:leftChars="600" w:hanging="200" w:hangingChars="200"/>
      <w:jc w:val="both"/>
    </w:pPr>
    <w:rPr>
      <w:rFonts w:ascii="Calibri" w:hAnsi="Calibri"/>
      <w:kern w:val="2"/>
      <w:sz w:val="21"/>
      <w:lang w:eastAsia="zh-CN" w:bidi="ar-SA"/>
    </w:rPr>
  </w:style>
  <w:style w:type="paragraph" w:styleId="68">
    <w:name w:val="List Continue 2"/>
    <w:basedOn w:val="1"/>
    <w:qFormat/>
    <w:uiPriority w:val="0"/>
    <w:pPr>
      <w:widowControl w:val="0"/>
      <w:ind w:left="840" w:leftChars="400"/>
      <w:jc w:val="both"/>
    </w:pPr>
    <w:rPr>
      <w:rFonts w:ascii="Calibri" w:hAnsi="Calibri"/>
      <w:kern w:val="2"/>
      <w:sz w:val="21"/>
      <w:lang w:eastAsia="zh-CN" w:bidi="ar-SA"/>
    </w:rPr>
  </w:style>
  <w:style w:type="paragraph" w:styleId="69">
    <w:name w:val="Message Header"/>
    <w:basedOn w:val="1"/>
    <w:link w:val="130"/>
    <w:qFormat/>
    <w:uiPriority w:val="0"/>
    <w:pPr>
      <w:widowControl w:val="0"/>
      <w:pBdr>
        <w:top w:val="single" w:color="auto" w:sz="6" w:space="1"/>
        <w:left w:val="single" w:color="auto" w:sz="6" w:space="1"/>
        <w:bottom w:val="single" w:color="auto" w:sz="6" w:space="1"/>
        <w:right w:val="single" w:color="auto" w:sz="6" w:space="1"/>
      </w:pBdr>
      <w:shd w:val="pct20" w:color="auto" w:fill="auto"/>
      <w:ind w:left="1080" w:leftChars="500" w:hanging="1080" w:hangingChars="500"/>
      <w:jc w:val="both"/>
    </w:pPr>
    <w:rPr>
      <w:rFonts w:ascii="Arial" w:hAnsi="Arial"/>
      <w:kern w:val="2"/>
      <w:shd w:val="pct20" w:color="auto" w:fill="auto"/>
      <w:lang w:eastAsia="zh-CN" w:bidi="ar-SA"/>
    </w:rPr>
  </w:style>
  <w:style w:type="paragraph" w:styleId="70">
    <w:name w:val="HTML Preformatted"/>
    <w:basedOn w:val="1"/>
    <w:link w:val="13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topLinePunct/>
    </w:pPr>
    <w:rPr>
      <w:rFonts w:ascii="宋体" w:hAnsi="宋体"/>
      <w:lang w:eastAsia="zh-CN" w:bidi="ar-SA"/>
    </w:rPr>
  </w:style>
  <w:style w:type="paragraph" w:styleId="71">
    <w:name w:val="Normal (Web)"/>
    <w:basedOn w:val="1"/>
    <w:next w:val="1"/>
    <w:qFormat/>
    <w:uiPriority w:val="0"/>
    <w:pPr>
      <w:spacing w:before="100" w:beforeAutospacing="1" w:after="100" w:afterAutospacing="1"/>
    </w:pPr>
    <w:rPr>
      <w:rFonts w:ascii="宋体" w:hAnsi="宋体" w:cs="宋体"/>
    </w:rPr>
  </w:style>
  <w:style w:type="paragraph" w:styleId="72">
    <w:name w:val="List Continue 3"/>
    <w:basedOn w:val="1"/>
    <w:qFormat/>
    <w:uiPriority w:val="0"/>
    <w:pPr>
      <w:widowControl w:val="0"/>
      <w:ind w:left="1260" w:leftChars="600"/>
      <w:jc w:val="both"/>
    </w:pPr>
    <w:rPr>
      <w:rFonts w:ascii="Calibri" w:hAnsi="Calibri"/>
      <w:kern w:val="2"/>
      <w:sz w:val="21"/>
      <w:lang w:eastAsia="zh-CN" w:bidi="ar-SA"/>
    </w:rPr>
  </w:style>
  <w:style w:type="paragraph" w:styleId="73">
    <w:name w:val="index 1"/>
    <w:basedOn w:val="1"/>
    <w:next w:val="1"/>
    <w:qFormat/>
    <w:uiPriority w:val="0"/>
    <w:pPr>
      <w:widowControl w:val="0"/>
      <w:tabs>
        <w:tab w:val="left" w:pos="360"/>
        <w:tab w:val="left" w:pos="540"/>
      </w:tabs>
      <w:spacing w:line="360" w:lineRule="exact"/>
      <w:ind w:left="360" w:hanging="240"/>
      <w:jc w:val="both"/>
    </w:pPr>
    <w:rPr>
      <w:rFonts w:ascii="宋体" w:hAnsi="宋体"/>
      <w:kern w:val="2"/>
      <w:sz w:val="21"/>
      <w:szCs w:val="20"/>
      <w:lang w:eastAsia="zh-CN" w:bidi="ar-SA"/>
    </w:rPr>
  </w:style>
  <w:style w:type="paragraph" w:styleId="74">
    <w:name w:val="Title"/>
    <w:basedOn w:val="1"/>
    <w:next w:val="1"/>
    <w:link w:val="132"/>
    <w:qFormat/>
    <w:uiPriority w:val="9"/>
    <w:pPr>
      <w:spacing w:before="240" w:after="60"/>
      <w:jc w:val="center"/>
      <w:outlineLvl w:val="0"/>
    </w:pPr>
    <w:rPr>
      <w:rFonts w:ascii="Cambria" w:hAnsi="Cambria"/>
      <w:b/>
      <w:bCs/>
      <w:kern w:val="28"/>
      <w:sz w:val="32"/>
      <w:szCs w:val="32"/>
      <w:lang w:bidi="ar-SA"/>
    </w:rPr>
  </w:style>
  <w:style w:type="paragraph" w:styleId="75">
    <w:name w:val="annotation subject"/>
    <w:basedOn w:val="26"/>
    <w:next w:val="26"/>
    <w:link w:val="133"/>
    <w:qFormat/>
    <w:uiPriority w:val="0"/>
    <w:rPr>
      <w:b/>
      <w:bCs/>
    </w:rPr>
  </w:style>
  <w:style w:type="paragraph" w:styleId="76">
    <w:name w:val="Body Text First Indent"/>
    <w:basedOn w:val="31"/>
    <w:link w:val="134"/>
    <w:unhideWhenUsed/>
    <w:qFormat/>
    <w:uiPriority w:val="0"/>
    <w:pPr>
      <w:ind w:firstLine="420" w:firstLineChars="100"/>
    </w:pPr>
    <w:rPr>
      <w:lang w:bidi="en-US"/>
    </w:rPr>
  </w:style>
  <w:style w:type="paragraph" w:styleId="77">
    <w:name w:val="Body Text First Indent 2"/>
    <w:basedOn w:val="32"/>
    <w:link w:val="135"/>
    <w:unhideWhenUsed/>
    <w:qFormat/>
    <w:uiPriority w:val="0"/>
    <w:pPr>
      <w:spacing w:after="120"/>
      <w:ind w:left="420" w:leftChars="200" w:firstLine="420" w:firstLineChars="200"/>
    </w:pPr>
    <w:rPr>
      <w:rFonts w:ascii="Times New Roman"/>
      <w:sz w:val="24"/>
      <w:szCs w:val="24"/>
      <w:lang w:bidi="en-US"/>
    </w:rPr>
  </w:style>
  <w:style w:type="table" w:styleId="79">
    <w:name w:val="Table Grid"/>
    <w:basedOn w:val="7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1">
    <w:name w:val="Strong"/>
    <w:qFormat/>
    <w:locked/>
    <w:uiPriority w:val="22"/>
    <w:rPr>
      <w:b/>
      <w:bCs/>
    </w:rPr>
  </w:style>
  <w:style w:type="character" w:styleId="82">
    <w:name w:val="page number"/>
    <w:qFormat/>
    <w:uiPriority w:val="0"/>
    <w:rPr>
      <w:rFonts w:ascii="Times New Roman" w:hAnsi="Times New Roman" w:cs="Times New Roman"/>
    </w:rPr>
  </w:style>
  <w:style w:type="character" w:styleId="83">
    <w:name w:val="FollowedHyperlink"/>
    <w:qFormat/>
    <w:uiPriority w:val="99"/>
    <w:rPr>
      <w:color w:val="800080"/>
      <w:u w:val="single"/>
    </w:rPr>
  </w:style>
  <w:style w:type="character" w:styleId="84">
    <w:name w:val="Emphasis"/>
    <w:qFormat/>
    <w:locked/>
    <w:uiPriority w:val="0"/>
    <w:rPr>
      <w:rFonts w:ascii="Calibri" w:hAnsi="Calibri"/>
      <w:b/>
      <w:i/>
      <w:iCs/>
    </w:rPr>
  </w:style>
  <w:style w:type="character" w:styleId="85">
    <w:name w:val="line number"/>
    <w:qFormat/>
    <w:uiPriority w:val="0"/>
    <w:rPr>
      <w:rFonts w:ascii="Times New Roman" w:hAnsi="Times New Roman" w:eastAsia="宋体" w:cs="Times New Roman"/>
    </w:rPr>
  </w:style>
  <w:style w:type="character" w:styleId="86">
    <w:name w:val="HTML Definition"/>
    <w:qFormat/>
    <w:uiPriority w:val="0"/>
    <w:rPr>
      <w:rFonts w:ascii="Times New Roman" w:hAnsi="Times New Roman" w:eastAsia="宋体" w:cs="Times New Roman"/>
      <w:i/>
      <w:iCs/>
    </w:rPr>
  </w:style>
  <w:style w:type="character" w:styleId="87">
    <w:name w:val="HTML Typewriter"/>
    <w:qFormat/>
    <w:uiPriority w:val="0"/>
    <w:rPr>
      <w:rFonts w:ascii="PMingLiU" w:hAnsi="PMingLiU" w:eastAsia="宋体" w:cs="PMingLiU"/>
      <w:sz w:val="20"/>
      <w:szCs w:val="20"/>
    </w:rPr>
  </w:style>
  <w:style w:type="character" w:styleId="88">
    <w:name w:val="HTML Acronym"/>
    <w:qFormat/>
    <w:uiPriority w:val="0"/>
    <w:rPr>
      <w:rFonts w:ascii="Times New Roman" w:hAnsi="Times New Roman" w:eastAsia="宋体" w:cs="Times New Roman"/>
    </w:rPr>
  </w:style>
  <w:style w:type="character" w:styleId="89">
    <w:name w:val="HTML Variable"/>
    <w:qFormat/>
    <w:uiPriority w:val="0"/>
    <w:rPr>
      <w:rFonts w:ascii="Times New Roman" w:hAnsi="Times New Roman" w:eastAsia="宋体" w:cs="Times New Roman"/>
      <w:i/>
      <w:iCs/>
    </w:rPr>
  </w:style>
  <w:style w:type="character" w:styleId="90">
    <w:name w:val="Hyperlink"/>
    <w:qFormat/>
    <w:uiPriority w:val="99"/>
    <w:rPr>
      <w:color w:val="0000FF"/>
      <w:u w:val="single"/>
    </w:rPr>
  </w:style>
  <w:style w:type="character" w:styleId="91">
    <w:name w:val="HTML Code"/>
    <w:qFormat/>
    <w:uiPriority w:val="0"/>
    <w:rPr>
      <w:rFonts w:ascii="PMingLiU" w:hAnsi="PMingLiU" w:eastAsia="宋体" w:cs="PMingLiU"/>
      <w:sz w:val="20"/>
      <w:szCs w:val="20"/>
    </w:rPr>
  </w:style>
  <w:style w:type="character" w:styleId="92">
    <w:name w:val="annotation reference"/>
    <w:qFormat/>
    <w:uiPriority w:val="0"/>
    <w:rPr>
      <w:rFonts w:ascii="Times New Roman" w:hAnsi="Times New Roman" w:cs="Times New Roman"/>
      <w:sz w:val="21"/>
      <w:szCs w:val="21"/>
    </w:rPr>
  </w:style>
  <w:style w:type="character" w:styleId="93">
    <w:name w:val="HTML Cite"/>
    <w:qFormat/>
    <w:uiPriority w:val="0"/>
    <w:rPr>
      <w:rFonts w:ascii="Times New Roman" w:hAnsi="Times New Roman" w:eastAsia="宋体" w:cs="Times New Roman"/>
      <w:i/>
      <w:iCs/>
    </w:rPr>
  </w:style>
  <w:style w:type="character" w:styleId="94">
    <w:name w:val="footnote reference"/>
    <w:qFormat/>
    <w:uiPriority w:val="0"/>
    <w:rPr>
      <w:vertAlign w:val="superscript"/>
    </w:rPr>
  </w:style>
  <w:style w:type="character" w:styleId="95">
    <w:name w:val="HTML Keyboard"/>
    <w:qFormat/>
    <w:uiPriority w:val="0"/>
    <w:rPr>
      <w:rFonts w:ascii="PMingLiU" w:hAnsi="PMingLiU" w:eastAsia="宋体" w:cs="PMingLiU"/>
      <w:sz w:val="20"/>
      <w:szCs w:val="20"/>
    </w:rPr>
  </w:style>
  <w:style w:type="character" w:styleId="96">
    <w:name w:val="HTML Sample"/>
    <w:qFormat/>
    <w:uiPriority w:val="0"/>
    <w:rPr>
      <w:rFonts w:ascii="PMingLiU" w:hAnsi="PMingLiU" w:eastAsia="宋体" w:cs="PMingLiU"/>
    </w:rPr>
  </w:style>
  <w:style w:type="character" w:customStyle="1" w:styleId="97">
    <w:name w:val="宏文本 字符"/>
    <w:link w:val="3"/>
    <w:qFormat/>
    <w:uiPriority w:val="99"/>
    <w:rPr>
      <w:rFonts w:ascii="Courier New" w:hAnsi="Courier New"/>
      <w:kern w:val="2"/>
      <w:sz w:val="24"/>
      <w:szCs w:val="24"/>
    </w:rPr>
  </w:style>
  <w:style w:type="character" w:customStyle="1" w:styleId="98">
    <w:name w:val="标题 1 字符1"/>
    <w:link w:val="4"/>
    <w:qFormat/>
    <w:locked/>
    <w:uiPriority w:val="0"/>
    <w:rPr>
      <w:rFonts w:ascii="Cambria" w:hAnsi="Cambria" w:eastAsia="宋体" w:cs="Calibri"/>
      <w:b/>
      <w:bCs/>
      <w:kern w:val="32"/>
      <w:sz w:val="32"/>
      <w:szCs w:val="32"/>
    </w:rPr>
  </w:style>
  <w:style w:type="character" w:customStyle="1" w:styleId="99">
    <w:name w:val="标题 2 字符1"/>
    <w:link w:val="5"/>
    <w:qFormat/>
    <w:locked/>
    <w:uiPriority w:val="0"/>
    <w:rPr>
      <w:rFonts w:ascii="Cambria" w:hAnsi="Cambria" w:eastAsia="宋体"/>
      <w:b/>
      <w:bCs/>
      <w:i/>
      <w:iCs/>
      <w:sz w:val="28"/>
      <w:szCs w:val="28"/>
    </w:rPr>
  </w:style>
  <w:style w:type="character" w:customStyle="1" w:styleId="100">
    <w:name w:val="标题 3 字符1"/>
    <w:link w:val="6"/>
    <w:qFormat/>
    <w:locked/>
    <w:uiPriority w:val="0"/>
    <w:rPr>
      <w:rFonts w:ascii="Cambria" w:hAnsi="Cambria" w:eastAsia="宋体" w:cs="Calibri"/>
      <w:b/>
      <w:bCs/>
      <w:sz w:val="26"/>
      <w:szCs w:val="26"/>
    </w:rPr>
  </w:style>
  <w:style w:type="character" w:customStyle="1" w:styleId="101">
    <w:name w:val="标题 4 字符1"/>
    <w:link w:val="7"/>
    <w:qFormat/>
    <w:locked/>
    <w:uiPriority w:val="0"/>
    <w:rPr>
      <w:rFonts w:cs="Calibri"/>
      <w:b/>
      <w:bCs/>
      <w:sz w:val="28"/>
      <w:szCs w:val="28"/>
    </w:rPr>
  </w:style>
  <w:style w:type="character" w:customStyle="1" w:styleId="102">
    <w:name w:val="标题 5 字符1"/>
    <w:link w:val="8"/>
    <w:qFormat/>
    <w:locked/>
    <w:uiPriority w:val="0"/>
    <w:rPr>
      <w:rFonts w:cs="Calibri"/>
      <w:b/>
      <w:bCs/>
      <w:i/>
      <w:iCs/>
      <w:sz w:val="26"/>
      <w:szCs w:val="26"/>
    </w:rPr>
  </w:style>
  <w:style w:type="character" w:customStyle="1" w:styleId="103">
    <w:name w:val="标题 6 字符1"/>
    <w:link w:val="9"/>
    <w:qFormat/>
    <w:locked/>
    <w:uiPriority w:val="0"/>
    <w:rPr>
      <w:rFonts w:cs="Calibri"/>
      <w:b/>
      <w:bCs/>
    </w:rPr>
  </w:style>
  <w:style w:type="character" w:customStyle="1" w:styleId="104">
    <w:name w:val="标题 7 字符1"/>
    <w:link w:val="10"/>
    <w:qFormat/>
    <w:locked/>
    <w:uiPriority w:val="9"/>
    <w:rPr>
      <w:rFonts w:cs="Calibri"/>
      <w:sz w:val="24"/>
      <w:szCs w:val="24"/>
    </w:rPr>
  </w:style>
  <w:style w:type="character" w:customStyle="1" w:styleId="105">
    <w:name w:val="标题 8 字符1"/>
    <w:link w:val="11"/>
    <w:qFormat/>
    <w:locked/>
    <w:uiPriority w:val="9"/>
    <w:rPr>
      <w:rFonts w:cs="Calibri"/>
      <w:i/>
      <w:iCs/>
      <w:sz w:val="24"/>
      <w:szCs w:val="24"/>
    </w:rPr>
  </w:style>
  <w:style w:type="character" w:customStyle="1" w:styleId="106">
    <w:name w:val="标题 9 字符1"/>
    <w:link w:val="12"/>
    <w:qFormat/>
    <w:locked/>
    <w:uiPriority w:val="0"/>
    <w:rPr>
      <w:rFonts w:ascii="Cambria" w:hAnsi="Cambria" w:eastAsia="宋体" w:cs="Calibri"/>
    </w:rPr>
  </w:style>
  <w:style w:type="character" w:customStyle="1" w:styleId="107">
    <w:name w:val="注释标题 字符"/>
    <w:link w:val="16"/>
    <w:qFormat/>
    <w:uiPriority w:val="0"/>
    <w:rPr>
      <w:rFonts w:ascii="Calibri" w:hAnsi="Calibri" w:eastAsia="方正大标宋简体"/>
      <w:kern w:val="2"/>
      <w:sz w:val="24"/>
      <w:lang w:eastAsia="zh-TW"/>
    </w:rPr>
  </w:style>
  <w:style w:type="character" w:customStyle="1" w:styleId="108">
    <w:name w:val="电子邮件签名 字符"/>
    <w:link w:val="18"/>
    <w:qFormat/>
    <w:uiPriority w:val="0"/>
    <w:rPr>
      <w:rFonts w:ascii="Calibri" w:hAnsi="Calibri"/>
      <w:kern w:val="2"/>
      <w:sz w:val="21"/>
      <w:szCs w:val="24"/>
    </w:rPr>
  </w:style>
  <w:style w:type="character" w:customStyle="1" w:styleId="109">
    <w:name w:val="正文缩进 字符1"/>
    <w:link w:val="20"/>
    <w:qFormat/>
    <w:uiPriority w:val="0"/>
    <w:rPr>
      <w:sz w:val="24"/>
      <w:szCs w:val="24"/>
      <w:lang w:eastAsia="en-US" w:bidi="en-US"/>
    </w:rPr>
  </w:style>
  <w:style w:type="character" w:customStyle="1" w:styleId="110">
    <w:name w:val="文档结构图 字符1"/>
    <w:link w:val="24"/>
    <w:qFormat/>
    <w:locked/>
    <w:uiPriority w:val="0"/>
    <w:rPr>
      <w:rFonts w:ascii="Times New Roman" w:hAnsi="Times New Roman" w:eastAsia="宋体" w:cs="Times New Roman"/>
      <w:sz w:val="24"/>
      <w:szCs w:val="24"/>
      <w:shd w:val="clear" w:color="auto" w:fill="000080"/>
    </w:rPr>
  </w:style>
  <w:style w:type="character" w:customStyle="1" w:styleId="111">
    <w:name w:val="批注文字 字符2"/>
    <w:link w:val="26"/>
    <w:qFormat/>
    <w:locked/>
    <w:uiPriority w:val="0"/>
    <w:rPr>
      <w:rFonts w:ascii="Times New Roman" w:hAnsi="Times New Roman" w:eastAsia="宋体" w:cs="Times New Roman"/>
      <w:sz w:val="24"/>
      <w:szCs w:val="24"/>
    </w:rPr>
  </w:style>
  <w:style w:type="character" w:customStyle="1" w:styleId="112">
    <w:name w:val="称呼 字符"/>
    <w:link w:val="27"/>
    <w:qFormat/>
    <w:uiPriority w:val="0"/>
    <w:rPr>
      <w:rFonts w:ascii="Calibri" w:hAnsi="Calibri"/>
      <w:kern w:val="2"/>
      <w:sz w:val="21"/>
      <w:szCs w:val="24"/>
    </w:rPr>
  </w:style>
  <w:style w:type="character" w:customStyle="1" w:styleId="113">
    <w:name w:val="正文文本 3 字符1"/>
    <w:link w:val="28"/>
    <w:qFormat/>
    <w:locked/>
    <w:uiPriority w:val="99"/>
    <w:rPr>
      <w:rFonts w:ascii="Times New Roman" w:hAnsi="Times New Roman" w:eastAsia="宋体" w:cs="Times New Roman"/>
      <w:sz w:val="16"/>
      <w:szCs w:val="16"/>
    </w:rPr>
  </w:style>
  <w:style w:type="character" w:customStyle="1" w:styleId="114">
    <w:name w:val="结束语 字符"/>
    <w:link w:val="29"/>
    <w:qFormat/>
    <w:uiPriority w:val="0"/>
    <w:rPr>
      <w:rFonts w:ascii="Calibri" w:hAnsi="Calibri"/>
      <w:kern w:val="2"/>
      <w:sz w:val="21"/>
      <w:szCs w:val="24"/>
    </w:rPr>
  </w:style>
  <w:style w:type="character" w:customStyle="1" w:styleId="115">
    <w:name w:val="正文文本 字符1"/>
    <w:link w:val="31"/>
    <w:qFormat/>
    <w:locked/>
    <w:uiPriority w:val="99"/>
    <w:rPr>
      <w:rFonts w:ascii="Times New Roman" w:hAnsi="Times New Roman" w:eastAsia="宋体" w:cs="Times New Roman"/>
      <w:sz w:val="24"/>
      <w:szCs w:val="24"/>
    </w:rPr>
  </w:style>
  <w:style w:type="character" w:customStyle="1" w:styleId="116">
    <w:name w:val="正文文本缩进 字符1"/>
    <w:link w:val="32"/>
    <w:qFormat/>
    <w:locked/>
    <w:uiPriority w:val="0"/>
    <w:rPr>
      <w:rFonts w:ascii="宋体" w:hAnsi="Times New Roman" w:eastAsia="宋体" w:cs="宋体"/>
      <w:sz w:val="20"/>
      <w:szCs w:val="20"/>
    </w:rPr>
  </w:style>
  <w:style w:type="character" w:customStyle="1" w:styleId="117">
    <w:name w:val="HTML 地址 字符"/>
    <w:link w:val="38"/>
    <w:qFormat/>
    <w:uiPriority w:val="0"/>
    <w:rPr>
      <w:rFonts w:ascii="Calibri" w:hAnsi="Calibri"/>
      <w:i/>
      <w:iCs/>
      <w:kern w:val="2"/>
      <w:sz w:val="21"/>
      <w:szCs w:val="24"/>
    </w:rPr>
  </w:style>
  <w:style w:type="character" w:customStyle="1" w:styleId="118">
    <w:name w:val="纯文本 字符1"/>
    <w:link w:val="2"/>
    <w:qFormat/>
    <w:locked/>
    <w:uiPriority w:val="0"/>
    <w:rPr>
      <w:rFonts w:ascii="宋体" w:hAnsi="Courier New" w:eastAsia="宋体" w:cs="宋体"/>
      <w:sz w:val="20"/>
      <w:szCs w:val="20"/>
    </w:rPr>
  </w:style>
  <w:style w:type="character" w:customStyle="1" w:styleId="119">
    <w:name w:val="日期 字符1"/>
    <w:link w:val="44"/>
    <w:qFormat/>
    <w:locked/>
    <w:uiPriority w:val="99"/>
    <w:rPr>
      <w:rFonts w:ascii="仿宋_GB2312" w:hAnsi="Times New Roman" w:eastAsia="仿宋_GB2312" w:cs="仿宋_GB2312"/>
      <w:b/>
      <w:bCs/>
      <w:sz w:val="24"/>
      <w:szCs w:val="24"/>
    </w:rPr>
  </w:style>
  <w:style w:type="character" w:customStyle="1" w:styleId="120">
    <w:name w:val="正文文本缩进 2 字符1"/>
    <w:link w:val="45"/>
    <w:qFormat/>
    <w:locked/>
    <w:uiPriority w:val="0"/>
    <w:rPr>
      <w:rFonts w:ascii="Times New Roman" w:hAnsi="Times New Roman" w:eastAsia="宋体" w:cs="Times New Roman"/>
      <w:sz w:val="24"/>
      <w:szCs w:val="24"/>
    </w:rPr>
  </w:style>
  <w:style w:type="character" w:customStyle="1" w:styleId="121">
    <w:name w:val="尾注文本 字符"/>
    <w:link w:val="46"/>
    <w:qFormat/>
    <w:uiPriority w:val="0"/>
    <w:rPr>
      <w:rFonts w:ascii="Calibri" w:hAnsi="Calibri"/>
      <w:kern w:val="2"/>
      <w:sz w:val="21"/>
    </w:rPr>
  </w:style>
  <w:style w:type="character" w:customStyle="1" w:styleId="122">
    <w:name w:val="批注框文本 字符1"/>
    <w:link w:val="48"/>
    <w:qFormat/>
    <w:locked/>
    <w:uiPriority w:val="0"/>
    <w:rPr>
      <w:rFonts w:ascii="Times New Roman" w:hAnsi="Times New Roman" w:eastAsia="宋体" w:cs="Times New Roman"/>
      <w:sz w:val="18"/>
      <w:szCs w:val="18"/>
    </w:rPr>
  </w:style>
  <w:style w:type="character" w:customStyle="1" w:styleId="123">
    <w:name w:val="页脚 字符1"/>
    <w:link w:val="49"/>
    <w:qFormat/>
    <w:locked/>
    <w:uiPriority w:val="0"/>
    <w:rPr>
      <w:sz w:val="18"/>
      <w:szCs w:val="18"/>
    </w:rPr>
  </w:style>
  <w:style w:type="character" w:customStyle="1" w:styleId="124">
    <w:name w:val="页眉 字符1"/>
    <w:link w:val="51"/>
    <w:qFormat/>
    <w:locked/>
    <w:uiPriority w:val="0"/>
    <w:rPr>
      <w:sz w:val="18"/>
      <w:szCs w:val="18"/>
    </w:rPr>
  </w:style>
  <w:style w:type="character" w:customStyle="1" w:styleId="125">
    <w:name w:val="签名 字符"/>
    <w:link w:val="52"/>
    <w:qFormat/>
    <w:uiPriority w:val="0"/>
    <w:rPr>
      <w:rFonts w:ascii="Calibri" w:hAnsi="Calibri"/>
      <w:kern w:val="2"/>
      <w:sz w:val="21"/>
      <w:szCs w:val="24"/>
    </w:rPr>
  </w:style>
  <w:style w:type="character" w:customStyle="1" w:styleId="126">
    <w:name w:val="副标题 字符1"/>
    <w:link w:val="56"/>
    <w:qFormat/>
    <w:locked/>
    <w:uiPriority w:val="0"/>
    <w:rPr>
      <w:rFonts w:ascii="Cambria" w:hAnsi="Cambria" w:eastAsia="宋体"/>
      <w:sz w:val="24"/>
      <w:szCs w:val="24"/>
    </w:rPr>
  </w:style>
  <w:style w:type="character" w:customStyle="1" w:styleId="127">
    <w:name w:val="脚注文本 字符"/>
    <w:link w:val="59"/>
    <w:qFormat/>
    <w:uiPriority w:val="0"/>
    <w:rPr>
      <w:kern w:val="2"/>
      <w:sz w:val="18"/>
    </w:rPr>
  </w:style>
  <w:style w:type="character" w:customStyle="1" w:styleId="128">
    <w:name w:val="正文文本缩进 3 字符1"/>
    <w:link w:val="62"/>
    <w:qFormat/>
    <w:locked/>
    <w:uiPriority w:val="0"/>
    <w:rPr>
      <w:rFonts w:ascii="Times New Roman" w:hAnsi="宋体" w:eastAsia="宋体" w:cs="Times New Roman"/>
      <w:sz w:val="24"/>
      <w:szCs w:val="24"/>
    </w:rPr>
  </w:style>
  <w:style w:type="character" w:customStyle="1" w:styleId="129">
    <w:name w:val="正文文本 2 字符1"/>
    <w:link w:val="66"/>
    <w:qFormat/>
    <w:locked/>
    <w:uiPriority w:val="0"/>
    <w:rPr>
      <w:rFonts w:ascii="Times New Roman" w:hAnsi="Times New Roman" w:eastAsia="楷体_GB2312" w:cs="Times New Roman"/>
      <w:b/>
      <w:bCs/>
      <w:sz w:val="24"/>
      <w:szCs w:val="24"/>
    </w:rPr>
  </w:style>
  <w:style w:type="character" w:customStyle="1" w:styleId="130">
    <w:name w:val="信息标题 字符"/>
    <w:link w:val="69"/>
    <w:qFormat/>
    <w:uiPriority w:val="0"/>
    <w:rPr>
      <w:rFonts w:ascii="Arial" w:hAnsi="Arial"/>
      <w:kern w:val="2"/>
      <w:sz w:val="24"/>
      <w:szCs w:val="24"/>
      <w:shd w:val="pct20" w:color="auto" w:fill="auto"/>
    </w:rPr>
  </w:style>
  <w:style w:type="character" w:customStyle="1" w:styleId="131">
    <w:name w:val="HTML 预设格式 字符"/>
    <w:link w:val="70"/>
    <w:qFormat/>
    <w:uiPriority w:val="99"/>
    <w:rPr>
      <w:rFonts w:ascii="宋体" w:hAnsi="宋体"/>
      <w:sz w:val="24"/>
      <w:szCs w:val="24"/>
    </w:rPr>
  </w:style>
  <w:style w:type="character" w:customStyle="1" w:styleId="132">
    <w:name w:val="标题 字符1"/>
    <w:link w:val="74"/>
    <w:qFormat/>
    <w:locked/>
    <w:uiPriority w:val="0"/>
    <w:rPr>
      <w:rFonts w:ascii="Cambria" w:hAnsi="Cambria" w:eastAsia="宋体"/>
      <w:b/>
      <w:bCs/>
      <w:kern w:val="28"/>
      <w:sz w:val="32"/>
      <w:szCs w:val="32"/>
    </w:rPr>
  </w:style>
  <w:style w:type="character" w:customStyle="1" w:styleId="133">
    <w:name w:val="批注主题 字符1"/>
    <w:link w:val="75"/>
    <w:qFormat/>
    <w:locked/>
    <w:uiPriority w:val="0"/>
    <w:rPr>
      <w:rFonts w:ascii="Times New Roman" w:hAnsi="Times New Roman" w:eastAsia="宋体" w:cs="Times New Roman"/>
      <w:b/>
      <w:bCs/>
      <w:sz w:val="24"/>
      <w:szCs w:val="24"/>
    </w:rPr>
  </w:style>
  <w:style w:type="character" w:customStyle="1" w:styleId="134">
    <w:name w:val="正文文本首行缩进 字符"/>
    <w:link w:val="76"/>
    <w:qFormat/>
    <w:uiPriority w:val="0"/>
    <w:rPr>
      <w:rFonts w:ascii="Times New Roman" w:hAnsi="Times New Roman" w:eastAsia="宋体" w:cs="Times New Roman"/>
      <w:sz w:val="24"/>
      <w:szCs w:val="24"/>
      <w:lang w:eastAsia="en-US" w:bidi="en-US"/>
    </w:rPr>
  </w:style>
  <w:style w:type="character" w:customStyle="1" w:styleId="135">
    <w:name w:val="正文文本首行缩进 2 字符"/>
    <w:link w:val="77"/>
    <w:qFormat/>
    <w:uiPriority w:val="0"/>
    <w:rPr>
      <w:rFonts w:ascii="宋体" w:hAnsi="Times New Roman" w:eastAsia="宋体" w:cs="宋体"/>
      <w:sz w:val="24"/>
      <w:szCs w:val="24"/>
      <w:lang w:eastAsia="en-US" w:bidi="en-US"/>
    </w:rPr>
  </w:style>
  <w:style w:type="character" w:customStyle="1" w:styleId="136">
    <w:name w:val="标题 5 Char1"/>
    <w:qFormat/>
    <w:locked/>
    <w:uiPriority w:val="9"/>
    <w:rPr>
      <w:rFonts w:ascii="Calibri" w:hAnsi="Calibri" w:eastAsia="宋体" w:cs="Calibri"/>
      <w:b/>
      <w:bCs/>
      <w:sz w:val="28"/>
      <w:szCs w:val="28"/>
      <w:lang w:bidi="ar-SA"/>
    </w:rPr>
  </w:style>
  <w:style w:type="character" w:customStyle="1" w:styleId="137">
    <w:name w:val="标题 5 字符"/>
    <w:semiHidden/>
    <w:qFormat/>
    <w:locked/>
    <w:uiPriority w:val="99"/>
    <w:rPr>
      <w:rFonts w:eastAsia="宋体"/>
      <w:b/>
      <w:bCs/>
      <w:sz w:val="28"/>
      <w:szCs w:val="28"/>
      <w:lang w:val="en-US" w:eastAsia="zh-CN"/>
    </w:rPr>
  </w:style>
  <w:style w:type="character" w:customStyle="1" w:styleId="138">
    <w:name w:val="标题 4 字符"/>
    <w:semiHidden/>
    <w:qFormat/>
    <w:locked/>
    <w:uiPriority w:val="99"/>
    <w:rPr>
      <w:rFonts w:ascii="Arial" w:hAnsi="Arial" w:eastAsia="黑体" w:cs="Arial"/>
      <w:b/>
      <w:bCs/>
      <w:sz w:val="28"/>
      <w:szCs w:val="28"/>
      <w:lang w:val="en-US" w:eastAsia="zh-CN"/>
    </w:rPr>
  </w:style>
  <w:style w:type="character" w:customStyle="1" w:styleId="139">
    <w:name w:val="正文文本 2 字符"/>
    <w:semiHidden/>
    <w:qFormat/>
    <w:locked/>
    <w:uiPriority w:val="99"/>
    <w:rPr>
      <w:rFonts w:ascii="Times New Roman" w:hAnsi="Times New Roman" w:eastAsia="楷体_GB2312" w:cs="Times New Roman"/>
      <w:b/>
      <w:bCs/>
      <w:sz w:val="24"/>
      <w:szCs w:val="24"/>
    </w:rPr>
  </w:style>
  <w:style w:type="character" w:customStyle="1" w:styleId="140">
    <w:name w:val="标题 9 Char1"/>
    <w:qFormat/>
    <w:locked/>
    <w:uiPriority w:val="0"/>
    <w:rPr>
      <w:rFonts w:ascii="Arial" w:hAnsi="Arial" w:eastAsia="黑体" w:cs="Calibri"/>
      <w:sz w:val="21"/>
      <w:szCs w:val="21"/>
      <w:lang w:bidi="ar-SA"/>
    </w:rPr>
  </w:style>
  <w:style w:type="character" w:customStyle="1" w:styleId="141">
    <w:name w:val="标题 2 字符"/>
    <w:qFormat/>
    <w:locked/>
    <w:uiPriority w:val="99"/>
    <w:rPr>
      <w:rFonts w:ascii="宋体" w:hAnsi="Arial" w:eastAsia="宋体" w:cs="宋体"/>
      <w:sz w:val="32"/>
      <w:szCs w:val="32"/>
      <w:lang w:val="en-US" w:eastAsia="zh-CN"/>
    </w:rPr>
  </w:style>
  <w:style w:type="character" w:customStyle="1" w:styleId="142">
    <w:name w:val="明显引用 字符"/>
    <w:link w:val="143"/>
    <w:qFormat/>
    <w:uiPriority w:val="30"/>
    <w:rPr>
      <w:b/>
      <w:i/>
      <w:sz w:val="24"/>
    </w:rPr>
  </w:style>
  <w:style w:type="paragraph" w:styleId="143">
    <w:name w:val="Intense Quote"/>
    <w:basedOn w:val="1"/>
    <w:next w:val="1"/>
    <w:link w:val="142"/>
    <w:qFormat/>
    <w:uiPriority w:val="30"/>
    <w:pPr>
      <w:ind w:left="720" w:right="720"/>
    </w:pPr>
    <w:rPr>
      <w:b/>
      <w:i/>
      <w:szCs w:val="20"/>
      <w:lang w:bidi="ar-SA"/>
    </w:rPr>
  </w:style>
  <w:style w:type="character" w:customStyle="1" w:styleId="144">
    <w:name w:val="批注文字 字符"/>
    <w:qFormat/>
    <w:locked/>
    <w:uiPriority w:val="0"/>
    <w:rPr>
      <w:rFonts w:ascii="Times New Roman" w:hAnsi="Times New Roman" w:eastAsia="宋体" w:cs="Times New Roman"/>
      <w:sz w:val="24"/>
      <w:szCs w:val="24"/>
    </w:rPr>
  </w:style>
  <w:style w:type="character" w:customStyle="1" w:styleId="145">
    <w:name w:val="批注框文本 字符"/>
    <w:semiHidden/>
    <w:qFormat/>
    <w:locked/>
    <w:uiPriority w:val="99"/>
    <w:rPr>
      <w:rFonts w:ascii="Times New Roman" w:hAnsi="Times New Roman" w:eastAsia="宋体" w:cs="Times New Roman"/>
      <w:sz w:val="18"/>
      <w:szCs w:val="18"/>
    </w:rPr>
  </w:style>
  <w:style w:type="character" w:customStyle="1" w:styleId="146">
    <w:name w:val="纯文本 字符"/>
    <w:qFormat/>
    <w:locked/>
    <w:uiPriority w:val="99"/>
    <w:rPr>
      <w:rFonts w:ascii="宋体" w:hAnsi="Courier New" w:eastAsia="宋体" w:cs="宋体"/>
      <w:sz w:val="20"/>
      <w:szCs w:val="20"/>
    </w:rPr>
  </w:style>
  <w:style w:type="character" w:customStyle="1" w:styleId="147">
    <w:name w:val="标题 字符"/>
    <w:qFormat/>
    <w:locked/>
    <w:uiPriority w:val="99"/>
    <w:rPr>
      <w:rFonts w:ascii="Cambria" w:hAnsi="Cambria" w:eastAsia="宋体" w:cs="Cambria"/>
      <w:b/>
      <w:bCs/>
      <w:kern w:val="0"/>
      <w:sz w:val="20"/>
      <w:szCs w:val="20"/>
    </w:rPr>
  </w:style>
  <w:style w:type="character" w:customStyle="1" w:styleId="148">
    <w:name w:val="页脚 字符"/>
    <w:qFormat/>
    <w:locked/>
    <w:uiPriority w:val="99"/>
    <w:rPr>
      <w:sz w:val="18"/>
      <w:szCs w:val="18"/>
    </w:rPr>
  </w:style>
  <w:style w:type="character" w:customStyle="1" w:styleId="149">
    <w:name w:val="纯文本 Char"/>
    <w:qFormat/>
    <w:locked/>
    <w:uiPriority w:val="0"/>
    <w:rPr>
      <w:rFonts w:ascii="宋体" w:hAnsi="Courier New" w:eastAsia="宋体"/>
      <w:kern w:val="2"/>
      <w:sz w:val="21"/>
      <w:szCs w:val="21"/>
      <w:lang w:bidi="ar-SA"/>
    </w:rPr>
  </w:style>
  <w:style w:type="character" w:customStyle="1" w:styleId="150">
    <w:name w:val="textcontents1"/>
    <w:qFormat/>
    <w:uiPriority w:val="99"/>
    <w:rPr>
      <w:color w:val="000000"/>
      <w:sz w:val="22"/>
      <w:szCs w:val="22"/>
    </w:rPr>
  </w:style>
  <w:style w:type="character" w:customStyle="1" w:styleId="151">
    <w:name w:val="标题 8 字符"/>
    <w:semiHidden/>
    <w:qFormat/>
    <w:locked/>
    <w:uiPriority w:val="99"/>
    <w:rPr>
      <w:rFonts w:ascii="Arial" w:hAnsi="Arial" w:eastAsia="黑体" w:cs="Arial"/>
      <w:sz w:val="24"/>
      <w:szCs w:val="24"/>
      <w:lang w:val="en-US" w:eastAsia="zh-CN"/>
    </w:rPr>
  </w:style>
  <w:style w:type="character" w:customStyle="1" w:styleId="152">
    <w:name w:val="日期 字符"/>
    <w:semiHidden/>
    <w:qFormat/>
    <w:locked/>
    <w:uiPriority w:val="99"/>
    <w:rPr>
      <w:rFonts w:ascii="仿宋_GB2312" w:hAnsi="Times New Roman" w:eastAsia="仿宋_GB2312" w:cs="仿宋_GB2312"/>
      <w:b/>
      <w:bCs/>
      <w:sz w:val="24"/>
      <w:szCs w:val="24"/>
    </w:rPr>
  </w:style>
  <w:style w:type="character" w:customStyle="1" w:styleId="153">
    <w:name w:val="正文文本 3 字符"/>
    <w:qFormat/>
    <w:locked/>
    <w:uiPriority w:val="99"/>
    <w:rPr>
      <w:rFonts w:ascii="Times New Roman" w:hAnsi="Times New Roman" w:eastAsia="宋体" w:cs="Times New Roman"/>
      <w:sz w:val="16"/>
      <w:szCs w:val="16"/>
    </w:rPr>
  </w:style>
  <w:style w:type="character" w:customStyle="1" w:styleId="154">
    <w:name w:val="Intense Quote Char"/>
    <w:link w:val="155"/>
    <w:qFormat/>
    <w:locked/>
    <w:uiPriority w:val="99"/>
    <w:rPr>
      <w:b/>
      <w:bCs/>
      <w:i/>
      <w:iCs/>
      <w:color w:val="4F81BD"/>
      <w:sz w:val="22"/>
      <w:szCs w:val="22"/>
    </w:rPr>
  </w:style>
  <w:style w:type="paragraph" w:customStyle="1" w:styleId="155">
    <w:name w:val="明显引用1"/>
    <w:basedOn w:val="1"/>
    <w:next w:val="1"/>
    <w:link w:val="154"/>
    <w:qFormat/>
    <w:uiPriority w:val="99"/>
    <w:pPr>
      <w:pBdr>
        <w:bottom w:val="single" w:color="4F81BD" w:sz="4" w:space="4"/>
      </w:pBdr>
      <w:spacing w:before="200" w:after="280"/>
      <w:ind w:left="936" w:right="936"/>
    </w:pPr>
    <w:rPr>
      <w:b/>
      <w:bCs/>
      <w:i/>
      <w:iCs/>
      <w:color w:val="4F81BD"/>
      <w:sz w:val="22"/>
      <w:szCs w:val="22"/>
      <w:lang w:bidi="ar-SA"/>
    </w:rPr>
  </w:style>
  <w:style w:type="character" w:customStyle="1" w:styleId="156">
    <w:name w:val="标题 2 Char1"/>
    <w:qFormat/>
    <w:locked/>
    <w:uiPriority w:val="99"/>
    <w:rPr>
      <w:rFonts w:ascii="宋体" w:hAnsi="Arial"/>
      <w:sz w:val="32"/>
      <w:szCs w:val="32"/>
    </w:rPr>
  </w:style>
  <w:style w:type="character" w:customStyle="1" w:styleId="157">
    <w:name w:val="正文文本 3 Char"/>
    <w:qFormat/>
    <w:locked/>
    <w:uiPriority w:val="0"/>
    <w:rPr>
      <w:kern w:val="2"/>
      <w:sz w:val="16"/>
      <w:szCs w:val="16"/>
      <w:lang w:bidi="ar-SA"/>
    </w:rPr>
  </w:style>
  <w:style w:type="character" w:customStyle="1" w:styleId="158">
    <w:name w:val="15"/>
    <w:qFormat/>
    <w:uiPriority w:val="0"/>
    <w:rPr>
      <w:rFonts w:ascii="Times New Roman" w:hAnsi="Times New Roman" w:cs="Times New Roman"/>
      <w:color w:val="auto"/>
      <w:u w:val="none"/>
    </w:rPr>
  </w:style>
  <w:style w:type="character" w:customStyle="1" w:styleId="159">
    <w:name w:val="标题 3 Char1"/>
    <w:qFormat/>
    <w:locked/>
    <w:uiPriority w:val="0"/>
    <w:rPr>
      <w:rFonts w:ascii="Calibri" w:hAnsi="Calibri" w:eastAsia="宋体" w:cs="Calibri"/>
      <w:b/>
      <w:bCs/>
      <w:sz w:val="32"/>
      <w:szCs w:val="32"/>
      <w:lang w:val="en-US" w:eastAsia="zh-CN" w:bidi="ar-SA"/>
    </w:rPr>
  </w:style>
  <w:style w:type="character" w:customStyle="1" w:styleId="160">
    <w:name w:val="明显参考1"/>
    <w:qFormat/>
    <w:uiPriority w:val="32"/>
    <w:rPr>
      <w:b/>
      <w:sz w:val="24"/>
      <w:u w:val="single"/>
    </w:rPr>
  </w:style>
  <w:style w:type="character" w:customStyle="1" w:styleId="161">
    <w:name w:val="Char Char10"/>
    <w:qFormat/>
    <w:uiPriority w:val="99"/>
    <w:rPr>
      <w:rFonts w:ascii="宋体" w:hAnsi="Courier New" w:eastAsia="宋体" w:cs="宋体"/>
      <w:kern w:val="2"/>
      <w:sz w:val="24"/>
      <w:szCs w:val="24"/>
      <w:lang w:val="en-US" w:eastAsia="zh-CN"/>
    </w:rPr>
  </w:style>
  <w:style w:type="character" w:customStyle="1" w:styleId="162">
    <w:name w:val="批注主题 字符"/>
    <w:semiHidden/>
    <w:qFormat/>
    <w:locked/>
    <w:uiPriority w:val="99"/>
    <w:rPr>
      <w:rFonts w:ascii="Times New Roman" w:hAnsi="Times New Roman" w:eastAsia="宋体" w:cs="Times New Roman"/>
      <w:b/>
      <w:bCs/>
      <w:sz w:val="24"/>
      <w:szCs w:val="24"/>
    </w:rPr>
  </w:style>
  <w:style w:type="character" w:customStyle="1" w:styleId="163">
    <w:name w:val="标题 6 Char1"/>
    <w:qFormat/>
    <w:locked/>
    <w:uiPriority w:val="0"/>
    <w:rPr>
      <w:rFonts w:ascii="Arial" w:hAnsi="Arial" w:eastAsia="黑体" w:cs="Calibri"/>
      <w:b/>
      <w:bCs/>
      <w:sz w:val="24"/>
      <w:szCs w:val="24"/>
      <w:lang w:bidi="ar-SA"/>
    </w:rPr>
  </w:style>
  <w:style w:type="character" w:customStyle="1" w:styleId="164">
    <w:name w:val="页眉 字符"/>
    <w:qFormat/>
    <w:locked/>
    <w:uiPriority w:val="99"/>
    <w:rPr>
      <w:sz w:val="18"/>
      <w:szCs w:val="18"/>
    </w:rPr>
  </w:style>
  <w:style w:type="character" w:customStyle="1" w:styleId="165">
    <w:name w:val="不明显强调1"/>
    <w:qFormat/>
    <w:uiPriority w:val="19"/>
    <w:rPr>
      <w:i/>
      <w:color w:val="5A5A5A"/>
    </w:rPr>
  </w:style>
  <w:style w:type="character" w:customStyle="1" w:styleId="166">
    <w:name w:val="明显强调1"/>
    <w:qFormat/>
    <w:uiPriority w:val="21"/>
    <w:rPr>
      <w:b/>
      <w:i/>
      <w:sz w:val="24"/>
      <w:szCs w:val="24"/>
      <w:u w:val="single"/>
    </w:rPr>
  </w:style>
  <w:style w:type="character" w:customStyle="1" w:styleId="167">
    <w:name w:val="副标题 Char1"/>
    <w:qFormat/>
    <w:locked/>
    <w:uiPriority w:val="11"/>
    <w:rPr>
      <w:rFonts w:ascii="Calibri Light" w:hAnsi="Calibri Light" w:eastAsia="宋体" w:cs="Calibri Light"/>
      <w:b/>
      <w:bCs/>
      <w:kern w:val="28"/>
      <w:sz w:val="20"/>
      <w:szCs w:val="20"/>
    </w:rPr>
  </w:style>
  <w:style w:type="character" w:customStyle="1" w:styleId="168">
    <w:name w:val="正文文本 字符"/>
    <w:semiHidden/>
    <w:qFormat/>
    <w:locked/>
    <w:uiPriority w:val="99"/>
    <w:rPr>
      <w:rFonts w:ascii="Times New Roman" w:hAnsi="Times New Roman" w:eastAsia="宋体" w:cs="Times New Roman"/>
      <w:sz w:val="24"/>
      <w:szCs w:val="24"/>
    </w:rPr>
  </w:style>
  <w:style w:type="character" w:customStyle="1" w:styleId="169">
    <w:name w:val="p0 Char Char"/>
    <w:link w:val="170"/>
    <w:qFormat/>
    <w:locked/>
    <w:uiPriority w:val="99"/>
    <w:rPr>
      <w:rFonts w:ascii="Times New Roman" w:hAnsi="Times New Roman" w:eastAsia="宋体" w:cs="Times New Roman"/>
      <w:kern w:val="0"/>
      <w:sz w:val="21"/>
      <w:szCs w:val="21"/>
    </w:rPr>
  </w:style>
  <w:style w:type="paragraph" w:customStyle="1" w:styleId="170">
    <w:name w:val="p0"/>
    <w:basedOn w:val="1"/>
    <w:next w:val="1"/>
    <w:link w:val="169"/>
    <w:qFormat/>
    <w:uiPriority w:val="99"/>
    <w:rPr>
      <w:sz w:val="21"/>
      <w:szCs w:val="21"/>
      <w:lang w:bidi="ar-SA"/>
    </w:rPr>
  </w:style>
  <w:style w:type="character" w:customStyle="1" w:styleId="171">
    <w:name w:val="textcontents"/>
    <w:qFormat/>
    <w:uiPriority w:val="99"/>
  </w:style>
  <w:style w:type="character" w:customStyle="1" w:styleId="172">
    <w:name w:val="页脚 Char"/>
    <w:qFormat/>
    <w:locked/>
    <w:uiPriority w:val="99"/>
    <w:rPr>
      <w:rFonts w:ascii="Calibri" w:hAnsi="Calibri"/>
      <w:kern w:val="2"/>
      <w:sz w:val="18"/>
      <w:szCs w:val="18"/>
      <w:lang w:bidi="ar-SA"/>
    </w:rPr>
  </w:style>
  <w:style w:type="character" w:customStyle="1" w:styleId="173">
    <w:name w:val="样式111 Char"/>
    <w:link w:val="174"/>
    <w:qFormat/>
    <w:locked/>
    <w:uiPriority w:val="0"/>
    <w:rPr>
      <w:rFonts w:ascii="Calibri" w:hAnsi="Calibri" w:eastAsia="宋体"/>
      <w:kern w:val="2"/>
      <w:sz w:val="21"/>
      <w:szCs w:val="22"/>
      <w:lang w:val="en-US" w:eastAsia="zh-CN" w:bidi="ar-SA"/>
    </w:rPr>
  </w:style>
  <w:style w:type="paragraph" w:customStyle="1" w:styleId="174">
    <w:name w:val="样式111"/>
    <w:basedOn w:val="1"/>
    <w:link w:val="173"/>
    <w:qFormat/>
    <w:uiPriority w:val="0"/>
    <w:pPr>
      <w:ind w:left="550" w:leftChars="550"/>
    </w:pPr>
    <w:rPr>
      <w:rFonts w:ascii="Calibri" w:hAnsi="Calibri"/>
      <w:kern w:val="2"/>
      <w:sz w:val="21"/>
      <w:szCs w:val="22"/>
      <w:lang w:eastAsia="zh-CN" w:bidi="ar-SA"/>
    </w:rPr>
  </w:style>
  <w:style w:type="character" w:customStyle="1" w:styleId="175">
    <w:name w:val="Char Char3"/>
    <w:qFormat/>
    <w:uiPriority w:val="99"/>
    <w:rPr>
      <w:rFonts w:ascii="宋体" w:hAnsi="宋体" w:eastAsia="宋体" w:cs="宋体"/>
      <w:sz w:val="18"/>
      <w:szCs w:val="18"/>
      <w:lang w:val="en-US" w:eastAsia="zh-CN"/>
    </w:rPr>
  </w:style>
  <w:style w:type="character" w:customStyle="1" w:styleId="176">
    <w:name w:val="正文文本缩进 2 字符"/>
    <w:semiHidden/>
    <w:qFormat/>
    <w:locked/>
    <w:uiPriority w:val="99"/>
    <w:rPr>
      <w:rFonts w:ascii="Times New Roman" w:hAnsi="Times New Roman" w:eastAsia="宋体" w:cs="Times New Roman"/>
      <w:sz w:val="24"/>
      <w:szCs w:val="24"/>
    </w:rPr>
  </w:style>
  <w:style w:type="character" w:customStyle="1" w:styleId="177">
    <w:name w:val="标题 6 字符"/>
    <w:semiHidden/>
    <w:qFormat/>
    <w:locked/>
    <w:uiPriority w:val="99"/>
    <w:rPr>
      <w:rFonts w:ascii="Arial" w:hAnsi="Arial" w:eastAsia="黑体" w:cs="Arial"/>
      <w:b/>
      <w:bCs/>
      <w:sz w:val="24"/>
      <w:szCs w:val="24"/>
      <w:lang w:val="en-US" w:eastAsia="zh-CN"/>
    </w:rPr>
  </w:style>
  <w:style w:type="character" w:customStyle="1" w:styleId="178">
    <w:name w:val="标题 3 字符"/>
    <w:semiHidden/>
    <w:qFormat/>
    <w:locked/>
    <w:uiPriority w:val="99"/>
    <w:rPr>
      <w:rFonts w:eastAsia="宋体"/>
      <w:b/>
      <w:bCs/>
      <w:sz w:val="32"/>
      <w:szCs w:val="32"/>
      <w:lang w:val="en-US" w:eastAsia="zh-CN"/>
    </w:rPr>
  </w:style>
  <w:style w:type="character" w:customStyle="1" w:styleId="179">
    <w:name w:val="标题 7 字符"/>
    <w:semiHidden/>
    <w:qFormat/>
    <w:locked/>
    <w:uiPriority w:val="99"/>
    <w:rPr>
      <w:rFonts w:eastAsia="宋体"/>
      <w:b/>
      <w:bCs/>
      <w:sz w:val="24"/>
      <w:szCs w:val="24"/>
      <w:lang w:val="en-US" w:eastAsia="zh-CN"/>
    </w:rPr>
  </w:style>
  <w:style w:type="character" w:customStyle="1" w:styleId="180">
    <w:name w:val="标题 4 Char1"/>
    <w:qFormat/>
    <w:locked/>
    <w:uiPriority w:val="99"/>
    <w:rPr>
      <w:rFonts w:ascii="Arial" w:hAnsi="Arial" w:eastAsia="黑体" w:cs="Calibri"/>
      <w:b/>
      <w:bCs/>
      <w:sz w:val="28"/>
      <w:szCs w:val="28"/>
      <w:lang w:bidi="ar-SA"/>
    </w:rPr>
  </w:style>
  <w:style w:type="character" w:customStyle="1" w:styleId="181">
    <w:name w:val="正文文本缩进 字符"/>
    <w:qFormat/>
    <w:locked/>
    <w:uiPriority w:val="99"/>
    <w:rPr>
      <w:rFonts w:ascii="宋体" w:hAnsi="Times New Roman" w:eastAsia="宋体" w:cs="宋体"/>
      <w:sz w:val="20"/>
      <w:szCs w:val="20"/>
    </w:rPr>
  </w:style>
  <w:style w:type="character" w:customStyle="1" w:styleId="182">
    <w:name w:val="不明显参考1"/>
    <w:qFormat/>
    <w:uiPriority w:val="31"/>
    <w:rPr>
      <w:sz w:val="24"/>
      <w:szCs w:val="24"/>
      <w:u w:val="single"/>
    </w:rPr>
  </w:style>
  <w:style w:type="character" w:customStyle="1" w:styleId="183">
    <w:name w:val="书籍标题1"/>
    <w:qFormat/>
    <w:uiPriority w:val="33"/>
    <w:rPr>
      <w:rFonts w:ascii="Cambria" w:hAnsi="Cambria" w:eastAsia="宋体"/>
      <w:b/>
      <w:i/>
      <w:sz w:val="24"/>
      <w:szCs w:val="24"/>
    </w:rPr>
  </w:style>
  <w:style w:type="character" w:customStyle="1" w:styleId="184">
    <w:name w:val="标题 8 Char1"/>
    <w:qFormat/>
    <w:locked/>
    <w:uiPriority w:val="0"/>
    <w:rPr>
      <w:rFonts w:ascii="Arial" w:hAnsi="Arial" w:eastAsia="黑体" w:cs="Calibri"/>
      <w:sz w:val="24"/>
      <w:szCs w:val="24"/>
      <w:lang w:bidi="ar-SA"/>
    </w:rPr>
  </w:style>
  <w:style w:type="character" w:customStyle="1" w:styleId="185">
    <w:name w:val="页眉 Char"/>
    <w:qFormat/>
    <w:uiPriority w:val="99"/>
    <w:rPr>
      <w:rFonts w:eastAsia="宋体"/>
      <w:sz w:val="18"/>
      <w:szCs w:val="18"/>
      <w:lang w:bidi="ar-SA"/>
    </w:rPr>
  </w:style>
  <w:style w:type="character" w:customStyle="1" w:styleId="186">
    <w:name w:val="标题 1 Char1"/>
    <w:qFormat/>
    <w:locked/>
    <w:uiPriority w:val="0"/>
    <w:rPr>
      <w:rFonts w:ascii="宋体" w:hAnsi="Calibri" w:eastAsia="宋体" w:cs="Calibri"/>
      <w:sz w:val="44"/>
      <w:szCs w:val="44"/>
      <w:lang w:bidi="ar-SA"/>
    </w:rPr>
  </w:style>
  <w:style w:type="character" w:customStyle="1" w:styleId="187">
    <w:name w:val="文档结构图 字符"/>
    <w:semiHidden/>
    <w:qFormat/>
    <w:locked/>
    <w:uiPriority w:val="99"/>
    <w:rPr>
      <w:rFonts w:ascii="Times New Roman" w:hAnsi="Times New Roman" w:eastAsia="宋体" w:cs="Times New Roman"/>
      <w:sz w:val="24"/>
      <w:szCs w:val="24"/>
      <w:shd w:val="clear" w:color="auto" w:fill="000080"/>
    </w:rPr>
  </w:style>
  <w:style w:type="character" w:customStyle="1" w:styleId="188">
    <w:name w:val="标题 7 Char1"/>
    <w:qFormat/>
    <w:locked/>
    <w:uiPriority w:val="0"/>
    <w:rPr>
      <w:rFonts w:ascii="Calibri" w:hAnsi="Calibri" w:eastAsia="宋体" w:cs="Calibri"/>
      <w:b/>
      <w:bCs/>
      <w:sz w:val="24"/>
      <w:szCs w:val="24"/>
      <w:lang w:bidi="ar-SA"/>
    </w:rPr>
  </w:style>
  <w:style w:type="character" w:customStyle="1" w:styleId="189">
    <w:name w:val="apple-style-span"/>
    <w:qFormat/>
    <w:uiPriority w:val="99"/>
  </w:style>
  <w:style w:type="character" w:customStyle="1" w:styleId="190">
    <w:name w:val="标题 Char1"/>
    <w:qFormat/>
    <w:locked/>
    <w:uiPriority w:val="0"/>
    <w:rPr>
      <w:rFonts w:ascii="Cambria" w:hAnsi="Cambria" w:eastAsia="宋体" w:cs="Cambria"/>
      <w:b/>
      <w:bCs/>
      <w:kern w:val="0"/>
      <w:sz w:val="20"/>
      <w:szCs w:val="20"/>
    </w:rPr>
  </w:style>
  <w:style w:type="character" w:customStyle="1" w:styleId="191">
    <w:name w:val="标题 1 字符"/>
    <w:qFormat/>
    <w:locked/>
    <w:uiPriority w:val="99"/>
    <w:rPr>
      <w:rFonts w:ascii="宋体" w:eastAsia="宋体" w:cs="宋体"/>
      <w:sz w:val="44"/>
      <w:szCs w:val="44"/>
      <w:lang w:val="en-US" w:eastAsia="zh-CN"/>
    </w:rPr>
  </w:style>
  <w:style w:type="character" w:customStyle="1" w:styleId="192">
    <w:name w:val="正文文本缩进 3 字符"/>
    <w:semiHidden/>
    <w:qFormat/>
    <w:locked/>
    <w:uiPriority w:val="99"/>
    <w:rPr>
      <w:rFonts w:ascii="Times New Roman" w:hAnsi="宋体" w:eastAsia="宋体" w:cs="Times New Roman"/>
      <w:sz w:val="24"/>
      <w:szCs w:val="24"/>
    </w:rPr>
  </w:style>
  <w:style w:type="character" w:customStyle="1" w:styleId="193">
    <w:name w:val="引用 字符"/>
    <w:link w:val="194"/>
    <w:qFormat/>
    <w:uiPriority w:val="29"/>
    <w:rPr>
      <w:i/>
      <w:sz w:val="24"/>
      <w:szCs w:val="24"/>
    </w:rPr>
  </w:style>
  <w:style w:type="paragraph" w:styleId="194">
    <w:name w:val="Quote"/>
    <w:basedOn w:val="1"/>
    <w:next w:val="1"/>
    <w:link w:val="193"/>
    <w:qFormat/>
    <w:uiPriority w:val="29"/>
    <w:rPr>
      <w:i/>
      <w:lang w:bidi="ar-SA"/>
    </w:rPr>
  </w:style>
  <w:style w:type="character" w:customStyle="1" w:styleId="195">
    <w:name w:val="正文文本缩进 Char"/>
    <w:qFormat/>
    <w:locked/>
    <w:uiPriority w:val="0"/>
    <w:rPr>
      <w:rFonts w:ascii="宋体" w:eastAsia="宋体"/>
      <w:kern w:val="2"/>
      <w:sz w:val="32"/>
      <w:szCs w:val="32"/>
      <w:lang w:bidi="ar-SA"/>
    </w:rPr>
  </w:style>
  <w:style w:type="character" w:customStyle="1" w:styleId="196">
    <w:name w:val="副标题 字符"/>
    <w:qFormat/>
    <w:locked/>
    <w:uiPriority w:val="99"/>
    <w:rPr>
      <w:rFonts w:ascii="Calibri Light" w:hAnsi="Calibri Light" w:eastAsia="宋体" w:cs="Calibri Light"/>
      <w:b/>
      <w:bCs/>
      <w:kern w:val="28"/>
      <w:sz w:val="20"/>
      <w:szCs w:val="20"/>
    </w:rPr>
  </w:style>
  <w:style w:type="character" w:customStyle="1" w:styleId="197">
    <w:name w:val="标题 9 字符"/>
    <w:semiHidden/>
    <w:qFormat/>
    <w:locked/>
    <w:uiPriority w:val="99"/>
    <w:rPr>
      <w:rFonts w:ascii="Arial" w:hAnsi="Arial" w:eastAsia="黑体" w:cs="Arial"/>
      <w:sz w:val="21"/>
      <w:szCs w:val="21"/>
      <w:lang w:val="en-US" w:eastAsia="zh-CN"/>
    </w:rPr>
  </w:style>
  <w:style w:type="paragraph" w:customStyle="1" w:styleId="198">
    <w:name w:val="文一"/>
    <w:basedOn w:val="1"/>
    <w:next w:val="1"/>
    <w:link w:val="199"/>
    <w:qFormat/>
    <w:uiPriority w:val="0"/>
    <w:pPr>
      <w:topLinePunct/>
      <w:adjustRightInd w:val="0"/>
      <w:snapToGrid w:val="0"/>
      <w:spacing w:line="360" w:lineRule="auto"/>
      <w:ind w:firstLine="200" w:firstLineChars="200"/>
    </w:pPr>
    <w:rPr>
      <w:spacing w:val="4"/>
    </w:rPr>
  </w:style>
  <w:style w:type="character" w:customStyle="1" w:styleId="199">
    <w:name w:val="文一 Char"/>
    <w:link w:val="198"/>
    <w:qFormat/>
    <w:uiPriority w:val="0"/>
    <w:rPr>
      <w:spacing w:val="4"/>
      <w:sz w:val="24"/>
      <w:szCs w:val="24"/>
      <w:lang w:eastAsia="en-US" w:bidi="en-US"/>
    </w:rPr>
  </w:style>
  <w:style w:type="paragraph" w:customStyle="1" w:styleId="200">
    <w:name w:val="列出段落2"/>
    <w:basedOn w:val="1"/>
    <w:qFormat/>
    <w:uiPriority w:val="0"/>
    <w:pPr>
      <w:ind w:firstLine="420" w:firstLineChars="200"/>
    </w:pPr>
    <w:rPr>
      <w:szCs w:val="22"/>
    </w:rPr>
  </w:style>
  <w:style w:type="paragraph" w:customStyle="1" w:styleId="201">
    <w:name w:val="xl26"/>
    <w:basedOn w:val="1"/>
    <w:next w:val="1"/>
    <w:qFormat/>
    <w:uiPriority w:val="0"/>
    <w:pPr>
      <w:pBdr>
        <w:left w:val="single" w:color="auto" w:sz="4" w:space="0"/>
        <w:bottom w:val="single" w:color="auto" w:sz="4" w:space="0"/>
        <w:right w:val="single" w:color="auto" w:sz="4" w:space="0"/>
      </w:pBdr>
      <w:spacing w:before="100" w:beforeAutospacing="1" w:after="100" w:afterAutospacing="1"/>
      <w:jc w:val="center"/>
    </w:pPr>
    <w:rPr>
      <w:rFonts w:ascii="宋体" w:hAnsi="宋体" w:cs="宋体"/>
    </w:rPr>
  </w:style>
  <w:style w:type="paragraph" w:customStyle="1" w:styleId="202">
    <w:name w:val="font0"/>
    <w:basedOn w:val="1"/>
    <w:next w:val="1"/>
    <w:qFormat/>
    <w:uiPriority w:val="0"/>
    <w:pPr>
      <w:spacing w:before="100" w:beforeAutospacing="1" w:after="100" w:afterAutospacing="1"/>
    </w:pPr>
    <w:rPr>
      <w:rFonts w:ascii="宋体" w:hAnsi="宋体" w:cs="宋体"/>
    </w:rPr>
  </w:style>
  <w:style w:type="paragraph" w:customStyle="1" w:styleId="203">
    <w:name w:val="TOC 标题1"/>
    <w:basedOn w:val="4"/>
    <w:next w:val="1"/>
    <w:qFormat/>
    <w:uiPriority w:val="99"/>
    <w:pPr>
      <w:tabs>
        <w:tab w:val="left" w:pos="432"/>
      </w:tabs>
      <w:spacing w:before="480" w:after="0" w:line="276" w:lineRule="auto"/>
      <w:outlineLvl w:val="9"/>
    </w:pPr>
    <w:rPr>
      <w:rFonts w:cs="Cambria"/>
      <w:b w:val="0"/>
      <w:bCs w:val="0"/>
      <w:color w:val="365F91"/>
    </w:rPr>
  </w:style>
  <w:style w:type="paragraph" w:customStyle="1" w:styleId="204">
    <w:name w:val="Char Char Char Char Char Char Char"/>
    <w:basedOn w:val="1"/>
    <w:next w:val="1"/>
    <w:qFormat/>
    <w:uiPriority w:val="0"/>
    <w:pPr>
      <w:spacing w:after="160" w:line="240" w:lineRule="exact"/>
    </w:pPr>
    <w:rPr>
      <w:rFonts w:ascii="Arial" w:hAnsi="Arial" w:cs="Arial"/>
      <w:b/>
      <w:bCs/>
    </w:rPr>
  </w:style>
  <w:style w:type="paragraph" w:customStyle="1" w:styleId="205">
    <w:name w:val="List Paragraph1"/>
    <w:basedOn w:val="1"/>
    <w:qFormat/>
    <w:uiPriority w:val="0"/>
    <w:pPr>
      <w:widowControl w:val="0"/>
      <w:ind w:firstLine="420" w:firstLineChars="200"/>
      <w:jc w:val="both"/>
    </w:pPr>
    <w:rPr>
      <w:kern w:val="2"/>
      <w:sz w:val="21"/>
      <w:szCs w:val="21"/>
      <w:lang w:eastAsia="zh-CN" w:bidi="ar-SA"/>
    </w:rPr>
  </w:style>
  <w:style w:type="paragraph" w:customStyle="1" w:styleId="206">
    <w:name w:val="CM31"/>
    <w:basedOn w:val="207"/>
    <w:next w:val="207"/>
    <w:qFormat/>
    <w:uiPriority w:val="99"/>
    <w:pPr>
      <w:spacing w:line="426" w:lineRule="atLeast"/>
    </w:pPr>
    <w:rPr>
      <w:color w:val="auto"/>
    </w:rPr>
  </w:style>
  <w:style w:type="paragraph" w:customStyle="1" w:styleId="207">
    <w:name w:val="Default"/>
    <w:qFormat/>
    <w:uiPriority w:val="0"/>
    <w:pPr>
      <w:widowControl w:val="0"/>
      <w:autoSpaceDE w:val="0"/>
      <w:autoSpaceDN w:val="0"/>
      <w:adjustRightInd w:val="0"/>
      <w:spacing w:after="200" w:line="276" w:lineRule="auto"/>
    </w:pPr>
    <w:rPr>
      <w:rFonts w:ascii="Times New Roman" w:hAnsi="Times New Roman" w:eastAsia="宋体" w:cs="Times New Roman"/>
      <w:color w:val="000000"/>
      <w:sz w:val="24"/>
      <w:szCs w:val="24"/>
      <w:lang w:val="en-US" w:eastAsia="zh-CN" w:bidi="ar-SA"/>
    </w:rPr>
  </w:style>
  <w:style w:type="paragraph" w:styleId="208">
    <w:name w:val="No Spacing"/>
    <w:basedOn w:val="1"/>
    <w:link w:val="209"/>
    <w:qFormat/>
    <w:uiPriority w:val="1"/>
    <w:rPr>
      <w:szCs w:val="32"/>
    </w:rPr>
  </w:style>
  <w:style w:type="character" w:customStyle="1" w:styleId="209">
    <w:name w:val="无间隔 字符"/>
    <w:link w:val="208"/>
    <w:qFormat/>
    <w:uiPriority w:val="1"/>
    <w:rPr>
      <w:sz w:val="24"/>
      <w:szCs w:val="32"/>
      <w:lang w:eastAsia="en-US" w:bidi="en-US"/>
    </w:rPr>
  </w:style>
  <w:style w:type="paragraph" w:customStyle="1" w:styleId="210">
    <w:name w:val="TOC Heading1"/>
    <w:basedOn w:val="4"/>
    <w:next w:val="1"/>
    <w:qFormat/>
    <w:uiPriority w:val="39"/>
    <w:pPr>
      <w:outlineLvl w:val="9"/>
    </w:pPr>
  </w:style>
  <w:style w:type="paragraph" w:customStyle="1" w:styleId="211">
    <w:name w:val="CM6"/>
    <w:basedOn w:val="207"/>
    <w:next w:val="207"/>
    <w:qFormat/>
    <w:uiPriority w:val="99"/>
    <w:pPr>
      <w:spacing w:line="428" w:lineRule="atLeast"/>
    </w:pPr>
    <w:rPr>
      <w:color w:val="auto"/>
    </w:rPr>
  </w:style>
  <w:style w:type="paragraph" w:customStyle="1" w:styleId="212">
    <w:name w:val="_Style 4"/>
    <w:basedOn w:val="4"/>
    <w:next w:val="1"/>
    <w:qFormat/>
    <w:uiPriority w:val="0"/>
    <w:pPr>
      <w:widowControl w:val="0"/>
      <w:tabs>
        <w:tab w:val="left" w:pos="432"/>
      </w:tabs>
      <w:spacing w:line="576" w:lineRule="auto"/>
      <w:jc w:val="both"/>
      <w:outlineLvl w:val="9"/>
    </w:pPr>
    <w:rPr>
      <w:rFonts w:ascii="Calibri" w:hAnsi="Calibri" w:cs="Calibri"/>
      <w:b w:val="0"/>
      <w:bCs w:val="0"/>
      <w:kern w:val="44"/>
      <w:sz w:val="44"/>
      <w:szCs w:val="44"/>
    </w:rPr>
  </w:style>
  <w:style w:type="paragraph" w:customStyle="1" w:styleId="213">
    <w:name w:val="Char"/>
    <w:basedOn w:val="1"/>
    <w:next w:val="1"/>
    <w:qFormat/>
    <w:uiPriority w:val="0"/>
  </w:style>
  <w:style w:type="paragraph" w:customStyle="1" w:styleId="214">
    <w:name w:val="_Style 61"/>
    <w:next w:val="1"/>
    <w:qFormat/>
    <w:uiPriority w:val="99"/>
    <w:pPr>
      <w:widowControl w:val="0"/>
      <w:spacing w:after="200" w:line="276" w:lineRule="auto"/>
      <w:jc w:val="both"/>
    </w:pPr>
    <w:rPr>
      <w:rFonts w:ascii="Times New Roman" w:hAnsi="Times New Roman" w:eastAsia="宋体" w:cs="Times New Roman"/>
      <w:kern w:val="2"/>
      <w:sz w:val="21"/>
      <w:szCs w:val="21"/>
      <w:lang w:val="en-US" w:eastAsia="zh-CN" w:bidi="ar-SA"/>
    </w:rPr>
  </w:style>
  <w:style w:type="paragraph" w:customStyle="1" w:styleId="215">
    <w:name w:val="x_msonormal"/>
    <w:basedOn w:val="1"/>
    <w:qFormat/>
    <w:uiPriority w:val="99"/>
    <w:pPr>
      <w:spacing w:before="100" w:beforeAutospacing="1" w:after="100" w:afterAutospacing="1"/>
    </w:pPr>
    <w:rPr>
      <w:rFonts w:ascii="宋体" w:hAnsi="宋体" w:cs="宋体"/>
    </w:rPr>
  </w:style>
  <w:style w:type="paragraph" w:customStyle="1" w:styleId="216">
    <w:name w:val="Normal_0"/>
    <w:next w:val="1"/>
    <w:qFormat/>
    <w:uiPriority w:val="99"/>
    <w:pPr>
      <w:spacing w:before="120" w:after="240" w:line="276" w:lineRule="auto"/>
      <w:jc w:val="both"/>
    </w:pPr>
    <w:rPr>
      <w:rFonts w:ascii="Times New Roman" w:hAnsi="Times New Roman" w:eastAsia="宋体" w:cs="Times New Roman"/>
      <w:sz w:val="22"/>
      <w:szCs w:val="22"/>
      <w:lang w:val="ru-RU" w:eastAsia="en-US" w:bidi="ar-SA"/>
    </w:rPr>
  </w:style>
  <w:style w:type="paragraph" w:customStyle="1" w:styleId="217">
    <w:name w:val="CM5"/>
    <w:basedOn w:val="207"/>
    <w:next w:val="207"/>
    <w:qFormat/>
    <w:uiPriority w:val="99"/>
    <w:pPr>
      <w:spacing w:line="428" w:lineRule="atLeast"/>
    </w:pPr>
    <w:rPr>
      <w:color w:val="auto"/>
    </w:rPr>
  </w:style>
  <w:style w:type="paragraph" w:customStyle="1" w:styleId="218">
    <w:name w:val="CM35"/>
    <w:basedOn w:val="207"/>
    <w:next w:val="207"/>
    <w:qFormat/>
    <w:uiPriority w:val="99"/>
    <w:rPr>
      <w:color w:val="auto"/>
    </w:rPr>
  </w:style>
  <w:style w:type="paragraph" w:customStyle="1" w:styleId="219">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220">
    <w:name w:val="CM39"/>
    <w:basedOn w:val="207"/>
    <w:next w:val="207"/>
    <w:qFormat/>
    <w:uiPriority w:val="99"/>
    <w:rPr>
      <w:color w:val="auto"/>
    </w:rPr>
  </w:style>
  <w:style w:type="paragraph" w:customStyle="1" w:styleId="221">
    <w:name w:val="zhang"/>
    <w:basedOn w:val="1"/>
    <w:next w:val="1"/>
    <w:qFormat/>
    <w:uiPriority w:val="99"/>
    <w:pPr>
      <w:spacing w:before="100" w:beforeAutospacing="1" w:after="100" w:afterAutospacing="1"/>
    </w:pPr>
    <w:rPr>
      <w:rFonts w:ascii="宋体" w:hAnsi="宋体" w:cs="宋体"/>
      <w:b/>
      <w:bCs/>
      <w:smallCaps/>
      <w:color w:val="000000"/>
      <w:sz w:val="20"/>
      <w:szCs w:val="20"/>
    </w:rPr>
  </w:style>
  <w:style w:type="paragraph" w:customStyle="1" w:styleId="222">
    <w:name w:val="CM25"/>
    <w:basedOn w:val="207"/>
    <w:next w:val="207"/>
    <w:qFormat/>
    <w:uiPriority w:val="99"/>
    <w:pPr>
      <w:spacing w:line="426" w:lineRule="atLeast"/>
    </w:pPr>
    <w:rPr>
      <w:color w:val="auto"/>
    </w:rPr>
  </w:style>
  <w:style w:type="paragraph" w:styleId="223">
    <w:name w:val="List Paragraph"/>
    <w:basedOn w:val="1"/>
    <w:qFormat/>
    <w:uiPriority w:val="99"/>
    <w:pPr>
      <w:ind w:left="720"/>
      <w:contextualSpacing/>
    </w:pPr>
  </w:style>
  <w:style w:type="paragraph" w:customStyle="1" w:styleId="224">
    <w:name w:val="修订1"/>
    <w:unhideWhenUsed/>
    <w:qFormat/>
    <w:uiPriority w:val="99"/>
    <w:rPr>
      <w:rFonts w:ascii="Times New Roman" w:hAnsi="Times New Roman" w:eastAsia="宋体" w:cs="Times New Roman"/>
      <w:sz w:val="24"/>
      <w:szCs w:val="24"/>
      <w:lang w:val="en-US" w:eastAsia="en-US" w:bidi="en-US"/>
    </w:rPr>
  </w:style>
  <w:style w:type="paragraph" w:customStyle="1" w:styleId="225">
    <w:name w:val="Table Paragraph"/>
    <w:basedOn w:val="1"/>
    <w:qFormat/>
    <w:uiPriority w:val="1"/>
    <w:pPr>
      <w:widowControl w:val="0"/>
      <w:autoSpaceDE w:val="0"/>
      <w:autoSpaceDN w:val="0"/>
    </w:pPr>
    <w:rPr>
      <w:rFonts w:ascii="宋体" w:hAnsi="宋体" w:cs="宋体"/>
      <w:sz w:val="22"/>
      <w:szCs w:val="22"/>
      <w:lang w:val="zh-CN" w:eastAsia="zh-CN" w:bidi="zh-CN"/>
    </w:rPr>
  </w:style>
  <w:style w:type="character" w:customStyle="1" w:styleId="226">
    <w:name w:val="纯文本 Char2"/>
    <w:qFormat/>
    <w:uiPriority w:val="0"/>
    <w:rPr>
      <w:rFonts w:ascii="宋体" w:hAnsi="宋体" w:cs="宋体"/>
      <w:kern w:val="2"/>
      <w:sz w:val="24"/>
      <w:szCs w:val="24"/>
    </w:rPr>
  </w:style>
  <w:style w:type="character" w:customStyle="1" w:styleId="227">
    <w:name w:val="尾注文本 Char"/>
    <w:qFormat/>
    <w:uiPriority w:val="0"/>
    <w:rPr>
      <w:sz w:val="24"/>
      <w:szCs w:val="24"/>
      <w:lang w:eastAsia="en-US" w:bidi="en-US"/>
    </w:rPr>
  </w:style>
  <w:style w:type="character" w:customStyle="1" w:styleId="228">
    <w:name w:val="HTML 预设格式 Char"/>
    <w:qFormat/>
    <w:uiPriority w:val="0"/>
    <w:rPr>
      <w:rFonts w:ascii="Courier New" w:hAnsi="Courier New" w:cs="Courier New"/>
      <w:lang w:eastAsia="en-US" w:bidi="en-US"/>
    </w:rPr>
  </w:style>
  <w:style w:type="character" w:customStyle="1" w:styleId="229">
    <w:name w:val="正文文本 Char1"/>
    <w:qFormat/>
    <w:uiPriority w:val="99"/>
    <w:rPr>
      <w:rFonts w:ascii="Calibri" w:hAnsi="Calibri" w:eastAsia="宋体" w:cs="Times New Roman"/>
      <w:kern w:val="2"/>
      <w:sz w:val="24"/>
      <w:szCs w:val="22"/>
    </w:rPr>
  </w:style>
  <w:style w:type="character" w:customStyle="1" w:styleId="230">
    <w:name w:val="标题 1 Char3"/>
    <w:qFormat/>
    <w:uiPriority w:val="9"/>
    <w:rPr>
      <w:b/>
      <w:kern w:val="44"/>
      <w:sz w:val="30"/>
      <w:szCs w:val="22"/>
      <w:lang w:bidi="ar-SA"/>
    </w:rPr>
  </w:style>
  <w:style w:type="character" w:customStyle="1" w:styleId="231">
    <w:name w:val="标题 3 Char2"/>
    <w:qFormat/>
    <w:uiPriority w:val="0"/>
    <w:rPr>
      <w:rFonts w:ascii="宋体" w:hAnsi="Calibri" w:cs="Times New Roman"/>
      <w:b/>
      <w:kern w:val="2"/>
      <w:sz w:val="24"/>
      <w:szCs w:val="22"/>
    </w:rPr>
  </w:style>
  <w:style w:type="character" w:customStyle="1" w:styleId="232">
    <w:name w:val="标题 6 Char2"/>
    <w:semiHidden/>
    <w:qFormat/>
    <w:uiPriority w:val="9"/>
    <w:rPr>
      <w:rFonts w:ascii="Calibri Light" w:hAnsi="Calibri Light" w:eastAsia="宋体" w:cs="Times New Roman"/>
      <w:b/>
      <w:bCs/>
      <w:kern w:val="2"/>
      <w:sz w:val="24"/>
      <w:szCs w:val="24"/>
    </w:rPr>
  </w:style>
  <w:style w:type="character" w:customStyle="1" w:styleId="233">
    <w:name w:val="文档结构图 Char2"/>
    <w:semiHidden/>
    <w:qFormat/>
    <w:uiPriority w:val="99"/>
    <w:rPr>
      <w:rFonts w:ascii="宋体" w:hAnsi="Calibri" w:cs="Times New Roman"/>
      <w:kern w:val="2"/>
      <w:sz w:val="24"/>
      <w:szCs w:val="24"/>
    </w:rPr>
  </w:style>
  <w:style w:type="character" w:customStyle="1" w:styleId="234">
    <w:name w:val="批注文字 Char2"/>
    <w:qFormat/>
    <w:uiPriority w:val="0"/>
    <w:rPr>
      <w:rFonts w:ascii="Calibri" w:hAnsi="Calibri" w:eastAsia="宋体" w:cs="Times New Roman"/>
      <w:kern w:val="2"/>
      <w:sz w:val="24"/>
      <w:szCs w:val="22"/>
    </w:rPr>
  </w:style>
  <w:style w:type="character" w:customStyle="1" w:styleId="235">
    <w:name w:val="正文文本 3 Char2"/>
    <w:semiHidden/>
    <w:qFormat/>
    <w:uiPriority w:val="99"/>
    <w:rPr>
      <w:rFonts w:ascii="Calibri" w:hAnsi="Calibri" w:eastAsia="宋体" w:cs="Times New Roman"/>
      <w:kern w:val="2"/>
      <w:sz w:val="16"/>
      <w:szCs w:val="16"/>
    </w:rPr>
  </w:style>
  <w:style w:type="character" w:customStyle="1" w:styleId="236">
    <w:name w:val="日期 Char2"/>
    <w:qFormat/>
    <w:uiPriority w:val="0"/>
  </w:style>
  <w:style w:type="character" w:customStyle="1" w:styleId="237">
    <w:name w:val="批注框文本 Char2"/>
    <w:semiHidden/>
    <w:qFormat/>
    <w:uiPriority w:val="99"/>
    <w:rPr>
      <w:sz w:val="18"/>
      <w:szCs w:val="18"/>
    </w:rPr>
  </w:style>
  <w:style w:type="character" w:customStyle="1" w:styleId="238">
    <w:name w:val="页脚 Char2"/>
    <w:qFormat/>
    <w:uiPriority w:val="99"/>
    <w:rPr>
      <w:rFonts w:ascii="宋体" w:hAnsi="宋体"/>
      <w:kern w:val="2"/>
      <w:sz w:val="18"/>
      <w:szCs w:val="18"/>
      <w:lang w:val="en-US" w:eastAsia="zh-CN" w:bidi="ar-SA"/>
    </w:rPr>
  </w:style>
  <w:style w:type="character" w:customStyle="1" w:styleId="239">
    <w:name w:val="页眉 Char2"/>
    <w:qFormat/>
    <w:uiPriority w:val="99"/>
    <w:rPr>
      <w:rFonts w:ascii="宋体" w:hAnsi="宋体" w:cs="Times New Roman"/>
      <w:kern w:val="2"/>
      <w:sz w:val="18"/>
      <w:szCs w:val="18"/>
    </w:rPr>
  </w:style>
  <w:style w:type="character" w:customStyle="1" w:styleId="240">
    <w:name w:val="副标题 Char3"/>
    <w:qFormat/>
    <w:uiPriority w:val="0"/>
    <w:rPr>
      <w:rFonts w:ascii="宋体" w:hAnsi="宋体"/>
      <w:b/>
      <w:bCs/>
      <w:kern w:val="28"/>
      <w:sz w:val="24"/>
      <w:szCs w:val="32"/>
      <w:lang w:val="en-US" w:eastAsia="zh-CN" w:bidi="ar-SA"/>
    </w:rPr>
  </w:style>
  <w:style w:type="character" w:customStyle="1" w:styleId="241">
    <w:name w:val="正文文本 2 Char2"/>
    <w:semiHidden/>
    <w:qFormat/>
    <w:uiPriority w:val="99"/>
    <w:rPr>
      <w:rFonts w:ascii="Calibri" w:hAnsi="Calibri" w:eastAsia="宋体" w:cs="Times New Roman"/>
      <w:kern w:val="2"/>
      <w:sz w:val="24"/>
      <w:szCs w:val="22"/>
    </w:rPr>
  </w:style>
  <w:style w:type="character" w:customStyle="1" w:styleId="242">
    <w:name w:val="批注主题 Char3"/>
    <w:semiHidden/>
    <w:qFormat/>
    <w:uiPriority w:val="99"/>
    <w:rPr>
      <w:rFonts w:ascii="Calibri" w:hAnsi="Calibri" w:eastAsia="宋体" w:cs="Times New Roman"/>
      <w:b/>
      <w:bCs/>
      <w:kern w:val="2"/>
      <w:sz w:val="24"/>
      <w:szCs w:val="22"/>
    </w:rPr>
  </w:style>
  <w:style w:type="character" w:customStyle="1" w:styleId="243">
    <w:name w:val="HTML 地址 Char1"/>
    <w:semiHidden/>
    <w:qFormat/>
    <w:uiPriority w:val="99"/>
    <w:rPr>
      <w:rFonts w:eastAsia="楷体_GB2312"/>
      <w:i/>
      <w:iCs/>
      <w:kern w:val="2"/>
      <w:sz w:val="21"/>
    </w:rPr>
  </w:style>
  <w:style w:type="character" w:customStyle="1" w:styleId="244">
    <w:name w:val="content"/>
    <w:qFormat/>
    <w:uiPriority w:val="0"/>
  </w:style>
  <w:style w:type="character" w:customStyle="1" w:styleId="245">
    <w:name w:val="search-in-page-highlight-wrapper"/>
    <w:qFormat/>
    <w:uiPriority w:val="0"/>
  </w:style>
  <w:style w:type="character" w:customStyle="1" w:styleId="246">
    <w:name w:val="law-parenthese"/>
    <w:qFormat/>
    <w:uiPriority w:val="0"/>
  </w:style>
  <w:style w:type="character" w:customStyle="1" w:styleId="247">
    <w:name w:val="refer-count"/>
    <w:qFormat/>
    <w:uiPriority w:val="0"/>
  </w:style>
  <w:style w:type="character" w:customStyle="1" w:styleId="248">
    <w:name w:val="未处理的提及1"/>
    <w:unhideWhenUsed/>
    <w:qFormat/>
    <w:uiPriority w:val="99"/>
    <w:rPr>
      <w:color w:val="605E5C"/>
      <w:shd w:val="clear" w:color="auto" w:fill="E1DFDD"/>
    </w:rPr>
  </w:style>
  <w:style w:type="character" w:customStyle="1" w:styleId="249">
    <w:name w:val="未处理的提及3"/>
    <w:unhideWhenUsed/>
    <w:qFormat/>
    <w:uiPriority w:val="99"/>
    <w:rPr>
      <w:color w:val="605E5C"/>
      <w:shd w:val="clear" w:color="auto" w:fill="E1DFDD"/>
    </w:rPr>
  </w:style>
  <w:style w:type="character" w:customStyle="1" w:styleId="250">
    <w:name w:val="search-in-page-highlight-item"/>
    <w:qFormat/>
    <w:uiPriority w:val="0"/>
  </w:style>
  <w:style w:type="character" w:styleId="251">
    <w:name w:val="Placeholder Text"/>
    <w:unhideWhenUsed/>
    <w:qFormat/>
    <w:uiPriority w:val="99"/>
    <w:rPr>
      <w:color w:val="808080"/>
    </w:rPr>
  </w:style>
  <w:style w:type="character" w:customStyle="1" w:styleId="252">
    <w:name w:val="未处理的提及2"/>
    <w:unhideWhenUsed/>
    <w:qFormat/>
    <w:uiPriority w:val="99"/>
    <w:rPr>
      <w:color w:val="605E5C"/>
      <w:shd w:val="clear" w:color="auto" w:fill="E1DFDD"/>
    </w:rPr>
  </w:style>
  <w:style w:type="character" w:customStyle="1" w:styleId="253">
    <w:name w:val="样式1 字符"/>
    <w:link w:val="254"/>
    <w:qFormat/>
    <w:uiPriority w:val="0"/>
    <w:rPr>
      <w:rFonts w:ascii="Calibri" w:hAnsi="Calibri"/>
      <w:b/>
      <w:kern w:val="44"/>
      <w:sz w:val="30"/>
      <w:szCs w:val="22"/>
    </w:rPr>
  </w:style>
  <w:style w:type="paragraph" w:customStyle="1" w:styleId="254">
    <w:name w:val="样式1"/>
    <w:basedOn w:val="4"/>
    <w:link w:val="253"/>
    <w:qFormat/>
    <w:uiPriority w:val="0"/>
    <w:pPr>
      <w:keepNext w:val="0"/>
      <w:adjustRightInd w:val="0"/>
      <w:snapToGrid w:val="0"/>
      <w:spacing w:before="0" w:after="0" w:line="360" w:lineRule="auto"/>
      <w:jc w:val="center"/>
    </w:pPr>
    <w:rPr>
      <w:rFonts w:ascii="Calibri" w:hAnsi="Calibri"/>
      <w:bCs w:val="0"/>
      <w:kern w:val="44"/>
      <w:sz w:val="30"/>
      <w:szCs w:val="22"/>
      <w:lang w:eastAsia="zh-CN"/>
    </w:rPr>
  </w:style>
  <w:style w:type="character" w:customStyle="1" w:styleId="255">
    <w:name w:val="标题 Char2"/>
    <w:qFormat/>
    <w:uiPriority w:val="0"/>
    <w:rPr>
      <w:rFonts w:ascii="Arial" w:hAnsi="Arial"/>
      <w:b/>
      <w:kern w:val="2"/>
      <w:sz w:val="44"/>
    </w:rPr>
  </w:style>
  <w:style w:type="character" w:customStyle="1" w:styleId="256">
    <w:name w:val="标题 1 Char2"/>
    <w:qFormat/>
    <w:uiPriority w:val="0"/>
    <w:rPr>
      <w:rFonts w:ascii="Arial" w:hAnsi="Arial"/>
      <w:b/>
      <w:bCs/>
      <w:color w:val="000000"/>
      <w:kern w:val="44"/>
      <w:sz w:val="44"/>
      <w:szCs w:val="44"/>
    </w:rPr>
  </w:style>
  <w:style w:type="character" w:customStyle="1" w:styleId="257">
    <w:name w:val="批注文字 Char1"/>
    <w:qFormat/>
    <w:uiPriority w:val="0"/>
    <w:rPr>
      <w:rFonts w:eastAsia="楷体_GB2312"/>
      <w:kern w:val="2"/>
      <w:sz w:val="21"/>
    </w:rPr>
  </w:style>
  <w:style w:type="character" w:customStyle="1" w:styleId="258">
    <w:name w:val="正文文本缩进 Char2"/>
    <w:qFormat/>
    <w:uiPriority w:val="99"/>
    <w:rPr>
      <w:rFonts w:eastAsia="楷体_GB2312"/>
      <w:kern w:val="2"/>
      <w:sz w:val="21"/>
    </w:rPr>
  </w:style>
  <w:style w:type="character" w:customStyle="1" w:styleId="259">
    <w:name w:val="批注主题 Char1"/>
    <w:qFormat/>
    <w:uiPriority w:val="0"/>
    <w:rPr>
      <w:rFonts w:eastAsia="楷体_GB2312"/>
      <w:b/>
      <w:bCs/>
      <w:kern w:val="2"/>
      <w:sz w:val="21"/>
    </w:rPr>
  </w:style>
  <w:style w:type="character" w:customStyle="1" w:styleId="260">
    <w:name w:val="表格文字居中 Char"/>
    <w:link w:val="261"/>
    <w:qFormat/>
    <w:uiPriority w:val="0"/>
    <w:rPr>
      <w:rFonts w:ascii="宋体" w:hAnsi="宋体"/>
      <w:b/>
      <w:bCs/>
      <w:sz w:val="24"/>
      <w:szCs w:val="24"/>
    </w:rPr>
  </w:style>
  <w:style w:type="paragraph" w:customStyle="1" w:styleId="261">
    <w:name w:val="表格文字居中"/>
    <w:basedOn w:val="1"/>
    <w:link w:val="260"/>
    <w:qFormat/>
    <w:uiPriority w:val="0"/>
    <w:pPr>
      <w:widowControl w:val="0"/>
      <w:spacing w:line="360" w:lineRule="auto"/>
      <w:jc w:val="center"/>
    </w:pPr>
    <w:rPr>
      <w:rFonts w:ascii="宋体" w:hAnsi="宋体"/>
      <w:b/>
      <w:bCs/>
      <w:lang w:eastAsia="zh-CN" w:bidi="ar-SA"/>
    </w:rPr>
  </w:style>
  <w:style w:type="character" w:customStyle="1" w:styleId="262">
    <w:name w:val="font51"/>
    <w:qFormat/>
    <w:uiPriority w:val="0"/>
    <w:rPr>
      <w:rFonts w:hint="eastAsia" w:ascii="宋体" w:hAnsi="宋体" w:eastAsia="宋体" w:cs="宋体"/>
      <w:color w:val="000000"/>
      <w:sz w:val="24"/>
      <w:szCs w:val="24"/>
      <w:u w:val="none"/>
    </w:rPr>
  </w:style>
  <w:style w:type="character" w:customStyle="1" w:styleId="263">
    <w:name w:val="font81"/>
    <w:qFormat/>
    <w:uiPriority w:val="0"/>
    <w:rPr>
      <w:rFonts w:hint="eastAsia" w:ascii="宋体" w:hAnsi="宋体" w:eastAsia="宋体" w:cs="宋体"/>
      <w:color w:val="FF0000"/>
      <w:sz w:val="24"/>
      <w:szCs w:val="24"/>
      <w:u w:val="none"/>
    </w:rPr>
  </w:style>
  <w:style w:type="character" w:customStyle="1" w:styleId="264">
    <w:name w:val="文档结构图 Char1"/>
    <w:semiHidden/>
    <w:qFormat/>
    <w:uiPriority w:val="99"/>
    <w:rPr>
      <w:rFonts w:ascii="宋体"/>
      <w:kern w:val="2"/>
      <w:sz w:val="18"/>
      <w:szCs w:val="18"/>
    </w:rPr>
  </w:style>
  <w:style w:type="character" w:customStyle="1" w:styleId="265">
    <w:name w:val="电子邮件签名 Char1"/>
    <w:semiHidden/>
    <w:qFormat/>
    <w:uiPriority w:val="99"/>
    <w:rPr>
      <w:rFonts w:eastAsia="楷体_GB2312"/>
      <w:kern w:val="2"/>
      <w:sz w:val="21"/>
    </w:rPr>
  </w:style>
  <w:style w:type="character" w:customStyle="1" w:styleId="266">
    <w:name w:val="纯文本 Char Char Char Char"/>
    <w:qFormat/>
    <w:uiPriority w:val="0"/>
    <w:rPr>
      <w:rFonts w:ascii="宋体" w:hAnsi="Courier New" w:eastAsia="宋体" w:cs="Times New Roman"/>
      <w:kern w:val="2"/>
      <w:sz w:val="21"/>
      <w:lang w:val="en-US" w:eastAsia="zh-CN" w:bidi="ar-SA"/>
    </w:rPr>
  </w:style>
  <w:style w:type="character" w:customStyle="1" w:styleId="267">
    <w:name w:val="font41"/>
    <w:qFormat/>
    <w:uiPriority w:val="0"/>
    <w:rPr>
      <w:rFonts w:hint="eastAsia" w:ascii="宋体" w:hAnsi="宋体" w:eastAsia="宋体" w:cs="宋体"/>
      <w:color w:val="FF0000"/>
      <w:sz w:val="24"/>
      <w:szCs w:val="24"/>
      <w:u w:val="none"/>
    </w:rPr>
  </w:style>
  <w:style w:type="character" w:customStyle="1" w:styleId="268">
    <w:name w:val="样式 样式 正文 + 首行缩进:  2 字符 + 首行缩进:  2 字符 段后: 0.3 行 + 首行缩进:  2 字符 Char"/>
    <w:link w:val="269"/>
    <w:qFormat/>
    <w:uiPriority w:val="0"/>
    <w:rPr>
      <w:kern w:val="2"/>
      <w:sz w:val="24"/>
    </w:rPr>
  </w:style>
  <w:style w:type="paragraph" w:customStyle="1" w:styleId="269">
    <w:name w:val="样式 样式 正文 + 首行缩进:  2 字符 + 首行缩进:  2 字符 段后: 0.3 行 + 首行缩进:  2 字符"/>
    <w:basedOn w:val="1"/>
    <w:link w:val="268"/>
    <w:qFormat/>
    <w:uiPriority w:val="0"/>
    <w:pPr>
      <w:widowControl w:val="0"/>
      <w:spacing w:afterLines="30" w:line="400" w:lineRule="exact"/>
      <w:ind w:firstLine="200" w:firstLineChars="200"/>
    </w:pPr>
    <w:rPr>
      <w:kern w:val="2"/>
      <w:szCs w:val="20"/>
      <w:lang w:eastAsia="zh-CN" w:bidi="ar-SA"/>
    </w:rPr>
  </w:style>
  <w:style w:type="character" w:customStyle="1" w:styleId="270">
    <w:name w:val="font91"/>
    <w:qFormat/>
    <w:uiPriority w:val="0"/>
    <w:rPr>
      <w:rFonts w:hint="eastAsia" w:ascii="宋体" w:hAnsi="宋体" w:eastAsia="宋体" w:cs="宋体"/>
      <w:b/>
      <w:color w:val="000000"/>
      <w:sz w:val="28"/>
      <w:szCs w:val="28"/>
      <w:u w:val="none"/>
    </w:rPr>
  </w:style>
  <w:style w:type="character" w:customStyle="1" w:styleId="271">
    <w:name w:val="表格居中 Char"/>
    <w:qFormat/>
    <w:uiPriority w:val="0"/>
    <w:rPr>
      <w:rFonts w:ascii="宋体" w:hAnsi="Times New Roman" w:eastAsia="宋体" w:cs="Times New Roman"/>
      <w:kern w:val="2"/>
      <w:sz w:val="21"/>
      <w:szCs w:val="21"/>
      <w:lang w:val="en-US" w:eastAsia="zh-CN" w:bidi="ar-SA"/>
    </w:rPr>
  </w:style>
  <w:style w:type="character" w:customStyle="1" w:styleId="272">
    <w:name w:val="Normal Indent Char"/>
    <w:qFormat/>
    <w:locked/>
    <w:uiPriority w:val="0"/>
    <w:rPr>
      <w:kern w:val="2"/>
      <w:sz w:val="21"/>
    </w:rPr>
  </w:style>
  <w:style w:type="character" w:customStyle="1" w:styleId="273">
    <w:name w:val="宏文本 Char1"/>
    <w:semiHidden/>
    <w:qFormat/>
    <w:uiPriority w:val="99"/>
    <w:rPr>
      <w:rFonts w:ascii="Courier New" w:hAnsi="Courier New" w:cs="Courier New"/>
      <w:kern w:val="2"/>
      <w:sz w:val="24"/>
      <w:szCs w:val="24"/>
    </w:rPr>
  </w:style>
  <w:style w:type="character" w:customStyle="1" w:styleId="274">
    <w:name w:val="font31"/>
    <w:qFormat/>
    <w:uiPriority w:val="0"/>
    <w:rPr>
      <w:rFonts w:hint="eastAsia" w:ascii="宋体" w:hAnsi="宋体" w:eastAsia="宋体" w:cs="宋体"/>
      <w:color w:val="000000"/>
      <w:sz w:val="24"/>
      <w:szCs w:val="24"/>
      <w:u w:val="none"/>
    </w:rPr>
  </w:style>
  <w:style w:type="character" w:customStyle="1" w:styleId="275">
    <w:name w:val="表格文字缩进 Char"/>
    <w:link w:val="276"/>
    <w:qFormat/>
    <w:uiPriority w:val="0"/>
    <w:rPr>
      <w:rFonts w:ascii="宋体"/>
      <w:kern w:val="2"/>
      <w:sz w:val="24"/>
      <w:szCs w:val="24"/>
    </w:rPr>
  </w:style>
  <w:style w:type="paragraph" w:customStyle="1" w:styleId="276">
    <w:name w:val="表格文字缩进"/>
    <w:basedOn w:val="1"/>
    <w:next w:val="277"/>
    <w:link w:val="275"/>
    <w:qFormat/>
    <w:uiPriority w:val="0"/>
    <w:pPr>
      <w:widowControl w:val="0"/>
      <w:spacing w:line="360" w:lineRule="exact"/>
      <w:ind w:firstLine="480" w:firstLineChars="200"/>
      <w:jc w:val="both"/>
    </w:pPr>
    <w:rPr>
      <w:rFonts w:ascii="宋体"/>
      <w:kern w:val="2"/>
      <w:lang w:eastAsia="zh-CN" w:bidi="ar-SA"/>
    </w:rPr>
  </w:style>
  <w:style w:type="paragraph" w:customStyle="1" w:styleId="277">
    <w:name w:val="西塔正文1"/>
    <w:basedOn w:val="1"/>
    <w:link w:val="278"/>
    <w:qFormat/>
    <w:uiPriority w:val="0"/>
    <w:pPr>
      <w:widowControl w:val="0"/>
      <w:spacing w:line="360" w:lineRule="auto"/>
      <w:jc w:val="center"/>
    </w:pPr>
    <w:rPr>
      <w:rFonts w:ascii="宋体" w:hAnsi="Calibri"/>
      <w:kern w:val="2"/>
      <w:lang w:eastAsia="zh-CN" w:bidi="ar-SA"/>
    </w:rPr>
  </w:style>
  <w:style w:type="character" w:customStyle="1" w:styleId="278">
    <w:name w:val="西塔正文1 Char Char"/>
    <w:link w:val="277"/>
    <w:qFormat/>
    <w:uiPriority w:val="0"/>
    <w:rPr>
      <w:rFonts w:ascii="宋体" w:hAnsi="Calibri"/>
      <w:kern w:val="2"/>
      <w:sz w:val="24"/>
      <w:szCs w:val="24"/>
    </w:rPr>
  </w:style>
  <w:style w:type="character" w:customStyle="1" w:styleId="279">
    <w:name w:val="正文首行缩进 2 Char1"/>
    <w:qFormat/>
    <w:uiPriority w:val="0"/>
  </w:style>
  <w:style w:type="character" w:customStyle="1" w:styleId="280">
    <w:name w:val="正文部分 Char"/>
    <w:link w:val="281"/>
    <w:qFormat/>
    <w:uiPriority w:val="0"/>
    <w:rPr>
      <w:kern w:val="2"/>
      <w:sz w:val="24"/>
      <w:szCs w:val="24"/>
    </w:rPr>
  </w:style>
  <w:style w:type="paragraph" w:customStyle="1" w:styleId="281">
    <w:name w:val="正文部分"/>
    <w:basedOn w:val="1"/>
    <w:link w:val="280"/>
    <w:qFormat/>
    <w:uiPriority w:val="0"/>
    <w:pPr>
      <w:widowControl w:val="0"/>
      <w:spacing w:line="460" w:lineRule="exact"/>
      <w:ind w:firstLine="225" w:firstLineChars="225"/>
      <w:jc w:val="both"/>
    </w:pPr>
    <w:rPr>
      <w:kern w:val="2"/>
      <w:lang w:eastAsia="zh-CN" w:bidi="ar-SA"/>
    </w:rPr>
  </w:style>
  <w:style w:type="character" w:customStyle="1" w:styleId="282">
    <w:name w:val="称呼 Char1"/>
    <w:semiHidden/>
    <w:qFormat/>
    <w:uiPriority w:val="99"/>
    <w:rPr>
      <w:rFonts w:eastAsia="楷体_GB2312"/>
      <w:kern w:val="2"/>
      <w:sz w:val="21"/>
    </w:rPr>
  </w:style>
  <w:style w:type="character" w:customStyle="1" w:styleId="283">
    <w:name w:val="menuword"/>
    <w:qFormat/>
    <w:uiPriority w:val="0"/>
    <w:rPr>
      <w:rFonts w:ascii="Times New Roman" w:hAnsi="Times New Roman" w:eastAsia="宋体" w:cs="Times New Roman"/>
    </w:rPr>
  </w:style>
  <w:style w:type="character" w:customStyle="1" w:styleId="284">
    <w:name w:val="HTML 预设格式 Char1"/>
    <w:semiHidden/>
    <w:qFormat/>
    <w:uiPriority w:val="99"/>
    <w:rPr>
      <w:rFonts w:ascii="Courier New" w:hAnsi="Courier New" w:eastAsia="楷体_GB2312" w:cs="Courier New"/>
      <w:sz w:val="20"/>
      <w:szCs w:val="20"/>
    </w:rPr>
  </w:style>
  <w:style w:type="character" w:customStyle="1" w:styleId="285">
    <w:name w:val="框图文字 Char"/>
    <w:qFormat/>
    <w:uiPriority w:val="0"/>
    <w:rPr>
      <w:rFonts w:ascii="宋体" w:hAnsi="PMingLiU" w:eastAsia="Calibri" w:cs="Times New Roman"/>
      <w:kern w:val="2"/>
      <w:sz w:val="21"/>
      <w:lang w:val="en-US" w:eastAsia="zh-CN" w:bidi="ar-SA"/>
    </w:rPr>
  </w:style>
  <w:style w:type="character" w:customStyle="1" w:styleId="286">
    <w:name w:val="copy1"/>
    <w:qFormat/>
    <w:uiPriority w:val="0"/>
    <w:rPr>
      <w:rFonts w:hint="default" w:ascii="Wingdings" w:hAnsi="Wingdings" w:eastAsia="宋体" w:cs="Times New Roman"/>
      <w:sz w:val="16"/>
      <w:szCs w:val="16"/>
    </w:rPr>
  </w:style>
  <w:style w:type="character" w:customStyle="1" w:styleId="287">
    <w:name w:val="日期 Char1"/>
    <w:semiHidden/>
    <w:qFormat/>
    <w:uiPriority w:val="99"/>
    <w:rPr>
      <w:rFonts w:ascii="Times New Roman" w:hAnsi="Times New Roman" w:eastAsia="楷体_GB2312" w:cs="Times New Roman"/>
      <w:szCs w:val="20"/>
    </w:rPr>
  </w:style>
  <w:style w:type="character" w:customStyle="1" w:styleId="288">
    <w:name w:val="表格左对齐 Char"/>
    <w:link w:val="289"/>
    <w:qFormat/>
    <w:uiPriority w:val="0"/>
    <w:rPr>
      <w:rFonts w:ascii="宋体"/>
      <w:kern w:val="2"/>
      <w:sz w:val="21"/>
      <w:szCs w:val="21"/>
    </w:rPr>
  </w:style>
  <w:style w:type="paragraph" w:customStyle="1" w:styleId="289">
    <w:name w:val="表格左对齐"/>
    <w:basedOn w:val="1"/>
    <w:link w:val="288"/>
    <w:qFormat/>
    <w:uiPriority w:val="0"/>
    <w:pPr>
      <w:widowControl w:val="0"/>
    </w:pPr>
    <w:rPr>
      <w:rFonts w:ascii="宋体"/>
      <w:kern w:val="2"/>
      <w:sz w:val="21"/>
      <w:szCs w:val="21"/>
      <w:lang w:eastAsia="zh-CN" w:bidi="ar-SA"/>
    </w:rPr>
  </w:style>
  <w:style w:type="character" w:customStyle="1" w:styleId="290">
    <w:name w:val="样式 正文缩进表正文正文非缩进正文（首行缩进两字）1正文（首行缩进两字）1 Char Char Char Char Ch... Char"/>
    <w:link w:val="291"/>
    <w:qFormat/>
    <w:uiPriority w:val="0"/>
    <w:rPr>
      <w:kern w:val="2"/>
      <w:sz w:val="24"/>
    </w:rPr>
  </w:style>
  <w:style w:type="paragraph" w:customStyle="1" w:styleId="291">
    <w:name w:val="样式 正文缩进表正文正文非缩进正文（首行缩进两字）1正文（首行缩进两字）1 Char Char Char Char Ch..."/>
    <w:basedOn w:val="20"/>
    <w:link w:val="290"/>
    <w:qFormat/>
    <w:uiPriority w:val="0"/>
    <w:pPr>
      <w:widowControl w:val="0"/>
      <w:spacing w:line="360" w:lineRule="auto"/>
      <w:ind w:firstLine="480" w:firstLineChars="200"/>
      <w:jc w:val="both"/>
    </w:pPr>
    <w:rPr>
      <w:kern w:val="2"/>
      <w:szCs w:val="20"/>
      <w:lang w:eastAsia="zh-CN" w:bidi="ar-SA"/>
    </w:rPr>
  </w:style>
  <w:style w:type="character" w:customStyle="1" w:styleId="292">
    <w:name w:val="样式 标题 2 + (西文) 宋体 小四 Char"/>
    <w:link w:val="293"/>
    <w:qFormat/>
    <w:uiPriority w:val="0"/>
    <w:rPr>
      <w:rFonts w:ascii="宋体" w:hAnsi="宋体"/>
      <w:b/>
      <w:color w:val="000000"/>
      <w:kern w:val="2"/>
      <w:sz w:val="24"/>
    </w:rPr>
  </w:style>
  <w:style w:type="paragraph" w:customStyle="1" w:styleId="293">
    <w:name w:val="样式 标题 2 + (西文) 宋体 小四"/>
    <w:basedOn w:val="5"/>
    <w:link w:val="292"/>
    <w:qFormat/>
    <w:uiPriority w:val="0"/>
    <w:pPr>
      <w:keepLines/>
      <w:widowControl w:val="0"/>
      <w:spacing w:before="260" w:after="0" w:line="415" w:lineRule="auto"/>
      <w:ind w:left="454" w:hanging="454"/>
      <w:jc w:val="center"/>
    </w:pPr>
    <w:rPr>
      <w:rFonts w:ascii="宋体" w:hAnsi="宋体"/>
      <w:bCs w:val="0"/>
      <w:i w:val="0"/>
      <w:iCs w:val="0"/>
      <w:color w:val="000000"/>
      <w:kern w:val="2"/>
      <w:sz w:val="24"/>
      <w:szCs w:val="20"/>
      <w:lang w:eastAsia="zh-CN"/>
    </w:rPr>
  </w:style>
  <w:style w:type="character" w:customStyle="1" w:styleId="294">
    <w:name w:val="注释标题 Char1"/>
    <w:semiHidden/>
    <w:qFormat/>
    <w:uiPriority w:val="99"/>
    <w:rPr>
      <w:rFonts w:eastAsia="楷体_GB2312"/>
      <w:kern w:val="2"/>
      <w:sz w:val="21"/>
    </w:rPr>
  </w:style>
  <w:style w:type="character" w:customStyle="1" w:styleId="295">
    <w:name w:val="结束语 Char1"/>
    <w:semiHidden/>
    <w:qFormat/>
    <w:uiPriority w:val="99"/>
    <w:rPr>
      <w:rFonts w:eastAsia="楷体_GB2312"/>
      <w:kern w:val="2"/>
      <w:sz w:val="21"/>
    </w:rPr>
  </w:style>
  <w:style w:type="character" w:customStyle="1" w:styleId="296">
    <w:name w:val="样式 样式 样式 仿宋_GB2312 四号 段后: 7.8 磅 行距: 1.5 倍行距 + 首行缩进:  2 字符 + Char"/>
    <w:link w:val="297"/>
    <w:qFormat/>
    <w:uiPriority w:val="0"/>
    <w:rPr>
      <w:rFonts w:ascii="Batang" w:hAnsi="宋体" w:eastAsia="Calibri"/>
      <w:sz w:val="24"/>
    </w:rPr>
  </w:style>
  <w:style w:type="paragraph" w:customStyle="1" w:styleId="297">
    <w:name w:val="样式 样式 样式 仿宋_GB2312 四号 段后: 7.8 磅 行距: 1.5 倍行距 + 首行缩进:  2 字符 +"/>
    <w:basedOn w:val="1"/>
    <w:link w:val="296"/>
    <w:qFormat/>
    <w:uiPriority w:val="0"/>
    <w:pPr>
      <w:widowControl w:val="0"/>
      <w:snapToGrid w:val="0"/>
      <w:spacing w:line="312" w:lineRule="auto"/>
      <w:ind w:firstLine="480" w:firstLineChars="200"/>
      <w:jc w:val="both"/>
    </w:pPr>
    <w:rPr>
      <w:rFonts w:ascii="Batang" w:hAnsi="宋体" w:eastAsia="Calibri"/>
      <w:szCs w:val="20"/>
      <w:lang w:eastAsia="zh-CN" w:bidi="ar-SA"/>
    </w:rPr>
  </w:style>
  <w:style w:type="character" w:customStyle="1" w:styleId="298">
    <w:name w:val="副标题 Char2"/>
    <w:qFormat/>
    <w:uiPriority w:val="11"/>
    <w:rPr>
      <w:rFonts w:ascii="Cambria" w:hAnsi="Cambria" w:eastAsia="宋体" w:cs="Times New Roman"/>
      <w:b/>
      <w:bCs/>
      <w:kern w:val="28"/>
      <w:sz w:val="32"/>
      <w:szCs w:val="32"/>
    </w:rPr>
  </w:style>
  <w:style w:type="character" w:customStyle="1" w:styleId="299">
    <w:name w:val="yxInternal"/>
    <w:qFormat/>
    <w:uiPriority w:val="0"/>
    <w:rPr>
      <w:rFonts w:ascii="PMingLiU" w:hAnsi="PMingLiU" w:eastAsia="宋体" w:cs="Times New Roman"/>
      <w:color w:val="FF0000"/>
    </w:rPr>
  </w:style>
  <w:style w:type="character" w:customStyle="1" w:styleId="300">
    <w:name w:val="样式 Char Char"/>
    <w:qFormat/>
    <w:uiPriority w:val="0"/>
    <w:rPr>
      <w:rFonts w:ascii="Times New Roman" w:hAnsi="Times New Roman" w:eastAsia="宋体" w:cs="Times New Roman"/>
    </w:rPr>
  </w:style>
  <w:style w:type="character" w:customStyle="1" w:styleId="301">
    <w:name w:val="插图 Char"/>
    <w:link w:val="302"/>
    <w:qFormat/>
    <w:uiPriority w:val="0"/>
    <w:rPr>
      <w:rFonts w:ascii="宋体"/>
      <w:kern w:val="2"/>
      <w:sz w:val="24"/>
      <w:szCs w:val="24"/>
    </w:rPr>
  </w:style>
  <w:style w:type="paragraph" w:customStyle="1" w:styleId="302">
    <w:name w:val="插图"/>
    <w:basedOn w:val="303"/>
    <w:link w:val="301"/>
    <w:qFormat/>
    <w:uiPriority w:val="0"/>
    <w:pPr>
      <w:spacing w:line="240" w:lineRule="auto"/>
      <w:ind w:firstLine="0" w:firstLineChars="0"/>
      <w:jc w:val="center"/>
    </w:pPr>
    <w:rPr>
      <w:rFonts w:hAnsi="Times New Roman"/>
    </w:rPr>
  </w:style>
  <w:style w:type="paragraph" w:customStyle="1" w:styleId="303">
    <w:name w:val="方案正文"/>
    <w:basedOn w:val="1"/>
    <w:link w:val="304"/>
    <w:qFormat/>
    <w:uiPriority w:val="0"/>
    <w:pPr>
      <w:widowControl w:val="0"/>
      <w:spacing w:line="360" w:lineRule="auto"/>
      <w:ind w:firstLine="480" w:firstLineChars="200"/>
    </w:pPr>
    <w:rPr>
      <w:rFonts w:ascii="宋体" w:hAnsi="Calibri"/>
      <w:kern w:val="2"/>
      <w:lang w:eastAsia="zh-CN" w:bidi="ar-SA"/>
    </w:rPr>
  </w:style>
  <w:style w:type="character" w:customStyle="1" w:styleId="304">
    <w:name w:val="方案正文 Char"/>
    <w:link w:val="303"/>
    <w:qFormat/>
    <w:uiPriority w:val="0"/>
    <w:rPr>
      <w:rFonts w:ascii="宋体" w:hAnsi="Calibri"/>
      <w:kern w:val="2"/>
      <w:sz w:val="24"/>
      <w:szCs w:val="24"/>
    </w:rPr>
  </w:style>
  <w:style w:type="character" w:customStyle="1" w:styleId="305">
    <w:name w:val="西塔正文1 Char"/>
    <w:qFormat/>
    <w:uiPriority w:val="0"/>
    <w:rPr>
      <w:rFonts w:ascii="宋体" w:hAnsi="Times New Roman" w:eastAsia="宋体" w:cs="Times New Roman"/>
      <w:kern w:val="2"/>
      <w:sz w:val="24"/>
      <w:szCs w:val="24"/>
      <w:lang w:val="en-US" w:eastAsia="zh-CN" w:bidi="ar-SA"/>
    </w:rPr>
  </w:style>
  <w:style w:type="character" w:customStyle="1" w:styleId="306">
    <w:name w:val="样式 表格文字居中 + 黑色 Char"/>
    <w:link w:val="307"/>
    <w:qFormat/>
    <w:uiPriority w:val="0"/>
    <w:rPr>
      <w:rFonts w:ascii="宋体" w:hAnsi="宋体"/>
      <w:b/>
      <w:bCs/>
      <w:color w:val="000000"/>
      <w:kern w:val="2"/>
      <w:sz w:val="24"/>
      <w:szCs w:val="21"/>
    </w:rPr>
  </w:style>
  <w:style w:type="paragraph" w:customStyle="1" w:styleId="307">
    <w:name w:val="样式 表格文字居中 + 黑色"/>
    <w:basedOn w:val="261"/>
    <w:link w:val="306"/>
    <w:qFormat/>
    <w:uiPriority w:val="0"/>
    <w:pPr>
      <w:widowControl/>
    </w:pPr>
    <w:rPr>
      <w:color w:val="000000"/>
      <w:kern w:val="2"/>
      <w:szCs w:val="21"/>
    </w:rPr>
  </w:style>
  <w:style w:type="character" w:customStyle="1" w:styleId="308">
    <w:name w:val="签名 Char2"/>
    <w:semiHidden/>
    <w:qFormat/>
    <w:uiPriority w:val="99"/>
    <w:rPr>
      <w:rFonts w:ascii="Times New Roman" w:hAnsi="Times New Roman" w:eastAsia="楷体_GB2312" w:cs="Times New Roman"/>
      <w:szCs w:val="20"/>
    </w:rPr>
  </w:style>
  <w:style w:type="character" w:customStyle="1" w:styleId="309">
    <w:name w:val="信息标题 Char1"/>
    <w:semiHidden/>
    <w:qFormat/>
    <w:uiPriority w:val="99"/>
    <w:rPr>
      <w:rFonts w:ascii="Cambria" w:hAnsi="Cambria" w:eastAsia="宋体" w:cs="Times New Roman"/>
      <w:kern w:val="2"/>
      <w:sz w:val="24"/>
      <w:szCs w:val="24"/>
      <w:shd w:val="pct20" w:color="auto" w:fill="auto"/>
    </w:rPr>
  </w:style>
  <w:style w:type="character" w:customStyle="1" w:styleId="310">
    <w:name w:val="表格内容 Char"/>
    <w:link w:val="311"/>
    <w:qFormat/>
    <w:uiPriority w:val="0"/>
    <w:rPr>
      <w:rFonts w:ascii="宋体" w:hAnsi="宋体"/>
      <w:kern w:val="2"/>
      <w:sz w:val="21"/>
      <w:szCs w:val="21"/>
    </w:rPr>
  </w:style>
  <w:style w:type="paragraph" w:customStyle="1" w:styleId="311">
    <w:name w:val="表格内容"/>
    <w:basedOn w:val="1"/>
    <w:link w:val="310"/>
    <w:qFormat/>
    <w:uiPriority w:val="0"/>
    <w:pPr>
      <w:widowControl w:val="0"/>
      <w:spacing w:line="300" w:lineRule="exact"/>
      <w:jc w:val="both"/>
    </w:pPr>
    <w:rPr>
      <w:rFonts w:ascii="宋体" w:hAnsi="宋体"/>
      <w:kern w:val="2"/>
      <w:sz w:val="21"/>
      <w:szCs w:val="21"/>
      <w:lang w:eastAsia="zh-CN" w:bidi="ar-SA"/>
    </w:rPr>
  </w:style>
  <w:style w:type="character" w:customStyle="1" w:styleId="312">
    <w:name w:val="style6"/>
    <w:qFormat/>
    <w:uiPriority w:val="0"/>
    <w:rPr>
      <w:rFonts w:ascii="Times New Roman" w:hAnsi="Times New Roman" w:eastAsia="宋体" w:cs="Times New Roman"/>
    </w:rPr>
  </w:style>
  <w:style w:type="character" w:customStyle="1" w:styleId="313">
    <w:name w:val="正文文本缩进 3 Char1"/>
    <w:semiHidden/>
    <w:qFormat/>
    <w:uiPriority w:val="99"/>
    <w:rPr>
      <w:rFonts w:ascii="Times New Roman" w:hAnsi="Times New Roman" w:eastAsia="楷体_GB2312" w:cs="Times New Roman"/>
      <w:sz w:val="16"/>
      <w:szCs w:val="16"/>
    </w:rPr>
  </w:style>
  <w:style w:type="character" w:customStyle="1" w:styleId="314">
    <w:name w:val="标题 Char3"/>
    <w:qFormat/>
    <w:uiPriority w:val="10"/>
    <w:rPr>
      <w:rFonts w:ascii="Cambria" w:hAnsi="Cambria" w:cs="Times New Roman"/>
      <w:b/>
      <w:bCs/>
      <w:kern w:val="2"/>
      <w:sz w:val="32"/>
      <w:szCs w:val="32"/>
    </w:rPr>
  </w:style>
  <w:style w:type="character" w:customStyle="1" w:styleId="315">
    <w:name w:val="正文文本缩进 2 Char1"/>
    <w:semiHidden/>
    <w:qFormat/>
    <w:uiPriority w:val="99"/>
    <w:rPr>
      <w:rFonts w:ascii="Times New Roman" w:hAnsi="Times New Roman" w:eastAsia="楷体_GB2312" w:cs="Times New Roman"/>
      <w:szCs w:val="20"/>
    </w:rPr>
  </w:style>
  <w:style w:type="character" w:customStyle="1" w:styleId="316">
    <w:name w:val="样式 样式 仿宋_GB2312 四号 段后: 7.8 磅 行距: 1.5 倍行距 + 首行缩进:  2 字符 Char"/>
    <w:link w:val="317"/>
    <w:qFormat/>
    <w:uiPriority w:val="0"/>
    <w:rPr>
      <w:rFonts w:ascii="Batang" w:hAnsi="宋体" w:eastAsia="Calibri"/>
      <w:kern w:val="24"/>
      <w:sz w:val="24"/>
    </w:rPr>
  </w:style>
  <w:style w:type="paragraph" w:customStyle="1" w:styleId="317">
    <w:name w:val="样式 样式 仿宋_GB2312 四号 段后: 7.8 磅 行距: 1.5 倍行距 + 首行缩进:  2 字符"/>
    <w:basedOn w:val="1"/>
    <w:link w:val="316"/>
    <w:qFormat/>
    <w:uiPriority w:val="0"/>
    <w:pPr>
      <w:widowControl w:val="0"/>
      <w:snapToGrid w:val="0"/>
      <w:spacing w:line="312" w:lineRule="auto"/>
      <w:ind w:firstLine="480" w:firstLineChars="200"/>
      <w:jc w:val="both"/>
    </w:pPr>
    <w:rPr>
      <w:rFonts w:ascii="Batang" w:hAnsi="宋体" w:eastAsia="Calibri"/>
      <w:kern w:val="24"/>
      <w:szCs w:val="20"/>
      <w:lang w:eastAsia="zh-CN" w:bidi="ar-SA"/>
    </w:rPr>
  </w:style>
  <w:style w:type="character" w:customStyle="1" w:styleId="318">
    <w:name w:val="批注主题 Char2"/>
    <w:semiHidden/>
    <w:qFormat/>
    <w:uiPriority w:val="99"/>
    <w:rPr>
      <w:rFonts w:ascii="Times New Roman" w:hAnsi="Times New Roman" w:eastAsia="楷体_GB2312" w:cs="Times New Roman"/>
      <w:b/>
      <w:bCs/>
      <w:kern w:val="2"/>
      <w:sz w:val="21"/>
      <w:szCs w:val="20"/>
    </w:rPr>
  </w:style>
  <w:style w:type="character" w:customStyle="1" w:styleId="319">
    <w:name w:val="表格左缩进 Char"/>
    <w:link w:val="320"/>
    <w:qFormat/>
    <w:uiPriority w:val="0"/>
    <w:rPr>
      <w:rFonts w:ascii="宋体"/>
      <w:kern w:val="2"/>
      <w:sz w:val="21"/>
      <w:szCs w:val="21"/>
    </w:rPr>
  </w:style>
  <w:style w:type="paragraph" w:customStyle="1" w:styleId="320">
    <w:name w:val="表格左缩进"/>
    <w:basedOn w:val="289"/>
    <w:link w:val="319"/>
    <w:qFormat/>
    <w:uiPriority w:val="0"/>
    <w:pPr>
      <w:ind w:firstLine="420" w:firstLineChars="200"/>
    </w:pPr>
  </w:style>
  <w:style w:type="character" w:customStyle="1" w:styleId="321">
    <w:name w:val="普通文字 Char2"/>
    <w:qFormat/>
    <w:uiPriority w:val="0"/>
    <w:rPr>
      <w:rFonts w:ascii="宋体" w:hAnsi="Courier New" w:eastAsia="宋体" w:cs="Times New Roman"/>
      <w:kern w:val="2"/>
      <w:sz w:val="21"/>
      <w:lang w:val="en-US" w:eastAsia="zh-CN" w:bidi="ar-SA"/>
    </w:rPr>
  </w:style>
  <w:style w:type="character" w:customStyle="1" w:styleId="322">
    <w:name w:val="批注框文本 Char1"/>
    <w:semiHidden/>
    <w:qFormat/>
    <w:uiPriority w:val="99"/>
    <w:rPr>
      <w:rFonts w:ascii="Times New Roman" w:hAnsi="Times New Roman" w:eastAsia="楷体_GB2312" w:cs="Times New Roman"/>
      <w:sz w:val="18"/>
      <w:szCs w:val="18"/>
    </w:rPr>
  </w:style>
  <w:style w:type="character" w:customStyle="1" w:styleId="323">
    <w:name w:val="表格文字居左 Char"/>
    <w:link w:val="324"/>
    <w:qFormat/>
    <w:uiPriority w:val="0"/>
    <w:rPr>
      <w:rFonts w:ascii="宋体"/>
      <w:kern w:val="2"/>
      <w:sz w:val="24"/>
      <w:szCs w:val="24"/>
    </w:rPr>
  </w:style>
  <w:style w:type="paragraph" w:customStyle="1" w:styleId="324">
    <w:name w:val="表格文字居左"/>
    <w:basedOn w:val="1"/>
    <w:next w:val="1"/>
    <w:link w:val="323"/>
    <w:qFormat/>
    <w:uiPriority w:val="0"/>
    <w:pPr>
      <w:widowControl w:val="0"/>
      <w:ind w:firstLine="480" w:firstLineChars="200"/>
      <w:jc w:val="both"/>
    </w:pPr>
    <w:rPr>
      <w:rFonts w:ascii="宋体"/>
      <w:kern w:val="2"/>
      <w:lang w:eastAsia="zh-CN" w:bidi="ar-SA"/>
    </w:rPr>
  </w:style>
  <w:style w:type="character" w:customStyle="1" w:styleId="325">
    <w:name w:val="注释标题 Char2"/>
    <w:semiHidden/>
    <w:qFormat/>
    <w:uiPriority w:val="99"/>
    <w:rPr>
      <w:rFonts w:ascii="Times New Roman" w:hAnsi="Times New Roman" w:eastAsia="楷体_GB2312" w:cs="Times New Roman"/>
      <w:szCs w:val="20"/>
    </w:rPr>
  </w:style>
  <w:style w:type="character" w:customStyle="1" w:styleId="326">
    <w:name w:val="表格文字 Char"/>
    <w:link w:val="327"/>
    <w:qFormat/>
    <w:uiPriority w:val="0"/>
    <w:rPr>
      <w:rFonts w:ascii="宋体" w:hAnsi="宋体" w:eastAsia="Calibri"/>
      <w:kern w:val="2"/>
      <w:sz w:val="24"/>
      <w:szCs w:val="24"/>
      <w:lang w:eastAsia="zh-TW"/>
    </w:rPr>
  </w:style>
  <w:style w:type="paragraph" w:customStyle="1" w:styleId="327">
    <w:name w:val="表格文字"/>
    <w:basedOn w:val="1"/>
    <w:link w:val="326"/>
    <w:qFormat/>
    <w:uiPriority w:val="0"/>
    <w:pPr>
      <w:widowControl w:val="0"/>
      <w:adjustRightInd w:val="0"/>
      <w:snapToGrid w:val="0"/>
      <w:jc w:val="center"/>
    </w:pPr>
    <w:rPr>
      <w:rFonts w:ascii="宋体" w:hAnsi="宋体" w:eastAsia="Calibri"/>
      <w:kern w:val="2"/>
      <w:lang w:eastAsia="zh-TW" w:bidi="ar-SA"/>
    </w:rPr>
  </w:style>
  <w:style w:type="character" w:customStyle="1" w:styleId="328">
    <w:name w:val="正文文本 2 Char1"/>
    <w:semiHidden/>
    <w:qFormat/>
    <w:uiPriority w:val="99"/>
    <w:rPr>
      <w:rFonts w:ascii="Times New Roman" w:hAnsi="Times New Roman" w:eastAsia="楷体_GB2312" w:cs="Times New Roman"/>
      <w:szCs w:val="20"/>
    </w:rPr>
  </w:style>
  <w:style w:type="character" w:customStyle="1" w:styleId="329">
    <w:name w:val="签名 Char1"/>
    <w:semiHidden/>
    <w:qFormat/>
    <w:uiPriority w:val="99"/>
    <w:rPr>
      <w:rFonts w:eastAsia="楷体_GB2312"/>
      <w:kern w:val="2"/>
      <w:sz w:val="21"/>
    </w:rPr>
  </w:style>
  <w:style w:type="character" w:customStyle="1" w:styleId="330">
    <w:name w:val="正文缩2 Char"/>
    <w:link w:val="331"/>
    <w:qFormat/>
    <w:uiPriority w:val="0"/>
    <w:rPr>
      <w:kern w:val="2"/>
      <w:sz w:val="24"/>
      <w:szCs w:val="24"/>
    </w:rPr>
  </w:style>
  <w:style w:type="paragraph" w:customStyle="1" w:styleId="331">
    <w:name w:val="正文缩2"/>
    <w:basedOn w:val="1"/>
    <w:link w:val="330"/>
    <w:qFormat/>
    <w:uiPriority w:val="0"/>
    <w:pPr>
      <w:widowControl w:val="0"/>
      <w:spacing w:beforeLines="50" w:line="300" w:lineRule="auto"/>
      <w:ind w:firstLine="480" w:firstLineChars="200"/>
      <w:jc w:val="both"/>
    </w:pPr>
    <w:rPr>
      <w:kern w:val="2"/>
      <w:lang w:eastAsia="zh-CN" w:bidi="ar-SA"/>
    </w:rPr>
  </w:style>
  <w:style w:type="character" w:customStyle="1" w:styleId="332">
    <w:name w:val="尾注文本 Char2"/>
    <w:semiHidden/>
    <w:qFormat/>
    <w:uiPriority w:val="99"/>
    <w:rPr>
      <w:rFonts w:eastAsia="楷体_GB2312"/>
      <w:kern w:val="2"/>
      <w:sz w:val="21"/>
    </w:rPr>
  </w:style>
  <w:style w:type="character" w:customStyle="1" w:styleId="333">
    <w:name w:val="tpc_content1"/>
    <w:qFormat/>
    <w:uiPriority w:val="0"/>
    <w:rPr>
      <w:rFonts w:ascii="Times New Roman" w:hAnsi="Times New Roman" w:eastAsia="宋体" w:cs="Times New Roman"/>
      <w:sz w:val="26"/>
      <w:szCs w:val="26"/>
    </w:rPr>
  </w:style>
  <w:style w:type="character" w:customStyle="1" w:styleId="334">
    <w:name w:val="javascript"/>
    <w:qFormat/>
    <w:uiPriority w:val="0"/>
    <w:rPr>
      <w:rFonts w:ascii="Times New Roman" w:hAnsi="Times New Roman" w:eastAsia="宋体" w:cs="Times New Roman"/>
    </w:rPr>
  </w:style>
  <w:style w:type="character" w:customStyle="1" w:styleId="335">
    <w:name w:val="正文缩进 字符"/>
    <w:qFormat/>
    <w:uiPriority w:val="0"/>
  </w:style>
  <w:style w:type="paragraph" w:customStyle="1" w:styleId="336">
    <w:name w:val="xl94"/>
    <w:basedOn w:val="1"/>
    <w:qFormat/>
    <w:uiPriority w:val="0"/>
    <w:pPr>
      <w:pBdr>
        <w:bottom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337">
    <w:name w:val="样式 标题 21.1-C标题 1.1章LLZ2h2部分标题Heading 2 HiddenHeading 2 C...4"/>
    <w:basedOn w:val="5"/>
    <w:qFormat/>
    <w:uiPriority w:val="0"/>
    <w:pPr>
      <w:keepLines/>
      <w:widowControl w:val="0"/>
      <w:spacing w:before="100" w:beforeAutospacing="1" w:after="100" w:afterAutospacing="1" w:line="500" w:lineRule="exact"/>
      <w:ind w:left="454" w:hanging="454"/>
      <w:jc w:val="center"/>
    </w:pPr>
    <w:rPr>
      <w:rFonts w:ascii="Times New Roman" w:hAnsi="Times New Roman" w:cs="宋体"/>
      <w:i w:val="0"/>
      <w:iCs w:val="0"/>
      <w:color w:val="0000FF"/>
      <w:kern w:val="2"/>
      <w:sz w:val="30"/>
      <w:szCs w:val="20"/>
      <w:u w:val="single"/>
      <w:lang w:eastAsia="zh-CN"/>
    </w:rPr>
  </w:style>
  <w:style w:type="paragraph" w:customStyle="1" w:styleId="338">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339">
    <w:name w:val="xl100"/>
    <w:basedOn w:val="1"/>
    <w:qFormat/>
    <w:uiPriority w:val="0"/>
    <w:pPr>
      <w:pBdr>
        <w:top w:val="single" w:color="auto" w:sz="8" w:space="0"/>
        <w:left w:val="single" w:color="auto" w:sz="8" w:space="0"/>
        <w:right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340">
    <w:name w:val="样式 标题 21.1-C标题 1.1章LLZ2h2部分标题Heading 2 HiddenHeading 2 C...3"/>
    <w:basedOn w:val="5"/>
    <w:qFormat/>
    <w:uiPriority w:val="0"/>
    <w:pPr>
      <w:keepLines/>
      <w:widowControl w:val="0"/>
      <w:spacing w:before="100" w:beforeAutospacing="1" w:after="100" w:afterAutospacing="1" w:line="300" w:lineRule="exact"/>
      <w:ind w:left="454" w:hanging="454"/>
      <w:jc w:val="center"/>
    </w:pPr>
    <w:rPr>
      <w:rFonts w:ascii="Times New Roman" w:hAnsi="Times New Roman" w:cs="宋体"/>
      <w:b w:val="0"/>
      <w:bCs w:val="0"/>
      <w:i w:val="0"/>
      <w:iCs w:val="0"/>
      <w:kern w:val="2"/>
      <w:sz w:val="30"/>
      <w:szCs w:val="20"/>
      <w:lang w:eastAsia="zh-CN"/>
    </w:rPr>
  </w:style>
  <w:style w:type="paragraph" w:customStyle="1" w:styleId="341">
    <w:name w:val="专用标题3"/>
    <w:basedOn w:val="6"/>
    <w:qFormat/>
    <w:uiPriority w:val="0"/>
    <w:pPr>
      <w:keepLines/>
      <w:wordWrap w:val="0"/>
      <w:topLinePunct/>
      <w:adjustRightInd w:val="0"/>
      <w:snapToGrid w:val="0"/>
      <w:spacing w:before="0" w:afterLines="50" w:line="360" w:lineRule="auto"/>
      <w:ind w:left="991" w:hanging="567"/>
    </w:pPr>
    <w:rPr>
      <w:rFonts w:ascii="宋体" w:hAnsi="Calibri"/>
      <w:bCs w:val="0"/>
      <w:kern w:val="2"/>
      <w:sz w:val="24"/>
      <w:szCs w:val="22"/>
      <w:lang w:eastAsia="zh-CN"/>
    </w:rPr>
  </w:style>
  <w:style w:type="paragraph" w:customStyle="1" w:styleId="342">
    <w:name w:val="font6"/>
    <w:basedOn w:val="1"/>
    <w:qFormat/>
    <w:uiPriority w:val="0"/>
    <w:pPr>
      <w:spacing w:before="100" w:beforeAutospacing="1" w:afterAutospacing="1"/>
    </w:pPr>
    <w:rPr>
      <w:rFonts w:ascii="宋体" w:hAnsi="宋体" w:cs="宋体"/>
      <w:sz w:val="18"/>
      <w:szCs w:val="18"/>
      <w:lang w:eastAsia="zh-CN" w:bidi="ar-SA"/>
    </w:rPr>
  </w:style>
  <w:style w:type="paragraph" w:customStyle="1" w:styleId="343">
    <w:name w:val="样式 表格文字 + 五号（居中）"/>
    <w:basedOn w:val="327"/>
    <w:qFormat/>
    <w:uiPriority w:val="0"/>
    <w:pPr>
      <w:spacing w:line="0" w:lineRule="atLeast"/>
    </w:pPr>
    <w:rPr>
      <w:rFonts w:ascii="Times New Roman" w:hAnsi="Times New Roman" w:eastAsia="宋体" w:cs="宋体"/>
      <w:color w:val="000000"/>
      <w:kern w:val="0"/>
      <w:sz w:val="21"/>
    </w:rPr>
  </w:style>
  <w:style w:type="paragraph" w:customStyle="1" w:styleId="344">
    <w:name w:val="样式 标题 1章-C章格式标题 1 Charsection:1自标题 1标题 1 1编号标题1章节（环球章）：...1"/>
    <w:basedOn w:val="4"/>
    <w:qFormat/>
    <w:uiPriority w:val="0"/>
    <w:pPr>
      <w:keepLines/>
      <w:pageBreakBefore/>
      <w:widowControl w:val="0"/>
      <w:spacing w:before="100" w:beforeAutospacing="1" w:after="100" w:afterAutospacing="1"/>
      <w:jc w:val="center"/>
    </w:pPr>
    <w:rPr>
      <w:rFonts w:ascii="Times New Roman" w:hAnsi="Times New Roman" w:cs="宋体"/>
      <w:color w:val="000080"/>
      <w:kern w:val="44"/>
      <w:sz w:val="36"/>
      <w:szCs w:val="20"/>
      <w:lang w:eastAsia="zh-CN"/>
    </w:rPr>
  </w:style>
  <w:style w:type="paragraph" w:customStyle="1" w:styleId="345">
    <w:name w:val="font13"/>
    <w:basedOn w:val="1"/>
    <w:qFormat/>
    <w:uiPriority w:val="0"/>
    <w:pPr>
      <w:spacing w:before="100" w:beforeAutospacing="1" w:afterAutospacing="1"/>
    </w:pPr>
    <w:rPr>
      <w:rFonts w:ascii="Arial" w:hAnsi="Arial" w:cs="Arial"/>
      <w:lang w:eastAsia="zh-CN" w:bidi="ar-SA"/>
    </w:rPr>
  </w:style>
  <w:style w:type="paragraph" w:customStyle="1" w:styleId="346">
    <w:name w:val="样式8"/>
    <w:basedOn w:val="1"/>
    <w:qFormat/>
    <w:uiPriority w:val="0"/>
    <w:pPr>
      <w:wordWrap w:val="0"/>
      <w:topLinePunct/>
      <w:autoSpaceDE w:val="0"/>
      <w:autoSpaceDN w:val="0"/>
      <w:adjustRightInd w:val="0"/>
      <w:ind w:left="1274" w:leftChars="531" w:firstLine="2"/>
      <w:jc w:val="both"/>
    </w:pPr>
    <w:rPr>
      <w:rFonts w:ascii="宋体" w:hAnsi="宋体"/>
      <w:bCs/>
      <w:szCs w:val="20"/>
      <w:lang w:eastAsia="zh-CN" w:bidi="ar-SA"/>
    </w:rPr>
  </w:style>
  <w:style w:type="paragraph" w:customStyle="1" w:styleId="347">
    <w:name w:val="xl49"/>
    <w:basedOn w:val="1"/>
    <w:qFormat/>
    <w:uiPriority w:val="0"/>
    <w:pPr>
      <w:pBdr>
        <w:top w:val="single" w:color="auto" w:sz="4" w:space="0"/>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348">
    <w:name w:val="正题"/>
    <w:basedOn w:val="198"/>
    <w:next w:val="198"/>
    <w:qFormat/>
    <w:uiPriority w:val="0"/>
    <w:pPr>
      <w:widowControl w:val="0"/>
      <w:ind w:firstLine="0" w:firstLineChars="0"/>
      <w:jc w:val="center"/>
    </w:pPr>
    <w:rPr>
      <w:rFonts w:ascii="Calibri" w:hAnsi="Calibri" w:eastAsia="ˎ̥"/>
      <w:b/>
      <w:snapToGrid w:val="0"/>
      <w:sz w:val="36"/>
      <w:szCs w:val="36"/>
      <w:lang w:eastAsia="zh-CN" w:bidi="ar-SA"/>
    </w:rPr>
  </w:style>
  <w:style w:type="paragraph" w:customStyle="1" w:styleId="349">
    <w:name w:val="Char12"/>
    <w:basedOn w:val="1"/>
    <w:qFormat/>
    <w:uiPriority w:val="0"/>
    <w:pPr>
      <w:widowControl w:val="0"/>
      <w:jc w:val="both"/>
    </w:pPr>
    <w:rPr>
      <w:rFonts w:ascii="Tahoma" w:hAnsi="Tahoma"/>
      <w:kern w:val="2"/>
      <w:szCs w:val="20"/>
      <w:lang w:eastAsia="zh-CN" w:bidi="ar-SA"/>
    </w:rPr>
  </w:style>
  <w:style w:type="paragraph" w:customStyle="1" w:styleId="350">
    <w:name w:val="table"/>
    <w:qFormat/>
    <w:uiPriority w:val="0"/>
    <w:pPr>
      <w:framePr w:hSpace="180" w:wrap="around" w:vAnchor="text" w:hAnchor="margin" w:y="1418"/>
      <w:adjustRightInd w:val="0"/>
      <w:snapToGrid w:val="0"/>
    </w:pPr>
    <w:rPr>
      <w:rFonts w:ascii="宋体" w:hAnsi="Calibri" w:eastAsia="宋体" w:cs="Times New Roman"/>
      <w:kern w:val="2"/>
      <w:sz w:val="24"/>
      <w:szCs w:val="22"/>
      <w:lang w:val="en-US" w:eastAsia="zh-CN" w:bidi="ar-SA"/>
    </w:rPr>
  </w:style>
  <w:style w:type="paragraph" w:customStyle="1" w:styleId="351">
    <w:name w:val="图名"/>
    <w:basedOn w:val="1"/>
    <w:qFormat/>
    <w:uiPriority w:val="0"/>
    <w:pPr>
      <w:widowControl w:val="0"/>
      <w:spacing w:line="360" w:lineRule="auto"/>
      <w:jc w:val="center"/>
    </w:pPr>
    <w:rPr>
      <w:rFonts w:ascii="Calibri" w:hAnsi="Calibri" w:eastAsia="楷体_GB2312" w:cs="宋体"/>
      <w:b/>
      <w:kern w:val="2"/>
      <w:lang w:eastAsia="zh-CN" w:bidi="ar-SA"/>
    </w:rPr>
  </w:style>
  <w:style w:type="paragraph" w:customStyle="1" w:styleId="352">
    <w:name w:val="choi--A"/>
    <w:basedOn w:val="20"/>
    <w:qFormat/>
    <w:uiPriority w:val="0"/>
    <w:pPr>
      <w:widowControl w:val="0"/>
      <w:spacing w:line="500" w:lineRule="exact"/>
      <w:ind w:firstLine="200" w:firstLineChars="200"/>
      <w:jc w:val="both"/>
    </w:pPr>
    <w:rPr>
      <w:rFonts w:ascii="宋体" w:hAnsi="宋体"/>
      <w:kern w:val="2"/>
      <w:lang w:eastAsia="zh-CN" w:bidi="ar-SA"/>
    </w:rPr>
  </w:style>
  <w:style w:type="paragraph" w:customStyle="1" w:styleId="353">
    <w:name w:val="项目符号●"/>
    <w:basedOn w:val="1"/>
    <w:qFormat/>
    <w:uiPriority w:val="0"/>
    <w:pPr>
      <w:widowControl w:val="0"/>
      <w:tabs>
        <w:tab w:val="left" w:pos="782"/>
        <w:tab w:val="left" w:pos="840"/>
        <w:tab w:val="left" w:pos="1080"/>
        <w:tab w:val="left" w:pos="1440"/>
      </w:tabs>
      <w:spacing w:line="360" w:lineRule="auto"/>
      <w:ind w:left="420" w:hanging="420"/>
    </w:pPr>
    <w:rPr>
      <w:rFonts w:ascii="Calibri" w:hAnsi="Calibri" w:cs="宋体"/>
      <w:kern w:val="2"/>
      <w:sz w:val="21"/>
      <w:szCs w:val="20"/>
      <w:lang w:eastAsia="zh-CN" w:bidi="ar-SA"/>
    </w:rPr>
  </w:style>
  <w:style w:type="paragraph" w:customStyle="1" w:styleId="354">
    <w:name w:val="xl86"/>
    <w:basedOn w:val="1"/>
    <w:qFormat/>
    <w:uiPriority w:val="0"/>
    <w:pPr>
      <w:pBdr>
        <w:left w:val="single" w:color="auto" w:sz="8" w:space="0"/>
      </w:pBdr>
      <w:spacing w:before="100" w:beforeAutospacing="1" w:afterAutospacing="1"/>
    </w:pPr>
    <w:rPr>
      <w:rFonts w:ascii="Calibri" w:hAnsi="Calibri"/>
      <w:color w:val="000000"/>
      <w:sz w:val="18"/>
      <w:szCs w:val="18"/>
      <w:lang w:eastAsia="zh-CN" w:bidi="ar-SA"/>
    </w:rPr>
  </w:style>
  <w:style w:type="paragraph" w:customStyle="1" w:styleId="355">
    <w:name w:val="LIST ALPHA CAPS 2"/>
    <w:basedOn w:val="1"/>
    <w:next w:val="66"/>
    <w:qFormat/>
    <w:uiPriority w:val="0"/>
    <w:pPr>
      <w:tabs>
        <w:tab w:val="left" w:pos="50"/>
        <w:tab w:val="left" w:pos="1417"/>
      </w:tabs>
      <w:wordWrap w:val="0"/>
      <w:topLinePunct/>
      <w:adjustRightInd w:val="0"/>
      <w:snapToGrid w:val="0"/>
      <w:spacing w:afterLines="50" w:line="288" w:lineRule="auto"/>
      <w:ind w:left="1417" w:hanging="793" w:firstLineChars="200"/>
      <w:jc w:val="both"/>
    </w:pPr>
    <w:rPr>
      <w:rFonts w:ascii="CG Times" w:hAnsi="CG Times"/>
      <w:sz w:val="22"/>
      <w:szCs w:val="20"/>
      <w:lang w:val="en-GB" w:eastAsia="zh-CN" w:bidi="ar-SA"/>
    </w:rPr>
  </w:style>
  <w:style w:type="paragraph" w:customStyle="1" w:styleId="356">
    <w:name w:val="框图文字"/>
    <w:basedOn w:val="2"/>
    <w:qFormat/>
    <w:uiPriority w:val="0"/>
    <w:pPr>
      <w:widowControl w:val="0"/>
      <w:adjustRightInd w:val="0"/>
      <w:snapToGrid w:val="0"/>
      <w:jc w:val="center"/>
    </w:pPr>
    <w:rPr>
      <w:rFonts w:ascii="Times New Roman" w:hAnsi="PMingLiU" w:eastAsia="Calibri"/>
      <w:kern w:val="2"/>
      <w:sz w:val="21"/>
      <w:lang w:eastAsia="zh-CN"/>
    </w:rPr>
  </w:style>
  <w:style w:type="paragraph" w:customStyle="1" w:styleId="357">
    <w:name w:val="样式 标题 41.1.1.1-C一LLZ41、四标题4四级标题(一) + 非加粗"/>
    <w:basedOn w:val="7"/>
    <w:qFormat/>
    <w:uiPriority w:val="0"/>
    <w:pPr>
      <w:keepNext w:val="0"/>
      <w:widowControl w:val="0"/>
      <w:spacing w:before="100" w:beforeAutospacing="1" w:after="0" w:line="300" w:lineRule="atLeast"/>
    </w:pPr>
    <w:rPr>
      <w:bCs w:val="0"/>
      <w:kern w:val="2"/>
      <w:sz w:val="24"/>
      <w:szCs w:val="24"/>
      <w:lang w:eastAsia="zh-CN"/>
    </w:rPr>
  </w:style>
  <w:style w:type="paragraph" w:customStyle="1" w:styleId="358">
    <w:name w:val="TOC 标题112"/>
    <w:basedOn w:val="4"/>
    <w:next w:val="1"/>
    <w:qFormat/>
    <w:uiPriority w:val="39"/>
    <w:pPr>
      <w:keepLines/>
      <w:spacing w:before="480" w:after="0" w:line="276" w:lineRule="auto"/>
      <w:outlineLvl w:val="9"/>
    </w:pPr>
    <w:rPr>
      <w:color w:val="365F91"/>
      <w:kern w:val="0"/>
      <w:sz w:val="28"/>
      <w:szCs w:val="28"/>
      <w:lang w:eastAsia="zh-CN"/>
    </w:rPr>
  </w:style>
  <w:style w:type="paragraph" w:customStyle="1" w:styleId="359">
    <w:name w:val="标题 3-1"/>
    <w:next w:val="1"/>
    <w:qFormat/>
    <w:uiPriority w:val="0"/>
    <w:pPr>
      <w:spacing w:line="460" w:lineRule="exact"/>
    </w:pPr>
    <w:rPr>
      <w:rFonts w:ascii="ˎ̥" w:hAnsi="ˎ̥" w:eastAsia="ˎ̥" w:cs="Times New Roman"/>
      <w:kern w:val="2"/>
      <w:sz w:val="28"/>
      <w:szCs w:val="28"/>
      <w:lang w:val="en-US" w:eastAsia="zh-CN" w:bidi="ar-SA"/>
    </w:rPr>
  </w:style>
  <w:style w:type="paragraph" w:customStyle="1" w:styleId="360">
    <w:name w:val="font15"/>
    <w:basedOn w:val="1"/>
    <w:qFormat/>
    <w:uiPriority w:val="0"/>
    <w:pPr>
      <w:spacing w:before="100" w:beforeAutospacing="1" w:afterAutospacing="1"/>
    </w:pPr>
    <w:rPr>
      <w:rFonts w:ascii="Arial" w:hAnsi="Arial" w:cs="Arial"/>
      <w:color w:val="FF0000"/>
      <w:lang w:eastAsia="zh-CN" w:bidi="ar-SA"/>
    </w:rPr>
  </w:style>
  <w:style w:type="paragraph" w:customStyle="1" w:styleId="361">
    <w:name w:val="Title 5"/>
    <w:next w:val="362"/>
    <w:qFormat/>
    <w:uiPriority w:val="0"/>
    <w:pPr>
      <w:ind w:left="1701" w:hanging="426"/>
      <w:jc w:val="both"/>
    </w:pPr>
    <w:rPr>
      <w:rFonts w:ascii="Times New Roman" w:hAnsi="Times New Roman" w:eastAsia="宋体" w:cs="Times New Roman"/>
      <w:kern w:val="2"/>
      <w:sz w:val="24"/>
      <w:szCs w:val="24"/>
      <w:lang w:val="en-US" w:eastAsia="zh-CN" w:bidi="ar-SA"/>
    </w:rPr>
  </w:style>
  <w:style w:type="paragraph" w:customStyle="1" w:styleId="362">
    <w:name w:val="Title 5 Chinese"/>
    <w:qFormat/>
    <w:uiPriority w:val="0"/>
    <w:pPr>
      <w:ind w:left="1701"/>
    </w:pPr>
    <w:rPr>
      <w:rFonts w:ascii="Times New Roman" w:hAnsi="Times New Roman" w:eastAsia="宋体" w:cs="Times New Roman"/>
      <w:kern w:val="2"/>
      <w:sz w:val="24"/>
      <w:szCs w:val="24"/>
      <w:lang w:val="en-US" w:eastAsia="zh-CN" w:bidi="ar-SA"/>
    </w:rPr>
  </w:style>
  <w:style w:type="paragraph" w:customStyle="1" w:styleId="363">
    <w:name w:val="三级条标题"/>
    <w:basedOn w:val="364"/>
    <w:next w:val="1"/>
    <w:qFormat/>
    <w:uiPriority w:val="0"/>
    <w:pPr>
      <w:tabs>
        <w:tab w:val="left" w:pos="360"/>
        <w:tab w:val="left" w:pos="495"/>
        <w:tab w:val="left" w:pos="1200"/>
        <w:tab w:val="left" w:pos="1418"/>
        <w:tab w:val="left" w:pos="1680"/>
        <w:tab w:val="left" w:pos="2100"/>
        <w:tab w:val="left" w:pos="2356"/>
        <w:tab w:val="left" w:pos="2781"/>
      </w:tabs>
      <w:ind w:left="2551" w:hanging="850"/>
      <w:outlineLvl w:val="4"/>
    </w:pPr>
  </w:style>
  <w:style w:type="paragraph" w:customStyle="1" w:styleId="364">
    <w:name w:val="二级条标题"/>
    <w:basedOn w:val="365"/>
    <w:next w:val="1"/>
    <w:qFormat/>
    <w:uiPriority w:val="0"/>
    <w:pPr>
      <w:tabs>
        <w:tab w:val="left" w:pos="360"/>
        <w:tab w:val="left" w:pos="495"/>
        <w:tab w:val="left" w:pos="1200"/>
        <w:tab w:val="left" w:pos="1418"/>
        <w:tab w:val="left" w:pos="1680"/>
        <w:tab w:val="left" w:pos="2356"/>
      </w:tabs>
      <w:ind w:left="1984" w:hanging="708"/>
      <w:outlineLvl w:val="3"/>
    </w:pPr>
    <w:rPr>
      <w:rFonts w:ascii="Times New Roman" w:eastAsia="宋体"/>
    </w:rPr>
  </w:style>
  <w:style w:type="paragraph" w:customStyle="1" w:styleId="365">
    <w:name w:val="一级条标题"/>
    <w:basedOn w:val="5"/>
    <w:next w:val="1"/>
    <w:qFormat/>
    <w:uiPriority w:val="0"/>
    <w:pPr>
      <w:keepNext w:val="0"/>
      <w:tabs>
        <w:tab w:val="left" w:pos="360"/>
        <w:tab w:val="left" w:pos="495"/>
        <w:tab w:val="left" w:pos="1200"/>
        <w:tab w:val="left" w:pos="1418"/>
      </w:tabs>
      <w:spacing w:before="0" w:after="0"/>
      <w:ind w:left="1418" w:hanging="567"/>
      <w:jc w:val="both"/>
      <w:outlineLvl w:val="2"/>
    </w:pPr>
    <w:rPr>
      <w:rFonts w:ascii="黑体" w:hAnsi="Times New Roman" w:eastAsia="黑体"/>
      <w:bCs w:val="0"/>
      <w:i w:val="0"/>
      <w:iCs w:val="0"/>
      <w:sz w:val="21"/>
      <w:szCs w:val="20"/>
      <w:lang w:eastAsia="zh-CN"/>
    </w:rPr>
  </w:style>
  <w:style w:type="paragraph" w:customStyle="1" w:styleId="366">
    <w:name w:val="公文标题"/>
    <w:basedOn w:val="6"/>
    <w:qFormat/>
    <w:uiPriority w:val="0"/>
    <w:pPr>
      <w:keepLines/>
      <w:widowControl w:val="0"/>
      <w:spacing w:before="260" w:after="0"/>
      <w:ind w:left="1469" w:right="1542"/>
      <w:jc w:val="center"/>
    </w:pPr>
    <w:rPr>
      <w:rFonts w:ascii="Calibri" w:hAnsi="Calibri"/>
      <w:bCs w:val="0"/>
      <w:kern w:val="2"/>
      <w:sz w:val="44"/>
      <w:szCs w:val="24"/>
      <w:lang w:eastAsia="zh-CN"/>
    </w:rPr>
  </w:style>
  <w:style w:type="paragraph" w:customStyle="1" w:styleId="367">
    <w:name w:val="xl131"/>
    <w:basedOn w:val="1"/>
    <w:qFormat/>
    <w:uiPriority w:val="0"/>
    <w:pPr>
      <w:pBdr>
        <w:top w:val="single" w:color="auto" w:sz="8" w:space="0"/>
        <w:bottom w:val="single" w:color="auto" w:sz="8" w:space="0"/>
      </w:pBdr>
      <w:spacing w:before="100" w:beforeAutospacing="1" w:afterAutospacing="1"/>
    </w:pPr>
    <w:rPr>
      <w:rFonts w:ascii="Calibri" w:hAnsi="Calibri"/>
      <w:color w:val="000000"/>
      <w:sz w:val="18"/>
      <w:szCs w:val="18"/>
      <w:lang w:eastAsia="zh-CN" w:bidi="ar-SA"/>
    </w:rPr>
  </w:style>
  <w:style w:type="paragraph" w:customStyle="1" w:styleId="368">
    <w:name w:val="小标题"/>
    <w:qFormat/>
    <w:uiPriority w:val="0"/>
    <w:pPr>
      <w:tabs>
        <w:tab w:val="left" w:pos="993"/>
      </w:tabs>
      <w:adjustRightInd w:val="0"/>
      <w:snapToGrid w:val="0"/>
    </w:pPr>
    <w:rPr>
      <w:rFonts w:ascii="Times New Roman" w:hAnsi="Times New Roman" w:eastAsia="宋体" w:cs="Times New Roman"/>
      <w:bCs/>
      <w:kern w:val="2"/>
      <w:sz w:val="24"/>
      <w:szCs w:val="22"/>
      <w:lang w:val="en-US" w:eastAsia="zh-CN" w:bidi="ar-SA"/>
    </w:rPr>
  </w:style>
  <w:style w:type="paragraph" w:customStyle="1" w:styleId="369">
    <w:name w:val="1)"/>
    <w:basedOn w:val="1"/>
    <w:qFormat/>
    <w:uiPriority w:val="0"/>
    <w:pPr>
      <w:widowControl w:val="0"/>
      <w:tabs>
        <w:tab w:val="left" w:pos="1050"/>
        <w:tab w:val="left" w:pos="1701"/>
        <w:tab w:val="left" w:pos="2100"/>
        <w:tab w:val="left" w:pos="3600"/>
      </w:tabs>
      <w:spacing w:line="360" w:lineRule="auto"/>
      <w:ind w:left="310" w:firstLine="400"/>
      <w:jc w:val="both"/>
      <w:outlineLvl w:val="4"/>
    </w:pPr>
    <w:rPr>
      <w:rFonts w:ascii="宋体" w:hAnsi="Calibri"/>
      <w:color w:val="000000"/>
      <w:szCs w:val="20"/>
      <w:lang w:eastAsia="zh-CN" w:bidi="ar-SA"/>
    </w:rPr>
  </w:style>
  <w:style w:type="paragraph" w:customStyle="1" w:styleId="370">
    <w:name w:val="xl48"/>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371">
    <w:name w:val="样式 标题 1 + 首行缩进:  2 字符 段前: 1 行 段后: 1 行"/>
    <w:basedOn w:val="4"/>
    <w:next w:val="372"/>
    <w:qFormat/>
    <w:uiPriority w:val="0"/>
    <w:pPr>
      <w:keepLines/>
      <w:widowControl w:val="0"/>
      <w:snapToGrid w:val="0"/>
      <w:spacing w:beforeLines="100" w:afterLines="100" w:line="336" w:lineRule="auto"/>
      <w:jc w:val="center"/>
    </w:pPr>
    <w:rPr>
      <w:rFonts w:ascii="Times New Roman" w:hAnsi="Times New Roman" w:eastAsia="黑体" w:cs="宋体"/>
      <w:kern w:val="44"/>
      <w:sz w:val="44"/>
      <w:szCs w:val="20"/>
      <w:lang w:eastAsia="zh-CN"/>
    </w:rPr>
  </w:style>
  <w:style w:type="paragraph" w:customStyle="1" w:styleId="372">
    <w:name w:val="前言、引言标题"/>
    <w:next w:val="1"/>
    <w:qFormat/>
    <w:uiPriority w:val="0"/>
    <w:pPr>
      <w:shd w:val="clear" w:color="auto" w:fill="FFFFFF"/>
      <w:tabs>
        <w:tab w:val="left" w:pos="360"/>
        <w:tab w:val="left" w:pos="1053"/>
        <w:tab w:val="left" w:pos="1080"/>
      </w:tabs>
      <w:spacing w:before="640" w:after="560"/>
      <w:ind w:left="1560" w:hanging="720"/>
      <w:jc w:val="center"/>
      <w:outlineLvl w:val="0"/>
    </w:pPr>
    <w:rPr>
      <w:rFonts w:ascii="黑体" w:hAnsi="Calibri" w:eastAsia="黑体" w:cs="Times New Roman"/>
      <w:sz w:val="32"/>
      <w:lang w:val="en-US" w:eastAsia="zh-CN" w:bidi="ar-SA"/>
    </w:rPr>
  </w:style>
  <w:style w:type="paragraph" w:customStyle="1" w:styleId="373">
    <w:name w:val="xl76"/>
    <w:basedOn w:val="1"/>
    <w:qFormat/>
    <w:uiPriority w:val="0"/>
    <w:pPr>
      <w:pBdr>
        <w:top w:val="single" w:color="auto" w:sz="8" w:space="0"/>
        <w:bottom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374">
    <w:name w:val="样式 标题 31.1.1-C节LLZ3Heading 3 - old子系统h33rd level3H3章标题..."/>
    <w:basedOn w:val="6"/>
    <w:qFormat/>
    <w:uiPriority w:val="0"/>
    <w:pPr>
      <w:keepLines/>
      <w:widowControl w:val="0"/>
      <w:spacing w:before="100" w:beforeAutospacing="1" w:after="0" w:line="400" w:lineRule="exact"/>
    </w:pPr>
    <w:rPr>
      <w:rFonts w:ascii="Calibri" w:hAnsi="Calibri"/>
      <w:b w:val="0"/>
      <w:bCs w:val="0"/>
      <w:kern w:val="2"/>
      <w:sz w:val="28"/>
      <w:szCs w:val="28"/>
      <w:lang w:eastAsia="zh-CN"/>
    </w:rPr>
  </w:style>
  <w:style w:type="paragraph" w:customStyle="1" w:styleId="375">
    <w:name w:val="样式 标题 2标题 2 Char Char标题 2a + 四号 非加粗 居中 段前: 5 磅 段后: 5 磅 行距..."/>
    <w:basedOn w:val="5"/>
    <w:qFormat/>
    <w:uiPriority w:val="0"/>
    <w:pPr>
      <w:keepLines/>
      <w:widowControl w:val="0"/>
      <w:snapToGrid w:val="0"/>
      <w:spacing w:before="100" w:after="0" w:line="312" w:lineRule="auto"/>
      <w:ind w:left="454" w:hanging="454"/>
      <w:jc w:val="center"/>
    </w:pPr>
    <w:rPr>
      <w:rFonts w:ascii="Times New Roman" w:hAnsi="Times New Roman" w:eastAsia="ˎ̥"/>
      <w:b w:val="0"/>
      <w:bCs w:val="0"/>
      <w:i w:val="0"/>
      <w:iCs w:val="0"/>
      <w:kern w:val="10"/>
      <w:szCs w:val="20"/>
      <w:lang w:eastAsia="zh-CN"/>
    </w:rPr>
  </w:style>
  <w:style w:type="paragraph" w:customStyle="1" w:styleId="376">
    <w:name w:val="List ALPHA CAPS 1"/>
    <w:basedOn w:val="1"/>
    <w:next w:val="31"/>
    <w:qFormat/>
    <w:uiPriority w:val="0"/>
    <w:pPr>
      <w:tabs>
        <w:tab w:val="left" w:pos="22"/>
        <w:tab w:val="left" w:pos="624"/>
      </w:tabs>
      <w:wordWrap w:val="0"/>
      <w:topLinePunct/>
      <w:adjustRightInd w:val="0"/>
      <w:snapToGrid w:val="0"/>
      <w:spacing w:afterLines="50" w:line="288" w:lineRule="auto"/>
      <w:ind w:left="624" w:hanging="624" w:firstLineChars="200"/>
      <w:jc w:val="both"/>
    </w:pPr>
    <w:rPr>
      <w:rFonts w:ascii="CG Times" w:hAnsi="CG Times"/>
      <w:sz w:val="22"/>
      <w:szCs w:val="20"/>
      <w:lang w:val="en-GB" w:eastAsia="zh-CN" w:bidi="ar-SA"/>
    </w:rPr>
  </w:style>
  <w:style w:type="paragraph" w:customStyle="1" w:styleId="377">
    <w:name w:val="Blockquote"/>
    <w:basedOn w:val="1"/>
    <w:qFormat/>
    <w:uiPriority w:val="0"/>
    <w:pPr>
      <w:widowControl w:val="0"/>
      <w:autoSpaceDE w:val="0"/>
      <w:autoSpaceDN w:val="0"/>
      <w:adjustRightInd w:val="0"/>
      <w:spacing w:before="100"/>
      <w:ind w:left="360" w:right="360"/>
    </w:pPr>
    <w:rPr>
      <w:rFonts w:ascii="Calibri" w:hAnsi="Calibri"/>
      <w:szCs w:val="20"/>
      <w:lang w:eastAsia="zh-CN" w:bidi="ar-SA"/>
    </w:rPr>
  </w:style>
  <w:style w:type="paragraph" w:customStyle="1" w:styleId="378">
    <w:name w:val="xl73"/>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b/>
      <w:bCs/>
      <w:lang w:eastAsia="zh-CN" w:bidi="ar-SA"/>
    </w:rPr>
  </w:style>
  <w:style w:type="paragraph" w:customStyle="1" w:styleId="379">
    <w:name w:val="xl105"/>
    <w:basedOn w:val="1"/>
    <w:qFormat/>
    <w:uiPriority w:val="0"/>
    <w:pPr>
      <w:pBdr>
        <w:left w:val="single" w:color="auto" w:sz="8" w:space="0"/>
        <w:right w:val="single" w:color="auto" w:sz="8" w:space="0"/>
      </w:pBdr>
      <w:spacing w:before="100" w:beforeAutospacing="1" w:afterAutospacing="1"/>
      <w:jc w:val="center"/>
    </w:pPr>
    <w:rPr>
      <w:rFonts w:ascii="Calibri" w:hAnsi="Calibri"/>
      <w:b/>
      <w:bCs/>
      <w:color w:val="000000"/>
      <w:sz w:val="18"/>
      <w:szCs w:val="18"/>
      <w:lang w:eastAsia="zh-CN" w:bidi="ar-SA"/>
    </w:rPr>
  </w:style>
  <w:style w:type="paragraph" w:customStyle="1" w:styleId="380">
    <w:name w:val="纯文本2"/>
    <w:basedOn w:val="1"/>
    <w:qFormat/>
    <w:uiPriority w:val="0"/>
    <w:pPr>
      <w:widowControl w:val="0"/>
      <w:autoSpaceDE w:val="0"/>
      <w:autoSpaceDN w:val="0"/>
      <w:adjustRightInd w:val="0"/>
      <w:jc w:val="both"/>
      <w:textAlignment w:val="baseline"/>
    </w:pPr>
    <w:rPr>
      <w:rFonts w:ascii="宋体" w:hAnsi="Calibri"/>
      <w:kern w:val="2"/>
      <w:sz w:val="21"/>
      <w:szCs w:val="20"/>
      <w:lang w:eastAsia="zh-CN" w:bidi="ar-SA"/>
    </w:rPr>
  </w:style>
  <w:style w:type="paragraph" w:customStyle="1" w:styleId="381">
    <w:name w:val="font123"/>
    <w:basedOn w:val="1"/>
    <w:qFormat/>
    <w:uiPriority w:val="0"/>
    <w:pPr>
      <w:spacing w:before="100" w:beforeAutospacing="1" w:afterAutospacing="1" w:line="720" w:lineRule="atLeast"/>
    </w:pPr>
    <w:rPr>
      <w:rFonts w:ascii="宋体" w:hAnsi="宋体" w:cs="宋体"/>
      <w:lang w:eastAsia="zh-CN" w:bidi="ar-SA"/>
    </w:rPr>
  </w:style>
  <w:style w:type="paragraph" w:customStyle="1" w:styleId="382">
    <w:name w:val="素材2"/>
    <w:basedOn w:val="1"/>
    <w:qFormat/>
    <w:uiPriority w:val="0"/>
    <w:pPr>
      <w:widowControl w:val="0"/>
      <w:snapToGrid w:val="0"/>
      <w:spacing w:line="500" w:lineRule="atLeast"/>
      <w:ind w:firstLine="567"/>
      <w:jc w:val="both"/>
    </w:pPr>
    <w:rPr>
      <w:rFonts w:ascii="宋体" w:hAnsi="Calibri"/>
      <w:kern w:val="2"/>
      <w:sz w:val="27"/>
      <w:lang w:eastAsia="zh-CN" w:bidi="ar-SA"/>
    </w:rPr>
  </w:style>
  <w:style w:type="paragraph" w:customStyle="1" w:styleId="383">
    <w:name w:val="通用标题5"/>
    <w:qFormat/>
    <w:uiPriority w:val="0"/>
    <w:pPr>
      <w:widowControl w:val="0"/>
      <w:tabs>
        <w:tab w:val="left" w:pos="1134"/>
      </w:tabs>
      <w:autoSpaceDE w:val="0"/>
      <w:autoSpaceDN w:val="0"/>
      <w:adjustRightInd w:val="0"/>
      <w:snapToGrid w:val="0"/>
      <w:spacing w:afterLines="50" w:line="360" w:lineRule="auto"/>
      <w:ind w:left="710"/>
      <w:jc w:val="both"/>
    </w:pPr>
    <w:rPr>
      <w:rFonts w:ascii="宋体" w:hAnsi="宋体" w:eastAsia="宋体" w:cs="Times New Roman"/>
      <w:kern w:val="2"/>
      <w:sz w:val="24"/>
      <w:szCs w:val="21"/>
      <w:lang w:val="en-US" w:eastAsia="zh-CN" w:bidi="ar-SA"/>
    </w:rPr>
  </w:style>
  <w:style w:type="paragraph" w:customStyle="1" w:styleId="384">
    <w:name w:val="xl65"/>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385">
    <w:name w:val="样式 标题 6标题6H6Bullet (Single Lines)PIM 6L6BOD 4h6Third Sub..."/>
    <w:basedOn w:val="9"/>
    <w:qFormat/>
    <w:uiPriority w:val="0"/>
    <w:pPr>
      <w:keepNext/>
      <w:keepLines/>
      <w:widowControl w:val="0"/>
      <w:spacing w:after="64" w:line="319" w:lineRule="auto"/>
      <w:ind w:left="1134" w:hanging="1134" w:firstLineChars="200"/>
      <w:jc w:val="both"/>
    </w:pPr>
    <w:rPr>
      <w:rFonts w:ascii="宋体" w:hAnsi="宋体" w:eastAsia="ˎ̥" w:cs="宋体"/>
      <w:kern w:val="2"/>
      <w:sz w:val="24"/>
      <w:szCs w:val="24"/>
      <w:lang w:eastAsia="zh-CN"/>
    </w:rPr>
  </w:style>
  <w:style w:type="paragraph" w:customStyle="1" w:styleId="386">
    <w:name w:val="font10"/>
    <w:basedOn w:val="1"/>
    <w:qFormat/>
    <w:uiPriority w:val="0"/>
    <w:pPr>
      <w:spacing w:before="100" w:beforeAutospacing="1" w:afterAutospacing="1"/>
    </w:pPr>
    <w:rPr>
      <w:rFonts w:ascii="Calibri" w:hAnsi="Calibri"/>
      <w:color w:val="0000FF"/>
      <w:lang w:eastAsia="zh-CN" w:bidi="ar-SA"/>
    </w:rPr>
  </w:style>
  <w:style w:type="paragraph" w:customStyle="1" w:styleId="387">
    <w:name w:val="公文抬头"/>
    <w:basedOn w:val="20"/>
    <w:qFormat/>
    <w:uiPriority w:val="0"/>
    <w:pPr>
      <w:widowControl w:val="0"/>
      <w:ind w:firstLine="0"/>
      <w:jc w:val="both"/>
    </w:pPr>
    <w:rPr>
      <w:rFonts w:ascii="仿宋_GB2312" w:hAnsi="Calibri" w:eastAsia="仿宋_GB2312"/>
      <w:kern w:val="2"/>
      <w:sz w:val="30"/>
      <w:lang w:eastAsia="zh-CN" w:bidi="ar-SA"/>
    </w:rPr>
  </w:style>
  <w:style w:type="paragraph" w:customStyle="1" w:styleId="388">
    <w:name w:val="wen"/>
    <w:basedOn w:val="1"/>
    <w:qFormat/>
    <w:uiPriority w:val="0"/>
    <w:pPr>
      <w:adjustRightInd w:val="0"/>
      <w:snapToGrid w:val="0"/>
      <w:spacing w:line="460" w:lineRule="exact"/>
      <w:ind w:firstLine="420" w:firstLineChars="200"/>
    </w:pPr>
    <w:rPr>
      <w:rFonts w:ascii="宋体" w:hAnsi="宋体" w:cs="宋体"/>
      <w:bCs/>
      <w:color w:val="000000"/>
      <w:kern w:val="2"/>
      <w:sz w:val="21"/>
      <w:szCs w:val="21"/>
      <w:lang w:eastAsia="zh-CN" w:bidi="ar-SA"/>
    </w:rPr>
  </w:style>
  <w:style w:type="paragraph" w:customStyle="1" w:styleId="389">
    <w:name w:val="*"/>
    <w:basedOn w:val="20"/>
    <w:qFormat/>
    <w:uiPriority w:val="0"/>
    <w:pPr>
      <w:widowControl w:val="0"/>
      <w:tabs>
        <w:tab w:val="left" w:pos="814"/>
      </w:tabs>
      <w:spacing w:line="500" w:lineRule="exact"/>
      <w:ind w:firstLine="454"/>
      <w:jc w:val="both"/>
    </w:pPr>
    <w:rPr>
      <w:rFonts w:ascii="宋体" w:hAnsi="宋体"/>
      <w:kern w:val="2"/>
      <w:lang w:eastAsia="zh-CN" w:bidi="ar-SA"/>
    </w:rPr>
  </w:style>
  <w:style w:type="paragraph" w:customStyle="1" w:styleId="390">
    <w:name w:val="font8"/>
    <w:basedOn w:val="1"/>
    <w:qFormat/>
    <w:uiPriority w:val="0"/>
    <w:pPr>
      <w:spacing w:before="100" w:beforeAutospacing="1" w:afterAutospacing="1"/>
    </w:pPr>
    <w:rPr>
      <w:rFonts w:ascii="Calibri" w:hAnsi="Calibri"/>
      <w:sz w:val="21"/>
      <w:szCs w:val="21"/>
      <w:lang w:eastAsia="zh-CN" w:bidi="ar-SA"/>
    </w:rPr>
  </w:style>
  <w:style w:type="paragraph" w:customStyle="1" w:styleId="391">
    <w:name w:val="样式 标题 3h3Heading 3 - old3h43rd level一标题 3 Char目题列表编号3A..."/>
    <w:basedOn w:val="6"/>
    <w:qFormat/>
    <w:uiPriority w:val="0"/>
    <w:pPr>
      <w:keepLines/>
      <w:widowControl w:val="0"/>
      <w:adjustRightInd w:val="0"/>
      <w:snapToGrid w:val="0"/>
      <w:spacing w:before="100" w:after="0" w:line="312" w:lineRule="auto"/>
    </w:pPr>
    <w:rPr>
      <w:rFonts w:ascii="ˎ̥" w:hAnsi="Calibri" w:eastAsia="ˎ̥" w:cs="宋体"/>
      <w:b w:val="0"/>
      <w:bCs w:val="0"/>
      <w:kern w:val="2"/>
      <w:sz w:val="24"/>
      <w:szCs w:val="22"/>
      <w:lang w:eastAsia="zh-CN"/>
    </w:rPr>
  </w:style>
  <w:style w:type="paragraph" w:customStyle="1" w:styleId="392">
    <w:name w:val="表格中文字"/>
    <w:basedOn w:val="1"/>
    <w:qFormat/>
    <w:uiPriority w:val="0"/>
    <w:pPr>
      <w:widowControl w:val="0"/>
      <w:adjustRightInd w:val="0"/>
      <w:snapToGrid w:val="0"/>
      <w:jc w:val="center"/>
    </w:pPr>
    <w:rPr>
      <w:rFonts w:ascii="Calibri" w:hAnsi="Calibri"/>
      <w:kern w:val="2"/>
      <w:szCs w:val="18"/>
      <w:lang w:eastAsia="zh-CN" w:bidi="ar-SA"/>
    </w:rPr>
  </w:style>
  <w:style w:type="paragraph" w:customStyle="1" w:styleId="393">
    <w:name w:val="标级1"/>
    <w:basedOn w:val="1"/>
    <w:qFormat/>
    <w:uiPriority w:val="0"/>
    <w:pPr>
      <w:widowControl w:val="0"/>
      <w:tabs>
        <w:tab w:val="left" w:pos="426"/>
        <w:tab w:val="left" w:pos="840"/>
      </w:tabs>
      <w:autoSpaceDE w:val="0"/>
      <w:autoSpaceDN w:val="0"/>
      <w:adjustRightInd w:val="0"/>
      <w:spacing w:before="120"/>
      <w:ind w:left="425"/>
      <w:textAlignment w:val="baseline"/>
      <w:outlineLvl w:val="0"/>
    </w:pPr>
    <w:rPr>
      <w:rFonts w:ascii="Calibri" w:hAnsi="Calibri" w:eastAsia="方正大标宋简体"/>
      <w:b/>
      <w:color w:val="0000FF"/>
      <w:spacing w:val="5"/>
      <w:sz w:val="32"/>
      <w:szCs w:val="36"/>
      <w:lang w:val="zh-CN" w:eastAsia="zh-CN" w:bidi="ar-SA"/>
    </w:rPr>
  </w:style>
  <w:style w:type="paragraph" w:customStyle="1" w:styleId="394">
    <w:name w:val="框图"/>
    <w:basedOn w:val="1"/>
    <w:qFormat/>
    <w:uiPriority w:val="0"/>
    <w:pPr>
      <w:suppressLineNumbers/>
      <w:tabs>
        <w:tab w:val="left" w:pos="423"/>
        <w:tab w:val="left" w:pos="564"/>
        <w:tab w:val="left" w:pos="987"/>
      </w:tabs>
      <w:adjustRightInd w:val="0"/>
      <w:spacing w:beforeLines="50"/>
      <w:jc w:val="center"/>
      <w:textAlignment w:val="baseline"/>
    </w:pPr>
    <w:rPr>
      <w:rFonts w:ascii="Calibri" w:hAnsi="Calibri"/>
      <w:kern w:val="2"/>
      <w:sz w:val="21"/>
      <w:szCs w:val="21"/>
      <w:lang w:eastAsia="zh-CN" w:bidi="ar-SA"/>
    </w:rPr>
  </w:style>
  <w:style w:type="paragraph" w:customStyle="1" w:styleId="395">
    <w:name w:val="行标正文"/>
    <w:basedOn w:val="1"/>
    <w:qFormat/>
    <w:uiPriority w:val="0"/>
    <w:pPr>
      <w:widowControl w:val="0"/>
      <w:tabs>
        <w:tab w:val="left" w:pos="360"/>
        <w:tab w:val="left" w:pos="1440"/>
      </w:tabs>
      <w:adjustRightInd w:val="0"/>
      <w:snapToGrid w:val="0"/>
      <w:spacing w:line="360" w:lineRule="auto"/>
      <w:ind w:left="425" w:hanging="200" w:hangingChars="200"/>
    </w:pPr>
    <w:rPr>
      <w:rFonts w:ascii="Calibri" w:hAnsi="Calibri"/>
      <w:kern w:val="2"/>
      <w:szCs w:val="21"/>
      <w:lang w:eastAsia="zh-CN" w:bidi="ar-SA"/>
    </w:rPr>
  </w:style>
  <w:style w:type="paragraph" w:customStyle="1" w:styleId="396">
    <w:name w:val="样式 标题 21.1-C标题 1.1章LLZ2h2部分标题Heading 2 HiddenHeading 2 C..."/>
    <w:basedOn w:val="5"/>
    <w:qFormat/>
    <w:uiPriority w:val="0"/>
    <w:pPr>
      <w:keepLines/>
      <w:pageBreakBefore/>
      <w:widowControl w:val="0"/>
      <w:spacing w:before="100" w:beforeAutospacing="1" w:after="100" w:afterAutospacing="1" w:line="500" w:lineRule="exact"/>
      <w:ind w:left="454" w:hanging="454"/>
      <w:jc w:val="center"/>
    </w:pPr>
    <w:rPr>
      <w:rFonts w:ascii="Times New Roman" w:hAnsi="Times New Roman" w:cs="宋体"/>
      <w:b w:val="0"/>
      <w:bCs w:val="0"/>
      <w:i w:val="0"/>
      <w:iCs w:val="0"/>
      <w:kern w:val="2"/>
      <w:sz w:val="30"/>
      <w:szCs w:val="20"/>
      <w:lang w:eastAsia="zh-CN"/>
    </w:rPr>
  </w:style>
  <w:style w:type="paragraph" w:customStyle="1" w:styleId="397">
    <w:name w:val="专用标题2"/>
    <w:basedOn w:val="5"/>
    <w:next w:val="1"/>
    <w:qFormat/>
    <w:uiPriority w:val="0"/>
    <w:pPr>
      <w:keepNext w:val="0"/>
      <w:tabs>
        <w:tab w:val="left" w:pos="993"/>
      </w:tabs>
      <w:adjustRightInd w:val="0"/>
      <w:snapToGrid w:val="0"/>
      <w:spacing w:before="0" w:afterLines="50" w:line="360" w:lineRule="auto"/>
      <w:jc w:val="both"/>
    </w:pPr>
    <w:rPr>
      <w:rFonts w:ascii="宋体" w:hAnsi="宋体" w:cs="Times"/>
      <w:bCs w:val="0"/>
      <w:i w:val="0"/>
      <w:iCs w:val="0"/>
      <w:szCs w:val="20"/>
      <w:lang w:eastAsia="zh-CN"/>
    </w:rPr>
  </w:style>
  <w:style w:type="paragraph" w:customStyle="1" w:styleId="398">
    <w:name w:val="表格"/>
    <w:basedOn w:val="1"/>
    <w:qFormat/>
    <w:uiPriority w:val="0"/>
    <w:pPr>
      <w:widowControl w:val="0"/>
      <w:ind w:right="-107" w:rightChars="-51"/>
      <w:jc w:val="center"/>
    </w:pPr>
    <w:rPr>
      <w:rFonts w:ascii="Verdana" w:hAnsi="Verdana"/>
      <w:bCs/>
      <w:snapToGrid w:val="0"/>
      <w:kern w:val="2"/>
      <w:sz w:val="21"/>
      <w:lang w:eastAsia="zh-CN" w:bidi="ar-SA"/>
    </w:rPr>
  </w:style>
  <w:style w:type="paragraph" w:customStyle="1" w:styleId="399">
    <w:name w:val="正文居右"/>
    <w:basedOn w:val="277"/>
    <w:next w:val="277"/>
    <w:qFormat/>
    <w:uiPriority w:val="0"/>
    <w:pPr>
      <w:widowControl/>
      <w:jc w:val="right"/>
    </w:pPr>
    <w:rPr>
      <w:rFonts w:ascii="Times New Roman"/>
    </w:rPr>
  </w:style>
  <w:style w:type="paragraph" w:customStyle="1" w:styleId="400">
    <w:name w:val="xl33"/>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宋体" w:hAnsi="宋体" w:cs="宋体"/>
      <w:sz w:val="21"/>
      <w:szCs w:val="21"/>
      <w:lang w:eastAsia="zh-CN" w:bidi="ar-SA"/>
    </w:rPr>
  </w:style>
  <w:style w:type="paragraph" w:customStyle="1" w:styleId="401">
    <w:name w:val="font5"/>
    <w:basedOn w:val="1"/>
    <w:qFormat/>
    <w:uiPriority w:val="0"/>
    <w:pPr>
      <w:spacing w:before="100" w:beforeAutospacing="1" w:afterAutospacing="1"/>
    </w:pPr>
    <w:rPr>
      <w:rFonts w:ascii="宋体" w:hAnsi="宋体" w:cs="宋体"/>
      <w:lang w:eastAsia="zh-CN" w:bidi="ar-SA"/>
    </w:rPr>
  </w:style>
  <w:style w:type="paragraph" w:customStyle="1" w:styleId="402">
    <w:name w:val="缩进2中"/>
    <w:qFormat/>
    <w:uiPriority w:val="0"/>
    <w:pPr>
      <w:ind w:left="708" w:leftChars="295"/>
      <w:jc w:val="both"/>
    </w:pPr>
    <w:rPr>
      <w:rFonts w:ascii="Times" w:hAnsi="Times" w:eastAsia="宋体" w:cs="Times New Roman"/>
      <w:kern w:val="2"/>
      <w:sz w:val="24"/>
      <w:szCs w:val="22"/>
      <w:lang w:val="en-US" w:eastAsia="zh-CN" w:bidi="ar-SA"/>
    </w:rPr>
  </w:style>
  <w:style w:type="paragraph" w:customStyle="1" w:styleId="403">
    <w:name w:val="xl101"/>
    <w:basedOn w:val="1"/>
    <w:qFormat/>
    <w:uiPriority w:val="0"/>
    <w:pPr>
      <w:pBdr>
        <w:left w:val="single" w:color="auto" w:sz="8" w:space="0"/>
        <w:right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404">
    <w:name w:val="列出段落1"/>
    <w:basedOn w:val="1"/>
    <w:qFormat/>
    <w:uiPriority w:val="34"/>
    <w:pPr>
      <w:widowControl w:val="0"/>
      <w:ind w:firstLine="420" w:firstLineChars="200"/>
      <w:jc w:val="both"/>
    </w:pPr>
    <w:rPr>
      <w:rFonts w:ascii="Calibri" w:hAnsi="Calibri" w:cs="Calibri"/>
      <w:kern w:val="2"/>
      <w:sz w:val="21"/>
      <w:szCs w:val="21"/>
      <w:lang w:eastAsia="zh-CN" w:bidi="ar-SA"/>
    </w:rPr>
  </w:style>
  <w:style w:type="paragraph" w:customStyle="1" w:styleId="405">
    <w:name w:val="样式 标题 7标题7（1）L7PIM 7不用 + 宋体 非加粗 左侧:  0 厘米 行距: 多倍行距 1.33 ..."/>
    <w:basedOn w:val="10"/>
    <w:qFormat/>
    <w:uiPriority w:val="0"/>
    <w:pPr>
      <w:keepNext/>
      <w:keepLines/>
      <w:widowControl w:val="0"/>
      <w:tabs>
        <w:tab w:val="left" w:pos="200"/>
      </w:tabs>
      <w:spacing w:before="0" w:after="0" w:line="319" w:lineRule="auto"/>
      <w:ind w:firstLine="480" w:firstLineChars="200"/>
      <w:jc w:val="both"/>
    </w:pPr>
    <w:rPr>
      <w:rFonts w:ascii="宋体" w:hAnsi="宋体" w:cs="宋体"/>
      <w:kern w:val="2"/>
      <w:szCs w:val="20"/>
      <w:lang w:eastAsia="zh-CN"/>
    </w:rPr>
  </w:style>
  <w:style w:type="paragraph" w:customStyle="1" w:styleId="406">
    <w:name w:val="样式 标题 2 + 黑体 四号 海绿 行距: 1.5 倍行距"/>
    <w:basedOn w:val="5"/>
    <w:qFormat/>
    <w:uiPriority w:val="0"/>
    <w:pPr>
      <w:keepNext w:val="0"/>
      <w:keepLines/>
      <w:widowControl w:val="0"/>
      <w:spacing w:before="0" w:after="0" w:line="360" w:lineRule="auto"/>
      <w:ind w:left="454" w:firstLine="200" w:firstLineChars="200"/>
      <w:jc w:val="both"/>
    </w:pPr>
    <w:rPr>
      <w:rFonts w:ascii="ˎ̥" w:hAnsi="宋体" w:eastAsia="ˎ̥" w:cs="宋体"/>
      <w:i w:val="0"/>
      <w:iCs w:val="0"/>
      <w:color w:val="339966"/>
      <w:kern w:val="2"/>
      <w:szCs w:val="20"/>
      <w:lang w:eastAsia="zh-CN"/>
    </w:rPr>
  </w:style>
  <w:style w:type="paragraph" w:customStyle="1" w:styleId="407">
    <w:name w:val="xl61"/>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Arial" w:hAnsi="Arial" w:cs="Arial"/>
      <w:lang w:eastAsia="zh-CN" w:bidi="ar-SA"/>
    </w:rPr>
  </w:style>
  <w:style w:type="paragraph" w:customStyle="1" w:styleId="408">
    <w:name w:val="xl79"/>
    <w:basedOn w:val="1"/>
    <w:qFormat/>
    <w:uiPriority w:val="0"/>
    <w:pPr>
      <w:pBdr>
        <w:top w:val="single" w:color="auto" w:sz="8" w:space="0"/>
        <w:right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409">
    <w:name w:val="样式 标题 5 + 首行缩进:  2 字符"/>
    <w:basedOn w:val="8"/>
    <w:qFormat/>
    <w:uiPriority w:val="0"/>
    <w:pPr>
      <w:widowControl w:val="0"/>
      <w:spacing w:before="0" w:after="290"/>
      <w:ind w:firstLine="420" w:firstLineChars="200"/>
    </w:pPr>
    <w:rPr>
      <w:rFonts w:cs="宋体"/>
      <w:b w:val="0"/>
      <w:bCs w:val="0"/>
      <w:i w:val="0"/>
      <w:iCs w:val="0"/>
      <w:color w:val="800080"/>
      <w:kern w:val="2"/>
      <w:sz w:val="24"/>
      <w:szCs w:val="20"/>
      <w:lang w:eastAsia="zh-CN"/>
    </w:rPr>
  </w:style>
  <w:style w:type="paragraph" w:customStyle="1" w:styleId="410">
    <w:name w:val="xl115"/>
    <w:basedOn w:val="1"/>
    <w:qFormat/>
    <w:uiPriority w:val="0"/>
    <w:pPr>
      <w:pBdr>
        <w:top w:val="single" w:color="auto" w:sz="8" w:space="0"/>
        <w:left w:val="single" w:color="auto" w:sz="8" w:space="0"/>
        <w:bottom w:val="single" w:color="auto" w:sz="8" w:space="0"/>
      </w:pBdr>
      <w:spacing w:before="100" w:beforeAutospacing="1" w:afterAutospacing="1"/>
      <w:jc w:val="both"/>
    </w:pPr>
    <w:rPr>
      <w:rFonts w:ascii="Calibri" w:hAnsi="Calibri"/>
      <w:sz w:val="18"/>
      <w:szCs w:val="18"/>
      <w:lang w:eastAsia="zh-CN" w:bidi="ar-SA"/>
    </w:rPr>
  </w:style>
  <w:style w:type="paragraph" w:customStyle="1" w:styleId="411">
    <w:name w:val="样式 样式 标题 6 + 首行缩进:  2 字符 + 首行缩进:  2 字符"/>
    <w:basedOn w:val="1"/>
    <w:qFormat/>
    <w:uiPriority w:val="0"/>
    <w:pPr>
      <w:widowControl w:val="0"/>
      <w:spacing w:afterLines="50"/>
      <w:ind w:firstLine="200" w:firstLineChars="200"/>
      <w:outlineLvl w:val="5"/>
    </w:pPr>
    <w:rPr>
      <w:rFonts w:ascii="Arial" w:hAnsi="Arial" w:cs="宋体"/>
      <w:kern w:val="2"/>
      <w:szCs w:val="20"/>
      <w:lang w:eastAsia="zh-CN" w:bidi="ar-SA"/>
    </w:rPr>
  </w:style>
  <w:style w:type="paragraph" w:customStyle="1" w:styleId="412">
    <w:name w:val="专用标题4"/>
    <w:basedOn w:val="7"/>
    <w:next w:val="1"/>
    <w:qFormat/>
    <w:uiPriority w:val="0"/>
    <w:pPr>
      <w:keepLines/>
      <w:adjustRightInd w:val="0"/>
      <w:snapToGrid w:val="0"/>
      <w:spacing w:before="0" w:after="0"/>
      <w:ind w:left="2835" w:hanging="567"/>
    </w:pPr>
    <w:rPr>
      <w:rFonts w:ascii="Arial" w:hAnsi="Arial"/>
      <w:b w:val="0"/>
      <w:bCs w:val="0"/>
      <w:kern w:val="2"/>
      <w:szCs w:val="22"/>
      <w:lang w:eastAsia="zh-CN"/>
    </w:rPr>
  </w:style>
  <w:style w:type="paragraph" w:customStyle="1" w:styleId="413">
    <w:name w:val="标题1"/>
    <w:basedOn w:val="4"/>
    <w:next w:val="1"/>
    <w:qFormat/>
    <w:uiPriority w:val="0"/>
    <w:pPr>
      <w:spacing w:before="0" w:after="0"/>
      <w:ind w:left="596" w:hanging="596"/>
      <w:jc w:val="center"/>
    </w:pPr>
    <w:rPr>
      <w:rFonts w:ascii="黑体" w:hAnsi="Times New Roman" w:eastAsia="黑体"/>
      <w:bCs w:val="0"/>
      <w:kern w:val="0"/>
      <w:sz w:val="52"/>
      <w:szCs w:val="20"/>
      <w:lang w:eastAsia="zh-CN"/>
    </w:rPr>
  </w:style>
  <w:style w:type="paragraph" w:customStyle="1" w:styleId="414">
    <w:name w:val="xl52"/>
    <w:basedOn w:val="1"/>
    <w:qFormat/>
    <w:uiPriority w:val="0"/>
    <w:pPr>
      <w:pBdr>
        <w:top w:val="single" w:color="auto" w:sz="4" w:space="0"/>
        <w:left w:val="single" w:color="auto" w:sz="4" w:space="0"/>
        <w:bottom w:val="single" w:color="auto" w:sz="4" w:space="0"/>
        <w:right w:val="single" w:color="auto" w:sz="4" w:space="0"/>
      </w:pBdr>
      <w:shd w:val="clear" w:color="auto" w:fill="FFFF00"/>
      <w:spacing w:before="100" w:beforeAutospacing="1" w:afterAutospacing="1"/>
    </w:pPr>
    <w:rPr>
      <w:rFonts w:ascii="宋体" w:hAnsi="宋体"/>
      <w:color w:val="000000"/>
      <w:sz w:val="20"/>
      <w:szCs w:val="20"/>
      <w:lang w:eastAsia="zh-CN" w:bidi="ar-SA"/>
    </w:rPr>
  </w:style>
  <w:style w:type="paragraph" w:customStyle="1" w:styleId="415">
    <w:name w:val="通用标题6"/>
    <w:basedOn w:val="1"/>
    <w:qFormat/>
    <w:uiPriority w:val="0"/>
    <w:pPr>
      <w:tabs>
        <w:tab w:val="left" w:pos="993"/>
      </w:tabs>
      <w:adjustRightInd w:val="0"/>
      <w:snapToGrid w:val="0"/>
      <w:spacing w:afterLines="50" w:line="360" w:lineRule="auto"/>
      <w:ind w:left="310"/>
      <w:jc w:val="both"/>
    </w:pPr>
    <w:rPr>
      <w:rFonts w:ascii="宋体" w:hAnsi="宋体"/>
      <w:szCs w:val="20"/>
      <w:lang w:eastAsia="zh-CN" w:bidi="ar-SA"/>
    </w:rPr>
  </w:style>
  <w:style w:type="paragraph" w:customStyle="1" w:styleId="416">
    <w:name w:val="框文"/>
    <w:basedOn w:val="1"/>
    <w:qFormat/>
    <w:uiPriority w:val="0"/>
    <w:pPr>
      <w:widowControl w:val="0"/>
      <w:snapToGrid w:val="0"/>
      <w:jc w:val="center"/>
    </w:pPr>
    <w:rPr>
      <w:rFonts w:ascii="Calibri" w:hAnsi="Calibri"/>
      <w:kern w:val="2"/>
      <w:sz w:val="21"/>
      <w:szCs w:val="20"/>
      <w:lang w:eastAsia="zh-CN" w:bidi="ar-SA"/>
    </w:rPr>
  </w:style>
  <w:style w:type="paragraph" w:customStyle="1" w:styleId="417">
    <w:name w:val="通用标题7"/>
    <w:basedOn w:val="1"/>
    <w:qFormat/>
    <w:uiPriority w:val="0"/>
    <w:pPr>
      <w:wordWrap w:val="0"/>
      <w:topLinePunct/>
      <w:adjustRightInd w:val="0"/>
      <w:snapToGrid w:val="0"/>
      <w:spacing w:afterLines="50" w:line="360" w:lineRule="auto"/>
      <w:ind w:firstLine="200" w:firstLineChars="200"/>
      <w:jc w:val="both"/>
    </w:pPr>
    <w:rPr>
      <w:rFonts w:ascii="宋体" w:hAnsi="宋体"/>
      <w:szCs w:val="20"/>
      <w:lang w:eastAsia="zh-CN" w:bidi="ar-SA"/>
    </w:rPr>
  </w:style>
  <w:style w:type="paragraph" w:customStyle="1" w:styleId="418">
    <w:name w:val="样式 宋体 行距: 1.5 倍行距"/>
    <w:basedOn w:val="1"/>
    <w:qFormat/>
    <w:uiPriority w:val="0"/>
    <w:pPr>
      <w:widowControl w:val="0"/>
      <w:jc w:val="center"/>
    </w:pPr>
    <w:rPr>
      <w:rFonts w:eastAsia="楷体_GB2312"/>
      <w:b/>
      <w:kern w:val="2"/>
      <w:sz w:val="21"/>
      <w:szCs w:val="20"/>
      <w:lang w:eastAsia="zh-CN" w:bidi="ar-SA"/>
    </w:rPr>
  </w:style>
  <w:style w:type="paragraph" w:customStyle="1" w:styleId="419">
    <w:name w:val="xl90"/>
    <w:basedOn w:val="1"/>
    <w:qFormat/>
    <w:uiPriority w:val="0"/>
    <w:pPr>
      <w:pBdr>
        <w:top w:val="single" w:color="auto" w:sz="8" w:space="0"/>
        <w:lef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420">
    <w:name w:val="修订11"/>
    <w:semiHidden/>
    <w:qFormat/>
    <w:uiPriority w:val="99"/>
    <w:rPr>
      <w:rFonts w:ascii="宋体" w:hAnsi="Calibri" w:eastAsia="宋体" w:cs="Times New Roman"/>
      <w:kern w:val="2"/>
      <w:sz w:val="24"/>
      <w:szCs w:val="22"/>
      <w:lang w:val="en-US" w:eastAsia="zh-CN" w:bidi="ar-SA"/>
    </w:rPr>
  </w:style>
  <w:style w:type="paragraph" w:customStyle="1" w:styleId="421">
    <w:name w:val="font7"/>
    <w:basedOn w:val="1"/>
    <w:qFormat/>
    <w:uiPriority w:val="0"/>
    <w:pPr>
      <w:spacing w:before="100" w:beforeAutospacing="1" w:afterAutospacing="1"/>
    </w:pPr>
    <w:rPr>
      <w:rFonts w:ascii="Calibri" w:hAnsi="Calibri"/>
      <w:lang w:eastAsia="zh-CN" w:bidi="ar-SA"/>
    </w:rPr>
  </w:style>
  <w:style w:type="paragraph" w:customStyle="1" w:styleId="422">
    <w:name w:val="样式 标题 2标题 2，第一节 + 段前: 0.5 行 段后: 0.5 行"/>
    <w:basedOn w:val="5"/>
    <w:qFormat/>
    <w:uiPriority w:val="0"/>
    <w:pPr>
      <w:keepNext w:val="0"/>
      <w:widowControl w:val="0"/>
      <w:spacing w:beforeLines="50" w:afterLines="50" w:line="360" w:lineRule="auto"/>
      <w:ind w:left="454" w:hanging="454"/>
      <w:jc w:val="center"/>
    </w:pPr>
    <w:rPr>
      <w:rFonts w:ascii="Times New Roman" w:hAnsi="Times New Roman" w:eastAsia="ˎ̥" w:cs="宋体"/>
      <w:i w:val="0"/>
      <w:iCs w:val="0"/>
      <w:color w:val="993366"/>
      <w:kern w:val="2"/>
      <w:szCs w:val="20"/>
      <w:lang w:eastAsia="zh-CN"/>
    </w:rPr>
  </w:style>
  <w:style w:type="paragraph" w:customStyle="1" w:styleId="423">
    <w:name w:val="标题4"/>
    <w:basedOn w:val="7"/>
    <w:next w:val="1"/>
    <w:qFormat/>
    <w:uiPriority w:val="0"/>
    <w:pPr>
      <w:keepLines/>
      <w:spacing w:before="120" w:after="360" w:line="360" w:lineRule="auto"/>
      <w:jc w:val="center"/>
    </w:pPr>
    <w:rPr>
      <w:rFonts w:ascii="宋体" w:hAnsi="宋体"/>
      <w:b w:val="0"/>
      <w:bCs w:val="0"/>
      <w:szCs w:val="20"/>
      <w:lang w:eastAsia="zh-CN"/>
    </w:rPr>
  </w:style>
  <w:style w:type="paragraph" w:customStyle="1" w:styleId="424">
    <w:name w:val="xl95"/>
    <w:basedOn w:val="1"/>
    <w:qFormat/>
    <w:uiPriority w:val="0"/>
    <w:pPr>
      <w:pBdr>
        <w:top w:val="single" w:color="auto" w:sz="8" w:space="0"/>
        <w:left w:val="single" w:color="auto" w:sz="8" w:space="0"/>
      </w:pBdr>
      <w:spacing w:before="100" w:beforeAutospacing="1" w:afterAutospacing="1"/>
    </w:pPr>
    <w:rPr>
      <w:rFonts w:ascii="Calibri" w:hAnsi="Calibri"/>
      <w:color w:val="000000"/>
      <w:sz w:val="18"/>
      <w:szCs w:val="18"/>
      <w:lang w:eastAsia="zh-CN" w:bidi="ar-SA"/>
    </w:rPr>
  </w:style>
  <w:style w:type="paragraph" w:customStyle="1" w:styleId="425">
    <w:name w:val="普通 (Web)"/>
    <w:basedOn w:val="1"/>
    <w:qFormat/>
    <w:uiPriority w:val="0"/>
    <w:pPr>
      <w:spacing w:before="100"/>
    </w:pPr>
    <w:rPr>
      <w:rFonts w:ascii="Arial Unicode MS" w:hAnsi="Arial Unicode MS" w:eastAsia="Arial Unicode MS"/>
      <w:szCs w:val="20"/>
      <w:lang w:eastAsia="zh-CN" w:bidi="ar-SA"/>
    </w:rPr>
  </w:style>
  <w:style w:type="paragraph" w:customStyle="1" w:styleId="426">
    <w:name w:val="Char Char Char Char Char Char Char Char Char Char Char Char Char"/>
    <w:basedOn w:val="1"/>
    <w:qFormat/>
    <w:uiPriority w:val="0"/>
    <w:pPr>
      <w:widowControl w:val="0"/>
      <w:jc w:val="both"/>
    </w:pPr>
    <w:rPr>
      <w:rFonts w:ascii="宋体" w:hAnsi="宋体"/>
      <w:kern w:val="2"/>
      <w:lang w:eastAsia="zh-CN" w:bidi="ar-SA"/>
    </w:rPr>
  </w:style>
  <w:style w:type="paragraph" w:customStyle="1" w:styleId="427">
    <w:name w:val="标题2"/>
    <w:basedOn w:val="5"/>
    <w:next w:val="1"/>
    <w:qFormat/>
    <w:uiPriority w:val="0"/>
    <w:pPr>
      <w:keepNext w:val="0"/>
      <w:widowControl w:val="0"/>
      <w:tabs>
        <w:tab w:val="left" w:pos="1080"/>
      </w:tabs>
      <w:spacing w:before="0" w:after="0" w:line="360" w:lineRule="exact"/>
      <w:jc w:val="center"/>
      <w:outlineLvl w:val="9"/>
    </w:pPr>
    <w:rPr>
      <w:rFonts w:ascii="宋体" w:hAnsi="Times New Roman" w:eastAsia="仿宋_GB2312"/>
      <w:b w:val="0"/>
      <w:bCs w:val="0"/>
      <w:i w:val="0"/>
      <w:iCs w:val="0"/>
      <w:kern w:val="2"/>
      <w:sz w:val="36"/>
      <w:szCs w:val="48"/>
      <w:lang w:eastAsia="zh-CN"/>
    </w:rPr>
  </w:style>
  <w:style w:type="paragraph" w:customStyle="1" w:styleId="428">
    <w:name w:val="xl54"/>
    <w:basedOn w:val="1"/>
    <w:qFormat/>
    <w:uiPriority w:val="0"/>
    <w:pPr>
      <w:pBdr>
        <w:top w:val="single" w:color="auto" w:sz="4" w:space="0"/>
        <w:left w:val="single" w:color="auto" w:sz="4" w:space="0"/>
      </w:pBdr>
      <w:spacing w:before="100" w:beforeAutospacing="1" w:afterAutospacing="1"/>
      <w:textAlignment w:val="bottom"/>
    </w:pPr>
    <w:rPr>
      <w:rFonts w:ascii="宋体" w:hAnsi="宋体"/>
      <w:sz w:val="20"/>
      <w:szCs w:val="20"/>
      <w:lang w:eastAsia="zh-CN" w:bidi="ar-SA"/>
    </w:rPr>
  </w:style>
  <w:style w:type="paragraph" w:customStyle="1" w:styleId="429">
    <w:name w:val="xl129"/>
    <w:basedOn w:val="1"/>
    <w:qFormat/>
    <w:uiPriority w:val="0"/>
    <w:pPr>
      <w:pBdr>
        <w:bottom w:val="single" w:color="auto" w:sz="8" w:space="0"/>
      </w:pBdr>
      <w:spacing w:before="100" w:beforeAutospacing="1" w:afterAutospacing="1"/>
    </w:pPr>
    <w:rPr>
      <w:rFonts w:ascii="Calibri" w:hAnsi="Calibri"/>
      <w:color w:val="000000"/>
      <w:sz w:val="18"/>
      <w:szCs w:val="18"/>
      <w:lang w:eastAsia="zh-CN" w:bidi="ar-SA"/>
    </w:rPr>
  </w:style>
  <w:style w:type="paragraph" w:customStyle="1" w:styleId="430">
    <w:name w:val="choi--a"/>
    <w:basedOn w:val="20"/>
    <w:qFormat/>
    <w:uiPriority w:val="0"/>
    <w:pPr>
      <w:widowControl w:val="0"/>
      <w:spacing w:line="500" w:lineRule="exact"/>
      <w:ind w:firstLine="0"/>
      <w:jc w:val="both"/>
    </w:pPr>
    <w:rPr>
      <w:rFonts w:ascii="宋体" w:hAnsi="宋体"/>
      <w:kern w:val="2"/>
      <w:szCs w:val="20"/>
      <w:lang w:eastAsia="zh-CN" w:bidi="ar-SA"/>
    </w:rPr>
  </w:style>
  <w:style w:type="paragraph" w:customStyle="1" w:styleId="431">
    <w:name w:val="Char Char Char Char"/>
    <w:basedOn w:val="24"/>
    <w:qFormat/>
    <w:uiPriority w:val="0"/>
    <w:pPr>
      <w:widowControl w:val="0"/>
      <w:ind w:left="480" w:leftChars="200" w:firstLine="200" w:firstLineChars="200"/>
      <w:jc w:val="both"/>
    </w:pPr>
    <w:rPr>
      <w:rFonts w:ascii="Tahoma" w:hAnsi="Tahoma"/>
      <w:snapToGrid w:val="0"/>
      <w:kern w:val="2"/>
      <w:lang w:eastAsia="zh-CN"/>
    </w:rPr>
  </w:style>
  <w:style w:type="paragraph" w:customStyle="1" w:styleId="432">
    <w:name w:val="正文111"/>
    <w:basedOn w:val="1"/>
    <w:next w:val="31"/>
    <w:qFormat/>
    <w:uiPriority w:val="0"/>
    <w:pPr>
      <w:widowControl w:val="0"/>
      <w:jc w:val="both"/>
    </w:pPr>
    <w:rPr>
      <w:rFonts w:ascii="Calibri" w:hAnsi="Calibri"/>
      <w:kern w:val="2"/>
      <w:lang w:eastAsia="zh-CN" w:bidi="ar-SA"/>
    </w:rPr>
  </w:style>
  <w:style w:type="paragraph" w:customStyle="1" w:styleId="433">
    <w:name w:val="xl96"/>
    <w:basedOn w:val="1"/>
    <w:qFormat/>
    <w:uiPriority w:val="0"/>
    <w:pPr>
      <w:pBdr>
        <w:top w:val="single" w:color="auto" w:sz="8" w:space="0"/>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434">
    <w:name w:val="xl44"/>
    <w:basedOn w:val="1"/>
    <w:qFormat/>
    <w:uiPriority w:val="0"/>
    <w:pPr>
      <w:spacing w:before="100" w:beforeAutospacing="1" w:afterAutospacing="1"/>
    </w:pPr>
    <w:rPr>
      <w:rFonts w:ascii="宋体" w:hAnsi="宋体" w:cs="宋体"/>
      <w:lang w:eastAsia="zh-CN" w:bidi="ar-SA"/>
    </w:rPr>
  </w:style>
  <w:style w:type="paragraph" w:customStyle="1" w:styleId="435">
    <w:name w:val="xl78"/>
    <w:basedOn w:val="1"/>
    <w:qFormat/>
    <w:uiPriority w:val="0"/>
    <w:pPr>
      <w:pBdr>
        <w:top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436">
    <w:name w:val="xl110"/>
    <w:basedOn w:val="1"/>
    <w:qFormat/>
    <w:uiPriority w:val="0"/>
    <w:pPr>
      <w:pBdr>
        <w:left w:val="single" w:color="auto" w:sz="8" w:space="0"/>
        <w:bottom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37">
    <w:name w:val="style2"/>
    <w:basedOn w:val="1"/>
    <w:qFormat/>
    <w:uiPriority w:val="0"/>
    <w:pPr>
      <w:spacing w:before="100" w:beforeAutospacing="1" w:afterAutospacing="1"/>
    </w:pPr>
    <w:rPr>
      <w:rFonts w:ascii="宋体" w:hAnsi="宋体" w:cs="宋体"/>
      <w:color w:val="000000"/>
      <w:sz w:val="21"/>
      <w:szCs w:val="21"/>
      <w:lang w:eastAsia="zh-CN" w:bidi="ar-SA"/>
    </w:rPr>
  </w:style>
  <w:style w:type="paragraph" w:customStyle="1" w:styleId="438">
    <w:name w:val="xl55"/>
    <w:basedOn w:val="1"/>
    <w:qFormat/>
    <w:uiPriority w:val="0"/>
    <w:pPr>
      <w:pBdr>
        <w:top w:val="single" w:color="auto" w:sz="4" w:space="0"/>
        <w:bottom w:val="single" w:color="auto" w:sz="4" w:space="0"/>
        <w:right w:val="single" w:color="auto" w:sz="4" w:space="0"/>
      </w:pBdr>
      <w:spacing w:before="100" w:beforeAutospacing="1" w:afterAutospacing="1"/>
      <w:jc w:val="center"/>
      <w:textAlignment w:val="bottom"/>
    </w:pPr>
    <w:rPr>
      <w:rFonts w:ascii="宋体" w:hAnsi="宋体"/>
      <w:sz w:val="20"/>
      <w:szCs w:val="20"/>
      <w:lang w:eastAsia="zh-CN" w:bidi="ar-SA"/>
    </w:rPr>
  </w:style>
  <w:style w:type="paragraph" w:customStyle="1" w:styleId="439">
    <w:name w:val="xl88"/>
    <w:basedOn w:val="1"/>
    <w:qFormat/>
    <w:uiPriority w:val="0"/>
    <w:pPr>
      <w:pBdr>
        <w:left w:val="single" w:color="auto" w:sz="8" w:space="0"/>
        <w:righ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440">
    <w:name w:val="xl81"/>
    <w:basedOn w:val="1"/>
    <w:qFormat/>
    <w:uiPriority w:val="0"/>
    <w:pPr>
      <w:pBdr>
        <w:top w:val="single" w:color="auto" w:sz="8" w:space="0"/>
        <w:bottom w:val="single" w:color="auto" w:sz="8" w:space="0"/>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441">
    <w:name w:val="xl43"/>
    <w:basedOn w:val="1"/>
    <w:qFormat/>
    <w:uiPriority w:val="0"/>
    <w:pPr>
      <w:spacing w:before="100" w:beforeAutospacing="1" w:afterAutospacing="1"/>
    </w:pPr>
    <w:rPr>
      <w:rFonts w:ascii="Calibri" w:hAnsi="Calibri"/>
      <w:lang w:eastAsia="zh-CN" w:bidi="ar-SA"/>
    </w:rPr>
  </w:style>
  <w:style w:type="paragraph" w:customStyle="1" w:styleId="442">
    <w:name w:val="xl106"/>
    <w:basedOn w:val="1"/>
    <w:qFormat/>
    <w:uiPriority w:val="0"/>
    <w:pPr>
      <w:pBdr>
        <w:top w:val="single" w:color="auto" w:sz="8" w:space="0"/>
        <w:lef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43">
    <w:name w:val="样式3"/>
    <w:next w:val="1"/>
    <w:qFormat/>
    <w:uiPriority w:val="0"/>
    <w:pPr>
      <w:ind w:left="1260" w:hanging="420"/>
    </w:pPr>
    <w:rPr>
      <w:rFonts w:ascii="Times New Roman" w:hAnsi="Times New Roman" w:eastAsia="宋体" w:cs="Times New Roman"/>
      <w:bCs/>
      <w:kern w:val="2"/>
      <w:sz w:val="24"/>
      <w:szCs w:val="24"/>
      <w:lang w:val="en-US" w:eastAsia="zh-CN" w:bidi="ar-SA"/>
    </w:rPr>
  </w:style>
  <w:style w:type="paragraph" w:customStyle="1" w:styleId="444">
    <w:name w:val="through-content"/>
    <w:basedOn w:val="1"/>
    <w:qFormat/>
    <w:uiPriority w:val="0"/>
    <w:pPr>
      <w:wordWrap w:val="0"/>
      <w:topLinePunct/>
      <w:spacing w:before="100" w:beforeAutospacing="1" w:afterAutospacing="1"/>
    </w:pPr>
    <w:rPr>
      <w:rFonts w:ascii="宋体" w:hAnsi="宋体" w:cs="宋体"/>
      <w:szCs w:val="20"/>
      <w:lang w:eastAsia="zh-CN" w:bidi="ar-SA"/>
    </w:rPr>
  </w:style>
  <w:style w:type="paragraph" w:customStyle="1" w:styleId="445">
    <w:name w:val="xl37"/>
    <w:basedOn w:val="1"/>
    <w:qFormat/>
    <w:uiPriority w:val="0"/>
    <w:pPr>
      <w:pBdr>
        <w:bottom w:val="single" w:color="auto" w:sz="4" w:space="0"/>
        <w:right w:val="single" w:color="auto" w:sz="4" w:space="0"/>
      </w:pBdr>
      <w:spacing w:before="100" w:beforeAutospacing="1" w:afterAutospacing="1"/>
      <w:jc w:val="both"/>
      <w:textAlignment w:val="center"/>
    </w:pPr>
    <w:rPr>
      <w:rFonts w:ascii="宋体" w:hAnsi="宋体"/>
      <w:sz w:val="21"/>
      <w:szCs w:val="21"/>
      <w:lang w:eastAsia="zh-CN" w:bidi="ar-SA"/>
    </w:rPr>
  </w:style>
  <w:style w:type="paragraph" w:customStyle="1" w:styleId="446">
    <w:name w:val="样式 样式 首行缩进:  2 字符 + 首行缩进:  2 字符"/>
    <w:basedOn w:val="1"/>
    <w:qFormat/>
    <w:uiPriority w:val="0"/>
    <w:pPr>
      <w:widowControl w:val="0"/>
      <w:adjustRightInd w:val="0"/>
      <w:snapToGrid w:val="0"/>
      <w:spacing w:line="312" w:lineRule="auto"/>
      <w:ind w:firstLine="200" w:firstLineChars="200"/>
      <w:jc w:val="both"/>
    </w:pPr>
    <w:rPr>
      <w:rFonts w:ascii="Calibri" w:hAnsi="Calibri" w:eastAsia="Calibri" w:cs="宋体"/>
      <w:snapToGrid w:val="0"/>
      <w:szCs w:val="20"/>
      <w:lang w:eastAsia="zh-CN" w:bidi="ar-SA"/>
    </w:rPr>
  </w:style>
  <w:style w:type="paragraph" w:customStyle="1" w:styleId="447">
    <w:name w:val="xl40"/>
    <w:basedOn w:val="1"/>
    <w:qFormat/>
    <w:uiPriority w:val="0"/>
    <w:pPr>
      <w:pBdr>
        <w:left w:val="single" w:color="auto" w:sz="4" w:space="0"/>
        <w:bottom w:val="single" w:color="auto" w:sz="4" w:space="0"/>
      </w:pBdr>
      <w:spacing w:before="100" w:beforeAutospacing="1" w:afterAutospacing="1"/>
      <w:jc w:val="center"/>
    </w:pPr>
    <w:rPr>
      <w:rFonts w:ascii="宋体" w:hAnsi="宋体" w:cs="宋体"/>
      <w:sz w:val="21"/>
      <w:szCs w:val="21"/>
      <w:lang w:eastAsia="zh-CN" w:bidi="ar-SA"/>
    </w:rPr>
  </w:style>
  <w:style w:type="paragraph" w:customStyle="1" w:styleId="448">
    <w:name w:val="表格1"/>
    <w:basedOn w:val="1"/>
    <w:next w:val="1"/>
    <w:qFormat/>
    <w:uiPriority w:val="0"/>
    <w:pPr>
      <w:widowControl w:val="0"/>
      <w:ind w:left="-6" w:right="113"/>
      <w:jc w:val="center"/>
    </w:pPr>
    <w:rPr>
      <w:rFonts w:ascii="Calibri" w:hAnsi="Calibri"/>
      <w:sz w:val="21"/>
      <w:szCs w:val="21"/>
      <w:lang w:eastAsia="zh-CN" w:bidi="ar-SA"/>
    </w:rPr>
  </w:style>
  <w:style w:type="paragraph" w:customStyle="1" w:styleId="449">
    <w:name w:val="xl71"/>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450">
    <w:name w:val="xl123"/>
    <w:basedOn w:val="1"/>
    <w:qFormat/>
    <w:uiPriority w:val="0"/>
    <w:pPr>
      <w:pBdr>
        <w:left w:val="single" w:color="auto" w:sz="8" w:space="0"/>
      </w:pBdr>
      <w:spacing w:before="100" w:beforeAutospacing="1" w:afterAutospacing="1"/>
    </w:pPr>
    <w:rPr>
      <w:rFonts w:ascii="宋体" w:hAnsi="宋体" w:cs="宋体"/>
      <w:b/>
      <w:bCs/>
      <w:color w:val="000000"/>
      <w:sz w:val="18"/>
      <w:szCs w:val="18"/>
      <w:lang w:eastAsia="zh-CN" w:bidi="ar-SA"/>
    </w:rPr>
  </w:style>
  <w:style w:type="paragraph" w:customStyle="1" w:styleId="451">
    <w:name w:val="xl29"/>
    <w:basedOn w:val="1"/>
    <w:qFormat/>
    <w:uiPriority w:val="0"/>
    <w:pPr>
      <w:spacing w:before="100" w:beforeAutospacing="1" w:afterAutospacing="1"/>
      <w:jc w:val="center"/>
      <w:textAlignment w:val="center"/>
    </w:pPr>
    <w:rPr>
      <w:rFonts w:ascii="Arial Unicode MS" w:hAnsi="Arial Unicode MS" w:eastAsia="Arial Unicode MS"/>
      <w:lang w:eastAsia="zh-CN" w:bidi="ar-SA"/>
    </w:rPr>
  </w:style>
  <w:style w:type="paragraph" w:customStyle="1" w:styleId="452">
    <w:name w:val="样式2"/>
    <w:basedOn w:val="7"/>
    <w:next w:val="7"/>
    <w:qFormat/>
    <w:uiPriority w:val="0"/>
    <w:pPr>
      <w:keepLines/>
      <w:widowControl w:val="0"/>
      <w:spacing w:before="280" w:after="290" w:line="460" w:lineRule="exact"/>
      <w:jc w:val="both"/>
    </w:pPr>
    <w:rPr>
      <w:rFonts w:ascii="ˎ̥" w:hAnsi="ˎ̥" w:eastAsia="ˎ̥"/>
      <w:kern w:val="2"/>
      <w:sz w:val="24"/>
      <w:lang w:eastAsia="zh-CN"/>
    </w:rPr>
  </w:style>
  <w:style w:type="paragraph" w:customStyle="1" w:styleId="453">
    <w:name w:val="xl53"/>
    <w:basedOn w:val="1"/>
    <w:qFormat/>
    <w:uiPriority w:val="0"/>
    <w:pPr>
      <w:pBdr>
        <w:top w:val="single" w:color="auto" w:sz="4" w:space="0"/>
        <w:left w:val="single" w:color="auto" w:sz="4" w:space="0"/>
        <w:bottom w:val="single" w:color="auto" w:sz="4" w:space="0"/>
        <w:right w:val="single" w:color="auto" w:sz="4" w:space="0"/>
      </w:pBdr>
      <w:shd w:val="clear" w:color="auto" w:fill="FFFF00"/>
      <w:spacing w:before="100" w:beforeAutospacing="1" w:afterAutospacing="1"/>
    </w:pPr>
    <w:rPr>
      <w:rFonts w:ascii="Calibri" w:hAnsi="Calibri"/>
      <w:sz w:val="20"/>
      <w:szCs w:val="20"/>
      <w:lang w:eastAsia="zh-CN" w:bidi="ar-SA"/>
    </w:rPr>
  </w:style>
  <w:style w:type="paragraph" w:customStyle="1" w:styleId="454">
    <w:name w:val="font12"/>
    <w:basedOn w:val="1"/>
    <w:qFormat/>
    <w:uiPriority w:val="0"/>
    <w:pPr>
      <w:spacing w:before="100" w:beforeAutospacing="1" w:afterAutospacing="1"/>
    </w:pPr>
    <w:rPr>
      <w:rFonts w:ascii="宋体" w:hAnsi="宋体" w:cs="宋体"/>
      <w:sz w:val="20"/>
      <w:szCs w:val="20"/>
      <w:lang w:eastAsia="zh-CN" w:bidi="ar-SA"/>
    </w:rPr>
  </w:style>
  <w:style w:type="paragraph" w:customStyle="1" w:styleId="455">
    <w:name w:val="通用标题3"/>
    <w:next w:val="1"/>
    <w:qFormat/>
    <w:uiPriority w:val="0"/>
    <w:pPr>
      <w:widowControl w:val="0"/>
      <w:tabs>
        <w:tab w:val="left" w:pos="851"/>
      </w:tabs>
      <w:adjustRightInd w:val="0"/>
      <w:snapToGrid w:val="0"/>
      <w:spacing w:afterLines="50" w:line="360" w:lineRule="auto"/>
      <w:ind w:left="1843"/>
      <w:jc w:val="both"/>
      <w:outlineLvl w:val="2"/>
    </w:pPr>
    <w:rPr>
      <w:rFonts w:ascii="黑体" w:hAnsi="黑体" w:eastAsia="黑体" w:cs="Times New Roman"/>
      <w:b/>
      <w:kern w:val="2"/>
      <w:sz w:val="24"/>
      <w:szCs w:val="24"/>
      <w:lang w:val="en-US" w:eastAsia="zh-CN" w:bidi="ar-SA"/>
    </w:rPr>
  </w:style>
  <w:style w:type="paragraph" w:customStyle="1" w:styleId="456">
    <w:name w:val="样式 目录 1 + 行距: 固定值 20 磅"/>
    <w:basedOn w:val="19"/>
    <w:qFormat/>
    <w:uiPriority w:val="0"/>
    <w:pPr>
      <w:spacing w:line="400" w:lineRule="exact"/>
    </w:pPr>
    <w:rPr>
      <w:szCs w:val="20"/>
    </w:rPr>
  </w:style>
  <w:style w:type="paragraph" w:customStyle="1" w:styleId="457">
    <w:name w:val="xl126"/>
    <w:basedOn w:val="1"/>
    <w:qFormat/>
    <w:uiPriority w:val="0"/>
    <w:pPr>
      <w:pBdr>
        <w:top w:val="single" w:color="auto" w:sz="8" w:space="0"/>
        <w:right w:val="single" w:color="auto" w:sz="8" w:space="0"/>
      </w:pBdr>
      <w:spacing w:before="100" w:beforeAutospacing="1" w:afterAutospacing="1"/>
    </w:pPr>
    <w:rPr>
      <w:rFonts w:ascii="宋体" w:hAnsi="宋体" w:cs="宋体"/>
      <w:b/>
      <w:bCs/>
      <w:color w:val="000000"/>
      <w:sz w:val="18"/>
      <w:szCs w:val="18"/>
      <w:lang w:eastAsia="zh-CN" w:bidi="ar-SA"/>
    </w:rPr>
  </w:style>
  <w:style w:type="paragraph" w:customStyle="1" w:styleId="458">
    <w:name w:val="样式"/>
    <w:basedOn w:val="1"/>
    <w:qFormat/>
    <w:uiPriority w:val="0"/>
    <w:pPr>
      <w:widowControl w:val="0"/>
      <w:jc w:val="center"/>
    </w:pPr>
    <w:rPr>
      <w:rFonts w:ascii="Calibri" w:hAnsi="Calibri" w:cs="宋体"/>
      <w:b/>
      <w:kern w:val="2"/>
      <w:sz w:val="30"/>
      <w:szCs w:val="20"/>
      <w:lang w:eastAsia="zh-CN" w:bidi="ar-SA"/>
    </w:rPr>
  </w:style>
  <w:style w:type="paragraph" w:customStyle="1" w:styleId="459">
    <w:name w:val="xl103"/>
    <w:basedOn w:val="1"/>
    <w:qFormat/>
    <w:uiPriority w:val="0"/>
    <w:pPr>
      <w:pBdr>
        <w:top w:val="single" w:color="auto" w:sz="8" w:space="0"/>
        <w:left w:val="single" w:color="auto" w:sz="8" w:space="0"/>
        <w:bottom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60">
    <w:name w:val="四级格式 Char"/>
    <w:basedOn w:val="7"/>
    <w:qFormat/>
    <w:uiPriority w:val="0"/>
    <w:pPr>
      <w:keepLines/>
      <w:widowControl w:val="0"/>
      <w:spacing w:before="280" w:after="290" w:line="360" w:lineRule="auto"/>
      <w:jc w:val="both"/>
    </w:pPr>
    <w:rPr>
      <w:rFonts w:ascii="ˎ̥" w:hAnsi="ˎ̥" w:eastAsia="ˎ̥"/>
      <w:bCs w:val="0"/>
      <w:kern w:val="2"/>
      <w:sz w:val="24"/>
      <w:szCs w:val="20"/>
      <w:lang w:eastAsia="zh-CN"/>
    </w:rPr>
  </w:style>
  <w:style w:type="paragraph" w:customStyle="1" w:styleId="461">
    <w:name w:val="Char Char Char Char1"/>
    <w:basedOn w:val="24"/>
    <w:qFormat/>
    <w:uiPriority w:val="0"/>
    <w:pPr>
      <w:widowControl w:val="0"/>
      <w:ind w:left="480" w:leftChars="200" w:firstLine="200" w:firstLineChars="200"/>
      <w:jc w:val="both"/>
    </w:pPr>
    <w:rPr>
      <w:rFonts w:ascii="Tahoma" w:hAnsi="Tahoma"/>
      <w:snapToGrid w:val="0"/>
      <w:kern w:val="2"/>
      <w:lang w:eastAsia="zh-CN"/>
    </w:rPr>
  </w:style>
  <w:style w:type="paragraph" w:customStyle="1" w:styleId="462">
    <w:name w:val="font16"/>
    <w:basedOn w:val="1"/>
    <w:qFormat/>
    <w:uiPriority w:val="0"/>
    <w:pPr>
      <w:spacing w:before="100" w:beforeAutospacing="1" w:afterAutospacing="1"/>
    </w:pPr>
    <w:rPr>
      <w:rFonts w:ascii="Calibri" w:hAnsi="Calibri"/>
      <w:u w:val="single"/>
      <w:lang w:eastAsia="zh-CN" w:bidi="ar-SA"/>
    </w:rPr>
  </w:style>
  <w:style w:type="paragraph" w:customStyle="1" w:styleId="463">
    <w:name w:val="标题9"/>
    <w:basedOn w:val="1"/>
    <w:qFormat/>
    <w:uiPriority w:val="0"/>
    <w:pPr>
      <w:widowControl w:val="0"/>
      <w:spacing w:beforeLines="50" w:afterLines="50"/>
      <w:jc w:val="both"/>
    </w:pPr>
    <w:rPr>
      <w:rFonts w:ascii="Calibri" w:hAnsi="Calibri" w:eastAsia="黑体"/>
      <w:b/>
      <w:kern w:val="2"/>
      <w:sz w:val="32"/>
      <w:lang w:eastAsia="zh-CN" w:bidi="ar-SA"/>
    </w:rPr>
  </w:style>
  <w:style w:type="paragraph" w:customStyle="1" w:styleId="464">
    <w:name w:val="r1"/>
    <w:basedOn w:val="1"/>
    <w:qFormat/>
    <w:uiPriority w:val="0"/>
    <w:pPr>
      <w:widowControl w:val="0"/>
      <w:adjustRightInd w:val="0"/>
      <w:spacing w:line="360" w:lineRule="atLeast"/>
      <w:textAlignment w:val="baseline"/>
    </w:pPr>
    <w:rPr>
      <w:rFonts w:ascii="宋体" w:hAnsi="Roman" w:eastAsia="楷体"/>
      <w:szCs w:val="20"/>
      <w:lang w:eastAsia="zh-CN" w:bidi="ar-SA"/>
    </w:rPr>
  </w:style>
  <w:style w:type="paragraph" w:customStyle="1" w:styleId="465">
    <w:name w:val="xl120"/>
    <w:basedOn w:val="1"/>
    <w:qFormat/>
    <w:uiPriority w:val="0"/>
    <w:pPr>
      <w:pBdr>
        <w:left w:val="single" w:color="auto" w:sz="8" w:space="0"/>
        <w:bottom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466">
    <w:name w:val="正方框图"/>
    <w:basedOn w:val="1"/>
    <w:qFormat/>
    <w:uiPriority w:val="0"/>
    <w:pPr>
      <w:widowControl w:val="0"/>
      <w:snapToGrid w:val="0"/>
      <w:jc w:val="center"/>
    </w:pPr>
    <w:rPr>
      <w:rFonts w:ascii="宋体" w:hAnsi="Calibri"/>
      <w:spacing w:val="-4"/>
      <w:kern w:val="2"/>
      <w:sz w:val="21"/>
      <w:szCs w:val="21"/>
      <w:lang w:eastAsia="zh-CN" w:bidi="ar-SA"/>
    </w:rPr>
  </w:style>
  <w:style w:type="paragraph" w:customStyle="1" w:styleId="467">
    <w:name w:val="xl89"/>
    <w:basedOn w:val="1"/>
    <w:qFormat/>
    <w:uiPriority w:val="0"/>
    <w:pPr>
      <w:pBdr>
        <w:top w:val="single" w:color="auto" w:sz="8" w:space="0"/>
        <w:left w:val="single" w:color="auto" w:sz="8" w:space="0"/>
        <w:right w:val="single" w:color="auto" w:sz="8" w:space="0"/>
      </w:pBdr>
      <w:spacing w:before="100" w:beforeAutospacing="1" w:afterAutospacing="1"/>
      <w:jc w:val="center"/>
    </w:pPr>
    <w:rPr>
      <w:rFonts w:ascii="Calibri" w:hAnsi="Calibri"/>
      <w:b/>
      <w:bCs/>
      <w:color w:val="000000"/>
      <w:sz w:val="18"/>
      <w:szCs w:val="18"/>
      <w:lang w:eastAsia="zh-CN" w:bidi="ar-SA"/>
    </w:rPr>
  </w:style>
  <w:style w:type="paragraph" w:customStyle="1" w:styleId="468">
    <w:name w:val="表头"/>
    <w:basedOn w:val="1"/>
    <w:qFormat/>
    <w:uiPriority w:val="0"/>
    <w:pPr>
      <w:widowControl w:val="0"/>
      <w:spacing w:line="360" w:lineRule="auto"/>
      <w:jc w:val="center"/>
    </w:pPr>
    <w:rPr>
      <w:rFonts w:ascii="黑体" w:hAnsi="Calibri" w:eastAsia="黑体"/>
      <w:szCs w:val="20"/>
      <w:lang w:eastAsia="zh-CN" w:bidi="ar-SA"/>
    </w:rPr>
  </w:style>
  <w:style w:type="paragraph" w:customStyle="1" w:styleId="469">
    <w:name w:val="正文文字首行缩进"/>
    <w:basedOn w:val="1"/>
    <w:next w:val="70"/>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lang w:eastAsia="zh-CN" w:bidi="ar-SA"/>
    </w:rPr>
  </w:style>
  <w:style w:type="paragraph" w:customStyle="1" w:styleId="470">
    <w:name w:val="五级条标题"/>
    <w:basedOn w:val="471"/>
    <w:next w:val="1"/>
    <w:qFormat/>
    <w:uiPriority w:val="0"/>
    <w:pPr>
      <w:tabs>
        <w:tab w:val="left" w:pos="360"/>
        <w:tab w:val="left" w:pos="495"/>
        <w:tab w:val="left" w:pos="1200"/>
        <w:tab w:val="left" w:pos="1418"/>
        <w:tab w:val="left" w:pos="1680"/>
        <w:tab w:val="left" w:pos="2100"/>
        <w:tab w:val="left" w:pos="2356"/>
        <w:tab w:val="left" w:pos="2520"/>
        <w:tab w:val="left" w:pos="2781"/>
        <w:tab w:val="left" w:pos="2940"/>
        <w:tab w:val="left" w:pos="3566"/>
        <w:tab w:val="left" w:pos="3991"/>
      </w:tabs>
      <w:ind w:left="3827" w:hanging="1276"/>
      <w:outlineLvl w:val="6"/>
    </w:pPr>
  </w:style>
  <w:style w:type="paragraph" w:customStyle="1" w:styleId="471">
    <w:name w:val="四级条标题"/>
    <w:basedOn w:val="363"/>
    <w:next w:val="1"/>
    <w:qFormat/>
    <w:uiPriority w:val="0"/>
    <w:pPr>
      <w:tabs>
        <w:tab w:val="left" w:pos="2520"/>
        <w:tab w:val="left" w:pos="3566"/>
      </w:tabs>
      <w:ind w:left="3260" w:hanging="1134"/>
      <w:outlineLvl w:val="5"/>
    </w:pPr>
  </w:style>
  <w:style w:type="paragraph" w:customStyle="1" w:styleId="472">
    <w:name w:val="xl70"/>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473">
    <w:name w:val="xl117"/>
    <w:basedOn w:val="1"/>
    <w:qFormat/>
    <w:uiPriority w:val="0"/>
    <w:pPr>
      <w:pBdr>
        <w:top w:val="single" w:color="auto" w:sz="8" w:space="0"/>
        <w:bottom w:val="single" w:color="auto" w:sz="8" w:space="0"/>
        <w:right w:val="single" w:color="auto" w:sz="8" w:space="0"/>
      </w:pBdr>
      <w:spacing w:before="100" w:beforeAutospacing="1" w:afterAutospacing="1"/>
      <w:jc w:val="both"/>
    </w:pPr>
    <w:rPr>
      <w:rFonts w:ascii="Calibri" w:hAnsi="Calibri"/>
      <w:sz w:val="18"/>
      <w:szCs w:val="18"/>
      <w:lang w:eastAsia="zh-CN" w:bidi="ar-SA"/>
    </w:rPr>
  </w:style>
  <w:style w:type="paragraph" w:customStyle="1" w:styleId="474">
    <w:name w:val="标题3-3"/>
    <w:basedOn w:val="5"/>
    <w:qFormat/>
    <w:uiPriority w:val="0"/>
    <w:pPr>
      <w:keepLines/>
      <w:widowControl w:val="0"/>
      <w:spacing w:before="0" w:after="0" w:line="460" w:lineRule="exact"/>
      <w:ind w:left="454" w:hanging="454"/>
      <w:jc w:val="both"/>
    </w:pPr>
    <w:rPr>
      <w:rFonts w:ascii="ˎ̥" w:hAnsi="Times New Roman" w:eastAsia="ˎ̥" w:cs="宋体"/>
      <w:b w:val="0"/>
      <w:bCs w:val="0"/>
      <w:i w:val="0"/>
      <w:iCs w:val="0"/>
      <w:kern w:val="2"/>
      <w:sz w:val="30"/>
      <w:szCs w:val="20"/>
      <w:lang w:eastAsia="zh-CN"/>
    </w:rPr>
  </w:style>
  <w:style w:type="paragraph" w:customStyle="1" w:styleId="475">
    <w:name w:val="发文落款"/>
    <w:basedOn w:val="476"/>
    <w:qFormat/>
    <w:uiPriority w:val="0"/>
    <w:pPr>
      <w:ind w:left="4094" w:right="607" w:firstLine="0"/>
      <w:jc w:val="center"/>
    </w:pPr>
    <w:rPr>
      <w:rFonts w:ascii="Times New Roman" w:hAnsi="Times New Roman" w:eastAsia="宋体"/>
    </w:rPr>
  </w:style>
  <w:style w:type="paragraph" w:customStyle="1" w:styleId="476">
    <w:name w:val="公文正文"/>
    <w:qFormat/>
    <w:uiPriority w:val="0"/>
    <w:pPr>
      <w:widowControl w:val="0"/>
      <w:spacing w:line="360" w:lineRule="auto"/>
      <w:ind w:firstLine="629"/>
      <w:jc w:val="both"/>
    </w:pPr>
    <w:rPr>
      <w:rFonts w:ascii="仿宋_GB2312" w:hAnsi="Calisto MT" w:eastAsia="仿宋_GB2312" w:cs="Times New Roman"/>
      <w:color w:val="000000"/>
      <w:sz w:val="32"/>
      <w:lang w:val="en-US" w:eastAsia="zh-CN" w:bidi="ar-SA"/>
    </w:rPr>
  </w:style>
  <w:style w:type="paragraph" w:customStyle="1" w:styleId="477">
    <w:name w:val="样式环球正文小四 行距: 1.5 倍行距"/>
    <w:basedOn w:val="1"/>
    <w:qFormat/>
    <w:uiPriority w:val="0"/>
    <w:pPr>
      <w:widowControl w:val="0"/>
      <w:spacing w:line="360" w:lineRule="auto"/>
      <w:ind w:firstLine="480" w:firstLineChars="200"/>
      <w:jc w:val="both"/>
    </w:pPr>
    <w:rPr>
      <w:rFonts w:ascii="Calibri" w:hAnsi="Calibri" w:cs="宋体"/>
      <w:kern w:val="2"/>
      <w:szCs w:val="20"/>
      <w:lang w:eastAsia="zh-CN" w:bidi="ar-SA"/>
    </w:rPr>
  </w:style>
  <w:style w:type="paragraph" w:customStyle="1" w:styleId="478">
    <w:name w:val="xl119"/>
    <w:basedOn w:val="1"/>
    <w:qFormat/>
    <w:uiPriority w:val="0"/>
    <w:pPr>
      <w:pBdr>
        <w:right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479">
    <w:name w:val="xl22"/>
    <w:basedOn w:val="1"/>
    <w:qFormat/>
    <w:uiPriority w:val="0"/>
    <w:pPr>
      <w:spacing w:before="100" w:beforeAutospacing="1" w:afterAutospacing="1"/>
      <w:jc w:val="center"/>
    </w:pPr>
    <w:rPr>
      <w:rFonts w:ascii="宋体" w:hAnsi="宋体" w:cs="宋体"/>
      <w:lang w:eastAsia="zh-CN" w:bidi="ar-SA"/>
    </w:rPr>
  </w:style>
  <w:style w:type="paragraph" w:customStyle="1" w:styleId="480">
    <w:name w:val="m1"/>
    <w:basedOn w:val="1"/>
    <w:qFormat/>
    <w:uiPriority w:val="0"/>
    <w:pPr>
      <w:widowControl w:val="0"/>
      <w:adjustRightInd w:val="0"/>
      <w:spacing w:line="320" w:lineRule="atLeast"/>
      <w:textAlignment w:val="bottom"/>
    </w:pPr>
    <w:rPr>
      <w:rFonts w:ascii="Calibri" w:hAnsi="Calibri" w:eastAsia="楷体"/>
      <w:sz w:val="28"/>
      <w:szCs w:val="20"/>
      <w:lang w:eastAsia="zh-CN" w:bidi="ar-SA"/>
    </w:rPr>
  </w:style>
  <w:style w:type="paragraph" w:customStyle="1" w:styleId="481">
    <w:name w:val="修订2"/>
    <w:unhideWhenUsed/>
    <w:qFormat/>
    <w:uiPriority w:val="99"/>
    <w:rPr>
      <w:rFonts w:ascii="Calibri" w:hAnsi="Calibri" w:eastAsia="楷体_GB2312" w:cs="Times New Roman"/>
      <w:kern w:val="2"/>
      <w:sz w:val="21"/>
      <w:lang w:val="en-US" w:eastAsia="zh-CN" w:bidi="ar-SA"/>
    </w:rPr>
  </w:style>
  <w:style w:type="paragraph" w:customStyle="1" w:styleId="482">
    <w:name w:val="表格标题"/>
    <w:basedOn w:val="1"/>
    <w:qFormat/>
    <w:uiPriority w:val="0"/>
    <w:pPr>
      <w:widowControl w:val="0"/>
      <w:spacing w:line="320" w:lineRule="exact"/>
      <w:jc w:val="center"/>
    </w:pPr>
    <w:rPr>
      <w:rFonts w:ascii="Calibri" w:hAnsi="Calibri" w:eastAsia="ˎ̥"/>
      <w:bCs/>
      <w:kern w:val="2"/>
      <w:sz w:val="28"/>
      <w:lang w:eastAsia="zh-CN" w:bidi="ar-SA"/>
    </w:rPr>
  </w:style>
  <w:style w:type="paragraph" w:customStyle="1" w:styleId="483">
    <w:name w:val="xl39"/>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宋体" w:hAnsi="宋体" w:cs="宋体"/>
      <w:color w:val="000000"/>
      <w:sz w:val="21"/>
      <w:szCs w:val="21"/>
      <w:lang w:eastAsia="zh-CN" w:bidi="ar-SA"/>
    </w:rPr>
  </w:style>
  <w:style w:type="paragraph" w:customStyle="1" w:styleId="484">
    <w:name w:val="xl122"/>
    <w:basedOn w:val="1"/>
    <w:qFormat/>
    <w:uiPriority w:val="0"/>
    <w:pPr>
      <w:pBdr>
        <w:top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85">
    <w:name w:val="正文2"/>
    <w:qFormat/>
    <w:uiPriority w:val="0"/>
    <w:pPr>
      <w:jc w:val="both"/>
    </w:pPr>
    <w:rPr>
      <w:rFonts w:ascii="Calibri" w:hAnsi="Calibri" w:eastAsia="宋体" w:cs="Times New Roman"/>
      <w:kern w:val="2"/>
      <w:sz w:val="21"/>
      <w:szCs w:val="21"/>
      <w:lang w:val="en-US" w:eastAsia="zh-CN" w:bidi="ar-SA"/>
    </w:rPr>
  </w:style>
  <w:style w:type="paragraph" w:customStyle="1" w:styleId="486">
    <w:name w:val="附件标题1"/>
    <w:next w:val="1"/>
    <w:qFormat/>
    <w:uiPriority w:val="0"/>
    <w:pPr>
      <w:tabs>
        <w:tab w:val="left" w:pos="567"/>
      </w:tabs>
      <w:adjustRightInd w:val="0"/>
      <w:snapToGrid w:val="0"/>
      <w:spacing w:afterLines="50" w:line="312" w:lineRule="auto"/>
      <w:ind w:firstLine="400"/>
    </w:pPr>
    <w:rPr>
      <w:rFonts w:ascii="黑体" w:hAnsi="黑体" w:eastAsia="黑体" w:cs="Times New Roman"/>
      <w:b/>
      <w:kern w:val="2"/>
      <w:sz w:val="24"/>
      <w:szCs w:val="24"/>
      <w:lang w:val="en-US" w:eastAsia="zh-CN" w:bidi="ar-SA"/>
    </w:rPr>
  </w:style>
  <w:style w:type="paragraph" w:customStyle="1" w:styleId="487">
    <w:name w:val="样式 标题 2标题 2，第一节 + (中文) 宋体 段前: 0.5 行 段后: 0.5 行1"/>
    <w:basedOn w:val="5"/>
    <w:qFormat/>
    <w:uiPriority w:val="0"/>
    <w:pPr>
      <w:keepNext w:val="0"/>
      <w:pageBreakBefore/>
      <w:widowControl w:val="0"/>
      <w:spacing w:beforeLines="50" w:afterLines="50" w:line="360" w:lineRule="auto"/>
      <w:ind w:left="454" w:firstLine="200" w:firstLineChars="200"/>
      <w:jc w:val="center"/>
    </w:pPr>
    <w:rPr>
      <w:rFonts w:ascii="Times New Roman" w:hAnsi="Times New Roman" w:eastAsia="ˎ̥" w:cs="宋体"/>
      <w:i w:val="0"/>
      <w:iCs w:val="0"/>
      <w:color w:val="993366"/>
      <w:kern w:val="2"/>
      <w:szCs w:val="20"/>
      <w:lang w:eastAsia="zh-CN"/>
    </w:rPr>
  </w:style>
  <w:style w:type="paragraph" w:customStyle="1" w:styleId="488">
    <w:name w:val="样式 标题 3一Heading 3 - old子系统h33rd level3H3章标题1三级标题l3CT..."/>
    <w:basedOn w:val="6"/>
    <w:qFormat/>
    <w:uiPriority w:val="0"/>
    <w:pPr>
      <w:keepLines/>
      <w:widowControl w:val="0"/>
      <w:adjustRightInd w:val="0"/>
      <w:snapToGrid w:val="0"/>
      <w:spacing w:before="0" w:after="0" w:line="360" w:lineRule="auto"/>
      <w:jc w:val="both"/>
    </w:pPr>
    <w:rPr>
      <w:rFonts w:ascii="ˎ̥" w:hAnsi="ˎ̥" w:eastAsia="ˎ̥"/>
      <w:b w:val="0"/>
      <w:bCs w:val="0"/>
      <w:kern w:val="11"/>
      <w:sz w:val="24"/>
      <w:szCs w:val="32"/>
      <w:lang w:eastAsia="zh-CN"/>
    </w:rPr>
  </w:style>
  <w:style w:type="paragraph" w:customStyle="1" w:styleId="489">
    <w:name w:val="font11"/>
    <w:basedOn w:val="1"/>
    <w:qFormat/>
    <w:uiPriority w:val="0"/>
    <w:pPr>
      <w:spacing w:before="100" w:beforeAutospacing="1" w:afterAutospacing="1"/>
    </w:pPr>
    <w:rPr>
      <w:rFonts w:ascii="宋体" w:hAnsi="宋体" w:cs="宋体"/>
      <w:color w:val="000000"/>
      <w:lang w:eastAsia="zh-CN" w:bidi="ar-SA"/>
    </w:rPr>
  </w:style>
  <w:style w:type="paragraph" w:customStyle="1" w:styleId="490">
    <w:name w:val="xl91"/>
    <w:basedOn w:val="1"/>
    <w:qFormat/>
    <w:uiPriority w:val="0"/>
    <w:pPr>
      <w:pBdr>
        <w:top w:val="single" w:color="auto" w:sz="8" w:space="0"/>
        <w:righ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491">
    <w:name w:val="奉读大示，心折殊深。"/>
    <w:qFormat/>
    <w:uiPriority w:val="0"/>
    <w:pPr>
      <w:widowControl w:val="0"/>
      <w:jc w:val="both"/>
    </w:pPr>
    <w:rPr>
      <w:rFonts w:ascii="Calibri" w:hAnsi="Calibri" w:eastAsia="宋体" w:cs="Times New Roman"/>
      <w:kern w:val="2"/>
      <w:sz w:val="21"/>
      <w:lang w:val="en-US" w:eastAsia="zh-CN" w:bidi="ar-SA"/>
    </w:rPr>
  </w:style>
  <w:style w:type="paragraph" w:customStyle="1" w:styleId="492">
    <w:name w:val="xl74"/>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493">
    <w:name w:val="xl114"/>
    <w:basedOn w:val="1"/>
    <w:qFormat/>
    <w:uiPriority w:val="0"/>
    <w:pPr>
      <w:pBdr>
        <w:top w:val="single" w:color="auto" w:sz="8" w:space="0"/>
        <w:bottom w:val="single" w:color="auto" w:sz="8" w:space="0"/>
        <w:right w:val="single" w:color="auto" w:sz="8" w:space="0"/>
      </w:pBdr>
      <w:spacing w:before="100" w:beforeAutospacing="1" w:afterAutospacing="1"/>
      <w:jc w:val="center"/>
    </w:pPr>
    <w:rPr>
      <w:rFonts w:ascii="Calibri" w:hAnsi="Calibri"/>
      <w:sz w:val="18"/>
      <w:szCs w:val="18"/>
      <w:lang w:eastAsia="zh-CN" w:bidi="ar-SA"/>
    </w:rPr>
  </w:style>
  <w:style w:type="paragraph" w:customStyle="1" w:styleId="494">
    <w:name w:val="TOC 标题2"/>
    <w:basedOn w:val="4"/>
    <w:next w:val="1"/>
    <w:qFormat/>
    <w:uiPriority w:val="0"/>
    <w:pPr>
      <w:keepLines/>
      <w:widowControl w:val="0"/>
      <w:spacing w:before="260" w:after="260" w:line="413" w:lineRule="auto"/>
      <w:jc w:val="center"/>
    </w:pPr>
    <w:rPr>
      <w:rFonts w:ascii="宋体" w:hAnsi="宋体"/>
      <w:kern w:val="44"/>
      <w:sz w:val="36"/>
      <w:szCs w:val="44"/>
      <w:lang w:val="zh-CN" w:eastAsia="zh-CN"/>
    </w:rPr>
  </w:style>
  <w:style w:type="paragraph" w:customStyle="1" w:styleId="495">
    <w:name w:val="样式 宋体 行距: 固定值 18 磅"/>
    <w:basedOn w:val="1"/>
    <w:qFormat/>
    <w:uiPriority w:val="0"/>
    <w:pPr>
      <w:widowControl w:val="0"/>
      <w:spacing w:beforeLines="30" w:line="360" w:lineRule="exact"/>
      <w:jc w:val="both"/>
    </w:pPr>
    <w:rPr>
      <w:rFonts w:ascii="宋体" w:hAnsi="宋体"/>
      <w:kern w:val="2"/>
      <w:sz w:val="21"/>
      <w:szCs w:val="20"/>
      <w:lang w:eastAsia="zh-CN" w:bidi="ar-SA"/>
    </w:rPr>
  </w:style>
  <w:style w:type="paragraph" w:customStyle="1" w:styleId="496">
    <w:name w:val="xl104"/>
    <w:basedOn w:val="1"/>
    <w:qFormat/>
    <w:uiPriority w:val="0"/>
    <w:pPr>
      <w:pBdr>
        <w:top w:val="single" w:color="auto" w:sz="8" w:space="0"/>
        <w:bottom w:val="single" w:color="auto" w:sz="8" w:space="0"/>
        <w:righ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497">
    <w:name w:val="标1"/>
    <w:basedOn w:val="1"/>
    <w:qFormat/>
    <w:uiPriority w:val="0"/>
    <w:pPr>
      <w:widowControl w:val="0"/>
      <w:spacing w:line="400" w:lineRule="exact"/>
      <w:jc w:val="center"/>
    </w:pPr>
    <w:rPr>
      <w:rFonts w:ascii="Calibri" w:hAnsi="Calibri" w:eastAsia="隶书"/>
      <w:b/>
      <w:snapToGrid w:val="0"/>
      <w:spacing w:val="40"/>
      <w:kern w:val="2"/>
      <w:sz w:val="52"/>
      <w:szCs w:val="20"/>
      <w:lang w:eastAsia="zh-CN" w:bidi="ar-SA"/>
    </w:rPr>
  </w:style>
  <w:style w:type="paragraph" w:customStyle="1" w:styleId="498">
    <w:name w:val="Title 4 Chinese"/>
    <w:qFormat/>
    <w:uiPriority w:val="0"/>
    <w:pPr>
      <w:ind w:left="1276"/>
    </w:pPr>
    <w:rPr>
      <w:rFonts w:ascii="Times New Roman" w:hAnsi="Times New Roman" w:eastAsia="宋体" w:cs="Times New Roman"/>
      <w:kern w:val="2"/>
      <w:sz w:val="24"/>
      <w:szCs w:val="24"/>
      <w:lang w:val="en-US" w:eastAsia="zh-CN" w:bidi="ar-SA"/>
    </w:rPr>
  </w:style>
  <w:style w:type="paragraph" w:customStyle="1" w:styleId="499">
    <w:name w:val="样式 标题 2标题 2，第一节 + (中文) 宋体 段前: 0.5 行 段后: 0.5 行"/>
    <w:basedOn w:val="5"/>
    <w:qFormat/>
    <w:uiPriority w:val="0"/>
    <w:pPr>
      <w:keepNext w:val="0"/>
      <w:pageBreakBefore/>
      <w:widowControl w:val="0"/>
      <w:spacing w:beforeLines="50" w:afterLines="50" w:line="360" w:lineRule="auto"/>
      <w:ind w:left="454" w:firstLine="200" w:firstLineChars="200"/>
      <w:jc w:val="center"/>
    </w:pPr>
    <w:rPr>
      <w:rFonts w:ascii="Times New Roman" w:hAnsi="Times New Roman" w:eastAsia="ˎ̥" w:cs="宋体"/>
      <w:i w:val="0"/>
      <w:iCs w:val="0"/>
      <w:color w:val="993366"/>
      <w:kern w:val="2"/>
      <w:szCs w:val="20"/>
      <w:lang w:eastAsia="zh-CN"/>
    </w:rPr>
  </w:style>
  <w:style w:type="paragraph" w:customStyle="1" w:styleId="500">
    <w:name w:val="表头2"/>
    <w:basedOn w:val="1"/>
    <w:qFormat/>
    <w:uiPriority w:val="0"/>
    <w:pPr>
      <w:widowControl w:val="0"/>
      <w:spacing w:line="360" w:lineRule="auto"/>
    </w:pPr>
    <w:rPr>
      <w:rFonts w:ascii="Calibri" w:hAnsi="Calibri"/>
      <w:b/>
      <w:kern w:val="2"/>
      <w:lang w:eastAsia="zh-CN" w:bidi="ar-SA"/>
    </w:rPr>
  </w:style>
  <w:style w:type="paragraph" w:customStyle="1" w:styleId="501">
    <w:name w:val="xl45"/>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02">
    <w:name w:val="xl75"/>
    <w:basedOn w:val="1"/>
    <w:qFormat/>
    <w:uiPriority w:val="0"/>
    <w:pPr>
      <w:pBdr>
        <w:top w:val="single" w:color="auto" w:sz="8" w:space="0"/>
        <w:left w:val="single" w:color="auto" w:sz="8" w:space="0"/>
        <w:bottom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503">
    <w:name w:val="xl84"/>
    <w:basedOn w:val="1"/>
    <w:qFormat/>
    <w:uiPriority w:val="0"/>
    <w:pPr>
      <w:pBdr>
        <w:bottom w:val="single" w:color="auto" w:sz="8" w:space="0"/>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504">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505">
    <w:name w:val="默认段落字体 Para Char"/>
    <w:basedOn w:val="1"/>
    <w:qFormat/>
    <w:uiPriority w:val="0"/>
    <w:pPr>
      <w:widowControl w:val="0"/>
      <w:jc w:val="both"/>
    </w:pPr>
    <w:rPr>
      <w:rFonts w:ascii="Calibri" w:hAnsi="Calibri"/>
      <w:kern w:val="2"/>
      <w:sz w:val="30"/>
      <w:lang w:eastAsia="zh-CN" w:bidi="ar-SA"/>
    </w:rPr>
  </w:style>
  <w:style w:type="paragraph" w:customStyle="1" w:styleId="506">
    <w:name w:val="xl64"/>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07">
    <w:name w:val="xl24"/>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Calibri" w:hAnsi="Calibri"/>
      <w:sz w:val="21"/>
      <w:szCs w:val="21"/>
      <w:lang w:eastAsia="zh-CN" w:bidi="ar-SA"/>
    </w:rPr>
  </w:style>
  <w:style w:type="paragraph" w:customStyle="1" w:styleId="508">
    <w:name w:val="m2"/>
    <w:basedOn w:val="480"/>
    <w:qFormat/>
    <w:uiPriority w:val="0"/>
    <w:pPr>
      <w:spacing w:line="400" w:lineRule="atLeast"/>
    </w:pPr>
    <w:rPr>
      <w:rFonts w:eastAsia="宋体"/>
      <w:b/>
    </w:rPr>
  </w:style>
  <w:style w:type="paragraph" w:customStyle="1" w:styleId="509">
    <w:name w:val="Z"/>
    <w:basedOn w:val="1"/>
    <w:qFormat/>
    <w:uiPriority w:val="0"/>
    <w:pPr>
      <w:widowControl w:val="0"/>
      <w:tabs>
        <w:tab w:val="left" w:pos="798"/>
      </w:tabs>
      <w:spacing w:line="360" w:lineRule="auto"/>
      <w:ind w:firstLine="200" w:firstLineChars="200"/>
    </w:pPr>
    <w:rPr>
      <w:rFonts w:ascii="Calibri" w:hAnsi="宋体"/>
      <w:kern w:val="2"/>
      <w:sz w:val="28"/>
      <w:lang w:eastAsia="zh-CN" w:bidi="ar-SA"/>
    </w:rPr>
  </w:style>
  <w:style w:type="paragraph" w:customStyle="1" w:styleId="510">
    <w:name w:val="协议书标题2"/>
    <w:basedOn w:val="5"/>
    <w:next w:val="1"/>
    <w:qFormat/>
    <w:uiPriority w:val="0"/>
    <w:pPr>
      <w:keepNext w:val="0"/>
      <w:tabs>
        <w:tab w:val="left" w:pos="567"/>
      </w:tabs>
      <w:wordWrap w:val="0"/>
      <w:topLinePunct/>
      <w:adjustRightInd w:val="0"/>
      <w:snapToGrid w:val="0"/>
      <w:spacing w:before="0" w:afterLines="50" w:line="360" w:lineRule="auto"/>
      <w:ind w:left="425"/>
    </w:pPr>
    <w:rPr>
      <w:rFonts w:ascii="宋体" w:hAnsi="宋体"/>
      <w:bCs w:val="0"/>
      <w:i w:val="0"/>
      <w:iCs w:val="0"/>
      <w:sz w:val="24"/>
      <w:szCs w:val="20"/>
      <w:lang w:eastAsia="zh-CN"/>
    </w:rPr>
  </w:style>
  <w:style w:type="paragraph" w:customStyle="1" w:styleId="511">
    <w:name w:val="LIST ALPHA CAPS 3"/>
    <w:basedOn w:val="1"/>
    <w:next w:val="28"/>
    <w:qFormat/>
    <w:uiPriority w:val="0"/>
    <w:pPr>
      <w:tabs>
        <w:tab w:val="left" w:pos="68"/>
        <w:tab w:val="left" w:pos="1928"/>
      </w:tabs>
      <w:wordWrap w:val="0"/>
      <w:topLinePunct/>
      <w:adjustRightInd w:val="0"/>
      <w:snapToGrid w:val="0"/>
      <w:spacing w:afterLines="50" w:line="288" w:lineRule="auto"/>
      <w:ind w:left="1928" w:hanging="511" w:firstLineChars="200"/>
      <w:jc w:val="both"/>
    </w:pPr>
    <w:rPr>
      <w:rFonts w:ascii="CG Times" w:hAnsi="CG Times"/>
      <w:sz w:val="22"/>
      <w:szCs w:val="20"/>
      <w:lang w:val="en-GB" w:eastAsia="zh-CN" w:bidi="ar-SA"/>
    </w:rPr>
  </w:style>
  <w:style w:type="paragraph" w:customStyle="1" w:styleId="512">
    <w:name w:val="Char11"/>
    <w:basedOn w:val="1"/>
    <w:qFormat/>
    <w:uiPriority w:val="0"/>
    <w:pPr>
      <w:widowControl w:val="0"/>
      <w:jc w:val="both"/>
    </w:pPr>
    <w:rPr>
      <w:rFonts w:ascii="Tahoma" w:hAnsi="Tahoma"/>
      <w:kern w:val="2"/>
      <w:szCs w:val="20"/>
      <w:lang w:eastAsia="zh-CN" w:bidi="ar-SA"/>
    </w:rPr>
  </w:style>
  <w:style w:type="paragraph" w:customStyle="1" w:styleId="513">
    <w:name w:val="xl113"/>
    <w:basedOn w:val="1"/>
    <w:qFormat/>
    <w:uiPriority w:val="0"/>
    <w:pPr>
      <w:pBdr>
        <w:top w:val="single" w:color="auto" w:sz="8" w:space="0"/>
        <w:bottom w:val="single" w:color="auto" w:sz="8" w:space="0"/>
      </w:pBdr>
      <w:spacing w:before="100" w:beforeAutospacing="1" w:afterAutospacing="1"/>
      <w:jc w:val="center"/>
    </w:pPr>
    <w:rPr>
      <w:rFonts w:ascii="Calibri" w:hAnsi="Calibri"/>
      <w:sz w:val="18"/>
      <w:szCs w:val="18"/>
      <w:lang w:eastAsia="zh-CN" w:bidi="ar-SA"/>
    </w:rPr>
  </w:style>
  <w:style w:type="paragraph" w:customStyle="1" w:styleId="514">
    <w:name w:val="TOC 标题111"/>
    <w:basedOn w:val="4"/>
    <w:next w:val="1"/>
    <w:qFormat/>
    <w:uiPriority w:val="99"/>
    <w:pPr>
      <w:keepLines/>
      <w:tabs>
        <w:tab w:val="left" w:pos="432"/>
      </w:tabs>
      <w:spacing w:before="480" w:after="0" w:line="276" w:lineRule="auto"/>
      <w:outlineLvl w:val="9"/>
    </w:pPr>
    <w:rPr>
      <w:rFonts w:cs="Cambria"/>
      <w:color w:val="365F91"/>
      <w:kern w:val="0"/>
      <w:sz w:val="28"/>
      <w:szCs w:val="28"/>
      <w:lang w:eastAsia="zh-CN"/>
    </w:rPr>
  </w:style>
  <w:style w:type="paragraph" w:customStyle="1" w:styleId="515">
    <w:name w:val="表格居中"/>
    <w:basedOn w:val="1"/>
    <w:qFormat/>
    <w:uiPriority w:val="0"/>
    <w:pPr>
      <w:widowControl w:val="0"/>
      <w:jc w:val="center"/>
    </w:pPr>
    <w:rPr>
      <w:rFonts w:ascii="宋体" w:hAnsi="Calibri"/>
      <w:kern w:val="2"/>
      <w:sz w:val="21"/>
      <w:szCs w:val="21"/>
      <w:lang w:eastAsia="zh-CN" w:bidi="ar-SA"/>
    </w:rPr>
  </w:style>
  <w:style w:type="paragraph" w:customStyle="1" w:styleId="516">
    <w:name w:val="xl38"/>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Calibri" w:hAnsi="Calibri"/>
      <w:sz w:val="21"/>
      <w:szCs w:val="21"/>
      <w:lang w:eastAsia="zh-CN" w:bidi="ar-SA"/>
    </w:rPr>
  </w:style>
  <w:style w:type="paragraph" w:customStyle="1" w:styleId="517">
    <w:name w:val="正文21"/>
    <w:qFormat/>
    <w:uiPriority w:val="0"/>
    <w:pPr>
      <w:jc w:val="both"/>
    </w:pPr>
    <w:rPr>
      <w:rFonts w:ascii="Calibri" w:hAnsi="Calibri" w:eastAsia="宋体" w:cs="Times New Roman"/>
      <w:kern w:val="2"/>
      <w:sz w:val="21"/>
      <w:szCs w:val="21"/>
      <w:lang w:val="en-US" w:eastAsia="zh-CN" w:bidi="ar-SA"/>
    </w:rPr>
  </w:style>
  <w:style w:type="paragraph" w:customStyle="1" w:styleId="518">
    <w:name w:val="样式 正文（首行缩进两字） + 首行缩进:  2 字符"/>
    <w:basedOn w:val="20"/>
    <w:qFormat/>
    <w:uiPriority w:val="0"/>
    <w:pPr>
      <w:widowControl w:val="0"/>
      <w:adjustRightInd w:val="0"/>
      <w:snapToGrid w:val="0"/>
      <w:spacing w:line="360" w:lineRule="auto"/>
      <w:ind w:firstLine="200" w:firstLineChars="200"/>
    </w:pPr>
    <w:rPr>
      <w:rFonts w:ascii="宋体" w:hAnsi="宋体"/>
      <w:kern w:val="2"/>
      <w:szCs w:val="20"/>
      <w:lang w:eastAsia="zh-CN" w:bidi="ar-SA"/>
    </w:rPr>
  </w:style>
  <w:style w:type="paragraph" w:customStyle="1" w:styleId="519">
    <w:name w:val="xl67"/>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520">
    <w:name w:val="正文文本缩进 21"/>
    <w:basedOn w:val="1"/>
    <w:qFormat/>
    <w:uiPriority w:val="0"/>
    <w:pPr>
      <w:widowControl w:val="0"/>
      <w:autoSpaceDE w:val="0"/>
      <w:autoSpaceDN w:val="0"/>
      <w:adjustRightInd w:val="0"/>
      <w:ind w:firstLine="540"/>
      <w:jc w:val="both"/>
      <w:textAlignment w:val="baseline"/>
    </w:pPr>
    <w:rPr>
      <w:rFonts w:ascii="Calibri" w:hAnsi="Calibri"/>
      <w:kern w:val="2"/>
      <w:szCs w:val="20"/>
      <w:lang w:eastAsia="zh-CN" w:bidi="ar-SA"/>
    </w:rPr>
  </w:style>
  <w:style w:type="paragraph" w:customStyle="1" w:styleId="521">
    <w:name w:val="样式 表格文字居中 +"/>
    <w:basedOn w:val="261"/>
    <w:qFormat/>
    <w:uiPriority w:val="0"/>
    <w:pPr>
      <w:widowControl/>
    </w:pPr>
    <w:rPr>
      <w:rFonts w:ascii="Times New Roman" w:hAnsi="Times New Roman"/>
      <w:szCs w:val="21"/>
    </w:rPr>
  </w:style>
  <w:style w:type="paragraph" w:customStyle="1" w:styleId="522">
    <w:name w:val="TOC 标题11"/>
    <w:basedOn w:val="4"/>
    <w:next w:val="1"/>
    <w:unhideWhenUsed/>
    <w:qFormat/>
    <w:uiPriority w:val="39"/>
    <w:pPr>
      <w:keepNext w:val="0"/>
      <w:adjustRightInd w:val="0"/>
      <w:snapToGrid w:val="0"/>
      <w:spacing w:after="0" w:line="259" w:lineRule="auto"/>
      <w:outlineLvl w:val="9"/>
    </w:pPr>
    <w:rPr>
      <w:rFonts w:ascii="Calibri Light" w:hAnsi="Calibri Light"/>
      <w:b w:val="0"/>
      <w:bCs w:val="0"/>
      <w:color w:val="2E75B5"/>
      <w:kern w:val="0"/>
      <w:lang w:eastAsia="zh-CN"/>
    </w:rPr>
  </w:style>
  <w:style w:type="paragraph" w:customStyle="1" w:styleId="523">
    <w:name w:val="xl27"/>
    <w:basedOn w:val="1"/>
    <w:qFormat/>
    <w:uiPriority w:val="0"/>
    <w:pPr>
      <w:pBdr>
        <w:bottom w:val="single" w:color="auto" w:sz="4" w:space="0"/>
        <w:right w:val="single" w:color="auto" w:sz="4" w:space="0"/>
      </w:pBdr>
      <w:spacing w:before="100" w:beforeAutospacing="1" w:afterAutospacing="1"/>
      <w:jc w:val="center"/>
    </w:pPr>
    <w:rPr>
      <w:rFonts w:ascii="Calibri" w:hAnsi="Calibri"/>
      <w:lang w:eastAsia="zh-CN" w:bidi="ar-SA"/>
    </w:rPr>
  </w:style>
  <w:style w:type="paragraph" w:customStyle="1" w:styleId="524">
    <w:name w:val="xl59"/>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Arial" w:hAnsi="Arial" w:cs="Arial"/>
      <w:lang w:eastAsia="zh-CN" w:bidi="ar-SA"/>
    </w:rPr>
  </w:style>
  <w:style w:type="paragraph" w:customStyle="1" w:styleId="525">
    <w:name w:val="标句6"/>
    <w:basedOn w:val="1"/>
    <w:qFormat/>
    <w:uiPriority w:val="0"/>
    <w:pPr>
      <w:widowControl w:val="0"/>
      <w:snapToGrid w:val="0"/>
      <w:spacing w:line="500" w:lineRule="atLeast"/>
      <w:ind w:left="1418" w:hanging="284"/>
      <w:jc w:val="both"/>
    </w:pPr>
    <w:rPr>
      <w:rFonts w:ascii="宋体" w:hAnsi="Calibri"/>
      <w:kern w:val="52"/>
      <w:sz w:val="27"/>
      <w:szCs w:val="20"/>
      <w:lang w:eastAsia="zh-CN" w:bidi="ar-SA"/>
    </w:rPr>
  </w:style>
  <w:style w:type="paragraph" w:customStyle="1" w:styleId="526">
    <w:name w:val="xl23"/>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pPr>
    <w:rPr>
      <w:rFonts w:ascii="Calibri" w:hAnsi="Calibri"/>
      <w:lang w:eastAsia="zh-CN" w:bidi="ar-SA"/>
    </w:rPr>
  </w:style>
  <w:style w:type="paragraph" w:customStyle="1" w:styleId="527">
    <w:name w:val="文本框"/>
    <w:basedOn w:val="1"/>
    <w:next w:val="1"/>
    <w:qFormat/>
    <w:uiPriority w:val="0"/>
    <w:pPr>
      <w:widowControl w:val="0"/>
      <w:spacing w:line="300" w:lineRule="exact"/>
      <w:jc w:val="center"/>
    </w:pPr>
    <w:rPr>
      <w:rFonts w:ascii="宋体" w:hAnsi="宋体"/>
      <w:kern w:val="2"/>
      <w:sz w:val="18"/>
      <w:szCs w:val="18"/>
      <w:lang w:eastAsia="zh-CN" w:bidi="ar-SA"/>
    </w:rPr>
  </w:style>
  <w:style w:type="paragraph" w:customStyle="1" w:styleId="528">
    <w:name w:val="Char13"/>
    <w:basedOn w:val="1"/>
    <w:qFormat/>
    <w:uiPriority w:val="0"/>
    <w:pPr>
      <w:widowControl w:val="0"/>
      <w:jc w:val="both"/>
    </w:pPr>
    <w:rPr>
      <w:rFonts w:ascii="Calibri" w:hAnsi="Calibri"/>
      <w:kern w:val="2"/>
      <w:lang w:eastAsia="zh-CN" w:bidi="ar-SA"/>
    </w:rPr>
  </w:style>
  <w:style w:type="paragraph" w:customStyle="1" w:styleId="529">
    <w:name w:val="xl58"/>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textAlignment w:val="center"/>
    </w:pPr>
    <w:rPr>
      <w:rFonts w:ascii="宋体" w:hAnsi="宋体" w:cs="宋体"/>
      <w:lang w:eastAsia="zh-CN" w:bidi="ar-SA"/>
    </w:rPr>
  </w:style>
  <w:style w:type="paragraph" w:customStyle="1" w:styleId="530">
    <w:name w:val="xl107"/>
    <w:basedOn w:val="1"/>
    <w:qFormat/>
    <w:uiPriority w:val="0"/>
    <w:pPr>
      <w:pBdr>
        <w:top w:val="single" w:color="auto" w:sz="8" w:space="0"/>
        <w:righ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31">
    <w:name w:val="xl130"/>
    <w:basedOn w:val="1"/>
    <w:qFormat/>
    <w:uiPriority w:val="0"/>
    <w:pPr>
      <w:pBdr>
        <w:top w:val="single" w:color="auto" w:sz="8" w:space="0"/>
        <w:bottom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32">
    <w:name w:val="框文 1"/>
    <w:basedOn w:val="1"/>
    <w:qFormat/>
    <w:uiPriority w:val="0"/>
    <w:pPr>
      <w:widowControl w:val="0"/>
      <w:spacing w:line="320" w:lineRule="exact"/>
      <w:jc w:val="center"/>
      <w:textAlignment w:val="top"/>
    </w:pPr>
    <w:rPr>
      <w:rFonts w:ascii="Calibri" w:hAnsi="Calibri"/>
      <w:kern w:val="2"/>
      <w:sz w:val="18"/>
      <w:lang w:eastAsia="zh-CN" w:bidi="ar-SA"/>
    </w:rPr>
  </w:style>
  <w:style w:type="paragraph" w:customStyle="1" w:styleId="533">
    <w:name w:val="xl85"/>
    <w:basedOn w:val="1"/>
    <w:qFormat/>
    <w:uiPriority w:val="0"/>
    <w:pPr>
      <w:pBdr>
        <w:top w:val="single" w:color="auto" w:sz="8" w:space="0"/>
        <w:left w:val="single" w:color="auto" w:sz="8" w:space="0"/>
        <w:righ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534">
    <w:name w:val="xl42"/>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宋体" w:hAnsi="宋体" w:cs="宋体"/>
      <w:lang w:eastAsia="zh-CN" w:bidi="ar-SA"/>
    </w:rPr>
  </w:style>
  <w:style w:type="paragraph" w:customStyle="1" w:styleId="535">
    <w:name w:val="xl87"/>
    <w:basedOn w:val="1"/>
    <w:qFormat/>
    <w:uiPriority w:val="0"/>
    <w:pPr>
      <w:pBdr>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536">
    <w:name w:val="xl60"/>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37">
    <w:name w:val="font14"/>
    <w:basedOn w:val="1"/>
    <w:qFormat/>
    <w:uiPriority w:val="0"/>
    <w:pPr>
      <w:spacing w:before="100" w:beforeAutospacing="1" w:afterAutospacing="1"/>
    </w:pPr>
    <w:rPr>
      <w:rFonts w:ascii="Arial" w:hAnsi="Arial" w:cs="Arial"/>
      <w:u w:val="single"/>
      <w:lang w:eastAsia="zh-CN" w:bidi="ar-SA"/>
    </w:rPr>
  </w:style>
  <w:style w:type="paragraph" w:customStyle="1" w:styleId="538">
    <w:name w:val="正文 + 首行缩进:  2 字符"/>
    <w:basedOn w:val="1"/>
    <w:qFormat/>
    <w:uiPriority w:val="0"/>
    <w:pPr>
      <w:widowControl w:val="0"/>
      <w:spacing w:afterLines="30"/>
      <w:ind w:firstLine="200" w:firstLineChars="200"/>
    </w:pPr>
    <w:rPr>
      <w:rFonts w:ascii="Calibri" w:hAnsi="Calibri" w:cs="宋体"/>
      <w:kern w:val="2"/>
      <w:sz w:val="21"/>
      <w:szCs w:val="20"/>
      <w:lang w:eastAsia="zh-CN" w:bidi="ar-SA"/>
    </w:rPr>
  </w:style>
  <w:style w:type="paragraph" w:customStyle="1" w:styleId="539">
    <w:name w:val="通用标题4"/>
    <w:next w:val="1"/>
    <w:qFormat/>
    <w:uiPriority w:val="0"/>
    <w:pPr>
      <w:tabs>
        <w:tab w:val="left" w:pos="851"/>
      </w:tabs>
      <w:adjustRightInd w:val="0"/>
      <w:snapToGrid w:val="0"/>
      <w:spacing w:afterLines="50" w:line="360" w:lineRule="auto"/>
      <w:ind w:left="2126"/>
      <w:jc w:val="both"/>
      <w:outlineLvl w:val="3"/>
    </w:pPr>
    <w:rPr>
      <w:rFonts w:ascii="宋体" w:hAnsi="宋体" w:eastAsia="宋体" w:cs="Times New Roman"/>
      <w:kern w:val="2"/>
      <w:sz w:val="24"/>
      <w:szCs w:val="21"/>
      <w:lang w:val="en-US" w:eastAsia="zh-CN" w:bidi="ar-SA"/>
    </w:rPr>
  </w:style>
  <w:style w:type="paragraph" w:customStyle="1" w:styleId="540">
    <w:name w:val="biaoge"/>
    <w:basedOn w:val="1"/>
    <w:qFormat/>
    <w:uiPriority w:val="0"/>
    <w:pPr>
      <w:suppressLineNumbers/>
    </w:pPr>
    <w:rPr>
      <w:rFonts w:ascii="宋体" w:hAnsi="宋体"/>
      <w:kern w:val="2"/>
      <w:sz w:val="21"/>
      <w:szCs w:val="21"/>
      <w:lang w:eastAsia="zh-CN" w:bidi="ar-SA"/>
    </w:rPr>
  </w:style>
  <w:style w:type="paragraph" w:customStyle="1" w:styleId="541">
    <w:name w:val="文本2"/>
    <w:basedOn w:val="1"/>
    <w:qFormat/>
    <w:uiPriority w:val="0"/>
    <w:pPr>
      <w:widowControl w:val="0"/>
      <w:adjustRightInd w:val="0"/>
      <w:snapToGrid w:val="0"/>
      <w:jc w:val="center"/>
    </w:pPr>
    <w:rPr>
      <w:rFonts w:ascii="宋体" w:hAnsi="宋体"/>
      <w:kern w:val="2"/>
      <w:lang w:eastAsia="zh-CN" w:bidi="ar-SA"/>
    </w:rPr>
  </w:style>
  <w:style w:type="paragraph" w:customStyle="1" w:styleId="542">
    <w:name w:val="cjk2"/>
    <w:basedOn w:val="1"/>
    <w:qFormat/>
    <w:uiPriority w:val="0"/>
    <w:pPr>
      <w:spacing w:before="284" w:line="360" w:lineRule="auto"/>
    </w:pPr>
    <w:rPr>
      <w:rFonts w:ascii="宋体" w:hAnsi="宋体"/>
      <w:sz w:val="22"/>
      <w:szCs w:val="20"/>
      <w:lang w:eastAsia="zh-CN" w:bidi="ar-SA"/>
    </w:rPr>
  </w:style>
  <w:style w:type="paragraph" w:customStyle="1" w:styleId="543">
    <w:name w:val="xl102"/>
    <w:basedOn w:val="1"/>
    <w:qFormat/>
    <w:uiPriority w:val="0"/>
    <w:pPr>
      <w:pBdr>
        <w:top w:val="single" w:color="auto" w:sz="8" w:space="0"/>
        <w:bottom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544">
    <w:name w:val="章节三"/>
    <w:basedOn w:val="198"/>
    <w:next w:val="198"/>
    <w:qFormat/>
    <w:uiPriority w:val="0"/>
    <w:pPr>
      <w:widowControl w:val="0"/>
      <w:spacing w:beforeLines="50" w:afterLines="50"/>
      <w:outlineLvl w:val="2"/>
    </w:pPr>
    <w:rPr>
      <w:rFonts w:ascii="黑体" w:hAnsi="宋体" w:eastAsia="黑体"/>
      <w:b/>
      <w:snapToGrid w:val="0"/>
      <w:lang w:eastAsia="zh-CN" w:bidi="ar-SA"/>
    </w:rPr>
  </w:style>
  <w:style w:type="paragraph" w:customStyle="1" w:styleId="545">
    <w:name w:val="xl109"/>
    <w:basedOn w:val="1"/>
    <w:qFormat/>
    <w:uiPriority w:val="0"/>
    <w:pPr>
      <w:pBdr>
        <w:righ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46">
    <w:name w:val="xl50"/>
    <w:basedOn w:val="1"/>
    <w:qFormat/>
    <w:uiPriority w:val="0"/>
    <w:pPr>
      <w:pBdr>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47">
    <w:name w:val="Title 4"/>
    <w:next w:val="498"/>
    <w:qFormat/>
    <w:uiPriority w:val="0"/>
    <w:pPr>
      <w:ind w:left="1276" w:hanging="562"/>
      <w:jc w:val="both"/>
    </w:pPr>
    <w:rPr>
      <w:rFonts w:ascii="Times New Roman" w:hAnsi="Times New Roman" w:eastAsia="宋体" w:cs="Times New Roman"/>
      <w:kern w:val="2"/>
      <w:sz w:val="24"/>
      <w:szCs w:val="24"/>
      <w:lang w:val="en-US" w:eastAsia="zh-CN" w:bidi="ar-SA"/>
    </w:rPr>
  </w:style>
  <w:style w:type="paragraph" w:customStyle="1" w:styleId="548">
    <w:name w:val="表格头格式 Char Char"/>
    <w:basedOn w:val="1"/>
    <w:qFormat/>
    <w:uiPriority w:val="0"/>
    <w:pPr>
      <w:widowControl w:val="0"/>
      <w:spacing w:line="360" w:lineRule="auto"/>
      <w:ind w:left="510"/>
      <w:jc w:val="center"/>
    </w:pPr>
    <w:rPr>
      <w:rFonts w:ascii="Calibri" w:hAnsi="Calibri" w:eastAsia="ˎ̥" w:cs="宋体"/>
      <w:b/>
      <w:kern w:val="2"/>
      <w:szCs w:val="20"/>
      <w:lang w:eastAsia="zh-CN" w:bidi="ar-SA"/>
    </w:rPr>
  </w:style>
  <w:style w:type="paragraph" w:customStyle="1" w:styleId="549">
    <w:name w:val="xl121"/>
    <w:basedOn w:val="1"/>
    <w:qFormat/>
    <w:uiPriority w:val="0"/>
    <w:pPr>
      <w:pBdr>
        <w:bottom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550">
    <w:name w:val="xl77"/>
    <w:basedOn w:val="1"/>
    <w:qFormat/>
    <w:uiPriority w:val="0"/>
    <w:pPr>
      <w:pBdr>
        <w:top w:val="single" w:color="auto" w:sz="8" w:space="0"/>
        <w:left w:val="single" w:color="auto" w:sz="8" w:space="0"/>
      </w:pBdr>
      <w:spacing w:before="100" w:beforeAutospacing="1" w:afterAutospacing="1"/>
      <w:jc w:val="center"/>
      <w:textAlignment w:val="center"/>
    </w:pPr>
    <w:rPr>
      <w:rFonts w:ascii="宋体" w:hAnsi="宋体" w:cs="宋体"/>
      <w:color w:val="000000"/>
      <w:sz w:val="21"/>
      <w:szCs w:val="21"/>
      <w:lang w:eastAsia="zh-CN" w:bidi="ar-SA"/>
    </w:rPr>
  </w:style>
  <w:style w:type="paragraph" w:customStyle="1" w:styleId="551">
    <w:name w:val="样式 表格文字 + 五号 两端对齐"/>
    <w:basedOn w:val="327"/>
    <w:qFormat/>
    <w:uiPriority w:val="0"/>
    <w:pPr>
      <w:spacing w:line="360" w:lineRule="auto"/>
      <w:ind w:firstLine="200" w:firstLineChars="200"/>
    </w:pPr>
    <w:rPr>
      <w:rFonts w:ascii="Times New Roman" w:hAnsi="Times New Roman" w:eastAsia="宋体" w:cs="宋体"/>
      <w:color w:val="000000"/>
      <w:kern w:val="0"/>
      <w:sz w:val="21"/>
      <w:szCs w:val="20"/>
    </w:rPr>
  </w:style>
  <w:style w:type="paragraph" w:customStyle="1" w:styleId="552">
    <w:name w:val="标题辞"/>
    <w:basedOn w:val="4"/>
    <w:next w:val="1"/>
    <w:qFormat/>
    <w:uiPriority w:val="0"/>
    <w:pPr>
      <w:spacing w:before="0" w:after="0"/>
      <w:ind w:left="596" w:hanging="596"/>
      <w:jc w:val="center"/>
    </w:pPr>
    <w:rPr>
      <w:rFonts w:ascii="黑体" w:hAnsi="Times New Roman" w:eastAsia="黑体"/>
      <w:bCs w:val="0"/>
      <w:kern w:val="0"/>
      <w:sz w:val="52"/>
      <w:szCs w:val="20"/>
      <w:lang w:eastAsia="zh-CN"/>
    </w:rPr>
  </w:style>
  <w:style w:type="paragraph" w:customStyle="1" w:styleId="553">
    <w:name w:val="标题10"/>
    <w:qFormat/>
    <w:uiPriority w:val="0"/>
    <w:pPr>
      <w:spacing w:afterLines="100"/>
    </w:pPr>
    <w:rPr>
      <w:rFonts w:ascii="Calibri" w:hAnsi="Calibri" w:eastAsia="宋体" w:cs="Times New Roman"/>
      <w:b/>
      <w:sz w:val="32"/>
      <w:lang w:val="en-US" w:eastAsia="zh-CN" w:bidi="ar-SA"/>
    </w:rPr>
  </w:style>
  <w:style w:type="paragraph" w:customStyle="1" w:styleId="554">
    <w:name w:val="font17"/>
    <w:basedOn w:val="1"/>
    <w:qFormat/>
    <w:uiPriority w:val="0"/>
    <w:pPr>
      <w:spacing w:before="100" w:beforeAutospacing="1" w:afterAutospacing="1"/>
    </w:pPr>
    <w:rPr>
      <w:rFonts w:ascii="Calibri" w:hAnsi="Calibri"/>
      <w:lang w:eastAsia="zh-CN" w:bidi="ar-SA"/>
    </w:rPr>
  </w:style>
  <w:style w:type="paragraph" w:customStyle="1" w:styleId="555">
    <w:name w:val="附件标题"/>
    <w:basedOn w:val="5"/>
    <w:next w:val="1"/>
    <w:qFormat/>
    <w:uiPriority w:val="0"/>
    <w:pPr>
      <w:keepLines/>
      <w:tabs>
        <w:tab w:val="left" w:pos="1134"/>
      </w:tabs>
      <w:wordWrap w:val="0"/>
      <w:topLinePunct/>
      <w:adjustRightInd w:val="0"/>
      <w:snapToGrid w:val="0"/>
      <w:spacing w:before="0" w:afterLines="50" w:line="360" w:lineRule="auto"/>
      <w:ind w:left="3681"/>
      <w:jc w:val="center"/>
    </w:pPr>
    <w:rPr>
      <w:rFonts w:ascii="黑体" w:hAnsi="黑体" w:eastAsia="黑体"/>
      <w:bCs w:val="0"/>
      <w:i w:val="0"/>
      <w:iCs w:val="0"/>
      <w:sz w:val="30"/>
      <w:szCs w:val="30"/>
      <w:lang w:eastAsia="zh-CN"/>
    </w:rPr>
  </w:style>
  <w:style w:type="paragraph" w:customStyle="1" w:styleId="556">
    <w:name w:val="表格文字小5"/>
    <w:basedOn w:val="1"/>
    <w:qFormat/>
    <w:uiPriority w:val="0"/>
    <w:pPr>
      <w:widowControl w:val="0"/>
      <w:jc w:val="center"/>
    </w:pPr>
    <w:rPr>
      <w:rFonts w:ascii="宋体" w:hAnsi="宋体"/>
      <w:color w:val="000000"/>
      <w:spacing w:val="-4"/>
      <w:kern w:val="2"/>
      <w:sz w:val="21"/>
      <w:szCs w:val="20"/>
      <w:lang w:eastAsia="zh-CN" w:bidi="ar-SA"/>
    </w:rPr>
  </w:style>
  <w:style w:type="paragraph" w:customStyle="1" w:styleId="557">
    <w:name w:val="xl72"/>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558">
    <w:name w:val="Char Char"/>
    <w:basedOn w:val="1"/>
    <w:qFormat/>
    <w:uiPriority w:val="0"/>
    <w:pPr>
      <w:spacing w:before="100" w:beforeAutospacing="1" w:afterAutospacing="1" w:line="330" w:lineRule="atLeast"/>
      <w:ind w:left="360"/>
    </w:pPr>
    <w:rPr>
      <w:rFonts w:ascii="ˎ̥" w:hAnsi="ˎ̥" w:cs="宋体"/>
      <w:color w:val="51585D"/>
      <w:szCs w:val="18"/>
      <w:lang w:eastAsia="zh-CN" w:bidi="ar-SA"/>
    </w:rPr>
  </w:style>
  <w:style w:type="paragraph" w:customStyle="1" w:styleId="559">
    <w:name w:val="Char Char2"/>
    <w:basedOn w:val="1"/>
    <w:qFormat/>
    <w:uiPriority w:val="0"/>
    <w:pPr>
      <w:widowControl w:val="0"/>
      <w:adjustRightInd w:val="0"/>
      <w:spacing w:line="360" w:lineRule="atLeast"/>
      <w:jc w:val="both"/>
    </w:pPr>
    <w:rPr>
      <w:rFonts w:ascii="Calibri" w:hAnsi="Calibri"/>
      <w:kern w:val="2"/>
      <w:sz w:val="21"/>
      <w:lang w:eastAsia="zh-CN" w:bidi="ar-SA"/>
    </w:rPr>
  </w:style>
  <w:style w:type="paragraph" w:customStyle="1" w:styleId="560">
    <w:name w:val="xl118"/>
    <w:basedOn w:val="1"/>
    <w:qFormat/>
    <w:uiPriority w:val="0"/>
    <w:pPr>
      <w:pBdr>
        <w:top w:val="single" w:color="auto" w:sz="8" w:space="0"/>
        <w:right w:val="single" w:color="auto" w:sz="8" w:space="0"/>
      </w:pBdr>
      <w:spacing w:before="100" w:beforeAutospacing="1" w:afterAutospacing="1"/>
      <w:jc w:val="center"/>
    </w:pPr>
    <w:rPr>
      <w:rFonts w:ascii="Calibri" w:hAnsi="Calibri"/>
      <w:color w:val="000000"/>
      <w:sz w:val="18"/>
      <w:szCs w:val="18"/>
      <w:lang w:eastAsia="zh-CN" w:bidi="ar-SA"/>
    </w:rPr>
  </w:style>
  <w:style w:type="paragraph" w:customStyle="1" w:styleId="561">
    <w:name w:val="xl127"/>
    <w:basedOn w:val="1"/>
    <w:qFormat/>
    <w:uiPriority w:val="0"/>
    <w:pPr>
      <w:pBdr>
        <w:top w:val="single" w:color="auto" w:sz="8" w:space="0"/>
      </w:pBdr>
      <w:spacing w:before="100" w:beforeAutospacing="1" w:afterAutospacing="1"/>
    </w:pPr>
    <w:rPr>
      <w:rFonts w:ascii="Calibri" w:hAnsi="Calibri"/>
      <w:color w:val="000000"/>
      <w:sz w:val="18"/>
      <w:szCs w:val="18"/>
      <w:lang w:eastAsia="zh-CN" w:bidi="ar-SA"/>
    </w:rPr>
  </w:style>
  <w:style w:type="paragraph" w:customStyle="1" w:styleId="562">
    <w:name w:val="样式 标题 1 + 三号 加粗 居中"/>
    <w:basedOn w:val="4"/>
    <w:qFormat/>
    <w:uiPriority w:val="0"/>
    <w:pPr>
      <w:keepNext w:val="0"/>
      <w:pageBreakBefore/>
      <w:widowControl w:val="0"/>
      <w:spacing w:before="0" w:after="0" w:line="360" w:lineRule="auto"/>
      <w:ind w:firstLine="200" w:firstLineChars="200"/>
      <w:jc w:val="center"/>
    </w:pPr>
    <w:rPr>
      <w:rFonts w:ascii="Times New Roman" w:hAnsi="Times New Roman" w:eastAsia="ˎ̥" w:cs="宋体"/>
      <w:kern w:val="2"/>
      <w:szCs w:val="20"/>
      <w:lang w:eastAsia="zh-CN"/>
    </w:rPr>
  </w:style>
  <w:style w:type="paragraph" w:customStyle="1" w:styleId="563">
    <w:name w:val="xl34"/>
    <w:basedOn w:val="1"/>
    <w:qFormat/>
    <w:uiPriority w:val="0"/>
    <w:pPr>
      <w:pBdr>
        <w:left w:val="single" w:color="auto" w:sz="4" w:space="0"/>
        <w:right w:val="single" w:color="auto" w:sz="4" w:space="0"/>
      </w:pBdr>
      <w:spacing w:before="100" w:beforeAutospacing="1" w:afterAutospacing="1"/>
      <w:jc w:val="center"/>
    </w:pPr>
    <w:rPr>
      <w:rFonts w:ascii="宋体" w:hAnsi="宋体" w:cs="宋体"/>
      <w:sz w:val="21"/>
      <w:szCs w:val="21"/>
      <w:lang w:eastAsia="zh-CN" w:bidi="ar-SA"/>
    </w:rPr>
  </w:style>
  <w:style w:type="paragraph" w:customStyle="1" w:styleId="564">
    <w:name w:val="xl31"/>
    <w:basedOn w:val="1"/>
    <w:qFormat/>
    <w:uiPriority w:val="0"/>
    <w:pPr>
      <w:pBdr>
        <w:left w:val="single" w:color="auto" w:sz="4" w:space="0"/>
        <w:bottom w:val="single" w:color="auto" w:sz="4" w:space="0"/>
        <w:right w:val="single" w:color="auto" w:sz="4" w:space="0"/>
      </w:pBdr>
      <w:spacing w:before="100" w:beforeAutospacing="1" w:afterAutospacing="1"/>
    </w:pPr>
    <w:rPr>
      <w:rFonts w:ascii="宋体" w:hAnsi="宋体" w:cs="宋体"/>
      <w:sz w:val="21"/>
      <w:szCs w:val="21"/>
      <w:lang w:eastAsia="zh-CN" w:bidi="ar-SA"/>
    </w:rPr>
  </w:style>
  <w:style w:type="paragraph" w:customStyle="1" w:styleId="565">
    <w:name w:val="样式 图案: 清除 (深蓝)1"/>
    <w:basedOn w:val="1"/>
    <w:qFormat/>
    <w:uiPriority w:val="0"/>
    <w:pPr>
      <w:widowControl w:val="0"/>
      <w:spacing w:line="360" w:lineRule="auto"/>
      <w:jc w:val="both"/>
    </w:pPr>
    <w:rPr>
      <w:rFonts w:ascii="Calibri" w:hAnsi="Calibri" w:cs="宋体"/>
      <w:kern w:val="2"/>
      <w:szCs w:val="20"/>
      <w:lang w:eastAsia="zh-CN" w:bidi="ar-SA"/>
    </w:rPr>
  </w:style>
  <w:style w:type="paragraph" w:customStyle="1" w:styleId="566">
    <w:name w:val="xl108"/>
    <w:basedOn w:val="1"/>
    <w:qFormat/>
    <w:uiPriority w:val="0"/>
    <w:pPr>
      <w:pBdr>
        <w:lef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67">
    <w:name w:val="Main Title"/>
    <w:next w:val="1"/>
    <w:qFormat/>
    <w:uiPriority w:val="0"/>
    <w:pPr>
      <w:adjustRightInd w:val="0"/>
      <w:snapToGrid w:val="0"/>
      <w:spacing w:afterLines="50" w:line="360" w:lineRule="auto"/>
      <w:jc w:val="center"/>
    </w:pPr>
    <w:rPr>
      <w:rFonts w:ascii="黑体" w:hAnsi="黑体" w:eastAsia="黑体" w:cs="Times New Roman"/>
      <w:b/>
      <w:kern w:val="2"/>
      <w:sz w:val="36"/>
      <w:szCs w:val="22"/>
      <w:lang w:val="zh-CN" w:eastAsia="zh-CN" w:bidi="ar-SA"/>
    </w:rPr>
  </w:style>
  <w:style w:type="paragraph" w:customStyle="1" w:styleId="568">
    <w:name w:val="xl47"/>
    <w:basedOn w:val="1"/>
    <w:qFormat/>
    <w:uiPriority w:val="0"/>
    <w:pPr>
      <w:pBdr>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69">
    <w:name w:val="素材1"/>
    <w:basedOn w:val="1"/>
    <w:qFormat/>
    <w:uiPriority w:val="0"/>
    <w:pPr>
      <w:widowControl w:val="0"/>
      <w:snapToGrid w:val="0"/>
      <w:spacing w:before="120" w:line="300" w:lineRule="auto"/>
      <w:ind w:firstLine="480" w:firstLineChars="200"/>
      <w:jc w:val="both"/>
    </w:pPr>
    <w:rPr>
      <w:rFonts w:ascii="Courier New" w:hAnsi="Calibri" w:eastAsia="Courier New"/>
      <w:bCs/>
      <w:kern w:val="52"/>
      <w:lang w:eastAsia="zh-CN" w:bidi="ar-SA"/>
    </w:rPr>
  </w:style>
  <w:style w:type="paragraph" w:customStyle="1" w:styleId="570">
    <w:name w:val="xl99"/>
    <w:basedOn w:val="1"/>
    <w:qFormat/>
    <w:uiPriority w:val="0"/>
    <w:pPr>
      <w:pBdr>
        <w:right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571">
    <w:name w:val="通用标题2"/>
    <w:basedOn w:val="5"/>
    <w:next w:val="1"/>
    <w:qFormat/>
    <w:uiPriority w:val="0"/>
    <w:pPr>
      <w:keepNext w:val="0"/>
      <w:tabs>
        <w:tab w:val="left" w:pos="993"/>
      </w:tabs>
      <w:wordWrap w:val="0"/>
      <w:topLinePunct/>
      <w:adjustRightInd w:val="0"/>
      <w:snapToGrid w:val="0"/>
      <w:spacing w:before="0" w:afterLines="50" w:line="360" w:lineRule="auto"/>
      <w:jc w:val="both"/>
    </w:pPr>
    <w:rPr>
      <w:rFonts w:ascii="黑体" w:hAnsi="黑体" w:eastAsia="黑体"/>
      <w:bCs w:val="0"/>
      <w:i w:val="0"/>
      <w:iCs w:val="0"/>
      <w:szCs w:val="20"/>
      <w:lang w:eastAsia="zh-CN"/>
    </w:rPr>
  </w:style>
  <w:style w:type="paragraph" w:customStyle="1" w:styleId="572">
    <w:name w:val="1."/>
    <w:basedOn w:val="5"/>
    <w:qFormat/>
    <w:uiPriority w:val="0"/>
    <w:pPr>
      <w:keepNext w:val="0"/>
      <w:widowControl w:val="0"/>
      <w:tabs>
        <w:tab w:val="left" w:pos="539"/>
        <w:tab w:val="left" w:pos="644"/>
        <w:tab w:val="left" w:pos="1701"/>
        <w:tab w:val="left" w:pos="2520"/>
        <w:tab w:val="left" w:pos="4320"/>
      </w:tabs>
      <w:spacing w:before="0" w:after="0" w:line="360" w:lineRule="auto"/>
      <w:ind w:left="-215"/>
      <w:jc w:val="both"/>
      <w:outlineLvl w:val="3"/>
    </w:pPr>
    <w:rPr>
      <w:rFonts w:ascii="宋体" w:hAnsi="宋体"/>
      <w:bCs w:val="0"/>
      <w:i w:val="0"/>
      <w:iCs w:val="0"/>
      <w:color w:val="000000"/>
      <w:kern w:val="2"/>
      <w:sz w:val="24"/>
      <w:szCs w:val="20"/>
      <w:lang w:eastAsia="zh-CN"/>
    </w:rPr>
  </w:style>
  <w:style w:type="paragraph" w:customStyle="1" w:styleId="573">
    <w:name w:val="样式 标题 3 + 黑体 四号 梅红 行距: 1.5 倍行距"/>
    <w:basedOn w:val="6"/>
    <w:qFormat/>
    <w:uiPriority w:val="0"/>
    <w:pPr>
      <w:keepNext w:val="0"/>
      <w:widowControl w:val="0"/>
      <w:spacing w:before="0" w:after="0" w:line="360" w:lineRule="auto"/>
      <w:ind w:firstLine="200" w:firstLineChars="200"/>
    </w:pPr>
    <w:rPr>
      <w:rFonts w:ascii="ˎ̥" w:hAnsi="Calibri" w:eastAsia="ˎ̥" w:cs="宋体"/>
      <w:color w:val="993366"/>
      <w:kern w:val="2"/>
      <w:sz w:val="24"/>
      <w:szCs w:val="24"/>
      <w:lang w:eastAsia="zh-CN"/>
    </w:rPr>
  </w:style>
  <w:style w:type="paragraph" w:customStyle="1" w:styleId="574">
    <w:name w:val="样式 (符号) 宋体 五号"/>
    <w:basedOn w:val="1"/>
    <w:qFormat/>
    <w:uiPriority w:val="0"/>
    <w:pPr>
      <w:widowControl w:val="0"/>
      <w:spacing w:line="360" w:lineRule="auto"/>
      <w:jc w:val="both"/>
    </w:pPr>
    <w:rPr>
      <w:rFonts w:ascii="Calibri" w:hAnsi="宋体" w:cs="宋体"/>
      <w:kern w:val="2"/>
      <w:sz w:val="21"/>
      <w:szCs w:val="20"/>
      <w:lang w:eastAsia="zh-CN" w:bidi="ar-SA"/>
    </w:rPr>
  </w:style>
  <w:style w:type="paragraph" w:customStyle="1" w:styleId="575">
    <w:name w:val="样式 标题 21.1-C标题 1.1章LLZ2h2部分标题Heading 2 HiddenHeading 2 C...2"/>
    <w:basedOn w:val="5"/>
    <w:qFormat/>
    <w:uiPriority w:val="0"/>
    <w:pPr>
      <w:keepLines/>
      <w:widowControl w:val="0"/>
      <w:spacing w:before="100" w:beforeAutospacing="1" w:after="100" w:afterAutospacing="1" w:line="0" w:lineRule="atLeast"/>
      <w:ind w:left="454" w:hanging="454"/>
      <w:jc w:val="center"/>
    </w:pPr>
    <w:rPr>
      <w:rFonts w:ascii="Times New Roman" w:hAnsi="Times New Roman" w:cs="宋体"/>
      <w:b w:val="0"/>
      <w:bCs w:val="0"/>
      <w:i w:val="0"/>
      <w:iCs w:val="0"/>
      <w:kern w:val="44"/>
      <w:sz w:val="30"/>
      <w:szCs w:val="20"/>
      <w:lang w:eastAsia="zh-CN"/>
    </w:rPr>
  </w:style>
  <w:style w:type="paragraph" w:customStyle="1" w:styleId="576">
    <w:name w:val="xl83"/>
    <w:basedOn w:val="1"/>
    <w:qFormat/>
    <w:uiPriority w:val="0"/>
    <w:pPr>
      <w:pBdr>
        <w:left w:val="single" w:color="auto" w:sz="8" w:space="0"/>
        <w:bottom w:val="single" w:color="auto" w:sz="8" w:space="0"/>
      </w:pBdr>
      <w:spacing w:before="100" w:beforeAutospacing="1" w:afterAutospacing="1"/>
    </w:pPr>
    <w:rPr>
      <w:rFonts w:ascii="Calibri" w:hAnsi="Calibri"/>
      <w:color w:val="000000"/>
      <w:sz w:val="18"/>
      <w:szCs w:val="18"/>
      <w:lang w:eastAsia="zh-CN" w:bidi="ar-SA"/>
    </w:rPr>
  </w:style>
  <w:style w:type="paragraph" w:customStyle="1" w:styleId="577">
    <w:name w:val="7"/>
    <w:basedOn w:val="1"/>
    <w:next w:val="2"/>
    <w:qFormat/>
    <w:uiPriority w:val="0"/>
    <w:pPr>
      <w:widowControl w:val="0"/>
      <w:jc w:val="both"/>
    </w:pPr>
    <w:rPr>
      <w:rFonts w:ascii="宋体" w:hAnsi="PMingLiU"/>
      <w:kern w:val="2"/>
      <w:sz w:val="21"/>
      <w:szCs w:val="20"/>
      <w:lang w:eastAsia="zh-CN" w:bidi="ar-SA"/>
    </w:rPr>
  </w:style>
  <w:style w:type="paragraph" w:customStyle="1" w:styleId="578">
    <w:name w:val="xl51"/>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79">
    <w:name w:val="xl63"/>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580">
    <w:name w:val="xl36"/>
    <w:basedOn w:val="1"/>
    <w:qFormat/>
    <w:uiPriority w:val="0"/>
    <w:pPr>
      <w:pBdr>
        <w:left w:val="single" w:color="auto" w:sz="4" w:space="0"/>
        <w:bottom w:val="single" w:color="auto" w:sz="4" w:space="0"/>
        <w:right w:val="single" w:color="auto" w:sz="4" w:space="0"/>
      </w:pBdr>
      <w:spacing w:before="100" w:beforeAutospacing="1" w:afterAutospacing="1"/>
      <w:jc w:val="center"/>
    </w:pPr>
    <w:rPr>
      <w:rFonts w:ascii="宋体" w:hAnsi="宋体" w:cs="宋体"/>
      <w:lang w:eastAsia="zh-CN" w:bidi="ar-SA"/>
    </w:rPr>
  </w:style>
  <w:style w:type="paragraph" w:customStyle="1" w:styleId="581">
    <w:name w:val="样式 样式 样式 标题 1章-C + 非加粗 自动设置 + 居中 + 小初"/>
    <w:basedOn w:val="582"/>
    <w:qFormat/>
    <w:uiPriority w:val="0"/>
    <w:pPr>
      <w:spacing w:line="240" w:lineRule="auto"/>
    </w:pPr>
    <w:rPr>
      <w:rFonts w:cs="Times New Roman"/>
      <w:sz w:val="72"/>
    </w:rPr>
  </w:style>
  <w:style w:type="paragraph" w:customStyle="1" w:styleId="582">
    <w:name w:val="样式 样式 标题 1章-C + 非加粗 自动设置 + 居中"/>
    <w:basedOn w:val="583"/>
    <w:qFormat/>
    <w:uiPriority w:val="0"/>
    <w:pPr>
      <w:keepNext w:val="0"/>
      <w:keepLines w:val="0"/>
      <w:widowControl/>
      <w:jc w:val="center"/>
    </w:pPr>
    <w:rPr>
      <w:rFonts w:cs="宋体"/>
      <w:szCs w:val="20"/>
    </w:rPr>
  </w:style>
  <w:style w:type="paragraph" w:customStyle="1" w:styleId="583">
    <w:name w:val="样式 标题 1章-C + 非加粗 自动设置"/>
    <w:basedOn w:val="4"/>
    <w:qFormat/>
    <w:uiPriority w:val="0"/>
    <w:pPr>
      <w:keepLines/>
      <w:widowControl w:val="0"/>
      <w:spacing w:before="100" w:beforeAutospacing="1" w:after="100" w:afterAutospacing="1" w:line="720" w:lineRule="auto"/>
    </w:pPr>
    <w:rPr>
      <w:rFonts w:ascii="Times New Roman" w:hAnsi="Times New Roman"/>
      <w:bCs w:val="0"/>
      <w:kern w:val="44"/>
      <w:sz w:val="36"/>
      <w:szCs w:val="24"/>
      <w:lang w:eastAsia="zh-CN"/>
    </w:rPr>
  </w:style>
  <w:style w:type="paragraph" w:customStyle="1" w:styleId="584">
    <w:name w:val="表格文字1"/>
    <w:basedOn w:val="31"/>
    <w:qFormat/>
    <w:uiPriority w:val="0"/>
    <w:pPr>
      <w:widowControl w:val="0"/>
      <w:spacing w:after="0" w:line="360" w:lineRule="auto"/>
      <w:jc w:val="center"/>
    </w:pPr>
    <w:rPr>
      <w:rFonts w:ascii="Calibri" w:hAnsi="Calibri"/>
      <w:kern w:val="2"/>
      <w:lang w:eastAsia="zh-CN"/>
    </w:rPr>
  </w:style>
  <w:style w:type="paragraph" w:customStyle="1" w:styleId="585">
    <w:name w:val="表中"/>
    <w:basedOn w:val="1"/>
    <w:qFormat/>
    <w:uiPriority w:val="0"/>
    <w:pPr>
      <w:widowControl w:val="0"/>
      <w:adjustRightInd w:val="0"/>
      <w:spacing w:line="360" w:lineRule="atLeast"/>
      <w:jc w:val="center"/>
      <w:textAlignment w:val="baseline"/>
    </w:pPr>
    <w:rPr>
      <w:rFonts w:ascii="Calibri" w:hAnsi="Calibri"/>
      <w:sz w:val="21"/>
      <w:szCs w:val="20"/>
      <w:lang w:eastAsia="zh-CN" w:bidi="ar-SA"/>
    </w:rPr>
  </w:style>
  <w:style w:type="paragraph" w:customStyle="1" w:styleId="586">
    <w:name w:val="样式 （环球正文"/>
    <w:basedOn w:val="1"/>
    <w:qFormat/>
    <w:uiPriority w:val="0"/>
    <w:pPr>
      <w:widowControl w:val="0"/>
      <w:spacing w:line="360" w:lineRule="auto"/>
      <w:ind w:firstLine="480" w:firstLineChars="200"/>
      <w:jc w:val="both"/>
    </w:pPr>
    <w:rPr>
      <w:rFonts w:ascii="宋体" w:hAnsi="Calibri" w:cs="宋体"/>
      <w:kern w:val="2"/>
      <w:szCs w:val="20"/>
      <w:lang w:eastAsia="zh-CN" w:bidi="ar-SA"/>
    </w:rPr>
  </w:style>
  <w:style w:type="paragraph" w:customStyle="1" w:styleId="587">
    <w:name w:val="Char Char Char Char Char Char Char Char1 Char"/>
    <w:basedOn w:val="1"/>
    <w:qFormat/>
    <w:uiPriority w:val="0"/>
    <w:pPr>
      <w:widowControl w:val="0"/>
      <w:jc w:val="both"/>
    </w:pPr>
    <w:rPr>
      <w:rFonts w:ascii="Tahoma" w:hAnsi="Tahoma"/>
      <w:kern w:val="2"/>
      <w:szCs w:val="20"/>
      <w:lang w:eastAsia="zh-CN" w:bidi="ar-SA"/>
    </w:rPr>
  </w:style>
  <w:style w:type="paragraph" w:customStyle="1" w:styleId="588">
    <w:name w:val="默认段落字体 Para Char Char Char Char"/>
    <w:basedOn w:val="1"/>
    <w:qFormat/>
    <w:uiPriority w:val="0"/>
    <w:pPr>
      <w:widowControl w:val="0"/>
      <w:jc w:val="both"/>
    </w:pPr>
    <w:rPr>
      <w:rFonts w:ascii="Calibri" w:hAnsi="Calibri"/>
      <w:kern w:val="2"/>
      <w:sz w:val="21"/>
      <w:szCs w:val="20"/>
      <w:lang w:eastAsia="zh-CN" w:bidi="ar-SA"/>
    </w:rPr>
  </w:style>
  <w:style w:type="paragraph" w:customStyle="1" w:styleId="589">
    <w:name w:val="Preformatted"/>
    <w:basedOn w:val="1"/>
    <w:qFormat/>
    <w:uiPriority w:val="0"/>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pPr>
    <w:rPr>
      <w:rFonts w:ascii="PMingLiU" w:hAnsi="PMingLiU"/>
      <w:sz w:val="20"/>
      <w:szCs w:val="20"/>
      <w:lang w:eastAsia="zh-CN" w:bidi="ar-SA"/>
    </w:rPr>
  </w:style>
  <w:style w:type="paragraph" w:customStyle="1" w:styleId="590">
    <w:name w:val="xl124"/>
    <w:basedOn w:val="1"/>
    <w:qFormat/>
    <w:uiPriority w:val="0"/>
    <w:pPr>
      <w:pBdr>
        <w:right w:val="single" w:color="auto" w:sz="8" w:space="0"/>
      </w:pBdr>
      <w:spacing w:before="100" w:beforeAutospacing="1" w:afterAutospacing="1"/>
    </w:pPr>
    <w:rPr>
      <w:rFonts w:ascii="宋体" w:hAnsi="宋体" w:cs="宋体"/>
      <w:b/>
      <w:bCs/>
      <w:color w:val="000000"/>
      <w:sz w:val="18"/>
      <w:szCs w:val="18"/>
      <w:lang w:eastAsia="zh-CN" w:bidi="ar-SA"/>
    </w:rPr>
  </w:style>
  <w:style w:type="paragraph" w:customStyle="1" w:styleId="591">
    <w:name w:val="xl66"/>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right"/>
      <w:textAlignment w:val="center"/>
    </w:pPr>
    <w:rPr>
      <w:rFonts w:ascii="Arial" w:hAnsi="Arial" w:cs="Arial"/>
      <w:lang w:eastAsia="zh-CN" w:bidi="ar-SA"/>
    </w:rPr>
  </w:style>
  <w:style w:type="paragraph" w:customStyle="1" w:styleId="592">
    <w:name w:val="样式 标题 5h5Block Label5l4第四层条Appendix A  Heading 5H5(*)标题...1"/>
    <w:basedOn w:val="8"/>
    <w:qFormat/>
    <w:uiPriority w:val="0"/>
    <w:pPr>
      <w:widowControl w:val="0"/>
      <w:tabs>
        <w:tab w:val="left" w:pos="2520"/>
      </w:tabs>
      <w:adjustRightInd w:val="0"/>
      <w:spacing w:before="0" w:after="290" w:line="300" w:lineRule="auto"/>
      <w:ind w:firstLine="482" w:firstLineChars="200"/>
      <w:jc w:val="both"/>
      <w:textAlignment w:val="center"/>
    </w:pPr>
    <w:rPr>
      <w:rFonts w:cs="宋体"/>
      <w:bCs w:val="0"/>
      <w:i w:val="0"/>
      <w:iCs w:val="0"/>
      <w:kern w:val="2"/>
      <w:sz w:val="24"/>
      <w:szCs w:val="20"/>
      <w:lang w:eastAsia="zh-CN"/>
    </w:rPr>
  </w:style>
  <w:style w:type="paragraph" w:customStyle="1" w:styleId="593">
    <w:name w:val="xl111"/>
    <w:basedOn w:val="1"/>
    <w:qFormat/>
    <w:uiPriority w:val="0"/>
    <w:pPr>
      <w:pBdr>
        <w:bottom w:val="single" w:color="auto" w:sz="8" w:space="0"/>
        <w:right w:val="single" w:color="auto" w:sz="8" w:space="0"/>
      </w:pBdr>
      <w:spacing w:before="100" w:beforeAutospacing="1" w:afterAutospacing="1"/>
    </w:pPr>
    <w:rPr>
      <w:rFonts w:ascii="宋体" w:hAnsi="宋体" w:cs="宋体"/>
      <w:color w:val="000000"/>
      <w:sz w:val="18"/>
      <w:szCs w:val="18"/>
      <w:lang w:eastAsia="zh-CN" w:bidi="ar-SA"/>
    </w:rPr>
  </w:style>
  <w:style w:type="paragraph" w:customStyle="1" w:styleId="594">
    <w:name w:val="xl35"/>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sz w:val="21"/>
      <w:szCs w:val="21"/>
      <w:lang w:eastAsia="zh-CN" w:bidi="ar-SA"/>
    </w:rPr>
  </w:style>
  <w:style w:type="paragraph" w:customStyle="1" w:styleId="595">
    <w:name w:val="标句5"/>
    <w:basedOn w:val="1"/>
    <w:qFormat/>
    <w:uiPriority w:val="0"/>
    <w:pPr>
      <w:widowControl w:val="0"/>
      <w:snapToGrid w:val="0"/>
      <w:spacing w:line="500" w:lineRule="atLeast"/>
      <w:ind w:left="1135" w:hanging="284"/>
      <w:jc w:val="both"/>
    </w:pPr>
    <w:rPr>
      <w:rFonts w:ascii="宋体" w:hAnsi="Calibri"/>
      <w:kern w:val="28"/>
      <w:sz w:val="27"/>
      <w:szCs w:val="20"/>
      <w:lang w:eastAsia="zh-CN" w:bidi="ar-SA"/>
    </w:rPr>
  </w:style>
  <w:style w:type="paragraph" w:customStyle="1" w:styleId="596">
    <w:name w:val="表2"/>
    <w:basedOn w:val="482"/>
    <w:qFormat/>
    <w:uiPriority w:val="0"/>
    <w:pPr>
      <w:spacing w:before="100" w:beforeAutospacing="1" w:after="100" w:afterAutospacing="1" w:line="240" w:lineRule="auto"/>
      <w:jc w:val="left"/>
    </w:pPr>
    <w:rPr>
      <w:rFonts w:eastAsia="宋体"/>
      <w:sz w:val="21"/>
    </w:rPr>
  </w:style>
  <w:style w:type="paragraph" w:customStyle="1" w:styleId="597">
    <w:name w:val="xl125"/>
    <w:basedOn w:val="1"/>
    <w:qFormat/>
    <w:uiPriority w:val="0"/>
    <w:pPr>
      <w:pBdr>
        <w:top w:val="single" w:color="auto" w:sz="8" w:space="0"/>
        <w:left w:val="single" w:color="auto" w:sz="8" w:space="0"/>
      </w:pBdr>
      <w:spacing w:before="100" w:beforeAutospacing="1" w:afterAutospacing="1"/>
    </w:pPr>
    <w:rPr>
      <w:rFonts w:ascii="宋体" w:hAnsi="宋体" w:cs="宋体"/>
      <w:b/>
      <w:bCs/>
      <w:color w:val="000000"/>
      <w:sz w:val="18"/>
      <w:szCs w:val="18"/>
      <w:lang w:eastAsia="zh-CN" w:bidi="ar-SA"/>
    </w:rPr>
  </w:style>
  <w:style w:type="paragraph" w:customStyle="1" w:styleId="598">
    <w:name w:val="cjk1"/>
    <w:basedOn w:val="1"/>
    <w:qFormat/>
    <w:uiPriority w:val="0"/>
    <w:pPr>
      <w:spacing w:before="284" w:line="360" w:lineRule="auto"/>
    </w:pPr>
    <w:rPr>
      <w:rFonts w:ascii="宋体" w:hAnsi="宋体"/>
      <w:sz w:val="22"/>
      <w:szCs w:val="20"/>
      <w:lang w:eastAsia="zh-CN" w:bidi="ar-SA"/>
    </w:rPr>
  </w:style>
  <w:style w:type="paragraph" w:customStyle="1" w:styleId="599">
    <w:name w:val="Char Char Char"/>
    <w:basedOn w:val="24"/>
    <w:qFormat/>
    <w:uiPriority w:val="0"/>
    <w:pPr>
      <w:widowControl w:val="0"/>
      <w:adjustRightInd w:val="0"/>
      <w:spacing w:line="436" w:lineRule="exact"/>
      <w:ind w:left="357"/>
      <w:outlineLvl w:val="3"/>
    </w:pPr>
    <w:rPr>
      <w:rFonts w:ascii="宋体" w:hAnsi="Calibri"/>
      <w:b/>
      <w:kern w:val="2"/>
      <w:sz w:val="32"/>
      <w:szCs w:val="32"/>
      <w:lang w:eastAsia="zh-CN"/>
    </w:rPr>
  </w:style>
  <w:style w:type="paragraph" w:customStyle="1" w:styleId="600">
    <w:name w:val="（a)"/>
    <w:basedOn w:val="20"/>
    <w:qFormat/>
    <w:uiPriority w:val="0"/>
    <w:pPr>
      <w:widowControl w:val="0"/>
      <w:spacing w:line="500" w:lineRule="exact"/>
      <w:ind w:firstLine="567"/>
      <w:jc w:val="both"/>
    </w:pPr>
    <w:rPr>
      <w:rFonts w:ascii="宋体" w:hAnsi="宋体"/>
      <w:kern w:val="2"/>
      <w:lang w:eastAsia="zh-CN" w:bidi="ar-SA"/>
    </w:rPr>
  </w:style>
  <w:style w:type="paragraph" w:customStyle="1" w:styleId="601">
    <w:name w:val="正文文本缩进 22"/>
    <w:basedOn w:val="1"/>
    <w:qFormat/>
    <w:uiPriority w:val="0"/>
    <w:pPr>
      <w:widowControl w:val="0"/>
      <w:autoSpaceDE w:val="0"/>
      <w:autoSpaceDN w:val="0"/>
      <w:adjustRightInd w:val="0"/>
      <w:ind w:firstLine="540"/>
      <w:jc w:val="both"/>
      <w:textAlignment w:val="baseline"/>
    </w:pPr>
    <w:rPr>
      <w:rFonts w:ascii="Calibri" w:hAnsi="Calibri"/>
      <w:kern w:val="2"/>
      <w:szCs w:val="20"/>
      <w:lang w:eastAsia="zh-CN" w:bidi="ar-SA"/>
    </w:rPr>
  </w:style>
  <w:style w:type="paragraph" w:customStyle="1" w:styleId="602">
    <w:name w:val="123"/>
    <w:basedOn w:val="1"/>
    <w:qFormat/>
    <w:uiPriority w:val="0"/>
    <w:pPr>
      <w:widowControl w:val="0"/>
      <w:spacing w:afterLines="50"/>
      <w:ind w:left="567" w:hanging="279"/>
      <w:jc w:val="both"/>
    </w:pPr>
    <w:rPr>
      <w:rFonts w:ascii="Calibri" w:hAnsi="Calibri" w:eastAsia="黑体"/>
      <w:b/>
      <w:kern w:val="2"/>
      <w:sz w:val="28"/>
      <w:szCs w:val="28"/>
      <w:lang w:eastAsia="zh-CN" w:bidi="ar-SA"/>
    </w:rPr>
  </w:style>
  <w:style w:type="paragraph" w:customStyle="1" w:styleId="603">
    <w:name w:val="不缩进"/>
    <w:basedOn w:val="20"/>
    <w:qFormat/>
    <w:uiPriority w:val="0"/>
    <w:pPr>
      <w:widowControl w:val="0"/>
      <w:adjustRightInd w:val="0"/>
      <w:snapToGrid w:val="0"/>
      <w:spacing w:line="360" w:lineRule="auto"/>
      <w:ind w:firstLine="0"/>
      <w:jc w:val="both"/>
      <w:textAlignment w:val="center"/>
    </w:pPr>
    <w:rPr>
      <w:rFonts w:ascii="Calibri" w:hAnsi="Calibri"/>
      <w:kern w:val="2"/>
      <w:lang w:eastAsia="zh-CN" w:bidi="ar-SA"/>
    </w:rPr>
  </w:style>
  <w:style w:type="paragraph" w:customStyle="1" w:styleId="604">
    <w:name w:val="Char Char Char Char Char Char Char Char1 Char1"/>
    <w:basedOn w:val="1"/>
    <w:qFormat/>
    <w:uiPriority w:val="0"/>
    <w:pPr>
      <w:widowControl w:val="0"/>
      <w:jc w:val="both"/>
    </w:pPr>
    <w:rPr>
      <w:rFonts w:ascii="Tahoma" w:hAnsi="Tahoma"/>
      <w:kern w:val="2"/>
      <w:szCs w:val="20"/>
      <w:lang w:eastAsia="zh-CN" w:bidi="ar-SA"/>
    </w:rPr>
  </w:style>
  <w:style w:type="paragraph" w:customStyle="1" w:styleId="605">
    <w:name w:val="项目●-C"/>
    <w:basedOn w:val="20"/>
    <w:qFormat/>
    <w:uiPriority w:val="0"/>
    <w:pPr>
      <w:widowControl w:val="0"/>
      <w:tabs>
        <w:tab w:val="left" w:pos="1080"/>
      </w:tabs>
      <w:spacing w:line="500" w:lineRule="exact"/>
      <w:ind w:left="567" w:firstLine="0"/>
      <w:jc w:val="both"/>
    </w:pPr>
    <w:rPr>
      <w:rFonts w:ascii="宋体" w:hAnsi="宋体"/>
      <w:kern w:val="2"/>
      <w:lang w:eastAsia="zh-CN" w:bidi="ar-SA"/>
    </w:rPr>
  </w:style>
  <w:style w:type="paragraph" w:customStyle="1" w:styleId="606">
    <w:name w:val="纯文本1"/>
    <w:basedOn w:val="1"/>
    <w:qFormat/>
    <w:uiPriority w:val="0"/>
    <w:pPr>
      <w:widowControl w:val="0"/>
      <w:autoSpaceDE w:val="0"/>
      <w:autoSpaceDN w:val="0"/>
      <w:adjustRightInd w:val="0"/>
      <w:jc w:val="both"/>
      <w:textAlignment w:val="baseline"/>
    </w:pPr>
    <w:rPr>
      <w:rFonts w:ascii="宋体" w:hAnsi="Calibri"/>
      <w:kern w:val="2"/>
      <w:sz w:val="21"/>
      <w:szCs w:val="20"/>
      <w:lang w:eastAsia="zh-CN" w:bidi="ar-SA"/>
    </w:rPr>
  </w:style>
  <w:style w:type="paragraph" w:customStyle="1" w:styleId="607">
    <w:name w:val="列出段落11"/>
    <w:basedOn w:val="1"/>
    <w:qFormat/>
    <w:uiPriority w:val="34"/>
    <w:pPr>
      <w:widowControl w:val="0"/>
      <w:ind w:firstLine="420" w:firstLineChars="200"/>
      <w:jc w:val="both"/>
    </w:pPr>
    <w:rPr>
      <w:rFonts w:ascii="Calibri" w:hAnsi="Calibri"/>
      <w:kern w:val="2"/>
      <w:sz w:val="21"/>
      <w:szCs w:val="20"/>
      <w:lang w:eastAsia="zh-CN" w:bidi="ar-SA"/>
    </w:rPr>
  </w:style>
  <w:style w:type="paragraph" w:customStyle="1" w:styleId="608">
    <w:name w:val="xl132"/>
    <w:basedOn w:val="1"/>
    <w:qFormat/>
    <w:uiPriority w:val="0"/>
    <w:pPr>
      <w:pBdr>
        <w:left w:val="single" w:color="auto" w:sz="8" w:space="0"/>
        <w:right w:val="single" w:color="auto" w:sz="8" w:space="0"/>
      </w:pBdr>
      <w:spacing w:before="100" w:beforeAutospacing="1" w:afterAutospacing="1"/>
    </w:pPr>
    <w:rPr>
      <w:rFonts w:ascii="Calibri" w:hAnsi="Calibri"/>
      <w:color w:val="000000"/>
      <w:sz w:val="18"/>
      <w:szCs w:val="18"/>
      <w:lang w:eastAsia="zh-CN" w:bidi="ar-SA"/>
    </w:rPr>
  </w:style>
  <w:style w:type="paragraph" w:customStyle="1" w:styleId="609">
    <w:name w:val="表格文字2"/>
    <w:basedOn w:val="31"/>
    <w:qFormat/>
    <w:uiPriority w:val="0"/>
    <w:pPr>
      <w:widowControl w:val="0"/>
      <w:spacing w:after="0" w:line="360" w:lineRule="auto"/>
    </w:pPr>
    <w:rPr>
      <w:rFonts w:ascii="Calibri" w:hAnsi="Calibri"/>
      <w:kern w:val="2"/>
      <w:lang w:eastAsia="zh-CN"/>
    </w:rPr>
  </w:style>
  <w:style w:type="paragraph" w:customStyle="1" w:styleId="610">
    <w:name w:val="样式 标题 4标题4项目标11.1.1.1标题五H4标书－标题 4章PIM 4h44sect 1.2.3....2"/>
    <w:basedOn w:val="7"/>
    <w:qFormat/>
    <w:uiPriority w:val="0"/>
    <w:pPr>
      <w:keepLines/>
      <w:widowControl w:val="0"/>
      <w:spacing w:before="0" w:after="0" w:line="460" w:lineRule="exact"/>
      <w:ind w:firstLine="200" w:firstLineChars="200"/>
    </w:pPr>
    <w:rPr>
      <w:rFonts w:ascii="宋体" w:hAnsi="宋体" w:eastAsia="ˎ̥" w:cs="宋体"/>
      <w:b w:val="0"/>
      <w:bCs w:val="0"/>
      <w:kern w:val="2"/>
      <w:sz w:val="24"/>
      <w:szCs w:val="24"/>
      <w:lang w:eastAsia="zh-CN"/>
    </w:rPr>
  </w:style>
  <w:style w:type="paragraph" w:customStyle="1" w:styleId="611">
    <w:name w:val="样式 首行缩进:  2 字符 段后: 0.3 行"/>
    <w:basedOn w:val="1"/>
    <w:qFormat/>
    <w:uiPriority w:val="0"/>
    <w:pPr>
      <w:widowControl w:val="0"/>
      <w:adjustRightInd w:val="0"/>
      <w:snapToGrid w:val="0"/>
      <w:spacing w:afterLines="30" w:line="312" w:lineRule="auto"/>
      <w:ind w:firstLine="480" w:firstLineChars="200"/>
      <w:jc w:val="both"/>
    </w:pPr>
    <w:rPr>
      <w:rFonts w:ascii="Calibri" w:hAnsi="Calibri" w:eastAsia="Calibri"/>
      <w:kern w:val="2"/>
      <w:szCs w:val="20"/>
      <w:lang w:eastAsia="zh-CN" w:bidi="ar-SA"/>
    </w:rPr>
  </w:style>
  <w:style w:type="paragraph" w:customStyle="1" w:styleId="612">
    <w:name w:val="xl56"/>
    <w:basedOn w:val="1"/>
    <w:qFormat/>
    <w:uiPriority w:val="0"/>
    <w:pPr>
      <w:pBdr>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613">
    <w:name w:val="xl30"/>
    <w:basedOn w:val="1"/>
    <w:qFormat/>
    <w:uiPriority w:val="0"/>
    <w:pPr>
      <w:pBdr>
        <w:left w:val="single" w:color="auto" w:sz="4" w:space="31"/>
        <w:bottom w:val="single" w:color="auto" w:sz="4" w:space="0"/>
        <w:right w:val="single" w:color="auto" w:sz="4" w:space="0"/>
      </w:pBdr>
      <w:spacing w:before="100" w:beforeAutospacing="1" w:afterAutospacing="1"/>
      <w:ind w:firstLine="400" w:firstLineChars="400"/>
    </w:pPr>
    <w:rPr>
      <w:rFonts w:ascii="宋体" w:hAnsi="宋体" w:cs="宋体"/>
      <w:lang w:eastAsia="zh-CN" w:bidi="ar-SA"/>
    </w:rPr>
  </w:style>
  <w:style w:type="paragraph" w:customStyle="1" w:styleId="614">
    <w:name w:val="标题3"/>
    <w:basedOn w:val="6"/>
    <w:next w:val="1"/>
    <w:qFormat/>
    <w:uiPriority w:val="0"/>
    <w:pPr>
      <w:keepLines/>
      <w:spacing w:before="120" w:after="0" w:line="360" w:lineRule="auto"/>
      <w:jc w:val="center"/>
    </w:pPr>
    <w:rPr>
      <w:rFonts w:ascii="宋体" w:hAnsi="Calibri"/>
      <w:bCs w:val="0"/>
      <w:kern w:val="2"/>
      <w:sz w:val="32"/>
      <w:szCs w:val="22"/>
      <w:lang w:eastAsia="zh-CN"/>
    </w:rPr>
  </w:style>
  <w:style w:type="paragraph" w:customStyle="1" w:styleId="615">
    <w:name w:val="choi--(a)"/>
    <w:basedOn w:val="1"/>
    <w:qFormat/>
    <w:uiPriority w:val="0"/>
    <w:pPr>
      <w:widowControl w:val="0"/>
      <w:tabs>
        <w:tab w:val="left" w:pos="1200"/>
      </w:tabs>
      <w:spacing w:line="500" w:lineRule="atLeast"/>
      <w:ind w:left="1200" w:hanging="720"/>
      <w:jc w:val="both"/>
    </w:pPr>
    <w:rPr>
      <w:rFonts w:ascii="宋体" w:hAnsi="宋体"/>
      <w:kern w:val="2"/>
      <w:lang w:eastAsia="zh-CN" w:bidi="ar-SA"/>
    </w:rPr>
  </w:style>
  <w:style w:type="paragraph" w:customStyle="1" w:styleId="616">
    <w:name w:val="xl97"/>
    <w:basedOn w:val="1"/>
    <w:qFormat/>
    <w:uiPriority w:val="0"/>
    <w:pPr>
      <w:pBdr>
        <w:top w:val="single" w:color="auto" w:sz="8" w:space="0"/>
        <w:left w:val="single" w:color="auto" w:sz="8" w:space="0"/>
        <w:right w:val="single" w:color="auto" w:sz="8" w:space="0"/>
      </w:pBdr>
      <w:spacing w:before="100" w:beforeAutospacing="1" w:afterAutospacing="1"/>
      <w:jc w:val="center"/>
    </w:pPr>
    <w:rPr>
      <w:rFonts w:ascii="宋体" w:hAnsi="宋体" w:cs="宋体"/>
      <w:b/>
      <w:bCs/>
      <w:color w:val="000000"/>
      <w:sz w:val="18"/>
      <w:szCs w:val="18"/>
      <w:lang w:eastAsia="zh-CN" w:bidi="ar-SA"/>
    </w:rPr>
  </w:style>
  <w:style w:type="paragraph" w:customStyle="1" w:styleId="617">
    <w:name w:val="xl41"/>
    <w:basedOn w:val="1"/>
    <w:qFormat/>
    <w:uiPriority w:val="0"/>
    <w:pPr>
      <w:pBdr>
        <w:top w:val="single" w:color="auto" w:sz="4" w:space="0"/>
        <w:left w:val="single" w:color="auto" w:sz="4" w:space="0"/>
        <w:right w:val="single" w:color="auto" w:sz="4" w:space="0"/>
      </w:pBdr>
      <w:spacing w:before="100" w:beforeAutospacing="1" w:afterAutospacing="1"/>
      <w:jc w:val="center"/>
    </w:pPr>
    <w:rPr>
      <w:rFonts w:ascii="宋体" w:hAnsi="宋体" w:cs="宋体"/>
      <w:lang w:eastAsia="zh-CN" w:bidi="ar-SA"/>
    </w:rPr>
  </w:style>
  <w:style w:type="paragraph" w:customStyle="1" w:styleId="618">
    <w:name w:val="xl112"/>
    <w:basedOn w:val="1"/>
    <w:qFormat/>
    <w:uiPriority w:val="0"/>
    <w:pPr>
      <w:pBdr>
        <w:top w:val="single" w:color="auto" w:sz="8" w:space="0"/>
        <w:left w:val="single" w:color="auto" w:sz="8" w:space="0"/>
        <w:bottom w:val="single" w:color="auto" w:sz="8" w:space="0"/>
      </w:pBdr>
      <w:spacing w:before="100" w:beforeAutospacing="1" w:afterAutospacing="1"/>
      <w:jc w:val="center"/>
    </w:pPr>
    <w:rPr>
      <w:rFonts w:ascii="Calibri" w:hAnsi="Calibri"/>
      <w:sz w:val="18"/>
      <w:szCs w:val="18"/>
      <w:lang w:eastAsia="zh-CN" w:bidi="ar-SA"/>
    </w:rPr>
  </w:style>
  <w:style w:type="paragraph" w:customStyle="1" w:styleId="619">
    <w:name w:val="xl80"/>
    <w:basedOn w:val="1"/>
    <w:qFormat/>
    <w:uiPriority w:val="0"/>
    <w:pPr>
      <w:pBdr>
        <w:top w:val="single" w:color="auto" w:sz="8" w:space="0"/>
        <w:left w:val="single" w:color="auto" w:sz="8" w:space="0"/>
        <w:bottom w:val="single" w:color="auto" w:sz="8" w:space="0"/>
      </w:pBdr>
      <w:spacing w:before="100" w:beforeAutospacing="1" w:afterAutospacing="1"/>
    </w:pPr>
    <w:rPr>
      <w:rFonts w:ascii="Calibri" w:hAnsi="Calibri"/>
      <w:color w:val="000000"/>
      <w:sz w:val="18"/>
      <w:szCs w:val="18"/>
      <w:lang w:eastAsia="zh-CN" w:bidi="ar-SA"/>
    </w:rPr>
  </w:style>
  <w:style w:type="paragraph" w:customStyle="1" w:styleId="620">
    <w:name w:val="xl128"/>
    <w:basedOn w:val="1"/>
    <w:qFormat/>
    <w:uiPriority w:val="0"/>
    <w:pPr>
      <w:spacing w:before="100" w:beforeAutospacing="1" w:afterAutospacing="1"/>
    </w:pPr>
    <w:rPr>
      <w:rFonts w:ascii="Calibri" w:hAnsi="Calibri"/>
      <w:color w:val="000000"/>
      <w:sz w:val="18"/>
      <w:szCs w:val="18"/>
      <w:lang w:eastAsia="zh-CN" w:bidi="ar-SA"/>
    </w:rPr>
  </w:style>
  <w:style w:type="paragraph" w:customStyle="1" w:styleId="621">
    <w:name w:val="样式10"/>
    <w:basedOn w:val="1"/>
    <w:qFormat/>
    <w:uiPriority w:val="0"/>
    <w:pPr>
      <w:spacing w:before="120" w:line="360" w:lineRule="auto"/>
      <w:jc w:val="both"/>
    </w:pPr>
    <w:rPr>
      <w:rFonts w:hint="eastAsia" w:ascii="Batang" w:hAnsi="Calibri" w:eastAsia="Batang"/>
      <w:spacing w:val="20"/>
      <w:szCs w:val="20"/>
      <w:lang w:eastAsia="zh-CN" w:bidi="ar-SA"/>
    </w:rPr>
  </w:style>
  <w:style w:type="paragraph" w:customStyle="1" w:styleId="622">
    <w:name w:val="正文文字2"/>
    <w:basedOn w:val="1"/>
    <w:qFormat/>
    <w:uiPriority w:val="0"/>
    <w:pPr>
      <w:widowControl w:val="0"/>
      <w:spacing w:before="60" w:line="500" w:lineRule="exact"/>
      <w:ind w:left="510" w:firstLine="567"/>
      <w:jc w:val="both"/>
    </w:pPr>
    <w:rPr>
      <w:rFonts w:ascii="Calibri" w:hAnsi="Calibri"/>
      <w:kern w:val="2"/>
      <w:sz w:val="28"/>
      <w:szCs w:val="20"/>
      <w:lang w:eastAsia="zh-CN" w:bidi="ar-SA"/>
    </w:rPr>
  </w:style>
  <w:style w:type="paragraph" w:customStyle="1" w:styleId="623">
    <w:name w:val="xl98"/>
    <w:basedOn w:val="1"/>
    <w:qFormat/>
    <w:uiPriority w:val="0"/>
    <w:pPr>
      <w:pBdr>
        <w:left w:val="single" w:color="auto" w:sz="8" w:space="0"/>
        <w:right w:val="single" w:color="auto" w:sz="8" w:space="0"/>
      </w:pBdr>
      <w:spacing w:before="100" w:beforeAutospacing="1" w:afterAutospacing="1"/>
      <w:jc w:val="center"/>
    </w:pPr>
    <w:rPr>
      <w:rFonts w:ascii="宋体" w:hAnsi="宋体" w:cs="宋体"/>
      <w:b/>
      <w:bCs/>
      <w:color w:val="000000"/>
      <w:sz w:val="18"/>
      <w:szCs w:val="18"/>
      <w:lang w:eastAsia="zh-CN" w:bidi="ar-SA"/>
    </w:rPr>
  </w:style>
  <w:style w:type="paragraph" w:customStyle="1" w:styleId="624">
    <w:name w:val="xl28"/>
    <w:basedOn w:val="1"/>
    <w:qFormat/>
    <w:uiPriority w:val="0"/>
    <w:pPr>
      <w:pBdr>
        <w:left w:val="single" w:color="auto" w:sz="4" w:space="0"/>
        <w:bottom w:val="single" w:color="auto" w:sz="4" w:space="0"/>
        <w:right w:val="single" w:color="auto" w:sz="4" w:space="0"/>
      </w:pBdr>
      <w:spacing w:before="100" w:beforeAutospacing="1" w:afterAutospacing="1"/>
    </w:pPr>
    <w:rPr>
      <w:rFonts w:ascii="宋体" w:hAnsi="宋体" w:cs="宋体"/>
      <w:color w:val="000000"/>
      <w:lang w:eastAsia="zh-CN" w:bidi="ar-SA"/>
    </w:rPr>
  </w:style>
  <w:style w:type="paragraph" w:customStyle="1" w:styleId="625">
    <w:name w:val="xl57"/>
    <w:basedOn w:val="1"/>
    <w:qFormat/>
    <w:uiPriority w:val="0"/>
    <w:pPr>
      <w:pBdr>
        <w:left w:val="single" w:color="auto" w:sz="4" w:space="0"/>
        <w:bottom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626">
    <w:name w:val="图表文字"/>
    <w:basedOn w:val="1"/>
    <w:qFormat/>
    <w:uiPriority w:val="0"/>
    <w:pPr>
      <w:widowControl w:val="0"/>
      <w:spacing w:line="460" w:lineRule="exact"/>
      <w:ind w:right="-107" w:rightChars="-51"/>
      <w:jc w:val="center"/>
    </w:pPr>
    <w:rPr>
      <w:rFonts w:ascii="ˎ̥" w:hAnsi="宋体" w:eastAsia="ˎ̥"/>
      <w:kern w:val="2"/>
      <w:lang w:eastAsia="zh-CN" w:bidi="ar-SA"/>
    </w:rPr>
  </w:style>
  <w:style w:type="paragraph" w:customStyle="1" w:styleId="627">
    <w:name w:val="标题3-2"/>
    <w:basedOn w:val="6"/>
    <w:qFormat/>
    <w:uiPriority w:val="0"/>
    <w:pPr>
      <w:keepLines/>
      <w:widowControl w:val="0"/>
      <w:spacing w:before="0" w:after="0" w:line="460" w:lineRule="exact"/>
      <w:jc w:val="both"/>
    </w:pPr>
    <w:rPr>
      <w:rFonts w:ascii="ˎ̥" w:hAnsi="ˎ̥" w:eastAsia="ˎ̥" w:cs="宋体"/>
      <w:b w:val="0"/>
      <w:bCs w:val="0"/>
      <w:kern w:val="2"/>
      <w:sz w:val="28"/>
      <w:szCs w:val="22"/>
      <w:lang w:eastAsia="zh-CN"/>
    </w:rPr>
  </w:style>
  <w:style w:type="paragraph" w:customStyle="1" w:styleId="628">
    <w:name w:val="xl46"/>
    <w:basedOn w:val="1"/>
    <w:qFormat/>
    <w:uiPriority w:val="0"/>
    <w:pPr>
      <w:pBdr>
        <w:top w:val="single" w:color="auto" w:sz="4" w:space="0"/>
        <w:left w:val="single" w:color="auto" w:sz="4" w:space="0"/>
        <w:right w:val="single" w:color="auto" w:sz="4" w:space="0"/>
      </w:pBdr>
      <w:spacing w:before="100" w:beforeAutospacing="1" w:afterAutospacing="1"/>
      <w:jc w:val="center"/>
      <w:textAlignment w:val="center"/>
    </w:pPr>
    <w:rPr>
      <w:rFonts w:ascii="宋体" w:hAnsi="宋体" w:cs="宋体"/>
      <w:lang w:eastAsia="zh-CN" w:bidi="ar-SA"/>
    </w:rPr>
  </w:style>
  <w:style w:type="paragraph" w:customStyle="1" w:styleId="629">
    <w:name w:val="xl62"/>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textAlignment w:val="center"/>
    </w:pPr>
    <w:rPr>
      <w:rFonts w:ascii="Arial" w:hAnsi="Arial" w:cs="Arial"/>
      <w:lang w:eastAsia="zh-CN" w:bidi="ar-SA"/>
    </w:rPr>
  </w:style>
  <w:style w:type="paragraph" w:customStyle="1" w:styleId="630">
    <w:name w:val="样式 标题 21.1-C标题 1.1章LLZ2h2部分标题Heading 2 HiddenHeading 2 C...1"/>
    <w:basedOn w:val="5"/>
    <w:qFormat/>
    <w:uiPriority w:val="0"/>
    <w:pPr>
      <w:keepLines/>
      <w:widowControl w:val="0"/>
      <w:spacing w:before="100" w:beforeAutospacing="1" w:after="100" w:afterAutospacing="1" w:line="0" w:lineRule="atLeast"/>
      <w:ind w:left="454" w:hanging="454"/>
      <w:jc w:val="center"/>
    </w:pPr>
    <w:rPr>
      <w:rFonts w:ascii="Times New Roman" w:hAnsi="Times New Roman" w:cs="宋体"/>
      <w:b w:val="0"/>
      <w:bCs w:val="0"/>
      <w:i w:val="0"/>
      <w:iCs w:val="0"/>
      <w:kern w:val="2"/>
      <w:sz w:val="30"/>
      <w:szCs w:val="20"/>
      <w:lang w:eastAsia="zh-CN"/>
    </w:rPr>
  </w:style>
  <w:style w:type="paragraph" w:customStyle="1" w:styleId="631">
    <w:name w:val="Char Char Char Char Char Char Char1"/>
    <w:basedOn w:val="1"/>
    <w:qFormat/>
    <w:uiPriority w:val="0"/>
    <w:pPr>
      <w:widowControl w:val="0"/>
      <w:autoSpaceDE w:val="0"/>
      <w:autoSpaceDN w:val="0"/>
      <w:jc w:val="both"/>
    </w:pPr>
    <w:rPr>
      <w:rFonts w:ascii="Calibri" w:hAnsi="Calibri"/>
      <w:kern w:val="2"/>
      <w:lang w:eastAsia="zh-CN" w:bidi="ar-SA"/>
    </w:rPr>
  </w:style>
  <w:style w:type="paragraph" w:customStyle="1" w:styleId="632">
    <w:name w:val="Char2"/>
    <w:basedOn w:val="1"/>
    <w:qFormat/>
    <w:uiPriority w:val="0"/>
    <w:pPr>
      <w:widowControl w:val="0"/>
      <w:tabs>
        <w:tab w:val="left" w:pos="360"/>
      </w:tabs>
      <w:jc w:val="both"/>
    </w:pPr>
    <w:rPr>
      <w:rFonts w:ascii="Calibri" w:hAnsi="Calibri"/>
      <w:kern w:val="2"/>
      <w:lang w:eastAsia="zh-CN" w:bidi="ar-SA"/>
    </w:rPr>
  </w:style>
  <w:style w:type="paragraph" w:customStyle="1" w:styleId="633">
    <w:name w:val="xl25"/>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pPr>
    <w:rPr>
      <w:rFonts w:ascii="宋体" w:hAnsi="宋体" w:cs="宋体"/>
      <w:lang w:eastAsia="zh-CN" w:bidi="ar-SA"/>
    </w:rPr>
  </w:style>
  <w:style w:type="paragraph" w:customStyle="1" w:styleId="634">
    <w:name w:val="xl82"/>
    <w:basedOn w:val="1"/>
    <w:qFormat/>
    <w:uiPriority w:val="0"/>
    <w:pPr>
      <w:pBdr>
        <w:top w:val="single" w:color="auto" w:sz="8" w:space="0"/>
        <w:left w:val="single" w:color="auto" w:sz="8" w:space="0"/>
        <w:bottom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635">
    <w:name w:val="font9"/>
    <w:basedOn w:val="1"/>
    <w:qFormat/>
    <w:uiPriority w:val="0"/>
    <w:pPr>
      <w:spacing w:before="100" w:beforeAutospacing="1" w:afterAutospacing="1"/>
    </w:pPr>
    <w:rPr>
      <w:rFonts w:ascii="宋体" w:hAnsi="宋体" w:cs="宋体"/>
      <w:sz w:val="21"/>
      <w:szCs w:val="21"/>
      <w:lang w:eastAsia="zh-CN" w:bidi="ar-SA"/>
    </w:rPr>
  </w:style>
  <w:style w:type="paragraph" w:customStyle="1" w:styleId="636">
    <w:name w:val="xl32"/>
    <w:basedOn w:val="1"/>
    <w:qFormat/>
    <w:uiPriority w:val="0"/>
    <w:pPr>
      <w:pBdr>
        <w:top w:val="single" w:color="auto" w:sz="4" w:space="0"/>
        <w:left w:val="single" w:color="auto" w:sz="4" w:space="0"/>
        <w:bottom w:val="single" w:color="auto" w:sz="4" w:space="0"/>
        <w:right w:val="single" w:color="auto" w:sz="4" w:space="0"/>
      </w:pBdr>
      <w:spacing w:before="100" w:beforeAutospacing="1" w:afterAutospacing="1"/>
      <w:jc w:val="center"/>
    </w:pPr>
    <w:rPr>
      <w:rFonts w:ascii="宋体" w:hAnsi="宋体" w:cs="宋体"/>
      <w:sz w:val="21"/>
      <w:szCs w:val="21"/>
      <w:lang w:eastAsia="zh-CN" w:bidi="ar-SA"/>
    </w:rPr>
  </w:style>
  <w:style w:type="paragraph" w:customStyle="1" w:styleId="637">
    <w:name w:val="1"/>
    <w:basedOn w:val="1"/>
    <w:qFormat/>
    <w:uiPriority w:val="0"/>
    <w:pPr>
      <w:widowControl w:val="0"/>
      <w:autoSpaceDE w:val="0"/>
      <w:autoSpaceDN w:val="0"/>
      <w:adjustRightInd w:val="0"/>
      <w:spacing w:line="360" w:lineRule="atLeast"/>
      <w:ind w:firstLine="510"/>
      <w:jc w:val="both"/>
    </w:pPr>
    <w:rPr>
      <w:rFonts w:ascii="宋体" w:hAnsi="Calibri"/>
      <w:spacing w:val="6"/>
      <w:szCs w:val="20"/>
      <w:lang w:eastAsia="zh-CN" w:bidi="ar-SA"/>
    </w:rPr>
  </w:style>
  <w:style w:type="paragraph" w:customStyle="1" w:styleId="638">
    <w:name w:val="xl116"/>
    <w:basedOn w:val="1"/>
    <w:qFormat/>
    <w:uiPriority w:val="0"/>
    <w:pPr>
      <w:pBdr>
        <w:top w:val="single" w:color="auto" w:sz="8" w:space="0"/>
        <w:bottom w:val="single" w:color="auto" w:sz="8" w:space="0"/>
      </w:pBdr>
      <w:spacing w:before="100" w:beforeAutospacing="1" w:afterAutospacing="1"/>
      <w:jc w:val="both"/>
    </w:pPr>
    <w:rPr>
      <w:rFonts w:ascii="Calibri" w:hAnsi="Calibri"/>
      <w:sz w:val="18"/>
      <w:szCs w:val="18"/>
      <w:lang w:eastAsia="zh-CN" w:bidi="ar-SA"/>
    </w:rPr>
  </w:style>
  <w:style w:type="paragraph" w:customStyle="1" w:styleId="639">
    <w:name w:val="文二"/>
    <w:basedOn w:val="1"/>
    <w:qFormat/>
    <w:uiPriority w:val="0"/>
    <w:pPr>
      <w:widowControl w:val="0"/>
    </w:pPr>
    <w:rPr>
      <w:rFonts w:ascii="宋体" w:hAnsi="宋体"/>
      <w:kern w:val="2"/>
      <w:sz w:val="21"/>
      <w:szCs w:val="20"/>
      <w:lang w:eastAsia="zh-CN" w:bidi="ar-SA"/>
    </w:rPr>
  </w:style>
  <w:style w:type="paragraph" w:customStyle="1" w:styleId="640">
    <w:name w:val="Char1"/>
    <w:basedOn w:val="1"/>
    <w:qFormat/>
    <w:uiPriority w:val="0"/>
    <w:pPr>
      <w:widowControl w:val="0"/>
      <w:jc w:val="both"/>
    </w:pPr>
    <w:rPr>
      <w:rFonts w:ascii="Tahoma" w:hAnsi="Tahoma"/>
      <w:kern w:val="2"/>
      <w:szCs w:val="20"/>
      <w:lang w:eastAsia="zh-CN" w:bidi="ar-SA"/>
    </w:rPr>
  </w:style>
  <w:style w:type="paragraph" w:customStyle="1" w:styleId="641">
    <w:name w:val="xl93"/>
    <w:basedOn w:val="1"/>
    <w:qFormat/>
    <w:uiPriority w:val="0"/>
    <w:pPr>
      <w:pBdr>
        <w:top w:val="single" w:color="auto" w:sz="8" w:space="0"/>
      </w:pBdr>
      <w:spacing w:before="100" w:beforeAutospacing="1" w:afterAutospacing="1"/>
      <w:jc w:val="center"/>
    </w:pPr>
    <w:rPr>
      <w:rFonts w:ascii="宋体" w:hAnsi="宋体" w:cs="宋体"/>
      <w:color w:val="000000"/>
      <w:sz w:val="18"/>
      <w:szCs w:val="18"/>
      <w:lang w:eastAsia="zh-CN" w:bidi="ar-SA"/>
    </w:rPr>
  </w:style>
  <w:style w:type="paragraph" w:customStyle="1" w:styleId="642">
    <w:name w:val="样式 标题 1章-C章格式标题 1 Charsection:1自标题 1标题 1 1编号标题1章节（环球章）：..."/>
    <w:basedOn w:val="4"/>
    <w:qFormat/>
    <w:uiPriority w:val="0"/>
    <w:pPr>
      <w:keepLines/>
      <w:widowControl w:val="0"/>
      <w:spacing w:before="100" w:beforeAutospacing="1" w:after="100" w:afterAutospacing="1"/>
      <w:jc w:val="center"/>
    </w:pPr>
    <w:rPr>
      <w:rFonts w:ascii="Times New Roman" w:hAnsi="Times New Roman" w:cs="宋体"/>
      <w:color w:val="000080"/>
      <w:kern w:val="44"/>
      <w:sz w:val="36"/>
      <w:szCs w:val="20"/>
      <w:lang w:eastAsia="zh-CN"/>
    </w:rPr>
  </w:style>
  <w:style w:type="paragraph" w:customStyle="1" w:styleId="643">
    <w:name w:val="Char Char Char1 Char"/>
    <w:basedOn w:val="24"/>
    <w:qFormat/>
    <w:uiPriority w:val="0"/>
    <w:pPr>
      <w:widowControl w:val="0"/>
      <w:jc w:val="both"/>
    </w:pPr>
    <w:rPr>
      <w:rFonts w:ascii="Tahoma" w:hAnsi="Tahoma"/>
      <w:kern w:val="2"/>
      <w:lang w:eastAsia="zh-CN"/>
    </w:rPr>
  </w:style>
  <w:style w:type="paragraph" w:customStyle="1" w:styleId="644">
    <w:name w:val="xl92"/>
    <w:basedOn w:val="1"/>
    <w:qFormat/>
    <w:uiPriority w:val="0"/>
    <w:pPr>
      <w:pBdr>
        <w:left w:val="single" w:color="auto" w:sz="8" w:space="0"/>
        <w:bottom w:val="single" w:color="auto" w:sz="8" w:space="0"/>
      </w:pBdr>
      <w:spacing w:before="100" w:beforeAutospacing="1" w:afterAutospacing="1"/>
      <w:jc w:val="center"/>
    </w:pPr>
    <w:rPr>
      <w:rFonts w:ascii="宋体" w:hAnsi="宋体" w:cs="宋体"/>
      <w:color w:val="000000"/>
      <w:sz w:val="18"/>
      <w:szCs w:val="18"/>
      <w:lang w:eastAsia="zh-CN" w:bidi="ar-SA"/>
    </w:rPr>
  </w:style>
  <w:style w:type="table" w:customStyle="1" w:styleId="645">
    <w:name w:val="网格型1"/>
    <w:basedOn w:val="78"/>
    <w:qFormat/>
    <w:uiPriority w:val="39"/>
    <w:rPr>
      <w:rFonts w:ascii="Calibri" w:hAnsi="Calibri" w:eastAsia="Times New Roman"/>
      <w:kern w:val="2"/>
      <w:sz w:val="21"/>
      <w:szCs w:val="21"/>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646">
    <w:name w:val="TableGrid"/>
    <w:qFormat/>
    <w:uiPriority w:val="0"/>
    <w:tblPr>
      <w:tblCellMar>
        <w:top w:w="0" w:type="dxa"/>
        <w:left w:w="0" w:type="dxa"/>
        <w:bottom w:w="0" w:type="dxa"/>
        <w:right w:w="0" w:type="dxa"/>
      </w:tblCellMar>
    </w:tblPr>
  </w:style>
  <w:style w:type="paragraph" w:customStyle="1" w:styleId="647">
    <w:name w:val="正文 New New New New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648">
    <w:name w:val="正文 New New New New New New"/>
    <w:qFormat/>
    <w:uiPriority w:val="0"/>
    <w:pPr>
      <w:widowControl w:val="0"/>
      <w:jc w:val="both"/>
    </w:pPr>
    <w:rPr>
      <w:rFonts w:ascii="Calibri" w:hAnsi="Calibri" w:eastAsia="宋体" w:cs="Times New Roman"/>
      <w:kern w:val="2"/>
      <w:sz w:val="21"/>
      <w:szCs w:val="22"/>
      <w:lang w:val="en-US" w:eastAsia="zh-CN" w:bidi="ar-SA"/>
    </w:rPr>
  </w:style>
  <w:style w:type="character" w:customStyle="1" w:styleId="649">
    <w:name w:val="批注文字 字符1"/>
    <w:qFormat/>
    <w:uiPriority w:val="99"/>
    <w:rPr>
      <w:kern w:val="2"/>
      <w:sz w:val="21"/>
      <w:szCs w:val="22"/>
    </w:rPr>
  </w:style>
  <w:style w:type="character" w:customStyle="1" w:styleId="650">
    <w:name w:val="正文缩进 Char"/>
    <w:qFormat/>
    <w:uiPriority w:val="0"/>
    <w:rPr>
      <w:rFonts w:ascii="Times New Roman" w:hAnsi="Times New Roman"/>
      <w:kern w:val="2"/>
      <w:sz w:val="21"/>
      <w:szCs w:val="21"/>
    </w:rPr>
  </w:style>
  <w:style w:type="character" w:customStyle="1" w:styleId="651">
    <w:name w:val="16"/>
    <w:qFormat/>
    <w:uiPriority w:val="0"/>
    <w:rPr>
      <w:rFonts w:hint="default" w:ascii="Times New Roman" w:hAnsi="Times New Roman" w:cs="Times New Roman"/>
      <w:color w:val="0563C1"/>
      <w:u w:val="single"/>
    </w:rPr>
  </w:style>
  <w:style w:type="paragraph" w:customStyle="1" w:styleId="652">
    <w:name w:val="列表段落1"/>
    <w:basedOn w:val="1"/>
    <w:qFormat/>
    <w:uiPriority w:val="0"/>
    <w:pPr>
      <w:widowControl w:val="0"/>
      <w:ind w:firstLine="420" w:firstLineChars="200"/>
      <w:jc w:val="both"/>
    </w:pPr>
    <w:rPr>
      <w:kern w:val="2"/>
      <w:sz w:val="21"/>
      <w:szCs w:val="21"/>
      <w:lang w:eastAsia="zh-CN" w:bidi="ar-SA"/>
    </w:rPr>
  </w:style>
  <w:style w:type="paragraph" w:customStyle="1" w:styleId="653">
    <w:name w:val="WPSOffice手动目录 1"/>
    <w:qFormat/>
    <w:uiPriority w:val="0"/>
    <w:rPr>
      <w:rFonts w:ascii="等线" w:hAnsi="等线" w:eastAsia="等线" w:cs="Times New Roman"/>
      <w:lang w:val="en-US" w:eastAsia="zh-CN" w:bidi="ar-SA"/>
    </w:rPr>
  </w:style>
  <w:style w:type="paragraph" w:customStyle="1" w:styleId="654">
    <w:name w:val="正文11"/>
    <w:qFormat/>
    <w:uiPriority w:val="0"/>
    <w:pPr>
      <w:widowControl w:val="0"/>
      <w:spacing w:line="360" w:lineRule="auto"/>
      <w:ind w:firstLine="200" w:firstLineChars="200"/>
    </w:pPr>
    <w:rPr>
      <w:rFonts w:ascii="等线" w:hAnsi="等线" w:eastAsia="等线" w:cs="Times New Roman"/>
      <w:sz w:val="24"/>
      <w:lang w:val="en-US" w:eastAsia="zh-CN" w:bidi="ar-SA"/>
    </w:rPr>
  </w:style>
  <w:style w:type="paragraph" w:customStyle="1" w:styleId="655">
    <w:name w:val="列出段落3"/>
    <w:basedOn w:val="1"/>
    <w:qFormat/>
    <w:uiPriority w:val="0"/>
    <w:pPr>
      <w:widowControl w:val="0"/>
      <w:ind w:firstLine="420" w:firstLineChars="200"/>
      <w:jc w:val="both"/>
    </w:pPr>
    <w:rPr>
      <w:kern w:val="2"/>
      <w:sz w:val="21"/>
      <w:szCs w:val="21"/>
      <w:lang w:eastAsia="zh-CN" w:bidi="ar-SA"/>
    </w:rPr>
  </w:style>
  <w:style w:type="paragraph" w:customStyle="1" w:styleId="656">
    <w:name w:val="表名称"/>
    <w:qFormat/>
    <w:uiPriority w:val="0"/>
    <w:pPr>
      <w:spacing w:before="120" w:after="120"/>
      <w:jc w:val="center"/>
    </w:pPr>
    <w:rPr>
      <w:rFonts w:ascii="Times New Roman" w:hAnsi="Times New Roman" w:eastAsia="宋体" w:cs="Times New Roman"/>
      <w:sz w:val="21"/>
      <w:szCs w:val="21"/>
      <w:lang w:val="en-US" w:eastAsia="zh-CN" w:bidi="ar-SA"/>
    </w:rPr>
  </w:style>
  <w:style w:type="character" w:customStyle="1" w:styleId="657">
    <w:name w:val="Char Char Char2"/>
    <w:qFormat/>
    <w:uiPriority w:val="0"/>
    <w:rPr>
      <w:rFonts w:eastAsia="宋体"/>
      <w:kern w:val="2"/>
      <w:sz w:val="28"/>
      <w:szCs w:val="24"/>
      <w:lang w:val="en-US" w:eastAsia="zh-CN" w:bidi="ar-SA"/>
    </w:rPr>
  </w:style>
  <w:style w:type="character" w:customStyle="1" w:styleId="658">
    <w:name w:val="font01"/>
    <w:qFormat/>
    <w:uiPriority w:val="0"/>
    <w:rPr>
      <w:rFonts w:hint="eastAsia" w:ascii="宋体" w:hAnsi="宋体" w:eastAsia="宋体" w:cs="宋体"/>
      <w:color w:val="000000"/>
      <w:sz w:val="18"/>
      <w:szCs w:val="18"/>
      <w:u w:val="none"/>
    </w:rPr>
  </w:style>
  <w:style w:type="character" w:customStyle="1" w:styleId="659">
    <w:name w:val="font21"/>
    <w:qFormat/>
    <w:uiPriority w:val="0"/>
    <w:rPr>
      <w:rFonts w:hint="eastAsia" w:ascii="宋体" w:hAnsi="宋体" w:eastAsia="宋体" w:cs="宋体"/>
      <w:color w:val="000000"/>
      <w:sz w:val="18"/>
      <w:szCs w:val="18"/>
      <w:u w:val="none"/>
    </w:rPr>
  </w:style>
  <w:style w:type="paragraph" w:customStyle="1" w:styleId="660">
    <w:name w:val="大标题"/>
    <w:basedOn w:val="1"/>
    <w:qFormat/>
    <w:uiPriority w:val="0"/>
    <w:pPr>
      <w:widowControl w:val="0"/>
      <w:spacing w:beforeLines="50"/>
      <w:ind w:firstLine="482"/>
      <w:jc w:val="center"/>
    </w:pPr>
    <w:rPr>
      <w:rFonts w:ascii="Arial" w:hAnsi="Arial" w:eastAsia="黑体" w:cs="宋体"/>
      <w:b/>
      <w:bCs/>
      <w:kern w:val="2"/>
      <w:sz w:val="36"/>
      <w:szCs w:val="36"/>
      <w:lang w:eastAsia="zh-CN" w:bidi="ar-SA"/>
    </w:rPr>
  </w:style>
  <w:style w:type="paragraph" w:customStyle="1" w:styleId="661">
    <w:name w:val="1-图"/>
    <w:qFormat/>
    <w:uiPriority w:val="34"/>
    <w:pPr>
      <w:spacing w:before="100" w:beforeAutospacing="1" w:after="100" w:afterAutospacing="1"/>
      <w:ind w:left="425" w:hanging="425"/>
    </w:pPr>
    <w:rPr>
      <w:rFonts w:ascii="Times New Roman" w:hAnsi="Times New Roman" w:eastAsia="宋体" w:cs="Times New Roman"/>
      <w:kern w:val="2"/>
      <w:sz w:val="21"/>
      <w:szCs w:val="21"/>
      <w:lang w:val="en-US" w:eastAsia="zh-CN" w:bidi="ar-SA"/>
    </w:rPr>
  </w:style>
  <w:style w:type="paragraph" w:customStyle="1" w:styleId="662">
    <w:name w:val="1-正文"/>
    <w:basedOn w:val="661"/>
    <w:qFormat/>
    <w:uiPriority w:val="0"/>
    <w:pPr>
      <w:spacing w:before="0" w:beforeAutospacing="0" w:after="0" w:afterAutospacing="0" w:line="360" w:lineRule="auto"/>
      <w:ind w:left="0" w:firstLine="420" w:firstLineChars="200"/>
    </w:pPr>
  </w:style>
  <w:style w:type="paragraph" w:customStyle="1" w:styleId="663">
    <w:name w:val="1-表内容"/>
    <w:qFormat/>
    <w:uiPriority w:val="0"/>
    <w:pPr>
      <w:jc w:val="center"/>
    </w:pPr>
    <w:rPr>
      <w:rFonts w:ascii="Times New Roman" w:hAnsi="Times New Roman" w:eastAsia="宋体" w:cs="Times New Roman"/>
      <w:color w:val="000000"/>
      <w:sz w:val="21"/>
      <w:szCs w:val="24"/>
      <w:lang w:val="en-US" w:eastAsia="zh-CN" w:bidi="ar-SA"/>
    </w:rPr>
  </w:style>
  <w:style w:type="paragraph" w:customStyle="1" w:styleId="664">
    <w:name w:val="标题 40"/>
    <w:basedOn w:val="7"/>
    <w:qFormat/>
    <w:uiPriority w:val="0"/>
    <w:pPr>
      <w:keepNext w:val="0"/>
      <w:widowControl w:val="0"/>
      <w:tabs>
        <w:tab w:val="left" w:pos="0"/>
      </w:tabs>
      <w:spacing w:before="0" w:after="0" w:line="360" w:lineRule="auto"/>
      <w:ind w:left="426" w:hanging="426"/>
      <w:jc w:val="center"/>
    </w:pPr>
    <w:rPr>
      <w:rFonts w:ascii="宋体" w:hAnsi="宋体"/>
      <w:bCs w:val="0"/>
      <w:kern w:val="2"/>
      <w:sz w:val="24"/>
      <w:szCs w:val="20"/>
      <w:lang w:eastAsia="zh-CN"/>
    </w:rPr>
  </w:style>
  <w:style w:type="paragraph" w:customStyle="1" w:styleId="665">
    <w:name w:val="条文1"/>
    <w:basedOn w:val="1"/>
    <w:qFormat/>
    <w:uiPriority w:val="0"/>
    <w:pPr>
      <w:widowControl w:val="0"/>
      <w:numPr>
        <w:ilvl w:val="0"/>
        <w:numId w:val="1"/>
      </w:numPr>
      <w:spacing w:line="360" w:lineRule="auto"/>
      <w:jc w:val="both"/>
    </w:pPr>
    <w:rPr>
      <w:rFonts w:ascii="MS UI Gothic" w:hAnsi="MS UI Gothic"/>
      <w:kern w:val="44"/>
      <w:szCs w:val="20"/>
      <w:lang w:eastAsia="zh-CN" w:bidi="ar-SA"/>
    </w:rPr>
  </w:style>
  <w:style w:type="paragraph" w:customStyle="1" w:styleId="666">
    <w:name w:val="样式 标题 2 + 宋体"/>
    <w:basedOn w:val="5"/>
    <w:qFormat/>
    <w:uiPriority w:val="0"/>
    <w:pPr>
      <w:keepLines/>
      <w:widowControl w:val="0"/>
      <w:tabs>
        <w:tab w:val="left" w:pos="0"/>
      </w:tabs>
      <w:spacing w:beforeLines="50" w:beforeAutospacing="1" w:after="100" w:afterAutospacing="1" w:line="360" w:lineRule="auto"/>
      <w:jc w:val="both"/>
    </w:pPr>
    <w:rPr>
      <w:rFonts w:ascii="宋体" w:hAnsi="宋体"/>
      <w:bCs w:val="0"/>
      <w:i w:val="0"/>
      <w:iCs w:val="0"/>
      <w:kern w:val="2"/>
      <w:szCs w:val="20"/>
      <w:lang w:eastAsia="zh-CN"/>
    </w:rPr>
  </w:style>
  <w:style w:type="paragraph" w:customStyle="1" w:styleId="667">
    <w:name w:val="2"/>
    <w:basedOn w:val="1"/>
    <w:next w:val="606"/>
    <w:qFormat/>
    <w:uiPriority w:val="0"/>
    <w:pPr>
      <w:widowControl w:val="0"/>
      <w:jc w:val="both"/>
    </w:pPr>
    <w:rPr>
      <w:rFonts w:hAnsi="Courier New"/>
      <w:kern w:val="2"/>
      <w:sz w:val="21"/>
      <w:szCs w:val="20"/>
      <w:lang w:eastAsia="zh-CN" w:bidi="ar-SA"/>
    </w:rPr>
  </w:style>
  <w:style w:type="paragraph" w:customStyle="1" w:styleId="668">
    <w:name w:val="标题5"/>
    <w:basedOn w:val="8"/>
    <w:qFormat/>
    <w:uiPriority w:val="0"/>
    <w:pPr>
      <w:keepNext/>
      <w:keepLines/>
      <w:widowControl w:val="0"/>
      <w:spacing w:before="280" w:after="290" w:line="360" w:lineRule="auto"/>
      <w:jc w:val="both"/>
    </w:pPr>
    <w:rPr>
      <w:bCs w:val="0"/>
      <w:i w:val="0"/>
      <w:iCs w:val="0"/>
      <w:kern w:val="2"/>
      <w:sz w:val="28"/>
      <w:szCs w:val="20"/>
      <w:lang w:eastAsia="zh-CN"/>
    </w:rPr>
  </w:style>
  <w:style w:type="paragraph" w:customStyle="1" w:styleId="669">
    <w:name w:val="Char Char Char Char Char Char1 Char"/>
    <w:basedOn w:val="1"/>
    <w:qFormat/>
    <w:uiPriority w:val="0"/>
    <w:pPr>
      <w:spacing w:line="240" w:lineRule="exact"/>
    </w:pPr>
    <w:rPr>
      <w:rFonts w:ascii="Verdana" w:hAnsi="Verdana" w:eastAsia="仿宋_GB2312"/>
      <w:szCs w:val="20"/>
      <w:lang w:bidi="ar-SA"/>
    </w:rPr>
  </w:style>
  <w:style w:type="character" w:customStyle="1" w:styleId="670">
    <w:name w:val="lefter2"/>
    <w:qFormat/>
    <w:uiPriority w:val="0"/>
  </w:style>
  <w:style w:type="paragraph" w:customStyle="1" w:styleId="671">
    <w:name w:val="CM1"/>
    <w:basedOn w:val="1"/>
    <w:next w:val="1"/>
    <w:qFormat/>
    <w:uiPriority w:val="99"/>
    <w:pPr>
      <w:widowControl w:val="0"/>
      <w:autoSpaceDE w:val="0"/>
      <w:autoSpaceDN w:val="0"/>
      <w:adjustRightInd w:val="0"/>
    </w:pPr>
    <w:rPr>
      <w:rFonts w:ascii="宋体" w:hAnsi="等线"/>
      <w:lang w:eastAsia="zh-CN" w:bidi="ar-SA"/>
    </w:rPr>
  </w:style>
  <w:style w:type="paragraph" w:customStyle="1" w:styleId="672">
    <w:name w:val="CM59"/>
    <w:basedOn w:val="1"/>
    <w:next w:val="1"/>
    <w:qFormat/>
    <w:uiPriority w:val="99"/>
    <w:pPr>
      <w:widowControl w:val="0"/>
      <w:autoSpaceDE w:val="0"/>
      <w:autoSpaceDN w:val="0"/>
      <w:adjustRightInd w:val="0"/>
    </w:pPr>
    <w:rPr>
      <w:rFonts w:ascii="宋体" w:hAnsi="等线"/>
      <w:lang w:eastAsia="zh-CN" w:bidi="ar-SA"/>
    </w:rPr>
  </w:style>
  <w:style w:type="paragraph" w:customStyle="1" w:styleId="673">
    <w:name w:val="CM2"/>
    <w:basedOn w:val="1"/>
    <w:next w:val="1"/>
    <w:qFormat/>
    <w:uiPriority w:val="99"/>
    <w:pPr>
      <w:widowControl w:val="0"/>
      <w:autoSpaceDE w:val="0"/>
      <w:autoSpaceDN w:val="0"/>
      <w:adjustRightInd w:val="0"/>
      <w:spacing w:line="320" w:lineRule="atLeast"/>
    </w:pPr>
    <w:rPr>
      <w:rFonts w:ascii="宋体" w:hAnsi="等线"/>
      <w:lang w:eastAsia="zh-CN" w:bidi="ar-SA"/>
    </w:rPr>
  </w:style>
  <w:style w:type="paragraph" w:customStyle="1" w:styleId="674">
    <w:name w:val="CM62"/>
    <w:basedOn w:val="207"/>
    <w:next w:val="207"/>
    <w:qFormat/>
    <w:uiPriority w:val="99"/>
    <w:pPr>
      <w:spacing w:after="0" w:line="240" w:lineRule="auto"/>
    </w:pPr>
    <w:rPr>
      <w:rFonts w:ascii="宋体" w:hAnsi="等线"/>
      <w:color w:val="auto"/>
    </w:rPr>
  </w:style>
  <w:style w:type="paragraph" w:customStyle="1" w:styleId="675">
    <w:name w:val="CM63"/>
    <w:basedOn w:val="207"/>
    <w:next w:val="207"/>
    <w:qFormat/>
    <w:uiPriority w:val="99"/>
    <w:pPr>
      <w:spacing w:after="0" w:line="240" w:lineRule="auto"/>
    </w:pPr>
    <w:rPr>
      <w:rFonts w:ascii="宋体" w:hAnsi="等线"/>
      <w:color w:val="auto"/>
    </w:rPr>
  </w:style>
  <w:style w:type="paragraph" w:customStyle="1" w:styleId="676">
    <w:name w:val="CM12"/>
    <w:basedOn w:val="207"/>
    <w:next w:val="207"/>
    <w:qFormat/>
    <w:uiPriority w:val="99"/>
    <w:pPr>
      <w:spacing w:after="0" w:line="318" w:lineRule="atLeast"/>
    </w:pPr>
    <w:rPr>
      <w:rFonts w:ascii="宋体" w:hAnsi="等线"/>
      <w:color w:val="auto"/>
    </w:rPr>
  </w:style>
  <w:style w:type="paragraph" w:customStyle="1" w:styleId="677">
    <w:name w:val="CM11"/>
    <w:basedOn w:val="207"/>
    <w:next w:val="207"/>
    <w:qFormat/>
    <w:uiPriority w:val="99"/>
    <w:pPr>
      <w:spacing w:after="0" w:line="320" w:lineRule="atLeast"/>
    </w:pPr>
    <w:rPr>
      <w:rFonts w:ascii="宋体" w:hAnsi="等线"/>
      <w:color w:val="auto"/>
    </w:rPr>
  </w:style>
  <w:style w:type="paragraph" w:customStyle="1" w:styleId="678">
    <w:name w:val="CM20"/>
    <w:basedOn w:val="207"/>
    <w:next w:val="207"/>
    <w:qFormat/>
    <w:uiPriority w:val="99"/>
    <w:pPr>
      <w:spacing w:after="0" w:line="318" w:lineRule="atLeast"/>
    </w:pPr>
    <w:rPr>
      <w:rFonts w:ascii="宋体" w:hAnsi="等线"/>
      <w:color w:val="auto"/>
    </w:rPr>
  </w:style>
  <w:style w:type="paragraph" w:customStyle="1" w:styleId="679">
    <w:name w:val="CM3"/>
    <w:basedOn w:val="207"/>
    <w:next w:val="207"/>
    <w:qFormat/>
    <w:uiPriority w:val="99"/>
    <w:pPr>
      <w:spacing w:after="0" w:line="318" w:lineRule="atLeast"/>
    </w:pPr>
    <w:rPr>
      <w:rFonts w:ascii="宋体" w:hAnsi="等线"/>
      <w:color w:val="auto"/>
    </w:rPr>
  </w:style>
  <w:style w:type="paragraph" w:customStyle="1" w:styleId="680">
    <w:name w:val="CM21"/>
    <w:basedOn w:val="207"/>
    <w:next w:val="207"/>
    <w:qFormat/>
    <w:uiPriority w:val="99"/>
    <w:pPr>
      <w:spacing w:after="0" w:line="320" w:lineRule="atLeast"/>
    </w:pPr>
    <w:rPr>
      <w:rFonts w:ascii="宋体" w:hAnsi="等线"/>
      <w:color w:val="auto"/>
    </w:rPr>
  </w:style>
  <w:style w:type="paragraph" w:customStyle="1" w:styleId="681">
    <w:name w:val="CM22"/>
    <w:basedOn w:val="207"/>
    <w:next w:val="207"/>
    <w:qFormat/>
    <w:uiPriority w:val="99"/>
    <w:pPr>
      <w:spacing w:after="0" w:line="318" w:lineRule="atLeast"/>
    </w:pPr>
    <w:rPr>
      <w:rFonts w:ascii="宋体" w:hAnsi="等线"/>
      <w:color w:val="auto"/>
    </w:rPr>
  </w:style>
  <w:style w:type="paragraph" w:customStyle="1" w:styleId="682">
    <w:name w:val="CM65"/>
    <w:basedOn w:val="207"/>
    <w:next w:val="207"/>
    <w:qFormat/>
    <w:uiPriority w:val="99"/>
    <w:pPr>
      <w:spacing w:after="0" w:line="240" w:lineRule="auto"/>
    </w:pPr>
    <w:rPr>
      <w:rFonts w:ascii="宋体" w:hAnsi="等线"/>
      <w:color w:val="auto"/>
    </w:rPr>
  </w:style>
  <w:style w:type="paragraph" w:customStyle="1" w:styleId="683">
    <w:name w:val="CM19"/>
    <w:basedOn w:val="207"/>
    <w:next w:val="207"/>
    <w:qFormat/>
    <w:uiPriority w:val="99"/>
    <w:pPr>
      <w:spacing w:after="0" w:line="318" w:lineRule="atLeast"/>
    </w:pPr>
    <w:rPr>
      <w:rFonts w:ascii="宋体" w:hAnsi="等线"/>
      <w:color w:val="auto"/>
    </w:rPr>
  </w:style>
  <w:style w:type="paragraph" w:customStyle="1" w:styleId="684">
    <w:name w:val="CM26"/>
    <w:basedOn w:val="207"/>
    <w:next w:val="207"/>
    <w:qFormat/>
    <w:uiPriority w:val="99"/>
    <w:pPr>
      <w:spacing w:after="0" w:line="316" w:lineRule="atLeast"/>
    </w:pPr>
    <w:rPr>
      <w:rFonts w:ascii="宋体" w:hAnsi="等线"/>
      <w:color w:val="auto"/>
    </w:rPr>
  </w:style>
  <w:style w:type="paragraph" w:customStyle="1" w:styleId="685">
    <w:name w:val="CM27"/>
    <w:basedOn w:val="207"/>
    <w:next w:val="207"/>
    <w:qFormat/>
    <w:uiPriority w:val="99"/>
    <w:pPr>
      <w:spacing w:after="0" w:line="320" w:lineRule="atLeast"/>
    </w:pPr>
    <w:rPr>
      <w:rFonts w:ascii="宋体" w:hAnsi="等线"/>
      <w:color w:val="auto"/>
    </w:rPr>
  </w:style>
  <w:style w:type="paragraph" w:customStyle="1" w:styleId="686">
    <w:name w:val="CM16"/>
    <w:basedOn w:val="207"/>
    <w:next w:val="207"/>
    <w:qFormat/>
    <w:uiPriority w:val="99"/>
    <w:pPr>
      <w:spacing w:after="0" w:line="316" w:lineRule="atLeast"/>
    </w:pPr>
    <w:rPr>
      <w:rFonts w:ascii="宋体" w:hAnsi="等线"/>
      <w:color w:val="auto"/>
    </w:rPr>
  </w:style>
  <w:style w:type="paragraph" w:customStyle="1" w:styleId="687">
    <w:name w:val="CM60"/>
    <w:basedOn w:val="207"/>
    <w:next w:val="207"/>
    <w:qFormat/>
    <w:uiPriority w:val="99"/>
    <w:pPr>
      <w:spacing w:after="0" w:line="240" w:lineRule="auto"/>
    </w:pPr>
    <w:rPr>
      <w:rFonts w:ascii="宋体" w:hAnsi="等线"/>
      <w:color w:val="auto"/>
    </w:rPr>
  </w:style>
  <w:style w:type="paragraph" w:customStyle="1" w:styleId="688">
    <w:name w:val="CM10"/>
    <w:basedOn w:val="207"/>
    <w:next w:val="207"/>
    <w:qFormat/>
    <w:uiPriority w:val="99"/>
    <w:pPr>
      <w:spacing w:after="0" w:line="320" w:lineRule="atLeast"/>
    </w:pPr>
    <w:rPr>
      <w:rFonts w:ascii="宋体" w:hAnsi="等线"/>
      <w:color w:val="auto"/>
    </w:rPr>
  </w:style>
  <w:style w:type="paragraph" w:customStyle="1" w:styleId="689">
    <w:name w:val="CM13"/>
    <w:basedOn w:val="207"/>
    <w:next w:val="207"/>
    <w:qFormat/>
    <w:uiPriority w:val="99"/>
    <w:pPr>
      <w:spacing w:after="0" w:line="320" w:lineRule="atLeast"/>
    </w:pPr>
    <w:rPr>
      <w:rFonts w:ascii="宋体" w:hAnsi="等线"/>
      <w:color w:val="auto"/>
    </w:rPr>
  </w:style>
  <w:style w:type="paragraph" w:customStyle="1" w:styleId="690">
    <w:name w:val="CM64"/>
    <w:basedOn w:val="207"/>
    <w:next w:val="207"/>
    <w:qFormat/>
    <w:uiPriority w:val="99"/>
    <w:pPr>
      <w:spacing w:after="0" w:line="240" w:lineRule="auto"/>
    </w:pPr>
    <w:rPr>
      <w:rFonts w:ascii="宋体" w:hAnsi="等线"/>
      <w:color w:val="auto"/>
    </w:rPr>
  </w:style>
  <w:style w:type="paragraph" w:customStyle="1" w:styleId="691">
    <w:name w:val="CM30"/>
    <w:basedOn w:val="207"/>
    <w:next w:val="207"/>
    <w:qFormat/>
    <w:uiPriority w:val="99"/>
    <w:pPr>
      <w:spacing w:after="0" w:line="320" w:lineRule="atLeast"/>
    </w:pPr>
    <w:rPr>
      <w:rFonts w:ascii="宋体" w:hAnsi="等线"/>
      <w:color w:val="auto"/>
    </w:rPr>
  </w:style>
  <w:style w:type="paragraph" w:customStyle="1" w:styleId="692">
    <w:name w:val="CM32"/>
    <w:basedOn w:val="207"/>
    <w:next w:val="207"/>
    <w:qFormat/>
    <w:uiPriority w:val="99"/>
    <w:pPr>
      <w:spacing w:after="0" w:line="320" w:lineRule="atLeast"/>
    </w:pPr>
    <w:rPr>
      <w:rFonts w:ascii="宋体" w:hAnsi="等线"/>
      <w:color w:val="auto"/>
    </w:rPr>
  </w:style>
  <w:style w:type="paragraph" w:customStyle="1" w:styleId="693">
    <w:name w:val="CM41"/>
    <w:basedOn w:val="207"/>
    <w:next w:val="207"/>
    <w:qFormat/>
    <w:uiPriority w:val="99"/>
    <w:pPr>
      <w:spacing w:after="0" w:line="313" w:lineRule="atLeast"/>
    </w:pPr>
    <w:rPr>
      <w:rFonts w:ascii="宋体" w:hAnsi="等线"/>
      <w:color w:val="auto"/>
    </w:rPr>
  </w:style>
  <w:style w:type="paragraph" w:customStyle="1" w:styleId="694">
    <w:name w:val="CM42"/>
    <w:basedOn w:val="207"/>
    <w:next w:val="207"/>
    <w:qFormat/>
    <w:uiPriority w:val="99"/>
    <w:pPr>
      <w:spacing w:after="0" w:line="316" w:lineRule="atLeast"/>
    </w:pPr>
    <w:rPr>
      <w:rFonts w:ascii="宋体" w:hAnsi="等线"/>
      <w:color w:val="auto"/>
    </w:rPr>
  </w:style>
  <w:style w:type="paragraph" w:customStyle="1" w:styleId="695">
    <w:name w:val="CM43"/>
    <w:basedOn w:val="207"/>
    <w:next w:val="207"/>
    <w:qFormat/>
    <w:uiPriority w:val="99"/>
    <w:pPr>
      <w:spacing w:after="0" w:line="313" w:lineRule="atLeast"/>
    </w:pPr>
    <w:rPr>
      <w:rFonts w:ascii="宋体" w:hAnsi="等线"/>
      <w:color w:val="auto"/>
    </w:rPr>
  </w:style>
  <w:style w:type="paragraph" w:customStyle="1" w:styleId="696">
    <w:name w:val="CM44"/>
    <w:basedOn w:val="207"/>
    <w:next w:val="207"/>
    <w:qFormat/>
    <w:uiPriority w:val="99"/>
    <w:pPr>
      <w:spacing w:after="0" w:line="313" w:lineRule="atLeast"/>
    </w:pPr>
    <w:rPr>
      <w:rFonts w:ascii="宋体" w:hAnsi="等线"/>
      <w:color w:val="auto"/>
    </w:rPr>
  </w:style>
  <w:style w:type="paragraph" w:customStyle="1" w:styleId="697">
    <w:name w:val="CM61"/>
    <w:basedOn w:val="207"/>
    <w:next w:val="207"/>
    <w:qFormat/>
    <w:uiPriority w:val="99"/>
    <w:pPr>
      <w:spacing w:after="0" w:line="240" w:lineRule="auto"/>
    </w:pPr>
    <w:rPr>
      <w:rFonts w:ascii="宋体" w:hAnsi="等线"/>
      <w:color w:val="auto"/>
    </w:rPr>
  </w:style>
  <w:style w:type="paragraph" w:customStyle="1" w:styleId="698">
    <w:name w:val="CM29"/>
    <w:basedOn w:val="207"/>
    <w:next w:val="207"/>
    <w:qFormat/>
    <w:uiPriority w:val="99"/>
    <w:pPr>
      <w:spacing w:after="0" w:line="318" w:lineRule="atLeast"/>
    </w:pPr>
    <w:rPr>
      <w:rFonts w:ascii="宋体" w:hAnsi="等线"/>
      <w:color w:val="auto"/>
    </w:rPr>
  </w:style>
  <w:style w:type="paragraph" w:customStyle="1" w:styleId="699">
    <w:name w:val="CM4"/>
    <w:basedOn w:val="207"/>
    <w:next w:val="207"/>
    <w:qFormat/>
    <w:uiPriority w:val="99"/>
    <w:pPr>
      <w:spacing w:after="0" w:line="318" w:lineRule="atLeast"/>
    </w:pPr>
    <w:rPr>
      <w:rFonts w:ascii="宋体" w:hAnsi="等线"/>
      <w:color w:val="auto"/>
    </w:rPr>
  </w:style>
  <w:style w:type="paragraph" w:customStyle="1" w:styleId="700">
    <w:name w:val="投标正文"/>
    <w:basedOn w:val="1"/>
    <w:link w:val="701"/>
    <w:qFormat/>
    <w:uiPriority w:val="0"/>
    <w:pPr>
      <w:widowControl w:val="0"/>
      <w:spacing w:line="360" w:lineRule="auto"/>
      <w:ind w:firstLine="200" w:firstLineChars="200"/>
      <w:jc w:val="both"/>
    </w:pPr>
    <w:rPr>
      <w:kern w:val="2"/>
      <w:lang w:eastAsia="zh-CN" w:bidi="ar-SA"/>
    </w:rPr>
  </w:style>
  <w:style w:type="character" w:customStyle="1" w:styleId="701">
    <w:name w:val="投标正文 Char"/>
    <w:link w:val="700"/>
    <w:qFormat/>
    <w:uiPriority w:val="0"/>
    <w:rPr>
      <w:kern w:val="2"/>
      <w:sz w:val="24"/>
      <w:szCs w:val="24"/>
    </w:rPr>
  </w:style>
  <w:style w:type="paragraph" w:customStyle="1" w:styleId="702">
    <w:name w:val="Normal_2_0"/>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703">
    <w:name w:val="A正文"/>
    <w:basedOn w:val="1"/>
    <w:link w:val="704"/>
    <w:qFormat/>
    <w:uiPriority w:val="0"/>
    <w:pPr>
      <w:widowControl w:val="0"/>
      <w:spacing w:line="360" w:lineRule="auto"/>
      <w:ind w:firstLine="200" w:firstLineChars="200"/>
      <w:jc w:val="both"/>
    </w:pPr>
    <w:rPr>
      <w:kern w:val="2"/>
      <w:lang w:val="zh-CN" w:eastAsia="zh-CN" w:bidi="ar-SA"/>
    </w:rPr>
  </w:style>
  <w:style w:type="character" w:customStyle="1" w:styleId="704">
    <w:name w:val="A正文 Char Char"/>
    <w:link w:val="703"/>
    <w:qFormat/>
    <w:uiPriority w:val="0"/>
    <w:rPr>
      <w:kern w:val="2"/>
      <w:sz w:val="24"/>
      <w:szCs w:val="24"/>
      <w:lang w:val="zh-CN"/>
    </w:rPr>
  </w:style>
  <w:style w:type="paragraph" w:customStyle="1" w:styleId="705">
    <w:name w:val="修订3"/>
    <w:semiHidden/>
    <w:qFormat/>
    <w:uiPriority w:val="99"/>
    <w:rPr>
      <w:rFonts w:ascii="宋体" w:hAnsi="宋体" w:eastAsia="宋体" w:cs="Times New Roman"/>
      <w:sz w:val="24"/>
      <w:lang w:val="en-US" w:eastAsia="zh-CN" w:bidi="ar-SA"/>
    </w:rPr>
  </w:style>
  <w:style w:type="paragraph" w:customStyle="1" w:styleId="706">
    <w:name w:val="修订4"/>
    <w:unhideWhenUsed/>
    <w:qFormat/>
    <w:uiPriority w:val="99"/>
    <w:rPr>
      <w:rFonts w:ascii="宋体" w:hAnsi="宋体" w:eastAsia="宋体" w:cs="Times New Roman"/>
      <w:sz w:val="24"/>
      <w:lang w:val="en-US" w:eastAsia="zh-CN" w:bidi="ar-SA"/>
    </w:rPr>
  </w:style>
  <w:style w:type="paragraph" w:customStyle="1" w:styleId="707">
    <w:name w:val="修订5"/>
    <w:hidden/>
    <w:unhideWhenUsed/>
    <w:qFormat/>
    <w:uiPriority w:val="99"/>
    <w:rPr>
      <w:rFonts w:ascii="Times New Roman" w:hAnsi="Times New Roman" w:eastAsia="宋体" w:cs="Times New Roman"/>
      <w:sz w:val="24"/>
      <w:szCs w:val="24"/>
      <w:lang w:val="en-US" w:eastAsia="en-US" w:bidi="en-US"/>
    </w:rPr>
  </w:style>
  <w:style w:type="character" w:customStyle="1" w:styleId="708">
    <w:name w:val="未处理的提及4"/>
    <w:basedOn w:val="80"/>
    <w:semiHidden/>
    <w:unhideWhenUsed/>
    <w:qFormat/>
    <w:uiPriority w:val="99"/>
    <w:rPr>
      <w:color w:val="605E5C"/>
      <w:shd w:val="clear" w:color="auto" w:fill="E1DFDD"/>
    </w:rPr>
  </w:style>
  <w:style w:type="paragraph" w:customStyle="1" w:styleId="709">
    <w:name w:val="修订6"/>
    <w:hidden/>
    <w:unhideWhenUsed/>
    <w:qFormat/>
    <w:uiPriority w:val="99"/>
    <w:rPr>
      <w:rFonts w:ascii="Times New Roman" w:hAnsi="Times New Roman" w:eastAsia="宋体" w:cs="Times New Roman"/>
      <w:sz w:val="24"/>
      <w:szCs w:val="24"/>
      <w:lang w:val="en-US" w:eastAsia="en-US" w:bidi="en-US"/>
    </w:rPr>
  </w:style>
  <w:style w:type="paragraph" w:customStyle="1" w:styleId="710">
    <w:name w:val="Y0"/>
    <w:basedOn w:val="1"/>
    <w:qFormat/>
    <w:uiPriority w:val="0"/>
    <w:pPr>
      <w:spacing w:line="300" w:lineRule="auto"/>
    </w:pPr>
    <w:rPr>
      <w:sz w:val="18"/>
    </w:rPr>
  </w:style>
  <w:style w:type="paragraph" w:customStyle="1" w:styleId="711">
    <w:name w:val="YB"/>
    <w:basedOn w:val="710"/>
    <w:qFormat/>
    <w:uiPriority w:val="0"/>
    <w:pPr>
      <w:spacing w:before="50" w:beforeLines="50" w:after="50" w:afterLines="50"/>
      <w:ind w:firstLine="200" w:firstLineChars="200"/>
    </w:pPr>
    <w:rPr>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header" Target="header2.xml"/><Relationship Id="rId12" Type="http://schemas.openxmlformats.org/officeDocument/2006/relationships/footer" Target="footer9.xml"/><Relationship Id="rId11" Type="http://schemas.openxmlformats.org/officeDocument/2006/relationships/footer" Target="footer8.xml"/><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658046-902C-4334-962F-455318AEDC3F}">
  <ds:schemaRefs/>
</ds:datastoreItem>
</file>

<file path=docProps/app.xml><?xml version="1.0" encoding="utf-8"?>
<Properties xmlns="http://schemas.openxmlformats.org/officeDocument/2006/extended-properties" xmlns:vt="http://schemas.openxmlformats.org/officeDocument/2006/docPropsVTypes">
  <Pages>256</Pages>
  <Words>21299</Words>
  <Characters>22852</Characters>
  <Lines>1</Lines>
  <Paragraphs>1</Paragraphs>
  <TotalTime>2</TotalTime>
  <ScaleCrop>false</ScaleCrop>
  <LinksUpToDate>false</LinksUpToDate>
  <CharactersWithSpaces>23687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2025-06-02T11:40:00Z</dcterms:created>
  <dc:creator>wangshengxiang</dc:creator>
  <cp:lastModifiedBy>你花</cp:lastModifiedBy>
  <cp:lastPrinted>2023-10-17T14:47:00Z</cp:lastPrinted>
  <dcterms:modified xsi:type="dcterms:W3CDTF">2025-12-01T07:20:56Z</dcterms:modified>
  <dc:title>SF-2019-0204</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390FDDB273354A18B946D1B7D52D0033_13</vt:lpwstr>
  </property>
  <property fmtid="{D5CDD505-2E9C-101B-9397-08002B2CF9AE}" pid="4" name="KSOTemplateDocerSaveRecord">
    <vt:lpwstr>eyJoZGlkIjoiZTg2MDNkZDYxOTRhYjZjMWEwZDE2YmVhYTVmNDMwZTYiLCJ1c2VySWQiOiIyOTU0MjQwOTkifQ==</vt:lpwstr>
  </property>
</Properties>
</file>