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bCs/>
          <w:color w:val="auto"/>
          <w:sz w:val="44"/>
          <w:szCs w:val="44"/>
          <w:highlight w:val="none"/>
        </w:rPr>
      </w:pPr>
      <w:bookmarkStart w:id="0" w:name="_Hlk3970703"/>
    </w:p>
    <w:p>
      <w:pPr>
        <w:spacing w:line="360" w:lineRule="auto"/>
        <w:jc w:val="center"/>
        <w:rPr>
          <w:rFonts w:hint="eastAsia" w:ascii="宋体" w:hAnsi="宋体" w:eastAsia="宋体"/>
          <w:b/>
          <w:bCs/>
          <w:color w:val="auto"/>
          <w:sz w:val="44"/>
          <w:szCs w:val="44"/>
          <w:highlight w:val="none"/>
          <w:lang w:eastAsia="zh-CN"/>
        </w:rPr>
      </w:pPr>
      <w:r>
        <w:rPr>
          <w:rFonts w:hint="eastAsia" w:ascii="宋体" w:hAnsi="宋体" w:eastAsia="宋体"/>
          <w:b/>
          <w:bCs/>
          <w:color w:val="auto"/>
          <w:sz w:val="44"/>
          <w:szCs w:val="44"/>
          <w:highlight w:val="none"/>
          <w:lang w:eastAsia="zh-CN"/>
        </w:rPr>
        <w:t>新港港务分公司新建粮食筒仓工程</w:t>
      </w:r>
      <w:r>
        <w:rPr>
          <w:rFonts w:hint="eastAsia" w:ascii="宋体" w:hAnsi="宋体"/>
          <w:b/>
          <w:bCs/>
          <w:color w:val="auto"/>
          <w:sz w:val="44"/>
          <w:szCs w:val="44"/>
          <w:highlight w:val="none"/>
          <w:lang w:val="en-US" w:eastAsia="zh-CN"/>
        </w:rPr>
        <w:t xml:space="preserve">          </w:t>
      </w:r>
      <w:r>
        <w:rPr>
          <w:rFonts w:hint="eastAsia" w:ascii="宋体" w:hAnsi="宋体" w:eastAsia="宋体"/>
          <w:b/>
          <w:bCs/>
          <w:color w:val="auto"/>
          <w:sz w:val="44"/>
          <w:szCs w:val="44"/>
          <w:highlight w:val="none"/>
          <w:lang w:eastAsia="zh-CN"/>
        </w:rPr>
        <w:t>土建工程施工</w:t>
      </w:r>
    </w:p>
    <w:p>
      <w:pPr>
        <w:spacing w:before="1902" w:beforeLines="600" w:line="360" w:lineRule="auto"/>
        <w:jc w:val="center"/>
        <w:rPr>
          <w:rFonts w:hint="eastAsia" w:ascii="宋体" w:hAnsi="宋体"/>
          <w:b/>
          <w:bCs/>
          <w:color w:val="auto"/>
          <w:spacing w:val="26"/>
          <w:sz w:val="72"/>
          <w:szCs w:val="72"/>
          <w:highlight w:val="none"/>
        </w:rPr>
      </w:pPr>
    </w:p>
    <w:p>
      <w:pPr>
        <w:spacing w:before="1902" w:beforeLines="600" w:line="360" w:lineRule="auto"/>
        <w:jc w:val="center"/>
        <w:rPr>
          <w:rFonts w:ascii="宋体" w:hAnsi="宋体"/>
          <w:b/>
          <w:bCs/>
          <w:color w:val="auto"/>
          <w:spacing w:val="26"/>
          <w:sz w:val="72"/>
          <w:szCs w:val="72"/>
          <w:highlight w:val="none"/>
        </w:rPr>
      </w:pPr>
      <w:r>
        <w:rPr>
          <w:rFonts w:hint="eastAsia" w:ascii="宋体" w:hAnsi="宋体"/>
          <w:b/>
          <w:bCs/>
          <w:color w:val="auto"/>
          <w:spacing w:val="26"/>
          <w:sz w:val="72"/>
          <w:szCs w:val="72"/>
          <w:highlight w:val="none"/>
        </w:rPr>
        <w:t>招标文件</w:t>
      </w:r>
    </w:p>
    <w:p>
      <w:pPr>
        <w:spacing w:before="3804" w:beforeLines="1200" w:line="360" w:lineRule="auto"/>
        <w:jc w:val="center"/>
        <w:rPr>
          <w:rFonts w:hint="eastAsia" w:ascii="宋体" w:hAnsi="宋体" w:eastAsia="宋体"/>
          <w:b/>
          <w:bCs/>
          <w:color w:val="auto"/>
          <w:sz w:val="28"/>
          <w:szCs w:val="28"/>
          <w:highlight w:val="none"/>
          <w:u w:val="single"/>
          <w:lang w:eastAsia="zh-CN"/>
        </w:rPr>
      </w:pPr>
      <w:r>
        <w:rPr>
          <w:rFonts w:hint="eastAsia" w:ascii="宋体" w:hAnsi="宋体"/>
          <w:b/>
          <w:bCs/>
          <w:color w:val="auto"/>
          <w:sz w:val="28"/>
          <w:szCs w:val="28"/>
          <w:highlight w:val="none"/>
        </w:rPr>
        <w:t>招标单位：</w:t>
      </w:r>
      <w:r>
        <w:rPr>
          <w:rFonts w:hint="eastAsia" w:ascii="宋体" w:hAnsi="宋体"/>
          <w:b/>
          <w:bCs/>
          <w:color w:val="auto"/>
          <w:sz w:val="28"/>
          <w:szCs w:val="28"/>
          <w:highlight w:val="none"/>
          <w:u w:val="single"/>
          <w:lang w:eastAsia="zh-CN"/>
        </w:rPr>
        <w:t>广州港股份有限公司</w:t>
      </w:r>
    </w:p>
    <w:p>
      <w:pPr>
        <w:spacing w:line="360" w:lineRule="auto"/>
        <w:jc w:val="center"/>
        <w:rPr>
          <w:rFonts w:hint="eastAsia" w:ascii="宋体" w:hAnsi="宋体" w:eastAsia="宋体"/>
          <w:b/>
          <w:bCs/>
          <w:color w:val="auto"/>
          <w:sz w:val="28"/>
          <w:szCs w:val="28"/>
          <w:highlight w:val="none"/>
          <w:u w:val="single"/>
          <w:lang w:eastAsia="zh-CN"/>
        </w:rPr>
      </w:pPr>
      <w:r>
        <w:rPr>
          <w:rFonts w:hint="eastAsia" w:ascii="宋体" w:hAnsi="宋体"/>
          <w:b/>
          <w:bCs/>
          <w:color w:val="auto"/>
          <w:sz w:val="28"/>
          <w:szCs w:val="28"/>
          <w:highlight w:val="none"/>
        </w:rPr>
        <w:t>招标代理单位：</w:t>
      </w:r>
      <w:r>
        <w:rPr>
          <w:rFonts w:hint="eastAsia" w:ascii="宋体" w:hAnsi="宋体"/>
          <w:b/>
          <w:bCs/>
          <w:color w:val="auto"/>
          <w:sz w:val="28"/>
          <w:szCs w:val="28"/>
          <w:highlight w:val="none"/>
          <w:u w:val="single"/>
          <w:lang w:eastAsia="zh-CN"/>
        </w:rPr>
        <w:t>广州港工程管理有限公司</w:t>
      </w:r>
    </w:p>
    <w:p>
      <w:pPr>
        <w:spacing w:line="360" w:lineRule="auto"/>
        <w:jc w:val="center"/>
        <w:rPr>
          <w:rStyle w:val="47"/>
          <w:rFonts w:ascii="宋体" w:hAnsi="宋体" w:eastAsia="宋体"/>
          <w:b/>
          <w:bCs/>
          <w:color w:val="auto"/>
          <w:sz w:val="28"/>
          <w:szCs w:val="28"/>
          <w:highlight w:val="none"/>
        </w:rPr>
        <w:sectPr>
          <w:headerReference r:id="rId5" w:type="first"/>
          <w:headerReference r:id="rId3" w:type="default"/>
          <w:footerReference r:id="rId6" w:type="default"/>
          <w:headerReference r:id="rId4" w:type="even"/>
          <w:footerReference r:id="rId7" w:type="even"/>
          <w:endnotePr>
            <w:numFmt w:val="decimal"/>
          </w:endnotePr>
          <w:pgSz w:w="11906" w:h="16838"/>
          <w:pgMar w:top="1417" w:right="1416" w:bottom="1417" w:left="1417" w:header="851" w:footer="567" w:gutter="0"/>
          <w:pgNumType w:start="1"/>
          <w:cols w:space="720" w:num="1"/>
          <w:titlePg/>
          <w:docGrid w:type="lines" w:linePitch="317" w:charSpace="0"/>
        </w:sectPr>
      </w:pPr>
      <w:r>
        <w:rPr>
          <w:rFonts w:hint="eastAsia" w:ascii="宋体" w:hAnsi="宋体"/>
          <w:b/>
          <w:bCs/>
          <w:color w:val="auto"/>
          <w:sz w:val="28"/>
          <w:szCs w:val="28"/>
          <w:highlight w:val="none"/>
        </w:rPr>
        <w:t>日期：</w:t>
      </w:r>
      <w:r>
        <w:rPr>
          <w:rFonts w:hint="eastAsia" w:ascii="宋体" w:hAnsi="宋体"/>
          <w:b/>
          <w:bCs/>
          <w:color w:val="auto"/>
          <w:sz w:val="28"/>
          <w:szCs w:val="28"/>
          <w:highlight w:val="none"/>
          <w:u w:val="single"/>
        </w:rPr>
        <w:t>202</w:t>
      </w:r>
      <w:r>
        <w:rPr>
          <w:rFonts w:hint="eastAsia" w:ascii="宋体" w:hAnsi="宋体"/>
          <w:b/>
          <w:bCs/>
          <w:color w:val="auto"/>
          <w:sz w:val="28"/>
          <w:szCs w:val="28"/>
          <w:highlight w:val="none"/>
          <w:u w:val="single"/>
          <w:lang w:val="en-US" w:eastAsia="zh-CN"/>
        </w:rPr>
        <w:t>5</w:t>
      </w:r>
      <w:r>
        <w:rPr>
          <w:rFonts w:hint="eastAsia" w:ascii="宋体" w:hAnsi="宋体"/>
          <w:b/>
          <w:bCs/>
          <w:color w:val="auto"/>
          <w:sz w:val="28"/>
          <w:szCs w:val="28"/>
          <w:highlight w:val="none"/>
        </w:rPr>
        <w:t>年</w:t>
      </w:r>
      <w:r>
        <w:rPr>
          <w:rFonts w:hint="eastAsia" w:ascii="宋体" w:hAnsi="宋体"/>
          <w:b/>
          <w:bCs/>
          <w:color w:val="auto"/>
          <w:sz w:val="28"/>
          <w:szCs w:val="28"/>
          <w:highlight w:val="none"/>
          <w:u w:val="single"/>
          <w:lang w:val="en-US" w:eastAsia="zh-CN"/>
        </w:rPr>
        <w:t>12</w:t>
      </w:r>
      <w:r>
        <w:rPr>
          <w:rFonts w:hint="eastAsia" w:ascii="宋体" w:hAnsi="宋体"/>
          <w:b/>
          <w:bCs/>
          <w:color w:val="auto"/>
          <w:sz w:val="28"/>
          <w:szCs w:val="28"/>
          <w:highlight w:val="none"/>
        </w:rPr>
        <w:t>月</w:t>
      </w:r>
    </w:p>
    <w:p>
      <w:pPr>
        <w:jc w:val="center"/>
        <w:rPr>
          <w:rFonts w:ascii="宋体" w:hAnsi="宋体"/>
          <w:b/>
          <w:caps/>
          <w:color w:val="auto"/>
          <w:kern w:val="0"/>
          <w:sz w:val="30"/>
          <w:szCs w:val="30"/>
          <w:highlight w:val="none"/>
        </w:rPr>
      </w:pPr>
      <w:r>
        <w:rPr>
          <w:rStyle w:val="47"/>
          <w:rFonts w:hint="eastAsia" w:ascii="宋体" w:hAnsi="宋体" w:eastAsia="宋体"/>
          <w:b/>
          <w:bCs/>
          <w:color w:val="auto"/>
          <w:sz w:val="30"/>
          <w:szCs w:val="30"/>
          <w:highlight w:val="none"/>
        </w:rPr>
        <w:t>目录</w:t>
      </w:r>
    </w:p>
    <w:p>
      <w:pPr>
        <w:pStyle w:val="26"/>
        <w:tabs>
          <w:tab w:val="right" w:leader="dot" w:pos="9073"/>
          <w:tab w:val="clear" w:pos="9060"/>
        </w:tabs>
        <w:rPr>
          <w:rFonts w:eastAsia="宋体" w:cs="宋体"/>
          <w:color w:val="auto"/>
          <w:szCs w:val="24"/>
          <w:highlight w:val="none"/>
        </w:rPr>
      </w:pPr>
      <w:r>
        <w:rPr>
          <w:rFonts w:hint="eastAsia" w:eastAsia="宋体" w:cs="宋体"/>
          <w:color w:val="auto"/>
          <w:szCs w:val="24"/>
          <w:highlight w:val="none"/>
        </w:rPr>
        <w:fldChar w:fldCharType="begin"/>
      </w:r>
      <w:r>
        <w:rPr>
          <w:rFonts w:hint="eastAsia" w:eastAsia="宋体" w:cs="宋体"/>
          <w:color w:val="auto"/>
          <w:szCs w:val="24"/>
          <w:highlight w:val="none"/>
        </w:rPr>
        <w:instrText xml:space="preserve"> TOC \o "1-3" \h \z \u </w:instrText>
      </w:r>
      <w:r>
        <w:rPr>
          <w:rFonts w:hint="eastAsia" w:eastAsia="宋体" w:cs="宋体"/>
          <w:color w:val="auto"/>
          <w:szCs w:val="24"/>
          <w:highlight w:val="none"/>
        </w:rPr>
        <w:fldChar w:fldCharType="separate"/>
      </w:r>
      <w:r>
        <w:rPr>
          <w:color w:val="auto"/>
          <w:highlight w:val="none"/>
        </w:rPr>
        <w:fldChar w:fldCharType="begin"/>
      </w:r>
      <w:r>
        <w:rPr>
          <w:color w:val="auto"/>
          <w:highlight w:val="none"/>
        </w:rPr>
        <w:instrText xml:space="preserve"> HYPERLINK \l "_Toc7511" </w:instrText>
      </w:r>
      <w:r>
        <w:rPr>
          <w:color w:val="auto"/>
          <w:highlight w:val="none"/>
        </w:rPr>
        <w:fldChar w:fldCharType="separate"/>
      </w:r>
      <w:r>
        <w:rPr>
          <w:rFonts w:hint="eastAsia" w:eastAsia="宋体" w:cs="宋体"/>
          <w:bCs/>
          <w:color w:val="auto"/>
          <w:szCs w:val="24"/>
          <w:highlight w:val="none"/>
        </w:rPr>
        <w:t>第一章  投标须知</w:t>
      </w:r>
      <w:r>
        <w:rPr>
          <w:rFonts w:hint="eastAsia" w:eastAsia="宋体" w:cs="宋体"/>
          <w:color w:val="auto"/>
          <w:szCs w:val="24"/>
          <w:highlight w:val="none"/>
        </w:rPr>
        <w:tab/>
      </w:r>
      <w:r>
        <w:rPr>
          <w:rFonts w:hint="eastAsia" w:eastAsia="宋体" w:cs="宋体"/>
          <w:color w:val="auto"/>
          <w:szCs w:val="24"/>
          <w:highlight w:val="none"/>
        </w:rPr>
        <w:fldChar w:fldCharType="begin"/>
      </w:r>
      <w:r>
        <w:rPr>
          <w:rFonts w:hint="eastAsia" w:eastAsia="宋体" w:cs="宋体"/>
          <w:color w:val="auto"/>
          <w:szCs w:val="24"/>
          <w:highlight w:val="none"/>
        </w:rPr>
        <w:instrText xml:space="preserve"> PAGEREF _Toc7511 \h </w:instrText>
      </w:r>
      <w:r>
        <w:rPr>
          <w:rFonts w:hint="eastAsia" w:eastAsia="宋体" w:cs="宋体"/>
          <w:color w:val="auto"/>
          <w:szCs w:val="24"/>
          <w:highlight w:val="none"/>
        </w:rPr>
        <w:fldChar w:fldCharType="separate"/>
      </w:r>
      <w:r>
        <w:rPr>
          <w:rFonts w:hint="eastAsia" w:eastAsia="宋体" w:cs="宋体"/>
          <w:color w:val="auto"/>
          <w:szCs w:val="24"/>
          <w:highlight w:val="none"/>
        </w:rPr>
        <w:t>2</w:t>
      </w:r>
      <w:r>
        <w:rPr>
          <w:rFonts w:hint="eastAsia" w:eastAsia="宋体" w:cs="宋体"/>
          <w:color w:val="auto"/>
          <w:szCs w:val="24"/>
          <w:highlight w:val="none"/>
        </w:rPr>
        <w:fldChar w:fldCharType="end"/>
      </w:r>
      <w:r>
        <w:rPr>
          <w:rFonts w:hint="eastAsia" w:eastAsia="宋体" w:cs="宋体"/>
          <w:color w:val="auto"/>
          <w:szCs w:val="24"/>
          <w:highlight w:val="none"/>
        </w:rPr>
        <w:fldChar w:fldCharType="end"/>
      </w:r>
    </w:p>
    <w:p>
      <w:pPr>
        <w:pStyle w:val="31"/>
        <w:tabs>
          <w:tab w:val="right" w:leader="dot" w:pos="9073"/>
          <w:tab w:val="clear" w:pos="9060"/>
        </w:tabs>
        <w:ind w:left="0" w:leftChars="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"_Toc3404" </w:instrText>
      </w:r>
      <w:r>
        <w:rPr>
          <w:color w:val="auto"/>
          <w:highlight w:val="none"/>
        </w:rPr>
        <w:fldChar w:fldCharType="separate"/>
      </w:r>
      <w:r>
        <w:rPr>
          <w:rFonts w:hint="eastAsia" w:ascii="宋体" w:hAnsi="宋体" w:eastAsia="宋体" w:cs="宋体"/>
          <w:color w:val="auto"/>
          <w:highlight w:val="none"/>
        </w:rPr>
        <w:t>第二章  开标、评标及定标办法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_Toc3404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6"/>
        <w:tabs>
          <w:tab w:val="right" w:leader="dot" w:pos="9073"/>
          <w:tab w:val="clear" w:pos="9060"/>
        </w:tabs>
        <w:rPr>
          <w:rFonts w:eastAsia="宋体" w:cs="宋体"/>
          <w:color w:val="auto"/>
          <w:szCs w:val="24"/>
          <w:highlight w:val="none"/>
        </w:rPr>
      </w:pPr>
      <w:r>
        <w:rPr>
          <w:color w:val="auto"/>
          <w:highlight w:val="none"/>
        </w:rPr>
        <w:fldChar w:fldCharType="begin"/>
      </w:r>
      <w:r>
        <w:rPr>
          <w:color w:val="auto"/>
          <w:highlight w:val="none"/>
        </w:rPr>
        <w:instrText xml:space="preserve"> HYPERLINK \l "_Toc18472" </w:instrText>
      </w:r>
      <w:r>
        <w:rPr>
          <w:color w:val="auto"/>
          <w:highlight w:val="none"/>
        </w:rPr>
        <w:fldChar w:fldCharType="separate"/>
      </w:r>
      <w:r>
        <w:rPr>
          <w:rFonts w:hint="eastAsia" w:eastAsia="宋体" w:cs="宋体"/>
          <w:bCs/>
          <w:color w:val="auto"/>
          <w:szCs w:val="24"/>
          <w:highlight w:val="none"/>
        </w:rPr>
        <w:t>第三章  合同条款</w:t>
      </w:r>
      <w:r>
        <w:rPr>
          <w:rFonts w:hint="eastAsia" w:eastAsia="宋体" w:cs="宋体"/>
          <w:color w:val="auto"/>
          <w:szCs w:val="24"/>
          <w:highlight w:val="none"/>
        </w:rPr>
        <w:tab/>
      </w:r>
      <w:r>
        <w:rPr>
          <w:rFonts w:hint="eastAsia" w:eastAsia="宋体" w:cs="宋体"/>
          <w:color w:val="auto"/>
          <w:szCs w:val="24"/>
          <w:highlight w:val="none"/>
        </w:rPr>
        <w:fldChar w:fldCharType="begin"/>
      </w:r>
      <w:r>
        <w:rPr>
          <w:rFonts w:hint="eastAsia" w:eastAsia="宋体" w:cs="宋体"/>
          <w:color w:val="auto"/>
          <w:szCs w:val="24"/>
          <w:highlight w:val="none"/>
        </w:rPr>
        <w:instrText xml:space="preserve"> PAGEREF _Toc18472 \h </w:instrText>
      </w:r>
      <w:r>
        <w:rPr>
          <w:rFonts w:hint="eastAsia" w:eastAsia="宋体" w:cs="宋体"/>
          <w:color w:val="auto"/>
          <w:szCs w:val="24"/>
          <w:highlight w:val="none"/>
        </w:rPr>
        <w:fldChar w:fldCharType="separate"/>
      </w:r>
      <w:r>
        <w:rPr>
          <w:rFonts w:hint="eastAsia" w:eastAsia="宋体" w:cs="宋体"/>
          <w:color w:val="auto"/>
          <w:szCs w:val="24"/>
          <w:highlight w:val="none"/>
        </w:rPr>
        <w:t>60</w:t>
      </w:r>
      <w:r>
        <w:rPr>
          <w:rFonts w:hint="eastAsia" w:eastAsia="宋体" w:cs="宋体"/>
          <w:color w:val="auto"/>
          <w:szCs w:val="24"/>
          <w:highlight w:val="none"/>
        </w:rPr>
        <w:fldChar w:fldCharType="end"/>
      </w:r>
      <w:r>
        <w:rPr>
          <w:rFonts w:hint="eastAsia" w:eastAsia="宋体" w:cs="宋体"/>
          <w:color w:val="auto"/>
          <w:szCs w:val="24"/>
          <w:highlight w:val="none"/>
        </w:rPr>
        <w:fldChar w:fldCharType="end"/>
      </w:r>
    </w:p>
    <w:p>
      <w:pPr>
        <w:pStyle w:val="26"/>
        <w:tabs>
          <w:tab w:val="right" w:leader="dot" w:pos="9073"/>
          <w:tab w:val="clear" w:pos="9060"/>
        </w:tabs>
        <w:rPr>
          <w:rFonts w:eastAsia="宋体" w:cs="宋体"/>
          <w:color w:val="auto"/>
          <w:szCs w:val="24"/>
          <w:highlight w:val="none"/>
        </w:rPr>
      </w:pPr>
      <w:r>
        <w:rPr>
          <w:color w:val="auto"/>
          <w:highlight w:val="none"/>
        </w:rPr>
        <w:fldChar w:fldCharType="begin"/>
      </w:r>
      <w:r>
        <w:rPr>
          <w:color w:val="auto"/>
          <w:highlight w:val="none"/>
        </w:rPr>
        <w:instrText xml:space="preserve"> HYPERLINK \l "_Toc27420" </w:instrText>
      </w:r>
      <w:r>
        <w:rPr>
          <w:color w:val="auto"/>
          <w:highlight w:val="none"/>
        </w:rPr>
        <w:fldChar w:fldCharType="separate"/>
      </w:r>
      <w:r>
        <w:rPr>
          <w:rFonts w:hint="eastAsia" w:eastAsia="宋体" w:cs="宋体"/>
          <w:bCs/>
          <w:color w:val="auto"/>
          <w:szCs w:val="24"/>
          <w:highlight w:val="none"/>
        </w:rPr>
        <w:t>第四章  投标文件格式</w:t>
      </w:r>
      <w:r>
        <w:rPr>
          <w:rFonts w:hint="eastAsia" w:eastAsia="宋体" w:cs="宋体"/>
          <w:color w:val="auto"/>
          <w:szCs w:val="24"/>
          <w:highlight w:val="none"/>
        </w:rPr>
        <w:tab/>
      </w:r>
      <w:r>
        <w:rPr>
          <w:rFonts w:hint="eastAsia" w:eastAsia="宋体" w:cs="宋体"/>
          <w:color w:val="auto"/>
          <w:szCs w:val="24"/>
          <w:highlight w:val="none"/>
        </w:rPr>
        <w:fldChar w:fldCharType="begin"/>
      </w:r>
      <w:r>
        <w:rPr>
          <w:rFonts w:hint="eastAsia" w:eastAsia="宋体" w:cs="宋体"/>
          <w:color w:val="auto"/>
          <w:szCs w:val="24"/>
          <w:highlight w:val="none"/>
        </w:rPr>
        <w:instrText xml:space="preserve"> PAGEREF _Toc27420 \h </w:instrText>
      </w:r>
      <w:r>
        <w:rPr>
          <w:rFonts w:hint="eastAsia" w:eastAsia="宋体" w:cs="宋体"/>
          <w:color w:val="auto"/>
          <w:szCs w:val="24"/>
          <w:highlight w:val="none"/>
        </w:rPr>
        <w:fldChar w:fldCharType="separate"/>
      </w:r>
      <w:r>
        <w:rPr>
          <w:rFonts w:hint="eastAsia" w:eastAsia="宋体" w:cs="宋体"/>
          <w:color w:val="auto"/>
          <w:szCs w:val="24"/>
          <w:highlight w:val="none"/>
        </w:rPr>
        <w:t>61</w:t>
      </w:r>
      <w:r>
        <w:rPr>
          <w:rFonts w:hint="eastAsia" w:eastAsia="宋体" w:cs="宋体"/>
          <w:color w:val="auto"/>
          <w:szCs w:val="24"/>
          <w:highlight w:val="none"/>
        </w:rPr>
        <w:fldChar w:fldCharType="end"/>
      </w:r>
      <w:r>
        <w:rPr>
          <w:rFonts w:hint="eastAsia" w:eastAsia="宋体" w:cs="宋体"/>
          <w:color w:val="auto"/>
          <w:szCs w:val="24"/>
          <w:highlight w:val="none"/>
        </w:rPr>
        <w:fldChar w:fldCharType="end"/>
      </w:r>
    </w:p>
    <w:p>
      <w:pPr>
        <w:pStyle w:val="26"/>
        <w:tabs>
          <w:tab w:val="right" w:leader="dot" w:pos="9073"/>
          <w:tab w:val="clear" w:pos="9060"/>
        </w:tabs>
        <w:rPr>
          <w:rFonts w:eastAsia="宋体" w:cs="宋体"/>
          <w:color w:val="auto"/>
          <w:szCs w:val="24"/>
          <w:highlight w:val="none"/>
        </w:rPr>
      </w:pPr>
      <w:r>
        <w:rPr>
          <w:color w:val="auto"/>
          <w:highlight w:val="none"/>
        </w:rPr>
        <w:fldChar w:fldCharType="begin"/>
      </w:r>
      <w:r>
        <w:rPr>
          <w:color w:val="auto"/>
          <w:highlight w:val="none"/>
        </w:rPr>
        <w:instrText xml:space="preserve"> HYPERLINK \l "_Toc17698" </w:instrText>
      </w:r>
      <w:r>
        <w:rPr>
          <w:color w:val="auto"/>
          <w:highlight w:val="none"/>
        </w:rPr>
        <w:fldChar w:fldCharType="separate"/>
      </w:r>
      <w:r>
        <w:rPr>
          <w:rFonts w:hint="eastAsia" w:eastAsia="宋体" w:cs="宋体"/>
          <w:color w:val="auto"/>
          <w:szCs w:val="24"/>
          <w:highlight w:val="none"/>
        </w:rPr>
        <w:t>第五章  技术条件（工程建设标准）</w:t>
      </w:r>
      <w:r>
        <w:rPr>
          <w:rFonts w:hint="eastAsia" w:eastAsia="宋体" w:cs="宋体"/>
          <w:color w:val="auto"/>
          <w:szCs w:val="24"/>
          <w:highlight w:val="none"/>
        </w:rPr>
        <w:tab/>
      </w:r>
      <w:r>
        <w:rPr>
          <w:rFonts w:hint="eastAsia" w:eastAsia="宋体" w:cs="宋体"/>
          <w:color w:val="auto"/>
          <w:szCs w:val="24"/>
          <w:highlight w:val="none"/>
        </w:rPr>
        <w:fldChar w:fldCharType="begin"/>
      </w:r>
      <w:r>
        <w:rPr>
          <w:rFonts w:hint="eastAsia" w:eastAsia="宋体" w:cs="宋体"/>
          <w:color w:val="auto"/>
          <w:szCs w:val="24"/>
          <w:highlight w:val="none"/>
        </w:rPr>
        <w:instrText xml:space="preserve"> PAGEREF _Toc17698 \h </w:instrText>
      </w:r>
      <w:r>
        <w:rPr>
          <w:rFonts w:hint="eastAsia" w:eastAsia="宋体" w:cs="宋体"/>
          <w:color w:val="auto"/>
          <w:szCs w:val="24"/>
          <w:highlight w:val="none"/>
        </w:rPr>
        <w:fldChar w:fldCharType="separate"/>
      </w:r>
      <w:r>
        <w:rPr>
          <w:rFonts w:hint="eastAsia" w:eastAsia="宋体" w:cs="宋体"/>
          <w:color w:val="auto"/>
          <w:szCs w:val="24"/>
          <w:highlight w:val="none"/>
        </w:rPr>
        <w:t>74</w:t>
      </w:r>
      <w:r>
        <w:rPr>
          <w:rFonts w:hint="eastAsia" w:eastAsia="宋体" w:cs="宋体"/>
          <w:color w:val="auto"/>
          <w:szCs w:val="24"/>
          <w:highlight w:val="none"/>
        </w:rPr>
        <w:fldChar w:fldCharType="end"/>
      </w:r>
      <w:r>
        <w:rPr>
          <w:rFonts w:hint="eastAsia" w:eastAsia="宋体" w:cs="宋体"/>
          <w:color w:val="auto"/>
          <w:szCs w:val="24"/>
          <w:highlight w:val="none"/>
        </w:rPr>
        <w:fldChar w:fldCharType="end"/>
      </w:r>
    </w:p>
    <w:p>
      <w:pPr>
        <w:pStyle w:val="26"/>
        <w:tabs>
          <w:tab w:val="right" w:leader="dot" w:pos="9073"/>
          <w:tab w:val="clear" w:pos="9060"/>
        </w:tabs>
        <w:rPr>
          <w:rFonts w:eastAsia="宋体" w:cs="宋体"/>
          <w:color w:val="auto"/>
          <w:szCs w:val="24"/>
          <w:highlight w:val="none"/>
        </w:rPr>
      </w:pPr>
      <w:r>
        <w:rPr>
          <w:color w:val="auto"/>
          <w:highlight w:val="none"/>
        </w:rPr>
        <w:fldChar w:fldCharType="begin"/>
      </w:r>
      <w:r>
        <w:rPr>
          <w:color w:val="auto"/>
          <w:highlight w:val="none"/>
        </w:rPr>
        <w:instrText xml:space="preserve"> HYPERLINK \l "_Toc4616" </w:instrText>
      </w:r>
      <w:r>
        <w:rPr>
          <w:color w:val="auto"/>
          <w:highlight w:val="none"/>
        </w:rPr>
        <w:fldChar w:fldCharType="separate"/>
      </w:r>
      <w:r>
        <w:rPr>
          <w:rFonts w:hint="eastAsia" w:eastAsia="宋体" w:cs="宋体"/>
          <w:bCs/>
          <w:color w:val="auto"/>
          <w:szCs w:val="24"/>
          <w:highlight w:val="none"/>
        </w:rPr>
        <w:t>第六章  图纸及勘察资料</w:t>
      </w:r>
      <w:r>
        <w:rPr>
          <w:rFonts w:hint="eastAsia" w:eastAsia="宋体" w:cs="宋体"/>
          <w:color w:val="auto"/>
          <w:szCs w:val="24"/>
          <w:highlight w:val="none"/>
        </w:rPr>
        <w:tab/>
      </w:r>
      <w:r>
        <w:rPr>
          <w:rFonts w:hint="eastAsia" w:eastAsia="宋体" w:cs="宋体"/>
          <w:color w:val="auto"/>
          <w:szCs w:val="24"/>
          <w:highlight w:val="none"/>
        </w:rPr>
        <w:fldChar w:fldCharType="begin"/>
      </w:r>
      <w:r>
        <w:rPr>
          <w:rFonts w:hint="eastAsia" w:eastAsia="宋体" w:cs="宋体"/>
          <w:color w:val="auto"/>
          <w:szCs w:val="24"/>
          <w:highlight w:val="none"/>
        </w:rPr>
        <w:instrText xml:space="preserve"> PAGEREF _Toc4616 \h </w:instrText>
      </w:r>
      <w:r>
        <w:rPr>
          <w:rFonts w:hint="eastAsia" w:eastAsia="宋体" w:cs="宋体"/>
          <w:color w:val="auto"/>
          <w:szCs w:val="24"/>
          <w:highlight w:val="none"/>
        </w:rPr>
        <w:fldChar w:fldCharType="separate"/>
      </w:r>
      <w:r>
        <w:rPr>
          <w:rFonts w:hint="eastAsia" w:eastAsia="宋体" w:cs="宋体"/>
          <w:color w:val="auto"/>
          <w:szCs w:val="24"/>
          <w:highlight w:val="none"/>
        </w:rPr>
        <w:t>75</w:t>
      </w:r>
      <w:r>
        <w:rPr>
          <w:rFonts w:hint="eastAsia" w:eastAsia="宋体" w:cs="宋体"/>
          <w:color w:val="auto"/>
          <w:szCs w:val="24"/>
          <w:highlight w:val="none"/>
        </w:rPr>
        <w:fldChar w:fldCharType="end"/>
      </w:r>
      <w:r>
        <w:rPr>
          <w:rFonts w:hint="eastAsia" w:eastAsia="宋体" w:cs="宋体"/>
          <w:color w:val="auto"/>
          <w:szCs w:val="24"/>
          <w:highlight w:val="none"/>
        </w:rPr>
        <w:fldChar w:fldCharType="end"/>
      </w:r>
    </w:p>
    <w:p>
      <w:pPr>
        <w:pStyle w:val="26"/>
        <w:tabs>
          <w:tab w:val="right" w:leader="dot" w:pos="9073"/>
          <w:tab w:val="clear" w:pos="9060"/>
        </w:tabs>
        <w:rPr>
          <w:rFonts w:eastAsia="宋体" w:cs="宋体"/>
          <w:color w:val="auto"/>
          <w:szCs w:val="24"/>
          <w:highlight w:val="none"/>
        </w:rPr>
      </w:pPr>
      <w:r>
        <w:rPr>
          <w:color w:val="auto"/>
          <w:highlight w:val="none"/>
        </w:rPr>
        <w:fldChar w:fldCharType="begin"/>
      </w:r>
      <w:r>
        <w:rPr>
          <w:color w:val="auto"/>
          <w:highlight w:val="none"/>
        </w:rPr>
        <w:instrText xml:space="preserve"> HYPERLINK \l "_Toc16409" </w:instrText>
      </w:r>
      <w:r>
        <w:rPr>
          <w:color w:val="auto"/>
          <w:highlight w:val="none"/>
        </w:rPr>
        <w:fldChar w:fldCharType="separate"/>
      </w:r>
      <w:r>
        <w:rPr>
          <w:rFonts w:hint="eastAsia" w:eastAsia="宋体" w:cs="宋体"/>
          <w:bCs/>
          <w:color w:val="auto"/>
          <w:szCs w:val="24"/>
          <w:highlight w:val="none"/>
        </w:rPr>
        <w:t>第七章  工程量清单</w:t>
      </w:r>
      <w:r>
        <w:rPr>
          <w:rFonts w:hint="eastAsia" w:eastAsia="宋体" w:cs="宋体"/>
          <w:color w:val="auto"/>
          <w:szCs w:val="24"/>
          <w:highlight w:val="none"/>
        </w:rPr>
        <w:tab/>
      </w:r>
      <w:r>
        <w:rPr>
          <w:rFonts w:hint="eastAsia" w:eastAsia="宋体" w:cs="宋体"/>
          <w:color w:val="auto"/>
          <w:szCs w:val="24"/>
          <w:highlight w:val="none"/>
        </w:rPr>
        <w:fldChar w:fldCharType="begin"/>
      </w:r>
      <w:r>
        <w:rPr>
          <w:rFonts w:hint="eastAsia" w:eastAsia="宋体" w:cs="宋体"/>
          <w:color w:val="auto"/>
          <w:szCs w:val="24"/>
          <w:highlight w:val="none"/>
        </w:rPr>
        <w:instrText xml:space="preserve"> PAGEREF _Toc16409 \h </w:instrText>
      </w:r>
      <w:r>
        <w:rPr>
          <w:rFonts w:hint="eastAsia" w:eastAsia="宋体" w:cs="宋体"/>
          <w:color w:val="auto"/>
          <w:szCs w:val="24"/>
          <w:highlight w:val="none"/>
        </w:rPr>
        <w:fldChar w:fldCharType="separate"/>
      </w:r>
      <w:r>
        <w:rPr>
          <w:rFonts w:hint="eastAsia" w:eastAsia="宋体" w:cs="宋体"/>
          <w:color w:val="auto"/>
          <w:szCs w:val="24"/>
          <w:highlight w:val="none"/>
        </w:rPr>
        <w:t>76</w:t>
      </w:r>
      <w:r>
        <w:rPr>
          <w:rFonts w:hint="eastAsia" w:eastAsia="宋体" w:cs="宋体"/>
          <w:color w:val="auto"/>
          <w:szCs w:val="24"/>
          <w:highlight w:val="none"/>
        </w:rPr>
        <w:fldChar w:fldCharType="end"/>
      </w:r>
      <w:r>
        <w:rPr>
          <w:rFonts w:hint="eastAsia" w:eastAsia="宋体" w:cs="宋体"/>
          <w:color w:val="auto"/>
          <w:szCs w:val="24"/>
          <w:highlight w:val="none"/>
        </w:rPr>
        <w:fldChar w:fldCharType="end"/>
      </w:r>
    </w:p>
    <w:p>
      <w:pPr>
        <w:pStyle w:val="26"/>
        <w:tabs>
          <w:tab w:val="right" w:leader="dot" w:pos="9073"/>
          <w:tab w:val="clear" w:pos="9060"/>
        </w:tabs>
        <w:rPr>
          <w:rFonts w:eastAsia="宋体" w:cs="宋体"/>
          <w:color w:val="auto"/>
          <w:szCs w:val="24"/>
          <w:highlight w:val="none"/>
        </w:rPr>
      </w:pPr>
      <w:r>
        <w:rPr>
          <w:color w:val="auto"/>
          <w:highlight w:val="none"/>
        </w:rPr>
        <w:fldChar w:fldCharType="begin"/>
      </w:r>
      <w:r>
        <w:rPr>
          <w:color w:val="auto"/>
          <w:highlight w:val="none"/>
        </w:rPr>
        <w:instrText xml:space="preserve"> HYPERLINK \l "_Toc13320" </w:instrText>
      </w:r>
      <w:r>
        <w:rPr>
          <w:color w:val="auto"/>
          <w:highlight w:val="none"/>
        </w:rPr>
        <w:fldChar w:fldCharType="separate"/>
      </w:r>
      <w:r>
        <w:rPr>
          <w:rFonts w:hint="eastAsia" w:eastAsia="宋体" w:cs="宋体"/>
          <w:bCs/>
          <w:color w:val="auto"/>
          <w:szCs w:val="24"/>
          <w:highlight w:val="none"/>
        </w:rPr>
        <w:t>第八章  最高投标限价</w:t>
      </w:r>
      <w:r>
        <w:rPr>
          <w:rFonts w:hint="eastAsia" w:eastAsia="宋体" w:cs="宋体"/>
          <w:color w:val="auto"/>
          <w:szCs w:val="24"/>
          <w:highlight w:val="none"/>
        </w:rPr>
        <w:tab/>
      </w:r>
      <w:r>
        <w:rPr>
          <w:rFonts w:hint="eastAsia" w:eastAsia="宋体" w:cs="宋体"/>
          <w:color w:val="auto"/>
          <w:szCs w:val="24"/>
          <w:highlight w:val="none"/>
        </w:rPr>
        <w:fldChar w:fldCharType="begin"/>
      </w:r>
      <w:r>
        <w:rPr>
          <w:rFonts w:hint="eastAsia" w:eastAsia="宋体" w:cs="宋体"/>
          <w:color w:val="auto"/>
          <w:szCs w:val="24"/>
          <w:highlight w:val="none"/>
        </w:rPr>
        <w:instrText xml:space="preserve"> PAGEREF _Toc13320 \h </w:instrText>
      </w:r>
      <w:r>
        <w:rPr>
          <w:rFonts w:hint="eastAsia" w:eastAsia="宋体" w:cs="宋体"/>
          <w:color w:val="auto"/>
          <w:szCs w:val="24"/>
          <w:highlight w:val="none"/>
        </w:rPr>
        <w:fldChar w:fldCharType="separate"/>
      </w:r>
      <w:r>
        <w:rPr>
          <w:rFonts w:hint="eastAsia" w:eastAsia="宋体" w:cs="宋体"/>
          <w:color w:val="auto"/>
          <w:szCs w:val="24"/>
          <w:highlight w:val="none"/>
        </w:rPr>
        <w:t>77</w:t>
      </w:r>
      <w:r>
        <w:rPr>
          <w:rFonts w:hint="eastAsia" w:eastAsia="宋体" w:cs="宋体"/>
          <w:color w:val="auto"/>
          <w:szCs w:val="24"/>
          <w:highlight w:val="none"/>
        </w:rPr>
        <w:fldChar w:fldCharType="end"/>
      </w:r>
      <w:r>
        <w:rPr>
          <w:rFonts w:hint="eastAsia" w:eastAsia="宋体" w:cs="宋体"/>
          <w:color w:val="auto"/>
          <w:szCs w:val="24"/>
          <w:highlight w:val="none"/>
        </w:rPr>
        <w:fldChar w:fldCharType="end"/>
      </w:r>
    </w:p>
    <w:p>
      <w:pPr>
        <w:pStyle w:val="3"/>
        <w:jc w:val="center"/>
        <w:rPr>
          <w:rFonts w:ascii="宋体" w:hAnsi="宋体"/>
          <w:color w:val="auto"/>
          <w:sz w:val="21"/>
          <w:szCs w:val="21"/>
          <w:highlight w:val="none"/>
        </w:rPr>
      </w:pPr>
      <w:r>
        <w:rPr>
          <w:rFonts w:hint="eastAsia" w:ascii="宋体" w:hAnsi="宋体" w:cs="宋体"/>
          <w:color w:val="auto"/>
          <w:sz w:val="24"/>
          <w:szCs w:val="24"/>
          <w:highlight w:val="none"/>
        </w:rPr>
        <w:fldChar w:fldCharType="end"/>
      </w:r>
      <w:bookmarkStart w:id="1" w:name="_Toc7511"/>
      <w:r>
        <w:rPr>
          <w:rFonts w:ascii="宋体" w:hAnsi="宋体"/>
          <w:color w:val="auto"/>
          <w:sz w:val="21"/>
          <w:szCs w:val="21"/>
          <w:highlight w:val="none"/>
        </w:rPr>
        <w:br w:type="page"/>
      </w:r>
      <w:r>
        <w:rPr>
          <w:rFonts w:hint="eastAsia" w:ascii="宋体" w:hAnsi="宋体"/>
          <w:b/>
          <w:bCs/>
          <w:color w:val="auto"/>
          <w:sz w:val="28"/>
          <w:szCs w:val="28"/>
          <w:highlight w:val="none"/>
        </w:rPr>
        <w:t>第一章投标须知</w:t>
      </w:r>
      <w:bookmarkEnd w:id="1"/>
    </w:p>
    <w:p>
      <w:pPr>
        <w:pStyle w:val="4"/>
        <w:ind w:left="0" w:firstLine="0" w:firstLineChars="0"/>
        <w:jc w:val="center"/>
        <w:rPr>
          <w:rFonts w:ascii="宋体" w:hAnsi="宋体"/>
          <w:color w:val="auto"/>
          <w:sz w:val="21"/>
          <w:szCs w:val="21"/>
          <w:highlight w:val="none"/>
        </w:rPr>
      </w:pPr>
      <w:bookmarkStart w:id="2" w:name="_Toc6493828"/>
      <w:bookmarkStart w:id="3" w:name="_Toc26132"/>
      <w:r>
        <w:rPr>
          <w:rFonts w:hint="eastAsia" w:ascii="宋体" w:hAnsi="宋体"/>
          <w:color w:val="auto"/>
          <w:sz w:val="21"/>
          <w:szCs w:val="21"/>
          <w:highlight w:val="none"/>
        </w:rPr>
        <w:t>一、投标须知前附表</w:t>
      </w:r>
      <w:bookmarkEnd w:id="2"/>
      <w:bookmarkEnd w:id="3"/>
    </w:p>
    <w:p>
      <w:pPr>
        <w:pStyle w:val="2"/>
        <w:spacing w:line="380" w:lineRule="exact"/>
        <w:ind w:firstLine="0"/>
        <w:rPr>
          <w:rFonts w:ascii="宋体" w:hAnsi="宋体" w:eastAsia="宋体"/>
          <w:b/>
          <w:color w:val="auto"/>
          <w:szCs w:val="21"/>
          <w:highlight w:val="none"/>
        </w:rPr>
      </w:pPr>
      <w:r>
        <w:rPr>
          <w:rFonts w:hint="eastAsia" w:ascii="宋体" w:hAnsi="宋体" w:eastAsia="宋体"/>
          <w:b/>
          <w:color w:val="auto"/>
          <w:szCs w:val="21"/>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9"/>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spacing w:line="320" w:lineRule="exact"/>
              <w:ind w:firstLine="458"/>
              <w:rPr>
                <w:rFonts w:ascii="宋体" w:hAnsi="宋体"/>
                <w:color w:val="auto"/>
                <w:szCs w:val="21"/>
                <w:highlight w:val="none"/>
              </w:rPr>
            </w:pPr>
            <w:r>
              <w:rPr>
                <w:rFonts w:hint="eastAsia" w:ascii="宋体" w:hAnsi="宋体"/>
                <w:color w:val="auto"/>
                <w:szCs w:val="21"/>
                <w:highlight w:val="none"/>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20"/>
              <w:spacing w:line="320" w:lineRule="exact"/>
              <w:ind w:firstLine="458"/>
              <w:jc w:val="center"/>
              <w:rPr>
                <w:rFonts w:ascii="宋体" w:hAnsi="宋体"/>
                <w:color w:val="auto"/>
                <w:kern w:val="2"/>
                <w:sz w:val="21"/>
                <w:szCs w:val="21"/>
                <w:highlight w:val="none"/>
              </w:rPr>
            </w:pPr>
            <w:r>
              <w:rPr>
                <w:rFonts w:hint="eastAsia" w:ascii="宋体" w:hAnsi="宋体"/>
                <w:color w:val="auto"/>
                <w:kern w:val="2"/>
                <w:sz w:val="21"/>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auto"/>
                <w:szCs w:val="21"/>
                <w:highlight w:val="none"/>
              </w:rPr>
            </w:pPr>
            <w:r>
              <w:rPr>
                <w:rFonts w:hint="eastAsia" w:ascii="宋体" w:hAnsi="宋体"/>
                <w:color w:val="auto"/>
                <w:szCs w:val="21"/>
                <w:highlight w:val="none"/>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20" w:lineRule="exact"/>
              <w:rPr>
                <w:rFonts w:hint="eastAsia" w:ascii="宋体" w:hAnsi="宋体" w:eastAsia="宋体"/>
                <w:color w:val="auto"/>
                <w:szCs w:val="21"/>
                <w:highlight w:val="none"/>
                <w:u w:val="single"/>
                <w:lang w:eastAsia="zh-CN"/>
              </w:rPr>
            </w:pPr>
            <w:r>
              <w:rPr>
                <w:rFonts w:hint="eastAsia" w:ascii="宋体" w:hAnsi="宋体"/>
                <w:color w:val="auto"/>
                <w:szCs w:val="21"/>
                <w:highlight w:val="none"/>
              </w:rPr>
              <w:t>招标人：</w:t>
            </w:r>
            <w:r>
              <w:rPr>
                <w:rFonts w:hint="eastAsia" w:ascii="宋体" w:hAnsi="宋体"/>
                <w:color w:val="auto"/>
                <w:szCs w:val="21"/>
                <w:highlight w:val="none"/>
                <w:u w:val="single"/>
                <w:lang w:eastAsia="zh-CN"/>
              </w:rPr>
              <w:t>广州港股份有限公司</w:t>
            </w:r>
          </w:p>
          <w:p>
            <w:pPr>
              <w:spacing w:line="320" w:lineRule="exac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发包人：</w:t>
            </w:r>
            <w:r>
              <w:rPr>
                <w:rFonts w:hint="eastAsia" w:ascii="宋体" w:hAnsi="宋体"/>
                <w:color w:val="auto"/>
                <w:szCs w:val="21"/>
                <w:highlight w:val="none"/>
                <w:u w:val="single"/>
                <w:lang w:eastAsia="zh-CN"/>
              </w:rPr>
              <w:t>广州港股份有限公司</w:t>
            </w:r>
            <w:r>
              <w:rPr>
                <w:rFonts w:hint="eastAsia" w:ascii="宋体" w:hAnsi="宋体"/>
                <w:color w:val="auto"/>
                <w:szCs w:val="21"/>
                <w:highlight w:val="none"/>
                <w:u w:val="single"/>
                <w:lang w:val="en-US" w:eastAsia="zh-CN"/>
              </w:rPr>
              <w:t>新港港务分公司</w:t>
            </w:r>
          </w:p>
          <w:p>
            <w:pPr>
              <w:spacing w:line="320" w:lineRule="exact"/>
              <w:rPr>
                <w:rFonts w:hint="eastAsia" w:ascii="宋体" w:hAnsi="宋体" w:eastAsia="宋体"/>
                <w:color w:val="auto"/>
                <w:kern w:val="0"/>
                <w:szCs w:val="21"/>
                <w:highlight w:val="none"/>
                <w:lang w:eastAsia="zh-CN"/>
              </w:rPr>
            </w:pPr>
            <w:r>
              <w:rPr>
                <w:rFonts w:hint="eastAsia" w:ascii="宋体" w:hAnsi="宋体"/>
                <w:color w:val="auto"/>
                <w:szCs w:val="21"/>
                <w:highlight w:val="none"/>
              </w:rPr>
              <w:t>项目建设管理单位：</w:t>
            </w:r>
            <w:r>
              <w:rPr>
                <w:rFonts w:hint="eastAsia" w:ascii="宋体" w:hAnsi="宋体"/>
                <w:color w:val="auto"/>
                <w:szCs w:val="21"/>
                <w:highlight w:val="none"/>
                <w:u w:val="single"/>
                <w:lang w:val="en-US" w:eastAsia="zh-CN"/>
              </w:rPr>
              <w:t>/</w:t>
            </w:r>
          </w:p>
          <w:p>
            <w:pPr>
              <w:spacing w:line="320" w:lineRule="exact"/>
              <w:rPr>
                <w:rFonts w:hint="eastAsia" w:ascii="宋体" w:hAnsi="宋体" w:eastAsia="宋体"/>
                <w:color w:val="auto"/>
                <w:szCs w:val="21"/>
                <w:highlight w:val="none"/>
                <w:lang w:eastAsia="zh-CN"/>
              </w:rPr>
            </w:pPr>
            <w:r>
              <w:rPr>
                <w:rFonts w:hint="eastAsia" w:ascii="宋体" w:hAnsi="宋体"/>
                <w:color w:val="auto"/>
                <w:szCs w:val="21"/>
                <w:highlight w:val="none"/>
              </w:rPr>
              <w:t>招标代理：</w:t>
            </w:r>
            <w:r>
              <w:rPr>
                <w:rFonts w:hint="eastAsia" w:ascii="宋体" w:hAnsi="宋体"/>
                <w:color w:val="auto"/>
                <w:szCs w:val="21"/>
                <w:highlight w:val="none"/>
                <w:u w:val="single"/>
                <w:lang w:eastAsia="zh-CN"/>
              </w:rPr>
              <w:t>广州港工程管理有限公司</w:t>
            </w:r>
          </w:p>
          <w:p>
            <w:pPr>
              <w:spacing w:line="320" w:lineRule="exact"/>
              <w:rPr>
                <w:rFonts w:hint="eastAsia" w:ascii="宋体" w:hAnsi="宋体" w:eastAsia="宋体"/>
                <w:color w:val="auto"/>
                <w:szCs w:val="21"/>
                <w:highlight w:val="none"/>
                <w:u w:val="single"/>
                <w:lang w:val="en-US" w:eastAsia="zh-CN"/>
              </w:rPr>
            </w:pPr>
            <w:r>
              <w:rPr>
                <w:rFonts w:hint="eastAsia" w:ascii="宋体" w:hAnsi="宋体"/>
                <w:color w:val="auto"/>
                <w:szCs w:val="21"/>
                <w:highlight w:val="none"/>
              </w:rPr>
              <w:t>设计单位：</w:t>
            </w:r>
            <w:r>
              <w:rPr>
                <w:rFonts w:hint="eastAsia" w:ascii="宋体" w:hAnsi="宋体"/>
                <w:color w:val="auto"/>
                <w:szCs w:val="21"/>
                <w:highlight w:val="none"/>
                <w:u w:val="single"/>
              </w:rPr>
              <w:t>河南工大设计研究院有限公司</w:t>
            </w:r>
          </w:p>
          <w:p>
            <w:pPr>
              <w:spacing w:line="320" w:lineRule="exact"/>
              <w:rPr>
                <w:rFonts w:hint="eastAsia" w:ascii="宋体" w:hAnsi="宋体" w:eastAsia="宋体"/>
                <w:color w:val="auto"/>
                <w:szCs w:val="21"/>
                <w:highlight w:val="none"/>
                <w:u w:val="single"/>
                <w:lang w:eastAsia="zh-CN"/>
              </w:rPr>
            </w:pPr>
            <w:r>
              <w:rPr>
                <w:rFonts w:hint="eastAsia" w:ascii="宋体" w:hAnsi="宋体"/>
                <w:color w:val="auto"/>
                <w:szCs w:val="21"/>
                <w:highlight w:val="none"/>
              </w:rPr>
              <w:t>监理单位：</w:t>
            </w:r>
            <w:r>
              <w:rPr>
                <w:rFonts w:hint="eastAsia" w:ascii="宋体" w:hAnsi="宋体"/>
                <w:color w:val="auto"/>
                <w:szCs w:val="21"/>
                <w:highlight w:val="none"/>
                <w:u w:val="single"/>
              </w:rPr>
              <w:t>广东省城规建设监理有限公司,</w:t>
            </w:r>
            <w:r>
              <w:rPr>
                <w:rFonts w:hint="eastAsia" w:ascii="宋体" w:hAnsi="宋体"/>
                <w:color w:val="auto"/>
                <w:szCs w:val="21"/>
                <w:highlight w:val="none"/>
                <w:u w:val="single"/>
                <w:lang w:eastAsia="zh-CN"/>
              </w:rPr>
              <w:t>广州港工程管理有限公司</w:t>
            </w:r>
          </w:p>
          <w:p>
            <w:pPr>
              <w:spacing w:line="320" w:lineRule="exact"/>
              <w:rPr>
                <w:rFonts w:ascii="宋体" w:hAnsi="宋体"/>
                <w:color w:val="auto"/>
                <w:szCs w:val="21"/>
                <w:highlight w:val="none"/>
              </w:rPr>
            </w:pPr>
            <w:r>
              <w:rPr>
                <w:rFonts w:hint="eastAsia" w:ascii="宋体" w:hAnsi="宋体"/>
                <w:color w:val="auto"/>
                <w:szCs w:val="21"/>
                <w:highlight w:val="none"/>
              </w:rPr>
              <w:t>检测机构：</w:t>
            </w:r>
            <w:r>
              <w:rPr>
                <w:rFonts w:hint="eastAsia" w:ascii="宋体" w:hAnsi="宋体"/>
                <w:color w:val="auto"/>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宋体" w:hAnsi="宋体" w:eastAsia="宋体"/>
                <w:color w:val="auto"/>
                <w:szCs w:val="21"/>
                <w:highlight w:val="none"/>
                <w:u w:val="single"/>
                <w:lang w:eastAsia="zh-CN"/>
              </w:rPr>
            </w:pPr>
            <w:r>
              <w:rPr>
                <w:rFonts w:hint="eastAsia" w:ascii="宋体" w:hAnsi="宋体"/>
                <w:color w:val="auto"/>
                <w:szCs w:val="21"/>
                <w:highlight w:val="none"/>
                <w:u w:val="single"/>
                <w:lang w:eastAsia="zh-CN"/>
              </w:rPr>
              <w:t>新港港务分公司新建粮食筒仓工程土建工程施工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olor w:val="auto"/>
                <w:szCs w:val="21"/>
                <w:highlight w:val="none"/>
                <w:u w:val="single"/>
              </w:rPr>
            </w:pPr>
            <w:r>
              <w:rPr>
                <w:rFonts w:hint="eastAsia" w:ascii="宋体" w:hAnsi="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olor w:val="auto"/>
                <w:szCs w:val="21"/>
                <w:highlight w:val="none"/>
                <w:u w:val="single"/>
              </w:rPr>
            </w:pPr>
            <w:r>
              <w:rPr>
                <w:rFonts w:hint="eastAsia" w:ascii="宋体" w:hAnsi="宋体" w:cs="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olor w:val="auto"/>
                <w:szCs w:val="21"/>
                <w:highlight w:val="none"/>
                <w:u w:val="single"/>
              </w:rPr>
            </w:pPr>
            <w:r>
              <w:rPr>
                <w:rFonts w:hint="eastAsia" w:ascii="宋体" w:hAnsi="宋体"/>
                <w:color w:val="auto"/>
                <w:szCs w:val="21"/>
                <w:highlight w:val="none"/>
                <w:u w:val="single"/>
              </w:rPr>
              <w:t>本工程</w:t>
            </w:r>
            <w:r>
              <w:rPr>
                <w:rFonts w:hint="eastAsia" w:ascii="宋体" w:hAnsi="宋体"/>
                <w:color w:val="auto"/>
                <w:szCs w:val="21"/>
                <w:highlight w:val="none"/>
                <w:u w:val="single"/>
                <w:lang w:val="en-US" w:eastAsia="zh-CN"/>
              </w:rPr>
              <w:t>为总价合同</w:t>
            </w:r>
            <w:r>
              <w:rPr>
                <w:rFonts w:hint="eastAsia" w:ascii="宋体" w:hAnsi="宋体"/>
                <w:color w:val="auto"/>
                <w:szCs w:val="21"/>
                <w:highlight w:val="none"/>
                <w:u w:val="single"/>
              </w:rPr>
              <w:t>。投标人根据招标文件、有关设计图纸、地质勘察报告、物探报告、资料及说明，按包工、包料、包机械、包工期、包质量、包安全生产、包文明施工、包竣工验收等方式进行承包施工。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olor w:val="auto"/>
                <w:szCs w:val="21"/>
                <w:highlight w:val="none"/>
                <w:u w:val="single"/>
              </w:rPr>
            </w:pPr>
            <w:r>
              <w:rPr>
                <w:rFonts w:hint="eastAsia" w:ascii="宋体" w:hAnsi="宋体" w:cs="宋体"/>
                <w:color w:val="auto"/>
                <w:szCs w:val="21"/>
                <w:highlight w:val="none"/>
                <w:u w:val="single"/>
              </w:rPr>
              <w:t>符合现行相关工程施工与质量验收规范的合格</w:t>
            </w:r>
            <w:r>
              <w:rPr>
                <w:rFonts w:hint="eastAsia" w:ascii="宋体" w:hAnsi="宋体" w:cs="宋体"/>
                <w:color w:val="auto"/>
                <w:szCs w:val="21"/>
                <w:highlight w:val="none"/>
                <w:u w:val="single"/>
                <w:lang w:val="en-US" w:eastAsia="zh-CN"/>
              </w:rPr>
              <w:t>或以上</w:t>
            </w:r>
            <w:r>
              <w:rPr>
                <w:rFonts w:hint="eastAsia" w:ascii="宋体" w:hAnsi="宋体" w:cs="宋体"/>
                <w:color w:val="auto"/>
                <w:szCs w:val="21"/>
                <w:highlight w:val="none"/>
                <w:u w:val="single"/>
              </w:rPr>
              <w:t>标准</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力争市优</w:t>
            </w:r>
            <w:r>
              <w:rPr>
                <w:rFonts w:hint="eastAsia" w:ascii="宋体" w:hAnsi="宋体"/>
                <w:color w:val="auto"/>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olor w:val="auto"/>
                <w:szCs w:val="21"/>
                <w:highlight w:val="none"/>
                <w:u w:val="single"/>
              </w:rPr>
            </w:pPr>
            <w:r>
              <w:rPr>
                <w:rFonts w:hint="eastAsia" w:ascii="宋体" w:hAnsi="宋体" w:cs="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olor w:val="auto"/>
                <w:szCs w:val="21"/>
                <w:highlight w:val="none"/>
              </w:rPr>
            </w:pPr>
            <w:r>
              <w:rPr>
                <w:rFonts w:hint="eastAsia" w:ascii="宋体" w:hAnsi="宋体" w:cs="宋体"/>
                <w:color w:val="auto"/>
                <w:szCs w:val="21"/>
                <w:highlight w:val="none"/>
                <w:u w:val="single"/>
                <w:lang w:val="en-US" w:eastAsia="zh-CN"/>
              </w:rPr>
              <w:t>2025</w:t>
            </w:r>
            <w:r>
              <w:rPr>
                <w:rFonts w:hint="eastAsia" w:ascii="宋体" w:hAnsi="宋体" w:cs="宋体"/>
                <w:color w:val="auto"/>
                <w:szCs w:val="21"/>
                <w:highlight w:val="none"/>
                <w:lang w:val="en-US" w:eastAsia="zh-CN"/>
              </w:rPr>
              <w:t>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lang w:val="en-US" w:eastAsia="zh-CN"/>
              </w:rPr>
              <w:t>月</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lang w:val="en-US" w:eastAsia="zh-CN"/>
              </w:rPr>
              <w:t>日计划开工，</w:t>
            </w:r>
            <w:r>
              <w:rPr>
                <w:rFonts w:hint="eastAsia" w:ascii="宋体" w:hAnsi="宋体" w:cs="宋体"/>
                <w:color w:val="auto"/>
                <w:szCs w:val="21"/>
                <w:highlight w:val="none"/>
              </w:rPr>
              <w:t>施工总期：</w:t>
            </w:r>
            <w:r>
              <w:rPr>
                <w:rFonts w:hint="eastAsia" w:ascii="宋体" w:hAnsi="宋体" w:cs="宋体"/>
                <w:color w:val="auto"/>
                <w:szCs w:val="21"/>
                <w:highlight w:val="none"/>
                <w:u w:val="single"/>
                <w:lang w:val="en-US" w:eastAsia="zh-CN"/>
              </w:rPr>
              <w:t xml:space="preserve"> 780 </w:t>
            </w:r>
            <w:r>
              <w:rPr>
                <w:rFonts w:hint="eastAsia" w:ascii="宋体" w:hAnsi="宋体" w:cs="宋体"/>
                <w:color w:val="auto"/>
                <w:szCs w:val="21"/>
                <w:highlight w:val="none"/>
              </w:rPr>
              <w:t>日历天。</w:t>
            </w:r>
            <w:r>
              <w:rPr>
                <w:color w:val="auto"/>
                <w:szCs w:val="21"/>
                <w:highlight w:val="none"/>
                <w:u w:val="single"/>
              </w:rPr>
              <w:t>开工日期以合同签订且监理单位发出开工令之日起算</w:t>
            </w:r>
            <w:r>
              <w:rPr>
                <w:rFonts w:hint="eastAsia" w:ascii="宋体" w:hAnsi="宋体" w:cs="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3.1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olor w:val="auto"/>
                <w:szCs w:val="21"/>
                <w:highlight w:val="none"/>
                <w:u w:val="single"/>
              </w:rPr>
            </w:pPr>
            <w:r>
              <w:rPr>
                <w:rFonts w:hint="eastAsia" w:ascii="宋体" w:hAnsi="宋体" w:cs="宋体"/>
                <w:color w:val="auto"/>
                <w:szCs w:val="21"/>
                <w:highlight w:val="none"/>
                <w:u w:val="single"/>
                <w:lang w:val="en-US" w:eastAsia="zh-CN"/>
              </w:rPr>
              <w:t>企业自筹</w:t>
            </w:r>
            <w:r>
              <w:rPr>
                <w:rFonts w:hint="eastAsia" w:ascii="宋体" w:hAnsi="宋体" w:cs="宋体"/>
                <w:color w:val="auto"/>
                <w:szCs w:val="21"/>
                <w:highlight w:val="none"/>
                <w:u w:val="single"/>
              </w:rPr>
              <w:t>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4.1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13.1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宋体" w:hAnsi="宋体" w:eastAsia="宋体"/>
                <w:color w:val="auto"/>
                <w:szCs w:val="21"/>
                <w:highlight w:val="none"/>
                <w:lang w:val="en-US" w:eastAsia="zh-CN"/>
              </w:rPr>
            </w:pPr>
            <w:r>
              <w:rPr>
                <w:rFonts w:hint="eastAsia" w:ascii="宋体" w:hAnsi="宋体"/>
                <w:color w:val="auto"/>
                <w:szCs w:val="21"/>
                <w:highlight w:val="none"/>
              </w:rPr>
              <w:t>工程量清单计价。</w:t>
            </w:r>
            <w:r>
              <w:rPr>
                <w:rFonts w:hint="eastAsia" w:ascii="宋体" w:hAnsi="宋体" w:cs="宋体"/>
                <w:color w:val="auto"/>
                <w:kern w:val="0"/>
                <w:szCs w:val="21"/>
                <w:highlight w:val="none"/>
                <w:u w:val="single"/>
                <w:lang w:val="zh-CN"/>
              </w:rPr>
              <w:t>按国家、省、</w:t>
            </w:r>
            <w:r>
              <w:rPr>
                <w:rFonts w:hint="eastAsia" w:ascii="宋体" w:hAnsi="宋体" w:cs="宋体"/>
                <w:color w:val="auto"/>
                <w:kern w:val="0"/>
                <w:szCs w:val="21"/>
                <w:highlight w:val="none"/>
                <w:u w:val="single"/>
              </w:rPr>
              <w:t>广州市</w:t>
            </w:r>
            <w:r>
              <w:rPr>
                <w:rFonts w:hint="eastAsia" w:ascii="宋体" w:hAnsi="宋体" w:cs="宋体"/>
                <w:color w:val="auto"/>
                <w:kern w:val="0"/>
                <w:szCs w:val="21"/>
                <w:highlight w:val="none"/>
                <w:u w:val="single"/>
                <w:lang w:val="zh-CN"/>
              </w:rPr>
              <w:t>有关计价规范执行，本项目按增值税计算税金，采用</w:t>
            </w:r>
            <w:r>
              <w:rPr>
                <w:rFonts w:hint="eastAsia" w:ascii="宋体" w:hAnsi="宋体" w:cs="宋体"/>
                <w:color w:val="auto"/>
                <w:kern w:val="0"/>
                <w:szCs w:val="21"/>
                <w:highlight w:val="none"/>
                <w:u w:val="single"/>
                <w:lang w:val="en-US" w:eastAsia="zh-CN"/>
              </w:rPr>
              <w:t>一般</w:t>
            </w:r>
            <w:r>
              <w:rPr>
                <w:rFonts w:hint="eastAsia" w:ascii="宋体" w:hAnsi="宋体" w:cs="宋体"/>
                <w:color w:val="auto"/>
                <w:kern w:val="0"/>
                <w:szCs w:val="21"/>
                <w:highlight w:val="none"/>
                <w:u w:val="single"/>
                <w:lang w:val="zh-CN"/>
              </w:rPr>
              <w:t>计税方法，</w:t>
            </w:r>
            <w:r>
              <w:rPr>
                <w:rFonts w:hint="eastAsia" w:ascii="宋体" w:hAnsi="宋体" w:cs="宋体"/>
                <w:color w:val="auto"/>
                <w:kern w:val="0"/>
                <w:szCs w:val="21"/>
                <w:highlight w:val="none"/>
                <w:u w:val="single"/>
                <w:lang w:val="en-US" w:eastAsia="zh-CN"/>
              </w:rPr>
              <w:t>增值税税率为9%</w:t>
            </w:r>
            <w:r>
              <w:rPr>
                <w:rFonts w:hint="eastAsia" w:ascii="宋体" w:hAnsi="宋体" w:cs="宋体"/>
                <w:color w:val="auto"/>
                <w:kern w:val="0"/>
                <w:szCs w:val="21"/>
                <w:highlight w:val="none"/>
                <w:u w:val="single"/>
                <w:lang w:val="zh-CN"/>
              </w:rPr>
              <w:t>。投标文件中的大写金额和小写金额不一致的，以大写金额为准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15.1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spacing w:line="400" w:lineRule="exact"/>
              <w:rPr>
                <w:rFonts w:ascii="宋体" w:hAnsi="宋体"/>
                <w:color w:val="auto"/>
                <w:szCs w:val="21"/>
                <w:highlight w:val="none"/>
                <w:u w:val="single"/>
              </w:rPr>
            </w:pPr>
            <w:r>
              <w:rPr>
                <w:rFonts w:hint="eastAsia" w:ascii="宋体" w:hAnsi="宋体"/>
                <w:color w:val="auto"/>
                <w:szCs w:val="21"/>
                <w:highlight w:val="none"/>
                <w:u w:val="single"/>
              </w:rPr>
              <w:t>90</w:t>
            </w:r>
            <w:r>
              <w:rPr>
                <w:rFonts w:hint="eastAsia" w:ascii="宋体" w:hAnsi="宋体"/>
                <w:color w:val="auto"/>
                <w:szCs w:val="21"/>
                <w:highlight w:val="none"/>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16.1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pStyle w:val="2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方式二：本项目收取投标保证金</w:t>
            </w:r>
            <w:r>
              <w:rPr>
                <w:rFonts w:hint="eastAsia" w:ascii="宋体" w:hAnsi="宋体" w:eastAsia="宋体" w:cs="宋体"/>
                <w:color w:val="auto"/>
                <w:szCs w:val="21"/>
                <w:highlight w:val="none"/>
                <w:u w:val="single"/>
                <w:lang w:val="en-US" w:eastAsia="zh-CN"/>
              </w:rPr>
              <w:t>50</w:t>
            </w:r>
            <w:r>
              <w:rPr>
                <w:rFonts w:hint="eastAsia" w:ascii="宋体" w:hAnsi="宋体" w:eastAsia="宋体" w:cs="宋体"/>
                <w:color w:val="auto"/>
                <w:szCs w:val="21"/>
                <w:highlight w:val="none"/>
                <w:u w:val="none"/>
              </w:rPr>
              <w:t>万元人民币</w:t>
            </w:r>
            <w:r>
              <w:rPr>
                <w:rFonts w:hint="eastAsia" w:ascii="宋体" w:hAnsi="宋体" w:cs="宋体"/>
                <w:color w:val="auto"/>
                <w:szCs w:val="21"/>
                <w:highlight w:val="none"/>
                <w:u w:val="none"/>
                <w:lang w:eastAsia="zh-CN"/>
              </w:rPr>
              <w:t xml:space="preserve">，缴纳时间在        </w:t>
            </w:r>
            <w:r>
              <w:rPr>
                <w:rFonts w:hint="eastAsia" w:ascii="宋体" w:hAnsi="宋体" w:eastAsia="宋体" w:cs="宋体"/>
                <w:color w:val="auto"/>
                <w:szCs w:val="21"/>
                <w:highlight w:val="none"/>
                <w:u w:val="none"/>
              </w:rPr>
              <w:t>递交投标文件截止时间</w:t>
            </w:r>
            <w:r>
              <w:rPr>
                <w:rFonts w:hint="eastAsia" w:ascii="宋体" w:hAnsi="宋体" w:cs="宋体"/>
                <w:color w:val="auto"/>
                <w:szCs w:val="21"/>
                <w:highlight w:val="none"/>
                <w:u w:val="none"/>
                <w:lang w:eastAsia="zh-CN"/>
              </w:rPr>
              <w:t>之前</w:t>
            </w:r>
            <w:r>
              <w:rPr>
                <w:rFonts w:hint="eastAsia" w:ascii="宋体" w:hAnsi="宋体" w:eastAsia="宋体" w:cs="宋体"/>
                <w:color w:val="auto"/>
                <w:szCs w:val="21"/>
                <w:highlight w:val="none"/>
                <w:u w:val="none"/>
              </w:rPr>
              <w:t>；</w:t>
            </w:r>
          </w:p>
          <w:p>
            <w:pPr>
              <w:pStyle w:val="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注：1、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pPr>
              <w:pStyle w:val="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2、投标保证金的形式：可采用现金、支票、电汇或银行转账、银行保函、保证保险、专业担保公司等能够实现保证目的的方式，须在递交投标文件截止时间前完成缴纳。</w:t>
            </w:r>
          </w:p>
          <w:p>
            <w:pPr>
              <w:pStyle w:val="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如采用现金或者支票、电汇或银行转账形式提交的由广州交易集团有限公司（广州公共资源交易中心）代收（保证金须从投标人基本账户转账至广州交易集团有限公司（广州公共资源交易中心））。缴纳情况以广州交易集团有限公司（广州公共资源交易中心）交易平台查询信息为准。</w:t>
            </w:r>
          </w:p>
          <w:p>
            <w:pPr>
              <w:pStyle w:val="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（投标担保的相关事宜详见招标文件16款。具体操作步骤参见广州交易集团有限公司（广州公共资源交易中心）最新投标保证金缴纳操作流程）。</w:t>
            </w:r>
          </w:p>
          <w:p>
            <w:pPr>
              <w:pStyle w:val="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如采用非电子形式的银行保函、专业工程担保公司担保或保证保险提交的，在开标前不强制要求提交纸质原件，由中标候选人在中标候选人公示前提交并在网上公示，但投标人应在投标文件中提交保函、担保或保证保险扫描件并加盖投标人电子印章。如投标人选择在开标前提交纸质原件的，须单独密封递交至广州交易集团有限公司（广州公共资源交易中心）开标室（时间及地点同递交投标文件备用</w:t>
            </w:r>
            <w:r>
              <w:rPr>
                <w:rFonts w:hint="eastAsia" w:ascii="宋体" w:hAnsi="宋体" w:eastAsia="宋体" w:cs="宋体"/>
                <w:color w:val="auto"/>
                <w:szCs w:val="21"/>
                <w:highlight w:val="none"/>
                <w:u w:val="single"/>
                <w:lang w:val="en-US" w:eastAsia="zh-CN"/>
              </w:rPr>
              <w:t>U</w:t>
            </w:r>
            <w:r>
              <w:rPr>
                <w:rFonts w:hint="eastAsia" w:ascii="宋体" w:hAnsi="宋体" w:eastAsia="宋体" w:cs="宋体"/>
                <w:color w:val="auto"/>
                <w:szCs w:val="21"/>
                <w:highlight w:val="none"/>
                <w:u w:val="single"/>
              </w:rPr>
              <w:t>盘</w:t>
            </w:r>
            <w:r>
              <w:rPr>
                <w:rFonts w:hint="eastAsia" w:ascii="宋体" w:hAnsi="宋体" w:cs="宋体"/>
                <w:color w:val="auto"/>
                <w:szCs w:val="21"/>
                <w:highlight w:val="none"/>
                <w:u w:val="single"/>
                <w:lang w:val="en-US" w:eastAsia="zh-CN"/>
              </w:rPr>
              <w:t>/光盘</w:t>
            </w:r>
            <w:r>
              <w:rPr>
                <w:rFonts w:hint="eastAsia" w:ascii="宋体" w:hAnsi="宋体" w:eastAsia="宋体" w:cs="宋体"/>
                <w:color w:val="auto"/>
                <w:szCs w:val="21"/>
                <w:highlight w:val="none"/>
                <w:u w:val="single"/>
              </w:rPr>
              <w:t>的时间及地点）。</w:t>
            </w:r>
          </w:p>
          <w:p>
            <w:pPr>
              <w:pStyle w:val="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5、如采用电子形式的保函、担保或保证保险递交投标保证金的，投标人须按照广州交易集团有限公司（广州公共资源交易中心）最新操作指引办理递交。</w:t>
            </w:r>
          </w:p>
          <w:p>
            <w:pPr>
              <w:pStyle w:val="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注：（1）对于未能按要求交纳投标保证金的投标人，招标人将视为不响应招标文件而予以拒绝，责任由投标人自负。</w:t>
            </w:r>
          </w:p>
          <w:p>
            <w:pPr>
              <w:pStyle w:val="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（2）投标保证金有效期应长于或等于投标有效期，若投标有效期延长的，投标保证金有效期应相应延长，且延长后的有效期应满足前述要求。</w:t>
            </w:r>
          </w:p>
          <w:p>
            <w:pPr>
              <w:pStyle w:val="20"/>
              <w:rPr>
                <w:rFonts w:ascii="宋体" w:hAnsi="宋体"/>
                <w:color w:val="auto"/>
                <w:szCs w:val="21"/>
                <w:highlight w:val="none"/>
              </w:rPr>
            </w:pPr>
            <w:r>
              <w:rPr>
                <w:rFonts w:hint="eastAsia" w:ascii="宋体" w:hAnsi="宋体" w:eastAsia="宋体" w:cs="宋体"/>
                <w:color w:val="auto"/>
                <w:szCs w:val="21"/>
                <w:highlight w:val="none"/>
                <w:u w:val="single"/>
              </w:rPr>
              <w:t>（3）投标人提供的银行投标保函应为银行出具的无条件、见索即付、不可撤销的保函，担保金额不得低于上述金额，否则投标人的投标文件将被否决。</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5</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pStyle w:val="20"/>
              <w:spacing w:line="400" w:lineRule="exact"/>
              <w:rPr>
                <w:rFonts w:ascii="宋体" w:hAnsi="宋体"/>
                <w:color w:val="auto"/>
                <w:kern w:val="2"/>
                <w:sz w:val="21"/>
                <w:szCs w:val="21"/>
                <w:highlight w:val="none"/>
              </w:rPr>
            </w:pPr>
            <w:r>
              <w:rPr>
                <w:rFonts w:hint="eastAsia" w:ascii="宋体" w:hAnsi="宋体"/>
                <w:color w:val="auto"/>
                <w:kern w:val="2"/>
                <w:sz w:val="21"/>
                <w:szCs w:val="21"/>
                <w:highlight w:val="none"/>
                <w:u w:val="single"/>
              </w:rPr>
              <w:t>自行踏勘，</w:t>
            </w:r>
            <w:r>
              <w:rPr>
                <w:rFonts w:ascii="宋体" w:hAnsi="宋体"/>
                <w:color w:val="auto"/>
                <w:kern w:val="2"/>
                <w:sz w:val="21"/>
                <w:szCs w:val="21"/>
                <w:highlight w:val="none"/>
                <w:u w:val="single"/>
              </w:rPr>
              <w:t>投标人不进行踏勘的，视为已熟知现场条件，自行承担相关风险</w:t>
            </w:r>
            <w:r>
              <w:rPr>
                <w:rFonts w:hint="eastAsia" w:ascii="宋体" w:hAnsi="宋体"/>
                <w:color w:val="auto"/>
                <w:kern w:val="2"/>
                <w:sz w:val="21"/>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8</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rPr>
              <w:t>疑问提交时间：</w:t>
            </w:r>
            <w:r>
              <w:rPr>
                <w:rFonts w:hint="eastAsia" w:ascii="宋体" w:hAnsi="宋体" w:cs="宋体"/>
                <w:color w:val="auto"/>
                <w:szCs w:val="21"/>
                <w:highlight w:val="none"/>
                <w:u w:val="single"/>
                <w:lang w:val="en-US" w:eastAsia="zh-CN"/>
              </w:rPr>
              <w:t>2025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18</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rPr>
              <w:t>分前；</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rPr>
              <w:t>在递交投标文件截止时间18天前</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rPr>
              <w:t>；</w:t>
            </w:r>
          </w:p>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rPr>
              <w:t>形式：投标人的疑问通过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交易平台提交。</w:t>
            </w:r>
          </w:p>
          <w:p>
            <w:pPr>
              <w:spacing w:line="400" w:lineRule="exact"/>
              <w:rPr>
                <w:rFonts w:ascii="宋体" w:hAnsi="宋体"/>
                <w:color w:val="auto"/>
                <w:szCs w:val="21"/>
                <w:highlight w:val="none"/>
              </w:rPr>
            </w:pPr>
            <w:r>
              <w:rPr>
                <w:rFonts w:hint="eastAsia" w:ascii="宋体" w:hAnsi="宋体" w:cs="宋体"/>
                <w:color w:val="auto"/>
                <w:szCs w:val="21"/>
                <w:highlight w:val="none"/>
              </w:rPr>
              <w:t>具体要求：按照交易平台关于全流程电子化项目的相关指南进行操作，详见：</w:t>
            </w:r>
            <w:r>
              <w:rPr>
                <w:rFonts w:hint="eastAsia" w:ascii="宋体" w:hAnsi="宋体"/>
                <w:color w:val="auto"/>
                <w:szCs w:val="21"/>
                <w:highlight w:val="none"/>
                <w:u w:val="single"/>
              </w:rPr>
              <w:t>广州交易集团有限公司（广州公共资源交易中心）</w:t>
            </w:r>
            <w:r>
              <w:rPr>
                <w:rFonts w:hint="eastAsia" w:ascii="宋体" w:hAnsi="宋体"/>
                <w:color w:val="auto"/>
                <w:szCs w:val="21"/>
                <w:highlight w:val="none"/>
                <w:u w:val="single"/>
                <w:lang w:val="en-US" w:eastAsia="zh-CN"/>
              </w:rPr>
              <w:t>最新指引</w:t>
            </w:r>
            <w:r>
              <w:rPr>
                <w:rFonts w:hint="eastAsia" w:ascii="宋体" w:hAnsi="宋体"/>
                <w:color w:val="auto"/>
                <w:szCs w:val="21"/>
                <w:highlight w:val="none"/>
                <w:u w:val="single"/>
              </w:rPr>
              <w:t>。</w:t>
            </w:r>
            <w:r>
              <w:rPr>
                <w:rFonts w:hint="eastAsia" w:ascii="宋体" w:hAnsi="宋体" w:cs="宋体"/>
                <w:color w:val="auto"/>
                <w:szCs w:val="21"/>
                <w:highlight w:val="none"/>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highlight w:val="none"/>
              </w:rPr>
            </w:pPr>
            <w:r>
              <w:rPr>
                <w:rFonts w:hint="eastAsia" w:ascii="宋体" w:hAnsi="宋体" w:cs="宋体"/>
                <w:color w:val="auto"/>
                <w:szCs w:val="21"/>
                <w:highlight w:val="none"/>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color w:val="auto"/>
                <w:szCs w:val="21"/>
                <w:highlight w:val="none"/>
                <w:u w:val="single"/>
              </w:rPr>
            </w:pPr>
            <w:r>
              <w:rPr>
                <w:rFonts w:hint="eastAsia" w:ascii="宋体" w:hAnsi="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25</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u w:val="single"/>
                <w:lang w:val="en-US" w:eastAsia="zh-CN"/>
              </w:rPr>
              <w:t>9</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u w:val="single"/>
                <w:lang w:val="en-US" w:eastAsia="zh-CN"/>
              </w:rPr>
              <w:t>00</w:t>
            </w:r>
            <w:r>
              <w:rPr>
                <w:rFonts w:hint="eastAsia" w:ascii="宋体" w:hAnsi="宋体" w:eastAsia="宋体" w:cs="宋体"/>
                <w:color w:val="auto"/>
                <w:sz w:val="21"/>
                <w:szCs w:val="21"/>
                <w:highlight w:val="none"/>
              </w:rPr>
              <w:t>分（北京时间）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20.1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Cs w:val="21"/>
                <w:highlight w:val="none"/>
              </w:rPr>
            </w:pPr>
            <w:r>
              <w:rPr>
                <w:rFonts w:hint="eastAsia" w:ascii="宋体" w:hAnsi="宋体"/>
                <w:color w:val="auto"/>
                <w:szCs w:val="21"/>
                <w:highlight w:val="none"/>
              </w:rPr>
              <w:t>（技术标和经济标同时开标）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
                <w:bCs/>
                <w:color w:val="auto"/>
                <w:szCs w:val="21"/>
                <w:highlight w:val="none"/>
                <w:u w:val="single"/>
              </w:rPr>
            </w:pPr>
            <w:r>
              <w:rPr>
                <w:rFonts w:ascii="宋体" w:hAnsi="宋体"/>
                <w:color w:val="auto"/>
                <w:szCs w:val="21"/>
                <w:highlight w:val="none"/>
              </w:rPr>
              <w:t>1</w:t>
            </w:r>
            <w:r>
              <w:rPr>
                <w:rFonts w:hint="eastAsia" w:ascii="宋体" w:hAnsi="宋体"/>
                <w:color w:val="auto"/>
                <w:szCs w:val="21"/>
                <w:highlight w:val="none"/>
              </w:rPr>
              <w:t>、开标开始时间：</w:t>
            </w:r>
            <w:r>
              <w:rPr>
                <w:rFonts w:ascii="宋体" w:hAnsi="宋体"/>
                <w:color w:val="auto"/>
                <w:szCs w:val="21"/>
                <w:highlight w:val="none"/>
                <w:u w:val="single"/>
              </w:rPr>
              <w:t>20</w:t>
            </w:r>
            <w:r>
              <w:rPr>
                <w:rFonts w:hint="eastAsia" w:ascii="宋体" w:hAnsi="宋体"/>
                <w:color w:val="auto"/>
                <w:szCs w:val="21"/>
                <w:highlight w:val="none"/>
                <w:u w:val="single"/>
              </w:rPr>
              <w:t>2</w:t>
            </w:r>
            <w:r>
              <w:rPr>
                <w:rFonts w:hint="eastAsia" w:ascii="宋体" w:hAnsi="宋体"/>
                <w:color w:val="auto"/>
                <w:szCs w:val="21"/>
                <w:highlight w:val="none"/>
                <w:u w:val="single"/>
                <w:lang w:val="en-US" w:eastAsia="zh-CN"/>
              </w:rPr>
              <w:t>5</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12</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25</w:t>
            </w:r>
            <w:r>
              <w:rPr>
                <w:rFonts w:hint="eastAsia" w:ascii="宋体" w:hAnsi="宋体"/>
                <w:color w:val="auto"/>
                <w:szCs w:val="21"/>
                <w:highlight w:val="none"/>
              </w:rPr>
              <w:t>日</w:t>
            </w:r>
            <w:r>
              <w:rPr>
                <w:rFonts w:hint="eastAsia" w:ascii="宋体" w:hAnsi="宋体"/>
                <w:color w:val="auto"/>
                <w:szCs w:val="21"/>
                <w:highlight w:val="none"/>
                <w:u w:val="single"/>
                <w:lang w:val="en-US" w:eastAsia="zh-CN"/>
              </w:rPr>
              <w:t>9</w:t>
            </w:r>
            <w:r>
              <w:rPr>
                <w:rFonts w:hint="eastAsia" w:ascii="宋体" w:hAnsi="宋体"/>
                <w:color w:val="auto"/>
                <w:szCs w:val="21"/>
                <w:highlight w:val="none"/>
              </w:rPr>
              <w:t>时</w:t>
            </w:r>
            <w:r>
              <w:rPr>
                <w:rFonts w:hint="eastAsia" w:ascii="宋体" w:hAnsi="宋体"/>
                <w:color w:val="auto"/>
                <w:szCs w:val="21"/>
                <w:highlight w:val="none"/>
                <w:u w:val="single"/>
                <w:lang w:val="en-US" w:eastAsia="zh-CN"/>
              </w:rPr>
              <w:t>00</w:t>
            </w:r>
            <w:r>
              <w:rPr>
                <w:rFonts w:hint="eastAsia" w:ascii="宋体" w:hAnsi="宋体"/>
                <w:color w:val="auto"/>
                <w:szCs w:val="21"/>
                <w:highlight w:val="none"/>
              </w:rPr>
              <w:t>分（与</w:t>
            </w:r>
            <w:r>
              <w:rPr>
                <w:rFonts w:ascii="宋体" w:hAnsi="宋体"/>
                <w:color w:val="auto"/>
                <w:szCs w:val="21"/>
                <w:highlight w:val="none"/>
              </w:rPr>
              <w:t>投标截止时间</w:t>
            </w:r>
            <w:r>
              <w:rPr>
                <w:rFonts w:hint="eastAsia" w:ascii="宋体" w:hAnsi="宋体"/>
                <w:color w:val="auto"/>
                <w:szCs w:val="21"/>
                <w:highlight w:val="none"/>
              </w:rPr>
              <w:t>为</w:t>
            </w:r>
            <w:r>
              <w:rPr>
                <w:rFonts w:ascii="宋体" w:hAnsi="宋体"/>
                <w:color w:val="auto"/>
                <w:szCs w:val="21"/>
                <w:highlight w:val="none"/>
              </w:rPr>
              <w:t>同一时间</w:t>
            </w:r>
            <w:r>
              <w:rPr>
                <w:rFonts w:hint="eastAsia" w:ascii="宋体" w:hAnsi="宋体"/>
                <w:color w:val="auto"/>
                <w:szCs w:val="21"/>
                <w:highlight w:val="none"/>
              </w:rPr>
              <w:t>），地点：</w:t>
            </w:r>
            <w:r>
              <w:rPr>
                <w:rFonts w:hint="eastAsia" w:ascii="宋体" w:hAnsi="宋体"/>
                <w:color w:val="auto"/>
                <w:szCs w:val="21"/>
                <w:highlight w:val="none"/>
                <w:u w:val="single"/>
              </w:rPr>
              <w:t>广州交易集团有限公司（广州公共资源交易中心）</w:t>
            </w:r>
            <w:r>
              <w:rPr>
                <w:rFonts w:hint="eastAsia" w:ascii="宋体" w:hAnsi="宋体"/>
                <w:color w:val="auto"/>
                <w:szCs w:val="21"/>
                <w:highlight w:val="none"/>
                <w:u w:val="single"/>
                <w:lang w:val="en-US" w:eastAsia="zh-CN"/>
              </w:rPr>
              <w:t>开</w:t>
            </w:r>
            <w:r>
              <w:rPr>
                <w:rFonts w:hint="eastAsia"/>
                <w:color w:val="auto"/>
                <w:spacing w:val="20"/>
                <w:szCs w:val="21"/>
                <w:highlight w:val="none"/>
                <w:u w:val="single"/>
              </w:rPr>
              <w:t>标室（具体以交易中心公告的开标室为准）</w:t>
            </w:r>
            <w:r>
              <w:rPr>
                <w:rFonts w:hint="eastAsia"/>
                <w:color w:val="auto"/>
                <w:spacing w:val="20"/>
                <w:szCs w:val="21"/>
                <w:highlight w:val="none"/>
              </w:rPr>
              <w:t>。</w:t>
            </w:r>
            <w:r>
              <w:rPr>
                <w:rFonts w:hint="eastAsia" w:ascii="宋体" w:eastAsia="宋体" w:cs="宋体"/>
                <w:bCs/>
                <w:color w:val="auto"/>
                <w:szCs w:val="21"/>
                <w:highlight w:val="none"/>
                <w:u w:val="single"/>
              </w:rPr>
              <w:t>投标人也可选择参加在线开标，具体按照交易平台相关指南进行操作。详见：</w:t>
            </w:r>
            <w:r>
              <w:rPr>
                <w:rFonts w:hint="eastAsia" w:ascii="宋体" w:hAnsi="宋体" w:eastAsia="宋体" w:cs="宋体"/>
                <w:color w:val="auto"/>
                <w:sz w:val="21"/>
                <w:szCs w:val="21"/>
                <w:highlight w:val="none"/>
                <w:u w:val="single"/>
              </w:rPr>
              <w:t>广州交易集团有限公司（广州公共资源交易中心）网站最新指引</w:t>
            </w:r>
            <w:r>
              <w:rPr>
                <w:rFonts w:hint="eastAsia" w:ascii="宋体" w:eastAsia="宋体" w:cs="宋体"/>
                <w:bCs/>
                <w:color w:val="auto"/>
                <w:szCs w:val="21"/>
                <w:highlight w:val="none"/>
                <w:u w:val="single"/>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Cs w:val="21"/>
                <w:highlight w:val="none"/>
              </w:rPr>
            </w:pPr>
            <w:r>
              <w:rPr>
                <w:rFonts w:hint="eastAsia" w:ascii="宋体" w:hAnsi="宋体"/>
                <w:color w:val="auto"/>
                <w:szCs w:val="21"/>
                <w:highlight w:val="none"/>
              </w:rPr>
              <w:t>注：投标文件解密问题。投标人只用执行一次解密，招标人执行解密次数根据招标文件开标次数确定。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olor w:val="auto"/>
                <w:highlight w:val="none"/>
                <w:lang w:val="en-US" w:eastAsia="zh-CN"/>
              </w:rPr>
            </w:pPr>
            <w:r>
              <w:rPr>
                <w:rFonts w:hint="eastAsia" w:ascii="宋体" w:hAnsi="宋体"/>
                <w:color w:val="auto"/>
                <w:szCs w:val="21"/>
                <w:highlight w:val="none"/>
              </w:rPr>
              <w:t>2、递交投标文件备用</w:t>
            </w:r>
            <w:r>
              <w:rPr>
                <w:rFonts w:hint="eastAsia" w:ascii="宋体" w:hAnsi="宋体"/>
                <w:color w:val="auto"/>
                <w:szCs w:val="21"/>
                <w:highlight w:val="none"/>
                <w:u w:val="single"/>
                <w:lang w:val="en-US" w:eastAsia="zh-CN"/>
              </w:rPr>
              <w:t>U盘/光盘</w:t>
            </w:r>
            <w:r>
              <w:rPr>
                <w:rFonts w:hint="eastAsia" w:ascii="宋体" w:hAnsi="宋体"/>
                <w:color w:val="auto"/>
                <w:szCs w:val="21"/>
                <w:highlight w:val="none"/>
              </w:rPr>
              <w:t>时间：</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5</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12</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25</w:t>
            </w:r>
            <w:r>
              <w:rPr>
                <w:rFonts w:hint="eastAsia" w:ascii="宋体" w:hAnsi="宋体"/>
                <w:color w:val="auto"/>
                <w:szCs w:val="21"/>
                <w:highlight w:val="none"/>
              </w:rPr>
              <w:t>日</w:t>
            </w:r>
            <w:r>
              <w:rPr>
                <w:rFonts w:hint="eastAsia" w:ascii="宋体" w:hAnsi="宋体"/>
                <w:color w:val="auto"/>
                <w:szCs w:val="21"/>
                <w:highlight w:val="none"/>
                <w:u w:val="single"/>
                <w:lang w:val="en-US" w:eastAsia="zh-CN"/>
              </w:rPr>
              <w:t>8</w:t>
            </w:r>
            <w:r>
              <w:rPr>
                <w:rFonts w:hint="eastAsia" w:ascii="宋体" w:hAnsi="宋体"/>
                <w:color w:val="auto"/>
                <w:szCs w:val="21"/>
                <w:highlight w:val="none"/>
              </w:rPr>
              <w:t>时</w:t>
            </w:r>
            <w:r>
              <w:rPr>
                <w:rFonts w:hint="eastAsia" w:ascii="宋体" w:hAnsi="宋体"/>
                <w:color w:val="auto"/>
                <w:szCs w:val="21"/>
                <w:highlight w:val="none"/>
                <w:u w:val="single"/>
                <w:lang w:val="en-US" w:eastAsia="zh-CN"/>
              </w:rPr>
              <w:t>45</w:t>
            </w:r>
            <w:r>
              <w:rPr>
                <w:rFonts w:hint="eastAsia" w:ascii="宋体" w:hAnsi="宋体"/>
                <w:color w:val="auto"/>
                <w:szCs w:val="21"/>
                <w:highlight w:val="none"/>
                <w:u w:val="none"/>
                <w:lang w:val="en-US" w:eastAsia="zh-CN"/>
              </w:rPr>
              <w:t>分</w:t>
            </w:r>
            <w:r>
              <w:rPr>
                <w:rFonts w:hint="eastAsia" w:ascii="宋体" w:hAnsi="宋体"/>
                <w:color w:val="auto"/>
                <w:szCs w:val="21"/>
                <w:highlight w:val="none"/>
              </w:rPr>
              <w:t>至</w:t>
            </w:r>
            <w:r>
              <w:rPr>
                <w:rFonts w:hint="eastAsia" w:ascii="宋体" w:hAnsi="宋体"/>
                <w:color w:val="auto"/>
                <w:szCs w:val="21"/>
                <w:highlight w:val="none"/>
                <w:u w:val="single"/>
                <w:lang w:val="en-US" w:eastAsia="zh-CN"/>
              </w:rPr>
              <w:t>2025</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12</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25</w:t>
            </w:r>
            <w:bookmarkStart w:id="67" w:name="_GoBack"/>
            <w:bookmarkEnd w:id="67"/>
            <w:r>
              <w:rPr>
                <w:rFonts w:hint="eastAsia" w:ascii="宋体" w:hAnsi="宋体"/>
                <w:color w:val="auto"/>
                <w:szCs w:val="21"/>
                <w:highlight w:val="none"/>
              </w:rPr>
              <w:t>日</w:t>
            </w:r>
            <w:r>
              <w:rPr>
                <w:rFonts w:hint="eastAsia" w:ascii="宋体" w:hAnsi="宋体"/>
                <w:color w:val="auto"/>
                <w:szCs w:val="21"/>
                <w:highlight w:val="none"/>
                <w:u w:val="single"/>
                <w:lang w:val="en-US" w:eastAsia="zh-CN"/>
              </w:rPr>
              <w:t>9</w:t>
            </w:r>
            <w:r>
              <w:rPr>
                <w:rFonts w:hint="eastAsia" w:ascii="宋体" w:hAnsi="宋体"/>
                <w:color w:val="auto"/>
                <w:szCs w:val="21"/>
                <w:highlight w:val="none"/>
              </w:rPr>
              <w:t>时</w:t>
            </w:r>
            <w:r>
              <w:rPr>
                <w:rFonts w:hint="eastAsia" w:ascii="宋体" w:hAnsi="宋体"/>
                <w:color w:val="auto"/>
                <w:szCs w:val="21"/>
                <w:highlight w:val="none"/>
                <w:u w:val="single"/>
                <w:lang w:val="en-US" w:eastAsia="zh-CN"/>
              </w:rPr>
              <w:t>00</w:t>
            </w:r>
            <w:r>
              <w:rPr>
                <w:rFonts w:hint="eastAsia" w:ascii="宋体" w:hAnsi="宋体"/>
                <w:color w:val="auto"/>
                <w:szCs w:val="21"/>
                <w:highlight w:val="none"/>
              </w:rPr>
              <w:t>分；递交地点：</w:t>
            </w:r>
            <w:r>
              <w:rPr>
                <w:rFonts w:hint="eastAsia" w:ascii="宋体" w:hAnsi="宋体"/>
                <w:color w:val="auto"/>
                <w:szCs w:val="21"/>
                <w:highlight w:val="none"/>
                <w:u w:val="single"/>
              </w:rPr>
              <w:t>广州交易集团有限公司（广州公共资源交易中心）</w:t>
            </w:r>
            <w:r>
              <w:rPr>
                <w:rFonts w:hint="eastAsia" w:ascii="宋体" w:hAnsi="宋体"/>
                <w:color w:val="auto"/>
                <w:szCs w:val="21"/>
                <w:highlight w:val="none"/>
                <w:u w:val="single"/>
                <w:lang w:val="en-US" w:eastAsia="zh-CN"/>
              </w:rPr>
              <w:t>开</w:t>
            </w:r>
            <w:r>
              <w:rPr>
                <w:rFonts w:hint="eastAsia"/>
                <w:color w:val="auto"/>
                <w:spacing w:val="20"/>
                <w:szCs w:val="21"/>
                <w:highlight w:val="none"/>
                <w:u w:val="single"/>
              </w:rPr>
              <w:t>标室（具体以交易中心公告的开标室为准）</w:t>
            </w:r>
            <w:r>
              <w:rPr>
                <w:rFonts w:hint="eastAsia" w:ascii="宋体" w:hAnsi="宋体"/>
                <w:color w:val="auto"/>
                <w:highlight w:val="none"/>
              </w:rPr>
              <w:t>。(建议安排在投标文件截止时间前15分钟至投标文件截止时间）</w:t>
            </w:r>
            <w:r>
              <w:rPr>
                <w:rFonts w:hint="eastAsia" w:ascii="宋体" w:hAnsi="宋体" w:eastAsia="宋体" w:cs="宋体"/>
                <w:color w:val="auto"/>
                <w:sz w:val="21"/>
                <w:szCs w:val="21"/>
                <w:highlight w:val="none"/>
              </w:rPr>
              <w:t>投标人也可选择参加在线开标，具体按照交易平台相关指南进行操作。详见：</w:t>
            </w:r>
            <w:r>
              <w:rPr>
                <w:rFonts w:hint="eastAsia" w:ascii="宋体" w:hAnsi="宋体" w:eastAsia="宋体" w:cs="宋体"/>
                <w:color w:val="auto"/>
                <w:sz w:val="21"/>
                <w:szCs w:val="21"/>
                <w:highlight w:val="none"/>
                <w:u w:val="single"/>
              </w:rPr>
              <w:t>广州交易集团有限公司（广州公共资源交易中心）网站最新指引</w:t>
            </w:r>
            <w:r>
              <w:rPr>
                <w:rFonts w:hint="eastAsia" w:ascii="宋体" w:hAnsi="宋体" w:cs="宋体"/>
                <w:color w:val="auto"/>
                <w:sz w:val="21"/>
                <w:szCs w:val="21"/>
                <w:highlight w:val="none"/>
                <w:u w:val="single"/>
                <w:lang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olor w:val="auto"/>
                <w:highlight w:val="none"/>
                <w:u w:val="single"/>
              </w:rPr>
              <w:t>上述时间及地点是否有改变，请</w:t>
            </w:r>
            <w:r>
              <w:rPr>
                <w:rFonts w:hint="eastAsia" w:ascii="宋体" w:hAnsi="宋体"/>
                <w:b w:val="0"/>
                <w:bCs w:val="0"/>
                <w:color w:val="auto"/>
                <w:highlight w:val="none"/>
                <w:u w:val="single"/>
              </w:rPr>
              <w:t>密切留意补充公告和招标答</w:t>
            </w:r>
            <w:r>
              <w:rPr>
                <w:rFonts w:hint="eastAsia" w:ascii="宋体" w:hAnsi="宋体"/>
                <w:color w:val="auto"/>
                <w:highlight w:val="none"/>
                <w:u w:val="single"/>
              </w:rPr>
              <w:t>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26</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宋体" w:hAnsi="宋体" w:eastAsia="宋体"/>
                <w:color w:val="auto"/>
                <w:szCs w:val="21"/>
                <w:highlight w:val="none"/>
                <w:lang w:eastAsia="zh-CN"/>
              </w:rPr>
            </w:pPr>
            <w:r>
              <w:rPr>
                <w:rFonts w:hint="eastAsia" w:ascii="宋体" w:hAnsi="宋体" w:cs="宋体"/>
                <w:color w:val="auto"/>
                <w:szCs w:val="21"/>
                <w:highlight w:val="none"/>
              </w:rPr>
              <w:t>方式一：</w:t>
            </w:r>
            <w:r>
              <w:rPr>
                <w:rFonts w:hint="eastAsia" w:ascii="宋体" w:hAnsi="宋体" w:cs="宋体"/>
                <w:color w:val="auto"/>
                <w:szCs w:val="21"/>
                <w:highlight w:val="none"/>
                <w:u w:val="single"/>
              </w:rPr>
              <w:t>选取方法</w:t>
            </w:r>
            <w:r>
              <w:rPr>
                <w:rFonts w:hint="eastAsia" w:ascii="宋体" w:hAnsi="宋体" w:cs="宋体"/>
                <w:color w:val="auto"/>
                <w:szCs w:val="21"/>
                <w:highlight w:val="none"/>
                <w:u w:val="single"/>
                <w:lang w:val="en-US" w:eastAsia="zh-CN"/>
              </w:rPr>
              <w:t>六</w:t>
            </w:r>
            <w:r>
              <w:rPr>
                <w:rFonts w:hint="eastAsia" w:ascii="宋体" w:hAnsi="宋体" w:cs="宋体"/>
                <w:color w:val="auto"/>
                <w:szCs w:val="21"/>
                <w:highlight w:val="none"/>
                <w:u w:val="single"/>
              </w:rPr>
              <w:t>（适合综合评分办法</w:t>
            </w:r>
            <w:r>
              <w:rPr>
                <w:rFonts w:hint="eastAsia" w:ascii="宋体" w:hAnsi="宋体" w:cs="宋体"/>
                <w:color w:val="auto"/>
                <w:szCs w:val="21"/>
                <w:highlight w:val="none"/>
                <w:u w:val="single"/>
                <w:lang w:val="en-US" w:eastAsia="zh-CN"/>
              </w:rPr>
              <w:t>三</w:t>
            </w:r>
            <w:r>
              <w:rPr>
                <w:rFonts w:hint="eastAsia" w:ascii="宋体" w:hAnsi="宋体" w:cs="宋体"/>
                <w:color w:val="auto"/>
                <w:szCs w:val="21"/>
                <w:highlight w:val="none"/>
                <w:u w:val="single"/>
              </w:rPr>
              <w:t>，技术标与经济标同时开启）</w:t>
            </w:r>
            <w:r>
              <w:rPr>
                <w:rFonts w:hint="eastAsia" w:ascii="宋体" w:hAnsi="宋体" w:cs="宋体"/>
                <w:color w:val="auto"/>
                <w:szCs w:val="21"/>
                <w:highlight w:val="none"/>
                <w:u w:val="singl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29.1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trike/>
                <w:color w:val="auto"/>
                <w:szCs w:val="21"/>
                <w:highlight w:val="none"/>
              </w:rPr>
            </w:pPr>
            <w:r>
              <w:rPr>
                <w:rFonts w:hint="eastAsia" w:ascii="宋体" w:hAnsi="宋体" w:cs="宋体"/>
                <w:color w:val="auto"/>
                <w:szCs w:val="21"/>
                <w:highlight w:val="none"/>
                <w:u w:val="single"/>
              </w:rPr>
              <w:t>方式一：中标人提供的履约保证金为中标价款的10%。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ind w:firstLine="420" w:firstLineChars="200"/>
              <w:rPr>
                <w:rFonts w:ascii="宋体" w:hAnsi="宋体"/>
                <w:color w:val="auto"/>
                <w:szCs w:val="21"/>
                <w:highlight w:val="none"/>
                <w:u w:val="single"/>
              </w:rPr>
            </w:pPr>
            <w:r>
              <w:rPr>
                <w:rFonts w:ascii="宋体" w:hAnsi="宋体" w:cs="宋体"/>
                <w:color w:val="auto"/>
                <w:szCs w:val="21"/>
                <w:highlight w:val="none"/>
                <w:u w:val="single"/>
              </w:rPr>
              <w:t>本项目最高投标限价为人民币</w:t>
            </w:r>
            <w:r>
              <w:rPr>
                <w:rFonts w:hint="eastAsia" w:ascii="宋体" w:hAnsi="宋体" w:cs="宋体"/>
                <w:color w:val="auto"/>
                <w:szCs w:val="21"/>
                <w:highlight w:val="none"/>
                <w:u w:val="single"/>
                <w:lang w:val="en-US" w:eastAsia="zh-CN"/>
              </w:rPr>
              <w:t>324320003.13</w:t>
            </w:r>
            <w:r>
              <w:rPr>
                <w:rFonts w:ascii="宋体" w:hAnsi="宋体" w:cs="宋体"/>
                <w:color w:val="auto"/>
                <w:szCs w:val="21"/>
                <w:highlight w:val="none"/>
                <w:u w:val="single"/>
              </w:rPr>
              <w:t>元，投标报价高于招标控制价的投标文件将不通过经济标有效性审查。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ind w:left="0" w:leftChars="0" w:firstLine="420" w:firstLineChars="200"/>
              <w:rPr>
                <w:color w:val="auto"/>
                <w:highlight w:val="none"/>
              </w:rPr>
            </w:pPr>
            <w:r>
              <w:rPr>
                <w:rFonts w:hint="eastAsia" w:ascii="宋体" w:hAnsi="宋体" w:cs="宋体"/>
                <w:color w:val="auto"/>
                <w:highlight w:val="none"/>
                <w:u w:val="single"/>
              </w:rPr>
              <w:t>本项目安全生产措施费</w:t>
            </w:r>
            <w:r>
              <w:rPr>
                <w:rFonts w:hint="eastAsia" w:ascii="宋体" w:hAnsi="宋体" w:cs="宋体"/>
                <w:color w:val="auto"/>
                <w:highlight w:val="none"/>
                <w:u w:val="single"/>
                <w:lang w:val="en-US" w:eastAsia="zh-CN"/>
              </w:rPr>
              <w:t>8235480.17</w:t>
            </w:r>
            <w:r>
              <w:rPr>
                <w:rFonts w:hint="eastAsia" w:ascii="宋体" w:hAnsi="宋体" w:cs="宋体"/>
                <w:color w:val="auto"/>
                <w:highlight w:val="none"/>
                <w:u w:val="single"/>
              </w:rPr>
              <w:t>元，暂列金额</w:t>
            </w:r>
            <w:r>
              <w:rPr>
                <w:rFonts w:hint="eastAsia" w:ascii="宋体" w:hAnsi="宋体" w:cs="宋体"/>
                <w:color w:val="auto"/>
                <w:highlight w:val="none"/>
                <w:u w:val="single"/>
                <w:lang w:val="en-US" w:eastAsia="zh-CN"/>
              </w:rPr>
              <w:t>4311926.61</w:t>
            </w:r>
            <w:r>
              <w:rPr>
                <w:rFonts w:hint="eastAsia" w:ascii="宋体" w:hAnsi="宋体" w:cs="宋体"/>
                <w:color w:val="auto"/>
                <w:highlight w:val="none"/>
                <w:u w:val="single"/>
              </w:rPr>
              <w:t>元，暂估价为</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37"/>
              <w:spacing w:line="380" w:lineRule="exact"/>
              <w:ind w:firstLine="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strike w:val="0"/>
                <w:dstrike w:val="0"/>
                <w:color w:val="auto"/>
                <w:szCs w:val="21"/>
                <w:highlight w:val="none"/>
              </w:rPr>
            </w:pPr>
            <w:r>
              <w:rPr>
                <w:rFonts w:ascii="宋体" w:hAnsi="宋体"/>
                <w:strike w:val="0"/>
                <w:dstrike w:val="0"/>
                <w:color w:val="auto"/>
                <w:szCs w:val="21"/>
                <w:highlight w:val="none"/>
              </w:rPr>
              <w:t>2</w:t>
            </w:r>
            <w:r>
              <w:rPr>
                <w:rFonts w:hint="eastAsia" w:ascii="宋体" w:hAnsi="宋体"/>
                <w:strike w:val="0"/>
                <w:dstrike w:val="0"/>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trike/>
                <w:dstrike w:val="0"/>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trike w:val="0"/>
                <w:dstrike w:val="0"/>
                <w:color w:val="auto"/>
                <w:szCs w:val="21"/>
                <w:highlight w:val="none"/>
              </w:rPr>
            </w:pPr>
            <w:r>
              <w:rPr>
                <w:rFonts w:hint="eastAsia" w:ascii="宋体" w:hAnsi="宋体"/>
                <w:strike w:val="0"/>
                <w:dstrike w:val="0"/>
                <w:color w:val="auto"/>
                <w:szCs w:val="21"/>
                <w:highlight w:val="none"/>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strike w:val="0"/>
                <w:dstrike w:val="0"/>
                <w:color w:val="auto"/>
                <w:szCs w:val="21"/>
                <w:highlight w:val="none"/>
              </w:rPr>
            </w:pPr>
            <w:r>
              <w:rPr>
                <w:rFonts w:hint="eastAsia" w:ascii="宋体" w:hAnsi="宋体"/>
                <w:strike w:val="0"/>
                <w:dstrike w:val="0"/>
                <w:color w:val="auto"/>
                <w:szCs w:val="21"/>
                <w:highlight w:val="none"/>
              </w:rPr>
              <w:t>计算评标参考价的等分点值X在开标前从[0,100]的整数中</w:t>
            </w:r>
            <w:r>
              <w:rPr>
                <w:rFonts w:hint="eastAsia" w:ascii="宋体" w:hAnsi="宋体"/>
                <w:strike w:val="0"/>
                <w:dstrike w:val="0"/>
                <w:color w:val="auto"/>
                <w:szCs w:val="21"/>
                <w:highlight w:val="none"/>
                <w:u w:val="single"/>
              </w:rPr>
              <w:t>采用广州交易集团有限公司（广州公共资源交易中心）交易平台在线系统</w:t>
            </w:r>
            <w:r>
              <w:rPr>
                <w:rFonts w:hint="eastAsia" w:ascii="宋体" w:hAnsi="宋体"/>
                <w:strike w:val="0"/>
                <w:dstrike w:val="0"/>
                <w:color w:val="auto"/>
                <w:szCs w:val="21"/>
                <w:highlight w:val="none"/>
              </w:rPr>
              <w:t>随机抽取。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58"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strike w:val="0"/>
                <w:color w:val="auto"/>
                <w:szCs w:val="21"/>
                <w:highlight w:val="none"/>
              </w:rPr>
            </w:pPr>
            <w:r>
              <w:rPr>
                <w:rFonts w:hint="eastAsia" w:ascii="宋体" w:hAnsi="宋体" w:cs="宋体"/>
                <w:strike w:val="0"/>
                <w:color w:val="auto"/>
                <w:szCs w:val="21"/>
                <w:highlight w:val="none"/>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strike w:val="0"/>
                <w:color w:val="auto"/>
                <w:szCs w:val="21"/>
                <w:highlight w:val="none"/>
              </w:rPr>
            </w:pPr>
            <w:r>
              <w:rPr>
                <w:rFonts w:hint="eastAsia" w:ascii="宋体" w:hAnsi="宋体" w:cs="宋体"/>
                <w:strike w:val="0"/>
                <w:color w:val="auto"/>
                <w:szCs w:val="21"/>
                <w:highlight w:val="none"/>
              </w:rPr>
              <w:fldChar w:fldCharType="begin"/>
            </w:r>
            <w:r>
              <w:rPr>
                <w:rFonts w:hint="eastAsia" w:ascii="宋体" w:hAnsi="宋体" w:cs="宋体"/>
                <w:strike w:val="0"/>
                <w:color w:val="auto"/>
                <w:szCs w:val="21"/>
                <w:highlight w:val="none"/>
              </w:rPr>
              <w:instrText xml:space="preserve"> = 1 \* GB3 </w:instrText>
            </w:r>
            <w:r>
              <w:rPr>
                <w:rFonts w:hint="eastAsia" w:ascii="宋体" w:hAnsi="宋体" w:cs="宋体"/>
                <w:strike w:val="0"/>
                <w:color w:val="auto"/>
                <w:szCs w:val="21"/>
                <w:highlight w:val="none"/>
              </w:rPr>
              <w:fldChar w:fldCharType="separate"/>
            </w:r>
            <w:r>
              <w:rPr>
                <w:rFonts w:hint="eastAsia" w:ascii="宋体" w:hAnsi="宋体" w:cs="宋体"/>
                <w:strike w:val="0"/>
                <w:color w:val="auto"/>
                <w:szCs w:val="21"/>
                <w:highlight w:val="none"/>
              </w:rPr>
              <w:t>①</w:t>
            </w:r>
            <w:r>
              <w:rPr>
                <w:rFonts w:hint="eastAsia" w:ascii="宋体" w:hAnsi="宋体" w:cs="宋体"/>
                <w:strike w:val="0"/>
                <w:color w:val="auto"/>
                <w:szCs w:val="21"/>
                <w:highlight w:val="none"/>
              </w:rPr>
              <w:fldChar w:fldCharType="end"/>
            </w:r>
            <w:r>
              <w:rPr>
                <w:rFonts w:hint="eastAsia" w:ascii="宋体" w:hAnsi="宋体" w:cs="宋体"/>
                <w:strike w:val="0"/>
                <w:color w:val="auto"/>
                <w:szCs w:val="21"/>
                <w:highlight w:val="none"/>
              </w:rPr>
              <w:t>通过技术有效性审查的投标人均进入第二阶段（适用于通过技术有效性审查家数在[3,</w:t>
            </w:r>
            <w:r>
              <w:rPr>
                <w:rFonts w:hint="eastAsia" w:ascii="宋体" w:hAnsi="宋体" w:cs="宋体"/>
                <w:strike w:val="0"/>
                <w:color w:val="auto"/>
                <w:szCs w:val="21"/>
                <w:highlight w:val="none"/>
                <w:lang w:val="en-US" w:eastAsia="zh-CN"/>
              </w:rPr>
              <w:t>7</w:t>
            </w:r>
            <w:r>
              <w:rPr>
                <w:rFonts w:hint="eastAsia" w:ascii="宋体" w:hAnsi="宋体" w:cs="宋体"/>
                <w:strike w:val="0"/>
                <w:color w:val="auto"/>
                <w:szCs w:val="21"/>
                <w:highlight w:val="none"/>
              </w:rPr>
              <w:t>]中的）。</w:t>
            </w:r>
          </w:p>
          <w:p>
            <w:pPr>
              <w:spacing w:line="380" w:lineRule="exact"/>
              <w:rPr>
                <w:rFonts w:ascii="宋体" w:hAnsi="宋体" w:cs="宋体"/>
                <w:strike w:val="0"/>
                <w:color w:val="auto"/>
                <w:szCs w:val="21"/>
                <w:highlight w:val="none"/>
              </w:rPr>
            </w:pPr>
            <w:r>
              <w:rPr>
                <w:rFonts w:hint="eastAsia" w:ascii="宋体" w:hAnsi="宋体" w:cs="宋体"/>
                <w:strike w:val="0"/>
                <w:color w:val="auto"/>
                <w:szCs w:val="21"/>
                <w:highlight w:val="none"/>
              </w:rPr>
              <w:fldChar w:fldCharType="begin"/>
            </w:r>
            <w:r>
              <w:rPr>
                <w:rFonts w:hint="eastAsia" w:ascii="宋体" w:hAnsi="宋体" w:cs="宋体"/>
                <w:strike w:val="0"/>
                <w:color w:val="auto"/>
                <w:szCs w:val="21"/>
                <w:highlight w:val="none"/>
              </w:rPr>
              <w:instrText xml:space="preserve"> = 2 \* GB3 </w:instrText>
            </w:r>
            <w:r>
              <w:rPr>
                <w:rFonts w:hint="eastAsia" w:ascii="宋体" w:hAnsi="宋体" w:cs="宋体"/>
                <w:strike w:val="0"/>
                <w:color w:val="auto"/>
                <w:szCs w:val="21"/>
                <w:highlight w:val="none"/>
              </w:rPr>
              <w:fldChar w:fldCharType="separate"/>
            </w:r>
            <w:r>
              <w:rPr>
                <w:rFonts w:hint="eastAsia" w:ascii="宋体" w:hAnsi="宋体" w:cs="宋体"/>
                <w:strike w:val="0"/>
                <w:color w:val="auto"/>
                <w:szCs w:val="21"/>
                <w:highlight w:val="none"/>
              </w:rPr>
              <w:t>②</w:t>
            </w:r>
            <w:r>
              <w:rPr>
                <w:rFonts w:hint="eastAsia" w:ascii="宋体" w:hAnsi="宋体" w:cs="宋体"/>
                <w:strike w:val="0"/>
                <w:color w:val="auto"/>
                <w:szCs w:val="21"/>
                <w:highlight w:val="none"/>
              </w:rPr>
              <w:fldChar w:fldCharType="end"/>
            </w:r>
            <w:r>
              <w:rPr>
                <w:rFonts w:hint="eastAsia" w:ascii="宋体" w:hAnsi="宋体" w:cs="宋体"/>
                <w:strike w:val="0"/>
                <w:color w:val="auto"/>
                <w:szCs w:val="21"/>
                <w:highlight w:val="none"/>
              </w:rPr>
              <w:t>将第一阶段得分由高至低排序，前</w:t>
            </w:r>
            <w:r>
              <w:rPr>
                <w:rFonts w:hint="eastAsia" w:ascii="宋体" w:hAnsi="宋体" w:cs="宋体"/>
                <w:strike w:val="0"/>
                <w:color w:val="auto"/>
                <w:szCs w:val="21"/>
                <w:highlight w:val="none"/>
                <w:lang w:val="en-US" w:eastAsia="zh-CN"/>
              </w:rPr>
              <w:t>7</w:t>
            </w:r>
            <w:r>
              <w:rPr>
                <w:rFonts w:hint="eastAsia" w:ascii="宋体" w:hAnsi="宋体" w:cs="宋体"/>
                <w:strike w:val="0"/>
                <w:color w:val="auto"/>
                <w:szCs w:val="21"/>
                <w:highlight w:val="none"/>
              </w:rPr>
              <w:t>名投标人进入第二阶段评审（适用于通过技术有效性审查家数大于</w:t>
            </w:r>
            <w:r>
              <w:rPr>
                <w:rFonts w:hint="eastAsia" w:ascii="宋体" w:hAnsi="宋体" w:cs="宋体"/>
                <w:strike w:val="0"/>
                <w:color w:val="auto"/>
                <w:szCs w:val="21"/>
                <w:highlight w:val="none"/>
                <w:lang w:val="en-US" w:eastAsia="zh-CN"/>
              </w:rPr>
              <w:t>7</w:t>
            </w:r>
            <w:r>
              <w:rPr>
                <w:rFonts w:hint="eastAsia" w:ascii="宋体" w:hAnsi="宋体" w:cs="宋体"/>
                <w:strike w:val="0"/>
                <w:color w:val="auto"/>
                <w:szCs w:val="21"/>
                <w:highlight w:val="none"/>
              </w:rPr>
              <w:t>家的，招标人可根据工程具体情况，确定不少于</w:t>
            </w:r>
            <w:r>
              <w:rPr>
                <w:rFonts w:hint="eastAsia" w:ascii="宋体" w:hAnsi="宋体" w:cs="宋体"/>
                <w:strike w:val="0"/>
                <w:color w:val="auto"/>
                <w:szCs w:val="21"/>
                <w:highlight w:val="none"/>
                <w:lang w:val="en-US" w:eastAsia="zh-CN"/>
              </w:rPr>
              <w:t>7</w:t>
            </w:r>
            <w:r>
              <w:rPr>
                <w:rFonts w:hint="eastAsia" w:ascii="宋体" w:hAnsi="宋体" w:cs="宋体"/>
                <w:strike w:val="0"/>
                <w:color w:val="auto"/>
                <w:szCs w:val="21"/>
                <w:highlight w:val="none"/>
              </w:rPr>
              <w:t>家进入第二阶段）。</w:t>
            </w:r>
          </w:p>
          <w:p>
            <w:pPr>
              <w:spacing w:line="380" w:lineRule="exact"/>
              <w:rPr>
                <w:rFonts w:ascii="宋体" w:hAnsi="宋体" w:cs="宋体"/>
                <w:strike w:val="0"/>
                <w:color w:val="auto"/>
                <w:szCs w:val="21"/>
                <w:highlight w:val="none"/>
              </w:rPr>
            </w:pPr>
            <w:r>
              <w:rPr>
                <w:rFonts w:hint="eastAsia" w:ascii="宋体" w:hAnsi="宋体" w:cs="宋体"/>
                <w:strike w:val="0"/>
                <w:color w:val="auto"/>
                <w:szCs w:val="21"/>
                <w:highlight w:val="none"/>
              </w:rPr>
              <w:t>注：本款适用于选择评标办法一至评标办法六。进入第二阶段的投标人家数应符合行政监管部门的要求。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26</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60" w:lineRule="exact"/>
              <w:rPr>
                <w:rFonts w:ascii="宋体" w:hAnsi="宋体" w:cs="宋体"/>
                <w:color w:val="auto"/>
                <w:szCs w:val="21"/>
                <w:highlight w:val="none"/>
                <w:u w:val="none"/>
              </w:rPr>
            </w:pPr>
            <w:r>
              <w:rPr>
                <w:rFonts w:hint="eastAsia" w:ascii="宋体" w:hAnsi="宋体" w:cs="宋体"/>
                <w:color w:val="auto"/>
                <w:szCs w:val="21"/>
                <w:highlight w:val="none"/>
                <w:u w:val="none"/>
              </w:rPr>
              <w:t>工程成本警戒价</w:t>
            </w:r>
            <w:r>
              <w:rPr>
                <w:rFonts w:hint="eastAsia" w:ascii="宋体" w:hAnsi="宋体" w:cs="宋体"/>
                <w:color w:val="auto"/>
                <w:szCs w:val="21"/>
                <w:highlight w:val="none"/>
                <w:u w:val="single"/>
                <w:lang w:val="en-US" w:eastAsia="zh-CN"/>
              </w:rPr>
              <w:t xml:space="preserve"> 275672002.66 </w:t>
            </w:r>
            <w:r>
              <w:rPr>
                <w:rFonts w:hint="eastAsia" w:ascii="宋体" w:hAnsi="宋体" w:cs="宋体"/>
                <w:color w:val="auto"/>
                <w:szCs w:val="21"/>
                <w:highlight w:val="none"/>
                <w:u w:val="none"/>
              </w:rPr>
              <w:t>元</w:t>
            </w:r>
            <w:r>
              <w:rPr>
                <w:rFonts w:hint="eastAsia" w:ascii="宋体" w:hAnsi="宋体" w:cs="宋体"/>
                <w:color w:val="auto"/>
                <w:szCs w:val="21"/>
                <w:highlight w:val="none"/>
                <w:u w:val="single"/>
              </w:rPr>
              <w:t>（最高投标限价的</w:t>
            </w:r>
            <w:r>
              <w:rPr>
                <w:rFonts w:hint="eastAsia" w:ascii="宋体" w:hAnsi="宋体" w:cs="宋体"/>
                <w:color w:val="auto"/>
                <w:szCs w:val="21"/>
                <w:highlight w:val="none"/>
                <w:u w:val="single"/>
                <w:lang w:val="en-US" w:eastAsia="zh-CN"/>
              </w:rPr>
              <w:t>85</w:t>
            </w:r>
            <w:r>
              <w:rPr>
                <w:rFonts w:hint="eastAsia" w:ascii="宋体" w:hAnsi="宋体" w:cs="宋体"/>
                <w:color w:val="auto"/>
                <w:szCs w:val="21"/>
                <w:highlight w:val="none"/>
                <w:u w:val="single"/>
              </w:rPr>
              <w:t>%）</w:t>
            </w:r>
            <w:r>
              <w:rPr>
                <w:rFonts w:hint="eastAsia" w:ascii="宋体" w:hAnsi="宋体" w:cs="宋体"/>
                <w:color w:val="auto"/>
                <w:szCs w:val="21"/>
                <w:highlight w:val="none"/>
                <w:u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spacing w:line="360" w:lineRule="exact"/>
              <w:rPr>
                <w:rFonts w:ascii="宋体" w:hAnsi="宋体"/>
                <w:color w:val="auto"/>
                <w:szCs w:val="21"/>
                <w:highlight w:val="none"/>
                <w:u w:val="single"/>
              </w:rPr>
            </w:pPr>
            <w:r>
              <w:rPr>
                <w:rFonts w:hint="eastAsia" w:ascii="宋体" w:hAnsi="宋体" w:cs="宋体"/>
                <w:color w:val="auto"/>
                <w:szCs w:val="21"/>
                <w:highlight w:val="none"/>
                <w:u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trike w:val="0"/>
                <w:dstrike w:val="0"/>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strike w:val="0"/>
                <w:dstrike w:val="0"/>
                <w:color w:val="auto"/>
                <w:szCs w:val="21"/>
                <w:highlight w:val="none"/>
              </w:rPr>
            </w:pPr>
            <w:r>
              <w:rPr>
                <w:rFonts w:hint="eastAsia" w:ascii="宋体" w:hAnsi="宋体" w:cs="宋体"/>
                <w:strike w:val="0"/>
                <w:dstrike w:val="0"/>
                <w:color w:val="auto"/>
                <w:szCs w:val="21"/>
                <w:highlight w:val="none"/>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bCs/>
                <w:strike w:val="0"/>
                <w:dstrike w:val="0"/>
                <w:color w:val="auto"/>
                <w:szCs w:val="21"/>
                <w:highlight w:val="none"/>
              </w:rPr>
            </w:pPr>
            <w:r>
              <w:rPr>
                <w:rFonts w:hint="eastAsia" w:ascii="宋体" w:hAnsi="宋体" w:cs="宋体"/>
                <w:bCs/>
                <w:strike w:val="0"/>
                <w:dstrike w:val="0"/>
                <w:color w:val="auto"/>
                <w:szCs w:val="21"/>
                <w:highlight w:val="none"/>
              </w:rPr>
              <w:t>技术分权重为</w:t>
            </w:r>
            <w:r>
              <w:rPr>
                <w:rFonts w:hint="eastAsia" w:ascii="宋体" w:hAnsi="宋体" w:cs="宋体"/>
                <w:bCs/>
                <w:strike w:val="0"/>
                <w:dstrike w:val="0"/>
                <w:color w:val="auto"/>
                <w:szCs w:val="21"/>
                <w:highlight w:val="none"/>
                <w:lang w:val="en-US" w:eastAsia="zh-CN"/>
              </w:rPr>
              <w:t>80</w:t>
            </w:r>
            <w:r>
              <w:rPr>
                <w:rFonts w:hint="eastAsia" w:ascii="宋体" w:hAnsi="宋体" w:cs="宋体"/>
                <w:bCs/>
                <w:strike w:val="0"/>
                <w:dstrike w:val="0"/>
                <w:color w:val="auto"/>
                <w:szCs w:val="21"/>
                <w:highlight w:val="none"/>
              </w:rPr>
              <w:t>%，</w:t>
            </w:r>
            <w:r>
              <w:rPr>
                <w:rFonts w:hint="eastAsia" w:ascii="宋体" w:hAnsi="宋体" w:cs="宋体"/>
                <w:bCs/>
                <w:strike w:val="0"/>
                <w:dstrike w:val="0"/>
                <w:color w:val="auto"/>
                <w:szCs w:val="21"/>
                <w:highlight w:val="none"/>
                <w:u w:val="single"/>
              </w:rPr>
              <w:t>诚信综合</w:t>
            </w:r>
            <w:r>
              <w:rPr>
                <w:rFonts w:hint="eastAsia" w:ascii="宋体" w:hAnsi="宋体" w:cs="宋体"/>
                <w:bCs/>
                <w:strike w:val="0"/>
                <w:dstrike w:val="0"/>
                <w:color w:val="auto"/>
                <w:szCs w:val="21"/>
                <w:highlight w:val="none"/>
              </w:rPr>
              <w:t>评价分数权重为</w:t>
            </w:r>
            <w:r>
              <w:rPr>
                <w:rFonts w:hint="eastAsia" w:ascii="宋体" w:hAnsi="宋体" w:cs="宋体"/>
                <w:bCs/>
                <w:strike w:val="0"/>
                <w:dstrike w:val="0"/>
                <w:color w:val="auto"/>
                <w:szCs w:val="21"/>
                <w:highlight w:val="none"/>
                <w:lang w:val="en-US" w:eastAsia="zh-CN"/>
              </w:rPr>
              <w:t>20</w:t>
            </w:r>
            <w:r>
              <w:rPr>
                <w:rFonts w:hint="eastAsia" w:ascii="宋体" w:hAnsi="宋体" w:cs="宋体"/>
                <w:bCs/>
                <w:strike w:val="0"/>
                <w:dstrike w:val="0"/>
                <w:color w:val="auto"/>
                <w:szCs w:val="21"/>
                <w:highlight w:val="none"/>
              </w:rPr>
              <w:t>%。</w:t>
            </w:r>
          </w:p>
          <w:p>
            <w:pPr>
              <w:spacing w:line="380" w:lineRule="exact"/>
              <w:rPr>
                <w:rFonts w:hint="eastAsia" w:ascii="宋体" w:hAnsi="宋体" w:eastAsia="宋体" w:cs="宋体"/>
                <w:b/>
                <w:strike w:val="0"/>
                <w:dstrike w:val="0"/>
                <w:color w:val="auto"/>
                <w:szCs w:val="21"/>
                <w:highlight w:val="none"/>
                <w:u w:val="single"/>
                <w:lang w:val="en-US" w:eastAsia="zh-CN"/>
              </w:rPr>
            </w:pPr>
            <w:r>
              <w:rPr>
                <w:rFonts w:hint="eastAsia" w:ascii="宋体" w:hAnsi="宋体" w:cs="宋体"/>
                <w:bCs/>
                <w:strike w:val="0"/>
                <w:dstrike w:val="0"/>
                <w:color w:val="auto"/>
                <w:szCs w:val="21"/>
                <w:highlight w:val="none"/>
              </w:rPr>
              <w:t>注：</w:t>
            </w:r>
            <w:r>
              <w:rPr>
                <w:rFonts w:hint="eastAsia" w:ascii="宋体" w:hAnsi="宋体" w:cs="宋体"/>
                <w:bCs/>
                <w:strike w:val="0"/>
                <w:dstrike w:val="0"/>
                <w:color w:val="auto"/>
                <w:szCs w:val="21"/>
                <w:highlight w:val="none"/>
                <w:u w:val="single"/>
              </w:rPr>
              <w:t>诚信综合</w:t>
            </w:r>
            <w:r>
              <w:rPr>
                <w:rFonts w:hint="eastAsia" w:ascii="宋体" w:hAnsi="宋体" w:cs="宋体"/>
                <w:bCs/>
                <w:strike w:val="0"/>
                <w:dstrike w:val="0"/>
                <w:color w:val="auto"/>
                <w:szCs w:val="21"/>
                <w:highlight w:val="none"/>
              </w:rPr>
              <w:t>评价得分权重按《关于诚信综合评价在招标投标环节中应用的指引》（招标投标指引2020年第6期）规定执行，招标人可在[0,20%]选择。技术分权重=100%-</w:t>
            </w:r>
            <w:r>
              <w:rPr>
                <w:rFonts w:hint="eastAsia" w:ascii="宋体" w:hAnsi="宋体" w:cs="宋体"/>
                <w:bCs/>
                <w:strike w:val="0"/>
                <w:dstrike w:val="0"/>
                <w:color w:val="auto"/>
                <w:szCs w:val="21"/>
                <w:highlight w:val="none"/>
                <w:u w:val="single"/>
              </w:rPr>
              <w:t>诚信综合</w:t>
            </w:r>
            <w:r>
              <w:rPr>
                <w:rFonts w:hint="eastAsia" w:ascii="宋体" w:hAnsi="宋体" w:cs="宋体"/>
                <w:bCs/>
                <w:strike w:val="0"/>
                <w:dstrike w:val="0"/>
                <w:color w:val="auto"/>
                <w:szCs w:val="21"/>
                <w:highlight w:val="none"/>
              </w:rPr>
              <w:t>评价得分权重</w:t>
            </w:r>
            <w:r>
              <w:rPr>
                <w:rFonts w:hint="eastAsia" w:ascii="宋体" w:hAnsi="宋体" w:cs="宋体"/>
                <w:bCs/>
                <w:strike w:val="0"/>
                <w:dstrike w:val="0"/>
                <w:color w:val="auto"/>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28</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u w:val="single"/>
              </w:rPr>
            </w:pPr>
            <w:r>
              <w:rPr>
                <w:rFonts w:hint="eastAsia" w:ascii="宋体" w:hAnsi="宋体" w:cs="宋体"/>
                <w:color w:val="auto"/>
                <w:szCs w:val="21"/>
                <w:highlight w:val="none"/>
                <w:u w:val="single"/>
              </w:rPr>
              <w:t>评标委员会构成：</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人。</w:t>
            </w:r>
          </w:p>
          <w:p>
            <w:pPr>
              <w:rPr>
                <w:rFonts w:ascii="宋体" w:hAnsi="宋体" w:cs="宋体"/>
                <w:color w:val="auto"/>
                <w:szCs w:val="21"/>
                <w:highlight w:val="none"/>
                <w:u w:val="single"/>
              </w:rPr>
            </w:pPr>
            <w:r>
              <w:rPr>
                <w:rFonts w:hint="eastAsia" w:ascii="宋体" w:hAnsi="宋体" w:cs="宋体"/>
                <w:color w:val="auto"/>
                <w:szCs w:val="21"/>
                <w:highlight w:val="none"/>
                <w:u w:val="single"/>
              </w:rPr>
              <w:t>其中招标人代表</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人，专家</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人；</w:t>
            </w:r>
          </w:p>
          <w:p>
            <w:pPr>
              <w:spacing w:line="380" w:lineRule="exact"/>
              <w:rPr>
                <w:rFonts w:ascii="宋体" w:hAnsi="宋体"/>
                <w:color w:val="auto"/>
                <w:szCs w:val="21"/>
                <w:highlight w:val="none"/>
              </w:rPr>
            </w:pPr>
            <w:r>
              <w:rPr>
                <w:rFonts w:hint="eastAsia" w:ascii="宋体" w:hAnsi="宋体" w:cs="宋体"/>
                <w:color w:val="auto"/>
                <w:szCs w:val="21"/>
                <w:highlight w:val="none"/>
                <w:u w:val="single"/>
              </w:rPr>
              <w:t>评标专家确定方式：在广东省综合评标评审专家库中随机抽取。</w:t>
            </w:r>
            <w:r>
              <w:rPr>
                <w:rFonts w:hint="eastAsia" w:ascii="宋体" w:hAnsi="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企业</w:t>
            </w:r>
            <w:r>
              <w:rPr>
                <w:rFonts w:hint="eastAsia" w:ascii="宋体" w:hAnsi="宋体"/>
                <w:color w:val="auto"/>
                <w:szCs w:val="21"/>
                <w:highlight w:val="none"/>
                <w:u w:val="single"/>
              </w:rPr>
              <w:t>诚信综合</w:t>
            </w:r>
            <w:r>
              <w:rPr>
                <w:rFonts w:hint="eastAsia" w:ascii="宋体" w:hAnsi="宋体"/>
                <w:color w:val="auto"/>
                <w:szCs w:val="21"/>
                <w:highlight w:val="none"/>
              </w:rPr>
              <w:t>评价分数</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olor w:val="auto"/>
                <w:szCs w:val="21"/>
                <w:highlight w:val="none"/>
              </w:rPr>
            </w:pPr>
            <w:r>
              <w:rPr>
                <w:rFonts w:hint="eastAsia" w:ascii="宋体" w:hAnsi="宋体" w:cs="宋体"/>
                <w:color w:val="auto"/>
                <w:szCs w:val="21"/>
                <w:highlight w:val="none"/>
              </w:rPr>
              <w:t>本项目的企业</w:t>
            </w:r>
            <w:r>
              <w:rPr>
                <w:rFonts w:hint="eastAsia" w:ascii="宋体" w:hAnsi="宋体" w:cs="宋体"/>
                <w:color w:val="auto"/>
                <w:szCs w:val="21"/>
                <w:highlight w:val="none"/>
                <w:u w:val="single"/>
              </w:rPr>
              <w:t>诚信综合</w:t>
            </w:r>
            <w:r>
              <w:rPr>
                <w:rFonts w:hint="eastAsia" w:ascii="宋体" w:hAnsi="宋体" w:cs="宋体"/>
                <w:color w:val="auto"/>
                <w:szCs w:val="21"/>
                <w:highlight w:val="none"/>
              </w:rPr>
              <w:t>评价分数，以</w:t>
            </w:r>
            <w:r>
              <w:rPr>
                <w:rFonts w:hint="eastAsia" w:ascii="宋体" w:hAnsi="宋体" w:cs="宋体"/>
                <w:color w:val="auto"/>
                <w:szCs w:val="21"/>
                <w:highlight w:val="none"/>
                <w:u w:val="single"/>
              </w:rPr>
              <w:t>施工企业房建诚信评价</w:t>
            </w:r>
            <w:r>
              <w:rPr>
                <w:rFonts w:hint="eastAsia" w:ascii="宋体" w:hAnsi="宋体" w:cs="宋体"/>
                <w:color w:val="auto"/>
                <w:szCs w:val="21"/>
                <w:highlight w:val="none"/>
              </w:rPr>
              <w:t>排名为准。</w:t>
            </w:r>
            <w:r>
              <w:rPr>
                <w:rFonts w:hint="eastAsia" w:ascii="宋体" w:hAnsi="宋体" w:cs="宋体"/>
                <w:color w:val="auto"/>
                <w:szCs w:val="21"/>
                <w:highlight w:val="none"/>
                <w:u w:val="single"/>
              </w:rPr>
              <w:t>企业的诚信综合评价得分以开标当天广州市工程招标行业协会网站施工企业专栏上公布的施工企业房建诚信评价60日诚信分为准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58"/>
              <w:rPr>
                <w:rFonts w:ascii="宋体" w:hAnsi="宋体"/>
                <w:strike w:val="0"/>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58"/>
              <w:rPr>
                <w:rFonts w:ascii="宋体" w:hAnsi="宋体" w:cs="宋体"/>
                <w:strike w:val="0"/>
                <w:color w:val="auto"/>
                <w:szCs w:val="21"/>
                <w:highlight w:val="none"/>
              </w:rPr>
            </w:pPr>
            <w:r>
              <w:rPr>
                <w:rFonts w:hint="eastAsia" w:ascii="宋体" w:hAnsi="宋体" w:cs="宋体"/>
                <w:strike w:val="0"/>
                <w:color w:val="auto"/>
                <w:szCs w:val="21"/>
                <w:highlight w:val="none"/>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strike w:val="0"/>
                <w:color w:val="auto"/>
                <w:szCs w:val="21"/>
                <w:highlight w:val="none"/>
              </w:rPr>
            </w:pPr>
            <w:r>
              <w:rPr>
                <w:rFonts w:hint="eastAsia" w:ascii="宋体" w:hAnsi="宋体" w:cs="宋体"/>
                <w:color w:val="auto"/>
                <w:szCs w:val="21"/>
                <w:highlight w:val="none"/>
              </w:rPr>
              <w:t>本款不适用</w:t>
            </w:r>
            <w:r>
              <w:rPr>
                <w:rFonts w:hint="eastAsia" w:ascii="宋体" w:hAnsi="宋体" w:cs="宋体"/>
                <w:color w:val="auto"/>
                <w:szCs w:val="21"/>
                <w:highlight w:val="none"/>
                <w:lang w:eastAsia="zh-CN"/>
              </w:rPr>
              <w:t>。</w:t>
            </w:r>
            <w:r>
              <w:rPr>
                <w:rFonts w:hint="eastAsia" w:ascii="宋体" w:hAnsi="宋体" w:cs="宋体"/>
                <w:strike w:val="0"/>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58"/>
              <w:rPr>
                <w:rFonts w:ascii="宋体" w:hAnsi="宋体"/>
                <w:strike w:val="0"/>
                <w:dstrike w:val="0"/>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strike w:val="0"/>
                <w:dstrike w:val="0"/>
                <w:color w:val="auto"/>
                <w:szCs w:val="21"/>
                <w:highlight w:val="none"/>
                <w:u w:val="single"/>
              </w:rPr>
            </w:pPr>
            <w:r>
              <w:rPr>
                <w:rFonts w:hint="eastAsia" w:ascii="宋体" w:hAnsi="宋体" w:cs="宋体"/>
                <w:strike w:val="0"/>
                <w:dstrike w:val="0"/>
                <w:color w:val="auto"/>
                <w:szCs w:val="21"/>
                <w:highlight w:val="none"/>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strike w:val="0"/>
                <w:dstrike w:val="0"/>
                <w:color w:val="auto"/>
                <w:szCs w:val="21"/>
                <w:highlight w:val="none"/>
                <w:u w:val="single"/>
              </w:rPr>
            </w:pPr>
            <w:r>
              <w:rPr>
                <w:rFonts w:hint="eastAsia" w:ascii="宋体" w:hAnsi="宋体" w:cs="宋体"/>
                <w:strike w:val="0"/>
                <w:dstrike w:val="0"/>
                <w:color w:val="auto"/>
                <w:szCs w:val="21"/>
                <w:highlight w:val="none"/>
              </w:rPr>
              <w:t>本款不适用</w:t>
            </w:r>
            <w:r>
              <w:rPr>
                <w:rFonts w:hint="eastAsia" w:ascii="宋体" w:hAnsi="宋体" w:cs="宋体"/>
                <w:strike w:val="0"/>
                <w:dstrike w:val="0"/>
                <w:color w:val="auto"/>
                <w:szCs w:val="21"/>
                <w:highlight w:val="none"/>
                <w:lang w:eastAsia="zh-CN"/>
              </w:rPr>
              <w:t>。</w:t>
            </w:r>
            <w:r>
              <w:rPr>
                <w:rFonts w:hint="eastAsia" w:ascii="宋体" w:hAnsi="宋体" w:cs="宋体"/>
                <w:strike w:val="0"/>
                <w:dstrike w:val="0"/>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206"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58"/>
              <w:rPr>
                <w:rFonts w:ascii="宋体" w:hAnsi="宋体"/>
                <w:strike w:val="0"/>
                <w:dstrike w:val="0"/>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strike w:val="0"/>
                <w:dstrike w:val="0"/>
                <w:color w:val="auto"/>
                <w:szCs w:val="21"/>
                <w:highlight w:val="none"/>
              </w:rPr>
            </w:pPr>
            <w:r>
              <w:rPr>
                <w:rFonts w:hint="eastAsia" w:ascii="宋体" w:hAnsi="宋体" w:cs="宋体"/>
                <w:strike w:val="0"/>
                <w:dstrike w:val="0"/>
                <w:color w:val="auto"/>
                <w:szCs w:val="21"/>
                <w:highlight w:val="none"/>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default" w:ascii="宋体" w:hAnsi="宋体" w:cs="宋体"/>
                <w:strike w:val="0"/>
                <w:dstrike w:val="0"/>
                <w:color w:val="auto"/>
                <w:szCs w:val="21"/>
                <w:highlight w:val="none"/>
                <w:u w:val="single"/>
                <w:lang w:val="en-US" w:eastAsia="zh-CN"/>
              </w:rPr>
            </w:pPr>
            <w:r>
              <w:rPr>
                <w:rFonts w:hint="eastAsia" w:ascii="宋体" w:hAnsi="宋体" w:cs="宋体"/>
                <w:strike w:val="0"/>
                <w:dstrike w:val="0"/>
                <w:color w:val="auto"/>
                <w:szCs w:val="21"/>
                <w:highlight w:val="none"/>
              </w:rPr>
              <w:t>选取方法</w:t>
            </w:r>
            <w:r>
              <w:rPr>
                <w:rFonts w:hint="eastAsia" w:ascii="宋体" w:hAnsi="宋体" w:cs="宋体"/>
                <w:strike w:val="0"/>
                <w:dstrike w:val="0"/>
                <w:color w:val="auto"/>
                <w:szCs w:val="21"/>
                <w:highlight w:val="none"/>
                <w:u w:val="single"/>
                <w:lang w:val="en-US" w:eastAsia="zh-CN"/>
              </w:rPr>
              <w:t xml:space="preserve"> 一 </w:t>
            </w:r>
          </w:p>
          <w:p>
            <w:pPr>
              <w:spacing w:line="380" w:lineRule="exact"/>
              <w:rPr>
                <w:rFonts w:ascii="宋体" w:hAnsi="宋体" w:cs="宋体"/>
                <w:strike w:val="0"/>
                <w:dstrike w:val="0"/>
                <w:color w:val="auto"/>
                <w:szCs w:val="21"/>
                <w:highlight w:val="none"/>
              </w:rPr>
            </w:pPr>
            <w:r>
              <w:rPr>
                <w:rFonts w:hint="eastAsia" w:ascii="宋体" w:hAnsi="宋体" w:cs="宋体"/>
                <w:strike w:val="0"/>
                <w:dstrike w:val="0"/>
                <w:color w:val="auto"/>
                <w:szCs w:val="21"/>
                <w:highlight w:val="none"/>
              </w:rPr>
              <w:t>方法一：评标委员会按照</w:t>
            </w:r>
            <w:r>
              <w:rPr>
                <w:rFonts w:hint="eastAsia" w:ascii="宋体" w:hAnsi="宋体" w:cs="宋体"/>
                <w:b/>
                <w:bCs/>
                <w:strike w:val="0"/>
                <w:dstrike w:val="0"/>
                <w:color w:val="auto"/>
                <w:szCs w:val="21"/>
                <w:highlight w:val="none"/>
                <w:u w:val="single"/>
                <w:lang w:eastAsia="zh-CN"/>
              </w:rPr>
              <w:t>“总得分=技术</w:t>
            </w:r>
            <w:r>
              <w:rPr>
                <w:rFonts w:hint="eastAsia" w:ascii="宋体" w:hAnsi="宋体" w:cs="宋体"/>
                <w:b/>
                <w:bCs/>
                <w:strike w:val="0"/>
                <w:dstrike w:val="0"/>
                <w:color w:val="auto"/>
                <w:szCs w:val="21"/>
                <w:highlight w:val="none"/>
                <w:u w:val="single"/>
                <w:lang w:val="en-US" w:eastAsia="zh-CN"/>
              </w:rPr>
              <w:t>标</w:t>
            </w:r>
            <w:r>
              <w:rPr>
                <w:rFonts w:hint="eastAsia" w:ascii="宋体" w:hAnsi="宋体" w:cs="宋体"/>
                <w:b/>
                <w:bCs/>
                <w:strike w:val="0"/>
                <w:dstrike w:val="0"/>
                <w:color w:val="auto"/>
                <w:szCs w:val="21"/>
                <w:highlight w:val="none"/>
                <w:u w:val="single"/>
                <w:lang w:eastAsia="zh-CN"/>
              </w:rPr>
              <w:t>得分×技术分权重（40%）＋经济</w:t>
            </w:r>
            <w:r>
              <w:rPr>
                <w:rFonts w:hint="eastAsia" w:ascii="宋体" w:hAnsi="宋体" w:cs="宋体"/>
                <w:b/>
                <w:bCs/>
                <w:strike w:val="0"/>
                <w:dstrike w:val="0"/>
                <w:color w:val="auto"/>
                <w:szCs w:val="21"/>
                <w:highlight w:val="none"/>
                <w:u w:val="single"/>
                <w:lang w:val="en-US" w:eastAsia="zh-CN"/>
              </w:rPr>
              <w:t>标</w:t>
            </w:r>
            <w:r>
              <w:rPr>
                <w:rFonts w:hint="eastAsia" w:ascii="宋体" w:hAnsi="宋体" w:cs="宋体"/>
                <w:b/>
                <w:bCs/>
                <w:strike w:val="0"/>
                <w:dstrike w:val="0"/>
                <w:color w:val="auto"/>
                <w:szCs w:val="21"/>
                <w:highlight w:val="none"/>
                <w:u w:val="single"/>
                <w:lang w:eastAsia="zh-CN"/>
              </w:rPr>
              <w:t>得分×经济分权重（60%）”</w:t>
            </w:r>
            <w:r>
              <w:rPr>
                <w:rFonts w:hint="eastAsia" w:ascii="宋体" w:hAnsi="宋体" w:cs="宋体"/>
                <w:strike w:val="0"/>
                <w:dstrike w:val="0"/>
                <w:color w:val="auto"/>
                <w:szCs w:val="21"/>
                <w:highlight w:val="none"/>
              </w:rPr>
              <w:t>的公式，计算各有效投标文件的总分，并按照总分从高到低排序。总得分相同的投标文件，以报价较低的排前；总得分、报价与</w:t>
            </w:r>
            <w:r>
              <w:rPr>
                <w:rFonts w:hint="eastAsia" w:ascii="宋体" w:hAnsi="宋体" w:cs="宋体"/>
                <w:strike w:val="0"/>
                <w:dstrike w:val="0"/>
                <w:color w:val="auto"/>
                <w:szCs w:val="21"/>
                <w:highlight w:val="none"/>
                <w:lang w:val="en-US" w:eastAsia="zh-CN"/>
              </w:rPr>
              <w:t>技术标得分</w:t>
            </w:r>
            <w:r>
              <w:rPr>
                <w:rFonts w:hint="eastAsia" w:ascii="宋体" w:hAnsi="宋体" w:cs="宋体"/>
                <w:strike w:val="0"/>
                <w:dstrike w:val="0"/>
                <w:color w:val="auto"/>
                <w:szCs w:val="21"/>
                <w:highlight w:val="none"/>
              </w:rPr>
              <w:t>均相同的投标文件，以诚信综合评价分数高的排前；如仍存在相同情况，则对具有相同情况的投标人，由评标委员会采用随机方式，确定投标人的排序。</w:t>
            </w:r>
          </w:p>
          <w:p>
            <w:pPr>
              <w:spacing w:line="380" w:lineRule="exact"/>
              <w:rPr>
                <w:rFonts w:ascii="宋体" w:hAnsi="宋体" w:cs="宋体"/>
                <w:strike w:val="0"/>
                <w:dstrike w:val="0"/>
                <w:color w:val="auto"/>
                <w:szCs w:val="21"/>
                <w:highlight w:val="none"/>
              </w:rPr>
            </w:pPr>
            <w:r>
              <w:rPr>
                <w:rFonts w:hint="eastAsia" w:ascii="宋体" w:hAnsi="宋体" w:cs="宋体"/>
                <w:strike w:val="0"/>
                <w:dstrike w:val="0"/>
                <w:color w:val="auto"/>
                <w:szCs w:val="21"/>
                <w:highlight w:val="none"/>
              </w:rPr>
              <w:t xml:space="preserve">方法二：（由招标人自行确定）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13.4</w:t>
            </w:r>
            <w:r>
              <w:rPr>
                <w:rFonts w:hint="eastAsia" w:ascii="宋体" w:hAnsi="宋体"/>
                <w:color w:val="auto"/>
                <w:szCs w:val="21"/>
                <w:highlight w:val="none"/>
              </w:rPr>
              <w:t>、</w:t>
            </w:r>
            <w:r>
              <w:rPr>
                <w:rFonts w:ascii="宋体" w:hAnsi="宋体"/>
                <w:color w:val="auto"/>
                <w:szCs w:val="21"/>
                <w:highlight w:val="none"/>
              </w:rPr>
              <w:t>13.5.2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highlight w:val="none"/>
              </w:rPr>
            </w:pPr>
            <w:r>
              <w:rPr>
                <w:rFonts w:hint="eastAsia" w:ascii="宋体" w:hAnsi="宋体" w:cs="宋体"/>
                <w:color w:val="auto"/>
                <w:szCs w:val="21"/>
                <w:highlight w:val="none"/>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color w:val="auto"/>
                <w:szCs w:val="21"/>
                <w:highlight w:val="none"/>
                <w:u w:val="single"/>
              </w:rPr>
            </w:pPr>
            <w:r>
              <w:rPr>
                <w:rFonts w:hint="eastAsia" w:ascii="宋体" w:hAnsi="宋体" w:cs="宋体"/>
                <w:bCs/>
                <w:color w:val="auto"/>
                <w:szCs w:val="21"/>
                <w:highlight w:val="none"/>
                <w:u w:val="single"/>
              </w:rPr>
              <w:t>按合同条款相关约定调整。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szCs w:val="21"/>
                <w:highlight w:val="none"/>
              </w:rPr>
            </w:pPr>
            <w:r>
              <w:rPr>
                <w:rFonts w:hint="eastAsia" w:ascii="宋体" w:hAnsi="宋体" w:cs="宋体"/>
                <w:color w:val="auto"/>
                <w:kern w:val="0"/>
                <w:szCs w:val="21"/>
                <w:highlight w:val="none"/>
                <w:lang w:val="zh-CN"/>
              </w:rPr>
              <w:t>建设工程质量检测单位</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color w:val="auto"/>
                <w:kern w:val="0"/>
                <w:szCs w:val="21"/>
                <w:highlight w:val="none"/>
                <w:lang w:val="zh-CN"/>
              </w:rPr>
            </w:pPr>
            <w:r>
              <w:rPr>
                <w:rFonts w:hint="eastAsia" w:ascii="宋体" w:hAnsi="宋体"/>
                <w:color w:val="auto"/>
                <w:kern w:val="0"/>
                <w:szCs w:val="21"/>
                <w:highlight w:val="none"/>
                <w:lang w:val="zh-CN"/>
              </w:rPr>
              <w:t>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宋体"/>
                <w:color w:val="auto"/>
                <w:kern w:val="0"/>
                <w:szCs w:val="21"/>
                <w:highlight w:val="none"/>
                <w:lang w:val="zh-CN"/>
              </w:rPr>
            </w:pPr>
            <w:r>
              <w:rPr>
                <w:rFonts w:hint="eastAsia" w:ascii="宋体" w:hAnsi="宋体" w:cs="MS Mincho"/>
                <w:color w:val="auto"/>
                <w:szCs w:val="21"/>
                <w:highlight w:val="none"/>
              </w:rPr>
              <w:sym w:font="Wingdings 2" w:char="00A3"/>
            </w:r>
            <w:r>
              <w:rPr>
                <w:rFonts w:hint="eastAsia" w:ascii="宋体" w:hAnsi="宋体" w:cs="宋体"/>
                <w:color w:val="auto"/>
                <w:kern w:val="0"/>
                <w:szCs w:val="21"/>
                <w:highlight w:val="none"/>
                <w:lang w:val="zh-CN"/>
              </w:rPr>
              <w:t>不允许；</w:t>
            </w:r>
          </w:p>
          <w:p>
            <w:pPr>
              <w:spacing w:line="380" w:lineRule="exac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sym w:font="Wingdings 2" w:char="0052"/>
            </w:r>
            <w:r>
              <w:rPr>
                <w:rFonts w:hint="eastAsia" w:ascii="宋体" w:hAnsi="宋体" w:cs="宋体"/>
                <w:color w:val="auto"/>
                <w:kern w:val="0"/>
                <w:szCs w:val="21"/>
                <w:highlight w:val="none"/>
                <w:lang w:val="zh-CN"/>
              </w:rPr>
              <w:t>允许：</w:t>
            </w:r>
          </w:p>
          <w:p>
            <w:pPr>
              <w:spacing w:line="380" w:lineRule="exac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分包内容要求：</w:t>
            </w:r>
            <w:r>
              <w:rPr>
                <w:rFonts w:hint="eastAsia" w:ascii="宋体" w:hAnsi="宋体" w:cs="宋体"/>
                <w:color w:val="auto"/>
                <w:kern w:val="0"/>
                <w:szCs w:val="21"/>
                <w:highlight w:val="none"/>
                <w:u w:val="single"/>
                <w:lang w:val="zh-CN"/>
              </w:rPr>
              <w:t>分包需经发包人同意，严禁对主体专业工程分包，钢结构工程除外</w:t>
            </w:r>
            <w:r>
              <w:rPr>
                <w:rFonts w:hint="eastAsia" w:ascii="宋体" w:hAnsi="宋体" w:cs="宋体"/>
                <w:color w:val="auto"/>
                <w:kern w:val="0"/>
                <w:szCs w:val="21"/>
                <w:highlight w:val="none"/>
                <w:lang w:val="zh-CN"/>
              </w:rPr>
              <w:t>。</w:t>
            </w:r>
          </w:p>
          <w:p>
            <w:pPr>
              <w:spacing w:line="380" w:lineRule="exact"/>
              <w:rPr>
                <w:rFonts w:ascii="宋体" w:hAnsi="宋体" w:cs="宋体"/>
                <w:color w:val="auto"/>
                <w:kern w:val="0"/>
                <w:szCs w:val="21"/>
                <w:highlight w:val="none"/>
              </w:rPr>
            </w:pPr>
            <w:r>
              <w:rPr>
                <w:rFonts w:hint="eastAsia" w:ascii="宋体" w:hAnsi="宋体" w:cs="宋体"/>
                <w:color w:val="auto"/>
                <w:kern w:val="0"/>
                <w:szCs w:val="21"/>
                <w:highlight w:val="none"/>
                <w:lang w:val="zh-CN"/>
              </w:rPr>
              <w:t>分包金额要求：</w:t>
            </w:r>
            <w:r>
              <w:rPr>
                <w:rFonts w:hint="eastAsia" w:ascii="宋体" w:hAnsi="宋体" w:cs="宋体"/>
                <w:color w:val="auto"/>
                <w:kern w:val="0"/>
                <w:szCs w:val="21"/>
                <w:highlight w:val="none"/>
                <w:u w:val="single"/>
                <w:lang w:val="zh-CN"/>
              </w:rPr>
              <w:t>按国家现行规定执行。</w:t>
            </w:r>
          </w:p>
          <w:p>
            <w:pPr>
              <w:spacing w:line="380" w:lineRule="exac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zh-CN"/>
              </w:rPr>
              <w:t>对分包人的资质要求：</w:t>
            </w:r>
            <w:r>
              <w:rPr>
                <w:rFonts w:hint="eastAsia" w:ascii="宋体" w:hAnsi="宋体" w:cs="宋体"/>
                <w:color w:val="auto"/>
                <w:kern w:val="0"/>
                <w:szCs w:val="21"/>
                <w:highlight w:val="none"/>
                <w:u w:val="single"/>
              </w:rPr>
              <w:t>符合有关法律法规和文件规定，并不得再次分包</w:t>
            </w:r>
            <w:r>
              <w:rPr>
                <w:rFonts w:hint="eastAsia" w:ascii="宋体" w:hAnsi="宋体" w:cs="宋体"/>
                <w:color w:val="auto"/>
                <w:kern w:val="0"/>
                <w:szCs w:val="21"/>
                <w:highlight w:val="none"/>
                <w:u w:val="single"/>
                <w:lang w:eastAsia="zh-CN"/>
              </w:rPr>
              <w:t>，若钢结构工程分包，分包人需具备钢结构工程专业承包一级资质。</w:t>
            </w:r>
          </w:p>
          <w:p>
            <w:pPr>
              <w:spacing w:line="380" w:lineRule="exac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对分包人的其他要求：</w:t>
            </w:r>
            <w:r>
              <w:rPr>
                <w:rFonts w:hint="eastAsia" w:ascii="宋体" w:hAnsi="宋体" w:cs="宋体"/>
                <w:color w:val="auto"/>
                <w:kern w:val="0"/>
                <w:szCs w:val="21"/>
                <w:highlight w:val="none"/>
                <w:u w:val="single"/>
              </w:rPr>
              <w:t>在以往工程中</w:t>
            </w:r>
            <w:r>
              <w:rPr>
                <w:rFonts w:hint="eastAsia"/>
                <w:color w:val="auto"/>
                <w:highlight w:val="none"/>
                <w:u w:val="single"/>
              </w:rPr>
              <w:t>未</w:t>
            </w:r>
            <w:r>
              <w:rPr>
                <w:rFonts w:hint="eastAsia" w:ascii="宋体" w:hAnsi="宋体" w:cs="宋体"/>
                <w:color w:val="auto"/>
                <w:kern w:val="0"/>
                <w:szCs w:val="21"/>
                <w:highlight w:val="none"/>
                <w:u w:val="single"/>
              </w:rPr>
              <w:t>因不诚信行为或不充分履约行为被本项目招标人书面拒绝投标的，或未被纳入联合惩戒范围的。须经发包人和总监理工程师书面同意</w:t>
            </w:r>
            <w:r>
              <w:rPr>
                <w:rFonts w:hint="eastAsia" w:ascii="宋体" w:hAnsi="宋体" w:cs="宋体"/>
                <w:color w:val="auto"/>
                <w:kern w:val="0"/>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ascii="宋体" w:hAnsi="宋体"/>
                <w:color w:val="auto"/>
                <w:szCs w:val="21"/>
                <w:highlight w:val="none"/>
              </w:rPr>
            </w:pPr>
            <w:r>
              <w:rPr>
                <w:rFonts w:hint="eastAsia" w:ascii="宋体" w:hAnsi="宋体"/>
                <w:color w:val="auto"/>
                <w:szCs w:val="21"/>
                <w:highlight w:val="none"/>
              </w:rPr>
              <w:t>36</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auto"/>
                <w:szCs w:val="21"/>
                <w:highlight w:val="none"/>
              </w:rPr>
            </w:pPr>
            <w:r>
              <w:rPr>
                <w:rFonts w:hint="eastAsia" w:ascii="宋体" w:hAnsi="宋体"/>
                <w:color w:val="auto"/>
                <w:szCs w:val="21"/>
                <w:highlight w:val="none"/>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宋体" w:hAnsi="宋体" w:cs="Courier New"/>
                <w:color w:val="auto"/>
                <w:szCs w:val="21"/>
                <w:highlight w:val="none"/>
                <w:u w:val="single"/>
              </w:rPr>
            </w:pPr>
            <w:r>
              <w:rPr>
                <w:rFonts w:hint="eastAsia" w:ascii="宋体" w:hAnsi="宋体" w:cs="Courier New"/>
                <w:color w:val="auto"/>
                <w:szCs w:val="21"/>
                <w:highlight w:val="none"/>
              </w:rPr>
              <w:t>1、按照交易平台关于全流程电子化项目的相关指南进行操作。详见：</w:t>
            </w:r>
            <w:r>
              <w:rPr>
                <w:rFonts w:hint="eastAsia" w:ascii="宋体" w:hAnsi="宋体" w:cs="Courier New"/>
                <w:color w:val="auto"/>
                <w:szCs w:val="21"/>
                <w:highlight w:val="none"/>
                <w:u w:val="single"/>
              </w:rPr>
              <w:t>广州交易集团有限公司（广州公共资源交易中心）网站最新指引</w:t>
            </w:r>
            <w:r>
              <w:rPr>
                <w:rFonts w:hint="eastAsia" w:ascii="宋体" w:hAnsi="宋体"/>
                <w:color w:val="auto"/>
                <w:szCs w:val="21"/>
                <w:highlight w:val="none"/>
                <w:u w:val="single"/>
              </w:rPr>
              <w:t xml:space="preserve">。 </w:t>
            </w:r>
          </w:p>
          <w:p>
            <w:pPr>
              <w:spacing w:line="380" w:lineRule="exact"/>
              <w:rPr>
                <w:rFonts w:ascii="宋体" w:hAnsi="宋体" w:cs="Courier New"/>
                <w:color w:val="auto"/>
                <w:szCs w:val="21"/>
                <w:highlight w:val="none"/>
              </w:rPr>
            </w:pPr>
            <w:r>
              <w:rPr>
                <w:rFonts w:hint="eastAsia" w:ascii="宋体" w:hAnsi="宋体" w:cs="Courier New"/>
                <w:color w:val="auto"/>
                <w:szCs w:val="21"/>
                <w:highlight w:val="none"/>
              </w:rPr>
              <w:t>2、提交投标文件</w:t>
            </w:r>
            <w:r>
              <w:rPr>
                <w:rFonts w:hint="eastAsia" w:ascii="宋体" w:hAnsi="宋体" w:cs="Courier New"/>
                <w:color w:val="auto"/>
                <w:szCs w:val="21"/>
                <w:highlight w:val="none"/>
                <w:u w:val="single"/>
                <w:lang w:eastAsia="zh-CN"/>
              </w:rPr>
              <w:t>U盘/光盘</w:t>
            </w:r>
            <w:r>
              <w:rPr>
                <w:rFonts w:hint="eastAsia" w:ascii="宋体" w:hAnsi="宋体" w:cs="Courier New"/>
                <w:color w:val="auto"/>
                <w:szCs w:val="21"/>
                <w:highlight w:val="none"/>
              </w:rPr>
              <w:t>备用</w:t>
            </w:r>
          </w:p>
          <w:p>
            <w:pPr>
              <w:spacing w:line="380" w:lineRule="exact"/>
              <w:rPr>
                <w:rFonts w:ascii="宋体" w:hAnsi="宋体" w:cs="Courier New"/>
                <w:color w:val="auto"/>
                <w:szCs w:val="21"/>
                <w:highlight w:val="none"/>
              </w:rPr>
            </w:pPr>
            <w:r>
              <w:rPr>
                <w:rFonts w:hint="eastAsia" w:ascii="宋体" w:hAnsi="宋体" w:cs="Courier New"/>
                <w:color w:val="auto"/>
                <w:szCs w:val="21"/>
                <w:highlight w:val="none"/>
              </w:rPr>
              <w:t>投标人可制作非加密的电子投标文件（PDF格式）刻入</w:t>
            </w:r>
            <w:r>
              <w:rPr>
                <w:rFonts w:hint="eastAsia" w:ascii="宋体" w:hAnsi="宋体" w:cs="Courier New"/>
                <w:color w:val="auto"/>
                <w:szCs w:val="21"/>
                <w:highlight w:val="none"/>
                <w:u w:val="single"/>
                <w:lang w:eastAsia="zh-CN"/>
              </w:rPr>
              <w:t>U盘/光盘</w:t>
            </w:r>
            <w:r>
              <w:rPr>
                <w:rFonts w:hint="eastAsia" w:ascii="宋体" w:hAnsi="宋体" w:cs="Courier New"/>
                <w:color w:val="auto"/>
                <w:szCs w:val="21"/>
                <w:highlight w:val="none"/>
              </w:rPr>
              <w:t>（1份），在投标须知前附表第18项规定的时间、地点提交备用。刻录好的投标文件</w:t>
            </w:r>
            <w:r>
              <w:rPr>
                <w:rFonts w:hint="eastAsia" w:ascii="宋体" w:hAnsi="宋体" w:cs="Courier New"/>
                <w:color w:val="auto"/>
                <w:szCs w:val="21"/>
                <w:highlight w:val="none"/>
                <w:u w:val="single"/>
                <w:lang w:eastAsia="zh-CN"/>
              </w:rPr>
              <w:t>U盘/光盘</w:t>
            </w:r>
            <w:r>
              <w:rPr>
                <w:rFonts w:hint="eastAsia" w:ascii="宋体" w:hAnsi="宋体" w:cs="Courier New"/>
                <w:color w:val="auto"/>
                <w:szCs w:val="21"/>
                <w:highlight w:val="none"/>
              </w:rPr>
              <w:t>密封在密封袋中，并在封口处加盖投标人单位公章。密封袋上应写明项目名称和招标人名称。递交的</w:t>
            </w:r>
            <w:r>
              <w:rPr>
                <w:rFonts w:hint="eastAsia" w:ascii="宋体" w:hAnsi="宋体" w:cs="Courier New"/>
                <w:color w:val="auto"/>
                <w:szCs w:val="21"/>
                <w:highlight w:val="none"/>
                <w:u w:val="single"/>
                <w:lang w:eastAsia="zh-CN"/>
              </w:rPr>
              <w:t>U盘/光盘</w:t>
            </w:r>
            <w:r>
              <w:rPr>
                <w:rFonts w:hint="eastAsia" w:ascii="宋体" w:hAnsi="宋体" w:cs="Courier New"/>
                <w:color w:val="auto"/>
                <w:szCs w:val="21"/>
                <w:highlight w:val="none"/>
              </w:rPr>
              <w:t>不得加密。</w:t>
            </w:r>
            <w:r>
              <w:rPr>
                <w:rFonts w:hint="eastAsia" w:ascii="宋体" w:hAnsi="宋体" w:cs="Courier New"/>
                <w:color w:val="auto"/>
                <w:szCs w:val="21"/>
                <w:highlight w:val="none"/>
                <w:u w:val="single"/>
                <w:lang w:eastAsia="zh-CN"/>
              </w:rPr>
              <w:t>U盘/光盘</w:t>
            </w:r>
            <w:r>
              <w:rPr>
                <w:rFonts w:hint="eastAsia" w:ascii="宋体" w:hAnsi="宋体" w:cs="Courier New"/>
                <w:color w:val="auto"/>
                <w:szCs w:val="21"/>
                <w:highlight w:val="none"/>
              </w:rPr>
              <w:t>无法读取或导入的，则视为未提交备用投标文件</w:t>
            </w:r>
            <w:r>
              <w:rPr>
                <w:rFonts w:hint="eastAsia" w:ascii="宋体" w:hAnsi="宋体" w:cs="Courier New"/>
                <w:color w:val="auto"/>
                <w:szCs w:val="21"/>
                <w:highlight w:val="none"/>
                <w:u w:val="single"/>
                <w:lang w:eastAsia="zh-CN"/>
              </w:rPr>
              <w:t>U盘/光盘</w:t>
            </w:r>
            <w:r>
              <w:rPr>
                <w:rFonts w:hint="eastAsia" w:ascii="宋体" w:hAnsi="宋体" w:cs="Courier New"/>
                <w:color w:val="auto"/>
                <w:szCs w:val="21"/>
                <w:highlight w:val="none"/>
              </w:rPr>
              <w:t>。如果投标人没有按规定通过交易平台网上递交电子投标文件的，不再读取提交的</w:t>
            </w:r>
            <w:r>
              <w:rPr>
                <w:rFonts w:hint="eastAsia" w:ascii="宋体" w:hAnsi="宋体" w:cs="Courier New"/>
                <w:color w:val="auto"/>
                <w:szCs w:val="21"/>
                <w:highlight w:val="none"/>
                <w:u w:val="single"/>
                <w:lang w:eastAsia="zh-CN"/>
              </w:rPr>
              <w:t>U盘/光盘</w:t>
            </w:r>
            <w:r>
              <w:rPr>
                <w:rFonts w:hint="eastAsia" w:ascii="宋体" w:hAnsi="宋体" w:cs="Courier New"/>
                <w:color w:val="auto"/>
                <w:szCs w:val="21"/>
                <w:highlight w:val="none"/>
              </w:rPr>
              <w:t>。投标人也可不提交备用</w:t>
            </w:r>
            <w:r>
              <w:rPr>
                <w:rFonts w:hint="eastAsia" w:ascii="宋体" w:hAnsi="宋体" w:cs="Courier New"/>
                <w:color w:val="auto"/>
                <w:szCs w:val="21"/>
                <w:highlight w:val="none"/>
                <w:u w:val="single"/>
                <w:lang w:eastAsia="zh-CN"/>
              </w:rPr>
              <w:t>U盘/光盘</w:t>
            </w:r>
            <w:r>
              <w:rPr>
                <w:rFonts w:hint="eastAsia" w:ascii="宋体" w:hAnsi="宋体" w:cs="Courier New"/>
                <w:color w:val="auto"/>
                <w:szCs w:val="21"/>
                <w:highlight w:val="none"/>
              </w:rPr>
              <w:t>。</w:t>
            </w:r>
          </w:p>
          <w:p>
            <w:pPr>
              <w:spacing w:line="380" w:lineRule="exact"/>
              <w:rPr>
                <w:rFonts w:ascii="宋体" w:hAnsi="宋体" w:cs="Courier New"/>
                <w:color w:val="auto"/>
                <w:szCs w:val="21"/>
                <w:highlight w:val="none"/>
              </w:rPr>
            </w:pPr>
            <w:r>
              <w:rPr>
                <w:rFonts w:hint="eastAsia" w:ascii="宋体" w:hAnsi="宋体" w:cs="Courier New"/>
                <w:color w:val="auto"/>
                <w:szCs w:val="21"/>
                <w:highlight w:val="none"/>
              </w:rPr>
              <w:t xml:space="preserve"> 3、补救方案</w:t>
            </w:r>
          </w:p>
          <w:p>
            <w:pPr>
              <w:spacing w:line="380" w:lineRule="exact"/>
              <w:rPr>
                <w:rFonts w:ascii="宋体" w:hAnsi="宋体" w:cs="Courier New"/>
                <w:color w:val="auto"/>
                <w:szCs w:val="21"/>
                <w:highlight w:val="none"/>
              </w:rPr>
            </w:pPr>
            <w:r>
              <w:rPr>
                <w:rFonts w:hint="eastAsia" w:ascii="宋体" w:hAnsi="宋体" w:cs="Courier New"/>
                <w:color w:val="auto"/>
                <w:szCs w:val="21"/>
                <w:highlight w:val="none"/>
              </w:rPr>
              <w:t>（1）投标文件解密失败的补救方案：</w:t>
            </w:r>
          </w:p>
          <w:p>
            <w:pPr>
              <w:spacing w:line="380" w:lineRule="exact"/>
              <w:rPr>
                <w:rFonts w:ascii="宋体" w:hAnsi="宋体" w:cs="Courier New"/>
                <w:color w:val="auto"/>
                <w:szCs w:val="21"/>
                <w:highlight w:val="none"/>
              </w:rPr>
            </w:pPr>
            <w:r>
              <w:rPr>
                <w:rFonts w:hint="eastAsia" w:ascii="宋体" w:hAnsi="宋体" w:cs="Courier New"/>
                <w:color w:val="auto"/>
                <w:szCs w:val="21"/>
                <w:highlight w:val="none"/>
              </w:rPr>
              <w:t>在规定时间内，因投标人之外原因(指网络瘫痪、服务器损坏、交易系统故障短期无法恢复)导致的电子投标文件解密失败，在开标现场读取</w:t>
            </w:r>
            <w:r>
              <w:rPr>
                <w:rFonts w:hint="eastAsia" w:ascii="宋体" w:hAnsi="宋体" w:cs="Courier New"/>
                <w:color w:val="auto"/>
                <w:szCs w:val="21"/>
                <w:highlight w:val="none"/>
                <w:u w:val="single"/>
                <w:lang w:eastAsia="zh-CN"/>
              </w:rPr>
              <w:t>U盘/光盘</w:t>
            </w:r>
            <w:r>
              <w:rPr>
                <w:rFonts w:hint="eastAsia" w:ascii="宋体" w:hAnsi="宋体" w:cs="Courier New"/>
                <w:color w:val="auto"/>
                <w:szCs w:val="21"/>
                <w:highlight w:val="none"/>
              </w:rPr>
              <w:t>内容，继续开标程序。评标委员会对其投标文件的评审以</w:t>
            </w:r>
            <w:r>
              <w:rPr>
                <w:rFonts w:hint="eastAsia" w:ascii="宋体" w:hAnsi="宋体" w:cs="Courier New"/>
                <w:color w:val="auto"/>
                <w:szCs w:val="21"/>
                <w:highlight w:val="none"/>
                <w:u w:val="single"/>
                <w:lang w:eastAsia="zh-CN"/>
              </w:rPr>
              <w:t>U盘/光盘</w:t>
            </w:r>
            <w:r>
              <w:rPr>
                <w:rFonts w:hint="eastAsia" w:ascii="宋体" w:hAnsi="宋体" w:cs="Courier New"/>
                <w:color w:val="auto"/>
                <w:szCs w:val="21"/>
                <w:highlight w:val="none"/>
              </w:rPr>
              <w:t>内容为准。因投标人之外原因解密失败且未递交电子</w:t>
            </w:r>
            <w:r>
              <w:rPr>
                <w:rFonts w:hint="eastAsia" w:ascii="宋体" w:hAnsi="宋体" w:cs="Courier New"/>
                <w:color w:val="auto"/>
                <w:szCs w:val="21"/>
                <w:highlight w:val="none"/>
                <w:u w:val="single"/>
                <w:lang w:eastAsia="zh-CN"/>
              </w:rPr>
              <w:t>U盘/光盘</w:t>
            </w:r>
            <w:r>
              <w:rPr>
                <w:rFonts w:hint="eastAsia" w:ascii="宋体" w:hAnsi="宋体" w:cs="Courier New"/>
                <w:color w:val="auto"/>
                <w:szCs w:val="21"/>
                <w:highlight w:val="none"/>
              </w:rPr>
              <w:t>的，视为撤回投标文件。</w:t>
            </w:r>
          </w:p>
          <w:p>
            <w:pPr>
              <w:spacing w:line="380" w:lineRule="exact"/>
              <w:rPr>
                <w:rFonts w:ascii="宋体" w:hAnsi="宋体" w:cs="Courier New"/>
                <w:color w:val="auto"/>
                <w:szCs w:val="21"/>
                <w:highlight w:val="none"/>
              </w:rPr>
            </w:pPr>
            <w:r>
              <w:rPr>
                <w:rFonts w:hint="eastAsia" w:ascii="宋体" w:hAnsi="宋体" w:cs="Courier New"/>
                <w:color w:val="auto"/>
                <w:szCs w:val="21"/>
                <w:highlight w:val="none"/>
              </w:rPr>
              <w:t>（2）评标时突发情况的补救方案</w:t>
            </w:r>
          </w:p>
          <w:p>
            <w:pPr>
              <w:spacing w:line="380" w:lineRule="exact"/>
              <w:rPr>
                <w:rFonts w:ascii="宋体" w:hAnsi="宋体" w:cs="Courier New"/>
                <w:color w:val="auto"/>
                <w:szCs w:val="21"/>
                <w:highlight w:val="none"/>
              </w:rPr>
            </w:pPr>
            <w:r>
              <w:rPr>
                <w:rFonts w:hint="eastAsia" w:ascii="宋体" w:hAnsi="宋体" w:cs="Courier New"/>
                <w:color w:val="auto"/>
                <w:szCs w:val="21"/>
                <w:highlight w:val="none"/>
              </w:rPr>
              <w:t>若遇不可抗力发生（指网络瘫痪、服务器损坏、交易系统故障短期无法恢复等因素），由评标委员会开启投标人递交的全部投标文件</w:t>
            </w:r>
            <w:r>
              <w:rPr>
                <w:rFonts w:hint="eastAsia" w:ascii="宋体" w:hAnsi="宋体" w:cs="Courier New"/>
                <w:color w:val="auto"/>
                <w:szCs w:val="21"/>
                <w:highlight w:val="none"/>
                <w:u w:val="single"/>
                <w:lang w:eastAsia="zh-CN"/>
              </w:rPr>
              <w:t>U盘/光盘</w:t>
            </w:r>
            <w:r>
              <w:rPr>
                <w:rFonts w:hint="eastAsia" w:ascii="宋体" w:hAnsi="宋体" w:cs="Courier New"/>
                <w:color w:val="auto"/>
                <w:szCs w:val="21"/>
                <w:highlight w:val="none"/>
              </w:rPr>
              <w:t>，并按</w:t>
            </w:r>
            <w:r>
              <w:rPr>
                <w:rFonts w:hint="eastAsia" w:ascii="宋体" w:hAnsi="宋体" w:cs="Courier New"/>
                <w:color w:val="auto"/>
                <w:szCs w:val="21"/>
                <w:highlight w:val="none"/>
                <w:u w:val="single"/>
                <w:lang w:eastAsia="zh-CN"/>
              </w:rPr>
              <w:t>U盘/光盘</w:t>
            </w:r>
            <w:r>
              <w:rPr>
                <w:rFonts w:hint="eastAsia" w:ascii="宋体" w:hAnsi="宋体" w:cs="Courier New"/>
                <w:color w:val="auto"/>
                <w:szCs w:val="21"/>
                <w:highlight w:val="none"/>
              </w:rPr>
              <w:t>内容进行评审。</w:t>
            </w:r>
          </w:p>
          <w:p>
            <w:pPr>
              <w:spacing w:line="380" w:lineRule="exact"/>
              <w:rPr>
                <w:rFonts w:ascii="宋体" w:hAnsi="宋体" w:cs="Courier New"/>
                <w:color w:val="auto"/>
                <w:szCs w:val="21"/>
                <w:highlight w:val="none"/>
              </w:rPr>
            </w:pPr>
            <w:r>
              <w:rPr>
                <w:rFonts w:hint="eastAsia" w:ascii="宋体" w:hAnsi="宋体" w:cs="Courier New"/>
                <w:color w:val="auto"/>
                <w:szCs w:val="21"/>
                <w:highlight w:val="none"/>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40" w:lineRule="auto"/>
              <w:jc w:val="both"/>
              <w:rPr>
                <w:rFonts w:hint="default" w:ascii="宋体" w:hAnsi="宋体" w:eastAsia="宋体" w:cs="宋体"/>
                <w:color w:val="auto"/>
                <w:kern w:val="2"/>
                <w:sz w:val="21"/>
                <w:szCs w:val="21"/>
                <w:highlight w:val="none"/>
                <w:u w:val="single"/>
                <w:lang w:val="en-US" w:eastAsia="zh-CN" w:bidi="ar-SA"/>
              </w:rPr>
            </w:pPr>
            <w:r>
              <w:rPr>
                <w:rFonts w:hint="eastAsia" w:ascii="宋体" w:hAnsi="宋体" w:cs="宋体"/>
                <w:color w:val="auto"/>
                <w:sz w:val="21"/>
                <w:szCs w:val="21"/>
                <w:highlight w:val="none"/>
                <w:u w:val="single"/>
                <w:lang w:val="en-US" w:eastAsia="zh-CN"/>
              </w:rPr>
              <w:t>37</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color w:val="auto"/>
                <w:kern w:val="2"/>
                <w:sz w:val="21"/>
                <w:szCs w:val="21"/>
                <w:highlight w:val="none"/>
                <w:lang w:val="en-US" w:eastAsia="zh-CN" w:bidi="ar-SA"/>
              </w:rPr>
            </w:pPr>
          </w:p>
        </w:tc>
        <w:tc>
          <w:tcPr>
            <w:tcW w:w="1810"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sz w:val="21"/>
                <w:szCs w:val="21"/>
                <w:highlight w:val="none"/>
                <w:u w:val="single"/>
              </w:rPr>
              <w:t>招标人对中标人参与“百千万工程”的具体要求</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60" w:lineRule="atLeast"/>
              <w:rPr>
                <w:rFonts w:hint="eastAsia" w:ascii="宋体" w:hAnsi="宋体" w:cs="宋体"/>
                <w:color w:val="auto"/>
                <w:szCs w:val="21"/>
                <w:highlight w:val="none"/>
                <w:u w:val="single"/>
              </w:rPr>
            </w:pPr>
            <w:r>
              <w:rPr>
                <w:rFonts w:hint="eastAsia" w:ascii="宋体" w:hAnsi="宋体" w:cs="宋体"/>
                <w:color w:val="auto"/>
                <w:szCs w:val="21"/>
                <w:highlight w:val="none"/>
                <w:u w:val="single"/>
              </w:rPr>
              <w:t>说明与要求：</w:t>
            </w:r>
          </w:p>
          <w:p>
            <w:pPr>
              <w:snapToGrid/>
              <w:spacing w:line="360" w:lineRule="atLeast"/>
              <w:rPr>
                <w:rFonts w:hint="eastAsia" w:ascii="宋体" w:hAnsi="宋体" w:eastAsia="宋体" w:cs="宋体"/>
                <w:color w:val="auto"/>
                <w:kern w:val="2"/>
                <w:sz w:val="21"/>
                <w:szCs w:val="21"/>
                <w:highlight w:val="none"/>
                <w:u w:val="single"/>
                <w:lang w:val="en-US" w:eastAsia="zh-CN" w:bidi="ar-SA"/>
              </w:rPr>
            </w:pPr>
            <w:r>
              <w:rPr>
                <w:rFonts w:hint="eastAsia" w:ascii="宋体" w:hAnsi="宋体" w:cs="宋体"/>
                <w:color w:val="auto"/>
                <w:szCs w:val="21"/>
                <w:highlight w:val="none"/>
                <w:u w:val="single"/>
              </w:rPr>
              <w:t>具体要求在中标后按照投标承诺和招标人的要求执行</w:t>
            </w:r>
            <w:r>
              <w:rPr>
                <w:rFonts w:hint="eastAsia" w:ascii="宋体" w:hAnsi="宋体" w:cs="宋体"/>
                <w:b w:val="0"/>
                <w:bCs w:val="0"/>
                <w:color w:val="auto"/>
                <w:szCs w:val="21"/>
                <w:highlight w:val="none"/>
                <w:u w:val="single"/>
              </w:rPr>
              <w:t>。如政府部门有“百千万工程”相关要求，中标人须无条件配合。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u w:val="single"/>
                <w:lang w:val="en-US" w:eastAsia="zh-CN"/>
              </w:rPr>
              <w:t>38</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auto"/>
                <w:szCs w:val="21"/>
                <w:highlight w:val="none"/>
                <w:u w:val="singl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kern w:val="2"/>
                <w:sz w:val="21"/>
                <w:szCs w:val="21"/>
                <w:highlight w:val="none"/>
                <w:u w:val="single"/>
                <w:lang w:val="en-US" w:eastAsia="zh-CN" w:bidi="ar-SA"/>
              </w:rPr>
            </w:pPr>
            <w:r>
              <w:rPr>
                <w:rFonts w:hint="eastAsia" w:ascii="宋体" w:hAnsi="宋体" w:cs="宋体"/>
                <w:color w:val="auto"/>
                <w:szCs w:val="21"/>
                <w:highlight w:val="none"/>
                <w:u w:val="single"/>
              </w:rPr>
              <w:t>招标人拒绝接收投标文件备用</w:t>
            </w:r>
            <w:r>
              <w:rPr>
                <w:rFonts w:hint="eastAsia" w:ascii="宋体" w:hAnsi="宋体" w:cs="宋体"/>
                <w:color w:val="auto"/>
                <w:szCs w:val="21"/>
                <w:highlight w:val="none"/>
                <w:u w:val="single"/>
                <w:lang w:val="en-US" w:eastAsia="zh-CN"/>
              </w:rPr>
              <w:t>U盘/</w:t>
            </w:r>
            <w:r>
              <w:rPr>
                <w:rFonts w:hint="eastAsia" w:ascii="宋体" w:hAnsi="宋体" w:cs="宋体"/>
                <w:color w:val="auto"/>
                <w:szCs w:val="21"/>
                <w:highlight w:val="none"/>
                <w:u w:val="single"/>
              </w:rPr>
              <w:t>光盘的情况</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1、在投标截止期后逾期或未在指定地点递交投标文件备用</w:t>
            </w:r>
            <w:r>
              <w:rPr>
                <w:rFonts w:hint="eastAsia" w:ascii="宋体" w:hAnsi="宋体" w:cs="宋体"/>
                <w:color w:val="auto"/>
                <w:szCs w:val="21"/>
                <w:highlight w:val="none"/>
                <w:u w:val="single"/>
                <w:lang w:val="en-US" w:eastAsia="zh-CN"/>
              </w:rPr>
              <w:t>U盘/</w:t>
            </w:r>
            <w:r>
              <w:rPr>
                <w:rFonts w:hint="eastAsia" w:ascii="宋体" w:hAnsi="宋体" w:cs="宋体"/>
                <w:color w:val="auto"/>
                <w:szCs w:val="21"/>
                <w:highlight w:val="none"/>
                <w:u w:val="single"/>
              </w:rPr>
              <w:t>光盘的；</w:t>
            </w:r>
          </w:p>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2、投标文件备用光盘未按招标文件要求密封或未在密封处盖章的；</w:t>
            </w:r>
          </w:p>
          <w:p>
            <w:pP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u w:val="single"/>
              </w:rPr>
              <w:t>3、投标人代表未凭法定代表人证明书（原件）、授权委托书原件（仅限于非法定代表人）、本人身份证原件递交投标文件备用</w:t>
            </w:r>
            <w:r>
              <w:rPr>
                <w:rFonts w:hint="eastAsia" w:ascii="宋体" w:hAnsi="宋体" w:cs="宋体"/>
                <w:color w:val="auto"/>
                <w:szCs w:val="21"/>
                <w:highlight w:val="none"/>
                <w:u w:val="single"/>
                <w:lang w:val="en-US" w:eastAsia="zh-CN"/>
              </w:rPr>
              <w:t>U盘/</w:t>
            </w:r>
            <w:r>
              <w:rPr>
                <w:rFonts w:hint="eastAsia" w:ascii="宋体" w:hAnsi="宋体" w:cs="宋体"/>
                <w:color w:val="auto"/>
                <w:szCs w:val="21"/>
                <w:highlight w:val="none"/>
                <w:u w:val="single"/>
              </w:rPr>
              <w:t>光盘的。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38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u w:val="single"/>
                <w:lang w:val="en-US" w:eastAsia="zh-CN"/>
              </w:rPr>
              <w:t>39</w:t>
            </w:r>
          </w:p>
        </w:tc>
        <w:tc>
          <w:tcPr>
            <w:tcW w:w="98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olor w:val="auto"/>
                <w:szCs w:val="21"/>
                <w:highlight w:val="none"/>
                <w:u w:val="singl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auto"/>
                <w:kern w:val="2"/>
                <w:sz w:val="21"/>
                <w:szCs w:val="22"/>
                <w:highlight w:val="none"/>
                <w:u w:val="single"/>
                <w:lang w:val="en-US" w:eastAsia="zh-CN" w:bidi="ar-SA"/>
              </w:rPr>
            </w:pPr>
            <w:r>
              <w:rPr>
                <w:rFonts w:hint="eastAsia" w:ascii="宋体" w:hAnsi="宋体" w:cs="宋体"/>
                <w:color w:val="auto"/>
                <w:szCs w:val="21"/>
                <w:highlight w:val="none"/>
                <w:u w:val="single"/>
              </w:rPr>
              <w:t>中标公示后投标单位提交投标文件的要求</w:t>
            </w:r>
          </w:p>
        </w:tc>
        <w:tc>
          <w:tcPr>
            <w:tcW w:w="5857" w:type="dxa"/>
            <w:tcBorders>
              <w:top w:val="single" w:color="auto" w:sz="4" w:space="0"/>
              <w:left w:val="single" w:color="auto" w:sz="4" w:space="0"/>
              <w:bottom w:val="single" w:color="auto" w:sz="4" w:space="0"/>
              <w:right w:val="double" w:color="auto" w:sz="4" w:space="0"/>
            </w:tcBorders>
            <w:vAlign w:val="center"/>
          </w:tcPr>
          <w:p>
            <w:pPr>
              <w:pStyle w:val="154"/>
              <w:topLinePunct/>
              <w:rPr>
                <w:rFonts w:hint="eastAsia" w:ascii="宋体" w:hAnsi="宋体" w:eastAsia="宋体" w:cs="Courier New"/>
                <w:color w:val="auto"/>
                <w:kern w:val="2"/>
                <w:sz w:val="16"/>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中标单位在中标公示后，需提供与递交投标电子标书内容一致且每页加盖单位公章的纸质文件一式四份及电子文件U盘一份（不用生成投标书；包括经济标报价套价软件版、XML版和Microsoft Excel软件版及用Microsoft Word软件或广州交易集团有限公司（广州公共资源交易中心）提供的投标书制作软件制作的经济投标文件其他部分。电子文件介质使用U盘，所有电子文件不能采用压缩处理或加密处理）给招标人</w:t>
            </w:r>
            <w:r>
              <w:rPr>
                <w:rFonts w:hint="eastAsia" w:ascii="宋体" w:hAnsi="宋体" w:cs="宋体"/>
                <w:color w:val="auto"/>
                <w:kern w:val="2"/>
                <w:sz w:val="21"/>
                <w:szCs w:val="21"/>
                <w:highlight w:val="none"/>
                <w:u w:val="single"/>
                <w:lang w:val="en-US" w:eastAsia="zh-CN" w:bidi="ar-SA"/>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sz w:val="21"/>
                <w:szCs w:val="21"/>
                <w:highlight w:val="none"/>
                <w:u w:val="single"/>
                <w:lang w:val="en-US" w:eastAsia="zh-CN"/>
              </w:rPr>
              <w:t>40</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color w:val="auto"/>
                <w:kern w:val="2"/>
                <w:sz w:val="21"/>
                <w:szCs w:val="21"/>
                <w:highlight w:val="none"/>
                <w:lang w:val="en-US" w:eastAsia="zh-CN" w:bidi="ar-SA"/>
              </w:rPr>
            </w:pPr>
          </w:p>
        </w:tc>
        <w:tc>
          <w:tcPr>
            <w:tcW w:w="1810"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sz w:val="21"/>
                <w:szCs w:val="21"/>
                <w:highlight w:val="none"/>
                <w:u w:val="single"/>
              </w:rPr>
              <w:t>安全生产责任保险</w:t>
            </w:r>
          </w:p>
        </w:tc>
        <w:tc>
          <w:tcPr>
            <w:tcW w:w="5857" w:type="dxa"/>
            <w:tcBorders>
              <w:top w:val="single" w:color="auto" w:sz="4" w:space="0"/>
              <w:left w:val="single" w:color="auto" w:sz="4" w:space="0"/>
              <w:bottom w:val="single" w:color="auto" w:sz="4" w:space="0"/>
              <w:right w:val="double" w:color="auto" w:sz="4" w:space="0"/>
            </w:tcBorders>
            <w:vAlign w:val="center"/>
          </w:tcPr>
          <w:p>
            <w:pPr>
              <w:snapToGrid w:val="0"/>
              <w:spacing w:line="240" w:lineRule="auto"/>
              <w:rPr>
                <w:rFonts w:hint="eastAsia" w:ascii="宋体" w:hAnsi="宋体" w:eastAsia="宋体" w:cs="宋体"/>
                <w:color w:val="auto"/>
                <w:kern w:val="0"/>
                <w:sz w:val="21"/>
                <w:szCs w:val="21"/>
                <w:highlight w:val="none"/>
                <w:u w:val="single"/>
                <w:lang w:val="en-US" w:eastAsia="zh-CN" w:bidi="ar-SA"/>
              </w:rPr>
            </w:pPr>
            <w:r>
              <w:rPr>
                <w:rFonts w:hint="eastAsia" w:ascii="宋体" w:hAnsi="宋体" w:eastAsia="宋体" w:cs="宋体"/>
                <w:color w:val="auto"/>
                <w:sz w:val="21"/>
                <w:szCs w:val="21"/>
                <w:highlight w:val="none"/>
                <w:u w:val="single"/>
              </w:rPr>
              <w:t>开工前中标人应当投保安全生产责任保险，且该保险保障场所应包含中标项目。投标人的投标报价视为包含该项费用。中标人未按规定购买安全生产责任保险，招标人可视严重程度拒绝该单位一定时期内参与后续工程投标，在招标公告和合同专用条款中予以明确，并在后续工程招标时随招标公告发布拒绝投标名单（注明拒绝理由）。</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color w:val="auto"/>
                <w:kern w:val="2"/>
                <w:sz w:val="21"/>
                <w:szCs w:val="21"/>
                <w:highlight w:val="none"/>
                <w:u w:val="single"/>
                <w:lang w:val="en-US" w:eastAsia="zh-CN" w:bidi="ar-SA"/>
              </w:rPr>
            </w:pPr>
            <w:r>
              <w:rPr>
                <w:rFonts w:hint="eastAsia" w:ascii="宋体" w:hAnsi="宋体" w:cs="宋体"/>
                <w:color w:val="auto"/>
                <w:sz w:val="21"/>
                <w:szCs w:val="21"/>
                <w:highlight w:val="none"/>
                <w:u w:val="single"/>
                <w:lang w:val="en-US" w:eastAsia="zh-CN"/>
              </w:rPr>
              <w:t>41</w:t>
            </w:r>
          </w:p>
        </w:tc>
        <w:tc>
          <w:tcPr>
            <w:tcW w:w="981"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color w:val="auto"/>
                <w:kern w:val="2"/>
                <w:sz w:val="21"/>
                <w:szCs w:val="21"/>
                <w:highlight w:val="none"/>
                <w:lang w:val="en-US" w:eastAsia="zh-CN" w:bidi="ar-SA"/>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u w:val="single"/>
              </w:rPr>
              <w:t>是否授权评标委员会确定中标人</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40" w:lineRule="auto"/>
              <w:rPr>
                <w:rFonts w:hint="eastAsia" w:ascii="宋体" w:hAnsi="宋体" w:eastAsia="宋体" w:cs="Times New Roman"/>
                <w:color w:val="auto"/>
                <w:kern w:val="2"/>
                <w:sz w:val="21"/>
                <w:szCs w:val="21"/>
                <w:highlight w:val="none"/>
                <w:u w:val="single"/>
                <w:lang w:val="en-US" w:eastAsia="zh-CN" w:bidi="ar-SA"/>
              </w:rPr>
            </w:pPr>
            <w:r>
              <w:rPr>
                <w:rFonts w:hint="eastAsia" w:ascii="宋体" w:hAnsi="宋体" w:cs="宋体"/>
                <w:color w:val="auto"/>
                <w:szCs w:val="21"/>
                <w:highlight w:val="none"/>
                <w:u w:val="single"/>
              </w:rPr>
              <w:t>否</w:t>
            </w:r>
          </w:p>
        </w:tc>
      </w:tr>
    </w:tbl>
    <w:p>
      <w:pPr>
        <w:spacing w:line="380" w:lineRule="exact"/>
        <w:rPr>
          <w:rFonts w:ascii="宋体" w:hAnsi="宋体" w:cs="Courier New"/>
          <w:strike w:val="0"/>
          <w:color w:val="auto"/>
          <w:szCs w:val="21"/>
          <w:highlight w:val="none"/>
          <w:u w:val="none"/>
        </w:rPr>
      </w:pPr>
      <w:r>
        <w:rPr>
          <w:rFonts w:hint="eastAsia" w:ascii="宋体" w:hAnsi="宋体" w:cs="Courier New"/>
          <w:strike w:val="0"/>
          <w:color w:val="auto"/>
          <w:szCs w:val="21"/>
          <w:highlight w:val="none"/>
          <w:u w:val="none"/>
        </w:rPr>
        <w:t>注：企业</w:t>
      </w:r>
      <w:r>
        <w:rPr>
          <w:rFonts w:hint="eastAsia" w:ascii="宋体" w:hAnsi="宋体" w:cs="Courier New"/>
          <w:strike w:val="0"/>
          <w:color w:val="auto"/>
          <w:szCs w:val="21"/>
          <w:highlight w:val="none"/>
          <w:u w:val="single"/>
        </w:rPr>
        <w:t>诚信综合</w:t>
      </w:r>
      <w:r>
        <w:rPr>
          <w:rFonts w:hint="eastAsia" w:ascii="宋体" w:hAnsi="宋体" w:cs="Courier New"/>
          <w:strike w:val="0"/>
          <w:color w:val="auto"/>
          <w:szCs w:val="21"/>
          <w:highlight w:val="none"/>
          <w:u w:val="none"/>
        </w:rPr>
        <w:t>评价得分即企业综合诚信评价60日诚信分，以下同。</w:t>
      </w:r>
    </w:p>
    <w:p>
      <w:pPr>
        <w:pStyle w:val="4"/>
        <w:spacing w:line="400" w:lineRule="exact"/>
        <w:ind w:firstLine="186"/>
        <w:jc w:val="center"/>
        <w:rPr>
          <w:rFonts w:ascii="宋体" w:hAnsi="宋体"/>
          <w:color w:val="auto"/>
          <w:sz w:val="21"/>
          <w:szCs w:val="21"/>
          <w:highlight w:val="none"/>
        </w:rPr>
      </w:pPr>
      <w:r>
        <w:rPr>
          <w:rFonts w:ascii="宋体" w:hAnsi="宋体"/>
          <w:color w:val="auto"/>
          <w:sz w:val="21"/>
          <w:szCs w:val="21"/>
          <w:highlight w:val="none"/>
        </w:rPr>
        <w:br w:type="page"/>
      </w:r>
      <w:bookmarkStart w:id="4" w:name="_Toc6493829"/>
    </w:p>
    <w:p>
      <w:pPr>
        <w:pStyle w:val="4"/>
        <w:spacing w:line="400" w:lineRule="exact"/>
        <w:ind w:firstLine="186"/>
        <w:jc w:val="center"/>
        <w:rPr>
          <w:rFonts w:ascii="宋体" w:hAnsi="宋体"/>
          <w:color w:val="auto"/>
          <w:sz w:val="21"/>
          <w:szCs w:val="21"/>
          <w:highlight w:val="none"/>
        </w:rPr>
      </w:pPr>
      <w:bookmarkStart w:id="5" w:name="_Toc25379"/>
      <w:r>
        <w:rPr>
          <w:rFonts w:hint="eastAsia" w:ascii="宋体" w:hAnsi="宋体"/>
          <w:color w:val="auto"/>
          <w:sz w:val="21"/>
          <w:szCs w:val="21"/>
          <w:highlight w:val="none"/>
        </w:rPr>
        <w:t>二、投标须知修改表</w:t>
      </w:r>
      <w:bookmarkEnd w:id="4"/>
      <w:bookmarkEnd w:id="5"/>
    </w:p>
    <w:p>
      <w:pPr>
        <w:pBdr>
          <w:bottom w:val="single" w:color="auto" w:sz="6" w:space="1"/>
        </w:pBdr>
        <w:spacing w:line="440" w:lineRule="exact"/>
        <w:ind w:firstLine="472" w:firstLineChars="224"/>
        <w:rPr>
          <w:rFonts w:ascii="宋体" w:hAnsi="宋体"/>
          <w:b/>
          <w:color w:val="auto"/>
          <w:szCs w:val="21"/>
          <w:highlight w:val="none"/>
        </w:rPr>
      </w:pPr>
      <w:r>
        <w:rPr>
          <w:rFonts w:hint="eastAsia" w:ascii="宋体" w:hAnsi="宋体"/>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tabs>
          <w:tab w:val="left" w:pos="5620"/>
        </w:tabs>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条款号：1（4）              修改类型：修改</w:t>
      </w:r>
    </w:p>
    <w:p>
      <w:pPr>
        <w:pBdr>
          <w:bottom w:val="single" w:color="auto" w:sz="6" w:space="1"/>
        </w:pBdr>
        <w:spacing w:line="360" w:lineRule="auto"/>
        <w:ind w:firstLine="472"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（4）“招标文件”指由招标代理发出的本文件（包括全部章节、附件）及招标答疑会会议纪要和招标文件的澄清与修改文件。</w:t>
      </w:r>
    </w:p>
    <w:p>
      <w:pPr>
        <w:pBdr>
          <w:bottom w:val="single" w:color="auto" w:sz="6" w:space="1"/>
        </w:pBdr>
        <w:tabs>
          <w:tab w:val="left" w:pos="5620"/>
        </w:tabs>
        <w:spacing w:line="360" w:lineRule="auto"/>
        <w:ind w:firstLine="472" w:firstLineChars="224"/>
        <w:rPr>
          <w:rFonts w:hint="eastAsia"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（4）“招标文件”指由招标代理发出的本文件（包括全部章节、附件）及</w:t>
      </w:r>
      <w:r>
        <w:rPr>
          <w:rFonts w:hint="eastAsia" w:ascii="宋体" w:hAnsi="宋体" w:cs="宋体"/>
          <w:bCs/>
          <w:color w:val="auto"/>
          <w:szCs w:val="21"/>
          <w:highlight w:val="none"/>
          <w:u w:val="single"/>
        </w:rPr>
        <w:t>招标答疑纪要</w:t>
      </w:r>
      <w:r>
        <w:rPr>
          <w:rFonts w:hint="eastAsia" w:ascii="宋体" w:hAnsi="宋体" w:cs="宋体"/>
          <w:bCs/>
          <w:color w:val="auto"/>
          <w:szCs w:val="21"/>
          <w:highlight w:val="none"/>
        </w:rPr>
        <w:t>和招标文件的澄清与修改文件。</w:t>
      </w:r>
    </w:p>
    <w:p>
      <w:pPr>
        <w:adjustRightInd w:val="0"/>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条款号：2.5                          修改类型：增加</w:t>
      </w:r>
    </w:p>
    <w:p>
      <w:pPr>
        <w:pBdr>
          <w:bottom w:val="single" w:color="auto" w:sz="6" w:space="1"/>
        </w:pBdr>
        <w:adjustRightInd w:val="0"/>
        <w:snapToGrid w:val="0"/>
        <w:spacing w:line="360" w:lineRule="auto"/>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2.5关于“危险性较大的分部分项工程”的相关要求：</w:t>
      </w:r>
    </w:p>
    <w:p>
      <w:pPr>
        <w:pBdr>
          <w:bottom w:val="single" w:color="auto" w:sz="6" w:space="1"/>
        </w:pBdr>
        <w:adjustRightInd w:val="0"/>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2.5.1本工程的“危险性较大的分部分项工程”范围包括但不限于：</w:t>
      </w:r>
    </w:p>
    <w:p>
      <w:pPr>
        <w:pBdr>
          <w:bottom w:val="single" w:color="auto" w:sz="6" w:space="1"/>
        </w:pBdr>
        <w:adjustRightInd w:val="0"/>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2.5.1.1脚手架工程：搭设高度24m及以上的落地式钢管脚手架工程；</w:t>
      </w:r>
    </w:p>
    <w:p>
      <w:pPr>
        <w:pBdr>
          <w:bottom w:val="single" w:color="auto" w:sz="6" w:space="1"/>
        </w:pBdr>
        <w:adjustRightInd w:val="0"/>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2.5.1.2钢结构工程：跨度36m及以上的钢结构安装工程；</w:t>
      </w:r>
    </w:p>
    <w:p>
      <w:pPr>
        <w:pBdr>
          <w:bottom w:val="single" w:color="auto" w:sz="6" w:space="1"/>
        </w:pBdr>
        <w:adjustRightInd w:val="0"/>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2.5.1.3深基坑工程：开挖深度超过5m（含5m）的基坑（槽）的土方开挖、支护、降水工程；</w:t>
      </w:r>
    </w:p>
    <w:p>
      <w:pPr>
        <w:pBdr>
          <w:bottom w:val="single" w:color="auto" w:sz="6" w:space="1"/>
        </w:pBdr>
        <w:adjustRightInd w:val="0"/>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2.5.1.4采用新技术、新工艺、新材料、新设备可能影响工程施工安全，尚无国家、行业及地方技术标准的分部分项工程。</w:t>
      </w:r>
    </w:p>
    <w:p>
      <w:pPr>
        <w:pBdr>
          <w:bottom w:val="single" w:color="auto" w:sz="6" w:space="1"/>
        </w:pBdr>
        <w:adjustRightInd w:val="0"/>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2.5.2请承包人根据相关规定，在施工前编制以上分部分项工程的专项施工方案，经监理单位审核，并按要求组织专家评审通过后，再进行实施。</w:t>
      </w:r>
    </w:p>
    <w:p>
      <w:pPr>
        <w:spacing w:line="360" w:lineRule="auto"/>
        <w:ind w:firstLine="472" w:firstLineChars="224"/>
        <w:rPr>
          <w:rFonts w:ascii="宋体" w:hAnsi="Calibri"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 xml:space="preserve"> 5.1         </w:t>
      </w:r>
      <w:r>
        <w:rPr>
          <w:rFonts w:hint="eastAsia" w:ascii="宋体" w:hAnsi="宋体" w:cs="宋体"/>
          <w:b/>
          <w:color w:val="auto"/>
          <w:szCs w:val="21"/>
          <w:highlight w:val="none"/>
        </w:rPr>
        <w:t>修改类型：修改</w:t>
      </w:r>
    </w:p>
    <w:p>
      <w:pPr>
        <w:spacing w:line="360" w:lineRule="auto"/>
        <w:ind w:firstLine="472" w:firstLineChars="224"/>
        <w:rPr>
          <w:rFonts w:ascii="宋体" w:hAnsi="Calibri" w:cs="宋体"/>
          <w:b/>
          <w:color w:val="auto"/>
          <w:szCs w:val="21"/>
          <w:highlight w:val="none"/>
        </w:rPr>
      </w:pPr>
      <w:r>
        <w:rPr>
          <w:rFonts w:hint="eastAsia" w:ascii="宋体" w:hAnsi="宋体" w:cs="宋体"/>
          <w:b/>
          <w:color w:val="auto"/>
          <w:szCs w:val="21"/>
          <w:highlight w:val="none"/>
        </w:rPr>
        <w:t>原文：</w:t>
      </w:r>
      <w:r>
        <w:rPr>
          <w:rFonts w:ascii="宋体" w:hAnsi="宋体" w:cs="宋体"/>
          <w:b/>
          <w:color w:val="auto"/>
          <w:szCs w:val="21"/>
          <w:highlight w:val="none"/>
        </w:rPr>
        <w:t>5.1</w:t>
      </w:r>
      <w:r>
        <w:rPr>
          <w:rFonts w:hint="eastAsia" w:ascii="宋体" w:hAnsi="宋体" w:cs="宋体"/>
          <w:bCs/>
          <w:color w:val="auto"/>
          <w:szCs w:val="21"/>
          <w:highlight w:val="none"/>
        </w:rPr>
        <w:t>投标人应按本投标须知前附表第</w:t>
      </w:r>
      <w:r>
        <w:rPr>
          <w:rFonts w:ascii="宋体" w:hAnsi="宋体" w:cs="宋体"/>
          <w:bCs/>
          <w:color w:val="auto"/>
          <w:szCs w:val="21"/>
          <w:highlight w:val="none"/>
        </w:rPr>
        <w:t>15</w:t>
      </w:r>
      <w:r>
        <w:rPr>
          <w:rFonts w:hint="eastAsia" w:ascii="宋体" w:hAnsi="宋体" w:cs="宋体"/>
          <w:bCs/>
          <w:color w:val="auto"/>
          <w:szCs w:val="21"/>
          <w:highlight w:val="none"/>
        </w:rPr>
        <w:t>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pBdr>
          <w:bottom w:val="single" w:color="auto" w:sz="6" w:space="1"/>
        </w:pBdr>
        <w:spacing w:line="360" w:lineRule="auto"/>
        <w:ind w:firstLine="527" w:firstLineChars="250"/>
        <w:rPr>
          <w:rFonts w:ascii="宋体" w:hAnsi="Calibri" w:cs="宋体"/>
          <w:color w:val="auto"/>
          <w:highlight w:val="none"/>
        </w:rPr>
      </w:pPr>
      <w:r>
        <w:rPr>
          <w:rFonts w:hint="eastAsia" w:ascii="宋体" w:hAnsi="宋体" w:cs="宋体"/>
          <w:b/>
          <w:color w:val="auto"/>
          <w:szCs w:val="21"/>
          <w:highlight w:val="none"/>
        </w:rPr>
        <w:t>现文：</w:t>
      </w:r>
      <w:r>
        <w:rPr>
          <w:rFonts w:ascii="宋体" w:hAnsi="宋体" w:cs="宋体"/>
          <w:b/>
          <w:color w:val="auto"/>
          <w:szCs w:val="21"/>
          <w:highlight w:val="none"/>
        </w:rPr>
        <w:t>5.1</w:t>
      </w:r>
      <w:r>
        <w:rPr>
          <w:rFonts w:hint="eastAsia" w:ascii="宋体" w:hAnsi="宋体" w:cs="宋体"/>
          <w:bCs/>
          <w:color w:val="auto"/>
          <w:szCs w:val="21"/>
          <w:highlight w:val="none"/>
        </w:rPr>
        <w:t>投标人应按本投标须知前附表第</w:t>
      </w:r>
      <w:r>
        <w:rPr>
          <w:rFonts w:ascii="宋体" w:hAnsi="宋体" w:cs="宋体"/>
          <w:bCs/>
          <w:color w:val="auto"/>
          <w:szCs w:val="21"/>
          <w:highlight w:val="none"/>
        </w:rPr>
        <w:t>15</w:t>
      </w:r>
      <w:r>
        <w:rPr>
          <w:rFonts w:hint="eastAsia" w:ascii="宋体" w:hAnsi="宋体" w:cs="宋体"/>
          <w:bCs/>
          <w:color w:val="auto"/>
          <w:szCs w:val="21"/>
          <w:highlight w:val="none"/>
        </w:rPr>
        <w:t>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color w:val="auto"/>
          <w:szCs w:val="21"/>
          <w:highlight w:val="none"/>
          <w:u w:val="single"/>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Pr>
          <w:rFonts w:hint="eastAsia" w:ascii="宋体" w:hAnsi="宋体" w:cs="宋体"/>
          <w:bCs/>
          <w:color w:val="auto"/>
          <w:szCs w:val="21"/>
          <w:highlight w:val="none"/>
        </w:rPr>
        <w:t>一旦中标，这种考察即被认为其结果已在中标文件中得到充分反映。考察现场的费用由投标人自己承担。</w:t>
      </w:r>
    </w:p>
    <w:p>
      <w:pPr>
        <w:spacing w:line="440" w:lineRule="exact"/>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ascii="宋体" w:hAnsi="宋体"/>
          <w:color w:val="auto"/>
          <w:szCs w:val="21"/>
          <w:highlight w:val="none"/>
        </w:rPr>
        <w:t>8.1</w:t>
      </w:r>
      <w:r>
        <w:rPr>
          <w:rFonts w:hint="eastAsia" w:ascii="宋体" w:hAnsi="宋体"/>
          <w:b/>
          <w:color w:val="auto"/>
          <w:szCs w:val="21"/>
          <w:highlight w:val="none"/>
        </w:rPr>
        <w:t>修改类型：修改</w:t>
      </w:r>
    </w:p>
    <w:p>
      <w:pPr>
        <w:pBdr>
          <w:bottom w:val="single" w:color="auto" w:sz="6" w:space="1"/>
        </w:pBdr>
        <w:spacing w:line="440" w:lineRule="exact"/>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8.1</w:t>
      </w:r>
      <w:r>
        <w:rPr>
          <w:rFonts w:hint="eastAsia" w:ascii="宋体" w:hAnsi="宋体" w:cs="宋体"/>
          <w:color w:val="auto"/>
          <w:szCs w:val="21"/>
          <w:highlight w:val="none"/>
        </w:rPr>
        <w:t>投标人若对招标文件（包括招标图纸）中有疑问，可以书面形式通过</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交易平台提交给招标人或招标代理人，提交形式见本须知前附表第</w:t>
      </w:r>
      <w:r>
        <w:rPr>
          <w:rFonts w:ascii="宋体" w:hAnsi="宋体" w:cs="宋体"/>
          <w:color w:val="auto"/>
          <w:szCs w:val="21"/>
          <w:highlight w:val="none"/>
        </w:rPr>
        <w:t>16</w:t>
      </w:r>
      <w:r>
        <w:rPr>
          <w:rFonts w:hint="eastAsia" w:ascii="宋体" w:hAnsi="宋体" w:cs="宋体"/>
          <w:color w:val="auto"/>
          <w:szCs w:val="21"/>
          <w:highlight w:val="none"/>
        </w:rPr>
        <w:t>项</w:t>
      </w:r>
      <w:r>
        <w:rPr>
          <w:rFonts w:hint="eastAsia" w:ascii="宋体" w:hAnsi="宋体"/>
          <w:color w:val="auto"/>
          <w:szCs w:val="21"/>
          <w:highlight w:val="none"/>
        </w:rPr>
        <w:t>。</w:t>
      </w:r>
    </w:p>
    <w:p>
      <w:pPr>
        <w:pBdr>
          <w:bottom w:val="single" w:color="auto" w:sz="6" w:space="1"/>
        </w:pBdr>
        <w:spacing w:line="440" w:lineRule="exact"/>
        <w:ind w:firstLine="422" w:firstLineChars="200"/>
        <w:rPr>
          <w:rFonts w:ascii="宋体" w:hAnsi="宋体" w:cs="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rPr>
        <w:t>8.1</w:t>
      </w:r>
      <w:r>
        <w:rPr>
          <w:rFonts w:hint="eastAsia" w:ascii="宋体" w:hAnsi="宋体" w:cs="宋体"/>
          <w:bCs/>
          <w:color w:val="auto"/>
          <w:sz w:val="21"/>
          <w:szCs w:val="21"/>
          <w:highlight w:val="none"/>
          <w:u w:val="single"/>
        </w:rPr>
        <w:t>投标人若对招标文件（包括招标图纸、清单、</w:t>
      </w:r>
      <w:r>
        <w:rPr>
          <w:rFonts w:hint="eastAsia" w:ascii="宋体" w:hAnsi="宋体" w:eastAsia="宋体" w:cs="宋体"/>
          <w:bCs/>
          <w:color w:val="auto"/>
          <w:sz w:val="21"/>
          <w:szCs w:val="21"/>
          <w:highlight w:val="none"/>
          <w:u w:val="single"/>
        </w:rPr>
        <w:t>合同条款、</w:t>
      </w:r>
      <w:r>
        <w:rPr>
          <w:rFonts w:hint="eastAsia" w:ascii="宋体" w:hAnsi="宋体" w:cs="宋体"/>
          <w:bCs/>
          <w:color w:val="auto"/>
          <w:sz w:val="21"/>
          <w:szCs w:val="21"/>
          <w:highlight w:val="none"/>
          <w:u w:val="single"/>
        </w:rPr>
        <w:t>最高投标限价）中有疑问，采用网上答疑方式进行，详见本须知前附表第16项。招标人或招标代理人将于本须知前附表第16项指定的地点（交易平台）和时间对疑问进行答复</w:t>
      </w:r>
      <w:r>
        <w:rPr>
          <w:rFonts w:hint="eastAsia" w:ascii="宋体" w:hAnsi="宋体" w:cs="宋体"/>
          <w:color w:val="auto"/>
          <w:szCs w:val="21"/>
          <w:highlight w:val="none"/>
          <w:u w:val="single"/>
        </w:rPr>
        <w:t xml:space="preserve">。 </w:t>
      </w:r>
    </w:p>
    <w:p>
      <w:pPr>
        <w:spacing w:line="440" w:lineRule="exact"/>
        <w:ind w:firstLine="472" w:firstLineChars="224"/>
        <w:rPr>
          <w:rFonts w:ascii="宋体" w:hAnsi="宋体"/>
          <w:b/>
          <w:color w:val="auto"/>
          <w:szCs w:val="21"/>
          <w:highlight w:val="none"/>
        </w:rPr>
      </w:pPr>
      <w:r>
        <w:rPr>
          <w:rFonts w:hint="eastAsia" w:ascii="宋体" w:hAnsi="宋体"/>
          <w:b/>
          <w:color w:val="auto"/>
          <w:szCs w:val="21"/>
          <w:highlight w:val="none"/>
        </w:rPr>
        <w:t>条款号：8</w:t>
      </w:r>
      <w:r>
        <w:rPr>
          <w:rFonts w:ascii="宋体" w:hAnsi="宋体"/>
          <w:b/>
          <w:color w:val="auto"/>
          <w:szCs w:val="21"/>
          <w:highlight w:val="none"/>
        </w:rPr>
        <w:t xml:space="preserve">.2             </w:t>
      </w:r>
      <w:r>
        <w:rPr>
          <w:rFonts w:hint="eastAsia" w:ascii="宋体" w:hAnsi="宋体"/>
          <w:b/>
          <w:color w:val="auto"/>
          <w:szCs w:val="21"/>
          <w:highlight w:val="none"/>
        </w:rPr>
        <w:t>修改类型：修改</w:t>
      </w:r>
    </w:p>
    <w:p>
      <w:pPr>
        <w:pBdr>
          <w:bottom w:val="single" w:color="auto" w:sz="6" w:space="1"/>
        </w:pBdr>
        <w:spacing w:line="440" w:lineRule="exact"/>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8.2</w:t>
      </w:r>
      <w:r>
        <w:rPr>
          <w:rFonts w:hint="eastAsia" w:ascii="宋体" w:hAnsi="宋体" w:cs="宋体"/>
          <w:color w:val="auto"/>
          <w:szCs w:val="21"/>
          <w:highlight w:val="none"/>
        </w:rPr>
        <w:t>招标答疑会会议纪要将在提交投标文件截止时间15日前在</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交易平台 “项目答疑纪要”专区公开发布。答疑纪要一经在</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交易平台发布，视作已发放给所有投标人</w:t>
      </w:r>
      <w:r>
        <w:rPr>
          <w:rFonts w:hint="eastAsia" w:ascii="宋体" w:hAnsi="宋体"/>
          <w:color w:val="auto"/>
          <w:szCs w:val="21"/>
          <w:highlight w:val="none"/>
        </w:rPr>
        <w:t>。</w:t>
      </w:r>
    </w:p>
    <w:p>
      <w:pPr>
        <w:pBdr>
          <w:bottom w:val="single" w:color="auto" w:sz="6" w:space="1"/>
        </w:pBdr>
        <w:spacing w:line="440" w:lineRule="exact"/>
        <w:ind w:firstLine="422" w:firstLineChars="200"/>
        <w:rPr>
          <w:rFonts w:ascii="宋体" w:hAnsi="宋体" w:cs="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8.2</w:t>
      </w:r>
      <w:r>
        <w:rPr>
          <w:rFonts w:hint="eastAsia" w:ascii="宋体" w:hAnsi="宋体"/>
          <w:color w:val="auto"/>
          <w:szCs w:val="21"/>
          <w:highlight w:val="none"/>
          <w:u w:val="single"/>
        </w:rPr>
        <w:t>招标答疑纪要</w:t>
      </w:r>
      <w:r>
        <w:rPr>
          <w:rFonts w:hint="eastAsia" w:ascii="宋体" w:hAnsi="宋体"/>
          <w:color w:val="auto"/>
          <w:szCs w:val="21"/>
          <w:highlight w:val="none"/>
        </w:rPr>
        <w:t>将在提交投标文件截止时间15日前</w:t>
      </w:r>
      <w:r>
        <w:rPr>
          <w:rFonts w:hint="eastAsia" w:ascii="宋体" w:hAnsi="宋体" w:cs="宋体"/>
          <w:color w:val="auto"/>
          <w:sz w:val="21"/>
          <w:szCs w:val="21"/>
          <w:highlight w:val="none"/>
          <w:u w:val="single"/>
        </w:rPr>
        <w:t>在广州交易集团有限公司（广州公共资源交易中心）交易平台“项目查询(日程安排、答疑纪要)”</w:t>
      </w:r>
      <w:r>
        <w:rPr>
          <w:rFonts w:hint="eastAsia" w:ascii="宋体" w:hAnsi="宋体" w:cs="宋体"/>
          <w:color w:val="auto"/>
          <w:sz w:val="21"/>
          <w:szCs w:val="21"/>
          <w:highlight w:val="none"/>
        </w:rPr>
        <w:t>专区公开发布。答疑纪要一经</w:t>
      </w:r>
      <w:r>
        <w:rPr>
          <w:rFonts w:hint="eastAsia" w:ascii="宋体" w:hAnsi="宋体" w:cs="宋体"/>
          <w:color w:val="auto"/>
          <w:sz w:val="21"/>
          <w:szCs w:val="21"/>
          <w:highlight w:val="none"/>
          <w:u w:val="single"/>
        </w:rPr>
        <w:t>在广州交易集团有限公司（广州公共资源交易中心）</w:t>
      </w:r>
      <w:r>
        <w:rPr>
          <w:rFonts w:hint="eastAsia" w:ascii="宋体" w:hAnsi="宋体" w:cs="宋体"/>
          <w:color w:val="auto"/>
          <w:sz w:val="21"/>
          <w:szCs w:val="21"/>
          <w:highlight w:val="none"/>
        </w:rPr>
        <w:t>交易平台发布，视作已发放给所有投标人</w:t>
      </w:r>
      <w:r>
        <w:rPr>
          <w:rFonts w:hint="eastAsia" w:ascii="宋体" w:hAnsi="宋体"/>
          <w:color w:val="auto"/>
          <w:szCs w:val="21"/>
          <w:highlight w:val="none"/>
        </w:rPr>
        <w:t>。</w:t>
      </w:r>
    </w:p>
    <w:p>
      <w:pPr>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条款号：8.3            修改类型：修改</w:t>
      </w:r>
    </w:p>
    <w:p>
      <w:pPr>
        <w:pBdr>
          <w:bottom w:val="single" w:color="auto" w:sz="6" w:space="1"/>
        </w:pBdr>
        <w:spacing w:line="440" w:lineRule="exact"/>
        <w:ind w:firstLine="527" w:firstLineChars="25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8.3</w:t>
      </w:r>
      <w:r>
        <w:rPr>
          <w:rFonts w:hint="eastAsia" w:ascii="宋体" w:hAnsi="宋体"/>
          <w:color w:val="auto"/>
          <w:szCs w:val="21"/>
          <w:highlight w:val="none"/>
        </w:rPr>
        <w:t>答疑会会议纪要为招标文件的一部分</w:t>
      </w:r>
      <w:r>
        <w:rPr>
          <w:rFonts w:hint="eastAsia" w:ascii="宋体" w:hAnsi="宋体" w:cs="宋体"/>
          <w:color w:val="auto"/>
          <w:szCs w:val="21"/>
          <w:highlight w:val="none"/>
        </w:rPr>
        <w:t>。</w:t>
      </w:r>
    </w:p>
    <w:p>
      <w:pPr>
        <w:pBdr>
          <w:bottom w:val="single" w:color="auto" w:sz="6" w:space="1"/>
        </w:pBdr>
        <w:spacing w:line="440" w:lineRule="exact"/>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8.3</w:t>
      </w:r>
      <w:r>
        <w:rPr>
          <w:rFonts w:hint="eastAsia" w:ascii="宋体" w:hAnsi="宋体" w:cs="宋体"/>
          <w:color w:val="auto"/>
          <w:szCs w:val="21"/>
          <w:highlight w:val="none"/>
          <w:u w:val="single"/>
        </w:rPr>
        <w:t>答疑纪要为招标文件的一部分</w:t>
      </w:r>
      <w:r>
        <w:rPr>
          <w:rFonts w:hint="eastAsia" w:ascii="宋体" w:hAnsi="宋体" w:cs="宋体"/>
          <w:color w:val="auto"/>
          <w:szCs w:val="21"/>
          <w:highlight w:val="none"/>
        </w:rPr>
        <w:t>。</w:t>
      </w:r>
    </w:p>
    <w:p>
      <w:pPr>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条款号：8.4             修改类型：修改</w:t>
      </w:r>
    </w:p>
    <w:p>
      <w:pPr>
        <w:spacing w:line="44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8.4若招标答疑会会议纪要与招标文件有矛盾，以答疑会议纪要最后发出的书面形式的文件为准。</w:t>
      </w:r>
    </w:p>
    <w:p>
      <w:pPr>
        <w:pBdr>
          <w:bottom w:val="single" w:color="auto" w:sz="6" w:space="1"/>
        </w:pBdr>
        <w:spacing w:line="440" w:lineRule="exact"/>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8.4若招标</w:t>
      </w:r>
      <w:r>
        <w:rPr>
          <w:rFonts w:hint="eastAsia" w:ascii="宋体" w:hAnsi="宋体" w:cs="宋体"/>
          <w:color w:val="auto"/>
          <w:szCs w:val="21"/>
          <w:highlight w:val="none"/>
          <w:u w:val="single"/>
        </w:rPr>
        <w:t>答疑纪要</w:t>
      </w:r>
      <w:r>
        <w:rPr>
          <w:rFonts w:hint="eastAsia" w:ascii="宋体" w:hAnsi="宋体" w:cs="宋体"/>
          <w:color w:val="auto"/>
          <w:szCs w:val="21"/>
          <w:highlight w:val="none"/>
        </w:rPr>
        <w:t>与招标文件有矛盾时，以</w:t>
      </w:r>
      <w:r>
        <w:rPr>
          <w:rFonts w:hint="eastAsia" w:ascii="宋体" w:hAnsi="宋体" w:cs="宋体"/>
          <w:color w:val="auto"/>
          <w:szCs w:val="21"/>
          <w:highlight w:val="none"/>
          <w:u w:val="single"/>
        </w:rPr>
        <w:t>广州交易集团有限公司（广州公共资源交易中心）网站最后发布的答疑纪要为准</w:t>
      </w:r>
      <w:r>
        <w:rPr>
          <w:rFonts w:hint="eastAsia" w:ascii="宋体" w:hAnsi="宋体" w:cs="宋体"/>
          <w:color w:val="auto"/>
          <w:szCs w:val="21"/>
          <w:highlight w:val="none"/>
        </w:rPr>
        <w:t>。</w:t>
      </w:r>
    </w:p>
    <w:p>
      <w:pPr>
        <w:spacing w:line="440" w:lineRule="exact"/>
        <w:ind w:firstLine="472" w:firstLineChars="224"/>
        <w:rPr>
          <w:rFonts w:ascii="宋体" w:hAnsi="宋体"/>
          <w:b/>
          <w:color w:val="auto"/>
          <w:szCs w:val="21"/>
          <w:highlight w:val="none"/>
        </w:rPr>
      </w:pPr>
      <w:r>
        <w:rPr>
          <w:rFonts w:hint="eastAsia" w:ascii="宋体" w:hAnsi="宋体"/>
          <w:b/>
          <w:color w:val="auto"/>
          <w:szCs w:val="21"/>
          <w:highlight w:val="none"/>
        </w:rPr>
        <w:t>条款号：9</w:t>
      </w:r>
      <w:r>
        <w:rPr>
          <w:rFonts w:ascii="宋体" w:hAnsi="宋体"/>
          <w:b/>
          <w:color w:val="auto"/>
          <w:szCs w:val="21"/>
          <w:highlight w:val="none"/>
        </w:rPr>
        <w:t xml:space="preserve">.2             </w:t>
      </w:r>
      <w:r>
        <w:rPr>
          <w:rFonts w:hint="eastAsia" w:ascii="宋体" w:hAnsi="宋体"/>
          <w:b/>
          <w:color w:val="auto"/>
          <w:szCs w:val="21"/>
          <w:highlight w:val="none"/>
        </w:rPr>
        <w:t>修改类型：修改</w:t>
      </w:r>
    </w:p>
    <w:p>
      <w:pPr>
        <w:spacing w:line="440" w:lineRule="exact"/>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9.2招标文件的澄清或修改将在交易平台“项目答疑纪要”专区公开发布。答疑纪要一经在交易平台发布，视作已发放给所有投标人，以交易平台上网发布时间作为送达时间。</w:t>
      </w:r>
    </w:p>
    <w:p>
      <w:pPr>
        <w:pBdr>
          <w:bottom w:val="single" w:color="auto" w:sz="6" w:space="1"/>
        </w:pBdr>
        <w:spacing w:line="440" w:lineRule="exact"/>
        <w:ind w:firstLine="422" w:firstLineChars="200"/>
        <w:rPr>
          <w:rFonts w:ascii="宋体" w:hAnsi="宋体" w:cs="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9.2</w:t>
      </w:r>
      <w:r>
        <w:rPr>
          <w:rFonts w:hint="eastAsia" w:ascii="宋体" w:hAnsi="宋体" w:cs="宋体"/>
          <w:color w:val="auto"/>
          <w:szCs w:val="21"/>
          <w:highlight w:val="none"/>
        </w:rPr>
        <w:t>招标文件的澄清或修改</w:t>
      </w:r>
      <w:r>
        <w:rPr>
          <w:rFonts w:hint="eastAsia" w:ascii="宋体" w:hAnsi="宋体" w:cs="宋体"/>
          <w:color w:val="auto"/>
          <w:szCs w:val="21"/>
          <w:highlight w:val="none"/>
          <w:u w:val="single"/>
        </w:rPr>
        <w:t>在广州交易集团有限公司（广州公共资源交易中心）</w:t>
      </w:r>
      <w:r>
        <w:rPr>
          <w:rFonts w:hint="eastAsia" w:ascii="宋体" w:hAnsi="宋体" w:cs="宋体"/>
          <w:color w:val="auto"/>
          <w:szCs w:val="21"/>
          <w:highlight w:val="none"/>
        </w:rPr>
        <w:t>交易平台“</w:t>
      </w:r>
      <w:r>
        <w:rPr>
          <w:rFonts w:hint="eastAsia" w:ascii="宋体" w:hAnsi="宋体" w:cs="宋体"/>
          <w:color w:val="auto"/>
          <w:szCs w:val="21"/>
          <w:highlight w:val="none"/>
          <w:u w:val="single"/>
        </w:rPr>
        <w:t>项目查询(日程安排、答疑纪要)</w:t>
      </w:r>
      <w:r>
        <w:rPr>
          <w:rFonts w:hint="eastAsia" w:ascii="宋体" w:hAnsi="宋体" w:cs="宋体"/>
          <w:color w:val="auto"/>
          <w:szCs w:val="21"/>
          <w:highlight w:val="none"/>
        </w:rPr>
        <w:t>”专区公开发布。</w:t>
      </w:r>
      <w:r>
        <w:rPr>
          <w:rFonts w:hint="eastAsia" w:ascii="宋体" w:hAnsi="宋体" w:cs="宋体"/>
          <w:color w:val="auto"/>
          <w:szCs w:val="21"/>
          <w:highlight w:val="none"/>
          <w:u w:val="single"/>
          <w:lang w:val="en-US" w:eastAsia="zh-CN"/>
        </w:rPr>
        <w:t>招标</w:t>
      </w:r>
      <w:r>
        <w:rPr>
          <w:rFonts w:hint="eastAsia" w:ascii="宋体" w:hAnsi="宋体" w:cs="宋体"/>
          <w:color w:val="auto"/>
          <w:szCs w:val="21"/>
          <w:highlight w:val="none"/>
        </w:rPr>
        <w:t>答疑纪要一经在</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交易平台上网发布时间作为送达时间</w:t>
      </w:r>
      <w:r>
        <w:rPr>
          <w:rFonts w:hint="eastAsia" w:ascii="宋体" w:hAnsi="宋体"/>
          <w:color w:val="auto"/>
          <w:szCs w:val="21"/>
          <w:highlight w:val="none"/>
        </w:rPr>
        <w:t>。</w:t>
      </w:r>
    </w:p>
    <w:p>
      <w:pPr>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条款号：9.4             修改类型：修改</w:t>
      </w:r>
    </w:p>
    <w:p>
      <w:pPr>
        <w:spacing w:line="44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440" w:lineRule="exact"/>
        <w:ind w:firstLine="422" w:firstLineChars="200"/>
        <w:rPr>
          <w:rFonts w:hint="eastAsia" w:ascii="宋体" w:hAnsi="宋体" w:eastAsia="宋体" w:cs="宋体"/>
          <w:color w:val="auto"/>
          <w:szCs w:val="21"/>
          <w:highlight w:val="none"/>
          <w:u w:val="single"/>
          <w:lang w:eastAsia="zh-CN"/>
        </w:rPr>
      </w:pPr>
      <w:r>
        <w:rPr>
          <w:rFonts w:hint="eastAsia" w:ascii="宋体" w:hAnsi="宋体" w:cs="宋体"/>
          <w:b/>
          <w:color w:val="auto"/>
          <w:szCs w:val="21"/>
          <w:highlight w:val="none"/>
        </w:rPr>
        <w:t>现文：</w:t>
      </w:r>
      <w:r>
        <w:rPr>
          <w:rFonts w:hint="eastAsia" w:ascii="宋体" w:hAnsi="宋体" w:cs="宋体"/>
          <w:color w:val="auto"/>
          <w:szCs w:val="21"/>
          <w:highlight w:val="none"/>
        </w:rPr>
        <w:t>9.4招标文件的澄清或修改均以</w:t>
      </w:r>
      <w:r>
        <w:rPr>
          <w:rFonts w:hint="eastAsia" w:ascii="宋体" w:hAnsi="宋体" w:cs="宋体"/>
          <w:color w:val="auto"/>
          <w:szCs w:val="21"/>
          <w:highlight w:val="none"/>
          <w:u w:val="single"/>
        </w:rPr>
        <w:t>广州交易集团有限公司（广州公共资源交易中心）网上答疑公布</w:t>
      </w:r>
      <w:r>
        <w:rPr>
          <w:rFonts w:hint="eastAsia" w:ascii="宋体" w:hAnsi="宋体" w:cs="宋体"/>
          <w:color w:val="auto"/>
          <w:szCs w:val="21"/>
          <w:highlight w:val="none"/>
        </w:rPr>
        <w:t>的内容为准。当招标文件的澄清、修改、补充等在同一内容的表述不一致时，以</w:t>
      </w:r>
      <w:r>
        <w:rPr>
          <w:rFonts w:hint="eastAsia" w:ascii="宋体" w:hAnsi="宋体" w:cs="宋体"/>
          <w:color w:val="auto"/>
          <w:szCs w:val="21"/>
          <w:highlight w:val="none"/>
          <w:u w:val="single"/>
        </w:rPr>
        <w:t>广州交易集团有限公司（广州公共资源交易中心）网站</w:t>
      </w:r>
      <w:r>
        <w:rPr>
          <w:rFonts w:hint="eastAsia" w:ascii="宋体" w:hAnsi="宋体" w:cs="宋体"/>
          <w:color w:val="auto"/>
          <w:szCs w:val="21"/>
          <w:highlight w:val="none"/>
        </w:rPr>
        <w:t>最后发出的</w:t>
      </w:r>
      <w:r>
        <w:rPr>
          <w:rFonts w:hint="eastAsia" w:ascii="宋体" w:hAnsi="宋体" w:cs="宋体"/>
          <w:color w:val="auto"/>
          <w:szCs w:val="21"/>
          <w:highlight w:val="none"/>
          <w:u w:val="single"/>
        </w:rPr>
        <w:t>文件</w:t>
      </w:r>
      <w:r>
        <w:rPr>
          <w:rFonts w:hint="eastAsia" w:ascii="宋体" w:hAnsi="宋体" w:cs="宋体"/>
          <w:color w:val="auto"/>
          <w:szCs w:val="21"/>
          <w:highlight w:val="none"/>
        </w:rPr>
        <w:t>为准</w:t>
      </w:r>
      <w:r>
        <w:rPr>
          <w:rFonts w:hint="eastAsia" w:ascii="宋体" w:hAnsi="宋体" w:cs="宋体"/>
          <w:color w:val="auto"/>
          <w:szCs w:val="21"/>
          <w:highlight w:val="none"/>
          <w:lang w:eastAsia="zh-CN"/>
        </w:rPr>
        <w:t>。</w:t>
      </w:r>
    </w:p>
    <w:p>
      <w:pPr>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条款号：11.2             修改类型：修改</w:t>
      </w:r>
    </w:p>
    <w:p>
      <w:pPr>
        <w:spacing w:line="440" w:lineRule="exact"/>
        <w:ind w:firstLine="422" w:firstLineChars="200"/>
        <w:rPr>
          <w:rFonts w:ascii="宋体" w:hAnsi="宋体" w:cs="宋体"/>
          <w:bCs/>
          <w:color w:val="auto"/>
          <w:szCs w:val="21"/>
          <w:highlight w:val="none"/>
        </w:rPr>
      </w:pPr>
      <w:r>
        <w:rPr>
          <w:rFonts w:hint="eastAsia" w:ascii="宋体" w:hAnsi="宋体" w:cs="宋体"/>
          <w:b/>
          <w:color w:val="auto"/>
          <w:szCs w:val="21"/>
          <w:highlight w:val="none"/>
        </w:rPr>
        <w:t>原文：</w:t>
      </w:r>
    </w:p>
    <w:p>
      <w:pPr>
        <w:spacing w:line="440" w:lineRule="exact"/>
        <w:ind w:firstLine="420" w:firstLineChars="200"/>
        <w:rPr>
          <w:rFonts w:ascii="宋体" w:hAnsi="宋体" w:cs="宋体"/>
          <w:bCs/>
          <w:color w:val="auto"/>
          <w:szCs w:val="21"/>
          <w:highlight w:val="none"/>
        </w:rPr>
      </w:pPr>
      <w:r>
        <w:rPr>
          <w:rFonts w:ascii="宋体" w:hAnsi="宋体" w:cs="宋体"/>
          <w:bCs/>
          <w:color w:val="auto"/>
          <w:szCs w:val="21"/>
          <w:highlight w:val="none"/>
        </w:rPr>
        <w:t>11.2</w:t>
      </w:r>
      <w:r>
        <w:rPr>
          <w:rFonts w:hint="eastAsia" w:ascii="宋体" w:hAnsi="宋体" w:cs="宋体"/>
          <w:bCs/>
          <w:color w:val="auto"/>
          <w:szCs w:val="21"/>
          <w:highlight w:val="none"/>
        </w:rPr>
        <w:t>投标文件技术标部分主要包括下列内容</w:t>
      </w:r>
      <w:r>
        <w:rPr>
          <w:rFonts w:ascii="宋体" w:hAnsi="宋体" w:cs="宋体"/>
          <w:bCs/>
          <w:color w:val="auto"/>
          <w:szCs w:val="21"/>
          <w:highlight w:val="none"/>
        </w:rPr>
        <w:t>:</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11.2.1 技术投标文件</w:t>
      </w:r>
      <w:r>
        <w:rPr>
          <w:rFonts w:ascii="宋体" w:hAnsi="宋体" w:cs="宋体"/>
          <w:bCs/>
          <w:color w:val="auto"/>
          <w:szCs w:val="21"/>
          <w:highlight w:val="none"/>
        </w:rPr>
        <w:t>(</w:t>
      </w:r>
      <w:r>
        <w:rPr>
          <w:rFonts w:hint="eastAsia" w:ascii="宋体" w:hAnsi="宋体" w:cs="宋体"/>
          <w:bCs/>
          <w:color w:val="auto"/>
          <w:szCs w:val="21"/>
          <w:highlight w:val="none"/>
        </w:rPr>
        <w:t>按招标文件的要求填写</w:t>
      </w:r>
      <w:r>
        <w:rPr>
          <w:rFonts w:ascii="宋体" w:hAnsi="宋体" w:cs="宋体"/>
          <w:bCs/>
          <w:color w:val="auto"/>
          <w:szCs w:val="21"/>
          <w:highlight w:val="none"/>
        </w:rPr>
        <w:t>)</w:t>
      </w:r>
      <w:r>
        <w:rPr>
          <w:rFonts w:hint="eastAsia" w:ascii="宋体" w:hAnsi="宋体" w:cs="宋体"/>
          <w:bCs/>
          <w:color w:val="auto"/>
          <w:szCs w:val="21"/>
          <w:highlight w:val="none"/>
        </w:rPr>
        <w:t>；</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11.2.2 资格审查文件：</w:t>
      </w:r>
    </w:p>
    <w:p>
      <w:pPr>
        <w:snapToGrid w:val="0"/>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 xml:space="preserve">（1）投标人声明； </w:t>
      </w:r>
    </w:p>
    <w:p>
      <w:pPr>
        <w:snapToGrid w:val="0"/>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（2）法定代表人证明书、法定代表人签字或盖章的本投标文件授权委托证明书；</w:t>
      </w:r>
    </w:p>
    <w:p>
      <w:pPr>
        <w:snapToGrid w:val="0"/>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（3）企业营业执照扫描件或电子证照；</w:t>
      </w:r>
    </w:p>
    <w:p>
      <w:pPr>
        <w:snapToGrid w:val="0"/>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（4）企业资质证书扫描件或电子证照；</w:t>
      </w:r>
    </w:p>
    <w:p>
      <w:pPr>
        <w:snapToGrid w:val="0"/>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（5）建筑施工企业安全生产许可证扫描件或电子证照；</w:t>
      </w:r>
    </w:p>
    <w:p>
      <w:pPr>
        <w:snapToGrid w:val="0"/>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（6）项目负责人（按网上投标登记时选择拟投入本项目的项目负责人）</w:t>
      </w:r>
    </w:p>
    <w:p>
      <w:pPr>
        <w:snapToGrid w:val="0"/>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（7）专职安全员（按网上投标登记时选择拟投入本项目的专职安全员）</w:t>
      </w:r>
    </w:p>
    <w:p>
      <w:pPr>
        <w:snapToGrid w:val="0"/>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（8）拟委托技术负责人的相关证书、资料（具体要求由招标人明确）</w:t>
      </w:r>
    </w:p>
    <w:p>
      <w:pPr>
        <w:snapToGrid w:val="0"/>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 xml:space="preserve">（9）拟委派项目负责人的有效期内的建造师注册证书扫描件或电子证书；  </w:t>
      </w:r>
    </w:p>
    <w:p>
      <w:pPr>
        <w:snapToGrid w:val="0"/>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（10）项目负责人在有效期内的安全生产考核合格证书（B类）或建筑施工企业项目负责人安全生产考核合格证书扫描件或电子证书；</w:t>
      </w:r>
    </w:p>
    <w:p>
      <w:pPr>
        <w:snapToGrid w:val="0"/>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（11）专职安全员须具有在有效期内的安全生产考核合格证书（C类）或建筑施工企业专职安全生产管理人员安全生产考核合格证书扫描件或电子证书；</w:t>
      </w:r>
    </w:p>
    <w:p>
      <w:pPr>
        <w:snapToGrid w:val="0"/>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（12）用于资格审查的业绩（设置业绩要求时选择此项，投标人须提供类似工程业绩的项目名称及项目编号，具体格式由招标人自定）；</w:t>
      </w:r>
    </w:p>
    <w:p>
      <w:pPr>
        <w:snapToGrid w:val="0"/>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 xml:space="preserve">（13）列明主办单位的联合体工作协议（采用联合体投标时需递交，投标人拟任本工程项目负责人应为联合体主办方信用档案中的在册人员，联合体工作协议应明确约定各方拟承担的工作和责任）； </w:t>
      </w:r>
    </w:p>
    <w:p>
      <w:pPr>
        <w:snapToGrid w:val="0"/>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eastAsia="zh-CN"/>
        </w:rPr>
        <w:t>（14）列明主办单位的联合体工作协议（采用联合体投标时需递交，投标人拟任本工程项目负责人应为联合体主办方信用档案中的在册人员，联合体工作协议应明确约定各方拟承担的工作和责任）。</w:t>
      </w:r>
    </w:p>
    <w:p>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注：1.相关电子证书按规定需打印后手写本人签名的，应按照规定手写本人签名后再扫描提交。</w:t>
      </w:r>
    </w:p>
    <w:p>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pPr>
        <w:tabs>
          <w:tab w:val="left" w:pos="1125"/>
        </w:tabs>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11.2.3项目管理机构配备。</w:t>
      </w:r>
    </w:p>
    <w:p>
      <w:pPr>
        <w:tabs>
          <w:tab w:val="left" w:pos="1125"/>
        </w:tabs>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（1）投标人应列出该项目工程的施工组织机构构成和画出机构框架图及其负责人；</w:t>
      </w:r>
    </w:p>
    <w:p>
      <w:pPr>
        <w:tabs>
          <w:tab w:val="left" w:pos="1125"/>
        </w:tabs>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（2）投标人应详细列出该施工组织机构中主要成员的名单、简历资料、职务职称和在本项目中拟担任的职务等资料，并附上有关证明材料扫描件；</w:t>
      </w:r>
    </w:p>
    <w:p>
      <w:pPr>
        <w:tabs>
          <w:tab w:val="left" w:pos="1125"/>
        </w:tabs>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（3）其他辅助说明资料。</w:t>
      </w:r>
    </w:p>
    <w:p>
      <w:pPr>
        <w:tabs>
          <w:tab w:val="left" w:pos="1125"/>
        </w:tabs>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11.2.4投标人在广州市可使用适合本工程的机械设备（附：机械设备为自有或租赁的说明；及承诺机械设备如属于租赁的，其租赁是不属于重复租赁）。</w:t>
      </w:r>
    </w:p>
    <w:p>
      <w:pPr>
        <w:tabs>
          <w:tab w:val="left" w:pos="1125"/>
        </w:tabs>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11.2.5施工组织设计或施工方案。</w:t>
      </w:r>
    </w:p>
    <w:p>
      <w:pPr>
        <w:tabs>
          <w:tab w:val="left" w:pos="1125"/>
        </w:tabs>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（1）投标人在编制施工组织设计或施工方案时应按照招标人提出的施工现场建筑垃圾源头减量的具体要求以及建筑垃圾综合利用产品的使用要求提供相应措施。</w:t>
      </w:r>
    </w:p>
    <w:p>
      <w:pPr>
        <w:tabs>
          <w:tab w:val="left" w:pos="1125"/>
        </w:tabs>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pPr>
        <w:tabs>
          <w:tab w:val="left" w:pos="1125"/>
        </w:tabs>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11.2.6按照招标文件要求填写的《参与编制技术标投标文件人员名单》。</w:t>
      </w:r>
    </w:p>
    <w:p>
      <w:pPr>
        <w:spacing w:line="440" w:lineRule="exact"/>
        <w:ind w:firstLine="422" w:firstLineChars="200"/>
        <w:rPr>
          <w:rFonts w:ascii="宋体" w:hAnsi="宋体" w:cs="宋体"/>
          <w:bCs/>
          <w:color w:val="auto"/>
          <w:szCs w:val="21"/>
          <w:highlight w:val="none"/>
        </w:rPr>
      </w:pPr>
      <w:r>
        <w:rPr>
          <w:rFonts w:hint="eastAsia" w:ascii="宋体" w:hAnsi="宋体" w:cs="宋体"/>
          <w:b/>
          <w:color w:val="auto"/>
          <w:szCs w:val="21"/>
          <w:highlight w:val="none"/>
        </w:rPr>
        <w:t>现文：</w:t>
      </w:r>
    </w:p>
    <w:p>
      <w:pPr>
        <w:spacing w:line="360" w:lineRule="auto"/>
        <w:ind w:firstLine="525" w:firstLineChars="250"/>
        <w:rPr>
          <w:rFonts w:ascii="宋体" w:hAnsi="Calibri" w:cs="宋体"/>
          <w:color w:val="auto"/>
          <w:szCs w:val="21"/>
          <w:highlight w:val="none"/>
        </w:rPr>
      </w:pPr>
      <w:r>
        <w:rPr>
          <w:rFonts w:ascii="宋体" w:hAnsi="宋体" w:cs="宋体"/>
          <w:color w:val="auto"/>
          <w:szCs w:val="21"/>
          <w:highlight w:val="none"/>
        </w:rPr>
        <w:t xml:space="preserve">11.2 </w:t>
      </w:r>
      <w:r>
        <w:rPr>
          <w:rFonts w:hint="eastAsia" w:ascii="宋体" w:hAnsi="宋体" w:cs="宋体"/>
          <w:color w:val="auto"/>
          <w:szCs w:val="21"/>
          <w:highlight w:val="none"/>
        </w:rPr>
        <w:t>投标文件技术标部分</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含资格审查文件</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rPr>
        <w:t>主要包括下列内容</w:t>
      </w:r>
      <w:r>
        <w:rPr>
          <w:rFonts w:hint="eastAsia" w:ascii="宋体" w:hAnsi="宋体" w:cs="宋体"/>
          <w:color w:val="auto"/>
          <w:szCs w:val="21"/>
          <w:highlight w:val="none"/>
          <w:u w:val="single"/>
        </w:rPr>
        <w:t>（除</w:t>
      </w:r>
      <w:r>
        <w:rPr>
          <w:rFonts w:hint="eastAsia" w:ascii="宋体" w:hAnsi="宋体" w:cs="宋体"/>
          <w:color w:val="auto"/>
          <w:szCs w:val="21"/>
          <w:highlight w:val="none"/>
          <w:u w:val="single"/>
          <w:lang w:val="en-US" w:eastAsia="zh-CN"/>
        </w:rPr>
        <w:t>有特别</w:t>
      </w:r>
      <w:r>
        <w:rPr>
          <w:rFonts w:hint="eastAsia" w:ascii="宋体" w:hAnsi="宋体" w:cs="宋体"/>
          <w:color w:val="auto"/>
          <w:szCs w:val="21"/>
          <w:highlight w:val="none"/>
          <w:u w:val="single"/>
        </w:rPr>
        <w:t>注明外，均为扫描件即可）</w:t>
      </w:r>
      <w:r>
        <w:rPr>
          <w:rFonts w:ascii="宋体" w:hAnsi="宋体" w:cs="宋体"/>
          <w:color w:val="auto"/>
          <w:szCs w:val="21"/>
          <w:highlight w:val="none"/>
        </w:rPr>
        <w:t>:</w:t>
      </w:r>
    </w:p>
    <w:p>
      <w:pPr>
        <w:spacing w:line="360" w:lineRule="auto"/>
        <w:ind w:firstLine="525" w:firstLineChars="250"/>
        <w:rPr>
          <w:rFonts w:ascii="宋体" w:hAnsi="Calibri" w:cs="宋体"/>
          <w:color w:val="auto"/>
          <w:szCs w:val="21"/>
          <w:highlight w:val="none"/>
        </w:rPr>
      </w:pPr>
      <w:r>
        <w:rPr>
          <w:rFonts w:ascii="宋体" w:hAnsi="宋体" w:cs="宋体"/>
          <w:color w:val="auto"/>
          <w:szCs w:val="21"/>
          <w:highlight w:val="none"/>
        </w:rPr>
        <w:t xml:space="preserve">11.2.1 </w:t>
      </w:r>
      <w:r>
        <w:rPr>
          <w:rFonts w:hint="eastAsia" w:ascii="宋体" w:hAnsi="宋体" w:cs="宋体"/>
          <w:color w:val="auto"/>
          <w:szCs w:val="21"/>
          <w:highlight w:val="none"/>
          <w:u w:val="single"/>
        </w:rPr>
        <w:t>广州建设工程施工招标投标书</w:t>
      </w:r>
      <w:r>
        <w:rPr>
          <w:rFonts w:ascii="宋体" w:hAnsi="宋体" w:cs="宋体"/>
          <w:color w:val="auto"/>
          <w:szCs w:val="21"/>
          <w:highlight w:val="none"/>
        </w:rPr>
        <w:t>(</w:t>
      </w:r>
      <w:r>
        <w:rPr>
          <w:rFonts w:hint="eastAsia" w:ascii="宋体" w:hAnsi="宋体" w:cs="宋体"/>
          <w:color w:val="auto"/>
          <w:szCs w:val="21"/>
          <w:highlight w:val="none"/>
        </w:rPr>
        <w:t>按招标文件</w:t>
      </w:r>
      <w:r>
        <w:rPr>
          <w:rFonts w:hint="eastAsia" w:ascii="宋体" w:hAnsi="宋体" w:cs="宋体"/>
          <w:color w:val="auto"/>
          <w:szCs w:val="21"/>
          <w:highlight w:val="none"/>
          <w:u w:val="single"/>
        </w:rPr>
        <w:t>技术标</w:t>
      </w:r>
      <w:r>
        <w:rPr>
          <w:rFonts w:hint="eastAsia" w:ascii="宋体" w:hAnsi="宋体" w:cs="宋体"/>
          <w:bCs/>
          <w:color w:val="auto"/>
          <w:szCs w:val="21"/>
          <w:highlight w:val="none"/>
          <w:u w:val="single"/>
        </w:rPr>
        <w:t>格式二</w:t>
      </w:r>
      <w:r>
        <w:rPr>
          <w:rFonts w:hint="eastAsia" w:ascii="宋体" w:hAnsi="宋体" w:cs="宋体"/>
          <w:color w:val="auto"/>
          <w:szCs w:val="21"/>
          <w:highlight w:val="none"/>
        </w:rPr>
        <w:t>的要求填写</w:t>
      </w:r>
      <w:r>
        <w:rPr>
          <w:rFonts w:ascii="宋体" w:hAnsi="宋体" w:cs="宋体"/>
          <w:color w:val="auto"/>
          <w:szCs w:val="21"/>
          <w:highlight w:val="none"/>
        </w:rPr>
        <w:t>)</w:t>
      </w:r>
      <w:r>
        <w:rPr>
          <w:rFonts w:hint="eastAsia" w:ascii="宋体" w:hAnsi="宋体" w:cs="宋体"/>
          <w:color w:val="auto"/>
          <w:szCs w:val="21"/>
          <w:highlight w:val="none"/>
        </w:rPr>
        <w:t>；</w:t>
      </w:r>
    </w:p>
    <w:p>
      <w:pPr>
        <w:spacing w:line="360" w:lineRule="auto"/>
        <w:ind w:firstLine="525" w:firstLineChars="250"/>
        <w:rPr>
          <w:rFonts w:ascii="宋体" w:hAnsi="Calibri" w:cs="宋体"/>
          <w:color w:val="auto"/>
          <w:szCs w:val="21"/>
          <w:highlight w:val="none"/>
        </w:rPr>
      </w:pPr>
      <w:r>
        <w:rPr>
          <w:rFonts w:ascii="宋体" w:hAnsi="宋体" w:cs="宋体"/>
          <w:color w:val="auto"/>
          <w:szCs w:val="21"/>
          <w:highlight w:val="none"/>
        </w:rPr>
        <w:t xml:space="preserve">11.2.2 </w:t>
      </w:r>
      <w:r>
        <w:rPr>
          <w:rFonts w:hint="eastAsia" w:ascii="宋体" w:hAnsi="宋体" w:cs="宋体"/>
          <w:color w:val="auto"/>
          <w:szCs w:val="21"/>
          <w:highlight w:val="none"/>
        </w:rPr>
        <w:t>资格审查文件：</w:t>
      </w:r>
    </w:p>
    <w:p>
      <w:pPr>
        <w:spacing w:line="360" w:lineRule="auto"/>
        <w:ind w:firstLine="525" w:firstLineChars="250"/>
        <w:rPr>
          <w:rFonts w:ascii="宋体" w:hAnsi="Calibri"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）投标人声明</w:t>
      </w:r>
      <w:r>
        <w:rPr>
          <w:rFonts w:hint="eastAsia" w:ascii="宋体" w:hAnsi="宋体" w:cs="宋体"/>
          <w:color w:val="auto"/>
          <w:szCs w:val="21"/>
          <w:highlight w:val="none"/>
          <w:u w:val="single"/>
        </w:rPr>
        <w:t>（须按招标公告附件内容及格式要求编制）</w:t>
      </w:r>
      <w:r>
        <w:rPr>
          <w:rFonts w:hint="eastAsia" w:ascii="宋体" w:hAnsi="宋体" w:cs="宋体"/>
          <w:color w:val="auto"/>
          <w:szCs w:val="21"/>
          <w:highlight w:val="none"/>
        </w:rPr>
        <w:t>；</w:t>
      </w:r>
    </w:p>
    <w:p>
      <w:pP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）法定代表人证明书、法定代表人签字或盖章的本投标文件授权委托证明书</w:t>
      </w:r>
      <w:r>
        <w:rPr>
          <w:rFonts w:hint="eastAsia" w:ascii="宋体" w:hAnsi="宋体" w:cs="宋体"/>
          <w:color w:val="auto"/>
          <w:szCs w:val="21"/>
          <w:highlight w:val="none"/>
          <w:u w:val="single"/>
          <w:lang w:val="en-US" w:eastAsia="zh-CN"/>
        </w:rPr>
        <w:t>[授权委托证明书需附代理人的近1个月（2025年11月），由社保行政主管部门出具的社保证明资料原件扫描件；如为退休人员需提供退休证及返聘协议并符合国家法律规定内的返聘年龄；如为其他没有参加社保的，需提供由委托代理人签名的未参加社保的说明(格式自拟)]</w:t>
      </w:r>
      <w:r>
        <w:rPr>
          <w:rFonts w:hint="eastAsia" w:ascii="宋体" w:hAnsi="宋体" w:cs="宋体"/>
          <w:color w:val="auto"/>
          <w:szCs w:val="21"/>
          <w:highlight w:val="none"/>
        </w:rPr>
        <w:t>；</w:t>
      </w:r>
    </w:p>
    <w:p>
      <w:pPr>
        <w:spacing w:line="360" w:lineRule="auto"/>
        <w:ind w:firstLine="525" w:firstLineChars="250"/>
        <w:rPr>
          <w:rFonts w:ascii="宋体" w:hAnsi="宋体" w:cs="宋体"/>
          <w:bCs/>
          <w:color w:val="auto"/>
          <w:szCs w:val="21"/>
          <w:highlight w:val="none"/>
        </w:rPr>
      </w:pPr>
      <w:r>
        <w:rPr>
          <w:rFonts w:hint="eastAsia" w:ascii="宋体" w:hAnsi="宋体" w:cs="宋体"/>
          <w:bCs/>
          <w:color w:val="auto"/>
          <w:szCs w:val="21"/>
          <w:highlight w:val="none"/>
        </w:rPr>
        <w:t>（3）企业营业执照</w:t>
      </w:r>
      <w:r>
        <w:rPr>
          <w:rFonts w:hint="eastAsia" w:ascii="宋体" w:hAnsi="宋体" w:cs="宋体"/>
          <w:bCs/>
          <w:color w:val="auto"/>
          <w:szCs w:val="21"/>
          <w:highlight w:val="none"/>
          <w:u w:val="none"/>
        </w:rPr>
        <w:t>扫描件或电子证照；</w:t>
      </w:r>
    </w:p>
    <w:p>
      <w:pPr>
        <w:spacing w:line="360" w:lineRule="auto"/>
        <w:ind w:firstLine="525" w:firstLineChars="250"/>
        <w:rPr>
          <w:rFonts w:ascii="宋体" w:hAnsi="Calibri" w:cs="宋体"/>
          <w:color w:val="auto"/>
          <w:szCs w:val="21"/>
          <w:highlight w:val="none"/>
        </w:rPr>
      </w:pPr>
      <w:r>
        <w:rPr>
          <w:rFonts w:hint="eastAsia" w:ascii="宋体" w:hAnsi="宋体" w:cs="宋体"/>
          <w:bCs/>
          <w:color w:val="auto"/>
          <w:szCs w:val="21"/>
          <w:highlight w:val="none"/>
        </w:rPr>
        <w:t>（4）企业资质证书</w:t>
      </w:r>
      <w:r>
        <w:rPr>
          <w:rFonts w:hint="eastAsia" w:ascii="宋体" w:hAnsi="宋体" w:cs="宋体"/>
          <w:bCs/>
          <w:color w:val="auto"/>
          <w:szCs w:val="21"/>
          <w:highlight w:val="none"/>
          <w:u w:val="none"/>
        </w:rPr>
        <w:t>扫描件或电子证照</w:t>
      </w:r>
      <w:r>
        <w:rPr>
          <w:rFonts w:hint="eastAsia" w:ascii="宋体" w:hAnsi="宋体" w:cs="宋体"/>
          <w:bCs/>
          <w:color w:val="auto"/>
          <w:szCs w:val="21"/>
          <w:highlight w:val="none"/>
          <w:u w:val="single"/>
        </w:rPr>
        <w:t>或办理了资质延期的证明资料（如有，须符合招标公告第九条第4款注①的规定）</w:t>
      </w:r>
      <w:r>
        <w:rPr>
          <w:rFonts w:hint="eastAsia" w:ascii="宋体" w:hAnsi="宋体" w:cs="宋体"/>
          <w:color w:val="auto"/>
          <w:szCs w:val="21"/>
          <w:highlight w:val="none"/>
        </w:rPr>
        <w:t>；</w:t>
      </w:r>
    </w:p>
    <w:p>
      <w:pPr>
        <w:spacing w:line="360" w:lineRule="auto"/>
        <w:ind w:firstLine="525" w:firstLineChars="250"/>
        <w:rPr>
          <w:rFonts w:ascii="宋体" w:hAnsi="Calibri"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w:t>
      </w:r>
      <w:r>
        <w:rPr>
          <w:rFonts w:hint="eastAsia" w:ascii="宋体" w:hAnsi="宋体" w:cs="宋体"/>
          <w:bCs/>
          <w:color w:val="auto"/>
          <w:szCs w:val="21"/>
          <w:highlight w:val="none"/>
        </w:rPr>
        <w:t>建筑施工企业安全生产许可证</w:t>
      </w:r>
      <w:r>
        <w:rPr>
          <w:rFonts w:hint="eastAsia" w:ascii="宋体" w:hAnsi="宋体" w:cs="宋体"/>
          <w:bCs/>
          <w:color w:val="auto"/>
          <w:szCs w:val="21"/>
          <w:highlight w:val="none"/>
          <w:u w:val="none"/>
        </w:rPr>
        <w:t>扫描件或电子证照</w:t>
      </w:r>
      <w:r>
        <w:rPr>
          <w:rFonts w:hint="eastAsia" w:ascii="宋体" w:hAnsi="宋体" w:cs="宋体"/>
          <w:color w:val="auto"/>
          <w:szCs w:val="21"/>
          <w:highlight w:val="none"/>
        </w:rPr>
        <w:t>；</w:t>
      </w:r>
    </w:p>
    <w:p>
      <w:pPr>
        <w:spacing w:line="360" w:lineRule="auto"/>
        <w:ind w:firstLine="525" w:firstLineChars="250"/>
        <w:rPr>
          <w:rFonts w:hint="eastAsia" w:ascii="宋体" w:hAnsi="Calibri" w:eastAsia="宋体" w:cs="宋体"/>
          <w:color w:val="auto"/>
          <w:szCs w:val="21"/>
          <w:highlight w:val="none"/>
          <w:lang w:eastAsia="zh-CN"/>
        </w:rPr>
      </w:pPr>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）项目负责人（</w:t>
      </w:r>
      <w:r>
        <w:rPr>
          <w:rFonts w:hint="eastAsia" w:ascii="宋体" w:hAnsi="宋体" w:cs="宋体"/>
          <w:bCs/>
          <w:color w:val="auto"/>
          <w:szCs w:val="21"/>
          <w:highlight w:val="none"/>
        </w:rPr>
        <w:t>按网上投标登记时选择拟投入本项目的项目负责人</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p>
    <w:p>
      <w:pPr>
        <w:spacing w:line="360" w:lineRule="auto"/>
        <w:ind w:firstLine="525" w:firstLineChars="250"/>
        <w:rPr>
          <w:rFonts w:hint="eastAsia" w:ascii="宋体" w:hAnsi="Calibri" w:eastAsia="宋体" w:cs="宋体"/>
          <w:color w:val="auto"/>
          <w:szCs w:val="21"/>
          <w:highlight w:val="none"/>
          <w:lang w:eastAsia="zh-CN"/>
        </w:rPr>
      </w:pPr>
      <w:r>
        <w:rPr>
          <w:rFonts w:hint="eastAsia" w:ascii="宋体" w:hAnsi="宋体" w:cs="宋体"/>
          <w:color w:val="auto"/>
          <w:szCs w:val="21"/>
          <w:highlight w:val="none"/>
        </w:rPr>
        <w:t>（</w:t>
      </w:r>
      <w:r>
        <w:rPr>
          <w:rFonts w:ascii="宋体" w:hAnsi="宋体" w:cs="宋体"/>
          <w:color w:val="auto"/>
          <w:szCs w:val="21"/>
          <w:highlight w:val="none"/>
        </w:rPr>
        <w:t>7</w:t>
      </w:r>
      <w:r>
        <w:rPr>
          <w:rFonts w:hint="eastAsia" w:ascii="宋体" w:hAnsi="宋体" w:cs="宋体"/>
          <w:color w:val="auto"/>
          <w:szCs w:val="21"/>
          <w:highlight w:val="none"/>
        </w:rPr>
        <w:t>）专职安全员（</w:t>
      </w:r>
      <w:r>
        <w:rPr>
          <w:rFonts w:hint="eastAsia" w:ascii="宋体" w:hAnsi="宋体" w:cs="宋体"/>
          <w:bCs/>
          <w:color w:val="auto"/>
          <w:szCs w:val="21"/>
          <w:highlight w:val="none"/>
        </w:rPr>
        <w:t>按网上投标登记时选择拟投入本项目的专职安全员</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p>
    <w:p>
      <w:pPr>
        <w:spacing w:line="360" w:lineRule="auto"/>
        <w:ind w:firstLine="525" w:firstLineChars="250"/>
        <w:rPr>
          <w:rFonts w:hint="eastAsia" w:ascii="宋体" w:hAnsi="Calibri" w:eastAsia="宋体" w:cs="宋体"/>
          <w:color w:val="auto"/>
          <w:szCs w:val="21"/>
          <w:highlight w:val="none"/>
          <w:lang w:eastAsia="zh-CN"/>
        </w:rPr>
      </w:pPr>
      <w:r>
        <w:rPr>
          <w:rFonts w:hint="eastAsia" w:ascii="宋体" w:hAnsi="宋体" w:cs="宋体"/>
          <w:color w:val="auto"/>
          <w:szCs w:val="21"/>
          <w:highlight w:val="none"/>
        </w:rPr>
        <w:t>（</w:t>
      </w:r>
      <w:r>
        <w:rPr>
          <w:rFonts w:ascii="宋体" w:hAnsi="宋体" w:cs="宋体"/>
          <w:color w:val="auto"/>
          <w:szCs w:val="21"/>
          <w:highlight w:val="none"/>
        </w:rPr>
        <w:t>8</w:t>
      </w:r>
      <w:r>
        <w:rPr>
          <w:rFonts w:hint="eastAsia" w:ascii="宋体" w:hAnsi="宋体" w:cs="宋体"/>
          <w:color w:val="auto"/>
          <w:szCs w:val="21"/>
          <w:highlight w:val="none"/>
        </w:rPr>
        <w:t>）拟委</w:t>
      </w:r>
      <w:r>
        <w:rPr>
          <w:rFonts w:hint="eastAsia" w:ascii="宋体" w:hAnsi="宋体" w:cs="宋体"/>
          <w:color w:val="auto"/>
          <w:szCs w:val="21"/>
          <w:highlight w:val="none"/>
          <w:lang w:val="en-US" w:eastAsia="zh-CN"/>
        </w:rPr>
        <w:t>派</w:t>
      </w:r>
      <w:r>
        <w:rPr>
          <w:rFonts w:hint="eastAsia" w:ascii="宋体" w:hAnsi="宋体" w:cs="宋体"/>
          <w:color w:val="auto"/>
          <w:szCs w:val="21"/>
          <w:highlight w:val="none"/>
        </w:rPr>
        <w:t>技术负责人的相关证书、资料</w:t>
      </w:r>
      <w:r>
        <w:rPr>
          <w:rFonts w:hint="eastAsia" w:ascii="宋体" w:hAnsi="宋体" w:cs="宋体"/>
          <w:bCs/>
          <w:color w:val="auto"/>
          <w:szCs w:val="21"/>
          <w:highlight w:val="none"/>
          <w:u w:val="single"/>
        </w:rPr>
        <w:t>扫描件或电子证书</w:t>
      </w:r>
      <w:r>
        <w:rPr>
          <w:rFonts w:hint="eastAsia" w:ascii="宋体" w:hAnsi="宋体" w:cs="宋体"/>
          <w:bCs/>
          <w:color w:val="auto"/>
          <w:szCs w:val="21"/>
          <w:highlight w:val="none"/>
          <w:u w:val="single"/>
          <w:lang w:eastAsia="zh-CN"/>
        </w:rPr>
        <w:t>；</w:t>
      </w:r>
    </w:p>
    <w:p>
      <w:pPr>
        <w:spacing w:line="360" w:lineRule="auto"/>
        <w:ind w:firstLine="525" w:firstLineChars="250"/>
        <w:rPr>
          <w:rFonts w:ascii="宋体" w:hAnsi="Calibri"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9</w:t>
      </w:r>
      <w:r>
        <w:rPr>
          <w:rFonts w:hint="eastAsia" w:ascii="宋体" w:hAnsi="宋体" w:cs="宋体"/>
          <w:color w:val="auto"/>
          <w:szCs w:val="21"/>
          <w:highlight w:val="none"/>
        </w:rPr>
        <w:t>）</w:t>
      </w:r>
      <w:r>
        <w:rPr>
          <w:rFonts w:hint="eastAsia" w:ascii="宋体" w:hAnsi="宋体" w:cs="宋体"/>
          <w:bCs/>
          <w:color w:val="auto"/>
          <w:szCs w:val="21"/>
          <w:highlight w:val="none"/>
        </w:rPr>
        <w:t>拟委派项目负责人的</w:t>
      </w:r>
      <w:r>
        <w:rPr>
          <w:rFonts w:hint="eastAsia" w:ascii="宋体" w:hAnsi="宋体" w:cs="宋体"/>
          <w:bCs/>
          <w:color w:val="auto"/>
          <w:szCs w:val="21"/>
          <w:highlight w:val="none"/>
          <w:lang w:val="en-US" w:eastAsia="zh-CN"/>
        </w:rPr>
        <w:t>有效期内的</w:t>
      </w:r>
      <w:r>
        <w:rPr>
          <w:rFonts w:hint="eastAsia" w:ascii="宋体" w:hAnsi="宋体" w:cs="宋体"/>
          <w:bCs/>
          <w:color w:val="auto"/>
          <w:szCs w:val="21"/>
          <w:highlight w:val="none"/>
        </w:rPr>
        <w:t>建造师注册证书</w:t>
      </w:r>
      <w:r>
        <w:rPr>
          <w:rFonts w:hint="eastAsia" w:ascii="宋体" w:hAnsi="宋体" w:cs="宋体"/>
          <w:bCs/>
          <w:color w:val="auto"/>
          <w:szCs w:val="21"/>
          <w:highlight w:val="none"/>
          <w:u w:val="single"/>
        </w:rPr>
        <w:t>扫描件或电子证书</w:t>
      </w:r>
      <w:r>
        <w:rPr>
          <w:rFonts w:hint="eastAsia" w:ascii="宋体" w:hAnsi="宋体" w:cs="宋体"/>
          <w:color w:val="auto"/>
          <w:szCs w:val="21"/>
          <w:highlight w:val="none"/>
        </w:rPr>
        <w:t>；</w:t>
      </w:r>
      <w:r>
        <w:rPr>
          <w:rFonts w:ascii="宋体" w:hAnsi="宋体" w:cs="宋体"/>
          <w:color w:val="auto"/>
          <w:szCs w:val="21"/>
          <w:highlight w:val="none"/>
        </w:rPr>
        <w:t xml:space="preserve"> </w:t>
      </w:r>
    </w:p>
    <w:p>
      <w:pPr>
        <w:spacing w:line="360" w:lineRule="auto"/>
        <w:ind w:firstLine="525" w:firstLineChars="250"/>
        <w:rPr>
          <w:rFonts w:ascii="宋体" w:hAnsi="Calibri"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10</w:t>
      </w:r>
      <w:r>
        <w:rPr>
          <w:rFonts w:hint="eastAsia" w:ascii="宋体" w:hAnsi="宋体" w:cs="宋体"/>
          <w:bCs/>
          <w:color w:val="auto"/>
          <w:szCs w:val="21"/>
          <w:highlight w:val="none"/>
        </w:rPr>
        <w:t>）</w:t>
      </w:r>
      <w:r>
        <w:rPr>
          <w:rFonts w:hint="eastAsia" w:ascii="宋体" w:hAnsi="宋体" w:cs="宋体"/>
          <w:bCs/>
          <w:color w:val="auto"/>
          <w:szCs w:val="21"/>
          <w:highlight w:val="none"/>
          <w:u w:val="single"/>
        </w:rPr>
        <w:t>项目负责人在有效期内的安全考核合格证书（B类）或建筑施工企业项目负责人安全生产考核合格证书扫描件或电子证书</w:t>
      </w:r>
      <w:r>
        <w:rPr>
          <w:rFonts w:hint="eastAsia" w:ascii="宋体" w:hAnsi="宋体" w:cs="宋体"/>
          <w:bCs/>
          <w:color w:val="auto"/>
          <w:szCs w:val="21"/>
          <w:highlight w:val="none"/>
        </w:rPr>
        <w:t>；</w:t>
      </w:r>
    </w:p>
    <w:p>
      <w:pPr>
        <w:spacing w:line="360" w:lineRule="auto"/>
        <w:ind w:firstLine="420" w:firstLineChars="200"/>
        <w:rPr>
          <w:rFonts w:ascii="宋体" w:hAnsi="宋体" w:cs="宋体"/>
          <w:b/>
          <w:bCs/>
          <w:color w:val="auto"/>
          <w:sz w:val="24"/>
          <w:szCs w:val="24"/>
          <w:highlight w:val="none"/>
        </w:rPr>
      </w:pPr>
      <w:r>
        <w:rPr>
          <w:rFonts w:hint="eastAsia" w:ascii="宋体" w:hAnsi="宋体" w:cs="宋体"/>
          <w:bCs/>
          <w:color w:val="auto"/>
          <w:szCs w:val="21"/>
          <w:highlight w:val="none"/>
        </w:rPr>
        <w:t>（</w:t>
      </w:r>
      <w:r>
        <w:rPr>
          <w:rFonts w:ascii="宋体" w:hAnsi="宋体" w:cs="宋体"/>
          <w:bCs/>
          <w:color w:val="auto"/>
          <w:szCs w:val="21"/>
          <w:highlight w:val="none"/>
        </w:rPr>
        <w:t>11</w:t>
      </w:r>
      <w:r>
        <w:rPr>
          <w:rFonts w:hint="eastAsia" w:ascii="宋体" w:hAnsi="宋体" w:cs="宋体"/>
          <w:bCs/>
          <w:color w:val="auto"/>
          <w:szCs w:val="21"/>
          <w:highlight w:val="none"/>
        </w:rPr>
        <w:t>）</w:t>
      </w:r>
      <w:r>
        <w:rPr>
          <w:rFonts w:hint="eastAsia" w:ascii="宋体" w:hAnsi="宋体" w:cs="宋体"/>
          <w:color w:val="auto"/>
          <w:szCs w:val="21"/>
          <w:highlight w:val="none"/>
        </w:rPr>
        <w:t>专职安全员须具有在有效期内的安全考核合格证书（C类）或建筑施工企业专职安全生产管理人员安全生产考核合格证书</w:t>
      </w:r>
      <w:r>
        <w:rPr>
          <w:rFonts w:hint="eastAsia" w:ascii="宋体" w:hAnsi="宋体" w:cs="宋体"/>
          <w:color w:val="auto"/>
          <w:szCs w:val="21"/>
          <w:highlight w:val="none"/>
          <w:u w:val="single"/>
        </w:rPr>
        <w:t>（C3）</w:t>
      </w:r>
      <w:r>
        <w:rPr>
          <w:rFonts w:hint="eastAsia" w:ascii="宋体" w:hAnsi="宋体" w:cs="宋体"/>
          <w:bCs/>
          <w:color w:val="auto"/>
          <w:szCs w:val="21"/>
          <w:highlight w:val="none"/>
          <w:u w:val="single"/>
        </w:rPr>
        <w:t>扫描件或电子证书</w:t>
      </w:r>
      <w:r>
        <w:rPr>
          <w:rFonts w:hint="eastAsia" w:ascii="宋体" w:hAnsi="宋体" w:cs="宋体"/>
          <w:color w:val="auto"/>
          <w:szCs w:val="21"/>
          <w:highlight w:val="none"/>
        </w:rPr>
        <w:t>；</w:t>
      </w:r>
    </w:p>
    <w:p>
      <w:pPr>
        <w:spacing w:line="360" w:lineRule="auto"/>
        <w:ind w:firstLine="525" w:firstLineChars="250"/>
        <w:rPr>
          <w:rFonts w:hint="eastAsia" w:ascii="宋体" w:hAnsi="Calibri" w:eastAsia="宋体" w:cs="宋体"/>
          <w:color w:val="auto"/>
          <w:szCs w:val="21"/>
          <w:highlight w:val="none"/>
          <w:lang w:eastAsia="zh-CN"/>
        </w:rPr>
      </w:pPr>
      <w:r>
        <w:rPr>
          <w:rFonts w:hint="eastAsia" w:ascii="宋体" w:hAnsi="宋体" w:cs="宋体"/>
          <w:color w:val="auto"/>
          <w:szCs w:val="21"/>
          <w:highlight w:val="none"/>
        </w:rPr>
        <w:t>（</w:t>
      </w:r>
      <w:r>
        <w:rPr>
          <w:rFonts w:ascii="宋体" w:hAnsi="宋体" w:cs="宋体"/>
          <w:color w:val="auto"/>
          <w:szCs w:val="21"/>
          <w:highlight w:val="none"/>
        </w:rPr>
        <w:t>12</w:t>
      </w:r>
      <w:r>
        <w:rPr>
          <w:rFonts w:hint="eastAsia" w:ascii="宋体" w:hAnsi="宋体" w:cs="宋体"/>
          <w:color w:val="auto"/>
          <w:szCs w:val="21"/>
          <w:highlight w:val="none"/>
        </w:rPr>
        <w:t>）</w:t>
      </w:r>
      <w:r>
        <w:rPr>
          <w:rFonts w:hint="eastAsia" w:ascii="宋体" w:hAnsi="宋体" w:cs="宋体"/>
          <w:color w:val="auto"/>
          <w:szCs w:val="21"/>
          <w:highlight w:val="none"/>
          <w:u w:val="single"/>
        </w:rPr>
        <w:t>资格审查前，投标人须在广州市住房和城乡建设局建立企业信用档案及拟担任本工程项目负责人、专职安全员须是本企业信用档案中的在册人员</w:t>
      </w:r>
      <w:r>
        <w:rPr>
          <w:rFonts w:hint="eastAsia" w:ascii="宋体" w:hAnsi="宋体" w:cs="宋体"/>
          <w:bCs/>
          <w:color w:val="auto"/>
          <w:szCs w:val="21"/>
          <w:highlight w:val="none"/>
          <w:u w:val="single"/>
        </w:rPr>
        <w:t>（提供网页信息完整截图）</w:t>
      </w:r>
      <w:r>
        <w:rPr>
          <w:rFonts w:hint="eastAsia" w:ascii="宋体" w:hAnsi="宋体" w:cs="宋体"/>
          <w:color w:val="auto"/>
          <w:szCs w:val="21"/>
          <w:highlight w:val="none"/>
          <w:u w:val="single"/>
          <w:lang w:eastAsia="zh-CN"/>
        </w:rPr>
        <w:t>；</w:t>
      </w:r>
    </w:p>
    <w:p>
      <w:pPr>
        <w:adjustRightInd w:val="0"/>
        <w:snapToGrid w:val="0"/>
        <w:spacing w:line="360" w:lineRule="auto"/>
        <w:ind w:firstLine="420" w:firstLineChars="200"/>
        <w:rPr>
          <w:rFonts w:hint="eastAsia" w:ascii="宋体" w:hAnsi="宋体" w:eastAsia="宋体" w:cs="宋体"/>
          <w:bCs/>
          <w:color w:val="auto"/>
          <w:szCs w:val="21"/>
          <w:highlight w:val="none"/>
          <w:u w:val="single"/>
          <w:lang w:eastAsia="zh-CN"/>
        </w:rPr>
      </w:pPr>
      <w:r>
        <w:rPr>
          <w:rFonts w:hint="eastAsia" w:ascii="宋体" w:hAnsi="宋体" w:cs="宋体"/>
          <w:bCs/>
          <w:color w:val="auto"/>
          <w:szCs w:val="21"/>
          <w:highlight w:val="none"/>
          <w:u w:val="single"/>
        </w:rPr>
        <w:t>（13）投标人未出现以下情形：与其他投标人的单位负责人为同一人或者存在控股、管理关系的（按投标人提供的《投标人声明》第八条内容进行评审）。如不同投标申请人出现单位负责人为同一人或者存在控股、管理关系的情形，则均按不符合投标人合格条件处理</w:t>
      </w:r>
      <w:r>
        <w:rPr>
          <w:rFonts w:hint="eastAsia" w:ascii="宋体" w:hAnsi="宋体" w:cs="宋体"/>
          <w:bCs/>
          <w:color w:val="auto"/>
          <w:szCs w:val="21"/>
          <w:highlight w:val="none"/>
          <w:u w:val="single"/>
          <w:lang w:eastAsia="zh-CN"/>
        </w:rPr>
        <w:t>；</w:t>
      </w:r>
    </w:p>
    <w:p>
      <w:pPr>
        <w:adjustRightInd w:val="0"/>
        <w:snapToGrid w:val="0"/>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（14）投标人未被列入拖欠农民工工资失信联合惩戒对象名单</w:t>
      </w:r>
      <w:r>
        <w:rPr>
          <w:rFonts w:hint="eastAsia" w:ascii="宋体" w:hAnsi="宋体" w:cs="宋体"/>
          <w:bCs/>
          <w:color w:val="auto"/>
          <w:szCs w:val="21"/>
          <w:highlight w:val="none"/>
          <w:u w:val="single"/>
          <w:lang w:eastAsia="zh-CN"/>
        </w:rPr>
        <w:t>。</w:t>
      </w:r>
      <w:r>
        <w:rPr>
          <w:rFonts w:hint="eastAsia" w:ascii="宋体" w:hAnsi="宋体" w:cs="宋体"/>
          <w:bCs/>
          <w:color w:val="auto"/>
          <w:szCs w:val="21"/>
          <w:highlight w:val="none"/>
          <w:u w:val="single"/>
        </w:rPr>
        <w:t>（投标人无需提供资料，按广州交易集团有限公司（广州公共资源交易中心）交易系统比对的结果进行评审）；</w:t>
      </w:r>
    </w:p>
    <w:p>
      <w:pPr>
        <w:spacing w:line="360" w:lineRule="auto"/>
        <w:ind w:firstLine="525" w:firstLineChars="250"/>
        <w:rPr>
          <w:rFonts w:hint="eastAsia" w:ascii="宋体" w:hAnsi="宋体" w:cs="宋体"/>
          <w:color w:val="auto"/>
          <w:szCs w:val="21"/>
          <w:highlight w:val="none"/>
          <w:u w:val="single"/>
        </w:rPr>
      </w:pPr>
      <w:r>
        <w:rPr>
          <w:rFonts w:hint="eastAsia" w:ascii="宋体" w:hAnsi="宋体" w:cs="宋体"/>
          <w:bCs/>
          <w:color w:val="auto"/>
          <w:szCs w:val="21"/>
          <w:highlight w:val="none"/>
          <w:u w:val="single"/>
        </w:rPr>
        <w:t>（</w:t>
      </w:r>
      <w:r>
        <w:rPr>
          <w:rFonts w:hint="eastAsia" w:ascii="宋体" w:hAnsi="宋体" w:cs="宋体"/>
          <w:bCs/>
          <w:color w:val="auto"/>
          <w:szCs w:val="21"/>
          <w:highlight w:val="none"/>
          <w:u w:val="single"/>
          <w:lang w:val="en-US" w:eastAsia="zh-CN"/>
        </w:rPr>
        <w:t>15</w:t>
      </w:r>
      <w:r>
        <w:rPr>
          <w:rFonts w:hint="eastAsia" w:ascii="宋体" w:hAnsi="宋体" w:cs="宋体"/>
          <w:bCs/>
          <w:color w:val="auto"/>
          <w:szCs w:val="21"/>
          <w:highlight w:val="none"/>
          <w:u w:val="single"/>
        </w:rPr>
        <w:t>）投标人认为应提供的其他资料（如有）</w:t>
      </w:r>
      <w:r>
        <w:rPr>
          <w:rFonts w:hint="eastAsia" w:ascii="宋体" w:hAnsi="宋体" w:cs="宋体"/>
          <w:color w:val="auto"/>
          <w:szCs w:val="21"/>
          <w:highlight w:val="none"/>
          <w:u w:val="single"/>
        </w:rPr>
        <w:t>。</w:t>
      </w:r>
    </w:p>
    <w:p>
      <w:pPr>
        <w:spacing w:line="360" w:lineRule="auto"/>
        <w:ind w:left="420" w:leftChars="200" w:firstLine="105" w:firstLineChars="50"/>
        <w:rPr>
          <w:rFonts w:hint="eastAsia" w:ascii="宋体" w:hAnsi="宋体" w:cs="宋体"/>
          <w:b w:val="0"/>
          <w:bCs w:val="0"/>
          <w:color w:val="auto"/>
          <w:szCs w:val="21"/>
          <w:highlight w:val="none"/>
          <w:u w:val="none"/>
        </w:rPr>
      </w:pPr>
      <w:r>
        <w:rPr>
          <w:rFonts w:hint="eastAsia" w:ascii="宋体" w:hAnsi="宋体" w:cs="宋体"/>
          <w:b w:val="0"/>
          <w:bCs w:val="0"/>
          <w:color w:val="auto"/>
          <w:szCs w:val="21"/>
          <w:highlight w:val="none"/>
          <w:u w:val="none"/>
        </w:rPr>
        <w:t>注：1.相关电子证书按规定需打印后手写本人签名的，应按照规定手写本人签名后再扫描提交。 2.投标人在投标登记时选择了拟投入本项目的项目负责人、专职安全员，即已满足“资格审查</w:t>
      </w:r>
    </w:p>
    <w:p>
      <w:pPr>
        <w:spacing w:line="360" w:lineRule="auto"/>
        <w:rPr>
          <w:rFonts w:ascii="宋体" w:hAnsi="宋体" w:cs="宋体"/>
          <w:b w:val="0"/>
          <w:bCs w:val="0"/>
          <w:color w:val="auto"/>
          <w:szCs w:val="21"/>
          <w:highlight w:val="none"/>
          <w:u w:val="none"/>
        </w:rPr>
      </w:pPr>
      <w:r>
        <w:rPr>
          <w:rFonts w:hint="eastAsia" w:ascii="宋体" w:hAnsi="宋体" w:cs="宋体"/>
          <w:b w:val="0"/>
          <w:bCs w:val="0"/>
          <w:color w:val="auto"/>
          <w:szCs w:val="21"/>
          <w:highlight w:val="none"/>
          <w:u w:val="none"/>
        </w:rPr>
        <w:t>前，投标人须在广州市住房和城乡建设局建立企业信用档案，拟担任本工程项目负责人、专职安全员须是本企业信用档案中的在册人员”的要求，投标人无需提供证明材料。</w:t>
      </w:r>
    </w:p>
    <w:p>
      <w:pPr>
        <w:pBdr>
          <w:bottom w:val="single" w:color="auto" w:sz="6" w:space="1"/>
        </w:pBdr>
        <w:spacing w:line="440" w:lineRule="exact"/>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rPr>
        <w:t>11.2.</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按照招标文件要求填写的《参与编制技术标投标文件人员名单》</w:t>
      </w:r>
      <w:r>
        <w:rPr>
          <w:rFonts w:hint="eastAsia" w:ascii="宋体" w:hAnsi="宋体" w:cs="宋体"/>
          <w:bCs/>
          <w:color w:val="auto"/>
          <w:szCs w:val="21"/>
          <w:highlight w:val="none"/>
          <w:lang w:eastAsia="zh-CN"/>
        </w:rPr>
        <w:t>；</w:t>
      </w:r>
    </w:p>
    <w:p>
      <w:pPr>
        <w:pBdr>
          <w:bottom w:val="single" w:color="auto" w:sz="6" w:space="1"/>
        </w:pBd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11.2.</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项目管理机构配备。</w:t>
      </w:r>
      <w:r>
        <w:rPr>
          <w:rFonts w:hint="eastAsia" w:ascii="宋体" w:hAnsi="宋体" w:cs="宋体"/>
          <w:bCs/>
          <w:color w:val="auto"/>
          <w:szCs w:val="21"/>
          <w:highlight w:val="none"/>
          <w:u w:val="single"/>
        </w:rPr>
        <w:t>（按《技术标详细审查评分表》要求的内容提供）；</w:t>
      </w:r>
    </w:p>
    <w:p>
      <w:pPr>
        <w:pBdr>
          <w:bottom w:val="single" w:color="auto" w:sz="6" w:space="1"/>
        </w:pBd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11.2.</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企业资信证明材料。</w:t>
      </w:r>
      <w:r>
        <w:rPr>
          <w:rFonts w:hint="eastAsia" w:ascii="宋体" w:hAnsi="宋体" w:cs="宋体"/>
          <w:bCs/>
          <w:color w:val="auto"/>
          <w:szCs w:val="21"/>
          <w:highlight w:val="none"/>
          <w:u w:val="single"/>
        </w:rPr>
        <w:t>（按《技术标详细审查评分表》要求的内容提供）</w:t>
      </w:r>
      <w:r>
        <w:rPr>
          <w:rFonts w:hint="eastAsia" w:ascii="宋体" w:hAnsi="宋体" w:cs="宋体"/>
          <w:bCs/>
          <w:color w:val="auto"/>
          <w:szCs w:val="21"/>
          <w:highlight w:val="none"/>
        </w:rPr>
        <w:t>；</w:t>
      </w:r>
    </w:p>
    <w:p>
      <w:pPr>
        <w:pBdr>
          <w:bottom w:val="single" w:color="auto" w:sz="6" w:space="1"/>
        </w:pBdr>
        <w:spacing w:line="440" w:lineRule="exact"/>
        <w:ind w:firstLine="420" w:firstLineChars="200"/>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11.2.6</w:t>
      </w:r>
      <w:r>
        <w:rPr>
          <w:rFonts w:hint="eastAsia" w:ascii="宋体" w:hAnsi="宋体" w:cs="宋体"/>
          <w:bCs/>
          <w:color w:val="auto"/>
          <w:szCs w:val="21"/>
          <w:highlight w:val="none"/>
          <w:u w:val="single"/>
          <w:lang w:val="en-US" w:eastAsia="zh-CN"/>
        </w:rPr>
        <w:t>施工组织设计。</w:t>
      </w:r>
      <w:r>
        <w:rPr>
          <w:rFonts w:hint="eastAsia" w:ascii="宋体" w:hAnsi="宋体" w:cs="宋体"/>
          <w:bCs/>
          <w:color w:val="auto"/>
          <w:szCs w:val="21"/>
          <w:highlight w:val="none"/>
          <w:u w:val="single"/>
        </w:rPr>
        <w:t>投标人在编制施工组织设计或施工方案时应按照招标人提出的施工现场建筑垃圾源头减量的具体要求以及建筑垃圾综合利用产品的使用要求提供相应措施</w:t>
      </w:r>
      <w:r>
        <w:rPr>
          <w:rFonts w:hint="eastAsia" w:ascii="宋体" w:hAnsi="宋体" w:cs="宋体"/>
          <w:bCs/>
          <w:color w:val="auto"/>
          <w:szCs w:val="21"/>
          <w:highlight w:val="none"/>
          <w:u w:val="single"/>
          <w:lang w:val="en-US" w:eastAsia="zh-CN"/>
        </w:rPr>
        <w:t>；</w:t>
      </w:r>
    </w:p>
    <w:p>
      <w:pPr>
        <w:pBdr>
          <w:bottom w:val="single" w:color="auto" w:sz="6" w:space="1"/>
        </w:pBdr>
        <w:spacing w:line="440" w:lineRule="exact"/>
        <w:ind w:firstLine="420" w:firstLineChars="200"/>
        <w:rPr>
          <w:rFonts w:hint="eastAsia" w:ascii="宋体" w:hAnsi="宋体" w:eastAsia="宋体" w:cs="宋体"/>
          <w:bCs/>
          <w:color w:val="auto"/>
          <w:szCs w:val="21"/>
          <w:highlight w:val="none"/>
          <w:u w:val="single"/>
          <w:lang w:val="en-US" w:eastAsia="zh-CN"/>
        </w:rPr>
      </w:pPr>
      <w:r>
        <w:rPr>
          <w:rFonts w:hint="eastAsia" w:ascii="宋体" w:hAnsi="宋体" w:cs="宋体"/>
          <w:bCs/>
          <w:color w:val="auto"/>
          <w:szCs w:val="21"/>
          <w:highlight w:val="none"/>
          <w:u w:val="single"/>
          <w:lang w:val="en-US" w:eastAsia="zh-CN"/>
        </w:rPr>
        <w:t>11.2.7</w:t>
      </w:r>
      <w:r>
        <w:rPr>
          <w:rFonts w:hint="eastAsia" w:ascii="宋体" w:hAnsi="宋体" w:cs="宋体"/>
          <w:bCs/>
          <w:color w:val="auto"/>
          <w:szCs w:val="21"/>
          <w:highlight w:val="none"/>
          <w:u w:val="single"/>
        </w:rPr>
        <w:t>按照招标文件要求填写的《危险性较大的分部分项工程安全管理措施》</w:t>
      </w:r>
      <w:r>
        <w:rPr>
          <w:rFonts w:hint="eastAsia" w:ascii="宋体" w:hAnsi="宋体" w:cs="宋体"/>
          <w:bCs/>
          <w:color w:val="auto"/>
          <w:szCs w:val="21"/>
          <w:highlight w:val="none"/>
          <w:u w:val="single"/>
          <w:lang w:eastAsia="zh-CN"/>
        </w:rPr>
        <w:t>；</w:t>
      </w:r>
    </w:p>
    <w:p>
      <w:pPr>
        <w:pBdr>
          <w:bottom w:val="single" w:color="auto" w:sz="6" w:space="1"/>
        </w:pBdr>
        <w:spacing w:line="440" w:lineRule="exact"/>
        <w:ind w:firstLine="420" w:firstLineChars="200"/>
        <w:rPr>
          <w:rFonts w:ascii="宋体" w:hAnsi="宋体"/>
          <w:color w:val="auto"/>
          <w:szCs w:val="21"/>
          <w:highlight w:val="none"/>
        </w:rPr>
      </w:pPr>
      <w:r>
        <w:rPr>
          <w:rFonts w:hint="eastAsia" w:ascii="宋体" w:hAnsi="宋体" w:cs="宋体"/>
          <w:bCs/>
          <w:color w:val="auto"/>
          <w:szCs w:val="21"/>
          <w:highlight w:val="none"/>
          <w:u w:val="single"/>
        </w:rPr>
        <w:t>11.2.</w:t>
      </w:r>
      <w:r>
        <w:rPr>
          <w:rFonts w:hint="eastAsia" w:ascii="宋体" w:hAnsi="宋体" w:cs="宋体"/>
          <w:bCs/>
          <w:color w:val="auto"/>
          <w:szCs w:val="21"/>
          <w:highlight w:val="none"/>
          <w:u w:val="single"/>
          <w:lang w:val="en-US" w:eastAsia="zh-CN"/>
        </w:rPr>
        <w:t>8</w:t>
      </w:r>
      <w:r>
        <w:rPr>
          <w:rFonts w:hint="eastAsia" w:ascii="宋体" w:hAnsi="宋体" w:cs="宋体"/>
          <w:color w:val="auto"/>
          <w:szCs w:val="21"/>
          <w:highlight w:val="none"/>
          <w:u w:val="single"/>
        </w:rPr>
        <w:t>其他投标人认为应该提供的资料。</w:t>
      </w:r>
    </w:p>
    <w:p>
      <w:pPr>
        <w:spacing w:line="360" w:lineRule="auto"/>
        <w:ind w:firstLine="422" w:firstLineChars="200"/>
        <w:rPr>
          <w:b/>
          <w:color w:val="auto"/>
          <w:szCs w:val="21"/>
          <w:highlight w:val="none"/>
        </w:rPr>
      </w:pPr>
      <w:r>
        <w:rPr>
          <w:rFonts w:hint="eastAsia"/>
          <w:b/>
          <w:color w:val="auto"/>
          <w:szCs w:val="21"/>
          <w:highlight w:val="none"/>
        </w:rPr>
        <w:t>条款号：11.3修改类型：修改</w:t>
      </w:r>
    </w:p>
    <w:p>
      <w:pPr>
        <w:spacing w:line="360" w:lineRule="auto"/>
        <w:ind w:firstLine="422" w:firstLineChars="200"/>
        <w:rPr>
          <w:color w:val="auto"/>
          <w:szCs w:val="21"/>
          <w:highlight w:val="none"/>
        </w:rPr>
      </w:pPr>
      <w:r>
        <w:rPr>
          <w:rFonts w:hint="eastAsia"/>
          <w:b/>
          <w:color w:val="auto"/>
          <w:szCs w:val="21"/>
          <w:highlight w:val="none"/>
        </w:rPr>
        <w:t>原文：</w:t>
      </w:r>
      <w:r>
        <w:rPr>
          <w:rFonts w:hint="eastAsia"/>
          <w:color w:val="auto"/>
          <w:szCs w:val="21"/>
          <w:highlight w:val="none"/>
        </w:rPr>
        <w:t>11.3 经济部分投标文件主要包括下列内容：</w:t>
      </w:r>
    </w:p>
    <w:p>
      <w:pPr>
        <w:spacing w:line="360" w:lineRule="auto"/>
        <w:ind w:firstLine="420" w:firstLineChars="200"/>
        <w:rPr>
          <w:color w:val="auto"/>
          <w:szCs w:val="21"/>
          <w:highlight w:val="none"/>
        </w:rPr>
      </w:pPr>
      <w:r>
        <w:rPr>
          <w:rFonts w:hint="eastAsia"/>
          <w:color w:val="auto"/>
          <w:szCs w:val="21"/>
          <w:highlight w:val="none"/>
        </w:rPr>
        <w:t>11.3.1 经济投标文件(按招标文件的要求填写)。</w:t>
      </w:r>
    </w:p>
    <w:p>
      <w:pPr>
        <w:spacing w:line="360" w:lineRule="auto"/>
        <w:ind w:firstLine="420" w:firstLineChars="200"/>
        <w:rPr>
          <w:color w:val="auto"/>
          <w:szCs w:val="21"/>
          <w:highlight w:val="none"/>
        </w:rPr>
      </w:pPr>
      <w:r>
        <w:rPr>
          <w:rFonts w:hint="eastAsia"/>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spacing w:line="360" w:lineRule="auto"/>
        <w:ind w:firstLine="420" w:firstLineChars="200"/>
        <w:rPr>
          <w:color w:val="auto"/>
          <w:szCs w:val="21"/>
          <w:highlight w:val="none"/>
        </w:rPr>
      </w:pPr>
      <w:r>
        <w:rPr>
          <w:rFonts w:hint="eastAsia"/>
          <w:color w:val="auto"/>
          <w:szCs w:val="21"/>
          <w:highlight w:val="none"/>
        </w:rPr>
        <w:t>（1）投标总价封面、扉页；</w:t>
      </w:r>
    </w:p>
    <w:p>
      <w:pPr>
        <w:spacing w:line="360" w:lineRule="auto"/>
        <w:ind w:firstLine="420" w:firstLineChars="200"/>
        <w:rPr>
          <w:color w:val="auto"/>
          <w:szCs w:val="21"/>
          <w:highlight w:val="none"/>
        </w:rPr>
      </w:pPr>
      <w:r>
        <w:rPr>
          <w:rFonts w:hint="eastAsia"/>
          <w:color w:val="auto"/>
          <w:szCs w:val="21"/>
          <w:highlight w:val="none"/>
        </w:rPr>
        <w:t>（2）总说明</w:t>
      </w:r>
    </w:p>
    <w:p>
      <w:pPr>
        <w:spacing w:line="360" w:lineRule="auto"/>
        <w:ind w:firstLine="420" w:firstLineChars="200"/>
        <w:rPr>
          <w:color w:val="auto"/>
          <w:szCs w:val="21"/>
          <w:highlight w:val="none"/>
        </w:rPr>
      </w:pPr>
      <w:r>
        <w:rPr>
          <w:rFonts w:hint="eastAsia"/>
          <w:color w:val="auto"/>
          <w:szCs w:val="21"/>
          <w:highlight w:val="none"/>
        </w:rPr>
        <w:t>（3）工程项目投标报价汇总表；</w:t>
      </w:r>
    </w:p>
    <w:p>
      <w:pPr>
        <w:spacing w:line="360" w:lineRule="auto"/>
        <w:ind w:firstLine="420" w:firstLineChars="200"/>
        <w:rPr>
          <w:color w:val="auto"/>
          <w:szCs w:val="21"/>
          <w:highlight w:val="none"/>
        </w:rPr>
      </w:pPr>
      <w:r>
        <w:rPr>
          <w:rFonts w:hint="eastAsia"/>
          <w:color w:val="auto"/>
          <w:szCs w:val="21"/>
          <w:highlight w:val="none"/>
        </w:rPr>
        <w:t>（4）单项工程投标报价汇总表；</w:t>
      </w:r>
    </w:p>
    <w:p>
      <w:pPr>
        <w:spacing w:line="360" w:lineRule="auto"/>
        <w:ind w:firstLine="420" w:firstLineChars="200"/>
        <w:rPr>
          <w:color w:val="auto"/>
          <w:szCs w:val="21"/>
          <w:highlight w:val="none"/>
        </w:rPr>
      </w:pPr>
      <w:r>
        <w:rPr>
          <w:rFonts w:hint="eastAsia"/>
          <w:color w:val="auto"/>
          <w:szCs w:val="21"/>
          <w:highlight w:val="none"/>
        </w:rPr>
        <w:t>（5）单位工程投标报价汇总表；</w:t>
      </w:r>
    </w:p>
    <w:p>
      <w:pPr>
        <w:spacing w:line="360" w:lineRule="auto"/>
        <w:ind w:firstLine="420" w:firstLineChars="200"/>
        <w:rPr>
          <w:color w:val="auto"/>
          <w:szCs w:val="21"/>
          <w:highlight w:val="none"/>
        </w:rPr>
      </w:pPr>
      <w:r>
        <w:rPr>
          <w:rFonts w:hint="eastAsia"/>
          <w:color w:val="auto"/>
          <w:szCs w:val="21"/>
          <w:highlight w:val="none"/>
        </w:rPr>
        <w:t>（6）分部分项工程清单与计价表；</w:t>
      </w:r>
    </w:p>
    <w:p>
      <w:pPr>
        <w:spacing w:line="360" w:lineRule="auto"/>
        <w:ind w:firstLine="420" w:firstLineChars="200"/>
        <w:rPr>
          <w:color w:val="auto"/>
          <w:szCs w:val="21"/>
          <w:highlight w:val="none"/>
        </w:rPr>
      </w:pPr>
      <w:r>
        <w:rPr>
          <w:rFonts w:hint="eastAsia"/>
          <w:color w:val="auto"/>
          <w:szCs w:val="21"/>
          <w:highlight w:val="none"/>
        </w:rPr>
        <w:t>（7）单价措施项目清单与计价表；</w:t>
      </w:r>
    </w:p>
    <w:p>
      <w:pPr>
        <w:spacing w:line="360" w:lineRule="auto"/>
        <w:ind w:firstLine="420" w:firstLineChars="200"/>
        <w:rPr>
          <w:color w:val="auto"/>
          <w:szCs w:val="21"/>
          <w:highlight w:val="none"/>
        </w:rPr>
      </w:pPr>
      <w:r>
        <w:rPr>
          <w:rFonts w:hint="eastAsia"/>
          <w:color w:val="auto"/>
          <w:szCs w:val="21"/>
          <w:highlight w:val="none"/>
        </w:rPr>
        <w:t>（8）总价措施项目清单与计价表；</w:t>
      </w:r>
    </w:p>
    <w:p>
      <w:pPr>
        <w:spacing w:line="360" w:lineRule="auto"/>
        <w:ind w:firstLine="420" w:firstLineChars="200"/>
        <w:rPr>
          <w:color w:val="auto"/>
          <w:szCs w:val="21"/>
          <w:highlight w:val="none"/>
        </w:rPr>
      </w:pPr>
      <w:r>
        <w:rPr>
          <w:rFonts w:hint="eastAsia"/>
          <w:color w:val="auto"/>
          <w:szCs w:val="21"/>
          <w:highlight w:val="none"/>
        </w:rPr>
        <w:t>（9）综合单价分析表；</w:t>
      </w:r>
    </w:p>
    <w:p>
      <w:pPr>
        <w:spacing w:line="360" w:lineRule="auto"/>
        <w:ind w:firstLine="420" w:firstLineChars="200"/>
        <w:rPr>
          <w:color w:val="auto"/>
          <w:szCs w:val="21"/>
          <w:highlight w:val="none"/>
        </w:rPr>
      </w:pPr>
      <w:r>
        <w:rPr>
          <w:rFonts w:hint="eastAsia"/>
          <w:color w:val="auto"/>
          <w:szCs w:val="21"/>
          <w:highlight w:val="none"/>
        </w:rPr>
        <w:t>（10）其他项目清单与计价汇总表；</w:t>
      </w:r>
    </w:p>
    <w:p>
      <w:pPr>
        <w:spacing w:line="360" w:lineRule="auto"/>
        <w:ind w:firstLine="420" w:firstLineChars="200"/>
        <w:rPr>
          <w:color w:val="auto"/>
          <w:szCs w:val="21"/>
          <w:highlight w:val="none"/>
        </w:rPr>
      </w:pPr>
      <w:r>
        <w:rPr>
          <w:rFonts w:hint="eastAsia"/>
          <w:color w:val="auto"/>
          <w:szCs w:val="21"/>
          <w:highlight w:val="none"/>
        </w:rPr>
        <w:t>（11）暂列金额明细表；</w:t>
      </w:r>
    </w:p>
    <w:p>
      <w:pPr>
        <w:spacing w:line="360" w:lineRule="auto"/>
        <w:ind w:firstLine="420" w:firstLineChars="200"/>
        <w:rPr>
          <w:color w:val="auto"/>
          <w:szCs w:val="21"/>
          <w:highlight w:val="none"/>
        </w:rPr>
      </w:pPr>
      <w:r>
        <w:rPr>
          <w:rFonts w:hint="eastAsia"/>
          <w:color w:val="auto"/>
          <w:szCs w:val="21"/>
          <w:highlight w:val="none"/>
        </w:rPr>
        <w:t>（12）材料（工程设备）暂估价明细表；</w:t>
      </w:r>
    </w:p>
    <w:p>
      <w:pPr>
        <w:spacing w:line="360" w:lineRule="auto"/>
        <w:ind w:firstLine="420" w:firstLineChars="200"/>
        <w:rPr>
          <w:color w:val="auto"/>
          <w:szCs w:val="21"/>
          <w:highlight w:val="none"/>
        </w:rPr>
      </w:pPr>
      <w:r>
        <w:rPr>
          <w:rFonts w:hint="eastAsia"/>
          <w:color w:val="auto"/>
          <w:szCs w:val="21"/>
          <w:highlight w:val="none"/>
        </w:rPr>
        <w:t>（13）专业工程暂估价明细表；</w:t>
      </w:r>
    </w:p>
    <w:p>
      <w:pPr>
        <w:spacing w:line="360" w:lineRule="auto"/>
        <w:ind w:firstLine="420" w:firstLineChars="200"/>
        <w:rPr>
          <w:color w:val="auto"/>
          <w:szCs w:val="21"/>
          <w:highlight w:val="none"/>
        </w:rPr>
      </w:pPr>
      <w:r>
        <w:rPr>
          <w:rFonts w:hint="eastAsia"/>
          <w:color w:val="auto"/>
          <w:szCs w:val="21"/>
          <w:highlight w:val="none"/>
        </w:rPr>
        <w:t>（14）计日工表；</w:t>
      </w:r>
    </w:p>
    <w:p>
      <w:pPr>
        <w:spacing w:line="360" w:lineRule="auto"/>
        <w:ind w:firstLine="420" w:firstLineChars="200"/>
        <w:rPr>
          <w:color w:val="auto"/>
          <w:szCs w:val="21"/>
          <w:highlight w:val="none"/>
        </w:rPr>
      </w:pPr>
      <w:r>
        <w:rPr>
          <w:rFonts w:hint="eastAsia"/>
          <w:color w:val="auto"/>
          <w:szCs w:val="21"/>
          <w:highlight w:val="none"/>
        </w:rPr>
        <w:t>（15）总承包服务计价表；</w:t>
      </w:r>
    </w:p>
    <w:p>
      <w:pPr>
        <w:spacing w:line="360" w:lineRule="auto"/>
        <w:ind w:firstLine="420" w:firstLineChars="200"/>
        <w:rPr>
          <w:color w:val="auto"/>
          <w:szCs w:val="21"/>
          <w:highlight w:val="none"/>
        </w:rPr>
      </w:pPr>
      <w:r>
        <w:rPr>
          <w:rFonts w:hint="eastAsia"/>
          <w:color w:val="auto"/>
          <w:szCs w:val="21"/>
          <w:highlight w:val="none"/>
        </w:rPr>
        <w:t>（16）规费和税金项目计价表；</w:t>
      </w:r>
    </w:p>
    <w:p>
      <w:pPr>
        <w:spacing w:line="360" w:lineRule="auto"/>
        <w:ind w:firstLine="420" w:firstLineChars="200"/>
        <w:rPr>
          <w:color w:val="auto"/>
          <w:szCs w:val="21"/>
          <w:highlight w:val="none"/>
        </w:rPr>
      </w:pPr>
      <w:r>
        <w:rPr>
          <w:rFonts w:hint="eastAsia"/>
          <w:color w:val="auto"/>
          <w:szCs w:val="21"/>
          <w:highlight w:val="none"/>
        </w:rPr>
        <w:t>（17）人工、主要材料和设备一览表</w:t>
      </w:r>
    </w:p>
    <w:p>
      <w:pPr>
        <w:spacing w:line="360" w:lineRule="auto"/>
        <w:ind w:firstLine="420" w:firstLineChars="200"/>
        <w:rPr>
          <w:color w:val="auto"/>
          <w:szCs w:val="21"/>
          <w:highlight w:val="none"/>
        </w:rPr>
      </w:pPr>
      <w:r>
        <w:rPr>
          <w:rFonts w:hint="eastAsia"/>
          <w:color w:val="auto"/>
          <w:szCs w:val="21"/>
          <w:highlight w:val="none"/>
        </w:rPr>
        <w:t>11.3.3按照招标文件要求填写的《参与编制经济标投标文件人员名单》。</w:t>
      </w:r>
    </w:p>
    <w:p>
      <w:pPr>
        <w:spacing w:line="360" w:lineRule="auto"/>
        <w:ind w:firstLine="420" w:firstLineChars="200"/>
        <w:rPr>
          <w:color w:val="auto"/>
          <w:szCs w:val="21"/>
          <w:highlight w:val="none"/>
        </w:rPr>
      </w:pPr>
      <w:r>
        <w:rPr>
          <w:rFonts w:hint="eastAsia"/>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pPr>
        <w:spacing w:line="360" w:lineRule="auto"/>
        <w:ind w:firstLine="422" w:firstLineChars="200"/>
        <w:rPr>
          <w:rFonts w:ascii="宋体" w:hAnsi="宋体" w:cs="宋体"/>
          <w:color w:val="auto"/>
          <w:szCs w:val="21"/>
          <w:highlight w:val="none"/>
        </w:rPr>
      </w:pPr>
      <w:r>
        <w:rPr>
          <w:rFonts w:hint="eastAsia"/>
          <w:b/>
          <w:color w:val="auto"/>
          <w:szCs w:val="21"/>
          <w:highlight w:val="none"/>
        </w:rPr>
        <w:t>现文：</w:t>
      </w:r>
      <w:r>
        <w:rPr>
          <w:rFonts w:hint="eastAsia" w:ascii="宋体" w:hAnsi="宋体" w:cs="宋体"/>
          <w:color w:val="auto"/>
          <w:szCs w:val="21"/>
          <w:highlight w:val="none"/>
          <w:u w:val="single"/>
        </w:rPr>
        <w:t>11.3 经济标投标文件主要包括下列内容：</w:t>
      </w:r>
    </w:p>
    <w:p>
      <w:pPr>
        <w:pBdr>
          <w:bottom w:val="single" w:color="auto" w:sz="4" w:space="1"/>
        </w:pBdr>
        <w:spacing w:line="360" w:lineRule="auto"/>
        <w:ind w:firstLine="420" w:firstLineChars="200"/>
        <w:rPr>
          <w:color w:val="auto"/>
          <w:szCs w:val="21"/>
          <w:highlight w:val="none"/>
          <w:u w:val="single"/>
        </w:rPr>
      </w:pPr>
      <w:r>
        <w:rPr>
          <w:rFonts w:hint="eastAsia" w:ascii="宋体" w:hAnsi="宋体" w:cs="宋体"/>
          <w:color w:val="auto"/>
          <w:szCs w:val="21"/>
          <w:highlight w:val="none"/>
          <w:u w:val="single"/>
        </w:rPr>
        <w:t>11.3.1</w:t>
      </w:r>
      <w:bookmarkStart w:id="6" w:name="_Hlk60754295"/>
      <w:r>
        <w:rPr>
          <w:rFonts w:hint="eastAsia"/>
          <w:color w:val="auto"/>
          <w:szCs w:val="21"/>
          <w:highlight w:val="none"/>
          <w:u w:val="single"/>
        </w:rPr>
        <w:t>经济标投标文件封面</w:t>
      </w:r>
      <w:bookmarkEnd w:id="6"/>
      <w:r>
        <w:rPr>
          <w:rFonts w:hint="eastAsia"/>
          <w:color w:val="auto"/>
          <w:szCs w:val="21"/>
          <w:highlight w:val="none"/>
          <w:u w:val="single"/>
        </w:rPr>
        <w:t>。</w:t>
      </w:r>
    </w:p>
    <w:p>
      <w:pPr>
        <w:pBdr>
          <w:bottom w:val="single" w:color="auto" w:sz="4" w:space="1"/>
        </w:pBdr>
        <w:spacing w:line="360" w:lineRule="auto"/>
        <w:ind w:firstLine="420" w:firstLineChars="200"/>
        <w:rPr>
          <w:color w:val="auto"/>
          <w:szCs w:val="21"/>
          <w:highlight w:val="none"/>
          <w:u w:val="single"/>
        </w:rPr>
      </w:pPr>
      <w:r>
        <w:rPr>
          <w:rFonts w:hint="eastAsia" w:ascii="宋体" w:hAnsi="宋体" w:cs="宋体"/>
          <w:color w:val="auto"/>
          <w:szCs w:val="21"/>
          <w:highlight w:val="none"/>
        </w:rPr>
        <w:t>11.3.2投标总价。投标人必须按招标工程量清单填报价格，工程量清单的组成、格式、项目编</w:t>
      </w:r>
      <w:r>
        <w:rPr>
          <w:rFonts w:hint="eastAsia"/>
          <w:color w:val="auto"/>
          <w:szCs w:val="21"/>
          <w:highlight w:val="none"/>
        </w:rPr>
        <w:t>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宋体"/>
          <w:color w:val="auto"/>
          <w:szCs w:val="21"/>
          <w:highlight w:val="none"/>
          <w:u w:val="single"/>
        </w:rPr>
        <w:t>（投标报价的工程量清单的组成、格式等由广州投标文件管理软件自动生成）</w:t>
      </w:r>
    </w:p>
    <w:p>
      <w:pPr>
        <w:pBdr>
          <w:bottom w:val="single" w:color="auto" w:sz="4" w:space="1"/>
        </w:pBdr>
        <w:spacing w:line="360" w:lineRule="auto"/>
        <w:ind w:firstLine="420" w:firstLineChars="200"/>
        <w:rPr>
          <w:color w:val="auto"/>
          <w:szCs w:val="21"/>
          <w:highlight w:val="none"/>
        </w:rPr>
      </w:pPr>
      <w:r>
        <w:rPr>
          <w:rFonts w:hint="eastAsia" w:ascii="宋体" w:hAnsi="宋体" w:cs="宋体"/>
          <w:color w:val="auto"/>
          <w:szCs w:val="21"/>
          <w:highlight w:val="none"/>
        </w:rPr>
        <w:t>11.3.3</w:t>
      </w:r>
      <w:r>
        <w:rPr>
          <w:rFonts w:hint="eastAsia"/>
          <w:color w:val="auto"/>
          <w:szCs w:val="21"/>
          <w:highlight w:val="none"/>
        </w:rPr>
        <w:t>按照招标文件要求填写的《参与编制经济标投标文件人员名单》。</w:t>
      </w:r>
    </w:p>
    <w:p>
      <w:pPr>
        <w:pBdr>
          <w:bottom w:val="single" w:color="auto" w:sz="4"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none"/>
        </w:rPr>
        <w:t>11.3.</w:t>
      </w:r>
      <w:r>
        <w:rPr>
          <w:rFonts w:hint="eastAsia" w:ascii="宋体" w:hAnsi="宋体" w:cs="宋体"/>
          <w:color w:val="auto"/>
          <w:szCs w:val="21"/>
          <w:highlight w:val="none"/>
          <w:u w:val="none"/>
          <w:lang w:val="en-US" w:eastAsia="zh-CN"/>
        </w:rPr>
        <w:t>4</w:t>
      </w:r>
      <w:r>
        <w:rPr>
          <w:rFonts w:hint="eastAsia" w:ascii="宋体" w:hAnsi="宋体" w:eastAsia="宋体" w:cs="宋体"/>
          <w:color w:val="auto"/>
          <w:sz w:val="21"/>
          <w:szCs w:val="21"/>
          <w:highlight w:val="none"/>
        </w:rPr>
        <w:t>若投标人的投标报价低于工程成本警戒价的，投标人还须提供详细的施工组织设计、单价、措施性费用、单价分析表、主要材料价格表、投标人成本分析供评标委员会评审</w:t>
      </w:r>
      <w:r>
        <w:rPr>
          <w:rFonts w:hint="eastAsia"/>
          <w:color w:val="auto"/>
          <w:szCs w:val="21"/>
          <w:highlight w:val="none"/>
          <w:u w:val="none"/>
        </w:rPr>
        <w:t>。</w:t>
      </w:r>
    </w:p>
    <w:p>
      <w:pPr>
        <w:pBdr>
          <w:bottom w:val="single" w:color="auto" w:sz="4" w:space="1"/>
        </w:pBd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u w:val="single"/>
        </w:rPr>
        <w:t>1</w:t>
      </w:r>
      <w:r>
        <w:rPr>
          <w:rFonts w:ascii="宋体" w:hAnsi="宋体" w:cs="宋体"/>
          <w:color w:val="auto"/>
          <w:szCs w:val="21"/>
          <w:highlight w:val="none"/>
          <w:u w:val="single"/>
        </w:rPr>
        <w:t>1.3.</w:t>
      </w:r>
      <w:r>
        <w:rPr>
          <w:rFonts w:hint="eastAsia" w:ascii="宋体" w:hAnsi="宋体" w:cs="宋体"/>
          <w:color w:val="auto"/>
          <w:szCs w:val="21"/>
          <w:highlight w:val="none"/>
          <w:u w:val="single"/>
          <w:lang w:val="en-US" w:eastAsia="zh-CN"/>
        </w:rPr>
        <w:t>5</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对投标文件编制的承诺</w:t>
      </w:r>
      <w:r>
        <w:rPr>
          <w:rFonts w:hint="eastAsia" w:ascii="宋体" w:hAnsi="宋体" w:cs="宋体"/>
          <w:bCs/>
          <w:color w:val="auto"/>
          <w:szCs w:val="21"/>
          <w:highlight w:val="none"/>
          <w:u w:val="single"/>
        </w:rPr>
        <w:t>(格式按招标文件要求)。</w:t>
      </w:r>
    </w:p>
    <w:p>
      <w:pPr>
        <w:pBdr>
          <w:bottom w:val="single" w:color="auto" w:sz="4" w:space="1"/>
        </w:pBd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u w:val="single"/>
        </w:rPr>
        <w:t>11.3.</w:t>
      </w:r>
      <w:r>
        <w:rPr>
          <w:rFonts w:hint="eastAsia" w:ascii="宋体" w:hAnsi="宋体" w:cs="宋体"/>
          <w:color w:val="auto"/>
          <w:szCs w:val="21"/>
          <w:highlight w:val="none"/>
          <w:u w:val="single"/>
          <w:lang w:val="en-US" w:eastAsia="zh-CN"/>
        </w:rPr>
        <w:t>6</w:t>
      </w:r>
      <w:r>
        <w:rPr>
          <w:rFonts w:hint="eastAsia" w:ascii="宋体" w:hAnsi="宋体" w:eastAsia="宋体" w:cs="宋体"/>
          <w:color w:val="auto"/>
          <w:sz w:val="21"/>
          <w:szCs w:val="21"/>
          <w:highlight w:val="none"/>
          <w:u w:val="single"/>
        </w:rPr>
        <w:t>投标人认为应提供的其他经济标资料（如有）</w:t>
      </w:r>
      <w:r>
        <w:rPr>
          <w:rFonts w:hint="eastAsia"/>
          <w:color w:val="auto"/>
          <w:szCs w:val="21"/>
          <w:highlight w:val="none"/>
          <w:u w:val="single"/>
        </w:rPr>
        <w:t>。</w:t>
      </w:r>
    </w:p>
    <w:p>
      <w:pPr>
        <w:spacing w:line="440" w:lineRule="exact"/>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 xml:space="preserve">12.2            </w:t>
      </w:r>
      <w:r>
        <w:rPr>
          <w:rFonts w:hint="eastAsia" w:ascii="宋体" w:hAnsi="宋体"/>
          <w:b/>
          <w:color w:val="auto"/>
          <w:szCs w:val="21"/>
          <w:highlight w:val="none"/>
        </w:rPr>
        <w:t>修改类型：修改</w:t>
      </w:r>
    </w:p>
    <w:p>
      <w:pPr>
        <w:pStyle w:val="37"/>
        <w:spacing w:after="0" w:line="440" w:lineRule="exact"/>
        <w:ind w:firstLine="422" w:firstLineChars="200"/>
        <w:rPr>
          <w:rFonts w:hint="eastAsia" w:ascii="宋体" w:hAnsi="宋体" w:eastAsia="宋体"/>
          <w:color w:val="auto"/>
          <w:kern w:val="2"/>
          <w:sz w:val="21"/>
          <w:szCs w:val="21"/>
          <w:highlight w:val="none"/>
        </w:rPr>
      </w:pPr>
      <w:r>
        <w:rPr>
          <w:rFonts w:hint="eastAsia" w:ascii="宋体" w:hAnsi="宋体" w:eastAsia="宋体"/>
          <w:b/>
          <w:color w:val="auto"/>
          <w:kern w:val="2"/>
          <w:sz w:val="21"/>
          <w:szCs w:val="21"/>
          <w:highlight w:val="none"/>
        </w:rPr>
        <w:t>原文：</w:t>
      </w:r>
      <w:r>
        <w:rPr>
          <w:rFonts w:hint="eastAsia" w:ascii="宋体" w:hAnsi="宋体" w:eastAsia="宋体"/>
          <w:color w:val="auto"/>
          <w:kern w:val="2"/>
          <w:sz w:val="21"/>
          <w:szCs w:val="21"/>
          <w:highlight w:val="none"/>
        </w:rPr>
        <w:t>12.2 投标文件全部采用电子文档，投标文件所附证书证件均为原件扫描件，并采用单位数字证书，</w:t>
      </w:r>
      <w:r>
        <w:rPr>
          <w:rFonts w:hint="eastAsia" w:ascii="宋体" w:hAnsi="宋体" w:eastAsia="宋体"/>
          <w:color w:val="auto"/>
          <w:kern w:val="2"/>
          <w:sz w:val="21"/>
          <w:szCs w:val="21"/>
          <w:highlight w:val="none"/>
          <w:u w:val="none"/>
          <w:lang w:val="en-US" w:eastAsia="zh-CN"/>
        </w:rPr>
        <w:t>对投标文件</w:t>
      </w:r>
      <w:r>
        <w:rPr>
          <w:rFonts w:hint="eastAsia" w:ascii="宋体" w:hAnsi="宋体" w:eastAsia="宋体"/>
          <w:color w:val="auto"/>
          <w:kern w:val="2"/>
          <w:sz w:val="21"/>
          <w:szCs w:val="21"/>
          <w:highlight w:val="none"/>
          <w:u w:val="none"/>
        </w:rPr>
        <w:t>加</w:t>
      </w:r>
      <w:r>
        <w:rPr>
          <w:rFonts w:hint="eastAsia" w:ascii="宋体" w:hAnsi="宋体" w:eastAsia="宋体"/>
          <w:color w:val="auto"/>
          <w:kern w:val="2"/>
          <w:sz w:val="21"/>
          <w:szCs w:val="21"/>
          <w:highlight w:val="none"/>
        </w:rPr>
        <w:t>盖电子印章。投标文件中需个人签字或盖章的，应加盖个人电子印章或在线下完成后扫描上传。按照交易平台关于全流程电子化项目的相关指南进行操作。详见：</w:t>
      </w:r>
      <w:r>
        <w:rPr>
          <w:rFonts w:hint="eastAsia" w:ascii="宋体" w:hAnsi="宋体" w:eastAsia="宋体"/>
          <w:color w:val="auto"/>
          <w:kern w:val="2"/>
          <w:sz w:val="21"/>
          <w:szCs w:val="21"/>
          <w:highlight w:val="none"/>
          <w:u w:val="single"/>
          <w:lang w:val="en-US" w:eastAsia="zh-CN"/>
        </w:rPr>
        <w:t xml:space="preserve">     </w:t>
      </w:r>
      <w:r>
        <w:rPr>
          <w:rFonts w:hint="eastAsia" w:ascii="宋体" w:hAnsi="宋体" w:eastAsia="宋体"/>
          <w:color w:val="auto"/>
          <w:kern w:val="2"/>
          <w:sz w:val="21"/>
          <w:szCs w:val="21"/>
          <w:highlight w:val="none"/>
        </w:rPr>
        <w:t>。</w:t>
      </w:r>
    </w:p>
    <w:p>
      <w:pPr>
        <w:pStyle w:val="37"/>
        <w:spacing w:after="0" w:line="440" w:lineRule="exact"/>
        <w:ind w:firstLine="420" w:firstLineChars="200"/>
        <w:rPr>
          <w:rFonts w:ascii="宋体" w:hAnsi="宋体" w:eastAsia="宋体"/>
          <w:color w:val="auto"/>
          <w:sz w:val="21"/>
          <w:szCs w:val="21"/>
          <w:highlight w:val="none"/>
        </w:rPr>
      </w:pPr>
      <w:r>
        <w:rPr>
          <w:rFonts w:hint="eastAsia" w:ascii="宋体" w:hAnsi="宋体" w:eastAsia="宋体"/>
          <w:color w:val="auto"/>
          <w:kern w:val="2"/>
          <w:sz w:val="21"/>
          <w:szCs w:val="21"/>
          <w:highlight w:val="none"/>
        </w:rPr>
        <w:t>注释：投标文件电子文档需要投标人单位盖章的材料，投标人加盖电子印章即可，不得将投标人未对电子文档加盖实物印章作为否决投标的情形。</w:t>
      </w:r>
    </w:p>
    <w:p>
      <w:pPr>
        <w:pBdr>
          <w:bottom w:val="single" w:color="auto" w:sz="6" w:space="1"/>
        </w:pBdr>
        <w:adjustRightInd w:val="0"/>
        <w:snapToGrid w:val="0"/>
        <w:spacing w:line="360" w:lineRule="auto"/>
        <w:ind w:firstLine="527" w:firstLineChars="250"/>
        <w:textAlignment w:val="baseline"/>
        <w:rPr>
          <w:rFonts w:hint="eastAsia" w:ascii="宋体" w:hAnsi="宋体" w:cs="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 xml:space="preserve">12.2 </w:t>
      </w:r>
      <w:r>
        <w:rPr>
          <w:rFonts w:hint="eastAsia" w:ascii="宋体" w:hAnsi="宋体" w:cs="宋体"/>
          <w:color w:val="auto"/>
          <w:szCs w:val="21"/>
          <w:highlight w:val="none"/>
          <w:u w:val="single"/>
        </w:rPr>
        <w:t>投标人应仔细阅读招标文件第四章投标文件格式的相关规定和要求。</w:t>
      </w:r>
      <w:r>
        <w:rPr>
          <w:rFonts w:hint="eastAsia" w:ascii="宋体" w:hAnsi="宋体" w:cs="宋体"/>
          <w:color w:val="auto"/>
          <w:szCs w:val="21"/>
          <w:highlight w:val="none"/>
        </w:rPr>
        <w:t>投标文件全部采用电子文档，投标文件所附证书证件均为</w:t>
      </w:r>
      <w:r>
        <w:rPr>
          <w:rFonts w:hint="eastAsia" w:ascii="宋体" w:hAnsi="宋体" w:cs="宋体"/>
          <w:color w:val="auto"/>
          <w:szCs w:val="21"/>
          <w:highlight w:val="none"/>
          <w:u w:val="single"/>
        </w:rPr>
        <w:t>扫描件或电子证照</w:t>
      </w:r>
      <w:r>
        <w:rPr>
          <w:rFonts w:hint="eastAsia" w:ascii="宋体" w:hAnsi="宋体" w:cs="宋体"/>
          <w:color w:val="auto"/>
          <w:szCs w:val="21"/>
          <w:highlight w:val="none"/>
        </w:rPr>
        <w:t>，并采用单位数字证书，</w:t>
      </w:r>
      <w:r>
        <w:rPr>
          <w:rFonts w:hint="eastAsia" w:ascii="宋体" w:hAnsi="宋体" w:cs="宋体"/>
          <w:color w:val="auto"/>
          <w:szCs w:val="21"/>
          <w:highlight w:val="none"/>
          <w:u w:val="single"/>
          <w:lang w:val="en-US" w:eastAsia="zh-CN"/>
        </w:rPr>
        <w:t>对投标文件</w:t>
      </w:r>
      <w:r>
        <w:rPr>
          <w:rFonts w:hint="eastAsia" w:ascii="宋体" w:hAnsi="宋体" w:cs="宋体"/>
          <w:color w:val="auto"/>
          <w:szCs w:val="21"/>
          <w:highlight w:val="none"/>
          <w:lang w:val="en-US" w:eastAsia="zh-CN"/>
        </w:rPr>
        <w:t>加</w:t>
      </w:r>
      <w:r>
        <w:rPr>
          <w:rFonts w:hint="eastAsia" w:ascii="宋体" w:hAnsi="宋体" w:cs="宋体"/>
          <w:color w:val="auto"/>
          <w:szCs w:val="21"/>
          <w:highlight w:val="none"/>
        </w:rPr>
        <w:t>盖电子印章。投标文件中需个人签字或盖章的，应加盖个人电子印章或在线下完成</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签字或盖章</w:t>
      </w:r>
      <w:r>
        <w:rPr>
          <w:rFonts w:hint="eastAsia" w:ascii="宋体" w:hAnsi="宋体" w:cs="宋体"/>
          <w:color w:val="auto"/>
          <w:szCs w:val="21"/>
          <w:highlight w:val="none"/>
          <w:u w:val="single"/>
        </w:rPr>
        <w:t>后</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lang w:val="en-US" w:eastAsia="zh-CN"/>
        </w:rPr>
        <w:t>原件</w:t>
      </w:r>
      <w:r>
        <w:rPr>
          <w:rFonts w:hint="eastAsia" w:ascii="宋体" w:hAnsi="宋体" w:cs="宋体"/>
          <w:color w:val="auto"/>
          <w:szCs w:val="21"/>
          <w:highlight w:val="none"/>
        </w:rPr>
        <w:t>扫描上传。按照</w:t>
      </w:r>
      <w:r>
        <w:rPr>
          <w:rFonts w:hint="eastAsia" w:ascii="宋体" w:hAnsi="宋体" w:cs="宋体"/>
          <w:bCs/>
          <w:color w:val="auto"/>
          <w:szCs w:val="21"/>
          <w:highlight w:val="none"/>
          <w:u w:val="single"/>
        </w:rPr>
        <w:t>广州交易集团有限公司（广州公共资源交易中心）</w:t>
      </w:r>
      <w:r>
        <w:rPr>
          <w:rFonts w:hint="eastAsia" w:ascii="宋体" w:hAnsi="宋体" w:cs="宋体"/>
          <w:color w:val="auto"/>
          <w:szCs w:val="21"/>
          <w:highlight w:val="none"/>
        </w:rPr>
        <w:t>交易平台关于全流程电子化项目的相关指南进行操作。详见：</w:t>
      </w:r>
      <w:r>
        <w:rPr>
          <w:rFonts w:hint="eastAsia" w:ascii="宋体" w:hAnsi="宋体" w:cs="宋体"/>
          <w:color w:val="auto"/>
          <w:szCs w:val="21"/>
          <w:highlight w:val="none"/>
          <w:u w:val="single"/>
        </w:rPr>
        <w:t>广州交易集团有限公司（广州公共资源交易中心）网站最新指引</w:t>
      </w:r>
      <w:r>
        <w:rPr>
          <w:rFonts w:hint="eastAsia" w:ascii="宋体" w:hAnsi="宋体" w:cs="宋体"/>
          <w:bCs/>
          <w:color w:val="auto"/>
          <w:szCs w:val="21"/>
          <w:highlight w:val="none"/>
        </w:rPr>
        <w:t>。</w:t>
      </w:r>
      <w:r>
        <w:rPr>
          <w:rFonts w:hint="eastAsia" w:ascii="宋体" w:hAnsi="宋体" w:eastAsia="宋体" w:cs="宋体"/>
          <w:color w:val="auto"/>
          <w:sz w:val="21"/>
          <w:szCs w:val="21"/>
          <w:highlight w:val="none"/>
          <w:u w:val="single"/>
        </w:rPr>
        <w:t>投标人提供的</w:t>
      </w:r>
      <w:r>
        <w:rPr>
          <w:rFonts w:hint="eastAsia" w:ascii="宋体" w:hAnsi="宋体" w:cs="宋体"/>
          <w:color w:val="auto"/>
          <w:sz w:val="21"/>
          <w:szCs w:val="21"/>
          <w:highlight w:val="none"/>
          <w:u w:val="single"/>
          <w:lang w:val="en-US" w:eastAsia="zh-CN"/>
        </w:rPr>
        <w:t>相关</w:t>
      </w:r>
      <w:r>
        <w:rPr>
          <w:rFonts w:hint="eastAsia" w:ascii="宋体" w:hAnsi="宋体" w:eastAsia="宋体" w:cs="宋体"/>
          <w:color w:val="auto"/>
          <w:sz w:val="21"/>
          <w:szCs w:val="21"/>
          <w:highlight w:val="none"/>
          <w:u w:val="single"/>
        </w:rPr>
        <w:t>证明材料</w:t>
      </w:r>
      <w:r>
        <w:rPr>
          <w:rFonts w:hint="eastAsia" w:ascii="宋体" w:hAnsi="宋体" w:cs="宋体"/>
          <w:bCs/>
          <w:color w:val="auto"/>
          <w:kern w:val="0"/>
          <w:sz w:val="21"/>
          <w:szCs w:val="21"/>
          <w:highlight w:val="none"/>
          <w:u w:val="single"/>
          <w:lang w:val="en-US" w:eastAsia="zh-CN"/>
        </w:rPr>
        <w:t>电子证照证书或</w:t>
      </w:r>
      <w:r>
        <w:rPr>
          <w:rFonts w:hint="eastAsia" w:ascii="宋体" w:hAnsi="宋体" w:eastAsia="宋体" w:cs="宋体"/>
          <w:color w:val="auto"/>
          <w:sz w:val="21"/>
          <w:szCs w:val="21"/>
          <w:highlight w:val="none"/>
          <w:u w:val="single"/>
        </w:rPr>
        <w:t>扫描件内容必须清晰可辨，如因</w:t>
      </w:r>
      <w:r>
        <w:rPr>
          <w:rFonts w:hint="eastAsia" w:ascii="宋体" w:hAnsi="宋体" w:cs="宋体"/>
          <w:bCs/>
          <w:color w:val="auto"/>
          <w:kern w:val="0"/>
          <w:sz w:val="21"/>
          <w:szCs w:val="21"/>
          <w:highlight w:val="none"/>
          <w:u w:val="single"/>
          <w:lang w:val="en-US" w:eastAsia="zh-CN"/>
        </w:rPr>
        <w:t>电子证照证书或</w:t>
      </w:r>
      <w:r>
        <w:rPr>
          <w:rFonts w:hint="eastAsia" w:ascii="宋体" w:hAnsi="宋体" w:eastAsia="宋体" w:cs="宋体"/>
          <w:color w:val="auto"/>
          <w:sz w:val="21"/>
          <w:szCs w:val="21"/>
          <w:highlight w:val="none"/>
          <w:u w:val="single"/>
        </w:rPr>
        <w:t>扫描件内容模糊导致评标时无法判断的，后果由投标人自负</w:t>
      </w:r>
      <w:r>
        <w:rPr>
          <w:rFonts w:hint="eastAsia" w:ascii="宋体" w:hAnsi="宋体" w:cs="宋体"/>
          <w:color w:val="auto"/>
          <w:szCs w:val="21"/>
          <w:highlight w:val="none"/>
        </w:rPr>
        <w:t>。</w:t>
      </w:r>
    </w:p>
    <w:p>
      <w:pPr>
        <w:pBdr>
          <w:bottom w:val="single" w:color="auto" w:sz="6" w:space="1"/>
        </w:pBdr>
        <w:spacing w:line="440" w:lineRule="exact"/>
        <w:ind w:firstLine="525" w:firstLineChars="250"/>
        <w:rPr>
          <w:rFonts w:ascii="宋体" w:hAnsi="宋体"/>
          <w:color w:val="auto"/>
          <w:szCs w:val="21"/>
          <w:highlight w:val="none"/>
        </w:rPr>
      </w:pPr>
      <w:r>
        <w:rPr>
          <w:rFonts w:hint="eastAsia" w:ascii="宋体" w:hAnsi="宋体" w:cs="宋体"/>
          <w:color w:val="auto"/>
          <w:szCs w:val="21"/>
          <w:highlight w:val="none"/>
        </w:rPr>
        <w:t>注释：投标文件电子文档需要投标人单位盖章的材料，投标人加盖电子印章即可，不得将投标人未对电子文档加盖实物印章作为否决投标的情形</w:t>
      </w:r>
      <w:r>
        <w:rPr>
          <w:rFonts w:hint="eastAsia" w:ascii="宋体" w:hAnsi="宋体"/>
          <w:color w:val="auto"/>
          <w:szCs w:val="21"/>
          <w:highlight w:val="none"/>
        </w:rPr>
        <w:t>。</w:t>
      </w:r>
    </w:p>
    <w:p>
      <w:pPr>
        <w:spacing w:line="440" w:lineRule="exact"/>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 xml:space="preserve">12.3            </w:t>
      </w:r>
      <w:r>
        <w:rPr>
          <w:rFonts w:hint="eastAsia" w:ascii="宋体" w:hAnsi="宋体"/>
          <w:b/>
          <w:color w:val="auto"/>
          <w:szCs w:val="21"/>
          <w:highlight w:val="none"/>
        </w:rPr>
        <w:t>修改类型：修改</w:t>
      </w:r>
    </w:p>
    <w:p>
      <w:pPr>
        <w:pStyle w:val="37"/>
        <w:spacing w:after="0" w:line="440" w:lineRule="exact"/>
        <w:ind w:firstLine="422" w:firstLineChars="200"/>
        <w:rPr>
          <w:rFonts w:ascii="宋体" w:hAnsi="宋体" w:eastAsia="宋体"/>
          <w:color w:val="auto"/>
          <w:sz w:val="21"/>
          <w:szCs w:val="21"/>
          <w:highlight w:val="none"/>
        </w:rPr>
      </w:pPr>
      <w:r>
        <w:rPr>
          <w:rFonts w:hint="eastAsia" w:ascii="宋体" w:hAnsi="宋体" w:eastAsia="宋体"/>
          <w:b/>
          <w:color w:val="auto"/>
          <w:kern w:val="2"/>
          <w:sz w:val="21"/>
          <w:szCs w:val="21"/>
          <w:highlight w:val="none"/>
        </w:rPr>
        <w:t>原文：</w:t>
      </w:r>
      <w:r>
        <w:rPr>
          <w:rFonts w:hint="eastAsia" w:ascii="宋体" w:hAnsi="宋体" w:eastAsia="宋体"/>
          <w:color w:val="auto"/>
          <w:kern w:val="2"/>
          <w:sz w:val="21"/>
          <w:szCs w:val="21"/>
          <w:highlight w:val="none"/>
        </w:rPr>
        <w:t>12.3投标文件应按照交易平台关于全流程电子化项目的相关指南进行编制，详见：。</w:t>
      </w:r>
    </w:p>
    <w:p>
      <w:pPr>
        <w:pStyle w:val="37"/>
        <w:spacing w:after="0" w:line="440" w:lineRule="exact"/>
        <w:ind w:firstLine="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如不按上述要求编制引起系统无法检索、读取相关信息的，其后果由投标人承担。</w:t>
      </w:r>
    </w:p>
    <w:p>
      <w:pPr>
        <w:pBdr>
          <w:bottom w:val="single" w:color="auto" w:sz="6" w:space="1"/>
        </w:pBdr>
        <w:adjustRightInd w:val="0"/>
        <w:snapToGrid w:val="0"/>
        <w:spacing w:line="360" w:lineRule="auto"/>
        <w:ind w:firstLine="422" w:firstLineChars="200"/>
        <w:textAlignment w:val="baseline"/>
        <w:rPr>
          <w:rFonts w:ascii="宋体" w:hAnsi="宋体" w:cs="宋体"/>
          <w:color w:val="auto"/>
          <w:szCs w:val="21"/>
          <w:highlight w:val="none"/>
        </w:rPr>
      </w:pPr>
      <w:r>
        <w:rPr>
          <w:rFonts w:hint="eastAsia" w:ascii="宋体" w:hAnsi="宋体" w:eastAsia="宋体"/>
          <w:b/>
          <w:color w:val="auto"/>
          <w:kern w:val="2"/>
          <w:sz w:val="21"/>
          <w:szCs w:val="21"/>
          <w:highlight w:val="none"/>
        </w:rPr>
        <w:t>现文：</w:t>
      </w:r>
      <w:r>
        <w:rPr>
          <w:rFonts w:hint="eastAsia" w:ascii="宋体" w:hAnsi="宋体" w:eastAsia="宋体"/>
          <w:color w:val="auto"/>
          <w:kern w:val="2"/>
          <w:sz w:val="21"/>
          <w:szCs w:val="21"/>
          <w:highlight w:val="none"/>
        </w:rPr>
        <w:t xml:space="preserve">12.3 </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w:t>
      </w:r>
      <w:r>
        <w:rPr>
          <w:rFonts w:hint="eastAsia" w:ascii="宋体" w:hAnsi="宋体" w:cs="宋体"/>
          <w:bCs/>
          <w:color w:val="auto"/>
          <w:szCs w:val="21"/>
          <w:highlight w:val="none"/>
          <w:u w:val="single"/>
        </w:rPr>
        <w:t>广州交易集团有限公司（广州公共资源交易中心）</w:t>
      </w:r>
      <w:r>
        <w:rPr>
          <w:rFonts w:hint="eastAsia" w:ascii="宋体" w:hAnsi="宋体" w:cs="宋体"/>
          <w:color w:val="auto"/>
          <w:szCs w:val="21"/>
          <w:highlight w:val="none"/>
        </w:rPr>
        <w:t>交易平台关于全流程电子化项目的相关指南进行编制，详见：</w:t>
      </w:r>
      <w:r>
        <w:rPr>
          <w:rFonts w:hint="eastAsia" w:ascii="宋体" w:hAnsi="宋体" w:cs="宋体"/>
          <w:bCs/>
          <w:color w:val="auto"/>
          <w:szCs w:val="21"/>
          <w:highlight w:val="none"/>
          <w:u w:val="single"/>
        </w:rPr>
        <w:t>广州交易集团有限公司（广州公共资源交易中心）网站最新指引</w:t>
      </w:r>
      <w:r>
        <w:rPr>
          <w:rFonts w:hint="eastAsia" w:ascii="宋体" w:hAnsi="宋体" w:cs="宋体"/>
          <w:color w:val="auto"/>
          <w:szCs w:val="21"/>
          <w:highlight w:val="none"/>
        </w:rPr>
        <w:t>。</w:t>
      </w:r>
    </w:p>
    <w:p>
      <w:pPr>
        <w:pBdr>
          <w:bottom w:val="single" w:color="auto" w:sz="6" w:space="1"/>
        </w:pBdr>
        <w:spacing w:line="44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如不按上述要求编制引起系统无法检索、读取相关信息的，其后果由投标人承担</w:t>
      </w:r>
      <w:r>
        <w:rPr>
          <w:rFonts w:hint="eastAsia" w:ascii="宋体" w:hAnsi="宋体"/>
          <w:color w:val="auto"/>
          <w:szCs w:val="21"/>
          <w:highlight w:val="none"/>
        </w:rPr>
        <w:t>。</w:t>
      </w:r>
    </w:p>
    <w:p>
      <w:pPr>
        <w:spacing w:line="44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条款号：13.1             修改类型：修改</w:t>
      </w:r>
    </w:p>
    <w:p>
      <w:pPr>
        <w:spacing w:line="44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原文：13.1</w:t>
      </w:r>
      <w:r>
        <w:rPr>
          <w:rFonts w:hint="eastAsia" w:ascii="宋体" w:hAnsi="宋体" w:cs="宋体"/>
          <w:color w:val="auto"/>
          <w:szCs w:val="21"/>
          <w:highlight w:val="none"/>
        </w:rPr>
        <w:t>本工程的投标报价采用投标须知前附表第</w:t>
      </w:r>
      <w:r>
        <w:rPr>
          <w:rFonts w:ascii="宋体" w:hAnsi="宋体" w:cs="宋体"/>
          <w:color w:val="auto"/>
          <w:szCs w:val="21"/>
          <w:highlight w:val="none"/>
        </w:rPr>
        <w:t>12</w:t>
      </w:r>
      <w:r>
        <w:rPr>
          <w:rFonts w:hint="eastAsia" w:ascii="宋体" w:hAnsi="宋体" w:cs="宋体"/>
          <w:color w:val="auto"/>
          <w:szCs w:val="21"/>
          <w:highlight w:val="none"/>
        </w:rPr>
        <w:t>项所规定的方式。投标报价（含单价及总价）精确到“分”。</w:t>
      </w:r>
    </w:p>
    <w:p>
      <w:pPr>
        <w:pBdr>
          <w:bottom w:val="single" w:color="auto" w:sz="6" w:space="1"/>
        </w:pBdr>
        <w:spacing w:line="44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现文：13.1</w:t>
      </w:r>
      <w:r>
        <w:rPr>
          <w:rFonts w:hint="eastAsia" w:ascii="宋体" w:hAnsi="宋体" w:cs="宋体"/>
          <w:color w:val="auto"/>
          <w:szCs w:val="21"/>
          <w:highlight w:val="none"/>
        </w:rPr>
        <w:t>本工程的投标报价采用投标须知前附表第12项所规定的方式。</w:t>
      </w:r>
      <w:r>
        <w:rPr>
          <w:rFonts w:hint="eastAsia" w:ascii="宋体" w:hAnsi="宋体" w:cs="宋体"/>
          <w:color w:val="auto"/>
          <w:szCs w:val="21"/>
          <w:highlight w:val="none"/>
          <w:u w:val="single"/>
        </w:rPr>
        <w:t>投标文件中的大写金额和小写金额不一致的，以大写金额为准。</w:t>
      </w:r>
      <w:r>
        <w:rPr>
          <w:rFonts w:hint="eastAsia" w:ascii="宋体" w:hAnsi="宋体" w:cs="宋体"/>
          <w:color w:val="auto"/>
          <w:szCs w:val="21"/>
          <w:highlight w:val="none"/>
        </w:rPr>
        <w:t>投标报价（含单价及总价）精确到“分”</w:t>
      </w:r>
      <w:r>
        <w:rPr>
          <w:rFonts w:hint="eastAsia" w:ascii="宋体" w:hAnsi="宋体" w:cs="宋体"/>
          <w:color w:val="auto"/>
          <w:szCs w:val="21"/>
          <w:highlight w:val="none"/>
          <w:lang w:eastAsia="zh-CN"/>
        </w:rPr>
        <w:t>。</w:t>
      </w:r>
    </w:p>
    <w:p>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条款号：13.3                        修改类型：修改</w:t>
      </w:r>
    </w:p>
    <w:p>
      <w:pPr>
        <w:adjustRightInd w:val="0"/>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Bdr>
          <w:bottom w:val="single" w:color="auto" w:sz="6" w:space="1"/>
        </w:pBdr>
        <w:spacing w:line="440" w:lineRule="exact"/>
        <w:ind w:firstLine="413" w:firstLineChars="196"/>
        <w:rPr>
          <w:rFonts w:hint="eastAsia" w:ascii="宋体" w:hAnsi="宋体" w:eastAsia="宋体"/>
          <w:color w:val="auto"/>
          <w:szCs w:val="21"/>
          <w:highlight w:val="none"/>
          <w:lang w:val="en-US" w:eastAsia="zh-CN"/>
        </w:rPr>
      </w:pPr>
      <w:r>
        <w:rPr>
          <w:rFonts w:hint="eastAsia" w:ascii="宋体" w:hAnsi="宋体" w:cs="宋体"/>
          <w:b/>
          <w:color w:val="auto"/>
          <w:szCs w:val="21"/>
          <w:highlight w:val="none"/>
        </w:rPr>
        <w:t>现文：</w:t>
      </w:r>
      <w:r>
        <w:rPr>
          <w:rFonts w:hint="eastAsia" w:ascii="宋体" w:hAnsi="宋体" w:cs="宋体"/>
          <w:color w:val="auto"/>
          <w:szCs w:val="21"/>
          <w:highlight w:val="none"/>
        </w:rPr>
        <w:t>13.3投标人的投标报价，应是按照投标须知前附表第8项的工期要求，在投标须知前附表第3项的建设地点，完成投标须知前附表第7项的招标范围内已由招标人</w:t>
      </w:r>
      <w:r>
        <w:rPr>
          <w:rFonts w:hint="eastAsia" w:ascii="宋体" w:hAnsi="宋体" w:cs="宋体"/>
          <w:color w:val="auto"/>
          <w:szCs w:val="21"/>
          <w:highlight w:val="none"/>
          <w:u w:val="single"/>
        </w:rPr>
        <w:t>提供的招标图纸（包括有关于本项目招标的相关资料）及</w:t>
      </w:r>
      <w:r>
        <w:rPr>
          <w:rFonts w:hint="eastAsia" w:ascii="宋体" w:hAnsi="宋体" w:cs="宋体"/>
          <w:color w:val="auto"/>
          <w:szCs w:val="21"/>
          <w:highlight w:val="none"/>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安全生产措施费等非竞争性项目明列了单价或合价的金额的，投标人应按照明列的单价或合价的金额报价，未按照规定金额报价的，由评标委员会按照招标文件规定的金额进行修正</w:t>
      </w:r>
      <w:r>
        <w:rPr>
          <w:rFonts w:hint="eastAsia" w:ascii="宋体" w:hAnsi="宋体" w:cs="宋体"/>
          <w:color w:val="auto"/>
          <w:szCs w:val="21"/>
          <w:highlight w:val="none"/>
          <w:lang w:eastAsia="zh-CN"/>
        </w:rPr>
        <w:t>。</w:t>
      </w:r>
    </w:p>
    <w:p>
      <w:pPr>
        <w:spacing w:line="440" w:lineRule="exact"/>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条款号：13.4              修改类型：修改</w:t>
      </w:r>
    </w:p>
    <w:p>
      <w:pPr>
        <w:pBdr>
          <w:bottom w:val="single" w:color="auto" w:sz="6" w:space="0"/>
        </w:pBdr>
        <w:spacing w:line="440" w:lineRule="exact"/>
        <w:ind w:firstLine="413" w:firstLineChars="196"/>
        <w:rPr>
          <w:rFonts w:ascii="宋体" w:hAnsi="宋体"/>
          <w:color w:val="auto"/>
          <w:szCs w:val="21"/>
          <w:highlight w:val="none"/>
        </w:rPr>
      </w:pPr>
      <w:r>
        <w:rPr>
          <w:rFonts w:hint="eastAsia" w:ascii="宋体" w:hAnsi="宋体" w:cs="宋体"/>
          <w:b/>
          <w:color w:val="auto"/>
          <w:szCs w:val="21"/>
          <w:highlight w:val="none"/>
        </w:rPr>
        <w:t>原文：13.4</w:t>
      </w:r>
      <w:r>
        <w:rPr>
          <w:rFonts w:hint="eastAsia" w:ascii="宋体" w:hAnsi="宋体" w:cs="宋体"/>
          <w:color w:val="auto"/>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37"/>
        <w:pBdr>
          <w:bottom w:val="single" w:color="auto" w:sz="6" w:space="0"/>
        </w:pBdr>
        <w:spacing w:after="0" w:line="440" w:lineRule="exact"/>
        <w:ind w:firstLine="422" w:firstLineChars="200"/>
        <w:rPr>
          <w:rFonts w:hint="eastAsia" w:ascii="宋体" w:hAnsi="宋体" w:eastAsia="宋体" w:cs="宋体"/>
          <w:b w:val="0"/>
          <w:color w:val="auto"/>
          <w:kern w:val="2"/>
          <w:sz w:val="21"/>
          <w:szCs w:val="21"/>
          <w:highlight w:val="none"/>
          <w:u w:val="single"/>
          <w:lang w:val="en-US" w:eastAsia="zh-CN" w:bidi="ar-SA"/>
        </w:rPr>
      </w:pPr>
      <w:r>
        <w:rPr>
          <w:rFonts w:hint="eastAsia" w:ascii="宋体" w:hAnsi="宋体" w:eastAsia="宋体" w:cs="宋体"/>
          <w:b/>
          <w:color w:val="auto"/>
          <w:kern w:val="2"/>
          <w:sz w:val="21"/>
          <w:szCs w:val="21"/>
          <w:highlight w:val="none"/>
        </w:rPr>
        <w:t>现文：13.4</w:t>
      </w:r>
      <w:r>
        <w:rPr>
          <w:rFonts w:hint="eastAsia" w:ascii="宋体" w:hAnsi="宋体" w:eastAsia="宋体" w:cs="宋体"/>
          <w:color w:val="auto"/>
          <w:sz w:val="21"/>
          <w:szCs w:val="21"/>
          <w:highlight w:val="none"/>
        </w:rPr>
        <w:t>投标人一旦中标，投标人对招标人提供的招标工程量清单中列出的工程项目所报出的综合单价</w:t>
      </w:r>
      <w:r>
        <w:rPr>
          <w:rFonts w:hint="eastAsia" w:ascii="宋体" w:hAnsi="宋体" w:eastAsia="宋体" w:cs="宋体"/>
          <w:color w:val="auto"/>
          <w:sz w:val="21"/>
          <w:szCs w:val="21"/>
          <w:highlight w:val="none"/>
          <w:u w:val="single"/>
        </w:rPr>
        <w:t>和措施项目费（措施项目费必须单列，没有单独列出的，视为已经包含在投标报价中），在工程结算时，按招标文件第三章合同条款相关约定调整。</w:t>
      </w:r>
    </w:p>
    <w:p>
      <w:pPr>
        <w:spacing w:line="440" w:lineRule="exact"/>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w:t>
      </w:r>
      <w:r>
        <w:rPr>
          <w:rFonts w:ascii="宋体" w:hAnsi="宋体" w:cs="宋体"/>
          <w:b/>
          <w:color w:val="auto"/>
          <w:szCs w:val="21"/>
          <w:highlight w:val="none"/>
        </w:rPr>
        <w:t>5.2</w:t>
      </w:r>
      <w:r>
        <w:rPr>
          <w:rFonts w:hint="eastAsia" w:ascii="宋体" w:hAnsi="宋体" w:cs="宋体"/>
          <w:b/>
          <w:color w:val="auto"/>
          <w:szCs w:val="21"/>
          <w:highlight w:val="none"/>
        </w:rPr>
        <w:t xml:space="preserve">              修改类型：修改</w:t>
      </w:r>
    </w:p>
    <w:p>
      <w:pPr>
        <w:pBdr>
          <w:bottom w:val="single" w:color="auto" w:sz="6" w:space="0"/>
        </w:pBdr>
        <w:spacing w:line="440" w:lineRule="exact"/>
        <w:ind w:firstLine="413" w:firstLineChars="196"/>
        <w:rPr>
          <w:rFonts w:ascii="宋体" w:hAnsi="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color w:val="auto"/>
          <w:szCs w:val="21"/>
          <w:highlight w:val="none"/>
        </w:rPr>
      </w:pPr>
      <w:r>
        <w:rPr>
          <w:rFonts w:hint="eastAsia" w:ascii="宋体" w:hAnsi="宋体" w:eastAsia="宋体" w:cs="宋体"/>
          <w:b/>
          <w:color w:val="auto"/>
          <w:kern w:val="2"/>
          <w:sz w:val="21"/>
          <w:szCs w:val="21"/>
          <w:highlight w:val="none"/>
        </w:rPr>
        <w:t>现文：</w:t>
      </w:r>
      <w:r>
        <w:rPr>
          <w:rFonts w:hint="eastAsia" w:ascii="宋体" w:hAnsi="宋体" w:eastAsia="宋体" w:cs="宋体"/>
          <w:bCs/>
          <w:color w:val="auto"/>
          <w:kern w:val="2"/>
          <w:sz w:val="21"/>
          <w:szCs w:val="21"/>
          <w:highlight w:val="none"/>
        </w:rPr>
        <w:t xml:space="preserve">15.2 </w:t>
      </w:r>
      <w:r>
        <w:rPr>
          <w:rFonts w:hint="eastAsia" w:ascii="宋体" w:hAnsi="宋体" w:eastAsia="宋体" w:cs="宋体"/>
          <w:bCs/>
          <w:color w:val="auto"/>
          <w:kern w:val="2"/>
          <w:sz w:val="21"/>
          <w:szCs w:val="21"/>
          <w:highlight w:val="none"/>
          <w:u w:val="single"/>
        </w:rPr>
        <w:t>在特殊情况下，招标人在原定投标有效期内，可以根据需要以书面形式向投标人提出延长投标有效期的要求，对此要求投标人须以书面形式予以答复。投标人可以拒绝招标人这种要求。同意延长投标有效期的投标人既不能要求也不允许修改其投标文件。</w:t>
      </w:r>
    </w:p>
    <w:p>
      <w:pPr>
        <w:pBdr>
          <w:top w:val="single" w:color="auto" w:sz="4"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条款号：16.1.3            修改类型：修改</w:t>
      </w:r>
    </w:p>
    <w:p>
      <w:pPr>
        <w:spacing w:line="360" w:lineRule="auto"/>
        <w:ind w:firstLine="422" w:firstLineChars="200"/>
        <w:rPr>
          <w:rFonts w:ascii="宋体" w:hAnsi="宋体"/>
          <w:color w:val="auto"/>
          <w:szCs w:val="21"/>
          <w:highlight w:val="none"/>
        </w:rPr>
      </w:pPr>
      <w:r>
        <w:rPr>
          <w:rFonts w:hint="eastAsia" w:ascii="宋体" w:hAnsi="宋体" w:cs="宋体"/>
          <w:b/>
          <w:color w:val="auto"/>
          <w:szCs w:val="21"/>
          <w:highlight w:val="none"/>
        </w:rPr>
        <w:t>原文：</w:t>
      </w:r>
      <w:r>
        <w:rPr>
          <w:rFonts w:hint="eastAsia" w:ascii="宋体" w:hAnsi="宋体"/>
          <w:color w:val="auto"/>
          <w:szCs w:val="21"/>
          <w:highlight w:val="none"/>
        </w:rPr>
        <w:t>16.1.3 采用电子形式的保函、担保或保证保险提交投标保证金的，应在招标文件中明确电子递交途径。</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olor w:val="auto"/>
          <w:szCs w:val="21"/>
          <w:highlight w:val="none"/>
        </w:rPr>
        <w:t>16.1.3 采用电子形式的保函、担保或保证保险提交投标保证金的，</w:t>
      </w:r>
      <w:r>
        <w:rPr>
          <w:rFonts w:hint="eastAsia" w:ascii="宋体" w:hAnsi="宋体"/>
          <w:color w:val="auto"/>
          <w:szCs w:val="21"/>
          <w:highlight w:val="none"/>
          <w:u w:val="single"/>
        </w:rPr>
        <w:t>具体操作要求详见广州公共资源交易中心有关指引，递交事宜请自行咨询广州公共资源交易中心，递交情况以开标时广州公共资源交易中心数据库查询信息为准。</w:t>
      </w:r>
    </w:p>
    <w:p>
      <w:pPr>
        <w:pBdr>
          <w:top w:val="single" w:color="auto" w:sz="4"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条款号：16.2            修改类型：修改</w:t>
      </w:r>
    </w:p>
    <w:p>
      <w:pPr>
        <w:spacing w:line="360" w:lineRule="auto"/>
        <w:ind w:firstLine="422" w:firstLineChars="200"/>
        <w:rPr>
          <w:rFonts w:ascii="宋体" w:hAnsi="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16.2</w:t>
      </w:r>
      <w:r>
        <w:rPr>
          <w:rFonts w:hint="eastAsia" w:ascii="宋体" w:hAnsi="宋体" w:cs="宋体"/>
          <w:bCs/>
          <w:color w:val="auto"/>
          <w:szCs w:val="21"/>
          <w:highlight w:val="none"/>
          <w:u w:val="single"/>
        </w:rPr>
        <w:t>开标时投标人没有按要求提供投标保证金的，其投标文件将被否决。</w:t>
      </w:r>
    </w:p>
    <w:p>
      <w:pPr>
        <w:pBdr>
          <w:top w:val="single" w:color="auto" w:sz="4"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条款号：16.4            修改类型：修改</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16.4如有下列情况之一的，招标人可以不予退还投标保证金（是否退还投标保证金由招标人在招标文件中规定）：</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16.4.1因投标人原因造成投标文件未解密的；</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16.4.2投标人在投标有效期内撤销投标文件；</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16.4.3中标人未能在规定期限内按要求提交履约担保；</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16.4.4中标人未能在规定期限内签署合同协议。</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16.4如有下列情况之一的，招标人可以不予退还投标保证金（是否退还投标保证金由招标人在招标文件中规定）：</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16.4.1投标人在投标有效期内撤销投标文件；</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16.4.2中标人未能在规定期限内按要求提交履约担保；</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16.4.3中标人未能在规定期限内签署合同协议。</w:t>
      </w:r>
    </w:p>
    <w:p>
      <w:pPr>
        <w:pBdr>
          <w:top w:val="single" w:color="auto" w:sz="4" w:space="1"/>
          <w:left w:val="none" w:color="auto" w:sz="0" w:space="4"/>
          <w:bottom w:val="none" w:color="auto" w:sz="0" w:space="1"/>
          <w:right w:val="none" w:color="auto" w:sz="0" w:space="4"/>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条款号：16.5             修改类型：修改</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16.5投标人如存在下列情况之一的，将被拒绝在一定时期内参与招标人后续工程投标（拒绝时限需在招标文件中明确）：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16.5.1投标人存在16.4条款所列情形且投标人提交的保函、担保或保证保险无法兑付的；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16.5.2采用非电子形式提交投标保证金的投标人存在16.4条款所列情形，且未按招标人要求补交银行保函、专业工程担保公司担保或保证保险原件的；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16.5.3按招标文件要求免于提供投标保证金的投标人存在16.4条款所列情形，且未按招标人要求补交投标保证金的；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16.5.3按招标文件要求免于提供投标保证金的投标人存在16.4条款所列情形的。</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注：16.5.3款由招标人二选一，需在招标文件中明确。</w:t>
      </w:r>
    </w:p>
    <w:p>
      <w:pPr>
        <w:spacing w:line="360" w:lineRule="auto"/>
        <w:ind w:firstLine="422" w:firstLineChars="200"/>
        <w:rPr>
          <w:rFonts w:ascii="宋体" w:hAnsi="宋体"/>
          <w:color w:val="auto"/>
          <w:szCs w:val="21"/>
          <w:highlight w:val="none"/>
        </w:rPr>
      </w:pPr>
      <w:r>
        <w:rPr>
          <w:rFonts w:hint="eastAsia" w:ascii="宋体" w:hAnsi="宋体" w:cs="宋体"/>
          <w:b/>
          <w:color w:val="auto"/>
          <w:szCs w:val="21"/>
          <w:highlight w:val="none"/>
        </w:rPr>
        <w:t>现文：</w:t>
      </w:r>
      <w:r>
        <w:rPr>
          <w:rFonts w:hint="eastAsia" w:ascii="宋体" w:hAnsi="宋体"/>
          <w:color w:val="auto"/>
          <w:szCs w:val="21"/>
          <w:highlight w:val="none"/>
        </w:rPr>
        <w:t>16.5投标人如存在下列情况之一的，将被拒绝在一年内参与招标人后续工程投标（注：自招标人发出通知书之日起计）：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16.5.1投标人存在16.4条款所列情形且投标人提交的保函、担保或保证保险无法兑付的；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16.5.2采用非电子形式提交投标保证金的投标人存在16.4条款所列情形，且未按招标人要求补交银行保函、专业工程担保公司担保或保证保险原件的；</w:t>
      </w:r>
    </w:p>
    <w:p>
      <w:pPr>
        <w:spacing w:line="440" w:lineRule="exact"/>
        <w:ind w:firstLine="470" w:firstLineChars="224"/>
        <w:rPr>
          <w:rFonts w:ascii="宋体" w:hAnsi="宋体" w:cs="宋体"/>
          <w:b/>
          <w:color w:val="auto"/>
          <w:szCs w:val="21"/>
          <w:highlight w:val="none"/>
        </w:rPr>
      </w:pPr>
      <w:r>
        <w:rPr>
          <w:rFonts w:hint="eastAsia" w:ascii="宋体" w:hAnsi="宋体"/>
          <w:color w:val="auto"/>
          <w:szCs w:val="21"/>
          <w:highlight w:val="none"/>
        </w:rPr>
        <w:t>16.5.3按招标文件要求免于提供投标保证金的投标人存在16.4条款所列情形，且未按招标人要求补交投标保证金的；</w:t>
      </w:r>
    </w:p>
    <w:p>
      <w:pPr>
        <w:pStyle w:val="37"/>
        <w:pBdr>
          <w:bottom w:val="single" w:color="auto" w:sz="6" w:space="0"/>
        </w:pBdr>
        <w:adjustRightInd w:val="0"/>
        <w:spacing w:after="0" w:line="440" w:lineRule="exact"/>
        <w:ind w:left="0" w:leftChars="0" w:firstLine="0" w:firstLineChars="0"/>
        <w:rPr>
          <w:rFonts w:ascii="宋体" w:hAnsi="宋体" w:eastAsia="宋体" w:cs="宋体"/>
          <w:bCs/>
          <w:color w:val="auto"/>
          <w:sz w:val="21"/>
          <w:szCs w:val="21"/>
          <w:highlight w:val="none"/>
          <w:u w:val="single"/>
        </w:rPr>
      </w:pPr>
    </w:p>
    <w:p>
      <w:pPr>
        <w:spacing w:line="440" w:lineRule="exact"/>
        <w:ind w:firstLine="422" w:firstLineChars="200"/>
        <w:rPr>
          <w:rFonts w:ascii="宋体" w:hAnsi="宋体"/>
          <w:b/>
          <w:color w:val="auto"/>
          <w:szCs w:val="21"/>
          <w:highlight w:val="none"/>
        </w:rPr>
      </w:pPr>
      <w:r>
        <w:rPr>
          <w:rFonts w:hint="eastAsia" w:ascii="宋体" w:hAnsi="宋体" w:cs="宋体"/>
          <w:b/>
          <w:color w:val="auto"/>
          <w:szCs w:val="21"/>
          <w:highlight w:val="none"/>
        </w:rPr>
        <w:t>条款号：</w:t>
      </w:r>
      <w:r>
        <w:rPr>
          <w:rFonts w:hint="eastAsia" w:ascii="宋体" w:hAnsi="宋体"/>
          <w:b/>
          <w:color w:val="auto"/>
          <w:szCs w:val="21"/>
          <w:highlight w:val="none"/>
        </w:rPr>
        <w:t>17.1             修改类型：修改</w:t>
      </w:r>
    </w:p>
    <w:p>
      <w:pPr>
        <w:spacing w:line="440" w:lineRule="exact"/>
        <w:ind w:firstLine="472" w:firstLineChars="224"/>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17.1投标人应采用单位数字证书，</w:t>
      </w:r>
      <w:r>
        <w:rPr>
          <w:rFonts w:hint="eastAsia" w:ascii="宋体" w:hAnsi="宋体"/>
          <w:color w:val="auto"/>
          <w:szCs w:val="21"/>
          <w:highlight w:val="none"/>
          <w:u w:val="single"/>
          <w:lang w:val="en-US" w:eastAsia="zh-CN"/>
        </w:rPr>
        <w:t>对投标文件</w:t>
      </w:r>
      <w:r>
        <w:rPr>
          <w:rFonts w:hint="eastAsia" w:ascii="宋体" w:hAnsi="宋体"/>
          <w:color w:val="auto"/>
          <w:szCs w:val="21"/>
          <w:highlight w:val="none"/>
        </w:rPr>
        <w:t>加盖电子印章。投标文件中需个人签字或盖章的，应加盖个人电子印章或在线下完成后扫描上传。按照交易平台关于全流程电子化项目的相关指南进行操作。详见：。</w:t>
      </w:r>
    </w:p>
    <w:p>
      <w:pPr>
        <w:pBdr>
          <w:bottom w:val="single" w:color="auto" w:sz="6" w:space="1"/>
        </w:pBdr>
        <w:spacing w:line="440" w:lineRule="exact"/>
        <w:ind w:firstLine="527" w:firstLineChars="250"/>
        <w:rPr>
          <w:rFonts w:hint="default" w:ascii="宋体" w:hAnsi="宋体"/>
          <w:color w:val="auto"/>
          <w:szCs w:val="21"/>
          <w:highlight w:val="none"/>
          <w:u w:val="single"/>
          <w:lang w:val="en-US"/>
        </w:rPr>
      </w:pPr>
      <w:r>
        <w:rPr>
          <w:rFonts w:hint="eastAsia" w:ascii="宋体" w:hAnsi="宋体"/>
          <w:b/>
          <w:color w:val="auto"/>
          <w:szCs w:val="21"/>
          <w:highlight w:val="none"/>
        </w:rPr>
        <w:t>现文：</w:t>
      </w:r>
      <w:r>
        <w:rPr>
          <w:rFonts w:hint="eastAsia" w:ascii="宋体" w:hAnsi="宋体"/>
          <w:color w:val="auto"/>
          <w:szCs w:val="21"/>
          <w:highlight w:val="none"/>
        </w:rPr>
        <w:t>17.1</w:t>
      </w:r>
      <w:r>
        <w:rPr>
          <w:rFonts w:hint="eastAsia" w:ascii="宋体" w:hAnsi="宋体" w:cs="宋体"/>
          <w:color w:val="auto"/>
          <w:szCs w:val="21"/>
          <w:highlight w:val="none"/>
        </w:rPr>
        <w:t>投标人应采用单位数字证书，</w:t>
      </w:r>
      <w:r>
        <w:rPr>
          <w:rFonts w:hint="eastAsia" w:ascii="宋体" w:hAnsi="宋体" w:cs="宋体"/>
          <w:color w:val="auto"/>
          <w:szCs w:val="21"/>
          <w:highlight w:val="none"/>
          <w:u w:val="single"/>
          <w:lang w:val="en-US" w:eastAsia="zh-CN"/>
        </w:rPr>
        <w:t>对投标文件</w:t>
      </w:r>
      <w:r>
        <w:rPr>
          <w:rFonts w:hint="eastAsia" w:ascii="宋体" w:hAnsi="宋体" w:cs="宋体"/>
          <w:color w:val="auto"/>
          <w:szCs w:val="21"/>
          <w:highlight w:val="none"/>
          <w:u w:val="single"/>
        </w:rPr>
        <w:t>（含资格审查文件）</w:t>
      </w:r>
      <w:r>
        <w:rPr>
          <w:rFonts w:hint="eastAsia" w:ascii="宋体" w:hAnsi="宋体" w:cs="宋体"/>
          <w:color w:val="auto"/>
          <w:szCs w:val="21"/>
          <w:highlight w:val="none"/>
        </w:rPr>
        <w:t>加盖电子印章。投标文件</w:t>
      </w:r>
      <w:r>
        <w:rPr>
          <w:rFonts w:hint="eastAsia" w:ascii="宋体" w:hAnsi="宋体" w:cs="宋体"/>
          <w:color w:val="auto"/>
          <w:szCs w:val="21"/>
          <w:highlight w:val="none"/>
          <w:u w:val="single"/>
        </w:rPr>
        <w:t>（含资格审查文件）</w:t>
      </w:r>
      <w:r>
        <w:rPr>
          <w:rFonts w:hint="eastAsia" w:ascii="宋体" w:hAnsi="宋体" w:cs="宋体"/>
          <w:color w:val="auto"/>
          <w:szCs w:val="21"/>
          <w:highlight w:val="none"/>
        </w:rPr>
        <w:t>中需个人签字或盖</w:t>
      </w:r>
      <w:r>
        <w:rPr>
          <w:rFonts w:hint="eastAsia" w:ascii="宋体" w:hAnsi="宋体" w:cs="宋体"/>
          <w:color w:val="auto"/>
          <w:szCs w:val="21"/>
          <w:highlight w:val="none"/>
          <w:lang w:eastAsia="zh-CN"/>
        </w:rPr>
        <w:t>个人签字</w:t>
      </w:r>
      <w:r>
        <w:rPr>
          <w:rFonts w:hint="eastAsia" w:ascii="宋体" w:hAnsi="宋体" w:cs="宋体"/>
          <w:color w:val="auto"/>
          <w:szCs w:val="21"/>
          <w:highlight w:val="none"/>
        </w:rPr>
        <w:t>章的，应加盖个人电子印章或在线下完成后扫描上传。按照</w:t>
      </w:r>
      <w:r>
        <w:rPr>
          <w:rFonts w:hint="eastAsia" w:ascii="宋体" w:hAnsi="宋体" w:cs="宋体"/>
          <w:color w:val="auto"/>
          <w:szCs w:val="21"/>
          <w:highlight w:val="none"/>
          <w:u w:val="single"/>
        </w:rPr>
        <w:t>广州交易集团有限公司（广州公共资源交易中心）</w:t>
      </w:r>
      <w:r>
        <w:rPr>
          <w:rFonts w:hint="eastAsia" w:ascii="宋体" w:hAnsi="宋体" w:cs="宋体"/>
          <w:bCs/>
          <w:color w:val="auto"/>
          <w:szCs w:val="21"/>
          <w:highlight w:val="none"/>
        </w:rPr>
        <w:t>交易平台</w:t>
      </w:r>
      <w:r>
        <w:rPr>
          <w:rFonts w:hint="eastAsia" w:ascii="宋体" w:hAnsi="宋体" w:cs="宋体"/>
          <w:color w:val="auto"/>
          <w:szCs w:val="21"/>
          <w:highlight w:val="none"/>
        </w:rPr>
        <w:t>关于全流程电子化项目的相关指南进行操作。详见：</w:t>
      </w:r>
      <w:r>
        <w:rPr>
          <w:rFonts w:hint="eastAsia" w:ascii="宋体" w:hAnsi="宋体" w:cs="宋体"/>
          <w:color w:val="auto"/>
          <w:szCs w:val="21"/>
          <w:highlight w:val="none"/>
          <w:u w:val="single"/>
          <w:lang w:eastAsia="zh-CN"/>
        </w:rPr>
        <w:t>广州交易集团有限公司（广州公共资源交易中心）最新指引。</w:t>
      </w:r>
    </w:p>
    <w:p>
      <w:pPr>
        <w:spacing w:line="440" w:lineRule="exact"/>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18.1</w:t>
      </w:r>
      <w:r>
        <w:rPr>
          <w:rFonts w:hint="eastAsia" w:ascii="宋体" w:hAnsi="宋体"/>
          <w:b/>
          <w:color w:val="auto"/>
          <w:szCs w:val="21"/>
          <w:highlight w:val="none"/>
        </w:rPr>
        <w:t>、</w:t>
      </w:r>
      <w:r>
        <w:rPr>
          <w:rFonts w:ascii="宋体" w:hAnsi="宋体"/>
          <w:b/>
          <w:color w:val="auto"/>
          <w:szCs w:val="21"/>
          <w:highlight w:val="none"/>
        </w:rPr>
        <w:t xml:space="preserve">18.2            </w:t>
      </w:r>
      <w:r>
        <w:rPr>
          <w:rFonts w:hint="eastAsia" w:ascii="宋体" w:hAnsi="宋体"/>
          <w:b/>
          <w:color w:val="auto"/>
          <w:szCs w:val="21"/>
          <w:highlight w:val="none"/>
        </w:rPr>
        <w:t>修改类型：修改</w:t>
      </w:r>
    </w:p>
    <w:p>
      <w:pPr>
        <w:spacing w:line="440" w:lineRule="exact"/>
        <w:ind w:firstLine="472" w:firstLineChars="224"/>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18.1递交的电子投标文件（不含备用光盘）必须进行加密。按照交易平台关于全流程电子化项目的相关指南进行操作。详见：。</w:t>
      </w:r>
    </w:p>
    <w:p>
      <w:pPr>
        <w:spacing w:line="440" w:lineRule="exact"/>
        <w:ind w:firstLine="470" w:firstLineChars="224"/>
        <w:rPr>
          <w:rFonts w:hint="eastAsia" w:ascii="宋体" w:hAnsi="宋体" w:cs="Times New Roman"/>
          <w:color w:val="auto"/>
          <w:szCs w:val="21"/>
          <w:highlight w:val="none"/>
        </w:rPr>
      </w:pPr>
      <w:r>
        <w:rPr>
          <w:rFonts w:hint="eastAsia" w:ascii="宋体" w:hAnsi="宋体" w:cs="Times New Roman"/>
          <w:color w:val="auto"/>
          <w:szCs w:val="21"/>
          <w:highlight w:val="none"/>
        </w:rPr>
        <w:t>18.2未按要求加密的投标文件，交易平台将予以拒收。</w:t>
      </w:r>
    </w:p>
    <w:p>
      <w:pPr>
        <w:pBdr>
          <w:bottom w:val="single" w:color="auto" w:sz="6" w:space="1"/>
        </w:pBdr>
        <w:adjustRightInd w:val="0"/>
        <w:snapToGrid w:val="0"/>
        <w:spacing w:line="360" w:lineRule="auto"/>
        <w:ind w:firstLine="422" w:firstLineChars="200"/>
        <w:rPr>
          <w:rFonts w:hint="eastAsia" w:ascii="宋体" w:hAnsi="宋体" w:cs="宋体"/>
          <w:color w:val="auto"/>
          <w:szCs w:val="21"/>
          <w:highlight w:val="none"/>
          <w:u w:val="single"/>
          <w:lang w:eastAsia="zh-CN"/>
        </w:rPr>
      </w:pPr>
      <w:r>
        <w:rPr>
          <w:rFonts w:hint="eastAsia" w:ascii="宋体" w:hAnsi="宋体"/>
          <w:b/>
          <w:color w:val="auto"/>
          <w:szCs w:val="21"/>
          <w:highlight w:val="none"/>
        </w:rPr>
        <w:t>现文：</w:t>
      </w:r>
      <w:r>
        <w:rPr>
          <w:rFonts w:hint="eastAsia" w:ascii="宋体" w:hAnsi="宋体"/>
          <w:color w:val="auto"/>
          <w:szCs w:val="21"/>
          <w:highlight w:val="none"/>
        </w:rPr>
        <w:t>18.1</w:t>
      </w:r>
      <w:r>
        <w:rPr>
          <w:rFonts w:hint="eastAsia" w:ascii="宋体" w:hAnsi="宋体" w:cs="宋体"/>
          <w:bCs/>
          <w:color w:val="auto"/>
          <w:szCs w:val="21"/>
          <w:highlight w:val="none"/>
        </w:rPr>
        <w:t>递交的电子投标文件（不含备用</w:t>
      </w:r>
      <w:r>
        <w:rPr>
          <w:rFonts w:hint="eastAsia" w:ascii="宋体" w:hAnsi="宋体" w:cs="宋体"/>
          <w:bCs/>
          <w:color w:val="auto"/>
          <w:szCs w:val="21"/>
          <w:highlight w:val="none"/>
          <w:u w:val="single"/>
          <w:lang w:val="en-US" w:eastAsia="zh-CN"/>
        </w:rPr>
        <w:t>U盘/</w:t>
      </w:r>
      <w:r>
        <w:rPr>
          <w:rFonts w:hint="eastAsia" w:ascii="宋体" w:hAnsi="宋体" w:cs="宋体"/>
          <w:bCs/>
          <w:color w:val="auto"/>
          <w:szCs w:val="21"/>
          <w:highlight w:val="none"/>
          <w:u w:val="single"/>
        </w:rPr>
        <w:t>光盘</w:t>
      </w:r>
      <w:r>
        <w:rPr>
          <w:rFonts w:hint="eastAsia" w:ascii="宋体" w:hAnsi="宋体" w:cs="宋体"/>
          <w:bCs/>
          <w:color w:val="auto"/>
          <w:szCs w:val="21"/>
          <w:highlight w:val="none"/>
        </w:rPr>
        <w:t>）必须进行加密。按照</w:t>
      </w:r>
      <w:r>
        <w:rPr>
          <w:rFonts w:hint="eastAsia" w:ascii="宋体" w:hAnsi="宋体" w:cs="宋体"/>
          <w:color w:val="auto"/>
          <w:szCs w:val="21"/>
          <w:highlight w:val="none"/>
          <w:u w:val="single"/>
        </w:rPr>
        <w:t>广州交易集团有限公司（广州公共资源交易中心）</w:t>
      </w:r>
      <w:r>
        <w:rPr>
          <w:rFonts w:hint="eastAsia" w:ascii="宋体" w:hAnsi="宋体" w:cs="宋体"/>
          <w:bCs/>
          <w:color w:val="auto"/>
          <w:szCs w:val="21"/>
          <w:highlight w:val="none"/>
        </w:rPr>
        <w:t>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广州交易集团有限公司（广州公共资源交易中心）网站最新指引</w:t>
      </w:r>
      <w:r>
        <w:rPr>
          <w:rFonts w:hint="eastAsia" w:ascii="宋体" w:hAnsi="宋体" w:cs="宋体"/>
          <w:color w:val="auto"/>
          <w:szCs w:val="21"/>
          <w:highlight w:val="none"/>
          <w:u w:val="single"/>
          <w:lang w:eastAsia="zh-CN"/>
        </w:rPr>
        <w:t>。</w:t>
      </w:r>
    </w:p>
    <w:p>
      <w:pPr>
        <w:pBdr>
          <w:bottom w:val="single" w:color="auto" w:sz="6" w:space="1"/>
        </w:pBdr>
        <w:spacing w:line="440" w:lineRule="exact"/>
        <w:ind w:firstLine="525" w:firstLineChars="250"/>
        <w:rPr>
          <w:rFonts w:ascii="宋体" w:hAnsi="宋体"/>
          <w:color w:val="auto"/>
          <w:szCs w:val="21"/>
          <w:highlight w:val="none"/>
        </w:rPr>
      </w:pPr>
      <w:r>
        <w:rPr>
          <w:rFonts w:hint="eastAsia" w:ascii="宋体" w:hAnsi="宋体" w:cs="宋体"/>
          <w:color w:val="auto"/>
          <w:szCs w:val="21"/>
          <w:highlight w:val="none"/>
          <w:u w:val="single"/>
          <w:lang w:eastAsia="zh-CN"/>
        </w:rPr>
        <w:t>18.2未按要求加密的投标文件，广州交易集团有限公司（广州公共资源交易中心）交易平台将予以拒收</w:t>
      </w:r>
      <w:r>
        <w:rPr>
          <w:rFonts w:hint="eastAsia" w:ascii="宋体" w:hAnsi="宋体"/>
          <w:color w:val="auto"/>
          <w:szCs w:val="21"/>
          <w:highlight w:val="none"/>
        </w:rPr>
        <w:t>。</w:t>
      </w:r>
    </w:p>
    <w:p>
      <w:pPr>
        <w:spacing w:line="44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条款号：19</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pPr>
        <w:spacing w:line="360" w:lineRule="auto"/>
        <w:ind w:firstLine="413" w:firstLineChars="196"/>
        <w:rPr>
          <w:rFonts w:hint="eastAsia" w:ascii="宋体" w:hAnsi="宋体" w:eastAsia="宋体" w:cs="宋体"/>
          <w:bCs/>
          <w:color w:val="auto"/>
          <w:sz w:val="21"/>
          <w:szCs w:val="21"/>
          <w:highlight w:val="none"/>
        </w:rPr>
      </w:pPr>
      <w:r>
        <w:rPr>
          <w:rFonts w:hint="eastAsia" w:ascii="宋体" w:hAnsi="宋体" w:cs="宋体"/>
          <w:b/>
          <w:color w:val="auto"/>
          <w:szCs w:val="21"/>
          <w:highlight w:val="none"/>
        </w:rPr>
        <w:t>原文：</w:t>
      </w:r>
      <w:r>
        <w:rPr>
          <w:rFonts w:hint="eastAsia" w:ascii="宋体" w:hAnsi="宋体" w:cs="宋体"/>
          <w:b w:val="0"/>
          <w:bCs/>
          <w:color w:val="auto"/>
          <w:szCs w:val="21"/>
          <w:highlight w:val="none"/>
        </w:rPr>
        <w:t>19.</w:t>
      </w:r>
      <w:r>
        <w:rPr>
          <w:rFonts w:hint="eastAsia" w:ascii="宋体" w:hAnsi="宋体" w:eastAsia="宋体" w:cs="宋体"/>
          <w:bCs/>
          <w:color w:val="auto"/>
          <w:sz w:val="21"/>
          <w:szCs w:val="21"/>
          <w:highlight w:val="none"/>
        </w:rPr>
        <w:t>投标文件的递交和接收</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19.1投标人通过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交易平台递交电子投标文件。</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19.2投标人完成电子</w:t>
      </w:r>
      <w:r>
        <w:rPr>
          <w:rFonts w:hint="eastAsia" w:ascii="宋体" w:hAnsi="宋体" w:eastAsia="宋体" w:cs="宋体"/>
          <w:color w:val="auto"/>
          <w:sz w:val="21"/>
          <w:szCs w:val="21"/>
          <w:highlight w:val="none"/>
        </w:rPr>
        <w:t>投标文件</w:t>
      </w:r>
      <w:r>
        <w:rPr>
          <w:rFonts w:hint="eastAsia" w:ascii="宋体" w:hAnsi="宋体" w:eastAsia="宋体" w:cs="宋体"/>
          <w:bCs/>
          <w:color w:val="auto"/>
          <w:sz w:val="21"/>
          <w:szCs w:val="21"/>
          <w:highlight w:val="none"/>
        </w:rPr>
        <w:t>上传后，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交易平台即时向投标人发出递交回执通知。递交时间以递交回执通知载明的传输完成时间为准。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19.3逾期送达的电子投标文件，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交易平台将予以拒收。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19.4 投标截止前，招标人拒绝接收符合条件的投标文件，投标人可向招标投标监督机构投诉。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19.5如技术标和经济标先后分别开启，</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交易平台将按招标文件规定的时间分别开启技术标和经济标。</w:t>
      </w:r>
    </w:p>
    <w:p>
      <w:pPr>
        <w:pBdr>
          <w:bottom w:val="single" w:color="auto" w:sz="6" w:space="1"/>
        </w:pBdr>
        <w:adjustRightInd w:val="0"/>
        <w:snapToGrid w:val="0"/>
        <w:spacing w:line="360" w:lineRule="auto"/>
        <w:ind w:firstLine="420" w:firstLineChars="200"/>
        <w:rPr>
          <w:rFonts w:ascii="宋体" w:hAnsi="宋体" w:cs="宋体"/>
          <w:color w:val="auto"/>
          <w:szCs w:val="21"/>
          <w:highlight w:val="none"/>
        </w:rPr>
      </w:pPr>
      <w:r>
        <w:rPr>
          <w:rFonts w:hint="eastAsia" w:ascii="宋体" w:hAnsi="宋体" w:eastAsia="宋体" w:cs="宋体"/>
          <w:color w:val="auto"/>
          <w:sz w:val="21"/>
          <w:szCs w:val="21"/>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360" w:lineRule="auto"/>
        <w:ind w:firstLine="413" w:firstLineChars="196"/>
        <w:rPr>
          <w:rFonts w:hint="eastAsia" w:ascii="宋体" w:hAnsi="宋体" w:eastAsia="宋体" w:cs="宋体"/>
          <w:b/>
          <w:color w:val="auto"/>
          <w:sz w:val="21"/>
          <w:szCs w:val="21"/>
          <w:highlight w:val="none"/>
        </w:rPr>
      </w:pPr>
      <w:r>
        <w:rPr>
          <w:rFonts w:hint="eastAsia" w:ascii="宋体" w:hAnsi="宋体" w:cs="宋体"/>
          <w:b/>
          <w:color w:val="auto"/>
          <w:szCs w:val="21"/>
          <w:highlight w:val="none"/>
        </w:rPr>
        <w:t>现文：</w:t>
      </w:r>
      <w:r>
        <w:rPr>
          <w:rFonts w:hint="eastAsia" w:ascii="宋体" w:hAnsi="宋体" w:cs="宋体"/>
          <w:b w:val="0"/>
          <w:bCs/>
          <w:color w:val="auto"/>
          <w:szCs w:val="21"/>
          <w:highlight w:val="none"/>
        </w:rPr>
        <w:t>19.</w:t>
      </w:r>
      <w:r>
        <w:rPr>
          <w:rFonts w:hint="eastAsia" w:ascii="宋体" w:hAnsi="宋体" w:eastAsia="宋体" w:cs="宋体"/>
          <w:b w:val="0"/>
          <w:bCs w:val="0"/>
          <w:color w:val="auto"/>
          <w:sz w:val="21"/>
          <w:szCs w:val="21"/>
          <w:highlight w:val="none"/>
        </w:rPr>
        <w:t>投标文件的递交和接收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19.1投标人通过</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交易平台递交电子投标文件。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19.2投标人完成电子投标文件上传后，</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交易平台即时向投标人发出递交回执通知。递交时间以递交回执通知载明的传输完成时间为准。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19.3逾期送达的电子投标文件，</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 w:val="21"/>
          <w:szCs w:val="21"/>
          <w:highlight w:val="none"/>
        </w:rPr>
        <w:t>交易平台将予以拒收。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19.4 投标截止前，招标人拒绝接收符合条件的投标文件，投标人可向招标投标监督机构投诉。</w:t>
      </w:r>
    </w:p>
    <w:p>
      <w:pPr>
        <w:pBdr>
          <w:bottom w:val="single" w:color="auto" w:sz="6" w:space="13"/>
        </w:pBdr>
        <w:spacing w:line="440" w:lineRule="exact"/>
        <w:ind w:firstLine="420" w:firstLineChars="200"/>
        <w:rPr>
          <w:rFonts w:ascii="宋体" w:hAnsi="宋体" w:cs="宋体"/>
          <w:color w:val="auto"/>
          <w:szCs w:val="21"/>
          <w:highlight w:val="none"/>
        </w:rPr>
      </w:pPr>
      <w:r>
        <w:rPr>
          <w:rFonts w:hint="eastAsia" w:ascii="宋体" w:hAnsi="宋体" w:eastAsia="宋体" w:cs="宋体"/>
          <w:color w:val="auto"/>
          <w:sz w:val="21"/>
          <w:szCs w:val="21"/>
          <w:highlight w:val="none"/>
          <w:u w:val="single"/>
        </w:rPr>
        <w:t>19.5技术标、经济标同时开启，</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 w:val="21"/>
          <w:szCs w:val="21"/>
          <w:highlight w:val="none"/>
          <w:u w:val="single"/>
        </w:rPr>
        <w:t>交易平台将按招标文件规定的时间同时开启技术标、经济标</w:t>
      </w:r>
      <w:r>
        <w:rPr>
          <w:rFonts w:hint="eastAsia" w:ascii="宋体" w:hAnsi="宋体" w:eastAsia="宋体" w:cs="宋体"/>
          <w:color w:val="auto"/>
          <w:sz w:val="21"/>
          <w:szCs w:val="21"/>
          <w:highlight w:val="none"/>
          <w:u w:val="single"/>
          <w:lang w:eastAsia="zh-CN"/>
        </w:rPr>
        <w:t>。</w:t>
      </w:r>
    </w:p>
    <w:p>
      <w:pPr>
        <w:spacing w:line="440" w:lineRule="exact"/>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 xml:space="preserve">21.1            </w:t>
      </w:r>
      <w:r>
        <w:rPr>
          <w:rFonts w:hint="eastAsia" w:ascii="宋体" w:hAnsi="宋体"/>
          <w:b/>
          <w:color w:val="auto"/>
          <w:szCs w:val="21"/>
          <w:highlight w:val="none"/>
        </w:rPr>
        <w:t>修改类型：修改</w:t>
      </w:r>
    </w:p>
    <w:p>
      <w:pPr>
        <w:spacing w:line="440" w:lineRule="exact"/>
        <w:ind w:firstLine="472" w:firstLineChars="224"/>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21.1本须知前附表第</w:t>
      </w:r>
      <w:r>
        <w:rPr>
          <w:rFonts w:ascii="宋体" w:hAnsi="宋体"/>
          <w:color w:val="auto"/>
          <w:szCs w:val="21"/>
          <w:highlight w:val="none"/>
        </w:rPr>
        <w:t>1</w:t>
      </w:r>
      <w:r>
        <w:rPr>
          <w:rFonts w:hint="eastAsia" w:ascii="宋体" w:hAnsi="宋体"/>
          <w:color w:val="auto"/>
          <w:szCs w:val="21"/>
          <w:highlight w:val="none"/>
        </w:rPr>
        <w:t>7项规定的投标截止时间后送达的电子投标文件，交易平台将予以拒收。</w:t>
      </w:r>
    </w:p>
    <w:p>
      <w:pPr>
        <w:pBdr>
          <w:bottom w:val="single" w:color="auto" w:sz="6" w:space="1"/>
        </w:pBdr>
        <w:spacing w:line="440" w:lineRule="exact"/>
        <w:ind w:firstLine="422" w:firstLineChars="200"/>
        <w:rPr>
          <w:rFonts w:ascii="宋体" w:hAnsi="宋体" w:cs="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21.1 本须知前附表第17项规定的投标截止时间后送达的电子投标文件，</w:t>
      </w:r>
      <w:r>
        <w:rPr>
          <w:rFonts w:hint="eastAsia" w:ascii="宋体" w:hAnsi="宋体"/>
          <w:color w:val="auto"/>
          <w:szCs w:val="21"/>
          <w:highlight w:val="none"/>
          <w:u w:val="single"/>
        </w:rPr>
        <w:t>广州交易集团有限公司（广州公共资源交易中心）</w:t>
      </w:r>
      <w:r>
        <w:rPr>
          <w:rFonts w:hint="eastAsia" w:ascii="宋体" w:hAnsi="宋体"/>
          <w:color w:val="auto"/>
          <w:szCs w:val="21"/>
          <w:highlight w:val="none"/>
        </w:rPr>
        <w:t>交易平台将予以拒收</w:t>
      </w:r>
      <w:r>
        <w:rPr>
          <w:rFonts w:hint="eastAsia" w:ascii="宋体" w:hAnsi="宋体" w:cs="宋体"/>
          <w:color w:val="auto"/>
          <w:szCs w:val="21"/>
          <w:highlight w:val="none"/>
        </w:rPr>
        <w:t>。</w:t>
      </w:r>
    </w:p>
    <w:p>
      <w:pPr>
        <w:spacing w:line="44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条款号：27.1           修改类型：修改</w:t>
      </w:r>
    </w:p>
    <w:p>
      <w:pPr>
        <w:spacing w:line="44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kern w:val="0"/>
          <w:szCs w:val="21"/>
          <w:highlight w:val="none"/>
        </w:rPr>
        <w:t>招标人将在交易平台、广东省招标投标监管网和中国招标投标公共服务平台公示中标候选人，公示期为三天。</w:t>
      </w:r>
    </w:p>
    <w:p>
      <w:pPr>
        <w:pBdr>
          <w:bottom w:val="single" w:color="auto" w:sz="6" w:space="1"/>
        </w:pBdr>
        <w:spacing w:line="440" w:lineRule="exact"/>
        <w:ind w:firstLine="422" w:firstLineChars="200"/>
        <w:rPr>
          <w:rFonts w:ascii="宋体" w:hAnsi="宋体" w:cs="宋体"/>
          <w:b w:val="0"/>
          <w:bCs w:val="0"/>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kern w:val="0"/>
          <w:szCs w:val="21"/>
          <w:highlight w:val="none"/>
        </w:rPr>
        <w:t>招标人将在</w:t>
      </w:r>
      <w:r>
        <w:rPr>
          <w:rFonts w:hint="eastAsia" w:ascii="宋体" w:hAnsi="宋体" w:cs="宋体"/>
          <w:color w:val="auto"/>
          <w:szCs w:val="21"/>
          <w:highlight w:val="none"/>
          <w:u w:val="single"/>
        </w:rPr>
        <w:t>广州交易集团有限公司（广州公共资源交易中心）</w:t>
      </w:r>
      <w:r>
        <w:rPr>
          <w:rFonts w:hint="eastAsia" w:ascii="宋体" w:hAnsi="宋体" w:cs="宋体"/>
          <w:bCs/>
          <w:color w:val="auto"/>
          <w:kern w:val="0"/>
          <w:szCs w:val="21"/>
          <w:highlight w:val="none"/>
        </w:rPr>
        <w:t>交易平台、广东省招标投标监管网和中国招标投标公共服务平台公示中标候选人，公示期为三天。</w:t>
      </w:r>
      <w:r>
        <w:rPr>
          <w:rFonts w:hint="eastAsia" w:ascii="宋体" w:hAnsi="宋体" w:cs="宋体"/>
          <w:color w:val="auto"/>
          <w:szCs w:val="21"/>
          <w:highlight w:val="none"/>
          <w:u w:val="single"/>
        </w:rPr>
        <w:t>最后一日为工作日</w:t>
      </w:r>
      <w:r>
        <w:rPr>
          <w:rFonts w:hint="eastAsia" w:ascii="宋体" w:hAnsi="宋体" w:cs="宋体"/>
          <w:color w:val="auto"/>
          <w:szCs w:val="21"/>
          <w:highlight w:val="none"/>
        </w:rPr>
        <w:t>。</w:t>
      </w:r>
      <w:r>
        <w:rPr>
          <w:rFonts w:hint="eastAsia" w:ascii="宋体" w:hAnsi="宋体" w:cs="宋体"/>
          <w:b w:val="0"/>
          <w:bCs w:val="0"/>
          <w:color w:val="auto"/>
          <w:kern w:val="0"/>
          <w:szCs w:val="21"/>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44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条款号：27.4             修改类型：修改</w:t>
      </w:r>
    </w:p>
    <w:p>
      <w:pPr>
        <w:spacing w:line="44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kern w:val="0"/>
          <w:szCs w:val="21"/>
          <w:highlight w:val="none"/>
        </w:rPr>
        <w:t>在产生中标候选人后，招标人将中标候选人的投标文件商务部分文件的所有内容（包括</w:t>
      </w:r>
      <w:r>
        <w:rPr>
          <w:rFonts w:hint="eastAsia" w:ascii="宋体" w:hAnsi="宋体" w:cs="宋体"/>
          <w:b/>
          <w:bCs/>
          <w:color w:val="auto"/>
          <w:kern w:val="0"/>
          <w:szCs w:val="21"/>
          <w:highlight w:val="none"/>
        </w:rPr>
        <w:t>报价清单</w:t>
      </w:r>
      <w:r>
        <w:rPr>
          <w:rFonts w:hint="eastAsia" w:ascii="宋体" w:hAnsi="宋体" w:cs="宋体"/>
          <w:bCs/>
          <w:color w:val="auto"/>
          <w:kern w:val="0"/>
          <w:szCs w:val="21"/>
          <w:highlight w:val="none"/>
        </w:rPr>
        <w:t>、人员、业绩、奖项等资料）在交易平台和广东省招标投标监管网公开</w:t>
      </w:r>
      <w:r>
        <w:rPr>
          <w:rFonts w:hint="eastAsia" w:ascii="宋体" w:hAnsi="宋体" w:cs="宋体"/>
          <w:color w:val="auto"/>
          <w:szCs w:val="21"/>
          <w:highlight w:val="none"/>
        </w:rPr>
        <w:t>。</w:t>
      </w:r>
    </w:p>
    <w:p>
      <w:pPr>
        <w:pBdr>
          <w:bottom w:val="single" w:color="auto" w:sz="6" w:space="1"/>
        </w:pBdr>
        <w:spacing w:line="440" w:lineRule="exact"/>
        <w:ind w:firstLine="413" w:firstLineChars="196"/>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在产生中标候选人后，招标人将中标候选人的投标文件商务部分文件的所有内容（包括人员、业绩、奖项等资料）在</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交易平台和广东省招标投标监管网公开。</w:t>
      </w:r>
    </w:p>
    <w:p>
      <w:pPr>
        <w:spacing w:before="158" w:beforeLines="50"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条款号：27.5          修改类型：增加</w:t>
      </w:r>
    </w:p>
    <w:p>
      <w:pPr>
        <w:pBdr>
          <w:bottom w:val="single" w:color="auto" w:sz="6" w:space="1"/>
        </w:pBdr>
        <w:spacing w:line="360" w:lineRule="auto"/>
        <w:ind w:firstLine="422" w:firstLineChars="200"/>
        <w:rPr>
          <w:rFonts w:ascii="宋体" w:cs="宋体"/>
          <w:color w:val="auto"/>
          <w:highlight w:val="none"/>
        </w:rPr>
      </w:pPr>
      <w:r>
        <w:rPr>
          <w:rFonts w:hint="eastAsia" w:ascii="宋体" w:hAnsi="宋体" w:cs="宋体"/>
          <w:b/>
          <w:color w:val="auto"/>
          <w:szCs w:val="21"/>
          <w:highlight w:val="none"/>
        </w:rPr>
        <w:t>现文：27.5</w:t>
      </w:r>
      <w:r>
        <w:rPr>
          <w:rFonts w:hint="eastAsia" w:ascii="宋体" w:hAnsi="宋体" w:eastAsia="宋体" w:cs="宋体"/>
          <w:color w:val="auto"/>
          <w:kern w:val="2"/>
          <w:sz w:val="21"/>
          <w:szCs w:val="21"/>
          <w:highlight w:val="none"/>
          <w:u w:val="single"/>
          <w:lang w:val="en-US" w:eastAsia="zh-CN" w:bidi="ar-SA"/>
        </w:rPr>
        <w:t>中标单位在中标公示后，需提供与递交投标电子标书内容一致且每页加盖单位公章的纸质文件一式四份及电子文件U盘一份（不用生成投标书；包括经济标报价套价软件版、XML版和Microsoft Excel软件版及用Microsoft Word软件或广州交易集团有限公司（广州公共资源交易中心）提供的投标书制作软件制作的经济投标文件其他部分。电子文件介质使用U盘，所有电子文件不能采用压缩处理或加密处理）给招标人</w:t>
      </w:r>
      <w:r>
        <w:rPr>
          <w:rFonts w:hint="eastAsia" w:ascii="宋体" w:hAnsi="宋体" w:cs="宋体"/>
          <w:color w:val="auto"/>
          <w:szCs w:val="21"/>
          <w:highlight w:val="none"/>
          <w:u w:val="single"/>
        </w:rPr>
        <w:t>。</w:t>
      </w:r>
    </w:p>
    <w:p>
      <w:pPr>
        <w:spacing w:line="360" w:lineRule="auto"/>
        <w:ind w:firstLine="472" w:firstLineChars="224"/>
        <w:rPr>
          <w:rFonts w:hint="eastAsia" w:ascii="宋体" w:eastAsia="宋体" w:cs="宋体"/>
          <w:b/>
          <w:color w:val="auto"/>
          <w:szCs w:val="21"/>
          <w:highlight w:val="none"/>
        </w:rPr>
      </w:pPr>
      <w:r>
        <w:rPr>
          <w:rFonts w:hint="eastAsia" w:ascii="宋体" w:eastAsia="宋体" w:cs="宋体"/>
          <w:b/>
          <w:color w:val="auto"/>
          <w:szCs w:val="21"/>
          <w:highlight w:val="none"/>
        </w:rPr>
        <w:t>条款号：</w:t>
      </w:r>
      <w:r>
        <w:rPr>
          <w:rFonts w:hint="eastAsia" w:ascii="宋体" w:eastAsia="宋体" w:cs="宋体"/>
          <w:color w:val="auto"/>
          <w:szCs w:val="21"/>
          <w:highlight w:val="none"/>
        </w:rPr>
        <w:t>29.1</w:t>
      </w:r>
      <w:r>
        <w:rPr>
          <w:rFonts w:hint="eastAsia" w:ascii="宋体" w:eastAsia="宋体" w:cs="宋体"/>
          <w:b/>
          <w:color w:val="auto"/>
          <w:szCs w:val="21"/>
          <w:highlight w:val="none"/>
        </w:rPr>
        <w:t xml:space="preserve">           修改类型：修改</w:t>
      </w:r>
    </w:p>
    <w:p>
      <w:pPr>
        <w:snapToGrid w:val="0"/>
        <w:spacing w:line="360" w:lineRule="auto"/>
        <w:ind w:firstLine="422" w:firstLineChars="200"/>
        <w:rPr>
          <w:rFonts w:hint="eastAsia" w:ascii="宋体" w:eastAsia="宋体" w:cs="宋体"/>
          <w:color w:val="auto"/>
          <w:szCs w:val="21"/>
          <w:highlight w:val="none"/>
        </w:rPr>
      </w:pPr>
      <w:r>
        <w:rPr>
          <w:rFonts w:hint="eastAsia" w:ascii="宋体" w:eastAsia="宋体" w:cs="宋体"/>
          <w:b/>
          <w:color w:val="auto"/>
          <w:szCs w:val="21"/>
          <w:highlight w:val="none"/>
        </w:rPr>
        <w:t>原文：</w:t>
      </w:r>
      <w:r>
        <w:rPr>
          <w:rFonts w:hint="eastAsia" w:ascii="宋体" w:eastAsia="宋体" w:cs="宋体"/>
          <w:color w:val="auto"/>
          <w:szCs w:val="21"/>
          <w:highlight w:val="none"/>
        </w:rPr>
        <w:t xml:space="preserve"> 29.1在收到中标通知书</w:t>
      </w:r>
      <w:r>
        <w:rPr>
          <w:rFonts w:hint="eastAsia" w:ascii="宋体" w:eastAsia="宋体" w:cs="宋体"/>
          <w:b w:val="0"/>
          <w:bCs w:val="0"/>
          <w:color w:val="auto"/>
          <w:szCs w:val="21"/>
          <w:highlight w:val="none"/>
        </w:rPr>
        <w:t>后的15日内</w:t>
      </w:r>
      <w:r>
        <w:rPr>
          <w:rFonts w:hint="eastAsia" w:ascii="宋体" w:eastAsia="宋体" w:cs="宋体"/>
          <w:color w:val="auto"/>
          <w:szCs w:val="21"/>
          <w:highlight w:val="none"/>
        </w:rPr>
        <w:t>，中标人应按本须知前附表第20项的规定向招标人提交履约担保。</w:t>
      </w:r>
    </w:p>
    <w:p>
      <w:pPr>
        <w:pBdr>
          <w:bottom w:val="single" w:color="auto" w:sz="6" w:space="1"/>
        </w:pBdr>
        <w:spacing w:line="440" w:lineRule="exact"/>
        <w:ind w:firstLine="422" w:firstLineChars="200"/>
        <w:rPr>
          <w:rFonts w:hint="eastAsia" w:ascii="宋体" w:hAnsi="宋体" w:cs="宋体"/>
          <w:color w:val="auto"/>
          <w:szCs w:val="21"/>
          <w:highlight w:val="none"/>
          <w:u w:val="single"/>
        </w:rPr>
      </w:pPr>
      <w:r>
        <w:rPr>
          <w:rFonts w:hint="eastAsia" w:ascii="宋体" w:eastAsia="宋体" w:cs="宋体"/>
          <w:b/>
          <w:color w:val="auto"/>
          <w:szCs w:val="21"/>
          <w:highlight w:val="none"/>
        </w:rPr>
        <w:t>现文：</w:t>
      </w:r>
      <w:r>
        <w:rPr>
          <w:rFonts w:hint="eastAsia" w:ascii="宋体" w:eastAsia="宋体" w:cs="宋体"/>
          <w:color w:val="auto"/>
          <w:szCs w:val="21"/>
          <w:highlight w:val="none"/>
          <w:u w:val="single"/>
        </w:rPr>
        <w:t>29.1按合同条款约定时间内，中标人应按本须知前附表第20项的规定向招标人提交履约担保。</w:t>
      </w:r>
    </w:p>
    <w:p>
      <w:pPr>
        <w:pStyle w:val="22"/>
        <w:rPr>
          <w:color w:val="auto"/>
          <w:highlight w:val="none"/>
        </w:rPr>
      </w:pPr>
    </w:p>
    <w:p>
      <w:pPr>
        <w:spacing w:line="44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条款号：2</w:t>
      </w:r>
      <w:r>
        <w:rPr>
          <w:rFonts w:ascii="宋体" w:hAnsi="宋体" w:cs="宋体"/>
          <w:b/>
          <w:color w:val="auto"/>
          <w:szCs w:val="21"/>
          <w:highlight w:val="none"/>
        </w:rPr>
        <w:t>9</w:t>
      </w:r>
      <w:r>
        <w:rPr>
          <w:rFonts w:hint="eastAsia" w:ascii="宋体" w:hAnsi="宋体" w:cs="宋体"/>
          <w:b/>
          <w:color w:val="auto"/>
          <w:szCs w:val="21"/>
          <w:highlight w:val="none"/>
        </w:rPr>
        <w:t>.</w:t>
      </w:r>
      <w:r>
        <w:rPr>
          <w:rFonts w:ascii="宋体" w:hAnsi="宋体" w:cs="宋体"/>
          <w:b/>
          <w:color w:val="auto"/>
          <w:szCs w:val="21"/>
          <w:highlight w:val="none"/>
        </w:rPr>
        <w:t>2</w:t>
      </w:r>
      <w:r>
        <w:rPr>
          <w:rFonts w:hint="eastAsia" w:ascii="宋体" w:hAnsi="宋体" w:cs="宋体"/>
          <w:b/>
          <w:color w:val="auto"/>
          <w:szCs w:val="21"/>
          <w:highlight w:val="none"/>
        </w:rPr>
        <w:t xml:space="preserve">             修改类型：修改</w:t>
      </w:r>
    </w:p>
    <w:p>
      <w:pPr>
        <w:spacing w:line="44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ascii="宋体" w:hAnsi="宋体"/>
          <w:color w:val="auto"/>
          <w:szCs w:val="21"/>
          <w:highlight w:val="none"/>
        </w:rPr>
        <w:t>29.2</w:t>
      </w:r>
      <w:r>
        <w:rPr>
          <w:rFonts w:hint="eastAsia" w:ascii="宋体" w:hAnsi="宋体"/>
          <w:color w:val="auto"/>
          <w:szCs w:val="21"/>
          <w:highlight w:val="none"/>
        </w:rPr>
        <w:t>中标通知书发出之日起</w:t>
      </w:r>
      <w:r>
        <w:rPr>
          <w:rFonts w:ascii="宋体" w:hAnsi="宋体"/>
          <w:color w:val="auto"/>
          <w:szCs w:val="21"/>
          <w:highlight w:val="none"/>
        </w:rPr>
        <w:t>15</w:t>
      </w:r>
      <w:r>
        <w:rPr>
          <w:rFonts w:hint="eastAsia" w:ascii="宋体" w:hAnsi="宋体"/>
          <w:color w:val="auto"/>
          <w:szCs w:val="21"/>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440" w:lineRule="exact"/>
        <w:ind w:firstLine="413" w:firstLineChars="196"/>
        <w:rPr>
          <w:rFonts w:hint="eastAsia" w:ascii="宋体" w:hAnsi="宋体" w:eastAsia="宋体" w:cs="宋体"/>
          <w:color w:val="auto"/>
          <w:szCs w:val="21"/>
          <w:highlight w:val="none"/>
          <w:lang w:eastAsia="zh-CN"/>
        </w:rPr>
      </w:pPr>
      <w:r>
        <w:rPr>
          <w:rFonts w:hint="eastAsia" w:ascii="宋体" w:hAnsi="宋体" w:cs="宋体"/>
          <w:b/>
          <w:color w:val="auto"/>
          <w:szCs w:val="21"/>
          <w:highlight w:val="none"/>
        </w:rPr>
        <w:t>现文：</w:t>
      </w:r>
      <w:r>
        <w:rPr>
          <w:rFonts w:ascii="宋体" w:hAnsi="宋体"/>
          <w:color w:val="auto"/>
          <w:szCs w:val="21"/>
          <w:highlight w:val="none"/>
        </w:rPr>
        <w:t>29.2</w:t>
      </w:r>
      <w:r>
        <w:rPr>
          <w:rFonts w:hint="eastAsia" w:ascii="宋体" w:eastAsia="宋体" w:cs="宋体"/>
          <w:color w:val="auto"/>
          <w:szCs w:val="21"/>
          <w:highlight w:val="none"/>
          <w:u w:val="single"/>
        </w:rPr>
        <w:t>按合同条款约定时间内，中标人未按上款的规定提交履约担保，</w:t>
      </w:r>
      <w:r>
        <w:rPr>
          <w:rFonts w:hint="eastAsia" w:ascii="宋体" w:eastAsia="宋体" w:cs="宋体"/>
          <w:color w:val="auto"/>
          <w:szCs w:val="21"/>
          <w:highlight w:val="none"/>
        </w:rPr>
        <w:t>招标人将解除中标通知书，原中标人的投标保证金不予退还，且依法承担相应法律责任。原中标人给招标人造成的损失超过投标保证金数额的，还应当对超过部分予以赔偿。原中标人有异议的，可以向人民法院起诉</w:t>
      </w:r>
      <w:r>
        <w:rPr>
          <w:rFonts w:hint="eastAsia" w:ascii="宋体" w:eastAsia="宋体" w:cs="宋体"/>
          <w:color w:val="auto"/>
          <w:szCs w:val="21"/>
          <w:highlight w:val="none"/>
          <w:lang w:eastAsia="zh-CN"/>
        </w:rPr>
        <w:t>。</w:t>
      </w:r>
    </w:p>
    <w:p>
      <w:pPr>
        <w:spacing w:line="360" w:lineRule="auto"/>
        <w:ind w:firstLine="472" w:firstLineChars="224"/>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color w:val="auto"/>
          <w:sz w:val="21"/>
          <w:szCs w:val="21"/>
          <w:highlight w:val="none"/>
        </w:rPr>
        <w:t xml:space="preserve">30.1   </w:t>
      </w:r>
      <w:r>
        <w:rPr>
          <w:rFonts w:hint="eastAsia" w:ascii="宋体" w:hAnsi="宋体" w:eastAsia="宋体" w:cs="宋体"/>
          <w:b/>
          <w:color w:val="auto"/>
          <w:sz w:val="21"/>
          <w:szCs w:val="21"/>
          <w:highlight w:val="none"/>
        </w:rPr>
        <w:t xml:space="preserve">        修改类型：修改</w:t>
      </w:r>
    </w:p>
    <w:p>
      <w:pPr>
        <w:spacing w:line="360" w:lineRule="auto"/>
        <w:ind w:firstLine="472" w:firstLineChars="224"/>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在合同双方全权代表在合同协议书上签字，并分别加盖双方单位的公章后，合同正式生效。</w:t>
      </w:r>
    </w:p>
    <w:p>
      <w:pPr>
        <w:pBdr>
          <w:bottom w:val="single" w:color="auto" w:sz="6" w:space="1"/>
        </w:pBdr>
        <w:spacing w:line="360" w:lineRule="auto"/>
        <w:ind w:firstLine="527" w:firstLineChars="250"/>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kern w:val="0"/>
          <w:sz w:val="21"/>
          <w:szCs w:val="21"/>
          <w:highlight w:val="none"/>
          <w:u w:val="single"/>
          <w:lang w:bidi="ar"/>
        </w:rPr>
        <w:t>合同自发包人、承包人双方法定代表人或委托代理人签字并加盖公章之日起生效</w:t>
      </w:r>
      <w:r>
        <w:rPr>
          <w:rFonts w:hint="eastAsia" w:ascii="宋体" w:hAnsi="宋体" w:eastAsia="宋体" w:cs="宋体"/>
          <w:color w:val="auto"/>
          <w:sz w:val="21"/>
          <w:szCs w:val="21"/>
          <w:highlight w:val="none"/>
        </w:rPr>
        <w:t>。</w:t>
      </w:r>
    </w:p>
    <w:p>
      <w:pPr>
        <w:spacing w:line="360" w:lineRule="auto"/>
        <w:ind w:firstLine="472" w:firstLineChars="224"/>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color w:val="auto"/>
          <w:sz w:val="21"/>
          <w:szCs w:val="21"/>
          <w:highlight w:val="none"/>
        </w:rPr>
        <w:t>30.2</w:t>
      </w:r>
      <w:r>
        <w:rPr>
          <w:rFonts w:hint="eastAsia" w:ascii="宋体" w:hAnsi="宋体" w:eastAsia="宋体" w:cs="宋体"/>
          <w:b/>
          <w:color w:val="auto"/>
          <w:sz w:val="21"/>
          <w:szCs w:val="21"/>
          <w:highlight w:val="none"/>
        </w:rPr>
        <w:t xml:space="preserve">           修改类型：增加</w:t>
      </w:r>
    </w:p>
    <w:p>
      <w:pPr>
        <w:pBdr>
          <w:bottom w:val="single" w:color="auto" w:sz="6" w:space="1"/>
        </w:pBdr>
        <w:spacing w:line="360" w:lineRule="auto"/>
        <w:ind w:firstLine="422" w:firstLineChars="200"/>
        <w:jc w:val="left"/>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u w:val="single"/>
        </w:rPr>
        <w:t>30.2本工程招标经开标、评审确定中标人后，由本工程生产单位广州港股份有限公司</w:t>
      </w:r>
      <w:r>
        <w:rPr>
          <w:rFonts w:hint="eastAsia" w:ascii="宋体" w:hAnsi="宋体" w:eastAsia="宋体" w:cs="宋体"/>
          <w:color w:val="auto"/>
          <w:sz w:val="21"/>
          <w:szCs w:val="21"/>
          <w:highlight w:val="none"/>
          <w:u w:val="single"/>
          <w:lang w:val="en-US" w:eastAsia="zh-CN"/>
        </w:rPr>
        <w:t>新港港务</w:t>
      </w:r>
      <w:r>
        <w:rPr>
          <w:rFonts w:hint="eastAsia" w:ascii="宋体" w:hAnsi="宋体" w:eastAsia="宋体" w:cs="宋体"/>
          <w:color w:val="auto"/>
          <w:sz w:val="21"/>
          <w:szCs w:val="21"/>
          <w:highlight w:val="none"/>
          <w:u w:val="single"/>
        </w:rPr>
        <w:t>分公司与中标人按招标规定的建设工程施工合同范本签订施工合同。</w:t>
      </w:r>
    </w:p>
    <w:p>
      <w:pPr>
        <w:spacing w:line="440" w:lineRule="exact"/>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条款号：31.1             修改类型：增加</w:t>
      </w:r>
    </w:p>
    <w:p>
      <w:pPr>
        <w:pBdr>
          <w:bottom w:val="single" w:color="auto" w:sz="6" w:space="1"/>
        </w:pBdr>
        <w:spacing w:line="440" w:lineRule="exact"/>
        <w:ind w:firstLine="413" w:firstLineChars="196"/>
        <w:rPr>
          <w:rFonts w:hint="eastAsia" w:ascii="宋体" w:hAnsi="宋体" w:eastAsia="宋体" w:cs="宋体"/>
          <w:color w:val="auto"/>
          <w:szCs w:val="21"/>
          <w:highlight w:val="none"/>
          <w:lang w:eastAsia="zh-CN"/>
        </w:rPr>
      </w:pPr>
      <w:r>
        <w:rPr>
          <w:rFonts w:hint="eastAsia" w:ascii="宋体" w:hAnsi="宋体" w:cs="宋体"/>
          <w:b/>
          <w:color w:val="auto"/>
          <w:szCs w:val="21"/>
          <w:highlight w:val="none"/>
        </w:rPr>
        <w:t>现文：</w:t>
      </w:r>
      <w:r>
        <w:rPr>
          <w:rFonts w:hint="eastAsia" w:ascii="宋体" w:hAnsi="宋体" w:cs="宋体"/>
          <w:color w:val="auto"/>
          <w:szCs w:val="21"/>
          <w:highlight w:val="none"/>
        </w:rPr>
        <w:t>31.1中标人应在广州交易集团有限公司（广州公共资源交易中心）交纳公共资源交易服务费，该费用包含在投标报价中，招标人不另行支付。</w:t>
      </w:r>
    </w:p>
    <w:p>
      <w:pPr>
        <w:spacing w:line="440" w:lineRule="exact"/>
        <w:ind w:firstLine="413" w:firstLineChars="196"/>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条款号：3</w:t>
      </w:r>
      <w:r>
        <w:rPr>
          <w:rFonts w:hint="eastAsia" w:ascii="宋体" w:hAnsi="宋体" w:cs="宋体"/>
          <w:b/>
          <w:color w:val="auto"/>
          <w:szCs w:val="21"/>
          <w:highlight w:val="none"/>
          <w:lang w:val="en-US" w:eastAsia="zh-CN"/>
        </w:rPr>
        <w:t>2</w:t>
      </w:r>
      <w:r>
        <w:rPr>
          <w:rFonts w:ascii="宋体" w:hAnsi="宋体" w:cs="宋体"/>
          <w:b/>
          <w:color w:val="auto"/>
          <w:szCs w:val="21"/>
          <w:highlight w:val="none"/>
        </w:rPr>
        <w:t>.</w:t>
      </w:r>
      <w:r>
        <w:rPr>
          <w:rFonts w:hint="eastAsia" w:ascii="宋体" w:hAnsi="宋体" w:cs="宋体"/>
          <w:b/>
          <w:color w:val="auto"/>
          <w:szCs w:val="21"/>
          <w:highlight w:val="none"/>
          <w:lang w:val="en-US" w:eastAsia="zh-CN"/>
        </w:rPr>
        <w:t>3</w:t>
      </w:r>
      <w:r>
        <w:rPr>
          <w:rFonts w:ascii="宋体" w:hAnsi="宋体" w:cs="宋体"/>
          <w:b/>
          <w:color w:val="auto"/>
          <w:szCs w:val="21"/>
          <w:highlight w:val="none"/>
        </w:rPr>
        <w:t xml:space="preserve">             </w:t>
      </w:r>
      <w:r>
        <w:rPr>
          <w:rFonts w:hint="eastAsia" w:ascii="宋体" w:hAnsi="宋体" w:cs="宋体"/>
          <w:b/>
          <w:color w:val="auto"/>
          <w:szCs w:val="21"/>
          <w:highlight w:val="none"/>
        </w:rPr>
        <w:t>修改类型：</w:t>
      </w:r>
      <w:r>
        <w:rPr>
          <w:rFonts w:hint="eastAsia" w:ascii="宋体" w:hAnsi="宋体" w:cs="宋体"/>
          <w:b/>
          <w:color w:val="auto"/>
          <w:szCs w:val="21"/>
          <w:highlight w:val="none"/>
          <w:lang w:val="en-US" w:eastAsia="zh-CN"/>
        </w:rPr>
        <w:t>修改</w:t>
      </w:r>
    </w:p>
    <w:p>
      <w:pPr>
        <w:pBdr>
          <w:bottom w:val="single" w:color="auto" w:sz="6" w:space="1"/>
        </w:pBdr>
        <w:spacing w:line="440" w:lineRule="exact"/>
        <w:ind w:firstLine="413" w:firstLineChars="196"/>
        <w:rPr>
          <w:rFonts w:hint="eastAsia" w:ascii="宋体" w:hAnsi="宋体" w:cs="宋体"/>
          <w:color w:val="auto"/>
          <w:szCs w:val="21"/>
          <w:highlight w:val="none"/>
        </w:rPr>
      </w:pPr>
      <w:r>
        <w:rPr>
          <w:rFonts w:hint="eastAsia" w:ascii="宋体" w:hAnsi="宋体" w:cs="宋体"/>
          <w:b/>
          <w:color w:val="auto"/>
          <w:szCs w:val="21"/>
          <w:highlight w:val="none"/>
          <w:lang w:val="en-US" w:eastAsia="zh-CN"/>
        </w:rPr>
        <w:t>原</w:t>
      </w:r>
      <w:r>
        <w:rPr>
          <w:rFonts w:hint="eastAsia" w:ascii="宋体" w:hAnsi="宋体" w:cs="宋体"/>
          <w:b/>
          <w:color w:val="auto"/>
          <w:szCs w:val="21"/>
          <w:highlight w:val="none"/>
        </w:rPr>
        <w:t>文：</w:t>
      </w:r>
      <w:r>
        <w:rPr>
          <w:rFonts w:hint="eastAsia" w:ascii="宋体" w:hAnsi="宋体" w:cs="宋体"/>
          <w:color w:val="auto"/>
          <w:szCs w:val="21"/>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pPr>
        <w:pBdr>
          <w:bottom w:val="single" w:color="auto" w:sz="6" w:space="1"/>
        </w:pBdr>
        <w:spacing w:line="440" w:lineRule="exact"/>
        <w:ind w:firstLine="413" w:firstLineChars="196"/>
        <w:rPr>
          <w:rFonts w:ascii="宋体" w:hAnsi="宋体" w:cs="宋体"/>
          <w:b w:val="0"/>
          <w:bCs/>
          <w:color w:val="auto"/>
          <w:szCs w:val="21"/>
          <w:highlight w:val="none"/>
        </w:rPr>
      </w:pPr>
      <w:r>
        <w:rPr>
          <w:rFonts w:hint="eastAsia" w:ascii="宋体" w:hAnsi="宋体" w:cs="宋体"/>
          <w:b/>
          <w:color w:val="auto"/>
          <w:szCs w:val="21"/>
          <w:highlight w:val="none"/>
          <w:lang w:val="en-US" w:eastAsia="zh-CN"/>
        </w:rPr>
        <w:t>现</w:t>
      </w:r>
      <w:r>
        <w:rPr>
          <w:rFonts w:hint="eastAsia" w:ascii="宋体" w:hAnsi="宋体" w:cs="宋体"/>
          <w:b/>
          <w:color w:val="auto"/>
          <w:szCs w:val="21"/>
          <w:highlight w:val="none"/>
        </w:rPr>
        <w:t>文：</w:t>
      </w:r>
      <w:r>
        <w:rPr>
          <w:rFonts w:hint="eastAsia" w:ascii="宋体" w:hAnsi="宋体" w:eastAsia="宋体" w:cs="宋体"/>
          <w:color w:val="auto"/>
          <w:szCs w:val="21"/>
          <w:highlight w:val="none"/>
        </w:rPr>
        <w:t>32.3</w:t>
      </w:r>
      <w:r>
        <w:rPr>
          <w:rFonts w:hint="eastAsia" w:ascii="宋体" w:hAnsi="宋体" w:eastAsia="宋体" w:cs="宋体"/>
          <w:bCs/>
          <w:color w:val="auto"/>
          <w:kern w:val="0"/>
          <w:sz w:val="22"/>
          <w:highlight w:val="none"/>
        </w:rPr>
        <w:t>投</w:t>
      </w:r>
      <w:r>
        <w:rPr>
          <w:rFonts w:hint="eastAsia" w:ascii="宋体" w:hAnsi="宋体" w:eastAsia="宋体" w:cs="宋体"/>
          <w:b w:val="0"/>
          <w:bCs/>
          <w:color w:val="auto"/>
          <w:kern w:val="0"/>
          <w:sz w:val="22"/>
          <w:highlight w:val="none"/>
        </w:rPr>
        <w:t>标人如在本项目中存在串通投标、弄虚作假骗取中标、行贿情形的，中标无效，行政监督部门将对其违法行为进行政处罚。该投标人将被招标人列入黑名单并限制其参与招标人后续项目的投标</w:t>
      </w:r>
      <w:r>
        <w:rPr>
          <w:rFonts w:hint="eastAsia" w:ascii="宋体" w:hAnsi="宋体" w:eastAsia="宋体" w:cs="宋体"/>
          <w:b w:val="0"/>
          <w:bCs/>
          <w:color w:val="auto"/>
          <w:kern w:val="0"/>
          <w:sz w:val="22"/>
          <w:highlight w:val="none"/>
          <w:lang w:eastAsia="zh-CN"/>
        </w:rPr>
        <w:t>。</w:t>
      </w:r>
    </w:p>
    <w:p>
      <w:pPr>
        <w:spacing w:line="440" w:lineRule="exact"/>
        <w:ind w:firstLine="422" w:firstLineChars="200"/>
        <w:rPr>
          <w:rFonts w:ascii="宋体" w:hAnsi="宋体"/>
          <w:b/>
          <w:color w:val="auto"/>
          <w:szCs w:val="21"/>
          <w:highlight w:val="none"/>
        </w:rPr>
      </w:pPr>
      <w:r>
        <w:rPr>
          <w:rFonts w:hint="eastAsia" w:ascii="宋体" w:hAnsi="宋体"/>
          <w:b/>
          <w:color w:val="auto"/>
          <w:szCs w:val="21"/>
          <w:highlight w:val="none"/>
        </w:rPr>
        <w:t>条款号：</w:t>
      </w:r>
      <w:r>
        <w:rPr>
          <w:rFonts w:hint="eastAsia" w:ascii="宋体" w:hAnsi="宋体"/>
          <w:b/>
          <w:color w:val="auto"/>
          <w:szCs w:val="21"/>
          <w:highlight w:val="none"/>
          <w:lang w:val="en-US" w:eastAsia="zh-CN"/>
        </w:rPr>
        <w:t xml:space="preserve">33              </w:t>
      </w:r>
      <w:r>
        <w:rPr>
          <w:rFonts w:hint="eastAsia" w:ascii="宋体" w:hAnsi="宋体"/>
          <w:b/>
          <w:color w:val="auto"/>
          <w:szCs w:val="21"/>
          <w:highlight w:val="none"/>
        </w:rPr>
        <w:t>修改类型：删除</w:t>
      </w:r>
    </w:p>
    <w:p>
      <w:pPr>
        <w:pBdr>
          <w:bottom w:val="single" w:color="auto" w:sz="6" w:space="1"/>
        </w:pBdr>
        <w:spacing w:line="440" w:lineRule="exact"/>
        <w:ind w:firstLine="413" w:firstLineChars="196"/>
        <w:rPr>
          <w:rFonts w:hint="eastAsia" w:ascii="宋体" w:hAnsi="宋体"/>
          <w:b w:val="0"/>
          <w:bCs/>
          <w:color w:val="auto"/>
          <w:szCs w:val="21"/>
          <w:highlight w:val="none"/>
        </w:rPr>
      </w:pPr>
      <w:r>
        <w:rPr>
          <w:rFonts w:hint="eastAsia" w:ascii="宋体" w:hAnsi="宋体"/>
          <w:b/>
          <w:color w:val="auto"/>
          <w:szCs w:val="21"/>
          <w:highlight w:val="none"/>
        </w:rPr>
        <w:t>原文：</w:t>
      </w:r>
      <w:r>
        <w:rPr>
          <w:rFonts w:hint="eastAsia" w:ascii="宋体" w:hAnsi="宋体"/>
          <w:b w:val="0"/>
          <w:bCs/>
          <w:color w:val="auto"/>
          <w:szCs w:val="21"/>
          <w:highlight w:val="none"/>
        </w:rPr>
        <w:t>33. 投标人信誉的要求</w:t>
      </w:r>
    </w:p>
    <w:p>
      <w:pPr>
        <w:pBdr>
          <w:bottom w:val="single" w:color="auto" w:sz="6" w:space="1"/>
        </w:pBdr>
        <w:spacing w:line="440" w:lineRule="exact"/>
        <w:ind w:firstLine="411" w:firstLineChars="196"/>
        <w:rPr>
          <w:rFonts w:hint="eastAsia" w:ascii="宋体" w:hAnsi="宋体"/>
          <w:b w:val="0"/>
          <w:bCs/>
          <w:color w:val="auto"/>
          <w:szCs w:val="21"/>
          <w:highlight w:val="none"/>
        </w:rPr>
      </w:pPr>
      <w:r>
        <w:rPr>
          <w:rFonts w:hint="eastAsia" w:ascii="宋体" w:hAnsi="宋体"/>
          <w:b w:val="0"/>
          <w:bCs/>
          <w:color w:val="auto"/>
          <w:szCs w:val="21"/>
          <w:highlight w:val="none"/>
        </w:rPr>
        <w:t>存在下列情形之一的，招标人可以限制其投标（需在招标文件中明确评定方法）</w:t>
      </w:r>
    </w:p>
    <w:p>
      <w:pPr>
        <w:pBdr>
          <w:bottom w:val="single" w:color="auto" w:sz="6" w:space="1"/>
        </w:pBdr>
        <w:spacing w:line="440" w:lineRule="exact"/>
        <w:ind w:firstLine="411" w:firstLineChars="196"/>
        <w:rPr>
          <w:rFonts w:hint="eastAsia" w:ascii="宋体" w:hAnsi="宋体"/>
          <w:b w:val="0"/>
          <w:bCs/>
          <w:color w:val="auto"/>
          <w:szCs w:val="21"/>
          <w:highlight w:val="none"/>
        </w:rPr>
      </w:pPr>
      <w:r>
        <w:rPr>
          <w:rFonts w:hint="eastAsia" w:ascii="宋体" w:hAnsi="宋体"/>
          <w:b w:val="0"/>
          <w:bCs/>
          <w:color w:val="auto"/>
          <w:szCs w:val="21"/>
          <w:highlight w:val="none"/>
        </w:rPr>
        <w:t>（1）被住房城乡建设行政主管部门在全国建筑市场监管一体化工作平台列入建筑市场主体“黑名单”；</w:t>
      </w:r>
    </w:p>
    <w:p>
      <w:pPr>
        <w:pBdr>
          <w:bottom w:val="single" w:color="auto" w:sz="6" w:space="1"/>
        </w:pBdr>
        <w:spacing w:line="440" w:lineRule="exact"/>
        <w:ind w:firstLine="411" w:firstLineChars="196"/>
        <w:rPr>
          <w:rFonts w:hint="eastAsia" w:ascii="宋体" w:hAnsi="宋体" w:eastAsia="仿宋" w:cs="宋体"/>
          <w:color w:val="auto"/>
          <w:szCs w:val="21"/>
          <w:highlight w:val="none"/>
          <w:lang w:eastAsia="zh-CN"/>
        </w:rPr>
      </w:pPr>
      <w:r>
        <w:rPr>
          <w:rFonts w:hint="eastAsia" w:ascii="宋体" w:hAnsi="宋体"/>
          <w:b w:val="0"/>
          <w:bCs/>
          <w:color w:val="auto"/>
          <w:szCs w:val="21"/>
          <w:highlight w:val="none"/>
        </w:rPr>
        <w:t>（2）被发改委、人力资源社会保障、质检总局等有关部门、单位在“信用中国”网站中列入联合惩戒失信黑名单。</w:t>
      </w:r>
    </w:p>
    <w:p>
      <w:pPr>
        <w:spacing w:line="440" w:lineRule="exact"/>
        <w:rPr>
          <w:rFonts w:ascii="宋体" w:hAnsi="宋体"/>
          <w:b/>
          <w:color w:val="auto"/>
          <w:szCs w:val="21"/>
          <w:highlight w:val="none"/>
        </w:rPr>
      </w:pPr>
      <w:r>
        <w:rPr>
          <w:rFonts w:hint="eastAsia" w:ascii="宋体" w:hAnsi="宋体"/>
          <w:b/>
          <w:color w:val="auto"/>
          <w:szCs w:val="21"/>
          <w:highlight w:val="none"/>
        </w:rPr>
        <w:t>注：以上修改，仅限于本范本中有可供选择条款的情形。</w:t>
      </w:r>
    </w:p>
    <w:p>
      <w:pPr>
        <w:spacing w:line="440" w:lineRule="exact"/>
        <w:rPr>
          <w:rFonts w:ascii="宋体" w:hAnsi="宋体"/>
          <w:color w:val="auto"/>
          <w:szCs w:val="21"/>
          <w:highlight w:val="none"/>
        </w:rPr>
      </w:pPr>
      <w:r>
        <w:rPr>
          <w:rFonts w:hint="eastAsia" w:ascii="宋体" w:hAnsi="宋体"/>
          <w:b/>
          <w:color w:val="auto"/>
          <w:szCs w:val="21"/>
          <w:highlight w:val="none"/>
        </w:rPr>
        <w:t>（以下无正文）</w:t>
      </w:r>
    </w:p>
    <w:p>
      <w:pPr>
        <w:pStyle w:val="4"/>
        <w:ind w:left="0" w:leftChars="0" w:firstLine="0" w:firstLineChars="0"/>
        <w:jc w:val="center"/>
        <w:rPr>
          <w:rFonts w:ascii="宋体" w:hAnsi="宋体"/>
          <w:color w:val="auto"/>
          <w:sz w:val="21"/>
          <w:szCs w:val="21"/>
          <w:highlight w:val="none"/>
        </w:rPr>
      </w:pPr>
      <w:r>
        <w:rPr>
          <w:rFonts w:ascii="宋体" w:hAnsi="宋体"/>
          <w:color w:val="auto"/>
          <w:sz w:val="21"/>
          <w:szCs w:val="21"/>
          <w:highlight w:val="none"/>
        </w:rPr>
        <w:br w:type="page"/>
      </w:r>
      <w:bookmarkStart w:id="7" w:name="_Toc3538"/>
      <w:bookmarkStart w:id="8" w:name="_Toc21525492"/>
      <w:bookmarkStart w:id="9" w:name="_Toc2272548"/>
      <w:r>
        <w:rPr>
          <w:rFonts w:hint="eastAsia" w:ascii="宋体" w:hAnsi="宋体"/>
          <w:color w:val="auto"/>
          <w:sz w:val="21"/>
          <w:szCs w:val="21"/>
          <w:highlight w:val="none"/>
        </w:rPr>
        <w:t>三、投标须知通用条款</w:t>
      </w:r>
      <w:bookmarkEnd w:id="7"/>
      <w:bookmarkEnd w:id="8"/>
      <w:bookmarkEnd w:id="9"/>
    </w:p>
    <w:p>
      <w:pPr>
        <w:pStyle w:val="5"/>
        <w:spacing w:before="156" w:after="156"/>
        <w:rPr>
          <w:color w:val="auto"/>
          <w:sz w:val="21"/>
          <w:szCs w:val="21"/>
          <w:highlight w:val="none"/>
        </w:rPr>
      </w:pPr>
      <w:bookmarkStart w:id="10" w:name="_Toc28957"/>
      <w:bookmarkStart w:id="11" w:name="_Toc21525493"/>
      <w:bookmarkStart w:id="12" w:name="_Toc2272549"/>
      <w:r>
        <w:rPr>
          <w:rFonts w:hint="eastAsia"/>
          <w:color w:val="auto"/>
          <w:sz w:val="21"/>
          <w:szCs w:val="21"/>
          <w:highlight w:val="none"/>
        </w:rPr>
        <w:t>（一）总则</w:t>
      </w:r>
      <w:bookmarkEnd w:id="10"/>
      <w:bookmarkEnd w:id="11"/>
      <w:bookmarkEnd w:id="12"/>
    </w:p>
    <w:p>
      <w:pPr>
        <w:pStyle w:val="37"/>
        <w:spacing w:after="0"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1、定义</w:t>
      </w:r>
    </w:p>
    <w:p>
      <w:pPr>
        <w:pStyle w:val="37"/>
        <w:spacing w:after="0" w:line="360" w:lineRule="auto"/>
        <w:ind w:firstLineChars="200"/>
        <w:rPr>
          <w:rFonts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本招标文件使用的下列词语具有如下规定的意义：</w:t>
      </w:r>
    </w:p>
    <w:p>
      <w:pPr>
        <w:pStyle w:val="37"/>
        <w:spacing w:after="0" w:line="360" w:lineRule="auto"/>
        <w:ind w:firstLineChars="200"/>
        <w:rPr>
          <w:rFonts w:ascii="宋体" w:hAnsi="宋体" w:eastAsia="宋体" w:cs="宋体"/>
          <w:b/>
          <w:bCs/>
          <w:color w:val="auto"/>
          <w:sz w:val="21"/>
          <w:szCs w:val="21"/>
          <w:highlight w:val="none"/>
          <w:u w:val="single"/>
        </w:rPr>
      </w:pPr>
      <w:r>
        <w:rPr>
          <w:rFonts w:hint="eastAsia" w:ascii="宋体" w:hAnsi="宋体" w:eastAsia="宋体" w:cs="宋体"/>
          <w:color w:val="auto"/>
          <w:sz w:val="21"/>
          <w:szCs w:val="21"/>
          <w:highlight w:val="none"/>
        </w:rPr>
        <w:t>（1）“招标人”（即发包人）、“项目建设管理单位”（或称“项目代建单位”）、“招标代理”、“设计单位”、“监理单位”均已在投标须知前附表中列明。</w:t>
      </w:r>
    </w:p>
    <w:p>
      <w:pPr>
        <w:pStyle w:val="37"/>
        <w:spacing w:after="0" w:line="360" w:lineRule="auto"/>
        <w:ind w:firstLineChars="200"/>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（2）“投标人”指向招标人提交投标文件的当事人。</w:t>
      </w:r>
    </w:p>
    <w:p>
      <w:pPr>
        <w:pStyle w:val="37"/>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（3）“承包人”指其投标被招标人接受并与其签订承包合同的当事人。</w:t>
      </w:r>
    </w:p>
    <w:p>
      <w:pPr>
        <w:pStyle w:val="37"/>
        <w:spacing w:after="0" w:line="360" w:lineRule="auto"/>
        <w:ind w:firstLineChars="200"/>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（4）“招标文件”指由招标代理发出的本文件（包括全部章节、附件）及招标答疑会会议纪要和</w:t>
      </w:r>
      <w:r>
        <w:rPr>
          <w:rFonts w:hint="eastAsia" w:ascii="宋体" w:hAnsi="宋体" w:eastAsia="宋体" w:cs="宋体"/>
          <w:bCs/>
          <w:color w:val="auto"/>
          <w:sz w:val="21"/>
          <w:szCs w:val="21"/>
          <w:highlight w:val="none"/>
        </w:rPr>
        <w:t>招标文件的澄清与修改</w:t>
      </w:r>
      <w:r>
        <w:rPr>
          <w:rFonts w:hint="eastAsia" w:ascii="宋体" w:hAnsi="宋体" w:eastAsia="宋体" w:cs="宋体"/>
          <w:color w:val="auto"/>
          <w:sz w:val="21"/>
          <w:szCs w:val="21"/>
          <w:highlight w:val="none"/>
        </w:rPr>
        <w:t>文件。</w:t>
      </w:r>
    </w:p>
    <w:p>
      <w:pPr>
        <w:pStyle w:val="37"/>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（5）“投标文件”指投标人根据本项目招标文件向招标人提交的全部文件。</w:t>
      </w:r>
    </w:p>
    <w:p>
      <w:pPr>
        <w:pStyle w:val="37"/>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（6）“书面形式”指打字或印刷的文件和数据电文（包括电报、电传、传真、电子数据交换和电子邮件）。</w:t>
      </w:r>
    </w:p>
    <w:p>
      <w:pPr>
        <w:spacing w:line="360" w:lineRule="auto"/>
        <w:ind w:firstLine="422" w:firstLineChars="200"/>
        <w:rPr>
          <w:rFonts w:ascii="宋体" w:hAnsi="宋体"/>
          <w:b/>
          <w:color w:val="auto"/>
          <w:szCs w:val="21"/>
          <w:highlight w:val="none"/>
        </w:rPr>
      </w:pPr>
      <w:r>
        <w:rPr>
          <w:rFonts w:ascii="宋体" w:hAnsi="宋体"/>
          <w:b/>
          <w:color w:val="auto"/>
          <w:szCs w:val="21"/>
          <w:highlight w:val="none"/>
        </w:rPr>
        <w:t>2</w:t>
      </w:r>
      <w:r>
        <w:rPr>
          <w:rFonts w:hint="eastAsia" w:ascii="宋体" w:hAnsi="宋体"/>
          <w:b/>
          <w:color w:val="auto"/>
          <w:szCs w:val="21"/>
          <w:highlight w:val="none"/>
        </w:rPr>
        <w:t>、招标说明</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2.1</w:t>
      </w:r>
      <w:r>
        <w:rPr>
          <w:rFonts w:hint="eastAsia" w:ascii="宋体" w:hAnsi="宋体"/>
          <w:bCs/>
          <w:color w:val="auto"/>
          <w:szCs w:val="21"/>
          <w:highlight w:val="none"/>
        </w:rPr>
        <w:t>本招标工程项目按照《中华人民共和国招标投标法》等有关法律、行政法规、规章和规范性文件，通过招标方式选定承包人。</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2.2</w:t>
      </w:r>
      <w:r>
        <w:rPr>
          <w:rFonts w:hint="eastAsia" w:ascii="宋体" w:hAnsi="宋体"/>
          <w:bCs/>
          <w:color w:val="auto"/>
          <w:szCs w:val="21"/>
          <w:highlight w:val="none"/>
        </w:rPr>
        <w:t>工程名称、建设地点、建设规模、承包方式、质量标准、招标范围、工期要求等均在投标须知前附表中列明。</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2.3</w:t>
      </w:r>
      <w:r>
        <w:rPr>
          <w:rFonts w:hint="eastAsia" w:ascii="宋体" w:hAnsi="宋体"/>
          <w:bCs/>
          <w:color w:val="auto"/>
          <w:szCs w:val="21"/>
          <w:highlight w:val="none"/>
        </w:rPr>
        <w:t>设计说明：详见招标图纸。</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2.4</w:t>
      </w:r>
      <w:r>
        <w:rPr>
          <w:rFonts w:hint="eastAsia" w:ascii="宋体" w:hAnsi="宋体"/>
          <w:bCs/>
          <w:color w:val="auto"/>
          <w:szCs w:val="21"/>
          <w:highlight w:val="none"/>
        </w:rPr>
        <w:t>工程施工特点：详见招标图纸。</w:t>
      </w:r>
    </w:p>
    <w:p>
      <w:pPr>
        <w:tabs>
          <w:tab w:val="left" w:pos="105"/>
        </w:tabs>
        <w:spacing w:line="360" w:lineRule="auto"/>
        <w:ind w:firstLine="422" w:firstLineChars="200"/>
        <w:rPr>
          <w:rFonts w:ascii="宋体" w:hAnsi="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．资金来源</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3.1</w:t>
      </w:r>
      <w:r>
        <w:rPr>
          <w:rFonts w:hint="eastAsia" w:ascii="宋体" w:hAnsi="宋体"/>
          <w:bCs/>
          <w:color w:val="auto"/>
          <w:szCs w:val="21"/>
          <w:highlight w:val="none"/>
        </w:rPr>
        <w:t>本招标工程项目资金来源见投标须知前附表第</w:t>
      </w:r>
      <w:r>
        <w:rPr>
          <w:rFonts w:ascii="宋体" w:hAnsi="宋体"/>
          <w:bCs/>
          <w:color w:val="auto"/>
          <w:szCs w:val="21"/>
          <w:highlight w:val="none"/>
        </w:rPr>
        <w:t>9</w:t>
      </w:r>
      <w:r>
        <w:rPr>
          <w:rFonts w:hint="eastAsia" w:ascii="宋体" w:hAnsi="宋体"/>
          <w:bCs/>
          <w:color w:val="auto"/>
          <w:szCs w:val="21"/>
          <w:highlight w:val="none"/>
        </w:rPr>
        <w:t>项</w:t>
      </w:r>
    </w:p>
    <w:p>
      <w:pPr>
        <w:tabs>
          <w:tab w:val="left" w:pos="105"/>
        </w:tabs>
        <w:spacing w:line="360" w:lineRule="auto"/>
        <w:ind w:firstLine="422" w:firstLineChars="200"/>
        <w:rPr>
          <w:rFonts w:ascii="宋体" w:hAnsi="宋体"/>
          <w:b/>
          <w:color w:val="auto"/>
          <w:szCs w:val="21"/>
          <w:highlight w:val="none"/>
        </w:rPr>
      </w:pPr>
      <w:r>
        <w:rPr>
          <w:rFonts w:ascii="宋体" w:hAnsi="宋体"/>
          <w:b/>
          <w:color w:val="auto"/>
          <w:szCs w:val="21"/>
          <w:highlight w:val="none"/>
        </w:rPr>
        <w:t>4</w:t>
      </w:r>
      <w:r>
        <w:rPr>
          <w:rFonts w:hint="eastAsia" w:ascii="宋体" w:hAnsi="宋体"/>
          <w:b/>
          <w:color w:val="auto"/>
          <w:szCs w:val="21"/>
          <w:highlight w:val="none"/>
        </w:rPr>
        <w:t>．合格投标人的条件</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4.1</w:t>
      </w:r>
      <w:r>
        <w:rPr>
          <w:rFonts w:hint="eastAsia" w:ascii="宋体" w:hAnsi="宋体"/>
          <w:bCs/>
          <w:color w:val="auto"/>
          <w:szCs w:val="21"/>
          <w:highlight w:val="none"/>
        </w:rPr>
        <w:t>详见本项目招标公告</w:t>
      </w:r>
    </w:p>
    <w:p>
      <w:pPr>
        <w:tabs>
          <w:tab w:val="left" w:pos="105"/>
        </w:tabs>
        <w:spacing w:line="360" w:lineRule="auto"/>
        <w:ind w:firstLine="422" w:firstLineChars="200"/>
        <w:rPr>
          <w:rFonts w:ascii="宋体" w:hAnsi="宋体"/>
          <w:b/>
          <w:color w:val="auto"/>
          <w:szCs w:val="21"/>
          <w:highlight w:val="none"/>
        </w:rPr>
      </w:pPr>
      <w:r>
        <w:rPr>
          <w:rFonts w:ascii="宋体" w:hAnsi="宋体"/>
          <w:b/>
          <w:color w:val="auto"/>
          <w:szCs w:val="21"/>
          <w:highlight w:val="none"/>
        </w:rPr>
        <w:t>5</w:t>
      </w:r>
      <w:r>
        <w:rPr>
          <w:rFonts w:hint="eastAsia" w:ascii="宋体" w:hAnsi="宋体"/>
          <w:b/>
          <w:color w:val="auto"/>
          <w:szCs w:val="21"/>
          <w:highlight w:val="none"/>
        </w:rPr>
        <w:t>．踏勘现场</w:t>
      </w:r>
    </w:p>
    <w:p>
      <w:pPr>
        <w:spacing w:line="360" w:lineRule="auto"/>
        <w:ind w:firstLine="420" w:firstLineChars="200"/>
        <w:rPr>
          <w:rFonts w:ascii="宋体" w:hAnsi="宋体"/>
          <w:bCs/>
          <w:color w:val="auto"/>
          <w:szCs w:val="21"/>
          <w:highlight w:val="none"/>
          <w:u w:val="single"/>
        </w:rPr>
      </w:pPr>
      <w:r>
        <w:rPr>
          <w:rFonts w:ascii="宋体" w:hAnsi="宋体"/>
          <w:bCs/>
          <w:color w:val="auto"/>
          <w:szCs w:val="21"/>
          <w:highlight w:val="none"/>
        </w:rPr>
        <w:t xml:space="preserve">5.1 </w:t>
      </w:r>
      <w:r>
        <w:rPr>
          <w:rFonts w:hint="eastAsia" w:ascii="宋体" w:hAnsi="宋体"/>
          <w:bCs/>
          <w:color w:val="auto"/>
          <w:szCs w:val="21"/>
          <w:highlight w:val="none"/>
        </w:rPr>
        <w:t>投标人应按本投标须知前附表第</w:t>
      </w:r>
      <w:r>
        <w:rPr>
          <w:rFonts w:ascii="宋体" w:hAnsi="宋体"/>
          <w:bCs/>
          <w:color w:val="auto"/>
          <w:szCs w:val="21"/>
          <w:highlight w:val="none"/>
        </w:rPr>
        <w:t>15</w:t>
      </w:r>
      <w:r>
        <w:rPr>
          <w:rFonts w:hint="eastAsia" w:ascii="宋体" w:hAnsi="宋体"/>
          <w:bCs/>
          <w:color w:val="auto"/>
          <w:szCs w:val="21"/>
          <w:highlight w:val="none"/>
        </w:rPr>
        <w:t>项所述时间和要求对工程现场及周围环境进行踏勘，</w:t>
      </w:r>
      <w:r>
        <w:rPr>
          <w:rFonts w:hint="eastAsia" w:ascii="宋体" w:hAnsi="宋体"/>
          <w:color w:val="auto"/>
          <w:szCs w:val="21"/>
          <w:highlight w:val="none"/>
        </w:rPr>
        <w:t>投标人应充分重视和仔细地进行这种考察，</w:t>
      </w:r>
      <w:r>
        <w:rPr>
          <w:rFonts w:hint="eastAsia" w:ascii="宋体" w:hAnsi="宋体"/>
          <w:bCs/>
          <w:color w:val="auto"/>
          <w:szCs w:val="21"/>
          <w:highlight w:val="none"/>
        </w:rPr>
        <w:t>以便投标人获取</w:t>
      </w:r>
      <w:r>
        <w:rPr>
          <w:rFonts w:hint="eastAsia" w:ascii="宋体" w:hAnsi="宋体"/>
          <w:color w:val="auto"/>
          <w:szCs w:val="21"/>
          <w:highlight w:val="none"/>
        </w:rPr>
        <w:t>那些须投标人自己负责的</w:t>
      </w:r>
      <w:r>
        <w:rPr>
          <w:rFonts w:hint="eastAsia" w:ascii="宋体" w:hAnsi="宋体"/>
          <w:bCs/>
          <w:color w:val="auto"/>
          <w:szCs w:val="21"/>
          <w:highlight w:val="none"/>
        </w:rPr>
        <w:t>有关编制投标文件和签署合同所涉及现场所有的资料。</w:t>
      </w:r>
      <w:r>
        <w:rPr>
          <w:rFonts w:hint="eastAsia" w:ascii="宋体" w:hAnsi="宋体"/>
          <w:color w:val="auto"/>
          <w:szCs w:val="21"/>
          <w:highlight w:val="none"/>
        </w:rPr>
        <w:t>一旦中标，这种考察即被认为其结果已在中标文件中得到充分反映。考察现场的费用由投标人自己承担。</w:t>
      </w:r>
    </w:p>
    <w:p>
      <w:pPr>
        <w:tabs>
          <w:tab w:val="left" w:pos="105"/>
        </w:tabs>
        <w:spacing w:line="360" w:lineRule="auto"/>
        <w:ind w:firstLine="420" w:firstLineChars="200"/>
        <w:rPr>
          <w:rFonts w:ascii="宋体" w:hAnsi="宋体"/>
          <w:bCs/>
          <w:color w:val="auto"/>
          <w:szCs w:val="21"/>
          <w:highlight w:val="none"/>
        </w:rPr>
      </w:pPr>
      <w:r>
        <w:rPr>
          <w:rFonts w:ascii="宋体" w:hAnsi="宋体"/>
          <w:bCs/>
          <w:color w:val="auto"/>
          <w:szCs w:val="21"/>
          <w:highlight w:val="none"/>
        </w:rPr>
        <w:t xml:space="preserve">5.2 </w:t>
      </w:r>
      <w:r>
        <w:rPr>
          <w:rFonts w:hint="eastAsia" w:ascii="宋体" w:hAnsi="宋体"/>
          <w:bCs/>
          <w:color w:val="auto"/>
          <w:szCs w:val="21"/>
          <w:highlight w:val="none"/>
        </w:rPr>
        <w:t>招标人向投标人提供的有关现场的数据和资料，是招标人现有的能被投标人利用的资料，招标人对投标人做出的任何推论、理解和结论均不负责任。</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 xml:space="preserve">5.3 </w:t>
      </w:r>
      <w:r>
        <w:rPr>
          <w:rFonts w:hint="eastAsia" w:ascii="宋体" w:hAnsi="宋体"/>
          <w:bCs/>
          <w:color w:val="auto"/>
          <w:szCs w:val="21"/>
          <w:highlight w:val="none"/>
        </w:rPr>
        <w:t>经招标人允许，投标人可为踏勘目的进入招标人的项目现场。</w:t>
      </w:r>
      <w:r>
        <w:rPr>
          <w:rFonts w:hint="eastAsia" w:ascii="宋体" w:hAnsi="宋体"/>
          <w:color w:val="auto"/>
          <w:szCs w:val="21"/>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Cs w:val="21"/>
          <w:highlight w:val="none"/>
        </w:rPr>
        <w:t>投标人不得因此使招标人承担有关的责任和蒙受损失。</w:t>
      </w:r>
    </w:p>
    <w:p>
      <w:pPr>
        <w:tabs>
          <w:tab w:val="left" w:pos="105"/>
        </w:tabs>
        <w:spacing w:line="360" w:lineRule="auto"/>
        <w:ind w:firstLine="422" w:firstLineChars="200"/>
        <w:rPr>
          <w:rFonts w:ascii="宋体" w:hAnsi="宋体"/>
          <w:b/>
          <w:color w:val="auto"/>
          <w:szCs w:val="21"/>
          <w:highlight w:val="none"/>
        </w:rPr>
      </w:pPr>
      <w:r>
        <w:rPr>
          <w:rFonts w:ascii="宋体" w:hAnsi="宋体"/>
          <w:b/>
          <w:color w:val="auto"/>
          <w:szCs w:val="21"/>
          <w:highlight w:val="none"/>
        </w:rPr>
        <w:t>6</w:t>
      </w:r>
      <w:r>
        <w:rPr>
          <w:rFonts w:hint="eastAsia" w:ascii="宋体" w:hAnsi="宋体"/>
          <w:b/>
          <w:color w:val="auto"/>
          <w:szCs w:val="21"/>
          <w:highlight w:val="none"/>
        </w:rPr>
        <w:t>．投标费用</w:t>
      </w:r>
    </w:p>
    <w:p>
      <w:pPr>
        <w:tabs>
          <w:tab w:val="left" w:pos="105"/>
        </w:tabs>
        <w:spacing w:line="360" w:lineRule="auto"/>
        <w:ind w:firstLine="420" w:firstLineChars="200"/>
        <w:rPr>
          <w:rFonts w:ascii="宋体" w:hAnsi="宋体"/>
          <w:bCs/>
          <w:color w:val="auto"/>
          <w:szCs w:val="21"/>
          <w:highlight w:val="none"/>
        </w:rPr>
      </w:pPr>
      <w:r>
        <w:rPr>
          <w:rFonts w:ascii="宋体" w:hAnsi="宋体"/>
          <w:bCs/>
          <w:color w:val="auto"/>
          <w:szCs w:val="21"/>
          <w:highlight w:val="none"/>
        </w:rPr>
        <w:t>6.1</w:t>
      </w:r>
      <w:r>
        <w:rPr>
          <w:rFonts w:hint="eastAsia" w:ascii="宋体" w:hAnsi="宋体"/>
          <w:color w:val="auto"/>
          <w:szCs w:val="21"/>
          <w:highlight w:val="none"/>
        </w:rPr>
        <w:t>不论投标结果如何，投标人应承担</w:t>
      </w:r>
      <w:r>
        <w:rPr>
          <w:rFonts w:hint="eastAsia" w:ascii="宋体" w:hAnsi="宋体"/>
          <w:bCs/>
          <w:color w:val="auto"/>
          <w:szCs w:val="21"/>
          <w:highlight w:val="none"/>
        </w:rPr>
        <w:t>自身</w:t>
      </w:r>
      <w:r>
        <w:rPr>
          <w:rFonts w:hint="eastAsia" w:ascii="宋体" w:hAnsi="宋体"/>
          <w:color w:val="auto"/>
          <w:szCs w:val="21"/>
          <w:highlight w:val="none"/>
        </w:rPr>
        <w:t>因投标文件编制、递交及其他</w:t>
      </w:r>
      <w:r>
        <w:rPr>
          <w:rFonts w:hint="eastAsia" w:ascii="宋体" w:hAnsi="宋体"/>
          <w:bCs/>
          <w:color w:val="auto"/>
          <w:szCs w:val="21"/>
          <w:highlight w:val="none"/>
        </w:rPr>
        <w:t>参加本招标活动</w:t>
      </w:r>
      <w:r>
        <w:rPr>
          <w:rFonts w:hint="eastAsia" w:ascii="宋体" w:hAnsi="宋体"/>
          <w:color w:val="auto"/>
          <w:szCs w:val="21"/>
          <w:highlight w:val="none"/>
        </w:rPr>
        <w:t>所涉及的一切费用，招标人对上述费用不负任何责任。</w:t>
      </w:r>
    </w:p>
    <w:p>
      <w:pPr>
        <w:pStyle w:val="5"/>
        <w:spacing w:before="156" w:after="156"/>
        <w:rPr>
          <w:color w:val="auto"/>
          <w:sz w:val="21"/>
          <w:szCs w:val="21"/>
          <w:highlight w:val="none"/>
        </w:rPr>
      </w:pPr>
      <w:bookmarkStart w:id="13" w:name="_Toc2272550"/>
      <w:bookmarkStart w:id="14" w:name="_Toc614"/>
      <w:bookmarkStart w:id="15" w:name="_Toc21525494"/>
      <w:r>
        <w:rPr>
          <w:rFonts w:hint="eastAsia"/>
          <w:color w:val="auto"/>
          <w:sz w:val="21"/>
          <w:szCs w:val="21"/>
          <w:highlight w:val="none"/>
        </w:rPr>
        <w:t>（二）招标文件</w:t>
      </w:r>
      <w:bookmarkEnd w:id="13"/>
      <w:bookmarkEnd w:id="14"/>
      <w:bookmarkEnd w:id="15"/>
    </w:p>
    <w:p>
      <w:pPr>
        <w:tabs>
          <w:tab w:val="left" w:pos="105"/>
        </w:tabs>
        <w:spacing w:line="360" w:lineRule="auto"/>
        <w:ind w:firstLine="422" w:firstLineChars="200"/>
        <w:rPr>
          <w:rFonts w:ascii="宋体" w:hAnsi="宋体"/>
          <w:b/>
          <w:color w:val="auto"/>
          <w:szCs w:val="21"/>
          <w:highlight w:val="none"/>
        </w:rPr>
      </w:pPr>
      <w:r>
        <w:rPr>
          <w:rFonts w:ascii="宋体" w:hAnsi="宋体"/>
          <w:b/>
          <w:color w:val="auto"/>
          <w:szCs w:val="21"/>
          <w:highlight w:val="none"/>
        </w:rPr>
        <w:t>7.</w:t>
      </w:r>
      <w:r>
        <w:rPr>
          <w:rFonts w:hint="eastAsia" w:ascii="宋体" w:hAnsi="宋体"/>
          <w:b/>
          <w:color w:val="auto"/>
          <w:szCs w:val="21"/>
          <w:highlight w:val="none"/>
        </w:rPr>
        <w:t>招标文件的组成</w:t>
      </w:r>
    </w:p>
    <w:p>
      <w:pPr>
        <w:spacing w:line="360" w:lineRule="auto"/>
        <w:ind w:firstLine="420" w:firstLineChars="200"/>
        <w:rPr>
          <w:rFonts w:ascii="宋体" w:hAnsi="宋体"/>
          <w:color w:val="auto"/>
          <w:szCs w:val="21"/>
          <w:highlight w:val="none"/>
        </w:rPr>
      </w:pPr>
      <w:r>
        <w:rPr>
          <w:rFonts w:ascii="宋体" w:hAnsi="宋体"/>
          <w:bCs/>
          <w:color w:val="auto"/>
          <w:szCs w:val="21"/>
          <w:highlight w:val="none"/>
        </w:rPr>
        <w:t>7.1</w:t>
      </w:r>
      <w:r>
        <w:rPr>
          <w:rFonts w:hint="eastAsia" w:ascii="宋体" w:hAnsi="宋体"/>
          <w:color w:val="auto"/>
          <w:szCs w:val="21"/>
          <w:highlight w:val="none"/>
        </w:rPr>
        <w:t>本招标文件包括下列文件，以及所有按本须知第</w:t>
      </w:r>
      <w:r>
        <w:rPr>
          <w:rFonts w:ascii="宋体" w:hAnsi="宋体"/>
          <w:color w:val="auto"/>
          <w:szCs w:val="21"/>
          <w:highlight w:val="none"/>
        </w:rPr>
        <w:t>8</w:t>
      </w:r>
      <w:r>
        <w:rPr>
          <w:rFonts w:hint="eastAsia" w:ascii="宋体" w:hAnsi="宋体"/>
          <w:color w:val="auto"/>
          <w:szCs w:val="21"/>
          <w:highlight w:val="none"/>
        </w:rPr>
        <w:t>条发出的招标答疑会会议纪要和按本须知第</w:t>
      </w:r>
      <w:r>
        <w:rPr>
          <w:rFonts w:ascii="宋体" w:hAnsi="宋体"/>
          <w:color w:val="auto"/>
          <w:szCs w:val="21"/>
          <w:highlight w:val="none"/>
        </w:rPr>
        <w:t>9</w:t>
      </w:r>
      <w:r>
        <w:rPr>
          <w:rFonts w:hint="eastAsia" w:ascii="宋体" w:hAnsi="宋体"/>
          <w:color w:val="auto"/>
          <w:szCs w:val="21"/>
          <w:highlight w:val="none"/>
        </w:rPr>
        <w:t>条发出的澄清或修改：</w:t>
      </w:r>
    </w:p>
    <w:p>
      <w:pPr>
        <w:pStyle w:val="37"/>
        <w:spacing w:after="0" w:line="360" w:lineRule="auto"/>
        <w:ind w:left="-2" w:firstLineChars="200"/>
        <w:rPr>
          <w:rFonts w:ascii="宋体" w:hAnsi="宋体" w:eastAsia="宋体" w:cs="宋体"/>
          <w:color w:val="auto"/>
          <w:sz w:val="21"/>
          <w:szCs w:val="21"/>
          <w:highlight w:val="none"/>
        </w:rPr>
      </w:pPr>
      <w:r>
        <w:rPr>
          <w:rFonts w:hint="eastAsia" w:ascii="宋体" w:hAnsi="宋体" w:eastAsia="宋体" w:cs="宋体"/>
          <w:bCs/>
          <w:color w:val="auto"/>
          <w:sz w:val="21"/>
          <w:szCs w:val="21"/>
          <w:highlight w:val="none"/>
        </w:rPr>
        <w:t>第一章</w:t>
      </w:r>
      <w:r>
        <w:rPr>
          <w:rFonts w:hint="eastAsia" w:ascii="宋体" w:hAnsi="宋体" w:eastAsia="宋体" w:cs="宋体"/>
          <w:color w:val="auto"/>
          <w:sz w:val="21"/>
          <w:szCs w:val="21"/>
          <w:highlight w:val="none"/>
        </w:rPr>
        <w:t>投标须知</w:t>
      </w:r>
    </w:p>
    <w:p>
      <w:pPr>
        <w:pStyle w:val="37"/>
        <w:spacing w:after="0" w:line="360" w:lineRule="auto"/>
        <w:ind w:left="-2" w:firstLineChars="200"/>
        <w:rPr>
          <w:rFonts w:ascii="宋体" w:hAnsi="宋体" w:eastAsia="宋体" w:cs="宋体"/>
          <w:color w:val="auto"/>
          <w:sz w:val="21"/>
          <w:szCs w:val="21"/>
          <w:highlight w:val="none"/>
        </w:rPr>
      </w:pPr>
      <w:r>
        <w:rPr>
          <w:rFonts w:hint="eastAsia" w:ascii="宋体" w:hAnsi="宋体" w:eastAsia="宋体" w:cs="宋体"/>
          <w:bCs/>
          <w:color w:val="auto"/>
          <w:sz w:val="21"/>
          <w:szCs w:val="21"/>
          <w:highlight w:val="none"/>
        </w:rPr>
        <w:t>第二章</w:t>
      </w:r>
      <w:r>
        <w:rPr>
          <w:rFonts w:hint="eastAsia" w:ascii="宋体" w:hAnsi="宋体" w:eastAsia="宋体" w:cs="宋体"/>
          <w:color w:val="auto"/>
          <w:sz w:val="21"/>
          <w:szCs w:val="21"/>
          <w:highlight w:val="none"/>
        </w:rPr>
        <w:t>开标、评标及定标办法</w:t>
      </w:r>
    </w:p>
    <w:p>
      <w:pPr>
        <w:pStyle w:val="37"/>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第三章合同条款</w:t>
      </w:r>
    </w:p>
    <w:p>
      <w:pPr>
        <w:pStyle w:val="37"/>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bCs/>
          <w:color w:val="auto"/>
          <w:sz w:val="21"/>
          <w:szCs w:val="21"/>
          <w:highlight w:val="none"/>
        </w:rPr>
        <w:t>第四章</w:t>
      </w:r>
      <w:r>
        <w:rPr>
          <w:rFonts w:hint="eastAsia" w:ascii="宋体" w:hAnsi="宋体" w:eastAsia="宋体" w:cs="宋体"/>
          <w:color w:val="auto"/>
          <w:sz w:val="21"/>
          <w:szCs w:val="21"/>
          <w:highlight w:val="none"/>
        </w:rPr>
        <w:t>投标文件格式</w:t>
      </w:r>
    </w:p>
    <w:p>
      <w:pPr>
        <w:pStyle w:val="37"/>
        <w:spacing w:after="0" w:line="360" w:lineRule="auto"/>
        <w:ind w:left="-2" w:firstLineChars="200"/>
        <w:rPr>
          <w:rFonts w:ascii="宋体" w:hAnsi="宋体" w:eastAsia="宋体" w:cs="宋体"/>
          <w:color w:val="auto"/>
          <w:sz w:val="21"/>
          <w:szCs w:val="21"/>
          <w:highlight w:val="none"/>
        </w:rPr>
      </w:pPr>
      <w:r>
        <w:rPr>
          <w:rFonts w:hint="eastAsia" w:ascii="宋体" w:hAnsi="宋体" w:eastAsia="宋体" w:cs="宋体"/>
          <w:bCs/>
          <w:color w:val="auto"/>
          <w:sz w:val="21"/>
          <w:szCs w:val="21"/>
          <w:highlight w:val="none"/>
        </w:rPr>
        <w:t>第五章</w:t>
      </w:r>
      <w:r>
        <w:rPr>
          <w:rFonts w:hint="eastAsia" w:ascii="宋体" w:hAnsi="宋体" w:eastAsia="宋体" w:cs="宋体"/>
          <w:color w:val="auto"/>
          <w:sz w:val="21"/>
          <w:szCs w:val="21"/>
          <w:highlight w:val="none"/>
        </w:rPr>
        <w:t>技术条件（工程建设标准）</w:t>
      </w:r>
    </w:p>
    <w:p>
      <w:pPr>
        <w:pStyle w:val="37"/>
        <w:spacing w:after="0" w:line="360" w:lineRule="auto"/>
        <w:ind w:left="-2" w:firstLineChars="200"/>
        <w:rPr>
          <w:rFonts w:ascii="宋体" w:hAnsi="宋体" w:eastAsia="宋体" w:cs="宋体"/>
          <w:color w:val="auto"/>
          <w:sz w:val="21"/>
          <w:szCs w:val="21"/>
          <w:highlight w:val="none"/>
        </w:rPr>
      </w:pPr>
      <w:r>
        <w:rPr>
          <w:rFonts w:hint="eastAsia" w:ascii="宋体" w:hAnsi="宋体" w:eastAsia="宋体" w:cs="宋体"/>
          <w:bCs/>
          <w:color w:val="auto"/>
          <w:sz w:val="21"/>
          <w:szCs w:val="21"/>
          <w:highlight w:val="none"/>
        </w:rPr>
        <w:t>第六章</w:t>
      </w:r>
      <w:r>
        <w:rPr>
          <w:rFonts w:hint="eastAsia" w:ascii="宋体" w:hAnsi="宋体" w:eastAsia="宋体" w:cs="宋体"/>
          <w:color w:val="auto"/>
          <w:sz w:val="21"/>
          <w:szCs w:val="21"/>
          <w:highlight w:val="none"/>
        </w:rPr>
        <w:t>图纸及勘察资料（另册）</w:t>
      </w:r>
    </w:p>
    <w:p>
      <w:pPr>
        <w:pStyle w:val="37"/>
        <w:spacing w:after="0" w:line="360" w:lineRule="auto"/>
        <w:ind w:left="-2" w:firstLineChars="200"/>
        <w:rPr>
          <w:rFonts w:ascii="宋体" w:hAnsi="宋体" w:eastAsia="宋体" w:cs="宋体"/>
          <w:color w:val="auto"/>
          <w:sz w:val="21"/>
          <w:szCs w:val="21"/>
          <w:highlight w:val="none"/>
        </w:rPr>
      </w:pPr>
      <w:r>
        <w:rPr>
          <w:rFonts w:hint="eastAsia" w:ascii="宋体" w:hAnsi="宋体" w:eastAsia="宋体" w:cs="宋体"/>
          <w:bCs/>
          <w:color w:val="auto"/>
          <w:sz w:val="21"/>
          <w:szCs w:val="21"/>
          <w:highlight w:val="none"/>
        </w:rPr>
        <w:t>第七章招标</w:t>
      </w:r>
      <w:r>
        <w:rPr>
          <w:rFonts w:hint="eastAsia" w:ascii="宋体" w:hAnsi="宋体" w:eastAsia="宋体" w:cs="宋体"/>
          <w:color w:val="auto"/>
          <w:sz w:val="21"/>
          <w:szCs w:val="21"/>
          <w:highlight w:val="none"/>
        </w:rPr>
        <w:t>工程量清单（另册）</w:t>
      </w:r>
    </w:p>
    <w:p>
      <w:pPr>
        <w:pStyle w:val="37"/>
        <w:spacing w:after="0" w:line="360" w:lineRule="auto"/>
        <w:ind w:left="-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第八章最高投标限价</w:t>
      </w:r>
    </w:p>
    <w:p>
      <w:pPr>
        <w:pStyle w:val="37"/>
        <w:spacing w:after="0" w:line="360" w:lineRule="auto"/>
        <w:ind w:left="-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kern w:val="0"/>
          <w:sz w:val="22"/>
          <w:highlight w:val="none"/>
        </w:rPr>
        <w:fldChar w:fldCharType="begin"/>
      </w:r>
      <w:r>
        <w:rPr>
          <w:rFonts w:hint="eastAsia" w:ascii="宋体" w:hAnsi="宋体" w:eastAsia="宋体" w:cs="宋体"/>
          <w:b/>
          <w:bCs/>
          <w:color w:val="auto"/>
          <w:kern w:val="0"/>
          <w:sz w:val="22"/>
          <w:highlight w:val="none"/>
        </w:rPr>
        <w:instrText xml:space="preserve"> = 1 \* GB3 </w:instrText>
      </w:r>
      <w:r>
        <w:rPr>
          <w:rFonts w:hint="eastAsia" w:ascii="宋体" w:hAnsi="宋体" w:eastAsia="宋体" w:cs="宋体"/>
          <w:b/>
          <w:bCs/>
          <w:color w:val="auto"/>
          <w:kern w:val="0"/>
          <w:sz w:val="22"/>
          <w:highlight w:val="none"/>
        </w:rPr>
        <w:fldChar w:fldCharType="separate"/>
      </w:r>
      <w:r>
        <w:rPr>
          <w:rFonts w:hint="eastAsia" w:ascii="宋体" w:hAnsi="宋体" w:eastAsia="宋体" w:cs="宋体"/>
          <w:b/>
          <w:bCs/>
          <w:color w:val="auto"/>
          <w:kern w:val="0"/>
          <w:sz w:val="22"/>
          <w:highlight w:val="none"/>
        </w:rPr>
        <w:t>①</w:t>
      </w:r>
      <w:r>
        <w:rPr>
          <w:rFonts w:hint="eastAsia" w:ascii="宋体" w:hAnsi="宋体" w:eastAsia="宋体" w:cs="宋体"/>
          <w:b/>
          <w:bCs/>
          <w:color w:val="auto"/>
          <w:kern w:val="0"/>
          <w:sz w:val="22"/>
          <w:highlight w:val="none"/>
        </w:rPr>
        <w:fldChar w:fldCharType="end"/>
      </w:r>
      <w:r>
        <w:rPr>
          <w:rFonts w:hint="eastAsia" w:ascii="宋体" w:hAnsi="宋体" w:eastAsia="宋体" w:cs="宋体"/>
          <w:b/>
          <w:bCs/>
          <w:color w:val="auto"/>
          <w:kern w:val="0"/>
          <w:sz w:val="22"/>
          <w:highlight w:val="none"/>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w:t>
      </w:r>
      <w:r>
        <w:rPr>
          <w:rFonts w:hint="eastAsia" w:ascii="宋体" w:hAnsi="宋体" w:eastAsia="宋体" w:cs="宋体"/>
          <w:b w:val="0"/>
          <w:bCs w:val="0"/>
          <w:color w:val="auto"/>
          <w:kern w:val="0"/>
          <w:sz w:val="22"/>
          <w:highlight w:val="none"/>
        </w:rPr>
        <w:t>明确施工现场建筑垃圾源头减量的具体要求以及建筑垃圾综合利用产品的使用要求。</w:t>
      </w:r>
      <w:r>
        <w:rPr>
          <w:rFonts w:hint="eastAsia" w:ascii="宋体" w:hAnsi="宋体" w:eastAsia="宋体" w:cs="宋体"/>
          <w:b/>
          <w:bCs/>
          <w:color w:val="auto"/>
          <w:kern w:val="0"/>
          <w:sz w:val="22"/>
          <w:highlight w:val="none"/>
        </w:rPr>
        <w:fldChar w:fldCharType="begin"/>
      </w:r>
      <w:r>
        <w:rPr>
          <w:rFonts w:hint="eastAsia" w:ascii="宋体" w:hAnsi="宋体" w:eastAsia="宋体" w:cs="宋体"/>
          <w:b/>
          <w:bCs/>
          <w:color w:val="auto"/>
          <w:kern w:val="0"/>
          <w:sz w:val="22"/>
          <w:highlight w:val="none"/>
        </w:rPr>
        <w:instrText xml:space="preserve"> = 2 \* GB3 </w:instrText>
      </w:r>
      <w:r>
        <w:rPr>
          <w:rFonts w:hint="eastAsia" w:ascii="宋体" w:hAnsi="宋体" w:eastAsia="宋体" w:cs="宋体"/>
          <w:b/>
          <w:bCs/>
          <w:color w:val="auto"/>
          <w:kern w:val="0"/>
          <w:sz w:val="22"/>
          <w:highlight w:val="none"/>
        </w:rPr>
        <w:fldChar w:fldCharType="separate"/>
      </w:r>
      <w:r>
        <w:rPr>
          <w:rFonts w:hint="eastAsia" w:ascii="宋体" w:hAnsi="宋体" w:eastAsia="宋体" w:cs="宋体"/>
          <w:b/>
          <w:bCs/>
          <w:color w:val="auto"/>
          <w:kern w:val="0"/>
          <w:sz w:val="22"/>
          <w:highlight w:val="none"/>
        </w:rPr>
        <w:t>②</w:t>
      </w:r>
      <w:r>
        <w:rPr>
          <w:rFonts w:hint="eastAsia" w:ascii="宋体" w:hAnsi="宋体" w:eastAsia="宋体" w:cs="宋体"/>
          <w:b/>
          <w:bCs/>
          <w:color w:val="auto"/>
          <w:kern w:val="0"/>
          <w:sz w:val="22"/>
          <w:highlight w:val="none"/>
        </w:rPr>
        <w:fldChar w:fldCharType="end"/>
      </w:r>
      <w:r>
        <w:rPr>
          <w:rFonts w:hint="eastAsia" w:ascii="宋体" w:hAnsi="宋体" w:eastAsia="宋体" w:cs="宋体"/>
          <w:b/>
          <w:bCs/>
          <w:color w:val="auto"/>
          <w:kern w:val="0"/>
          <w:sz w:val="22"/>
          <w:highlight w:val="none"/>
        </w:rPr>
        <w:t>鼓励招标人对施工组织设计或施工方案实行隐藏投标人信息的暗标评审</w:t>
      </w:r>
      <w:r>
        <w:rPr>
          <w:rFonts w:hint="eastAsia" w:ascii="宋体" w:hAnsi="宋体" w:eastAsia="宋体" w:cs="宋体"/>
          <w:b/>
          <w:bCs/>
          <w:color w:val="auto"/>
          <w:sz w:val="21"/>
          <w:szCs w:val="21"/>
          <w:highlight w:val="none"/>
        </w:rPr>
        <w:t>。</w:t>
      </w:r>
    </w:p>
    <w:p>
      <w:pPr>
        <w:pStyle w:val="37"/>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37"/>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7.3 投标人一旦中标，招标文件的内容对招标人和中标人双方均有约束力。</w:t>
      </w:r>
    </w:p>
    <w:p>
      <w:pPr>
        <w:pStyle w:val="37"/>
        <w:spacing w:after="0"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8．招标答疑</w:t>
      </w:r>
    </w:p>
    <w:p>
      <w:pPr>
        <w:pStyle w:val="37"/>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8.1 投标人若对招标文件（包括招标图纸）中有疑问，可以书面形式通过交易平台提交给招标人或招标代理人，提交形式见本须知前附表第16项。</w:t>
      </w:r>
    </w:p>
    <w:p>
      <w:pPr>
        <w:pStyle w:val="37"/>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8.2招标答疑会会议纪要将在提交投标文件截止时间15日前在交易平台 “项目答疑纪要”专区公开发布。答疑纪要一经在交易平台发布，视作已发放给所有投标人。</w:t>
      </w:r>
    </w:p>
    <w:p>
      <w:pPr>
        <w:pStyle w:val="37"/>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8.3答疑会会议纪要为招标文件的一部分。</w:t>
      </w:r>
    </w:p>
    <w:p>
      <w:pPr>
        <w:pStyle w:val="37"/>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8.4若招标答疑会会议纪要与招标文件有矛盾，以答疑会议纪要最后发出的书面形式的文件为准。</w:t>
      </w:r>
    </w:p>
    <w:p>
      <w:pPr>
        <w:pStyle w:val="37"/>
        <w:spacing w:after="0"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9.招标文件的澄清与修改</w:t>
      </w:r>
    </w:p>
    <w:p>
      <w:pPr>
        <w:pStyle w:val="37"/>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9.1招标文件发出后,在提交投标文件截止时间15日前，招标人可对招标文件进行必要的澄清或修改。</w:t>
      </w:r>
    </w:p>
    <w:p>
      <w:pPr>
        <w:pStyle w:val="37"/>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9.2招标文件的澄清或修改将在交易平台“项目答疑纪要”专区公开发布。答疑纪要一经在交易平台发布，视作已发放给所有投标人，以交易平台上网发布时间作为送达时间。</w:t>
      </w:r>
    </w:p>
    <w:p>
      <w:pPr>
        <w:pStyle w:val="37"/>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9.3招标文件的修改内容为招标文件的组成部分。</w:t>
      </w:r>
    </w:p>
    <w:p>
      <w:pPr>
        <w:pStyle w:val="37"/>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9.4招标文件的澄清或修改均以书面形式明确的内容为准。当招标文件的澄清、修改、补充等在同一内容的表述不一致时，以最后发出的书面形式的文件为准。</w:t>
      </w:r>
    </w:p>
    <w:p>
      <w:pPr>
        <w:pStyle w:val="37"/>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5"/>
        <w:spacing w:before="156" w:after="156"/>
        <w:rPr>
          <w:rFonts w:cs="宋体"/>
          <w:color w:val="auto"/>
          <w:sz w:val="21"/>
          <w:szCs w:val="21"/>
          <w:highlight w:val="none"/>
        </w:rPr>
      </w:pPr>
      <w:bookmarkStart w:id="16" w:name="_Toc2272551"/>
      <w:bookmarkStart w:id="17" w:name="_Toc21525495"/>
      <w:bookmarkStart w:id="18" w:name="_Toc11646"/>
      <w:r>
        <w:rPr>
          <w:rFonts w:hint="eastAsia" w:cs="宋体"/>
          <w:color w:val="auto"/>
          <w:sz w:val="21"/>
          <w:szCs w:val="21"/>
          <w:highlight w:val="none"/>
        </w:rPr>
        <w:t>（三）投标文件的编制</w:t>
      </w:r>
      <w:bookmarkEnd w:id="16"/>
      <w:bookmarkEnd w:id="17"/>
      <w:bookmarkEnd w:id="18"/>
    </w:p>
    <w:p>
      <w:pPr>
        <w:pStyle w:val="37"/>
        <w:spacing w:after="0"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10．投标文件的语言及度量衡单位</w:t>
      </w:r>
    </w:p>
    <w:p>
      <w:pPr>
        <w:pStyle w:val="37"/>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10.1 投标文件和与投标有关的所有文件均应使用中文。</w:t>
      </w:r>
    </w:p>
    <w:p>
      <w:pPr>
        <w:pStyle w:val="37"/>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10.2 除工程规范另有规定外，投标文件使用的度量衡单位，均采用中华人民共和国法定计量单位。</w:t>
      </w:r>
    </w:p>
    <w:p>
      <w:pPr>
        <w:pStyle w:val="37"/>
        <w:spacing w:after="0"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11．投标文件的组成</w:t>
      </w:r>
    </w:p>
    <w:p>
      <w:pPr>
        <w:pStyle w:val="37"/>
        <w:spacing w:after="0" w:line="360" w:lineRule="auto"/>
        <w:ind w:firstLineChars="200"/>
        <w:rPr>
          <w:rFonts w:ascii="宋体" w:hAnsi="宋体" w:eastAsia="宋体" w:cs="宋体"/>
          <w:b/>
          <w:color w:val="auto"/>
          <w:sz w:val="21"/>
          <w:szCs w:val="21"/>
          <w:highlight w:val="none"/>
        </w:rPr>
      </w:pPr>
      <w:r>
        <w:rPr>
          <w:rFonts w:hint="eastAsia" w:ascii="宋体" w:hAnsi="宋体" w:eastAsia="宋体" w:cs="宋体"/>
          <w:color w:val="auto"/>
          <w:sz w:val="21"/>
          <w:szCs w:val="21"/>
          <w:highlight w:val="none"/>
        </w:rPr>
        <w:t>11.1 投标文件由技术部分（含资格审查文件）和经济部分两部分投标文件组成</w:t>
      </w:r>
      <w:r>
        <w:rPr>
          <w:rFonts w:hint="eastAsia" w:ascii="宋体" w:hAnsi="宋体" w:eastAsia="宋体" w:cs="宋体"/>
          <w:b/>
          <w:color w:val="auto"/>
          <w:sz w:val="21"/>
          <w:szCs w:val="21"/>
          <w:highlight w:val="none"/>
        </w:rPr>
        <w:t>。</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11.2</w:t>
      </w:r>
      <w:r>
        <w:rPr>
          <w:rFonts w:hint="eastAsia" w:ascii="宋体" w:hAnsi="宋体"/>
          <w:bCs/>
          <w:color w:val="auto"/>
          <w:szCs w:val="21"/>
          <w:highlight w:val="none"/>
        </w:rPr>
        <w:t>投标文件技术标部分主要包括下列内容</w:t>
      </w:r>
      <w:r>
        <w:rPr>
          <w:rFonts w:ascii="宋体" w:hAnsi="宋体"/>
          <w:bCs/>
          <w:color w:val="auto"/>
          <w:szCs w:val="21"/>
          <w:highlight w:val="none"/>
        </w:rPr>
        <w:t>:</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11.2.1 技术投标文件</w:t>
      </w:r>
      <w:r>
        <w:rPr>
          <w:rFonts w:ascii="宋体" w:hAnsi="宋体"/>
          <w:color w:val="auto"/>
          <w:szCs w:val="21"/>
          <w:highlight w:val="none"/>
        </w:rPr>
        <w:t>(</w:t>
      </w:r>
      <w:r>
        <w:rPr>
          <w:rFonts w:hint="eastAsia" w:ascii="宋体" w:hAnsi="宋体"/>
          <w:color w:val="auto"/>
          <w:szCs w:val="21"/>
          <w:highlight w:val="none"/>
        </w:rPr>
        <w:t>按招标文件的要求填写</w:t>
      </w:r>
      <w:r>
        <w:rPr>
          <w:rFonts w:ascii="宋体" w:hAnsi="宋体"/>
          <w:color w:val="auto"/>
          <w:szCs w:val="21"/>
          <w:highlight w:val="none"/>
        </w:rPr>
        <w:t>)</w:t>
      </w:r>
      <w:r>
        <w:rPr>
          <w:rFonts w:hint="eastAsia" w:ascii="宋体" w:hAnsi="宋体"/>
          <w:bCs/>
          <w:color w:val="auto"/>
          <w:szCs w:val="21"/>
          <w:highlight w:val="none"/>
        </w:rPr>
        <w:t>；</w:t>
      </w:r>
    </w:p>
    <w:p>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11.2.2 资格审查文件：</w:t>
      </w:r>
    </w:p>
    <w:p>
      <w:pPr>
        <w:snapToGrid w:val="0"/>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 xml:space="preserve">（1）投标人声明； </w:t>
      </w:r>
    </w:p>
    <w:p>
      <w:pPr>
        <w:snapToGrid w:val="0"/>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（2）法定代表人证明书、法定代表人签字或盖章的本投标文件授权委托证明书；</w:t>
      </w:r>
    </w:p>
    <w:p>
      <w:pPr>
        <w:snapToGrid w:val="0"/>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（3）企业营业执照扫描件或电子证照；</w:t>
      </w:r>
    </w:p>
    <w:p>
      <w:pPr>
        <w:snapToGrid w:val="0"/>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（4）企业资质证书扫描件或电子证照；</w:t>
      </w:r>
    </w:p>
    <w:p>
      <w:pPr>
        <w:snapToGrid w:val="0"/>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（5）建筑施工企业安全生产许可证扫描件或电子证照；</w:t>
      </w:r>
    </w:p>
    <w:p>
      <w:pPr>
        <w:snapToGrid w:val="0"/>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（6）项目负责人（按网上投标登记时选择拟投入本项目的项目负责人）</w:t>
      </w:r>
    </w:p>
    <w:p>
      <w:pPr>
        <w:snapToGrid w:val="0"/>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（7）专职安全员（按网上投标登记时选择拟投入本项目的专职安全员）</w:t>
      </w:r>
    </w:p>
    <w:p>
      <w:pPr>
        <w:snapToGrid w:val="0"/>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（8）拟委托技术负责人的相关证书、资料（具体要求由招标人明确）</w:t>
      </w:r>
    </w:p>
    <w:p>
      <w:pPr>
        <w:snapToGrid w:val="0"/>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 xml:space="preserve">（9）拟委派项目负责人的有效期内的建造师注册证书扫描件或电子证书；  </w:t>
      </w:r>
    </w:p>
    <w:p>
      <w:pPr>
        <w:snapToGrid w:val="0"/>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（10）项目负责人在有效期内的安全生产考核合格证书（B类）或建筑施工企业项目负责人安全生产考核合格证书扫描件或电子证书；</w:t>
      </w:r>
    </w:p>
    <w:p>
      <w:pPr>
        <w:snapToGrid w:val="0"/>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（11）专职安全员须具有在有效期内的安全生产考核合格证书（C类）或建筑施工企业专职安全生产管理人员安全生产考核合格证书扫描件或电子证书；</w:t>
      </w:r>
    </w:p>
    <w:p>
      <w:pPr>
        <w:snapToGrid w:val="0"/>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（12）用于资格审查的业绩（设置业绩要求时选择此项，投标人须提供类似工程业绩的项目名称及项目编号，具体格式由招标人自定）；</w:t>
      </w:r>
    </w:p>
    <w:p>
      <w:pPr>
        <w:snapToGrid w:val="0"/>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 xml:space="preserve">（13）列明主办单位的联合体工作协议（采用联合体投标时需递交，投标人拟任本工程项目负责人应为联合体主办方信用档案中的在册人员，联合体工作协议应明确约定各方拟承担的工作和责任）； </w:t>
      </w:r>
    </w:p>
    <w:p>
      <w:pPr>
        <w:snapToGrid w:val="0"/>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eastAsia="zh-CN"/>
        </w:rPr>
        <w:t>（14）列明主办单位的联合体工作协议（采用联合体投标时需递交，投标人拟任本工程项目负责人应为联合体主办方信用档案中的在册人员，联合体工作协议应明确约定各方拟承担的工作和责任）。</w:t>
      </w:r>
    </w:p>
    <w:p>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注：1.相关电子证书按规定需打印后手写本人签名的，应按照规定手写本人签名后再扫描提交。</w:t>
      </w:r>
    </w:p>
    <w:p>
      <w:pPr>
        <w:spacing w:line="360" w:lineRule="auto"/>
        <w:ind w:firstLine="420" w:firstLineChars="200"/>
        <w:rPr>
          <w:rFonts w:ascii="宋体" w:hAnsi="宋体"/>
          <w:bCs/>
          <w:color w:val="auto"/>
          <w:szCs w:val="21"/>
          <w:highlight w:val="none"/>
        </w:rPr>
      </w:pPr>
      <w:r>
        <w:rPr>
          <w:rFonts w:hint="eastAsia" w:ascii="宋体" w:hAnsi="宋体" w:cs="宋体"/>
          <w:bCs/>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11.2.3</w:t>
      </w:r>
      <w:r>
        <w:rPr>
          <w:rFonts w:hint="eastAsia" w:ascii="宋体" w:hAnsi="宋体"/>
          <w:color w:val="auto"/>
          <w:szCs w:val="21"/>
          <w:highlight w:val="none"/>
        </w:rPr>
        <w:t>项目管理机构配备。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）投标人应列出该项目工程的施工组织机构构成和画出机构框架图及其负责人；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）投标人应详细列出该施工组织机构中主要成员的名单、简历资料、职务职称和在本项目中拟担任的职务等资料，并附上有关证明材料扫描件；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）其他辅助说明资料。</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11.2.4</w:t>
      </w:r>
      <w:r>
        <w:rPr>
          <w:rFonts w:hint="eastAsia" w:ascii="宋体" w:hAnsi="宋体"/>
          <w:color w:val="auto"/>
          <w:szCs w:val="21"/>
          <w:highlight w:val="none"/>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11.2.5</w:t>
      </w:r>
      <w:r>
        <w:rPr>
          <w:rFonts w:hint="eastAsia" w:ascii="宋体" w:hAnsi="宋体"/>
          <w:color w:val="auto"/>
          <w:szCs w:val="21"/>
          <w:highlight w:val="none"/>
        </w:rPr>
        <w:t>施工组织设计或施工方案。</w:t>
      </w:r>
    </w:p>
    <w:p>
      <w:pPr>
        <w:tabs>
          <w:tab w:val="left" w:pos="1125"/>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（1）投标人在编制施工组织设计或施工方案时应按照招标人提出的施工现场建筑垃圾源头减量的具体要求以及建筑垃圾综合利用产品的使用要求提供相应措施。</w:t>
      </w:r>
    </w:p>
    <w:p>
      <w:pPr>
        <w:tabs>
          <w:tab w:val="left" w:pos="1125"/>
        </w:tabs>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r>
        <w:rPr>
          <w:rFonts w:hint="eastAsia" w:ascii="宋体" w:hAnsi="宋体"/>
          <w:color w:val="auto"/>
          <w:szCs w:val="21"/>
          <w:highlight w:val="none"/>
          <w:lang w:eastAsia="zh-CN"/>
        </w:rPr>
        <w:t>。</w:t>
      </w:r>
    </w:p>
    <w:p>
      <w:pPr>
        <w:tabs>
          <w:tab w:val="left" w:pos="1125"/>
        </w:tabs>
        <w:spacing w:line="360" w:lineRule="auto"/>
        <w:ind w:firstLine="420" w:firstLineChars="200"/>
        <w:rPr>
          <w:rFonts w:ascii="宋体" w:hAnsi="宋体"/>
          <w:color w:val="auto"/>
          <w:szCs w:val="21"/>
          <w:highlight w:val="none"/>
        </w:rPr>
      </w:pPr>
      <w:r>
        <w:rPr>
          <w:rFonts w:ascii="宋体" w:hAnsi="宋体"/>
          <w:color w:val="auto"/>
          <w:szCs w:val="21"/>
          <w:highlight w:val="none"/>
        </w:rPr>
        <w:t>11.2.</w:t>
      </w:r>
      <w:r>
        <w:rPr>
          <w:rFonts w:hint="eastAsia" w:ascii="宋体" w:hAnsi="宋体"/>
          <w:color w:val="auto"/>
          <w:szCs w:val="21"/>
          <w:highlight w:val="none"/>
        </w:rPr>
        <w:t>6按照</w:t>
      </w:r>
      <w:r>
        <w:rPr>
          <w:rFonts w:hint="eastAsia" w:ascii="宋体" w:hAnsi="宋体"/>
          <w:bCs/>
          <w:color w:val="auto"/>
          <w:szCs w:val="21"/>
          <w:highlight w:val="none"/>
        </w:rPr>
        <w:t>招标文件要求</w:t>
      </w:r>
      <w:r>
        <w:rPr>
          <w:rFonts w:hint="eastAsia" w:ascii="宋体" w:hAnsi="宋体"/>
          <w:color w:val="auto"/>
          <w:szCs w:val="21"/>
          <w:highlight w:val="none"/>
        </w:rPr>
        <w:t>填写的《参与编制技术标投标文件人员名单》。</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 xml:space="preserve">11.3 </w:t>
      </w:r>
      <w:r>
        <w:rPr>
          <w:rFonts w:hint="eastAsia" w:ascii="宋体" w:hAnsi="宋体"/>
          <w:bCs/>
          <w:color w:val="auto"/>
          <w:szCs w:val="21"/>
          <w:highlight w:val="none"/>
        </w:rPr>
        <w:t>经济部分投标文件主要包括下列内容：</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11.3.1 </w:t>
      </w:r>
      <w:r>
        <w:rPr>
          <w:rFonts w:hint="eastAsia" w:ascii="宋体" w:hAnsi="宋体"/>
          <w:color w:val="auto"/>
          <w:szCs w:val="21"/>
          <w:highlight w:val="none"/>
        </w:rPr>
        <w:t>经济投标文件</w:t>
      </w:r>
      <w:r>
        <w:rPr>
          <w:rFonts w:ascii="宋体" w:hAnsi="宋体"/>
          <w:color w:val="auto"/>
          <w:szCs w:val="21"/>
          <w:highlight w:val="none"/>
        </w:rPr>
        <w:t>(</w:t>
      </w:r>
      <w:r>
        <w:rPr>
          <w:rFonts w:hint="eastAsia" w:ascii="宋体" w:hAnsi="宋体"/>
          <w:color w:val="auto"/>
          <w:szCs w:val="21"/>
          <w:highlight w:val="none"/>
        </w:rPr>
        <w:t>按招标文件的要求填写</w:t>
      </w:r>
      <w:r>
        <w:rPr>
          <w:rFonts w:ascii="宋体" w:hAnsi="宋体"/>
          <w:color w:val="auto"/>
          <w:szCs w:val="21"/>
          <w:highlight w:val="none"/>
        </w:rPr>
        <w:t>)</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11.3.2</w:t>
      </w:r>
      <w:r>
        <w:rPr>
          <w:rFonts w:hint="eastAsia" w:ascii="宋体" w:hAnsi="宋体"/>
          <w:color w:val="auto"/>
          <w:szCs w:val="21"/>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）投标总价封面、扉页；</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）总说明</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（3）工程项目投标报价汇总表；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（4）单项工程投标报价汇总表；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（5）单位工程投标报价汇总表；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（6）分部分项工程清单与计价表；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（7）单价措施项目清单与计价表；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（8）总价措施项目清单与计价表；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（9）综合单价分析表；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（10）其他项目清单与计价汇总表；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（11）暂列金额明细表；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（12）材料（工程设备）暂估价明细表；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（13）专业工程暂估价明细表；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（14）计日工表；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（15）总承包服务计价表；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（16）规费和税金项目计价表；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（17）人工、主要材料和设备一览表</w:t>
      </w:r>
    </w:p>
    <w:p>
      <w:pPr>
        <w:tabs>
          <w:tab w:val="left" w:pos="1125"/>
        </w:tabs>
        <w:spacing w:line="360" w:lineRule="auto"/>
        <w:ind w:firstLine="420" w:firstLineChars="200"/>
        <w:rPr>
          <w:rFonts w:ascii="宋体" w:hAnsi="宋体"/>
          <w:color w:val="auto"/>
          <w:szCs w:val="21"/>
          <w:highlight w:val="none"/>
        </w:rPr>
      </w:pPr>
      <w:r>
        <w:rPr>
          <w:rFonts w:ascii="宋体" w:hAnsi="宋体"/>
          <w:color w:val="auto"/>
          <w:szCs w:val="21"/>
          <w:highlight w:val="none"/>
        </w:rPr>
        <w:t>11.3.</w:t>
      </w:r>
      <w:r>
        <w:rPr>
          <w:rFonts w:hint="eastAsia" w:ascii="宋体" w:hAnsi="宋体"/>
          <w:color w:val="auto"/>
          <w:szCs w:val="21"/>
          <w:highlight w:val="none"/>
        </w:rPr>
        <w:t>3按照</w:t>
      </w:r>
      <w:r>
        <w:rPr>
          <w:rFonts w:hint="eastAsia" w:ascii="宋体" w:hAnsi="宋体"/>
          <w:bCs/>
          <w:color w:val="auto"/>
          <w:szCs w:val="21"/>
          <w:highlight w:val="none"/>
        </w:rPr>
        <w:t>招标文件要求</w:t>
      </w:r>
      <w:r>
        <w:rPr>
          <w:rFonts w:hint="eastAsia" w:ascii="宋体" w:hAnsi="宋体"/>
          <w:color w:val="auto"/>
          <w:szCs w:val="21"/>
          <w:highlight w:val="none"/>
        </w:rPr>
        <w:t>填写的《参与编制经济标投标文件人员名单》。</w:t>
      </w:r>
    </w:p>
    <w:p>
      <w:pPr>
        <w:tabs>
          <w:tab w:val="left" w:pos="112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pPr>
        <w:pStyle w:val="37"/>
        <w:spacing w:after="0"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12．投标文件格式</w:t>
      </w:r>
    </w:p>
    <w:p>
      <w:pPr>
        <w:pStyle w:val="37"/>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12.1 投标文件包括本须知第11条中规定的内容，投标人提交的投标文件应当使用招标文件所提供的投标文件全部格式（表格可以按同样格式扩展）。</w:t>
      </w:r>
    </w:p>
    <w:p>
      <w:pPr>
        <w:pStyle w:val="37"/>
        <w:spacing w:after="0"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投标文件全部采用电子文档，投标文件所附证书证件均为原件扫描件，并采用单位数字证书，</w:t>
      </w:r>
      <w:r>
        <w:rPr>
          <w:rFonts w:hint="eastAsia" w:ascii="宋体" w:hAnsi="宋体" w:eastAsia="宋体" w:cs="宋体"/>
          <w:color w:val="auto"/>
          <w:sz w:val="21"/>
          <w:szCs w:val="21"/>
          <w:highlight w:val="none"/>
          <w:lang w:val="en-US" w:eastAsia="zh-CN"/>
        </w:rPr>
        <w:t>对投标文件</w:t>
      </w:r>
      <w:r>
        <w:rPr>
          <w:rFonts w:hint="eastAsia" w:ascii="宋体" w:hAnsi="宋体" w:eastAsia="宋体" w:cs="宋体"/>
          <w:color w:val="auto"/>
          <w:sz w:val="21"/>
          <w:szCs w:val="21"/>
          <w:highlight w:val="none"/>
        </w:rPr>
        <w:t>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pPr>
        <w:pStyle w:val="37"/>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注释：投标文件电子文档需要投标人单位盖章的材料，投标人加盖电子印章即可，不得将投标人未对电子文档加盖实物印章作为否决投标的情形。</w:t>
      </w:r>
    </w:p>
    <w:p>
      <w:pPr>
        <w:pStyle w:val="37"/>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12.3 </w:t>
      </w:r>
      <w:r>
        <w:rPr>
          <w:rFonts w:hint="eastAsia" w:ascii="宋体" w:hAnsi="宋体" w:eastAsia="宋体" w:cs="宋体"/>
          <w:bCs/>
          <w:color w:val="auto"/>
          <w:sz w:val="21"/>
          <w:szCs w:val="21"/>
          <w:highlight w:val="none"/>
        </w:rPr>
        <w:t>投标文件应按</w:t>
      </w:r>
      <w:r>
        <w:rPr>
          <w:rFonts w:hint="eastAsia" w:ascii="宋体" w:hAnsi="宋体" w:eastAsia="宋体" w:cs="宋体"/>
          <w:color w:val="auto"/>
          <w:sz w:val="21"/>
          <w:szCs w:val="21"/>
          <w:highlight w:val="none"/>
        </w:rPr>
        <w:t xml:space="preserve">照交易平台关于全流程电子化项目的相关指南进行编制，详见：。               </w:t>
      </w:r>
    </w:p>
    <w:p>
      <w:pPr>
        <w:pStyle w:val="37"/>
        <w:spacing w:after="0" w:line="360" w:lineRule="auto"/>
        <w:ind w:firstLine="0"/>
        <w:rPr>
          <w:rFonts w:ascii="宋体" w:hAnsi="宋体" w:eastAsia="宋体" w:cs="宋体"/>
          <w:color w:val="auto"/>
          <w:sz w:val="21"/>
          <w:szCs w:val="21"/>
          <w:highlight w:val="none"/>
        </w:rPr>
      </w:pPr>
      <w:r>
        <w:rPr>
          <w:rFonts w:hint="eastAsia" w:ascii="宋体" w:hAnsi="宋体" w:eastAsia="宋体" w:cs="宋体"/>
          <w:bCs/>
          <w:color w:val="auto"/>
          <w:sz w:val="21"/>
          <w:szCs w:val="21"/>
          <w:highlight w:val="none"/>
        </w:rPr>
        <w:t>如不按上述要求编制引起系统无法检索、读取相关信息的，其后果由投标人承担。</w:t>
      </w:r>
    </w:p>
    <w:p>
      <w:pPr>
        <w:pStyle w:val="37"/>
        <w:spacing w:after="0"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13．投标报价及造价承包和变更结算方式</w:t>
      </w:r>
    </w:p>
    <w:p>
      <w:pPr>
        <w:pStyle w:val="37"/>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13.1 本工程的投标报价采用投标须知前附表第12项所规定的方式。投标报价（含单价及总价）精确到“分”。</w:t>
      </w:r>
    </w:p>
    <w:p>
      <w:pPr>
        <w:pStyle w:val="37"/>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37"/>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37"/>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37"/>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pPr>
        <w:pStyle w:val="37"/>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13.5.1中标的投标文件工程量清单中已有相同项目的适用综合单价，则沿用；</w:t>
      </w:r>
    </w:p>
    <w:p>
      <w:pPr>
        <w:pStyle w:val="37"/>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37"/>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中标的投标文件工程量清单中没有相同项目或类似项目的，如可套取相关定额，则以相关定额为基数下浮计算单价,下浮率为中标价相对于最高投标限价的下浮率（下浮率=(最高投标限价-中标价)/最高投标限价）。</w:t>
      </w:r>
    </w:p>
    <w:p>
      <w:pPr>
        <w:pStyle w:val="37"/>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13.5.4 如相关定额没有相应子目的，其计价方式由招标人在本招标文件第三章中另行规定。未规定的，中标后双方协商约定。</w:t>
      </w:r>
    </w:p>
    <w:p>
      <w:pPr>
        <w:pStyle w:val="37"/>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13.6暂列金额、暂估价</w:t>
      </w:r>
    </w:p>
    <w:p>
      <w:pPr>
        <w:pStyle w:val="37"/>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37"/>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暂估价是指招标人在工程量清单中提供的用于支付必然发生但暂时不能确定价格的材料的单价以及专业工程的金额。</w:t>
      </w:r>
    </w:p>
    <w:p>
      <w:pPr>
        <w:pStyle w:val="37"/>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37"/>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37"/>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37"/>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37"/>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37"/>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13.7投标人可先到工地踏勘以充分了解工地位置、情况、道路、储存空间、装卸限制及任何其他足以影响承包价的情况，任何因忽视或误解工地情况而导致的索赔或工期延长申请将不被批准。</w:t>
      </w:r>
    </w:p>
    <w:p>
      <w:pPr>
        <w:pStyle w:val="37"/>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Style w:val="37"/>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37"/>
        <w:spacing w:after="0"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14．投标货币</w:t>
      </w:r>
    </w:p>
    <w:p>
      <w:pPr>
        <w:pStyle w:val="37"/>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14.1 本工程投标报价采用的币种为人民币。</w:t>
      </w:r>
    </w:p>
    <w:p>
      <w:pPr>
        <w:pStyle w:val="37"/>
        <w:spacing w:after="0" w:line="360" w:lineRule="auto"/>
        <w:ind w:firstLine="422" w:firstLineChars="200"/>
        <w:rPr>
          <w:rFonts w:ascii="宋体" w:hAnsi="宋体" w:eastAsia="宋体"/>
          <w:color w:val="auto"/>
          <w:sz w:val="21"/>
          <w:szCs w:val="21"/>
          <w:highlight w:val="none"/>
        </w:rPr>
      </w:pPr>
      <w:r>
        <w:rPr>
          <w:rFonts w:ascii="宋体" w:hAnsi="宋体" w:eastAsia="宋体"/>
          <w:b/>
          <w:bCs/>
          <w:color w:val="auto"/>
          <w:sz w:val="21"/>
          <w:szCs w:val="21"/>
          <w:highlight w:val="none"/>
        </w:rPr>
        <w:t>15</w:t>
      </w:r>
      <w:r>
        <w:rPr>
          <w:rFonts w:hint="eastAsia" w:ascii="宋体" w:hAnsi="宋体" w:eastAsia="宋体"/>
          <w:b/>
          <w:bCs/>
          <w:color w:val="auto"/>
          <w:sz w:val="21"/>
          <w:szCs w:val="21"/>
          <w:highlight w:val="none"/>
        </w:rPr>
        <w:t>．投标有效期</w:t>
      </w:r>
    </w:p>
    <w:p>
      <w:pPr>
        <w:pStyle w:val="37"/>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15.1 投标有效期见投标须知前附表第13项所规定的期限，在此期限内，凡符合本招标文件要求的投标文件均保持有效。</w:t>
      </w:r>
    </w:p>
    <w:p>
      <w:pPr>
        <w:pStyle w:val="37"/>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pPr>
        <w:pStyle w:val="37"/>
        <w:spacing w:after="0"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16．投标保证金</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16.1</w:t>
      </w:r>
      <w:r>
        <w:rPr>
          <w:rFonts w:hint="eastAsia" w:ascii="宋体" w:hAnsi="宋体"/>
          <w:color w:val="auto"/>
          <w:szCs w:val="21"/>
          <w:highlight w:val="none"/>
        </w:rPr>
        <w:t>投标人应按投标须知前附表第</w:t>
      </w:r>
      <w:r>
        <w:rPr>
          <w:rFonts w:ascii="宋体" w:hAnsi="宋体"/>
          <w:color w:val="auto"/>
          <w:szCs w:val="21"/>
          <w:highlight w:val="none"/>
        </w:rPr>
        <w:t>14</w:t>
      </w:r>
      <w:r>
        <w:rPr>
          <w:rFonts w:hint="eastAsia" w:ascii="宋体" w:hAnsi="宋体"/>
          <w:color w:val="auto"/>
          <w:szCs w:val="21"/>
          <w:highlight w:val="none"/>
        </w:rPr>
        <w:t>项所述金额和时间递交</w:t>
      </w:r>
      <w:r>
        <w:rPr>
          <w:rFonts w:hint="eastAsia" w:ascii="宋体" w:hAnsi="宋体"/>
          <w:bCs/>
          <w:color w:val="auto"/>
          <w:szCs w:val="21"/>
          <w:highlight w:val="none"/>
        </w:rPr>
        <w:t>投标保证金</w:t>
      </w:r>
      <w:r>
        <w:rPr>
          <w:rFonts w:hint="eastAsia" w:ascii="宋体" w:hAnsi="宋体"/>
          <w:color w:val="auto"/>
          <w:szCs w:val="21"/>
          <w:highlight w:val="none"/>
        </w:rPr>
        <w:t>。招标人应当允许投标人自主选择现金、银行保函、保证保险、专业工程担保公司担保等方式缴纳投标保证金。</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16.1.1 采用现金或者支票形式提交的，投标保证金须从投标人的银行基本账户转出。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16.1.3 采用电子形式的保函、担保或保证保险提交投标保证金的，应在招标文件中明确电子递交途径。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16.3投标保证金应依据法律法规的相关规定退还。</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16.4如有下列情况之一的，招标人可以不予退还投标保证金（是否退还投标保证金由招标人在招标文件中规定）：</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16.4.1因投标人原因造成投标文件未解密的；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16.4.2投标人在投标有效期内撤销投标文件；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16.4.3中标人未能在规定期限内按要求提交履约担保；</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16.4.4中标人未能在规定期限内签署合同协议。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16.5投标人如存在下列情况之一的，将被拒绝在一定时期内参与招标人后续工程投标（拒绝时限需在招标文件中明确）：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16.5.1投标人存在16.4条款所列情形且投标人提交的保函、担保或保证保险无法兑付的；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16.5.2采用非电子形式提交投标保证金的投标人存在16.4条款所列情形，且未按招标人要求补交银行保函、专业工程担保公司担保或保证保险原件的；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16.5.3按招标文件要求免于提供投标保证金的投标人存在16.4条款所列情形，且未按招标人要求补交投标保证金的；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16.5.3按招标文件要求免于提供投标保证金的投标人存在16.4条款所列情形的。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注：16.5.3款由招标人二选一，需在招标文件中明确。</w:t>
      </w:r>
    </w:p>
    <w:p>
      <w:pPr>
        <w:pStyle w:val="37"/>
        <w:spacing w:after="0"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17．投标文件的签署</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17.1</w:t>
      </w:r>
      <w:r>
        <w:rPr>
          <w:rFonts w:hint="eastAsia" w:ascii="宋体" w:hAnsi="宋体"/>
          <w:color w:val="auto"/>
          <w:szCs w:val="21"/>
          <w:highlight w:val="none"/>
        </w:rPr>
        <w:t>投标人应采用单位数字证书，</w:t>
      </w:r>
      <w:r>
        <w:rPr>
          <w:rFonts w:hint="eastAsia" w:ascii="宋体" w:hAnsi="宋体"/>
          <w:color w:val="auto"/>
          <w:szCs w:val="21"/>
          <w:highlight w:val="none"/>
          <w:lang w:val="en-US" w:eastAsia="zh-CN"/>
        </w:rPr>
        <w:t>对投标文件</w:t>
      </w:r>
      <w:r>
        <w:rPr>
          <w:rFonts w:hint="eastAsia" w:ascii="宋体" w:hAnsi="宋体"/>
          <w:color w:val="auto"/>
          <w:szCs w:val="21"/>
          <w:highlight w:val="none"/>
        </w:rPr>
        <w:t>加盖电子印章。投标文件中需个人签字或盖章的，应加盖个人电子印章或在线下完成后扫描上传。按照交易平台关于全流程电子化项目的相关指南进行操作。</w:t>
      </w:r>
      <w:r>
        <w:rPr>
          <w:rFonts w:hint="eastAsia" w:ascii="宋体" w:hAnsi="宋体" w:cs="宋体"/>
          <w:color w:val="auto"/>
          <w:szCs w:val="21"/>
          <w:highlight w:val="none"/>
        </w:rPr>
        <w:t>详见：</w:t>
      </w:r>
      <w:r>
        <w:rPr>
          <w:rFonts w:hint="eastAsia" w:ascii="宋体" w:hAnsi="宋体"/>
          <w:color w:val="auto"/>
          <w:szCs w:val="21"/>
          <w:highlight w:val="none"/>
        </w:rPr>
        <w:t>。</w:t>
      </w:r>
    </w:p>
    <w:p>
      <w:pPr>
        <w:pStyle w:val="5"/>
        <w:spacing w:before="156" w:after="156"/>
        <w:rPr>
          <w:color w:val="auto"/>
          <w:sz w:val="21"/>
          <w:szCs w:val="21"/>
          <w:highlight w:val="none"/>
        </w:rPr>
      </w:pPr>
      <w:bookmarkStart w:id="19" w:name="_Toc21525496"/>
      <w:bookmarkStart w:id="20" w:name="_Toc2272552"/>
      <w:bookmarkStart w:id="21" w:name="_Toc7691"/>
      <w:r>
        <w:rPr>
          <w:rFonts w:hint="eastAsia"/>
          <w:color w:val="auto"/>
          <w:sz w:val="21"/>
          <w:szCs w:val="21"/>
          <w:highlight w:val="none"/>
        </w:rPr>
        <w:t>（四）投标文件的提交</w:t>
      </w:r>
      <w:bookmarkEnd w:id="19"/>
      <w:bookmarkEnd w:id="20"/>
      <w:bookmarkEnd w:id="21"/>
    </w:p>
    <w:p>
      <w:pPr>
        <w:pStyle w:val="37"/>
        <w:spacing w:after="0"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18．</w:t>
      </w:r>
      <w:r>
        <w:rPr>
          <w:rFonts w:hint="eastAsia" w:ascii="宋体" w:hAnsi="宋体" w:eastAsia="宋体" w:cs="宋体"/>
          <w:b/>
          <w:color w:val="auto"/>
          <w:sz w:val="21"/>
          <w:szCs w:val="21"/>
          <w:highlight w:val="none"/>
        </w:rPr>
        <w:t>投标文件的密封和标记</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1</w:t>
      </w:r>
      <w:r>
        <w:rPr>
          <w:rFonts w:hint="eastAsia" w:ascii="宋体" w:hAnsi="宋体"/>
          <w:bCs/>
          <w:color w:val="auto"/>
          <w:szCs w:val="21"/>
          <w:highlight w:val="none"/>
        </w:rPr>
        <w:t>8</w:t>
      </w:r>
      <w:r>
        <w:rPr>
          <w:rFonts w:ascii="宋体" w:hAnsi="宋体"/>
          <w:bCs/>
          <w:color w:val="auto"/>
          <w:szCs w:val="21"/>
          <w:highlight w:val="none"/>
        </w:rPr>
        <w:t>.1</w:t>
      </w:r>
      <w:r>
        <w:rPr>
          <w:rFonts w:hint="eastAsia" w:ascii="宋体" w:hAnsi="宋体"/>
          <w:bCs/>
          <w:color w:val="auto"/>
          <w:szCs w:val="21"/>
          <w:highlight w:val="none"/>
        </w:rPr>
        <w:t>递交的电子投标文件（不含备用光盘）必须进行加密。按照交易平台关于</w:t>
      </w:r>
      <w:r>
        <w:rPr>
          <w:rFonts w:hint="eastAsia" w:ascii="宋体" w:hAnsi="宋体"/>
          <w:color w:val="auto"/>
          <w:szCs w:val="21"/>
          <w:highlight w:val="none"/>
        </w:rPr>
        <w:t>全流程电子化项目的相关指南进行操作。</w:t>
      </w:r>
      <w:r>
        <w:rPr>
          <w:rFonts w:hint="eastAsia" w:ascii="宋体" w:hAnsi="宋体" w:cs="宋体"/>
          <w:color w:val="auto"/>
          <w:szCs w:val="21"/>
          <w:highlight w:val="none"/>
        </w:rPr>
        <w:t>详见：</w:t>
      </w:r>
      <w:r>
        <w:rPr>
          <w:rFonts w:hint="eastAsia" w:ascii="宋体" w:hAnsi="宋体"/>
          <w:color w:val="auto"/>
          <w:szCs w:val="21"/>
          <w:highlight w:val="none"/>
        </w:rPr>
        <w:t xml:space="preserve"> 。</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1</w:t>
      </w:r>
      <w:r>
        <w:rPr>
          <w:rFonts w:hint="eastAsia" w:ascii="宋体" w:hAnsi="宋体"/>
          <w:bCs/>
          <w:color w:val="auto"/>
          <w:szCs w:val="21"/>
          <w:highlight w:val="none"/>
        </w:rPr>
        <w:t>8</w:t>
      </w:r>
      <w:r>
        <w:rPr>
          <w:rFonts w:ascii="宋体" w:hAnsi="宋体"/>
          <w:bCs/>
          <w:color w:val="auto"/>
          <w:szCs w:val="21"/>
          <w:highlight w:val="none"/>
        </w:rPr>
        <w:t>.2</w:t>
      </w:r>
      <w:r>
        <w:rPr>
          <w:rFonts w:hint="eastAsia" w:ascii="宋体" w:hAnsi="宋体"/>
          <w:bCs/>
          <w:color w:val="auto"/>
          <w:szCs w:val="21"/>
          <w:highlight w:val="none"/>
        </w:rPr>
        <w:t>未按要求加密的投标文件，</w:t>
      </w:r>
      <w:r>
        <w:rPr>
          <w:rFonts w:hint="eastAsia" w:ascii="宋体" w:hAnsi="宋体"/>
          <w:color w:val="auto"/>
          <w:szCs w:val="21"/>
          <w:highlight w:val="none"/>
        </w:rPr>
        <w:t>交易平台</w:t>
      </w:r>
      <w:r>
        <w:rPr>
          <w:rFonts w:hint="eastAsia" w:ascii="宋体" w:hAnsi="宋体"/>
          <w:bCs/>
          <w:color w:val="auto"/>
          <w:szCs w:val="21"/>
          <w:highlight w:val="none"/>
        </w:rPr>
        <w:t>将予以拒收。</w:t>
      </w:r>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19</w:t>
      </w:r>
      <w:r>
        <w:rPr>
          <w:rFonts w:hint="eastAsia" w:ascii="宋体" w:hAnsi="宋体"/>
          <w:b/>
          <w:bCs/>
          <w:color w:val="auto"/>
          <w:szCs w:val="21"/>
          <w:highlight w:val="none"/>
        </w:rPr>
        <w:t>．投标文件的递交和接收</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1</w:t>
      </w:r>
      <w:r>
        <w:rPr>
          <w:rFonts w:hint="eastAsia" w:ascii="宋体" w:hAnsi="宋体"/>
          <w:bCs/>
          <w:color w:val="auto"/>
          <w:szCs w:val="21"/>
          <w:highlight w:val="none"/>
        </w:rPr>
        <w:t>9</w:t>
      </w:r>
      <w:r>
        <w:rPr>
          <w:rFonts w:ascii="宋体" w:hAnsi="宋体"/>
          <w:bCs/>
          <w:color w:val="auto"/>
          <w:szCs w:val="21"/>
          <w:highlight w:val="none"/>
        </w:rPr>
        <w:t>.</w:t>
      </w:r>
      <w:r>
        <w:rPr>
          <w:rFonts w:hint="eastAsia" w:ascii="宋体" w:hAnsi="宋体"/>
          <w:bCs/>
          <w:color w:val="auto"/>
          <w:szCs w:val="21"/>
          <w:highlight w:val="none"/>
        </w:rPr>
        <w:t>1投标人通过</w:t>
      </w:r>
      <w:r>
        <w:rPr>
          <w:rFonts w:hint="eastAsia" w:ascii="宋体" w:hAnsi="宋体"/>
          <w:color w:val="auto"/>
          <w:szCs w:val="21"/>
          <w:highlight w:val="none"/>
        </w:rPr>
        <w:t>交易平台递交电子投标文件。</w:t>
      </w:r>
    </w:p>
    <w:p>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1</w:t>
      </w:r>
      <w:r>
        <w:rPr>
          <w:rFonts w:hint="eastAsia" w:ascii="宋体" w:hAnsi="宋体"/>
          <w:bCs/>
          <w:color w:val="auto"/>
          <w:szCs w:val="21"/>
          <w:highlight w:val="none"/>
        </w:rPr>
        <w:t>9</w:t>
      </w:r>
      <w:r>
        <w:rPr>
          <w:rFonts w:ascii="宋体" w:hAnsi="宋体"/>
          <w:bCs/>
          <w:color w:val="auto"/>
          <w:szCs w:val="21"/>
          <w:highlight w:val="none"/>
        </w:rPr>
        <w:t>.</w:t>
      </w:r>
      <w:r>
        <w:rPr>
          <w:rFonts w:hint="eastAsia" w:ascii="宋体" w:hAnsi="宋体"/>
          <w:bCs/>
          <w:color w:val="auto"/>
          <w:szCs w:val="21"/>
          <w:highlight w:val="none"/>
        </w:rPr>
        <w:t>2投标人完成电子</w:t>
      </w:r>
      <w:r>
        <w:rPr>
          <w:rFonts w:hint="eastAsia" w:ascii="宋体" w:hAnsi="宋体"/>
          <w:color w:val="auto"/>
          <w:szCs w:val="21"/>
          <w:highlight w:val="none"/>
        </w:rPr>
        <w:t>投标文件</w:t>
      </w:r>
      <w:r>
        <w:rPr>
          <w:rFonts w:hint="eastAsia" w:ascii="宋体" w:hAnsi="宋体"/>
          <w:bCs/>
          <w:color w:val="auto"/>
          <w:szCs w:val="21"/>
          <w:highlight w:val="none"/>
        </w:rPr>
        <w:t>上传后，</w:t>
      </w:r>
      <w:r>
        <w:rPr>
          <w:rFonts w:hint="eastAsia" w:ascii="宋体" w:hAnsi="宋体"/>
          <w:color w:val="auto"/>
          <w:szCs w:val="21"/>
          <w:highlight w:val="none"/>
        </w:rPr>
        <w:t>交易平台即时向投标人发出递交回执通知。递交时间以递交回执通知载明的传输完成时间为准。</w:t>
      </w:r>
    </w:p>
    <w:p>
      <w:pPr>
        <w:spacing w:line="360" w:lineRule="auto"/>
        <w:ind w:firstLine="420" w:firstLineChars="200"/>
        <w:rPr>
          <w:rFonts w:ascii="宋体" w:hAnsi="宋体"/>
          <w:color w:val="auto"/>
          <w:szCs w:val="21"/>
          <w:highlight w:val="none"/>
        </w:rPr>
      </w:pPr>
      <w:r>
        <w:rPr>
          <w:rFonts w:ascii="宋体" w:hAnsi="宋体"/>
          <w:bCs/>
          <w:color w:val="auto"/>
          <w:szCs w:val="21"/>
          <w:highlight w:val="none"/>
        </w:rPr>
        <w:t>1</w:t>
      </w:r>
      <w:r>
        <w:rPr>
          <w:rFonts w:hint="eastAsia" w:ascii="宋体" w:hAnsi="宋体"/>
          <w:bCs/>
          <w:color w:val="auto"/>
          <w:szCs w:val="21"/>
          <w:highlight w:val="none"/>
        </w:rPr>
        <w:t>9</w:t>
      </w:r>
      <w:r>
        <w:rPr>
          <w:rFonts w:ascii="宋体" w:hAnsi="宋体"/>
          <w:bCs/>
          <w:color w:val="auto"/>
          <w:szCs w:val="21"/>
          <w:highlight w:val="none"/>
        </w:rPr>
        <w:t>.</w:t>
      </w:r>
      <w:r>
        <w:rPr>
          <w:rFonts w:hint="eastAsia" w:ascii="宋体" w:hAnsi="宋体"/>
          <w:bCs/>
          <w:color w:val="auto"/>
          <w:szCs w:val="21"/>
          <w:highlight w:val="none"/>
        </w:rPr>
        <w:t>3逾期送达的电子投标文件，</w:t>
      </w:r>
      <w:r>
        <w:rPr>
          <w:rFonts w:hint="eastAsia" w:ascii="宋体" w:hAnsi="宋体"/>
          <w:color w:val="auto"/>
          <w:szCs w:val="21"/>
          <w:highlight w:val="none"/>
        </w:rPr>
        <w:t>交易平台将予以拒收。</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19.</w:t>
      </w:r>
      <w:r>
        <w:rPr>
          <w:rFonts w:hint="eastAsia" w:ascii="宋体" w:hAnsi="宋体"/>
          <w:color w:val="auto"/>
          <w:szCs w:val="21"/>
          <w:highlight w:val="none"/>
        </w:rPr>
        <w:t>4投标截止前，招标人拒绝接收符合条件的投标文件，投标人可向招标投标监督机构投诉。</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19.</w:t>
      </w:r>
      <w:r>
        <w:rPr>
          <w:rFonts w:hint="eastAsia" w:ascii="宋体" w:hAnsi="宋体"/>
          <w:color w:val="auto"/>
          <w:szCs w:val="21"/>
          <w:highlight w:val="none"/>
        </w:rPr>
        <w:t>5如技术标和经济标先后分别开启，交易平台将按招标文件规定的时间分别开启技术标和经济标。</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19.6</w:t>
      </w:r>
      <w:r>
        <w:rPr>
          <w:rFonts w:hint="eastAsia" w:ascii="宋体" w:hAnsi="宋体"/>
          <w:color w:val="auto"/>
          <w:szCs w:val="21"/>
          <w:highlight w:val="none"/>
        </w:rPr>
        <w:t>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20</w:t>
      </w:r>
      <w:r>
        <w:rPr>
          <w:rFonts w:hint="eastAsia" w:ascii="宋体" w:hAnsi="宋体"/>
          <w:b/>
          <w:bCs/>
          <w:color w:val="auto"/>
          <w:szCs w:val="21"/>
          <w:highlight w:val="none"/>
        </w:rPr>
        <w:t>．投标文件提交的截止时间</w:t>
      </w:r>
    </w:p>
    <w:p>
      <w:pPr>
        <w:spacing w:line="360" w:lineRule="auto"/>
        <w:ind w:firstLine="420" w:firstLineChars="200"/>
        <w:rPr>
          <w:rFonts w:ascii="宋体" w:hAnsi="宋体"/>
          <w:b/>
          <w:bCs/>
          <w:color w:val="auto"/>
          <w:szCs w:val="21"/>
          <w:highlight w:val="none"/>
        </w:rPr>
      </w:pPr>
      <w:r>
        <w:rPr>
          <w:rFonts w:ascii="宋体" w:hAnsi="宋体"/>
          <w:color w:val="auto"/>
          <w:szCs w:val="21"/>
          <w:highlight w:val="none"/>
        </w:rPr>
        <w:t>20.1</w:t>
      </w:r>
      <w:r>
        <w:rPr>
          <w:rFonts w:hint="eastAsia" w:ascii="宋体" w:hAnsi="宋体"/>
          <w:color w:val="auto"/>
          <w:szCs w:val="21"/>
          <w:highlight w:val="none"/>
        </w:rPr>
        <w:t>投标人应在投标须知前附表第17项所述的时间前提交投标文件。</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20.2</w:t>
      </w:r>
      <w:r>
        <w:rPr>
          <w:rFonts w:hint="eastAsia" w:ascii="宋体" w:hAnsi="宋体"/>
          <w:color w:val="auto"/>
          <w:szCs w:val="21"/>
          <w:highlight w:val="none"/>
        </w:rPr>
        <w:t>招标人可按本须知第</w:t>
      </w:r>
      <w:r>
        <w:rPr>
          <w:rFonts w:ascii="宋体" w:hAnsi="宋体"/>
          <w:color w:val="auto"/>
          <w:szCs w:val="21"/>
          <w:highlight w:val="none"/>
        </w:rPr>
        <w:t>9</w:t>
      </w:r>
      <w:r>
        <w:rPr>
          <w:rFonts w:hint="eastAsia" w:ascii="宋体" w:hAnsi="宋体"/>
          <w:color w:val="auto"/>
          <w:szCs w:val="21"/>
          <w:highlight w:val="none"/>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20.3 </w:t>
      </w:r>
      <w:r>
        <w:rPr>
          <w:rFonts w:hint="eastAsia" w:ascii="宋体" w:hAnsi="宋体"/>
          <w:color w:val="auto"/>
          <w:szCs w:val="21"/>
          <w:highlight w:val="none"/>
        </w:rPr>
        <w:t>到投标截止时间止，招标人收到的投标文件少于3家的，招标人将重新组织招标（当</w:t>
      </w:r>
      <w:r>
        <w:rPr>
          <w:rFonts w:ascii="宋体" w:hAnsi="宋体"/>
          <w:color w:val="auto"/>
          <w:szCs w:val="21"/>
          <w:highlight w:val="none"/>
        </w:rPr>
        <w:t>N</w:t>
      </w:r>
      <w:r>
        <w:rPr>
          <w:rFonts w:hint="eastAsia" w:ascii="宋体" w:hAnsi="宋体"/>
          <w:color w:val="auto"/>
          <w:szCs w:val="21"/>
          <w:highlight w:val="none"/>
        </w:rPr>
        <w:t>个标段同时招标且不允许兼中时，若有效投标人不足</w:t>
      </w:r>
      <w:r>
        <w:rPr>
          <w:rFonts w:ascii="宋体" w:hAnsi="宋体"/>
          <w:color w:val="auto"/>
          <w:szCs w:val="21"/>
          <w:highlight w:val="none"/>
        </w:rPr>
        <w:t>N+</w:t>
      </w:r>
      <w:r>
        <w:rPr>
          <w:rFonts w:hint="eastAsia" w:ascii="宋体" w:hAnsi="宋体"/>
          <w:color w:val="auto"/>
          <w:szCs w:val="21"/>
          <w:highlight w:val="none"/>
        </w:rPr>
        <w:t>2家，则重新组织招标）。</w:t>
      </w:r>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21</w:t>
      </w:r>
      <w:r>
        <w:rPr>
          <w:rFonts w:hint="eastAsia" w:ascii="宋体" w:hAnsi="宋体"/>
          <w:b/>
          <w:bCs/>
          <w:color w:val="auto"/>
          <w:szCs w:val="21"/>
          <w:highlight w:val="none"/>
        </w:rPr>
        <w:t>．迟交的投标文件</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21.1 </w:t>
      </w:r>
      <w:r>
        <w:rPr>
          <w:rFonts w:hint="eastAsia" w:ascii="宋体" w:hAnsi="宋体"/>
          <w:color w:val="auto"/>
          <w:szCs w:val="21"/>
          <w:highlight w:val="none"/>
        </w:rPr>
        <w:t>本须知前附表第</w:t>
      </w:r>
      <w:r>
        <w:rPr>
          <w:rFonts w:ascii="宋体" w:hAnsi="宋体"/>
          <w:color w:val="auto"/>
          <w:szCs w:val="21"/>
          <w:highlight w:val="none"/>
        </w:rPr>
        <w:t>1</w:t>
      </w:r>
      <w:r>
        <w:rPr>
          <w:rFonts w:hint="eastAsia" w:ascii="宋体" w:hAnsi="宋体"/>
          <w:color w:val="auto"/>
          <w:szCs w:val="21"/>
          <w:highlight w:val="none"/>
        </w:rPr>
        <w:t>7项规定的投标截止时间</w:t>
      </w:r>
      <w:r>
        <w:rPr>
          <w:rFonts w:hint="eastAsia" w:ascii="宋体" w:hAnsi="宋体"/>
          <w:bCs/>
          <w:color w:val="auto"/>
          <w:szCs w:val="21"/>
          <w:highlight w:val="none"/>
        </w:rPr>
        <w:t>后送达的电子投标文件，</w:t>
      </w:r>
      <w:r>
        <w:rPr>
          <w:rFonts w:hint="eastAsia" w:ascii="宋体" w:hAnsi="宋体"/>
          <w:color w:val="auto"/>
          <w:szCs w:val="21"/>
          <w:highlight w:val="none"/>
        </w:rPr>
        <w:t>交易平台将予以拒收。</w:t>
      </w:r>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22</w:t>
      </w:r>
      <w:r>
        <w:rPr>
          <w:rFonts w:hint="eastAsia" w:ascii="宋体" w:hAnsi="宋体"/>
          <w:b/>
          <w:bCs/>
          <w:color w:val="auto"/>
          <w:szCs w:val="21"/>
          <w:highlight w:val="none"/>
        </w:rPr>
        <w:t>．投标文件的修改与撤回</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22.1</w:t>
      </w:r>
      <w:r>
        <w:rPr>
          <w:rFonts w:hint="eastAsia" w:ascii="宋体" w:hAnsi="宋体"/>
          <w:color w:val="auto"/>
          <w:szCs w:val="21"/>
          <w:highlight w:val="none"/>
        </w:rPr>
        <w:t>在规定的投标截止时间前，投标人可以修改或撤回已递交的投标文件，但应以书面形式通知招标人。</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22.2投标人修改或撤回已递交</w:t>
      </w:r>
      <w:r>
        <w:rPr>
          <w:rFonts w:hint="eastAsia" w:ascii="宋体" w:hAnsi="宋体"/>
          <w:color w:val="auto"/>
          <w:szCs w:val="21"/>
          <w:highlight w:val="none"/>
        </w:rPr>
        <w:t>的</w:t>
      </w:r>
      <w:r>
        <w:rPr>
          <w:rFonts w:ascii="宋体" w:hAnsi="宋体"/>
          <w:color w:val="auto"/>
          <w:szCs w:val="21"/>
          <w:highlight w:val="none"/>
        </w:rPr>
        <w:t>投标文件</w:t>
      </w:r>
      <w:r>
        <w:rPr>
          <w:rFonts w:hint="eastAsia" w:ascii="宋体" w:hAnsi="宋体"/>
          <w:color w:val="auto"/>
          <w:szCs w:val="21"/>
          <w:highlight w:val="none"/>
        </w:rPr>
        <w:t>，需在交易平台发出修改或撤回</w:t>
      </w:r>
      <w:r>
        <w:rPr>
          <w:rFonts w:ascii="宋体" w:hAnsi="宋体"/>
          <w:color w:val="auto"/>
          <w:szCs w:val="21"/>
          <w:highlight w:val="none"/>
        </w:rPr>
        <w:t>通知，</w:t>
      </w:r>
      <w:r>
        <w:rPr>
          <w:rFonts w:hint="eastAsia" w:ascii="宋体" w:hAnsi="宋体"/>
          <w:color w:val="auto"/>
          <w:szCs w:val="21"/>
          <w:highlight w:val="none"/>
        </w:rPr>
        <w:t>并按</w:t>
      </w:r>
      <w:r>
        <w:rPr>
          <w:rFonts w:ascii="宋体" w:hAnsi="宋体"/>
          <w:color w:val="auto"/>
          <w:szCs w:val="21"/>
          <w:highlight w:val="none"/>
        </w:rPr>
        <w:t>要求加盖电子印章。</w:t>
      </w:r>
      <w:r>
        <w:rPr>
          <w:rFonts w:ascii="宋体" w:hAnsi="宋体"/>
          <w:bCs/>
          <w:iCs/>
          <w:color w:val="auto"/>
          <w:szCs w:val="21"/>
          <w:highlight w:val="none"/>
        </w:rPr>
        <w:t>电子招标投标交易平台收到通知后，</w:t>
      </w:r>
      <w:r>
        <w:rPr>
          <w:rFonts w:ascii="宋体" w:hAnsi="宋体"/>
          <w:color w:val="auto"/>
          <w:szCs w:val="21"/>
          <w:highlight w:val="none"/>
        </w:rPr>
        <w:t>即时向投标人发出确认回执通知。</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22.3修改后再次递交的，按19点的规定执行。</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4在投标截止时间之后，投标人不得补充、修改和更换投标文件。</w:t>
      </w:r>
    </w:p>
    <w:p>
      <w:pPr>
        <w:pStyle w:val="5"/>
        <w:spacing w:before="156" w:after="156"/>
        <w:rPr>
          <w:color w:val="auto"/>
          <w:sz w:val="21"/>
          <w:szCs w:val="21"/>
          <w:highlight w:val="none"/>
        </w:rPr>
      </w:pPr>
      <w:bookmarkStart w:id="22" w:name="_Toc21525497"/>
      <w:bookmarkStart w:id="23" w:name="_Toc2272553"/>
      <w:bookmarkStart w:id="24" w:name="_Toc2774"/>
      <w:r>
        <w:rPr>
          <w:rFonts w:hint="eastAsia"/>
          <w:color w:val="auto"/>
          <w:sz w:val="21"/>
          <w:szCs w:val="21"/>
          <w:highlight w:val="none"/>
        </w:rPr>
        <w:t>（五）开标、评标、定标及合同签定</w:t>
      </w:r>
      <w:bookmarkEnd w:id="22"/>
      <w:bookmarkEnd w:id="23"/>
      <w:bookmarkEnd w:id="24"/>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23</w:t>
      </w:r>
      <w:r>
        <w:rPr>
          <w:rFonts w:hint="eastAsia" w:ascii="宋体" w:hAnsi="宋体"/>
          <w:b/>
          <w:bCs/>
          <w:color w:val="auto"/>
          <w:szCs w:val="21"/>
          <w:highlight w:val="none"/>
        </w:rPr>
        <w:t>、开标。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详见第二章开标、评标及定标办法</w:t>
      </w:r>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24</w:t>
      </w:r>
      <w:r>
        <w:rPr>
          <w:rFonts w:hint="eastAsia" w:ascii="宋体" w:hAnsi="宋体"/>
          <w:b/>
          <w:bCs/>
          <w:color w:val="auto"/>
          <w:szCs w:val="21"/>
          <w:highlight w:val="none"/>
        </w:rPr>
        <w:t>．评标过程的保密</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24.1 </w:t>
      </w:r>
      <w:r>
        <w:rPr>
          <w:rFonts w:hint="eastAsia" w:ascii="宋体" w:hAnsi="宋体"/>
          <w:color w:val="auto"/>
          <w:szCs w:val="21"/>
          <w:highlight w:val="none"/>
        </w:rPr>
        <w:t>开标后，直至中标公示为止，凡属于对投标文件的审查、澄清、评价和比较有关的资料以及中标候选人的推荐情况，与评标有关的其他任何情况均严格保密。</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24.2 </w:t>
      </w:r>
      <w:r>
        <w:rPr>
          <w:rFonts w:hint="eastAsia" w:ascii="宋体" w:hAnsi="宋体"/>
          <w:color w:val="auto"/>
          <w:szCs w:val="21"/>
          <w:highlight w:val="none"/>
        </w:rPr>
        <w:t>在投标文件的评审和比较、中标候选人推荐以及授予合同的过程中，投标人向招标人和评标委员会施加不公正影响的任何行为，都将会导致其投标被拒绝。</w:t>
      </w:r>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25</w:t>
      </w:r>
      <w:r>
        <w:rPr>
          <w:rFonts w:hint="eastAsia" w:ascii="宋体" w:hAnsi="宋体"/>
          <w:b/>
          <w:bCs/>
          <w:color w:val="auto"/>
          <w:szCs w:val="21"/>
          <w:highlight w:val="none"/>
        </w:rPr>
        <w:t>．投标文件的澄清，计算错误的修正</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详见招标文件第二章开标、评标及定标办法</w:t>
      </w:r>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26</w:t>
      </w:r>
      <w:r>
        <w:rPr>
          <w:rFonts w:hint="eastAsia" w:ascii="宋体" w:hAnsi="宋体"/>
          <w:b/>
          <w:bCs/>
          <w:color w:val="auto"/>
          <w:szCs w:val="21"/>
          <w:highlight w:val="none"/>
        </w:rPr>
        <w:t>．投标文件的评审、比较和否决</w:t>
      </w:r>
    </w:p>
    <w:p>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详见招标文件第二章开标、评标及定标办法。</w:t>
      </w:r>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27</w:t>
      </w:r>
      <w:r>
        <w:rPr>
          <w:rFonts w:hint="eastAsia" w:ascii="宋体" w:hAnsi="宋体"/>
          <w:b/>
          <w:bCs/>
          <w:color w:val="auto"/>
          <w:szCs w:val="21"/>
          <w:highlight w:val="none"/>
        </w:rPr>
        <w:t>．中标通知书</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27.1</w:t>
      </w:r>
      <w:r>
        <w:rPr>
          <w:rFonts w:hint="eastAsia" w:ascii="宋体" w:hAnsi="宋体" w:cs="宋体"/>
          <w:bCs/>
          <w:color w:val="auto"/>
          <w:kern w:val="0"/>
          <w:szCs w:val="21"/>
          <w:highlight w:val="none"/>
        </w:rPr>
        <w:t>招标人将在交易平台、广东省招标投标监管网和中国招标投标公共服务平台公示中标候选人，公示期为三天。</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27.2</w:t>
      </w:r>
      <w:r>
        <w:rPr>
          <w:rFonts w:hint="eastAsia" w:ascii="宋体" w:hAnsi="宋体"/>
          <w:color w:val="auto"/>
          <w:szCs w:val="21"/>
          <w:highlight w:val="none"/>
        </w:rPr>
        <w:t>招标人应当自确定中标人后，向招标投标监管机构提交招标投标情况的书面报告；经招投标监管机构备案后，方可发出中标通知书。</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27.3</w:t>
      </w:r>
      <w:r>
        <w:rPr>
          <w:rFonts w:hint="eastAsia" w:ascii="宋体" w:hAnsi="宋体"/>
          <w:color w:val="auto"/>
          <w:szCs w:val="21"/>
          <w:highlight w:val="none"/>
        </w:rPr>
        <w:t>中标人必须在收到中标通知书后</w:t>
      </w:r>
      <w:r>
        <w:rPr>
          <w:rFonts w:ascii="宋体" w:hAnsi="宋体"/>
          <w:color w:val="auto"/>
          <w:szCs w:val="21"/>
          <w:highlight w:val="none"/>
        </w:rPr>
        <w:t>24</w:t>
      </w:r>
      <w:r>
        <w:rPr>
          <w:rFonts w:hint="eastAsia" w:ascii="宋体" w:hAnsi="宋体"/>
          <w:color w:val="auto"/>
          <w:szCs w:val="21"/>
          <w:highlight w:val="none"/>
        </w:rPr>
        <w:t>小时之内以书面形式回复招标人，确认收到。</w:t>
      </w:r>
    </w:p>
    <w:p>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27.4</w:t>
      </w:r>
      <w:r>
        <w:rPr>
          <w:rFonts w:hint="eastAsia" w:ascii="宋体" w:hAnsi="宋体" w:cs="宋体"/>
          <w:bCs/>
          <w:color w:val="auto"/>
          <w:kern w:val="0"/>
          <w:szCs w:val="21"/>
          <w:highlight w:val="none"/>
        </w:rPr>
        <w:t>在产生中标候选人后，招标人将中标候选人的投标文件商务部分文件的所有内容（包括</w:t>
      </w:r>
      <w:r>
        <w:rPr>
          <w:rFonts w:hint="eastAsia" w:ascii="宋体" w:hAnsi="宋体" w:cs="宋体"/>
          <w:b/>
          <w:bCs/>
          <w:color w:val="auto"/>
          <w:kern w:val="0"/>
          <w:szCs w:val="21"/>
          <w:highlight w:val="none"/>
        </w:rPr>
        <w:t>报价清单</w:t>
      </w:r>
      <w:r>
        <w:rPr>
          <w:rFonts w:hint="eastAsia" w:ascii="宋体" w:hAnsi="宋体" w:cs="宋体"/>
          <w:bCs/>
          <w:color w:val="auto"/>
          <w:kern w:val="0"/>
          <w:szCs w:val="21"/>
          <w:highlight w:val="none"/>
        </w:rPr>
        <w:t>、人员、业绩、奖项等资料）在交易平台和广东省招标投标监管网公开。</w:t>
      </w:r>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28</w:t>
      </w:r>
      <w:r>
        <w:rPr>
          <w:rFonts w:hint="eastAsia" w:ascii="宋体" w:hAnsi="宋体"/>
          <w:b/>
          <w:bCs/>
          <w:color w:val="auto"/>
          <w:szCs w:val="21"/>
          <w:highlight w:val="none"/>
        </w:rPr>
        <w:t>．合同协议书的签订</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28.1 </w:t>
      </w:r>
      <w:r>
        <w:rPr>
          <w:rFonts w:hint="eastAsia" w:ascii="宋体" w:hAnsi="宋体"/>
          <w:color w:val="auto"/>
          <w:szCs w:val="21"/>
          <w:highlight w:val="none"/>
        </w:rPr>
        <w:t>招标人与中标人将于中标通知书发出之日起</w:t>
      </w:r>
      <w:r>
        <w:rPr>
          <w:rFonts w:ascii="宋体" w:hAnsi="宋体"/>
          <w:color w:val="auto"/>
          <w:szCs w:val="21"/>
          <w:highlight w:val="none"/>
        </w:rPr>
        <w:t>30</w:t>
      </w:r>
      <w:r>
        <w:rPr>
          <w:rFonts w:hint="eastAsia" w:ascii="宋体" w:hAnsi="宋体"/>
          <w:color w:val="auto"/>
          <w:szCs w:val="21"/>
          <w:highlight w:val="none"/>
        </w:rPr>
        <w:t>日内，按照招标文件和中标人的投标文件商定和签订合同，招标人和中标人不得再行订立背离合同实质性内容的其他协议。</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28.2</w:t>
      </w:r>
      <w:r>
        <w:rPr>
          <w:rFonts w:hint="eastAsia" w:ascii="宋体" w:hAnsi="宋体"/>
          <w:color w:val="auto"/>
          <w:szCs w:val="21"/>
          <w:highlight w:val="none"/>
        </w:rPr>
        <w:t>中标通知书发出之日起</w:t>
      </w:r>
      <w:r>
        <w:rPr>
          <w:rFonts w:ascii="宋体" w:hAnsi="宋体"/>
          <w:color w:val="auto"/>
          <w:szCs w:val="21"/>
          <w:highlight w:val="none"/>
        </w:rPr>
        <w:t>30</w:t>
      </w:r>
      <w:r>
        <w:rPr>
          <w:rFonts w:hint="eastAsia" w:ascii="宋体" w:hAnsi="宋体"/>
          <w:color w:val="auto"/>
          <w:szCs w:val="21"/>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28.3</w:t>
      </w:r>
      <w:r>
        <w:rPr>
          <w:rFonts w:hint="eastAsia" w:ascii="宋体" w:hAnsi="宋体"/>
          <w:color w:val="auto"/>
          <w:szCs w:val="21"/>
          <w:highlight w:val="none"/>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28.4</w:t>
      </w:r>
      <w:r>
        <w:rPr>
          <w:rFonts w:hint="eastAsia" w:ascii="宋体" w:hAnsi="宋体"/>
          <w:color w:val="auto"/>
          <w:szCs w:val="21"/>
          <w:highlight w:val="none"/>
        </w:rPr>
        <w:t>工程进度款支付应不低于已完成工程价款的80%，招标人支付工程款时，中标人应按规定开具发票。质量保证金不超过工程价款总额3%。当年开工、当年不能竣工的新开工项目可以采用过程结算。</w:t>
      </w:r>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29</w:t>
      </w:r>
      <w:r>
        <w:rPr>
          <w:rFonts w:hint="eastAsia" w:ascii="宋体" w:hAnsi="宋体"/>
          <w:b/>
          <w:bCs/>
          <w:color w:val="auto"/>
          <w:szCs w:val="21"/>
          <w:highlight w:val="none"/>
        </w:rPr>
        <w:t>．履约担保</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29.1 </w:t>
      </w:r>
      <w:r>
        <w:rPr>
          <w:rFonts w:hint="eastAsia" w:ascii="宋体" w:hAnsi="宋体"/>
          <w:color w:val="auto"/>
          <w:szCs w:val="21"/>
          <w:highlight w:val="none"/>
        </w:rPr>
        <w:t>在收到中标通知书后的</w:t>
      </w:r>
      <w:r>
        <w:rPr>
          <w:rFonts w:ascii="宋体" w:hAnsi="宋体"/>
          <w:b/>
          <w:color w:val="auto"/>
          <w:szCs w:val="21"/>
          <w:highlight w:val="none"/>
        </w:rPr>
        <w:t>15</w:t>
      </w:r>
      <w:r>
        <w:rPr>
          <w:rFonts w:hint="eastAsia" w:ascii="宋体" w:hAnsi="宋体"/>
          <w:b/>
          <w:color w:val="auto"/>
          <w:szCs w:val="21"/>
          <w:highlight w:val="none"/>
        </w:rPr>
        <w:t>日</w:t>
      </w:r>
      <w:r>
        <w:rPr>
          <w:rFonts w:hint="eastAsia" w:ascii="宋体" w:hAnsi="宋体"/>
          <w:color w:val="auto"/>
          <w:szCs w:val="21"/>
          <w:highlight w:val="none"/>
        </w:rPr>
        <w:t>内，中标人应按本须知前附表第</w:t>
      </w:r>
      <w:r>
        <w:rPr>
          <w:rFonts w:ascii="宋体" w:hAnsi="宋体"/>
          <w:color w:val="auto"/>
          <w:szCs w:val="21"/>
          <w:highlight w:val="none"/>
        </w:rPr>
        <w:t>2</w:t>
      </w:r>
      <w:r>
        <w:rPr>
          <w:rFonts w:hint="eastAsia" w:ascii="宋体" w:hAnsi="宋体"/>
          <w:color w:val="auto"/>
          <w:szCs w:val="21"/>
          <w:highlight w:val="none"/>
        </w:rPr>
        <w:t>0项的规定向招标人提交履约担保。</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29.2</w:t>
      </w:r>
      <w:r>
        <w:rPr>
          <w:rFonts w:hint="eastAsia" w:ascii="宋体" w:hAnsi="宋体"/>
          <w:color w:val="auto"/>
          <w:szCs w:val="21"/>
          <w:highlight w:val="none"/>
        </w:rPr>
        <w:t>中标通知书发出之日起</w:t>
      </w:r>
      <w:r>
        <w:rPr>
          <w:rFonts w:ascii="宋体" w:hAnsi="宋体"/>
          <w:color w:val="auto"/>
          <w:szCs w:val="21"/>
          <w:highlight w:val="none"/>
        </w:rPr>
        <w:t>15</w:t>
      </w:r>
      <w:r>
        <w:rPr>
          <w:rFonts w:hint="eastAsia" w:ascii="宋体" w:hAnsi="宋体"/>
          <w:color w:val="auto"/>
          <w:szCs w:val="21"/>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30</w:t>
      </w:r>
      <w:r>
        <w:rPr>
          <w:rFonts w:hint="eastAsia" w:ascii="宋体" w:hAnsi="宋体"/>
          <w:b/>
          <w:bCs/>
          <w:color w:val="auto"/>
          <w:szCs w:val="21"/>
          <w:highlight w:val="none"/>
        </w:rPr>
        <w:t>．合同生效</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30.1</w:t>
      </w:r>
      <w:r>
        <w:rPr>
          <w:rFonts w:hint="eastAsia" w:ascii="宋体" w:hAnsi="宋体"/>
          <w:color w:val="auto"/>
          <w:szCs w:val="21"/>
          <w:highlight w:val="none"/>
        </w:rPr>
        <w:t>在合同双方全权代表在合同协议书上签字，并分别加盖双方单位的公章后，合同正式生效。</w:t>
      </w:r>
    </w:p>
    <w:p>
      <w:pPr>
        <w:spacing w:line="360" w:lineRule="auto"/>
        <w:ind w:firstLine="422" w:firstLineChars="200"/>
        <w:rPr>
          <w:rFonts w:ascii="宋体" w:hAnsi="宋体"/>
          <w:b/>
          <w:bCs/>
          <w:color w:val="auto"/>
          <w:szCs w:val="21"/>
          <w:highlight w:val="none"/>
        </w:rPr>
      </w:pPr>
      <w:r>
        <w:rPr>
          <w:rFonts w:ascii="宋体" w:hAnsi="宋体"/>
          <w:b/>
          <w:bCs/>
          <w:color w:val="auto"/>
          <w:szCs w:val="21"/>
          <w:highlight w:val="none"/>
        </w:rPr>
        <w:t>31</w:t>
      </w:r>
      <w:r>
        <w:rPr>
          <w:rFonts w:hint="eastAsia" w:ascii="宋体" w:hAnsi="宋体"/>
          <w:b/>
          <w:bCs/>
          <w:color w:val="auto"/>
          <w:szCs w:val="21"/>
          <w:highlight w:val="none"/>
        </w:rPr>
        <w:t>．其它费用</w:t>
      </w:r>
    </w:p>
    <w:p>
      <w:pPr>
        <w:pStyle w:val="37"/>
        <w:spacing w:after="0"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32．腐败与欺诈行为</w:t>
      </w:r>
    </w:p>
    <w:p>
      <w:pPr>
        <w:pStyle w:val="37"/>
        <w:spacing w:after="0" w:line="360" w:lineRule="auto"/>
        <w:ind w:firstLineChars="20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在招标和合同实施期间，招标人要求投标人和承包人遵守最高的道德标准。</w:t>
      </w:r>
    </w:p>
    <w:p>
      <w:pPr>
        <w:pStyle w:val="37"/>
        <w:spacing w:after="0" w:line="360" w:lineRule="auto"/>
        <w:ind w:firstLineChars="20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32．1对本条款的规定，特定义如下词汇：</w:t>
      </w:r>
    </w:p>
    <w:p>
      <w:pPr>
        <w:pStyle w:val="37"/>
        <w:spacing w:after="0" w:line="360" w:lineRule="auto"/>
        <w:ind w:firstLineChars="20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1）、“腐败行为”是指在招标或合同执行期间，通过提供、给予、接受或索要任何有价值的东西，从而影响招标人有关人员工作的行为；</w:t>
      </w:r>
    </w:p>
    <w:p>
      <w:pPr>
        <w:pStyle w:val="37"/>
        <w:spacing w:after="0" w:line="360" w:lineRule="auto"/>
        <w:ind w:firstLineChars="20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37"/>
        <w:spacing w:after="0" w:line="360" w:lineRule="auto"/>
        <w:ind w:firstLineChars="200"/>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32．2如果投标人被认定在本招标的竞争中有腐败或欺诈行为，则会被取消投标资格。</w:t>
      </w:r>
    </w:p>
    <w:p>
      <w:pPr>
        <w:pStyle w:val="37"/>
        <w:spacing w:after="0" w:line="360" w:lineRule="auto"/>
        <w:ind w:firstLineChars="20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32.3</w:t>
      </w:r>
      <w:r>
        <w:rPr>
          <w:rFonts w:hint="eastAsia" w:ascii="宋体" w:hAnsi="宋体" w:eastAsia="宋体" w:cs="宋体"/>
          <w:color w:val="auto"/>
          <w:sz w:val="21"/>
          <w:szCs w:val="21"/>
          <w:highlight w:val="none"/>
        </w:rPr>
        <w:t>投标人如在本项目中存在串通投标、弄虚作假、行贿情形的，中标无效，行政监督部门将对其违法行为进行政处罚并通报。该投标人将被招标人列入黑名单并限制其参与招标人后续项目的投标</w:t>
      </w:r>
      <w:r>
        <w:rPr>
          <w:rFonts w:hint="eastAsia" w:ascii="宋体" w:hAnsi="宋体" w:eastAsia="宋体" w:cs="宋体"/>
          <w:color w:val="auto"/>
          <w:kern w:val="2"/>
          <w:sz w:val="21"/>
          <w:szCs w:val="21"/>
          <w:highlight w:val="none"/>
        </w:rPr>
        <w:t>。</w:t>
      </w:r>
    </w:p>
    <w:p>
      <w:pPr>
        <w:spacing w:line="480" w:lineRule="auto"/>
        <w:ind w:firstLine="472" w:firstLineChars="224"/>
        <w:rPr>
          <w:rFonts w:ascii="宋体" w:hAnsi="宋体"/>
          <w:b/>
          <w:color w:val="auto"/>
          <w:szCs w:val="21"/>
          <w:highlight w:val="none"/>
        </w:rPr>
      </w:pPr>
      <w:r>
        <w:rPr>
          <w:rFonts w:hint="eastAsia" w:ascii="宋体" w:hAnsi="宋体"/>
          <w:b/>
          <w:color w:val="auto"/>
          <w:szCs w:val="21"/>
          <w:highlight w:val="none"/>
        </w:rPr>
        <w:t>33. 投标人信誉的要求</w:t>
      </w:r>
    </w:p>
    <w:p>
      <w:pPr>
        <w:spacing w:line="480" w:lineRule="auto"/>
        <w:ind w:firstLine="470" w:firstLineChars="224"/>
        <w:rPr>
          <w:rFonts w:ascii="宋体" w:hAnsi="宋体"/>
          <w:color w:val="auto"/>
          <w:szCs w:val="21"/>
          <w:highlight w:val="none"/>
        </w:rPr>
      </w:pPr>
      <w:r>
        <w:rPr>
          <w:rFonts w:hint="eastAsia" w:ascii="宋体" w:hAnsi="宋体"/>
          <w:color w:val="auto"/>
          <w:szCs w:val="21"/>
          <w:highlight w:val="none"/>
        </w:rPr>
        <w:t>存在下列情形之一的，招标人可以限制其投标（需在招标文件中明确评定方法）</w:t>
      </w:r>
    </w:p>
    <w:p>
      <w:pPr>
        <w:spacing w:line="480" w:lineRule="auto"/>
        <w:ind w:firstLine="470" w:firstLineChars="224"/>
        <w:rPr>
          <w:rFonts w:ascii="宋体" w:hAnsi="宋体"/>
          <w:color w:val="auto"/>
          <w:szCs w:val="21"/>
          <w:highlight w:val="none"/>
        </w:rPr>
      </w:pPr>
      <w:r>
        <w:rPr>
          <w:rFonts w:hint="eastAsia" w:ascii="宋体" w:hAnsi="宋体"/>
          <w:color w:val="auto"/>
          <w:szCs w:val="21"/>
          <w:highlight w:val="none"/>
        </w:rPr>
        <w:t>（1）被住房城乡建设行政主管部门在全国建筑市场监管一体化工作平台列入建筑市场主体“黑名单”；</w:t>
      </w:r>
    </w:p>
    <w:p>
      <w:pPr>
        <w:pStyle w:val="37"/>
        <w:spacing w:after="0" w:line="360" w:lineRule="auto"/>
        <w:ind w:firstLineChars="200"/>
        <w:rPr>
          <w:rFonts w:ascii="宋体" w:hAnsi="宋体" w:eastAsia="宋体"/>
          <w:color w:val="auto"/>
          <w:kern w:val="2"/>
          <w:sz w:val="21"/>
          <w:szCs w:val="21"/>
          <w:highlight w:val="none"/>
        </w:rPr>
      </w:pPr>
      <w:r>
        <w:rPr>
          <w:rFonts w:hint="eastAsia" w:ascii="宋体" w:hAnsi="宋体" w:eastAsia="宋体"/>
          <w:color w:val="auto"/>
          <w:sz w:val="21"/>
          <w:szCs w:val="21"/>
          <w:highlight w:val="none"/>
        </w:rPr>
        <w:t>（2）</w:t>
      </w:r>
      <w:r>
        <w:rPr>
          <w:rFonts w:hint="eastAsia" w:ascii="宋体" w:hAnsi="宋体" w:eastAsia="宋体"/>
          <w:color w:val="auto"/>
          <w:kern w:val="2"/>
          <w:sz w:val="21"/>
          <w:szCs w:val="21"/>
          <w:highlight w:val="none"/>
        </w:rPr>
        <w:t>被发改委、人力资源社会保障、质检总局等有关部门、单位在“信用中国”网站中列入联合惩戒失信黑名单。</w:t>
      </w:r>
    </w:p>
    <w:p>
      <w:pPr>
        <w:rPr>
          <w:rFonts w:ascii="宋体" w:hAnsi="宋体"/>
          <w:color w:val="auto"/>
          <w:szCs w:val="21"/>
          <w:highlight w:val="none"/>
        </w:rPr>
      </w:pPr>
      <w:r>
        <w:rPr>
          <w:rFonts w:hint="eastAsia" w:ascii="宋体" w:hAnsi="宋体"/>
          <w:color w:val="auto"/>
          <w:szCs w:val="21"/>
          <w:highlight w:val="none"/>
        </w:rPr>
        <w:br w:type="page"/>
      </w:r>
    </w:p>
    <w:p>
      <w:pPr>
        <w:pStyle w:val="4"/>
        <w:ind w:left="0" w:firstLine="0" w:firstLineChars="0"/>
        <w:jc w:val="center"/>
        <w:rPr>
          <w:rFonts w:ascii="宋体" w:hAnsi="宋体"/>
          <w:color w:val="auto"/>
          <w:sz w:val="21"/>
          <w:szCs w:val="21"/>
          <w:highlight w:val="none"/>
        </w:rPr>
      </w:pPr>
      <w:bookmarkStart w:id="25" w:name="_Toc3404"/>
      <w:r>
        <w:rPr>
          <w:rFonts w:hint="eastAsia" w:ascii="宋体" w:hAnsi="宋体"/>
          <w:color w:val="auto"/>
          <w:sz w:val="28"/>
          <w:szCs w:val="28"/>
          <w:highlight w:val="none"/>
        </w:rPr>
        <w:t>第二章开标、评标及定标办法</w:t>
      </w:r>
      <w:bookmarkEnd w:id="25"/>
    </w:p>
    <w:p>
      <w:pPr>
        <w:pStyle w:val="4"/>
        <w:ind w:left="0" w:leftChars="0" w:firstLine="0" w:firstLineChars="0"/>
        <w:jc w:val="center"/>
        <w:rPr>
          <w:rFonts w:ascii="宋体" w:hAnsi="宋体"/>
          <w:color w:val="auto"/>
          <w:sz w:val="21"/>
          <w:szCs w:val="21"/>
          <w:highlight w:val="none"/>
        </w:rPr>
      </w:pPr>
      <w:bookmarkStart w:id="26" w:name="_Toc24279"/>
      <w:bookmarkStart w:id="27" w:name="_Toc6493837"/>
      <w:r>
        <w:rPr>
          <w:rFonts w:hint="eastAsia" w:ascii="宋体" w:hAnsi="宋体"/>
          <w:color w:val="auto"/>
          <w:sz w:val="21"/>
          <w:szCs w:val="21"/>
          <w:highlight w:val="none"/>
        </w:rPr>
        <w:t>一、开标、评标及定标办法修改表</w:t>
      </w:r>
      <w:bookmarkEnd w:id="26"/>
      <w:bookmarkEnd w:id="27"/>
    </w:p>
    <w:p>
      <w:pPr>
        <w:pStyle w:val="37"/>
        <w:spacing w:after="0" w:line="500" w:lineRule="exact"/>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pPr>
        <w:spacing w:line="500" w:lineRule="exact"/>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hint="eastAsia" w:ascii="宋体" w:hAnsi="宋体" w:cs="宋体"/>
          <w:color w:val="auto"/>
          <w:szCs w:val="21"/>
          <w:highlight w:val="none"/>
        </w:rPr>
        <w:t>可选办法一</w:t>
      </w:r>
      <w:r>
        <w:rPr>
          <w:rFonts w:hint="eastAsia" w:ascii="宋体" w:hAnsi="宋体"/>
          <w:b/>
          <w:color w:val="auto"/>
          <w:szCs w:val="21"/>
          <w:highlight w:val="none"/>
        </w:rPr>
        <w:t>修改类型：删除</w:t>
      </w:r>
    </w:p>
    <w:p>
      <w:pPr>
        <w:pBdr>
          <w:bottom w:val="single" w:color="auto" w:sz="6" w:space="1"/>
        </w:pBdr>
        <w:spacing w:line="500" w:lineRule="exact"/>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s="宋体"/>
          <w:color w:val="auto"/>
          <w:szCs w:val="21"/>
          <w:highlight w:val="none"/>
        </w:rPr>
        <w:t>可选办法一（适合综合评分法一，技术标与经济标先后分别开启）</w:t>
      </w:r>
    </w:p>
    <w:p>
      <w:pPr>
        <w:spacing w:line="500" w:lineRule="exact"/>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hint="eastAsia" w:ascii="宋体" w:hAnsi="宋体" w:cs="宋体"/>
          <w:color w:val="auto"/>
          <w:szCs w:val="21"/>
          <w:highlight w:val="none"/>
        </w:rPr>
        <w:t>可选办法二</w:t>
      </w:r>
      <w:r>
        <w:rPr>
          <w:rFonts w:hint="eastAsia" w:ascii="宋体" w:hAnsi="宋体"/>
          <w:b/>
          <w:color w:val="auto"/>
          <w:szCs w:val="21"/>
          <w:highlight w:val="none"/>
        </w:rPr>
        <w:t>修改类型：删除</w:t>
      </w:r>
    </w:p>
    <w:p>
      <w:pPr>
        <w:pBdr>
          <w:bottom w:val="single" w:color="auto" w:sz="6" w:space="1"/>
        </w:pBdr>
        <w:spacing w:line="500" w:lineRule="exact"/>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s="宋体"/>
          <w:color w:val="auto"/>
          <w:szCs w:val="21"/>
          <w:highlight w:val="none"/>
        </w:rPr>
        <w:t>可选办法二（适合综合评分法一，技术标与经济标同时开启）</w:t>
      </w:r>
    </w:p>
    <w:p>
      <w:pPr>
        <w:spacing w:line="500" w:lineRule="exact"/>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hint="eastAsia" w:ascii="宋体" w:hAnsi="宋体" w:cs="宋体"/>
          <w:color w:val="auto"/>
          <w:szCs w:val="21"/>
          <w:highlight w:val="none"/>
        </w:rPr>
        <w:t>可选办法三</w:t>
      </w:r>
      <w:r>
        <w:rPr>
          <w:rFonts w:hint="eastAsia" w:ascii="宋体" w:hAnsi="宋体"/>
          <w:b/>
          <w:color w:val="auto"/>
          <w:szCs w:val="21"/>
          <w:highlight w:val="none"/>
        </w:rPr>
        <w:t>修改类型：删除</w:t>
      </w:r>
    </w:p>
    <w:p>
      <w:pPr>
        <w:pBdr>
          <w:bottom w:val="single" w:color="auto" w:sz="6" w:space="1"/>
        </w:pBdr>
        <w:spacing w:line="500" w:lineRule="exact"/>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s="宋体"/>
          <w:color w:val="auto"/>
          <w:szCs w:val="21"/>
          <w:highlight w:val="none"/>
        </w:rPr>
        <w:t>可选办法三</w:t>
      </w:r>
    </w:p>
    <w:p>
      <w:pPr>
        <w:spacing w:line="500" w:lineRule="exact"/>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hint="eastAsia" w:ascii="宋体" w:hAnsi="宋体" w:cs="宋体"/>
          <w:color w:val="auto"/>
          <w:szCs w:val="21"/>
          <w:highlight w:val="none"/>
        </w:rPr>
        <w:t>可选办法四</w:t>
      </w:r>
      <w:r>
        <w:rPr>
          <w:rFonts w:hint="eastAsia" w:ascii="宋体" w:hAnsi="宋体"/>
          <w:b/>
          <w:color w:val="auto"/>
          <w:szCs w:val="21"/>
          <w:highlight w:val="none"/>
        </w:rPr>
        <w:t>修改类型：删除</w:t>
      </w:r>
    </w:p>
    <w:p>
      <w:pPr>
        <w:pBdr>
          <w:bottom w:val="single" w:color="auto" w:sz="6" w:space="1"/>
        </w:pBdr>
        <w:spacing w:line="500" w:lineRule="exact"/>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s="宋体"/>
          <w:color w:val="auto"/>
          <w:szCs w:val="21"/>
          <w:highlight w:val="none"/>
        </w:rPr>
        <w:t>可选办法四（适合综合评分法二，技术标与经济标同时开启）</w:t>
      </w:r>
    </w:p>
    <w:p>
      <w:pPr>
        <w:spacing w:line="500" w:lineRule="exact"/>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hint="eastAsia" w:ascii="宋体" w:hAnsi="宋体" w:cs="宋体"/>
          <w:color w:val="auto"/>
          <w:szCs w:val="21"/>
          <w:highlight w:val="none"/>
        </w:rPr>
        <w:t>可选办法五</w:t>
      </w:r>
      <w:r>
        <w:rPr>
          <w:rFonts w:hint="eastAsia" w:ascii="宋体" w:hAnsi="宋体"/>
          <w:b/>
          <w:color w:val="auto"/>
          <w:szCs w:val="21"/>
          <w:highlight w:val="none"/>
        </w:rPr>
        <w:t>修改类型：删除</w:t>
      </w:r>
    </w:p>
    <w:p>
      <w:pPr>
        <w:pBdr>
          <w:bottom w:val="single" w:color="auto" w:sz="6" w:space="1"/>
        </w:pBdr>
        <w:spacing w:line="500" w:lineRule="exact"/>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s="宋体"/>
          <w:color w:val="auto"/>
          <w:szCs w:val="21"/>
          <w:highlight w:val="none"/>
        </w:rPr>
        <w:t>可选办法五（适合综合评分法三，技术标与经济标先后分别开启）</w:t>
      </w:r>
    </w:p>
    <w:p>
      <w:pPr>
        <w:spacing w:line="500" w:lineRule="exact"/>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hint="eastAsia" w:ascii="宋体" w:hAnsi="宋体" w:cs="宋体"/>
          <w:color w:val="auto"/>
          <w:szCs w:val="21"/>
          <w:highlight w:val="none"/>
        </w:rPr>
        <w:t>可选办法</w:t>
      </w:r>
      <w:r>
        <w:rPr>
          <w:rFonts w:hint="eastAsia" w:ascii="宋体" w:hAnsi="宋体" w:cs="宋体"/>
          <w:color w:val="auto"/>
          <w:szCs w:val="21"/>
          <w:highlight w:val="none"/>
          <w:lang w:val="en-US" w:eastAsia="zh-CN"/>
        </w:rPr>
        <w:t>七</w:t>
      </w:r>
      <w:r>
        <w:rPr>
          <w:rFonts w:hint="eastAsia" w:ascii="宋体" w:hAnsi="宋体"/>
          <w:b/>
          <w:color w:val="auto"/>
          <w:szCs w:val="21"/>
          <w:highlight w:val="none"/>
        </w:rPr>
        <w:t>修改类型：删除</w:t>
      </w:r>
    </w:p>
    <w:p>
      <w:pPr>
        <w:pBdr>
          <w:bottom w:val="single" w:color="auto" w:sz="6" w:space="1"/>
        </w:pBdr>
        <w:spacing w:line="500" w:lineRule="exact"/>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s="宋体"/>
          <w:color w:val="auto"/>
          <w:szCs w:val="21"/>
          <w:highlight w:val="none"/>
        </w:rPr>
        <w:t>可选办法</w:t>
      </w: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（适合综合评分法</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，技术标与经济标同时开启）</w:t>
      </w:r>
    </w:p>
    <w:p>
      <w:pPr>
        <w:spacing w:line="500" w:lineRule="exact"/>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hint="eastAsia" w:ascii="宋体" w:hAnsi="宋体" w:cs="宋体"/>
          <w:color w:val="auto"/>
          <w:szCs w:val="21"/>
          <w:highlight w:val="none"/>
        </w:rPr>
        <w:t>可选办法八</w:t>
      </w:r>
      <w:r>
        <w:rPr>
          <w:rFonts w:hint="eastAsia" w:ascii="宋体" w:hAnsi="宋体"/>
          <w:b/>
          <w:color w:val="auto"/>
          <w:szCs w:val="21"/>
          <w:highlight w:val="none"/>
        </w:rPr>
        <w:t>修改类型：删除</w:t>
      </w:r>
    </w:p>
    <w:p>
      <w:pPr>
        <w:spacing w:line="500" w:lineRule="exact"/>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s="宋体"/>
          <w:color w:val="auto"/>
          <w:szCs w:val="21"/>
          <w:highlight w:val="none"/>
        </w:rPr>
        <w:t>可选办法八（适合经评审的最低投标价法，技术标与经济标同时开启）</w:t>
      </w:r>
      <w:r>
        <w:rPr>
          <w:rFonts w:hint="eastAsia" w:ascii="宋体" w:hAnsi="宋体"/>
          <w:b/>
          <w:color w:val="auto"/>
          <w:szCs w:val="21"/>
          <w:highlight w:val="none"/>
        </w:rPr>
        <w:t>条款号：</w:t>
      </w:r>
      <w:r>
        <w:rPr>
          <w:rFonts w:hint="eastAsia" w:ascii="宋体" w:hAnsi="宋体" w:cs="宋体"/>
          <w:color w:val="auto"/>
          <w:szCs w:val="21"/>
          <w:highlight w:val="none"/>
        </w:rPr>
        <w:t>可选办法八</w:t>
      </w:r>
      <w:r>
        <w:rPr>
          <w:rFonts w:hint="eastAsia" w:ascii="宋体" w:hAnsi="宋体"/>
          <w:b/>
          <w:color w:val="auto"/>
          <w:szCs w:val="21"/>
          <w:highlight w:val="none"/>
        </w:rPr>
        <w:t>修改类型：删除</w:t>
      </w:r>
    </w:p>
    <w:p>
      <w:pPr>
        <w:pBdr>
          <w:bottom w:val="single" w:color="auto" w:sz="6" w:space="1"/>
        </w:pBdr>
        <w:spacing w:line="500" w:lineRule="exact"/>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s="宋体"/>
          <w:color w:val="auto"/>
          <w:szCs w:val="21"/>
          <w:highlight w:val="none"/>
        </w:rPr>
        <w:t>可选办法八（适合经评审的最低投标价法，技术标与经济标同时开启）</w:t>
      </w:r>
    </w:p>
    <w:p>
      <w:pPr>
        <w:spacing w:line="500" w:lineRule="exact"/>
        <w:ind w:firstLine="472" w:firstLineChars="224"/>
        <w:rPr>
          <w:rFonts w:ascii="宋体" w:hAnsi="宋体" w:cs="宋体"/>
          <w:b/>
          <w:color w:val="auto"/>
          <w:szCs w:val="21"/>
          <w:highlight w:val="none"/>
        </w:rPr>
      </w:pPr>
      <w:r>
        <w:rPr>
          <w:rFonts w:hint="eastAsia" w:ascii="宋体" w:hAnsi="宋体"/>
          <w:b/>
          <w:color w:val="auto"/>
          <w:szCs w:val="21"/>
          <w:highlight w:val="none"/>
        </w:rPr>
        <w:t>条款号：</w:t>
      </w:r>
      <w:r>
        <w:rPr>
          <w:rFonts w:hint="eastAsia" w:ascii="宋体" w:hAnsi="宋体"/>
          <w:color w:val="auto"/>
          <w:szCs w:val="21"/>
          <w:highlight w:val="none"/>
        </w:rPr>
        <w:t xml:space="preserve">36.1  </w:t>
      </w:r>
      <w:r>
        <w:rPr>
          <w:rFonts w:hint="eastAsia" w:ascii="宋体" w:hAnsi="宋体"/>
          <w:b/>
          <w:color w:val="auto"/>
          <w:szCs w:val="21"/>
          <w:highlight w:val="none"/>
        </w:rPr>
        <w:t>修改类型：修改</w:t>
      </w:r>
    </w:p>
    <w:p>
      <w:pPr>
        <w:spacing w:line="5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36.1招标人按投标须知前附表第18项所规定的时间和地点公开开标，并邀请所有投标人参加。截标后，开标开始时间因故推迟的，相关评标信息仍以原定的开标开始时间的信息为准。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500" w:lineRule="exact"/>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500" w:lineRule="exact"/>
        <w:ind w:firstLine="472" w:firstLineChars="224"/>
        <w:rPr>
          <w:rFonts w:ascii="宋体" w:hAnsi="宋体" w:cs="宋体"/>
          <w:b/>
          <w:color w:val="auto"/>
          <w:szCs w:val="21"/>
          <w:highlight w:val="none"/>
        </w:rPr>
      </w:pPr>
      <w:r>
        <w:rPr>
          <w:rFonts w:hint="eastAsia" w:ascii="宋体" w:hAnsi="宋体"/>
          <w:b/>
          <w:color w:val="auto"/>
          <w:szCs w:val="21"/>
          <w:highlight w:val="none"/>
        </w:rPr>
        <w:t>条款号：</w:t>
      </w:r>
      <w:r>
        <w:rPr>
          <w:rFonts w:hint="eastAsia" w:ascii="宋体" w:hAnsi="宋体"/>
          <w:color w:val="auto"/>
          <w:szCs w:val="21"/>
          <w:highlight w:val="none"/>
        </w:rPr>
        <w:t xml:space="preserve">36.3  </w:t>
      </w:r>
      <w:r>
        <w:rPr>
          <w:rFonts w:hint="eastAsia" w:ascii="宋体" w:hAnsi="宋体"/>
          <w:b/>
          <w:color w:val="auto"/>
          <w:szCs w:val="21"/>
          <w:highlight w:val="none"/>
        </w:rPr>
        <w:t>修改类型：删除</w:t>
      </w:r>
    </w:p>
    <w:p>
      <w:pPr>
        <w:pBdr>
          <w:bottom w:val="single" w:color="auto" w:sz="6" w:space="1"/>
        </w:pBdr>
        <w:spacing w:line="500" w:lineRule="exact"/>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36.</w:t>
      </w:r>
      <w:r>
        <w:rPr>
          <w:rFonts w:hint="eastAsia" w:ascii="宋体" w:hAnsi="宋体"/>
          <w:color w:val="auto"/>
          <w:szCs w:val="21"/>
          <w:highlight w:val="none"/>
        </w:rPr>
        <w:t>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500" w:lineRule="exact"/>
        <w:ind w:firstLine="422" w:firstLineChars="200"/>
        <w:rPr>
          <w:rFonts w:ascii="宋体" w:hAnsi="宋体"/>
          <w:b/>
          <w:color w:val="auto"/>
          <w:szCs w:val="21"/>
          <w:highlight w:val="none"/>
        </w:rPr>
      </w:pPr>
      <w:r>
        <w:rPr>
          <w:rFonts w:hint="eastAsia" w:ascii="宋体" w:hAnsi="宋体"/>
          <w:b/>
          <w:color w:val="auto"/>
          <w:szCs w:val="21"/>
          <w:highlight w:val="none"/>
        </w:rPr>
        <w:t>条款号：</w:t>
      </w:r>
      <w:r>
        <w:rPr>
          <w:rFonts w:hint="eastAsia" w:ascii="宋体" w:hAnsi="宋体"/>
          <w:color w:val="auto"/>
          <w:szCs w:val="21"/>
          <w:highlight w:val="none"/>
        </w:rPr>
        <w:t>36.5.1</w:t>
      </w:r>
      <w:r>
        <w:rPr>
          <w:rFonts w:hint="eastAsia" w:ascii="宋体" w:hAnsi="宋体"/>
          <w:b/>
          <w:color w:val="auto"/>
          <w:szCs w:val="21"/>
          <w:highlight w:val="none"/>
        </w:rPr>
        <w:t>修改类型：修改</w:t>
      </w:r>
    </w:p>
    <w:p>
      <w:pPr>
        <w:spacing w:line="500" w:lineRule="exact"/>
        <w:ind w:firstLine="472" w:firstLineChars="224"/>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s="宋体"/>
          <w:bCs/>
          <w:color w:val="auto"/>
          <w:szCs w:val="21"/>
          <w:highlight w:val="none"/>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r>
        <w:rPr>
          <w:rFonts w:hint="eastAsia" w:ascii="宋体" w:hAnsi="宋体" w:cs="宋体"/>
          <w:bCs/>
          <w:color w:val="auto"/>
          <w:kern w:val="0"/>
          <w:szCs w:val="21"/>
          <w:highlight w:val="none"/>
        </w:rPr>
        <w:t>；</w:t>
      </w:r>
    </w:p>
    <w:p>
      <w:pPr>
        <w:pBdr>
          <w:bottom w:val="single" w:color="auto" w:sz="6" w:space="1"/>
        </w:pBdr>
        <w:spacing w:line="500" w:lineRule="exact"/>
        <w:ind w:firstLine="527" w:firstLineChars="25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36.5.1在投标截止时间后</w:t>
      </w:r>
      <w:r>
        <w:rPr>
          <w:rFonts w:hint="eastAsia" w:ascii="宋体" w:hAnsi="宋体"/>
          <w:color w:val="auto"/>
          <w:szCs w:val="21"/>
          <w:highlight w:val="none"/>
          <w:lang w:val="en-US" w:eastAsia="zh-CN"/>
        </w:rPr>
        <w:t>一个</w:t>
      </w:r>
      <w:r>
        <w:rPr>
          <w:rFonts w:hint="eastAsia" w:ascii="宋体" w:hAnsi="宋体"/>
          <w:color w:val="auto"/>
          <w:szCs w:val="21"/>
          <w:highlight w:val="none"/>
        </w:rPr>
        <w:t>小时内，投标人通过</w:t>
      </w:r>
      <w:r>
        <w:rPr>
          <w:rFonts w:hint="eastAsia" w:ascii="宋体" w:hAnsi="宋体"/>
          <w:color w:val="auto"/>
          <w:szCs w:val="21"/>
          <w:highlight w:val="none"/>
          <w:u w:val="single"/>
        </w:rPr>
        <w:t>广州交易集团有限公司（广州公共资源交易中心）</w:t>
      </w:r>
      <w:r>
        <w:rPr>
          <w:rFonts w:hint="eastAsia" w:ascii="宋体" w:hAnsi="宋体"/>
          <w:color w:val="auto"/>
          <w:szCs w:val="21"/>
          <w:highlight w:val="none"/>
        </w:rPr>
        <w:t>交易平台对已递交的电子投标文件进行解密。投标人完成解密后，再由招标人进行解密。解密完成后，公布招标项目名称、投标人名称的递交情况、投标报价、工期及其他内容；</w:t>
      </w:r>
    </w:p>
    <w:p>
      <w:pPr>
        <w:tabs>
          <w:tab w:val="left" w:pos="4410"/>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Cs/>
          <w:color w:val="auto"/>
          <w:szCs w:val="21"/>
          <w:highlight w:val="none"/>
        </w:rPr>
        <w:t>36.5.3</w:t>
      </w:r>
      <w:r>
        <w:rPr>
          <w:rFonts w:ascii="宋体" w:hAnsi="宋体" w:cs="宋体"/>
          <w:bCs/>
          <w:color w:val="auto"/>
          <w:szCs w:val="21"/>
          <w:highlight w:val="none"/>
        </w:rPr>
        <w:t xml:space="preserve">  </w:t>
      </w:r>
      <w:r>
        <w:rPr>
          <w:rFonts w:hint="eastAsia" w:ascii="宋体" w:hAnsi="宋体" w:cs="宋体"/>
          <w:b/>
          <w:color w:val="auto"/>
          <w:szCs w:val="21"/>
          <w:highlight w:val="none"/>
        </w:rPr>
        <w:t>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投标人代表、招标人代表、监标人、记录人等有关人员在开标记录上签字确认；若有关人员不签字的，不影响开标程序；</w:t>
      </w:r>
    </w:p>
    <w:p>
      <w:pPr>
        <w:pBdr>
          <w:bottom w:val="single" w:color="auto" w:sz="6" w:space="1"/>
        </w:pBdr>
        <w:spacing w:line="500" w:lineRule="exact"/>
        <w:ind w:firstLine="527" w:firstLineChars="250"/>
        <w:rPr>
          <w:rFonts w:ascii="宋体" w:hAnsi="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投标人代表、招标人代表、监标人、记录人等有关人员在开标记录上签字确认；若有关人员不签字的，不影响开标程序；</w:t>
      </w:r>
      <w:r>
        <w:rPr>
          <w:rFonts w:hint="eastAsia" w:ascii="宋体" w:hAnsi="宋体" w:cs="宋体"/>
          <w:color w:val="auto"/>
          <w:szCs w:val="21"/>
          <w:highlight w:val="none"/>
          <w:u w:val="single"/>
        </w:rPr>
        <w:t>若投标人不参加开标会的，或不签字确认的，视同该投标人认可开标结果。</w:t>
      </w:r>
    </w:p>
    <w:p>
      <w:pPr>
        <w:spacing w:line="400" w:lineRule="exact"/>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 xml:space="preserve">38.1  </w:t>
      </w:r>
      <w:r>
        <w:rPr>
          <w:rFonts w:hint="eastAsia" w:ascii="宋体" w:hAnsi="宋体"/>
          <w:b/>
          <w:color w:val="auto"/>
          <w:szCs w:val="21"/>
          <w:highlight w:val="none"/>
        </w:rPr>
        <w:t>修改类型：修改</w:t>
      </w:r>
    </w:p>
    <w:p>
      <w:pPr>
        <w:spacing w:line="400" w:lineRule="exact"/>
        <w:ind w:firstLine="472" w:firstLineChars="224"/>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400" w:lineRule="exact"/>
        <w:ind w:firstLine="527" w:firstLineChars="25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38.1</w:t>
      </w:r>
      <w:r>
        <w:rPr>
          <w:rFonts w:hint="eastAsia" w:ascii="宋体" w:hAnsi="宋体" w:cs="宋体"/>
          <w:color w:val="auto"/>
          <w:szCs w:val="21"/>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r>
        <w:rPr>
          <w:rFonts w:hint="eastAsia" w:ascii="宋体" w:hAnsi="宋体" w:cs="宋体"/>
          <w:color w:val="auto"/>
          <w:szCs w:val="21"/>
          <w:highlight w:val="none"/>
          <w:u w:val="single"/>
        </w:rPr>
        <w:t>、对同类问题表述不一致、有明显文字和计算错误的内容以及细微偏差的</w:t>
      </w:r>
      <w:r>
        <w:rPr>
          <w:rFonts w:hint="eastAsia" w:ascii="宋体" w:hAnsi="宋体" w:cs="宋体"/>
          <w:color w:val="auto"/>
          <w:szCs w:val="21"/>
          <w:highlight w:val="none"/>
        </w:rPr>
        <w:t>内容作出澄清。</w:t>
      </w:r>
    </w:p>
    <w:p>
      <w:pPr>
        <w:spacing w:line="46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条款号：</w:t>
      </w:r>
      <w:r>
        <w:rPr>
          <w:rFonts w:hint="eastAsia" w:ascii="宋体" w:hAnsi="宋体"/>
          <w:b/>
          <w:color w:val="auto"/>
          <w:szCs w:val="21"/>
          <w:highlight w:val="none"/>
        </w:rPr>
        <w:t>39.3</w:t>
      </w:r>
      <w:r>
        <w:rPr>
          <w:rFonts w:ascii="宋体" w:hAnsi="宋体"/>
          <w:b/>
          <w:color w:val="auto"/>
          <w:szCs w:val="21"/>
          <w:highlight w:val="none"/>
        </w:rPr>
        <w:t xml:space="preserve">          </w:t>
      </w:r>
      <w:r>
        <w:rPr>
          <w:rFonts w:hint="eastAsia" w:ascii="宋体" w:hAnsi="宋体"/>
          <w:b/>
          <w:bCs/>
          <w:color w:val="auto"/>
          <w:szCs w:val="21"/>
          <w:highlight w:val="none"/>
        </w:rPr>
        <w:t>修改类型：修改</w:t>
      </w:r>
    </w:p>
    <w:p>
      <w:pPr>
        <w:spacing w:line="460" w:lineRule="exact"/>
        <w:ind w:firstLine="422" w:firstLineChars="200"/>
        <w:rPr>
          <w:rFonts w:ascii="宋体" w:hAnsi="宋体"/>
          <w:color w:val="auto"/>
          <w:szCs w:val="21"/>
          <w:highlight w:val="none"/>
        </w:rPr>
      </w:pPr>
      <w:r>
        <w:rPr>
          <w:rFonts w:hint="eastAsia" w:ascii="宋体" w:hAnsi="宋体"/>
          <w:b/>
          <w:bCs/>
          <w:color w:val="auto"/>
          <w:szCs w:val="21"/>
          <w:highlight w:val="none"/>
        </w:rPr>
        <w:t>原文：</w:t>
      </w:r>
      <w:r>
        <w:rPr>
          <w:rFonts w:hint="eastAsia" w:ascii="宋体" w:hAnsi="宋体"/>
          <w:color w:val="auto"/>
          <w:highlight w:val="none"/>
        </w:rPr>
        <w:t>39.3</w:t>
      </w:r>
      <w:r>
        <w:rPr>
          <w:rFonts w:hint="eastAsia" w:ascii="宋体" w:hAnsi="宋体"/>
          <w:color w:val="auto"/>
          <w:szCs w:val="21"/>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400" w:lineRule="exact"/>
        <w:ind w:firstLine="949" w:firstLineChars="450"/>
        <w:rPr>
          <w:rFonts w:ascii="宋体" w:hAnsi="宋体" w:cs="宋体"/>
          <w:color w:val="auto"/>
          <w:kern w:val="0"/>
          <w:szCs w:val="21"/>
          <w:highlight w:val="none"/>
        </w:rPr>
      </w:pPr>
      <w:r>
        <w:rPr>
          <w:rFonts w:hint="eastAsia"/>
          <w:b/>
          <w:bCs/>
          <w:color w:val="auto"/>
          <w:szCs w:val="21"/>
          <w:highlight w:val="none"/>
        </w:rPr>
        <w:t>现文：</w:t>
      </w:r>
      <w:r>
        <w:rPr>
          <w:rFonts w:hint="eastAsia"/>
          <w:color w:val="auto"/>
          <w:highlight w:val="none"/>
        </w:rPr>
        <w:t>39.3</w:t>
      </w:r>
      <w:r>
        <w:rPr>
          <w:rFonts w:hint="eastAsia"/>
          <w:color w:val="auto"/>
          <w:szCs w:val="21"/>
          <w:highlight w:val="none"/>
        </w:rPr>
        <w:t>排名第一的中标候选人放弃中标、或因不可抗力提出不能履行合同，或者招标文件规定应当提交履约担保而在规定的期限内未能提交的</w:t>
      </w:r>
      <w:r>
        <w:rPr>
          <w:rFonts w:hint="eastAsia"/>
          <w:color w:val="auto"/>
          <w:szCs w:val="21"/>
          <w:highlight w:val="none"/>
          <w:u w:val="single"/>
        </w:rPr>
        <w:t>，或经核查发现委派的项目负责人已在其他在建项目中任职的，或者被查实存在影响中标结果的违法行为等情形，不符合中标条件的，</w:t>
      </w:r>
      <w:r>
        <w:rPr>
          <w:rFonts w:hint="eastAsia"/>
          <w:color w:val="auto"/>
          <w:szCs w:val="21"/>
          <w:highlight w:val="none"/>
        </w:rPr>
        <w:t>招标人可以确定排名第二的中标候选人为中标人。</w:t>
      </w:r>
    </w:p>
    <w:p>
      <w:pPr>
        <w:spacing w:line="5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条款号：41.1                    修改类型：修改</w:t>
      </w:r>
    </w:p>
    <w:p>
      <w:pPr>
        <w:spacing w:line="500" w:lineRule="exact"/>
        <w:ind w:firstLine="460" w:firstLineChars="218"/>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41.1开标由招标人主持；</w:t>
      </w:r>
    </w:p>
    <w:p>
      <w:pPr>
        <w:pBdr>
          <w:bottom w:val="single" w:color="auto" w:sz="6" w:space="1"/>
        </w:pBdr>
        <w:spacing w:line="500" w:lineRule="exact"/>
        <w:ind w:firstLine="460" w:firstLineChars="218"/>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41.1开标由招标人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主持；</w:t>
      </w:r>
    </w:p>
    <w:p>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条款号：41.2.1             修改类型：修改</w:t>
      </w:r>
    </w:p>
    <w:p>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 w:val="0"/>
          <w:bCs/>
          <w:color w:val="auto"/>
          <w:szCs w:val="21"/>
          <w:highlight w:val="none"/>
          <w:lang w:val="en-US" w:eastAsia="zh-CN"/>
        </w:rPr>
        <w:t>41.2.1</w:t>
      </w:r>
      <w:r>
        <w:rPr>
          <w:rFonts w:hint="eastAsia" w:ascii="宋体" w:hAnsi="宋体" w:cs="宋体"/>
          <w:color w:val="auto"/>
          <w:szCs w:val="21"/>
          <w:highlight w:val="none"/>
        </w:rPr>
        <w:t>投标截止期前，各投标人递交投标文件（包括技术标投标文件、经济标投标文件）至</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交易平台。有关投标文件提交的事项详见第一章投标须知。</w:t>
      </w:r>
    </w:p>
    <w:p>
      <w:pPr>
        <w:pBdr>
          <w:bottom w:val="single" w:color="auto" w:sz="6" w:space="1"/>
        </w:pBdr>
        <w:spacing w:line="500" w:lineRule="exact"/>
        <w:ind w:firstLine="460" w:firstLineChars="218"/>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val="0"/>
          <w:bCs/>
          <w:color w:val="auto"/>
          <w:szCs w:val="21"/>
          <w:highlight w:val="none"/>
          <w:lang w:val="en-US" w:eastAsia="zh-CN"/>
        </w:rPr>
        <w:t>41.2.1</w:t>
      </w:r>
      <w:r>
        <w:rPr>
          <w:rFonts w:hint="eastAsia" w:ascii="宋体" w:hAnsi="宋体" w:cs="宋体"/>
          <w:b w:val="0"/>
          <w:bCs/>
          <w:color w:val="auto"/>
          <w:szCs w:val="21"/>
          <w:highlight w:val="none"/>
        </w:rPr>
        <w:t>投标截止</w:t>
      </w:r>
      <w:r>
        <w:rPr>
          <w:rFonts w:hint="eastAsia" w:ascii="宋体" w:hAnsi="宋体" w:cs="宋体"/>
          <w:color w:val="auto"/>
          <w:szCs w:val="21"/>
          <w:highlight w:val="none"/>
        </w:rPr>
        <w:t>期前，各投标人递交投标文件</w:t>
      </w:r>
      <w:r>
        <w:rPr>
          <w:rFonts w:hint="eastAsia" w:ascii="宋体" w:hAnsi="宋体" w:cs="宋体"/>
          <w:color w:val="auto"/>
          <w:szCs w:val="21"/>
          <w:highlight w:val="none"/>
          <w:u w:val="single"/>
        </w:rPr>
        <w:t>[包括技术标投标文件（含资格审查文件）、经济标投标文件]</w:t>
      </w:r>
      <w:r>
        <w:rPr>
          <w:rFonts w:hint="eastAsia" w:ascii="宋体" w:hAnsi="宋体" w:cs="宋体"/>
          <w:color w:val="auto"/>
          <w:szCs w:val="21"/>
          <w:highlight w:val="none"/>
        </w:rPr>
        <w:t>至</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交易平台。有关投标文件提交的事项详见第一章投标须知。</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条款号：41.2.</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 xml:space="preserve">             修改类型：修改</w:t>
      </w:r>
    </w:p>
    <w:p>
      <w:pPr>
        <w:pBdr>
          <w:bottom w:val="single" w:color="auto" w:sz="6" w:space="1"/>
        </w:pBdr>
        <w:spacing w:line="400" w:lineRule="exact"/>
        <w:ind w:firstLine="460" w:firstLineChars="218"/>
        <w:rPr>
          <w:rFonts w:ascii="宋体" w:hAnsi="宋体" w:cs="宋体"/>
          <w:b w:val="0"/>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开标时，投标人代表有权出席开标会，也可以自主决定不参加开标会，若投标人代表对开标过程提出异议，该投</w:t>
      </w:r>
      <w:r>
        <w:rPr>
          <w:rFonts w:hint="eastAsia" w:ascii="宋体" w:hAnsi="宋体" w:cs="宋体"/>
          <w:b w:val="0"/>
          <w:bCs/>
          <w:color w:val="auto"/>
          <w:szCs w:val="21"/>
          <w:highlight w:val="none"/>
        </w:rPr>
        <w:t>标人代表须同时出示本人身份证原件。</w:t>
      </w:r>
    </w:p>
    <w:p>
      <w:pPr>
        <w:pBdr>
          <w:bottom w:val="single" w:color="auto" w:sz="6" w:space="1"/>
        </w:pBdr>
        <w:spacing w:line="400" w:lineRule="exact"/>
        <w:ind w:firstLine="457" w:firstLineChars="218"/>
        <w:rPr>
          <w:rFonts w:hint="eastAsia" w:ascii="宋体" w:hAnsi="宋体" w:cs="宋体"/>
          <w:b w:val="0"/>
          <w:bCs/>
          <w:color w:val="auto"/>
          <w:kern w:val="0"/>
          <w:szCs w:val="21"/>
          <w:highlight w:val="none"/>
          <w:u w:val="single"/>
        </w:rPr>
      </w:pPr>
      <w:r>
        <w:rPr>
          <w:rFonts w:hint="eastAsia" w:ascii="宋体" w:hAnsi="宋体" w:cs="宋体"/>
          <w:b w:val="0"/>
          <w:bCs/>
          <w:color w:val="auto"/>
          <w:szCs w:val="21"/>
          <w:highlight w:val="none"/>
        </w:rPr>
        <w:t>现文：</w:t>
      </w:r>
      <w:r>
        <w:rPr>
          <w:rFonts w:hint="eastAsia" w:ascii="宋体" w:hAnsi="宋体" w:cs="宋体"/>
          <w:b w:val="0"/>
          <w:bCs/>
          <w:color w:val="auto"/>
          <w:kern w:val="0"/>
          <w:szCs w:val="21"/>
          <w:highlight w:val="none"/>
        </w:rPr>
        <w:t>开标时，投标人代表有权参加现场开标或</w:t>
      </w:r>
      <w:r>
        <w:rPr>
          <w:rFonts w:hint="eastAsia" w:ascii="宋体" w:hAnsi="宋体" w:cs="宋体"/>
          <w:b w:val="0"/>
          <w:bCs/>
          <w:color w:val="auto"/>
          <w:kern w:val="0"/>
          <w:szCs w:val="21"/>
          <w:highlight w:val="none"/>
          <w:u w:val="single"/>
        </w:rPr>
        <w:t>在线开标</w:t>
      </w:r>
      <w:r>
        <w:rPr>
          <w:rFonts w:hint="eastAsia" w:ascii="宋体" w:hAnsi="宋体" w:cs="宋体"/>
          <w:b w:val="0"/>
          <w:bCs/>
          <w:color w:val="auto"/>
          <w:kern w:val="0"/>
          <w:szCs w:val="21"/>
          <w:highlight w:val="none"/>
        </w:rPr>
        <w:t>，也可以自主决定不参加开标，若投标人代表对开标过程有异议的，</w:t>
      </w:r>
      <w:r>
        <w:rPr>
          <w:rFonts w:hint="eastAsia" w:ascii="宋体" w:hAnsi="宋体" w:cs="宋体"/>
          <w:b w:val="0"/>
          <w:bCs/>
          <w:color w:val="auto"/>
          <w:kern w:val="0"/>
          <w:szCs w:val="21"/>
          <w:highlight w:val="none"/>
          <w:u w:val="single"/>
        </w:rPr>
        <w:t>参加现场开标的应当在开标现场提出，同时出示本人身份证原件，招标人应当当场作出答复，并制作记录；参加在线开标的，投标人应通过交易平台在线提出，招标人应通过交易平台答复，答复后方可结束开标。</w:t>
      </w:r>
    </w:p>
    <w:p>
      <w:pPr>
        <w:snapToGrid w:val="0"/>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条款号：42.</w:t>
      </w: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rPr>
        <w:t xml:space="preserve">                        修改类型：修改</w:t>
      </w:r>
    </w:p>
    <w:p>
      <w:pPr>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评标委员会的组成：方式</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pPr>
        <w:pBdr>
          <w:bottom w:val="single" w:color="auto" w:sz="6" w:space="1"/>
        </w:pBd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方式二：评标委员会由技术评审组和经济评审组组成。其中：资格审查及技术评审由技术评标组负责，经济评审由经济评审组负责。</w:t>
      </w:r>
    </w:p>
    <w:p>
      <w:pPr>
        <w:pBdr>
          <w:bottom w:val="single" w:color="auto" w:sz="6" w:space="1"/>
        </w:pBdr>
        <w:snapToGrid w:val="0"/>
        <w:spacing w:line="360" w:lineRule="auto"/>
        <w:ind w:firstLine="422" w:firstLineChars="200"/>
        <w:rPr>
          <w:rFonts w:hint="eastAsia" w:ascii="宋体" w:hAnsi="宋体" w:cs="宋体"/>
          <w:color w:val="auto"/>
          <w:szCs w:val="21"/>
          <w:highlight w:val="none"/>
          <w:u w:val="single"/>
        </w:rPr>
      </w:pPr>
      <w:r>
        <w:rPr>
          <w:rFonts w:hint="eastAsia" w:ascii="宋体" w:hAnsi="宋体" w:cs="宋体"/>
          <w:b/>
          <w:bCs/>
          <w:color w:val="auto"/>
          <w:szCs w:val="21"/>
          <w:highlight w:val="none"/>
        </w:rPr>
        <w:t>现文：</w:t>
      </w:r>
      <w:r>
        <w:rPr>
          <w:rFonts w:hint="eastAsia" w:ascii="宋体" w:hAnsi="宋体" w:cs="宋体"/>
          <w:color w:val="auto"/>
          <w:szCs w:val="21"/>
          <w:highlight w:val="none"/>
        </w:rPr>
        <w:t>42.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评标委员会的组成：方式</w:t>
      </w:r>
      <w:r>
        <w:rPr>
          <w:rFonts w:hint="eastAsia" w:ascii="宋体" w:hAnsi="宋体" w:cs="宋体"/>
          <w:color w:val="auto"/>
          <w:szCs w:val="21"/>
          <w:highlight w:val="none"/>
          <w:u w:val="single"/>
        </w:rPr>
        <w:t>一：评标委员会为综合评标委员会，负责资格审查及评标工作。</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2.1</w:t>
      </w:r>
      <w:r>
        <w:rPr>
          <w:rFonts w:hint="eastAsia" w:ascii="宋体" w:hAnsi="宋体" w:cs="宋体"/>
          <w:b/>
          <w:color w:val="auto"/>
          <w:szCs w:val="21"/>
          <w:highlight w:val="none"/>
        </w:rPr>
        <w:t xml:space="preserve">            修改类型：修改</w:t>
      </w:r>
    </w:p>
    <w:p>
      <w:pPr>
        <w:snapToGrid w:val="0"/>
        <w:spacing w:line="400" w:lineRule="exact"/>
        <w:ind w:firstLine="422" w:firstLineChars="200"/>
        <w:rPr>
          <w:rFonts w:ascii="宋体" w:hAnsi="宋体" w:cs="宋体"/>
          <w:color w:val="auto"/>
          <w:szCs w:val="21"/>
          <w:highlight w:val="none"/>
        </w:rPr>
      </w:pPr>
      <w:r>
        <w:rPr>
          <w:rFonts w:hint="eastAsia" w:ascii="宋体" w:hAnsi="宋体" w:eastAsia="宋体" w:cs="宋体"/>
          <w:b/>
          <w:color w:val="auto"/>
          <w:kern w:val="2"/>
          <w:sz w:val="21"/>
          <w:szCs w:val="21"/>
          <w:highlight w:val="none"/>
        </w:rPr>
        <w:t>原文：</w:t>
      </w:r>
      <w:r>
        <w:rPr>
          <w:rFonts w:hint="eastAsia" w:ascii="宋体" w:hAnsi="宋体" w:cs="宋体"/>
          <w:b w:val="0"/>
          <w:bCs/>
          <w:color w:val="auto"/>
          <w:kern w:val="2"/>
          <w:sz w:val="21"/>
          <w:szCs w:val="21"/>
          <w:highlight w:val="none"/>
          <w:lang w:val="en-US" w:eastAsia="zh-CN"/>
        </w:rPr>
        <w:t>42.2.1</w:t>
      </w:r>
      <w:r>
        <w:rPr>
          <w:rFonts w:hint="eastAsia" w:ascii="宋体" w:hAnsi="宋体" w:eastAsia="宋体" w:cs="宋体"/>
          <w:b w:val="0"/>
          <w:bCs/>
          <w:color w:val="auto"/>
          <w:kern w:val="2"/>
          <w:sz w:val="21"/>
          <w:szCs w:val="21"/>
          <w:highlight w:val="none"/>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hAnsi="宋体" w:cs="宋体"/>
          <w:color w:val="auto"/>
          <w:szCs w:val="21"/>
          <w:highlight w:val="none"/>
        </w:rPr>
        <w:t>。</w:t>
      </w:r>
    </w:p>
    <w:p>
      <w:pPr>
        <w:pBdr>
          <w:bottom w:val="single" w:color="auto" w:sz="6" w:space="1"/>
        </w:pBdr>
        <w:spacing w:line="400" w:lineRule="exact"/>
        <w:ind w:firstLine="460" w:firstLineChars="218"/>
        <w:rPr>
          <w:rFonts w:ascii="宋体" w:hAnsi="宋体" w:cs="宋体"/>
          <w:b w:val="0"/>
          <w:bCs w:val="0"/>
          <w:color w:val="auto"/>
          <w:sz w:val="21"/>
          <w:szCs w:val="21"/>
          <w:highlight w:val="none"/>
          <w:u w:val="single"/>
        </w:rPr>
      </w:pPr>
      <w:r>
        <w:rPr>
          <w:rFonts w:hint="eastAsia" w:ascii="宋体" w:hAnsi="宋体" w:cs="宋体"/>
          <w:b/>
          <w:color w:val="auto"/>
          <w:szCs w:val="21"/>
          <w:highlight w:val="none"/>
        </w:rPr>
        <w:t>现文：</w:t>
      </w:r>
      <w:r>
        <w:rPr>
          <w:rFonts w:hint="eastAsia" w:ascii="宋体" w:hAnsi="宋体" w:eastAsia="宋体" w:cs="宋体"/>
          <w:b w:val="0"/>
          <w:bCs/>
          <w:color w:val="auto"/>
          <w:sz w:val="21"/>
          <w:szCs w:val="21"/>
          <w:highlight w:val="none"/>
          <w:lang w:val="en-US" w:eastAsia="zh-CN"/>
        </w:rPr>
        <w:t>4</w:t>
      </w: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w:t>
      </w: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Cs/>
          <w:color w:val="auto"/>
          <w:kern w:val="0"/>
          <w:sz w:val="21"/>
          <w:szCs w:val="21"/>
          <w:highlight w:val="none"/>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hAnsi="宋体" w:eastAsia="宋体" w:cs="宋体"/>
          <w:b w:val="0"/>
          <w:bCs w:val="0"/>
          <w:color w:val="auto"/>
          <w:kern w:val="0"/>
          <w:sz w:val="21"/>
          <w:szCs w:val="21"/>
          <w:highlight w:val="none"/>
          <w:u w:val="single"/>
        </w:rPr>
        <w:t>评委发现资格审查文件中含义不明确、对同类问题表述不一致、有明显文字和计算错误的，应当要求投标人作必要的澄清、说明后再判定投标人是否通过资格审查，不得直接认定其不通过资格审查</w:t>
      </w:r>
      <w:r>
        <w:rPr>
          <w:rFonts w:hint="eastAsia" w:ascii="宋体" w:hAnsi="宋体" w:eastAsia="宋体" w:cs="宋体"/>
          <w:b w:val="0"/>
          <w:bCs w:val="0"/>
          <w:color w:val="auto"/>
          <w:sz w:val="21"/>
          <w:szCs w:val="21"/>
          <w:highlight w:val="none"/>
          <w:u w:val="single"/>
        </w:rPr>
        <w:t>。</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3.1</w:t>
      </w:r>
      <w:r>
        <w:rPr>
          <w:rFonts w:hint="eastAsia" w:ascii="宋体" w:hAnsi="宋体" w:cs="宋体"/>
          <w:b/>
          <w:color w:val="auto"/>
          <w:szCs w:val="21"/>
          <w:highlight w:val="none"/>
        </w:rPr>
        <w:t xml:space="preserve">            修改类型：修改</w:t>
      </w:r>
    </w:p>
    <w:p>
      <w:pPr>
        <w:snapToGrid w:val="0"/>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kern w:val="2"/>
          <w:sz w:val="21"/>
          <w:szCs w:val="21"/>
          <w:highlight w:val="none"/>
        </w:rPr>
        <w:t>原文：</w:t>
      </w:r>
      <w:r>
        <w:rPr>
          <w:rFonts w:hint="eastAsia" w:ascii="宋体" w:hAnsi="宋体" w:eastAsia="宋体" w:cs="宋体"/>
          <w:b w:val="0"/>
          <w:bCs/>
          <w:color w:val="auto"/>
          <w:kern w:val="2"/>
          <w:sz w:val="21"/>
          <w:szCs w:val="21"/>
          <w:highlight w:val="none"/>
          <w:lang w:val="en-US" w:eastAsia="zh-CN"/>
        </w:rPr>
        <w:t>4</w:t>
      </w:r>
      <w:r>
        <w:rPr>
          <w:rFonts w:hint="eastAsia" w:ascii="宋体" w:hAnsi="宋体" w:cs="宋体"/>
          <w:b w:val="0"/>
          <w:bCs/>
          <w:color w:val="auto"/>
          <w:kern w:val="2"/>
          <w:sz w:val="21"/>
          <w:szCs w:val="21"/>
          <w:highlight w:val="none"/>
          <w:lang w:val="en-US" w:eastAsia="zh-CN"/>
        </w:rPr>
        <w:t>2</w:t>
      </w:r>
      <w:r>
        <w:rPr>
          <w:rFonts w:hint="eastAsia" w:ascii="宋体" w:hAnsi="宋体" w:eastAsia="宋体" w:cs="宋体"/>
          <w:b w:val="0"/>
          <w:bCs/>
          <w:color w:val="auto"/>
          <w:kern w:val="2"/>
          <w:sz w:val="21"/>
          <w:szCs w:val="21"/>
          <w:highlight w:val="none"/>
          <w:lang w:val="en-US" w:eastAsia="zh-CN"/>
        </w:rPr>
        <w:t>.</w:t>
      </w:r>
      <w:r>
        <w:rPr>
          <w:rFonts w:hint="eastAsia" w:ascii="宋体" w:hAnsi="宋体" w:cs="宋体"/>
          <w:b w:val="0"/>
          <w:bCs/>
          <w:color w:val="auto"/>
          <w:kern w:val="2"/>
          <w:sz w:val="21"/>
          <w:szCs w:val="21"/>
          <w:highlight w:val="none"/>
          <w:lang w:val="en-US" w:eastAsia="zh-CN"/>
        </w:rPr>
        <w:t>3.1</w:t>
      </w:r>
      <w:r>
        <w:rPr>
          <w:rFonts w:hint="eastAsia" w:ascii="宋体" w:hAnsi="宋体" w:eastAsia="宋体" w:cs="宋体"/>
          <w:b w:val="0"/>
          <w:bCs/>
          <w:color w:val="auto"/>
          <w:kern w:val="0"/>
          <w:sz w:val="21"/>
          <w:szCs w:val="21"/>
          <w:highlight w:val="none"/>
        </w:rPr>
        <w:t>技</w:t>
      </w:r>
      <w:r>
        <w:rPr>
          <w:rFonts w:hint="eastAsia" w:ascii="宋体" w:hAnsi="宋体" w:eastAsia="宋体" w:cs="宋体"/>
          <w:bCs/>
          <w:color w:val="auto"/>
          <w:kern w:val="0"/>
          <w:sz w:val="21"/>
          <w:szCs w:val="21"/>
          <w:highlight w:val="none"/>
        </w:rPr>
        <w:t>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r>
        <w:rPr>
          <w:rFonts w:hint="eastAsia" w:ascii="宋体" w:hAnsi="宋体" w:eastAsia="宋体" w:cs="宋体"/>
          <w:color w:val="auto"/>
          <w:szCs w:val="21"/>
          <w:highlight w:val="none"/>
        </w:rPr>
        <w:t>。</w:t>
      </w:r>
    </w:p>
    <w:p>
      <w:pPr>
        <w:spacing w:line="400" w:lineRule="exact"/>
        <w:ind w:firstLine="422" w:firstLineChars="200"/>
        <w:rPr>
          <w:rFonts w:hint="eastAsia" w:ascii="宋体" w:hAnsi="宋体" w:eastAsia="宋体" w:cs="宋体"/>
          <w:b w:val="0"/>
          <w:bCs w:val="0"/>
          <w:color w:val="auto"/>
          <w:szCs w:val="21"/>
          <w:highlight w:val="none"/>
          <w:u w:val="single"/>
        </w:rPr>
      </w:pPr>
      <w:r>
        <w:rPr>
          <w:rFonts w:hint="eastAsia" w:ascii="宋体" w:hAnsi="宋体" w:eastAsia="宋体" w:cs="宋体"/>
          <w:b/>
          <w:color w:val="auto"/>
          <w:szCs w:val="21"/>
          <w:highlight w:val="none"/>
        </w:rPr>
        <w:t>现文：</w:t>
      </w:r>
      <w:r>
        <w:rPr>
          <w:rFonts w:hint="eastAsia" w:ascii="宋体" w:hAnsi="宋体" w:eastAsia="宋体" w:cs="宋体"/>
          <w:b w:val="0"/>
          <w:bCs/>
          <w:color w:val="auto"/>
          <w:szCs w:val="21"/>
          <w:highlight w:val="none"/>
          <w:lang w:val="en-US" w:eastAsia="zh-CN"/>
        </w:rPr>
        <w:t>4</w:t>
      </w:r>
      <w:r>
        <w:rPr>
          <w:rFonts w:hint="eastAsia" w:ascii="宋体" w:hAnsi="宋体" w:cs="宋体"/>
          <w:b w:val="0"/>
          <w:bCs/>
          <w:color w:val="auto"/>
          <w:szCs w:val="21"/>
          <w:highlight w:val="none"/>
          <w:lang w:val="en-US" w:eastAsia="zh-CN"/>
        </w:rPr>
        <w:t>2</w:t>
      </w:r>
      <w:r>
        <w:rPr>
          <w:rFonts w:hint="eastAsia" w:ascii="宋体" w:hAnsi="宋体" w:eastAsia="宋体" w:cs="宋体"/>
          <w:b w:val="0"/>
          <w:bCs/>
          <w:color w:val="auto"/>
          <w:szCs w:val="21"/>
          <w:highlight w:val="none"/>
          <w:lang w:val="en-US" w:eastAsia="zh-CN"/>
        </w:rPr>
        <w:t>.</w:t>
      </w:r>
      <w:r>
        <w:rPr>
          <w:rFonts w:hint="eastAsia" w:ascii="宋体" w:hAnsi="宋体" w:cs="宋体"/>
          <w:b w:val="0"/>
          <w:bCs/>
          <w:color w:val="auto"/>
          <w:szCs w:val="21"/>
          <w:highlight w:val="none"/>
          <w:lang w:val="en-US" w:eastAsia="zh-CN"/>
        </w:rPr>
        <w:t>3.</w:t>
      </w: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kern w:val="0"/>
          <w:sz w:val="21"/>
          <w:szCs w:val="21"/>
          <w:highlight w:val="none"/>
        </w:rPr>
        <w:t>技</w:t>
      </w:r>
      <w:r>
        <w:rPr>
          <w:rFonts w:hint="eastAsia" w:ascii="宋体" w:hAnsi="宋体" w:eastAsia="宋体" w:cs="宋体"/>
          <w:bCs/>
          <w:color w:val="auto"/>
          <w:kern w:val="0"/>
          <w:sz w:val="21"/>
          <w:szCs w:val="21"/>
          <w:highlight w:val="none"/>
        </w:rPr>
        <w:t>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hint="eastAsia" w:ascii="宋体" w:hAnsi="宋体" w:eastAsia="宋体" w:cs="宋体"/>
          <w:b w:val="0"/>
          <w:bCs w:val="0"/>
          <w:color w:val="auto"/>
          <w:kern w:val="0"/>
          <w:sz w:val="21"/>
          <w:szCs w:val="21"/>
          <w:highlight w:val="none"/>
          <w:u w:val="single"/>
        </w:rPr>
        <w:t>评委发现投标文件中含义不明确、对同类问题表述不一致、有明显文字和计算错误的，应当要求投标人作必要的澄清、说明后再判定投标人是否通过有效性审查，不得直接否决投标</w:t>
      </w:r>
      <w:r>
        <w:rPr>
          <w:rFonts w:hint="eastAsia" w:ascii="宋体" w:hAnsi="宋体" w:eastAsia="宋体" w:cs="宋体"/>
          <w:b w:val="0"/>
          <w:bCs w:val="0"/>
          <w:color w:val="auto"/>
          <w:szCs w:val="21"/>
          <w:highlight w:val="none"/>
          <w:u w:val="single"/>
        </w:rPr>
        <w:t>。</w:t>
      </w:r>
    </w:p>
    <w:p>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条款号：42.3.2                修改类型：修改</w:t>
      </w:r>
    </w:p>
    <w:p>
      <w:pPr>
        <w:spacing w:line="4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42.3.2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详细审查评分：评标委员会按照本办法附表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详细审查评分表》对通过技术标有效性审查的投标文件进行详细审查，评出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得分。</w:t>
      </w:r>
    </w:p>
    <w:p>
      <w:pPr>
        <w:pBdr>
          <w:bottom w:val="single" w:color="auto" w:sz="6" w:space="1"/>
        </w:pBdr>
        <w:spacing w:line="400" w:lineRule="exact"/>
        <w:ind w:firstLine="422" w:firstLineChars="200"/>
        <w:rPr>
          <w:rFonts w:hint="eastAsia" w:ascii="宋体" w:hAnsi="宋体" w:eastAsia="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42.3.2</w:t>
      </w:r>
      <w:r>
        <w:rPr>
          <w:rFonts w:hint="eastAsia" w:ascii="宋体" w:hAnsi="宋体" w:cs="宋体"/>
          <w:color w:val="auto"/>
          <w:szCs w:val="21"/>
          <w:highlight w:val="none"/>
          <w:u w:val="single"/>
        </w:rPr>
        <w:t>技术标</w:t>
      </w:r>
      <w:r>
        <w:rPr>
          <w:rFonts w:hint="eastAsia" w:ascii="宋体" w:hAnsi="宋体" w:cs="宋体"/>
          <w:color w:val="auto"/>
          <w:szCs w:val="21"/>
          <w:highlight w:val="none"/>
        </w:rPr>
        <w:t>详细审查评分：评标委员会按照本办法附表</w:t>
      </w:r>
      <w:r>
        <w:rPr>
          <w:rFonts w:hint="eastAsia" w:ascii="宋体" w:hAnsi="宋体" w:cs="宋体"/>
          <w:color w:val="auto"/>
          <w:szCs w:val="21"/>
          <w:highlight w:val="none"/>
          <w:u w:val="single"/>
        </w:rPr>
        <w:t>四</w:t>
      </w:r>
      <w:r>
        <w:rPr>
          <w:rFonts w:hint="eastAsia" w:ascii="宋体" w:hAnsi="宋体" w:cs="宋体"/>
          <w:color w:val="auto"/>
          <w:szCs w:val="21"/>
          <w:highlight w:val="none"/>
        </w:rPr>
        <w:t>《</w:t>
      </w:r>
      <w:r>
        <w:rPr>
          <w:rFonts w:hint="eastAsia" w:ascii="宋体" w:hAnsi="宋体" w:cs="宋体"/>
          <w:color w:val="auto"/>
          <w:szCs w:val="21"/>
          <w:highlight w:val="none"/>
          <w:u w:val="single"/>
        </w:rPr>
        <w:t>技术标</w:t>
      </w:r>
      <w:r>
        <w:rPr>
          <w:rFonts w:hint="eastAsia" w:ascii="宋体" w:hAnsi="宋体" w:cs="宋体"/>
          <w:color w:val="auto"/>
          <w:szCs w:val="21"/>
          <w:highlight w:val="none"/>
        </w:rPr>
        <w:t>详细审查评分表》对通过技术标有效性审查的投标文件进行详细审查，评出</w:t>
      </w:r>
      <w:r>
        <w:rPr>
          <w:rFonts w:hint="eastAsia" w:ascii="宋体" w:hAnsi="宋体" w:cs="宋体"/>
          <w:color w:val="auto"/>
          <w:szCs w:val="21"/>
          <w:highlight w:val="none"/>
          <w:u w:val="single"/>
        </w:rPr>
        <w:t>技术标</w:t>
      </w:r>
      <w:r>
        <w:rPr>
          <w:rFonts w:hint="eastAsia" w:ascii="宋体" w:hAnsi="宋体" w:cs="宋体"/>
          <w:color w:val="auto"/>
          <w:szCs w:val="21"/>
          <w:highlight w:val="none"/>
        </w:rPr>
        <w:t>得分。</w:t>
      </w:r>
    </w:p>
    <w:p>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条款号：42.3.4                 修改类型：修改</w:t>
      </w:r>
    </w:p>
    <w:p>
      <w:pPr>
        <w:spacing w:line="4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42.3.4评标委员会按照“第一阶段得分=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pBdr>
          <w:bottom w:val="single" w:color="auto" w:sz="6" w:space="1"/>
        </w:pBdr>
        <w:spacing w:line="400" w:lineRule="exact"/>
        <w:ind w:firstLine="422" w:firstLineChars="200"/>
        <w:rPr>
          <w:rFonts w:hint="eastAsia" w:ascii="宋体" w:hAnsi="宋体" w:cs="宋体"/>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42.3.4评标委员会按照“第一阶段得分=</w:t>
      </w:r>
      <w:r>
        <w:rPr>
          <w:rFonts w:hint="eastAsia" w:ascii="宋体" w:hAnsi="宋体" w:cs="宋体"/>
          <w:color w:val="auto"/>
          <w:szCs w:val="21"/>
          <w:highlight w:val="none"/>
          <w:u w:val="single"/>
        </w:rPr>
        <w:t xml:space="preserve"> 技术</w:t>
      </w:r>
      <w:r>
        <w:rPr>
          <w:rFonts w:hint="eastAsia" w:ascii="宋体" w:hAnsi="宋体" w:cs="宋体"/>
          <w:color w:val="auto"/>
          <w:szCs w:val="21"/>
          <w:highlight w:val="none"/>
          <w:u w:val="single"/>
          <w:lang w:val="en-US" w:eastAsia="zh-CN"/>
        </w:rPr>
        <w:t>标</w:t>
      </w:r>
      <w:r>
        <w:rPr>
          <w:rFonts w:hint="eastAsia" w:ascii="宋体" w:hAnsi="宋体" w:cs="宋体"/>
          <w:color w:val="auto"/>
          <w:szCs w:val="21"/>
          <w:highlight w:val="none"/>
          <w:u w:val="single"/>
        </w:rPr>
        <w:t>得分（满分为100分）×技术分权重（</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rPr>
        <w:t>0%）+诚信综合评价分数×诚信综合评价</w:t>
      </w:r>
      <w:r>
        <w:rPr>
          <w:rFonts w:hint="eastAsia" w:ascii="宋体" w:hAnsi="宋体" w:cs="宋体"/>
          <w:color w:val="auto"/>
          <w:szCs w:val="21"/>
          <w:highlight w:val="none"/>
          <w:u w:val="single"/>
          <w:lang w:val="en-US" w:eastAsia="zh-CN"/>
        </w:rPr>
        <w:t>分数</w:t>
      </w:r>
      <w:r>
        <w:rPr>
          <w:rFonts w:hint="eastAsia" w:ascii="宋体" w:hAnsi="宋体" w:cs="宋体"/>
          <w:color w:val="auto"/>
          <w:szCs w:val="21"/>
          <w:highlight w:val="none"/>
          <w:u w:val="single"/>
        </w:rPr>
        <w:t>权重（</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 xml:space="preserve">0%） </w:t>
      </w:r>
      <w:r>
        <w:rPr>
          <w:rFonts w:hint="eastAsia" w:ascii="宋体" w:hAnsi="宋体" w:cs="宋体"/>
          <w:color w:val="auto"/>
          <w:szCs w:val="21"/>
          <w:highlight w:val="none"/>
        </w:rPr>
        <w:t>”的公式及投标须知前附表第27项的规定，计算各投标人第一阶段得分(按四舍五入的原则保留两位小数)，并按照得分从高到低排列先后次序，若投标人得分相同的，则名次并列，占用名次。编写第一阶段评审报告。</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4.2</w:t>
      </w:r>
      <w:r>
        <w:rPr>
          <w:rFonts w:hint="eastAsia" w:ascii="宋体" w:hAnsi="宋体" w:cs="宋体"/>
          <w:b/>
          <w:color w:val="auto"/>
          <w:szCs w:val="21"/>
          <w:highlight w:val="none"/>
        </w:rPr>
        <w:t xml:space="preserve">             修改类型：修改</w:t>
      </w:r>
    </w:p>
    <w:p>
      <w:pPr>
        <w:pStyle w:val="37"/>
        <w:tabs>
          <w:tab w:val="left" w:pos="7380"/>
        </w:tabs>
        <w:spacing w:after="0" w:line="400" w:lineRule="exact"/>
        <w:ind w:firstLine="422" w:firstLineChars="200"/>
        <w:rPr>
          <w:rFonts w:ascii="宋体" w:hAnsi="宋体" w:eastAsia="宋体" w:cs="宋体"/>
          <w:color w:val="auto"/>
          <w:kern w:val="2"/>
          <w:sz w:val="21"/>
          <w:szCs w:val="21"/>
          <w:highlight w:val="none"/>
        </w:rPr>
      </w:pPr>
      <w:r>
        <w:rPr>
          <w:rFonts w:hint="eastAsia" w:ascii="宋体" w:hAnsi="宋体" w:eastAsia="宋体" w:cs="宋体"/>
          <w:b/>
          <w:color w:val="auto"/>
          <w:kern w:val="2"/>
          <w:sz w:val="21"/>
          <w:szCs w:val="21"/>
          <w:highlight w:val="none"/>
        </w:rPr>
        <w:t>原文：</w:t>
      </w:r>
      <w:r>
        <w:rPr>
          <w:rFonts w:hint="eastAsia" w:ascii="宋体" w:hAnsi="宋体" w:cs="宋体"/>
          <w:b w:val="0"/>
          <w:bCs/>
          <w:color w:val="auto"/>
          <w:szCs w:val="21"/>
          <w:highlight w:val="none"/>
        </w:rPr>
        <w:t>4</w:t>
      </w:r>
      <w:r>
        <w:rPr>
          <w:rFonts w:hint="eastAsia" w:ascii="宋体" w:hAnsi="宋体" w:cs="宋体"/>
          <w:b w:val="0"/>
          <w:bCs/>
          <w:color w:val="auto"/>
          <w:szCs w:val="21"/>
          <w:highlight w:val="none"/>
          <w:lang w:val="en-US" w:eastAsia="zh-CN"/>
        </w:rPr>
        <w:t>2</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4.2</w:t>
      </w:r>
      <w:r>
        <w:rPr>
          <w:rFonts w:hint="eastAsia" w:ascii="宋体" w:hAnsi="宋体" w:eastAsia="宋体" w:cs="宋体"/>
          <w:color w:val="auto"/>
          <w:kern w:val="2"/>
          <w:sz w:val="21"/>
          <w:szCs w:val="21"/>
          <w:highlight w:val="none"/>
        </w:rPr>
        <w:t>若通过技术标有效性审查的投标人中所有投标报价均大于等于最高投标限价*D%（D的取值范围为[94,100],由招标人自主确定）的（具体金额为：</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元），则本项目招标失败，由招标人依法重新招标。</w:t>
      </w:r>
    </w:p>
    <w:p>
      <w:pPr>
        <w:pBdr>
          <w:bottom w:val="single" w:color="auto" w:sz="6" w:space="0"/>
        </w:pBdr>
        <w:spacing w:line="400" w:lineRule="exact"/>
        <w:ind w:firstLine="422" w:firstLineChars="200"/>
        <w:rPr>
          <w:rFonts w:ascii="宋体" w:hAnsi="宋体" w:cs="宋体"/>
          <w:color w:val="auto"/>
          <w:szCs w:val="21"/>
          <w:highlight w:val="none"/>
        </w:rPr>
      </w:pPr>
      <w:r>
        <w:rPr>
          <w:rFonts w:hint="eastAsia" w:ascii="宋体" w:hAnsi="宋体" w:cs="宋体"/>
          <w:b/>
          <w:bCs w:val="0"/>
          <w:color w:val="auto"/>
          <w:szCs w:val="21"/>
          <w:highlight w:val="none"/>
        </w:rPr>
        <w:t>现文：</w:t>
      </w:r>
      <w:r>
        <w:rPr>
          <w:rFonts w:hint="eastAsia" w:ascii="宋体" w:hAnsi="宋体" w:cs="宋体"/>
          <w:b w:val="0"/>
          <w:bCs/>
          <w:color w:val="auto"/>
          <w:szCs w:val="21"/>
          <w:highlight w:val="none"/>
          <w:lang w:val="en-US" w:eastAsia="zh-CN"/>
        </w:rPr>
        <w:t>42.4.2</w:t>
      </w:r>
      <w:r>
        <w:rPr>
          <w:rFonts w:hint="eastAsia" w:ascii="宋体" w:hAnsi="宋体" w:cs="宋体"/>
          <w:b w:val="0"/>
          <w:bCs/>
          <w:color w:val="auto"/>
          <w:szCs w:val="21"/>
          <w:highlight w:val="none"/>
        </w:rPr>
        <w:t>若通过技术标有效性审查的投标人中所有投标报价均大于等于最高投标限价，</w:t>
      </w:r>
      <w:r>
        <w:rPr>
          <w:rFonts w:hint="eastAsia" w:ascii="宋体" w:hAnsi="宋体" w:cs="宋体"/>
          <w:b w:val="0"/>
          <w:bCs/>
          <w:color w:val="auto"/>
          <w:szCs w:val="21"/>
          <w:highlight w:val="none"/>
          <w:u w:val="single"/>
        </w:rPr>
        <w:t>则本项目招标失败，由招标人依法重新招标。</w:t>
      </w:r>
      <w:r>
        <w:rPr>
          <w:rFonts w:hint="eastAsia" w:ascii="宋体" w:hAnsi="宋体" w:cs="宋体"/>
          <w:color w:val="auto"/>
          <w:szCs w:val="21"/>
          <w:highlight w:val="none"/>
          <w:u w:val="single"/>
        </w:rPr>
        <w:t xml:space="preserve"> </w:t>
      </w:r>
    </w:p>
    <w:p>
      <w:pPr>
        <w:tabs>
          <w:tab w:val="left" w:pos="4410"/>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4.3.1</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widowControl/>
        <w:spacing w:line="360" w:lineRule="auto"/>
        <w:ind w:firstLine="422" w:firstLineChars="200"/>
        <w:rPr>
          <w:rFonts w:ascii="宋体" w:hAnsi="宋体"/>
          <w:b/>
          <w:bCs/>
          <w:color w:val="auto"/>
          <w:kern w:val="0"/>
          <w:szCs w:val="21"/>
          <w:highlight w:val="none"/>
        </w:rPr>
      </w:pPr>
      <w:r>
        <w:rPr>
          <w:rFonts w:hint="eastAsia" w:ascii="宋体" w:hAnsi="宋体" w:cs="宋体"/>
          <w:b/>
          <w:color w:val="auto"/>
          <w:szCs w:val="21"/>
          <w:highlight w:val="none"/>
        </w:rPr>
        <w:t>原文</w:t>
      </w:r>
      <w:r>
        <w:rPr>
          <w:rFonts w:hint="eastAsia" w:ascii="宋体" w:hAnsi="宋体" w:cs="宋体"/>
          <w:b/>
          <w:color w:val="auto"/>
          <w:spacing w:val="2"/>
          <w:szCs w:val="21"/>
          <w:highlight w:val="none"/>
        </w:rPr>
        <w:t>：</w:t>
      </w:r>
      <w:r>
        <w:rPr>
          <w:rFonts w:hint="eastAsia" w:ascii="宋体" w:hAnsi="宋体" w:eastAsia="宋体"/>
          <w:color w:val="auto"/>
          <w:kern w:val="2"/>
          <w:sz w:val="21"/>
          <w:szCs w:val="21"/>
          <w:highlight w:val="none"/>
        </w:rPr>
        <w:t>4</w:t>
      </w:r>
      <w:r>
        <w:rPr>
          <w:rFonts w:hint="eastAsia" w:ascii="宋体" w:hAnsi="宋体"/>
          <w:color w:val="auto"/>
          <w:kern w:val="2"/>
          <w:sz w:val="21"/>
          <w:szCs w:val="21"/>
          <w:highlight w:val="none"/>
          <w:lang w:val="en-US" w:eastAsia="zh-CN"/>
        </w:rPr>
        <w:t>2</w:t>
      </w:r>
      <w:r>
        <w:rPr>
          <w:rFonts w:hint="eastAsia" w:ascii="宋体" w:hAnsi="宋体" w:eastAsia="宋体"/>
          <w:color w:val="auto"/>
          <w:kern w:val="2"/>
          <w:sz w:val="21"/>
          <w:szCs w:val="21"/>
          <w:highlight w:val="none"/>
        </w:rPr>
        <w:t>.</w:t>
      </w:r>
      <w:r>
        <w:rPr>
          <w:rFonts w:hint="eastAsia" w:ascii="宋体" w:hAnsi="宋体"/>
          <w:color w:val="auto"/>
          <w:kern w:val="2"/>
          <w:sz w:val="21"/>
          <w:szCs w:val="21"/>
          <w:highlight w:val="none"/>
          <w:lang w:val="en-US" w:eastAsia="zh-CN"/>
        </w:rPr>
        <w:t>4.3.1</w:t>
      </w:r>
      <w:r>
        <w:rPr>
          <w:rFonts w:hint="eastAsia" w:ascii="宋体" w:hAnsi="宋体" w:cs="宋体"/>
          <w:color w:val="auto"/>
          <w:szCs w:val="21"/>
          <w:highlight w:val="none"/>
        </w:rPr>
        <w:t>按方法</w:t>
      </w:r>
      <w:r>
        <w:rPr>
          <w:rFonts w:hint="eastAsia" w:ascii="宋体" w:hAnsi="宋体" w:cs="宋体"/>
          <w:b w:val="0"/>
          <w:bCs w:val="0"/>
          <w:color w:val="auto"/>
          <w:kern w:val="0"/>
          <w:szCs w:val="21"/>
          <w:highlight w:val="none"/>
          <w:u w:val="single"/>
        </w:rPr>
        <w:t>区间抽取法</w:t>
      </w:r>
      <w:r>
        <w:rPr>
          <w:rFonts w:hint="eastAsia" w:ascii="宋体" w:hAnsi="宋体" w:cs="宋体"/>
          <w:color w:val="auto"/>
          <w:szCs w:val="21"/>
          <w:highlight w:val="none"/>
        </w:rPr>
        <w:t>计算评标参考价</w:t>
      </w:r>
    </w:p>
    <w:p>
      <w:pPr>
        <w:widowControl/>
        <w:snapToGrid w:val="0"/>
        <w:spacing w:line="360" w:lineRule="auto"/>
        <w:ind w:firstLine="420" w:firstLineChars="200"/>
        <w:rPr>
          <w:rFonts w:ascii="宋体" w:hAnsi="宋体"/>
          <w:color w:val="auto"/>
          <w:kern w:val="0"/>
          <w:szCs w:val="21"/>
          <w:highlight w:val="none"/>
        </w:rPr>
      </w:pPr>
      <w:r>
        <w:rPr>
          <w:rFonts w:hint="eastAsia" w:ascii="宋体" w:hAnsi="宋体" w:cs="仿宋"/>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20" w:firstLineChars="200"/>
        <w:rPr>
          <w:rFonts w:ascii="宋体" w:hAnsi="宋体"/>
          <w:color w:val="auto"/>
          <w:kern w:val="0"/>
          <w:szCs w:val="21"/>
          <w:highlight w:val="none"/>
          <w:vertAlign w:val="subscript"/>
        </w:rPr>
      </w:pPr>
      <w:r>
        <w:rPr>
          <w:rFonts w:hint="eastAsia" w:ascii="宋体" w:hAnsi="宋体" w:cs="仿宋"/>
          <w:color w:val="auto"/>
          <w:kern w:val="0"/>
          <w:szCs w:val="21"/>
          <w:highlight w:val="none"/>
        </w:rPr>
        <w:t>评标参考价</w:t>
      </w:r>
      <w:r>
        <w:rPr>
          <w:rFonts w:ascii="宋体" w:hAnsi="宋体" w:cs="仿宋"/>
          <w:color w:val="auto"/>
          <w:kern w:val="0"/>
          <w:szCs w:val="21"/>
          <w:highlight w:val="none"/>
        </w:rPr>
        <w:t>=</w:t>
      </w:r>
      <w:r>
        <w:rPr>
          <w:rFonts w:hint="eastAsia" w:ascii="宋体" w:hAnsi="宋体" w:cs="仿宋"/>
          <w:color w:val="auto"/>
          <w:kern w:val="0"/>
          <w:szCs w:val="21"/>
          <w:highlight w:val="none"/>
        </w:rPr>
        <w:t>（</w:t>
      </w: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高</w:t>
      </w: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低</w:t>
      </w:r>
      <w:r>
        <w:rPr>
          <w:rFonts w:hint="eastAsia" w:ascii="宋体" w:hAnsi="宋体" w:cs="仿宋"/>
          <w:color w:val="auto"/>
          <w:kern w:val="0"/>
          <w:szCs w:val="21"/>
          <w:highlight w:val="none"/>
        </w:rPr>
        <w:t>）</w:t>
      </w:r>
      <w:r>
        <w:rPr>
          <w:rFonts w:ascii="宋体" w:hAnsi="宋体" w:cs="仿宋"/>
          <w:color w:val="auto"/>
          <w:kern w:val="0"/>
          <w:szCs w:val="21"/>
          <w:highlight w:val="none"/>
        </w:rPr>
        <w:t>/100*</w:t>
      </w:r>
      <w:r>
        <w:rPr>
          <w:rFonts w:hint="eastAsia" w:ascii="宋体" w:hAnsi="宋体" w:cs="仿宋"/>
          <w:color w:val="auto"/>
          <w:kern w:val="0"/>
          <w:szCs w:val="21"/>
          <w:highlight w:val="none"/>
        </w:rPr>
        <w:t>Ｘ</w:t>
      </w: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低</w:t>
      </w:r>
    </w:p>
    <w:p>
      <w:pPr>
        <w:widowControl/>
        <w:snapToGrid w:val="0"/>
        <w:spacing w:line="360" w:lineRule="auto"/>
        <w:ind w:firstLine="420" w:firstLineChars="200"/>
        <w:rPr>
          <w:rFonts w:ascii="宋体" w:hAnsi="宋体"/>
          <w:color w:val="auto"/>
          <w:szCs w:val="21"/>
          <w:highlight w:val="none"/>
        </w:rPr>
      </w:pPr>
      <w:r>
        <w:rPr>
          <w:rFonts w:ascii="宋体" w:hAnsi="宋体" w:cs="仿宋"/>
          <w:color w:val="auto"/>
          <w:szCs w:val="21"/>
          <w:highlight w:val="none"/>
        </w:rPr>
        <w:t>Q</w:t>
      </w:r>
      <w:r>
        <w:rPr>
          <w:rFonts w:hint="eastAsia" w:ascii="宋体" w:hAnsi="宋体" w:cs="仿宋"/>
          <w:color w:val="auto"/>
          <w:szCs w:val="21"/>
          <w:highlight w:val="none"/>
          <w:vertAlign w:val="subscript"/>
        </w:rPr>
        <w:t>低</w:t>
      </w:r>
      <w:r>
        <w:rPr>
          <w:rFonts w:hint="eastAsia" w:ascii="宋体" w:hAnsi="宋体" w:cs="仿宋"/>
          <w:color w:val="auto"/>
          <w:szCs w:val="21"/>
          <w:highlight w:val="none"/>
        </w:rPr>
        <w:t>：为达到或超过技术标及格分数线的投标人最低报价与工程成本警示价两者中的较高值；</w:t>
      </w:r>
    </w:p>
    <w:p>
      <w:pPr>
        <w:spacing w:line="360" w:lineRule="auto"/>
        <w:ind w:firstLine="420" w:firstLineChars="200"/>
        <w:rPr>
          <w:rFonts w:ascii="宋体" w:hAnsi="宋体" w:cs="仿宋"/>
          <w:color w:val="auto"/>
          <w:szCs w:val="21"/>
          <w:highlight w:val="none"/>
        </w:rPr>
      </w:pP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高</w:t>
      </w:r>
      <w:r>
        <w:rPr>
          <w:rFonts w:hint="eastAsia" w:ascii="宋体" w:hAnsi="宋体" w:cs="仿宋"/>
          <w:color w:val="auto"/>
          <w:szCs w:val="21"/>
          <w:highlight w:val="none"/>
        </w:rPr>
        <w:t>：为（最高投标限价</w:t>
      </w:r>
      <w:r>
        <w:rPr>
          <w:rFonts w:ascii="宋体" w:hAnsi="宋体" w:cs="仿宋"/>
          <w:color w:val="auto"/>
          <w:szCs w:val="21"/>
          <w:highlight w:val="none"/>
        </w:rPr>
        <w:t>*D%</w:t>
      </w:r>
      <w:r>
        <w:rPr>
          <w:rFonts w:hint="eastAsia" w:ascii="宋体" w:hAnsi="宋体" w:cs="仿宋"/>
          <w:color w:val="auto"/>
          <w:szCs w:val="21"/>
          <w:highlight w:val="none"/>
        </w:rPr>
        <w:t>）（</w:t>
      </w:r>
      <w:r>
        <w:rPr>
          <w:rFonts w:ascii="宋体" w:hAnsi="宋体" w:cs="仿宋"/>
          <w:color w:val="auto"/>
          <w:szCs w:val="21"/>
          <w:highlight w:val="none"/>
        </w:rPr>
        <w:t>D</w:t>
      </w:r>
      <w:r>
        <w:rPr>
          <w:rFonts w:hint="eastAsia" w:ascii="宋体" w:hAnsi="宋体" w:cs="仿宋"/>
          <w:color w:val="auto"/>
          <w:szCs w:val="21"/>
          <w:highlight w:val="none"/>
        </w:rPr>
        <w:t>的取值范围为</w:t>
      </w:r>
      <w:r>
        <w:rPr>
          <w:rFonts w:ascii="宋体" w:hAnsi="宋体" w:cs="仿宋"/>
          <w:color w:val="auto"/>
          <w:szCs w:val="21"/>
          <w:highlight w:val="none"/>
        </w:rPr>
        <w:t>[94,100],</w:t>
      </w:r>
      <w:r>
        <w:rPr>
          <w:rFonts w:hint="eastAsia" w:ascii="宋体" w:hAnsi="宋体" w:cs="仿宋"/>
          <w:color w:val="auto"/>
          <w:szCs w:val="21"/>
          <w:highlight w:val="none"/>
        </w:rPr>
        <w:t>由招标人自定）</w:t>
      </w:r>
    </w:p>
    <w:p>
      <w:pPr>
        <w:spacing w:line="360" w:lineRule="auto"/>
        <w:ind w:firstLine="420" w:firstLineChars="200"/>
        <w:rPr>
          <w:rFonts w:ascii="宋体" w:hAnsi="宋体"/>
          <w:color w:val="auto"/>
          <w:szCs w:val="21"/>
          <w:highlight w:val="none"/>
        </w:rPr>
      </w:pPr>
      <w:r>
        <w:rPr>
          <w:rFonts w:ascii="宋体" w:hAnsi="宋体" w:cs="仿宋"/>
          <w:color w:val="auto"/>
          <w:szCs w:val="21"/>
          <w:highlight w:val="none"/>
        </w:rPr>
        <w:t>X:</w:t>
      </w:r>
      <w:r>
        <w:rPr>
          <w:rFonts w:hint="eastAsia" w:ascii="宋体" w:hAnsi="宋体" w:cs="仿宋"/>
          <w:color w:val="auto"/>
          <w:szCs w:val="21"/>
          <w:highlight w:val="none"/>
        </w:rPr>
        <w:t>为等分点值，在开标前从</w:t>
      </w:r>
      <w:r>
        <w:rPr>
          <w:rFonts w:ascii="宋体" w:hAnsi="宋体" w:cs="仿宋"/>
          <w:color w:val="auto"/>
          <w:szCs w:val="21"/>
          <w:highlight w:val="none"/>
        </w:rPr>
        <w:t>[0,100]</w:t>
      </w:r>
      <w:r>
        <w:rPr>
          <w:rFonts w:hint="eastAsia" w:ascii="宋体" w:hAnsi="宋体" w:cs="仿宋"/>
          <w:color w:val="auto"/>
          <w:szCs w:val="21"/>
          <w:highlight w:val="none"/>
        </w:rPr>
        <w:t>整数中随机抽取</w:t>
      </w:r>
    </w:p>
    <w:p>
      <w:pPr>
        <w:widowControl/>
        <w:snapToGrid w:val="0"/>
        <w:spacing w:line="360" w:lineRule="auto"/>
        <w:ind w:firstLine="430" w:firstLineChars="200"/>
        <w:rPr>
          <w:rFonts w:ascii="宋体" w:hAnsi="宋体" w:cs="宋体"/>
          <w:b/>
          <w:bCs/>
          <w:color w:val="auto"/>
          <w:kern w:val="0"/>
          <w:szCs w:val="21"/>
          <w:highlight w:val="none"/>
        </w:rPr>
      </w:pPr>
      <w:r>
        <w:rPr>
          <w:rFonts w:hint="eastAsia" w:ascii="宋体" w:hAnsi="宋体" w:cs="宋体"/>
          <w:b/>
          <w:color w:val="auto"/>
          <w:spacing w:val="2"/>
          <w:szCs w:val="21"/>
          <w:highlight w:val="none"/>
        </w:rPr>
        <w:t>现文：</w:t>
      </w:r>
      <w:r>
        <w:rPr>
          <w:rFonts w:hint="eastAsia" w:ascii="宋体" w:hAnsi="宋体" w:cs="宋体"/>
          <w:color w:val="auto"/>
          <w:sz w:val="21"/>
          <w:szCs w:val="21"/>
          <w:highlight w:val="none"/>
        </w:rPr>
        <w:t>4</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4.3.1</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u w:val="single"/>
        </w:rPr>
        <w:t>区间抽取法</w:t>
      </w:r>
      <w:r>
        <w:rPr>
          <w:rFonts w:hint="eastAsia" w:ascii="宋体" w:hAnsi="宋体" w:eastAsia="宋体" w:cs="宋体"/>
          <w:color w:val="auto"/>
          <w:sz w:val="21"/>
          <w:szCs w:val="21"/>
          <w:highlight w:val="none"/>
        </w:rPr>
        <w:t>计算评标参考价：</w:t>
      </w:r>
    </w:p>
    <w:p>
      <w:pPr>
        <w:widowControl/>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设立入围合格分数线（</w:t>
      </w:r>
      <w:r>
        <w:rPr>
          <w:rFonts w:hint="eastAsia" w:ascii="宋体" w:hAnsi="宋体" w:cs="宋体"/>
          <w:color w:val="auto"/>
          <w:szCs w:val="21"/>
          <w:highlight w:val="none"/>
          <w:u w:val="single"/>
        </w:rPr>
        <w:t>技术</w:t>
      </w:r>
      <w:r>
        <w:rPr>
          <w:rFonts w:hint="eastAsia" w:ascii="宋体" w:hAnsi="宋体" w:cs="宋体"/>
          <w:color w:val="auto"/>
          <w:szCs w:val="21"/>
          <w:highlight w:val="none"/>
          <w:u w:val="single"/>
          <w:lang w:val="en-US" w:eastAsia="zh-CN"/>
        </w:rPr>
        <w:t>标得</w:t>
      </w:r>
      <w:r>
        <w:rPr>
          <w:rFonts w:hint="eastAsia" w:ascii="宋体" w:hAnsi="宋体" w:cs="宋体"/>
          <w:color w:val="auto"/>
          <w:szCs w:val="21"/>
          <w:highlight w:val="none"/>
          <w:u w:val="single"/>
        </w:rPr>
        <w:t>分</w:t>
      </w:r>
      <w:r>
        <w:rPr>
          <w:rFonts w:hint="eastAsia" w:ascii="宋体" w:hAnsi="宋体" w:cs="宋体"/>
          <w:color w:val="auto"/>
          <w:szCs w:val="21"/>
          <w:highlight w:val="none"/>
          <w:u w:val="single"/>
          <w:lang w:val="en-US" w:eastAsia="zh-CN"/>
        </w:rPr>
        <w:t>≥85</w:t>
      </w:r>
      <w:r>
        <w:rPr>
          <w:rFonts w:hint="eastAsia" w:ascii="宋体" w:hAnsi="宋体" w:cs="宋体"/>
          <w:color w:val="auto"/>
          <w:szCs w:val="21"/>
          <w:highlight w:val="none"/>
          <w:u w:val="single"/>
        </w:rPr>
        <w:t>分</w:t>
      </w:r>
      <w:r>
        <w:rPr>
          <w:rFonts w:hint="eastAsia" w:ascii="宋体" w:hAnsi="宋体" w:cs="宋体"/>
          <w:color w:val="auto"/>
          <w:szCs w:val="21"/>
          <w:highlight w:val="none"/>
        </w:rPr>
        <w:t>），达到或超过</w:t>
      </w:r>
      <w:r>
        <w:rPr>
          <w:rFonts w:hint="eastAsia" w:ascii="宋体" w:hAnsi="宋体" w:cs="宋体"/>
          <w:color w:val="auto"/>
          <w:szCs w:val="21"/>
          <w:highlight w:val="none"/>
          <w:u w:val="single"/>
        </w:rPr>
        <w:t>入围合格分数线</w:t>
      </w:r>
      <w:r>
        <w:rPr>
          <w:rFonts w:hint="eastAsia" w:ascii="宋体" w:hAnsi="宋体" w:cs="宋体"/>
          <w:color w:val="auto"/>
          <w:szCs w:val="21"/>
          <w:highlight w:val="none"/>
        </w:rPr>
        <w:t>的投标人的报价方能参与评标参考价的计算。将达到或超过</w:t>
      </w:r>
      <w:r>
        <w:rPr>
          <w:rFonts w:hint="eastAsia" w:ascii="宋体" w:hAnsi="宋体" w:cs="宋体"/>
          <w:color w:val="auto"/>
          <w:szCs w:val="21"/>
          <w:highlight w:val="none"/>
          <w:u w:val="single"/>
        </w:rPr>
        <w:t>入围合格分数线</w:t>
      </w:r>
      <w:r>
        <w:rPr>
          <w:rFonts w:hint="eastAsia" w:ascii="宋体" w:hAnsi="宋体" w:cs="宋体"/>
          <w:color w:val="auto"/>
          <w:szCs w:val="21"/>
          <w:highlight w:val="none"/>
        </w:rPr>
        <w:t>的投标报价由低至高进行排列，按以下公式计算评标参考价，计算公式如下：</w:t>
      </w:r>
    </w:p>
    <w:p>
      <w:pPr>
        <w:widowControl/>
        <w:snapToGrid w:val="0"/>
        <w:spacing w:line="360" w:lineRule="auto"/>
        <w:ind w:firstLine="420" w:firstLineChars="200"/>
        <w:rPr>
          <w:rFonts w:ascii="宋体" w:hAnsi="宋体" w:cs="宋体"/>
          <w:color w:val="auto"/>
          <w:kern w:val="0"/>
          <w:szCs w:val="21"/>
          <w:highlight w:val="none"/>
          <w:vertAlign w:val="subscript"/>
        </w:rPr>
      </w:pPr>
      <w:r>
        <w:rPr>
          <w:rFonts w:hint="eastAsia" w:ascii="宋体" w:hAnsi="宋体" w:cs="宋体"/>
          <w:color w:val="auto"/>
          <w:kern w:val="0"/>
          <w:szCs w:val="21"/>
          <w:highlight w:val="none"/>
        </w:rPr>
        <w:t>评标参考价=（Q</w:t>
      </w:r>
      <w:r>
        <w:rPr>
          <w:rFonts w:hint="eastAsia" w:ascii="宋体" w:hAnsi="宋体" w:cs="宋体"/>
          <w:color w:val="auto"/>
          <w:kern w:val="0"/>
          <w:szCs w:val="21"/>
          <w:highlight w:val="none"/>
          <w:vertAlign w:val="subscript"/>
        </w:rPr>
        <w:t>高</w:t>
      </w: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低</w:t>
      </w:r>
      <w:r>
        <w:rPr>
          <w:rFonts w:hint="eastAsia" w:ascii="宋体" w:hAnsi="宋体" w:cs="宋体"/>
          <w:color w:val="auto"/>
          <w:kern w:val="0"/>
          <w:szCs w:val="21"/>
          <w:highlight w:val="none"/>
        </w:rPr>
        <w:t>）/100*Ｘ+Q</w:t>
      </w:r>
      <w:r>
        <w:rPr>
          <w:rFonts w:hint="eastAsia" w:ascii="宋体" w:hAnsi="宋体" w:cs="宋体"/>
          <w:color w:val="auto"/>
          <w:kern w:val="0"/>
          <w:szCs w:val="21"/>
          <w:highlight w:val="none"/>
          <w:vertAlign w:val="subscript"/>
        </w:rPr>
        <w:t>低</w:t>
      </w:r>
    </w:p>
    <w:p>
      <w:pPr>
        <w:widowControl/>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Q</w:t>
      </w:r>
      <w:r>
        <w:rPr>
          <w:rFonts w:hint="eastAsia" w:ascii="宋体" w:hAnsi="宋体" w:cs="宋体"/>
          <w:color w:val="auto"/>
          <w:szCs w:val="21"/>
          <w:highlight w:val="none"/>
          <w:vertAlign w:val="subscript"/>
        </w:rPr>
        <w:t>低</w:t>
      </w:r>
      <w:r>
        <w:rPr>
          <w:rFonts w:hint="eastAsia" w:ascii="宋体" w:hAnsi="宋体" w:cs="宋体"/>
          <w:color w:val="auto"/>
          <w:szCs w:val="21"/>
          <w:highlight w:val="none"/>
        </w:rPr>
        <w:t>：为达到或超过</w:t>
      </w:r>
      <w:r>
        <w:rPr>
          <w:rFonts w:hint="eastAsia" w:ascii="宋体" w:hAnsi="宋体" w:cs="宋体"/>
          <w:color w:val="auto"/>
          <w:szCs w:val="21"/>
          <w:highlight w:val="none"/>
          <w:u w:val="single"/>
        </w:rPr>
        <w:t>入围合格分数线</w:t>
      </w:r>
      <w:r>
        <w:rPr>
          <w:rFonts w:hint="eastAsia" w:ascii="宋体" w:hAnsi="宋体" w:cs="宋体"/>
          <w:color w:val="auto"/>
          <w:szCs w:val="21"/>
          <w:highlight w:val="none"/>
        </w:rPr>
        <w:t>的投标人最低报价与工程成本警示价两者中的较高值；</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高</w:t>
      </w:r>
      <w:r>
        <w:rPr>
          <w:rFonts w:hint="eastAsia" w:ascii="宋体" w:hAnsi="宋体" w:cs="宋体"/>
          <w:color w:val="auto"/>
          <w:szCs w:val="21"/>
          <w:highlight w:val="none"/>
        </w:rPr>
        <w:t>：为最高投标限价</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X：为等分点值，</w:t>
      </w:r>
      <w:r>
        <w:rPr>
          <w:rFonts w:hint="eastAsia" w:ascii="宋体" w:hAnsi="宋体" w:cs="宋体"/>
          <w:color w:val="auto"/>
          <w:szCs w:val="21"/>
          <w:highlight w:val="none"/>
          <w:u w:val="single"/>
        </w:rPr>
        <w:t>采用广州交易集团有限公司（广州公共资源交易中心）交易平台在线系统</w:t>
      </w:r>
      <w:r>
        <w:rPr>
          <w:rFonts w:hint="eastAsia" w:ascii="宋体" w:hAnsi="宋体" w:cs="宋体"/>
          <w:color w:val="auto"/>
          <w:szCs w:val="21"/>
          <w:highlight w:val="none"/>
        </w:rPr>
        <w:t>在开标前从[0,100]整数中随机抽取。</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4.3.2</w:t>
      </w:r>
      <w:r>
        <w:rPr>
          <w:rFonts w:hint="eastAsia" w:ascii="宋体" w:hAnsi="宋体" w:cs="宋体"/>
          <w:b/>
          <w:color w:val="auto"/>
          <w:szCs w:val="21"/>
          <w:highlight w:val="none"/>
        </w:rPr>
        <w:t xml:space="preserve">             修改类型：修改</w:t>
      </w:r>
    </w:p>
    <w:p>
      <w:pPr>
        <w:spacing w:line="380" w:lineRule="exact"/>
        <w:ind w:firstLine="422" w:firstLineChars="200"/>
        <w:rPr>
          <w:rFonts w:ascii="宋体" w:hAnsi="宋体" w:cs="宋体"/>
          <w:color w:val="auto"/>
          <w:kern w:val="0"/>
          <w:szCs w:val="21"/>
          <w:highlight w:val="none"/>
        </w:rPr>
      </w:pPr>
      <w:r>
        <w:rPr>
          <w:rFonts w:hint="eastAsia" w:ascii="宋体" w:hAnsi="宋体" w:cs="宋体"/>
          <w:b/>
          <w:color w:val="auto"/>
          <w:szCs w:val="21"/>
          <w:highlight w:val="none"/>
        </w:rPr>
        <w:t>原文：</w:t>
      </w: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4.3.2</w:t>
      </w:r>
      <w:r>
        <w:rPr>
          <w:rFonts w:hint="eastAsia" w:ascii="宋体" w:hAnsi="宋体"/>
          <w:color w:val="auto"/>
          <w:szCs w:val="21"/>
          <w:highlight w:val="none"/>
        </w:rPr>
        <w:t>当标价等于评标参考价时得</w:t>
      </w:r>
      <w:r>
        <w:rPr>
          <w:rFonts w:ascii="宋体" w:hAnsi="宋体"/>
          <w:color w:val="auto"/>
          <w:szCs w:val="21"/>
          <w:highlight w:val="none"/>
        </w:rPr>
        <w:t>100</w:t>
      </w:r>
      <w:r>
        <w:rPr>
          <w:rFonts w:hint="eastAsia" w:ascii="宋体" w:hAnsi="宋体"/>
          <w:color w:val="auto"/>
          <w:szCs w:val="21"/>
          <w:highlight w:val="none"/>
        </w:rPr>
        <w:t>分，标价每高于评标参考价</w:t>
      </w:r>
      <w:r>
        <w:rPr>
          <w:rFonts w:ascii="宋体" w:hAnsi="宋体"/>
          <w:color w:val="auto"/>
          <w:szCs w:val="21"/>
          <w:highlight w:val="none"/>
        </w:rPr>
        <w:t>1%</w:t>
      </w:r>
      <w:r>
        <w:rPr>
          <w:rFonts w:hint="eastAsia" w:ascii="宋体" w:hAnsi="宋体"/>
          <w:color w:val="auto"/>
          <w:szCs w:val="21"/>
          <w:highlight w:val="none"/>
        </w:rPr>
        <w:t>，扣</w:t>
      </w:r>
      <w:r>
        <w:rPr>
          <w:rFonts w:ascii="宋体" w:hAnsi="宋体"/>
          <w:color w:val="auto"/>
          <w:szCs w:val="21"/>
          <w:highlight w:val="none"/>
        </w:rPr>
        <w:t>1.5</w:t>
      </w:r>
      <w:r>
        <w:rPr>
          <w:rFonts w:hint="eastAsia" w:ascii="宋体" w:hAnsi="宋体"/>
          <w:color w:val="auto"/>
          <w:szCs w:val="21"/>
          <w:highlight w:val="none"/>
        </w:rPr>
        <w:t>分，每低于评标参考价</w:t>
      </w:r>
      <w:r>
        <w:rPr>
          <w:rFonts w:ascii="宋体" w:hAnsi="宋体"/>
          <w:color w:val="auto"/>
          <w:szCs w:val="21"/>
          <w:highlight w:val="none"/>
        </w:rPr>
        <w:t>1%</w:t>
      </w:r>
      <w:r>
        <w:rPr>
          <w:rFonts w:hint="eastAsia" w:ascii="宋体" w:hAnsi="宋体"/>
          <w:color w:val="auto"/>
          <w:szCs w:val="21"/>
          <w:highlight w:val="none"/>
        </w:rPr>
        <w:t>，扣</w:t>
      </w:r>
      <w:r>
        <w:rPr>
          <w:rFonts w:ascii="宋体" w:hAnsi="宋体"/>
          <w:color w:val="auto"/>
          <w:szCs w:val="21"/>
          <w:highlight w:val="none"/>
        </w:rPr>
        <w:t>1</w:t>
      </w:r>
      <w:r>
        <w:rPr>
          <w:rFonts w:hint="eastAsia" w:ascii="宋体" w:hAnsi="宋体"/>
          <w:color w:val="auto"/>
          <w:szCs w:val="21"/>
          <w:highlight w:val="none"/>
        </w:rPr>
        <w:t>分，扣至</w:t>
      </w:r>
      <w:r>
        <w:rPr>
          <w:rFonts w:ascii="宋体" w:hAnsi="宋体"/>
          <w:color w:val="auto"/>
          <w:szCs w:val="21"/>
          <w:highlight w:val="none"/>
        </w:rPr>
        <w:t>0</w:t>
      </w:r>
      <w:r>
        <w:rPr>
          <w:rFonts w:hint="eastAsia" w:ascii="宋体" w:hAnsi="宋体"/>
          <w:color w:val="auto"/>
          <w:szCs w:val="21"/>
          <w:highlight w:val="none"/>
        </w:rPr>
        <w:t>分为止，得出经济分，精确到小数点后两位。</w:t>
      </w:r>
    </w:p>
    <w:p>
      <w:pPr>
        <w:spacing w:line="380" w:lineRule="exact"/>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4.3.2</w:t>
      </w:r>
      <w:r>
        <w:rPr>
          <w:rFonts w:hint="eastAsia" w:ascii="宋体" w:hAnsi="宋体" w:cs="宋体"/>
          <w:color w:val="auto"/>
          <w:kern w:val="0"/>
          <w:szCs w:val="21"/>
          <w:highlight w:val="none"/>
          <w:u w:val="single"/>
        </w:rPr>
        <w:t>当投标总报价等于评标参考价时得100分，投标总报价每高于评标参考价1%，扣</w:t>
      </w:r>
      <w:r>
        <w:rPr>
          <w:rFonts w:hint="eastAsia" w:ascii="宋体" w:hAnsi="宋体" w:cs="宋体"/>
          <w:color w:val="auto"/>
          <w:kern w:val="0"/>
          <w:szCs w:val="21"/>
          <w:highlight w:val="none"/>
          <w:u w:val="single"/>
          <w:lang w:val="en-US" w:eastAsia="zh-CN"/>
        </w:rPr>
        <w:t>1.5</w:t>
      </w:r>
      <w:r>
        <w:rPr>
          <w:rFonts w:hint="eastAsia" w:ascii="宋体" w:hAnsi="宋体" w:cs="宋体"/>
          <w:color w:val="auto"/>
          <w:kern w:val="0"/>
          <w:szCs w:val="21"/>
          <w:highlight w:val="none"/>
          <w:u w:val="single"/>
        </w:rPr>
        <w:t>分，每低于评标参考价1%，扣</w:t>
      </w:r>
      <w:r>
        <w:rPr>
          <w:rFonts w:hint="eastAsia" w:ascii="宋体" w:hAnsi="宋体" w:cs="宋体"/>
          <w:color w:val="auto"/>
          <w:kern w:val="0"/>
          <w:szCs w:val="21"/>
          <w:highlight w:val="none"/>
          <w:u w:val="single"/>
          <w:lang w:val="en-US" w:eastAsia="zh-CN"/>
        </w:rPr>
        <w:t>1</w:t>
      </w:r>
      <w:r>
        <w:rPr>
          <w:rFonts w:hint="eastAsia" w:ascii="宋体" w:hAnsi="宋体" w:cs="宋体"/>
          <w:color w:val="auto"/>
          <w:kern w:val="0"/>
          <w:szCs w:val="21"/>
          <w:highlight w:val="none"/>
          <w:u w:val="single"/>
        </w:rPr>
        <w:t>分，扣至0分为止，得出经济分，精确到小数点后两位。</w:t>
      </w:r>
    </w:p>
    <w:p>
      <w:pPr>
        <w:pBdr>
          <w:bottom w:val="single" w:color="auto" w:sz="6" w:space="1"/>
        </w:pBdr>
        <w:spacing w:line="500" w:lineRule="exact"/>
        <w:rPr>
          <w:rFonts w:ascii="宋体" w:hAnsi="宋体"/>
          <w:b/>
          <w:color w:val="auto"/>
          <w:szCs w:val="21"/>
          <w:highlight w:val="none"/>
        </w:rPr>
      </w:pP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4.4</w:t>
      </w:r>
      <w:r>
        <w:rPr>
          <w:rFonts w:hint="eastAsia" w:ascii="宋体" w:hAnsi="宋体" w:cs="宋体"/>
          <w:b/>
          <w:color w:val="auto"/>
          <w:szCs w:val="21"/>
          <w:highlight w:val="none"/>
        </w:rPr>
        <w:t xml:space="preserve">             修改类型：修改</w:t>
      </w:r>
    </w:p>
    <w:p>
      <w:pPr>
        <w:spacing w:line="380" w:lineRule="exact"/>
        <w:ind w:firstLine="422" w:firstLineChars="200"/>
        <w:rPr>
          <w:rFonts w:ascii="宋体" w:hAnsi="宋体" w:cs="宋体"/>
          <w:color w:val="auto"/>
          <w:kern w:val="0"/>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2.4.4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cs="宋体"/>
          <w:color w:val="auto"/>
          <w:szCs w:val="21"/>
          <w:highlight w:val="none"/>
        </w:rPr>
        <w:t>。</w:t>
      </w:r>
    </w:p>
    <w:p>
      <w:pPr>
        <w:pBdr>
          <w:bottom w:val="single" w:color="auto" w:sz="6" w:space="1"/>
        </w:pBdr>
        <w:spacing w:line="500" w:lineRule="exact"/>
        <w:rPr>
          <w:rFonts w:ascii="宋体" w:hAnsi="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lang w:val="en-US" w:eastAsia="zh-CN"/>
        </w:rPr>
        <w:t>42.4.4</w:t>
      </w:r>
      <w:r>
        <w:rPr>
          <w:rFonts w:hint="eastAsia" w:ascii="宋体" w:hAnsi="宋体" w:eastAsia="宋体" w:cs="宋体"/>
          <w:bCs/>
          <w:color w:val="auto"/>
          <w:kern w:val="0"/>
          <w:sz w:val="21"/>
          <w:szCs w:val="21"/>
          <w:highlight w:val="none"/>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eastAsia="宋体" w:cs="宋体"/>
          <w:b w:val="0"/>
          <w:bCs w:val="0"/>
          <w:color w:val="auto"/>
          <w:kern w:val="0"/>
          <w:sz w:val="21"/>
          <w:szCs w:val="21"/>
          <w:highlight w:val="none"/>
          <w:u w:val="single"/>
        </w:rPr>
        <w:t>评委发现投标文件中含义不明确、对同类问题表述不一致、有明显文字和计算错误、投标报价可能低于成本影响履约的，应当要求投标人作必要的澄清、说明后再判定投标人是否通过有效性审查，不得直接否决投标</w:t>
      </w:r>
      <w:r>
        <w:rPr>
          <w:rFonts w:hint="eastAsia" w:ascii="宋体" w:hAnsi="宋体" w:eastAsia="宋体" w:cs="宋体"/>
          <w:b w:val="0"/>
          <w:bCs w:val="0"/>
          <w:color w:val="auto"/>
          <w:kern w:val="0"/>
          <w:sz w:val="21"/>
          <w:szCs w:val="21"/>
          <w:highlight w:val="none"/>
          <w:u w:val="single"/>
          <w:lang w:eastAsia="zh-CN"/>
        </w:rPr>
        <w:t>。</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4.5.5</w:t>
      </w:r>
      <w:r>
        <w:rPr>
          <w:rFonts w:hint="eastAsia" w:ascii="宋体" w:hAnsi="宋体" w:cs="宋体"/>
          <w:b/>
          <w:color w:val="auto"/>
          <w:szCs w:val="21"/>
          <w:highlight w:val="none"/>
        </w:rPr>
        <w:t xml:space="preserve">             修改类型：修改</w:t>
      </w:r>
    </w:p>
    <w:p>
      <w:pPr>
        <w:spacing w:line="380" w:lineRule="exact"/>
        <w:ind w:firstLine="422" w:firstLineChars="200"/>
        <w:rPr>
          <w:rFonts w:ascii="宋体" w:hAnsi="宋体" w:cs="宋体"/>
          <w:color w:val="auto"/>
          <w:kern w:val="0"/>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42.4.5.5如果投标人的有关规费、暂列金额、暂估价、绿色施工安全防护措施费等未按招标文件规定的金额填写的，由评标委员会按照招标文件规定的金额进行修正；</w:t>
      </w:r>
    </w:p>
    <w:p>
      <w:pPr>
        <w:pBdr>
          <w:bottom w:val="single" w:color="auto" w:sz="6" w:space="1"/>
        </w:pBdr>
        <w:spacing w:line="400" w:lineRule="exact"/>
        <w:ind w:firstLine="422" w:firstLineChars="200"/>
        <w:rPr>
          <w:rFonts w:hint="eastAsia" w:ascii="宋体" w:hAnsi="宋体" w:eastAsia="宋体" w:cs="宋体"/>
          <w:color w:val="auto"/>
          <w:sz w:val="21"/>
          <w:szCs w:val="21"/>
          <w:highlight w:val="none"/>
          <w:lang w:eastAsia="zh-CN"/>
        </w:rPr>
      </w:pPr>
      <w:r>
        <w:rPr>
          <w:rFonts w:hint="eastAsia" w:ascii="宋体" w:hAnsi="宋体" w:cs="宋体"/>
          <w:b/>
          <w:color w:val="auto"/>
          <w:szCs w:val="21"/>
          <w:highlight w:val="none"/>
        </w:rPr>
        <w:t>现文：</w:t>
      </w:r>
      <w:r>
        <w:rPr>
          <w:rFonts w:hint="eastAsia" w:ascii="宋体" w:hAnsi="宋体" w:cs="宋体"/>
          <w:color w:val="auto"/>
          <w:szCs w:val="21"/>
          <w:highlight w:val="none"/>
        </w:rPr>
        <w:t>42.4.5.5如果投标人的有关规费、暂列金额、暂估价、</w:t>
      </w:r>
      <w:r>
        <w:rPr>
          <w:rFonts w:hint="eastAsia" w:ascii="宋体" w:hAnsi="宋体" w:cs="宋体"/>
          <w:color w:val="auto"/>
          <w:szCs w:val="21"/>
          <w:highlight w:val="none"/>
          <w:u w:val="single"/>
        </w:rPr>
        <w:t>安全生产措施费</w:t>
      </w:r>
      <w:r>
        <w:rPr>
          <w:rFonts w:hint="eastAsia" w:ascii="宋体" w:hAnsi="宋体" w:cs="宋体"/>
          <w:color w:val="auto"/>
          <w:szCs w:val="21"/>
          <w:highlight w:val="none"/>
        </w:rPr>
        <w:t>等未按招标文件规定的金额填写的，由评标委员会按照招标文件规定的金额进行修正；</w:t>
      </w:r>
    </w:p>
    <w:p>
      <w:pPr>
        <w:spacing w:line="500" w:lineRule="exact"/>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条款号：附表一：《资格审查表》  附表二：《技术标有效性审查表》  附表三：《经济标有效性审查表》  附表四：《技术标详细审查评分表》 修改类型：修改</w:t>
      </w:r>
    </w:p>
    <w:p>
      <w:pPr>
        <w:pBdr>
          <w:bottom w:val="single" w:color="auto" w:sz="6" w:space="1"/>
        </w:pBdr>
        <w:spacing w:line="500" w:lineRule="exact"/>
        <w:ind w:firstLine="413" w:firstLineChars="196"/>
        <w:rPr>
          <w:rFonts w:ascii="宋体" w:hAnsi="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详见原范本附表一：《资格审查表》    附表二：《技术标有效性审查表》   附表三：《经济标有效性审查表》   附表四：《技术标详细审查评分表》。</w:t>
      </w:r>
    </w:p>
    <w:p>
      <w:pPr>
        <w:pBdr>
          <w:bottom w:val="single" w:color="auto" w:sz="6" w:space="1"/>
        </w:pBdr>
        <w:spacing w:line="500" w:lineRule="exact"/>
        <w:ind w:firstLine="413" w:firstLineChars="196"/>
        <w:rPr>
          <w:rFonts w:ascii="宋体" w:hAnsi="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详见本招标文件附表一：《资格审查表》    附表二：《技术标有效性审查表》   附表三：《经济标有效性审查表》   附表四：《技术标详细审查评分表》</w:t>
      </w:r>
    </w:p>
    <w:p>
      <w:pPr>
        <w:spacing w:line="500" w:lineRule="exact"/>
        <w:ind w:firstLine="211" w:firstLineChars="100"/>
        <w:rPr>
          <w:rFonts w:ascii="宋体" w:hAnsi="宋体" w:cs="宋体"/>
          <w:b/>
          <w:color w:val="auto"/>
          <w:szCs w:val="21"/>
          <w:highlight w:val="none"/>
        </w:rPr>
      </w:pPr>
      <w:r>
        <w:rPr>
          <w:rFonts w:hint="eastAsia" w:ascii="宋体" w:hAnsi="宋体" w:cs="宋体"/>
          <w:b/>
          <w:color w:val="auto"/>
          <w:szCs w:val="21"/>
          <w:highlight w:val="none"/>
        </w:rPr>
        <w:t>注：以上修改，仅限于本范本中有可供选择条款的情形。</w:t>
      </w:r>
    </w:p>
    <w:p>
      <w:pPr>
        <w:spacing w:line="500" w:lineRule="exact"/>
        <w:rPr>
          <w:rFonts w:ascii="宋体" w:hAnsi="宋体" w:cs="宋体"/>
          <w:color w:val="auto"/>
          <w:szCs w:val="21"/>
          <w:highlight w:val="none"/>
        </w:rPr>
      </w:pPr>
      <w:r>
        <w:rPr>
          <w:rFonts w:hint="eastAsia" w:ascii="宋体" w:hAnsi="宋体" w:cs="宋体"/>
          <w:b/>
          <w:color w:val="auto"/>
          <w:szCs w:val="21"/>
          <w:highlight w:val="none"/>
        </w:rPr>
        <w:t>（以下无正文）</w:t>
      </w:r>
    </w:p>
    <w:p>
      <w:pPr>
        <w:pStyle w:val="4"/>
        <w:ind w:firstLine="186"/>
        <w:jc w:val="center"/>
        <w:rPr>
          <w:rFonts w:ascii="宋体" w:hAnsi="宋体"/>
          <w:color w:val="auto"/>
          <w:sz w:val="21"/>
          <w:szCs w:val="21"/>
          <w:highlight w:val="none"/>
        </w:rPr>
      </w:pPr>
      <w:r>
        <w:rPr>
          <w:rFonts w:hint="eastAsia" w:ascii="宋体" w:hAnsi="宋体" w:cs="宋体"/>
          <w:color w:val="auto"/>
          <w:sz w:val="21"/>
          <w:szCs w:val="21"/>
          <w:highlight w:val="none"/>
        </w:rPr>
        <w:br w:type="page"/>
      </w:r>
      <w:bookmarkStart w:id="28" w:name="_Toc2272556"/>
      <w:bookmarkStart w:id="29" w:name="_Toc21525500"/>
      <w:bookmarkStart w:id="30" w:name="_Toc1309"/>
      <w:bookmarkStart w:id="31" w:name="_Toc2272564"/>
      <w:r>
        <w:rPr>
          <w:rFonts w:hint="eastAsia" w:ascii="宋体" w:hAnsi="宋体"/>
          <w:color w:val="auto"/>
          <w:sz w:val="21"/>
          <w:szCs w:val="21"/>
          <w:highlight w:val="none"/>
        </w:rPr>
        <w:t>二、开标、评标及定标办法通用条款</w:t>
      </w:r>
      <w:bookmarkEnd w:id="28"/>
      <w:bookmarkEnd w:id="29"/>
      <w:bookmarkEnd w:id="30"/>
    </w:p>
    <w:p>
      <w:pPr>
        <w:pStyle w:val="5"/>
        <w:spacing w:before="156" w:after="156"/>
        <w:ind w:firstLine="420" w:firstLineChars="200"/>
        <w:rPr>
          <w:color w:val="auto"/>
          <w:sz w:val="21"/>
          <w:szCs w:val="21"/>
          <w:highlight w:val="none"/>
        </w:rPr>
      </w:pPr>
      <w:bookmarkStart w:id="32" w:name="_Toc21525501"/>
      <w:bookmarkStart w:id="33" w:name="_Toc2272557"/>
      <w:bookmarkStart w:id="34" w:name="_Toc4232"/>
      <w:bookmarkStart w:id="35" w:name="_Toc21525502"/>
      <w:bookmarkStart w:id="36" w:name="_Toc2272558"/>
      <w:r>
        <w:rPr>
          <w:rFonts w:hint="eastAsia"/>
          <w:color w:val="auto"/>
          <w:sz w:val="21"/>
          <w:szCs w:val="21"/>
          <w:highlight w:val="none"/>
        </w:rPr>
        <w:t>（一）总则</w:t>
      </w:r>
      <w:bookmarkEnd w:id="32"/>
      <w:bookmarkEnd w:id="33"/>
      <w:bookmarkEnd w:id="34"/>
    </w:p>
    <w:p>
      <w:pPr>
        <w:spacing w:line="360" w:lineRule="auto"/>
        <w:ind w:firstLine="420" w:firstLineChars="200"/>
        <w:rPr>
          <w:rFonts w:ascii="宋体" w:hAnsi="宋体"/>
          <w:b/>
          <w:color w:val="auto"/>
          <w:szCs w:val="21"/>
          <w:highlight w:val="none"/>
        </w:rPr>
      </w:pPr>
      <w:r>
        <w:rPr>
          <w:rFonts w:ascii="宋体" w:hAnsi="宋体"/>
          <w:color w:val="auto"/>
          <w:szCs w:val="21"/>
          <w:highlight w:val="none"/>
        </w:rPr>
        <w:t xml:space="preserve">35 </w:t>
      </w:r>
      <w:r>
        <w:rPr>
          <w:rFonts w:hint="eastAsia" w:ascii="宋体" w:hAnsi="宋体"/>
          <w:color w:val="auto"/>
          <w:szCs w:val="21"/>
          <w:highlight w:val="none"/>
        </w:rPr>
        <w:t>开标、评标及定标所依据的规则</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35.1《中华人民共和国招标投标法》；</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35.2《中华人民共和国招标投标法实施条例》；</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35.3《评标委员会和评标方法暂行规定》（七部委第12号令）</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35.4《工程建设项目施工招标投标办法》（七部委2003年第30号令）</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35.5《广东省实施〈中华人民共和国招标投标法〉办法》；</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35.6《房屋建筑和市政基础设施工程施工招标投标管理办法》（建设部令第89号）</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35.7《财政部 工业和信息化部关于印发〈政府采购促进中小企业发展管理办法〉的通知》（财库〔2020〕46号）；</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35.8《广东省加强建设工程招标投标监督管理的若干规定》（粤发[2004]4号）；</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35.9《广东省政府采购促进中小企业发展实施细则（试行）》；</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35.10《广州市工程建设项目招标投标管理办法》（穗建规字〔2023〕12号）；</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35.12本项目招标文件。</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36</w:t>
      </w:r>
      <w:r>
        <w:rPr>
          <w:rFonts w:hint="eastAsia" w:ascii="宋体" w:hAnsi="宋体"/>
          <w:color w:val="auto"/>
          <w:szCs w:val="21"/>
          <w:highlight w:val="none"/>
        </w:rPr>
        <w:t>．开标</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36.1 </w:t>
      </w:r>
      <w:r>
        <w:rPr>
          <w:rFonts w:hint="eastAsia" w:ascii="宋体" w:hAnsi="宋体"/>
          <w:color w:val="auto"/>
          <w:szCs w:val="21"/>
          <w:highlight w:val="none"/>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36.2</w:t>
      </w:r>
      <w:r>
        <w:rPr>
          <w:rFonts w:hint="eastAsia" w:ascii="宋体" w:hAnsi="宋体"/>
          <w:color w:val="auto"/>
          <w:szCs w:val="21"/>
          <w:highlight w:val="none"/>
        </w:rPr>
        <w:t xml:space="preserve"> 招标人在招标文件要求提交投标文件的截止时间前收到的投标文件，开标时都当众予以解密、公布。</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36.4若递交投标文件的投标人不足3家，则重新组织招标。（当</w:t>
      </w:r>
      <w:r>
        <w:rPr>
          <w:rFonts w:ascii="宋体" w:hAnsi="宋体"/>
          <w:color w:val="auto"/>
          <w:szCs w:val="21"/>
          <w:highlight w:val="none"/>
        </w:rPr>
        <w:t>N</w:t>
      </w:r>
      <w:r>
        <w:rPr>
          <w:rFonts w:hint="eastAsia" w:ascii="宋体" w:hAnsi="宋体"/>
          <w:color w:val="auto"/>
          <w:szCs w:val="21"/>
          <w:highlight w:val="none"/>
        </w:rPr>
        <w:t>个标段同时招标且不允许兼中时，若有效投标人不足</w:t>
      </w:r>
      <w:r>
        <w:rPr>
          <w:rFonts w:ascii="宋体" w:hAnsi="宋体"/>
          <w:color w:val="auto"/>
          <w:szCs w:val="21"/>
          <w:highlight w:val="none"/>
        </w:rPr>
        <w:t>N+</w:t>
      </w:r>
      <w:r>
        <w:rPr>
          <w:rFonts w:hint="eastAsia" w:ascii="宋体" w:hAnsi="宋体"/>
          <w:color w:val="auto"/>
          <w:szCs w:val="21"/>
          <w:highlight w:val="none"/>
        </w:rPr>
        <w:t>2家，则重新组织招标）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36.5按下列程序进行开标：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36.5.1</w:t>
      </w:r>
      <w:r>
        <w:rPr>
          <w:rFonts w:hint="eastAsia" w:ascii="宋体" w:hAnsi="宋体" w:cs="宋体"/>
          <w:bCs/>
          <w:color w:val="auto"/>
          <w:szCs w:val="21"/>
          <w:highlight w:val="none"/>
        </w:rPr>
        <w:t>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36.5.2备用光盘的读取按投标须知前附表第36项的规定执行；</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36.5.3投标人代表、招标人代表、监标人、记录人等有关人员在开标记录上签字确认；若有关人员不签字的，不影响开标程序；</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36.5.4开标结束。</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36.7开标时，两个（含两个）以上的投标人加密打包投标文件电脑机器特征码一致的，不参与下一程序，并由评标委员会否决其投标。</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37</w:t>
      </w:r>
      <w:r>
        <w:rPr>
          <w:rFonts w:hint="eastAsia" w:ascii="宋体" w:hAnsi="宋体"/>
          <w:color w:val="auto"/>
          <w:szCs w:val="21"/>
          <w:highlight w:val="none"/>
        </w:rPr>
        <w:t>．评标</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37.1</w:t>
      </w:r>
      <w:r>
        <w:rPr>
          <w:rFonts w:hint="eastAsia" w:ascii="宋体" w:hAnsi="宋体"/>
          <w:color w:val="auto"/>
          <w:szCs w:val="21"/>
          <w:highlight w:val="none"/>
        </w:rPr>
        <w:t>评标委员会由招标人依法组建。</w:t>
      </w:r>
    </w:p>
    <w:p>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37.2</w:t>
      </w:r>
      <w:r>
        <w:rPr>
          <w:rFonts w:hint="eastAsia" w:ascii="宋体" w:hAnsi="宋体"/>
          <w:color w:val="auto"/>
          <w:szCs w:val="21"/>
          <w:highlight w:val="none"/>
        </w:rPr>
        <w:t>评标委员会在开始评标前，应了解评标专家的职责及守则，认真阅读附件1《评标委员会成员声明》的内容并签名，签字后方可进行评标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37.3</w:t>
      </w:r>
      <w:r>
        <w:rPr>
          <w:rFonts w:hint="eastAsia" w:ascii="宋体" w:hAnsi="宋体"/>
          <w:color w:val="auto"/>
          <w:szCs w:val="21"/>
          <w:highlight w:val="none"/>
        </w:rPr>
        <w:t>评标委员会的职责及守则：</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37.</w:t>
      </w:r>
      <w:r>
        <w:rPr>
          <w:rFonts w:hint="eastAsia" w:ascii="宋体" w:hAnsi="宋体"/>
          <w:color w:val="auto"/>
          <w:szCs w:val="21"/>
          <w:highlight w:val="none"/>
          <w:lang w:val="en-US" w:eastAsia="zh-CN"/>
        </w:rPr>
        <w:t>3</w:t>
      </w:r>
      <w:r>
        <w:rPr>
          <w:rFonts w:ascii="宋体" w:hAnsi="宋体"/>
          <w:color w:val="auto"/>
          <w:szCs w:val="21"/>
          <w:highlight w:val="none"/>
        </w:rPr>
        <w:t>.1</w:t>
      </w:r>
      <w:r>
        <w:rPr>
          <w:rFonts w:hint="eastAsia" w:ascii="宋体" w:hAnsi="宋体"/>
          <w:color w:val="auto"/>
          <w:szCs w:val="21"/>
          <w:highlight w:val="none"/>
        </w:rPr>
        <w:t>根据评标细则，对投标文件进行认真评审，完成评审报告；</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37.</w:t>
      </w:r>
      <w:r>
        <w:rPr>
          <w:rFonts w:hint="eastAsia" w:ascii="宋体" w:hAnsi="宋体"/>
          <w:color w:val="auto"/>
          <w:szCs w:val="21"/>
          <w:highlight w:val="none"/>
          <w:lang w:val="en-US" w:eastAsia="zh-CN"/>
        </w:rPr>
        <w:t>3</w:t>
      </w:r>
      <w:r>
        <w:rPr>
          <w:rFonts w:ascii="宋体" w:hAnsi="宋体"/>
          <w:color w:val="auto"/>
          <w:szCs w:val="21"/>
          <w:highlight w:val="none"/>
        </w:rPr>
        <w:t>.2</w:t>
      </w:r>
      <w:r>
        <w:rPr>
          <w:rFonts w:hint="eastAsia" w:ascii="宋体" w:hAnsi="宋体"/>
          <w:color w:val="auto"/>
          <w:szCs w:val="21"/>
          <w:highlight w:val="none"/>
        </w:rPr>
        <w:t>向招标人报告评审意见，推荐合格的中标候选人。</w:t>
      </w:r>
    </w:p>
    <w:p>
      <w:pPr>
        <w:spacing w:line="360" w:lineRule="auto"/>
        <w:ind w:firstLine="420" w:firstLineChars="200"/>
        <w:rPr>
          <w:rFonts w:ascii="宋体" w:hAnsi="宋体"/>
          <w:color w:val="auto"/>
          <w:szCs w:val="21"/>
          <w:highlight w:val="none"/>
        </w:rPr>
      </w:pPr>
      <w:r>
        <w:rPr>
          <w:rFonts w:ascii="宋体" w:hAnsi="宋体"/>
          <w:bCs/>
          <w:color w:val="auto"/>
          <w:szCs w:val="21"/>
          <w:highlight w:val="none"/>
        </w:rPr>
        <w:t>37.</w:t>
      </w:r>
      <w:r>
        <w:rPr>
          <w:rFonts w:hint="eastAsia" w:ascii="宋体" w:hAnsi="宋体"/>
          <w:bCs/>
          <w:color w:val="auto"/>
          <w:szCs w:val="21"/>
          <w:highlight w:val="none"/>
          <w:lang w:val="en-US" w:eastAsia="zh-CN"/>
        </w:rPr>
        <w:t>3</w:t>
      </w:r>
      <w:r>
        <w:rPr>
          <w:rFonts w:ascii="宋体" w:hAnsi="宋体"/>
          <w:bCs/>
          <w:color w:val="auto"/>
          <w:szCs w:val="21"/>
          <w:highlight w:val="none"/>
        </w:rPr>
        <w:t>.3</w:t>
      </w:r>
      <w:r>
        <w:rPr>
          <w:rFonts w:hint="eastAsia" w:ascii="宋体" w:hAnsi="宋体"/>
          <w:color w:val="auto"/>
          <w:szCs w:val="21"/>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37.</w:t>
      </w:r>
      <w:r>
        <w:rPr>
          <w:rFonts w:hint="eastAsia" w:ascii="宋体" w:hAnsi="宋体"/>
          <w:color w:val="auto"/>
          <w:szCs w:val="21"/>
          <w:highlight w:val="none"/>
          <w:lang w:val="en-US" w:eastAsia="zh-CN"/>
        </w:rPr>
        <w:t>3</w:t>
      </w:r>
      <w:r>
        <w:rPr>
          <w:rFonts w:ascii="宋体" w:hAnsi="宋体"/>
          <w:color w:val="auto"/>
          <w:szCs w:val="21"/>
          <w:highlight w:val="none"/>
        </w:rPr>
        <w:t>.4</w:t>
      </w:r>
      <w:r>
        <w:rPr>
          <w:rFonts w:hint="eastAsia" w:ascii="宋体" w:hAnsi="宋体"/>
          <w:color w:val="auto"/>
          <w:szCs w:val="21"/>
          <w:highlight w:val="none"/>
        </w:rPr>
        <w:t>全体参与评标人员：</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37.</w:t>
      </w:r>
      <w:r>
        <w:rPr>
          <w:rFonts w:hint="eastAsia" w:ascii="宋体" w:hAnsi="宋体"/>
          <w:color w:val="auto"/>
          <w:szCs w:val="21"/>
          <w:highlight w:val="none"/>
          <w:lang w:val="en-US" w:eastAsia="zh-CN"/>
        </w:rPr>
        <w:t>3</w:t>
      </w:r>
      <w:r>
        <w:rPr>
          <w:rFonts w:ascii="宋体" w:hAnsi="宋体"/>
          <w:color w:val="auto"/>
          <w:szCs w:val="21"/>
          <w:highlight w:val="none"/>
        </w:rPr>
        <w:t xml:space="preserve">.4.1 </w:t>
      </w:r>
      <w:r>
        <w:rPr>
          <w:rFonts w:hint="eastAsia" w:ascii="宋体" w:hAnsi="宋体"/>
          <w:color w:val="auto"/>
          <w:szCs w:val="21"/>
          <w:highlight w:val="none"/>
        </w:rPr>
        <w:t>必须遵守评标纪律、不得泄密；</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37.</w:t>
      </w:r>
      <w:r>
        <w:rPr>
          <w:rFonts w:hint="eastAsia" w:ascii="宋体" w:hAnsi="宋体"/>
          <w:color w:val="auto"/>
          <w:szCs w:val="21"/>
          <w:highlight w:val="none"/>
          <w:lang w:val="en-US" w:eastAsia="zh-CN"/>
        </w:rPr>
        <w:t>3</w:t>
      </w:r>
      <w:r>
        <w:rPr>
          <w:rFonts w:ascii="宋体" w:hAnsi="宋体"/>
          <w:color w:val="auto"/>
          <w:szCs w:val="21"/>
          <w:highlight w:val="none"/>
        </w:rPr>
        <w:t xml:space="preserve">.4.2 </w:t>
      </w:r>
      <w:r>
        <w:rPr>
          <w:rFonts w:hint="eastAsia" w:ascii="宋体" w:hAnsi="宋体"/>
          <w:color w:val="auto"/>
          <w:szCs w:val="21"/>
          <w:highlight w:val="none"/>
        </w:rPr>
        <w:t>必须公正、不得循私；</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37.</w:t>
      </w:r>
      <w:r>
        <w:rPr>
          <w:rFonts w:hint="eastAsia" w:ascii="宋体" w:hAnsi="宋体"/>
          <w:color w:val="auto"/>
          <w:szCs w:val="21"/>
          <w:highlight w:val="none"/>
          <w:lang w:val="en-US" w:eastAsia="zh-CN"/>
        </w:rPr>
        <w:t>3</w:t>
      </w:r>
      <w:r>
        <w:rPr>
          <w:rFonts w:ascii="宋体" w:hAnsi="宋体"/>
          <w:color w:val="auto"/>
          <w:szCs w:val="21"/>
          <w:highlight w:val="none"/>
        </w:rPr>
        <w:t xml:space="preserve">.4.3 </w:t>
      </w:r>
      <w:r>
        <w:rPr>
          <w:rFonts w:hint="eastAsia" w:ascii="宋体" w:hAnsi="宋体"/>
          <w:color w:val="auto"/>
          <w:szCs w:val="21"/>
          <w:highlight w:val="none"/>
        </w:rPr>
        <w:t>必须科学、不得草率；</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37.</w:t>
      </w:r>
      <w:r>
        <w:rPr>
          <w:rFonts w:hint="eastAsia" w:ascii="宋体" w:hAnsi="宋体"/>
          <w:color w:val="auto"/>
          <w:szCs w:val="21"/>
          <w:highlight w:val="none"/>
          <w:lang w:val="en-US" w:eastAsia="zh-CN"/>
        </w:rPr>
        <w:t>3</w:t>
      </w:r>
      <w:r>
        <w:rPr>
          <w:rFonts w:ascii="宋体" w:hAnsi="宋体"/>
          <w:color w:val="auto"/>
          <w:szCs w:val="21"/>
          <w:highlight w:val="none"/>
        </w:rPr>
        <w:t xml:space="preserve">.4.4 </w:t>
      </w:r>
      <w:r>
        <w:rPr>
          <w:rFonts w:hint="eastAsia" w:ascii="宋体" w:hAnsi="宋体"/>
          <w:color w:val="auto"/>
          <w:szCs w:val="21"/>
          <w:highlight w:val="none"/>
        </w:rPr>
        <w:t>必须客观、不得带有成见；</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37.</w:t>
      </w:r>
      <w:r>
        <w:rPr>
          <w:rFonts w:hint="eastAsia" w:ascii="宋体" w:hAnsi="宋体"/>
          <w:color w:val="auto"/>
          <w:szCs w:val="21"/>
          <w:highlight w:val="none"/>
          <w:lang w:val="en-US" w:eastAsia="zh-CN"/>
        </w:rPr>
        <w:t>3</w:t>
      </w:r>
      <w:r>
        <w:rPr>
          <w:rFonts w:ascii="宋体" w:hAnsi="宋体"/>
          <w:color w:val="auto"/>
          <w:szCs w:val="21"/>
          <w:highlight w:val="none"/>
        </w:rPr>
        <w:t xml:space="preserve">.4.5 </w:t>
      </w:r>
      <w:r>
        <w:rPr>
          <w:rFonts w:hint="eastAsia" w:ascii="宋体" w:hAnsi="宋体"/>
          <w:color w:val="auto"/>
          <w:szCs w:val="21"/>
          <w:highlight w:val="none"/>
        </w:rPr>
        <w:t>必须平等、不得强加于人；</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37.</w:t>
      </w:r>
      <w:r>
        <w:rPr>
          <w:rFonts w:hint="eastAsia" w:ascii="宋体" w:hAnsi="宋体"/>
          <w:color w:val="auto"/>
          <w:szCs w:val="21"/>
          <w:highlight w:val="none"/>
          <w:lang w:val="en-US" w:eastAsia="zh-CN"/>
        </w:rPr>
        <w:t>3</w:t>
      </w:r>
      <w:r>
        <w:rPr>
          <w:rFonts w:ascii="宋体" w:hAnsi="宋体"/>
          <w:color w:val="auto"/>
          <w:szCs w:val="21"/>
          <w:highlight w:val="none"/>
        </w:rPr>
        <w:t xml:space="preserve">.4.6 </w:t>
      </w:r>
      <w:r>
        <w:rPr>
          <w:rFonts w:hint="eastAsia" w:ascii="宋体" w:hAnsi="宋体"/>
          <w:color w:val="auto"/>
          <w:szCs w:val="21"/>
          <w:highlight w:val="none"/>
        </w:rPr>
        <w:t>必须严谨、不得随意马虎。</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37.5 评标结束后，评标委员会递交评标报告并依法推荐中标候选人。</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38</w:t>
      </w:r>
      <w:r>
        <w:rPr>
          <w:rFonts w:hint="eastAsia" w:ascii="宋体" w:hAnsi="宋体"/>
          <w:color w:val="auto"/>
          <w:szCs w:val="21"/>
          <w:highlight w:val="none"/>
        </w:rPr>
        <w:t>．投标文件的澄清</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38.2 </w:t>
      </w:r>
      <w:r>
        <w:rPr>
          <w:rFonts w:hint="eastAsia" w:ascii="宋体" w:hAnsi="宋体"/>
          <w:color w:val="auto"/>
          <w:szCs w:val="21"/>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38.3 </w:t>
      </w:r>
      <w:r>
        <w:rPr>
          <w:rFonts w:hint="eastAsia" w:ascii="宋体" w:hAnsi="宋体"/>
          <w:color w:val="auto"/>
          <w:szCs w:val="21"/>
          <w:highlight w:val="none"/>
        </w:rPr>
        <w:t>评标委员会或评标委员会专业评审组成员均应当阅读投标人的澄清，但应独立参考澄清对投标文件进行评审。</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38.4</w:t>
      </w:r>
      <w:r>
        <w:rPr>
          <w:rFonts w:hint="eastAsia" w:ascii="宋体" w:hAnsi="宋体"/>
          <w:color w:val="auto"/>
          <w:szCs w:val="21"/>
          <w:highlight w:val="none"/>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39</w:t>
      </w:r>
      <w:r>
        <w:rPr>
          <w:rFonts w:hint="eastAsia" w:ascii="宋体" w:hAnsi="宋体"/>
          <w:color w:val="auto"/>
          <w:szCs w:val="21"/>
          <w:highlight w:val="none"/>
        </w:rPr>
        <w:t>．定标</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39.1 </w:t>
      </w:r>
      <w:r>
        <w:rPr>
          <w:rFonts w:hint="eastAsia" w:ascii="宋体" w:hAnsi="宋体"/>
          <w:color w:val="auto"/>
          <w:szCs w:val="21"/>
          <w:highlight w:val="none"/>
        </w:rPr>
        <w:t>招标人根据评标委员会递交的评标报告，最终审定中标人。</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39.2 </w:t>
      </w:r>
      <w:r>
        <w:rPr>
          <w:rFonts w:hint="eastAsia" w:ascii="宋体" w:hAnsi="宋体"/>
          <w:color w:val="auto"/>
          <w:szCs w:val="21"/>
          <w:highlight w:val="none"/>
        </w:rPr>
        <w:t>依法必须进行公开招标的项目，招标人应当确定排名第一的中标候选人为中标人。</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39.3</w:t>
      </w:r>
      <w:r>
        <w:rPr>
          <w:rFonts w:hint="eastAsia" w:ascii="宋体" w:hAnsi="宋体"/>
          <w:color w:val="auto"/>
          <w:szCs w:val="21"/>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39.4</w:t>
      </w:r>
      <w:r>
        <w:rPr>
          <w:rFonts w:hint="eastAsia" w:ascii="宋体" w:hAnsi="宋体"/>
          <w:color w:val="auto"/>
          <w:szCs w:val="21"/>
          <w:highlight w:val="none"/>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39.5 重新评标的，评标信息（含业绩、奖项等）仍以投标截止时投标人的信息为准。因特殊原因需要延长投标有效期，投标人拒绝延长投标有效期的，仍参与评标，但不被推荐为中标候选人。</w:t>
      </w:r>
    </w:p>
    <w:bookmarkEnd w:id="35"/>
    <w:bookmarkEnd w:id="36"/>
    <w:p>
      <w:pPr>
        <w:pStyle w:val="5"/>
        <w:spacing w:before="156" w:after="156"/>
        <w:ind w:firstLine="420" w:firstLineChars="200"/>
        <w:rPr>
          <w:color w:val="auto"/>
          <w:sz w:val="21"/>
          <w:szCs w:val="21"/>
          <w:highlight w:val="none"/>
        </w:rPr>
      </w:pPr>
      <w:bookmarkStart w:id="37" w:name="_Toc18118"/>
      <w:r>
        <w:rPr>
          <w:rFonts w:hint="eastAsia"/>
          <w:color w:val="auto"/>
          <w:sz w:val="21"/>
          <w:szCs w:val="21"/>
          <w:highlight w:val="none"/>
        </w:rPr>
        <w:t>（二）开标评标办法程序和细则</w:t>
      </w:r>
      <w:bookmarkEnd w:id="37"/>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注：以下八种评标办法所述企业综合诚信评价分数即投标截止当日广州市工程招标代理行业协会网站上公布的企业综合诚信评价</w:t>
      </w:r>
      <w:r>
        <w:rPr>
          <w:rFonts w:ascii="宋体" w:hAnsi="宋体"/>
          <w:color w:val="auto"/>
          <w:szCs w:val="21"/>
          <w:highlight w:val="none"/>
        </w:rPr>
        <w:t>60</w:t>
      </w:r>
      <w:r>
        <w:rPr>
          <w:rFonts w:hint="eastAsia" w:ascii="宋体" w:hAnsi="宋体"/>
          <w:color w:val="auto"/>
          <w:szCs w:val="21"/>
          <w:highlight w:val="none"/>
        </w:rPr>
        <w:t>日诚信分。</w:t>
      </w:r>
    </w:p>
    <w:p>
      <w:pPr>
        <w:ind w:firstLine="186"/>
        <w:jc w:val="center"/>
        <w:rPr>
          <w:rFonts w:ascii="宋体" w:hAnsi="宋体" w:cs="宋体"/>
          <w:color w:val="auto"/>
          <w:szCs w:val="21"/>
          <w:highlight w:val="none"/>
        </w:rPr>
      </w:pPr>
    </w:p>
    <w:bookmarkEnd w:id="31"/>
    <w:p>
      <w:pPr>
        <w:pStyle w:val="5"/>
        <w:spacing w:before="156" w:after="156"/>
        <w:ind w:firstLine="422" w:firstLineChars="200"/>
        <w:rPr>
          <w:color w:val="auto"/>
          <w:sz w:val="21"/>
          <w:szCs w:val="21"/>
          <w:highlight w:val="none"/>
        </w:rPr>
      </w:pPr>
      <w:bookmarkStart w:id="38" w:name="_Toc24831"/>
      <w:bookmarkStart w:id="39" w:name="_Toc21525509"/>
      <w:r>
        <w:rPr>
          <w:rFonts w:hint="eastAsia"/>
          <w:b/>
          <w:bCs/>
          <w:color w:val="auto"/>
          <w:sz w:val="21"/>
          <w:szCs w:val="21"/>
          <w:highlight w:val="none"/>
        </w:rPr>
        <w:t>可选办法</w:t>
      </w:r>
      <w:r>
        <w:rPr>
          <w:rFonts w:hint="eastAsia"/>
          <w:b/>
          <w:bCs/>
          <w:color w:val="auto"/>
          <w:sz w:val="21"/>
          <w:szCs w:val="21"/>
          <w:highlight w:val="none"/>
          <w:lang w:val="en-US" w:eastAsia="zh-CN"/>
        </w:rPr>
        <w:t>六</w:t>
      </w:r>
      <w:r>
        <w:rPr>
          <w:rFonts w:hint="eastAsia"/>
          <w:b/>
          <w:bCs/>
          <w:color w:val="auto"/>
          <w:sz w:val="21"/>
          <w:szCs w:val="21"/>
          <w:highlight w:val="none"/>
        </w:rPr>
        <w:t>（适合综合评分法</w:t>
      </w:r>
      <w:r>
        <w:rPr>
          <w:rFonts w:hint="eastAsia"/>
          <w:b/>
          <w:bCs/>
          <w:color w:val="auto"/>
          <w:sz w:val="21"/>
          <w:szCs w:val="21"/>
          <w:highlight w:val="none"/>
          <w:lang w:val="en-US" w:eastAsia="zh-CN"/>
        </w:rPr>
        <w:t>三</w:t>
      </w:r>
      <w:r>
        <w:rPr>
          <w:rFonts w:hint="eastAsia"/>
          <w:b/>
          <w:bCs/>
          <w:color w:val="auto"/>
          <w:sz w:val="21"/>
          <w:szCs w:val="21"/>
          <w:highlight w:val="none"/>
        </w:rPr>
        <w:t>，技术标与经济标同时开启）</w:t>
      </w:r>
      <w:bookmarkEnd w:id="38"/>
      <w:bookmarkEnd w:id="39"/>
    </w:p>
    <w:p>
      <w:pPr>
        <w:pStyle w:val="37"/>
        <w:snapToGrid w:val="0"/>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40．开标和评标程序：</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40.1投标人递交技术标、经济标投标文件；</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40.2技术标与经济标投标文件同时公开开标；</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40.3由评标委员会对所有已公开开标的投标人进行资格审查；</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40.4技术标投标文件有效性审查；</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40.5技术标详细审查评分；</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40.6计算第一阶段得分，并按照总分从高到低排列先后次序，编写第一阶段评审报告； </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40.7按投标须知前附表第25项规定，确定进入第二阶段评审的投标人；</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40.8将进入第二阶段评审的投标人进行排序；</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40.9按排序对经济标投标文件进行有效性审查（含投标报价算术校核），直至评出所有中标候选人；</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40.10评标委员会编写评标报告，向招标人推荐中标候选人名单。</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 开标细则</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41.1开标由招标人主持；</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41.2细则</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41.2.1投标截止期前，各投标人递交投标文件（包括技术标投标文件、经济标投标文件）至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交易平台。有关投标文件提交的事项详见第一章投标须知。</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41.2.2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41.3按36.5.1的规定完成解密后，公布下列内容，并予以记录，记录提交评标委员会评审： </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41.3.1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41.4招标人对开标过程进行记录，并存档备查，投标人在开标记录上签字。</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41.5 招标人将上述符合要求的投标文件，送至评标委员会进行评审。</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 评标细则</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42.1评标委员会的组成：方式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方式一：评标委员会为综合评标委员会，负责评标工作。</w:t>
      </w:r>
    </w:p>
    <w:p>
      <w:pPr>
        <w:widowControl/>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方式二：评标委员会由技术评审组和经济评审组组成。其中：资格审查、技术评审由技术评标组负责，经济评审由经济评审组负责。</w:t>
      </w:r>
      <w:r>
        <w:rPr>
          <w:rFonts w:hint="eastAsia" w:ascii="宋体" w:hAnsi="宋体" w:cs="宋体"/>
          <w:color w:val="auto"/>
          <w:kern w:val="0"/>
          <w:szCs w:val="21"/>
          <w:highlight w:val="none"/>
        </w:rPr>
        <w:t xml:space="preserve"> </w:t>
      </w:r>
    </w:p>
    <w:p>
      <w:pPr>
        <w:pStyle w:val="37"/>
        <w:tabs>
          <w:tab w:val="left" w:pos="7380"/>
        </w:tabs>
        <w:snapToGrid w:val="0"/>
        <w:spacing w:after="0"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42.2投标人资格审查</w:t>
      </w:r>
    </w:p>
    <w:p>
      <w:pPr>
        <w:pStyle w:val="37"/>
        <w:tabs>
          <w:tab w:val="left" w:pos="7380"/>
        </w:tabs>
        <w:snapToGrid w:val="0"/>
        <w:spacing w:after="0"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37"/>
        <w:tabs>
          <w:tab w:val="left" w:pos="7380"/>
        </w:tabs>
        <w:snapToGrid w:val="0"/>
        <w:spacing w:after="0"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42.2.2汇总资格审查情况，编写资格审查报告。</w:t>
      </w:r>
    </w:p>
    <w:p>
      <w:pPr>
        <w:pStyle w:val="37"/>
        <w:tabs>
          <w:tab w:val="left" w:pos="7380"/>
        </w:tabs>
        <w:snapToGrid w:val="0"/>
        <w:spacing w:after="0"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42.2.3资格审查不合格的投标文件不参加下一阶段的评标，不参与评标参考价的计算。</w:t>
      </w:r>
    </w:p>
    <w:p>
      <w:pPr>
        <w:pStyle w:val="37"/>
        <w:tabs>
          <w:tab w:val="left" w:pos="7380"/>
        </w:tabs>
        <w:snapToGrid w:val="0"/>
        <w:spacing w:after="0"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37"/>
        <w:tabs>
          <w:tab w:val="left" w:pos="7380"/>
        </w:tabs>
        <w:snapToGrid w:val="0"/>
        <w:spacing w:after="0"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42.2.5资审合格后，投标人的资格发生变化而不满足投标人合格条件，在发出中标通知书前，资格问题仍未解决的，招标人将取消其中标资格。</w:t>
      </w:r>
    </w:p>
    <w:p>
      <w:pPr>
        <w:widowControl/>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42.2.6资格审查合格的投标人少于3名的（当N个标段同时招标且不允许兼中时，资格审查合格的投标人少于N+2名），则本项目招标失败。</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42.3 第一阶段评审</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42.3.1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42.3.2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详细审查评分：评标委员会按照本办法附表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详细审查评分表》对通过技术标有效性审查的投标文件进行详细审查，评出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得分。</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42.3.4评标委员会按照“第一阶段得分=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42.3.5招标人应在《投标须知前附表》中明确选择使用施工企业总排名或相应的施工专业承包排名计分。</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42.4 第二阶段评审</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42.4.1按照投标须知前附表第25项规定，确定进入第二阶段评审的投标人。若在进入第二阶段的最后名次发生并列的，则所有并列的投标人均进入第二阶段。</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42.4.2若进入第二阶段投标人中所有投标报价均大于等于最高投标限价*D%（D的取值范围为[94,100],由招标人自主确定）的（具体金额为：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元），则本项目招标失败，由招标人依法重新招标。</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42.4.3投标文件经济标的评分</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42.4.3.1按方法</w:t>
      </w:r>
      <w:r>
        <w:rPr>
          <w:rFonts w:hint="eastAsia" w:ascii="宋体" w:hAnsi="宋体" w:cs="宋体"/>
          <w:color w:val="auto"/>
          <w:szCs w:val="21"/>
          <w:highlight w:val="none"/>
          <w:u w:val="single"/>
        </w:rPr>
        <w:t xml:space="preserve">  </w:t>
      </w:r>
      <w:r>
        <w:rPr>
          <w:rFonts w:hint="eastAsia" w:ascii="宋体" w:hAnsi="宋体" w:cs="宋体"/>
          <w:b/>
          <w:bCs/>
          <w:color w:val="auto"/>
          <w:kern w:val="0"/>
          <w:szCs w:val="21"/>
          <w:highlight w:val="none"/>
          <w:u w:val="single"/>
        </w:rPr>
        <w:t>区间抽取法</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计算评标参考价：</w:t>
      </w:r>
    </w:p>
    <w:p>
      <w:pPr>
        <w:widowControl/>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20" w:firstLineChars="200"/>
        <w:rPr>
          <w:rFonts w:hint="eastAsia" w:ascii="宋体" w:hAnsi="宋体" w:cs="宋体"/>
          <w:color w:val="auto"/>
          <w:kern w:val="0"/>
          <w:szCs w:val="21"/>
          <w:highlight w:val="none"/>
          <w:vertAlign w:val="subscript"/>
        </w:rPr>
      </w:pPr>
      <w:r>
        <w:rPr>
          <w:rFonts w:hint="eastAsia" w:ascii="宋体" w:hAnsi="宋体" w:cs="宋体"/>
          <w:color w:val="auto"/>
          <w:kern w:val="0"/>
          <w:szCs w:val="21"/>
          <w:highlight w:val="none"/>
        </w:rPr>
        <w:t>评标参考价=（Q</w:t>
      </w:r>
      <w:r>
        <w:rPr>
          <w:rFonts w:hint="eastAsia" w:ascii="宋体" w:hAnsi="宋体" w:cs="宋体"/>
          <w:color w:val="auto"/>
          <w:kern w:val="0"/>
          <w:szCs w:val="21"/>
          <w:highlight w:val="none"/>
          <w:vertAlign w:val="subscript"/>
        </w:rPr>
        <w:t>高</w:t>
      </w: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低</w:t>
      </w:r>
      <w:r>
        <w:rPr>
          <w:rFonts w:hint="eastAsia" w:ascii="宋体" w:hAnsi="宋体" w:cs="宋体"/>
          <w:color w:val="auto"/>
          <w:kern w:val="0"/>
          <w:szCs w:val="21"/>
          <w:highlight w:val="none"/>
        </w:rPr>
        <w:t>）/100*Ｘ+Q</w:t>
      </w:r>
      <w:r>
        <w:rPr>
          <w:rFonts w:hint="eastAsia" w:ascii="宋体" w:hAnsi="宋体" w:cs="宋体"/>
          <w:color w:val="auto"/>
          <w:kern w:val="0"/>
          <w:szCs w:val="21"/>
          <w:highlight w:val="none"/>
          <w:vertAlign w:val="subscript"/>
        </w:rPr>
        <w:t>低</w:t>
      </w:r>
    </w:p>
    <w:p>
      <w:pPr>
        <w:widowControl/>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Q</w:t>
      </w:r>
      <w:r>
        <w:rPr>
          <w:rFonts w:hint="eastAsia" w:ascii="宋体" w:hAnsi="宋体" w:cs="宋体"/>
          <w:color w:val="auto"/>
          <w:szCs w:val="21"/>
          <w:highlight w:val="none"/>
          <w:vertAlign w:val="subscript"/>
        </w:rPr>
        <w:t>低</w:t>
      </w:r>
      <w:r>
        <w:rPr>
          <w:rFonts w:hint="eastAsia" w:ascii="宋体" w:hAnsi="宋体" w:cs="宋体"/>
          <w:color w:val="auto"/>
          <w:szCs w:val="21"/>
          <w:highlight w:val="none"/>
        </w:rPr>
        <w:t>：为达到或超过技术标及格分数线的投标人最低报价与工程成本警示价两者中的较高值；</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高</w:t>
      </w:r>
      <w:r>
        <w:rPr>
          <w:rFonts w:hint="eastAsia" w:ascii="宋体" w:hAnsi="宋体" w:cs="宋体"/>
          <w:color w:val="auto"/>
          <w:szCs w:val="21"/>
          <w:highlight w:val="none"/>
        </w:rPr>
        <w:t>：为（最高投标限价*D%）（D的取值范围为[94,100],由招标人自定）</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X:为等分点值，在开标前从[0,100]整数中随机抽取</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42.4.3.2</w:t>
      </w:r>
      <w:r>
        <w:rPr>
          <w:rFonts w:hint="eastAsia" w:ascii="宋体" w:hAnsi="宋体" w:cs="宋体"/>
          <w:color w:val="auto"/>
          <w:szCs w:val="21"/>
          <w:highlight w:val="none"/>
        </w:rPr>
        <w:t>当标价等于评标参考价时得100分，标价每高于评标参考价1%，扣1.5分，每低于评标参考价1%，扣1分，扣至0分为止，得出经济分，精确到小数点后两位。</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42.4.3.3评标委员会按投标须知前附表第32项的规定确定排序。</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42.4.5经济标的算术校核。评标委员会对进行经济标有效性审查的投标文件投标报价按照就低不就高的原则进行算术校核，具体标准如下：</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42.4.5.1如果数字表示的金额和用文字表示的金额不一致时，应以文字表示的金额为准；</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42.4.5.2经算术复核的投标人报价与其投标报价不一致时，按就低不就高原则确定其最终报价；</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42.4.5.4当合价、金额累加错误时，按就低不就高原则，如果累加修正值小于原累加值，则按累加修正值；如果累加修正值大于原累加值，则按原累加值；</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42.4.5.5如果投标人的有关规费、暂列金额、暂估价、绿色施工安全防护措施费等未按招标文件规定的金额填写的，由评标委员会按照招标文件规定的金额进行修正；</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42.4.5.6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42.4.5.7按就低不就高原则，当修正后报价小于原报价，总价按修正后报价；当修正后报价大于原报价，总价按原报价，并在签订合同时载明在结算价中扣除修正报价与原报价的差额。</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42.4.5.8按上述修正错误的原则及方法调整或修正投标文件的投标报价，调整后的投标报价对投标人起约束作用。如果投标人不接受修正后的报价，则取消其投标资格，并且其投标保证金也将不予退还。</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42.6评标委员会应在通过投标文件经济标有效性审查的投标人中，按步骤42.4确定的投标人第二阶段排序，推荐前3名依次为第一中标候选人至第三中标候选人,并编制评标报告。</w:t>
      </w:r>
    </w:p>
    <w:p>
      <w:pPr>
        <w:spacing w:line="360" w:lineRule="auto"/>
        <w:ind w:firstLine="420" w:firstLineChars="200"/>
        <w:rPr>
          <w:rFonts w:hint="eastAsia" w:ascii="宋体" w:hAnsi="宋体"/>
          <w:color w:val="auto"/>
          <w:szCs w:val="21"/>
          <w:highlight w:val="none"/>
        </w:rPr>
        <w:sectPr>
          <w:footerReference r:id="rId9" w:type="first"/>
          <w:footerReference r:id="rId8" w:type="default"/>
          <w:endnotePr>
            <w:numFmt w:val="decimal"/>
          </w:endnotePr>
          <w:pgSz w:w="11906" w:h="16838"/>
          <w:pgMar w:top="1417" w:right="1416" w:bottom="1417" w:left="1417" w:header="851" w:footer="567" w:gutter="0"/>
          <w:pgNumType w:start="1"/>
          <w:cols w:space="720" w:num="1"/>
          <w:titlePg/>
          <w:docGrid w:type="lines" w:linePitch="317" w:charSpace="0"/>
        </w:sectPr>
      </w:pPr>
      <w:r>
        <w:rPr>
          <w:rFonts w:hint="eastAsia" w:ascii="宋体" w:hAnsi="宋体" w:cs="宋体"/>
          <w:color w:val="auto"/>
          <w:szCs w:val="21"/>
          <w:highlight w:val="none"/>
        </w:rPr>
        <w:t>42.7若通过经济标有效性审查的投标人不足三家，应当依法重新招标。（当N个标段同时招标且不允许兼中时，若有效投标人不足N+2家，应当依法重新招标）</w:t>
      </w:r>
    </w:p>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附件1：</w:t>
      </w:r>
    </w:p>
    <w:p>
      <w:pPr>
        <w:spacing w:line="360" w:lineRule="auto"/>
        <w:ind w:firstLine="643" w:firstLineChars="200"/>
        <w:jc w:val="center"/>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z w:val="32"/>
          <w:szCs w:val="32"/>
          <w:highlight w:val="none"/>
        </w:rPr>
        <w:t>评标委员会成员声明</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val="en-US" w:eastAsia="zh-CN"/>
        </w:rPr>
        <w:t>广州港股份有限公司</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本人就参与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项目的评标工作，作出郑重声明：</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如果本人违反上述声明内容，造成的后果由本人自行承担。</w:t>
      </w:r>
    </w:p>
    <w:p>
      <w:pPr>
        <w:spacing w:line="360" w:lineRule="auto"/>
        <w:ind w:firstLine="480" w:firstLineChars="200"/>
        <w:rPr>
          <w:rFonts w:hint="eastAsia" w:ascii="宋体" w:hAnsi="宋体" w:eastAsia="宋体" w:cs="宋体"/>
          <w:color w:val="auto"/>
          <w:sz w:val="24"/>
          <w:szCs w:val="24"/>
          <w:highlight w:val="none"/>
        </w:rPr>
      </w:pPr>
    </w:p>
    <w:p>
      <w:pPr>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声明人：</w:t>
      </w:r>
      <w:r>
        <w:rPr>
          <w:rFonts w:hint="eastAsia" w:ascii="宋体" w:hAnsi="宋体" w:eastAsia="宋体" w:cs="宋体"/>
          <w:color w:val="auto"/>
          <w:sz w:val="24"/>
          <w:szCs w:val="24"/>
          <w:highlight w:val="none"/>
          <w:u w:val="single"/>
        </w:rPr>
        <w:t xml:space="preserve">（签名）  </w:t>
      </w:r>
      <w:r>
        <w:rPr>
          <w:rFonts w:hint="eastAsia" w:ascii="宋体" w:hAnsi="宋体" w:eastAsia="宋体" w:cs="宋体"/>
          <w:color w:val="auto"/>
          <w:sz w:val="24"/>
          <w:szCs w:val="24"/>
          <w:highlight w:val="none"/>
          <w:lang w:val="en-US" w:eastAsia="zh-CN"/>
        </w:rPr>
        <w:t xml:space="preserve">  </w:t>
      </w:r>
    </w:p>
    <w:p>
      <w:pPr>
        <w:snapToGrid w:val="0"/>
        <w:spacing w:line="360" w:lineRule="auto"/>
        <w:ind w:firstLine="4080" w:firstLineChars="1700"/>
        <w:rPr>
          <w:color w:val="auto"/>
          <w:highlight w:val="none"/>
        </w:rPr>
      </w:pPr>
      <w:r>
        <w:rPr>
          <w:rFonts w:hint="eastAsia" w:cs="宋体"/>
          <w:color w:val="auto"/>
          <w:sz w:val="24"/>
          <w:szCs w:val="24"/>
          <w:highlight w:val="none"/>
          <w:lang w:eastAsia="zh-CN"/>
        </w:rPr>
        <w:t>日  期：</w:t>
      </w:r>
      <w:r>
        <w:rPr>
          <w:rFonts w:hint="eastAsia" w:cs="宋体"/>
          <w:color w:val="auto"/>
          <w:sz w:val="24"/>
          <w:szCs w:val="24"/>
          <w:highlight w:val="none"/>
          <w:u w:val="single"/>
          <w:lang w:eastAsia="zh-CN"/>
        </w:rPr>
        <w:t xml:space="preserve">   </w:t>
      </w:r>
      <w:r>
        <w:rPr>
          <w:rFonts w:hint="eastAsia" w:cs="宋体"/>
          <w:color w:val="auto"/>
          <w:sz w:val="24"/>
          <w:szCs w:val="24"/>
          <w:highlight w:val="none"/>
          <w:lang w:eastAsia="zh-CN"/>
        </w:rPr>
        <w:t>年</w:t>
      </w:r>
      <w:r>
        <w:rPr>
          <w:rFonts w:hint="eastAsia" w:cs="宋体"/>
          <w:color w:val="auto"/>
          <w:sz w:val="24"/>
          <w:szCs w:val="24"/>
          <w:highlight w:val="none"/>
          <w:u w:val="single"/>
          <w:lang w:eastAsia="zh-CN"/>
        </w:rPr>
        <w:t xml:space="preserve">   </w:t>
      </w:r>
      <w:r>
        <w:rPr>
          <w:rFonts w:hint="eastAsia" w:cs="宋体"/>
          <w:color w:val="auto"/>
          <w:sz w:val="24"/>
          <w:szCs w:val="24"/>
          <w:highlight w:val="none"/>
          <w:lang w:eastAsia="zh-CN"/>
        </w:rPr>
        <w:t>月</w:t>
      </w:r>
      <w:r>
        <w:rPr>
          <w:rFonts w:hint="eastAsia" w:cs="宋体"/>
          <w:color w:val="auto"/>
          <w:sz w:val="24"/>
          <w:szCs w:val="24"/>
          <w:highlight w:val="none"/>
          <w:u w:val="single"/>
          <w:lang w:eastAsia="zh-CN"/>
        </w:rPr>
        <w:t xml:space="preserve">   </w:t>
      </w:r>
      <w:r>
        <w:rPr>
          <w:rFonts w:hint="eastAsia" w:cs="宋体"/>
          <w:color w:val="auto"/>
          <w:sz w:val="24"/>
          <w:szCs w:val="24"/>
          <w:highlight w:val="none"/>
          <w:lang w:eastAsia="zh-CN"/>
        </w:rPr>
        <w:t>日</w:t>
      </w:r>
    </w:p>
    <w:p>
      <w:pPr>
        <w:spacing w:line="240" w:lineRule="exact"/>
        <w:rPr>
          <w:rFonts w:hint="eastAsia" w:ascii="宋体" w:hAnsi="宋体" w:cs="宋体"/>
          <w:color w:val="auto"/>
          <w:szCs w:val="21"/>
          <w:highlight w:val="none"/>
        </w:rPr>
        <w:sectPr>
          <w:endnotePr>
            <w:numFmt w:val="decimal"/>
          </w:endnotePr>
          <w:pgSz w:w="11906" w:h="16838"/>
          <w:pgMar w:top="1417" w:right="1416" w:bottom="1417" w:left="1417" w:header="851" w:footer="567" w:gutter="0"/>
          <w:cols w:space="720" w:num="1"/>
          <w:titlePg/>
          <w:docGrid w:type="lines" w:linePitch="317" w:charSpace="0"/>
        </w:sectPr>
      </w:pPr>
    </w:p>
    <w:p>
      <w:pPr>
        <w:spacing w:line="240" w:lineRule="exact"/>
        <w:rPr>
          <w:rFonts w:ascii="宋体" w:hAnsi="宋体" w:cs="宋体"/>
          <w:color w:val="auto"/>
          <w:szCs w:val="21"/>
          <w:highlight w:val="none"/>
        </w:rPr>
      </w:pPr>
      <w:r>
        <w:rPr>
          <w:rFonts w:hint="eastAsia" w:ascii="宋体" w:hAnsi="宋体" w:cs="宋体"/>
          <w:color w:val="auto"/>
          <w:szCs w:val="21"/>
          <w:highlight w:val="none"/>
        </w:rPr>
        <w:t>附表一：</w:t>
      </w:r>
    </w:p>
    <w:p>
      <w:pPr>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资格审查表</w:t>
      </w:r>
    </w:p>
    <w:p>
      <w:pPr>
        <w:spacing w:line="280" w:lineRule="exact"/>
        <w:rPr>
          <w:rFonts w:ascii="宋体" w:hAnsi="宋体" w:cs="宋体"/>
          <w:color w:val="auto"/>
          <w:szCs w:val="21"/>
          <w:highlight w:val="none"/>
        </w:rPr>
      </w:pPr>
      <w:r>
        <w:rPr>
          <w:rFonts w:hint="eastAsia" w:ascii="宋体" w:hAnsi="宋体" w:cs="宋体"/>
          <w:color w:val="auto"/>
          <w:szCs w:val="21"/>
          <w:highlight w:val="none"/>
        </w:rPr>
        <w:t>工程名称：</w:t>
      </w:r>
    </w:p>
    <w:p>
      <w:pPr>
        <w:spacing w:line="280" w:lineRule="exact"/>
        <w:rPr>
          <w:rFonts w:ascii="宋体" w:hAnsi="宋体" w:cs="宋体"/>
          <w:color w:val="auto"/>
          <w:szCs w:val="21"/>
          <w:highlight w:val="none"/>
        </w:rPr>
      </w:pPr>
      <w:r>
        <w:rPr>
          <w:rFonts w:hint="eastAsia" w:ascii="宋体" w:hAnsi="宋体" w:cs="宋体"/>
          <w:color w:val="auto"/>
          <w:szCs w:val="21"/>
          <w:highlight w:val="none"/>
        </w:rPr>
        <w:t>投标人名称：</w:t>
      </w:r>
    </w:p>
    <w:tbl>
      <w:tblPr>
        <w:tblStyle w:val="39"/>
        <w:tblW w:w="1023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4775"/>
        <w:gridCol w:w="4338"/>
        <w:gridCol w:w="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59"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47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b/>
                <w:color w:val="auto"/>
                <w:szCs w:val="21"/>
                <w:highlight w:val="none"/>
              </w:rPr>
            </w:pPr>
            <w:r>
              <w:rPr>
                <w:rFonts w:hint="eastAsia" w:ascii="宋体" w:hAnsi="宋体" w:cs="宋体"/>
                <w:b/>
                <w:color w:val="auto"/>
                <w:szCs w:val="21"/>
                <w:highlight w:val="none"/>
              </w:rPr>
              <w:t>审查项目</w:t>
            </w:r>
          </w:p>
        </w:tc>
        <w:tc>
          <w:tcPr>
            <w:tcW w:w="433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b/>
                <w:color w:val="auto"/>
                <w:szCs w:val="21"/>
                <w:highlight w:val="none"/>
              </w:rPr>
            </w:pPr>
            <w:r>
              <w:rPr>
                <w:rFonts w:hint="eastAsia" w:ascii="宋体" w:hAnsi="宋体" w:cs="宋体"/>
                <w:b/>
                <w:color w:val="auto"/>
                <w:szCs w:val="21"/>
                <w:highlight w:val="none"/>
              </w:rPr>
              <w:t>须审查的资料</w:t>
            </w:r>
          </w:p>
        </w:tc>
        <w:tc>
          <w:tcPr>
            <w:tcW w:w="666"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b/>
                <w:color w:val="auto"/>
                <w:szCs w:val="21"/>
                <w:highlight w:val="none"/>
              </w:rPr>
            </w:pPr>
            <w:r>
              <w:rPr>
                <w:rFonts w:hint="eastAsia" w:ascii="宋体" w:hAnsi="宋体" w:cs="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459"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47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投标人参加投标的意思表达清楚，投标人代表被授权有效</w:t>
            </w:r>
          </w:p>
        </w:tc>
        <w:tc>
          <w:tcPr>
            <w:tcW w:w="433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olor w:val="auto"/>
                <w:szCs w:val="21"/>
                <w:highlight w:val="none"/>
              </w:rPr>
            </w:pPr>
            <w:r>
              <w:rPr>
                <w:rFonts w:hint="eastAsia" w:ascii="宋体" w:hAnsi="宋体"/>
                <w:color w:val="auto"/>
                <w:szCs w:val="21"/>
                <w:highlight w:val="none"/>
              </w:rPr>
              <w:t>投标人声明、法定代表人证明书；委托投标的还应提供法人授权委托证明书；</w:t>
            </w:r>
          </w:p>
        </w:tc>
        <w:tc>
          <w:tcPr>
            <w:tcW w:w="666"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59"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47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投标人均具有独立法人资格，按国家法律经营</w:t>
            </w:r>
          </w:p>
        </w:tc>
        <w:tc>
          <w:tcPr>
            <w:tcW w:w="433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olor w:val="auto"/>
                <w:szCs w:val="21"/>
                <w:highlight w:val="none"/>
              </w:rPr>
            </w:pPr>
            <w:r>
              <w:rPr>
                <w:rFonts w:hint="eastAsia" w:ascii="宋体" w:hAnsi="宋体" w:cs="宋体"/>
                <w:color w:val="auto"/>
                <w:szCs w:val="21"/>
                <w:highlight w:val="none"/>
                <w:u w:val="single"/>
              </w:rPr>
              <w:t>营业执照扫描件或电子证照</w:t>
            </w:r>
          </w:p>
        </w:tc>
        <w:tc>
          <w:tcPr>
            <w:tcW w:w="666"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47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投标人均持有建设行政主管部门颁发的企业资质证书及安全生产许可证；投标人资质符合公告要求</w:t>
            </w:r>
          </w:p>
        </w:tc>
        <w:tc>
          <w:tcPr>
            <w:tcW w:w="433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olor w:val="auto"/>
                <w:szCs w:val="21"/>
                <w:highlight w:val="none"/>
              </w:rPr>
            </w:pPr>
            <w:r>
              <w:rPr>
                <w:rFonts w:hint="eastAsia" w:ascii="宋体" w:hAnsi="宋体" w:cs="宋体"/>
                <w:color w:val="auto"/>
                <w:szCs w:val="21"/>
                <w:highlight w:val="none"/>
              </w:rPr>
              <w:t>资质证书扫描件或电子证照、安全生产许可证扫描件或电子证照</w:t>
            </w:r>
          </w:p>
        </w:tc>
        <w:tc>
          <w:tcPr>
            <w:tcW w:w="666"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459"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47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投标人拟担任本工程项目负责人符合公告要求</w:t>
            </w:r>
          </w:p>
        </w:tc>
        <w:tc>
          <w:tcPr>
            <w:tcW w:w="433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hint="eastAsia" w:ascii="宋体" w:hAnsi="宋体" w:cs="宋体"/>
                <w:color w:val="auto"/>
                <w:szCs w:val="21"/>
                <w:highlight w:val="none"/>
              </w:rPr>
            </w:pPr>
            <w:r>
              <w:rPr>
                <w:rFonts w:hint="eastAsia" w:ascii="宋体" w:hAnsi="宋体" w:cs="宋体"/>
                <w:color w:val="auto"/>
                <w:szCs w:val="21"/>
                <w:highlight w:val="none"/>
              </w:rPr>
              <w:t>有效期内的建造师注册证书扫描件</w:t>
            </w:r>
          </w:p>
          <w:p>
            <w:pPr>
              <w:spacing w:before="120" w:after="60" w:line="240" w:lineRule="exact"/>
              <w:jc w:val="center"/>
              <w:rPr>
                <w:rFonts w:ascii="宋体" w:hAnsi="宋体"/>
                <w:color w:val="auto"/>
                <w:szCs w:val="21"/>
                <w:highlight w:val="none"/>
              </w:rPr>
            </w:pPr>
            <w:r>
              <w:rPr>
                <w:rFonts w:hint="eastAsia" w:ascii="宋体" w:hAnsi="宋体" w:cs="宋体"/>
                <w:color w:val="auto"/>
                <w:szCs w:val="21"/>
                <w:highlight w:val="none"/>
              </w:rPr>
              <w:t>或电子证书</w:t>
            </w:r>
          </w:p>
        </w:tc>
        <w:tc>
          <w:tcPr>
            <w:tcW w:w="666"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459"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5</w:t>
            </w:r>
          </w:p>
        </w:tc>
        <w:tc>
          <w:tcPr>
            <w:tcW w:w="47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olor w:val="auto"/>
                <w:szCs w:val="21"/>
                <w:highlight w:val="none"/>
              </w:rPr>
              <w:t>持有项目负责人安全生产考核合格证（B类）或建筑施工企业项目负责人安全生产考核合格证</w:t>
            </w:r>
          </w:p>
        </w:tc>
        <w:tc>
          <w:tcPr>
            <w:tcW w:w="433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olor w:val="auto"/>
                <w:szCs w:val="21"/>
                <w:highlight w:val="none"/>
              </w:rPr>
            </w:pPr>
            <w:r>
              <w:rPr>
                <w:rFonts w:hint="eastAsia" w:ascii="宋体" w:hAnsi="宋体" w:cs="宋体"/>
                <w:color w:val="auto"/>
                <w:szCs w:val="21"/>
                <w:highlight w:val="none"/>
              </w:rPr>
              <w:t>项目负责人须具有在有效期内的安全生产考核合格证（B类）或建筑施工企业项目负责人安全生产考核合格证证书扫描件或电子证书</w:t>
            </w:r>
          </w:p>
        </w:tc>
        <w:tc>
          <w:tcPr>
            <w:tcW w:w="666"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6</w:t>
            </w:r>
          </w:p>
        </w:tc>
        <w:tc>
          <w:tcPr>
            <w:tcW w:w="47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olor w:val="auto"/>
                <w:szCs w:val="21"/>
                <w:highlight w:val="none"/>
              </w:rPr>
              <w:t>投标人拟担任本工程技术负责人符合公告要求</w:t>
            </w:r>
          </w:p>
        </w:tc>
        <w:tc>
          <w:tcPr>
            <w:tcW w:w="433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olor w:val="auto"/>
                <w:szCs w:val="21"/>
                <w:highlight w:val="none"/>
              </w:rPr>
            </w:pPr>
            <w:r>
              <w:rPr>
                <w:rFonts w:hint="eastAsia" w:ascii="宋体" w:hAnsi="宋体" w:cs="宋体"/>
                <w:color w:val="auto"/>
                <w:szCs w:val="21"/>
                <w:highlight w:val="none"/>
              </w:rPr>
              <w:t>拟委派技术负责人的职称证书扫描件或电子证书</w:t>
            </w:r>
          </w:p>
        </w:tc>
        <w:tc>
          <w:tcPr>
            <w:tcW w:w="666"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459"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7</w:t>
            </w:r>
          </w:p>
        </w:tc>
        <w:tc>
          <w:tcPr>
            <w:tcW w:w="47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s="宋体"/>
                <w:color w:val="auto"/>
                <w:szCs w:val="21"/>
                <w:highlight w:val="none"/>
              </w:rPr>
              <w:t>专职安全员须具有在有效期内的安全生产考核合格证（C类）或建筑施工企业专职安全生产管理人员安全生产考核合格证书</w:t>
            </w:r>
            <w:r>
              <w:rPr>
                <w:rFonts w:hint="eastAsia" w:ascii="宋体" w:hAnsi="宋体"/>
                <w:color w:val="auto"/>
                <w:szCs w:val="21"/>
                <w:highlight w:val="none"/>
              </w:rPr>
              <w:t>（C3）</w:t>
            </w:r>
            <w:r>
              <w:rPr>
                <w:rFonts w:hint="eastAsia" w:ascii="宋体" w:hAnsi="宋体" w:cs="宋体"/>
                <w:color w:val="auto"/>
                <w:szCs w:val="21"/>
                <w:highlight w:val="none"/>
              </w:rPr>
              <w:t>。</w:t>
            </w:r>
          </w:p>
        </w:tc>
        <w:tc>
          <w:tcPr>
            <w:tcW w:w="433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rPr>
              <w:t>专职安全员须具有在有效期内的安全生产考核合格证（C类）或建筑施工企业专职安全生产管理人员安全生产考核合格证（C3类）扫描件或电子证书</w:t>
            </w:r>
          </w:p>
        </w:tc>
        <w:tc>
          <w:tcPr>
            <w:tcW w:w="666"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459"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47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投标人完成过的类似工程业绩符合公告要求</w:t>
            </w:r>
          </w:p>
        </w:tc>
        <w:tc>
          <w:tcPr>
            <w:tcW w:w="433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hint="eastAsia" w:ascii="宋体" w:hAnsi="宋体"/>
                <w:color w:val="auto"/>
                <w:szCs w:val="21"/>
                <w:highlight w:val="none"/>
              </w:rPr>
            </w:pPr>
            <w:r>
              <w:rPr>
                <w:rFonts w:hint="eastAsia" w:ascii="宋体" w:hAnsi="宋体"/>
                <w:color w:val="auto"/>
                <w:szCs w:val="21"/>
                <w:highlight w:val="none"/>
              </w:rPr>
              <w:t>业绩在广州市住建行业信用管理平台内的相关上传件</w:t>
            </w:r>
          </w:p>
        </w:tc>
        <w:tc>
          <w:tcPr>
            <w:tcW w:w="666"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47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olor w:val="auto"/>
                <w:szCs w:val="21"/>
                <w:highlight w:val="none"/>
              </w:rPr>
              <w:t>投标人提供的投标人声明符合公告要求</w:t>
            </w:r>
          </w:p>
        </w:tc>
        <w:tc>
          <w:tcPr>
            <w:tcW w:w="433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olor w:val="auto"/>
                <w:szCs w:val="21"/>
                <w:highlight w:val="none"/>
              </w:rPr>
            </w:pPr>
            <w:r>
              <w:rPr>
                <w:rFonts w:hint="eastAsia" w:ascii="宋体" w:hAnsi="宋体"/>
                <w:color w:val="auto"/>
                <w:szCs w:val="21"/>
                <w:highlight w:val="none"/>
              </w:rPr>
              <w:t>投标人声明</w:t>
            </w:r>
          </w:p>
        </w:tc>
        <w:tc>
          <w:tcPr>
            <w:tcW w:w="666"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10</w:t>
            </w:r>
          </w:p>
        </w:tc>
        <w:tc>
          <w:tcPr>
            <w:tcW w:w="47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olor w:val="auto"/>
                <w:szCs w:val="21"/>
                <w:highlight w:val="none"/>
              </w:rPr>
              <w:t>投标人声明中签字的项目负责人和技术负责人与本项目拟派的项目负责人和技术负责人一致</w:t>
            </w:r>
          </w:p>
        </w:tc>
        <w:tc>
          <w:tcPr>
            <w:tcW w:w="433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olor w:val="auto"/>
                <w:szCs w:val="21"/>
                <w:highlight w:val="none"/>
              </w:rPr>
            </w:pPr>
            <w:r>
              <w:rPr>
                <w:rFonts w:hint="eastAsia" w:ascii="宋体" w:hAnsi="宋体"/>
                <w:color w:val="auto"/>
                <w:szCs w:val="21"/>
                <w:highlight w:val="none"/>
              </w:rPr>
              <w:t>网上投标时选择拟投标的项目负责人、资格审查文件中拟委派的技术负责人及投标人声明</w:t>
            </w:r>
          </w:p>
        </w:tc>
        <w:tc>
          <w:tcPr>
            <w:tcW w:w="666"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11</w:t>
            </w:r>
          </w:p>
        </w:tc>
        <w:tc>
          <w:tcPr>
            <w:tcW w:w="47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olor w:val="auto"/>
                <w:szCs w:val="21"/>
                <w:highlight w:val="none"/>
                <w:u w:val="single"/>
              </w:rPr>
              <w:t>本项目不接受联合体投标</w:t>
            </w:r>
          </w:p>
        </w:tc>
        <w:tc>
          <w:tcPr>
            <w:tcW w:w="433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olor w:val="auto"/>
                <w:szCs w:val="21"/>
                <w:highlight w:val="none"/>
              </w:rPr>
            </w:pPr>
            <w:r>
              <w:rPr>
                <w:rFonts w:hint="eastAsia" w:ascii="宋体" w:hAnsi="宋体"/>
                <w:color w:val="auto"/>
                <w:szCs w:val="21"/>
                <w:highlight w:val="none"/>
              </w:rPr>
              <w:t>/</w:t>
            </w:r>
          </w:p>
        </w:tc>
        <w:tc>
          <w:tcPr>
            <w:tcW w:w="666"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59"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12</w:t>
            </w:r>
          </w:p>
        </w:tc>
        <w:tc>
          <w:tcPr>
            <w:tcW w:w="47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olor w:val="auto"/>
                <w:szCs w:val="21"/>
                <w:highlight w:val="none"/>
              </w:rPr>
            </w:pPr>
            <w:r>
              <w:rPr>
                <w:rFonts w:hint="eastAsia" w:ascii="宋体" w:hAnsi="宋体"/>
                <w:color w:val="auto"/>
                <w:szCs w:val="21"/>
                <w:highlight w:val="none"/>
              </w:rPr>
              <w:t>资格审查前，投标人须在广州市住房和城乡建设局建立企业信用档案及拟担任本工程项目负责人、专职安全员须是本企业中的在册人员</w:t>
            </w:r>
          </w:p>
        </w:tc>
        <w:tc>
          <w:tcPr>
            <w:tcW w:w="433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olor w:val="auto"/>
                <w:szCs w:val="21"/>
                <w:highlight w:val="none"/>
              </w:rPr>
            </w:pPr>
            <w:r>
              <w:rPr>
                <w:rFonts w:hint="eastAsia" w:ascii="宋体" w:hAnsi="宋体"/>
                <w:color w:val="auto"/>
                <w:szCs w:val="21"/>
                <w:highlight w:val="none"/>
              </w:rPr>
              <w:t>投标人在广州市住建行业信用管理平台内企业信用档案的企业和人员信息</w:t>
            </w:r>
          </w:p>
        </w:tc>
        <w:tc>
          <w:tcPr>
            <w:tcW w:w="666"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459"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13</w:t>
            </w:r>
          </w:p>
        </w:tc>
        <w:tc>
          <w:tcPr>
            <w:tcW w:w="47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olor w:val="auto"/>
                <w:szCs w:val="21"/>
                <w:highlight w:val="none"/>
              </w:rPr>
            </w:pPr>
            <w:r>
              <w:rPr>
                <w:rFonts w:hint="eastAsia" w:ascii="宋体" w:hAnsi="宋体"/>
                <w:color w:val="auto"/>
                <w:szCs w:val="21"/>
                <w:highlight w:val="none"/>
              </w:rPr>
              <w:t>投标人未出现以下情形：与其它投标人的单位负责人为同一人或者存在控股、管理关系的（按投标人提供的《投标人声明》第</w:t>
            </w:r>
            <w:r>
              <w:rPr>
                <w:rFonts w:hint="eastAsia" w:ascii="宋体" w:hAnsi="宋体"/>
                <w:color w:val="auto"/>
                <w:szCs w:val="21"/>
                <w:highlight w:val="none"/>
                <w:lang w:val="en-US" w:eastAsia="zh-CN"/>
              </w:rPr>
              <w:t>九</w:t>
            </w:r>
            <w:r>
              <w:rPr>
                <w:rFonts w:hint="eastAsia" w:ascii="宋体" w:hAnsi="宋体"/>
                <w:color w:val="auto"/>
                <w:szCs w:val="21"/>
                <w:highlight w:val="none"/>
              </w:rPr>
              <w:t>条内容进行评审）。</w:t>
            </w:r>
          </w:p>
        </w:tc>
        <w:tc>
          <w:tcPr>
            <w:tcW w:w="433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olor w:val="auto"/>
                <w:szCs w:val="21"/>
                <w:highlight w:val="none"/>
              </w:rPr>
              <w:t>投标人声明</w:t>
            </w:r>
          </w:p>
        </w:tc>
        <w:tc>
          <w:tcPr>
            <w:tcW w:w="666"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p>
        </w:tc>
        <w:tc>
          <w:tcPr>
            <w:tcW w:w="4775"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u w:val="single"/>
              </w:rPr>
            </w:pPr>
            <w:r>
              <w:rPr>
                <w:rFonts w:hint="eastAsia" w:ascii="宋体" w:hAnsi="宋体"/>
                <w:color w:val="auto"/>
                <w:szCs w:val="21"/>
                <w:highlight w:val="none"/>
              </w:rPr>
              <w:t>未被列入拖欠农民工工资失信联合惩戒对象名单</w:t>
            </w:r>
          </w:p>
        </w:tc>
        <w:tc>
          <w:tcPr>
            <w:tcW w:w="4338"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r>
              <w:rPr>
                <w:rFonts w:hint="eastAsia" w:ascii="宋体" w:hAnsi="宋体"/>
                <w:color w:val="auto"/>
                <w:szCs w:val="21"/>
                <w:highlight w:val="none"/>
              </w:rPr>
              <w:t>投标人无需提供资料，按投标截止时间交易系统比对的结果进行评审</w:t>
            </w:r>
          </w:p>
        </w:tc>
        <w:tc>
          <w:tcPr>
            <w:tcW w:w="666" w:type="dxa"/>
            <w:tcBorders>
              <w:top w:val="single" w:color="auto" w:sz="4" w:space="0"/>
              <w:left w:val="single" w:color="auto" w:sz="4" w:space="0"/>
              <w:bottom w:val="single" w:color="auto" w:sz="4" w:space="0"/>
              <w:right w:val="single" w:color="auto" w:sz="4" w:space="0"/>
            </w:tcBorders>
            <w:vAlign w:val="center"/>
          </w:tcPr>
          <w:p>
            <w:pPr>
              <w:spacing w:before="120" w:after="60" w:line="240" w:lineRule="exact"/>
              <w:jc w:val="center"/>
              <w:rPr>
                <w:rFonts w:ascii="宋体" w:hAnsi="宋体" w:cs="宋体"/>
                <w:color w:val="auto"/>
                <w:szCs w:val="21"/>
                <w:highlight w:val="none"/>
              </w:rPr>
            </w:pPr>
          </w:p>
        </w:tc>
      </w:tr>
    </w:tbl>
    <w:p>
      <w:pPr>
        <w:spacing w:line="240" w:lineRule="exact"/>
        <w:ind w:firstLine="470" w:firstLineChars="224"/>
        <w:rPr>
          <w:rFonts w:ascii="宋体" w:hAnsi="宋体" w:cs="宋体"/>
          <w:color w:val="auto"/>
          <w:szCs w:val="21"/>
          <w:highlight w:val="none"/>
        </w:rPr>
      </w:pPr>
      <w:r>
        <w:rPr>
          <w:rFonts w:hint="eastAsia" w:ascii="宋体" w:hAnsi="宋体" w:cs="宋体"/>
          <w:color w:val="auto"/>
          <w:szCs w:val="21"/>
          <w:highlight w:val="none"/>
        </w:rPr>
        <w:t xml:space="preserve">备注：1、每一项目符合的打“○”，不符合的打“×”； </w:t>
      </w:r>
    </w:p>
    <w:p>
      <w:pPr>
        <w:spacing w:line="240" w:lineRule="exact"/>
        <w:ind w:firstLine="470" w:firstLineChars="224"/>
        <w:rPr>
          <w:rFonts w:ascii="宋体" w:hAnsi="宋体" w:cs="宋体"/>
          <w:color w:val="auto"/>
          <w:szCs w:val="21"/>
          <w:highlight w:val="none"/>
        </w:rPr>
      </w:pPr>
      <w:r>
        <w:rPr>
          <w:rFonts w:hint="eastAsia" w:ascii="宋体" w:hAnsi="宋体" w:cs="宋体"/>
          <w:color w:val="auto"/>
          <w:szCs w:val="21"/>
          <w:highlight w:val="none"/>
        </w:rPr>
        <w:t>2、若评委意见不一致时，则按少数服从多数的原则，作出评审结论。汇总后，出现一个“×”的结论为“不通过”。</w:t>
      </w:r>
    </w:p>
    <w:p>
      <w:pPr>
        <w:spacing w:line="240" w:lineRule="exact"/>
        <w:ind w:firstLine="470" w:firstLineChars="224"/>
        <w:rPr>
          <w:rFonts w:ascii="宋体" w:hAnsi="宋体" w:cs="宋体"/>
          <w:color w:val="auto"/>
          <w:szCs w:val="21"/>
          <w:highlight w:val="none"/>
        </w:rPr>
        <w:sectPr>
          <w:footerReference r:id="rId11" w:type="first"/>
          <w:footerReference r:id="rId10" w:type="default"/>
          <w:endnotePr>
            <w:numFmt w:val="decimal"/>
          </w:endnotePr>
          <w:pgSz w:w="11906" w:h="16838"/>
          <w:pgMar w:top="1417" w:right="1416" w:bottom="1417" w:left="1417" w:header="851" w:footer="567" w:gutter="0"/>
          <w:pgNumType w:fmt="decimal"/>
          <w:cols w:space="720" w:num="1"/>
          <w:titlePg/>
          <w:docGrid w:type="lines" w:linePitch="317" w:charSpace="0"/>
        </w:sectPr>
      </w:pPr>
      <w:r>
        <w:rPr>
          <w:rFonts w:hint="eastAsia" w:ascii="宋体" w:hAnsi="宋体" w:cs="宋体"/>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rPr>
          <w:rFonts w:ascii="宋体" w:hAnsi="宋体" w:cs="宋体"/>
          <w:color w:val="auto"/>
          <w:szCs w:val="21"/>
          <w:highlight w:val="none"/>
        </w:rPr>
      </w:pPr>
      <w:r>
        <w:rPr>
          <w:rFonts w:hint="eastAsia" w:ascii="宋体" w:hAnsi="宋体" w:cs="宋体"/>
          <w:color w:val="auto"/>
          <w:szCs w:val="21"/>
          <w:highlight w:val="none"/>
        </w:rPr>
        <w:t>附表二</w:t>
      </w:r>
    </w:p>
    <w:p>
      <w:pPr>
        <w:jc w:val="center"/>
        <w:rPr>
          <w:rFonts w:ascii="宋体" w:hAnsi="宋体" w:cs="宋体"/>
          <w:b/>
          <w:color w:val="auto"/>
          <w:szCs w:val="21"/>
          <w:highlight w:val="none"/>
        </w:rPr>
      </w:pPr>
      <w:r>
        <w:rPr>
          <w:rFonts w:hint="eastAsia" w:ascii="宋体" w:hAnsi="宋体" w:cs="宋体"/>
          <w:b/>
          <w:color w:val="auto"/>
          <w:szCs w:val="21"/>
          <w:highlight w:val="none"/>
        </w:rPr>
        <w:t>技术标有效性审查表</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工程名称：</w:t>
      </w:r>
    </w:p>
    <w:tbl>
      <w:tblPr>
        <w:tblStyle w:val="39"/>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9714"/>
        <w:gridCol w:w="995"/>
        <w:gridCol w:w="995"/>
        <w:gridCol w:w="995"/>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rPr>
              <w:t>序号</w:t>
            </w:r>
          </w:p>
        </w:tc>
        <w:tc>
          <w:tcPr>
            <w:tcW w:w="9714" w:type="dxa"/>
            <w:tcBorders>
              <w:top w:val="single" w:color="auto" w:sz="4" w:space="0"/>
              <w:left w:val="single" w:color="auto" w:sz="4" w:space="0"/>
              <w:bottom w:val="single" w:color="auto" w:sz="4" w:space="0"/>
              <w:right w:val="single" w:color="auto" w:sz="4" w:space="0"/>
              <w:tl2br w:val="single" w:color="auto" w:sz="4" w:space="0"/>
            </w:tcBorders>
          </w:tcPr>
          <w:p>
            <w:pPr>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rPr>
              <w:t xml:space="preserve">                                                                             投标人</w:t>
            </w:r>
          </w:p>
          <w:p>
            <w:pPr>
              <w:adjustRightInd w:val="0"/>
              <w:spacing w:line="360" w:lineRule="exact"/>
              <w:rPr>
                <w:rFonts w:ascii="宋体" w:hAnsi="宋体" w:cs="宋体"/>
                <w:color w:val="auto"/>
                <w:szCs w:val="21"/>
                <w:highlight w:val="none"/>
              </w:rPr>
            </w:pPr>
          </w:p>
          <w:p>
            <w:pPr>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rPr>
              <w:t>评审内容</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rPr>
              <w:t>1</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color w:val="auto"/>
                <w:szCs w:val="21"/>
                <w:highlight w:val="none"/>
              </w:rPr>
            </w:pPr>
            <w:r>
              <w:rPr>
                <w:rFonts w:hint="eastAsia" w:ascii="宋体" w:hAnsi="宋体"/>
                <w:color w:val="auto"/>
                <w:szCs w:val="21"/>
                <w:highlight w:val="none"/>
              </w:rPr>
              <w:t>《广州建设工程施工招标投标书》中的投标总工期不能满足完成投标项目工期的；</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rPr>
              <w:t>2</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u w:val="single"/>
              </w:rPr>
              <w:t>《广州建设工程施工招标投标书》中的工程质量标准不符合招标文件质量标准的；</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rPr>
              <w:t>3</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color w:val="auto"/>
                <w:szCs w:val="21"/>
                <w:highlight w:val="none"/>
              </w:rPr>
            </w:pPr>
            <w:r>
              <w:rPr>
                <w:rFonts w:hint="eastAsia" w:ascii="宋体" w:hAnsi="宋体"/>
                <w:color w:val="auto"/>
                <w:szCs w:val="21"/>
                <w:highlight w:val="none"/>
              </w:rPr>
              <w:t>投标文件中没有有效的法定代表人证明书</w:t>
            </w:r>
            <w:r>
              <w:rPr>
                <w:rFonts w:hint="eastAsia" w:ascii="宋体" w:hAnsi="宋体" w:cs="宋体"/>
                <w:color w:val="auto"/>
                <w:szCs w:val="21"/>
                <w:highlight w:val="none"/>
              </w:rPr>
              <w:t>，</w:t>
            </w:r>
            <w:r>
              <w:rPr>
                <w:rFonts w:hint="eastAsia" w:ascii="宋体" w:hAnsi="宋体"/>
                <w:color w:val="auto"/>
                <w:szCs w:val="21"/>
                <w:highlight w:val="none"/>
              </w:rPr>
              <w:t>或由委托代理人</w:t>
            </w:r>
            <w:r>
              <w:rPr>
                <w:rFonts w:hint="eastAsia" w:ascii="宋体" w:hAnsi="宋体"/>
                <w:color w:val="auto"/>
                <w:szCs w:val="21"/>
                <w:highlight w:val="none"/>
                <w:u w:val="single"/>
              </w:rPr>
              <w:t>签</w:t>
            </w:r>
            <w:r>
              <w:rPr>
                <w:rFonts w:hint="eastAsia" w:ascii="宋体" w:hAnsi="宋体"/>
                <w:color w:val="auto"/>
                <w:szCs w:val="21"/>
                <w:highlight w:val="none"/>
                <w:u w:val="single"/>
                <w:lang w:val="en-US" w:eastAsia="zh-CN"/>
              </w:rPr>
              <w:t>字</w:t>
            </w:r>
            <w:r>
              <w:rPr>
                <w:rFonts w:hint="eastAsia" w:ascii="宋体" w:hAnsi="宋体"/>
                <w:color w:val="auto"/>
                <w:szCs w:val="21"/>
                <w:highlight w:val="none"/>
                <w:u w:val="single"/>
              </w:rPr>
              <w:t>或盖个人签名章</w:t>
            </w:r>
            <w:r>
              <w:rPr>
                <w:rFonts w:hint="eastAsia" w:ascii="宋体" w:hAnsi="宋体"/>
                <w:color w:val="auto"/>
                <w:szCs w:val="21"/>
                <w:highlight w:val="none"/>
              </w:rPr>
              <w:t>的投标文件中没有法定代表人授权书</w:t>
            </w:r>
            <w:r>
              <w:rPr>
                <w:rFonts w:hint="eastAsia" w:ascii="宋体" w:hAnsi="宋体" w:cs="宋体"/>
                <w:color w:val="auto"/>
                <w:szCs w:val="21"/>
                <w:highlight w:val="none"/>
              </w:rPr>
              <w:t>；</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4</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rPr>
              <w:t>投标文件未按</w:t>
            </w:r>
            <w:r>
              <w:rPr>
                <w:rFonts w:hint="eastAsia" w:ascii="宋体" w:hAnsi="宋体"/>
                <w:color w:val="auto"/>
                <w:szCs w:val="21"/>
                <w:highlight w:val="none"/>
                <w:u w:val="single"/>
              </w:rPr>
              <w:t>招标</w:t>
            </w:r>
            <w:r>
              <w:rPr>
                <w:rFonts w:ascii="宋体" w:hAnsi="宋体"/>
                <w:color w:val="auto"/>
                <w:szCs w:val="21"/>
                <w:highlight w:val="none"/>
                <w:u w:val="single"/>
              </w:rPr>
              <w:t>文件第四章</w:t>
            </w:r>
            <w:r>
              <w:rPr>
                <w:rFonts w:hint="eastAsia" w:ascii="宋体" w:hAnsi="宋体"/>
                <w:color w:val="auto"/>
                <w:szCs w:val="21"/>
                <w:highlight w:val="none"/>
              </w:rPr>
              <w:t>规定的</w:t>
            </w:r>
            <w:r>
              <w:rPr>
                <w:rFonts w:hint="eastAsia" w:ascii="宋体" w:hAnsi="宋体"/>
                <w:b/>
                <w:bCs/>
                <w:color w:val="auto"/>
                <w:szCs w:val="21"/>
                <w:highlight w:val="none"/>
                <w:u w:val="single"/>
              </w:rPr>
              <w:t>（</w:t>
            </w:r>
            <w:r>
              <w:rPr>
                <w:rFonts w:hint="eastAsia" w:ascii="宋体" w:cs="宋体"/>
                <w:b/>
                <w:bCs/>
                <w:color w:val="auto"/>
                <w:sz w:val="22"/>
                <w:highlight w:val="none"/>
                <w:u w:val="single"/>
              </w:rPr>
              <w:t>技术投标文件（含资格审查文件）</w:t>
            </w:r>
            <w:r>
              <w:rPr>
                <w:rFonts w:hint="eastAsia" w:ascii="宋体" w:hAnsi="宋体" w:cs="宋体"/>
                <w:b/>
                <w:bCs/>
                <w:color w:val="auto"/>
                <w:szCs w:val="21"/>
                <w:highlight w:val="none"/>
                <w:u w:val="single"/>
              </w:rPr>
              <w:t>格式二、三</w:t>
            </w:r>
            <w:r>
              <w:rPr>
                <w:rFonts w:hint="eastAsia" w:ascii="宋体" w:hAnsi="宋体"/>
                <w:b/>
                <w:bCs/>
                <w:color w:val="auto"/>
                <w:szCs w:val="21"/>
                <w:highlight w:val="none"/>
                <w:u w:val="single"/>
              </w:rPr>
              <w:t>）</w:t>
            </w:r>
            <w:r>
              <w:rPr>
                <w:rFonts w:hint="eastAsia" w:ascii="宋体" w:hAnsi="宋体"/>
                <w:color w:val="auto"/>
                <w:szCs w:val="21"/>
                <w:highlight w:val="none"/>
              </w:rPr>
              <w:t>填写，或主要内容不全，或关键字迹模糊、无法辨认的</w:t>
            </w:r>
            <w:r>
              <w:rPr>
                <w:rFonts w:hint="eastAsia" w:ascii="宋体" w:hAnsi="宋体" w:cs="宋体"/>
                <w:color w:val="auto"/>
                <w:szCs w:val="21"/>
                <w:highlight w:val="none"/>
              </w:rPr>
              <w:t>；</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5</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r>
              <w:rPr>
                <w:rFonts w:hint="eastAsia" w:ascii="宋体" w:hAnsi="宋体" w:cs="宋体"/>
                <w:color w:val="auto"/>
                <w:szCs w:val="21"/>
                <w:highlight w:val="none"/>
              </w:rPr>
              <w:t>；</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shd w:val="pct10" w:color="auto" w:fill="FFFFFF"/>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shd w:val="pct10" w:color="auto" w:fill="FFFFFF"/>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shd w:val="pct10" w:color="auto" w:fill="FFFFFF"/>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6</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color w:val="auto"/>
                <w:szCs w:val="21"/>
                <w:highlight w:val="none"/>
              </w:rPr>
            </w:pPr>
            <w:bookmarkStart w:id="40" w:name="OLE_LINK2"/>
            <w:r>
              <w:rPr>
                <w:rFonts w:hint="eastAsia" w:ascii="宋体" w:hAnsi="宋体"/>
                <w:color w:val="auto"/>
                <w:szCs w:val="21"/>
                <w:highlight w:val="none"/>
              </w:rPr>
              <w:t>无《参与编制技术标投标文件人员名单》的</w:t>
            </w:r>
            <w:r>
              <w:rPr>
                <w:rFonts w:hint="eastAsia" w:ascii="宋体" w:hAnsi="宋体" w:cs="宋体"/>
                <w:color w:val="auto"/>
                <w:szCs w:val="21"/>
                <w:highlight w:val="none"/>
              </w:rPr>
              <w:t>;</w:t>
            </w:r>
            <w:bookmarkEnd w:id="40"/>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7</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投标人未按要求提交投标保证金的</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8</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ascii="宋体" w:hAnsi="宋体" w:cs="宋体"/>
                <w:color w:val="auto"/>
                <w:szCs w:val="21"/>
                <w:highlight w:val="none"/>
              </w:rPr>
            </w:pPr>
            <w:r>
              <w:rPr>
                <w:rFonts w:hint="eastAsia" w:ascii="宋体" w:hAnsi="宋体"/>
                <w:color w:val="auto"/>
                <w:szCs w:val="21"/>
                <w:highlight w:val="none"/>
              </w:rPr>
              <w:t>投标人与</w:t>
            </w:r>
            <w:r>
              <w:rPr>
                <w:rFonts w:hint="eastAsia" w:ascii="宋体" w:hAnsi="宋体" w:cs="宋体"/>
                <w:color w:val="auto"/>
                <w:szCs w:val="21"/>
                <w:highlight w:val="none"/>
                <w:u w:val="single"/>
              </w:rPr>
              <w:t>本项目</w:t>
            </w:r>
            <w:r>
              <w:rPr>
                <w:rFonts w:hint="eastAsia" w:ascii="宋体" w:hAnsi="宋体"/>
                <w:color w:val="auto"/>
                <w:szCs w:val="21"/>
                <w:highlight w:val="none"/>
              </w:rPr>
              <w:t>其他投标人加密打包投标文件电脑机器特征码一致的(以</w:t>
            </w:r>
            <w:r>
              <w:rPr>
                <w:rFonts w:hint="eastAsia" w:ascii="宋体" w:hAnsi="宋体"/>
                <w:color w:val="auto"/>
                <w:szCs w:val="21"/>
                <w:highlight w:val="none"/>
                <w:u w:val="single"/>
              </w:rPr>
              <w:t>广州交易集团有限公司（广州公共资源交易中心）</w:t>
            </w:r>
            <w:r>
              <w:rPr>
                <w:rFonts w:hint="eastAsia" w:ascii="宋体" w:hAnsi="宋体"/>
                <w:color w:val="auto"/>
                <w:szCs w:val="21"/>
                <w:highlight w:val="none"/>
              </w:rPr>
              <w:t>交易平台评标系统的检索信息为准)</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971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hint="eastAsia" w:ascii="宋体" w:hAnsi="宋体"/>
                <w:color w:val="auto"/>
                <w:szCs w:val="21"/>
                <w:highlight w:val="none"/>
              </w:rPr>
            </w:pPr>
            <w:r>
              <w:rPr>
                <w:rFonts w:hint="eastAsia" w:ascii="宋体" w:hAnsi="宋体"/>
                <w:color w:val="auto"/>
                <w:szCs w:val="24"/>
                <w:highlight w:val="none"/>
                <w:u w:val="single"/>
                <w:lang w:val="en-US" w:eastAsia="zh-CN"/>
              </w:rPr>
              <w:t>存在不同投标人委托同一个人或同一单位的不同个人作为委托代理人的情况</w:t>
            </w: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5"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c>
          <w:tcPr>
            <w:tcW w:w="996" w:type="dxa"/>
            <w:tcBorders>
              <w:top w:val="single" w:color="auto" w:sz="4" w:space="0"/>
              <w:left w:val="single" w:color="auto" w:sz="4" w:space="0"/>
              <w:bottom w:val="single" w:color="auto" w:sz="4" w:space="0"/>
              <w:right w:val="single" w:color="auto" w:sz="4" w:space="0"/>
            </w:tcBorders>
          </w:tcPr>
          <w:p>
            <w:pPr>
              <w:adjustRightInd w:val="0"/>
              <w:spacing w:line="360" w:lineRule="exact"/>
              <w:rPr>
                <w:rFonts w:ascii="宋体" w:hAnsi="宋体" w:cs="宋体"/>
                <w:color w:val="auto"/>
                <w:szCs w:val="21"/>
                <w:highlight w:val="none"/>
              </w:rPr>
            </w:pPr>
          </w:p>
        </w:tc>
      </w:tr>
    </w:tbl>
    <w:p>
      <w:pPr>
        <w:rPr>
          <w:rFonts w:ascii="宋体" w:hAnsi="宋体"/>
          <w:color w:val="auto"/>
          <w:szCs w:val="21"/>
          <w:highlight w:val="none"/>
        </w:rPr>
      </w:pPr>
      <w:r>
        <w:rPr>
          <w:rFonts w:hint="eastAsia" w:ascii="宋体" w:hAnsi="宋体"/>
          <w:color w:val="auto"/>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color w:val="auto"/>
          <w:szCs w:val="21"/>
          <w:highlight w:val="none"/>
        </w:rPr>
      </w:pPr>
      <w:r>
        <w:rPr>
          <w:rFonts w:hint="eastAsia" w:ascii="宋体" w:hAnsi="宋体"/>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rFonts w:ascii="宋体" w:hAnsi="宋体"/>
          <w:color w:val="auto"/>
          <w:szCs w:val="21"/>
          <w:highlight w:val="none"/>
        </w:rPr>
      </w:pPr>
      <w:r>
        <w:rPr>
          <w:rFonts w:hint="eastAsia" w:ascii="宋体" w:hAnsi="宋体"/>
          <w:color w:val="auto"/>
          <w:szCs w:val="21"/>
          <w:highlight w:val="none"/>
        </w:rPr>
        <w:t>3.凡出现以上任何一项情形，结论均为无效，否则就为有效。</w:t>
      </w:r>
    </w:p>
    <w:p>
      <w:pPr>
        <w:rPr>
          <w:rFonts w:ascii="宋体" w:hAnsi="宋体"/>
          <w:color w:val="auto"/>
          <w:szCs w:val="21"/>
          <w:highlight w:val="none"/>
        </w:rPr>
      </w:pPr>
      <w:r>
        <w:rPr>
          <w:rFonts w:hint="eastAsia" w:ascii="宋体" w:hAnsi="宋体"/>
          <w:color w:val="auto"/>
          <w:szCs w:val="21"/>
          <w:highlight w:val="none"/>
        </w:rPr>
        <w:t>4.如对本表中某种情形的评审意见不一致时，以评标委员会过半数成员的意见作为评标委员会对该情形的认定结论。</w:t>
      </w:r>
    </w:p>
    <w:p>
      <w:pPr>
        <w:rPr>
          <w:rFonts w:ascii="宋体" w:hAnsi="宋体"/>
          <w:color w:val="auto"/>
          <w:szCs w:val="21"/>
          <w:highlight w:val="none"/>
        </w:rPr>
      </w:pPr>
      <w:r>
        <w:rPr>
          <w:rFonts w:hint="eastAsia" w:ascii="宋体" w:hAnsi="宋体"/>
          <w:color w:val="auto"/>
          <w:szCs w:val="21"/>
          <w:highlight w:val="none"/>
        </w:rPr>
        <w:t>评委签名：</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 xml:space="preserve">                                                                                     日期：    </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附表三</w:t>
      </w:r>
    </w:p>
    <w:p>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经济标有效性审查表</w:t>
      </w:r>
    </w:p>
    <w:p>
      <w:pPr>
        <w:spacing w:line="320" w:lineRule="exact"/>
        <w:rPr>
          <w:rFonts w:ascii="宋体" w:hAnsi="宋体" w:cs="宋体"/>
          <w:color w:val="auto"/>
          <w:szCs w:val="21"/>
          <w:highlight w:val="none"/>
        </w:rPr>
      </w:pPr>
      <w:r>
        <w:rPr>
          <w:rFonts w:hint="eastAsia" w:ascii="宋体" w:hAnsi="宋体" w:cs="宋体"/>
          <w:color w:val="auto"/>
          <w:szCs w:val="21"/>
          <w:highlight w:val="none"/>
        </w:rPr>
        <w:t>工程名称：</w:t>
      </w:r>
    </w:p>
    <w:tbl>
      <w:tblPr>
        <w:tblStyle w:val="3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587"/>
        <w:gridCol w:w="912"/>
        <w:gridCol w:w="1397"/>
        <w:gridCol w:w="1397"/>
        <w:gridCol w:w="1396"/>
        <w:gridCol w:w="1397"/>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auto"/>
                <w:szCs w:val="21"/>
                <w:highlight w:val="none"/>
              </w:rPr>
            </w:pPr>
            <w:r>
              <w:rPr>
                <w:rFonts w:hint="eastAsia" w:ascii="宋体" w:hAnsi="宋体" w:cs="宋体"/>
                <w:color w:val="auto"/>
                <w:szCs w:val="21"/>
                <w:highlight w:val="none"/>
              </w:rPr>
              <w:t>序号</w:t>
            </w:r>
          </w:p>
        </w:tc>
        <w:tc>
          <w:tcPr>
            <w:tcW w:w="6587" w:type="dxa"/>
            <w:tcBorders>
              <w:top w:val="single" w:color="auto" w:sz="4" w:space="0"/>
              <w:left w:val="single" w:color="auto" w:sz="4" w:space="0"/>
              <w:bottom w:val="single" w:color="auto" w:sz="4" w:space="0"/>
              <w:right w:val="single" w:color="auto" w:sz="4" w:space="0"/>
              <w:tl2br w:val="single" w:color="auto" w:sz="4" w:space="0"/>
            </w:tcBorders>
          </w:tcPr>
          <w:p>
            <w:pPr>
              <w:spacing w:line="320" w:lineRule="exact"/>
              <w:rPr>
                <w:rFonts w:ascii="宋体" w:hAnsi="宋体" w:cs="宋体"/>
                <w:color w:val="auto"/>
                <w:szCs w:val="21"/>
                <w:highlight w:val="none"/>
              </w:rPr>
            </w:pPr>
            <w:r>
              <w:rPr>
                <w:rFonts w:hint="eastAsia" w:ascii="宋体" w:hAnsi="宋体" w:cs="宋体"/>
                <w:color w:val="auto"/>
                <w:szCs w:val="21"/>
                <w:highlight w:val="none"/>
              </w:rPr>
              <w:t xml:space="preserve">                                              投标人</w:t>
            </w:r>
          </w:p>
          <w:p>
            <w:pPr>
              <w:spacing w:line="320" w:lineRule="exact"/>
              <w:rPr>
                <w:rFonts w:ascii="宋体" w:hAnsi="宋体" w:cs="宋体"/>
                <w:color w:val="auto"/>
                <w:szCs w:val="21"/>
                <w:highlight w:val="none"/>
              </w:rPr>
            </w:pPr>
            <w:r>
              <w:rPr>
                <w:rFonts w:hint="eastAsia" w:ascii="宋体" w:hAnsi="宋体" w:cs="宋体"/>
                <w:color w:val="auto"/>
                <w:szCs w:val="21"/>
                <w:highlight w:val="none"/>
              </w:rPr>
              <w:t>评审内容</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auto"/>
                <w:szCs w:val="21"/>
                <w:highlight w:val="none"/>
              </w:rPr>
            </w:pPr>
            <w:r>
              <w:rPr>
                <w:rFonts w:hint="eastAsia" w:ascii="宋体" w:hAnsi="宋体" w:cs="宋体"/>
                <w:color w:val="auto"/>
                <w:szCs w:val="21"/>
                <w:highlight w:val="none"/>
              </w:rPr>
              <w:t>1</w:t>
            </w:r>
          </w:p>
        </w:tc>
        <w:tc>
          <w:tcPr>
            <w:tcW w:w="658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auto"/>
                <w:szCs w:val="21"/>
                <w:highlight w:val="none"/>
              </w:rPr>
            </w:pPr>
            <w:r>
              <w:rPr>
                <w:rFonts w:hint="eastAsia" w:ascii="宋体" w:hAnsi="宋体"/>
                <w:color w:val="auto"/>
                <w:szCs w:val="21"/>
                <w:highlight w:val="none"/>
              </w:rPr>
              <w:t>对同一招标项目出现两个或以上的投标报价，且没有申明哪个有效</w:t>
            </w:r>
            <w:r>
              <w:rPr>
                <w:rFonts w:hint="eastAsia" w:ascii="宋体" w:hAnsi="宋体" w:cs="宋体"/>
                <w:color w:val="auto"/>
                <w:szCs w:val="21"/>
                <w:highlight w:val="none"/>
              </w:rPr>
              <w:t>；</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auto"/>
                <w:szCs w:val="21"/>
                <w:highlight w:val="none"/>
              </w:rPr>
            </w:pPr>
            <w:r>
              <w:rPr>
                <w:rFonts w:hint="eastAsia" w:ascii="宋体" w:hAnsi="宋体" w:cs="宋体"/>
                <w:color w:val="auto"/>
                <w:szCs w:val="21"/>
                <w:highlight w:val="none"/>
              </w:rPr>
              <w:t>2</w:t>
            </w:r>
          </w:p>
        </w:tc>
        <w:tc>
          <w:tcPr>
            <w:tcW w:w="658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highlight w:val="none"/>
              </w:rPr>
            </w:pPr>
            <w:r>
              <w:rPr>
                <w:rFonts w:hint="eastAsia" w:ascii="宋体" w:hAnsi="宋体"/>
                <w:color w:val="auto"/>
                <w:szCs w:val="21"/>
                <w:highlight w:val="none"/>
              </w:rPr>
              <w:t>投标报价高于最高投标限价的；</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auto"/>
                <w:szCs w:val="21"/>
                <w:highlight w:val="none"/>
              </w:rPr>
            </w:pPr>
            <w:r>
              <w:rPr>
                <w:rFonts w:hint="eastAsia" w:ascii="宋体" w:hAnsi="宋体" w:cs="宋体"/>
                <w:color w:val="auto"/>
                <w:szCs w:val="21"/>
                <w:highlight w:val="none"/>
              </w:rPr>
              <w:t>3</w:t>
            </w:r>
          </w:p>
        </w:tc>
        <w:tc>
          <w:tcPr>
            <w:tcW w:w="65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2" w:leftChars="-1"/>
              <w:jc w:val="left"/>
              <w:rPr>
                <w:rFonts w:ascii="宋体" w:hAnsi="宋体" w:cs="宋体"/>
                <w:color w:val="auto"/>
                <w:szCs w:val="21"/>
                <w:highlight w:val="none"/>
              </w:rPr>
            </w:pPr>
            <w:r>
              <w:rPr>
                <w:rFonts w:hint="eastAsia" w:ascii="宋体" w:hAnsi="宋体" w:eastAsia="宋体" w:cs="宋体"/>
                <w:color w:val="auto"/>
                <w:sz w:val="21"/>
                <w:szCs w:val="21"/>
                <w:highlight w:val="none"/>
              </w:rPr>
              <w:t>投标报价低于</w:t>
            </w:r>
            <w:r>
              <w:rPr>
                <w:rFonts w:hint="eastAsia" w:ascii="宋体" w:hAnsi="宋体" w:cs="宋体"/>
                <w:color w:val="auto"/>
                <w:sz w:val="21"/>
                <w:szCs w:val="21"/>
                <w:highlight w:val="none"/>
                <w:lang w:val="en-US" w:eastAsia="zh-CN"/>
              </w:rPr>
              <w:t>成本的</w:t>
            </w:r>
            <w:r>
              <w:rPr>
                <w:rFonts w:hint="eastAsia" w:ascii="宋体" w:hAnsi="宋体" w:cs="宋体"/>
                <w:color w:val="auto"/>
                <w:szCs w:val="21"/>
                <w:highlight w:val="none"/>
              </w:rPr>
              <w:t>；</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658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auto"/>
                <w:szCs w:val="21"/>
                <w:highlight w:val="none"/>
              </w:rPr>
            </w:pPr>
            <w:r>
              <w:rPr>
                <w:rFonts w:hint="eastAsia" w:ascii="宋体" w:hAnsi="宋体" w:cs="宋体"/>
                <w:color w:val="auto"/>
                <w:szCs w:val="21"/>
                <w:highlight w:val="none"/>
              </w:rPr>
              <w:t>投标文件未按</w:t>
            </w:r>
            <w:r>
              <w:rPr>
                <w:rFonts w:hint="eastAsia" w:ascii="宋体" w:hAnsi="宋体"/>
                <w:color w:val="auto"/>
                <w:szCs w:val="21"/>
                <w:highlight w:val="none"/>
                <w:u w:val="single"/>
              </w:rPr>
              <w:t>招标</w:t>
            </w:r>
            <w:r>
              <w:rPr>
                <w:rFonts w:ascii="宋体" w:hAnsi="宋体"/>
                <w:color w:val="auto"/>
                <w:szCs w:val="21"/>
                <w:highlight w:val="none"/>
                <w:u w:val="single"/>
              </w:rPr>
              <w:t>文件第四章</w:t>
            </w:r>
            <w:r>
              <w:rPr>
                <w:rFonts w:hint="eastAsia" w:ascii="宋体" w:hAnsi="宋体"/>
                <w:color w:val="auto"/>
                <w:szCs w:val="21"/>
                <w:highlight w:val="none"/>
              </w:rPr>
              <w:t>规定的</w:t>
            </w:r>
            <w:r>
              <w:rPr>
                <w:rFonts w:hint="eastAsia" w:ascii="宋体" w:hAnsi="宋体"/>
                <w:color w:val="auto"/>
                <w:szCs w:val="21"/>
                <w:highlight w:val="none"/>
                <w:u w:val="single"/>
              </w:rPr>
              <w:t>（</w:t>
            </w:r>
            <w:r>
              <w:rPr>
                <w:rFonts w:hint="eastAsia" w:ascii="宋体" w:hAnsi="宋体" w:cs="宋体"/>
                <w:b/>
                <w:bCs/>
                <w:color w:val="auto"/>
                <w:kern w:val="0"/>
                <w:szCs w:val="21"/>
                <w:highlight w:val="none"/>
                <w:u w:val="single"/>
              </w:rPr>
              <w:t>经济标投标文件格式三、四</w:t>
            </w:r>
            <w:r>
              <w:rPr>
                <w:rFonts w:hint="eastAsia" w:ascii="宋体" w:hAnsi="宋体"/>
                <w:color w:val="auto"/>
                <w:szCs w:val="21"/>
                <w:highlight w:val="none"/>
                <w:u w:val="single"/>
              </w:rPr>
              <w:t>）</w:t>
            </w:r>
            <w:r>
              <w:rPr>
                <w:rFonts w:hint="eastAsia" w:ascii="宋体" w:hAnsi="宋体"/>
                <w:color w:val="auto"/>
                <w:szCs w:val="21"/>
                <w:highlight w:val="none"/>
              </w:rPr>
              <w:t>填写，或主要内容不全，或关键字迹模糊、无法辨认的</w:t>
            </w:r>
            <w:r>
              <w:rPr>
                <w:rFonts w:hint="eastAsia" w:ascii="宋体" w:hAnsi="宋体" w:cs="宋体"/>
                <w:color w:val="auto"/>
                <w:szCs w:val="21"/>
                <w:highlight w:val="none"/>
              </w:rPr>
              <w:t>；</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658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r>
              <w:rPr>
                <w:rFonts w:hint="eastAsia" w:ascii="宋体" w:hAnsi="宋体" w:cs="宋体"/>
                <w:color w:val="auto"/>
                <w:szCs w:val="21"/>
                <w:highlight w:val="none"/>
              </w:rPr>
              <w:t>；</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658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auto"/>
                <w:szCs w:val="21"/>
                <w:highlight w:val="none"/>
              </w:rPr>
            </w:pPr>
            <w:r>
              <w:rPr>
                <w:rFonts w:hint="eastAsia" w:ascii="宋体" w:hAnsi="宋体"/>
                <w:color w:val="auto"/>
                <w:szCs w:val="21"/>
                <w:highlight w:val="none"/>
              </w:rPr>
              <w:t>无《参与编制经济标投标文件人员名单》的</w:t>
            </w:r>
            <w:r>
              <w:rPr>
                <w:rFonts w:hint="eastAsia" w:ascii="宋体" w:hAnsi="宋体" w:cs="宋体"/>
                <w:color w:val="auto"/>
                <w:szCs w:val="21"/>
                <w:highlight w:val="none"/>
              </w:rPr>
              <w:t>；</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658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auto"/>
                <w:szCs w:val="21"/>
                <w:highlight w:val="none"/>
              </w:rPr>
            </w:pPr>
            <w:r>
              <w:rPr>
                <w:rFonts w:hint="eastAsia" w:ascii="宋体" w:hAnsi="宋体"/>
                <w:color w:val="auto"/>
                <w:szCs w:val="21"/>
                <w:highlight w:val="none"/>
              </w:rPr>
              <w:t>无《对投标文件编制的承诺》</w:t>
            </w:r>
            <w:r>
              <w:rPr>
                <w:rFonts w:hint="eastAsia" w:ascii="宋体" w:hAnsi="宋体" w:cs="宋体"/>
                <w:color w:val="auto"/>
                <w:szCs w:val="21"/>
                <w:highlight w:val="none"/>
              </w:rPr>
              <w:t>；</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532"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658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auto"/>
                <w:szCs w:val="21"/>
                <w:highlight w:val="none"/>
              </w:rPr>
            </w:pPr>
            <w:r>
              <w:rPr>
                <w:rFonts w:hint="eastAsia" w:ascii="宋体" w:hAnsi="宋体" w:cs="宋体"/>
                <w:color w:val="auto"/>
                <w:szCs w:val="21"/>
                <w:highlight w:val="none"/>
                <w:u w:val="none"/>
              </w:rPr>
              <w:t>投标人与</w:t>
            </w:r>
            <w:r>
              <w:rPr>
                <w:rFonts w:hint="eastAsia" w:ascii="宋体" w:hAnsi="宋体" w:cs="宋体"/>
                <w:color w:val="auto"/>
                <w:szCs w:val="21"/>
                <w:highlight w:val="none"/>
                <w:u w:val="single"/>
              </w:rPr>
              <w:t>本项目</w:t>
            </w:r>
            <w:r>
              <w:rPr>
                <w:rFonts w:hint="eastAsia" w:ascii="宋体" w:hAnsi="宋体" w:cs="宋体"/>
                <w:color w:val="auto"/>
                <w:szCs w:val="21"/>
                <w:highlight w:val="none"/>
                <w:u w:val="none"/>
              </w:rPr>
              <w:t>其他投标人的投标文件工程量清单编制机器硬件信息一致的（以</w:t>
            </w:r>
            <w:r>
              <w:rPr>
                <w:rFonts w:hint="eastAsia" w:ascii="宋体" w:hAnsi="宋体"/>
                <w:color w:val="auto"/>
                <w:szCs w:val="21"/>
                <w:highlight w:val="none"/>
                <w:u w:val="single"/>
              </w:rPr>
              <w:t>广州交易集团有限公司（广州公共资源交易中心）</w:t>
            </w:r>
            <w:r>
              <w:rPr>
                <w:rFonts w:hint="eastAsia" w:ascii="宋体" w:hAnsi="宋体" w:cs="宋体"/>
                <w:color w:val="auto"/>
                <w:szCs w:val="21"/>
                <w:highlight w:val="none"/>
                <w:u w:val="none"/>
              </w:rPr>
              <w:t>交易平台评标系统的检索信息为准）</w:t>
            </w:r>
            <w:r>
              <w:rPr>
                <w:rFonts w:hint="eastAsia" w:ascii="宋体" w:hAnsi="宋体" w:cs="宋体"/>
                <w:color w:val="auto"/>
                <w:szCs w:val="21"/>
                <w:highlight w:val="none"/>
              </w:rPr>
              <w:t>；</w:t>
            </w:r>
          </w:p>
        </w:tc>
        <w:tc>
          <w:tcPr>
            <w:tcW w:w="9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trike/>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trike/>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trike/>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trike/>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trike/>
                <w:color w:val="auto"/>
                <w:szCs w:val="21"/>
                <w:highlight w:val="none"/>
              </w:rPr>
            </w:pPr>
          </w:p>
        </w:tc>
        <w:tc>
          <w:tcPr>
            <w:tcW w:w="1091"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cs="宋体"/>
                <w:strike/>
                <w:color w:val="auto"/>
                <w:szCs w:val="21"/>
                <w:highlight w:val="none"/>
              </w:rPr>
            </w:pPr>
          </w:p>
        </w:tc>
      </w:tr>
    </w:tbl>
    <w:p>
      <w:pPr>
        <w:ind w:firstLine="458"/>
        <w:rPr>
          <w:rFonts w:ascii="宋体" w:hAnsi="宋体"/>
          <w:color w:val="auto"/>
          <w:szCs w:val="21"/>
          <w:highlight w:val="none"/>
        </w:rPr>
      </w:pPr>
      <w:r>
        <w:rPr>
          <w:rFonts w:hint="eastAsia" w:ascii="宋体" w:hAnsi="宋体"/>
          <w:color w:val="auto"/>
          <w:szCs w:val="21"/>
          <w:highlight w:val="none"/>
        </w:rPr>
        <w:t>注：1.本表使用GZZB2018-3招标文件范本，与范本内容不同之处均以下划线标明。</w:t>
      </w:r>
    </w:p>
    <w:p>
      <w:pPr>
        <w:ind w:firstLine="458"/>
        <w:rPr>
          <w:rFonts w:ascii="宋体" w:hAnsi="宋体"/>
          <w:color w:val="auto"/>
          <w:szCs w:val="21"/>
          <w:highlight w:val="none"/>
        </w:rPr>
      </w:pPr>
      <w:r>
        <w:rPr>
          <w:rFonts w:hint="eastAsia" w:ascii="宋体" w:hAnsi="宋体"/>
          <w:color w:val="auto"/>
          <w:szCs w:val="21"/>
          <w:highlight w:val="none"/>
        </w:rPr>
        <w:t>2.凡出现以上任何一项情形，结论均为无效，否则就为有效。</w:t>
      </w:r>
    </w:p>
    <w:p>
      <w:pPr>
        <w:ind w:firstLine="458"/>
        <w:rPr>
          <w:rFonts w:ascii="宋体" w:hAnsi="宋体"/>
          <w:color w:val="auto"/>
          <w:szCs w:val="21"/>
          <w:highlight w:val="none"/>
        </w:rPr>
      </w:pPr>
      <w:r>
        <w:rPr>
          <w:rFonts w:hint="eastAsia" w:ascii="宋体" w:hAnsi="宋体"/>
          <w:color w:val="auto"/>
          <w:szCs w:val="21"/>
          <w:highlight w:val="none"/>
        </w:rPr>
        <w:t>3.如对本表中某种情形的评审意见不一致时，以评标委员会过半数成员的意见作为评标委员会对该情形的认定结论。</w:t>
      </w:r>
    </w:p>
    <w:p>
      <w:pPr>
        <w:ind w:firstLine="458"/>
        <w:rPr>
          <w:rFonts w:ascii="宋体" w:hAnsi="宋体"/>
          <w:color w:val="auto"/>
          <w:szCs w:val="21"/>
          <w:highlight w:val="none"/>
        </w:rPr>
      </w:pPr>
      <w:r>
        <w:rPr>
          <w:rFonts w:hint="eastAsia" w:ascii="宋体" w:hAnsi="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37"/>
        <w:ind w:firstLine="458"/>
        <w:rPr>
          <w:rFonts w:ascii="宋体" w:hAnsi="宋体" w:eastAsia="宋体"/>
          <w:color w:val="auto"/>
          <w:sz w:val="21"/>
          <w:szCs w:val="21"/>
          <w:highlight w:val="none"/>
        </w:rPr>
        <w:sectPr>
          <w:footerReference r:id="rId13" w:type="first"/>
          <w:footerReference r:id="rId12" w:type="default"/>
          <w:endnotePr>
            <w:numFmt w:val="decimal"/>
          </w:endnotePr>
          <w:pgSz w:w="16838" w:h="11906" w:orient="landscape"/>
          <w:pgMar w:top="1418" w:right="1247" w:bottom="1418" w:left="1134" w:header="851" w:footer="907" w:gutter="0"/>
          <w:pgNumType w:fmt="decimal"/>
          <w:cols w:space="720" w:num="1"/>
          <w:titlePg/>
          <w:docGrid w:type="lines" w:linePitch="312" w:charSpace="0"/>
        </w:sectPr>
      </w:pPr>
      <w:r>
        <w:rPr>
          <w:rFonts w:hint="eastAsia" w:ascii="宋体" w:hAnsi="宋体" w:eastAsia="宋体"/>
          <w:color w:val="auto"/>
          <w:kern w:val="2"/>
          <w:sz w:val="21"/>
          <w:szCs w:val="21"/>
          <w:highlight w:val="none"/>
        </w:rPr>
        <w:t>评委签名</w:t>
      </w:r>
      <w:r>
        <w:rPr>
          <w:rFonts w:hint="eastAsia" w:ascii="宋体" w:hAnsi="宋体" w:eastAsia="宋体"/>
          <w:color w:val="auto"/>
          <w:sz w:val="21"/>
          <w:szCs w:val="21"/>
          <w:highlight w:val="none"/>
        </w:rPr>
        <w:t>：</w:t>
      </w:r>
    </w:p>
    <w:p>
      <w:pPr>
        <w:spacing w:line="320" w:lineRule="exact"/>
        <w:rPr>
          <w:rFonts w:ascii="宋体" w:hAnsi="宋体"/>
          <w:b/>
          <w:color w:val="auto"/>
          <w:szCs w:val="21"/>
          <w:highlight w:val="none"/>
        </w:rPr>
      </w:pPr>
      <w:r>
        <w:rPr>
          <w:rFonts w:hint="eastAsia" w:ascii="宋体" w:hAnsi="宋体" w:cs="宋体"/>
          <w:color w:val="auto"/>
          <w:szCs w:val="21"/>
          <w:highlight w:val="none"/>
        </w:rPr>
        <w:t>附表四</w:t>
      </w:r>
    </w:p>
    <w:p>
      <w:pPr>
        <w:adjustRightInd w:val="0"/>
        <w:snapToGrid w:val="0"/>
        <w:jc w:val="center"/>
        <w:rPr>
          <w:rFonts w:ascii="宋体" w:hAnsi="Calibri"/>
          <w:b/>
          <w:color w:val="auto"/>
          <w:sz w:val="36"/>
          <w:szCs w:val="36"/>
          <w:highlight w:val="none"/>
        </w:rPr>
      </w:pPr>
      <w:r>
        <w:rPr>
          <w:rFonts w:hint="eastAsia" w:ascii="宋体" w:hAnsi="Calibri"/>
          <w:b/>
          <w:color w:val="auto"/>
          <w:sz w:val="36"/>
          <w:szCs w:val="36"/>
          <w:highlight w:val="none"/>
        </w:rPr>
        <w:t>技术标详细审查评分表</w:t>
      </w:r>
    </w:p>
    <w:p>
      <w:pPr>
        <w:rPr>
          <w:rFonts w:ascii="Calibri" w:hAnsi="Calibri"/>
          <w:color w:val="auto"/>
          <w:szCs w:val="21"/>
          <w:highlight w:val="none"/>
          <w:lang w:val="zh-CN"/>
        </w:rPr>
      </w:pPr>
    </w:p>
    <w:tbl>
      <w:tblPr>
        <w:tblStyle w:val="39"/>
        <w:tblW w:w="14770"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688"/>
        <w:gridCol w:w="1718"/>
        <w:gridCol w:w="900"/>
        <w:gridCol w:w="11464"/>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7" w:hRule="atLeast"/>
          <w:tblHeader/>
          <w:jc w:val="center"/>
        </w:trPr>
        <w:tc>
          <w:tcPr>
            <w:tcW w:w="688" w:type="dxa"/>
            <w:shd w:val="clear" w:color="auto" w:fill="FFFFFF"/>
            <w:vAlign w:val="center"/>
          </w:tcPr>
          <w:p>
            <w:pPr>
              <w:widowControl/>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718" w:type="dxa"/>
            <w:shd w:val="clear" w:color="auto" w:fill="FFFFFF"/>
            <w:vAlign w:val="center"/>
          </w:tcPr>
          <w:p>
            <w:pPr>
              <w:widowControl/>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评分项目</w:t>
            </w:r>
          </w:p>
        </w:tc>
        <w:tc>
          <w:tcPr>
            <w:tcW w:w="900" w:type="dxa"/>
            <w:shd w:val="clear" w:color="auto" w:fill="FFFFFF"/>
            <w:vAlign w:val="center"/>
          </w:tcPr>
          <w:p>
            <w:pPr>
              <w:widowControl/>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分值</w:t>
            </w:r>
          </w:p>
        </w:tc>
        <w:tc>
          <w:tcPr>
            <w:tcW w:w="11464" w:type="dxa"/>
            <w:shd w:val="clear" w:color="auto" w:fill="FFFFFF"/>
            <w:vAlign w:val="center"/>
          </w:tcPr>
          <w:p>
            <w:pPr>
              <w:widowControl/>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4" w:hRule="atLeast"/>
          <w:jc w:val="center"/>
        </w:trPr>
        <w:tc>
          <w:tcPr>
            <w:tcW w:w="688" w:type="dxa"/>
            <w:shd w:val="clear" w:color="auto" w:fill="FFFFFF"/>
            <w:vAlign w:val="center"/>
          </w:tcPr>
          <w:p>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718" w:type="dxa"/>
            <w:shd w:val="clear" w:color="auto" w:fill="FFFFFF"/>
            <w:vAlign w:val="center"/>
          </w:tcPr>
          <w:p>
            <w:pPr>
              <w:adjustRightInd w:val="0"/>
              <w:snapToGrid w:val="0"/>
              <w:spacing w:line="360" w:lineRule="auto"/>
              <w:ind w:left="-65" w:leftChars="-31" w:right="-48" w:rightChars="-23"/>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施工组织设计</w:t>
            </w:r>
          </w:p>
        </w:tc>
        <w:tc>
          <w:tcPr>
            <w:tcW w:w="900" w:type="dxa"/>
            <w:shd w:val="clear" w:color="auto" w:fill="FFFFFF"/>
            <w:vAlign w:val="center"/>
          </w:tcPr>
          <w:p>
            <w:pPr>
              <w:adjustRightInd w:val="0"/>
              <w:snapToGrid w:val="0"/>
              <w:spacing w:line="360" w:lineRule="auto"/>
              <w:ind w:left="-59" w:leftChars="-28" w:right="-50" w:rightChars="-24"/>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45</w:t>
            </w:r>
            <w:r>
              <w:rPr>
                <w:rFonts w:hint="eastAsia" w:ascii="宋体" w:hAnsi="宋体" w:cs="宋体"/>
                <w:color w:val="auto"/>
                <w:szCs w:val="21"/>
                <w:highlight w:val="none"/>
              </w:rPr>
              <w:t>分</w:t>
            </w:r>
          </w:p>
        </w:tc>
        <w:tc>
          <w:tcPr>
            <w:tcW w:w="11464"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ascii="宋体" w:hAnsi="宋体" w:eastAsia="宋体" w:cs="宋体"/>
                <w:color w:val="auto"/>
                <w:kern w:val="2"/>
                <w:sz w:val="21"/>
                <w:szCs w:val="21"/>
                <w:highlight w:val="none"/>
                <w:lang w:val="en-US" w:eastAsia="zh-CN" w:bidi="ar-SA"/>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4" w:hRule="atLeast"/>
          <w:jc w:val="center"/>
        </w:trPr>
        <w:tc>
          <w:tcPr>
            <w:tcW w:w="688" w:type="dxa"/>
            <w:shd w:val="clear" w:color="auto" w:fill="FFFFFF"/>
            <w:vAlign w:val="center"/>
          </w:tcPr>
          <w:p>
            <w:pPr>
              <w:adjustRightInd w:val="0"/>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1.1</w:t>
            </w:r>
          </w:p>
        </w:tc>
        <w:tc>
          <w:tcPr>
            <w:tcW w:w="1718" w:type="dxa"/>
            <w:shd w:val="clear" w:color="auto" w:fill="FFFFFF"/>
            <w:vAlign w:val="center"/>
          </w:tcPr>
          <w:p>
            <w:pPr>
              <w:adjustRightInd w:val="0"/>
              <w:snapToGrid w:val="0"/>
              <w:spacing w:line="360" w:lineRule="auto"/>
              <w:ind w:left="-65" w:leftChars="-31" w:right="-48" w:rightChars="-23"/>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工期计划</w:t>
            </w:r>
          </w:p>
        </w:tc>
        <w:tc>
          <w:tcPr>
            <w:tcW w:w="900" w:type="dxa"/>
            <w:shd w:val="clear" w:color="auto" w:fill="FFFFFF"/>
            <w:vAlign w:val="center"/>
          </w:tcPr>
          <w:p>
            <w:pPr>
              <w:adjustRightInd w:val="0"/>
              <w:snapToGrid w:val="0"/>
              <w:spacing w:line="360" w:lineRule="auto"/>
              <w:ind w:left="-59" w:leftChars="-28" w:right="-50" w:rightChars="-24"/>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7分</w:t>
            </w:r>
          </w:p>
        </w:tc>
        <w:tc>
          <w:tcPr>
            <w:tcW w:w="11464"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【优】制定了施工进度计划并有进度计划保证措施，</w:t>
            </w:r>
            <w:r>
              <w:rPr>
                <w:rFonts w:hint="eastAsia" w:ascii="宋体" w:hAnsi="宋体" w:cs="宋体"/>
                <w:color w:val="auto"/>
                <w:szCs w:val="21"/>
                <w:highlight w:val="none"/>
                <w:lang w:val="en-US" w:eastAsia="zh-CN"/>
              </w:rPr>
              <w:t>可行性强的，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[7,5)</w:t>
            </w:r>
            <w:r>
              <w:rPr>
                <w:rFonts w:hint="eastAsia" w:ascii="宋体" w:hAnsi="宋体" w:cs="宋体"/>
                <w:color w:val="auto"/>
                <w:szCs w:val="21"/>
                <w:highlight w:val="none"/>
              </w:rPr>
              <w:t>分。</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【良】制定了施工进度计划并有进度计划保证措施，</w:t>
            </w:r>
            <w:r>
              <w:rPr>
                <w:rFonts w:hint="eastAsia" w:ascii="宋体" w:hAnsi="宋体" w:cs="宋体"/>
                <w:color w:val="auto"/>
                <w:szCs w:val="21"/>
                <w:highlight w:val="none"/>
                <w:lang w:val="en-US" w:eastAsia="zh-CN"/>
              </w:rPr>
              <w:t>可行性较强的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[5,3）</w:t>
            </w:r>
            <w:r>
              <w:rPr>
                <w:rFonts w:hint="eastAsia" w:ascii="宋体" w:hAnsi="宋体" w:cs="宋体"/>
                <w:color w:val="auto"/>
                <w:szCs w:val="21"/>
                <w:highlight w:val="none"/>
              </w:rPr>
              <w:t>分。</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【中】</w:t>
            </w:r>
            <w:r>
              <w:rPr>
                <w:rFonts w:hint="eastAsia" w:ascii="宋体" w:hAnsi="宋体" w:cs="宋体"/>
                <w:color w:val="auto"/>
                <w:szCs w:val="21"/>
                <w:highlight w:val="none"/>
                <w:lang w:val="en-US" w:eastAsia="zh-CN"/>
              </w:rPr>
              <w:t>制定</w:t>
            </w:r>
            <w:r>
              <w:rPr>
                <w:rFonts w:hint="eastAsia" w:ascii="宋体" w:hAnsi="宋体" w:cs="宋体"/>
                <w:color w:val="auto"/>
                <w:kern w:val="2"/>
                <w:sz w:val="21"/>
                <w:szCs w:val="21"/>
                <w:highlight w:val="none"/>
              </w:rPr>
              <w:t>了施工进度计划并有进度计划保证措施，</w:t>
            </w:r>
            <w:r>
              <w:rPr>
                <w:rFonts w:hint="eastAsia" w:ascii="宋体" w:hAnsi="宋体" w:cs="宋体"/>
                <w:color w:val="auto"/>
                <w:kern w:val="2"/>
                <w:sz w:val="21"/>
                <w:szCs w:val="21"/>
                <w:highlight w:val="none"/>
                <w:lang w:val="en-US" w:eastAsia="zh-CN"/>
              </w:rPr>
              <w:t>可行性一般的</w:t>
            </w:r>
            <w:r>
              <w:rPr>
                <w:rFonts w:hint="eastAsia" w:ascii="宋体" w:hAnsi="宋体" w:cs="宋体"/>
                <w:color w:val="auto"/>
                <w:kern w:val="2"/>
                <w:sz w:val="21"/>
                <w:szCs w:val="21"/>
                <w:highlight w:val="none"/>
              </w:rPr>
              <w:t>，得</w:t>
            </w:r>
            <w:r>
              <w:rPr>
                <w:rFonts w:hint="eastAsia" w:ascii="宋体" w:hAnsi="宋体" w:cs="宋体"/>
                <w:color w:val="auto"/>
                <w:kern w:val="2"/>
                <w:sz w:val="21"/>
                <w:szCs w:val="21"/>
                <w:highlight w:val="none"/>
                <w:lang w:val="en-US" w:eastAsia="zh-CN"/>
              </w:rPr>
              <w:t>[3,1)</w:t>
            </w:r>
            <w:r>
              <w:rPr>
                <w:rFonts w:hint="eastAsia" w:ascii="宋体" w:hAnsi="宋体" w:cs="宋体"/>
                <w:color w:val="auto"/>
                <w:kern w:val="2"/>
                <w:sz w:val="21"/>
                <w:szCs w:val="21"/>
                <w:highlight w:val="none"/>
              </w:rPr>
              <w:t>分</w:t>
            </w:r>
            <w:r>
              <w:rPr>
                <w:rFonts w:hint="eastAsia" w:ascii="宋体" w:hAnsi="宋体" w:cs="宋体"/>
                <w:color w:val="auto"/>
                <w:szCs w:val="21"/>
                <w:highlight w:val="none"/>
              </w:rPr>
              <w:t>。</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【差】</w:t>
            </w:r>
            <w:r>
              <w:rPr>
                <w:rFonts w:hint="eastAsia" w:ascii="宋体" w:hAnsi="宋体" w:cs="宋体"/>
                <w:color w:val="auto"/>
                <w:szCs w:val="21"/>
                <w:highlight w:val="none"/>
                <w:lang w:val="en-US" w:eastAsia="zh-CN"/>
              </w:rPr>
              <w:t>制定</w:t>
            </w:r>
            <w:r>
              <w:rPr>
                <w:rFonts w:hint="eastAsia" w:ascii="宋体" w:hAnsi="宋体" w:cs="宋体"/>
                <w:color w:val="auto"/>
                <w:kern w:val="2"/>
                <w:sz w:val="21"/>
                <w:szCs w:val="21"/>
                <w:highlight w:val="none"/>
              </w:rPr>
              <w:t>了施工进度计划并有进度计划保证措施，</w:t>
            </w:r>
            <w:r>
              <w:rPr>
                <w:rFonts w:hint="eastAsia" w:ascii="宋体" w:hAnsi="宋体" w:cs="宋体"/>
                <w:color w:val="auto"/>
                <w:kern w:val="2"/>
                <w:sz w:val="21"/>
                <w:szCs w:val="21"/>
                <w:highlight w:val="none"/>
                <w:lang w:val="en-US" w:eastAsia="zh-CN"/>
              </w:rPr>
              <w:t>可行性较差或</w:t>
            </w:r>
            <w:r>
              <w:rPr>
                <w:rFonts w:hint="eastAsia" w:ascii="宋体" w:hAnsi="宋体" w:cs="宋体"/>
                <w:color w:val="auto"/>
                <w:kern w:val="2"/>
                <w:sz w:val="21"/>
                <w:szCs w:val="21"/>
                <w:highlight w:val="none"/>
              </w:rPr>
              <w:t>无施工进度计划和进度计划保证措施</w:t>
            </w:r>
            <w:r>
              <w:rPr>
                <w:rFonts w:hint="eastAsia" w:ascii="宋体" w:hAnsi="宋体" w:cs="宋体"/>
                <w:color w:val="auto"/>
                <w:kern w:val="2"/>
                <w:sz w:val="21"/>
                <w:szCs w:val="21"/>
                <w:highlight w:val="none"/>
                <w:lang w:val="en-US" w:eastAsia="zh-CN"/>
              </w:rPr>
              <w:t>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4" w:hRule="atLeast"/>
          <w:jc w:val="center"/>
        </w:trPr>
        <w:tc>
          <w:tcPr>
            <w:tcW w:w="688" w:type="dxa"/>
            <w:shd w:val="clear" w:color="auto" w:fill="FFFFFF"/>
            <w:vAlign w:val="center"/>
          </w:tcPr>
          <w:p>
            <w:pPr>
              <w:adjustRightInd w:val="0"/>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1718" w:type="dxa"/>
            <w:shd w:val="clear" w:color="auto" w:fill="FFFFFF"/>
            <w:vAlign w:val="center"/>
          </w:tcPr>
          <w:p>
            <w:pPr>
              <w:adjustRightInd w:val="0"/>
              <w:snapToGrid w:val="0"/>
              <w:spacing w:line="360" w:lineRule="auto"/>
              <w:ind w:left="-65" w:leftChars="-31" w:right="-48" w:rightChars="-23"/>
              <w:jc w:val="center"/>
              <w:rPr>
                <w:rFonts w:hint="eastAsia" w:ascii="宋体" w:hAnsi="宋体" w:cs="宋体"/>
                <w:color w:val="auto"/>
                <w:szCs w:val="21"/>
                <w:highlight w:val="none"/>
              </w:rPr>
            </w:pPr>
            <w:r>
              <w:rPr>
                <w:rFonts w:hint="eastAsia" w:ascii="宋体" w:hAnsi="宋体" w:cs="宋体"/>
                <w:color w:val="auto"/>
                <w:szCs w:val="21"/>
                <w:highlight w:val="none"/>
              </w:rPr>
              <w:t>劳动力投入措施</w:t>
            </w:r>
          </w:p>
        </w:tc>
        <w:tc>
          <w:tcPr>
            <w:tcW w:w="900" w:type="dxa"/>
            <w:shd w:val="clear" w:color="auto" w:fill="FFFFFF"/>
            <w:vAlign w:val="center"/>
          </w:tcPr>
          <w:p>
            <w:pPr>
              <w:adjustRightInd w:val="0"/>
              <w:snapToGrid w:val="0"/>
              <w:spacing w:line="360" w:lineRule="auto"/>
              <w:ind w:left="-59" w:leftChars="-28" w:right="-50" w:rightChars="-24"/>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7分</w:t>
            </w:r>
          </w:p>
        </w:tc>
        <w:tc>
          <w:tcPr>
            <w:tcW w:w="11464"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【优】有劳动力保证措施、专业劳务队伍投入计划，配有施工高峰期拟投入的劳动力专项方案，</w:t>
            </w:r>
            <w:r>
              <w:rPr>
                <w:rFonts w:hint="eastAsia" w:ascii="宋体" w:hAnsi="宋体" w:cs="宋体"/>
                <w:color w:val="auto"/>
                <w:szCs w:val="21"/>
                <w:highlight w:val="none"/>
                <w:lang w:val="en-US" w:eastAsia="zh-CN"/>
              </w:rPr>
              <w:t>可行性强的，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[7,5)</w:t>
            </w:r>
            <w:r>
              <w:rPr>
                <w:rFonts w:hint="eastAsia" w:ascii="宋体" w:hAnsi="宋体" w:cs="宋体"/>
                <w:color w:val="auto"/>
                <w:szCs w:val="21"/>
                <w:highlight w:val="none"/>
              </w:rPr>
              <w:t>分。</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【良】有劳动力保证措施、专业劳务队伍投入计划的，</w:t>
            </w:r>
            <w:r>
              <w:rPr>
                <w:rFonts w:hint="eastAsia" w:ascii="宋体" w:hAnsi="宋体" w:cs="宋体"/>
                <w:color w:val="auto"/>
                <w:szCs w:val="21"/>
                <w:highlight w:val="none"/>
                <w:lang w:val="en-US" w:eastAsia="zh-CN"/>
              </w:rPr>
              <w:t>可行性较强的，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[5,3）</w:t>
            </w:r>
            <w:r>
              <w:rPr>
                <w:rFonts w:hint="eastAsia" w:ascii="宋体" w:hAnsi="宋体" w:cs="宋体"/>
                <w:color w:val="auto"/>
                <w:szCs w:val="21"/>
                <w:highlight w:val="none"/>
              </w:rPr>
              <w:t>分。</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【中】仅有劳动力保证措施，</w:t>
            </w:r>
            <w:r>
              <w:rPr>
                <w:rFonts w:hint="eastAsia" w:ascii="宋体" w:hAnsi="宋体" w:cs="宋体"/>
                <w:color w:val="auto"/>
                <w:szCs w:val="21"/>
                <w:highlight w:val="none"/>
                <w:lang w:val="en-US" w:eastAsia="zh-CN"/>
              </w:rPr>
              <w:t>可行性一般的，</w:t>
            </w:r>
            <w:r>
              <w:rPr>
                <w:rFonts w:hint="eastAsia" w:ascii="宋体" w:hAnsi="宋体" w:cs="宋体"/>
                <w:color w:val="auto"/>
                <w:szCs w:val="21"/>
                <w:highlight w:val="none"/>
              </w:rPr>
              <w:t>得</w:t>
            </w:r>
            <w:r>
              <w:rPr>
                <w:rFonts w:hint="eastAsia" w:ascii="宋体" w:hAnsi="宋体" w:cs="宋体"/>
                <w:color w:val="auto"/>
                <w:kern w:val="2"/>
                <w:sz w:val="21"/>
                <w:szCs w:val="21"/>
                <w:highlight w:val="none"/>
                <w:lang w:val="en-US" w:eastAsia="zh-CN"/>
              </w:rPr>
              <w:t>[3,1)</w:t>
            </w:r>
            <w:r>
              <w:rPr>
                <w:rFonts w:hint="eastAsia" w:ascii="宋体" w:hAnsi="宋体" w:cs="宋体"/>
                <w:color w:val="auto"/>
                <w:szCs w:val="21"/>
                <w:highlight w:val="none"/>
              </w:rPr>
              <w:t>分。</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【差】仅有劳动力保证措施，</w:t>
            </w:r>
            <w:r>
              <w:rPr>
                <w:rFonts w:hint="eastAsia" w:ascii="宋体" w:hAnsi="宋体" w:cs="宋体"/>
                <w:color w:val="auto"/>
                <w:szCs w:val="21"/>
                <w:highlight w:val="none"/>
                <w:lang w:val="en-US" w:eastAsia="zh-CN"/>
              </w:rPr>
              <w:t>可行性较差或</w:t>
            </w:r>
            <w:r>
              <w:rPr>
                <w:rFonts w:hint="eastAsia" w:ascii="宋体" w:hAnsi="宋体" w:cs="宋体"/>
                <w:color w:val="auto"/>
                <w:kern w:val="2"/>
                <w:sz w:val="21"/>
                <w:szCs w:val="21"/>
                <w:highlight w:val="none"/>
              </w:rPr>
              <w:t>无劳动力保证措施</w:t>
            </w:r>
            <w:r>
              <w:rPr>
                <w:rFonts w:hint="eastAsia" w:ascii="宋体" w:hAnsi="宋体" w:cs="宋体"/>
                <w:color w:val="auto"/>
                <w:kern w:val="2"/>
                <w:sz w:val="21"/>
                <w:szCs w:val="21"/>
                <w:highlight w:val="none"/>
                <w:lang w:val="en-US" w:eastAsia="zh-CN"/>
              </w:rPr>
              <w:t>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4" w:hRule="atLeast"/>
          <w:jc w:val="center"/>
        </w:trPr>
        <w:tc>
          <w:tcPr>
            <w:tcW w:w="688" w:type="dxa"/>
            <w:shd w:val="clear" w:color="auto" w:fill="FFFFFF"/>
            <w:vAlign w:val="center"/>
          </w:tcPr>
          <w:p>
            <w:pPr>
              <w:adjustRightInd w:val="0"/>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1.3</w:t>
            </w:r>
          </w:p>
        </w:tc>
        <w:tc>
          <w:tcPr>
            <w:tcW w:w="1718" w:type="dxa"/>
            <w:shd w:val="clear" w:color="auto" w:fill="FFFFFF"/>
            <w:vAlign w:val="center"/>
          </w:tcPr>
          <w:p>
            <w:pPr>
              <w:widowControl/>
              <w:adjustRightInd w:val="0"/>
              <w:snapToGrid w:val="0"/>
              <w:spacing w:line="360" w:lineRule="auto"/>
              <w:ind w:left="-65" w:leftChars="-31" w:right="-48" w:rightChars="-23"/>
              <w:jc w:val="cente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重点难点</w:t>
            </w:r>
          </w:p>
          <w:p>
            <w:pPr>
              <w:adjustRightInd w:val="0"/>
              <w:snapToGrid w:val="0"/>
              <w:spacing w:line="360" w:lineRule="auto"/>
              <w:ind w:left="-65" w:leftChars="-31" w:right="-48" w:rightChars="-23"/>
              <w:jc w:val="center"/>
              <w:rPr>
                <w:rFonts w:hint="eastAsia" w:ascii="宋体" w:hAnsi="宋体" w:cs="宋体"/>
                <w:color w:val="auto"/>
                <w:szCs w:val="21"/>
                <w:highlight w:val="none"/>
              </w:rPr>
            </w:pPr>
            <w:r>
              <w:rPr>
                <w:rFonts w:hint="eastAsia" w:ascii="宋体" w:hAnsi="宋体" w:cs="宋体"/>
                <w:color w:val="auto"/>
                <w:kern w:val="2"/>
                <w:sz w:val="21"/>
                <w:szCs w:val="21"/>
                <w:highlight w:val="none"/>
              </w:rPr>
              <w:t>分析</w:t>
            </w:r>
          </w:p>
        </w:tc>
        <w:tc>
          <w:tcPr>
            <w:tcW w:w="900" w:type="dxa"/>
            <w:shd w:val="clear" w:color="auto" w:fill="FFFFFF"/>
            <w:vAlign w:val="center"/>
          </w:tcPr>
          <w:p>
            <w:pPr>
              <w:adjustRightInd w:val="0"/>
              <w:snapToGrid w:val="0"/>
              <w:spacing w:line="360" w:lineRule="auto"/>
              <w:ind w:left="-59" w:leftChars="-28" w:right="-50" w:rightChars="-24"/>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12分</w:t>
            </w:r>
          </w:p>
        </w:tc>
        <w:tc>
          <w:tcPr>
            <w:tcW w:w="11464"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【优】根据项目现场情况及特点，提出项目实施的重点、难点及采取的相应措施。针对</w:t>
            </w:r>
            <w:r>
              <w:rPr>
                <w:rFonts w:hint="eastAsia" w:ascii="宋体" w:hAnsi="宋体" w:cs="宋体"/>
                <w:color w:val="auto"/>
                <w:szCs w:val="21"/>
                <w:highlight w:val="none"/>
                <w:lang w:val="en-US" w:eastAsia="zh-CN"/>
              </w:rPr>
              <w:t>性</w:t>
            </w:r>
            <w:r>
              <w:rPr>
                <w:rFonts w:hint="eastAsia" w:ascii="宋体" w:hAnsi="宋体" w:cs="宋体"/>
                <w:color w:val="auto"/>
                <w:szCs w:val="21"/>
                <w:highlight w:val="none"/>
              </w:rPr>
              <w:t>强、措施具体可行</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包括但不限于针对钢筋混凝土筒仓的滑模、气密性及大跨度钢结构吊装等施工难点分析及应对措施</w:t>
            </w:r>
            <w:r>
              <w:rPr>
                <w:rFonts w:hint="eastAsia" w:ascii="宋体" w:hAnsi="宋体" w:cs="宋体"/>
                <w:color w:val="auto"/>
                <w:szCs w:val="21"/>
                <w:highlight w:val="none"/>
                <w:lang w:eastAsia="zh-CN"/>
              </w:rPr>
              <w:t>）</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[12,9)</w:t>
            </w:r>
            <w:r>
              <w:rPr>
                <w:rFonts w:hint="eastAsia" w:ascii="宋体" w:hAnsi="宋体" w:cs="宋体"/>
                <w:color w:val="auto"/>
                <w:szCs w:val="21"/>
                <w:highlight w:val="none"/>
              </w:rPr>
              <w:t>分。</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【良】根据项目现场情况及特点，提出项目实施的重点、难点及采取的相应措施。针对</w:t>
            </w:r>
            <w:r>
              <w:rPr>
                <w:rFonts w:hint="eastAsia" w:ascii="宋体" w:hAnsi="宋体" w:cs="宋体"/>
                <w:color w:val="auto"/>
                <w:szCs w:val="21"/>
                <w:highlight w:val="none"/>
                <w:lang w:val="en-US" w:eastAsia="zh-CN"/>
              </w:rPr>
              <w:t>性</w:t>
            </w:r>
            <w:r>
              <w:rPr>
                <w:rFonts w:hint="eastAsia" w:ascii="宋体" w:hAnsi="宋体" w:cs="宋体"/>
                <w:color w:val="auto"/>
                <w:szCs w:val="21"/>
                <w:highlight w:val="none"/>
              </w:rPr>
              <w:t>较好、措施较可行</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包括但不限于针对钢筋混凝土筒仓的滑模、气密性及大跨度钢结构吊装等施工难点分析及应对措施</w:t>
            </w:r>
            <w:r>
              <w:rPr>
                <w:rFonts w:hint="eastAsia" w:ascii="宋体" w:hAnsi="宋体" w:cs="宋体"/>
                <w:color w:val="auto"/>
                <w:szCs w:val="21"/>
                <w:highlight w:val="none"/>
                <w:lang w:eastAsia="zh-CN"/>
              </w:rPr>
              <w:t>）</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[9,6）</w:t>
            </w:r>
            <w:r>
              <w:rPr>
                <w:rFonts w:hint="eastAsia" w:ascii="宋体" w:hAnsi="宋体" w:cs="宋体"/>
                <w:color w:val="auto"/>
                <w:szCs w:val="21"/>
                <w:highlight w:val="none"/>
              </w:rPr>
              <w:t>分。</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【中】根据项目现场情况及特点，提出项目实施的重点、难点及采取的相应措施。针对</w:t>
            </w:r>
            <w:r>
              <w:rPr>
                <w:rFonts w:hint="eastAsia" w:ascii="宋体" w:hAnsi="宋体" w:cs="宋体"/>
                <w:color w:val="auto"/>
                <w:szCs w:val="21"/>
                <w:highlight w:val="none"/>
                <w:lang w:val="en-US" w:eastAsia="zh-CN"/>
              </w:rPr>
              <w:t>性</w:t>
            </w:r>
            <w:r>
              <w:rPr>
                <w:rFonts w:hint="eastAsia" w:ascii="宋体" w:hAnsi="宋体" w:cs="宋体"/>
                <w:color w:val="auto"/>
                <w:szCs w:val="21"/>
                <w:highlight w:val="none"/>
              </w:rPr>
              <w:t>一般、措施一般</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包括但不限于针对钢筋混凝土筒仓的滑模、气密性及大跨度钢结构吊装等施工难点分析及应对措施</w:t>
            </w:r>
            <w:r>
              <w:rPr>
                <w:rFonts w:hint="eastAsia" w:ascii="宋体" w:hAnsi="宋体" w:cs="宋体"/>
                <w:color w:val="auto"/>
                <w:szCs w:val="21"/>
                <w:highlight w:val="none"/>
                <w:lang w:eastAsia="zh-CN"/>
              </w:rPr>
              <w:t>）</w:t>
            </w:r>
            <w:r>
              <w:rPr>
                <w:rFonts w:hint="eastAsia" w:ascii="宋体" w:hAnsi="宋体" w:cs="宋体"/>
                <w:color w:val="auto"/>
                <w:szCs w:val="21"/>
                <w:highlight w:val="none"/>
              </w:rPr>
              <w:t>，得</w:t>
            </w:r>
            <w:r>
              <w:rPr>
                <w:rFonts w:hint="eastAsia" w:ascii="宋体" w:hAnsi="宋体" w:cs="宋体"/>
                <w:color w:val="auto"/>
                <w:kern w:val="2"/>
                <w:sz w:val="21"/>
                <w:szCs w:val="21"/>
                <w:highlight w:val="none"/>
                <w:lang w:val="en-US" w:eastAsia="zh-CN"/>
              </w:rPr>
              <w:t>[6,3)</w:t>
            </w:r>
            <w:r>
              <w:rPr>
                <w:rFonts w:hint="eastAsia" w:ascii="宋体" w:hAnsi="宋体" w:cs="宋体"/>
                <w:color w:val="auto"/>
                <w:szCs w:val="21"/>
                <w:highlight w:val="none"/>
              </w:rPr>
              <w:t>分。</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【差】根据项目现场情况及特点，提出项目实施的重点、难点及采取的相应措施。针对</w:t>
            </w:r>
            <w:r>
              <w:rPr>
                <w:rFonts w:hint="eastAsia" w:ascii="宋体" w:hAnsi="宋体" w:cs="宋体"/>
                <w:color w:val="auto"/>
                <w:szCs w:val="21"/>
                <w:highlight w:val="none"/>
                <w:lang w:val="en-US" w:eastAsia="zh-CN"/>
              </w:rPr>
              <w:t>性较差</w:t>
            </w:r>
            <w:r>
              <w:rPr>
                <w:rFonts w:hint="eastAsia" w:ascii="宋体" w:hAnsi="宋体" w:cs="宋体"/>
                <w:color w:val="auto"/>
                <w:szCs w:val="21"/>
                <w:highlight w:val="none"/>
              </w:rPr>
              <w:t>、措施</w:t>
            </w:r>
            <w:r>
              <w:rPr>
                <w:rFonts w:hint="eastAsia" w:ascii="宋体" w:hAnsi="宋体" w:cs="宋体"/>
                <w:color w:val="auto"/>
                <w:szCs w:val="21"/>
                <w:highlight w:val="none"/>
                <w:lang w:val="en-US" w:eastAsia="zh-CN"/>
              </w:rPr>
              <w:t>较差或无重难点分析的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4" w:hRule="atLeast"/>
          <w:jc w:val="center"/>
        </w:trPr>
        <w:tc>
          <w:tcPr>
            <w:tcW w:w="688" w:type="dxa"/>
            <w:shd w:val="clear" w:color="auto" w:fill="FFFFFF"/>
            <w:vAlign w:val="center"/>
          </w:tcPr>
          <w:p>
            <w:pPr>
              <w:adjustRightInd w:val="0"/>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1718" w:type="dxa"/>
            <w:shd w:val="clear" w:color="auto" w:fill="FFFFFF"/>
            <w:vAlign w:val="center"/>
          </w:tcPr>
          <w:p>
            <w:pPr>
              <w:adjustRightInd w:val="0"/>
              <w:snapToGrid w:val="0"/>
              <w:spacing w:line="360" w:lineRule="auto"/>
              <w:ind w:left="-65" w:leftChars="-31" w:right="-48" w:rightChars="-23"/>
              <w:jc w:val="center"/>
              <w:rPr>
                <w:rFonts w:hint="eastAsia" w:ascii="宋体" w:hAnsi="宋体" w:cs="宋体"/>
                <w:color w:val="auto"/>
                <w:szCs w:val="21"/>
                <w:highlight w:val="none"/>
              </w:rPr>
            </w:pPr>
            <w:r>
              <w:rPr>
                <w:rFonts w:hint="eastAsia" w:ascii="宋体" w:hAnsi="宋体" w:cs="宋体"/>
                <w:color w:val="auto"/>
                <w:kern w:val="2"/>
                <w:sz w:val="21"/>
                <w:szCs w:val="21"/>
                <w:highlight w:val="none"/>
              </w:rPr>
              <w:t>质量管理水平及保证措施</w:t>
            </w:r>
          </w:p>
        </w:tc>
        <w:tc>
          <w:tcPr>
            <w:tcW w:w="900" w:type="dxa"/>
            <w:shd w:val="clear" w:color="auto" w:fill="FFFFFF"/>
            <w:vAlign w:val="center"/>
          </w:tcPr>
          <w:p>
            <w:pPr>
              <w:adjustRightInd w:val="0"/>
              <w:snapToGrid w:val="0"/>
              <w:spacing w:line="360" w:lineRule="auto"/>
              <w:ind w:left="-59" w:leftChars="-28" w:right="-50" w:rightChars="-24"/>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12分</w:t>
            </w:r>
          </w:p>
        </w:tc>
        <w:tc>
          <w:tcPr>
            <w:tcW w:w="11464"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【优】</w:t>
            </w:r>
            <w:r>
              <w:rPr>
                <w:rFonts w:hint="eastAsia" w:ascii="宋体" w:hAnsi="宋体" w:cs="宋体"/>
                <w:color w:val="auto"/>
                <w:kern w:val="2"/>
                <w:sz w:val="21"/>
                <w:szCs w:val="21"/>
                <w:highlight w:val="none"/>
              </w:rPr>
              <w:t>有质量目标保证措施且质量目标符合招标文件要求，有质量保证体系</w:t>
            </w:r>
            <w:r>
              <w:rPr>
                <w:rFonts w:hint="eastAsia" w:ascii="宋体" w:hAnsi="宋体" w:cs="宋体"/>
                <w:color w:val="auto"/>
                <w:kern w:val="2"/>
                <w:sz w:val="21"/>
                <w:szCs w:val="21"/>
                <w:highlight w:val="none"/>
                <w:lang w:eastAsia="zh-CN"/>
              </w:rPr>
              <w:t>，</w:t>
            </w:r>
            <w:r>
              <w:rPr>
                <w:rFonts w:hint="eastAsia" w:ascii="宋体" w:hAnsi="宋体" w:cs="宋体"/>
                <w:color w:val="auto"/>
                <w:szCs w:val="21"/>
                <w:highlight w:val="none"/>
                <w:lang w:val="en-US" w:eastAsia="zh-CN"/>
              </w:rPr>
              <w:t>可行性强的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包括但不限于针对钢筋混凝土筒仓的滑模、气密性及大跨度钢结构吊装等施工质量管理保证措施</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[12,9)</w:t>
            </w:r>
            <w:r>
              <w:rPr>
                <w:rFonts w:hint="eastAsia" w:ascii="宋体" w:hAnsi="宋体" w:cs="宋体"/>
                <w:color w:val="auto"/>
                <w:szCs w:val="21"/>
                <w:highlight w:val="none"/>
              </w:rPr>
              <w:t>分。</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【良】</w:t>
            </w:r>
            <w:r>
              <w:rPr>
                <w:rFonts w:hint="eastAsia" w:ascii="宋体" w:hAnsi="宋体" w:cs="宋体"/>
                <w:color w:val="auto"/>
                <w:kern w:val="2"/>
                <w:sz w:val="21"/>
                <w:szCs w:val="21"/>
                <w:highlight w:val="none"/>
              </w:rPr>
              <w:t>有质量目标保证措施且质量目标符合招标文件要求，有质量保证体系</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可行性较强的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包括但不限于针对钢筋混凝土筒仓的滑模、气密性及大跨度钢结构吊装等施工质量管理保证措施</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[9,6）</w:t>
            </w:r>
            <w:r>
              <w:rPr>
                <w:rFonts w:hint="eastAsia" w:ascii="宋体" w:hAnsi="宋体" w:cs="宋体"/>
                <w:color w:val="auto"/>
                <w:szCs w:val="21"/>
                <w:highlight w:val="none"/>
              </w:rPr>
              <w:t>分。</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【中】</w:t>
            </w:r>
            <w:r>
              <w:rPr>
                <w:rFonts w:hint="eastAsia" w:ascii="宋体" w:hAnsi="宋体" w:cs="宋体"/>
                <w:color w:val="auto"/>
                <w:kern w:val="2"/>
                <w:sz w:val="21"/>
                <w:szCs w:val="21"/>
                <w:highlight w:val="none"/>
              </w:rPr>
              <w:t>有质量目标保证措施且质量目标符合招标文件要求</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可行性一般的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包括但不限于针对钢筋混凝土筒仓的滑模、气密性及大跨度钢结构吊装等施工质量管理保证措施</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得</w:t>
            </w:r>
            <w:r>
              <w:rPr>
                <w:rFonts w:hint="eastAsia" w:ascii="宋体" w:hAnsi="宋体" w:cs="宋体"/>
                <w:color w:val="auto"/>
                <w:kern w:val="2"/>
                <w:sz w:val="21"/>
                <w:szCs w:val="21"/>
                <w:highlight w:val="none"/>
                <w:lang w:val="en-US" w:eastAsia="zh-CN"/>
              </w:rPr>
              <w:t>[6,3)</w:t>
            </w:r>
            <w:r>
              <w:rPr>
                <w:rFonts w:hint="eastAsia" w:ascii="宋体" w:hAnsi="宋体" w:cs="宋体"/>
                <w:color w:val="auto"/>
                <w:szCs w:val="21"/>
                <w:highlight w:val="none"/>
              </w:rPr>
              <w:t>分。</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【差】</w:t>
            </w:r>
            <w:r>
              <w:rPr>
                <w:rFonts w:hint="eastAsia" w:ascii="宋体" w:hAnsi="宋体" w:cs="宋体"/>
                <w:color w:val="auto"/>
                <w:kern w:val="2"/>
                <w:sz w:val="21"/>
                <w:szCs w:val="21"/>
                <w:highlight w:val="none"/>
              </w:rPr>
              <w:t>有质量目标保证措施且质量目标符合招标文件要求</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可行性较差或</w:t>
            </w:r>
            <w:r>
              <w:rPr>
                <w:rFonts w:hint="eastAsia" w:ascii="宋体" w:hAnsi="宋体" w:cs="宋体"/>
                <w:color w:val="auto"/>
                <w:kern w:val="2"/>
                <w:sz w:val="21"/>
                <w:szCs w:val="21"/>
                <w:highlight w:val="none"/>
              </w:rPr>
              <w:t>无质量保证措施</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4" w:hRule="atLeast"/>
          <w:jc w:val="center"/>
        </w:trPr>
        <w:tc>
          <w:tcPr>
            <w:tcW w:w="688" w:type="dxa"/>
            <w:shd w:val="clear" w:color="auto" w:fill="FFFFFF"/>
            <w:vAlign w:val="center"/>
          </w:tcPr>
          <w:p>
            <w:pPr>
              <w:adjustRightInd w:val="0"/>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1718" w:type="dxa"/>
            <w:shd w:val="clear" w:color="auto" w:fill="FFFFFF"/>
            <w:vAlign w:val="center"/>
          </w:tcPr>
          <w:p>
            <w:pPr>
              <w:adjustRightInd w:val="0"/>
              <w:snapToGrid w:val="0"/>
              <w:spacing w:line="360" w:lineRule="auto"/>
              <w:ind w:left="-65" w:leftChars="-31" w:right="-48" w:rightChars="-23"/>
              <w:jc w:val="center"/>
              <w:rPr>
                <w:rFonts w:hint="eastAsia" w:ascii="宋体" w:hAnsi="宋体" w:cs="宋体"/>
                <w:color w:val="auto"/>
                <w:szCs w:val="21"/>
                <w:highlight w:val="none"/>
              </w:rPr>
            </w:pPr>
            <w:r>
              <w:rPr>
                <w:rFonts w:hint="eastAsia" w:ascii="宋体" w:hAnsi="宋体" w:cs="宋体"/>
                <w:color w:val="auto"/>
                <w:szCs w:val="21"/>
                <w:highlight w:val="none"/>
              </w:rPr>
              <w:t>安全文明施工措施</w:t>
            </w:r>
          </w:p>
        </w:tc>
        <w:tc>
          <w:tcPr>
            <w:tcW w:w="900" w:type="dxa"/>
            <w:shd w:val="clear" w:color="auto" w:fill="FFFFFF"/>
            <w:vAlign w:val="center"/>
          </w:tcPr>
          <w:p>
            <w:pPr>
              <w:adjustRightInd w:val="0"/>
              <w:snapToGrid w:val="0"/>
              <w:spacing w:line="360" w:lineRule="auto"/>
              <w:ind w:left="-59" w:leftChars="-28" w:right="-50" w:rightChars="-24"/>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7分</w:t>
            </w:r>
          </w:p>
        </w:tc>
        <w:tc>
          <w:tcPr>
            <w:tcW w:w="11464"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【优】</w:t>
            </w:r>
            <w:r>
              <w:rPr>
                <w:rFonts w:hint="eastAsia" w:ascii="宋体" w:hAnsi="宋体" w:cs="宋体"/>
                <w:color w:val="auto"/>
                <w:kern w:val="2"/>
                <w:sz w:val="21"/>
                <w:szCs w:val="21"/>
                <w:highlight w:val="none"/>
              </w:rPr>
              <w:t>制定了安全、文明施工保证体系和保证措施，</w:t>
            </w:r>
            <w:r>
              <w:rPr>
                <w:rFonts w:hint="eastAsia" w:ascii="宋体" w:hAnsi="宋体" w:cs="宋体"/>
                <w:color w:val="auto"/>
                <w:szCs w:val="21"/>
                <w:highlight w:val="none"/>
                <w:lang w:val="en-US" w:eastAsia="zh-CN"/>
              </w:rPr>
              <w:t>可行性强的，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[7,5)</w:t>
            </w:r>
            <w:r>
              <w:rPr>
                <w:rFonts w:hint="eastAsia" w:ascii="宋体" w:hAnsi="宋体" w:cs="宋体"/>
                <w:color w:val="auto"/>
                <w:szCs w:val="21"/>
                <w:highlight w:val="none"/>
              </w:rPr>
              <w:t>分。</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【良】</w:t>
            </w:r>
            <w:r>
              <w:rPr>
                <w:rFonts w:hint="eastAsia" w:ascii="宋体" w:hAnsi="宋体" w:cs="宋体"/>
                <w:color w:val="auto"/>
                <w:kern w:val="2"/>
                <w:sz w:val="21"/>
                <w:szCs w:val="21"/>
                <w:highlight w:val="none"/>
              </w:rPr>
              <w:t>制定了安全、文明施工保证体系和保证措施，</w:t>
            </w:r>
            <w:r>
              <w:rPr>
                <w:rFonts w:hint="eastAsia" w:ascii="宋体" w:hAnsi="宋体" w:cs="宋体"/>
                <w:color w:val="auto"/>
                <w:szCs w:val="21"/>
                <w:highlight w:val="none"/>
                <w:lang w:val="en-US" w:eastAsia="zh-CN"/>
              </w:rPr>
              <w:t>可行性较强的，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[5,3）</w:t>
            </w:r>
            <w:r>
              <w:rPr>
                <w:rFonts w:hint="eastAsia" w:ascii="宋体" w:hAnsi="宋体" w:cs="宋体"/>
                <w:color w:val="auto"/>
                <w:szCs w:val="21"/>
                <w:highlight w:val="none"/>
              </w:rPr>
              <w:t>分。</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【中】</w:t>
            </w:r>
            <w:r>
              <w:rPr>
                <w:rFonts w:hint="eastAsia" w:ascii="宋体" w:hAnsi="宋体" w:cs="宋体"/>
                <w:color w:val="auto"/>
                <w:kern w:val="2"/>
                <w:sz w:val="21"/>
                <w:szCs w:val="21"/>
                <w:highlight w:val="none"/>
              </w:rPr>
              <w:t>制定了安全、文明施工保证体系和保证措施</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可行性一般的，</w:t>
            </w:r>
            <w:r>
              <w:rPr>
                <w:rFonts w:hint="eastAsia" w:ascii="宋体" w:hAnsi="宋体" w:cs="宋体"/>
                <w:color w:val="auto"/>
                <w:szCs w:val="21"/>
                <w:highlight w:val="none"/>
              </w:rPr>
              <w:t>得</w:t>
            </w:r>
            <w:r>
              <w:rPr>
                <w:rFonts w:hint="eastAsia" w:ascii="宋体" w:hAnsi="宋体" w:cs="宋体"/>
                <w:color w:val="auto"/>
                <w:kern w:val="2"/>
                <w:sz w:val="21"/>
                <w:szCs w:val="21"/>
                <w:highlight w:val="none"/>
                <w:lang w:val="en-US" w:eastAsia="zh-CN"/>
              </w:rPr>
              <w:t>[3,1)</w:t>
            </w:r>
            <w:r>
              <w:rPr>
                <w:rFonts w:hint="eastAsia" w:ascii="宋体" w:hAnsi="宋体" w:cs="宋体"/>
                <w:color w:val="auto"/>
                <w:szCs w:val="21"/>
                <w:highlight w:val="none"/>
              </w:rPr>
              <w:t>分。</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【差】</w:t>
            </w:r>
            <w:r>
              <w:rPr>
                <w:rFonts w:hint="eastAsia" w:ascii="宋体" w:hAnsi="宋体" w:cs="宋体"/>
                <w:color w:val="auto"/>
                <w:kern w:val="2"/>
                <w:sz w:val="21"/>
                <w:szCs w:val="21"/>
                <w:highlight w:val="none"/>
              </w:rPr>
              <w:t>制定了安全、文明施工保证体系和保证措施</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可行性较差或</w:t>
            </w:r>
            <w:r>
              <w:rPr>
                <w:rFonts w:hint="eastAsia" w:ascii="宋体" w:hAnsi="宋体" w:cs="宋体"/>
                <w:color w:val="auto"/>
                <w:kern w:val="2"/>
                <w:sz w:val="21"/>
                <w:szCs w:val="21"/>
                <w:highlight w:val="none"/>
              </w:rPr>
              <w:t>无安全文明施工保证措施</w:t>
            </w:r>
            <w:r>
              <w:rPr>
                <w:rFonts w:hint="eastAsia" w:ascii="宋体" w:hAnsi="宋体" w:cs="宋体"/>
                <w:color w:val="auto"/>
                <w:kern w:val="2"/>
                <w:sz w:val="21"/>
                <w:szCs w:val="21"/>
                <w:highlight w:val="none"/>
                <w:lang w:val="en-US" w:eastAsia="zh-CN"/>
              </w:rPr>
              <w:t>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688" w:type="dxa"/>
            <w:shd w:val="clear" w:color="auto" w:fill="FFFFFF"/>
            <w:vAlign w:val="center"/>
          </w:tcPr>
          <w:p>
            <w:pPr>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2</w:t>
            </w:r>
          </w:p>
        </w:tc>
        <w:tc>
          <w:tcPr>
            <w:tcW w:w="1718" w:type="dxa"/>
            <w:shd w:val="clear" w:color="auto" w:fill="FFFFFF"/>
            <w:vAlign w:val="center"/>
          </w:tcPr>
          <w:p>
            <w:pPr>
              <w:adjustRightInd w:val="0"/>
              <w:snapToGrid w:val="0"/>
              <w:spacing w:line="360" w:lineRule="auto"/>
              <w:ind w:left="-65" w:leftChars="-31" w:right="-48" w:rightChars="-23"/>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项目管理机构</w:t>
            </w:r>
          </w:p>
        </w:tc>
        <w:tc>
          <w:tcPr>
            <w:tcW w:w="900" w:type="dxa"/>
            <w:shd w:val="clear" w:color="auto" w:fill="FFFFFF"/>
            <w:vAlign w:val="center"/>
          </w:tcPr>
          <w:p>
            <w:pPr>
              <w:adjustRightInd w:val="0"/>
              <w:snapToGrid w:val="0"/>
              <w:spacing w:line="360" w:lineRule="auto"/>
              <w:ind w:left="-59" w:leftChars="-28" w:right="-50" w:rightChars="-24"/>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分</w:t>
            </w:r>
          </w:p>
        </w:tc>
        <w:tc>
          <w:tcPr>
            <w:tcW w:w="11464"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ascii="宋体" w:hAnsi="宋体" w:cs="宋体"/>
                <w:color w:val="auto"/>
                <w:szCs w:val="21"/>
                <w:highlight w:val="none"/>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46" w:hRule="atLeast"/>
          <w:jc w:val="center"/>
        </w:trPr>
        <w:tc>
          <w:tcPr>
            <w:tcW w:w="688" w:type="dxa"/>
            <w:shd w:val="clear" w:color="auto" w:fill="FFFFFF"/>
            <w:vAlign w:val="center"/>
          </w:tcPr>
          <w:p>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w:t>
            </w:r>
          </w:p>
        </w:tc>
        <w:tc>
          <w:tcPr>
            <w:tcW w:w="1718" w:type="dxa"/>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ind w:left="-65" w:leftChars="-31" w:right="-48" w:rightChars="-23"/>
              <w:jc w:val="center"/>
              <w:textAlignment w:val="auto"/>
              <w:rPr>
                <w:rFonts w:ascii="宋体" w:hAnsi="宋体" w:cs="宋体"/>
                <w:color w:val="auto"/>
                <w:szCs w:val="21"/>
                <w:highlight w:val="none"/>
              </w:rPr>
            </w:pPr>
            <w:r>
              <w:rPr>
                <w:rFonts w:hint="eastAsia" w:ascii="宋体" w:hAnsi="宋体" w:cs="宋体"/>
                <w:color w:val="auto"/>
                <w:kern w:val="0"/>
                <w:szCs w:val="21"/>
                <w:highlight w:val="none"/>
                <w:lang w:val="en-US" w:eastAsia="zh-CN"/>
              </w:rPr>
              <w:t>项目</w:t>
            </w:r>
            <w:r>
              <w:rPr>
                <w:rFonts w:hint="eastAsia" w:ascii="宋体" w:hAnsi="宋体" w:cs="宋体"/>
                <w:color w:val="auto"/>
                <w:kern w:val="0"/>
                <w:szCs w:val="21"/>
                <w:highlight w:val="none"/>
              </w:rPr>
              <w:t>负责人</w:t>
            </w:r>
          </w:p>
        </w:tc>
        <w:tc>
          <w:tcPr>
            <w:tcW w:w="900" w:type="dxa"/>
            <w:shd w:val="clear" w:color="auto" w:fill="FFFFFF"/>
            <w:vAlign w:val="center"/>
          </w:tcPr>
          <w:p>
            <w:pPr>
              <w:adjustRightInd w:val="0"/>
              <w:snapToGrid w:val="0"/>
              <w:spacing w:line="360" w:lineRule="auto"/>
              <w:ind w:left="-59" w:leftChars="-28" w:right="-50" w:rightChars="-24"/>
              <w:jc w:val="center"/>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tc>
        <w:tc>
          <w:tcPr>
            <w:tcW w:w="11464" w:type="dxa"/>
            <w:shd w:val="clear" w:color="auto" w:fill="FFFFFF"/>
            <w:vAlign w:val="center"/>
          </w:tcPr>
          <w:p>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（1）具有建筑工程相关专业高级或以上技术职称的，得3分，具有建筑工程相关专业中级技术职称的，得1分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最高得3分</w:t>
            </w:r>
            <w:r>
              <w:rPr>
                <w:rFonts w:hint="eastAsia" w:ascii="宋体" w:hAnsi="宋体" w:cs="宋体"/>
                <w:color w:val="auto"/>
                <w:szCs w:val="21"/>
                <w:highlight w:val="none"/>
              </w:rPr>
              <w:t>。</w:t>
            </w:r>
          </w:p>
          <w:p>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（2）具有10年或以上工作年限的，得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具有5年（含）至10年（不含）工作年限的，得1分，最高得2分</w:t>
            </w:r>
            <w:r>
              <w:rPr>
                <w:rFonts w:hint="eastAsia" w:ascii="宋体" w:hAnsi="宋体" w:cs="宋体"/>
                <w:color w:val="auto"/>
                <w:szCs w:val="21"/>
                <w:highlight w:val="none"/>
              </w:rPr>
              <w:t>。</w:t>
            </w:r>
          </w:p>
          <w:p>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（3）担任过质量合格的类似工程</w:t>
            </w:r>
            <w:r>
              <w:rPr>
                <w:rFonts w:hint="eastAsia" w:ascii="宋体" w:hAnsi="宋体" w:cs="宋体"/>
                <w:color w:val="auto"/>
                <w:szCs w:val="21"/>
                <w:highlight w:val="none"/>
                <w:lang w:eastAsia="zh-CN"/>
              </w:rPr>
              <w:t>（类似工程是指单项工程中标价大于或等于</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0000万元的建筑工程施工总承包或工程总承包）</w:t>
            </w:r>
            <w:r>
              <w:rPr>
                <w:rFonts w:hint="eastAsia" w:ascii="宋体" w:hAnsi="宋体" w:cs="宋体"/>
                <w:color w:val="auto"/>
                <w:szCs w:val="21"/>
                <w:highlight w:val="none"/>
              </w:rPr>
              <w:t>的建筑工程施工总承包项目负责人或工程总承包项目施工负责人的得3分。</w:t>
            </w:r>
          </w:p>
          <w:p>
            <w:pPr>
              <w:keepNext w:val="0"/>
              <w:keepLines w:val="0"/>
              <w:pageBreakBefore w:val="0"/>
              <w:kinsoku/>
              <w:wordWrap/>
              <w:overflowPunct/>
              <w:topLinePunct w:val="0"/>
              <w:autoSpaceDE/>
              <w:autoSpaceDN/>
              <w:bidi w:val="0"/>
              <w:adjustRightInd/>
              <w:spacing w:line="240"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以上三项最高得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分。无提供或不满足上述要求的不得分。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46" w:hRule="atLeast"/>
          <w:jc w:val="center"/>
        </w:trPr>
        <w:tc>
          <w:tcPr>
            <w:tcW w:w="688" w:type="dxa"/>
            <w:shd w:val="clear" w:color="auto" w:fill="FFFFFF"/>
            <w:vAlign w:val="center"/>
          </w:tcPr>
          <w:p>
            <w:pPr>
              <w:adjustRightInd w:val="0"/>
              <w:snapToGrid w:val="0"/>
              <w:spacing w:line="360" w:lineRule="auto"/>
              <w:jc w:val="center"/>
              <w:rPr>
                <w:rFonts w:hint="eastAsia" w:ascii="Times New Roman" w:hAnsi="Times New Roman" w:eastAsia="宋体" w:cs="Times New Roman"/>
                <w:color w:val="auto"/>
                <w:kern w:val="2"/>
                <w:sz w:val="20"/>
                <w:szCs w:val="22"/>
                <w:highlight w:val="none"/>
                <w:lang w:val="en-US" w:eastAsia="zh-CN" w:bidi="ar-SA"/>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.2</w:t>
            </w:r>
          </w:p>
        </w:tc>
        <w:tc>
          <w:tcPr>
            <w:tcW w:w="1718" w:type="dxa"/>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ind w:left="-65" w:leftChars="-31" w:right="-48" w:rightChars="-23"/>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rPr>
              <w:t>技术负责人</w:t>
            </w:r>
          </w:p>
        </w:tc>
        <w:tc>
          <w:tcPr>
            <w:tcW w:w="900" w:type="dxa"/>
            <w:shd w:val="clear" w:color="auto" w:fill="FFFFFF"/>
            <w:vAlign w:val="center"/>
          </w:tcPr>
          <w:p>
            <w:pPr>
              <w:adjustRightInd w:val="0"/>
              <w:snapToGrid w:val="0"/>
              <w:spacing w:line="360" w:lineRule="auto"/>
              <w:ind w:left="-59" w:leftChars="-28" w:right="-50" w:rightChars="-24"/>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tc>
        <w:tc>
          <w:tcPr>
            <w:tcW w:w="11464" w:type="dxa"/>
            <w:shd w:val="clear" w:color="auto" w:fill="FFFFFF"/>
            <w:vAlign w:val="center"/>
          </w:tcPr>
          <w:p>
            <w:pPr>
              <w:keepNext w:val="0"/>
              <w:keepLines w:val="0"/>
              <w:pageBreakBefore w:val="0"/>
              <w:kinsoku/>
              <w:wordWrap/>
              <w:overflowPunct/>
              <w:topLinePunct w:val="0"/>
              <w:autoSpaceDE/>
              <w:autoSpaceDN/>
              <w:bidi w:val="0"/>
              <w:adjustRightInd/>
              <w:spacing w:line="240" w:lineRule="auto"/>
              <w:jc w:val="lef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（1）具有建筑工程专业一级注册建造师的，得3分，具有建筑工程专业二级注册建造师的，得1分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最高得3分</w:t>
            </w:r>
            <w:r>
              <w:rPr>
                <w:rFonts w:hint="eastAsia" w:ascii="宋体" w:hAnsi="宋体" w:cs="宋体"/>
                <w:color w:val="auto"/>
                <w:kern w:val="2"/>
                <w:sz w:val="21"/>
                <w:szCs w:val="21"/>
                <w:highlight w:val="none"/>
                <w:lang w:val="en-US" w:eastAsia="zh-CN" w:bidi="ar-SA"/>
              </w:rPr>
              <w:t>。</w:t>
            </w:r>
          </w:p>
          <w:p>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）具有10年或以上工作年限的，得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具有5年（含）至10年（不含）工作年限的，得1分，最高得2分</w:t>
            </w:r>
            <w:r>
              <w:rPr>
                <w:rFonts w:hint="eastAsia" w:ascii="宋体" w:hAnsi="宋体" w:eastAsia="宋体" w:cs="宋体"/>
                <w:color w:val="auto"/>
                <w:kern w:val="2"/>
                <w:sz w:val="21"/>
                <w:szCs w:val="21"/>
                <w:highlight w:val="none"/>
                <w:lang w:val="en-US" w:eastAsia="zh-CN" w:bidi="ar-SA"/>
              </w:rPr>
              <w:t>。</w:t>
            </w:r>
          </w:p>
          <w:p>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）担任过质量合格的类似工程</w:t>
            </w:r>
            <w:r>
              <w:rPr>
                <w:rFonts w:hint="eastAsia" w:ascii="宋体" w:hAnsi="宋体" w:cs="宋体"/>
                <w:color w:val="auto"/>
                <w:szCs w:val="21"/>
                <w:highlight w:val="none"/>
                <w:lang w:val="en-US" w:eastAsia="zh-CN"/>
              </w:rPr>
              <w:t>（类似工程是指单项工程中标价大于或等于30000万元的建筑工程施工总承包或工程总承包）</w:t>
            </w:r>
            <w:r>
              <w:rPr>
                <w:rFonts w:hint="eastAsia" w:ascii="宋体" w:hAnsi="宋体" w:eastAsia="宋体" w:cs="宋体"/>
                <w:color w:val="auto"/>
                <w:kern w:val="2"/>
                <w:sz w:val="21"/>
                <w:szCs w:val="21"/>
                <w:highlight w:val="none"/>
                <w:lang w:val="en-US" w:eastAsia="zh-CN" w:bidi="ar-SA"/>
              </w:rPr>
              <w:t>的建筑工程施工总承包项目负责人或技术负责人、或工程总承包项目施工负责人的得3分。</w:t>
            </w:r>
          </w:p>
          <w:p>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以上</w:t>
            </w:r>
            <w:r>
              <w:rPr>
                <w:rFonts w:hint="eastAsia" w:ascii="宋体" w:hAnsi="宋体" w:cs="宋体"/>
                <w:color w:val="auto"/>
                <w:kern w:val="2"/>
                <w:sz w:val="21"/>
                <w:szCs w:val="21"/>
                <w:highlight w:val="none"/>
                <w:lang w:val="en-US" w:eastAsia="zh-CN" w:bidi="ar-SA"/>
              </w:rPr>
              <w:t>三</w:t>
            </w:r>
            <w:r>
              <w:rPr>
                <w:rFonts w:hint="eastAsia" w:ascii="宋体" w:hAnsi="宋体" w:eastAsia="宋体" w:cs="宋体"/>
                <w:color w:val="auto"/>
                <w:kern w:val="2"/>
                <w:sz w:val="21"/>
                <w:szCs w:val="21"/>
                <w:highlight w:val="none"/>
                <w:lang w:val="en-US" w:eastAsia="zh-CN" w:bidi="ar-SA"/>
              </w:rPr>
              <w:t>项最高得</w:t>
            </w: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分。无提供或不满足上述要求的不得分。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66" w:hRule="atLeast"/>
          <w:jc w:val="center"/>
        </w:trPr>
        <w:tc>
          <w:tcPr>
            <w:tcW w:w="688" w:type="dxa"/>
            <w:shd w:val="clear" w:color="auto" w:fill="FFFFFF"/>
            <w:vAlign w:val="center"/>
          </w:tcPr>
          <w:p>
            <w:pPr>
              <w:adjustRightInd w:val="0"/>
              <w:snapToGrid w:val="0"/>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2.3</w:t>
            </w:r>
          </w:p>
        </w:tc>
        <w:tc>
          <w:tcPr>
            <w:tcW w:w="1718"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rPr>
              <w:t>质量</w:t>
            </w:r>
            <w:r>
              <w:rPr>
                <w:rFonts w:hint="eastAsia" w:ascii="宋体" w:hAnsi="宋体" w:cs="宋体"/>
                <w:color w:val="auto"/>
                <w:kern w:val="0"/>
                <w:szCs w:val="21"/>
                <w:highlight w:val="none"/>
                <w:lang w:val="en-US" w:eastAsia="zh-CN"/>
              </w:rPr>
              <w:t>负责人</w:t>
            </w:r>
          </w:p>
        </w:tc>
        <w:tc>
          <w:tcPr>
            <w:tcW w:w="900" w:type="dxa"/>
            <w:shd w:val="clear" w:color="auto" w:fill="FFFFFF"/>
            <w:vAlign w:val="center"/>
          </w:tcPr>
          <w:p>
            <w:pPr>
              <w:spacing w:before="100" w:beforeAutospacing="1" w:after="100" w:afterAutospacing="1" w:line="408" w:lineRule="auto"/>
              <w:jc w:val="center"/>
              <w:rPr>
                <w:rFonts w:ascii="宋体" w:hAnsi="宋体" w:cs="宋体"/>
                <w:color w:val="auto"/>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分</w:t>
            </w:r>
          </w:p>
        </w:tc>
        <w:tc>
          <w:tcPr>
            <w:tcW w:w="11464" w:type="dxa"/>
            <w:shd w:val="clear" w:color="auto" w:fill="FFFFFF"/>
            <w:vAlign w:val="center"/>
          </w:tcPr>
          <w:p>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（1）具有建筑工程相关专业</w:t>
            </w:r>
            <w:r>
              <w:rPr>
                <w:rFonts w:hint="eastAsia" w:ascii="宋体" w:hAnsi="宋体" w:cs="宋体"/>
                <w:color w:val="auto"/>
                <w:highlight w:val="none"/>
              </w:rPr>
              <w:t>高级或以上</w:t>
            </w:r>
            <w:r>
              <w:rPr>
                <w:rFonts w:hint="eastAsia" w:ascii="宋体" w:hAnsi="宋体" w:cs="宋体"/>
                <w:color w:val="auto"/>
                <w:highlight w:val="none"/>
                <w:lang w:val="en-US" w:eastAsia="zh-CN"/>
              </w:rPr>
              <w:t>技术</w:t>
            </w:r>
            <w:r>
              <w:rPr>
                <w:rFonts w:hint="eastAsia" w:ascii="宋体" w:hAnsi="宋体" w:cs="宋体"/>
                <w:color w:val="auto"/>
                <w:highlight w:val="none"/>
              </w:rPr>
              <w:t>职称的，得</w:t>
            </w:r>
            <w:r>
              <w:rPr>
                <w:rFonts w:hint="eastAsia" w:ascii="宋体" w:hAnsi="宋体" w:cs="宋体"/>
                <w:color w:val="auto"/>
                <w:highlight w:val="none"/>
                <w:lang w:val="en-US" w:eastAsia="zh-CN"/>
              </w:rPr>
              <w:t>2</w:t>
            </w:r>
            <w:r>
              <w:rPr>
                <w:rFonts w:hint="eastAsia" w:ascii="宋体" w:hAnsi="宋体" w:cs="宋体"/>
                <w:color w:val="auto"/>
                <w:highlight w:val="none"/>
              </w:rPr>
              <w:t>分</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具有建筑工程相关专业中级技术</w:t>
            </w:r>
            <w:r>
              <w:rPr>
                <w:rFonts w:hint="eastAsia" w:ascii="宋体" w:hAnsi="宋体" w:cs="宋体"/>
                <w:color w:val="auto"/>
                <w:highlight w:val="none"/>
              </w:rPr>
              <w:t>职称的，得</w:t>
            </w:r>
            <w:r>
              <w:rPr>
                <w:rFonts w:hint="eastAsia" w:ascii="宋体" w:hAnsi="宋体" w:cs="宋体"/>
                <w:color w:val="auto"/>
                <w:highlight w:val="none"/>
                <w:lang w:val="en-US" w:eastAsia="zh-CN"/>
              </w:rPr>
              <w:t>1</w:t>
            </w:r>
            <w:r>
              <w:rPr>
                <w:rFonts w:hint="eastAsia" w:ascii="宋体" w:hAnsi="宋体" w:cs="宋体"/>
                <w:color w:val="auto"/>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最高得2分</w:t>
            </w:r>
            <w:r>
              <w:rPr>
                <w:rFonts w:hint="eastAsia" w:ascii="宋体" w:hAnsi="宋体" w:cs="宋体"/>
                <w:color w:val="auto"/>
                <w:highlight w:val="none"/>
                <w:lang w:eastAsia="zh-CN"/>
              </w:rPr>
              <w:t>。</w:t>
            </w:r>
          </w:p>
          <w:p>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（2）具有10</w:t>
            </w:r>
            <w:r>
              <w:rPr>
                <w:rFonts w:hint="eastAsia" w:ascii="宋体" w:hAnsi="宋体" w:cs="宋体"/>
                <w:color w:val="auto"/>
                <w:highlight w:val="none"/>
              </w:rPr>
              <w:t>年</w:t>
            </w:r>
            <w:r>
              <w:rPr>
                <w:rFonts w:hint="eastAsia" w:ascii="宋体" w:hAnsi="宋体" w:cs="宋体"/>
                <w:color w:val="auto"/>
                <w:highlight w:val="none"/>
                <w:lang w:val="en-US" w:eastAsia="zh-CN"/>
              </w:rPr>
              <w:t>或以上工作年限</w:t>
            </w:r>
            <w:r>
              <w:rPr>
                <w:rFonts w:hint="eastAsia" w:ascii="宋体" w:hAnsi="宋体" w:cs="宋体"/>
                <w:color w:val="auto"/>
                <w:highlight w:val="none"/>
              </w:rPr>
              <w:t>的，得</w:t>
            </w:r>
            <w:r>
              <w:rPr>
                <w:rFonts w:hint="eastAsia" w:ascii="宋体" w:hAnsi="宋体" w:cs="宋体"/>
                <w:color w:val="auto"/>
                <w:highlight w:val="none"/>
                <w:lang w:val="en-US" w:eastAsia="zh-CN"/>
              </w:rPr>
              <w:t>1</w:t>
            </w:r>
            <w:r>
              <w:rPr>
                <w:rFonts w:hint="eastAsia" w:ascii="宋体" w:hAnsi="宋体" w:cs="宋体"/>
                <w:color w:val="auto"/>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具有5年（含）至10年（不含）工作年限的，得0.5分，最高得1分</w:t>
            </w:r>
            <w:r>
              <w:rPr>
                <w:rFonts w:hint="eastAsia" w:ascii="宋体" w:hAnsi="宋体" w:cs="宋体"/>
                <w:color w:val="auto"/>
                <w:highlight w:val="none"/>
                <w:lang w:val="en-US" w:eastAsia="zh-CN"/>
              </w:rPr>
              <w:t>。</w:t>
            </w:r>
          </w:p>
          <w:p>
            <w:pPr>
              <w:keepNext w:val="0"/>
              <w:keepLines w:val="0"/>
              <w:pageBreakBefore w:val="0"/>
              <w:widowControl/>
              <w:kinsoku/>
              <w:wordWrap/>
              <w:overflowPunct/>
              <w:topLinePunct w:val="0"/>
              <w:autoSpaceDE/>
              <w:autoSpaceDN/>
              <w:bidi w:val="0"/>
              <w:adjustRightInd/>
              <w:spacing w:line="240" w:lineRule="auto"/>
              <w:jc w:val="left"/>
              <w:textAlignment w:val="auto"/>
              <w:rPr>
                <w:rFonts w:ascii="宋体" w:hAnsi="宋体" w:cs="宋体"/>
                <w:color w:val="auto"/>
                <w:szCs w:val="21"/>
                <w:highlight w:val="none"/>
              </w:rPr>
            </w:pPr>
            <w:r>
              <w:rPr>
                <w:rFonts w:hint="eastAsia" w:ascii="宋体" w:hAnsi="宋体" w:cs="宋体"/>
                <w:color w:val="auto"/>
                <w:highlight w:val="none"/>
                <w:lang w:val="en-US" w:eastAsia="zh-CN"/>
              </w:rPr>
              <w:t>以上两项</w:t>
            </w:r>
            <w:r>
              <w:rPr>
                <w:rFonts w:hint="eastAsia" w:ascii="宋体" w:hAnsi="宋体" w:cs="宋体"/>
                <w:color w:val="auto"/>
                <w:highlight w:val="none"/>
              </w:rPr>
              <w:t>最高</w:t>
            </w:r>
            <w:r>
              <w:rPr>
                <w:rFonts w:hint="eastAsia" w:ascii="宋体" w:hAnsi="宋体" w:cs="宋体"/>
                <w:color w:val="auto"/>
                <w:highlight w:val="none"/>
                <w:lang w:val="en-US" w:eastAsia="zh-CN"/>
              </w:rPr>
              <w:t>3</w:t>
            </w:r>
            <w:r>
              <w:rPr>
                <w:rFonts w:hint="eastAsia" w:ascii="宋体" w:hAnsi="宋体" w:cs="宋体"/>
                <w:color w:val="auto"/>
                <w:highlight w:val="none"/>
              </w:rPr>
              <w:t>分。无提供或不满足上述要求的不得分。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89" w:hRule="atLeast"/>
          <w:jc w:val="center"/>
        </w:trPr>
        <w:tc>
          <w:tcPr>
            <w:tcW w:w="688" w:type="dxa"/>
            <w:shd w:val="clear" w:color="auto" w:fill="FFFFFF"/>
            <w:vAlign w:val="center"/>
          </w:tcPr>
          <w:p>
            <w:pPr>
              <w:jc w:val="center"/>
              <w:rPr>
                <w:rFonts w:hint="eastAsia" w:ascii="Times New Roman" w:hAnsi="Times New Roman" w:eastAsia="宋体" w:cs="Times New Roman"/>
                <w:color w:val="auto"/>
                <w:kern w:val="2"/>
                <w:sz w:val="20"/>
                <w:szCs w:val="22"/>
                <w:highlight w:val="none"/>
                <w:lang w:val="en-US" w:eastAsia="zh-CN" w:bidi="ar-SA"/>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p>
        </w:tc>
        <w:tc>
          <w:tcPr>
            <w:tcW w:w="1718" w:type="dxa"/>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ind w:left="-65" w:leftChars="-31" w:right="-48" w:rightChars="-23"/>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安全</w:t>
            </w:r>
            <w:r>
              <w:rPr>
                <w:rFonts w:hint="eastAsia" w:ascii="宋体" w:hAnsi="宋体" w:cs="宋体"/>
                <w:color w:val="auto"/>
                <w:szCs w:val="21"/>
                <w:highlight w:val="none"/>
                <w:lang w:val="en-US" w:eastAsia="zh-CN"/>
              </w:rPr>
              <w:t>负责人</w:t>
            </w:r>
            <w:r>
              <w:rPr>
                <w:rFonts w:hint="eastAsia" w:ascii="宋体" w:hAnsi="宋体" w:eastAsia="宋体" w:cs="宋体"/>
                <w:color w:val="auto"/>
                <w:szCs w:val="21"/>
                <w:highlight w:val="none"/>
              </w:rPr>
              <w:t>（与专职安全员不为同一人）</w:t>
            </w:r>
          </w:p>
        </w:tc>
        <w:tc>
          <w:tcPr>
            <w:tcW w:w="900" w:type="dxa"/>
            <w:shd w:val="clear" w:color="auto" w:fill="FFFFFF"/>
            <w:vAlign w:val="center"/>
          </w:tcPr>
          <w:p>
            <w:pPr>
              <w:adjustRightInd w:val="0"/>
              <w:snapToGrid w:val="0"/>
              <w:spacing w:line="360" w:lineRule="auto"/>
              <w:ind w:left="-59" w:leftChars="-28" w:right="-50" w:rightChars="-24"/>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tc>
        <w:tc>
          <w:tcPr>
            <w:tcW w:w="11464" w:type="dxa"/>
            <w:shd w:val="clear" w:color="auto" w:fill="FFFFFF"/>
            <w:vAlign w:val="center"/>
          </w:tcPr>
          <w:p>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（1）具有建筑工程相关专业</w:t>
            </w:r>
            <w:r>
              <w:rPr>
                <w:rFonts w:hint="eastAsia" w:ascii="宋体" w:hAnsi="宋体" w:cs="宋体"/>
                <w:color w:val="auto"/>
                <w:highlight w:val="none"/>
              </w:rPr>
              <w:t>高级或以上</w:t>
            </w:r>
            <w:r>
              <w:rPr>
                <w:rFonts w:hint="eastAsia" w:ascii="宋体" w:hAnsi="宋体" w:cs="宋体"/>
                <w:color w:val="auto"/>
                <w:highlight w:val="none"/>
                <w:lang w:val="en-US" w:eastAsia="zh-CN"/>
              </w:rPr>
              <w:t>技术</w:t>
            </w:r>
            <w:r>
              <w:rPr>
                <w:rFonts w:hint="eastAsia" w:ascii="宋体" w:hAnsi="宋体" w:cs="宋体"/>
                <w:color w:val="auto"/>
                <w:highlight w:val="none"/>
              </w:rPr>
              <w:t>职称的，得</w:t>
            </w:r>
            <w:r>
              <w:rPr>
                <w:rFonts w:hint="eastAsia" w:ascii="宋体" w:hAnsi="宋体" w:cs="宋体"/>
                <w:color w:val="auto"/>
                <w:highlight w:val="none"/>
                <w:lang w:val="en-US" w:eastAsia="zh-CN"/>
              </w:rPr>
              <w:t>2</w:t>
            </w:r>
            <w:r>
              <w:rPr>
                <w:rFonts w:hint="eastAsia" w:ascii="宋体" w:hAnsi="宋体" w:cs="宋体"/>
                <w:color w:val="auto"/>
                <w:highlight w:val="none"/>
              </w:rPr>
              <w:t>分</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具有建筑工程相关专业中级技术</w:t>
            </w:r>
            <w:r>
              <w:rPr>
                <w:rFonts w:hint="eastAsia" w:ascii="宋体" w:hAnsi="宋体" w:cs="宋体"/>
                <w:color w:val="auto"/>
                <w:highlight w:val="none"/>
              </w:rPr>
              <w:t>职称的，得</w:t>
            </w:r>
            <w:r>
              <w:rPr>
                <w:rFonts w:hint="eastAsia" w:ascii="宋体" w:hAnsi="宋体" w:cs="宋体"/>
                <w:color w:val="auto"/>
                <w:highlight w:val="none"/>
                <w:lang w:val="en-US" w:eastAsia="zh-CN"/>
              </w:rPr>
              <w:t>1</w:t>
            </w:r>
            <w:r>
              <w:rPr>
                <w:rFonts w:hint="eastAsia" w:ascii="宋体" w:hAnsi="宋体" w:cs="宋体"/>
                <w:color w:val="auto"/>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最高得2分</w:t>
            </w:r>
            <w:r>
              <w:rPr>
                <w:rFonts w:hint="eastAsia" w:ascii="宋体" w:hAnsi="宋体" w:cs="宋体"/>
                <w:color w:val="auto"/>
                <w:highlight w:val="none"/>
                <w:lang w:eastAsia="zh-CN"/>
              </w:rPr>
              <w:t>。</w:t>
            </w:r>
          </w:p>
          <w:p>
            <w:pPr>
              <w:keepNext w:val="0"/>
              <w:keepLines w:val="0"/>
              <w:pageBreakBefore w:val="0"/>
              <w:widowControl/>
              <w:kinsoku/>
              <w:wordWrap/>
              <w:overflowPunct/>
              <w:topLinePunct w:val="0"/>
              <w:autoSpaceDE/>
              <w:autoSpaceDN/>
              <w:bidi w:val="0"/>
              <w:adjustRightInd/>
              <w:spacing w:line="240" w:lineRule="auto"/>
              <w:jc w:val="left"/>
              <w:textAlignment w:val="auto"/>
              <w:rPr>
                <w:rFonts w:hint="eastAsia"/>
                <w:color w:val="auto"/>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具有有效期内的注册安全工程师（建筑施工安全专业）执业资格证书，得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pPr>
              <w:keepNext w:val="0"/>
              <w:keepLines w:val="0"/>
              <w:pageBreakBefore w:val="0"/>
              <w:widowControl/>
              <w:kinsoku/>
              <w:wordWrap/>
              <w:overflowPunct/>
              <w:topLinePunct w:val="0"/>
              <w:autoSpaceDE/>
              <w:autoSpaceDN/>
              <w:bidi w:val="0"/>
              <w:adjustRightInd/>
              <w:spacing w:line="24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highlight w:val="none"/>
                <w:lang w:val="en-US" w:eastAsia="zh-CN"/>
              </w:rPr>
              <w:t>以上两项</w:t>
            </w:r>
            <w:r>
              <w:rPr>
                <w:rFonts w:hint="eastAsia" w:ascii="宋体" w:hAnsi="宋体" w:cs="宋体"/>
                <w:color w:val="auto"/>
                <w:highlight w:val="none"/>
              </w:rPr>
              <w:t>最高</w:t>
            </w:r>
            <w:r>
              <w:rPr>
                <w:rFonts w:hint="eastAsia" w:ascii="宋体" w:hAnsi="宋体" w:cs="宋体"/>
                <w:color w:val="auto"/>
                <w:highlight w:val="none"/>
                <w:lang w:val="en-US" w:eastAsia="zh-CN"/>
              </w:rPr>
              <w:t>3</w:t>
            </w:r>
            <w:r>
              <w:rPr>
                <w:rFonts w:hint="eastAsia" w:ascii="宋体" w:hAnsi="宋体" w:cs="宋体"/>
                <w:color w:val="auto"/>
                <w:highlight w:val="none"/>
              </w:rPr>
              <w:t>分。无提供或不满足上述要求的不得分。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37" w:hRule="atLeast"/>
          <w:jc w:val="center"/>
        </w:trPr>
        <w:tc>
          <w:tcPr>
            <w:tcW w:w="688" w:type="dxa"/>
            <w:shd w:val="clear" w:color="auto" w:fill="FFFFFF"/>
            <w:vAlign w:val="center"/>
          </w:tcPr>
          <w:p>
            <w:pPr>
              <w:jc w:val="center"/>
              <w:rPr>
                <w:rFonts w:hint="eastAsia" w:ascii="Times New Roman" w:hAnsi="Times New Roman" w:eastAsia="宋体" w:cs="Times New Roman"/>
                <w:color w:val="auto"/>
                <w:kern w:val="2"/>
                <w:sz w:val="20"/>
                <w:szCs w:val="22"/>
                <w:highlight w:val="none"/>
                <w:lang w:val="en-US" w:eastAsia="zh-CN" w:bidi="ar-SA"/>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p>
        </w:tc>
        <w:tc>
          <w:tcPr>
            <w:tcW w:w="1718" w:type="dxa"/>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ind w:left="-65" w:leftChars="-31" w:right="-48" w:rightChars="-23"/>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造价</w:t>
            </w:r>
            <w:r>
              <w:rPr>
                <w:rFonts w:hint="eastAsia" w:ascii="宋体" w:hAnsi="宋体" w:cs="宋体"/>
                <w:color w:val="auto"/>
                <w:szCs w:val="21"/>
                <w:highlight w:val="none"/>
                <w:lang w:val="en-US" w:eastAsia="zh-CN"/>
              </w:rPr>
              <w:t>负责人</w:t>
            </w:r>
          </w:p>
        </w:tc>
        <w:tc>
          <w:tcPr>
            <w:tcW w:w="900" w:type="dxa"/>
            <w:shd w:val="clear" w:color="auto" w:fill="FFFFFF"/>
            <w:vAlign w:val="center"/>
          </w:tcPr>
          <w:p>
            <w:pPr>
              <w:widowControl/>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tc>
        <w:tc>
          <w:tcPr>
            <w:tcW w:w="11464" w:type="dxa"/>
            <w:shd w:val="clear" w:color="auto" w:fill="FFFFFF"/>
            <w:vAlign w:val="center"/>
          </w:tcPr>
          <w:p>
            <w:pPr>
              <w:keepNext w:val="0"/>
              <w:keepLines w:val="0"/>
              <w:pageBreakBefore w:val="0"/>
              <w:kinsoku/>
              <w:wordWrap/>
              <w:overflowPunct/>
              <w:topLinePunct w:val="0"/>
              <w:autoSpaceDE/>
              <w:autoSpaceDN/>
              <w:bidi w:val="0"/>
              <w:adjustRightInd/>
              <w:spacing w:line="240" w:lineRule="auto"/>
              <w:jc w:val="left"/>
              <w:textAlignment w:val="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（1）具有建筑工程相关专业</w:t>
            </w:r>
            <w:r>
              <w:rPr>
                <w:rFonts w:hint="eastAsia" w:ascii="宋体" w:hAnsi="宋体" w:cs="宋体"/>
                <w:color w:val="auto"/>
                <w:highlight w:val="none"/>
              </w:rPr>
              <w:t>高级或以上</w:t>
            </w:r>
            <w:r>
              <w:rPr>
                <w:rFonts w:hint="eastAsia" w:ascii="宋体" w:hAnsi="宋体" w:cs="宋体"/>
                <w:color w:val="auto"/>
                <w:highlight w:val="none"/>
                <w:lang w:val="en-US" w:eastAsia="zh-CN"/>
              </w:rPr>
              <w:t>技术</w:t>
            </w:r>
            <w:r>
              <w:rPr>
                <w:rFonts w:hint="eastAsia" w:ascii="宋体" w:hAnsi="宋体" w:cs="宋体"/>
                <w:color w:val="auto"/>
                <w:highlight w:val="none"/>
              </w:rPr>
              <w:t>职称的，得</w:t>
            </w:r>
            <w:r>
              <w:rPr>
                <w:rFonts w:hint="eastAsia" w:ascii="宋体" w:hAnsi="宋体" w:cs="宋体"/>
                <w:color w:val="auto"/>
                <w:highlight w:val="none"/>
                <w:lang w:val="en-US" w:eastAsia="zh-CN"/>
              </w:rPr>
              <w:t>2</w:t>
            </w:r>
            <w:r>
              <w:rPr>
                <w:rFonts w:hint="eastAsia" w:ascii="宋体" w:hAnsi="宋体" w:cs="宋体"/>
                <w:color w:val="auto"/>
                <w:highlight w:val="none"/>
              </w:rPr>
              <w:t>分</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具有建筑工程相关专业中级技术</w:t>
            </w:r>
            <w:r>
              <w:rPr>
                <w:rFonts w:hint="eastAsia" w:ascii="宋体" w:hAnsi="宋体" w:cs="宋体"/>
                <w:color w:val="auto"/>
                <w:highlight w:val="none"/>
              </w:rPr>
              <w:t>职称的，得</w:t>
            </w:r>
            <w:r>
              <w:rPr>
                <w:rFonts w:hint="eastAsia" w:ascii="宋体" w:hAnsi="宋体" w:cs="宋体"/>
                <w:color w:val="auto"/>
                <w:highlight w:val="none"/>
                <w:lang w:val="en-US" w:eastAsia="zh-CN"/>
              </w:rPr>
              <w:t>1</w:t>
            </w:r>
            <w:r>
              <w:rPr>
                <w:rFonts w:hint="eastAsia" w:ascii="宋体" w:hAnsi="宋体" w:cs="宋体"/>
                <w:color w:val="auto"/>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最高得2分</w:t>
            </w:r>
            <w:r>
              <w:rPr>
                <w:rFonts w:hint="eastAsia" w:ascii="宋体" w:hAnsi="宋体" w:cs="宋体"/>
                <w:color w:val="auto"/>
                <w:highlight w:val="none"/>
                <w:lang w:eastAsia="zh-CN"/>
              </w:rPr>
              <w:t>。</w:t>
            </w:r>
          </w:p>
          <w:p>
            <w:pPr>
              <w:keepNext w:val="0"/>
              <w:keepLines w:val="0"/>
              <w:pageBreakBefore w:val="0"/>
              <w:widowControl/>
              <w:kinsoku/>
              <w:wordWrap/>
              <w:overflowPunct/>
              <w:topLinePunct w:val="0"/>
              <w:autoSpaceDE/>
              <w:autoSpaceDN/>
              <w:bidi w:val="0"/>
              <w:adjustRightInd/>
              <w:spacing w:line="240" w:lineRule="auto"/>
              <w:jc w:val="left"/>
              <w:textAlignment w:val="auto"/>
              <w:rPr>
                <w:rFonts w:hint="eastAsia"/>
                <w:color w:val="auto"/>
                <w:highlight w:val="none"/>
              </w:rPr>
            </w:pPr>
            <w:r>
              <w:rPr>
                <w:rFonts w:hint="eastAsia" w:ascii="宋体" w:hAnsi="宋体" w:cs="宋体"/>
                <w:color w:val="auto"/>
                <w:highlight w:val="none"/>
                <w:lang w:val="en-US" w:eastAsia="zh-CN"/>
              </w:rPr>
              <w:t>（2）具有有效期内的一级造价工程师注册证书</w:t>
            </w:r>
            <w:r>
              <w:rPr>
                <w:rFonts w:hint="eastAsia" w:ascii="宋体" w:hAnsi="宋体" w:cs="宋体"/>
                <w:color w:val="auto"/>
                <w:highlight w:val="none"/>
              </w:rPr>
              <w:t>的，得</w:t>
            </w:r>
            <w:r>
              <w:rPr>
                <w:rFonts w:hint="eastAsia" w:ascii="宋体" w:hAnsi="宋体" w:cs="宋体"/>
                <w:color w:val="auto"/>
                <w:highlight w:val="none"/>
                <w:lang w:val="en-US" w:eastAsia="zh-CN"/>
              </w:rPr>
              <w:t>1</w:t>
            </w:r>
            <w:r>
              <w:rPr>
                <w:rFonts w:hint="eastAsia" w:ascii="宋体" w:hAnsi="宋体" w:cs="宋体"/>
                <w:color w:val="auto"/>
                <w:highlight w:val="none"/>
              </w:rPr>
              <w:t>分</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具有有效期内的二级造价工程师注册证书</w:t>
            </w:r>
            <w:r>
              <w:rPr>
                <w:rFonts w:hint="eastAsia" w:ascii="宋体" w:hAnsi="宋体" w:cs="宋体"/>
                <w:color w:val="auto"/>
                <w:highlight w:val="none"/>
              </w:rPr>
              <w:t>的，得</w:t>
            </w:r>
            <w:r>
              <w:rPr>
                <w:rFonts w:hint="eastAsia" w:ascii="宋体" w:hAnsi="宋体" w:cs="宋体"/>
                <w:color w:val="auto"/>
                <w:highlight w:val="none"/>
                <w:lang w:val="en-US" w:eastAsia="zh-CN"/>
              </w:rPr>
              <w:t>0.5</w:t>
            </w:r>
            <w:r>
              <w:rPr>
                <w:rFonts w:hint="eastAsia" w:ascii="宋体" w:hAnsi="宋体" w:cs="宋体"/>
                <w:color w:val="auto"/>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最高得1分</w:t>
            </w:r>
            <w:r>
              <w:rPr>
                <w:rFonts w:hint="eastAsia" w:ascii="宋体" w:hAnsi="宋体" w:cs="宋体"/>
                <w:color w:val="auto"/>
                <w:highlight w:val="none"/>
              </w:rPr>
              <w:t>；</w:t>
            </w:r>
          </w:p>
          <w:p>
            <w:pPr>
              <w:keepNext w:val="0"/>
              <w:keepLines w:val="0"/>
              <w:pageBreakBefore w:val="0"/>
              <w:widowControl/>
              <w:kinsoku/>
              <w:wordWrap/>
              <w:overflowPunct/>
              <w:topLinePunct w:val="0"/>
              <w:autoSpaceDE/>
              <w:autoSpaceDN/>
              <w:bidi w:val="0"/>
              <w:adjustRightInd/>
              <w:spacing w:line="24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highlight w:val="none"/>
                <w:lang w:val="en-US" w:eastAsia="zh-CN"/>
              </w:rPr>
              <w:t>以上两项</w:t>
            </w:r>
            <w:r>
              <w:rPr>
                <w:rFonts w:hint="eastAsia" w:ascii="宋体" w:hAnsi="宋体" w:cs="宋体"/>
                <w:color w:val="auto"/>
                <w:highlight w:val="none"/>
              </w:rPr>
              <w:t>最高</w:t>
            </w:r>
            <w:r>
              <w:rPr>
                <w:rFonts w:hint="eastAsia" w:ascii="宋体" w:hAnsi="宋体" w:cs="宋体"/>
                <w:color w:val="auto"/>
                <w:highlight w:val="none"/>
                <w:lang w:val="en-US" w:eastAsia="zh-CN"/>
              </w:rPr>
              <w:t>3</w:t>
            </w:r>
            <w:r>
              <w:rPr>
                <w:rFonts w:hint="eastAsia" w:ascii="宋体" w:hAnsi="宋体" w:cs="宋体"/>
                <w:color w:val="auto"/>
                <w:highlight w:val="none"/>
              </w:rPr>
              <w:t>分。无提供或不满足上述要求的不得分。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688" w:type="dxa"/>
            <w:shd w:val="clear" w:color="auto" w:fill="FFFFFF"/>
            <w:vAlign w:val="center"/>
          </w:tcPr>
          <w:p>
            <w:pPr>
              <w:adjustRightInd w:val="0"/>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w:t>
            </w:r>
          </w:p>
        </w:tc>
        <w:tc>
          <w:tcPr>
            <w:tcW w:w="1718" w:type="dxa"/>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ind w:left="-65" w:leftChars="-31" w:right="-48" w:rightChars="-23"/>
              <w:jc w:val="center"/>
              <w:textAlignment w:val="auto"/>
              <w:rPr>
                <w:rFonts w:ascii="宋体" w:hAnsi="宋体" w:cs="宋体"/>
                <w:color w:val="auto"/>
                <w:szCs w:val="21"/>
                <w:highlight w:val="none"/>
              </w:rPr>
            </w:pPr>
            <w:r>
              <w:rPr>
                <w:rFonts w:hint="eastAsia" w:ascii="宋体" w:hAnsi="宋体" w:cs="宋体"/>
                <w:color w:val="auto"/>
                <w:szCs w:val="21"/>
                <w:highlight w:val="none"/>
              </w:rPr>
              <w:t>企业资信</w:t>
            </w:r>
          </w:p>
        </w:tc>
        <w:tc>
          <w:tcPr>
            <w:tcW w:w="900" w:type="dxa"/>
            <w:shd w:val="clear" w:color="auto" w:fill="FFFFFF"/>
            <w:vAlign w:val="center"/>
          </w:tcPr>
          <w:p>
            <w:pPr>
              <w:adjustRightInd w:val="0"/>
              <w:snapToGrid w:val="0"/>
              <w:spacing w:line="360" w:lineRule="auto"/>
              <w:ind w:left="-59" w:leftChars="-28" w:right="-50" w:rightChars="-24"/>
              <w:jc w:val="center"/>
              <w:rPr>
                <w:rFonts w:ascii="宋体" w:hAnsi="宋体" w:cs="宋体"/>
                <w:color w:val="auto"/>
                <w:szCs w:val="21"/>
                <w:highlight w:val="none"/>
              </w:rPr>
            </w:pPr>
            <w:r>
              <w:rPr>
                <w:rFonts w:hint="eastAsia" w:ascii="宋体" w:hAnsi="宋体" w:cs="宋体"/>
                <w:color w:val="auto"/>
                <w:szCs w:val="21"/>
                <w:highlight w:val="none"/>
              </w:rPr>
              <w:t>30</w:t>
            </w:r>
            <w:r>
              <w:rPr>
                <w:rFonts w:ascii="宋体" w:hAnsi="宋体" w:cs="宋体"/>
                <w:color w:val="auto"/>
                <w:szCs w:val="21"/>
                <w:highlight w:val="none"/>
              </w:rPr>
              <w:t>分</w:t>
            </w:r>
          </w:p>
        </w:tc>
        <w:tc>
          <w:tcPr>
            <w:tcW w:w="11464" w:type="dxa"/>
            <w:shd w:val="clear" w:color="auto" w:fill="FFFFFF"/>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ascii="宋体" w:hAnsi="宋体" w:cs="宋体"/>
                <w:color w:val="auto"/>
                <w:kern w:val="0"/>
                <w:szCs w:val="21"/>
                <w:highlight w:val="none"/>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68" w:hRule="atLeast"/>
          <w:jc w:val="center"/>
        </w:trPr>
        <w:tc>
          <w:tcPr>
            <w:tcW w:w="688" w:type="dxa"/>
            <w:shd w:val="clear" w:color="auto" w:fill="FFFFFF"/>
            <w:vAlign w:val="center"/>
          </w:tcPr>
          <w:p>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ascii="宋体" w:hAnsi="宋体" w:cs="宋体"/>
                <w:color w:val="auto"/>
                <w:szCs w:val="21"/>
                <w:highlight w:val="none"/>
              </w:rPr>
              <w:t>.1</w:t>
            </w:r>
          </w:p>
        </w:tc>
        <w:tc>
          <w:tcPr>
            <w:tcW w:w="1718" w:type="dxa"/>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ind w:left="-65" w:leftChars="-31" w:right="-48" w:rightChars="-23"/>
              <w:jc w:val="center"/>
              <w:textAlignment w:val="auto"/>
              <w:rPr>
                <w:rFonts w:ascii="宋体" w:hAnsi="宋体" w:cs="宋体"/>
                <w:color w:val="auto"/>
                <w:szCs w:val="21"/>
                <w:highlight w:val="none"/>
              </w:rPr>
            </w:pPr>
            <w:r>
              <w:rPr>
                <w:rFonts w:hint="eastAsia" w:ascii="宋体" w:hAnsi="宋体" w:cs="宋体"/>
                <w:color w:val="auto"/>
                <w:szCs w:val="21"/>
                <w:highlight w:val="none"/>
              </w:rPr>
              <w:t>类似工程业绩</w:t>
            </w:r>
          </w:p>
        </w:tc>
        <w:tc>
          <w:tcPr>
            <w:tcW w:w="900" w:type="dxa"/>
            <w:shd w:val="clear" w:color="auto" w:fill="FFFFFF"/>
            <w:vAlign w:val="center"/>
          </w:tcPr>
          <w:p>
            <w:pPr>
              <w:adjustRightInd w:val="0"/>
              <w:snapToGrid w:val="0"/>
              <w:spacing w:line="360" w:lineRule="auto"/>
              <w:ind w:left="-59" w:leftChars="-28" w:right="-50" w:rightChars="-24"/>
              <w:jc w:val="center"/>
              <w:rPr>
                <w:rFonts w:ascii="宋体" w:hAnsi="宋体" w:cs="宋体"/>
                <w:color w:val="auto"/>
                <w:szCs w:val="21"/>
                <w:highlight w:val="none"/>
              </w:rPr>
            </w:pPr>
            <w:r>
              <w:rPr>
                <w:rFonts w:hint="eastAsia" w:ascii="宋体" w:hAnsi="宋体" w:cs="宋体"/>
                <w:color w:val="auto"/>
                <w:szCs w:val="21"/>
                <w:highlight w:val="none"/>
                <w:lang w:val="en-US" w:eastAsia="zh-CN"/>
              </w:rPr>
              <w:t>15</w:t>
            </w:r>
            <w:r>
              <w:rPr>
                <w:rFonts w:ascii="宋体" w:hAnsi="宋体" w:cs="宋体"/>
                <w:color w:val="auto"/>
                <w:szCs w:val="21"/>
                <w:highlight w:val="none"/>
              </w:rPr>
              <w:t>分</w:t>
            </w:r>
          </w:p>
        </w:tc>
        <w:tc>
          <w:tcPr>
            <w:tcW w:w="11464" w:type="dxa"/>
            <w:shd w:val="clear" w:color="auto" w:fill="FFFFFF"/>
            <w:vAlign w:val="center"/>
          </w:tcPr>
          <w:p>
            <w:pPr>
              <w:keepNext w:val="0"/>
              <w:keepLines w:val="0"/>
              <w:pageBreakBefore w:val="0"/>
              <w:kinsoku/>
              <w:wordWrap/>
              <w:overflowPunct/>
              <w:topLinePunct w:val="0"/>
              <w:autoSpaceDE/>
              <w:autoSpaceDN/>
              <w:bidi w:val="0"/>
              <w:adjustRightInd/>
              <w:spacing w:line="240" w:lineRule="auto"/>
              <w:textAlignment w:val="auto"/>
              <w:rPr>
                <w:rFonts w:ascii="宋体" w:hAnsi="宋体" w:cs="宋体"/>
                <w:color w:val="auto"/>
                <w:szCs w:val="21"/>
                <w:highlight w:val="none"/>
              </w:rPr>
            </w:pPr>
            <w:r>
              <w:rPr>
                <w:rFonts w:hint="eastAsia" w:ascii="宋体" w:hAnsi="宋体" w:cs="宋体"/>
                <w:color w:val="auto"/>
                <w:highlight w:val="none"/>
              </w:rPr>
              <w:t>投标人</w:t>
            </w:r>
            <w:r>
              <w:rPr>
                <w:rFonts w:hint="eastAsia" w:ascii="宋体" w:hAnsi="宋体" w:cs="宋体"/>
                <w:color w:val="auto"/>
                <w:szCs w:val="21"/>
                <w:highlight w:val="none"/>
              </w:rPr>
              <w:t>自</w:t>
            </w:r>
            <w:r>
              <w:rPr>
                <w:rFonts w:ascii="宋体" w:hAnsi="宋体" w:cs="宋体"/>
                <w:color w:val="auto"/>
                <w:szCs w:val="21"/>
                <w:highlight w:val="none"/>
              </w:rPr>
              <w:t>20</w:t>
            </w: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年</w:t>
            </w:r>
            <w:r>
              <w:rPr>
                <w:rFonts w:ascii="宋体" w:hAnsi="宋体" w:cs="宋体"/>
                <w:color w:val="auto"/>
                <w:szCs w:val="21"/>
                <w:highlight w:val="none"/>
              </w:rPr>
              <w:t>1</w:t>
            </w:r>
            <w:r>
              <w:rPr>
                <w:rFonts w:hint="eastAsia" w:ascii="宋体" w:hAnsi="宋体" w:cs="宋体"/>
                <w:color w:val="auto"/>
                <w:szCs w:val="21"/>
                <w:highlight w:val="none"/>
              </w:rPr>
              <w:t>月</w:t>
            </w:r>
            <w:r>
              <w:rPr>
                <w:rFonts w:ascii="宋体" w:hAnsi="宋体" w:cs="宋体"/>
                <w:color w:val="auto"/>
                <w:szCs w:val="21"/>
                <w:highlight w:val="none"/>
              </w:rPr>
              <w:t>1</w:t>
            </w:r>
            <w:r>
              <w:rPr>
                <w:rFonts w:hint="eastAsia" w:ascii="宋体" w:hAnsi="宋体" w:cs="宋体"/>
                <w:color w:val="auto"/>
                <w:szCs w:val="21"/>
                <w:highlight w:val="none"/>
              </w:rPr>
              <w:t>日至投标截止日止，完成过质量合格</w:t>
            </w:r>
            <w:r>
              <w:rPr>
                <w:rFonts w:hint="eastAsia" w:ascii="宋体" w:hAnsi="宋体" w:eastAsia="宋体" w:cs="宋体"/>
                <w:color w:val="auto"/>
                <w:sz w:val="21"/>
                <w:szCs w:val="21"/>
                <w:highlight w:val="none"/>
                <w:u w:val="none"/>
                <w:lang w:val="en-US" w:eastAsia="zh-CN"/>
              </w:rPr>
              <w:t>的类似工程业绩（类似工程是指单项工程中标价大于或等于</w:t>
            </w:r>
            <w:r>
              <w:rPr>
                <w:rFonts w:hint="eastAsia" w:ascii="宋体" w:hAnsi="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lang w:val="en-US" w:eastAsia="zh-CN"/>
              </w:rPr>
              <w:t>0000万元的建筑工程施工总承包</w:t>
            </w:r>
            <w:r>
              <w:rPr>
                <w:rFonts w:hint="eastAsia" w:cs="宋体"/>
                <w:color w:val="auto"/>
                <w:sz w:val="21"/>
                <w:szCs w:val="21"/>
                <w:highlight w:val="none"/>
                <w:u w:val="none"/>
                <w:lang w:val="en-US" w:eastAsia="zh-CN"/>
              </w:rPr>
              <w:t>或工程总承包</w:t>
            </w:r>
            <w:r>
              <w:rPr>
                <w:rFonts w:hint="eastAsia" w:ascii="宋体" w:hAnsi="宋体" w:eastAsia="宋体" w:cs="宋体"/>
                <w:color w:val="auto"/>
                <w:sz w:val="21"/>
                <w:szCs w:val="21"/>
                <w:highlight w:val="none"/>
                <w:u w:val="none"/>
                <w:lang w:val="en-US" w:eastAsia="zh-CN"/>
              </w:rPr>
              <w:t>）</w:t>
            </w:r>
            <w:r>
              <w:rPr>
                <w:rFonts w:hint="eastAsia" w:ascii="宋体" w:hAnsi="宋体" w:cs="宋体"/>
                <w:color w:val="auto"/>
                <w:szCs w:val="21"/>
                <w:highlight w:val="none"/>
              </w:rPr>
              <w:t>，每项得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分，最高得</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688" w:type="dxa"/>
            <w:shd w:val="clear" w:color="auto" w:fill="FFFFFF"/>
            <w:vAlign w:val="center"/>
          </w:tcPr>
          <w:p>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ascii="宋体" w:hAnsi="宋体" w:cs="宋体"/>
                <w:color w:val="auto"/>
                <w:szCs w:val="21"/>
                <w:highlight w:val="none"/>
              </w:rPr>
              <w:t>.2</w:t>
            </w:r>
          </w:p>
        </w:tc>
        <w:tc>
          <w:tcPr>
            <w:tcW w:w="1718" w:type="dxa"/>
            <w:shd w:val="clear" w:color="auto" w:fill="FFFFFF"/>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szCs w:val="21"/>
                <w:highlight w:val="none"/>
              </w:rPr>
            </w:pPr>
            <w:r>
              <w:rPr>
                <w:rFonts w:hint="eastAsia" w:eastAsia="宋体" w:cs="Times New Roman"/>
                <w:color w:val="auto"/>
                <w:highlight w:val="none"/>
              </w:rPr>
              <w:t>工程奖项</w:t>
            </w:r>
          </w:p>
        </w:tc>
        <w:tc>
          <w:tcPr>
            <w:tcW w:w="900" w:type="dxa"/>
            <w:shd w:val="clear" w:color="auto" w:fill="FFFFFF"/>
            <w:vAlign w:val="center"/>
          </w:tcPr>
          <w:p>
            <w:pPr>
              <w:spacing w:line="300" w:lineRule="exact"/>
              <w:jc w:val="center"/>
              <w:rPr>
                <w:rFonts w:ascii="宋体" w:hAnsi="宋体" w:cs="宋体"/>
                <w:color w:val="auto"/>
                <w:szCs w:val="21"/>
                <w:highlight w:val="none"/>
              </w:rPr>
            </w:pPr>
            <w:r>
              <w:rPr>
                <w:rFonts w:hint="eastAsia" w:cs="Times New Roman"/>
                <w:color w:val="auto"/>
                <w:highlight w:val="none"/>
                <w:lang w:val="en-US" w:eastAsia="zh-CN"/>
              </w:rPr>
              <w:t>7</w:t>
            </w:r>
            <w:r>
              <w:rPr>
                <w:rFonts w:hint="eastAsia" w:eastAsia="宋体" w:cs="Times New Roman"/>
                <w:color w:val="auto"/>
                <w:highlight w:val="none"/>
              </w:rPr>
              <w:t>分</w:t>
            </w:r>
          </w:p>
        </w:tc>
        <w:tc>
          <w:tcPr>
            <w:tcW w:w="11464" w:type="dxa"/>
            <w:shd w:val="clear" w:color="auto" w:fill="FFFFFF"/>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color w:val="auto"/>
                <w:highlight w:val="none"/>
                <w:lang w:val="zh-TW"/>
              </w:rPr>
            </w:pPr>
            <w:r>
              <w:rPr>
                <w:rFonts w:hint="eastAsia" w:ascii="宋体" w:hAnsi="宋体" w:cs="宋体"/>
                <w:color w:val="auto"/>
                <w:highlight w:val="none"/>
                <w:lang w:val="en-US" w:eastAsia="zh-CN"/>
              </w:rPr>
              <w:t>投标人自2020年1月1日至投标截止</w:t>
            </w:r>
            <w:r>
              <w:rPr>
                <w:rFonts w:hint="eastAsia" w:ascii="宋体" w:hAnsi="宋体" w:cs="宋体"/>
                <w:color w:val="auto"/>
                <w:szCs w:val="21"/>
                <w:highlight w:val="none"/>
              </w:rPr>
              <w:t>日</w:t>
            </w:r>
            <w:r>
              <w:rPr>
                <w:rFonts w:hint="eastAsia" w:ascii="宋体" w:hAnsi="宋体" w:cs="宋体"/>
                <w:color w:val="auto"/>
                <w:highlight w:val="none"/>
                <w:lang w:val="en-US" w:eastAsia="zh-CN"/>
              </w:rPr>
              <w:t>止，以承建单位完成的建筑工程项目获得过市级（含副省级）或以上优质工程奖项5项及以上的，得7分；4项的，得5分；3项的，得3分；2项的，得2分；1项的，得1分；没有的不得分。本项最高得7分。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3" w:hRule="atLeast"/>
          <w:jc w:val="center"/>
        </w:trPr>
        <w:tc>
          <w:tcPr>
            <w:tcW w:w="688" w:type="dxa"/>
            <w:shd w:val="clear" w:color="auto" w:fill="FFFFFF"/>
            <w:vAlign w:val="center"/>
          </w:tcPr>
          <w:p>
            <w:pPr>
              <w:adjustRightInd w:val="0"/>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3.3</w:t>
            </w:r>
          </w:p>
        </w:tc>
        <w:tc>
          <w:tcPr>
            <w:tcW w:w="1718" w:type="dxa"/>
            <w:shd w:val="clear" w:color="auto" w:fill="FFFFFF"/>
            <w:vAlign w:val="center"/>
          </w:tcPr>
          <w:p>
            <w:pPr>
              <w:spacing w:line="300" w:lineRule="exact"/>
              <w:jc w:val="center"/>
              <w:rPr>
                <w:rFonts w:hint="default" w:eastAsia="宋体" w:cs="Times New Roman"/>
                <w:color w:val="auto"/>
                <w:highlight w:val="none"/>
                <w:lang w:val="en-US" w:eastAsia="zh-CN"/>
              </w:rPr>
            </w:pPr>
            <w:r>
              <w:rPr>
                <w:rFonts w:hint="eastAsia" w:cs="Times New Roman"/>
                <w:color w:val="auto"/>
                <w:highlight w:val="none"/>
                <w:lang w:val="en-US" w:eastAsia="zh-CN"/>
              </w:rPr>
              <w:t>财务指标</w:t>
            </w:r>
          </w:p>
        </w:tc>
        <w:tc>
          <w:tcPr>
            <w:tcW w:w="900" w:type="dxa"/>
            <w:shd w:val="clear" w:color="auto" w:fill="FFFFFF"/>
            <w:vAlign w:val="center"/>
          </w:tcPr>
          <w:p>
            <w:pPr>
              <w:spacing w:line="300" w:lineRule="exact"/>
              <w:jc w:val="center"/>
              <w:rPr>
                <w:rFonts w:hint="default" w:cs="Times New Roman"/>
                <w:color w:val="auto"/>
                <w:highlight w:val="none"/>
                <w:lang w:val="en-US" w:eastAsia="zh-CN"/>
              </w:rPr>
            </w:pPr>
            <w:r>
              <w:rPr>
                <w:rFonts w:hint="eastAsia" w:cs="Times New Roman"/>
                <w:color w:val="auto"/>
                <w:highlight w:val="none"/>
                <w:lang w:val="en-US" w:eastAsia="zh-CN"/>
              </w:rPr>
              <w:t>/</w:t>
            </w:r>
          </w:p>
        </w:tc>
        <w:tc>
          <w:tcPr>
            <w:tcW w:w="11464" w:type="dxa"/>
            <w:shd w:val="clear" w:color="auto" w:fill="FFFFFF"/>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8" w:hRule="atLeast"/>
          <w:jc w:val="center"/>
        </w:trPr>
        <w:tc>
          <w:tcPr>
            <w:tcW w:w="688" w:type="dxa"/>
            <w:shd w:val="clear" w:color="auto" w:fill="FFFFFF"/>
            <w:vAlign w:val="center"/>
          </w:tcPr>
          <w:p>
            <w:pPr>
              <w:adjustRightInd w:val="0"/>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3.4</w:t>
            </w:r>
          </w:p>
        </w:tc>
        <w:tc>
          <w:tcPr>
            <w:tcW w:w="1718" w:type="dxa"/>
            <w:shd w:val="clear" w:color="auto" w:fill="FFFFFF"/>
            <w:vAlign w:val="center"/>
          </w:tcPr>
          <w:p>
            <w:pPr>
              <w:spacing w:line="300" w:lineRule="exact"/>
              <w:jc w:val="center"/>
              <w:rPr>
                <w:rFonts w:hint="default" w:eastAsia="宋体" w:cs="Times New Roman"/>
                <w:color w:val="auto"/>
                <w:highlight w:val="none"/>
                <w:lang w:val="en-US" w:eastAsia="zh-CN"/>
              </w:rPr>
            </w:pPr>
            <w:r>
              <w:rPr>
                <w:rFonts w:hint="eastAsia" w:cs="Times New Roman"/>
                <w:color w:val="auto"/>
                <w:highlight w:val="none"/>
                <w:lang w:val="en-US" w:eastAsia="zh-CN"/>
              </w:rPr>
              <w:t>工程研发能力</w:t>
            </w:r>
          </w:p>
        </w:tc>
        <w:tc>
          <w:tcPr>
            <w:tcW w:w="900" w:type="dxa"/>
            <w:shd w:val="clear" w:color="auto" w:fill="FFFFFF"/>
            <w:vAlign w:val="center"/>
          </w:tcPr>
          <w:p>
            <w:pPr>
              <w:spacing w:line="300" w:lineRule="exact"/>
              <w:jc w:val="center"/>
              <w:rPr>
                <w:rFonts w:hint="default" w:cs="Times New Roman"/>
                <w:color w:val="auto"/>
                <w:highlight w:val="none"/>
                <w:lang w:val="en-US" w:eastAsia="zh-CN"/>
              </w:rPr>
            </w:pPr>
            <w:r>
              <w:rPr>
                <w:rFonts w:hint="eastAsia" w:cs="Times New Roman"/>
                <w:color w:val="auto"/>
                <w:highlight w:val="none"/>
                <w:lang w:val="en-US" w:eastAsia="zh-CN"/>
              </w:rPr>
              <w:t>8分</w:t>
            </w:r>
          </w:p>
        </w:tc>
        <w:tc>
          <w:tcPr>
            <w:tcW w:w="11464" w:type="dxa"/>
            <w:shd w:val="clear" w:color="auto" w:fill="FFFFFF"/>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default" w:ascii="宋体" w:hAnsi="宋体" w:cs="宋体"/>
                <w:color w:val="auto"/>
                <w:highlight w:val="none"/>
                <w:lang w:val="en-US" w:eastAsia="zh-CN"/>
              </w:rPr>
            </w:pPr>
            <w:r>
              <w:rPr>
                <w:rFonts w:hint="default" w:ascii="宋体" w:hAnsi="宋体" w:cs="宋体"/>
                <w:color w:val="auto"/>
                <w:highlight w:val="none"/>
                <w:lang w:val="en-US" w:eastAsia="zh-CN"/>
              </w:rPr>
              <w:t>投标人自2020年1月1日至</w:t>
            </w:r>
            <w:r>
              <w:rPr>
                <w:rFonts w:hint="eastAsia" w:ascii="宋体" w:hAnsi="宋体" w:cs="宋体"/>
                <w:color w:val="auto"/>
                <w:szCs w:val="21"/>
                <w:highlight w:val="none"/>
              </w:rPr>
              <w:t>投标截止日止</w:t>
            </w:r>
            <w:r>
              <w:rPr>
                <w:rFonts w:hint="default" w:ascii="宋体" w:hAnsi="宋体" w:cs="宋体"/>
                <w:color w:val="auto"/>
                <w:highlight w:val="none"/>
                <w:lang w:val="en-US" w:eastAsia="zh-CN"/>
              </w:rPr>
              <w:t>，</w:t>
            </w:r>
            <w:r>
              <w:rPr>
                <w:rFonts w:hint="default" w:ascii="宋体" w:hAnsi="宋体" w:cs="宋体"/>
                <w:color w:val="auto"/>
                <w:szCs w:val="21"/>
                <w:highlight w:val="none"/>
                <w:lang w:val="en-US" w:eastAsia="zh-CN"/>
              </w:rPr>
              <w:t>获得过</w:t>
            </w:r>
            <w:r>
              <w:rPr>
                <w:rFonts w:hint="eastAsia" w:ascii="宋体" w:hAnsi="宋体" w:cs="宋体"/>
                <w:color w:val="auto"/>
                <w:szCs w:val="21"/>
                <w:highlight w:val="none"/>
                <w:lang w:val="en-US" w:eastAsia="zh-CN"/>
              </w:rPr>
              <w:t>筒仓施工有关的专利（含</w:t>
            </w:r>
            <w:r>
              <w:rPr>
                <w:rFonts w:hint="default" w:ascii="宋体" w:hAnsi="宋体" w:cs="宋体"/>
                <w:color w:val="auto"/>
                <w:szCs w:val="21"/>
                <w:highlight w:val="none"/>
                <w:lang w:val="en-US" w:eastAsia="zh-CN"/>
              </w:rPr>
              <w:t>实用新型专利</w:t>
            </w:r>
            <w:r>
              <w:rPr>
                <w:rFonts w:hint="eastAsia" w:ascii="宋体" w:hAnsi="宋体" w:cs="宋体"/>
                <w:color w:val="auto"/>
                <w:szCs w:val="21"/>
                <w:highlight w:val="none"/>
                <w:lang w:val="en-US" w:eastAsia="zh-CN"/>
              </w:rPr>
              <w:t>）或工法奖项5</w:t>
            </w:r>
            <w:r>
              <w:rPr>
                <w:rFonts w:hint="default" w:ascii="宋体" w:hAnsi="宋体" w:cs="宋体"/>
                <w:color w:val="auto"/>
                <w:szCs w:val="21"/>
                <w:highlight w:val="none"/>
                <w:lang w:val="en-US" w:eastAsia="zh-CN"/>
              </w:rPr>
              <w:t>项</w:t>
            </w:r>
            <w:r>
              <w:rPr>
                <w:rFonts w:hint="eastAsia" w:ascii="宋体" w:hAnsi="宋体" w:cs="宋体"/>
                <w:color w:val="auto"/>
                <w:szCs w:val="21"/>
                <w:highlight w:val="none"/>
                <w:lang w:val="en-US" w:eastAsia="zh-CN"/>
              </w:rPr>
              <w:t>及以上</w:t>
            </w:r>
            <w:r>
              <w:rPr>
                <w:rFonts w:hint="default" w:ascii="宋体" w:hAnsi="宋体" w:cs="宋体"/>
                <w:color w:val="auto"/>
                <w:szCs w:val="21"/>
                <w:highlight w:val="none"/>
                <w:lang w:val="en-US" w:eastAsia="zh-CN"/>
              </w:rPr>
              <w:t>的</w:t>
            </w:r>
            <w:r>
              <w:rPr>
                <w:rFonts w:hint="default" w:ascii="宋体" w:hAnsi="宋体" w:cs="宋体"/>
                <w:color w:val="auto"/>
                <w:highlight w:val="none"/>
                <w:lang w:val="en-US" w:eastAsia="zh-CN"/>
              </w:rPr>
              <w:t>，得</w:t>
            </w:r>
            <w:r>
              <w:rPr>
                <w:rFonts w:hint="eastAsia" w:ascii="宋体" w:hAnsi="宋体" w:cs="宋体"/>
                <w:color w:val="auto"/>
                <w:highlight w:val="none"/>
                <w:lang w:val="en-US" w:eastAsia="zh-CN"/>
              </w:rPr>
              <w:t>8</w:t>
            </w:r>
            <w:r>
              <w:rPr>
                <w:rFonts w:hint="default" w:ascii="宋体" w:hAnsi="宋体" w:cs="宋体"/>
                <w:color w:val="auto"/>
                <w:highlight w:val="none"/>
                <w:lang w:val="en-US" w:eastAsia="zh-CN"/>
              </w:rPr>
              <w:t>分；</w:t>
            </w:r>
            <w:r>
              <w:rPr>
                <w:rFonts w:hint="eastAsia" w:ascii="宋体" w:hAnsi="宋体" w:cs="宋体"/>
                <w:color w:val="auto"/>
                <w:highlight w:val="none"/>
                <w:lang w:val="en-US" w:eastAsia="zh-CN"/>
              </w:rPr>
              <w:t>4</w:t>
            </w:r>
            <w:r>
              <w:rPr>
                <w:rFonts w:hint="default" w:ascii="宋体" w:hAnsi="宋体" w:cs="宋体"/>
                <w:color w:val="auto"/>
                <w:highlight w:val="none"/>
                <w:lang w:val="en-US" w:eastAsia="zh-CN"/>
              </w:rPr>
              <w:t>项的，得</w:t>
            </w:r>
            <w:r>
              <w:rPr>
                <w:rFonts w:hint="eastAsia" w:ascii="宋体" w:hAnsi="宋体" w:cs="宋体"/>
                <w:color w:val="auto"/>
                <w:highlight w:val="none"/>
                <w:lang w:val="en-US" w:eastAsia="zh-CN"/>
              </w:rPr>
              <w:t>6</w:t>
            </w:r>
            <w:r>
              <w:rPr>
                <w:rFonts w:hint="default" w:ascii="宋体" w:hAnsi="宋体" w:cs="宋体"/>
                <w:color w:val="auto"/>
                <w:highlight w:val="none"/>
                <w:lang w:val="en-US" w:eastAsia="zh-CN"/>
              </w:rPr>
              <w:t>分；</w:t>
            </w:r>
            <w:r>
              <w:rPr>
                <w:rFonts w:hint="eastAsia" w:ascii="宋体" w:hAnsi="宋体" w:cs="宋体"/>
                <w:color w:val="auto"/>
                <w:highlight w:val="none"/>
                <w:lang w:val="en-US" w:eastAsia="zh-CN"/>
              </w:rPr>
              <w:t>3</w:t>
            </w:r>
            <w:r>
              <w:rPr>
                <w:rFonts w:hint="default" w:ascii="宋体" w:hAnsi="宋体" w:cs="宋体"/>
                <w:color w:val="auto"/>
                <w:highlight w:val="none"/>
                <w:lang w:val="en-US" w:eastAsia="zh-CN"/>
              </w:rPr>
              <w:t>项的，得</w:t>
            </w:r>
            <w:r>
              <w:rPr>
                <w:rFonts w:hint="eastAsia" w:ascii="宋体" w:hAnsi="宋体" w:cs="宋体"/>
                <w:color w:val="auto"/>
                <w:highlight w:val="none"/>
                <w:lang w:val="en-US" w:eastAsia="zh-CN"/>
              </w:rPr>
              <w:t>4</w:t>
            </w:r>
            <w:r>
              <w:rPr>
                <w:rFonts w:hint="default" w:ascii="宋体" w:hAnsi="宋体" w:cs="宋体"/>
                <w:color w:val="auto"/>
                <w:highlight w:val="none"/>
                <w:lang w:val="en-US" w:eastAsia="zh-CN"/>
              </w:rPr>
              <w:t>分；</w:t>
            </w:r>
            <w:r>
              <w:rPr>
                <w:rFonts w:hint="eastAsia" w:ascii="宋体" w:hAnsi="宋体" w:cs="宋体"/>
                <w:color w:val="auto"/>
                <w:highlight w:val="none"/>
                <w:lang w:val="en-US" w:eastAsia="zh-CN"/>
              </w:rPr>
              <w:t>2</w:t>
            </w:r>
            <w:r>
              <w:rPr>
                <w:rFonts w:hint="default" w:ascii="宋体" w:hAnsi="宋体" w:cs="宋体"/>
                <w:color w:val="auto"/>
                <w:highlight w:val="none"/>
                <w:lang w:val="en-US" w:eastAsia="zh-CN"/>
              </w:rPr>
              <w:t>项的，得</w:t>
            </w:r>
            <w:r>
              <w:rPr>
                <w:rFonts w:hint="eastAsia" w:ascii="宋体" w:hAnsi="宋体" w:cs="宋体"/>
                <w:color w:val="auto"/>
                <w:highlight w:val="none"/>
                <w:lang w:val="en-US" w:eastAsia="zh-CN"/>
              </w:rPr>
              <w:t>2</w:t>
            </w:r>
            <w:r>
              <w:rPr>
                <w:rFonts w:hint="default" w:ascii="宋体" w:hAnsi="宋体" w:cs="宋体"/>
                <w:color w:val="auto"/>
                <w:highlight w:val="none"/>
                <w:lang w:val="en-US" w:eastAsia="zh-CN"/>
              </w:rPr>
              <w:t>分</w:t>
            </w:r>
            <w:r>
              <w:rPr>
                <w:rFonts w:hint="eastAsia" w:ascii="宋体" w:hAnsi="宋体" w:cs="宋体"/>
                <w:color w:val="auto"/>
                <w:highlight w:val="none"/>
                <w:lang w:val="en-US" w:eastAsia="zh-CN"/>
              </w:rPr>
              <w:t>；1</w:t>
            </w:r>
            <w:r>
              <w:rPr>
                <w:rFonts w:hint="default" w:ascii="宋体" w:hAnsi="宋体" w:cs="宋体"/>
                <w:color w:val="auto"/>
                <w:highlight w:val="none"/>
                <w:lang w:val="en-US" w:eastAsia="zh-CN"/>
              </w:rPr>
              <w:t>项的，得</w:t>
            </w:r>
            <w:r>
              <w:rPr>
                <w:rFonts w:hint="eastAsia" w:ascii="宋体" w:hAnsi="宋体" w:cs="宋体"/>
                <w:color w:val="auto"/>
                <w:highlight w:val="none"/>
                <w:lang w:val="en-US" w:eastAsia="zh-CN"/>
              </w:rPr>
              <w:t>1</w:t>
            </w:r>
            <w:r>
              <w:rPr>
                <w:rFonts w:hint="default" w:ascii="宋体" w:hAnsi="宋体" w:cs="宋体"/>
                <w:color w:val="auto"/>
                <w:highlight w:val="none"/>
                <w:lang w:val="en-US" w:eastAsia="zh-CN"/>
              </w:rPr>
              <w:t>分</w:t>
            </w:r>
            <w:r>
              <w:rPr>
                <w:rFonts w:hint="eastAsia" w:ascii="宋体" w:hAnsi="宋体" w:cs="宋体"/>
                <w:color w:val="auto"/>
                <w:highlight w:val="none"/>
                <w:lang w:val="en-US" w:eastAsia="zh-CN"/>
              </w:rPr>
              <w:t>；没有的不得分。</w:t>
            </w:r>
            <w:r>
              <w:rPr>
                <w:rFonts w:hint="default" w:ascii="宋体" w:hAnsi="宋体" w:cs="宋体"/>
                <w:color w:val="auto"/>
                <w:highlight w:val="none"/>
                <w:lang w:val="en-US" w:eastAsia="zh-CN"/>
              </w:rPr>
              <w:t>本项最高得</w:t>
            </w:r>
            <w:r>
              <w:rPr>
                <w:rFonts w:hint="eastAsia" w:ascii="宋体" w:hAnsi="宋体" w:cs="宋体"/>
                <w:color w:val="auto"/>
                <w:highlight w:val="none"/>
                <w:lang w:val="en-US" w:eastAsia="zh-CN"/>
              </w:rPr>
              <w:t>8</w:t>
            </w:r>
            <w:r>
              <w:rPr>
                <w:rFonts w:hint="default" w:ascii="宋体" w:hAnsi="宋体" w:cs="宋体"/>
                <w:color w:val="auto"/>
                <w:highlight w:val="none"/>
                <w:lang w:val="en-US" w:eastAsia="zh-CN"/>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3" w:hRule="atLeast"/>
          <w:jc w:val="center"/>
        </w:trPr>
        <w:tc>
          <w:tcPr>
            <w:tcW w:w="688" w:type="dxa"/>
            <w:shd w:val="clear" w:color="auto" w:fill="FFFFFF"/>
            <w:vAlign w:val="center"/>
          </w:tcPr>
          <w:p>
            <w:pPr>
              <w:adjustRightInd w:val="0"/>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3.5</w:t>
            </w:r>
          </w:p>
        </w:tc>
        <w:tc>
          <w:tcPr>
            <w:tcW w:w="1718" w:type="dxa"/>
            <w:shd w:val="clear" w:color="auto" w:fill="FFFFFF"/>
            <w:vAlign w:val="center"/>
          </w:tcPr>
          <w:p>
            <w:pPr>
              <w:spacing w:line="300" w:lineRule="exact"/>
              <w:jc w:val="center"/>
              <w:rPr>
                <w:rFonts w:hint="default" w:eastAsia="宋体" w:cs="Times New Roman"/>
                <w:color w:val="auto"/>
                <w:highlight w:val="none"/>
                <w:lang w:val="en-US" w:eastAsia="zh-CN"/>
              </w:rPr>
            </w:pPr>
            <w:r>
              <w:rPr>
                <w:rFonts w:hint="eastAsia" w:cs="Times New Roman"/>
                <w:color w:val="auto"/>
                <w:highlight w:val="none"/>
                <w:lang w:val="en-US" w:eastAsia="zh-CN"/>
              </w:rPr>
              <w:t>第三方评价</w:t>
            </w:r>
          </w:p>
        </w:tc>
        <w:tc>
          <w:tcPr>
            <w:tcW w:w="900" w:type="dxa"/>
            <w:shd w:val="clear" w:color="auto" w:fill="FFFFFF"/>
            <w:vAlign w:val="center"/>
          </w:tcPr>
          <w:p>
            <w:pPr>
              <w:spacing w:line="300" w:lineRule="exact"/>
              <w:jc w:val="center"/>
              <w:rPr>
                <w:rFonts w:hint="default" w:cs="Times New Roman"/>
                <w:color w:val="auto"/>
                <w:highlight w:val="none"/>
                <w:lang w:val="en-US" w:eastAsia="zh-CN"/>
              </w:rPr>
            </w:pPr>
            <w:r>
              <w:rPr>
                <w:rFonts w:hint="eastAsia" w:cs="Times New Roman"/>
                <w:color w:val="auto"/>
                <w:highlight w:val="none"/>
                <w:lang w:val="en-US" w:eastAsia="zh-CN"/>
              </w:rPr>
              <w:t>/</w:t>
            </w:r>
          </w:p>
        </w:tc>
        <w:tc>
          <w:tcPr>
            <w:tcW w:w="11464" w:type="dxa"/>
            <w:shd w:val="clear" w:color="auto" w:fill="FFFFFF"/>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1" w:hRule="atLeast"/>
          <w:jc w:val="center"/>
        </w:trPr>
        <w:tc>
          <w:tcPr>
            <w:tcW w:w="2406" w:type="dxa"/>
            <w:gridSpan w:val="2"/>
            <w:shd w:val="clear" w:color="auto" w:fill="FFFFFF"/>
            <w:vAlign w:val="center"/>
          </w:tcPr>
          <w:p>
            <w:pPr>
              <w:widowControl/>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合  计</w:t>
            </w:r>
          </w:p>
        </w:tc>
        <w:tc>
          <w:tcPr>
            <w:tcW w:w="900" w:type="dxa"/>
            <w:shd w:val="clear" w:color="auto" w:fill="FFFFFF"/>
            <w:vAlign w:val="center"/>
          </w:tcPr>
          <w:p>
            <w:pPr>
              <w:widowControl/>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100分</w:t>
            </w:r>
          </w:p>
        </w:tc>
        <w:tc>
          <w:tcPr>
            <w:tcW w:w="11464" w:type="dxa"/>
            <w:shd w:val="clear" w:color="auto" w:fill="FFFFFF"/>
            <w:vAlign w:val="center"/>
          </w:tcPr>
          <w:p>
            <w:pPr>
              <w:adjustRightInd w:val="0"/>
              <w:snapToGrid w:val="0"/>
              <w:spacing w:line="360" w:lineRule="auto"/>
              <w:jc w:val="center"/>
              <w:rPr>
                <w:rFonts w:ascii="宋体" w:hAnsi="宋体" w:cs="宋体"/>
                <w:color w:val="auto"/>
                <w:szCs w:val="21"/>
                <w:highlight w:val="none"/>
              </w:rPr>
            </w:pPr>
          </w:p>
        </w:tc>
      </w:tr>
    </w:tbl>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注：</w:t>
      </w:r>
    </w:p>
    <w:p>
      <w:pPr>
        <w:keepNext w:val="0"/>
        <w:keepLines w:val="0"/>
        <w:pageBreakBefore w:val="0"/>
        <w:widowControl w:val="0"/>
        <w:tabs>
          <w:tab w:val="left" w:pos="360"/>
        </w:tabs>
        <w:kinsoku/>
        <w:wordWrap/>
        <w:overflowPunct/>
        <w:topLinePunct w:val="0"/>
        <w:autoSpaceDE/>
        <w:autoSpaceDN/>
        <w:bidi w:val="0"/>
        <w:adjustRightInd/>
        <w:snapToGrid w:val="0"/>
        <w:spacing w:line="240" w:lineRule="auto"/>
        <w:contextualSpacing/>
        <w:textAlignment w:val="auto"/>
        <w:rPr>
          <w:rFonts w:hint="eastAsia" w:ascii="宋体" w:hAnsi="宋体" w:eastAsia="宋体" w:cs="宋体"/>
          <w:color w:val="auto"/>
          <w:kern w:val="0"/>
          <w:szCs w:val="21"/>
          <w:highlight w:val="none"/>
        </w:rPr>
      </w:pPr>
      <w:r>
        <w:rPr>
          <w:rFonts w:hint="eastAsia" w:ascii="宋体" w:hAnsi="宋体" w:cs="宋体"/>
          <w:color w:val="auto"/>
          <w:szCs w:val="21"/>
          <w:highlight w:val="none"/>
        </w:rPr>
        <w:t>1、</w:t>
      </w:r>
      <w:r>
        <w:rPr>
          <w:rFonts w:hint="eastAsia" w:ascii="宋体" w:hAnsi="宋体" w:cs="宋体"/>
          <w:b/>
          <w:color w:val="auto"/>
          <w:szCs w:val="21"/>
          <w:highlight w:val="none"/>
        </w:rPr>
        <w:t>【</w:t>
      </w:r>
      <w:r>
        <w:rPr>
          <w:rFonts w:hint="eastAsia" w:ascii="宋体" w:hAnsi="宋体" w:cs="宋体"/>
          <w:b/>
          <w:bCs/>
          <w:color w:val="auto"/>
          <w:kern w:val="0"/>
          <w:szCs w:val="21"/>
          <w:highlight w:val="none"/>
        </w:rPr>
        <w:t>项目管理机构能力</w:t>
      </w:r>
      <w:r>
        <w:rPr>
          <w:rFonts w:hint="eastAsia" w:ascii="宋体" w:hAnsi="宋体" w:cs="宋体"/>
          <w:b/>
          <w:color w:val="auto"/>
          <w:szCs w:val="21"/>
          <w:highlight w:val="none"/>
        </w:rPr>
        <w:t>】：</w:t>
      </w:r>
      <w:r>
        <w:rPr>
          <w:rFonts w:hint="eastAsia" w:ascii="宋体" w:hAnsi="宋体" w:eastAsia="宋体" w:cs="宋体"/>
          <w:color w:val="auto"/>
          <w:kern w:val="0"/>
          <w:szCs w:val="21"/>
          <w:highlight w:val="none"/>
        </w:rPr>
        <w:t>（1）项目管理机构人员仅指注册在本公司人员，不含子母公司人员，如投标申请人为集团公司，则不含集团下属子公司，专指集团本部人员，同样下属子公司也不得使用集团公司的人员。项目管理机构人员不能兼任，不重复计算得分。</w:t>
      </w:r>
    </w:p>
    <w:p>
      <w:pPr>
        <w:keepNext w:val="0"/>
        <w:keepLines w:val="0"/>
        <w:pageBreakBefore w:val="0"/>
        <w:widowControl w:val="0"/>
        <w:tabs>
          <w:tab w:val="left" w:pos="360"/>
        </w:tabs>
        <w:kinsoku/>
        <w:wordWrap/>
        <w:overflowPunct/>
        <w:topLinePunct w:val="0"/>
        <w:autoSpaceDE/>
        <w:autoSpaceDN/>
        <w:bidi w:val="0"/>
        <w:adjustRightInd/>
        <w:snapToGrid w:val="0"/>
        <w:spacing w:line="240" w:lineRule="auto"/>
        <w:contextualSpacing/>
        <w:textAlignment w:val="auto"/>
        <w:rPr>
          <w:rFonts w:hint="default" w:ascii="宋体" w:hAnsi="宋体" w:eastAsia="宋体" w:cs="宋体"/>
          <w:color w:val="auto"/>
          <w:highlight w:val="none"/>
          <w:lang w:val="en-US" w:eastAsia="zh-CN"/>
        </w:rPr>
      </w:pPr>
      <w:r>
        <w:rPr>
          <w:rFonts w:hint="eastAsia" w:ascii="宋体" w:hAnsi="宋体" w:eastAsia="宋体" w:cs="宋体"/>
          <w:color w:val="auto"/>
          <w:kern w:val="0"/>
          <w:szCs w:val="21"/>
          <w:highlight w:val="none"/>
        </w:rPr>
        <w:t>（2）①所有人员必须按要求提供相应证件证明；②职称专业以职称证书上注明的专业为准，高级职称证书以地市级以上人社部门核发为准，若不是人社部门核发的职称证书，投标人应同时提供地市级以上人社部门委托核发机构开展职称评审工作的证明文件或其他可由该机构核发的政策文件依据，或在人社部门专业技术人才职称管理系统登记的信息记录网页及截图，否则，对该职称证书不予认可；③其中：注册造价工程师专业以全国建筑市场监督公共服务平台查询为准，须同时提供全国建筑市场监督公共服务平台“http://jzsc.mohurd.gov.cn/data/person查询”网页截图（包括有效期及注册专业）；按照《造价工程师职业资格制度规定》的规定，根据原人事部、原建设部发布的《造价工程师执业资格制度暂行规定》（人发〔1996〕77号）取得的造价工程师执业资格，并经注册且在有效期内的，等同于一级注册造价工程师；投标人须提供注册造价工程师注册证书、注册造价工程师注册信息查询网站（http://zaojiasys.jianshe99.com/cecaopsys/queryAndSearch/view.do?op=queryUserInfoInit）查询结果网上截图，且执业状态栏显示“正常”的才计分，不提供或者提供资料不齐全的不计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④</w:t>
      </w:r>
      <w:r>
        <w:rPr>
          <w:rFonts w:hint="eastAsia" w:ascii="宋体" w:hAnsi="宋体" w:eastAsia="宋体" w:cs="宋体"/>
          <w:color w:val="auto"/>
          <w:kern w:val="0"/>
          <w:szCs w:val="21"/>
          <w:highlight w:val="none"/>
        </w:rPr>
        <w:t>注册安全工程师执业资格须同时提供注册安全工程师注册管理系统网站（</w:t>
      </w:r>
      <w:r>
        <w:rPr>
          <w:rFonts w:hint="eastAsia" w:ascii="宋体" w:hAnsi="宋体" w:eastAsia="宋体" w:cs="宋体"/>
          <w:color w:val="auto"/>
          <w:kern w:val="0"/>
          <w:szCs w:val="21"/>
          <w:highlight w:val="none"/>
          <w:lang w:eastAsia="zh-CN"/>
        </w:rPr>
        <w:t>http://rmocse.chinasafety.ac.cn/</w:t>
      </w:r>
      <w:r>
        <w:rPr>
          <w:rFonts w:hint="eastAsia" w:ascii="宋体" w:hAnsi="宋体" w:eastAsia="宋体" w:cs="宋体"/>
          <w:color w:val="auto"/>
          <w:kern w:val="0"/>
          <w:szCs w:val="21"/>
          <w:highlight w:val="none"/>
        </w:rPr>
        <w:t>）查询结果网页截图；</w:t>
      </w:r>
      <w:r>
        <w:rPr>
          <w:rFonts w:hint="eastAsia" w:ascii="宋体" w:hAnsi="宋体" w:cs="宋体"/>
          <w:color w:val="auto"/>
          <w:kern w:val="0"/>
          <w:szCs w:val="21"/>
          <w:highlight w:val="none"/>
          <w:lang w:val="en-US" w:eastAsia="zh-CN"/>
        </w:rPr>
        <w:t>⑤项目负责人和技术负责人业绩可取自广州市住建行业信用管理平台业绩库，或提供其他证明文件，其他证明文件需包含中标通知书（或免招标证明）或施工合同关键页，以及担任对应职位完成的竣工验收报告上能体现该人员名字作为证明文件，以上证明文件需提供扫描件并加盖电子章。</w:t>
      </w:r>
    </w:p>
    <w:p>
      <w:pPr>
        <w:keepNext w:val="0"/>
        <w:keepLines w:val="0"/>
        <w:pageBreakBefore w:val="0"/>
        <w:widowControl w:val="0"/>
        <w:tabs>
          <w:tab w:val="left" w:pos="0"/>
        </w:tabs>
        <w:kinsoku/>
        <w:wordWrap/>
        <w:overflowPunct/>
        <w:topLinePunct w:val="0"/>
        <w:autoSpaceDE/>
        <w:autoSpaceDN/>
        <w:bidi w:val="0"/>
        <w:adjustRightInd/>
        <w:snapToGrid/>
        <w:spacing w:line="240" w:lineRule="auto"/>
        <w:ind w:firstLine="420" w:firstLineChars="200"/>
        <w:jc w:val="left"/>
        <w:textAlignment w:val="auto"/>
        <w:rPr>
          <w:rFonts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color w:val="auto"/>
          <w:szCs w:val="21"/>
          <w:highlight w:val="none"/>
        </w:rPr>
        <w:t>所有人员应提供</w:t>
      </w:r>
      <w:bookmarkStart w:id="41" w:name="OLE_LINK1"/>
      <w:r>
        <w:rPr>
          <w:rFonts w:hint="eastAsia" w:ascii="宋体" w:hAnsi="宋体" w:cs="宋体"/>
          <w:color w:val="auto"/>
          <w:szCs w:val="21"/>
          <w:highlight w:val="none"/>
        </w:rPr>
        <w:t>近1个月（202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月），由社保行政主管部门出具的社保证明资料原件扫描件；如为退休人员需提供退休证及返聘协议并符合国家法律规定内的返聘年龄</w:t>
      </w:r>
      <w:bookmarkEnd w:id="41"/>
      <w:r>
        <w:rPr>
          <w:rFonts w:hint="eastAsia" w:ascii="宋体" w:hAnsi="宋体" w:cs="宋体"/>
          <w:color w:val="auto"/>
          <w:szCs w:val="21"/>
          <w:highlight w:val="none"/>
        </w:rPr>
        <w:t>。</w:t>
      </w:r>
    </w:p>
    <w:p>
      <w:pPr>
        <w:ind w:firstLine="420" w:firstLineChars="200"/>
        <w:rPr>
          <w:rFonts w:ascii="宋体" w:hAnsi="宋体" w:cs="仿宋"/>
          <w:color w:val="auto"/>
          <w:kern w:val="0"/>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rPr>
        <w:t>【</w:t>
      </w:r>
      <w:r>
        <w:rPr>
          <w:rFonts w:hint="eastAsia" w:ascii="宋体" w:hAnsi="宋体" w:cs="宋体"/>
          <w:b/>
          <w:bCs/>
          <w:color w:val="auto"/>
          <w:kern w:val="0"/>
          <w:szCs w:val="21"/>
          <w:highlight w:val="none"/>
        </w:rPr>
        <w:t>类似工程业绩</w:t>
      </w:r>
      <w:r>
        <w:rPr>
          <w:rFonts w:hint="eastAsia" w:ascii="宋体" w:hAnsi="宋体" w:cs="宋体"/>
          <w:b/>
          <w:color w:val="auto"/>
          <w:szCs w:val="21"/>
          <w:highlight w:val="none"/>
        </w:rPr>
        <w:t>】：</w:t>
      </w:r>
      <w:r>
        <w:rPr>
          <w:rFonts w:hint="eastAsia" w:ascii="宋体" w:hAnsi="宋体" w:cs="仿宋"/>
          <w:color w:val="auto"/>
          <w:kern w:val="0"/>
          <w:szCs w:val="21"/>
          <w:highlight w:val="none"/>
        </w:rPr>
        <w:t>建筑工程项目：业绩取自</w:t>
      </w:r>
      <w:r>
        <w:rPr>
          <w:rFonts w:hint="eastAsia" w:ascii="宋体" w:hAnsi="宋体" w:cs="仿宋"/>
          <w:b/>
          <w:bCs/>
          <w:color w:val="auto"/>
          <w:kern w:val="0"/>
          <w:szCs w:val="21"/>
          <w:highlight w:val="none"/>
        </w:rPr>
        <w:t>广州市住建行业信用管理平台</w:t>
      </w:r>
      <w:r>
        <w:rPr>
          <w:rFonts w:hint="eastAsia" w:ascii="宋体" w:hAnsi="宋体" w:cs="仿宋"/>
          <w:color w:val="auto"/>
          <w:kern w:val="0"/>
          <w:szCs w:val="21"/>
          <w:highlight w:val="none"/>
        </w:rPr>
        <w:t>。投标人须提供类似工程业绩的项目名称及业绩在</w:t>
      </w:r>
      <w:r>
        <w:rPr>
          <w:rFonts w:hint="eastAsia" w:ascii="宋体" w:hAnsi="宋体" w:cs="仿宋"/>
          <w:b/>
          <w:bCs/>
          <w:color w:val="auto"/>
          <w:kern w:val="0"/>
          <w:szCs w:val="21"/>
          <w:highlight w:val="none"/>
        </w:rPr>
        <w:t>广州市住建行业信用管理平台</w:t>
      </w:r>
      <w:r>
        <w:rPr>
          <w:rFonts w:hint="eastAsia" w:ascii="宋体" w:hAnsi="宋体" w:cs="仿宋"/>
          <w:color w:val="auto"/>
          <w:kern w:val="0"/>
          <w:szCs w:val="21"/>
          <w:highlight w:val="none"/>
        </w:rPr>
        <w:t>中项目编号。不提供项目名称及项目编号的业绩不予评审。若投标人提供的项目名称与项目编号不一致：①项目名称和项目编号在</w:t>
      </w:r>
      <w:r>
        <w:rPr>
          <w:rFonts w:hint="eastAsia" w:ascii="宋体" w:hAnsi="宋体" w:cs="仿宋"/>
          <w:b/>
          <w:bCs/>
          <w:color w:val="auto"/>
          <w:kern w:val="0"/>
          <w:szCs w:val="21"/>
          <w:highlight w:val="none"/>
          <w:u w:val="single"/>
        </w:rPr>
        <w:t>广州市住建行业信用管理</w:t>
      </w:r>
      <w:r>
        <w:rPr>
          <w:rFonts w:hint="eastAsia" w:ascii="宋体" w:hAnsi="宋体" w:cs="仿宋"/>
          <w:b/>
          <w:bCs/>
          <w:color w:val="auto"/>
          <w:kern w:val="0"/>
          <w:szCs w:val="21"/>
          <w:highlight w:val="none"/>
        </w:rPr>
        <w:t>平台内</w:t>
      </w:r>
      <w:r>
        <w:rPr>
          <w:rFonts w:hint="eastAsia" w:ascii="宋体" w:hAnsi="宋体" w:cs="仿宋"/>
          <w:color w:val="auto"/>
          <w:kern w:val="0"/>
          <w:szCs w:val="21"/>
          <w:highlight w:val="none"/>
        </w:rPr>
        <w:t>分别对应不同业绩的，以项目名称对应的业绩为准；②项目名称存在对应业绩的，项目编号在</w:t>
      </w:r>
      <w:r>
        <w:rPr>
          <w:rFonts w:hint="eastAsia" w:ascii="宋体" w:hAnsi="宋体" w:cs="仿宋"/>
          <w:b/>
          <w:bCs/>
          <w:color w:val="auto"/>
          <w:kern w:val="0"/>
          <w:szCs w:val="21"/>
          <w:highlight w:val="none"/>
          <w:u w:val="single"/>
        </w:rPr>
        <w:t>广州市住建行业信用管理</w:t>
      </w:r>
      <w:r>
        <w:rPr>
          <w:rFonts w:hint="eastAsia" w:ascii="宋体" w:hAnsi="宋体" w:cs="仿宋"/>
          <w:b/>
          <w:bCs/>
          <w:color w:val="auto"/>
          <w:kern w:val="0"/>
          <w:szCs w:val="21"/>
          <w:highlight w:val="none"/>
        </w:rPr>
        <w:t>平台内</w:t>
      </w:r>
      <w:r>
        <w:rPr>
          <w:rFonts w:hint="eastAsia" w:ascii="宋体" w:hAnsi="宋体" w:cs="仿宋"/>
          <w:color w:val="auto"/>
          <w:kern w:val="0"/>
          <w:szCs w:val="21"/>
          <w:highlight w:val="none"/>
        </w:rPr>
        <w:t>不存在对应业绩，以项目名称对应的业绩为准；③项目名称在</w:t>
      </w:r>
      <w:r>
        <w:rPr>
          <w:rFonts w:hint="eastAsia" w:ascii="宋体" w:hAnsi="宋体" w:cs="仿宋"/>
          <w:b/>
          <w:bCs/>
          <w:color w:val="auto"/>
          <w:kern w:val="0"/>
          <w:szCs w:val="21"/>
          <w:highlight w:val="none"/>
          <w:u w:val="single"/>
        </w:rPr>
        <w:t>广州市住建行业信用管理</w:t>
      </w:r>
      <w:r>
        <w:rPr>
          <w:rFonts w:hint="eastAsia" w:ascii="宋体" w:hAnsi="宋体" w:cs="仿宋"/>
          <w:b/>
          <w:bCs/>
          <w:color w:val="auto"/>
          <w:kern w:val="0"/>
          <w:szCs w:val="21"/>
          <w:highlight w:val="none"/>
        </w:rPr>
        <w:t>平台内</w:t>
      </w:r>
      <w:r>
        <w:rPr>
          <w:rFonts w:hint="eastAsia" w:ascii="宋体" w:hAnsi="宋体" w:cs="仿宋"/>
          <w:color w:val="auto"/>
          <w:kern w:val="0"/>
          <w:szCs w:val="21"/>
          <w:highlight w:val="none"/>
        </w:rPr>
        <w:t>不存在对应业绩，项目编号存在对应业绩的，以项目编号对应的业绩为准。评标委员会对业绩的评审以递交投标文件截止时间投标人在</w:t>
      </w:r>
      <w:r>
        <w:rPr>
          <w:rFonts w:hint="eastAsia" w:ascii="宋体" w:hAnsi="宋体" w:cs="仿宋"/>
          <w:b/>
          <w:bCs/>
          <w:color w:val="auto"/>
          <w:kern w:val="0"/>
          <w:szCs w:val="21"/>
          <w:highlight w:val="none"/>
          <w:u w:val="single"/>
        </w:rPr>
        <w:t>广州市住建行业信用管理</w:t>
      </w:r>
      <w:r>
        <w:rPr>
          <w:rFonts w:hint="eastAsia" w:ascii="宋体" w:hAnsi="宋体" w:cs="仿宋"/>
          <w:b/>
          <w:bCs/>
          <w:color w:val="auto"/>
          <w:kern w:val="0"/>
          <w:szCs w:val="21"/>
          <w:highlight w:val="none"/>
        </w:rPr>
        <w:t>平台内</w:t>
      </w:r>
      <w:r>
        <w:rPr>
          <w:rFonts w:hint="eastAsia" w:ascii="宋体" w:hAnsi="宋体" w:cs="仿宋"/>
          <w:color w:val="auto"/>
          <w:kern w:val="0"/>
          <w:szCs w:val="21"/>
          <w:highlight w:val="none"/>
        </w:rPr>
        <w:t>业绩上传件为依据。其中：工程总承包业绩包括勘察设计施工总承包或设计施工总承包或设计采购施工总承包或勘察设计采购施工总承包业绩等。</w:t>
      </w:r>
    </w:p>
    <w:p>
      <w:pPr>
        <w:ind w:firstLine="420" w:firstLineChars="200"/>
        <w:rPr>
          <w:rFonts w:ascii="宋体" w:hAnsi="宋体" w:cs="仿宋"/>
          <w:color w:val="auto"/>
          <w:kern w:val="0"/>
          <w:szCs w:val="21"/>
          <w:highlight w:val="none"/>
        </w:rPr>
      </w:pPr>
      <w:r>
        <w:rPr>
          <w:rFonts w:hint="eastAsia" w:ascii="宋体" w:hAnsi="宋体" w:cs="仿宋"/>
          <w:color w:val="auto"/>
          <w:kern w:val="0"/>
          <w:szCs w:val="21"/>
          <w:highlight w:val="none"/>
        </w:rPr>
        <w:t>a.适用于施工总承包及工程总承包项目：金额以中标通知书（其中工程总承包业绩以施工费中标金额）为准，中标通知书上没有金额或免招标的，以施工合同或工程总承包合同（不含补充合同，其中工程总承包业绩以施工费合同金额）为准。在广州市住建行业信用管理平台中“工程对应的企业资质”栏中须登记有与本项目要求相对应的资质【具体资质要求：建筑工程施工总承包（原房屋建筑工程施工总承包）】。</w:t>
      </w:r>
    </w:p>
    <w:p>
      <w:pPr>
        <w:ind w:firstLine="420" w:firstLineChars="200"/>
        <w:rPr>
          <w:rFonts w:ascii="宋体" w:hAnsi="宋体" w:cs="仿宋"/>
          <w:color w:val="auto"/>
          <w:kern w:val="0"/>
          <w:szCs w:val="21"/>
          <w:highlight w:val="none"/>
        </w:rPr>
      </w:pPr>
      <w:r>
        <w:rPr>
          <w:rFonts w:hint="eastAsia" w:ascii="宋体" w:hAnsi="宋体" w:cs="仿宋"/>
          <w:color w:val="auto"/>
          <w:kern w:val="0"/>
          <w:szCs w:val="21"/>
          <w:highlight w:val="none"/>
        </w:rPr>
        <w:t>b.技术指标（如有，具体要求在招标公告中明确）需在</w:t>
      </w:r>
      <w:r>
        <w:rPr>
          <w:rFonts w:hint="eastAsia" w:ascii="宋体" w:hAnsi="宋体" w:cs="仿宋"/>
          <w:b/>
          <w:bCs/>
          <w:color w:val="auto"/>
          <w:kern w:val="0"/>
          <w:szCs w:val="21"/>
          <w:highlight w:val="none"/>
        </w:rPr>
        <w:t>广州市住建行业信用管理平台</w:t>
      </w:r>
      <w:r>
        <w:rPr>
          <w:rFonts w:hint="eastAsia" w:ascii="宋体" w:hAnsi="宋体" w:cs="仿宋"/>
          <w:color w:val="auto"/>
          <w:kern w:val="0"/>
          <w:szCs w:val="21"/>
          <w:highlight w:val="none"/>
        </w:rPr>
        <w:t>业绩上传件中反映。</w:t>
      </w:r>
    </w:p>
    <w:p>
      <w:pPr>
        <w:ind w:firstLine="420" w:firstLineChars="200"/>
        <w:rPr>
          <w:rFonts w:ascii="宋体" w:hAnsi="宋体" w:cs="仿宋"/>
          <w:color w:val="auto"/>
          <w:kern w:val="0"/>
          <w:szCs w:val="21"/>
          <w:highlight w:val="none"/>
        </w:rPr>
      </w:pPr>
      <w:r>
        <w:rPr>
          <w:rFonts w:hint="eastAsia" w:ascii="宋体" w:hAnsi="宋体" w:cs="仿宋"/>
          <w:color w:val="auto"/>
          <w:kern w:val="0"/>
          <w:szCs w:val="21"/>
          <w:highlight w:val="none"/>
        </w:rPr>
        <w:t>c.完成时间以竣工验收文件为准。验收文件至少具有建设单位、设计、施工和监理单位盖章。</w:t>
      </w:r>
    </w:p>
    <w:p>
      <w:pPr>
        <w:keepNext w:val="0"/>
        <w:keepLines w:val="0"/>
        <w:pageBreakBefore w:val="0"/>
        <w:widowControl w:val="0"/>
        <w:tabs>
          <w:tab w:val="left" w:pos="360"/>
        </w:tabs>
        <w:kinsoku/>
        <w:wordWrap/>
        <w:overflowPunct/>
        <w:topLinePunct w:val="0"/>
        <w:autoSpaceDE/>
        <w:autoSpaceDN/>
        <w:bidi w:val="0"/>
        <w:adjustRightInd/>
        <w:snapToGrid w:val="0"/>
        <w:spacing w:line="240" w:lineRule="auto"/>
        <w:ind w:firstLine="420" w:firstLineChars="200"/>
        <w:contextualSpacing/>
        <w:textAlignment w:val="auto"/>
        <w:rPr>
          <w:rFonts w:hint="eastAsia" w:ascii="宋体" w:hAnsi="宋体" w:eastAsia="宋体" w:cs="宋体"/>
          <w:color w:val="auto"/>
          <w:szCs w:val="21"/>
          <w:highlight w:val="none"/>
        </w:rPr>
      </w:pPr>
      <w:r>
        <w:rPr>
          <w:rFonts w:hint="eastAsia" w:ascii="宋体" w:hAnsi="宋体" w:cs="仿宋"/>
          <w:color w:val="auto"/>
          <w:szCs w:val="21"/>
          <w:highlight w:val="none"/>
        </w:rPr>
        <w:t>d</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广州市住建行业信用管理</w:t>
      </w:r>
      <w:r>
        <w:rPr>
          <w:rFonts w:hint="eastAsia" w:ascii="宋体" w:hAnsi="宋体" w:eastAsia="宋体" w:cs="宋体"/>
          <w:color w:val="auto"/>
          <w:szCs w:val="21"/>
          <w:highlight w:val="none"/>
        </w:rPr>
        <w:t>平台内业绩上传件不符合上述要求的或登记的工程资质内容与施工合同或工程总承包合同等业绩证明资料不相符的，该项业绩不予认定</w:t>
      </w:r>
      <w:r>
        <w:rPr>
          <w:rFonts w:hint="eastAsia" w:ascii="宋体" w:hAnsi="宋体" w:eastAsia="宋体" w:cs="宋体"/>
          <w:color w:val="auto"/>
          <w:kern w:val="0"/>
          <w:szCs w:val="21"/>
          <w:highlight w:val="none"/>
        </w:rPr>
        <w:t>。</w:t>
      </w:r>
    </w:p>
    <w:p>
      <w:pPr>
        <w:pStyle w:val="146"/>
        <w:ind w:firstLine="36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3、</w:t>
      </w:r>
      <w:r>
        <w:rPr>
          <w:rFonts w:hint="eastAsia" w:ascii="宋体" w:hAnsi="宋体" w:eastAsia="宋体" w:cs="宋体"/>
          <w:b/>
          <w:color w:val="auto"/>
          <w:szCs w:val="21"/>
          <w:highlight w:val="none"/>
        </w:rPr>
        <w:t>【工程获奖】：</w:t>
      </w:r>
      <w:r>
        <w:rPr>
          <w:rFonts w:hint="eastAsia" w:ascii="宋体" w:hAnsi="宋体" w:eastAsia="宋体" w:cs="宋体"/>
          <w:color w:val="auto"/>
          <w:sz w:val="21"/>
          <w:szCs w:val="21"/>
          <w:highlight w:val="none"/>
        </w:rPr>
        <w:t>建筑工程项目：只评质量奖项。</w:t>
      </w:r>
    </w:p>
    <w:p>
      <w:pPr>
        <w:pStyle w:val="146"/>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①工程获奖可取自广州市住建行业信用管理平台或提供获奖证书。a.国家级奖项包括中国建设工程鲁班奖、国家优质工程金奖、国家优质工程奖、中国土木工程詹天佑奖；省（含自治区、直辖市）或市级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副省级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奖项包括：由省（含自治区、直辖市）、市级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副省级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建设行政主管部门或行业协会（行业协会须在民政管理部门登记备案）颁发的质量类工程奖项，其它如装修类、幕墙类、安全文明、绿色施工、技术创新、QC成果、钢结构、机电安装、科技进步及技术应用类奖项不参与计分；b.只计算建筑工程类获得的质量奖项。同一项目获得多个奖项的，该项目获奖只按其中一个奖项所在最高级别计算一次分数，不得重复计算。</w:t>
      </w:r>
    </w:p>
    <w:p>
      <w:pPr>
        <w:pStyle w:val="146"/>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如取自信用平台的：投标人须提供广州市住建行业信用管理平台的网页信息截图（网页信息截图须能清晰显示带有“住建行业信用管理平台”名称，并至少包含“项目基本信息”、“奖项信息”等信息），时间以获奖证书颁发时间为准，并加盖投标人电子印章。</w:t>
      </w:r>
    </w:p>
    <w:p>
      <w:pPr>
        <w:pStyle w:val="146"/>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③如提供获奖证书的：投标人须提供获奖证书扫描件及该获奖工程在“全国建筑市场监管公共服务平台”的网页信息截图，时间以获奖证书颁发时间为准，并加盖投标人电子印章。</w:t>
      </w:r>
    </w:p>
    <w:p>
      <w:pPr>
        <w:pStyle w:val="146"/>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④投标人须为该获奖项目的施工总承包单位，须提供相关证明材料（如施工合同或竣工验收文件等）体现其为施工总承包单位身份，否则不予计分。</w:t>
      </w:r>
    </w:p>
    <w:p>
      <w:pPr>
        <w:pStyle w:val="146"/>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若奖项颁发机构非政府相关部门，还需提供该组织在“中国社会组织政务服务平台（全国社会组织信用信息公示平台）”网站（https://xxgs.chinanpo.mca.gov.cn/gsxt/newList）（注：平台名称及网址若有更新，以最新发布的为准。）“社会组织”栏查询结果网页截图（需显示网址），同时须提供其查询结果必须为“正常”，证明其有登记备案。</w:t>
      </w:r>
    </w:p>
    <w:p>
      <w:pPr>
        <w:keepNext w:val="0"/>
        <w:keepLines w:val="0"/>
        <w:pageBreakBefore w:val="0"/>
        <w:widowControl w:val="0"/>
        <w:tabs>
          <w:tab w:val="left" w:pos="360"/>
        </w:tabs>
        <w:kinsoku/>
        <w:wordWrap/>
        <w:overflowPunct/>
        <w:topLinePunct w:val="0"/>
        <w:autoSpaceDE/>
        <w:autoSpaceDN/>
        <w:bidi w:val="0"/>
        <w:adjustRightInd/>
        <w:snapToGrid w:val="0"/>
        <w:spacing w:line="240" w:lineRule="auto"/>
        <w:ind w:firstLine="420" w:firstLineChars="200"/>
        <w:contextualSpacing/>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⑥不符合上述要求的或未按要求提供上述资料的奖项不计分</w:t>
      </w:r>
      <w:r>
        <w:rPr>
          <w:rFonts w:hint="eastAsia" w:ascii="宋体" w:hAnsi="宋体" w:eastAsia="宋体" w:cs="宋体"/>
          <w:color w:val="auto"/>
          <w:kern w:val="0"/>
          <w:szCs w:val="21"/>
          <w:highlight w:val="none"/>
        </w:rPr>
        <w:t>。</w:t>
      </w:r>
    </w:p>
    <w:p>
      <w:pPr>
        <w:keepNext w:val="0"/>
        <w:keepLines w:val="0"/>
        <w:pageBreakBefore w:val="0"/>
        <w:widowControl w:val="0"/>
        <w:tabs>
          <w:tab w:val="left" w:pos="360"/>
        </w:tabs>
        <w:kinsoku/>
        <w:wordWrap/>
        <w:overflowPunct/>
        <w:topLinePunct w:val="0"/>
        <w:autoSpaceDE/>
        <w:autoSpaceDN/>
        <w:bidi w:val="0"/>
        <w:adjustRightInd/>
        <w:snapToGrid w:val="0"/>
        <w:spacing w:line="240" w:lineRule="auto"/>
        <w:ind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【工程</w:t>
      </w:r>
      <w:r>
        <w:rPr>
          <w:rFonts w:hint="eastAsia" w:ascii="宋体" w:hAnsi="宋体" w:eastAsia="宋体" w:cs="宋体"/>
          <w:b/>
          <w:color w:val="auto"/>
          <w:szCs w:val="21"/>
          <w:highlight w:val="none"/>
          <w:lang w:val="en-US" w:eastAsia="zh-CN"/>
        </w:rPr>
        <w:t>研发能力</w:t>
      </w:r>
      <w:r>
        <w:rPr>
          <w:rFonts w:hint="eastAsia" w:ascii="宋体" w:hAnsi="宋体" w:eastAsia="宋体" w:cs="宋体"/>
          <w:b/>
          <w:color w:val="auto"/>
          <w:szCs w:val="21"/>
          <w:highlight w:val="none"/>
        </w:rPr>
        <w:t>】：</w:t>
      </w:r>
      <w:r>
        <w:rPr>
          <w:rFonts w:hint="eastAsia" w:ascii="宋体" w:hAnsi="宋体" w:cs="宋体"/>
          <w:b w:val="0"/>
          <w:color w:val="auto"/>
          <w:kern w:val="0"/>
          <w:szCs w:val="21"/>
          <w:highlight w:val="none"/>
          <w:lang w:val="en-US" w:eastAsia="zh-CN"/>
        </w:rPr>
        <w:t>（1）专利（含实用新型专利）</w:t>
      </w:r>
      <w:r>
        <w:rPr>
          <w:rFonts w:hint="eastAsia" w:ascii="宋体" w:hAnsi="宋体" w:eastAsia="宋体" w:cs="宋体"/>
          <w:color w:val="auto"/>
          <w:kern w:val="0"/>
          <w:szCs w:val="21"/>
          <w:highlight w:val="none"/>
        </w:rPr>
        <w:t>以国家知识产权局网站（https://www.cnipa.gov.cn/）中的“</w:t>
      </w:r>
      <w:r>
        <w:rPr>
          <w:rFonts w:hint="eastAsia" w:ascii="宋体" w:hAnsi="宋体" w:cs="宋体"/>
          <w:color w:val="auto"/>
          <w:kern w:val="0"/>
          <w:szCs w:val="21"/>
          <w:highlight w:val="none"/>
          <w:lang w:val="en-US" w:eastAsia="zh-CN"/>
        </w:rPr>
        <w:t>服务</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政务服务平台</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信息服务</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中的“中国及多国专利审查信息查询”</w:t>
      </w:r>
      <w:r>
        <w:rPr>
          <w:rFonts w:hint="eastAsia" w:ascii="宋体" w:hAnsi="宋体" w:eastAsia="宋体" w:cs="宋体"/>
          <w:color w:val="auto"/>
          <w:kern w:val="0"/>
          <w:szCs w:val="21"/>
          <w:highlight w:val="none"/>
        </w:rPr>
        <w:t>可查询的专利为准，时间以授权公告日期为准，专利号、授权公告日的查询页截图，不符合上述条件或未提供上述资料的不得分。</w:t>
      </w:r>
    </w:p>
    <w:p>
      <w:pPr>
        <w:keepNext w:val="0"/>
        <w:keepLines w:val="0"/>
        <w:pageBreakBefore w:val="0"/>
        <w:widowControl w:val="0"/>
        <w:tabs>
          <w:tab w:val="left" w:pos="360"/>
        </w:tabs>
        <w:kinsoku/>
        <w:wordWrap/>
        <w:overflowPunct/>
        <w:topLinePunct w:val="0"/>
        <w:autoSpaceDE/>
        <w:autoSpaceDN/>
        <w:bidi w:val="0"/>
        <w:adjustRightInd/>
        <w:snapToGrid w:val="0"/>
        <w:spacing w:line="240" w:lineRule="auto"/>
        <w:ind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工法奖项可取自广州市住建行业信用管理平台或以投标人所提供的获奖证书为准，时间以证书颁发时间为准。取平台信息的须提交平台网页信息截图以供核对；提供证书扫描件的须提交由省级行政主管部门颁发的获奖证书扫描件。不符合上述条件或无提供平台网页信息打印页或无法提供证书扫描件的工法的不计分。</w:t>
      </w:r>
    </w:p>
    <w:p>
      <w:pPr>
        <w:keepNext w:val="0"/>
        <w:keepLines w:val="0"/>
        <w:pageBreakBefore w:val="0"/>
        <w:widowControl w:val="0"/>
        <w:tabs>
          <w:tab w:val="left" w:pos="360"/>
        </w:tabs>
        <w:kinsoku/>
        <w:wordWrap/>
        <w:overflowPunct/>
        <w:topLinePunct w:val="0"/>
        <w:autoSpaceDE/>
        <w:autoSpaceDN/>
        <w:bidi w:val="0"/>
        <w:adjustRightInd/>
        <w:snapToGrid w:val="0"/>
        <w:spacing w:line="240" w:lineRule="auto"/>
        <w:ind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、评标委员会成员评分的算术平均值，即为该投标人的评审得分（若分数出现小数点时，保留到小数点后两位，第三位小数四舍五入）。</w:t>
      </w:r>
    </w:p>
    <w:p>
      <w:pPr>
        <w:keepNext w:val="0"/>
        <w:keepLines w:val="0"/>
        <w:pageBreakBefore w:val="0"/>
        <w:widowControl w:val="0"/>
        <w:tabs>
          <w:tab w:val="left" w:pos="360"/>
        </w:tabs>
        <w:kinsoku/>
        <w:wordWrap/>
        <w:overflowPunct/>
        <w:topLinePunct w:val="0"/>
        <w:autoSpaceDE/>
        <w:autoSpaceDN/>
        <w:bidi w:val="0"/>
        <w:adjustRightInd/>
        <w:snapToGrid w:val="0"/>
        <w:spacing w:line="240" w:lineRule="auto"/>
        <w:ind w:firstLine="420" w:firstLineChars="200"/>
        <w:contextualSpacing/>
        <w:textAlignment w:val="auto"/>
        <w:rPr>
          <w:rFonts w:hint="eastAsia" w:ascii="宋体" w:hAnsi="宋体" w:eastAsia="宋体" w:cs="宋体"/>
          <w:color w:val="auto"/>
          <w:kern w:val="0"/>
          <w:szCs w:val="21"/>
          <w:highlight w:val="none"/>
        </w:rPr>
      </w:pPr>
    </w:p>
    <w:p>
      <w:pPr>
        <w:spacing w:line="360" w:lineRule="auto"/>
        <w:jc w:val="left"/>
        <w:rPr>
          <w:rFonts w:hint="eastAsia" w:ascii="宋体" w:hAnsi="宋体" w:cs="宋体"/>
          <w:color w:val="auto"/>
          <w:szCs w:val="21"/>
          <w:highlight w:val="none"/>
        </w:rPr>
      </w:pPr>
    </w:p>
    <w:p>
      <w:pPr>
        <w:spacing w:line="360" w:lineRule="auto"/>
        <w:jc w:val="left"/>
        <w:rPr>
          <w:color w:val="auto"/>
          <w:highlight w:val="none"/>
        </w:rPr>
        <w:sectPr>
          <w:headerReference r:id="rId15" w:type="first"/>
          <w:footerReference r:id="rId17" w:type="first"/>
          <w:headerReference r:id="rId14" w:type="default"/>
          <w:footerReference r:id="rId16" w:type="default"/>
          <w:endnotePr>
            <w:numFmt w:val="decimal"/>
          </w:endnotePr>
          <w:pgSz w:w="16838" w:h="11906" w:orient="landscape"/>
          <w:pgMar w:top="1417" w:right="1418" w:bottom="1417" w:left="1418" w:header="851" w:footer="567" w:gutter="0"/>
          <w:pgNumType w:fmt="decimal"/>
          <w:cols w:space="720" w:num="1"/>
          <w:titlePg/>
          <w:docGrid w:linePitch="317" w:charSpace="0"/>
        </w:sectPr>
      </w:pPr>
      <w:r>
        <w:rPr>
          <w:rFonts w:hint="eastAsia" w:ascii="宋体" w:hAnsi="宋体" w:cs="宋体"/>
          <w:color w:val="auto"/>
          <w:szCs w:val="21"/>
          <w:highlight w:val="none"/>
        </w:rPr>
        <w:t xml:space="preserve">评委签名：                     日期：  </w:t>
      </w:r>
      <w:r>
        <w:rPr>
          <w:rFonts w:hint="eastAsia"/>
          <w:color w:val="auto"/>
          <w:highlight w:val="none"/>
        </w:rPr>
        <w:tab/>
      </w:r>
      <w:r>
        <w:rPr>
          <w:rFonts w:hint="eastAsia" w:ascii="宋体" w:hAnsi="宋体" w:cs="宋体"/>
          <w:color w:val="auto"/>
          <w:szCs w:val="21"/>
          <w:highlight w:val="none"/>
        </w:rPr>
        <w:t xml:space="preserve"> </w:t>
      </w:r>
      <w:r>
        <w:rPr>
          <w:rFonts w:hint="eastAsia"/>
          <w:color w:val="auto"/>
          <w:highlight w:val="none"/>
        </w:rPr>
        <w:tab/>
      </w:r>
    </w:p>
    <w:p>
      <w:pPr>
        <w:rPr>
          <w:rFonts w:ascii="宋体" w:hAnsi="宋体"/>
          <w:color w:val="auto"/>
          <w:szCs w:val="21"/>
          <w:highlight w:val="none"/>
        </w:rPr>
      </w:pPr>
      <w:r>
        <w:rPr>
          <w:rFonts w:hint="eastAsia" w:ascii="宋体" w:hAnsi="宋体"/>
          <w:color w:val="auto"/>
          <w:szCs w:val="21"/>
          <w:highlight w:val="none"/>
        </w:rPr>
        <w:t>附表五（适用于区间抽取法）</w:t>
      </w:r>
    </w:p>
    <w:p>
      <w:pPr>
        <w:jc w:val="center"/>
        <w:rPr>
          <w:rFonts w:ascii="宋体" w:hAnsi="宋体"/>
          <w:b/>
          <w:color w:val="auto"/>
          <w:szCs w:val="21"/>
          <w:highlight w:val="none"/>
        </w:rPr>
      </w:pPr>
      <w:r>
        <w:rPr>
          <w:rFonts w:hint="eastAsia" w:ascii="宋体" w:hAnsi="宋体"/>
          <w:b/>
          <w:color w:val="auto"/>
          <w:szCs w:val="21"/>
          <w:highlight w:val="none"/>
        </w:rPr>
        <w:t>经济标评分表</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工程名称：</w:t>
      </w:r>
    </w:p>
    <w:tbl>
      <w:tblPr>
        <w:tblStyle w:val="3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6"/>
        <w:gridCol w:w="908"/>
        <w:gridCol w:w="908"/>
        <w:gridCol w:w="908"/>
        <w:gridCol w:w="909"/>
        <w:gridCol w:w="909"/>
        <w:gridCol w:w="909"/>
        <w:gridCol w:w="909"/>
        <w:gridCol w:w="909"/>
        <w:gridCol w:w="909"/>
        <w:gridCol w:w="909"/>
        <w:gridCol w:w="909"/>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17"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7"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17"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投标报价PT（元）</w:t>
            </w: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7"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17"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计算评标参考价的等分点值X</w:t>
            </w:r>
          </w:p>
        </w:tc>
        <w:tc>
          <w:tcPr>
            <w:tcW w:w="4282" w:type="pct"/>
            <w:gridSpan w:val="12"/>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17"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评标参考价PC（元）</w:t>
            </w:r>
          </w:p>
        </w:tc>
        <w:tc>
          <w:tcPr>
            <w:tcW w:w="4282" w:type="pct"/>
            <w:gridSpan w:val="12"/>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17"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偏差（（PT-PC）/PC）（%）</w:t>
            </w: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7"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17"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减分（A）</w:t>
            </w: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7"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17"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得分(I=100-A)</w:t>
            </w: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7"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17"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得分排名次序</w:t>
            </w: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c>
          <w:tcPr>
            <w:tcW w:w="357"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auto"/>
                <w:sz w:val="24"/>
                <w:szCs w:val="24"/>
                <w:highlight w:val="none"/>
              </w:rPr>
            </w:pPr>
          </w:p>
        </w:tc>
      </w:tr>
    </w:tbl>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评委签名：</w:t>
      </w:r>
    </w:p>
    <w:p>
      <w:pPr>
        <w:pStyle w:val="19"/>
        <w:rPr>
          <w:rFonts w:hAnsi="宋体"/>
          <w:color w:val="auto"/>
          <w:sz w:val="21"/>
          <w:szCs w:val="21"/>
          <w:highlight w:val="none"/>
        </w:rPr>
      </w:pPr>
    </w:p>
    <w:p>
      <w:pPr>
        <w:rPr>
          <w:rFonts w:ascii="宋体" w:hAnsi="宋体"/>
          <w:color w:val="auto"/>
          <w:szCs w:val="21"/>
          <w:highlight w:val="none"/>
        </w:rPr>
      </w:pPr>
    </w:p>
    <w:p>
      <w:pPr>
        <w:pStyle w:val="19"/>
        <w:rPr>
          <w:rFonts w:hAnsi="宋体"/>
          <w:color w:val="auto"/>
          <w:sz w:val="21"/>
          <w:szCs w:val="21"/>
          <w:highlight w:val="none"/>
        </w:rPr>
      </w:pPr>
    </w:p>
    <w:p>
      <w:pPr>
        <w:rPr>
          <w:rFonts w:ascii="宋体" w:hAnsi="宋体" w:cs="宋体"/>
          <w:color w:val="auto"/>
          <w:szCs w:val="21"/>
          <w:highlight w:val="none"/>
        </w:rPr>
      </w:pPr>
    </w:p>
    <w:p>
      <w:pPr>
        <w:pStyle w:val="19"/>
        <w:rPr>
          <w:rFonts w:hAnsi="宋体"/>
          <w:color w:val="auto"/>
          <w:sz w:val="21"/>
          <w:szCs w:val="21"/>
          <w:highlight w:val="none"/>
        </w:rPr>
      </w:pPr>
    </w:p>
    <w:p>
      <w:pPr>
        <w:rPr>
          <w:rFonts w:ascii="等线" w:hAnsi="等线" w:eastAsia="等线"/>
          <w:color w:val="auto"/>
          <w:highlight w:val="none"/>
        </w:rPr>
      </w:pPr>
    </w:p>
    <w:p>
      <w:pPr>
        <w:rPr>
          <w:rFonts w:ascii="宋体" w:hAnsi="宋体" w:cs="宋体"/>
          <w:color w:val="auto"/>
          <w:szCs w:val="21"/>
          <w:highlight w:val="none"/>
        </w:rPr>
      </w:pPr>
    </w:p>
    <w:p>
      <w:pPr>
        <w:rPr>
          <w:rFonts w:ascii="宋体" w:hAnsi="宋体"/>
          <w:b/>
          <w:color w:val="auto"/>
          <w:szCs w:val="21"/>
          <w:highlight w:val="none"/>
        </w:rPr>
      </w:pPr>
      <w:r>
        <w:rPr>
          <w:rFonts w:hint="eastAsia" w:ascii="宋体" w:hAnsi="宋体"/>
          <w:color w:val="auto"/>
          <w:szCs w:val="21"/>
          <w:highlight w:val="none"/>
        </w:rPr>
        <w:t>附表六</w:t>
      </w:r>
    </w:p>
    <w:p>
      <w:pPr>
        <w:jc w:val="center"/>
        <w:rPr>
          <w:rFonts w:ascii="宋体" w:hAnsi="宋体"/>
          <w:b/>
          <w:color w:val="auto"/>
          <w:szCs w:val="21"/>
          <w:highlight w:val="none"/>
        </w:rPr>
      </w:pPr>
      <w:r>
        <w:rPr>
          <w:rFonts w:hint="eastAsia" w:ascii="宋体" w:hAnsi="宋体"/>
          <w:b/>
          <w:color w:val="auto"/>
          <w:szCs w:val="21"/>
          <w:highlight w:val="none"/>
        </w:rPr>
        <w:t>算术复核表</w:t>
      </w:r>
    </w:p>
    <w:p>
      <w:pPr>
        <w:rPr>
          <w:rFonts w:ascii="宋体" w:hAnsi="宋体"/>
          <w:color w:val="auto"/>
          <w:kern w:val="0"/>
          <w:szCs w:val="21"/>
          <w:highlight w:val="none"/>
        </w:rPr>
      </w:pPr>
      <w:r>
        <w:rPr>
          <w:rFonts w:hint="eastAsia" w:ascii="宋体" w:hAnsi="宋体"/>
          <w:color w:val="auto"/>
          <w:kern w:val="0"/>
          <w:szCs w:val="21"/>
          <w:highlight w:val="none"/>
        </w:rPr>
        <w:t>工程名称：</w:t>
      </w:r>
      <w:r>
        <w:rPr>
          <w:rFonts w:hint="eastAsia" w:ascii="宋体" w:hAnsi="宋体"/>
          <w:color w:val="auto"/>
          <w:kern w:val="0"/>
          <w:szCs w:val="21"/>
          <w:highlight w:val="none"/>
          <w:lang w:val="en-US" w:eastAsia="zh-CN"/>
        </w:rPr>
        <w:t xml:space="preserve">                                  </w:t>
      </w:r>
      <w:r>
        <w:rPr>
          <w:rFonts w:hint="eastAsia" w:ascii="宋体" w:hAnsi="宋体"/>
          <w:color w:val="auto"/>
          <w:kern w:val="0"/>
          <w:szCs w:val="21"/>
          <w:highlight w:val="none"/>
        </w:rPr>
        <w:t>投标人</w:t>
      </w:r>
      <w:r>
        <w:rPr>
          <w:rFonts w:ascii="宋体" w:hAnsi="宋体"/>
          <w:color w:val="auto"/>
          <w:kern w:val="0"/>
          <w:szCs w:val="21"/>
          <w:highlight w:val="none"/>
        </w:rPr>
        <w:t xml:space="preserve">:                                                  </w:t>
      </w:r>
      <w:r>
        <w:rPr>
          <w:rFonts w:hint="eastAsia" w:ascii="宋体" w:hAnsi="宋体"/>
          <w:color w:val="auto"/>
          <w:kern w:val="0"/>
          <w:szCs w:val="21"/>
          <w:highlight w:val="none"/>
        </w:rPr>
        <w:t>单位：元</w:t>
      </w:r>
    </w:p>
    <w:tbl>
      <w:tblPr>
        <w:tblStyle w:val="39"/>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修正前投标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A</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修正后投标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B</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修正率</w:t>
            </w:r>
          </w:p>
          <w:p>
            <w:pPr>
              <w:rPr>
                <w:rFonts w:ascii="宋体" w:hAnsi="宋体"/>
                <w:color w:val="auto"/>
                <w:kern w:val="0"/>
                <w:szCs w:val="21"/>
                <w:highlight w:val="none"/>
              </w:rPr>
            </w:pPr>
            <w:r>
              <w:rPr>
                <w:rFonts w:ascii="宋体" w:hAnsi="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当</w:t>
            </w:r>
            <w:r>
              <w:rPr>
                <w:rFonts w:ascii="宋体" w:hAnsi="宋体"/>
                <w:color w:val="auto"/>
                <w:kern w:val="0"/>
                <w:szCs w:val="21"/>
                <w:highlight w:val="none"/>
              </w:rPr>
              <w:t>B&gt;A</w:t>
            </w:r>
            <w:r>
              <w:rPr>
                <w:rFonts w:hint="eastAsia" w:ascii="宋体" w:hAnsi="宋体"/>
                <w:color w:val="auto"/>
                <w:kern w:val="0"/>
                <w:szCs w:val="21"/>
                <w:highlight w:val="none"/>
              </w:rPr>
              <w:t>时，修正后报价与原报价的差额；当</w:t>
            </w:r>
            <w:r>
              <w:rPr>
                <w:rFonts w:ascii="宋体" w:hAnsi="宋体"/>
                <w:color w:val="auto"/>
                <w:kern w:val="0"/>
                <w:szCs w:val="21"/>
                <w:highlight w:val="none"/>
              </w:rPr>
              <w:t>B</w:t>
            </w:r>
            <w:r>
              <w:rPr>
                <w:rFonts w:hint="eastAsia" w:ascii="宋体" w:hAnsi="宋体"/>
                <w:color w:val="auto"/>
                <w:kern w:val="0"/>
                <w:szCs w:val="21"/>
                <w:highlight w:val="none"/>
              </w:rPr>
              <w:t>≤</w:t>
            </w:r>
            <w:r>
              <w:rPr>
                <w:rFonts w:ascii="宋体" w:hAnsi="宋体"/>
                <w:color w:val="auto"/>
                <w:kern w:val="0"/>
                <w:szCs w:val="21"/>
                <w:highlight w:val="none"/>
              </w:rPr>
              <w:t>A</w:t>
            </w:r>
            <w:r>
              <w:rPr>
                <w:rFonts w:hint="eastAsia" w:ascii="宋体" w:hAnsi="宋体"/>
                <w:color w:val="auto"/>
                <w:kern w:val="0"/>
                <w:szCs w:val="21"/>
                <w:highlight w:val="none"/>
              </w:rPr>
              <w:t>时</w:t>
            </w:r>
            <w:r>
              <w:rPr>
                <w:rFonts w:ascii="宋体" w:hAnsi="宋体"/>
                <w:color w:val="auto"/>
                <w:kern w:val="0"/>
                <w:szCs w:val="21"/>
                <w:highlight w:val="none"/>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1]</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2]</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n]</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A=A</w:t>
            </w:r>
            <w:r>
              <w:rPr>
                <w:rFonts w:ascii="宋体" w:hAnsi="宋体"/>
                <w:color w:val="auto"/>
                <w:kern w:val="0"/>
                <w:szCs w:val="21"/>
                <w:highlight w:val="none"/>
                <w:vertAlign w:val="subscript"/>
              </w:rPr>
              <w:t>1</w:t>
            </w:r>
            <w:r>
              <w:rPr>
                <w:rFonts w:ascii="宋体" w:hAnsi="宋体"/>
                <w:color w:val="auto"/>
                <w:kern w:val="0"/>
                <w:szCs w:val="21"/>
                <w:highlight w:val="none"/>
              </w:rPr>
              <w:t>+A</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An</w:t>
            </w:r>
            <w:r>
              <w:rPr>
                <w:rFonts w:hint="eastAsia" w:ascii="宋体" w:hAnsi="宋体"/>
                <w:color w:val="auto"/>
                <w:kern w:val="0"/>
                <w:szCs w:val="21"/>
                <w:highlight w:val="none"/>
              </w:rPr>
              <w:t>；∑</w:t>
            </w:r>
            <w:r>
              <w:rPr>
                <w:rFonts w:ascii="宋体" w:hAnsi="宋体"/>
                <w:color w:val="auto"/>
                <w:kern w:val="0"/>
                <w:szCs w:val="21"/>
                <w:highlight w:val="none"/>
              </w:rPr>
              <w:t>B=B</w:t>
            </w:r>
            <w:r>
              <w:rPr>
                <w:rFonts w:ascii="宋体" w:hAnsi="宋体"/>
                <w:color w:val="auto"/>
                <w:kern w:val="0"/>
                <w:szCs w:val="21"/>
                <w:highlight w:val="none"/>
                <w:vertAlign w:val="subscript"/>
              </w:rPr>
              <w:t>1</w:t>
            </w:r>
            <w:r>
              <w:rPr>
                <w:rFonts w:ascii="宋体" w:hAnsi="宋体"/>
                <w:color w:val="auto"/>
                <w:kern w:val="0"/>
                <w:szCs w:val="21"/>
                <w:highlight w:val="none"/>
              </w:rPr>
              <w:t>+B</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Bn</w:t>
            </w:r>
          </w:p>
        </w:tc>
      </w:tr>
    </w:tbl>
    <w:p>
      <w:pPr>
        <w:rPr>
          <w:rFonts w:ascii="宋体" w:hAnsi="宋体" w:cs="宋体"/>
          <w:color w:val="auto"/>
          <w:kern w:val="0"/>
          <w:szCs w:val="21"/>
          <w:highlight w:val="none"/>
        </w:rPr>
      </w:pPr>
      <w:r>
        <w:rPr>
          <w:rFonts w:hint="eastAsia" w:ascii="宋体" w:hAnsi="宋体" w:cs="宋体"/>
          <w:color w:val="auto"/>
          <w:kern w:val="0"/>
          <w:szCs w:val="21"/>
          <w:highlight w:val="none"/>
        </w:rPr>
        <w:t>修正原则：</w:t>
      </w:r>
      <w:r>
        <w:rPr>
          <w:rFonts w:hint="eastAsia" w:ascii="宋体" w:hAnsi="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ascii="宋体" w:hAnsi="宋体" w:cs="宋体"/>
          <w:color w:val="auto"/>
          <w:kern w:val="0"/>
          <w:szCs w:val="21"/>
          <w:highlight w:val="none"/>
        </w:rPr>
        <w:tab/>
      </w:r>
    </w:p>
    <w:p>
      <w:pPr>
        <w:rPr>
          <w:rFonts w:ascii="宋体" w:hAnsi="宋体"/>
          <w:color w:val="auto"/>
          <w:kern w:val="0"/>
          <w:szCs w:val="21"/>
          <w:highlight w:val="none"/>
        </w:rPr>
      </w:pPr>
      <w:r>
        <w:rPr>
          <w:rFonts w:hint="eastAsia" w:ascii="宋体" w:hAnsi="宋体"/>
          <w:color w:val="auto"/>
          <w:kern w:val="0"/>
          <w:szCs w:val="21"/>
          <w:highlight w:val="none"/>
        </w:rPr>
        <w:t>评委签名：</w:t>
      </w:r>
      <w:r>
        <w:rPr>
          <w:rFonts w:ascii="宋体" w:hAnsi="宋体"/>
          <w:color w:val="auto"/>
          <w:kern w:val="0"/>
          <w:szCs w:val="21"/>
          <w:highlight w:val="none"/>
        </w:rPr>
        <w:tab/>
      </w:r>
      <w:r>
        <w:rPr>
          <w:rFonts w:ascii="宋体" w:hAnsi="宋体"/>
          <w:color w:val="auto"/>
          <w:kern w:val="0"/>
          <w:szCs w:val="21"/>
          <w:highlight w:val="none"/>
        </w:rPr>
        <w:tab/>
      </w:r>
      <w:r>
        <w:rPr>
          <w:rFonts w:ascii="宋体" w:hAnsi="宋体"/>
          <w:color w:val="auto"/>
          <w:kern w:val="0"/>
          <w:szCs w:val="21"/>
          <w:highlight w:val="none"/>
        </w:rPr>
        <w:tab/>
      </w:r>
      <w:r>
        <w:rPr>
          <w:rFonts w:ascii="宋体" w:hAnsi="宋体"/>
          <w:color w:val="auto"/>
          <w:kern w:val="0"/>
          <w:szCs w:val="21"/>
          <w:highlight w:val="none"/>
        </w:rPr>
        <w:tab/>
      </w:r>
      <w:r>
        <w:rPr>
          <w:rFonts w:ascii="宋体" w:hAnsi="宋体"/>
          <w:color w:val="auto"/>
          <w:kern w:val="0"/>
          <w:szCs w:val="21"/>
          <w:highlight w:val="none"/>
        </w:rPr>
        <w:tab/>
      </w:r>
      <w:r>
        <w:rPr>
          <w:rFonts w:hint="eastAsia" w:ascii="宋体" w:hAnsi="宋体"/>
          <w:color w:val="auto"/>
          <w:kern w:val="0"/>
          <w:szCs w:val="21"/>
          <w:highlight w:val="none"/>
        </w:rPr>
        <w:t>日期：</w:t>
      </w:r>
    </w:p>
    <w:p>
      <w:pPr>
        <w:rPr>
          <w:rFonts w:ascii="宋体" w:hAnsi="宋体"/>
          <w:color w:val="auto"/>
          <w:szCs w:val="21"/>
          <w:highlight w:val="none"/>
        </w:rPr>
      </w:pPr>
    </w:p>
    <w:p>
      <w:pPr>
        <w:rPr>
          <w:rFonts w:ascii="宋体" w:hAnsi="宋体"/>
          <w:color w:val="auto"/>
          <w:szCs w:val="21"/>
          <w:highlight w:val="none"/>
        </w:rPr>
      </w:pPr>
      <w:r>
        <w:rPr>
          <w:rFonts w:ascii="宋体" w:hAnsi="宋体"/>
          <w:color w:val="auto"/>
          <w:szCs w:val="21"/>
          <w:highlight w:val="none"/>
        </w:rPr>
        <w:br w:type="page"/>
      </w:r>
    </w:p>
    <w:p>
      <w:pPr>
        <w:rPr>
          <w:rFonts w:ascii="宋体" w:hAnsi="宋体" w:cs="宋体"/>
          <w:color w:val="auto"/>
          <w:szCs w:val="21"/>
          <w:highlight w:val="none"/>
        </w:rPr>
      </w:pPr>
    </w:p>
    <w:p>
      <w:pPr>
        <w:jc w:val="center"/>
        <w:rPr>
          <w:rFonts w:ascii="宋体" w:hAnsi="宋体"/>
          <w:b/>
          <w:color w:val="auto"/>
          <w:szCs w:val="21"/>
          <w:highlight w:val="none"/>
        </w:rPr>
      </w:pPr>
      <w:r>
        <w:rPr>
          <w:rFonts w:hint="eastAsia" w:ascii="宋体" w:hAnsi="宋体"/>
          <w:b/>
          <w:color w:val="auto"/>
          <w:szCs w:val="21"/>
          <w:highlight w:val="none"/>
        </w:rPr>
        <w:t>算术复核表</w:t>
      </w:r>
    </w:p>
    <w:p>
      <w:pPr>
        <w:rPr>
          <w:rFonts w:ascii="宋体" w:hAnsi="宋体"/>
          <w:color w:val="auto"/>
          <w:szCs w:val="21"/>
          <w:highlight w:val="none"/>
        </w:rPr>
      </w:pPr>
      <w:r>
        <w:rPr>
          <w:rFonts w:hint="eastAsia" w:ascii="宋体" w:hAnsi="宋体"/>
          <w:color w:val="auto"/>
          <w:szCs w:val="21"/>
          <w:highlight w:val="none"/>
        </w:rPr>
        <w:t>工程名称：</w:t>
      </w:r>
    </w:p>
    <w:tbl>
      <w:tblPr>
        <w:tblStyle w:val="39"/>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b/>
                <w:color w:val="auto"/>
                <w:szCs w:val="21"/>
                <w:highlight w:val="none"/>
              </w:rPr>
            </w:pPr>
            <w:r>
              <w:rPr>
                <w:rFonts w:hint="eastAsia" w:ascii="宋体" w:hAnsi="宋体"/>
                <w:b/>
                <w:color w:val="auto"/>
                <w:szCs w:val="21"/>
                <w:highlight w:val="none"/>
              </w:rPr>
              <w:t>编号</w:t>
            </w: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b/>
                <w:color w:val="auto"/>
                <w:szCs w:val="21"/>
                <w:highlight w:val="none"/>
              </w:rPr>
            </w:pPr>
            <w:r>
              <w:rPr>
                <w:rFonts w:hint="eastAsia" w:ascii="宋体" w:hAnsi="宋体"/>
                <w:b/>
                <w:color w:val="auto"/>
                <w:szCs w:val="21"/>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b/>
                <w:color w:val="auto"/>
                <w:szCs w:val="21"/>
                <w:highlight w:val="none"/>
              </w:rPr>
            </w:pPr>
            <w:r>
              <w:rPr>
                <w:rFonts w:hint="eastAsia" w:ascii="宋体" w:hAnsi="宋体"/>
                <w:b/>
                <w:color w:val="auto"/>
                <w:szCs w:val="21"/>
                <w:highlight w:val="none"/>
              </w:rPr>
              <w:t>原投标报价（</w:t>
            </w:r>
            <w:r>
              <w:rPr>
                <w:rFonts w:ascii="宋体" w:hAnsi="宋体"/>
                <w:b/>
                <w:color w:val="auto"/>
                <w:szCs w:val="21"/>
                <w:highlight w:val="none"/>
              </w:rPr>
              <w:t>A</w:t>
            </w:r>
            <w:r>
              <w:rPr>
                <w:rFonts w:hint="eastAsia" w:ascii="宋体" w:hAnsi="宋体"/>
                <w:b/>
                <w:color w:val="auto"/>
                <w:szCs w:val="21"/>
                <w:highlight w:val="none"/>
              </w:rPr>
              <w:t>）</w:t>
            </w: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b/>
                <w:color w:val="auto"/>
                <w:szCs w:val="21"/>
                <w:highlight w:val="none"/>
              </w:rPr>
            </w:pPr>
            <w:r>
              <w:rPr>
                <w:rFonts w:hint="eastAsia" w:ascii="宋体" w:hAnsi="宋体"/>
                <w:b/>
                <w:color w:val="auto"/>
                <w:szCs w:val="21"/>
                <w:highlight w:val="none"/>
              </w:rPr>
              <w:t>算数复核后投标报价（</w:t>
            </w:r>
            <w:r>
              <w:rPr>
                <w:rFonts w:ascii="宋体" w:hAnsi="宋体"/>
                <w:b/>
                <w:color w:val="auto"/>
                <w:szCs w:val="21"/>
                <w:highlight w:val="none"/>
              </w:rPr>
              <w:t>B</w:t>
            </w:r>
            <w:r>
              <w:rPr>
                <w:rFonts w:hint="eastAsia" w:ascii="宋体" w:hAnsi="宋体"/>
                <w:b/>
                <w:color w:val="auto"/>
                <w:szCs w:val="21"/>
                <w:highlight w:val="none"/>
              </w:rPr>
              <w:t>）</w:t>
            </w: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b/>
                <w:color w:val="auto"/>
                <w:szCs w:val="21"/>
                <w:highlight w:val="none"/>
              </w:rPr>
            </w:pPr>
            <w:r>
              <w:rPr>
                <w:rFonts w:hint="eastAsia" w:ascii="宋体" w:hAnsi="宋体"/>
                <w:b/>
                <w:color w:val="auto"/>
                <w:szCs w:val="21"/>
                <w:highlight w:val="none"/>
              </w:rPr>
              <w:t>误差率（</w:t>
            </w:r>
            <w:r>
              <w:rPr>
                <w:rFonts w:ascii="宋体" w:hAnsi="宋体"/>
                <w:b/>
                <w:color w:val="auto"/>
                <w:szCs w:val="21"/>
                <w:highlight w:val="none"/>
              </w:rPr>
              <w:t>r=|A-B|/A*100%</w:t>
            </w:r>
            <w:r>
              <w:rPr>
                <w:rFonts w:hint="eastAsia" w:ascii="宋体" w:hAnsi="宋体"/>
                <w:b/>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bl>
    <w:p>
      <w:pPr>
        <w:rPr>
          <w:rFonts w:ascii="宋体" w:hAnsi="宋体" w:cs="宋体"/>
          <w:color w:val="auto"/>
          <w:szCs w:val="21"/>
          <w:highlight w:val="none"/>
        </w:rPr>
        <w:sectPr>
          <w:headerReference r:id="rId18" w:type="default"/>
          <w:footerReference r:id="rId19" w:type="default"/>
          <w:pgSz w:w="16838" w:h="11906" w:orient="landscape"/>
          <w:pgMar w:top="1418" w:right="1418" w:bottom="1418" w:left="1418" w:header="851" w:footer="567" w:gutter="0"/>
          <w:pgNumType w:fmt="decimal"/>
          <w:cols w:space="720" w:num="1"/>
          <w:docGrid w:linePitch="317" w:charSpace="0"/>
        </w:sectPr>
      </w:pPr>
      <w:r>
        <w:rPr>
          <w:rFonts w:hint="eastAsia" w:ascii="宋体" w:hAnsi="宋体"/>
          <w:color w:val="auto"/>
          <w:szCs w:val="21"/>
          <w:highlight w:val="none"/>
        </w:rPr>
        <w:t>评委签名：</w:t>
      </w:r>
    </w:p>
    <w:p>
      <w:pPr>
        <w:pStyle w:val="3"/>
        <w:jc w:val="center"/>
        <w:rPr>
          <w:rFonts w:ascii="宋体" w:hAnsi="宋体" w:cs="宋体"/>
          <w:b/>
          <w:bCs/>
          <w:color w:val="auto"/>
          <w:sz w:val="21"/>
          <w:szCs w:val="21"/>
          <w:highlight w:val="none"/>
        </w:rPr>
      </w:pPr>
      <w:bookmarkStart w:id="42" w:name="_Toc18472"/>
      <w:r>
        <w:rPr>
          <w:rFonts w:hint="eastAsia" w:ascii="宋体" w:hAnsi="宋体" w:cs="宋体"/>
          <w:b/>
          <w:bCs/>
          <w:color w:val="auto"/>
          <w:sz w:val="28"/>
          <w:szCs w:val="28"/>
          <w:highlight w:val="none"/>
        </w:rPr>
        <w:t>第三章  合同条款</w:t>
      </w:r>
      <w:bookmarkEnd w:id="42"/>
    </w:p>
    <w:p>
      <w:pPr>
        <w:jc w:val="center"/>
        <w:rPr>
          <w:rFonts w:ascii="宋体" w:hAnsi="宋体" w:cs="宋体"/>
          <w:b/>
          <w:color w:val="auto"/>
          <w:szCs w:val="21"/>
          <w:highlight w:val="none"/>
        </w:rPr>
      </w:pPr>
      <w:r>
        <w:rPr>
          <w:rFonts w:hint="eastAsia" w:ascii="宋体" w:hAnsi="宋体" w:cs="宋体"/>
          <w:color w:val="auto"/>
          <w:szCs w:val="21"/>
          <w:highlight w:val="none"/>
        </w:rPr>
        <w:t>注：另册。</w:t>
      </w:r>
    </w:p>
    <w:p>
      <w:pPr>
        <w:pStyle w:val="37"/>
        <w:spacing w:line="360" w:lineRule="auto"/>
        <w:ind w:firstLine="0"/>
        <w:rPr>
          <w:rFonts w:ascii="宋体" w:hAnsi="宋体" w:eastAsia="宋体" w:cs="宋体"/>
          <w:color w:val="auto"/>
          <w:sz w:val="21"/>
          <w:szCs w:val="21"/>
          <w:highlight w:val="none"/>
        </w:rPr>
      </w:pPr>
    </w:p>
    <w:p>
      <w:pPr>
        <w:pStyle w:val="37"/>
        <w:spacing w:line="360" w:lineRule="auto"/>
        <w:ind w:firstLine="0"/>
        <w:rPr>
          <w:rFonts w:ascii="宋体" w:hAnsi="宋体" w:eastAsia="宋体" w:cs="宋体"/>
          <w:color w:val="auto"/>
          <w:sz w:val="21"/>
          <w:szCs w:val="21"/>
          <w:highlight w:val="none"/>
        </w:rPr>
      </w:pPr>
    </w:p>
    <w:p>
      <w:pPr>
        <w:pStyle w:val="37"/>
        <w:spacing w:line="360" w:lineRule="auto"/>
        <w:ind w:firstLine="0"/>
        <w:rPr>
          <w:rFonts w:ascii="宋体" w:hAnsi="宋体" w:eastAsia="宋体" w:cs="宋体"/>
          <w:color w:val="auto"/>
          <w:sz w:val="21"/>
          <w:szCs w:val="21"/>
          <w:highlight w:val="none"/>
        </w:rPr>
      </w:pPr>
    </w:p>
    <w:p>
      <w:pPr>
        <w:pStyle w:val="37"/>
        <w:spacing w:line="360" w:lineRule="auto"/>
        <w:ind w:firstLine="0"/>
        <w:rPr>
          <w:rFonts w:ascii="宋体" w:hAnsi="宋体" w:eastAsia="宋体" w:cs="宋体"/>
          <w:color w:val="auto"/>
          <w:sz w:val="21"/>
          <w:szCs w:val="21"/>
          <w:highlight w:val="none"/>
        </w:rPr>
      </w:pPr>
    </w:p>
    <w:p>
      <w:pPr>
        <w:pStyle w:val="37"/>
        <w:spacing w:line="360" w:lineRule="auto"/>
        <w:ind w:firstLine="0"/>
        <w:rPr>
          <w:rFonts w:ascii="宋体" w:hAnsi="宋体" w:eastAsia="宋体" w:cs="宋体"/>
          <w:color w:val="auto"/>
          <w:sz w:val="21"/>
          <w:szCs w:val="21"/>
          <w:highlight w:val="none"/>
        </w:rPr>
      </w:pPr>
    </w:p>
    <w:p>
      <w:pPr>
        <w:pStyle w:val="37"/>
        <w:spacing w:line="360" w:lineRule="auto"/>
        <w:ind w:firstLine="0"/>
        <w:rPr>
          <w:rFonts w:ascii="宋体" w:hAnsi="宋体" w:eastAsia="宋体" w:cs="宋体"/>
          <w:color w:val="auto"/>
          <w:sz w:val="21"/>
          <w:szCs w:val="21"/>
          <w:highlight w:val="none"/>
        </w:rPr>
      </w:pPr>
    </w:p>
    <w:p>
      <w:pPr>
        <w:pStyle w:val="37"/>
        <w:spacing w:line="360" w:lineRule="auto"/>
        <w:ind w:firstLine="0"/>
        <w:rPr>
          <w:rFonts w:ascii="宋体" w:hAnsi="宋体" w:eastAsia="宋体" w:cs="宋体"/>
          <w:color w:val="auto"/>
          <w:sz w:val="21"/>
          <w:szCs w:val="21"/>
          <w:highlight w:val="none"/>
        </w:rPr>
      </w:pPr>
    </w:p>
    <w:p>
      <w:pPr>
        <w:pStyle w:val="37"/>
        <w:spacing w:line="360" w:lineRule="auto"/>
        <w:ind w:firstLine="0"/>
        <w:rPr>
          <w:rFonts w:ascii="宋体" w:hAnsi="宋体" w:eastAsia="宋体" w:cs="宋体"/>
          <w:color w:val="auto"/>
          <w:sz w:val="21"/>
          <w:szCs w:val="21"/>
          <w:highlight w:val="none"/>
        </w:rPr>
      </w:pPr>
    </w:p>
    <w:p>
      <w:pPr>
        <w:pStyle w:val="37"/>
        <w:spacing w:line="360" w:lineRule="auto"/>
        <w:ind w:firstLine="0"/>
        <w:rPr>
          <w:rFonts w:ascii="宋体" w:hAnsi="宋体" w:eastAsia="宋体" w:cs="宋体"/>
          <w:color w:val="auto"/>
          <w:sz w:val="21"/>
          <w:szCs w:val="21"/>
          <w:highlight w:val="none"/>
        </w:rPr>
      </w:pPr>
    </w:p>
    <w:p>
      <w:pPr>
        <w:pStyle w:val="37"/>
        <w:spacing w:line="360" w:lineRule="auto"/>
        <w:ind w:firstLine="0"/>
        <w:rPr>
          <w:rFonts w:ascii="宋体" w:hAnsi="宋体" w:eastAsia="宋体" w:cs="宋体"/>
          <w:color w:val="auto"/>
          <w:sz w:val="21"/>
          <w:szCs w:val="21"/>
          <w:highlight w:val="none"/>
        </w:rPr>
      </w:pPr>
    </w:p>
    <w:p>
      <w:pPr>
        <w:pStyle w:val="37"/>
        <w:spacing w:line="360" w:lineRule="auto"/>
        <w:ind w:firstLine="0"/>
        <w:rPr>
          <w:rFonts w:ascii="宋体" w:hAnsi="宋体" w:eastAsia="宋体" w:cs="宋体"/>
          <w:color w:val="auto"/>
          <w:sz w:val="21"/>
          <w:szCs w:val="21"/>
          <w:highlight w:val="none"/>
        </w:rPr>
      </w:pPr>
    </w:p>
    <w:p>
      <w:pPr>
        <w:pStyle w:val="37"/>
        <w:spacing w:line="360" w:lineRule="auto"/>
        <w:ind w:firstLine="0"/>
        <w:rPr>
          <w:rFonts w:ascii="宋体" w:hAnsi="宋体" w:eastAsia="宋体" w:cs="宋体"/>
          <w:color w:val="auto"/>
          <w:sz w:val="21"/>
          <w:szCs w:val="21"/>
          <w:highlight w:val="none"/>
        </w:rPr>
      </w:pPr>
    </w:p>
    <w:p>
      <w:pPr>
        <w:pStyle w:val="37"/>
        <w:spacing w:line="360" w:lineRule="auto"/>
        <w:ind w:firstLine="0"/>
        <w:rPr>
          <w:rFonts w:ascii="宋体" w:hAnsi="宋体" w:eastAsia="宋体" w:cs="宋体"/>
          <w:color w:val="auto"/>
          <w:sz w:val="21"/>
          <w:szCs w:val="21"/>
          <w:highlight w:val="none"/>
        </w:rPr>
      </w:pPr>
    </w:p>
    <w:p>
      <w:pPr>
        <w:pStyle w:val="37"/>
        <w:spacing w:line="360" w:lineRule="auto"/>
        <w:ind w:firstLine="0"/>
        <w:rPr>
          <w:rFonts w:ascii="宋体" w:hAnsi="宋体" w:eastAsia="宋体" w:cs="宋体"/>
          <w:color w:val="auto"/>
          <w:sz w:val="21"/>
          <w:szCs w:val="21"/>
          <w:highlight w:val="none"/>
        </w:rPr>
      </w:pPr>
    </w:p>
    <w:p>
      <w:pPr>
        <w:pStyle w:val="37"/>
        <w:spacing w:line="360" w:lineRule="auto"/>
        <w:ind w:firstLine="0"/>
        <w:rPr>
          <w:rFonts w:ascii="宋体" w:hAnsi="宋体" w:eastAsia="宋体" w:cs="宋体"/>
          <w:color w:val="auto"/>
          <w:sz w:val="21"/>
          <w:szCs w:val="21"/>
          <w:highlight w:val="none"/>
        </w:rPr>
      </w:pPr>
    </w:p>
    <w:p>
      <w:pPr>
        <w:pStyle w:val="37"/>
        <w:spacing w:line="360" w:lineRule="auto"/>
        <w:ind w:firstLine="0"/>
        <w:rPr>
          <w:rFonts w:ascii="宋体" w:hAnsi="宋体" w:eastAsia="宋体" w:cs="宋体"/>
          <w:color w:val="auto"/>
          <w:sz w:val="21"/>
          <w:szCs w:val="21"/>
          <w:highlight w:val="none"/>
        </w:rPr>
      </w:pPr>
    </w:p>
    <w:p>
      <w:pPr>
        <w:pStyle w:val="37"/>
        <w:spacing w:line="360" w:lineRule="auto"/>
        <w:ind w:firstLine="0"/>
        <w:rPr>
          <w:rFonts w:ascii="宋体" w:hAnsi="宋体" w:eastAsia="宋体" w:cs="宋体"/>
          <w:color w:val="auto"/>
          <w:sz w:val="21"/>
          <w:szCs w:val="21"/>
          <w:highlight w:val="none"/>
        </w:rPr>
      </w:pPr>
    </w:p>
    <w:p>
      <w:pPr>
        <w:pStyle w:val="37"/>
        <w:spacing w:line="360" w:lineRule="auto"/>
        <w:ind w:firstLine="0"/>
        <w:rPr>
          <w:rFonts w:ascii="宋体" w:hAnsi="宋体" w:eastAsia="宋体" w:cs="宋体"/>
          <w:color w:val="auto"/>
          <w:sz w:val="21"/>
          <w:szCs w:val="21"/>
          <w:highlight w:val="none"/>
        </w:rPr>
      </w:pPr>
    </w:p>
    <w:p>
      <w:pPr>
        <w:pStyle w:val="37"/>
        <w:spacing w:line="360" w:lineRule="auto"/>
        <w:ind w:firstLine="0"/>
        <w:rPr>
          <w:rFonts w:ascii="宋体" w:hAnsi="宋体" w:eastAsia="宋体" w:cs="宋体"/>
          <w:color w:val="auto"/>
          <w:sz w:val="21"/>
          <w:szCs w:val="21"/>
          <w:highlight w:val="none"/>
        </w:rPr>
      </w:pPr>
    </w:p>
    <w:p>
      <w:pPr>
        <w:pStyle w:val="37"/>
        <w:spacing w:line="360" w:lineRule="auto"/>
        <w:ind w:firstLine="0"/>
        <w:rPr>
          <w:rFonts w:ascii="宋体" w:hAnsi="宋体" w:eastAsia="宋体" w:cs="宋体"/>
          <w:color w:val="auto"/>
          <w:sz w:val="21"/>
          <w:szCs w:val="21"/>
          <w:highlight w:val="none"/>
        </w:rPr>
      </w:pPr>
    </w:p>
    <w:p>
      <w:pPr>
        <w:pStyle w:val="37"/>
        <w:spacing w:line="360" w:lineRule="auto"/>
        <w:ind w:firstLine="0"/>
        <w:rPr>
          <w:rFonts w:ascii="宋体" w:hAnsi="宋体" w:eastAsia="宋体" w:cs="宋体"/>
          <w:color w:val="auto"/>
          <w:sz w:val="21"/>
          <w:szCs w:val="21"/>
          <w:highlight w:val="none"/>
        </w:rPr>
      </w:pPr>
    </w:p>
    <w:p>
      <w:pPr>
        <w:pStyle w:val="37"/>
        <w:spacing w:line="360" w:lineRule="auto"/>
        <w:ind w:firstLine="0"/>
        <w:rPr>
          <w:rFonts w:ascii="宋体" w:hAnsi="宋体" w:eastAsia="宋体" w:cs="宋体"/>
          <w:color w:val="auto"/>
          <w:sz w:val="21"/>
          <w:szCs w:val="21"/>
          <w:highlight w:val="none"/>
        </w:rPr>
      </w:pPr>
    </w:p>
    <w:p>
      <w:pPr>
        <w:pStyle w:val="37"/>
        <w:spacing w:line="360" w:lineRule="auto"/>
        <w:ind w:firstLine="0"/>
        <w:rPr>
          <w:rFonts w:ascii="宋体" w:hAnsi="宋体" w:eastAsia="宋体" w:cs="宋体"/>
          <w:color w:val="auto"/>
          <w:sz w:val="21"/>
          <w:szCs w:val="21"/>
          <w:highlight w:val="none"/>
        </w:rPr>
      </w:pPr>
    </w:p>
    <w:p>
      <w:pPr>
        <w:rPr>
          <w:rFonts w:ascii="宋体" w:hAnsi="宋体" w:cs="宋体"/>
          <w:color w:val="auto"/>
          <w:szCs w:val="21"/>
          <w:highlight w:val="none"/>
        </w:rPr>
      </w:pPr>
      <w:r>
        <w:rPr>
          <w:rFonts w:ascii="宋体" w:hAnsi="宋体" w:cs="宋体"/>
          <w:color w:val="auto"/>
          <w:szCs w:val="21"/>
          <w:highlight w:val="none"/>
        </w:rPr>
        <w:br w:type="page"/>
      </w:r>
    </w:p>
    <w:p>
      <w:pPr>
        <w:pStyle w:val="3"/>
        <w:spacing w:line="400" w:lineRule="exact"/>
        <w:jc w:val="center"/>
        <w:rPr>
          <w:rFonts w:ascii="宋体" w:hAnsi="宋体" w:cs="宋体"/>
          <w:b/>
          <w:bCs/>
          <w:color w:val="auto"/>
          <w:sz w:val="21"/>
          <w:szCs w:val="21"/>
          <w:highlight w:val="none"/>
        </w:rPr>
      </w:pPr>
      <w:bookmarkStart w:id="43" w:name="_Toc27420"/>
      <w:r>
        <w:rPr>
          <w:rFonts w:hint="eastAsia" w:ascii="宋体" w:hAnsi="宋体" w:cs="宋体"/>
          <w:b/>
          <w:bCs/>
          <w:color w:val="auto"/>
          <w:sz w:val="28"/>
          <w:szCs w:val="28"/>
          <w:highlight w:val="none"/>
        </w:rPr>
        <w:t>第四章  投标文件格式</w:t>
      </w:r>
      <w:bookmarkEnd w:id="43"/>
    </w:p>
    <w:p>
      <w:pPr>
        <w:rPr>
          <w:rFonts w:ascii="宋体" w:cs="宋体"/>
          <w:b/>
          <w:bCs/>
          <w:color w:val="auto"/>
          <w:sz w:val="22"/>
          <w:highlight w:val="none"/>
        </w:rPr>
      </w:pPr>
      <w:bookmarkStart w:id="44" w:name="_Toc395261097"/>
      <w:bookmarkStart w:id="45" w:name="_Toc478044835"/>
      <w:bookmarkStart w:id="46" w:name="_Toc358370576"/>
      <w:bookmarkStart w:id="47" w:name="_Toc369536768"/>
      <w:bookmarkStart w:id="48" w:name="_Toc19235"/>
    </w:p>
    <w:bookmarkEnd w:id="44"/>
    <w:bookmarkEnd w:id="45"/>
    <w:bookmarkEnd w:id="46"/>
    <w:bookmarkEnd w:id="47"/>
    <w:bookmarkEnd w:id="48"/>
    <w:p>
      <w:pPr>
        <w:rPr>
          <w:rFonts w:ascii="宋体" w:cs="宋体"/>
          <w:b/>
          <w:bCs/>
          <w:color w:val="auto"/>
          <w:sz w:val="22"/>
          <w:highlight w:val="none"/>
        </w:rPr>
      </w:pPr>
      <w:bookmarkStart w:id="49" w:name="_Toc478044857"/>
      <w:bookmarkStart w:id="50" w:name="_Toc6612"/>
      <w:bookmarkStart w:id="51" w:name="_Toc226209024"/>
      <w:bookmarkStart w:id="52" w:name="_Toc337720110"/>
      <w:bookmarkStart w:id="53" w:name="_Toc163337642"/>
      <w:bookmarkStart w:id="54" w:name="_Toc318924516"/>
      <w:bookmarkStart w:id="55" w:name="_Toc395261115"/>
      <w:bookmarkStart w:id="56" w:name="_Toc239216051"/>
      <w:bookmarkStart w:id="57" w:name="_Toc358370595"/>
      <w:bookmarkStart w:id="58" w:name="_Toc369536787"/>
      <w:bookmarkStart w:id="59" w:name="_Toc352623440"/>
      <w:bookmarkStart w:id="60" w:name="_Toc239311766"/>
      <w:bookmarkStart w:id="61" w:name="_Toc352240542"/>
    </w:p>
    <w:p>
      <w:pPr>
        <w:jc w:val="center"/>
        <w:rPr>
          <w:rFonts w:ascii="宋体" w:cs="宋体"/>
          <w:b/>
          <w:bCs/>
          <w:color w:val="auto"/>
          <w:sz w:val="22"/>
          <w:highlight w:val="none"/>
        </w:rPr>
      </w:pPr>
      <w:r>
        <w:rPr>
          <w:rFonts w:hint="eastAsia" w:ascii="宋体" w:cs="宋体"/>
          <w:b/>
          <w:bCs/>
          <w:color w:val="auto"/>
          <w:sz w:val="22"/>
          <w:highlight w:val="none"/>
        </w:rPr>
        <w:t>第一部分、技术投标文件（含资格审查文件）</w:t>
      </w:r>
    </w:p>
    <w:p>
      <w:pPr>
        <w:pStyle w:val="125"/>
        <w:spacing w:beforeLines="0" w:after="120" w:line="400" w:lineRule="exact"/>
        <w:jc w:val="center"/>
        <w:rPr>
          <w:rFonts w:hint="eastAsia" w:ascii="宋体" w:cs="宋体"/>
          <w:bCs/>
          <w:color w:val="auto"/>
          <w:sz w:val="22"/>
          <w:highlight w:val="none"/>
        </w:rPr>
      </w:pPr>
      <w:bookmarkStart w:id="62" w:name="OLE_LINK3"/>
      <w:r>
        <w:rPr>
          <w:rFonts w:hint="eastAsia" w:ascii="宋体" w:cs="宋体"/>
          <w:bCs/>
          <w:color w:val="auto"/>
          <w:sz w:val="22"/>
          <w:highlight w:val="none"/>
        </w:rPr>
        <w:t>技术投标文件（含资格审查文件）</w:t>
      </w:r>
    </w:p>
    <w:bookmarkEnd w:id="62"/>
    <w:p>
      <w:pPr>
        <w:pStyle w:val="125"/>
        <w:spacing w:beforeLines="0" w:after="120" w:line="400" w:lineRule="exact"/>
        <w:jc w:val="both"/>
        <w:rPr>
          <w:rFonts w:ascii="宋体" w:eastAsia="宋体" w:cs="宋体"/>
          <w:b w:val="0"/>
          <w:color w:val="auto"/>
          <w:sz w:val="21"/>
          <w:szCs w:val="21"/>
          <w:highlight w:val="none"/>
        </w:rPr>
      </w:pPr>
      <w:r>
        <w:rPr>
          <w:rFonts w:hint="eastAsia" w:ascii="宋体" w:eastAsia="宋体" w:cs="宋体"/>
          <w:color w:val="auto"/>
          <w:sz w:val="21"/>
          <w:szCs w:val="21"/>
          <w:highlight w:val="none"/>
        </w:rPr>
        <w:t>格式一：</w:t>
      </w:r>
      <w:r>
        <w:rPr>
          <w:rFonts w:hint="eastAsia" w:ascii="宋体" w:cs="宋体"/>
          <w:bCs/>
          <w:color w:val="auto"/>
          <w:sz w:val="22"/>
          <w:highlight w:val="none"/>
        </w:rPr>
        <w:t>技术投标文件（含资格审查文件）</w:t>
      </w:r>
      <w:r>
        <w:rPr>
          <w:rFonts w:hint="eastAsia" w:ascii="宋体" w:eastAsia="宋体" w:cs="宋体"/>
          <w:color w:val="auto"/>
          <w:sz w:val="21"/>
          <w:szCs w:val="21"/>
          <w:highlight w:val="none"/>
        </w:rPr>
        <w:t>封面</w:t>
      </w:r>
    </w:p>
    <w:p>
      <w:pPr>
        <w:pStyle w:val="119"/>
        <w:spacing w:line="400" w:lineRule="exact"/>
        <w:ind w:firstLine="498"/>
        <w:rPr>
          <w:rFonts w:ascii="宋体" w:hAnsi="宋体" w:eastAsia="宋体" w:cs="宋体"/>
          <w:b w:val="0"/>
          <w:color w:val="auto"/>
          <w:sz w:val="21"/>
          <w:szCs w:val="21"/>
          <w:highlight w:val="none"/>
          <w:u w:val="single"/>
        </w:rPr>
      </w:pPr>
    </w:p>
    <w:p>
      <w:pPr>
        <w:pStyle w:val="119"/>
        <w:spacing w:line="400" w:lineRule="exact"/>
        <w:ind w:firstLine="498"/>
        <w:rPr>
          <w:rFonts w:ascii="宋体" w:hAnsi="宋体" w:eastAsia="宋体" w:cs="宋体"/>
          <w:b w:val="0"/>
          <w:color w:val="auto"/>
          <w:sz w:val="21"/>
          <w:szCs w:val="21"/>
          <w:highlight w:val="none"/>
          <w:u w:val="single"/>
        </w:rPr>
      </w:pPr>
    </w:p>
    <w:p>
      <w:pPr>
        <w:pStyle w:val="119"/>
        <w:spacing w:line="400" w:lineRule="exact"/>
        <w:ind w:firstLine="498"/>
        <w:rPr>
          <w:rFonts w:ascii="宋体" w:hAnsi="宋体" w:eastAsia="宋体" w:cs="宋体"/>
          <w:b w:val="0"/>
          <w:color w:val="auto"/>
          <w:sz w:val="21"/>
          <w:szCs w:val="21"/>
          <w:highlight w:val="none"/>
          <w:u w:val="single"/>
        </w:rPr>
      </w:pPr>
    </w:p>
    <w:p>
      <w:pPr>
        <w:pStyle w:val="119"/>
        <w:spacing w:line="400" w:lineRule="exact"/>
        <w:jc w:val="both"/>
        <w:rPr>
          <w:rFonts w:ascii="宋体" w:hAnsi="宋体" w:eastAsia="宋体" w:cs="宋体"/>
          <w:b w:val="0"/>
          <w:color w:val="auto"/>
          <w:sz w:val="21"/>
          <w:szCs w:val="21"/>
          <w:highlight w:val="none"/>
          <w:u w:val="single"/>
        </w:rPr>
      </w:pPr>
    </w:p>
    <w:p>
      <w:pPr>
        <w:pStyle w:val="119"/>
        <w:spacing w:line="480" w:lineRule="exact"/>
        <w:ind w:firstLine="499"/>
        <w:rPr>
          <w:rFonts w:ascii="宋体" w:hAnsi="宋体" w:eastAsia="宋体" w:cs="宋体"/>
          <w:b w:val="0"/>
          <w:color w:val="auto"/>
          <w:sz w:val="21"/>
          <w:szCs w:val="21"/>
          <w:highlight w:val="none"/>
          <w:u w:val="single"/>
        </w:rPr>
      </w:pPr>
      <w:r>
        <w:rPr>
          <w:rFonts w:hint="eastAsia" w:ascii="宋体" w:hAnsi="宋体" w:eastAsia="宋体" w:cs="宋体"/>
          <w:b w:val="0"/>
          <w:color w:val="auto"/>
          <w:sz w:val="21"/>
          <w:szCs w:val="21"/>
          <w:highlight w:val="none"/>
          <w:u w:val="single"/>
        </w:rPr>
        <w:t xml:space="preserve">[工程名称] </w:t>
      </w:r>
    </w:p>
    <w:p>
      <w:pPr>
        <w:pStyle w:val="83"/>
        <w:spacing w:line="400" w:lineRule="exact"/>
        <w:ind w:firstLine="436"/>
        <w:rPr>
          <w:rFonts w:ascii="宋体" w:hAnsi="宋体" w:cs="宋体"/>
          <w:color w:val="auto"/>
          <w:sz w:val="21"/>
          <w:szCs w:val="21"/>
          <w:highlight w:val="none"/>
        </w:rPr>
      </w:pPr>
    </w:p>
    <w:p>
      <w:pPr>
        <w:pStyle w:val="140"/>
        <w:spacing w:line="400" w:lineRule="exact"/>
        <w:rPr>
          <w:rFonts w:ascii="宋体" w:hAnsi="宋体" w:eastAsia="宋体" w:cs="宋体"/>
          <w:b w:val="0"/>
          <w:color w:val="auto"/>
          <w:sz w:val="21"/>
          <w:szCs w:val="21"/>
          <w:highlight w:val="none"/>
        </w:rPr>
      </w:pPr>
    </w:p>
    <w:p>
      <w:pPr>
        <w:pStyle w:val="83"/>
        <w:ind w:firstLine="438"/>
        <w:rPr>
          <w:rFonts w:ascii="宋体" w:hAnsi="宋体" w:cs="宋体"/>
          <w:b/>
          <w:color w:val="auto"/>
          <w:sz w:val="21"/>
          <w:szCs w:val="21"/>
          <w:highlight w:val="none"/>
        </w:rPr>
      </w:pPr>
    </w:p>
    <w:p>
      <w:pPr>
        <w:pStyle w:val="83"/>
        <w:ind w:firstLine="438"/>
        <w:rPr>
          <w:rFonts w:ascii="宋体" w:hAnsi="宋体" w:cs="宋体"/>
          <w:b/>
          <w:color w:val="auto"/>
          <w:sz w:val="21"/>
          <w:szCs w:val="21"/>
          <w:highlight w:val="none"/>
        </w:rPr>
      </w:pPr>
    </w:p>
    <w:p>
      <w:pPr>
        <w:pStyle w:val="140"/>
        <w:spacing w:line="400" w:lineRule="exact"/>
        <w:rPr>
          <w:rFonts w:ascii="宋体" w:hAnsi="宋体" w:eastAsia="宋体" w:cs="宋体"/>
          <w:b w:val="0"/>
          <w:color w:val="auto"/>
          <w:sz w:val="21"/>
          <w:szCs w:val="21"/>
          <w:highlight w:val="none"/>
        </w:rPr>
      </w:pPr>
    </w:p>
    <w:p>
      <w:pPr>
        <w:pStyle w:val="140"/>
        <w:spacing w:line="400" w:lineRule="exact"/>
        <w:rPr>
          <w:rFonts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投标文件</w:t>
      </w:r>
    </w:p>
    <w:p>
      <w:pPr>
        <w:pStyle w:val="119"/>
        <w:spacing w:line="400" w:lineRule="exact"/>
        <w:rPr>
          <w:rFonts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第一部分  【技术标投标文件（含资格审查文件）】</w:t>
      </w:r>
    </w:p>
    <w:p>
      <w:pPr>
        <w:pStyle w:val="83"/>
        <w:spacing w:line="400" w:lineRule="exact"/>
        <w:ind w:firstLine="0" w:firstLineChars="0"/>
        <w:rPr>
          <w:rFonts w:ascii="宋体" w:hAnsi="宋体" w:cs="宋体"/>
          <w:color w:val="auto"/>
          <w:sz w:val="21"/>
          <w:szCs w:val="21"/>
          <w:highlight w:val="none"/>
        </w:rPr>
      </w:pPr>
    </w:p>
    <w:p>
      <w:pPr>
        <w:pStyle w:val="83"/>
        <w:spacing w:line="400" w:lineRule="exact"/>
        <w:ind w:firstLine="0" w:firstLineChars="0"/>
        <w:rPr>
          <w:rFonts w:ascii="宋体" w:hAnsi="宋体" w:cs="宋体"/>
          <w:color w:val="auto"/>
          <w:sz w:val="21"/>
          <w:szCs w:val="21"/>
          <w:highlight w:val="none"/>
        </w:rPr>
      </w:pPr>
    </w:p>
    <w:p>
      <w:pPr>
        <w:pStyle w:val="83"/>
        <w:spacing w:line="400" w:lineRule="exact"/>
        <w:ind w:firstLine="0" w:firstLineChars="0"/>
        <w:rPr>
          <w:rFonts w:ascii="宋体" w:hAnsi="宋体" w:cs="宋体"/>
          <w:color w:val="auto"/>
          <w:sz w:val="21"/>
          <w:szCs w:val="21"/>
          <w:highlight w:val="none"/>
        </w:rPr>
      </w:pPr>
    </w:p>
    <w:p>
      <w:pPr>
        <w:pStyle w:val="83"/>
        <w:spacing w:line="400" w:lineRule="exact"/>
        <w:ind w:firstLine="0" w:firstLineChars="0"/>
        <w:rPr>
          <w:rFonts w:ascii="宋体" w:hAnsi="宋体" w:cs="宋体"/>
          <w:color w:val="auto"/>
          <w:sz w:val="21"/>
          <w:szCs w:val="21"/>
          <w:highlight w:val="none"/>
        </w:rPr>
      </w:pPr>
    </w:p>
    <w:p>
      <w:pPr>
        <w:pStyle w:val="83"/>
        <w:spacing w:line="400" w:lineRule="exact"/>
        <w:ind w:firstLine="0" w:firstLineChars="0"/>
        <w:rPr>
          <w:rFonts w:ascii="宋体" w:hAnsi="宋体" w:cs="宋体"/>
          <w:color w:val="auto"/>
          <w:sz w:val="21"/>
          <w:szCs w:val="21"/>
          <w:highlight w:val="none"/>
        </w:rPr>
      </w:pPr>
    </w:p>
    <w:p>
      <w:pPr>
        <w:pStyle w:val="83"/>
        <w:spacing w:line="400" w:lineRule="exact"/>
        <w:ind w:firstLine="0" w:firstLineChars="0"/>
        <w:rPr>
          <w:rFonts w:ascii="宋体" w:hAnsi="宋体" w:cs="宋体"/>
          <w:color w:val="auto"/>
          <w:sz w:val="21"/>
          <w:szCs w:val="21"/>
          <w:highlight w:val="none"/>
        </w:rPr>
      </w:pPr>
    </w:p>
    <w:p>
      <w:pPr>
        <w:pStyle w:val="83"/>
        <w:spacing w:line="400" w:lineRule="exact"/>
        <w:ind w:firstLine="0" w:firstLineChars="0"/>
        <w:rPr>
          <w:rFonts w:ascii="宋体" w:hAnsi="宋体" w:cs="宋体"/>
          <w:color w:val="auto"/>
          <w:sz w:val="21"/>
          <w:szCs w:val="21"/>
          <w:highlight w:val="none"/>
        </w:rPr>
      </w:pPr>
    </w:p>
    <w:p>
      <w:pPr>
        <w:pStyle w:val="83"/>
        <w:spacing w:line="400" w:lineRule="exact"/>
        <w:ind w:firstLine="0" w:firstLineChars="0"/>
        <w:rPr>
          <w:rFonts w:ascii="宋体" w:hAnsi="宋体" w:cs="宋体"/>
          <w:color w:val="auto"/>
          <w:sz w:val="21"/>
          <w:szCs w:val="21"/>
          <w:highlight w:val="none"/>
        </w:rPr>
      </w:pPr>
    </w:p>
    <w:p>
      <w:pPr>
        <w:pStyle w:val="83"/>
        <w:spacing w:line="400" w:lineRule="exact"/>
        <w:ind w:firstLine="0" w:firstLineChars="0"/>
        <w:rPr>
          <w:rFonts w:ascii="宋体" w:hAnsi="宋体" w:cs="宋体"/>
          <w:color w:val="auto"/>
          <w:sz w:val="21"/>
          <w:szCs w:val="21"/>
          <w:highlight w:val="none"/>
        </w:rPr>
      </w:pPr>
    </w:p>
    <w:p>
      <w:pPr>
        <w:pStyle w:val="83"/>
        <w:spacing w:line="400" w:lineRule="exact"/>
        <w:ind w:firstLine="0" w:firstLineChars="0"/>
        <w:rPr>
          <w:rFonts w:ascii="宋体" w:hAnsi="宋体" w:cs="宋体"/>
          <w:color w:val="auto"/>
          <w:sz w:val="21"/>
          <w:szCs w:val="21"/>
          <w:highlight w:val="none"/>
        </w:rPr>
      </w:pPr>
    </w:p>
    <w:p>
      <w:pPr>
        <w:pStyle w:val="83"/>
        <w:spacing w:line="400" w:lineRule="exact"/>
        <w:ind w:firstLine="0" w:firstLineChars="0"/>
        <w:rPr>
          <w:rFonts w:ascii="宋体" w:hAnsi="宋体" w:cs="宋体"/>
          <w:color w:val="auto"/>
          <w:sz w:val="21"/>
          <w:szCs w:val="21"/>
          <w:highlight w:val="none"/>
        </w:rPr>
      </w:pPr>
    </w:p>
    <w:p>
      <w:pPr>
        <w:pStyle w:val="83"/>
        <w:spacing w:line="400" w:lineRule="exact"/>
        <w:ind w:firstLine="436"/>
        <w:rPr>
          <w:rFonts w:ascii="宋体" w:hAnsi="宋体" w:cs="宋体"/>
          <w:color w:val="auto"/>
          <w:sz w:val="21"/>
          <w:szCs w:val="21"/>
          <w:highlight w:val="none"/>
        </w:rPr>
      </w:pPr>
    </w:p>
    <w:p>
      <w:pPr>
        <w:pStyle w:val="121"/>
        <w:spacing w:line="400" w:lineRule="exact"/>
        <w:ind w:firstLine="43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 xml:space="preserve">                                    </w:t>
      </w:r>
    </w:p>
    <w:p>
      <w:pPr>
        <w:pStyle w:val="121"/>
        <w:spacing w:line="400" w:lineRule="exact"/>
        <w:ind w:firstLine="43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pPr>
        <w:pStyle w:val="125"/>
        <w:spacing w:beforeLines="0" w:after="120" w:line="400" w:lineRule="exact"/>
        <w:outlineLvl w:val="9"/>
        <w:rPr>
          <w:rFonts w:ascii="宋体" w:eastAsia="宋体" w:cs="宋体"/>
          <w:b w:val="0"/>
          <w:color w:val="auto"/>
          <w:sz w:val="21"/>
          <w:szCs w:val="21"/>
          <w:highlight w:val="none"/>
        </w:rPr>
      </w:pPr>
    </w:p>
    <w:p>
      <w:pPr>
        <w:rPr>
          <w:rFonts w:ascii="宋体" w:hAnsi="宋体"/>
          <w:color w:val="auto"/>
          <w:szCs w:val="21"/>
          <w:highlight w:val="none"/>
        </w:rPr>
      </w:pPr>
      <w:r>
        <w:rPr>
          <w:rFonts w:ascii="宋体" w:hAnsi="宋体"/>
          <w:color w:val="auto"/>
          <w:szCs w:val="21"/>
          <w:highlight w:val="none"/>
        </w:rPr>
        <w:br w:type="page"/>
      </w:r>
    </w:p>
    <w:p>
      <w:pPr>
        <w:autoSpaceDE w:val="0"/>
        <w:autoSpaceDN w:val="0"/>
        <w:adjustRightInd w:val="0"/>
        <w:rPr>
          <w:rFonts w:ascii="宋体" w:hAnsi="宋体"/>
          <w:bCs/>
          <w:color w:val="auto"/>
          <w:szCs w:val="21"/>
          <w:highlight w:val="none"/>
        </w:rPr>
      </w:pPr>
      <w:r>
        <w:rPr>
          <w:rFonts w:hint="eastAsia" w:ascii="宋体" w:cs="宋体"/>
          <w:b/>
          <w:bCs/>
          <w:color w:val="auto"/>
          <w:sz w:val="22"/>
          <w:highlight w:val="none"/>
        </w:rPr>
        <w:t>技术投标文件（含资格审查文件）</w:t>
      </w:r>
      <w:r>
        <w:rPr>
          <w:rFonts w:hint="eastAsia" w:ascii="宋体" w:hAnsi="宋体" w:cs="宋体"/>
          <w:b/>
          <w:bCs/>
          <w:color w:val="auto"/>
          <w:kern w:val="0"/>
          <w:szCs w:val="21"/>
          <w:highlight w:val="none"/>
        </w:rPr>
        <w:t>格式二</w:t>
      </w:r>
    </w:p>
    <w:p>
      <w:pPr>
        <w:autoSpaceDE w:val="0"/>
        <w:autoSpaceDN w:val="0"/>
        <w:adjustRightInd w:val="0"/>
        <w:rPr>
          <w:rFonts w:ascii="宋体" w:hAnsi="宋体" w:cs="宋体"/>
          <w:b/>
          <w:bCs/>
          <w:color w:val="auto"/>
          <w:szCs w:val="21"/>
          <w:highlight w:val="none"/>
          <w:lang w:val="zh-CN"/>
        </w:rPr>
      </w:pPr>
      <w:r>
        <w:rPr>
          <w:rFonts w:hint="eastAsia" w:ascii="宋体" w:hAnsi="宋体"/>
          <w:bCs/>
          <w:color w:val="auto"/>
          <w:szCs w:val="21"/>
          <w:highlight w:val="none"/>
        </w:rPr>
        <w:t>（适用于技术标与经济标同时开启）</w:t>
      </w:r>
    </w:p>
    <w:p>
      <w:pPr>
        <w:autoSpaceDE w:val="0"/>
        <w:autoSpaceDN w:val="0"/>
        <w:adjustRightInd w:val="0"/>
        <w:ind w:left="-540" w:leftChars="-257" w:firstLine="542" w:firstLineChars="257"/>
        <w:jc w:val="center"/>
        <w:rPr>
          <w:rFonts w:ascii="宋体" w:hAnsi="宋体" w:cs="宋体"/>
          <w:b/>
          <w:bCs/>
          <w:color w:val="auto"/>
          <w:szCs w:val="21"/>
          <w:highlight w:val="none"/>
          <w:lang w:val="zh-CN"/>
        </w:rPr>
      </w:pPr>
    </w:p>
    <w:p>
      <w:pPr>
        <w:autoSpaceDE w:val="0"/>
        <w:autoSpaceDN w:val="0"/>
        <w:adjustRightInd w:val="0"/>
        <w:ind w:left="-540" w:leftChars="-257" w:firstLine="542" w:firstLineChars="257"/>
        <w:jc w:val="center"/>
        <w:rPr>
          <w:rFonts w:ascii="宋体" w:hAnsi="宋体"/>
          <w:b/>
          <w:bCs/>
          <w:color w:val="auto"/>
          <w:szCs w:val="21"/>
          <w:highlight w:val="none"/>
        </w:rPr>
      </w:pPr>
      <w:r>
        <w:rPr>
          <w:rFonts w:hint="eastAsia" w:ascii="宋体" w:hAnsi="宋体" w:cs="宋体"/>
          <w:b/>
          <w:bCs/>
          <w:color w:val="auto"/>
          <w:szCs w:val="21"/>
          <w:highlight w:val="none"/>
          <w:lang w:val="zh-CN"/>
        </w:rPr>
        <w:t>广州建设工程施工招标投标书</w:t>
      </w:r>
    </w:p>
    <w:tbl>
      <w:tblPr>
        <w:tblStyle w:val="39"/>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2"/>
        <w:gridCol w:w="4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auto"/>
                <w:szCs w:val="21"/>
                <w:highlight w:val="none"/>
                <w:lang w:val="zh-CN"/>
              </w:rPr>
            </w:pPr>
            <w:r>
              <w:rPr>
                <w:rFonts w:hint="eastAsia" w:ascii="宋体" w:hAnsi="宋体" w:cs="宋体"/>
                <w:b/>
                <w:color w:val="auto"/>
                <w:szCs w:val="21"/>
                <w:highlight w:val="none"/>
                <w:lang w:val="zh-CN"/>
              </w:rPr>
              <w:t>工程名称</w:t>
            </w:r>
          </w:p>
        </w:tc>
        <w:tc>
          <w:tcPr>
            <w:tcW w:w="457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投标总报价（元）</w:t>
            </w:r>
          </w:p>
        </w:tc>
        <w:tc>
          <w:tcPr>
            <w:tcW w:w="457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color w:val="auto"/>
                <w:szCs w:val="21"/>
                <w:highlight w:val="none"/>
                <w:lang w:val="zh-CN"/>
              </w:rPr>
            </w:pPr>
            <w:r>
              <w:rPr>
                <w:rFonts w:hint="eastAsia" w:ascii="宋体" w:hAnsi="宋体" w:cs="宋体"/>
                <w:b/>
                <w:color w:val="auto"/>
                <w:szCs w:val="21"/>
                <w:highlight w:val="none"/>
                <w:lang w:val="zh-CN"/>
              </w:rPr>
              <w:t>其中：</w:t>
            </w:r>
            <w:r>
              <w:rPr>
                <w:rFonts w:hint="eastAsia" w:ascii="宋体" w:hAnsi="宋体" w:cs="宋体"/>
                <w:b/>
                <w:bCs/>
                <w:color w:val="auto"/>
                <w:szCs w:val="21"/>
                <w:highlight w:val="none"/>
                <w:lang w:val="zh-CN"/>
              </w:rPr>
              <w:t>人工费</w:t>
            </w:r>
            <w:r>
              <w:rPr>
                <w:rFonts w:hint="eastAsia" w:ascii="宋体" w:hAnsi="宋体" w:cs="宋体"/>
                <w:b/>
                <w:color w:val="auto"/>
                <w:szCs w:val="21"/>
                <w:highlight w:val="none"/>
                <w:lang w:val="zh-CN"/>
              </w:rPr>
              <w:t>（元）</w:t>
            </w:r>
          </w:p>
        </w:tc>
        <w:tc>
          <w:tcPr>
            <w:tcW w:w="45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其中：</w:t>
            </w:r>
            <w:r>
              <w:rPr>
                <w:rFonts w:hint="eastAsia" w:ascii="宋体" w:hAnsi="宋体" w:cs="宋体"/>
                <w:b/>
                <w:color w:val="auto"/>
                <w:szCs w:val="21"/>
                <w:highlight w:val="none"/>
                <w:lang w:val="zh-CN"/>
              </w:rPr>
              <w:t>安全生产措施费（元）</w:t>
            </w:r>
          </w:p>
        </w:tc>
        <w:tc>
          <w:tcPr>
            <w:tcW w:w="45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auto"/>
                <w:szCs w:val="21"/>
                <w:highlight w:val="none"/>
                <w:lang w:val="zh-CN"/>
              </w:rPr>
            </w:pPr>
            <w:r>
              <w:rPr>
                <w:rFonts w:hint="eastAsia" w:ascii="宋体" w:hAnsi="宋体" w:cs="宋体"/>
                <w:b/>
                <w:color w:val="auto"/>
                <w:szCs w:val="21"/>
                <w:highlight w:val="none"/>
                <w:lang w:val="zh-CN"/>
              </w:rPr>
              <w:t>投标总工期</w:t>
            </w:r>
          </w:p>
        </w:tc>
        <w:tc>
          <w:tcPr>
            <w:tcW w:w="45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工程质量标准</w:t>
            </w:r>
          </w:p>
        </w:tc>
        <w:tc>
          <w:tcPr>
            <w:tcW w:w="45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color w:val="auto"/>
                <w:szCs w:val="21"/>
                <w:highlight w:val="none"/>
                <w:lang w:val="zh-CN"/>
              </w:rPr>
            </w:pPr>
            <w:r>
              <w:rPr>
                <w:rFonts w:hint="eastAsia"/>
                <w:b/>
                <w:bCs/>
                <w:color w:val="auto"/>
                <w:highlight w:val="none"/>
                <w:lang w:val="zh-CN"/>
              </w:rPr>
              <w:t>保修期限</w:t>
            </w:r>
          </w:p>
        </w:tc>
        <w:tc>
          <w:tcPr>
            <w:tcW w:w="45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1"/>
                <w:highlight w:val="none"/>
                <w:lang w:val="zh-CN"/>
              </w:rPr>
            </w:pPr>
            <w:r>
              <w:rPr>
                <w:rFonts w:hint="eastAsia"/>
                <w:b/>
                <w:bCs/>
                <w:color w:val="auto"/>
                <w:highlight w:val="none"/>
                <w:lang w:val="en-US" w:eastAsia="zh-CN"/>
              </w:rPr>
              <w:t>项目负责人</w:t>
            </w:r>
          </w:p>
        </w:tc>
        <w:tc>
          <w:tcPr>
            <w:tcW w:w="457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48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b/>
                <w:bCs/>
                <w:color w:val="auto"/>
                <w:highlight w:val="none"/>
                <w:lang w:val="en-US" w:eastAsia="zh-CN"/>
              </w:rPr>
              <w:t>专职安全员</w:t>
            </w:r>
          </w:p>
        </w:tc>
        <w:tc>
          <w:tcPr>
            <w:tcW w:w="4577"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Cs w:val="21"/>
                <w:highlight w:val="none"/>
                <w:lang w:val="zh-CN"/>
              </w:rPr>
            </w:pPr>
          </w:p>
        </w:tc>
      </w:tr>
    </w:tbl>
    <w:p>
      <w:pPr>
        <w:tabs>
          <w:tab w:val="left" w:pos="720"/>
        </w:tabs>
        <w:snapToGrid w:val="0"/>
        <w:spacing w:line="360" w:lineRule="auto"/>
        <w:jc w:val="center"/>
        <w:rPr>
          <w:rFonts w:ascii="宋体" w:hAnsi="宋体"/>
          <w:b/>
          <w:color w:val="auto"/>
          <w:szCs w:val="21"/>
          <w:highlight w:val="none"/>
        </w:rPr>
      </w:pPr>
    </w:p>
    <w:p>
      <w:pPr>
        <w:pStyle w:val="19"/>
        <w:rPr>
          <w:color w:val="auto"/>
          <w:highlight w:val="none"/>
        </w:rPr>
      </w:pPr>
    </w:p>
    <w:p>
      <w:pPr>
        <w:rPr>
          <w:rFonts w:ascii="宋体" w:hAnsi="宋体"/>
          <w:color w:val="auto"/>
          <w:szCs w:val="21"/>
          <w:highlight w:val="none"/>
        </w:rPr>
      </w:pPr>
      <w:r>
        <w:rPr>
          <w:rFonts w:hint="eastAsia" w:ascii="宋体" w:hAnsi="宋体"/>
          <w:color w:val="auto"/>
          <w:szCs w:val="21"/>
          <w:highlight w:val="none"/>
        </w:rPr>
        <w:br w:type="page"/>
      </w:r>
    </w:p>
    <w:p>
      <w:pPr>
        <w:autoSpaceDE w:val="0"/>
        <w:autoSpaceDN w:val="0"/>
        <w:adjustRightInd w:val="0"/>
        <w:rPr>
          <w:rFonts w:ascii="宋体" w:hAnsi="宋体"/>
          <w:b/>
          <w:color w:val="auto"/>
          <w:szCs w:val="21"/>
          <w:highlight w:val="none"/>
        </w:rPr>
      </w:pPr>
      <w:r>
        <w:rPr>
          <w:rFonts w:hint="eastAsia" w:ascii="宋体" w:cs="宋体"/>
          <w:b/>
          <w:bCs/>
          <w:color w:val="auto"/>
          <w:sz w:val="22"/>
          <w:highlight w:val="none"/>
        </w:rPr>
        <w:t>技术投标文件（含资格审查文件）</w:t>
      </w:r>
      <w:r>
        <w:rPr>
          <w:rFonts w:hint="eastAsia" w:ascii="宋体" w:hAnsi="宋体" w:cs="宋体"/>
          <w:b/>
          <w:bCs/>
          <w:color w:val="auto"/>
          <w:kern w:val="0"/>
          <w:szCs w:val="21"/>
          <w:highlight w:val="none"/>
        </w:rPr>
        <w:t>格式三</w:t>
      </w:r>
    </w:p>
    <w:p>
      <w:pPr>
        <w:tabs>
          <w:tab w:val="left" w:pos="720"/>
        </w:tabs>
        <w:snapToGrid w:val="0"/>
        <w:spacing w:line="360" w:lineRule="auto"/>
        <w:jc w:val="center"/>
        <w:rPr>
          <w:rFonts w:ascii="宋体" w:hAnsi="宋体"/>
          <w:b/>
          <w:bCs/>
          <w:color w:val="auto"/>
          <w:szCs w:val="21"/>
          <w:highlight w:val="none"/>
        </w:rPr>
      </w:pPr>
    </w:p>
    <w:p>
      <w:pPr>
        <w:tabs>
          <w:tab w:val="left" w:pos="720"/>
        </w:tabs>
        <w:snapToGrid w:val="0"/>
        <w:spacing w:line="360" w:lineRule="auto"/>
        <w:jc w:val="center"/>
        <w:rPr>
          <w:rFonts w:ascii="宋体" w:hAnsi="宋体"/>
          <w:b/>
          <w:bCs/>
          <w:color w:val="auto"/>
          <w:szCs w:val="21"/>
          <w:highlight w:val="none"/>
        </w:rPr>
      </w:pPr>
      <w:r>
        <w:rPr>
          <w:rFonts w:hint="eastAsia" w:ascii="宋体" w:hAnsi="宋体"/>
          <w:b/>
          <w:bCs/>
          <w:color w:val="auto"/>
          <w:szCs w:val="21"/>
          <w:highlight w:val="none"/>
        </w:rPr>
        <w:t>参与编制技术标投标文件人员名单</w:t>
      </w:r>
    </w:p>
    <w:tbl>
      <w:tblPr>
        <w:tblStyle w:val="3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pStyle w:val="83"/>
        <w:ind w:firstLine="0" w:firstLineChars="0"/>
        <w:rPr>
          <w:rFonts w:ascii="宋体" w:hAnsi="宋体" w:cs="宋体"/>
          <w:color w:val="auto"/>
          <w:sz w:val="21"/>
          <w:szCs w:val="21"/>
          <w:highlight w:val="none"/>
        </w:rPr>
      </w:pPr>
    </w:p>
    <w:p>
      <w:pPr>
        <w:tabs>
          <w:tab w:val="left" w:pos="720"/>
        </w:tabs>
        <w:snapToGrid w:val="0"/>
        <w:spacing w:line="360" w:lineRule="auto"/>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注：</w:t>
      </w:r>
      <w:r>
        <w:rPr>
          <w:rFonts w:hint="eastAsia" w:ascii="宋体" w:hAnsi="宋体" w:cs="宋体"/>
          <w:color w:val="auto"/>
          <w:szCs w:val="21"/>
          <w:highlight w:val="none"/>
          <w:lang w:val="en-US" w:eastAsia="zh-CN"/>
        </w:rPr>
        <w:t>1.附以上人员的近1个月（2025年11月），由社保行政主管部门出具的社保证明资料原件扫描件；如为退休人员需提供退休证及返聘协议并符合国家法律规定内的返聘年龄。</w:t>
      </w:r>
    </w:p>
    <w:p>
      <w:pPr>
        <w:tabs>
          <w:tab w:val="left" w:pos="720"/>
        </w:tabs>
        <w:snapToGrid w:val="0"/>
        <w:spacing w:line="360" w:lineRule="auto"/>
        <w:rPr>
          <w:rFonts w:ascii="宋体" w:hAnsi="宋体"/>
          <w:color w:val="auto"/>
          <w:szCs w:val="21"/>
          <w:highlight w:val="none"/>
        </w:rPr>
      </w:pPr>
    </w:p>
    <w:p>
      <w:pPr>
        <w:pStyle w:val="148"/>
        <w:rPr>
          <w:color w:val="auto"/>
          <w:highlight w:val="none"/>
        </w:rPr>
      </w:pPr>
    </w:p>
    <w:p>
      <w:pPr>
        <w:tabs>
          <w:tab w:val="left" w:pos="720"/>
        </w:tabs>
        <w:snapToGrid w:val="0"/>
        <w:spacing w:line="360" w:lineRule="auto"/>
        <w:rPr>
          <w:rFonts w:ascii="宋体" w:hAnsi="宋体"/>
          <w:color w:val="auto"/>
          <w:szCs w:val="21"/>
          <w:highlight w:val="none"/>
        </w:rPr>
      </w:pPr>
      <w:r>
        <w:rPr>
          <w:rFonts w:hint="eastAsia" w:ascii="宋体" w:hAnsi="宋体" w:cs="宋体"/>
          <w:color w:val="auto"/>
          <w:szCs w:val="21"/>
          <w:highlight w:val="none"/>
        </w:rPr>
        <w:br w:type="page"/>
      </w:r>
      <w:r>
        <w:rPr>
          <w:rFonts w:hint="eastAsia" w:ascii="宋体" w:cs="宋体"/>
          <w:b/>
          <w:bCs/>
          <w:color w:val="auto"/>
          <w:sz w:val="22"/>
          <w:highlight w:val="none"/>
        </w:rPr>
        <w:t>技术投标文件（含资格审查文件）</w:t>
      </w:r>
      <w:r>
        <w:rPr>
          <w:rFonts w:hint="eastAsia" w:ascii="宋体" w:hAnsi="宋体" w:cs="宋体"/>
          <w:b/>
          <w:bCs/>
          <w:color w:val="auto"/>
          <w:kern w:val="0"/>
          <w:szCs w:val="21"/>
          <w:highlight w:val="none"/>
        </w:rPr>
        <w:t>格式四</w:t>
      </w:r>
    </w:p>
    <w:p>
      <w:pPr>
        <w:autoSpaceDE w:val="0"/>
        <w:autoSpaceDN w:val="0"/>
        <w:adjustRightInd w:val="0"/>
        <w:jc w:val="center"/>
        <w:rPr>
          <w:rFonts w:ascii="宋体" w:hAnsi="宋体" w:cs="宋体"/>
          <w:b/>
          <w:color w:val="auto"/>
          <w:szCs w:val="21"/>
          <w:highlight w:val="none"/>
        </w:rPr>
      </w:pPr>
      <w:r>
        <w:rPr>
          <w:rFonts w:hint="eastAsia" w:ascii="宋体" w:hAnsi="宋体" w:cs="宋体"/>
          <w:b/>
          <w:color w:val="auto"/>
          <w:szCs w:val="21"/>
          <w:highlight w:val="none"/>
        </w:rPr>
        <w:t>资格审查文件</w:t>
      </w:r>
    </w:p>
    <w:p>
      <w:pPr>
        <w:pStyle w:val="14"/>
        <w:rPr>
          <w:rFonts w:ascii="宋体" w:hAnsi="宋体" w:cs="宋体"/>
          <w:color w:val="auto"/>
          <w:sz w:val="21"/>
          <w:szCs w:val="21"/>
          <w:highlight w:val="none"/>
        </w:rPr>
      </w:pPr>
      <w:r>
        <w:rPr>
          <w:rFonts w:hint="eastAsia" w:ascii="宋体" w:hAnsi="宋体" w:cs="宋体"/>
          <w:snapToGrid w:val="0"/>
          <w:color w:val="auto"/>
          <w:spacing w:val="4"/>
          <w:sz w:val="21"/>
          <w:szCs w:val="21"/>
          <w:highlight w:val="none"/>
        </w:rPr>
        <w:t>注：按投标须知修改表11.2.2条款及《资格审查表》要求提交，格式自拟。</w:t>
      </w:r>
    </w:p>
    <w:p>
      <w:pPr>
        <w:rPr>
          <w:color w:val="auto"/>
          <w:sz w:val="24"/>
          <w:szCs w:val="24"/>
          <w:highlight w:val="none"/>
        </w:rPr>
      </w:pPr>
      <w:r>
        <w:rPr>
          <w:color w:val="auto"/>
          <w:sz w:val="24"/>
          <w:szCs w:val="24"/>
          <w:highlight w:val="none"/>
        </w:rPr>
        <w:br w:type="page"/>
      </w:r>
    </w:p>
    <w:p>
      <w:pPr>
        <w:pStyle w:val="19"/>
        <w:rPr>
          <w:color w:val="auto"/>
          <w:highlight w:val="none"/>
        </w:rPr>
      </w:pPr>
      <w:r>
        <w:rPr>
          <w:rFonts w:hint="eastAsia" w:cs="宋体"/>
          <w:b/>
          <w:bCs/>
          <w:color w:val="auto"/>
          <w:sz w:val="22"/>
          <w:highlight w:val="none"/>
        </w:rPr>
        <w:t>技术投标文件（含资格审查文件）</w:t>
      </w:r>
      <w:r>
        <w:rPr>
          <w:rFonts w:hint="eastAsia" w:hAnsi="宋体" w:cs="宋体"/>
          <w:b/>
          <w:bCs/>
          <w:color w:val="auto"/>
          <w:sz w:val="21"/>
          <w:szCs w:val="21"/>
          <w:highlight w:val="none"/>
        </w:rPr>
        <w:t>格式五</w:t>
      </w:r>
    </w:p>
    <w:p>
      <w:pPr>
        <w:autoSpaceDE w:val="0"/>
        <w:autoSpaceDN w:val="0"/>
        <w:adjustRightInd w:val="0"/>
        <w:jc w:val="center"/>
        <w:rPr>
          <w:rFonts w:ascii="宋体" w:hAnsi="宋体" w:cs="宋体"/>
          <w:b/>
          <w:snapToGrid w:val="0"/>
          <w:color w:val="auto"/>
          <w:spacing w:val="4"/>
          <w:kern w:val="0"/>
          <w:sz w:val="32"/>
          <w:szCs w:val="32"/>
          <w:highlight w:val="none"/>
        </w:rPr>
      </w:pPr>
    </w:p>
    <w:p>
      <w:pPr>
        <w:autoSpaceDE w:val="0"/>
        <w:autoSpaceDN w:val="0"/>
        <w:adjustRightInd w:val="0"/>
        <w:jc w:val="center"/>
        <w:rPr>
          <w:rFonts w:ascii="宋体" w:hAnsi="宋体" w:cs="宋体"/>
          <w:color w:val="auto"/>
          <w:szCs w:val="21"/>
          <w:highlight w:val="none"/>
        </w:rPr>
      </w:pPr>
      <w:r>
        <w:rPr>
          <w:rFonts w:hint="eastAsia" w:ascii="宋体" w:hAnsi="宋体" w:cs="宋体"/>
          <w:b/>
          <w:snapToGrid w:val="0"/>
          <w:color w:val="auto"/>
          <w:spacing w:val="4"/>
          <w:kern w:val="0"/>
          <w:szCs w:val="21"/>
          <w:highlight w:val="none"/>
        </w:rPr>
        <w:t>技术评审资料</w:t>
      </w:r>
    </w:p>
    <w:p>
      <w:pPr>
        <w:autoSpaceDE w:val="0"/>
        <w:autoSpaceDN w:val="0"/>
        <w:adjustRightInd w:val="0"/>
        <w:spacing w:line="360" w:lineRule="auto"/>
        <w:rPr>
          <w:rFonts w:ascii="宋体" w:hAnsi="宋体" w:cs="宋体"/>
          <w:color w:val="auto"/>
          <w:szCs w:val="21"/>
          <w:highlight w:val="none"/>
        </w:rPr>
      </w:pPr>
      <w:r>
        <w:rPr>
          <w:rFonts w:hint="eastAsia" w:ascii="宋体" w:hAnsi="宋体" w:cs="宋体"/>
          <w:snapToGrid w:val="0"/>
          <w:color w:val="auto"/>
          <w:spacing w:val="4"/>
          <w:kern w:val="0"/>
          <w:szCs w:val="21"/>
          <w:highlight w:val="none"/>
        </w:rPr>
        <w:t>注：按《技术标有效性审查表》及《技术标详细审查评分表》要求提交</w:t>
      </w:r>
      <w:r>
        <w:rPr>
          <w:rFonts w:hint="eastAsia" w:ascii="宋体" w:hAnsi="宋体" w:cs="宋体"/>
          <w:snapToGrid w:val="0"/>
          <w:color w:val="auto"/>
          <w:spacing w:val="4"/>
          <w:szCs w:val="21"/>
          <w:highlight w:val="none"/>
        </w:rPr>
        <w:t>，格式如无要求可自拟。</w:t>
      </w:r>
    </w:p>
    <w:p>
      <w:pPr>
        <w:pStyle w:val="125"/>
        <w:spacing w:beforeLines="0" w:after="120" w:line="360" w:lineRule="auto"/>
        <w:outlineLvl w:val="9"/>
        <w:rPr>
          <w:rFonts w:ascii="宋体" w:eastAsia="宋体" w:cs="宋体"/>
          <w:b w:val="0"/>
          <w:color w:val="auto"/>
          <w:sz w:val="21"/>
          <w:szCs w:val="21"/>
          <w:highlight w:val="none"/>
        </w:rPr>
      </w:pPr>
    </w:p>
    <w:p>
      <w:pPr>
        <w:rPr>
          <w:rFonts w:ascii="宋体" w:hAnsi="宋体" w:cs="宋体"/>
          <w:bCs/>
          <w:color w:val="auto"/>
          <w:kern w:val="44"/>
          <w:szCs w:val="21"/>
          <w:highlight w:val="none"/>
        </w:rPr>
      </w:pPr>
      <w:r>
        <w:rPr>
          <w:rFonts w:hint="eastAsia" w:ascii="宋体" w:hAnsi="宋体" w:cs="宋体"/>
          <w:bCs/>
          <w:color w:val="auto"/>
          <w:kern w:val="44"/>
          <w:szCs w:val="21"/>
          <w:highlight w:val="none"/>
        </w:rPr>
        <w:br w:type="page"/>
      </w:r>
    </w:p>
    <w:p>
      <w:pPr>
        <w:tabs>
          <w:tab w:val="left" w:pos="720"/>
        </w:tabs>
        <w:snapToGrid w:val="0"/>
        <w:spacing w:line="360" w:lineRule="auto"/>
        <w:jc w:val="left"/>
        <w:rPr>
          <w:rFonts w:ascii="宋体" w:hAnsi="宋体" w:cs="宋体"/>
          <w:bCs/>
          <w:color w:val="auto"/>
          <w:kern w:val="44"/>
          <w:szCs w:val="21"/>
          <w:highlight w:val="none"/>
        </w:rPr>
      </w:pPr>
      <w:r>
        <w:rPr>
          <w:rFonts w:hint="eastAsia" w:ascii="宋体" w:cs="宋体"/>
          <w:b/>
          <w:bCs/>
          <w:color w:val="auto"/>
          <w:sz w:val="22"/>
          <w:highlight w:val="none"/>
        </w:rPr>
        <w:t>技术投标文件（含资格审查文件）</w:t>
      </w:r>
      <w:r>
        <w:rPr>
          <w:rFonts w:hint="eastAsia" w:ascii="宋体" w:hAnsi="宋体" w:cs="宋体"/>
          <w:b/>
          <w:bCs/>
          <w:color w:val="auto"/>
          <w:kern w:val="0"/>
          <w:szCs w:val="21"/>
          <w:highlight w:val="none"/>
        </w:rPr>
        <w:t>格式六</w:t>
      </w:r>
    </w:p>
    <w:tbl>
      <w:tblPr>
        <w:tblStyle w:val="39"/>
        <w:tblW w:w="9044" w:type="dxa"/>
        <w:tblInd w:w="0" w:type="dxa"/>
        <w:tblLayout w:type="fixed"/>
        <w:tblCellMar>
          <w:top w:w="0" w:type="dxa"/>
          <w:left w:w="0" w:type="dxa"/>
          <w:bottom w:w="0" w:type="dxa"/>
          <w:right w:w="0" w:type="dxa"/>
        </w:tblCellMar>
      </w:tblPr>
      <w:tblGrid>
        <w:gridCol w:w="810"/>
        <w:gridCol w:w="1620"/>
        <w:gridCol w:w="1875"/>
        <w:gridCol w:w="845"/>
        <w:gridCol w:w="1464"/>
        <w:gridCol w:w="1005"/>
        <w:gridCol w:w="1425"/>
      </w:tblGrid>
      <w:tr>
        <w:tblPrEx>
          <w:tblCellMar>
            <w:top w:w="0" w:type="dxa"/>
            <w:left w:w="0" w:type="dxa"/>
            <w:bottom w:w="0" w:type="dxa"/>
            <w:right w:w="0" w:type="dxa"/>
          </w:tblCellMar>
        </w:tblPrEx>
        <w:trPr>
          <w:trHeight w:val="540" w:hRule="atLeast"/>
        </w:trPr>
        <w:tc>
          <w:tcPr>
            <w:tcW w:w="9044" w:type="dxa"/>
            <w:gridSpan w:val="7"/>
            <w:tcBorders>
              <w:top w:val="nil"/>
              <w:left w:val="nil"/>
              <w:bottom w:val="single" w:color="000000" w:sz="4" w:space="0"/>
              <w:right w:val="nil"/>
            </w:tcBorders>
            <w:noWrap/>
            <w:tcMar>
              <w:top w:w="15" w:type="dxa"/>
              <w:left w:w="15" w:type="dxa"/>
              <w:right w:w="15"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Cs/>
                <w:color w:val="auto"/>
                <w:kern w:val="0"/>
                <w:szCs w:val="21"/>
                <w:highlight w:val="none"/>
              </w:rPr>
              <w:t>《投标人投入主要人员基本要求表》</w:t>
            </w:r>
          </w:p>
        </w:tc>
      </w:tr>
      <w:tr>
        <w:tblPrEx>
          <w:tblCellMar>
            <w:top w:w="0" w:type="dxa"/>
            <w:left w:w="0" w:type="dxa"/>
            <w:bottom w:w="0" w:type="dxa"/>
            <w:right w:w="0" w:type="dxa"/>
          </w:tblCellMar>
        </w:tblPrEx>
        <w:trPr>
          <w:trHeight w:val="256" w:hRule="atLeast"/>
        </w:trPr>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auto"/>
                <w:szCs w:val="21"/>
                <w:highlight w:val="none"/>
              </w:rPr>
            </w:pPr>
            <w:r>
              <w:rPr>
                <w:rFonts w:hint="eastAsia" w:ascii="宋体" w:hAnsi="宋体" w:cs="宋体"/>
                <w:bCs/>
                <w:color w:val="auto"/>
                <w:kern w:val="0"/>
                <w:szCs w:val="21"/>
                <w:highlight w:val="none"/>
              </w:rPr>
              <w:t>序号</w:t>
            </w:r>
          </w:p>
        </w:tc>
        <w:tc>
          <w:tcPr>
            <w:tcW w:w="1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auto"/>
                <w:szCs w:val="21"/>
                <w:highlight w:val="none"/>
              </w:rPr>
            </w:pPr>
            <w:r>
              <w:rPr>
                <w:rFonts w:hint="eastAsia" w:ascii="宋体" w:hAnsi="宋体" w:cs="宋体"/>
                <w:bCs/>
                <w:color w:val="auto"/>
                <w:kern w:val="0"/>
                <w:szCs w:val="21"/>
                <w:highlight w:val="none"/>
              </w:rPr>
              <w:t>姓名</w:t>
            </w:r>
          </w:p>
        </w:tc>
        <w:tc>
          <w:tcPr>
            <w:tcW w:w="1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auto"/>
                <w:szCs w:val="21"/>
                <w:highlight w:val="none"/>
              </w:rPr>
            </w:pPr>
            <w:r>
              <w:rPr>
                <w:rFonts w:hint="eastAsia" w:ascii="宋体" w:hAnsi="宋体" w:cs="宋体"/>
                <w:bCs/>
                <w:color w:val="auto"/>
                <w:kern w:val="0"/>
                <w:szCs w:val="21"/>
                <w:highlight w:val="none"/>
              </w:rPr>
              <w:t>岗位</w:t>
            </w:r>
          </w:p>
        </w:tc>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auto"/>
                <w:szCs w:val="21"/>
                <w:highlight w:val="none"/>
              </w:rPr>
            </w:pPr>
            <w:r>
              <w:rPr>
                <w:rFonts w:hint="eastAsia" w:ascii="宋体" w:hAnsi="宋体" w:cs="宋体"/>
                <w:bCs/>
                <w:color w:val="auto"/>
                <w:kern w:val="0"/>
                <w:szCs w:val="21"/>
                <w:highlight w:val="none"/>
              </w:rPr>
              <w:t>职称</w:t>
            </w:r>
          </w:p>
        </w:tc>
        <w:tc>
          <w:tcPr>
            <w:tcW w:w="14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职称证书或资格证书编号</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auto"/>
                <w:kern w:val="0"/>
                <w:szCs w:val="21"/>
                <w:highlight w:val="none"/>
              </w:rPr>
            </w:pPr>
            <w:r>
              <w:rPr>
                <w:rFonts w:hint="eastAsia" w:ascii="宋体" w:hAnsi="宋体" w:cs="宋体"/>
                <w:bCs/>
                <w:color w:val="auto"/>
                <w:kern w:val="0"/>
                <w:szCs w:val="21"/>
                <w:highlight w:val="none"/>
              </w:rPr>
              <w:t>学历</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auto"/>
                <w:szCs w:val="21"/>
                <w:highlight w:val="none"/>
              </w:rPr>
            </w:pPr>
            <w:r>
              <w:rPr>
                <w:rFonts w:hint="eastAsia" w:ascii="宋体" w:hAnsi="宋体" w:cs="宋体"/>
                <w:color w:val="auto"/>
                <w:highlight w:val="none"/>
              </w:rPr>
              <w:t>从事项目经验年限</w:t>
            </w: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2</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r>
              <w:rPr>
                <w:rFonts w:hint="eastAsia" w:ascii="宋体" w:hAnsi="宋体"/>
                <w:color w:val="auto"/>
                <w:szCs w:val="21"/>
                <w:highlight w:val="none"/>
              </w:rPr>
              <w:t>技术负责人</w:t>
            </w:r>
          </w:p>
        </w:tc>
        <w:tc>
          <w:tcPr>
            <w:tcW w:w="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3</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r>
              <w:rPr>
                <w:rFonts w:hint="eastAsia" w:ascii="宋体" w:hAnsi="宋体"/>
                <w:color w:val="auto"/>
                <w:szCs w:val="21"/>
                <w:highlight w:val="none"/>
              </w:rPr>
              <w:t>质量负责人</w:t>
            </w:r>
          </w:p>
        </w:tc>
        <w:tc>
          <w:tcPr>
            <w:tcW w:w="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4</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r>
              <w:rPr>
                <w:rFonts w:hint="eastAsia" w:ascii="宋体" w:hAnsi="宋体"/>
                <w:color w:val="auto"/>
                <w:szCs w:val="21"/>
                <w:highlight w:val="none"/>
              </w:rPr>
              <w:t>安全负责人</w:t>
            </w:r>
          </w:p>
        </w:tc>
        <w:tc>
          <w:tcPr>
            <w:tcW w:w="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5</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r>
              <w:rPr>
                <w:rFonts w:hint="eastAsia" w:ascii="宋体" w:hAnsi="宋体"/>
                <w:color w:val="auto"/>
                <w:szCs w:val="21"/>
                <w:highlight w:val="none"/>
              </w:rPr>
              <w:t>造价负责人</w:t>
            </w:r>
          </w:p>
        </w:tc>
        <w:tc>
          <w:tcPr>
            <w:tcW w:w="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kern w:val="0"/>
                <w:szCs w:val="21"/>
                <w:highlight w:val="none"/>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kern w:val="0"/>
                <w:szCs w:val="21"/>
                <w:highlight w:val="none"/>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kern w:val="0"/>
                <w:szCs w:val="21"/>
                <w:highlight w:val="none"/>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4800" w:hRule="atLeast"/>
        </w:trPr>
        <w:tc>
          <w:tcPr>
            <w:tcW w:w="9044"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Style w:val="88"/>
                <w:rFonts w:hint="default" w:ascii="宋体" w:hAnsi="宋体" w:eastAsia="宋体" w:cs="宋体"/>
                <w:color w:val="auto"/>
                <w:sz w:val="21"/>
                <w:szCs w:val="21"/>
                <w:highlight w:val="none"/>
              </w:rPr>
            </w:pPr>
            <w:r>
              <w:rPr>
                <w:rStyle w:val="88"/>
                <w:rFonts w:hint="default" w:ascii="宋体" w:hAnsi="宋体" w:eastAsia="宋体" w:cs="宋体"/>
                <w:color w:val="auto"/>
                <w:sz w:val="21"/>
                <w:szCs w:val="21"/>
                <w:highlight w:val="none"/>
              </w:rPr>
              <w:t>备注：</w:t>
            </w:r>
          </w:p>
          <w:p>
            <w:pPr>
              <w:pStyle w:val="141"/>
              <w:snapToGrid w:val="0"/>
              <w:spacing w:before="60" w:beforeLines="25" w:line="24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w:t>
            </w:r>
            <w:r>
              <w:rPr>
                <w:rFonts w:hint="eastAsia" w:ascii="宋体" w:hAnsi="宋体" w:eastAsia="宋体"/>
                <w:color w:val="auto"/>
                <w:sz w:val="21"/>
                <w:szCs w:val="21"/>
                <w:highlight w:val="none"/>
                <w:u w:val="single"/>
              </w:rPr>
              <w:t>“岗位”要求（除项目负责人和专职安全员外）：拟派驻施工现场的技术负责人、质量负责人、安全负责人、造价负责人</w:t>
            </w:r>
            <w:r>
              <w:rPr>
                <w:rFonts w:hint="eastAsia" w:ascii="宋体" w:hAnsi="宋体" w:eastAsia="宋体"/>
                <w:color w:val="auto"/>
                <w:sz w:val="21"/>
                <w:szCs w:val="21"/>
                <w:highlight w:val="none"/>
              </w:rPr>
              <w:t>。以上项目管理团队人员信息将由交易系统提取后供各相关单位在履约时比对、查核。</w:t>
            </w:r>
          </w:p>
          <w:p>
            <w:pPr>
              <w:pStyle w:val="141"/>
              <w:snapToGrid w:val="0"/>
              <w:spacing w:before="60" w:beforeLines="25" w:line="24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jc w:val="left"/>
              <w:textAlignment w:val="center"/>
              <w:rPr>
                <w:rFonts w:ascii="宋体" w:hAnsi="宋体" w:cs="宋体"/>
                <w:color w:val="auto"/>
                <w:szCs w:val="21"/>
                <w:highlight w:val="none"/>
              </w:rPr>
            </w:pPr>
            <w:r>
              <w:rPr>
                <w:rFonts w:hint="eastAsia" w:ascii="宋体" w:hAnsi="宋体"/>
                <w:color w:val="auto"/>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pStyle w:val="24"/>
        <w:rPr>
          <w:rFonts w:ascii="宋体" w:hAnsi="宋体" w:cs="宋体"/>
          <w:b/>
          <w:color w:val="auto"/>
          <w:kern w:val="44"/>
          <w:sz w:val="21"/>
          <w:szCs w:val="21"/>
          <w:highlight w:val="none"/>
        </w:rPr>
      </w:pPr>
    </w:p>
    <w:p>
      <w:pPr>
        <w:tabs>
          <w:tab w:val="left" w:pos="720"/>
        </w:tabs>
        <w:snapToGrid w:val="0"/>
        <w:spacing w:line="360" w:lineRule="auto"/>
        <w:jc w:val="left"/>
        <w:rPr>
          <w:rFonts w:ascii="宋体"/>
          <w:color w:val="auto"/>
          <w:szCs w:val="21"/>
          <w:highlight w:val="none"/>
        </w:rPr>
        <w:sectPr>
          <w:headerReference r:id="rId20" w:type="default"/>
          <w:footerReference r:id="rId21" w:type="default"/>
          <w:pgSz w:w="11906" w:h="16838"/>
          <w:pgMar w:top="1418" w:right="1418" w:bottom="1418" w:left="1418" w:header="851" w:footer="992" w:gutter="0"/>
          <w:pgNumType w:fmt="decimal"/>
          <w:cols w:space="720" w:num="1"/>
          <w:docGrid w:linePitch="312" w:charSpace="0"/>
        </w:sectPr>
      </w:pPr>
      <w:r>
        <w:rPr>
          <w:rFonts w:ascii="宋体"/>
          <w:color w:val="auto"/>
          <w:szCs w:val="21"/>
          <w:highlight w:val="none"/>
        </w:rPr>
        <w:br w:type="page"/>
      </w:r>
    </w:p>
    <w:p>
      <w:pPr>
        <w:tabs>
          <w:tab w:val="left" w:pos="720"/>
        </w:tabs>
        <w:snapToGrid w:val="0"/>
        <w:spacing w:line="360" w:lineRule="auto"/>
        <w:rPr>
          <w:rFonts w:hint="eastAsia" w:ascii="宋体" w:hAnsi="宋体" w:eastAsia="宋体" w:cs="宋体"/>
          <w:color w:val="auto"/>
          <w:szCs w:val="21"/>
          <w:highlight w:val="none"/>
          <w:lang w:eastAsia="zh-CN"/>
        </w:rPr>
      </w:pPr>
      <w:r>
        <w:rPr>
          <w:rFonts w:hint="eastAsia" w:ascii="宋体" w:cs="宋体"/>
          <w:b/>
          <w:bCs/>
          <w:color w:val="auto"/>
          <w:sz w:val="22"/>
          <w:highlight w:val="none"/>
        </w:rPr>
        <w:t>技术投标文件（含资格审查文件）</w:t>
      </w:r>
      <w:r>
        <w:rPr>
          <w:rFonts w:hint="eastAsia" w:ascii="宋体" w:hAnsi="宋体" w:cs="宋体"/>
          <w:b/>
          <w:bCs/>
          <w:color w:val="auto"/>
          <w:kern w:val="0"/>
          <w:szCs w:val="21"/>
          <w:highlight w:val="none"/>
        </w:rPr>
        <w:t>格式</w:t>
      </w:r>
      <w:r>
        <w:rPr>
          <w:rFonts w:hint="eastAsia" w:ascii="宋体" w:hAnsi="宋体" w:cs="宋体"/>
          <w:b/>
          <w:bCs/>
          <w:color w:val="auto"/>
          <w:kern w:val="0"/>
          <w:szCs w:val="21"/>
          <w:highlight w:val="none"/>
          <w:lang w:val="en-US" w:eastAsia="zh-CN"/>
        </w:rPr>
        <w:t>七</w:t>
      </w:r>
    </w:p>
    <w:p>
      <w:pPr>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危险性较大的分部分项工程安全管理措施</w:t>
      </w:r>
    </w:p>
    <w:p>
      <w:pPr>
        <w:numPr>
          <w:ilvl w:val="0"/>
          <w:numId w:val="3"/>
        </w:numPr>
        <w:autoSpaceDE w:val="0"/>
        <w:autoSpaceDN w:val="0"/>
        <w:adjustRightInd w:val="0"/>
        <w:spacing w:line="400" w:lineRule="exact"/>
        <w:ind w:left="0" w:firstLine="420" w:firstLineChars="200"/>
        <w:jc w:val="left"/>
        <w:rPr>
          <w:rFonts w:hint="eastAsia" w:ascii="宋体" w:hAnsi="宋体" w:eastAsia="宋体" w:cs="宋体"/>
          <w:b/>
          <w:color w:val="auto"/>
          <w:spacing w:val="4"/>
          <w:kern w:val="0"/>
          <w:szCs w:val="21"/>
          <w:highlight w:val="none"/>
        </w:rPr>
      </w:pPr>
      <w:r>
        <w:rPr>
          <w:rFonts w:hint="eastAsia" w:ascii="宋体" w:hAnsi="宋体" w:eastAsia="宋体" w:cs="宋体"/>
          <w:color w:val="auto"/>
          <w:szCs w:val="21"/>
          <w:highlight w:val="none"/>
        </w:rPr>
        <w:t>根据中华人民共和国住房和城乡建设部令第37号《危险性较大的分部分项工程安全管理规定》（以下简称“37号文”），</w:t>
      </w:r>
      <w:r>
        <w:rPr>
          <w:rFonts w:hint="eastAsia" w:ascii="宋体" w:hAnsi="宋体" w:eastAsia="宋体" w:cs="宋体"/>
          <w:b/>
          <w:color w:val="auto"/>
          <w:szCs w:val="21"/>
          <w:highlight w:val="none"/>
        </w:rPr>
        <w:t>投标人在投标时须补充完善危大工程清单并</w:t>
      </w:r>
      <w:r>
        <w:rPr>
          <w:rFonts w:hint="eastAsia" w:ascii="宋体" w:hAnsi="宋体" w:eastAsia="宋体" w:cs="宋体"/>
          <w:b/>
          <w:color w:val="auto"/>
          <w:spacing w:val="4"/>
          <w:kern w:val="0"/>
          <w:szCs w:val="21"/>
          <w:highlight w:val="none"/>
        </w:rPr>
        <w:t>结合本工程的类型和特点，科学、合理地设置本项目的危险性较大的分部分项工程安全管理措施，危险性较大的分部分项工程安全管理措施由投标人结合招标人对本工程的具体要求自行设定。</w:t>
      </w:r>
    </w:p>
    <w:p>
      <w:pPr>
        <w:numPr>
          <w:ilvl w:val="0"/>
          <w:numId w:val="3"/>
        </w:numPr>
        <w:autoSpaceDE w:val="0"/>
        <w:autoSpaceDN w:val="0"/>
        <w:adjustRightInd w:val="0"/>
        <w:spacing w:line="400" w:lineRule="exact"/>
        <w:ind w:lef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招标人根据设计文件的要求及37号文的规定列出“危险性较大的分部分项工程清单及超过一定规模的危险性较大的分部分项工程清单”中与本招标项目相关的清单项，具体详见第5点“打√”标识。</w:t>
      </w:r>
    </w:p>
    <w:p>
      <w:pPr>
        <w:numPr>
          <w:ilvl w:val="0"/>
          <w:numId w:val="4"/>
        </w:numPr>
        <w:autoSpaceDE w:val="0"/>
        <w:autoSpaceDN w:val="0"/>
        <w:adjustRightInd w:val="0"/>
        <w:spacing w:line="400" w:lineRule="exact"/>
        <w:ind w:left="0"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投标单位同意建设单位在清单中标识的该项请在对应项打“√”标识，并与投标文件中提供相应的安全管理措施。</w:t>
      </w:r>
    </w:p>
    <w:p>
      <w:pPr>
        <w:numPr>
          <w:ilvl w:val="0"/>
          <w:numId w:val="4"/>
        </w:numPr>
        <w:autoSpaceDE w:val="0"/>
        <w:autoSpaceDN w:val="0"/>
        <w:adjustRightInd w:val="0"/>
        <w:spacing w:line="400" w:lineRule="exact"/>
        <w:ind w:left="0"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投标单位对清单中认为需要补充的该项请在对应项打“√”标识，并与投标文件中提供相应的安全管理措施。</w:t>
      </w:r>
    </w:p>
    <w:p>
      <w:pPr>
        <w:numPr>
          <w:ilvl w:val="0"/>
          <w:numId w:val="4"/>
        </w:numPr>
        <w:autoSpaceDE w:val="0"/>
        <w:autoSpaceDN w:val="0"/>
        <w:adjustRightInd w:val="0"/>
        <w:spacing w:line="400" w:lineRule="exact"/>
        <w:ind w:left="0"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投标单位不同意建设单位在清单中标识的该项请在对应项打“×”标识，并在备注栏填上相关说明。</w:t>
      </w:r>
    </w:p>
    <w:p>
      <w:pPr>
        <w:numPr>
          <w:ilvl w:val="0"/>
          <w:numId w:val="3"/>
        </w:numPr>
        <w:autoSpaceDE w:val="0"/>
        <w:autoSpaceDN w:val="0"/>
        <w:adjustRightInd w:val="0"/>
        <w:spacing w:line="400" w:lineRule="exact"/>
        <w:ind w:left="0"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投标单位应当在投标时根据招标人提供的下述第5点清单，在投标文件中编制专项施工方案。</w:t>
      </w:r>
    </w:p>
    <w:p>
      <w:pPr>
        <w:numPr>
          <w:ilvl w:val="0"/>
          <w:numId w:val="3"/>
        </w:numPr>
        <w:autoSpaceDE w:val="0"/>
        <w:autoSpaceDN w:val="0"/>
        <w:adjustRightInd w:val="0"/>
        <w:spacing w:line="400" w:lineRule="exact"/>
        <w:ind w:lef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numPr>
          <w:ilvl w:val="0"/>
          <w:numId w:val="3"/>
        </w:numPr>
        <w:autoSpaceDE w:val="0"/>
        <w:autoSpaceDN w:val="0"/>
        <w:adjustRightInd w:val="0"/>
        <w:spacing w:line="400" w:lineRule="exact"/>
        <w:ind w:lef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危险性较大的分部分项工程清单及超过一定规模的危险性较大的分部分项工程清单（参考版）：</w:t>
      </w:r>
    </w:p>
    <w:tbl>
      <w:tblPr>
        <w:tblStyle w:val="39"/>
        <w:tblW w:w="9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8"/>
        <w:gridCol w:w="1075"/>
        <w:gridCol w:w="1115"/>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一、危险性较大的分部分项工程清单</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建设单位</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投标单位</w:t>
            </w:r>
          </w:p>
        </w:tc>
        <w:tc>
          <w:tcPr>
            <w:tcW w:w="97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一、基坑支护</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（一）开挖深度超过3m（含3m）的基坑（槽）的土方开挖、支护、降水工程。</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kern w:val="0"/>
                <w:sz w:val="24"/>
                <w:szCs w:val="36"/>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（二）开挖深度虽未超过3m，但地质条件、周围环境和地下管线复杂，或影响毗邻建、构筑物安全的基坑（槽）的土方开挖、支护、降水工程。</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二、模板工程及支撑体系</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（一）各类工具式模板工程：包括滑模、爬模、飞模、隧道模等工程。</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（三）承重支撑体系：用于钢结构安装等满堂支撑体系。</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三、起重吊装及起重机械安装拆卸工程</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（一）采用非常规起重设备、方法，且单件起吊重量在10kN及以上的起重吊装工程。</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（二）采用起重机械进行安装的工程。</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（三）起重机械安装和拆卸工程。</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四、脚手架工程</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（一）搭设高度24m及以上的落地式钢管脚手架工程（包括采光井、电梯井脚手架）。</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（二）附着式升降脚手架工程。</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（三）悬挑式脚手架工程。</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（四）高处作业吊篮。</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（五）卸料平台、操作平台工程。</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（六）异型脚手架工程。</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五、拆除工程</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可能影响行人、交通、电力设施、通讯设施或其它建、构筑物安全的拆除工程。</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六、暗挖工程</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采用矿山法、盾构法、顶管法施工的隧道、洞室工程。</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七、其它</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（一）建筑幕墙安装工程。</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（二）钢结构、网架和索膜结构安装工程。</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（三）人工挖孔桩工程。</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（四）水下作业工程。</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（五）装配式建筑混凝土预制构件安装工程。</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（六）采用新技术、新工艺、新材料、新设备可能影响工程施工安全，尚无国家、行业及地方技术标准的分部分项工程。</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二、超过一定规模的危险性较大的分部分项工程清单</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一、深基坑工程</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开挖深度超过5m（含5m）的基坑（槽）的土方开挖、支护、降水工程。</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kern w:val="0"/>
                <w:sz w:val="24"/>
                <w:szCs w:val="36"/>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二、模板工程及支撑体系</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（一）各类工具式模板工程：包括滑模、爬模、飞模、隧道模等工程。</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（二）混凝土模板支撑工程：搭设高度8m及以上，或搭设跨度18m及以上，或施工总荷载（设计值）15kN/m2及以上，或集中线荷载（设计值）20kN/m及以上。</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（三）承重支撑体系：用于钢结构安装等满堂支撑体系，承受单点集中荷载7kN及以上。</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三、起重吊装及起重机械安装拆卸工程</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（一）采用非常规起重设备、方法，且单件起吊重量在100kN及以上的起重吊装工程。</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（二）起重量300kN及以上，或搭设总高度200m及以上，或搭设基础标高在200m及以上的起重机械安装和拆卸工程。</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四、脚手架工程</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（一）搭设高度50m及以上的落地式钢管脚手架工程。</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（二）提升高度在150m及以上的附着式升降脚手架工程或附着式升降操作平台工程。</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（三）分段架体搭设高度20m及以上的悬挑式脚手架工程。</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五、拆除工程</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（一）码头、桥梁、高架、烟囱、水塔或拆除中容易引起有毒有害气（液）体或粉尘扩散、易燃易爆事故发生的特殊建、构筑物的拆除工程。</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（二）文物保护建筑、优秀历史建筑或历史文化风貌区影响范围内的拆除工程。</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六、暗挖工程</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采用矿山法、盾构法、顶管法施工的隧道、洞室工程。</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七、其它</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（一）施工高度50m及以上的建筑幕墙安装工程。</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（二）跨度36m及以上的钢结构安装工程，或跨度60m及以上的网架和索膜结构安装工程。</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（三）开挖深度16m及以上的人工挖孔桩工程。</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（四）水下作业工程。</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（五）重量1000kN及以上的大型结构整体顶升、平移、转体等施工工艺。</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8"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（六）采用新技术、新工艺、新材料、新设备可能影响工程施工安全，尚无国家、行业及地方技术标准的分部分项工程。</w:t>
            </w:r>
          </w:p>
        </w:tc>
        <w:tc>
          <w:tcPr>
            <w:tcW w:w="10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w:t>
            </w:r>
          </w:p>
        </w:tc>
        <w:tc>
          <w:tcPr>
            <w:tcW w:w="111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w:t>
            </w:r>
          </w:p>
        </w:tc>
        <w:tc>
          <w:tcPr>
            <w:tcW w:w="973"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rPr>
            </w:pPr>
          </w:p>
        </w:tc>
      </w:tr>
    </w:tbl>
    <w:p>
      <w:pPr>
        <w:spacing w:line="400" w:lineRule="exact"/>
        <w:ind w:firstLine="420" w:firstLineChars="200"/>
        <w:jc w:val="left"/>
        <w:rPr>
          <w:rFonts w:hint="eastAsia" w:ascii="宋体" w:hAnsi="宋体" w:eastAsia="宋体" w:cs="宋体"/>
          <w:color w:val="auto"/>
          <w:highlight w:val="none"/>
        </w:rPr>
      </w:pPr>
    </w:p>
    <w:p>
      <w:pPr>
        <w:topLinePunct/>
        <w:adjustRightInd w:val="0"/>
        <w:snapToGrid w:val="0"/>
        <w:spacing w:line="400" w:lineRule="exact"/>
        <w:jc w:val="center"/>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lang w:val="en-US" w:eastAsia="zh-CN"/>
        </w:rPr>
        <w:t xml:space="preserve">                         </w:t>
      </w:r>
      <w:r>
        <w:rPr>
          <w:rFonts w:hint="eastAsia" w:ascii="宋体" w:hAnsi="宋体" w:eastAsia="宋体" w:cs="宋体"/>
          <w:snapToGrid w:val="0"/>
          <w:color w:val="auto"/>
          <w:spacing w:val="4"/>
          <w:kern w:val="0"/>
          <w:sz w:val="24"/>
          <w:szCs w:val="24"/>
          <w:highlight w:val="none"/>
        </w:rPr>
        <w:t xml:space="preserve">投 标 人：    </w:t>
      </w:r>
    </w:p>
    <w:p>
      <w:pPr>
        <w:tabs>
          <w:tab w:val="left" w:pos="720"/>
        </w:tabs>
        <w:snapToGrid w:val="0"/>
        <w:spacing w:line="360" w:lineRule="auto"/>
        <w:ind w:firstLine="4620" w:firstLineChars="2200"/>
        <w:jc w:val="left"/>
        <w:rPr>
          <w:rFonts w:hint="eastAsia" w:ascii="宋体" w:cs="宋体"/>
          <w:bCs/>
          <w:color w:val="auto"/>
          <w:szCs w:val="21"/>
          <w:highlight w:val="none"/>
        </w:rPr>
        <w:sectPr>
          <w:pgSz w:w="11906" w:h="16838"/>
          <w:pgMar w:top="1418" w:right="1418" w:bottom="1418" w:left="1418" w:header="851" w:footer="992" w:gutter="0"/>
          <w:pgNumType w:fmt="decimal"/>
          <w:cols w:space="720" w:num="1"/>
          <w:docGrid w:linePitch="312" w:charSpace="0"/>
        </w:sectPr>
      </w:pPr>
      <w:r>
        <w:rPr>
          <w:rFonts w:hint="eastAsia" w:ascii="宋体" w:hAnsi="宋体" w:eastAsia="宋体" w:cs="宋体"/>
          <w:snapToGrid w:val="0"/>
          <w:color w:val="auto"/>
          <w:highlight w:val="none"/>
        </w:rPr>
        <w:t>日    期：    年    月    日</w:t>
      </w:r>
    </w:p>
    <w:p>
      <w:pPr>
        <w:tabs>
          <w:tab w:val="left" w:pos="720"/>
        </w:tabs>
        <w:snapToGrid w:val="0"/>
        <w:spacing w:line="360" w:lineRule="auto"/>
        <w:jc w:val="left"/>
        <w:rPr>
          <w:rFonts w:ascii="宋体" w:cs="宋体"/>
          <w:b/>
          <w:color w:val="auto"/>
          <w:szCs w:val="21"/>
          <w:highlight w:val="none"/>
        </w:rPr>
      </w:pPr>
      <w:r>
        <w:rPr>
          <w:rFonts w:hint="eastAsia" w:ascii="宋体" w:cs="宋体"/>
          <w:bCs/>
          <w:color w:val="auto"/>
          <w:szCs w:val="21"/>
          <w:highlight w:val="none"/>
        </w:rPr>
        <w:t>第二部分经济标投标文件</w:t>
      </w:r>
    </w:p>
    <w:p>
      <w:pPr>
        <w:pStyle w:val="83"/>
        <w:ind w:firstLine="422"/>
        <w:rPr>
          <w:rFonts w:ascii="宋体" w:hAnsi="宋体" w:cs="宋体"/>
          <w:b/>
          <w:bCs/>
          <w:color w:val="auto"/>
          <w:spacing w:val="0"/>
          <w:sz w:val="21"/>
          <w:szCs w:val="21"/>
          <w:highlight w:val="none"/>
        </w:rPr>
      </w:pPr>
      <w:r>
        <w:rPr>
          <w:rFonts w:hint="eastAsia" w:ascii="宋体" w:hAnsi="宋体" w:cs="宋体"/>
          <w:b/>
          <w:bCs/>
          <w:color w:val="auto"/>
          <w:spacing w:val="0"/>
          <w:sz w:val="21"/>
          <w:szCs w:val="21"/>
          <w:highlight w:val="none"/>
        </w:rPr>
        <w:t>经济标投标文件格式一：经济标投标文件封面</w:t>
      </w:r>
    </w:p>
    <w:p>
      <w:pPr>
        <w:pStyle w:val="83"/>
        <w:ind w:firstLine="436"/>
        <w:rPr>
          <w:rFonts w:ascii="宋体" w:hAnsi="宋体" w:cs="宋体"/>
          <w:color w:val="auto"/>
          <w:sz w:val="21"/>
          <w:szCs w:val="21"/>
          <w:highlight w:val="none"/>
        </w:rPr>
      </w:pPr>
    </w:p>
    <w:p>
      <w:pPr>
        <w:pStyle w:val="83"/>
        <w:ind w:firstLine="436"/>
        <w:rPr>
          <w:rFonts w:ascii="宋体" w:hAnsi="宋体" w:cs="宋体"/>
          <w:color w:val="auto"/>
          <w:sz w:val="21"/>
          <w:szCs w:val="21"/>
          <w:highlight w:val="none"/>
        </w:rPr>
      </w:pPr>
    </w:p>
    <w:p>
      <w:pPr>
        <w:pStyle w:val="83"/>
        <w:ind w:firstLine="436"/>
        <w:rPr>
          <w:rFonts w:ascii="宋体" w:hAnsi="宋体" w:cs="宋体"/>
          <w:color w:val="auto"/>
          <w:sz w:val="21"/>
          <w:szCs w:val="21"/>
          <w:highlight w:val="none"/>
        </w:rPr>
      </w:pPr>
    </w:p>
    <w:p>
      <w:pPr>
        <w:pStyle w:val="119"/>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[工程名称] </w:t>
      </w:r>
    </w:p>
    <w:p>
      <w:pPr>
        <w:pStyle w:val="83"/>
        <w:ind w:firstLine="436"/>
        <w:rPr>
          <w:rFonts w:ascii="宋体" w:hAnsi="宋体" w:cs="宋体"/>
          <w:color w:val="auto"/>
          <w:sz w:val="21"/>
          <w:szCs w:val="21"/>
          <w:highlight w:val="none"/>
        </w:rPr>
      </w:pPr>
    </w:p>
    <w:p>
      <w:pPr>
        <w:pStyle w:val="83"/>
        <w:ind w:firstLine="436"/>
        <w:rPr>
          <w:rFonts w:ascii="宋体" w:hAnsi="宋体" w:cs="宋体"/>
          <w:color w:val="auto"/>
          <w:sz w:val="21"/>
          <w:szCs w:val="21"/>
          <w:highlight w:val="none"/>
        </w:rPr>
      </w:pPr>
    </w:p>
    <w:p>
      <w:pPr>
        <w:pStyle w:val="83"/>
        <w:ind w:firstLine="436"/>
        <w:rPr>
          <w:rFonts w:ascii="宋体" w:hAnsi="宋体" w:cs="宋体"/>
          <w:color w:val="auto"/>
          <w:sz w:val="21"/>
          <w:szCs w:val="21"/>
          <w:highlight w:val="none"/>
        </w:rPr>
      </w:pPr>
    </w:p>
    <w:p>
      <w:pPr>
        <w:pStyle w:val="83"/>
        <w:ind w:firstLine="436"/>
        <w:rPr>
          <w:rFonts w:ascii="宋体" w:hAnsi="宋体" w:cs="宋体"/>
          <w:color w:val="auto"/>
          <w:sz w:val="21"/>
          <w:szCs w:val="21"/>
          <w:highlight w:val="none"/>
        </w:rPr>
      </w:pPr>
    </w:p>
    <w:p>
      <w:pPr>
        <w:pStyle w:val="14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w:t>
      </w:r>
    </w:p>
    <w:p>
      <w:pPr>
        <w:pStyle w:val="11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第二部分（经济标）</w:t>
      </w:r>
    </w:p>
    <w:p>
      <w:pPr>
        <w:pStyle w:val="83"/>
        <w:ind w:firstLine="436"/>
        <w:rPr>
          <w:rFonts w:ascii="宋体" w:hAnsi="宋体" w:cs="宋体"/>
          <w:color w:val="auto"/>
          <w:sz w:val="21"/>
          <w:szCs w:val="21"/>
          <w:highlight w:val="none"/>
        </w:rPr>
      </w:pPr>
    </w:p>
    <w:p>
      <w:pPr>
        <w:pStyle w:val="83"/>
        <w:ind w:firstLine="436"/>
        <w:rPr>
          <w:rFonts w:ascii="宋体" w:hAnsi="宋体" w:cs="宋体"/>
          <w:color w:val="auto"/>
          <w:sz w:val="21"/>
          <w:szCs w:val="21"/>
          <w:highlight w:val="none"/>
        </w:rPr>
      </w:pPr>
    </w:p>
    <w:p>
      <w:pPr>
        <w:pStyle w:val="83"/>
        <w:ind w:firstLine="436"/>
        <w:rPr>
          <w:rFonts w:ascii="宋体" w:hAnsi="宋体" w:cs="宋体"/>
          <w:color w:val="auto"/>
          <w:sz w:val="21"/>
          <w:szCs w:val="21"/>
          <w:highlight w:val="none"/>
        </w:rPr>
      </w:pPr>
    </w:p>
    <w:p>
      <w:pPr>
        <w:pStyle w:val="83"/>
        <w:ind w:firstLine="436"/>
        <w:rPr>
          <w:rFonts w:ascii="宋体" w:hAnsi="宋体" w:cs="宋体"/>
          <w:color w:val="auto"/>
          <w:sz w:val="21"/>
          <w:szCs w:val="21"/>
          <w:highlight w:val="none"/>
        </w:rPr>
      </w:pPr>
    </w:p>
    <w:p>
      <w:pPr>
        <w:pStyle w:val="83"/>
        <w:ind w:firstLine="436"/>
        <w:rPr>
          <w:rFonts w:ascii="宋体" w:hAnsi="宋体" w:cs="宋体"/>
          <w:color w:val="auto"/>
          <w:sz w:val="21"/>
          <w:szCs w:val="21"/>
          <w:highlight w:val="none"/>
        </w:rPr>
      </w:pPr>
    </w:p>
    <w:p>
      <w:pPr>
        <w:pStyle w:val="83"/>
        <w:ind w:firstLine="436"/>
        <w:rPr>
          <w:rFonts w:ascii="宋体" w:hAnsi="宋体" w:cs="宋体"/>
          <w:color w:val="auto"/>
          <w:sz w:val="21"/>
          <w:szCs w:val="21"/>
          <w:highlight w:val="none"/>
        </w:rPr>
      </w:pPr>
    </w:p>
    <w:p>
      <w:pPr>
        <w:pStyle w:val="83"/>
        <w:ind w:firstLine="436"/>
        <w:rPr>
          <w:rFonts w:ascii="宋体" w:hAnsi="宋体" w:cs="宋体"/>
          <w:color w:val="auto"/>
          <w:sz w:val="21"/>
          <w:szCs w:val="21"/>
          <w:highlight w:val="none"/>
        </w:rPr>
      </w:pPr>
    </w:p>
    <w:p>
      <w:pPr>
        <w:pStyle w:val="121"/>
        <w:ind w:firstLine="1443" w:firstLineChars="662"/>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w:t>
      </w:r>
    </w:p>
    <w:p>
      <w:pPr>
        <w:pStyle w:val="121"/>
        <w:ind w:firstLine="1443" w:firstLineChars="662"/>
        <w:rPr>
          <w:rFonts w:ascii="宋体" w:hAnsi="宋体"/>
          <w:color w:val="auto"/>
          <w:highlight w:val="none"/>
          <w:u w:val="single"/>
        </w:rPr>
      </w:pPr>
      <w:r>
        <w:rPr>
          <w:rFonts w:hint="eastAsia" w:ascii="宋体" w:hAnsi="宋体" w:eastAsia="宋体" w:cs="宋体"/>
          <w:color w:val="auto"/>
          <w:sz w:val="21"/>
          <w:szCs w:val="21"/>
          <w:highlight w:val="none"/>
        </w:rPr>
        <w:t>日  期：</w:t>
      </w:r>
    </w:p>
    <w:p>
      <w:pPr>
        <w:tabs>
          <w:tab w:val="left" w:pos="720"/>
        </w:tabs>
        <w:snapToGrid w:val="0"/>
        <w:spacing w:line="360" w:lineRule="auto"/>
        <w:rPr>
          <w:color w:val="auto"/>
          <w:sz w:val="24"/>
          <w:szCs w:val="24"/>
          <w:highlight w:val="none"/>
        </w:rPr>
      </w:pPr>
    </w:p>
    <w:p>
      <w:pPr>
        <w:widowControl/>
        <w:jc w:val="left"/>
        <w:rPr>
          <w:color w:val="auto"/>
          <w:sz w:val="24"/>
          <w:szCs w:val="24"/>
          <w:highlight w:val="none"/>
        </w:rPr>
      </w:pPr>
      <w:r>
        <w:rPr>
          <w:color w:val="auto"/>
          <w:sz w:val="24"/>
          <w:szCs w:val="24"/>
          <w:highlight w:val="none"/>
        </w:rPr>
        <w:br w:type="page"/>
      </w:r>
    </w:p>
    <w:p>
      <w:pP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经济标投标文件格式二：</w:t>
      </w:r>
    </w:p>
    <w:p>
      <w:pPr>
        <w:pStyle w:val="12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工程量清单计价表</w:t>
      </w:r>
    </w:p>
    <w:p>
      <w:pPr>
        <w:pStyle w:val="83"/>
        <w:ind w:firstLine="436"/>
        <w:rPr>
          <w:rFonts w:ascii="宋体" w:hAnsi="宋体" w:cs="宋体"/>
          <w:color w:val="auto"/>
          <w:sz w:val="21"/>
          <w:szCs w:val="21"/>
          <w:highlight w:val="none"/>
        </w:rPr>
      </w:pPr>
    </w:p>
    <w:p>
      <w:pPr>
        <w:pStyle w:val="83"/>
        <w:jc w:val="center"/>
        <w:rPr>
          <w:rFonts w:ascii="宋体" w:hAnsi="宋体" w:cs="宋体"/>
          <w:color w:val="auto"/>
          <w:sz w:val="21"/>
          <w:szCs w:val="21"/>
          <w:highlight w:val="none"/>
        </w:rPr>
      </w:pPr>
      <w:r>
        <w:rPr>
          <w:rFonts w:hint="eastAsia" w:ascii="宋体" w:hAnsi="宋体" w:cs="宋体"/>
          <w:color w:val="auto"/>
          <w:sz w:val="21"/>
          <w:szCs w:val="21"/>
          <w:highlight w:val="none"/>
        </w:rPr>
        <w:t>本部分内容详见招标文件第七章工程量清单</w:t>
      </w:r>
    </w:p>
    <w:p>
      <w:pPr>
        <w:widowControl/>
        <w:jc w:val="left"/>
        <w:rPr>
          <w:rFonts w:ascii="宋体" w:hAnsi="宋体" w:cs="宋体"/>
          <w:color w:val="auto"/>
          <w:szCs w:val="21"/>
          <w:highlight w:val="none"/>
        </w:rPr>
      </w:pPr>
      <w:r>
        <w:rPr>
          <w:rFonts w:hint="eastAsia" w:ascii="宋体" w:hAnsi="宋体" w:cs="宋体"/>
          <w:color w:val="auto"/>
          <w:szCs w:val="21"/>
          <w:highlight w:val="none"/>
        </w:rPr>
        <w:br w:type="page"/>
      </w:r>
    </w:p>
    <w:p>
      <w:pP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经济标投标文件格式三：</w:t>
      </w:r>
    </w:p>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参与编制经济标投标文件人员名单</w:t>
      </w:r>
    </w:p>
    <w:tbl>
      <w:tblPr>
        <w:tblStyle w:val="39"/>
        <w:tblW w:w="829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color w:val="auto"/>
                <w:szCs w:val="21"/>
                <w:highlight w:val="none"/>
              </w:rPr>
            </w:pPr>
          </w:p>
        </w:tc>
      </w:tr>
    </w:tbl>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参与编制投标文件所有人员名单应包括如编制各种专业工程量清单投标报价、负责清样校对、负责打印及复印等所有人员在内的人员名单。</w:t>
      </w:r>
    </w:p>
    <w:p>
      <w:pPr>
        <w:spacing w:line="360" w:lineRule="auto"/>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2.附以上人员的近1个月（2025年11月），由社保行政主管部门出具的社保证明资料原件扫描件；如为退休人员需提供退休证及返聘协议并符合国家法律规定内的返聘年龄。</w:t>
      </w:r>
    </w:p>
    <w:p>
      <w:pPr>
        <w:autoSpaceDE w:val="0"/>
        <w:autoSpaceDN w:val="0"/>
        <w:adjustRightInd w:val="0"/>
        <w:rPr>
          <w:rFonts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b/>
          <w:bCs/>
          <w:color w:val="auto"/>
          <w:kern w:val="0"/>
          <w:szCs w:val="21"/>
          <w:highlight w:val="none"/>
        </w:rPr>
        <w:t>经济标投标文件格式四：</w:t>
      </w:r>
    </w:p>
    <w:p>
      <w:pPr>
        <w:pStyle w:val="37"/>
        <w:spacing w:after="0" w:line="360" w:lineRule="auto"/>
        <w:ind w:firstLine="0"/>
        <w:jc w:val="center"/>
        <w:rPr>
          <w:rFonts w:ascii="宋体" w:hAnsi="宋体" w:eastAsia="宋体" w:cs="宋体"/>
          <w:color w:val="auto"/>
          <w:sz w:val="21"/>
          <w:szCs w:val="21"/>
          <w:highlight w:val="none"/>
        </w:rPr>
      </w:pPr>
      <w:r>
        <w:rPr>
          <w:rFonts w:hint="eastAsia" w:ascii="宋体" w:hAnsi="宋体" w:eastAsia="宋体" w:cs="宋体"/>
          <w:b/>
          <w:color w:val="auto"/>
          <w:sz w:val="21"/>
          <w:szCs w:val="21"/>
          <w:highlight w:val="none"/>
        </w:rPr>
        <w:t>对投标文件编制的承诺</w:t>
      </w:r>
    </w:p>
    <w:p>
      <w:pPr>
        <w:pStyle w:val="37"/>
        <w:spacing w:after="0" w:line="360" w:lineRule="auto"/>
        <w:ind w:left="-2" w:leftChars="-1" w:firstLine="472" w:firstLineChars="225"/>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本公司授权</w:t>
      </w:r>
      <w:r>
        <w:rPr>
          <w:rFonts w:hint="eastAsia" w:ascii="宋体" w:hAnsi="宋体" w:eastAsia="宋体" w:cs="宋体"/>
          <w:color w:val="auto"/>
          <w:sz w:val="21"/>
          <w:szCs w:val="21"/>
          <w:highlight w:val="none"/>
          <w:u w:val="single"/>
        </w:rPr>
        <w:t xml:space="preserve">         （身份证号：               ）</w:t>
      </w:r>
      <w:r>
        <w:rPr>
          <w:rFonts w:hint="eastAsia" w:ascii="宋体" w:hAnsi="宋体" w:eastAsia="宋体" w:cs="宋体"/>
          <w:color w:val="auto"/>
          <w:sz w:val="21"/>
          <w:szCs w:val="21"/>
          <w:highlight w:val="none"/>
        </w:rPr>
        <w:t>负责对投标文件的编制及内容进行解释、说明，并承诺以下事项：</w:t>
      </w:r>
    </w:p>
    <w:p>
      <w:pPr>
        <w:pStyle w:val="37"/>
        <w:spacing w:after="0" w:line="360" w:lineRule="auto"/>
        <w:ind w:left="-2" w:leftChars="-1" w:firstLine="472" w:firstLineChars="225"/>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1.被授权人清楚投标文件编制的具体情况，包括技术方案文件、工程量清单、以及投标文件的加密打包的理解；</w:t>
      </w:r>
    </w:p>
    <w:p>
      <w:pPr>
        <w:pStyle w:val="37"/>
        <w:spacing w:after="0" w:line="360" w:lineRule="auto"/>
        <w:ind w:left="-2" w:leftChars="-1" w:firstLine="472" w:firstLineChars="225"/>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2.在本项目开标至评标结束前，努力确保被授权人在项目评标所在地附近；</w:t>
      </w:r>
    </w:p>
    <w:p>
      <w:pPr>
        <w:pStyle w:val="37"/>
        <w:spacing w:after="0" w:line="360" w:lineRule="auto"/>
        <w:ind w:left="-2" w:leftChars="-1" w:firstLine="472" w:firstLineChars="225"/>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3.从评标委员会要求澄清起二小时内，被授权人应如实地书面澄清。</w:t>
      </w:r>
    </w:p>
    <w:p>
      <w:pPr>
        <w:pStyle w:val="37"/>
        <w:spacing w:after="0" w:line="360" w:lineRule="auto"/>
        <w:ind w:left="-2" w:leftChars="-1" w:firstLine="472" w:firstLineChars="225"/>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如由于未遵守上述承诺内容之一导致无法进行澄清的，我公司认可和接受评标委员会作出的评审结论。                                 </w:t>
      </w:r>
    </w:p>
    <w:p>
      <w:pPr>
        <w:pStyle w:val="37"/>
        <w:spacing w:after="0" w:line="360" w:lineRule="auto"/>
        <w:ind w:firstLine="315" w:firstLineChars="150"/>
        <w:rPr>
          <w:rFonts w:ascii="宋体" w:hAnsi="宋体" w:eastAsia="宋体" w:cs="宋体"/>
          <w:color w:val="auto"/>
          <w:sz w:val="21"/>
          <w:szCs w:val="21"/>
          <w:highlight w:val="none"/>
        </w:rPr>
      </w:pPr>
    </w:p>
    <w:p>
      <w:pPr>
        <w:pStyle w:val="37"/>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附件：《投标文件编制情况》</w:t>
      </w:r>
    </w:p>
    <w:p>
      <w:pPr>
        <w:spacing w:line="360" w:lineRule="auto"/>
        <w:ind w:right="90" w:firstLine="2835" w:firstLineChars="1350"/>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投标人名称：</w:t>
      </w:r>
      <w:r>
        <w:rPr>
          <w:rFonts w:hint="eastAsia" w:ascii="宋体" w:hAnsi="宋体" w:cs="宋体"/>
          <w:color w:val="auto"/>
          <w:szCs w:val="21"/>
          <w:highlight w:val="none"/>
          <w:u w:val="single"/>
          <w:lang w:val="en-US" w:eastAsia="zh-CN"/>
        </w:rPr>
        <w:t xml:space="preserve">         </w:t>
      </w:r>
    </w:p>
    <w:p>
      <w:pPr>
        <w:spacing w:line="360" w:lineRule="auto"/>
        <w:ind w:firstLine="3885" w:firstLineChars="1850"/>
        <w:jc w:val="center"/>
        <w:rPr>
          <w:rFonts w:ascii="宋体" w:hAnsi="宋体" w:cs="宋体"/>
          <w:color w:val="auto"/>
          <w:szCs w:val="21"/>
          <w:highlight w:val="none"/>
        </w:rPr>
      </w:pPr>
      <w:r>
        <w:rPr>
          <w:rFonts w:hint="eastAsia" w:ascii="宋体" w:hAnsi="宋体" w:cs="宋体"/>
          <w:color w:val="auto"/>
          <w:szCs w:val="21"/>
          <w:highlight w:val="none"/>
        </w:rPr>
        <w:t>日期：  年  月  日</w:t>
      </w:r>
    </w:p>
    <w:p>
      <w:pPr>
        <w:pStyle w:val="37"/>
        <w:spacing w:after="0" w:line="360" w:lineRule="auto"/>
        <w:ind w:firstLine="0"/>
        <w:rPr>
          <w:rFonts w:ascii="宋体" w:hAnsi="宋体" w:eastAsia="宋体" w:cs="宋体"/>
          <w:b/>
          <w:color w:val="auto"/>
          <w:sz w:val="21"/>
          <w:szCs w:val="21"/>
          <w:highlight w:val="none"/>
        </w:rPr>
      </w:pPr>
    </w:p>
    <w:p>
      <w:pPr>
        <w:pStyle w:val="37"/>
        <w:spacing w:after="0" w:line="360" w:lineRule="auto"/>
        <w:ind w:firstLine="422" w:firstLineChars="200"/>
        <w:jc w:val="center"/>
        <w:rPr>
          <w:rFonts w:ascii="宋体" w:hAnsi="宋体" w:eastAsia="宋体" w:cs="宋体"/>
          <w:color w:val="auto"/>
          <w:sz w:val="21"/>
          <w:szCs w:val="21"/>
          <w:highlight w:val="none"/>
        </w:rPr>
      </w:pPr>
      <w:r>
        <w:rPr>
          <w:rFonts w:hint="eastAsia" w:ascii="宋体" w:hAnsi="宋体" w:eastAsia="宋体" w:cs="宋体"/>
          <w:b/>
          <w:color w:val="auto"/>
          <w:sz w:val="21"/>
          <w:szCs w:val="21"/>
          <w:highlight w:val="none"/>
        </w:rPr>
        <w:t>投标文件编制情况</w:t>
      </w:r>
    </w:p>
    <w:p>
      <w:pPr>
        <w:pStyle w:val="37"/>
        <w:spacing w:after="0" w:line="360" w:lineRule="auto"/>
        <w:ind w:firstLineChars="200"/>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1.投标文件报价编制方式: □自行编制的，编制的负责人：</w:t>
      </w:r>
      <w:r>
        <w:rPr>
          <w:rFonts w:hint="eastAsia" w:ascii="宋体" w:hAnsi="宋体" w:eastAsia="宋体" w:cs="宋体"/>
          <w:color w:val="auto"/>
          <w:sz w:val="21"/>
          <w:szCs w:val="21"/>
          <w:highlight w:val="none"/>
          <w:u w:val="single"/>
        </w:rPr>
        <w:t xml:space="preserve"> （盖造价工程师执业专用章或全国建设工程造价员章，执业单位应与投标人一致） </w:t>
      </w:r>
      <w:r>
        <w:rPr>
          <w:rFonts w:hint="eastAsia" w:ascii="宋体" w:hAnsi="宋体" w:eastAsia="宋体" w:cs="宋体"/>
          <w:color w:val="auto"/>
          <w:sz w:val="21"/>
          <w:szCs w:val="21"/>
          <w:highlight w:val="none"/>
        </w:rPr>
        <w:t>。□委托编制的，受委托单位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，编制的负责人：</w:t>
      </w:r>
      <w:r>
        <w:rPr>
          <w:rFonts w:hint="eastAsia" w:ascii="宋体" w:hAnsi="宋体" w:eastAsia="宋体" w:cs="宋体"/>
          <w:color w:val="auto"/>
          <w:sz w:val="21"/>
          <w:szCs w:val="21"/>
          <w:highlight w:val="none"/>
          <w:u w:val="single"/>
        </w:rPr>
        <w:t xml:space="preserve"> （盖造价工程师执业专用章或全国建设工程造价员章，执业单位应与受委托单位一致） </w:t>
      </w:r>
      <w:r>
        <w:rPr>
          <w:rFonts w:hint="eastAsia" w:ascii="宋体" w:hAnsi="宋体" w:eastAsia="宋体" w:cs="宋体"/>
          <w:color w:val="auto"/>
          <w:sz w:val="21"/>
          <w:szCs w:val="21"/>
          <w:highlight w:val="none"/>
        </w:rPr>
        <w:t>。</w:t>
      </w:r>
    </w:p>
    <w:p>
      <w:pPr>
        <w:pStyle w:val="37"/>
        <w:spacing w:after="0"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2.投标文件加密打包的电脑情况</w:t>
      </w:r>
    </w:p>
    <w:tbl>
      <w:tblPr>
        <w:tblStyle w:val="39"/>
        <w:tblW w:w="8522" w:type="dxa"/>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19" w:hRule="atLeast"/>
        </w:trPr>
        <w:tc>
          <w:tcPr>
            <w:tcW w:w="8522" w:type="dxa"/>
          </w:tcPr>
          <w:p>
            <w:pPr>
              <w:pStyle w:val="37"/>
              <w:spacing w:after="0" w:line="360" w:lineRule="auto"/>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投标文件加密打包的电脑     自有    □      外包    □     其他    □</w:t>
            </w:r>
          </w:p>
          <w:p>
            <w:pPr>
              <w:pStyle w:val="37"/>
              <w:spacing w:after="0" w:line="360" w:lineRule="auto"/>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电脑类型</w:t>
            </w:r>
          </w:p>
          <w:p>
            <w:pPr>
              <w:pStyle w:val="37"/>
              <w:spacing w:after="0" w:line="360" w:lineRule="auto"/>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电脑所属单位</w:t>
            </w:r>
          </w:p>
          <w:p>
            <w:pPr>
              <w:pStyle w:val="37"/>
              <w:spacing w:after="0" w:line="360" w:lineRule="auto"/>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电脑所在地址    （如××市××区(县) ××街（路）××号××大厦××房）</w:t>
            </w:r>
          </w:p>
        </w:tc>
      </w:tr>
    </w:tbl>
    <w:p>
      <w:pPr>
        <w:pStyle w:val="125"/>
        <w:spacing w:beforeLines="0" w:after="120" w:line="400" w:lineRule="exact"/>
        <w:rPr>
          <w:rFonts w:ascii="宋体" w:eastAsia="宋体" w:cs="宋体"/>
          <w:bCs/>
          <w:color w:val="auto"/>
          <w:sz w:val="22"/>
          <w:szCs w:val="22"/>
          <w:highlight w:val="none"/>
        </w:rPr>
      </w:pPr>
    </w:p>
    <w:p>
      <w:pPr>
        <w:pStyle w:val="125"/>
        <w:spacing w:beforeLines="0" w:after="120" w:line="400" w:lineRule="exact"/>
        <w:rPr>
          <w:rFonts w:ascii="宋体" w:eastAsia="宋体" w:cs="宋体"/>
          <w:bCs/>
          <w:color w:val="auto"/>
          <w:sz w:val="22"/>
          <w:szCs w:val="22"/>
          <w:highlight w:val="none"/>
        </w:rPr>
      </w:pPr>
    </w:p>
    <w:p>
      <w:pPr>
        <w:pStyle w:val="125"/>
        <w:spacing w:beforeLines="0" w:after="120" w:line="400" w:lineRule="exact"/>
        <w:rPr>
          <w:rFonts w:ascii="宋体" w:eastAsia="宋体" w:cs="宋体"/>
          <w:bCs/>
          <w:color w:val="auto"/>
          <w:sz w:val="22"/>
          <w:szCs w:val="22"/>
          <w:highlight w:val="none"/>
        </w:rPr>
      </w:pPr>
    </w:p>
    <w:p>
      <w:pPr>
        <w:pStyle w:val="125"/>
        <w:spacing w:beforeLines="0" w:after="120" w:line="400" w:lineRule="exact"/>
        <w:rPr>
          <w:rFonts w:ascii="宋体" w:eastAsia="宋体" w:cs="宋体"/>
          <w:bCs/>
          <w:color w:val="auto"/>
          <w:sz w:val="22"/>
          <w:szCs w:val="22"/>
          <w:highlight w:val="none"/>
        </w:rPr>
      </w:pPr>
    </w:p>
    <w:p>
      <w:pPr>
        <w:rPr>
          <w:color w:val="auto"/>
          <w:highlight w:val="none"/>
        </w:rPr>
      </w:pPr>
      <w:r>
        <w:rPr>
          <w:rFonts w:hint="eastAsia" w:ascii="宋体" w:cs="宋体"/>
          <w:bCs/>
          <w:color w:val="auto"/>
          <w:sz w:val="22"/>
          <w:highlight w:val="none"/>
        </w:rPr>
        <w:br w:type="page"/>
      </w:r>
    </w:p>
    <w:bookmarkEnd w:id="49"/>
    <w:bookmarkEnd w:id="50"/>
    <w:bookmarkEnd w:id="51"/>
    <w:bookmarkEnd w:id="52"/>
    <w:bookmarkEnd w:id="53"/>
    <w:bookmarkEnd w:id="54"/>
    <w:bookmarkEnd w:id="55"/>
    <w:bookmarkEnd w:id="56"/>
    <w:bookmarkEnd w:id="57"/>
    <w:bookmarkEnd w:id="58"/>
    <w:bookmarkEnd w:id="59"/>
    <w:bookmarkEnd w:id="60"/>
    <w:bookmarkEnd w:id="61"/>
    <w:p>
      <w:pPr>
        <w:pStyle w:val="3"/>
        <w:jc w:val="center"/>
        <w:rPr>
          <w:rFonts w:ascii="宋体" w:hAnsi="宋体" w:cs="宋体"/>
          <w:b/>
          <w:color w:val="auto"/>
          <w:sz w:val="21"/>
          <w:szCs w:val="21"/>
          <w:highlight w:val="none"/>
        </w:rPr>
      </w:pPr>
      <w:bookmarkStart w:id="63" w:name="_Toc17698"/>
      <w:r>
        <w:rPr>
          <w:rFonts w:hint="eastAsia" w:ascii="宋体" w:hAnsi="宋体" w:cs="宋体"/>
          <w:b/>
          <w:color w:val="auto"/>
          <w:sz w:val="28"/>
          <w:szCs w:val="28"/>
          <w:highlight w:val="none"/>
        </w:rPr>
        <w:t>第五章  技术条件（工程建设标准）</w:t>
      </w:r>
      <w:bookmarkEnd w:id="63"/>
    </w:p>
    <w:p>
      <w:pPr>
        <w:spacing w:line="360" w:lineRule="auto"/>
        <w:rPr>
          <w:rFonts w:ascii="宋体" w:hAnsi="Calibri"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、具体按施工图纸</w:t>
      </w:r>
      <w:r>
        <w:rPr>
          <w:rFonts w:hint="eastAsia" w:ascii="宋体" w:hAnsi="宋体" w:cs="宋体"/>
          <w:color w:val="auto"/>
          <w:sz w:val="24"/>
          <w:szCs w:val="24"/>
          <w:highlight w:val="none"/>
          <w:u w:val="single"/>
          <w:lang w:eastAsia="zh-CN"/>
        </w:rPr>
        <w:t>、</w:t>
      </w:r>
      <w:r>
        <w:rPr>
          <w:rFonts w:hint="eastAsia" w:ascii="宋体" w:hAnsi="宋体" w:cs="宋体"/>
          <w:b w:val="0"/>
          <w:bCs w:val="0"/>
          <w:color w:val="auto"/>
          <w:kern w:val="2"/>
          <w:sz w:val="24"/>
          <w:szCs w:val="22"/>
          <w:highlight w:val="none"/>
          <w:u w:val="single"/>
          <w:lang w:val="en-US" w:eastAsia="zh-CN" w:bidi="ar-SA"/>
        </w:rPr>
        <w:t>地质勘察报告、物探报告</w:t>
      </w:r>
      <w:r>
        <w:rPr>
          <w:rFonts w:hint="eastAsia" w:ascii="宋体" w:hAnsi="宋体" w:cs="宋体"/>
          <w:color w:val="auto"/>
          <w:sz w:val="24"/>
          <w:szCs w:val="24"/>
          <w:highlight w:val="none"/>
        </w:rPr>
        <w:t>。</w:t>
      </w:r>
    </w:p>
    <w:p>
      <w:pPr>
        <w:spacing w:line="360" w:lineRule="auto"/>
        <w:rPr>
          <w:rFonts w:hint="eastAsia"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根据《广东省建筑垃圾管理条例》，工程施工单位应当编制建筑垃圾处理方案，采取污染防治措施，并在开工前报工程所在地县级人民政府建筑垃圾主管部门备案。建筑垃圾处理方案内容有调整的，应当及时报告接受备案的部门。</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建筑垃圾处理方案应当包括下列内容：</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(1)工程概况和施工单位基本信息；</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(2)建筑垃圾产生量与种类；</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(3)建筑垃圾源头减量、分类收集、综合利用、污染防治的措施和目标；</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(4)需要外运的建筑垃圾种类、数量与运输的时间、路线、方式和运输单位；</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(5)建筑垃圾回填、消纳、综合利用场所名称；</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(6)法律、法规规定的其他内容。</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3、依据设计文件的要求，本招标工程项目的材料、设备、施工须达到中华人民共和国以及省、市或行业的工程建设标准、规范的要求。</w:t>
      </w:r>
    </w:p>
    <w:p>
      <w:pPr>
        <w:spacing w:line="350" w:lineRule="exact"/>
        <w:rPr>
          <w:rFonts w:ascii="宋体" w:hAnsi="宋体" w:cs="宋体"/>
          <w:color w:val="auto"/>
          <w:szCs w:val="21"/>
          <w:highlight w:val="none"/>
        </w:rPr>
      </w:pPr>
    </w:p>
    <w:p>
      <w:pPr>
        <w:rPr>
          <w:rFonts w:ascii="宋体" w:hAnsi="宋体" w:cs="宋体"/>
          <w:color w:val="auto"/>
          <w:szCs w:val="21"/>
          <w:highlight w:val="none"/>
        </w:rPr>
      </w:pPr>
      <w:r>
        <w:rPr>
          <w:rFonts w:ascii="宋体" w:hAnsi="宋体" w:cs="宋体"/>
          <w:color w:val="auto"/>
          <w:szCs w:val="21"/>
          <w:highlight w:val="none"/>
        </w:rPr>
        <w:br w:type="page"/>
      </w:r>
    </w:p>
    <w:p>
      <w:pPr>
        <w:pStyle w:val="37"/>
        <w:ind w:firstLine="0"/>
        <w:rPr>
          <w:rFonts w:ascii="宋体" w:hAnsi="宋体" w:cs="宋体"/>
          <w:color w:val="auto"/>
          <w:szCs w:val="21"/>
          <w:highlight w:val="none"/>
        </w:rPr>
      </w:pPr>
    </w:p>
    <w:p>
      <w:pPr>
        <w:pStyle w:val="3"/>
        <w:jc w:val="center"/>
        <w:rPr>
          <w:rFonts w:ascii="宋体" w:hAnsi="宋体" w:cs="宋体"/>
          <w:b/>
          <w:bCs/>
          <w:color w:val="auto"/>
          <w:sz w:val="28"/>
          <w:szCs w:val="28"/>
          <w:highlight w:val="none"/>
        </w:rPr>
      </w:pPr>
      <w:bookmarkStart w:id="64" w:name="_Toc4616"/>
      <w:r>
        <w:rPr>
          <w:rFonts w:hint="eastAsia" w:ascii="宋体" w:hAnsi="宋体" w:cs="宋体"/>
          <w:b/>
          <w:bCs/>
          <w:color w:val="auto"/>
          <w:sz w:val="28"/>
          <w:szCs w:val="28"/>
          <w:highlight w:val="none"/>
        </w:rPr>
        <w:t>第六章  图纸及勘察资料</w:t>
      </w:r>
      <w:bookmarkEnd w:id="64"/>
    </w:p>
    <w:p>
      <w:pPr>
        <w:jc w:val="center"/>
        <w:rPr>
          <w:rFonts w:ascii="宋体" w:hAnsi="宋体" w:cs="宋体"/>
          <w:b/>
          <w:color w:val="auto"/>
          <w:szCs w:val="21"/>
          <w:highlight w:val="none"/>
        </w:rPr>
      </w:pPr>
      <w:r>
        <w:rPr>
          <w:rFonts w:hint="eastAsia" w:ascii="宋体" w:hAnsi="宋体" w:cs="宋体"/>
          <w:color w:val="auto"/>
          <w:szCs w:val="21"/>
          <w:highlight w:val="none"/>
        </w:rPr>
        <w:t>注：另册。</w:t>
      </w:r>
    </w:p>
    <w:p>
      <w:pPr>
        <w:pStyle w:val="3"/>
        <w:jc w:val="center"/>
        <w:rPr>
          <w:rFonts w:ascii="宋体" w:hAnsi="宋体" w:cs="宋体"/>
          <w:color w:val="auto"/>
          <w:sz w:val="21"/>
          <w:szCs w:val="21"/>
          <w:highlight w:val="none"/>
        </w:rPr>
      </w:pPr>
      <w:r>
        <w:rPr>
          <w:rFonts w:hint="eastAsia" w:ascii="宋体" w:hAnsi="宋体" w:cs="宋体"/>
          <w:color w:val="auto"/>
          <w:sz w:val="21"/>
          <w:szCs w:val="21"/>
          <w:highlight w:val="none"/>
        </w:rPr>
        <w:br w:type="page"/>
      </w:r>
      <w:bookmarkStart w:id="65" w:name="_Toc16409"/>
      <w:r>
        <w:rPr>
          <w:rFonts w:hint="eastAsia" w:ascii="宋体" w:hAnsi="宋体" w:cs="宋体"/>
          <w:b/>
          <w:bCs/>
          <w:color w:val="auto"/>
          <w:sz w:val="28"/>
          <w:szCs w:val="28"/>
          <w:highlight w:val="none"/>
        </w:rPr>
        <w:t>第七章  工程量清单</w:t>
      </w:r>
      <w:bookmarkEnd w:id="65"/>
    </w:p>
    <w:p>
      <w:pPr>
        <w:jc w:val="center"/>
        <w:rPr>
          <w:rFonts w:ascii="宋体" w:hAnsi="宋体" w:cs="宋体"/>
          <w:b/>
          <w:color w:val="auto"/>
          <w:szCs w:val="21"/>
          <w:highlight w:val="none"/>
        </w:rPr>
      </w:pPr>
      <w:r>
        <w:rPr>
          <w:rFonts w:hint="eastAsia" w:ascii="宋体" w:hAnsi="宋体" w:cs="宋体"/>
          <w:color w:val="auto"/>
          <w:szCs w:val="21"/>
          <w:highlight w:val="none"/>
        </w:rPr>
        <w:t>注：另册。</w:t>
      </w:r>
    </w:p>
    <w:p>
      <w:pPr>
        <w:pStyle w:val="37"/>
        <w:spacing w:after="0" w:line="360" w:lineRule="auto"/>
        <w:ind w:left="-2" w:leftChars="-1" w:firstLine="840" w:firstLineChars="400"/>
        <w:rPr>
          <w:rFonts w:ascii="宋体" w:hAnsi="宋体" w:eastAsia="宋体" w:cs="宋体"/>
          <w:color w:val="auto"/>
          <w:sz w:val="21"/>
          <w:szCs w:val="21"/>
          <w:highlight w:val="none"/>
        </w:rPr>
      </w:pPr>
    </w:p>
    <w:p>
      <w:pPr>
        <w:rPr>
          <w:rFonts w:ascii="宋体" w:hAnsi="宋体" w:cs="宋体"/>
          <w:color w:val="auto"/>
          <w:szCs w:val="21"/>
          <w:highlight w:val="none"/>
        </w:rPr>
      </w:pPr>
    </w:p>
    <w:p>
      <w:pPr>
        <w:pStyle w:val="3"/>
        <w:jc w:val="center"/>
        <w:rPr>
          <w:rFonts w:ascii="宋体" w:hAnsi="宋体" w:cs="宋体"/>
          <w:color w:val="auto"/>
          <w:sz w:val="21"/>
          <w:szCs w:val="21"/>
          <w:highlight w:val="none"/>
        </w:rPr>
      </w:pPr>
      <w:r>
        <w:rPr>
          <w:rFonts w:hint="eastAsia" w:ascii="宋体" w:hAnsi="宋体" w:cs="宋体"/>
          <w:color w:val="auto"/>
          <w:sz w:val="21"/>
          <w:szCs w:val="21"/>
          <w:highlight w:val="none"/>
        </w:rPr>
        <w:br w:type="page"/>
      </w:r>
      <w:bookmarkStart w:id="66" w:name="_Toc13320"/>
      <w:r>
        <w:rPr>
          <w:rFonts w:hint="eastAsia" w:ascii="宋体" w:hAnsi="宋体" w:cs="宋体"/>
          <w:b/>
          <w:bCs/>
          <w:color w:val="auto"/>
          <w:sz w:val="28"/>
          <w:szCs w:val="28"/>
          <w:highlight w:val="none"/>
        </w:rPr>
        <w:t>第八章  最高投标限价</w:t>
      </w:r>
      <w:bookmarkEnd w:id="66"/>
    </w:p>
    <w:p>
      <w:pPr>
        <w:spacing w:line="360" w:lineRule="auto"/>
        <w:ind w:firstLine="480"/>
        <w:jc w:val="center"/>
        <w:rPr>
          <w:rFonts w:ascii="宋体" w:hAnsi="宋体" w:cs="宋体"/>
          <w:color w:val="auto"/>
          <w:szCs w:val="21"/>
          <w:highlight w:val="none"/>
          <w:u w:val="single"/>
        </w:rPr>
      </w:pPr>
      <w:r>
        <w:rPr>
          <w:rFonts w:hint="eastAsia" w:ascii="宋体" w:hAnsi="宋体" w:cs="宋体"/>
          <w:color w:val="auto"/>
          <w:szCs w:val="21"/>
          <w:highlight w:val="none"/>
        </w:rPr>
        <w:t>注：另册</w:t>
      </w:r>
    </w:p>
    <w:p>
      <w:pPr>
        <w:rPr>
          <w:rFonts w:ascii="宋体" w:hAnsi="宋体" w:cs="宋体"/>
          <w:color w:val="auto"/>
          <w:szCs w:val="21"/>
          <w:highlight w:val="none"/>
        </w:rPr>
      </w:pPr>
    </w:p>
    <w:p>
      <w:pPr>
        <w:rPr>
          <w:rFonts w:ascii="宋体" w:hAnsi="宋体"/>
          <w:color w:val="auto"/>
          <w:szCs w:val="21"/>
          <w:highlight w:val="none"/>
        </w:rPr>
      </w:pPr>
    </w:p>
    <w:p>
      <w:pPr>
        <w:pStyle w:val="2"/>
        <w:spacing w:line="360" w:lineRule="auto"/>
        <w:rPr>
          <w:rFonts w:ascii="宋体" w:hAnsi="宋体" w:eastAsia="宋体"/>
          <w:color w:val="auto"/>
          <w:szCs w:val="21"/>
          <w:highlight w:val="none"/>
        </w:rPr>
      </w:pPr>
    </w:p>
    <w:bookmarkEnd w:id="0"/>
    <w:p>
      <w:pPr>
        <w:rPr>
          <w:rFonts w:ascii="宋体" w:hAnsi="宋体"/>
          <w:color w:val="auto"/>
          <w:szCs w:val="21"/>
          <w:highlight w:val="none"/>
        </w:rPr>
      </w:pPr>
    </w:p>
    <w:sectPr>
      <w:pgSz w:w="11906" w:h="16838"/>
      <w:pgMar w:top="1418" w:right="1418" w:bottom="1418"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MS Mincho">
    <w:altName w:val="Yu Gothic UI"/>
    <w:panose1 w:val="02020609040205080304"/>
    <w:charset w:val="80"/>
    <w:family w:val="modern"/>
    <w:pitch w:val="default"/>
    <w:sig w:usb0="00000000" w:usb1="00000000" w:usb2="00000010" w:usb3="00000000" w:csb0="4002009F" w:csb1="DFD7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jc w:val="right"/>
      <w:rPr>
        <w:rStyle w:val="4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4059080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4"/>
                            <w:jc w:val="center"/>
                          </w:pPr>
                          <w:r>
                            <w:fldChar w:fldCharType="begin"/>
                          </w:r>
                          <w:r>
                            <w:rPr>
                              <w:rStyle w:val="44"/>
                            </w:rPr>
                            <w:instrText xml:space="preserve"> PAGE </w:instrText>
                          </w:r>
                          <w:r>
                            <w:fldChar w:fldCharType="separate"/>
                          </w:r>
                          <w:r>
                            <w:rPr>
                              <w:rStyle w:val="44"/>
                            </w:rPr>
                            <w:t>48</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EtG1dUBAACvAwAADgAAAGRycy9lMm9Eb2MueG1srVNNjtMwFN4jcQfL&#10;e5q0moEQNR2BqkFICJAGDuA6dmPJf/Jzm/QCcANWbNhzrp5jnp2kA8NmFmyc9+fvve/zy/pmMJoc&#10;RQDlbEOXi5ISYblrld039OuX2xcVJRCZbZl2VjT0JIDebJ4/W/e+FivXOd2KQBDEQt37hnYx+roo&#10;gHfCMFg4LywmpQuGRXTDvmgD6xHd6GJVli+L3oXWB8cFAEa3Y5JOiOEpgE5KxcXW8YMRNo6oQWgW&#10;kRJ0ygPd5GmlFDx+khJEJLqhyDTmE5ugvUtnsVmzeh+Y7xSfRmBPGeERJ8OUxaYXqC2LjByC+gfK&#10;KB4cOBkX3JliJJIVQRbL8pE2dx3zInNBqcFfRIf/B8s/Hj8HotqGvroqr1+XVXlNiWUGH/784/v5&#10;5+/zr2/kKsnUe6ix+s5jfRzeugGXZ44DBhP7QQaTvsiLYB5FPl1EFkMkPF2qVlVVYopjbnYQv3i4&#10;7gPEd8IZkoyGBnzFLC47foA4ls4lqZt1t0rr/JLa/hVAzDEi8ipMtxOTceJkxWE3TPR2rj0hux7X&#10;oaEWt58S/d6i2mlzZiPMxm42Dj6ofYeDLvOU4N8cIo6UJ00dRlhkmBx8x8x12rm0KH/6uerhP9vc&#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CgS0bV1QEAAK8DAAAOAAAAAAAAAAEAIAAAAB4B&#10;AABkcnMvZTJvRG9jLnhtbFBLBQYAAAAABgAGAFkBAABlBQAAAAA=&#10;">
              <v:fill on="f" focussize="0,0"/>
              <v:stroke on="f"/>
              <v:imagedata o:title=""/>
              <o:lock v:ext="edit" aspectratio="f"/>
              <v:textbox inset="0mm,0mm,0mm,0mm" style="mso-fit-shape-to-text:t;">
                <w:txbxContent>
                  <w:p>
                    <w:pPr>
                      <w:pStyle w:val="24"/>
                      <w:jc w:val="center"/>
                    </w:pPr>
                    <w:r>
                      <w:fldChar w:fldCharType="begin"/>
                    </w:r>
                    <w:r>
                      <w:rPr>
                        <w:rStyle w:val="44"/>
                      </w:rPr>
                      <w:instrText xml:space="preserve"> PAGE </w:instrText>
                    </w:r>
                    <w:r>
                      <w:fldChar w:fldCharType="separate"/>
                    </w:r>
                    <w:r>
                      <w:rPr>
                        <w:rStyle w:val="44"/>
                      </w:rPr>
                      <w:t>48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4"/>
                            <w:jc w:val="center"/>
                            <w:rPr>
                              <w:rStyle w:val="44"/>
                            </w:rPr>
                          </w:pPr>
                          <w:r>
                            <w:fldChar w:fldCharType="begin"/>
                          </w:r>
                          <w:r>
                            <w:rPr>
                              <w:rStyle w:val="44"/>
                            </w:rPr>
                            <w:instrText xml:space="preserve">PAGE  </w:instrText>
                          </w:r>
                          <w:r>
                            <w:fldChar w:fldCharType="separate"/>
                          </w:r>
                          <w:r>
                            <w:rPr>
                              <w:rStyle w:val="44"/>
                            </w:rPr>
                            <w:t>49</w:t>
                          </w:r>
                          <w:r>
                            <w:fldChar w:fldCharType="end"/>
                          </w:r>
                        </w:p>
                        <w:p>
                          <w:pPr>
                            <w:pStyle w:val="24"/>
                            <w:ind w:left="-4410" w:leftChars="-2100" w:right="-4439" w:rightChars="-2114"/>
                            <w:rPr>
                              <w:rStyle w:val="44"/>
                            </w:rPr>
                          </w:pP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d+by84BAACoAwAADgAAAGRycy9lMm9Eb2MueG1srVPNjtMwEL4j8Q6W&#10;7zRpkVCJmq5A1SIkBEjLPoDrOI0l22N53CZ9AXgDTly481x9DsZO0oXlsgcuzvz5m/k+TzY3gzXs&#10;pAJqcDVfLkrOlJPQaHeo+f2X2xdrzjAK1wgDTtX8rJDfbJ8/2/S+UivowDQqMAJxWPW+5l2MvioK&#10;lJ2yAhfglaNkC8GKSG44FE0QPaFbU6zK8lXRQ2h8AKkQKbobk3xCDE8BhLbVUu1AHq1ycUQNyohI&#10;lLDTHvk2T9u2SsZPbYsqMlNzYhrzSU3I3qez2G5EdQjCd1pOI4injPCIkxXaUdMr1E5EwY5B/wNl&#10;tQyA0MaFBFuMRLIixGJZPtLmrhNeZS4kNfqr6Pj/YOXH0+fAdEOb8JozJyy9+OX7t8uPX5efX9nL&#10;pE/vsaKyO0+FcXgLA9XOcaRgoj20waYvEWKUJ3XPV3XVEJlMl9ar9bqklKTc7BB+8XDdB4zvFFiW&#10;jJoHer6sqjh9wDiWziWpm4NbbUx+QuP+ChDmGFF5B6bbick4cbLisB8mentozsSupz2ouaO158y8&#10;dyRzWpnZCLOxn42jD/rQ0aDLPCX6N8dII+VJU4cRlhgmhx4wc52WLW3In36uevjB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Gnfm8vOAQAAqAMAAA4AAAAAAAAAAQAgAAAAHgEAAGRycy9l&#10;Mm9Eb2MueG1sUEsFBgAAAAAGAAYAWQEAAF4FAAAAAA==&#10;">
              <v:fill on="f" focussize="0,0"/>
              <v:stroke on="f"/>
              <v:imagedata o:title=""/>
              <o:lock v:ext="edit" aspectratio="f"/>
              <v:textbox inset="0mm,0mm,0mm,0mm" style="mso-fit-shape-to-text:t;">
                <w:txbxContent>
                  <w:p>
                    <w:pPr>
                      <w:pStyle w:val="24"/>
                      <w:jc w:val="center"/>
                      <w:rPr>
                        <w:rStyle w:val="44"/>
                      </w:rPr>
                    </w:pPr>
                    <w:r>
                      <w:fldChar w:fldCharType="begin"/>
                    </w:r>
                    <w:r>
                      <w:rPr>
                        <w:rStyle w:val="44"/>
                      </w:rPr>
                      <w:instrText xml:space="preserve">PAGE  </w:instrText>
                    </w:r>
                    <w:r>
                      <w:fldChar w:fldCharType="separate"/>
                    </w:r>
                    <w:r>
                      <w:rPr>
                        <w:rStyle w:val="44"/>
                      </w:rPr>
                      <w:t>49</w:t>
                    </w:r>
                    <w:r>
                      <w:fldChar w:fldCharType="end"/>
                    </w:r>
                  </w:p>
                  <w:p>
                    <w:pPr>
                      <w:pStyle w:val="24"/>
                      <w:ind w:left="-4410" w:leftChars="-2100" w:right="-4439" w:rightChars="-2114"/>
                      <w:rPr>
                        <w:rStyle w:val="44"/>
                      </w:rPr>
                    </w:pP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firstLine="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4"/>
                            <w:jc w:val="center"/>
                            <w:rPr>
                              <w:rStyle w:val="44"/>
                            </w:rPr>
                          </w:pPr>
                          <w:r>
                            <w:fldChar w:fldCharType="begin"/>
                          </w:r>
                          <w:r>
                            <w:rPr>
                              <w:rStyle w:val="44"/>
                            </w:rPr>
                            <w:instrText xml:space="preserve">PAGE  </w:instrText>
                          </w:r>
                          <w:r>
                            <w:fldChar w:fldCharType="separate"/>
                          </w:r>
                          <w:r>
                            <w:rPr>
                              <w:rStyle w:val="44"/>
                            </w:rPr>
                            <w:t>68</w:t>
                          </w:r>
                          <w:r>
                            <w:fldChar w:fldCharType="end"/>
                          </w:r>
                        </w:p>
                        <w:p>
                          <w:pPr>
                            <w:pStyle w:val="24"/>
                            <w:ind w:left="-4410" w:leftChars="-2100" w:right="-4439" w:rightChars="-2114"/>
                            <w:rPr>
                              <w:rStyle w:val="44"/>
                            </w:rPr>
                          </w:pPr>
                        </w:p>
                      </w:txbxContent>
                    </wps:txbx>
                    <wps:bodyPr wrap="none" lIns="0" tIns="0" rIns="0" bIns="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HAhlsgBAACdAwAADgAAAGRycy9lMm9Eb2MueG1srVPNjtMwEL4j8Q6W&#10;7zRpkVAVNV3tqlqEhABp4QFcx2ks2R7L4zbpC8AbcOLCnefqczB2ki4slz1wcebP38z3ebK5Gaxh&#10;JxVQg6v5clFyppyERrtDzb98vn+15gyjcI0w4FTNzwr5zfbli03vK7WCDkyjAiMQh1Xva97F6Kui&#10;QNkpK3ABXjlKthCsiOSGQ9EE0RO6NcWqLN8UPYTGB5AKkaK7McknxPAcQGhbLdUO5NEqF0fUoIyI&#10;RAk77ZFv87Rtq2T82LaoIjM1J6Yxn9SE7H06i+1GVIcgfKflNIJ4zghPOFmhHTW9Qu1EFOwY9D9Q&#10;VssACG1cSLDFSCQrQiyW5RNtHjrhVeZCUqO/io7/D1Z+OH0KTDc1X73mzAlLL375/u3y49fl51e2&#10;XCaBeo8V1T14qozDHQy0NnMcKZh4D22w6UuMGOVJ3vNVXjVEJtOl9Wq9LiklKTc7hF88XvcB41sF&#10;liWj5oHeL8sqTu8xjqVzSerm4F4bk9/QuL8ChDlGVF6C6XZiMk6crDjsh4neHpozsetpEWruaO85&#10;M+8c6Zx2ZjbCbOwnI3VEf3uMNEaeLqGOUMQqOfRqmd+0YWkt/vRz1eN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xwIZbIAQAAnQMAAA4AAAAAAAAAAQAgAAAAHgEAAGRycy9lMm9Eb2Mu&#10;eG1sUEsFBgAAAAAGAAYAWQEAAFgFAAAAAA==&#10;">
              <v:fill on="f" focussize="0,0"/>
              <v:stroke on="f"/>
              <v:imagedata o:title=""/>
              <o:lock v:ext="edit" aspectratio="f"/>
              <v:textbox inset="0mm,0mm,0mm,0mm" style="mso-fit-shape-to-text:t;">
                <w:txbxContent>
                  <w:p>
                    <w:pPr>
                      <w:pStyle w:val="24"/>
                      <w:jc w:val="center"/>
                      <w:rPr>
                        <w:rStyle w:val="44"/>
                      </w:rPr>
                    </w:pPr>
                    <w:r>
                      <w:fldChar w:fldCharType="begin"/>
                    </w:r>
                    <w:r>
                      <w:rPr>
                        <w:rStyle w:val="44"/>
                      </w:rPr>
                      <w:instrText xml:space="preserve">PAGE  </w:instrText>
                    </w:r>
                    <w:r>
                      <w:fldChar w:fldCharType="separate"/>
                    </w:r>
                    <w:r>
                      <w:rPr>
                        <w:rStyle w:val="44"/>
                      </w:rPr>
                      <w:t>68</w:t>
                    </w:r>
                    <w:r>
                      <w:fldChar w:fldCharType="end"/>
                    </w:r>
                  </w:p>
                  <w:p>
                    <w:pPr>
                      <w:pStyle w:val="24"/>
                      <w:ind w:left="-4410" w:leftChars="-2100" w:right="-4439" w:rightChars="-2114"/>
                      <w:rPr>
                        <w:rStyle w:val="4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jc w:val="right"/>
      <w:rPr>
        <w:rStyle w:val="44"/>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4"/>
                            <w:ind w:firstLine="392"/>
                            <w:jc w:val="right"/>
                          </w:pPr>
                          <w:r>
                            <w:fldChar w:fldCharType="begin"/>
                          </w:r>
                          <w:r>
                            <w:rPr>
                              <w:rStyle w:val="44"/>
                            </w:rPr>
                            <w:instrText xml:space="preserve">PAGE  </w:instrText>
                          </w:r>
                          <w:r>
                            <w:fldChar w:fldCharType="separate"/>
                          </w:r>
                          <w:r>
                            <w:rPr>
                              <w:rStyle w:val="44"/>
                            </w:rPr>
                            <w:t>47</w:t>
                          </w:r>
                          <w:r>
                            <w:fldChar w:fldCharType="end"/>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ZhPNc4BAACoAwAADgAAAGRycy9lMm9Eb2MueG1srVPNjtMwEL4j8Q6W&#10;7zRpD6hE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n5asmZE5Ze/PL92+XHr8vPr+xN&#10;0qcPWFHZQ6DCONz5gbZmjiMFE+2hBZu+RIhRntQ9X9VVQ2QyXVqv1uuSUpJys0P4xeP1ABjfKm9Z&#10;MmoO9HxZVXF6j3EsnUtSN+fvtTH5CY37K0CYY0TlHZhuJybjxMmKw36Y6O19cyZ2Pe1BzR2tPWfm&#10;nSOZ08rMBszGfjaOAfSho0GXeUoMt8dII+VJU4cRlhgmhx4wc52WLW3In36uevzB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HmYTzXOAQAAqAMAAA4AAAAAAAAAAQAgAAAAHgEAAGRycy9l&#10;Mm9Eb2MueG1sUEsFBgAAAAAGAAYAWQEAAF4FAAAAAA==&#10;">
              <v:fill on="f" focussize="0,0"/>
              <v:stroke on="f"/>
              <v:imagedata o:title=""/>
              <o:lock v:ext="edit" aspectratio="f"/>
              <v:textbox inset="0mm,0mm,0mm,0mm" style="mso-fit-shape-to-text:t;">
                <w:txbxContent>
                  <w:p>
                    <w:pPr>
                      <w:pStyle w:val="24"/>
                      <w:ind w:firstLine="392"/>
                      <w:jc w:val="right"/>
                    </w:pPr>
                    <w:r>
                      <w:fldChar w:fldCharType="begin"/>
                    </w:r>
                    <w:r>
                      <w:rPr>
                        <w:rStyle w:val="44"/>
                      </w:rPr>
                      <w:instrText xml:space="preserve">PAGE  </w:instrText>
                    </w:r>
                    <w:r>
                      <w:fldChar w:fldCharType="separate"/>
                    </w:r>
                    <w:r>
                      <w:rPr>
                        <w:rStyle w:val="44"/>
                      </w:rPr>
                      <w:t>47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4"/>
                          </w:pPr>
                          <w:r>
                            <w:fldChar w:fldCharType="begin"/>
                          </w:r>
                          <w:r>
                            <w:instrText xml:space="preserve"> PAGE  \* MERGEFORMAT </w:instrText>
                          </w:r>
                          <w:r>
                            <w:fldChar w:fldCharType="separate"/>
                          </w:r>
                          <w:r>
                            <w:t>49</w:t>
                          </w:r>
                          <w:r>
                            <w:fldChar w:fldCharType="end"/>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aZkXs4BAACpAwAADgAAAGRycy9lMm9Eb2MueG1srVNLbtswEN0X6B0I&#10;7mvJWhSGYDloYCQoEKQF0h6ApkiLAH/g0JZ8gfYGXXXTfc/lc3RISXaabrLohpof38x7HK1vBqPJ&#10;UQRQzjZ0uSgpEZa7Vtl9Q79+uXu3ogQisy3TzoqGngTQm83bN+ve16JyndOtCARBLNS9b2gXo6+L&#10;AngnDIOF88JiUrpgWEQ37Is2sB7RjS6qsnxf9C60PjguADC6HZN0QgyvAXRSKi62jh+MsHFEDUKz&#10;iJSgUx7oJk8rpeDxk5QgItENRaYxn9gE7V06i82a1fvAfKf4NAJ7zQgvOBmmLDa9QG1ZZOQQ1D9Q&#10;RvHgwMm44M4UI5GsCLJYli+0eeqYF5kLSg3+Ijr8P1j+ePwciGobWlWUWGbwxc8/vp9//j7/+kaW&#10;WaDeQ411Tx4r43DrBlybJFyKAwYT70EGk77IiGAe5T1d5BVDJDxdWlWrVYkpjrnZQZziet0HiPfC&#10;GZKMhgZ8vywrOz5AHEvnktTNujuldX5Dbf8KIOYYEXkJptvXiZMVh90w0di59oTselyEhlrce0r0&#10;R4s6p52ZjTAbu9k4+KD2HQ66zFOC/3CIOFKeNHUYYZFhcvAFM9dp29KKPPdz1fUP2/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H2mZF7OAQAAqQMAAA4AAAAAAAAAAQAgAAAAHgEAAGRycy9l&#10;Mm9Eb2MueG1sUEsFBgAAAAAGAAYAWQEAAF4FAAAAAA==&#10;">
              <v:fill on="f" focussize="0,0"/>
              <v:stroke on="f"/>
              <v:imagedata o:title=""/>
              <o:lock v:ext="edit" aspectratio="f"/>
              <v:textbox inset="0mm,0mm,0mm,0mm" style="mso-fit-shape-to-text:t;">
                <w:txbxContent>
                  <w:p>
                    <w:pPr>
                      <w:pStyle w:val="2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jc w:val="right"/>
      <w:rPr>
        <w:rStyle w:val="44"/>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lear" w:pos="4153"/>
      </w:tabs>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jc w:val="right"/>
      <w:rPr>
        <w:rStyle w:val="44"/>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4"/>
                            <w:ind w:firstLine="392"/>
                            <w:jc w:val="right"/>
                          </w:pPr>
                          <w:r>
                            <w:fldChar w:fldCharType="begin"/>
                          </w:r>
                          <w:r>
                            <w:rPr>
                              <w:rStyle w:val="44"/>
                            </w:rPr>
                            <w:instrText xml:space="preserve">PAGE  </w:instrText>
                          </w:r>
                          <w:r>
                            <w:fldChar w:fldCharType="separate"/>
                          </w:r>
                          <w:r>
                            <w:rPr>
                              <w:rStyle w:val="44"/>
                            </w:rPr>
                            <w:t>47</w:t>
                          </w:r>
                          <w:r>
                            <w:fldChar w:fldCharType="end"/>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7+yKc0BAACnAwAADgAAAGRycy9lMm9Eb2MueG1srVPNjtMwEL4j8Q6W&#10;7zRpkVCJmq5A1SIkBEjLPoDrTBpL/pPHbdIXgDfgxIU7z9XnYOwkXVgue+DizJ+/me/zZHMzGM1O&#10;EFA5W/PlouQMrHSNsoea33+5fbHmDKOwjdDOQs3PgPxm+/zZpvcVrFzndAOBEYjFqvc172L0VVGg&#10;7MAIXDgPlpKtC0ZEcsOhaILoCd3oYlWWr4rehcYHJwGRorsxySfE8BRA17ZKws7JowEbR9QAWkSi&#10;hJ3yyLd52rYFGT+1LUJkuubENOaTmpC9T2ex3YjqEITvlJxGEE8Z4REnI5SlpleonYiCHYP6B8oo&#10;GRy6Ni6kM8VIJCtCLJblI23uOuEhcyGp0V9Fx/8HKz+ePgemmpq/5MwKQw9++f7t8uPX5edX9jrJ&#10;03usqOrOU10c3rqBlmaOIwUT66ENJn2JD6M8iXu+igtDZDJdWq/W65JSknKzQ/jFw3UfML4DZ1gy&#10;ah7o9bKo4vQB41g6l6Ru1t0qrfMLavtXgDDHCOQVmG4nJuPEyYrDfpjo7V1zJnY9rUHNLW09Z/q9&#10;JZXTxsxGmI39bBx9UIeOBl3mKdG/OUYaKU+aOoywxDA59H6Z67RraUH+9HPVw/+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37+yKc0BAACnAwAADgAAAAAAAAABACAAAAAeAQAAZHJzL2Uy&#10;b0RvYy54bWxQSwUGAAAAAAYABgBZAQAAXQUAAAAA&#10;">
              <v:fill on="f" focussize="0,0"/>
              <v:stroke on="f"/>
              <v:imagedata o:title=""/>
              <o:lock v:ext="edit" aspectratio="f"/>
              <v:textbox inset="0mm,0mm,0mm,0mm" style="mso-fit-shape-to-text:t;">
                <w:txbxContent>
                  <w:p>
                    <w:pPr>
                      <w:pStyle w:val="24"/>
                      <w:ind w:firstLine="392"/>
                      <w:jc w:val="right"/>
                    </w:pPr>
                    <w:r>
                      <w:fldChar w:fldCharType="begin"/>
                    </w:r>
                    <w:r>
                      <w:rPr>
                        <w:rStyle w:val="44"/>
                      </w:rPr>
                      <w:instrText xml:space="preserve">PAGE  </w:instrText>
                    </w:r>
                    <w:r>
                      <w:fldChar w:fldCharType="separate"/>
                    </w:r>
                    <w:r>
                      <w:rPr>
                        <w:rStyle w:val="44"/>
                      </w:rPr>
                      <w:t>47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4"/>
                          </w:pPr>
                          <w:r>
                            <w:fldChar w:fldCharType="begin"/>
                          </w:r>
                          <w:r>
                            <w:instrText xml:space="preserve"> PAGE  \* MERGEFORMAT </w:instrText>
                          </w:r>
                          <w:r>
                            <w:fldChar w:fldCharType="separate"/>
                          </w:r>
                          <w:r>
                            <w:t>49</w:t>
                          </w:r>
                          <w:r>
                            <w:fldChar w:fldCharType="end"/>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A3rcwBAACoAwAADgAAAGRycy9lMm9Eb2MueG1srVNNrtMwEN4jcQfL&#10;e5q0QqiKmj6BqoeQECA9OIDrTBpL/pPHbdILwA1YsWHPuXoOxk7SwmPzFmyc+fM3832ebO4Go9kJ&#10;Aipna75clJyBla5R9lDzL5/vX6w5wyhsI7SzUPMzIL/bPn+26X0FK9c53UBgBGKx6n3Nuxh9VRQo&#10;OzACF86DpWTrghGR3HAomiB6Qje6WJXlq6J3ofHBSUCk6G5M8gkxPAXQta2SsHPyaMDGETWAFpEo&#10;Yac88m2etm1Bxo9tixCZrjkxjfmkJmTv01lsN6I6BOE7JacRxFNGeMTJCGWp6RVqJ6Jgx6D+gTJK&#10;BoeujQvpTDESyYoQi2X5SJuHTnjIXEhq9FfR8f/Byg+nT4GppuYvObPC0INfvn+7/Ph1+fmVLbM+&#10;vceKyh48FcbhjRtoa5JuKY4UTLSHNpj0JUKM8qTu+aouDJHJdGm9Wq9LSknKzQ7hFLfrPmB8C86w&#10;ZNQ80PNlVcXpPcaxdC5J3ay7V1rnJ9T2rwBhjhHIOzDdvk2crDjsh4nG3jVnYtfTHtTc0tpzpt9Z&#10;kjmtzGyE2djPxtEHdeho0GWeEv3rY6SR8qSpwwhLDJNDD5i5TsuWNuRPP1fdfrDt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v4DetzAEAAKgDAAAOAAAAAAAAAAEAIAAAAB4BAABkcnMvZTJv&#10;RG9jLnhtbFBLBQYAAAAABgAGAFkBAABcBQAAAAA=&#10;">
              <v:fill on="f" focussize="0,0"/>
              <v:stroke on="f"/>
              <v:imagedata o:title=""/>
              <o:lock v:ext="edit" aspectratio="f"/>
              <v:textbox inset="0mm,0mm,0mm,0mm" style="mso-fit-shape-to-text:t;">
                <w:txbxContent>
                  <w:p>
                    <w:pPr>
                      <w:pStyle w:val="2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9751510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4"/>
                            <w:jc w:val="center"/>
                            <w:rPr>
                              <w:rStyle w:val="44"/>
                            </w:rPr>
                          </w:pPr>
                          <w:r>
                            <w:fldChar w:fldCharType="begin"/>
                          </w:r>
                          <w:r>
                            <w:rPr>
                              <w:rStyle w:val="44"/>
                            </w:rPr>
                            <w:instrText xml:space="preserve">PAGE  </w:instrText>
                          </w:r>
                          <w:r>
                            <w:fldChar w:fldCharType="separate"/>
                          </w:r>
                          <w:r>
                            <w:rPr>
                              <w:rStyle w:val="44"/>
                            </w:rPr>
                            <w:t>49</w:t>
                          </w:r>
                          <w:r>
                            <w:fldChar w:fldCharType="end"/>
                          </w:r>
                        </w:p>
                        <w:p>
                          <w:pPr>
                            <w:pStyle w:val="24"/>
                            <w:ind w:left="-4410" w:leftChars="-2100" w:right="-4439" w:rightChars="-2114"/>
                            <w:rPr>
                              <w:rStyle w:val="44"/>
                            </w:rPr>
                          </w:pP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LACCdUBAACvAwAADgAAAGRycy9lMm9Eb2MueG1srVNLbtswEN0X6B0I&#10;7mNJDtIqguWghZGiQNEWSHMAmqIsAvyBQ1vyBdobdNVN9z2Xz9EhJTmfbrLohpof38x7HK1uBq3I&#10;QXiQ1tS0WOSUCMNtI82upvffbi9KSiAw0zBljajpUQC9Wb9+tepdJZa2s6oRniCIgap3Ne1CcFWW&#10;Ae+EZrCwThhMttZrFtD1u6zxrEd0rbJlnr/Jeusb5y0XABjdjEk6IfqXANq2lVxsLN9rYcKI6oVi&#10;ASlBJx3QdZq2bQUPX9oWRCCqpsg0pBOboL2NZ7ZesWrnmeskn0ZgLxnhGSfNpMGmZ6gNC4zsvfwH&#10;SkvuLdg2LLjV2UgkKYIsivyZNncdcyJxQanBnUWH/wfLPx++eiKbmpbXb6+KqyJfUmKYxoc//fxx&#10;+vXn9Ps7uYwy9Q4qrL5zWB+G93bA5ZnjgMHIfmi9jl/kRTCPIh/PIoshEB4vlcuyzDHFMTc7iJ89&#10;XHcewgdhNYlGTT2+YhKXHT5BGEvnktjN2FupVHpJZZ4EEHOMiLQK0+3IZJw4WmHYDhO9rW2OyK7H&#10;daipwe2nRH00qHbcnNnws7Gdjb3zctfhoEWaEty7fcCR0qSxwwiLDKOD75i4TjsXF+Wxn6oe/rP1&#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AosAIJ1QEAAK8DAAAOAAAAAAAAAAEAIAAAAB4B&#10;AABkcnMvZTJvRG9jLnhtbFBLBQYAAAAABgAGAFkBAABlBQAAAAA=&#10;">
              <v:fill on="f" focussize="0,0"/>
              <v:stroke on="f"/>
              <v:imagedata o:title=""/>
              <o:lock v:ext="edit" aspectratio="f"/>
              <v:textbox inset="0mm,0mm,0mm,0mm" style="mso-fit-shape-to-text:t;">
                <w:txbxContent>
                  <w:p>
                    <w:pPr>
                      <w:pStyle w:val="24"/>
                      <w:jc w:val="center"/>
                      <w:rPr>
                        <w:rStyle w:val="44"/>
                      </w:rPr>
                    </w:pPr>
                    <w:r>
                      <w:fldChar w:fldCharType="begin"/>
                    </w:r>
                    <w:r>
                      <w:rPr>
                        <w:rStyle w:val="44"/>
                      </w:rPr>
                      <w:instrText xml:space="preserve">PAGE  </w:instrText>
                    </w:r>
                    <w:r>
                      <w:fldChar w:fldCharType="separate"/>
                    </w:r>
                    <w:r>
                      <w:rPr>
                        <w:rStyle w:val="44"/>
                      </w:rPr>
                      <w:t>49</w:t>
                    </w:r>
                    <w:r>
                      <w:fldChar w:fldCharType="end"/>
                    </w:r>
                  </w:p>
                  <w:p>
                    <w:pPr>
                      <w:pStyle w:val="24"/>
                      <w:ind w:left="-4410" w:leftChars="-2100" w:right="-4439" w:rightChars="-2114"/>
                      <w:rPr>
                        <w:rStyle w:val="44"/>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i/>
        <w:iC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0FAB9D"/>
    <w:multiLevelType w:val="multilevel"/>
    <w:tmpl w:val="930FAB9D"/>
    <w:lvl w:ilvl="0" w:tentative="0">
      <w:start w:val="1"/>
      <w:numFmt w:val="decimal"/>
      <w:suff w:val="nothing"/>
      <w:lvlText w:val="（%1）"/>
      <w:lvlJc w:val="left"/>
      <w:pPr>
        <w:tabs>
          <w:tab w:val="left" w:pos="420"/>
        </w:tabs>
        <w:ind w:left="1080" w:hanging="720"/>
      </w:pPr>
      <w:rPr>
        <w:rFonts w:hint="default" w:ascii="Times New Roman" w:hAnsi="Times New Roman" w:cs="Times New Roman"/>
        <w:color w:val="000000"/>
      </w:rPr>
    </w:lvl>
    <w:lvl w:ilvl="1" w:tentative="0">
      <w:start w:val="1"/>
      <w:numFmt w:val="lowerLetter"/>
      <w:lvlText w:val="%2)"/>
      <w:lvlJc w:val="left"/>
      <w:pPr>
        <w:ind w:left="1200" w:hanging="420"/>
      </w:pPr>
      <w:rPr>
        <w:rFonts w:hint="default" w:ascii="Times New Roman" w:hAnsi="Times New Roman" w:cs="Times New Roman"/>
      </w:rPr>
    </w:lvl>
    <w:lvl w:ilvl="2" w:tentative="0">
      <w:start w:val="1"/>
      <w:numFmt w:val="lowerRoman"/>
      <w:lvlText w:val="%3."/>
      <w:lvlJc w:val="right"/>
      <w:pPr>
        <w:ind w:left="1620" w:hanging="420"/>
      </w:pPr>
      <w:rPr>
        <w:rFonts w:hint="default" w:ascii="Times New Roman" w:hAnsi="Times New Roman" w:cs="Times New Roman"/>
      </w:rPr>
    </w:lvl>
    <w:lvl w:ilvl="3" w:tentative="0">
      <w:start w:val="1"/>
      <w:numFmt w:val="decimal"/>
      <w:lvlText w:val="%4."/>
      <w:lvlJc w:val="left"/>
      <w:pPr>
        <w:ind w:left="2040" w:hanging="420"/>
      </w:pPr>
      <w:rPr>
        <w:rFonts w:hint="default" w:ascii="Times New Roman" w:hAnsi="Times New Roman" w:cs="Times New Roman"/>
      </w:rPr>
    </w:lvl>
    <w:lvl w:ilvl="4" w:tentative="0">
      <w:start w:val="1"/>
      <w:numFmt w:val="lowerLetter"/>
      <w:lvlText w:val="%5)"/>
      <w:lvlJc w:val="left"/>
      <w:pPr>
        <w:ind w:left="2460" w:hanging="420"/>
      </w:pPr>
      <w:rPr>
        <w:rFonts w:hint="default" w:ascii="Times New Roman" w:hAnsi="Times New Roman" w:cs="Times New Roman"/>
      </w:rPr>
    </w:lvl>
    <w:lvl w:ilvl="5" w:tentative="0">
      <w:start w:val="1"/>
      <w:numFmt w:val="lowerRoman"/>
      <w:lvlText w:val="%6."/>
      <w:lvlJc w:val="right"/>
      <w:pPr>
        <w:ind w:left="2880" w:hanging="420"/>
      </w:pPr>
      <w:rPr>
        <w:rFonts w:hint="default" w:ascii="Times New Roman" w:hAnsi="Times New Roman" w:cs="Times New Roman"/>
      </w:rPr>
    </w:lvl>
    <w:lvl w:ilvl="6" w:tentative="0">
      <w:start w:val="1"/>
      <w:numFmt w:val="decimal"/>
      <w:lvlText w:val="%7."/>
      <w:lvlJc w:val="left"/>
      <w:pPr>
        <w:ind w:left="3300" w:hanging="420"/>
      </w:pPr>
      <w:rPr>
        <w:rFonts w:hint="default" w:ascii="Times New Roman" w:hAnsi="Times New Roman" w:cs="Times New Roman"/>
      </w:rPr>
    </w:lvl>
    <w:lvl w:ilvl="7" w:tentative="0">
      <w:start w:val="1"/>
      <w:numFmt w:val="lowerLetter"/>
      <w:lvlText w:val="%8)"/>
      <w:lvlJc w:val="left"/>
      <w:pPr>
        <w:ind w:left="3720" w:hanging="420"/>
      </w:pPr>
      <w:rPr>
        <w:rFonts w:hint="default" w:ascii="Times New Roman" w:hAnsi="Times New Roman" w:cs="Times New Roman"/>
      </w:rPr>
    </w:lvl>
    <w:lvl w:ilvl="8" w:tentative="0">
      <w:start w:val="1"/>
      <w:numFmt w:val="lowerRoman"/>
      <w:lvlText w:val="%9."/>
      <w:lvlJc w:val="right"/>
      <w:pPr>
        <w:ind w:left="4140" w:hanging="420"/>
      </w:pPr>
      <w:rPr>
        <w:rFonts w:hint="default" w:ascii="Times New Roman" w:hAnsi="Times New Roman" w:cs="Times New Roman"/>
      </w:rPr>
    </w:lvl>
  </w:abstractNum>
  <w:abstractNum w:abstractNumId="1">
    <w:nsid w:val="00000001"/>
    <w:multiLevelType w:val="multilevel"/>
    <w:tmpl w:val="00000001"/>
    <w:lvl w:ilvl="0" w:tentative="0">
      <w:start w:val="1"/>
      <w:numFmt w:val="chineseCountingThousand"/>
      <w:pStyle w:val="127"/>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6"/>
      <w:suff w:val="space"/>
      <w:lvlText w:val="%2.%3.%4"/>
      <w:lvlJc w:val="left"/>
      <w:pPr>
        <w:ind w:left="284" w:hanging="284"/>
      </w:pPr>
      <w:rPr>
        <w:rFonts w:hint="eastAsia" w:ascii="宋体" w:eastAsia="宋体" w:cs="Times New Roman"/>
        <w:b/>
        <w:i w:val="0"/>
        <w:sz w:val="28"/>
      </w:rPr>
    </w:lvl>
    <w:lvl w:ilvl="4" w:tentative="0">
      <w:start w:val="1"/>
      <w:numFmt w:val="decimal"/>
      <w:pStyle w:val="7"/>
      <w:isLgl/>
      <w:suff w:val="space"/>
      <w:lvlText w:val="%2.%3.%4.%5"/>
      <w:lvlJc w:val="left"/>
      <w:pPr>
        <w:ind w:left="284" w:hanging="284"/>
      </w:pPr>
      <w:rPr>
        <w:rFonts w:hint="eastAsia" w:ascii="宋体" w:eastAsia="宋体" w:cs="Times New Roman"/>
        <w:b/>
        <w:i w:val="0"/>
        <w:sz w:val="28"/>
      </w:rPr>
    </w:lvl>
    <w:lvl w:ilvl="5" w:tentative="0">
      <w:start w:val="1"/>
      <w:numFmt w:val="decimal"/>
      <w:suff w:val="space"/>
      <w:lvlText w:val="1.1.1.1.1.%6%5"/>
      <w:lvlJc w:val="left"/>
      <w:rPr>
        <w:rFonts w:hint="eastAsia" w:ascii="宋体" w:eastAsia="宋体" w:cs="Times New Roman"/>
        <w:b/>
        <w:i w:val="0"/>
        <w:sz w:val="28"/>
      </w:rPr>
    </w:lvl>
    <w:lvl w:ilvl="6" w:tentative="0">
      <w:start w:val="1"/>
      <w:numFmt w:val="none"/>
      <w:pStyle w:val="9"/>
      <w:suff w:val="nothing"/>
      <w:lvlText w:val=""/>
      <w:lvlJc w:val="left"/>
      <w:rPr>
        <w:rFonts w:hint="eastAsia" w:cs="Times New Roman"/>
      </w:rPr>
    </w:lvl>
    <w:lvl w:ilvl="7" w:tentative="0">
      <w:start w:val="1"/>
      <w:numFmt w:val="none"/>
      <w:pStyle w:val="10"/>
      <w:suff w:val="nothing"/>
      <w:lvlText w:val=""/>
      <w:lvlJc w:val="left"/>
      <w:rPr>
        <w:rFonts w:hint="eastAsia" w:cs="Times New Roman"/>
      </w:rPr>
    </w:lvl>
    <w:lvl w:ilvl="8" w:tentative="0">
      <w:start w:val="1"/>
      <w:numFmt w:val="none"/>
      <w:pStyle w:val="11"/>
      <w:suff w:val="nothing"/>
      <w:lvlText w:val=""/>
      <w:lvlJc w:val="left"/>
      <w:rPr>
        <w:rFonts w:hint="eastAsia" w:cs="Times New Roman"/>
      </w:rPr>
    </w:lvl>
  </w:abstractNum>
  <w:abstractNum w:abstractNumId="2">
    <w:nsid w:val="00000002"/>
    <w:multiLevelType w:val="multilevel"/>
    <w:tmpl w:val="00000002"/>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8"/>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3">
    <w:nsid w:val="64916458"/>
    <w:multiLevelType w:val="multilevel"/>
    <w:tmpl w:val="64916458"/>
    <w:lvl w:ilvl="0" w:tentative="0">
      <w:start w:val="1"/>
      <w:numFmt w:val="decimal"/>
      <w:suff w:val="nothing"/>
      <w:lvlText w:val="%1、"/>
      <w:lvlJc w:val="left"/>
      <w:pPr>
        <w:tabs>
          <w:tab w:val="left" w:pos="420"/>
        </w:tabs>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removePersonalInformation/>
  <w:bordersDoNotSurroundHeader w:val="0"/>
  <w:bordersDoNotSurroundFooter w:val="0"/>
  <w:documentProtection w:enforcement="0"/>
  <w:defaultTabStop w:val="420"/>
  <w:drawingGridHorizontalSpacing w:val="105"/>
  <w:drawingGridVerticalSpacing w:val="317"/>
  <w:displayHorizontalDrawingGridEvery w:val="1"/>
  <w:displayVerticalDrawingGridEvery w:val="1"/>
  <w:doNotShadeFormData w:val="1"/>
  <w:noPunctuationKerning w:val="1"/>
  <w:characterSpacingControl w:val="compressPunctuation"/>
  <w:doNotValidateAgainstSchema/>
  <w:doNotDemarcateInvalidXml/>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mMzYxZGY3ZWY0NTMwZTJiNDdhMGZlOTEyMDY5ZmQifQ=="/>
  </w:docVars>
  <w:rsids>
    <w:rsidRoot w:val="00172A27"/>
    <w:rsid w:val="00001142"/>
    <w:rsid w:val="000028A7"/>
    <w:rsid w:val="000056DB"/>
    <w:rsid w:val="000062B0"/>
    <w:rsid w:val="00006567"/>
    <w:rsid w:val="00006CFA"/>
    <w:rsid w:val="00006E37"/>
    <w:rsid w:val="000071DE"/>
    <w:rsid w:val="000076B6"/>
    <w:rsid w:val="00007959"/>
    <w:rsid w:val="0001017B"/>
    <w:rsid w:val="00010694"/>
    <w:rsid w:val="0001079E"/>
    <w:rsid w:val="000123EF"/>
    <w:rsid w:val="00013CBE"/>
    <w:rsid w:val="00013E8E"/>
    <w:rsid w:val="0001563A"/>
    <w:rsid w:val="00017C6E"/>
    <w:rsid w:val="00020651"/>
    <w:rsid w:val="000218C3"/>
    <w:rsid w:val="00021949"/>
    <w:rsid w:val="00021973"/>
    <w:rsid w:val="00022BE9"/>
    <w:rsid w:val="00023436"/>
    <w:rsid w:val="00024A89"/>
    <w:rsid w:val="00025B94"/>
    <w:rsid w:val="00026B85"/>
    <w:rsid w:val="00026E1B"/>
    <w:rsid w:val="00027067"/>
    <w:rsid w:val="0003068E"/>
    <w:rsid w:val="000309D6"/>
    <w:rsid w:val="00031305"/>
    <w:rsid w:val="00031440"/>
    <w:rsid w:val="000349EA"/>
    <w:rsid w:val="00034CDF"/>
    <w:rsid w:val="00036E3E"/>
    <w:rsid w:val="000377B6"/>
    <w:rsid w:val="00037D98"/>
    <w:rsid w:val="00040158"/>
    <w:rsid w:val="00040477"/>
    <w:rsid w:val="00042AF5"/>
    <w:rsid w:val="00042FB9"/>
    <w:rsid w:val="00046EE3"/>
    <w:rsid w:val="00047019"/>
    <w:rsid w:val="00047527"/>
    <w:rsid w:val="00052FED"/>
    <w:rsid w:val="00054B43"/>
    <w:rsid w:val="00055237"/>
    <w:rsid w:val="00055DF7"/>
    <w:rsid w:val="00057533"/>
    <w:rsid w:val="00057EBA"/>
    <w:rsid w:val="00060122"/>
    <w:rsid w:val="0006031F"/>
    <w:rsid w:val="00061D32"/>
    <w:rsid w:val="00062D16"/>
    <w:rsid w:val="00064014"/>
    <w:rsid w:val="00064AA9"/>
    <w:rsid w:val="000652EC"/>
    <w:rsid w:val="000664FF"/>
    <w:rsid w:val="00066946"/>
    <w:rsid w:val="000746D4"/>
    <w:rsid w:val="00081FBE"/>
    <w:rsid w:val="00082916"/>
    <w:rsid w:val="00083326"/>
    <w:rsid w:val="000848FA"/>
    <w:rsid w:val="00084917"/>
    <w:rsid w:val="00084A50"/>
    <w:rsid w:val="00084BB7"/>
    <w:rsid w:val="00085A98"/>
    <w:rsid w:val="00085C9A"/>
    <w:rsid w:val="00086134"/>
    <w:rsid w:val="0008672C"/>
    <w:rsid w:val="00086BB0"/>
    <w:rsid w:val="00086DBD"/>
    <w:rsid w:val="00086FA7"/>
    <w:rsid w:val="000908B5"/>
    <w:rsid w:val="000924F6"/>
    <w:rsid w:val="000938D2"/>
    <w:rsid w:val="00094C33"/>
    <w:rsid w:val="000959CA"/>
    <w:rsid w:val="00096449"/>
    <w:rsid w:val="00096877"/>
    <w:rsid w:val="000968DC"/>
    <w:rsid w:val="00097DEE"/>
    <w:rsid w:val="000A024E"/>
    <w:rsid w:val="000A0AAD"/>
    <w:rsid w:val="000A0BFC"/>
    <w:rsid w:val="000A16B9"/>
    <w:rsid w:val="000A232F"/>
    <w:rsid w:val="000A348A"/>
    <w:rsid w:val="000A4116"/>
    <w:rsid w:val="000B025B"/>
    <w:rsid w:val="000B0601"/>
    <w:rsid w:val="000B0CE2"/>
    <w:rsid w:val="000B1BC3"/>
    <w:rsid w:val="000B3946"/>
    <w:rsid w:val="000B56D5"/>
    <w:rsid w:val="000B6597"/>
    <w:rsid w:val="000B70A2"/>
    <w:rsid w:val="000B743E"/>
    <w:rsid w:val="000B777B"/>
    <w:rsid w:val="000C02D0"/>
    <w:rsid w:val="000C040D"/>
    <w:rsid w:val="000C0E14"/>
    <w:rsid w:val="000C1B5D"/>
    <w:rsid w:val="000C37C7"/>
    <w:rsid w:val="000C46F0"/>
    <w:rsid w:val="000C5F01"/>
    <w:rsid w:val="000C6DFE"/>
    <w:rsid w:val="000D07D5"/>
    <w:rsid w:val="000D115A"/>
    <w:rsid w:val="000D2420"/>
    <w:rsid w:val="000D3661"/>
    <w:rsid w:val="000D38F9"/>
    <w:rsid w:val="000D4432"/>
    <w:rsid w:val="000D4C25"/>
    <w:rsid w:val="000E21B6"/>
    <w:rsid w:val="000E3E56"/>
    <w:rsid w:val="000E570B"/>
    <w:rsid w:val="000E6C9B"/>
    <w:rsid w:val="000E6EC4"/>
    <w:rsid w:val="000F2019"/>
    <w:rsid w:val="000F211E"/>
    <w:rsid w:val="000F2798"/>
    <w:rsid w:val="000F59DA"/>
    <w:rsid w:val="000F7FB9"/>
    <w:rsid w:val="001002F6"/>
    <w:rsid w:val="001004E9"/>
    <w:rsid w:val="001008F7"/>
    <w:rsid w:val="00100E22"/>
    <w:rsid w:val="001011EB"/>
    <w:rsid w:val="001032F1"/>
    <w:rsid w:val="00103962"/>
    <w:rsid w:val="00104001"/>
    <w:rsid w:val="00104752"/>
    <w:rsid w:val="0010554E"/>
    <w:rsid w:val="001060A2"/>
    <w:rsid w:val="001061E7"/>
    <w:rsid w:val="001067F1"/>
    <w:rsid w:val="00106C25"/>
    <w:rsid w:val="00110410"/>
    <w:rsid w:val="00110925"/>
    <w:rsid w:val="00110C5A"/>
    <w:rsid w:val="00111AB3"/>
    <w:rsid w:val="00113538"/>
    <w:rsid w:val="00114DC3"/>
    <w:rsid w:val="001153B4"/>
    <w:rsid w:val="00116E92"/>
    <w:rsid w:val="00117447"/>
    <w:rsid w:val="001179AF"/>
    <w:rsid w:val="00120656"/>
    <w:rsid w:val="001211FF"/>
    <w:rsid w:val="00121D27"/>
    <w:rsid w:val="00121F3B"/>
    <w:rsid w:val="00122C2F"/>
    <w:rsid w:val="00123EDB"/>
    <w:rsid w:val="001252B6"/>
    <w:rsid w:val="00126555"/>
    <w:rsid w:val="001267E3"/>
    <w:rsid w:val="00126DF5"/>
    <w:rsid w:val="0013183D"/>
    <w:rsid w:val="00134113"/>
    <w:rsid w:val="001343A5"/>
    <w:rsid w:val="001366DA"/>
    <w:rsid w:val="001368BD"/>
    <w:rsid w:val="0013711F"/>
    <w:rsid w:val="001378C1"/>
    <w:rsid w:val="00140436"/>
    <w:rsid w:val="0014147C"/>
    <w:rsid w:val="001432DA"/>
    <w:rsid w:val="00143A22"/>
    <w:rsid w:val="001451AF"/>
    <w:rsid w:val="001477B2"/>
    <w:rsid w:val="00147843"/>
    <w:rsid w:val="00153D87"/>
    <w:rsid w:val="00153E56"/>
    <w:rsid w:val="00153F37"/>
    <w:rsid w:val="00155E65"/>
    <w:rsid w:val="0015654F"/>
    <w:rsid w:val="0015688A"/>
    <w:rsid w:val="00157474"/>
    <w:rsid w:val="001616FD"/>
    <w:rsid w:val="00163B16"/>
    <w:rsid w:val="00164D68"/>
    <w:rsid w:val="0016705C"/>
    <w:rsid w:val="001716D6"/>
    <w:rsid w:val="00171CE0"/>
    <w:rsid w:val="00171F6E"/>
    <w:rsid w:val="00172A27"/>
    <w:rsid w:val="001749E8"/>
    <w:rsid w:val="0017520F"/>
    <w:rsid w:val="001752B3"/>
    <w:rsid w:val="00176C14"/>
    <w:rsid w:val="00177BA9"/>
    <w:rsid w:val="001812E3"/>
    <w:rsid w:val="00181F49"/>
    <w:rsid w:val="001834EC"/>
    <w:rsid w:val="00183579"/>
    <w:rsid w:val="00183AC3"/>
    <w:rsid w:val="00184068"/>
    <w:rsid w:val="00184DE6"/>
    <w:rsid w:val="00185429"/>
    <w:rsid w:val="001857C5"/>
    <w:rsid w:val="00185C38"/>
    <w:rsid w:val="00186997"/>
    <w:rsid w:val="00190E8E"/>
    <w:rsid w:val="00191319"/>
    <w:rsid w:val="0019149A"/>
    <w:rsid w:val="00191F9F"/>
    <w:rsid w:val="0019439F"/>
    <w:rsid w:val="001948F5"/>
    <w:rsid w:val="00194B60"/>
    <w:rsid w:val="00194CE6"/>
    <w:rsid w:val="001951E6"/>
    <w:rsid w:val="00195608"/>
    <w:rsid w:val="001967D0"/>
    <w:rsid w:val="001975E0"/>
    <w:rsid w:val="00197E17"/>
    <w:rsid w:val="001A0C18"/>
    <w:rsid w:val="001A21EC"/>
    <w:rsid w:val="001A38FB"/>
    <w:rsid w:val="001A46A7"/>
    <w:rsid w:val="001A5B87"/>
    <w:rsid w:val="001A607A"/>
    <w:rsid w:val="001A664D"/>
    <w:rsid w:val="001A66B3"/>
    <w:rsid w:val="001A78DB"/>
    <w:rsid w:val="001B0554"/>
    <w:rsid w:val="001B09C3"/>
    <w:rsid w:val="001B11AF"/>
    <w:rsid w:val="001B14E8"/>
    <w:rsid w:val="001B1AD5"/>
    <w:rsid w:val="001B4BAF"/>
    <w:rsid w:val="001B4C98"/>
    <w:rsid w:val="001B5415"/>
    <w:rsid w:val="001B58CA"/>
    <w:rsid w:val="001B5C89"/>
    <w:rsid w:val="001B5EFE"/>
    <w:rsid w:val="001B6D36"/>
    <w:rsid w:val="001B7323"/>
    <w:rsid w:val="001C0E7E"/>
    <w:rsid w:val="001C187D"/>
    <w:rsid w:val="001C6170"/>
    <w:rsid w:val="001C655D"/>
    <w:rsid w:val="001D07E4"/>
    <w:rsid w:val="001D2385"/>
    <w:rsid w:val="001D2E25"/>
    <w:rsid w:val="001D37F9"/>
    <w:rsid w:val="001D4ABE"/>
    <w:rsid w:val="001D6FE8"/>
    <w:rsid w:val="001D7BB0"/>
    <w:rsid w:val="001E0C77"/>
    <w:rsid w:val="001E12E0"/>
    <w:rsid w:val="001E14E6"/>
    <w:rsid w:val="001E2209"/>
    <w:rsid w:val="001E2776"/>
    <w:rsid w:val="001E4D99"/>
    <w:rsid w:val="001E5A2C"/>
    <w:rsid w:val="001E5DB3"/>
    <w:rsid w:val="001E6ABB"/>
    <w:rsid w:val="001F078F"/>
    <w:rsid w:val="001F26A4"/>
    <w:rsid w:val="001F3AA2"/>
    <w:rsid w:val="001F465F"/>
    <w:rsid w:val="001F4E79"/>
    <w:rsid w:val="001F5417"/>
    <w:rsid w:val="001F607E"/>
    <w:rsid w:val="001F6978"/>
    <w:rsid w:val="001F7503"/>
    <w:rsid w:val="00203152"/>
    <w:rsid w:val="002048F4"/>
    <w:rsid w:val="0020625D"/>
    <w:rsid w:val="00210A6E"/>
    <w:rsid w:val="002113F5"/>
    <w:rsid w:val="0021566D"/>
    <w:rsid w:val="002162EE"/>
    <w:rsid w:val="00216750"/>
    <w:rsid w:val="00220823"/>
    <w:rsid w:val="00222881"/>
    <w:rsid w:val="00222BC0"/>
    <w:rsid w:val="00222C01"/>
    <w:rsid w:val="0022318D"/>
    <w:rsid w:val="00223629"/>
    <w:rsid w:val="002240B1"/>
    <w:rsid w:val="002252A2"/>
    <w:rsid w:val="00225521"/>
    <w:rsid w:val="002258EB"/>
    <w:rsid w:val="002267B7"/>
    <w:rsid w:val="00230B55"/>
    <w:rsid w:val="00230DFB"/>
    <w:rsid w:val="00231330"/>
    <w:rsid w:val="00232AF9"/>
    <w:rsid w:val="00233D99"/>
    <w:rsid w:val="00234D33"/>
    <w:rsid w:val="002365DE"/>
    <w:rsid w:val="0023710A"/>
    <w:rsid w:val="00237910"/>
    <w:rsid w:val="00237997"/>
    <w:rsid w:val="00237CBA"/>
    <w:rsid w:val="00237DF7"/>
    <w:rsid w:val="002405AE"/>
    <w:rsid w:val="00241080"/>
    <w:rsid w:val="00241D0E"/>
    <w:rsid w:val="00246A6D"/>
    <w:rsid w:val="002503A5"/>
    <w:rsid w:val="0025160E"/>
    <w:rsid w:val="00251DC3"/>
    <w:rsid w:val="00251FEF"/>
    <w:rsid w:val="00255F97"/>
    <w:rsid w:val="0025686D"/>
    <w:rsid w:val="002579CE"/>
    <w:rsid w:val="002600EF"/>
    <w:rsid w:val="00261630"/>
    <w:rsid w:val="00262116"/>
    <w:rsid w:val="00262406"/>
    <w:rsid w:val="0026280C"/>
    <w:rsid w:val="0026357B"/>
    <w:rsid w:val="002635CB"/>
    <w:rsid w:val="00265160"/>
    <w:rsid w:val="002654A5"/>
    <w:rsid w:val="00265C2A"/>
    <w:rsid w:val="00266188"/>
    <w:rsid w:val="00266ADF"/>
    <w:rsid w:val="00266B0A"/>
    <w:rsid w:val="00266F73"/>
    <w:rsid w:val="00267562"/>
    <w:rsid w:val="00270E63"/>
    <w:rsid w:val="00271F95"/>
    <w:rsid w:val="00272CF5"/>
    <w:rsid w:val="002736FF"/>
    <w:rsid w:val="002745F4"/>
    <w:rsid w:val="00275A36"/>
    <w:rsid w:val="00277D07"/>
    <w:rsid w:val="002801C7"/>
    <w:rsid w:val="00280B69"/>
    <w:rsid w:val="00282DE9"/>
    <w:rsid w:val="00283773"/>
    <w:rsid w:val="0028411D"/>
    <w:rsid w:val="00286B2A"/>
    <w:rsid w:val="0028736C"/>
    <w:rsid w:val="0029146A"/>
    <w:rsid w:val="002919EF"/>
    <w:rsid w:val="00291C73"/>
    <w:rsid w:val="0029200E"/>
    <w:rsid w:val="00292554"/>
    <w:rsid w:val="002935A8"/>
    <w:rsid w:val="00293BAA"/>
    <w:rsid w:val="00295ABC"/>
    <w:rsid w:val="002A12D4"/>
    <w:rsid w:val="002A2212"/>
    <w:rsid w:val="002A26CC"/>
    <w:rsid w:val="002A290A"/>
    <w:rsid w:val="002A2F45"/>
    <w:rsid w:val="002A3EC8"/>
    <w:rsid w:val="002A507C"/>
    <w:rsid w:val="002A5204"/>
    <w:rsid w:val="002A52F3"/>
    <w:rsid w:val="002A5375"/>
    <w:rsid w:val="002A63B6"/>
    <w:rsid w:val="002A66D1"/>
    <w:rsid w:val="002A7098"/>
    <w:rsid w:val="002A7DC3"/>
    <w:rsid w:val="002A7FFB"/>
    <w:rsid w:val="002B0532"/>
    <w:rsid w:val="002B13CF"/>
    <w:rsid w:val="002B1ED0"/>
    <w:rsid w:val="002B2873"/>
    <w:rsid w:val="002B3A9F"/>
    <w:rsid w:val="002B444F"/>
    <w:rsid w:val="002B4977"/>
    <w:rsid w:val="002B578D"/>
    <w:rsid w:val="002B582C"/>
    <w:rsid w:val="002B7146"/>
    <w:rsid w:val="002C1122"/>
    <w:rsid w:val="002C1172"/>
    <w:rsid w:val="002C21BA"/>
    <w:rsid w:val="002C26BF"/>
    <w:rsid w:val="002C50EF"/>
    <w:rsid w:val="002C5ECB"/>
    <w:rsid w:val="002D0177"/>
    <w:rsid w:val="002D121C"/>
    <w:rsid w:val="002D26B0"/>
    <w:rsid w:val="002D2B52"/>
    <w:rsid w:val="002D2E34"/>
    <w:rsid w:val="002D3296"/>
    <w:rsid w:val="002D4376"/>
    <w:rsid w:val="002D5260"/>
    <w:rsid w:val="002D6E17"/>
    <w:rsid w:val="002D71BB"/>
    <w:rsid w:val="002E07E4"/>
    <w:rsid w:val="002E1CE4"/>
    <w:rsid w:val="002E1D05"/>
    <w:rsid w:val="002E3C01"/>
    <w:rsid w:val="002E44F4"/>
    <w:rsid w:val="002E48A6"/>
    <w:rsid w:val="002E48B3"/>
    <w:rsid w:val="002E55DE"/>
    <w:rsid w:val="002E5AE8"/>
    <w:rsid w:val="002E6479"/>
    <w:rsid w:val="002E6BC2"/>
    <w:rsid w:val="002E7FBA"/>
    <w:rsid w:val="002F0161"/>
    <w:rsid w:val="002F01A6"/>
    <w:rsid w:val="002F0C8E"/>
    <w:rsid w:val="002F10B1"/>
    <w:rsid w:val="002F1D76"/>
    <w:rsid w:val="002F330D"/>
    <w:rsid w:val="002F4BC2"/>
    <w:rsid w:val="002F5A04"/>
    <w:rsid w:val="0030197D"/>
    <w:rsid w:val="00302392"/>
    <w:rsid w:val="003044FA"/>
    <w:rsid w:val="00305911"/>
    <w:rsid w:val="00305DDC"/>
    <w:rsid w:val="003066B7"/>
    <w:rsid w:val="00307641"/>
    <w:rsid w:val="00307E3D"/>
    <w:rsid w:val="003115D8"/>
    <w:rsid w:val="00312176"/>
    <w:rsid w:val="00313A9D"/>
    <w:rsid w:val="00313B74"/>
    <w:rsid w:val="00314909"/>
    <w:rsid w:val="00317A3E"/>
    <w:rsid w:val="003219B6"/>
    <w:rsid w:val="00321A6D"/>
    <w:rsid w:val="00321C85"/>
    <w:rsid w:val="00321DAC"/>
    <w:rsid w:val="0032282C"/>
    <w:rsid w:val="00323EC7"/>
    <w:rsid w:val="00324160"/>
    <w:rsid w:val="003247B7"/>
    <w:rsid w:val="00325687"/>
    <w:rsid w:val="00325E9B"/>
    <w:rsid w:val="003266AD"/>
    <w:rsid w:val="00327338"/>
    <w:rsid w:val="00327776"/>
    <w:rsid w:val="00327E1F"/>
    <w:rsid w:val="00330FFC"/>
    <w:rsid w:val="0033141A"/>
    <w:rsid w:val="00331D48"/>
    <w:rsid w:val="00331DAC"/>
    <w:rsid w:val="003325BA"/>
    <w:rsid w:val="003342C9"/>
    <w:rsid w:val="00334376"/>
    <w:rsid w:val="0033545B"/>
    <w:rsid w:val="00335463"/>
    <w:rsid w:val="00340232"/>
    <w:rsid w:val="003418E5"/>
    <w:rsid w:val="00343120"/>
    <w:rsid w:val="00345278"/>
    <w:rsid w:val="003455A2"/>
    <w:rsid w:val="00346718"/>
    <w:rsid w:val="003508A9"/>
    <w:rsid w:val="00350AF3"/>
    <w:rsid w:val="003529CE"/>
    <w:rsid w:val="00353BD6"/>
    <w:rsid w:val="003541FA"/>
    <w:rsid w:val="00354B3A"/>
    <w:rsid w:val="00354F3E"/>
    <w:rsid w:val="003566C8"/>
    <w:rsid w:val="00356B2D"/>
    <w:rsid w:val="00356E17"/>
    <w:rsid w:val="003579C5"/>
    <w:rsid w:val="00360E35"/>
    <w:rsid w:val="00361034"/>
    <w:rsid w:val="00362089"/>
    <w:rsid w:val="00363839"/>
    <w:rsid w:val="00364D27"/>
    <w:rsid w:val="0036574C"/>
    <w:rsid w:val="003659A4"/>
    <w:rsid w:val="00366E3F"/>
    <w:rsid w:val="00367315"/>
    <w:rsid w:val="003714B5"/>
    <w:rsid w:val="0037160B"/>
    <w:rsid w:val="00372CE3"/>
    <w:rsid w:val="0037319D"/>
    <w:rsid w:val="00374698"/>
    <w:rsid w:val="00374A14"/>
    <w:rsid w:val="003754B2"/>
    <w:rsid w:val="00375558"/>
    <w:rsid w:val="00375952"/>
    <w:rsid w:val="0037744F"/>
    <w:rsid w:val="003775CF"/>
    <w:rsid w:val="00381B36"/>
    <w:rsid w:val="00382651"/>
    <w:rsid w:val="00384A07"/>
    <w:rsid w:val="00384F4A"/>
    <w:rsid w:val="00385F9E"/>
    <w:rsid w:val="00386701"/>
    <w:rsid w:val="00387EA0"/>
    <w:rsid w:val="003909FF"/>
    <w:rsid w:val="00390A2B"/>
    <w:rsid w:val="00391508"/>
    <w:rsid w:val="003932D1"/>
    <w:rsid w:val="003932D7"/>
    <w:rsid w:val="003943F3"/>
    <w:rsid w:val="0039553A"/>
    <w:rsid w:val="00395829"/>
    <w:rsid w:val="00396221"/>
    <w:rsid w:val="003963E9"/>
    <w:rsid w:val="003972E4"/>
    <w:rsid w:val="00397904"/>
    <w:rsid w:val="00397A19"/>
    <w:rsid w:val="003A1D59"/>
    <w:rsid w:val="003A2109"/>
    <w:rsid w:val="003A2FDB"/>
    <w:rsid w:val="003A32E6"/>
    <w:rsid w:val="003A4800"/>
    <w:rsid w:val="003A7A87"/>
    <w:rsid w:val="003A7D8A"/>
    <w:rsid w:val="003B0072"/>
    <w:rsid w:val="003B0BEA"/>
    <w:rsid w:val="003B14E5"/>
    <w:rsid w:val="003B3D7F"/>
    <w:rsid w:val="003B4D47"/>
    <w:rsid w:val="003B59EB"/>
    <w:rsid w:val="003B5C00"/>
    <w:rsid w:val="003B651F"/>
    <w:rsid w:val="003B6CC2"/>
    <w:rsid w:val="003C201C"/>
    <w:rsid w:val="003C3418"/>
    <w:rsid w:val="003C3881"/>
    <w:rsid w:val="003C39B9"/>
    <w:rsid w:val="003C3F7E"/>
    <w:rsid w:val="003C42C3"/>
    <w:rsid w:val="003C520C"/>
    <w:rsid w:val="003D0D05"/>
    <w:rsid w:val="003D1378"/>
    <w:rsid w:val="003D2367"/>
    <w:rsid w:val="003D3C74"/>
    <w:rsid w:val="003D4A1E"/>
    <w:rsid w:val="003D4B4C"/>
    <w:rsid w:val="003D7345"/>
    <w:rsid w:val="003D7D9E"/>
    <w:rsid w:val="003E1A6E"/>
    <w:rsid w:val="003E2FEE"/>
    <w:rsid w:val="003E55A6"/>
    <w:rsid w:val="003E602F"/>
    <w:rsid w:val="003E629B"/>
    <w:rsid w:val="003E64B1"/>
    <w:rsid w:val="003E72CB"/>
    <w:rsid w:val="003E7B4B"/>
    <w:rsid w:val="003E7EAF"/>
    <w:rsid w:val="003F11D2"/>
    <w:rsid w:val="003F1FDA"/>
    <w:rsid w:val="003F2387"/>
    <w:rsid w:val="003F4509"/>
    <w:rsid w:val="003F4A44"/>
    <w:rsid w:val="003F5BE5"/>
    <w:rsid w:val="003F661D"/>
    <w:rsid w:val="003F6624"/>
    <w:rsid w:val="003F73B8"/>
    <w:rsid w:val="003F7A56"/>
    <w:rsid w:val="004008F4"/>
    <w:rsid w:val="00404D9F"/>
    <w:rsid w:val="004054E1"/>
    <w:rsid w:val="00405BAF"/>
    <w:rsid w:val="00405C7B"/>
    <w:rsid w:val="004060C2"/>
    <w:rsid w:val="00406611"/>
    <w:rsid w:val="00407CD7"/>
    <w:rsid w:val="00407F09"/>
    <w:rsid w:val="0041159C"/>
    <w:rsid w:val="004126E3"/>
    <w:rsid w:val="0041369F"/>
    <w:rsid w:val="00413742"/>
    <w:rsid w:val="00413BEF"/>
    <w:rsid w:val="0041543F"/>
    <w:rsid w:val="00417B43"/>
    <w:rsid w:val="00417CBB"/>
    <w:rsid w:val="00423DC4"/>
    <w:rsid w:val="00424162"/>
    <w:rsid w:val="0042503D"/>
    <w:rsid w:val="004254CB"/>
    <w:rsid w:val="00430358"/>
    <w:rsid w:val="00431898"/>
    <w:rsid w:val="00431F90"/>
    <w:rsid w:val="004335B9"/>
    <w:rsid w:val="0043434B"/>
    <w:rsid w:val="00435328"/>
    <w:rsid w:val="004357E9"/>
    <w:rsid w:val="004413CC"/>
    <w:rsid w:val="00441B21"/>
    <w:rsid w:val="0044239D"/>
    <w:rsid w:val="00444059"/>
    <w:rsid w:val="00444AC5"/>
    <w:rsid w:val="00445AA7"/>
    <w:rsid w:val="0044617C"/>
    <w:rsid w:val="0044664D"/>
    <w:rsid w:val="00447B93"/>
    <w:rsid w:val="00447CD4"/>
    <w:rsid w:val="00450908"/>
    <w:rsid w:val="0045183E"/>
    <w:rsid w:val="004524E1"/>
    <w:rsid w:val="00453AAD"/>
    <w:rsid w:val="00454AF1"/>
    <w:rsid w:val="00456C08"/>
    <w:rsid w:val="00457242"/>
    <w:rsid w:val="00460BE1"/>
    <w:rsid w:val="00460F94"/>
    <w:rsid w:val="00461904"/>
    <w:rsid w:val="004628E4"/>
    <w:rsid w:val="00463DEB"/>
    <w:rsid w:val="00464515"/>
    <w:rsid w:val="00464F47"/>
    <w:rsid w:val="00465AA4"/>
    <w:rsid w:val="00467520"/>
    <w:rsid w:val="004675B9"/>
    <w:rsid w:val="00467C0C"/>
    <w:rsid w:val="004712EF"/>
    <w:rsid w:val="00471502"/>
    <w:rsid w:val="004720B5"/>
    <w:rsid w:val="004724DE"/>
    <w:rsid w:val="0047273E"/>
    <w:rsid w:val="004729B2"/>
    <w:rsid w:val="004740A8"/>
    <w:rsid w:val="0047446E"/>
    <w:rsid w:val="00477173"/>
    <w:rsid w:val="00481002"/>
    <w:rsid w:val="0048241B"/>
    <w:rsid w:val="00482423"/>
    <w:rsid w:val="004837DF"/>
    <w:rsid w:val="004838EF"/>
    <w:rsid w:val="0048446C"/>
    <w:rsid w:val="00484B14"/>
    <w:rsid w:val="00485CC7"/>
    <w:rsid w:val="0048639A"/>
    <w:rsid w:val="00486E16"/>
    <w:rsid w:val="004903FB"/>
    <w:rsid w:val="004906A7"/>
    <w:rsid w:val="0049147D"/>
    <w:rsid w:val="00491592"/>
    <w:rsid w:val="00491AD4"/>
    <w:rsid w:val="00491D6E"/>
    <w:rsid w:val="00492249"/>
    <w:rsid w:val="004945B5"/>
    <w:rsid w:val="00494EE8"/>
    <w:rsid w:val="00495348"/>
    <w:rsid w:val="00495819"/>
    <w:rsid w:val="00495891"/>
    <w:rsid w:val="004968CC"/>
    <w:rsid w:val="004A0016"/>
    <w:rsid w:val="004A3860"/>
    <w:rsid w:val="004A45E7"/>
    <w:rsid w:val="004A5B86"/>
    <w:rsid w:val="004A6678"/>
    <w:rsid w:val="004B0B25"/>
    <w:rsid w:val="004B0CFE"/>
    <w:rsid w:val="004B1211"/>
    <w:rsid w:val="004B2536"/>
    <w:rsid w:val="004B2EE5"/>
    <w:rsid w:val="004B2F9F"/>
    <w:rsid w:val="004B457F"/>
    <w:rsid w:val="004B57CC"/>
    <w:rsid w:val="004B5FB4"/>
    <w:rsid w:val="004C1A1B"/>
    <w:rsid w:val="004C1F50"/>
    <w:rsid w:val="004C2BEE"/>
    <w:rsid w:val="004C35D6"/>
    <w:rsid w:val="004C7F5D"/>
    <w:rsid w:val="004D0744"/>
    <w:rsid w:val="004D09D6"/>
    <w:rsid w:val="004D0F22"/>
    <w:rsid w:val="004D1DC6"/>
    <w:rsid w:val="004D23A5"/>
    <w:rsid w:val="004D25E6"/>
    <w:rsid w:val="004D28AD"/>
    <w:rsid w:val="004D45AD"/>
    <w:rsid w:val="004D5029"/>
    <w:rsid w:val="004D6505"/>
    <w:rsid w:val="004E07C6"/>
    <w:rsid w:val="004E2007"/>
    <w:rsid w:val="004E2A7B"/>
    <w:rsid w:val="004E36C6"/>
    <w:rsid w:val="004E4A0E"/>
    <w:rsid w:val="004E4F51"/>
    <w:rsid w:val="004E63D9"/>
    <w:rsid w:val="004F0577"/>
    <w:rsid w:val="004F1630"/>
    <w:rsid w:val="004F255E"/>
    <w:rsid w:val="004F39D1"/>
    <w:rsid w:val="004F3C72"/>
    <w:rsid w:val="004F618A"/>
    <w:rsid w:val="004F6E1A"/>
    <w:rsid w:val="004F7C1A"/>
    <w:rsid w:val="0050066F"/>
    <w:rsid w:val="00501F69"/>
    <w:rsid w:val="005028D7"/>
    <w:rsid w:val="00503247"/>
    <w:rsid w:val="00503499"/>
    <w:rsid w:val="00503E65"/>
    <w:rsid w:val="00504906"/>
    <w:rsid w:val="00504E18"/>
    <w:rsid w:val="00505662"/>
    <w:rsid w:val="005061A9"/>
    <w:rsid w:val="00510305"/>
    <w:rsid w:val="00510C70"/>
    <w:rsid w:val="00511673"/>
    <w:rsid w:val="0051262A"/>
    <w:rsid w:val="0051271B"/>
    <w:rsid w:val="00513E52"/>
    <w:rsid w:val="0051474C"/>
    <w:rsid w:val="0051593A"/>
    <w:rsid w:val="00515F75"/>
    <w:rsid w:val="005213B9"/>
    <w:rsid w:val="0052253C"/>
    <w:rsid w:val="00531A40"/>
    <w:rsid w:val="00532173"/>
    <w:rsid w:val="00532B17"/>
    <w:rsid w:val="005340BD"/>
    <w:rsid w:val="00535B74"/>
    <w:rsid w:val="00536198"/>
    <w:rsid w:val="00536441"/>
    <w:rsid w:val="0053765E"/>
    <w:rsid w:val="00537F21"/>
    <w:rsid w:val="00540B6E"/>
    <w:rsid w:val="00540C73"/>
    <w:rsid w:val="0054155F"/>
    <w:rsid w:val="005415C7"/>
    <w:rsid w:val="00542AFC"/>
    <w:rsid w:val="00544886"/>
    <w:rsid w:val="005451B1"/>
    <w:rsid w:val="00546EAD"/>
    <w:rsid w:val="005478C6"/>
    <w:rsid w:val="00551F48"/>
    <w:rsid w:val="0055204C"/>
    <w:rsid w:val="005563FA"/>
    <w:rsid w:val="00556F39"/>
    <w:rsid w:val="00557FF3"/>
    <w:rsid w:val="0056039C"/>
    <w:rsid w:val="0056041F"/>
    <w:rsid w:val="00562F13"/>
    <w:rsid w:val="00563C6E"/>
    <w:rsid w:val="00564D4F"/>
    <w:rsid w:val="00564FFA"/>
    <w:rsid w:val="00567855"/>
    <w:rsid w:val="00571C61"/>
    <w:rsid w:val="005731BB"/>
    <w:rsid w:val="00573B4B"/>
    <w:rsid w:val="005740BA"/>
    <w:rsid w:val="00575EDC"/>
    <w:rsid w:val="00577A7C"/>
    <w:rsid w:val="00577B0A"/>
    <w:rsid w:val="00580611"/>
    <w:rsid w:val="00580F8E"/>
    <w:rsid w:val="005816FF"/>
    <w:rsid w:val="00581DEE"/>
    <w:rsid w:val="0058277C"/>
    <w:rsid w:val="0058374C"/>
    <w:rsid w:val="005837E2"/>
    <w:rsid w:val="005855F8"/>
    <w:rsid w:val="0058676E"/>
    <w:rsid w:val="0058691B"/>
    <w:rsid w:val="00586AE0"/>
    <w:rsid w:val="005877C5"/>
    <w:rsid w:val="00592F96"/>
    <w:rsid w:val="005930FD"/>
    <w:rsid w:val="0059452E"/>
    <w:rsid w:val="00594A37"/>
    <w:rsid w:val="005A0B4D"/>
    <w:rsid w:val="005A0F10"/>
    <w:rsid w:val="005A29AC"/>
    <w:rsid w:val="005A2C5E"/>
    <w:rsid w:val="005A3033"/>
    <w:rsid w:val="005A3766"/>
    <w:rsid w:val="005A3AF9"/>
    <w:rsid w:val="005A3B6C"/>
    <w:rsid w:val="005A4CBE"/>
    <w:rsid w:val="005A6314"/>
    <w:rsid w:val="005A7902"/>
    <w:rsid w:val="005B13EB"/>
    <w:rsid w:val="005B2909"/>
    <w:rsid w:val="005B35C2"/>
    <w:rsid w:val="005B41D3"/>
    <w:rsid w:val="005B683A"/>
    <w:rsid w:val="005B75D7"/>
    <w:rsid w:val="005C1119"/>
    <w:rsid w:val="005C1B07"/>
    <w:rsid w:val="005C3471"/>
    <w:rsid w:val="005C3904"/>
    <w:rsid w:val="005C3A8D"/>
    <w:rsid w:val="005C4B14"/>
    <w:rsid w:val="005C512F"/>
    <w:rsid w:val="005C5904"/>
    <w:rsid w:val="005C6AFF"/>
    <w:rsid w:val="005C6B69"/>
    <w:rsid w:val="005D1F86"/>
    <w:rsid w:val="005D2909"/>
    <w:rsid w:val="005D401B"/>
    <w:rsid w:val="005D4EEB"/>
    <w:rsid w:val="005D694E"/>
    <w:rsid w:val="005E0203"/>
    <w:rsid w:val="005E1CAA"/>
    <w:rsid w:val="005E214D"/>
    <w:rsid w:val="005E2F34"/>
    <w:rsid w:val="005E47CC"/>
    <w:rsid w:val="005E54D5"/>
    <w:rsid w:val="005E5730"/>
    <w:rsid w:val="005E5D1F"/>
    <w:rsid w:val="005E67E2"/>
    <w:rsid w:val="005F375B"/>
    <w:rsid w:val="005F4025"/>
    <w:rsid w:val="005F4742"/>
    <w:rsid w:val="005F640D"/>
    <w:rsid w:val="005F6DF0"/>
    <w:rsid w:val="005F7A8B"/>
    <w:rsid w:val="005F7D09"/>
    <w:rsid w:val="00600E33"/>
    <w:rsid w:val="0060156C"/>
    <w:rsid w:val="00602B22"/>
    <w:rsid w:val="0060311B"/>
    <w:rsid w:val="006036EE"/>
    <w:rsid w:val="0060477F"/>
    <w:rsid w:val="00605754"/>
    <w:rsid w:val="00605AF8"/>
    <w:rsid w:val="00606313"/>
    <w:rsid w:val="00607D69"/>
    <w:rsid w:val="00610B54"/>
    <w:rsid w:val="00610C6C"/>
    <w:rsid w:val="00610D78"/>
    <w:rsid w:val="006119D4"/>
    <w:rsid w:val="0061326C"/>
    <w:rsid w:val="0061373B"/>
    <w:rsid w:val="00613934"/>
    <w:rsid w:val="00613B44"/>
    <w:rsid w:val="00615CBC"/>
    <w:rsid w:val="00620C50"/>
    <w:rsid w:val="0062166A"/>
    <w:rsid w:val="006216B7"/>
    <w:rsid w:val="006228CF"/>
    <w:rsid w:val="006229CB"/>
    <w:rsid w:val="006230CB"/>
    <w:rsid w:val="00623AE5"/>
    <w:rsid w:val="00623B00"/>
    <w:rsid w:val="006262E3"/>
    <w:rsid w:val="00627534"/>
    <w:rsid w:val="00627952"/>
    <w:rsid w:val="00630316"/>
    <w:rsid w:val="00631193"/>
    <w:rsid w:val="0063193F"/>
    <w:rsid w:val="00631B42"/>
    <w:rsid w:val="006324B6"/>
    <w:rsid w:val="006325E4"/>
    <w:rsid w:val="006340E8"/>
    <w:rsid w:val="006373E0"/>
    <w:rsid w:val="0064117C"/>
    <w:rsid w:val="00641368"/>
    <w:rsid w:val="00641DAB"/>
    <w:rsid w:val="00642DE7"/>
    <w:rsid w:val="00643206"/>
    <w:rsid w:val="0064364F"/>
    <w:rsid w:val="00644A2C"/>
    <w:rsid w:val="006469B9"/>
    <w:rsid w:val="006476BE"/>
    <w:rsid w:val="006478E7"/>
    <w:rsid w:val="00650C85"/>
    <w:rsid w:val="006512F1"/>
    <w:rsid w:val="00651D10"/>
    <w:rsid w:val="00652F37"/>
    <w:rsid w:val="00655AB1"/>
    <w:rsid w:val="00661546"/>
    <w:rsid w:val="0066197A"/>
    <w:rsid w:val="0066228F"/>
    <w:rsid w:val="00662947"/>
    <w:rsid w:val="00662C14"/>
    <w:rsid w:val="00663E16"/>
    <w:rsid w:val="00664989"/>
    <w:rsid w:val="00666B9E"/>
    <w:rsid w:val="0066759A"/>
    <w:rsid w:val="00667860"/>
    <w:rsid w:val="006700EF"/>
    <w:rsid w:val="00671B1E"/>
    <w:rsid w:val="00673B4D"/>
    <w:rsid w:val="00674994"/>
    <w:rsid w:val="006750A6"/>
    <w:rsid w:val="00680556"/>
    <w:rsid w:val="006807CF"/>
    <w:rsid w:val="00680EC2"/>
    <w:rsid w:val="006820D1"/>
    <w:rsid w:val="00682E48"/>
    <w:rsid w:val="006840E6"/>
    <w:rsid w:val="0068573E"/>
    <w:rsid w:val="0068603E"/>
    <w:rsid w:val="006871A7"/>
    <w:rsid w:val="00687E89"/>
    <w:rsid w:val="00690673"/>
    <w:rsid w:val="00691856"/>
    <w:rsid w:val="00692AE3"/>
    <w:rsid w:val="00693927"/>
    <w:rsid w:val="0069449A"/>
    <w:rsid w:val="0069488C"/>
    <w:rsid w:val="00695BE1"/>
    <w:rsid w:val="006971E9"/>
    <w:rsid w:val="0069730A"/>
    <w:rsid w:val="00697407"/>
    <w:rsid w:val="006A1611"/>
    <w:rsid w:val="006A3644"/>
    <w:rsid w:val="006A3BF2"/>
    <w:rsid w:val="006A481F"/>
    <w:rsid w:val="006A5004"/>
    <w:rsid w:val="006A5452"/>
    <w:rsid w:val="006A69DD"/>
    <w:rsid w:val="006B03EE"/>
    <w:rsid w:val="006B1C6D"/>
    <w:rsid w:val="006B4D70"/>
    <w:rsid w:val="006B4F12"/>
    <w:rsid w:val="006B5C6B"/>
    <w:rsid w:val="006B6B0D"/>
    <w:rsid w:val="006C01B5"/>
    <w:rsid w:val="006C04C1"/>
    <w:rsid w:val="006C1A1E"/>
    <w:rsid w:val="006C1CD7"/>
    <w:rsid w:val="006C1D5E"/>
    <w:rsid w:val="006C256C"/>
    <w:rsid w:val="006C3EAA"/>
    <w:rsid w:val="006C6167"/>
    <w:rsid w:val="006C62E0"/>
    <w:rsid w:val="006C7D74"/>
    <w:rsid w:val="006D1D17"/>
    <w:rsid w:val="006D21E2"/>
    <w:rsid w:val="006D3CE2"/>
    <w:rsid w:val="006D4737"/>
    <w:rsid w:val="006D57F9"/>
    <w:rsid w:val="006D5890"/>
    <w:rsid w:val="006D6A8B"/>
    <w:rsid w:val="006E00E1"/>
    <w:rsid w:val="006E0B41"/>
    <w:rsid w:val="006E1A9D"/>
    <w:rsid w:val="006E275A"/>
    <w:rsid w:val="006E2E3E"/>
    <w:rsid w:val="006E35E4"/>
    <w:rsid w:val="006E3A0B"/>
    <w:rsid w:val="006E3E59"/>
    <w:rsid w:val="006E46C5"/>
    <w:rsid w:val="006E4C4B"/>
    <w:rsid w:val="006E71B7"/>
    <w:rsid w:val="006E7910"/>
    <w:rsid w:val="006E7F66"/>
    <w:rsid w:val="006F17C5"/>
    <w:rsid w:val="006F1822"/>
    <w:rsid w:val="006F7744"/>
    <w:rsid w:val="007012CA"/>
    <w:rsid w:val="00701B86"/>
    <w:rsid w:val="007036E7"/>
    <w:rsid w:val="00703910"/>
    <w:rsid w:val="007043AC"/>
    <w:rsid w:val="007047B2"/>
    <w:rsid w:val="0070571A"/>
    <w:rsid w:val="00707ABD"/>
    <w:rsid w:val="00707EE5"/>
    <w:rsid w:val="00713443"/>
    <w:rsid w:val="007136EF"/>
    <w:rsid w:val="00714923"/>
    <w:rsid w:val="00716374"/>
    <w:rsid w:val="007178BE"/>
    <w:rsid w:val="00721083"/>
    <w:rsid w:val="0072129A"/>
    <w:rsid w:val="00721E1F"/>
    <w:rsid w:val="00723F01"/>
    <w:rsid w:val="00724AE8"/>
    <w:rsid w:val="00724F78"/>
    <w:rsid w:val="00725EA1"/>
    <w:rsid w:val="0072667E"/>
    <w:rsid w:val="0072734A"/>
    <w:rsid w:val="00730663"/>
    <w:rsid w:val="007312AF"/>
    <w:rsid w:val="00732839"/>
    <w:rsid w:val="00733245"/>
    <w:rsid w:val="00734B6C"/>
    <w:rsid w:val="00735F02"/>
    <w:rsid w:val="007370AA"/>
    <w:rsid w:val="0074159F"/>
    <w:rsid w:val="00741BDC"/>
    <w:rsid w:val="00741DFD"/>
    <w:rsid w:val="00742095"/>
    <w:rsid w:val="007423D8"/>
    <w:rsid w:val="007437B8"/>
    <w:rsid w:val="00744369"/>
    <w:rsid w:val="00744DA4"/>
    <w:rsid w:val="00744EF7"/>
    <w:rsid w:val="00745376"/>
    <w:rsid w:val="00745C90"/>
    <w:rsid w:val="00745E61"/>
    <w:rsid w:val="00747959"/>
    <w:rsid w:val="00752244"/>
    <w:rsid w:val="00755E00"/>
    <w:rsid w:val="00756233"/>
    <w:rsid w:val="00756DC5"/>
    <w:rsid w:val="00756E24"/>
    <w:rsid w:val="00757AB2"/>
    <w:rsid w:val="0076051C"/>
    <w:rsid w:val="007606EF"/>
    <w:rsid w:val="007606FC"/>
    <w:rsid w:val="00760D9B"/>
    <w:rsid w:val="007610E8"/>
    <w:rsid w:val="007626AB"/>
    <w:rsid w:val="007660DC"/>
    <w:rsid w:val="007667C8"/>
    <w:rsid w:val="00770CDC"/>
    <w:rsid w:val="007727BE"/>
    <w:rsid w:val="00772C2D"/>
    <w:rsid w:val="00773272"/>
    <w:rsid w:val="00773A40"/>
    <w:rsid w:val="00773A77"/>
    <w:rsid w:val="00773AF2"/>
    <w:rsid w:val="00775AE9"/>
    <w:rsid w:val="00776F92"/>
    <w:rsid w:val="007775DB"/>
    <w:rsid w:val="00781CF3"/>
    <w:rsid w:val="00782A21"/>
    <w:rsid w:val="00783396"/>
    <w:rsid w:val="00786162"/>
    <w:rsid w:val="00790B61"/>
    <w:rsid w:val="00792C35"/>
    <w:rsid w:val="00792F45"/>
    <w:rsid w:val="007937A9"/>
    <w:rsid w:val="00794337"/>
    <w:rsid w:val="00794FC7"/>
    <w:rsid w:val="0079513C"/>
    <w:rsid w:val="00795CA4"/>
    <w:rsid w:val="00795EE3"/>
    <w:rsid w:val="007960A3"/>
    <w:rsid w:val="00797540"/>
    <w:rsid w:val="007A03E9"/>
    <w:rsid w:val="007A0533"/>
    <w:rsid w:val="007A0EF9"/>
    <w:rsid w:val="007A45CE"/>
    <w:rsid w:val="007A5534"/>
    <w:rsid w:val="007A744A"/>
    <w:rsid w:val="007A7AAE"/>
    <w:rsid w:val="007B024F"/>
    <w:rsid w:val="007B1D96"/>
    <w:rsid w:val="007B3BBE"/>
    <w:rsid w:val="007B41BE"/>
    <w:rsid w:val="007B45FB"/>
    <w:rsid w:val="007B5A64"/>
    <w:rsid w:val="007B5EBB"/>
    <w:rsid w:val="007B616D"/>
    <w:rsid w:val="007B7479"/>
    <w:rsid w:val="007B7BE3"/>
    <w:rsid w:val="007C084C"/>
    <w:rsid w:val="007C13EB"/>
    <w:rsid w:val="007C1418"/>
    <w:rsid w:val="007C3910"/>
    <w:rsid w:val="007C4548"/>
    <w:rsid w:val="007C4E96"/>
    <w:rsid w:val="007C57BC"/>
    <w:rsid w:val="007C651C"/>
    <w:rsid w:val="007C7B31"/>
    <w:rsid w:val="007D0971"/>
    <w:rsid w:val="007D0E69"/>
    <w:rsid w:val="007D4277"/>
    <w:rsid w:val="007D4564"/>
    <w:rsid w:val="007D48A0"/>
    <w:rsid w:val="007D5E0D"/>
    <w:rsid w:val="007D6B1D"/>
    <w:rsid w:val="007D7895"/>
    <w:rsid w:val="007D7AD7"/>
    <w:rsid w:val="007D7CBB"/>
    <w:rsid w:val="007E088B"/>
    <w:rsid w:val="007E0C16"/>
    <w:rsid w:val="007E0D8E"/>
    <w:rsid w:val="007E1CDF"/>
    <w:rsid w:val="007E226F"/>
    <w:rsid w:val="007E3033"/>
    <w:rsid w:val="007E4B2C"/>
    <w:rsid w:val="007E4C92"/>
    <w:rsid w:val="007E54F4"/>
    <w:rsid w:val="007E665C"/>
    <w:rsid w:val="007F15F8"/>
    <w:rsid w:val="007F22F2"/>
    <w:rsid w:val="007F335F"/>
    <w:rsid w:val="007F425C"/>
    <w:rsid w:val="007F433A"/>
    <w:rsid w:val="007F53B5"/>
    <w:rsid w:val="007F5B2C"/>
    <w:rsid w:val="007F73C2"/>
    <w:rsid w:val="007F74EF"/>
    <w:rsid w:val="008006B5"/>
    <w:rsid w:val="0080224E"/>
    <w:rsid w:val="0080250C"/>
    <w:rsid w:val="00806E8E"/>
    <w:rsid w:val="008101C5"/>
    <w:rsid w:val="008103BE"/>
    <w:rsid w:val="00811C4B"/>
    <w:rsid w:val="00812087"/>
    <w:rsid w:val="00812200"/>
    <w:rsid w:val="008123A0"/>
    <w:rsid w:val="00812DEB"/>
    <w:rsid w:val="00813BD0"/>
    <w:rsid w:val="0081611D"/>
    <w:rsid w:val="00816C0C"/>
    <w:rsid w:val="00817DAE"/>
    <w:rsid w:val="00817E87"/>
    <w:rsid w:val="0082094E"/>
    <w:rsid w:val="0082197D"/>
    <w:rsid w:val="00823419"/>
    <w:rsid w:val="0082491E"/>
    <w:rsid w:val="00824930"/>
    <w:rsid w:val="00824EC1"/>
    <w:rsid w:val="00825C2E"/>
    <w:rsid w:val="00826D2D"/>
    <w:rsid w:val="00827E68"/>
    <w:rsid w:val="00830ED0"/>
    <w:rsid w:val="00831238"/>
    <w:rsid w:val="0083193A"/>
    <w:rsid w:val="0083218C"/>
    <w:rsid w:val="008332D2"/>
    <w:rsid w:val="008344E4"/>
    <w:rsid w:val="00835EB6"/>
    <w:rsid w:val="0083636C"/>
    <w:rsid w:val="008366E3"/>
    <w:rsid w:val="008367E5"/>
    <w:rsid w:val="008368D2"/>
    <w:rsid w:val="00836F57"/>
    <w:rsid w:val="00837CF1"/>
    <w:rsid w:val="008400C5"/>
    <w:rsid w:val="00840945"/>
    <w:rsid w:val="00842CE1"/>
    <w:rsid w:val="00843FBE"/>
    <w:rsid w:val="00844203"/>
    <w:rsid w:val="00845C47"/>
    <w:rsid w:val="00846416"/>
    <w:rsid w:val="00846B44"/>
    <w:rsid w:val="008479EF"/>
    <w:rsid w:val="00850125"/>
    <w:rsid w:val="0085152D"/>
    <w:rsid w:val="00854467"/>
    <w:rsid w:val="00855ACC"/>
    <w:rsid w:val="0086038B"/>
    <w:rsid w:val="00860486"/>
    <w:rsid w:val="00860BFE"/>
    <w:rsid w:val="008629AF"/>
    <w:rsid w:val="00863632"/>
    <w:rsid w:val="00863D97"/>
    <w:rsid w:val="00865C90"/>
    <w:rsid w:val="00866C06"/>
    <w:rsid w:val="008704EA"/>
    <w:rsid w:val="0087193D"/>
    <w:rsid w:val="00873985"/>
    <w:rsid w:val="00875052"/>
    <w:rsid w:val="00875309"/>
    <w:rsid w:val="008759AE"/>
    <w:rsid w:val="00875CDE"/>
    <w:rsid w:val="0088017F"/>
    <w:rsid w:val="00883347"/>
    <w:rsid w:val="00883DD9"/>
    <w:rsid w:val="00884516"/>
    <w:rsid w:val="008873EA"/>
    <w:rsid w:val="0088781A"/>
    <w:rsid w:val="00890030"/>
    <w:rsid w:val="008901B0"/>
    <w:rsid w:val="008905F9"/>
    <w:rsid w:val="00890964"/>
    <w:rsid w:val="0089204D"/>
    <w:rsid w:val="008922BC"/>
    <w:rsid w:val="008943B3"/>
    <w:rsid w:val="00894F69"/>
    <w:rsid w:val="00895647"/>
    <w:rsid w:val="0089617E"/>
    <w:rsid w:val="00896F4E"/>
    <w:rsid w:val="008A175B"/>
    <w:rsid w:val="008A2337"/>
    <w:rsid w:val="008A31B0"/>
    <w:rsid w:val="008A3355"/>
    <w:rsid w:val="008A37E7"/>
    <w:rsid w:val="008A4103"/>
    <w:rsid w:val="008A47B9"/>
    <w:rsid w:val="008A5FA1"/>
    <w:rsid w:val="008A622A"/>
    <w:rsid w:val="008A6CB6"/>
    <w:rsid w:val="008A70C8"/>
    <w:rsid w:val="008B0A26"/>
    <w:rsid w:val="008B14BA"/>
    <w:rsid w:val="008B3104"/>
    <w:rsid w:val="008B3D44"/>
    <w:rsid w:val="008B43A3"/>
    <w:rsid w:val="008B47CD"/>
    <w:rsid w:val="008B5262"/>
    <w:rsid w:val="008B61EA"/>
    <w:rsid w:val="008B696C"/>
    <w:rsid w:val="008B6C91"/>
    <w:rsid w:val="008B6E4C"/>
    <w:rsid w:val="008C19FF"/>
    <w:rsid w:val="008C214A"/>
    <w:rsid w:val="008C2293"/>
    <w:rsid w:val="008C2687"/>
    <w:rsid w:val="008C3F1F"/>
    <w:rsid w:val="008C3FB9"/>
    <w:rsid w:val="008C4124"/>
    <w:rsid w:val="008C454F"/>
    <w:rsid w:val="008C4E82"/>
    <w:rsid w:val="008C732C"/>
    <w:rsid w:val="008C7551"/>
    <w:rsid w:val="008D044A"/>
    <w:rsid w:val="008D05FB"/>
    <w:rsid w:val="008D0E61"/>
    <w:rsid w:val="008D12EF"/>
    <w:rsid w:val="008D1F04"/>
    <w:rsid w:val="008D3004"/>
    <w:rsid w:val="008D36BB"/>
    <w:rsid w:val="008D3918"/>
    <w:rsid w:val="008D3B61"/>
    <w:rsid w:val="008D5882"/>
    <w:rsid w:val="008D7A0F"/>
    <w:rsid w:val="008E0D19"/>
    <w:rsid w:val="008E1978"/>
    <w:rsid w:val="008E2E30"/>
    <w:rsid w:val="008E3DA3"/>
    <w:rsid w:val="008E3F81"/>
    <w:rsid w:val="008E4746"/>
    <w:rsid w:val="008E551A"/>
    <w:rsid w:val="008E63C2"/>
    <w:rsid w:val="008E6E16"/>
    <w:rsid w:val="008E7293"/>
    <w:rsid w:val="008F048C"/>
    <w:rsid w:val="008F0CC4"/>
    <w:rsid w:val="008F0D35"/>
    <w:rsid w:val="008F287B"/>
    <w:rsid w:val="008F2939"/>
    <w:rsid w:val="008F3650"/>
    <w:rsid w:val="008F39E3"/>
    <w:rsid w:val="008F445F"/>
    <w:rsid w:val="008F5506"/>
    <w:rsid w:val="008F6711"/>
    <w:rsid w:val="008F6A74"/>
    <w:rsid w:val="00900B69"/>
    <w:rsid w:val="009016DC"/>
    <w:rsid w:val="00901C13"/>
    <w:rsid w:val="00901EC7"/>
    <w:rsid w:val="009024F3"/>
    <w:rsid w:val="00904682"/>
    <w:rsid w:val="00907D4B"/>
    <w:rsid w:val="009121B8"/>
    <w:rsid w:val="009126A4"/>
    <w:rsid w:val="00913918"/>
    <w:rsid w:val="00914671"/>
    <w:rsid w:val="00914C80"/>
    <w:rsid w:val="0091557B"/>
    <w:rsid w:val="0091636B"/>
    <w:rsid w:val="009164EF"/>
    <w:rsid w:val="0092032F"/>
    <w:rsid w:val="009218A1"/>
    <w:rsid w:val="009219A4"/>
    <w:rsid w:val="0092219B"/>
    <w:rsid w:val="00923C95"/>
    <w:rsid w:val="00924035"/>
    <w:rsid w:val="00924091"/>
    <w:rsid w:val="009245E4"/>
    <w:rsid w:val="00924B36"/>
    <w:rsid w:val="009255EA"/>
    <w:rsid w:val="0093045A"/>
    <w:rsid w:val="009317DB"/>
    <w:rsid w:val="009318DE"/>
    <w:rsid w:val="009323CF"/>
    <w:rsid w:val="00932A37"/>
    <w:rsid w:val="00934066"/>
    <w:rsid w:val="00934AD9"/>
    <w:rsid w:val="00935459"/>
    <w:rsid w:val="00935FC9"/>
    <w:rsid w:val="009401E0"/>
    <w:rsid w:val="00943CA1"/>
    <w:rsid w:val="0094498D"/>
    <w:rsid w:val="0094599C"/>
    <w:rsid w:val="0094791A"/>
    <w:rsid w:val="00952E5B"/>
    <w:rsid w:val="009536E1"/>
    <w:rsid w:val="00955BFF"/>
    <w:rsid w:val="009565D7"/>
    <w:rsid w:val="00956A5A"/>
    <w:rsid w:val="009576E4"/>
    <w:rsid w:val="00957B44"/>
    <w:rsid w:val="00960472"/>
    <w:rsid w:val="00960CF5"/>
    <w:rsid w:val="00962718"/>
    <w:rsid w:val="00964BA5"/>
    <w:rsid w:val="00972C35"/>
    <w:rsid w:val="009768EF"/>
    <w:rsid w:val="00980B75"/>
    <w:rsid w:val="00981370"/>
    <w:rsid w:val="009815FE"/>
    <w:rsid w:val="00982159"/>
    <w:rsid w:val="009840D8"/>
    <w:rsid w:val="0098410F"/>
    <w:rsid w:val="0098434F"/>
    <w:rsid w:val="00984826"/>
    <w:rsid w:val="00984B97"/>
    <w:rsid w:val="009854E1"/>
    <w:rsid w:val="00985969"/>
    <w:rsid w:val="0098640B"/>
    <w:rsid w:val="00990790"/>
    <w:rsid w:val="00990D56"/>
    <w:rsid w:val="00990F1A"/>
    <w:rsid w:val="009918B8"/>
    <w:rsid w:val="00991F3D"/>
    <w:rsid w:val="009929D7"/>
    <w:rsid w:val="00992EBE"/>
    <w:rsid w:val="00995211"/>
    <w:rsid w:val="009958F8"/>
    <w:rsid w:val="00996081"/>
    <w:rsid w:val="009A0D28"/>
    <w:rsid w:val="009A18D6"/>
    <w:rsid w:val="009A1A2F"/>
    <w:rsid w:val="009A1A4A"/>
    <w:rsid w:val="009A1BB1"/>
    <w:rsid w:val="009A4353"/>
    <w:rsid w:val="009A5207"/>
    <w:rsid w:val="009A6045"/>
    <w:rsid w:val="009A6D94"/>
    <w:rsid w:val="009B0FEE"/>
    <w:rsid w:val="009B1465"/>
    <w:rsid w:val="009B1988"/>
    <w:rsid w:val="009B1A5F"/>
    <w:rsid w:val="009B1B0B"/>
    <w:rsid w:val="009B33FD"/>
    <w:rsid w:val="009B3496"/>
    <w:rsid w:val="009B4519"/>
    <w:rsid w:val="009B4C7B"/>
    <w:rsid w:val="009B4CB5"/>
    <w:rsid w:val="009B5B09"/>
    <w:rsid w:val="009B76BA"/>
    <w:rsid w:val="009C086B"/>
    <w:rsid w:val="009C0B33"/>
    <w:rsid w:val="009C0F4E"/>
    <w:rsid w:val="009C1530"/>
    <w:rsid w:val="009C1817"/>
    <w:rsid w:val="009C43FF"/>
    <w:rsid w:val="009C4E68"/>
    <w:rsid w:val="009C5235"/>
    <w:rsid w:val="009C7714"/>
    <w:rsid w:val="009D0EE0"/>
    <w:rsid w:val="009D18AC"/>
    <w:rsid w:val="009D2070"/>
    <w:rsid w:val="009D40E6"/>
    <w:rsid w:val="009D4C18"/>
    <w:rsid w:val="009D7EEE"/>
    <w:rsid w:val="009E3838"/>
    <w:rsid w:val="009E6D0C"/>
    <w:rsid w:val="009F046E"/>
    <w:rsid w:val="009F0A84"/>
    <w:rsid w:val="009F0FF8"/>
    <w:rsid w:val="009F248D"/>
    <w:rsid w:val="009F2C3D"/>
    <w:rsid w:val="009F2D5D"/>
    <w:rsid w:val="009F37C7"/>
    <w:rsid w:val="009F41C4"/>
    <w:rsid w:val="009F4A0E"/>
    <w:rsid w:val="009F5096"/>
    <w:rsid w:val="009F5BF0"/>
    <w:rsid w:val="009F5EC4"/>
    <w:rsid w:val="009F7E06"/>
    <w:rsid w:val="00A00E84"/>
    <w:rsid w:val="00A018AB"/>
    <w:rsid w:val="00A01B3E"/>
    <w:rsid w:val="00A021C0"/>
    <w:rsid w:val="00A022F7"/>
    <w:rsid w:val="00A03B24"/>
    <w:rsid w:val="00A05FEB"/>
    <w:rsid w:val="00A06BD1"/>
    <w:rsid w:val="00A12523"/>
    <w:rsid w:val="00A134B1"/>
    <w:rsid w:val="00A147DF"/>
    <w:rsid w:val="00A149FD"/>
    <w:rsid w:val="00A15E4F"/>
    <w:rsid w:val="00A20C48"/>
    <w:rsid w:val="00A24CC4"/>
    <w:rsid w:val="00A308C5"/>
    <w:rsid w:val="00A30EE6"/>
    <w:rsid w:val="00A32262"/>
    <w:rsid w:val="00A37B06"/>
    <w:rsid w:val="00A401D4"/>
    <w:rsid w:val="00A40DD1"/>
    <w:rsid w:val="00A43074"/>
    <w:rsid w:val="00A43358"/>
    <w:rsid w:val="00A43E53"/>
    <w:rsid w:val="00A46BA4"/>
    <w:rsid w:val="00A47CEA"/>
    <w:rsid w:val="00A47D42"/>
    <w:rsid w:val="00A54075"/>
    <w:rsid w:val="00A546D5"/>
    <w:rsid w:val="00A5513A"/>
    <w:rsid w:val="00A556D3"/>
    <w:rsid w:val="00A5598C"/>
    <w:rsid w:val="00A5685F"/>
    <w:rsid w:val="00A5730B"/>
    <w:rsid w:val="00A60951"/>
    <w:rsid w:val="00A6604D"/>
    <w:rsid w:val="00A66889"/>
    <w:rsid w:val="00A67602"/>
    <w:rsid w:val="00A67FB6"/>
    <w:rsid w:val="00A71CA5"/>
    <w:rsid w:val="00A723A3"/>
    <w:rsid w:val="00A72C6B"/>
    <w:rsid w:val="00A72DD3"/>
    <w:rsid w:val="00A744B5"/>
    <w:rsid w:val="00A744E5"/>
    <w:rsid w:val="00A74A34"/>
    <w:rsid w:val="00A76281"/>
    <w:rsid w:val="00A76855"/>
    <w:rsid w:val="00A8055C"/>
    <w:rsid w:val="00A8124C"/>
    <w:rsid w:val="00A82191"/>
    <w:rsid w:val="00A821FB"/>
    <w:rsid w:val="00A82D76"/>
    <w:rsid w:val="00A83606"/>
    <w:rsid w:val="00A83ACE"/>
    <w:rsid w:val="00A846F4"/>
    <w:rsid w:val="00A84AED"/>
    <w:rsid w:val="00A92500"/>
    <w:rsid w:val="00A92B0D"/>
    <w:rsid w:val="00A93B09"/>
    <w:rsid w:val="00A951A2"/>
    <w:rsid w:val="00A961DD"/>
    <w:rsid w:val="00A96499"/>
    <w:rsid w:val="00A96B5D"/>
    <w:rsid w:val="00A97C7C"/>
    <w:rsid w:val="00AA05EF"/>
    <w:rsid w:val="00AA1F24"/>
    <w:rsid w:val="00AA281E"/>
    <w:rsid w:val="00AA2D56"/>
    <w:rsid w:val="00AA30B4"/>
    <w:rsid w:val="00AA4710"/>
    <w:rsid w:val="00AA480B"/>
    <w:rsid w:val="00AA61E3"/>
    <w:rsid w:val="00AA61F6"/>
    <w:rsid w:val="00AA6A28"/>
    <w:rsid w:val="00AA6D4C"/>
    <w:rsid w:val="00AB28BE"/>
    <w:rsid w:val="00AB4F21"/>
    <w:rsid w:val="00AB4F5A"/>
    <w:rsid w:val="00AB773B"/>
    <w:rsid w:val="00AB7B46"/>
    <w:rsid w:val="00AC1A22"/>
    <w:rsid w:val="00AC1F17"/>
    <w:rsid w:val="00AC3E7E"/>
    <w:rsid w:val="00AC4288"/>
    <w:rsid w:val="00AC5941"/>
    <w:rsid w:val="00AC5D67"/>
    <w:rsid w:val="00AC624B"/>
    <w:rsid w:val="00AC62E8"/>
    <w:rsid w:val="00AC79F1"/>
    <w:rsid w:val="00AC7EF1"/>
    <w:rsid w:val="00AC7FE9"/>
    <w:rsid w:val="00AD0605"/>
    <w:rsid w:val="00AD1A89"/>
    <w:rsid w:val="00AD1E09"/>
    <w:rsid w:val="00AD1E75"/>
    <w:rsid w:val="00AD5C34"/>
    <w:rsid w:val="00AD78CD"/>
    <w:rsid w:val="00AD7D30"/>
    <w:rsid w:val="00AE18AA"/>
    <w:rsid w:val="00AE1A24"/>
    <w:rsid w:val="00AE36C9"/>
    <w:rsid w:val="00AE65A8"/>
    <w:rsid w:val="00AE65FD"/>
    <w:rsid w:val="00AE701A"/>
    <w:rsid w:val="00AE75B9"/>
    <w:rsid w:val="00AF0269"/>
    <w:rsid w:val="00AF05BB"/>
    <w:rsid w:val="00AF21A6"/>
    <w:rsid w:val="00AF2BC8"/>
    <w:rsid w:val="00AF32AF"/>
    <w:rsid w:val="00AF339F"/>
    <w:rsid w:val="00AF50A8"/>
    <w:rsid w:val="00AF56F2"/>
    <w:rsid w:val="00AF64C4"/>
    <w:rsid w:val="00AF6642"/>
    <w:rsid w:val="00AF6897"/>
    <w:rsid w:val="00AF75A5"/>
    <w:rsid w:val="00AF7C76"/>
    <w:rsid w:val="00B00F73"/>
    <w:rsid w:val="00B01F31"/>
    <w:rsid w:val="00B026DA"/>
    <w:rsid w:val="00B02747"/>
    <w:rsid w:val="00B02E98"/>
    <w:rsid w:val="00B03146"/>
    <w:rsid w:val="00B03742"/>
    <w:rsid w:val="00B05602"/>
    <w:rsid w:val="00B06067"/>
    <w:rsid w:val="00B0799D"/>
    <w:rsid w:val="00B1040E"/>
    <w:rsid w:val="00B113A5"/>
    <w:rsid w:val="00B142C0"/>
    <w:rsid w:val="00B14F57"/>
    <w:rsid w:val="00B1630B"/>
    <w:rsid w:val="00B17CF4"/>
    <w:rsid w:val="00B200A6"/>
    <w:rsid w:val="00B2042E"/>
    <w:rsid w:val="00B2098D"/>
    <w:rsid w:val="00B21B9E"/>
    <w:rsid w:val="00B23862"/>
    <w:rsid w:val="00B24464"/>
    <w:rsid w:val="00B24E22"/>
    <w:rsid w:val="00B251FF"/>
    <w:rsid w:val="00B25571"/>
    <w:rsid w:val="00B25781"/>
    <w:rsid w:val="00B2666D"/>
    <w:rsid w:val="00B26837"/>
    <w:rsid w:val="00B304B8"/>
    <w:rsid w:val="00B3232C"/>
    <w:rsid w:val="00B339B3"/>
    <w:rsid w:val="00B34E88"/>
    <w:rsid w:val="00B352E6"/>
    <w:rsid w:val="00B35661"/>
    <w:rsid w:val="00B36BB3"/>
    <w:rsid w:val="00B3777B"/>
    <w:rsid w:val="00B37A10"/>
    <w:rsid w:val="00B4156C"/>
    <w:rsid w:val="00B419BC"/>
    <w:rsid w:val="00B419BD"/>
    <w:rsid w:val="00B42974"/>
    <w:rsid w:val="00B43E66"/>
    <w:rsid w:val="00B45214"/>
    <w:rsid w:val="00B4569D"/>
    <w:rsid w:val="00B45F6E"/>
    <w:rsid w:val="00B46A63"/>
    <w:rsid w:val="00B47B7B"/>
    <w:rsid w:val="00B47E3D"/>
    <w:rsid w:val="00B47F5E"/>
    <w:rsid w:val="00B507F1"/>
    <w:rsid w:val="00B549C5"/>
    <w:rsid w:val="00B557F9"/>
    <w:rsid w:val="00B61A48"/>
    <w:rsid w:val="00B62572"/>
    <w:rsid w:val="00B625AE"/>
    <w:rsid w:val="00B629C5"/>
    <w:rsid w:val="00B62E52"/>
    <w:rsid w:val="00B62F9E"/>
    <w:rsid w:val="00B649BA"/>
    <w:rsid w:val="00B65A43"/>
    <w:rsid w:val="00B70A96"/>
    <w:rsid w:val="00B717E9"/>
    <w:rsid w:val="00B7184F"/>
    <w:rsid w:val="00B74677"/>
    <w:rsid w:val="00B76570"/>
    <w:rsid w:val="00B7693F"/>
    <w:rsid w:val="00B77084"/>
    <w:rsid w:val="00B7735A"/>
    <w:rsid w:val="00B829FB"/>
    <w:rsid w:val="00B8350F"/>
    <w:rsid w:val="00B835F1"/>
    <w:rsid w:val="00B83DFA"/>
    <w:rsid w:val="00B852DC"/>
    <w:rsid w:val="00B8602A"/>
    <w:rsid w:val="00B862C5"/>
    <w:rsid w:val="00B86CCC"/>
    <w:rsid w:val="00B924D0"/>
    <w:rsid w:val="00B92AD6"/>
    <w:rsid w:val="00B92CF1"/>
    <w:rsid w:val="00B942E8"/>
    <w:rsid w:val="00B94AE1"/>
    <w:rsid w:val="00B94D5A"/>
    <w:rsid w:val="00B9525F"/>
    <w:rsid w:val="00B96BCD"/>
    <w:rsid w:val="00B978E6"/>
    <w:rsid w:val="00B97AC4"/>
    <w:rsid w:val="00BA04FC"/>
    <w:rsid w:val="00BA1890"/>
    <w:rsid w:val="00BA3401"/>
    <w:rsid w:val="00BA4B41"/>
    <w:rsid w:val="00BA578C"/>
    <w:rsid w:val="00BA5938"/>
    <w:rsid w:val="00BA5BEB"/>
    <w:rsid w:val="00BA62C6"/>
    <w:rsid w:val="00BA6950"/>
    <w:rsid w:val="00BB0644"/>
    <w:rsid w:val="00BB0F3C"/>
    <w:rsid w:val="00BB287D"/>
    <w:rsid w:val="00BB36B4"/>
    <w:rsid w:val="00BB5593"/>
    <w:rsid w:val="00BB5764"/>
    <w:rsid w:val="00BB5DE4"/>
    <w:rsid w:val="00BB5F14"/>
    <w:rsid w:val="00BB79D8"/>
    <w:rsid w:val="00BC0297"/>
    <w:rsid w:val="00BC0B8F"/>
    <w:rsid w:val="00BC0FAD"/>
    <w:rsid w:val="00BC1A23"/>
    <w:rsid w:val="00BC1F62"/>
    <w:rsid w:val="00BC236B"/>
    <w:rsid w:val="00BC2ADE"/>
    <w:rsid w:val="00BC3EB8"/>
    <w:rsid w:val="00BD07F8"/>
    <w:rsid w:val="00BD0895"/>
    <w:rsid w:val="00BD1469"/>
    <w:rsid w:val="00BD424C"/>
    <w:rsid w:val="00BD4EF7"/>
    <w:rsid w:val="00BE0E4D"/>
    <w:rsid w:val="00BE30DE"/>
    <w:rsid w:val="00BE38CA"/>
    <w:rsid w:val="00BE6BCB"/>
    <w:rsid w:val="00BE76FE"/>
    <w:rsid w:val="00BF0CD2"/>
    <w:rsid w:val="00BF28FF"/>
    <w:rsid w:val="00BF4F7A"/>
    <w:rsid w:val="00BF5D6E"/>
    <w:rsid w:val="00C00540"/>
    <w:rsid w:val="00C010AB"/>
    <w:rsid w:val="00C03402"/>
    <w:rsid w:val="00C046C5"/>
    <w:rsid w:val="00C0522E"/>
    <w:rsid w:val="00C053DD"/>
    <w:rsid w:val="00C1070D"/>
    <w:rsid w:val="00C1079C"/>
    <w:rsid w:val="00C10EF2"/>
    <w:rsid w:val="00C1116B"/>
    <w:rsid w:val="00C11E4D"/>
    <w:rsid w:val="00C125C6"/>
    <w:rsid w:val="00C13129"/>
    <w:rsid w:val="00C14C47"/>
    <w:rsid w:val="00C150B5"/>
    <w:rsid w:val="00C164C1"/>
    <w:rsid w:val="00C16581"/>
    <w:rsid w:val="00C16D46"/>
    <w:rsid w:val="00C17656"/>
    <w:rsid w:val="00C22371"/>
    <w:rsid w:val="00C23FFE"/>
    <w:rsid w:val="00C24733"/>
    <w:rsid w:val="00C31703"/>
    <w:rsid w:val="00C32164"/>
    <w:rsid w:val="00C32DF8"/>
    <w:rsid w:val="00C335B4"/>
    <w:rsid w:val="00C33D82"/>
    <w:rsid w:val="00C34412"/>
    <w:rsid w:val="00C36B78"/>
    <w:rsid w:val="00C4008F"/>
    <w:rsid w:val="00C408D3"/>
    <w:rsid w:val="00C40C65"/>
    <w:rsid w:val="00C40FE4"/>
    <w:rsid w:val="00C41FAE"/>
    <w:rsid w:val="00C424BC"/>
    <w:rsid w:val="00C430C3"/>
    <w:rsid w:val="00C455A4"/>
    <w:rsid w:val="00C46301"/>
    <w:rsid w:val="00C502A1"/>
    <w:rsid w:val="00C50C57"/>
    <w:rsid w:val="00C52B73"/>
    <w:rsid w:val="00C53665"/>
    <w:rsid w:val="00C54FB8"/>
    <w:rsid w:val="00C56EFB"/>
    <w:rsid w:val="00C5717A"/>
    <w:rsid w:val="00C607FC"/>
    <w:rsid w:val="00C61684"/>
    <w:rsid w:val="00C62785"/>
    <w:rsid w:val="00C63C26"/>
    <w:rsid w:val="00C63DB7"/>
    <w:rsid w:val="00C649C0"/>
    <w:rsid w:val="00C6707C"/>
    <w:rsid w:val="00C67E00"/>
    <w:rsid w:val="00C7042A"/>
    <w:rsid w:val="00C722EB"/>
    <w:rsid w:val="00C72C73"/>
    <w:rsid w:val="00C75C42"/>
    <w:rsid w:val="00C75EF8"/>
    <w:rsid w:val="00C760D3"/>
    <w:rsid w:val="00C77050"/>
    <w:rsid w:val="00C80471"/>
    <w:rsid w:val="00C83119"/>
    <w:rsid w:val="00C8386C"/>
    <w:rsid w:val="00C83C9D"/>
    <w:rsid w:val="00C8528B"/>
    <w:rsid w:val="00C8663A"/>
    <w:rsid w:val="00C86FA9"/>
    <w:rsid w:val="00C900F0"/>
    <w:rsid w:val="00C90EE0"/>
    <w:rsid w:val="00C94734"/>
    <w:rsid w:val="00C953B9"/>
    <w:rsid w:val="00C9643A"/>
    <w:rsid w:val="00C968D6"/>
    <w:rsid w:val="00C96BD1"/>
    <w:rsid w:val="00CA189D"/>
    <w:rsid w:val="00CA28A7"/>
    <w:rsid w:val="00CA3F42"/>
    <w:rsid w:val="00CA4114"/>
    <w:rsid w:val="00CA5996"/>
    <w:rsid w:val="00CA5DED"/>
    <w:rsid w:val="00CA655D"/>
    <w:rsid w:val="00CA6D39"/>
    <w:rsid w:val="00CB1B00"/>
    <w:rsid w:val="00CB230A"/>
    <w:rsid w:val="00CB2360"/>
    <w:rsid w:val="00CB24CC"/>
    <w:rsid w:val="00CB2D97"/>
    <w:rsid w:val="00CB2E6F"/>
    <w:rsid w:val="00CB2EC0"/>
    <w:rsid w:val="00CB4159"/>
    <w:rsid w:val="00CB4B99"/>
    <w:rsid w:val="00CB6757"/>
    <w:rsid w:val="00CC0742"/>
    <w:rsid w:val="00CC0A94"/>
    <w:rsid w:val="00CC3D9D"/>
    <w:rsid w:val="00CC63F5"/>
    <w:rsid w:val="00CC73AB"/>
    <w:rsid w:val="00CC7BF2"/>
    <w:rsid w:val="00CD2024"/>
    <w:rsid w:val="00CD2545"/>
    <w:rsid w:val="00CD2E64"/>
    <w:rsid w:val="00CD3148"/>
    <w:rsid w:val="00CD38F5"/>
    <w:rsid w:val="00CD4390"/>
    <w:rsid w:val="00CD440C"/>
    <w:rsid w:val="00CD45C6"/>
    <w:rsid w:val="00CD4FC2"/>
    <w:rsid w:val="00CD6944"/>
    <w:rsid w:val="00CD7525"/>
    <w:rsid w:val="00CE0431"/>
    <w:rsid w:val="00CE10CC"/>
    <w:rsid w:val="00CE11AB"/>
    <w:rsid w:val="00CE1E82"/>
    <w:rsid w:val="00CE343D"/>
    <w:rsid w:val="00CE4307"/>
    <w:rsid w:val="00CE4CED"/>
    <w:rsid w:val="00CE5458"/>
    <w:rsid w:val="00CE551C"/>
    <w:rsid w:val="00CE5A92"/>
    <w:rsid w:val="00CE5E8F"/>
    <w:rsid w:val="00CE66E6"/>
    <w:rsid w:val="00CE6853"/>
    <w:rsid w:val="00CE72B3"/>
    <w:rsid w:val="00CF018D"/>
    <w:rsid w:val="00CF0BA7"/>
    <w:rsid w:val="00CF4689"/>
    <w:rsid w:val="00CF4CFC"/>
    <w:rsid w:val="00CF4D69"/>
    <w:rsid w:val="00CF593D"/>
    <w:rsid w:val="00CF5C84"/>
    <w:rsid w:val="00CF6ABC"/>
    <w:rsid w:val="00CF6C14"/>
    <w:rsid w:val="00CF6DB7"/>
    <w:rsid w:val="00CF787D"/>
    <w:rsid w:val="00CF7C0A"/>
    <w:rsid w:val="00D00E1F"/>
    <w:rsid w:val="00D03F73"/>
    <w:rsid w:val="00D05696"/>
    <w:rsid w:val="00D05824"/>
    <w:rsid w:val="00D05CC1"/>
    <w:rsid w:val="00D0690B"/>
    <w:rsid w:val="00D06AD0"/>
    <w:rsid w:val="00D06BB7"/>
    <w:rsid w:val="00D10029"/>
    <w:rsid w:val="00D10D42"/>
    <w:rsid w:val="00D11AD1"/>
    <w:rsid w:val="00D14E6F"/>
    <w:rsid w:val="00D15D48"/>
    <w:rsid w:val="00D15D65"/>
    <w:rsid w:val="00D15DAF"/>
    <w:rsid w:val="00D1634E"/>
    <w:rsid w:val="00D20116"/>
    <w:rsid w:val="00D20306"/>
    <w:rsid w:val="00D20D8A"/>
    <w:rsid w:val="00D20E23"/>
    <w:rsid w:val="00D21081"/>
    <w:rsid w:val="00D24F04"/>
    <w:rsid w:val="00D259C7"/>
    <w:rsid w:val="00D26D81"/>
    <w:rsid w:val="00D3280E"/>
    <w:rsid w:val="00D32FF1"/>
    <w:rsid w:val="00D33631"/>
    <w:rsid w:val="00D3499C"/>
    <w:rsid w:val="00D36710"/>
    <w:rsid w:val="00D3793D"/>
    <w:rsid w:val="00D3795E"/>
    <w:rsid w:val="00D404F9"/>
    <w:rsid w:val="00D408E7"/>
    <w:rsid w:val="00D40E00"/>
    <w:rsid w:val="00D40E3D"/>
    <w:rsid w:val="00D417C3"/>
    <w:rsid w:val="00D41D48"/>
    <w:rsid w:val="00D44B02"/>
    <w:rsid w:val="00D45430"/>
    <w:rsid w:val="00D46C96"/>
    <w:rsid w:val="00D47549"/>
    <w:rsid w:val="00D50050"/>
    <w:rsid w:val="00D512B3"/>
    <w:rsid w:val="00D52B86"/>
    <w:rsid w:val="00D53928"/>
    <w:rsid w:val="00D541AB"/>
    <w:rsid w:val="00D55BF3"/>
    <w:rsid w:val="00D55DE5"/>
    <w:rsid w:val="00D55EC3"/>
    <w:rsid w:val="00D565EB"/>
    <w:rsid w:val="00D601E1"/>
    <w:rsid w:val="00D61DD1"/>
    <w:rsid w:val="00D6262A"/>
    <w:rsid w:val="00D62696"/>
    <w:rsid w:val="00D63CD2"/>
    <w:rsid w:val="00D6459E"/>
    <w:rsid w:val="00D64D8F"/>
    <w:rsid w:val="00D66C60"/>
    <w:rsid w:val="00D67529"/>
    <w:rsid w:val="00D6797F"/>
    <w:rsid w:val="00D71F7E"/>
    <w:rsid w:val="00D753F8"/>
    <w:rsid w:val="00D757A9"/>
    <w:rsid w:val="00D75B8D"/>
    <w:rsid w:val="00D76663"/>
    <w:rsid w:val="00D76AE2"/>
    <w:rsid w:val="00D775D1"/>
    <w:rsid w:val="00D7777D"/>
    <w:rsid w:val="00D779CA"/>
    <w:rsid w:val="00D8191A"/>
    <w:rsid w:val="00D82011"/>
    <w:rsid w:val="00D82815"/>
    <w:rsid w:val="00D8370A"/>
    <w:rsid w:val="00D83CF1"/>
    <w:rsid w:val="00D84AAE"/>
    <w:rsid w:val="00D851F3"/>
    <w:rsid w:val="00D85C85"/>
    <w:rsid w:val="00D876EF"/>
    <w:rsid w:val="00D87FC3"/>
    <w:rsid w:val="00D90A2E"/>
    <w:rsid w:val="00D912FC"/>
    <w:rsid w:val="00D91B8C"/>
    <w:rsid w:val="00D91F33"/>
    <w:rsid w:val="00D92BDB"/>
    <w:rsid w:val="00D92BF1"/>
    <w:rsid w:val="00D9306C"/>
    <w:rsid w:val="00D95D4D"/>
    <w:rsid w:val="00D95E27"/>
    <w:rsid w:val="00D97280"/>
    <w:rsid w:val="00DA1934"/>
    <w:rsid w:val="00DA2C01"/>
    <w:rsid w:val="00DA399F"/>
    <w:rsid w:val="00DA5204"/>
    <w:rsid w:val="00DA5ABD"/>
    <w:rsid w:val="00DA6051"/>
    <w:rsid w:val="00DA6BEA"/>
    <w:rsid w:val="00DA7047"/>
    <w:rsid w:val="00DA7418"/>
    <w:rsid w:val="00DA75F2"/>
    <w:rsid w:val="00DA77F0"/>
    <w:rsid w:val="00DB02ED"/>
    <w:rsid w:val="00DB258A"/>
    <w:rsid w:val="00DB39A2"/>
    <w:rsid w:val="00DB47F3"/>
    <w:rsid w:val="00DB5281"/>
    <w:rsid w:val="00DB6AEF"/>
    <w:rsid w:val="00DC0D4B"/>
    <w:rsid w:val="00DC1DE3"/>
    <w:rsid w:val="00DC42FC"/>
    <w:rsid w:val="00DC7866"/>
    <w:rsid w:val="00DC7AC1"/>
    <w:rsid w:val="00DD009C"/>
    <w:rsid w:val="00DD023A"/>
    <w:rsid w:val="00DD2031"/>
    <w:rsid w:val="00DD2BF0"/>
    <w:rsid w:val="00DD2D2D"/>
    <w:rsid w:val="00DD4819"/>
    <w:rsid w:val="00DD5112"/>
    <w:rsid w:val="00DD666D"/>
    <w:rsid w:val="00DD71BF"/>
    <w:rsid w:val="00DE06FF"/>
    <w:rsid w:val="00DE4F1F"/>
    <w:rsid w:val="00DE5DF4"/>
    <w:rsid w:val="00DE6699"/>
    <w:rsid w:val="00DE6A4A"/>
    <w:rsid w:val="00DF0FB2"/>
    <w:rsid w:val="00DF35E2"/>
    <w:rsid w:val="00DF44A3"/>
    <w:rsid w:val="00DF5F14"/>
    <w:rsid w:val="00DF72DB"/>
    <w:rsid w:val="00DF78E2"/>
    <w:rsid w:val="00DF7DD5"/>
    <w:rsid w:val="00E01011"/>
    <w:rsid w:val="00E010DF"/>
    <w:rsid w:val="00E02120"/>
    <w:rsid w:val="00E027BB"/>
    <w:rsid w:val="00E048D6"/>
    <w:rsid w:val="00E05EA9"/>
    <w:rsid w:val="00E06D37"/>
    <w:rsid w:val="00E07A28"/>
    <w:rsid w:val="00E104DF"/>
    <w:rsid w:val="00E1103D"/>
    <w:rsid w:val="00E119DD"/>
    <w:rsid w:val="00E14A07"/>
    <w:rsid w:val="00E15203"/>
    <w:rsid w:val="00E1534D"/>
    <w:rsid w:val="00E154A7"/>
    <w:rsid w:val="00E15829"/>
    <w:rsid w:val="00E21C39"/>
    <w:rsid w:val="00E21C63"/>
    <w:rsid w:val="00E22322"/>
    <w:rsid w:val="00E22AF9"/>
    <w:rsid w:val="00E23595"/>
    <w:rsid w:val="00E24588"/>
    <w:rsid w:val="00E249AA"/>
    <w:rsid w:val="00E24DDA"/>
    <w:rsid w:val="00E2552A"/>
    <w:rsid w:val="00E25B5E"/>
    <w:rsid w:val="00E372BD"/>
    <w:rsid w:val="00E37C6E"/>
    <w:rsid w:val="00E40303"/>
    <w:rsid w:val="00E41B4E"/>
    <w:rsid w:val="00E42863"/>
    <w:rsid w:val="00E4289F"/>
    <w:rsid w:val="00E42A43"/>
    <w:rsid w:val="00E43962"/>
    <w:rsid w:val="00E43A9E"/>
    <w:rsid w:val="00E44E11"/>
    <w:rsid w:val="00E454E3"/>
    <w:rsid w:val="00E46E04"/>
    <w:rsid w:val="00E47023"/>
    <w:rsid w:val="00E503A0"/>
    <w:rsid w:val="00E51A85"/>
    <w:rsid w:val="00E5368C"/>
    <w:rsid w:val="00E53726"/>
    <w:rsid w:val="00E53C53"/>
    <w:rsid w:val="00E56124"/>
    <w:rsid w:val="00E57485"/>
    <w:rsid w:val="00E621C2"/>
    <w:rsid w:val="00E6244D"/>
    <w:rsid w:val="00E63A34"/>
    <w:rsid w:val="00E67675"/>
    <w:rsid w:val="00E67CA3"/>
    <w:rsid w:val="00E67CF7"/>
    <w:rsid w:val="00E67D3B"/>
    <w:rsid w:val="00E67DF1"/>
    <w:rsid w:val="00E7332D"/>
    <w:rsid w:val="00E740BF"/>
    <w:rsid w:val="00E749EB"/>
    <w:rsid w:val="00E76933"/>
    <w:rsid w:val="00E77D69"/>
    <w:rsid w:val="00E77EDF"/>
    <w:rsid w:val="00E80D6F"/>
    <w:rsid w:val="00E82091"/>
    <w:rsid w:val="00E82A33"/>
    <w:rsid w:val="00E832D8"/>
    <w:rsid w:val="00E83775"/>
    <w:rsid w:val="00E846D9"/>
    <w:rsid w:val="00E85824"/>
    <w:rsid w:val="00E8698E"/>
    <w:rsid w:val="00E87DEF"/>
    <w:rsid w:val="00E87E61"/>
    <w:rsid w:val="00E90285"/>
    <w:rsid w:val="00E91896"/>
    <w:rsid w:val="00E92997"/>
    <w:rsid w:val="00E92DEF"/>
    <w:rsid w:val="00E92FC3"/>
    <w:rsid w:val="00E93CDD"/>
    <w:rsid w:val="00E94440"/>
    <w:rsid w:val="00E96DDE"/>
    <w:rsid w:val="00E9728D"/>
    <w:rsid w:val="00E976A8"/>
    <w:rsid w:val="00E97CA1"/>
    <w:rsid w:val="00EA0621"/>
    <w:rsid w:val="00EA156A"/>
    <w:rsid w:val="00EA16A7"/>
    <w:rsid w:val="00EA1987"/>
    <w:rsid w:val="00EA2178"/>
    <w:rsid w:val="00EA24F4"/>
    <w:rsid w:val="00EA25BE"/>
    <w:rsid w:val="00EA2AEF"/>
    <w:rsid w:val="00EA669C"/>
    <w:rsid w:val="00EA6765"/>
    <w:rsid w:val="00EA74CB"/>
    <w:rsid w:val="00EA7689"/>
    <w:rsid w:val="00EB0F91"/>
    <w:rsid w:val="00EB1FC1"/>
    <w:rsid w:val="00EB3A4A"/>
    <w:rsid w:val="00EB4929"/>
    <w:rsid w:val="00EB52FA"/>
    <w:rsid w:val="00EB5DFB"/>
    <w:rsid w:val="00EB6567"/>
    <w:rsid w:val="00EC0651"/>
    <w:rsid w:val="00EC46CC"/>
    <w:rsid w:val="00EC4A3D"/>
    <w:rsid w:val="00EC520D"/>
    <w:rsid w:val="00EC5EC1"/>
    <w:rsid w:val="00EC616A"/>
    <w:rsid w:val="00EC7750"/>
    <w:rsid w:val="00EC7A7F"/>
    <w:rsid w:val="00EC7F03"/>
    <w:rsid w:val="00ED0108"/>
    <w:rsid w:val="00ED16F9"/>
    <w:rsid w:val="00ED3EC1"/>
    <w:rsid w:val="00ED5125"/>
    <w:rsid w:val="00ED52FB"/>
    <w:rsid w:val="00ED5B92"/>
    <w:rsid w:val="00ED5FB5"/>
    <w:rsid w:val="00ED71BD"/>
    <w:rsid w:val="00ED7A8F"/>
    <w:rsid w:val="00ED7BFB"/>
    <w:rsid w:val="00ED7E53"/>
    <w:rsid w:val="00EE0ABC"/>
    <w:rsid w:val="00EE151F"/>
    <w:rsid w:val="00EE49A8"/>
    <w:rsid w:val="00EE4CF1"/>
    <w:rsid w:val="00EE5885"/>
    <w:rsid w:val="00EE5F09"/>
    <w:rsid w:val="00EF0CDD"/>
    <w:rsid w:val="00EF18C6"/>
    <w:rsid w:val="00EF1CCF"/>
    <w:rsid w:val="00EF256F"/>
    <w:rsid w:val="00EF3035"/>
    <w:rsid w:val="00EF6C8B"/>
    <w:rsid w:val="00EF7452"/>
    <w:rsid w:val="00EF7516"/>
    <w:rsid w:val="00F00A88"/>
    <w:rsid w:val="00F01792"/>
    <w:rsid w:val="00F01D77"/>
    <w:rsid w:val="00F01E17"/>
    <w:rsid w:val="00F021DB"/>
    <w:rsid w:val="00F03228"/>
    <w:rsid w:val="00F0356B"/>
    <w:rsid w:val="00F0606F"/>
    <w:rsid w:val="00F10A9D"/>
    <w:rsid w:val="00F10DD3"/>
    <w:rsid w:val="00F11880"/>
    <w:rsid w:val="00F1196A"/>
    <w:rsid w:val="00F12719"/>
    <w:rsid w:val="00F13F37"/>
    <w:rsid w:val="00F147C9"/>
    <w:rsid w:val="00F149E1"/>
    <w:rsid w:val="00F15CB6"/>
    <w:rsid w:val="00F15D04"/>
    <w:rsid w:val="00F1727B"/>
    <w:rsid w:val="00F17724"/>
    <w:rsid w:val="00F200C5"/>
    <w:rsid w:val="00F23B19"/>
    <w:rsid w:val="00F267CC"/>
    <w:rsid w:val="00F26D24"/>
    <w:rsid w:val="00F3097A"/>
    <w:rsid w:val="00F30B98"/>
    <w:rsid w:val="00F43352"/>
    <w:rsid w:val="00F45FA5"/>
    <w:rsid w:val="00F463A8"/>
    <w:rsid w:val="00F46CEF"/>
    <w:rsid w:val="00F46F3F"/>
    <w:rsid w:val="00F5178F"/>
    <w:rsid w:val="00F5247E"/>
    <w:rsid w:val="00F525FA"/>
    <w:rsid w:val="00F52CD3"/>
    <w:rsid w:val="00F55542"/>
    <w:rsid w:val="00F61EF2"/>
    <w:rsid w:val="00F62220"/>
    <w:rsid w:val="00F6399F"/>
    <w:rsid w:val="00F63D37"/>
    <w:rsid w:val="00F646EC"/>
    <w:rsid w:val="00F655DC"/>
    <w:rsid w:val="00F6563C"/>
    <w:rsid w:val="00F71183"/>
    <w:rsid w:val="00F71767"/>
    <w:rsid w:val="00F71967"/>
    <w:rsid w:val="00F71F8F"/>
    <w:rsid w:val="00F72196"/>
    <w:rsid w:val="00F72511"/>
    <w:rsid w:val="00F72F2D"/>
    <w:rsid w:val="00F73291"/>
    <w:rsid w:val="00F736F8"/>
    <w:rsid w:val="00F73F4B"/>
    <w:rsid w:val="00F74674"/>
    <w:rsid w:val="00F74975"/>
    <w:rsid w:val="00F74C20"/>
    <w:rsid w:val="00F7594A"/>
    <w:rsid w:val="00F75EE4"/>
    <w:rsid w:val="00F77387"/>
    <w:rsid w:val="00F815C9"/>
    <w:rsid w:val="00F81A92"/>
    <w:rsid w:val="00F81E22"/>
    <w:rsid w:val="00F81E73"/>
    <w:rsid w:val="00F8340F"/>
    <w:rsid w:val="00F84AED"/>
    <w:rsid w:val="00F84D24"/>
    <w:rsid w:val="00F87335"/>
    <w:rsid w:val="00F878D4"/>
    <w:rsid w:val="00F87CED"/>
    <w:rsid w:val="00F904C0"/>
    <w:rsid w:val="00F921DD"/>
    <w:rsid w:val="00F93A5B"/>
    <w:rsid w:val="00F964CF"/>
    <w:rsid w:val="00FA052A"/>
    <w:rsid w:val="00FA0930"/>
    <w:rsid w:val="00FA350F"/>
    <w:rsid w:val="00FA37B0"/>
    <w:rsid w:val="00FA4FE8"/>
    <w:rsid w:val="00FA5C12"/>
    <w:rsid w:val="00FA74FD"/>
    <w:rsid w:val="00FA78E2"/>
    <w:rsid w:val="00FB02EA"/>
    <w:rsid w:val="00FB08DF"/>
    <w:rsid w:val="00FB1864"/>
    <w:rsid w:val="00FB340D"/>
    <w:rsid w:val="00FB48B9"/>
    <w:rsid w:val="00FB49B5"/>
    <w:rsid w:val="00FB5505"/>
    <w:rsid w:val="00FB5ECC"/>
    <w:rsid w:val="00FB68AB"/>
    <w:rsid w:val="00FB77E4"/>
    <w:rsid w:val="00FB7D5A"/>
    <w:rsid w:val="00FC03A0"/>
    <w:rsid w:val="00FC16C7"/>
    <w:rsid w:val="00FC3CAE"/>
    <w:rsid w:val="00FC4430"/>
    <w:rsid w:val="00FC4C8B"/>
    <w:rsid w:val="00FC5613"/>
    <w:rsid w:val="00FD08F1"/>
    <w:rsid w:val="00FD0B89"/>
    <w:rsid w:val="00FD18C4"/>
    <w:rsid w:val="00FD2C96"/>
    <w:rsid w:val="00FD2E6B"/>
    <w:rsid w:val="00FD5475"/>
    <w:rsid w:val="00FD578B"/>
    <w:rsid w:val="00FD7A57"/>
    <w:rsid w:val="00FE0999"/>
    <w:rsid w:val="00FE2DD0"/>
    <w:rsid w:val="00FE4800"/>
    <w:rsid w:val="00FE50EC"/>
    <w:rsid w:val="00FE5D1E"/>
    <w:rsid w:val="00FE5EA8"/>
    <w:rsid w:val="00FE6185"/>
    <w:rsid w:val="00FE68BD"/>
    <w:rsid w:val="00FE7B36"/>
    <w:rsid w:val="00FF0EC1"/>
    <w:rsid w:val="00FF151E"/>
    <w:rsid w:val="00FF21C2"/>
    <w:rsid w:val="00FF23FD"/>
    <w:rsid w:val="00FF3775"/>
    <w:rsid w:val="00FF416F"/>
    <w:rsid w:val="00FF4178"/>
    <w:rsid w:val="00FF4F0D"/>
    <w:rsid w:val="00FF56DC"/>
    <w:rsid w:val="00FF6AAD"/>
    <w:rsid w:val="00FF6B9D"/>
    <w:rsid w:val="00FF703C"/>
    <w:rsid w:val="00FF753D"/>
    <w:rsid w:val="01057174"/>
    <w:rsid w:val="01091DB8"/>
    <w:rsid w:val="01664F33"/>
    <w:rsid w:val="01DA5358"/>
    <w:rsid w:val="01E72D24"/>
    <w:rsid w:val="02152772"/>
    <w:rsid w:val="02291BFF"/>
    <w:rsid w:val="027A76EE"/>
    <w:rsid w:val="02843559"/>
    <w:rsid w:val="028D20AE"/>
    <w:rsid w:val="02954528"/>
    <w:rsid w:val="02B81BCD"/>
    <w:rsid w:val="02E14401"/>
    <w:rsid w:val="02E72A90"/>
    <w:rsid w:val="032B6C3A"/>
    <w:rsid w:val="034C5C47"/>
    <w:rsid w:val="0398110D"/>
    <w:rsid w:val="03AE4BB7"/>
    <w:rsid w:val="03C2721C"/>
    <w:rsid w:val="03CA4098"/>
    <w:rsid w:val="03EF5BCA"/>
    <w:rsid w:val="04302A5D"/>
    <w:rsid w:val="045F50B9"/>
    <w:rsid w:val="046C68A4"/>
    <w:rsid w:val="047703D3"/>
    <w:rsid w:val="048111D6"/>
    <w:rsid w:val="048B5207"/>
    <w:rsid w:val="04A70542"/>
    <w:rsid w:val="04B35139"/>
    <w:rsid w:val="04B4706E"/>
    <w:rsid w:val="04CD3F1A"/>
    <w:rsid w:val="04D1736D"/>
    <w:rsid w:val="04E3486B"/>
    <w:rsid w:val="04FC088E"/>
    <w:rsid w:val="0500277F"/>
    <w:rsid w:val="050F05C1"/>
    <w:rsid w:val="05181BF9"/>
    <w:rsid w:val="05257DE5"/>
    <w:rsid w:val="056D13DD"/>
    <w:rsid w:val="059666A2"/>
    <w:rsid w:val="05A731E5"/>
    <w:rsid w:val="05BA3A62"/>
    <w:rsid w:val="05C54490"/>
    <w:rsid w:val="05D050DE"/>
    <w:rsid w:val="061E65E2"/>
    <w:rsid w:val="066565C1"/>
    <w:rsid w:val="067036AB"/>
    <w:rsid w:val="068C61F4"/>
    <w:rsid w:val="069178A6"/>
    <w:rsid w:val="069D0043"/>
    <w:rsid w:val="06AA0EA3"/>
    <w:rsid w:val="06E80BBF"/>
    <w:rsid w:val="07154BC0"/>
    <w:rsid w:val="07281077"/>
    <w:rsid w:val="072F0395"/>
    <w:rsid w:val="075C5614"/>
    <w:rsid w:val="07654AC3"/>
    <w:rsid w:val="077454EF"/>
    <w:rsid w:val="07CD1EF2"/>
    <w:rsid w:val="08020AB2"/>
    <w:rsid w:val="08470AEB"/>
    <w:rsid w:val="087430FC"/>
    <w:rsid w:val="088609EB"/>
    <w:rsid w:val="088E6EF7"/>
    <w:rsid w:val="08B32C17"/>
    <w:rsid w:val="08E31C50"/>
    <w:rsid w:val="08FB2EAC"/>
    <w:rsid w:val="09081D42"/>
    <w:rsid w:val="090F2CFE"/>
    <w:rsid w:val="09274272"/>
    <w:rsid w:val="09504B28"/>
    <w:rsid w:val="09561BD6"/>
    <w:rsid w:val="09676270"/>
    <w:rsid w:val="096D799C"/>
    <w:rsid w:val="09CC55C8"/>
    <w:rsid w:val="0A106D80"/>
    <w:rsid w:val="0A262600"/>
    <w:rsid w:val="0A32250E"/>
    <w:rsid w:val="0A3F14A0"/>
    <w:rsid w:val="0A4C0BF3"/>
    <w:rsid w:val="0A5F23CC"/>
    <w:rsid w:val="0A7C18F6"/>
    <w:rsid w:val="0AB51320"/>
    <w:rsid w:val="0AB80DB3"/>
    <w:rsid w:val="0AD31E57"/>
    <w:rsid w:val="0AD446CA"/>
    <w:rsid w:val="0B10435E"/>
    <w:rsid w:val="0B3750CD"/>
    <w:rsid w:val="0B414AA6"/>
    <w:rsid w:val="0B952918"/>
    <w:rsid w:val="0BAD28F8"/>
    <w:rsid w:val="0BBD6DAC"/>
    <w:rsid w:val="0BD33891"/>
    <w:rsid w:val="0BE43F91"/>
    <w:rsid w:val="0C0B4CBA"/>
    <w:rsid w:val="0C3E7947"/>
    <w:rsid w:val="0C8B6718"/>
    <w:rsid w:val="0C926671"/>
    <w:rsid w:val="0C955737"/>
    <w:rsid w:val="0CB01D44"/>
    <w:rsid w:val="0CBE317A"/>
    <w:rsid w:val="0CC3145D"/>
    <w:rsid w:val="0CC93748"/>
    <w:rsid w:val="0CCE0D62"/>
    <w:rsid w:val="0D1C195D"/>
    <w:rsid w:val="0D227DB6"/>
    <w:rsid w:val="0D482425"/>
    <w:rsid w:val="0D584FE9"/>
    <w:rsid w:val="0D5C7C15"/>
    <w:rsid w:val="0D6872E8"/>
    <w:rsid w:val="0DB0636D"/>
    <w:rsid w:val="0DB167C2"/>
    <w:rsid w:val="0DCB7ED1"/>
    <w:rsid w:val="0DE37BEA"/>
    <w:rsid w:val="0E5419AA"/>
    <w:rsid w:val="0E5F01F4"/>
    <w:rsid w:val="0E6E66D8"/>
    <w:rsid w:val="0E736994"/>
    <w:rsid w:val="0E736EC8"/>
    <w:rsid w:val="0E9B2EC6"/>
    <w:rsid w:val="0EA67F2E"/>
    <w:rsid w:val="0ECB619E"/>
    <w:rsid w:val="0ED13800"/>
    <w:rsid w:val="0EDB5FC3"/>
    <w:rsid w:val="0EDE4C18"/>
    <w:rsid w:val="0F0272D0"/>
    <w:rsid w:val="0F083839"/>
    <w:rsid w:val="0F2A48DA"/>
    <w:rsid w:val="0F5D37AA"/>
    <w:rsid w:val="0F7C1A3F"/>
    <w:rsid w:val="0F994023"/>
    <w:rsid w:val="0FA42FBE"/>
    <w:rsid w:val="0FA56856"/>
    <w:rsid w:val="0FA76637"/>
    <w:rsid w:val="0FB37BB2"/>
    <w:rsid w:val="0FB47431"/>
    <w:rsid w:val="0FC379A3"/>
    <w:rsid w:val="0FF55D31"/>
    <w:rsid w:val="102B2061"/>
    <w:rsid w:val="1033677A"/>
    <w:rsid w:val="103673EC"/>
    <w:rsid w:val="104264F0"/>
    <w:rsid w:val="10661E80"/>
    <w:rsid w:val="107563EC"/>
    <w:rsid w:val="108E4DD0"/>
    <w:rsid w:val="10AA6ADE"/>
    <w:rsid w:val="10FE6F3A"/>
    <w:rsid w:val="110756DE"/>
    <w:rsid w:val="111E2F89"/>
    <w:rsid w:val="113E1CE8"/>
    <w:rsid w:val="1149646B"/>
    <w:rsid w:val="1187126F"/>
    <w:rsid w:val="11A67DAF"/>
    <w:rsid w:val="11AE2F10"/>
    <w:rsid w:val="11BB7151"/>
    <w:rsid w:val="11DE3894"/>
    <w:rsid w:val="11EA2670"/>
    <w:rsid w:val="11F01EF2"/>
    <w:rsid w:val="123F5AB2"/>
    <w:rsid w:val="125115C1"/>
    <w:rsid w:val="12535C57"/>
    <w:rsid w:val="125515DD"/>
    <w:rsid w:val="12697414"/>
    <w:rsid w:val="12862A45"/>
    <w:rsid w:val="12B22D98"/>
    <w:rsid w:val="12BB4A34"/>
    <w:rsid w:val="12EB1A25"/>
    <w:rsid w:val="131A01E1"/>
    <w:rsid w:val="131B309C"/>
    <w:rsid w:val="132F6200"/>
    <w:rsid w:val="134C6724"/>
    <w:rsid w:val="137912FC"/>
    <w:rsid w:val="139D4FEA"/>
    <w:rsid w:val="140446C5"/>
    <w:rsid w:val="14130A56"/>
    <w:rsid w:val="143B2A9E"/>
    <w:rsid w:val="149D7BED"/>
    <w:rsid w:val="14D507B4"/>
    <w:rsid w:val="14D51FAC"/>
    <w:rsid w:val="152529A7"/>
    <w:rsid w:val="15400323"/>
    <w:rsid w:val="1553048B"/>
    <w:rsid w:val="156B00D6"/>
    <w:rsid w:val="156B1C33"/>
    <w:rsid w:val="157047C0"/>
    <w:rsid w:val="15887648"/>
    <w:rsid w:val="158A4FAF"/>
    <w:rsid w:val="158F0C47"/>
    <w:rsid w:val="15916DD0"/>
    <w:rsid w:val="15D22CA8"/>
    <w:rsid w:val="15E35820"/>
    <w:rsid w:val="15FF2EB0"/>
    <w:rsid w:val="162B0FD3"/>
    <w:rsid w:val="16415384"/>
    <w:rsid w:val="16516CA8"/>
    <w:rsid w:val="16573B76"/>
    <w:rsid w:val="16E90E79"/>
    <w:rsid w:val="16FF7D6A"/>
    <w:rsid w:val="17112371"/>
    <w:rsid w:val="172C2361"/>
    <w:rsid w:val="17330C1C"/>
    <w:rsid w:val="173F5AA6"/>
    <w:rsid w:val="175B345B"/>
    <w:rsid w:val="178A2938"/>
    <w:rsid w:val="178D59B4"/>
    <w:rsid w:val="17B658DB"/>
    <w:rsid w:val="17E87BE9"/>
    <w:rsid w:val="1807368E"/>
    <w:rsid w:val="18094E4C"/>
    <w:rsid w:val="181A32D5"/>
    <w:rsid w:val="18262D45"/>
    <w:rsid w:val="18345C55"/>
    <w:rsid w:val="1854609A"/>
    <w:rsid w:val="18634E1A"/>
    <w:rsid w:val="187A7FA7"/>
    <w:rsid w:val="18981081"/>
    <w:rsid w:val="189C54A0"/>
    <w:rsid w:val="189D1DA0"/>
    <w:rsid w:val="18A878B6"/>
    <w:rsid w:val="18B85D9C"/>
    <w:rsid w:val="18FB3E53"/>
    <w:rsid w:val="18FE58CB"/>
    <w:rsid w:val="191804CF"/>
    <w:rsid w:val="191B4BCA"/>
    <w:rsid w:val="19317DB9"/>
    <w:rsid w:val="198D5962"/>
    <w:rsid w:val="19BF2FD4"/>
    <w:rsid w:val="19F5691B"/>
    <w:rsid w:val="19F94F44"/>
    <w:rsid w:val="1A2E7A8E"/>
    <w:rsid w:val="1A3D49DF"/>
    <w:rsid w:val="1A6C5716"/>
    <w:rsid w:val="1A7173BA"/>
    <w:rsid w:val="1A7D23C4"/>
    <w:rsid w:val="1A846F04"/>
    <w:rsid w:val="1A863A12"/>
    <w:rsid w:val="1A9620B0"/>
    <w:rsid w:val="1AA608A8"/>
    <w:rsid w:val="1AB71298"/>
    <w:rsid w:val="1AE11AD0"/>
    <w:rsid w:val="1B083691"/>
    <w:rsid w:val="1B1367CF"/>
    <w:rsid w:val="1B37456E"/>
    <w:rsid w:val="1B382C33"/>
    <w:rsid w:val="1B3E2A67"/>
    <w:rsid w:val="1B5D2B0E"/>
    <w:rsid w:val="1B6B3C20"/>
    <w:rsid w:val="1B8617B4"/>
    <w:rsid w:val="1BB73177"/>
    <w:rsid w:val="1BC4243D"/>
    <w:rsid w:val="1BD61F8D"/>
    <w:rsid w:val="1C104180"/>
    <w:rsid w:val="1C144751"/>
    <w:rsid w:val="1C4F0B6A"/>
    <w:rsid w:val="1C9E005B"/>
    <w:rsid w:val="1CA432B0"/>
    <w:rsid w:val="1CB25648"/>
    <w:rsid w:val="1CBF0A2D"/>
    <w:rsid w:val="1CE61711"/>
    <w:rsid w:val="1CE974F2"/>
    <w:rsid w:val="1CF7773A"/>
    <w:rsid w:val="1D0F5D70"/>
    <w:rsid w:val="1D2D315B"/>
    <w:rsid w:val="1D437D3B"/>
    <w:rsid w:val="1D59526B"/>
    <w:rsid w:val="1D5F6860"/>
    <w:rsid w:val="1D682FCE"/>
    <w:rsid w:val="1D7A117E"/>
    <w:rsid w:val="1D873604"/>
    <w:rsid w:val="1D9C5D26"/>
    <w:rsid w:val="1DE50346"/>
    <w:rsid w:val="1DF37ACA"/>
    <w:rsid w:val="1E0E2315"/>
    <w:rsid w:val="1E5A7B00"/>
    <w:rsid w:val="1E646764"/>
    <w:rsid w:val="1E6853F7"/>
    <w:rsid w:val="1E740A3E"/>
    <w:rsid w:val="1E942105"/>
    <w:rsid w:val="1EA0138E"/>
    <w:rsid w:val="1EAD68A3"/>
    <w:rsid w:val="1EB00E11"/>
    <w:rsid w:val="1EE53CE9"/>
    <w:rsid w:val="1EE64207"/>
    <w:rsid w:val="1EF84D13"/>
    <w:rsid w:val="1F015D54"/>
    <w:rsid w:val="1F1523D8"/>
    <w:rsid w:val="1F1F404B"/>
    <w:rsid w:val="1F2963B9"/>
    <w:rsid w:val="1F3225AD"/>
    <w:rsid w:val="1F3666C1"/>
    <w:rsid w:val="1F4D63BF"/>
    <w:rsid w:val="1F695471"/>
    <w:rsid w:val="1FA470AA"/>
    <w:rsid w:val="1FAA2794"/>
    <w:rsid w:val="1FBC5A21"/>
    <w:rsid w:val="1FBD0D9F"/>
    <w:rsid w:val="1FBF5378"/>
    <w:rsid w:val="1FC33F86"/>
    <w:rsid w:val="1FD079DE"/>
    <w:rsid w:val="1FD62287"/>
    <w:rsid w:val="1FF92F45"/>
    <w:rsid w:val="200015B6"/>
    <w:rsid w:val="201F09E4"/>
    <w:rsid w:val="202805BE"/>
    <w:rsid w:val="202F7E27"/>
    <w:rsid w:val="203901FA"/>
    <w:rsid w:val="206F2329"/>
    <w:rsid w:val="20785859"/>
    <w:rsid w:val="20861356"/>
    <w:rsid w:val="20DD33C7"/>
    <w:rsid w:val="20DF62E8"/>
    <w:rsid w:val="20E9534B"/>
    <w:rsid w:val="212168D9"/>
    <w:rsid w:val="212E1977"/>
    <w:rsid w:val="21314A20"/>
    <w:rsid w:val="21454EFA"/>
    <w:rsid w:val="2177331E"/>
    <w:rsid w:val="217C5665"/>
    <w:rsid w:val="21827EE2"/>
    <w:rsid w:val="220F70A1"/>
    <w:rsid w:val="225B0A48"/>
    <w:rsid w:val="225E4A2F"/>
    <w:rsid w:val="22646AC5"/>
    <w:rsid w:val="22794E74"/>
    <w:rsid w:val="22A0211B"/>
    <w:rsid w:val="22A03185"/>
    <w:rsid w:val="22A121BE"/>
    <w:rsid w:val="22C75BE0"/>
    <w:rsid w:val="23243073"/>
    <w:rsid w:val="237F6303"/>
    <w:rsid w:val="238B4E5F"/>
    <w:rsid w:val="240309B7"/>
    <w:rsid w:val="2415200F"/>
    <w:rsid w:val="2423153B"/>
    <w:rsid w:val="24722B1D"/>
    <w:rsid w:val="24744F65"/>
    <w:rsid w:val="2485369E"/>
    <w:rsid w:val="24A226C2"/>
    <w:rsid w:val="24BE768F"/>
    <w:rsid w:val="24CD0A36"/>
    <w:rsid w:val="24F76C4E"/>
    <w:rsid w:val="254611E8"/>
    <w:rsid w:val="254A758B"/>
    <w:rsid w:val="254E2699"/>
    <w:rsid w:val="2551032A"/>
    <w:rsid w:val="255E4722"/>
    <w:rsid w:val="25666677"/>
    <w:rsid w:val="2579401F"/>
    <w:rsid w:val="257C7869"/>
    <w:rsid w:val="25C66622"/>
    <w:rsid w:val="25CD3837"/>
    <w:rsid w:val="25D421F9"/>
    <w:rsid w:val="25D80104"/>
    <w:rsid w:val="25EE1E11"/>
    <w:rsid w:val="25FE64A2"/>
    <w:rsid w:val="26134C40"/>
    <w:rsid w:val="261846D3"/>
    <w:rsid w:val="262B372C"/>
    <w:rsid w:val="263B7010"/>
    <w:rsid w:val="265A6D6B"/>
    <w:rsid w:val="265B348D"/>
    <w:rsid w:val="265E56BB"/>
    <w:rsid w:val="26B75F6B"/>
    <w:rsid w:val="26F577F9"/>
    <w:rsid w:val="271436A9"/>
    <w:rsid w:val="272D1FDB"/>
    <w:rsid w:val="273D1E10"/>
    <w:rsid w:val="27497F21"/>
    <w:rsid w:val="276341A2"/>
    <w:rsid w:val="27766970"/>
    <w:rsid w:val="277E0D9B"/>
    <w:rsid w:val="27882E27"/>
    <w:rsid w:val="278A1E73"/>
    <w:rsid w:val="27CB4624"/>
    <w:rsid w:val="27D54B85"/>
    <w:rsid w:val="280020F4"/>
    <w:rsid w:val="28016741"/>
    <w:rsid w:val="28362935"/>
    <w:rsid w:val="284D138A"/>
    <w:rsid w:val="28567F72"/>
    <w:rsid w:val="287E31E4"/>
    <w:rsid w:val="28A15F15"/>
    <w:rsid w:val="28A95D87"/>
    <w:rsid w:val="28BB3B18"/>
    <w:rsid w:val="28C36E49"/>
    <w:rsid w:val="28CF06A1"/>
    <w:rsid w:val="28E75DD6"/>
    <w:rsid w:val="28F456DC"/>
    <w:rsid w:val="28F62EDB"/>
    <w:rsid w:val="28FF7F73"/>
    <w:rsid w:val="290336EA"/>
    <w:rsid w:val="29347D47"/>
    <w:rsid w:val="294A30C6"/>
    <w:rsid w:val="295B5406"/>
    <w:rsid w:val="29777C08"/>
    <w:rsid w:val="298174AA"/>
    <w:rsid w:val="29BB0AB0"/>
    <w:rsid w:val="29DF4EED"/>
    <w:rsid w:val="2A4E7883"/>
    <w:rsid w:val="2A683248"/>
    <w:rsid w:val="2A854AAC"/>
    <w:rsid w:val="2AE55981"/>
    <w:rsid w:val="2AE70FCE"/>
    <w:rsid w:val="2B120F7D"/>
    <w:rsid w:val="2B131F01"/>
    <w:rsid w:val="2B1D7843"/>
    <w:rsid w:val="2B3475D7"/>
    <w:rsid w:val="2B382006"/>
    <w:rsid w:val="2B75232D"/>
    <w:rsid w:val="2B821CAB"/>
    <w:rsid w:val="2B8A731D"/>
    <w:rsid w:val="2BC03B14"/>
    <w:rsid w:val="2BFC07F2"/>
    <w:rsid w:val="2C053111"/>
    <w:rsid w:val="2C1D0CD9"/>
    <w:rsid w:val="2C3B319A"/>
    <w:rsid w:val="2C4A36FD"/>
    <w:rsid w:val="2C5742D6"/>
    <w:rsid w:val="2C676DE9"/>
    <w:rsid w:val="2C6C4BD5"/>
    <w:rsid w:val="2C6C5299"/>
    <w:rsid w:val="2C7607D5"/>
    <w:rsid w:val="2CC71B09"/>
    <w:rsid w:val="2CD17838"/>
    <w:rsid w:val="2CDF0B5E"/>
    <w:rsid w:val="2D157E8F"/>
    <w:rsid w:val="2D4277A9"/>
    <w:rsid w:val="2D7A32FD"/>
    <w:rsid w:val="2D8A262B"/>
    <w:rsid w:val="2D8B3296"/>
    <w:rsid w:val="2DB63A64"/>
    <w:rsid w:val="2E0A72C8"/>
    <w:rsid w:val="2E1F29F9"/>
    <w:rsid w:val="2E23484C"/>
    <w:rsid w:val="2E32727B"/>
    <w:rsid w:val="2E857B1B"/>
    <w:rsid w:val="2E9979B0"/>
    <w:rsid w:val="2EAA6D5B"/>
    <w:rsid w:val="2EAB74D1"/>
    <w:rsid w:val="2EC41B6D"/>
    <w:rsid w:val="2EE82CBC"/>
    <w:rsid w:val="2EE9750A"/>
    <w:rsid w:val="2F22487C"/>
    <w:rsid w:val="2F224EB2"/>
    <w:rsid w:val="2F2E58DD"/>
    <w:rsid w:val="2F622AC8"/>
    <w:rsid w:val="2F6805A7"/>
    <w:rsid w:val="2F6F1C4B"/>
    <w:rsid w:val="2F763C18"/>
    <w:rsid w:val="2F902E20"/>
    <w:rsid w:val="2FB742F3"/>
    <w:rsid w:val="2FDF3879"/>
    <w:rsid w:val="2FFD0E93"/>
    <w:rsid w:val="2FFE7AEF"/>
    <w:rsid w:val="300F1588"/>
    <w:rsid w:val="3025032E"/>
    <w:rsid w:val="307A7B4F"/>
    <w:rsid w:val="308204A7"/>
    <w:rsid w:val="309009EE"/>
    <w:rsid w:val="30A42596"/>
    <w:rsid w:val="30B04FD3"/>
    <w:rsid w:val="30FE70C9"/>
    <w:rsid w:val="3106106A"/>
    <w:rsid w:val="312F37F0"/>
    <w:rsid w:val="313A111E"/>
    <w:rsid w:val="314D4F71"/>
    <w:rsid w:val="31520047"/>
    <w:rsid w:val="31537F45"/>
    <w:rsid w:val="31705E42"/>
    <w:rsid w:val="319C677B"/>
    <w:rsid w:val="31AF13B8"/>
    <w:rsid w:val="31D125D7"/>
    <w:rsid w:val="32252F37"/>
    <w:rsid w:val="32553658"/>
    <w:rsid w:val="32553CE6"/>
    <w:rsid w:val="32644BAC"/>
    <w:rsid w:val="32905B96"/>
    <w:rsid w:val="32930A5B"/>
    <w:rsid w:val="329D33DA"/>
    <w:rsid w:val="32A95302"/>
    <w:rsid w:val="32C95D50"/>
    <w:rsid w:val="32DF419F"/>
    <w:rsid w:val="32E048C1"/>
    <w:rsid w:val="32E121BE"/>
    <w:rsid w:val="3335016B"/>
    <w:rsid w:val="339E41DA"/>
    <w:rsid w:val="33A844F9"/>
    <w:rsid w:val="33D1523F"/>
    <w:rsid w:val="33D777A9"/>
    <w:rsid w:val="33DC1707"/>
    <w:rsid w:val="34056568"/>
    <w:rsid w:val="34204816"/>
    <w:rsid w:val="34714749"/>
    <w:rsid w:val="34727975"/>
    <w:rsid w:val="34881E31"/>
    <w:rsid w:val="34925AE1"/>
    <w:rsid w:val="34A04463"/>
    <w:rsid w:val="34AE6BFF"/>
    <w:rsid w:val="34D4239D"/>
    <w:rsid w:val="350D72B0"/>
    <w:rsid w:val="350E3B42"/>
    <w:rsid w:val="3511180E"/>
    <w:rsid w:val="35240DA2"/>
    <w:rsid w:val="35257571"/>
    <w:rsid w:val="352B0C6C"/>
    <w:rsid w:val="35335357"/>
    <w:rsid w:val="3538471B"/>
    <w:rsid w:val="3576039C"/>
    <w:rsid w:val="358362DE"/>
    <w:rsid w:val="359A1A3F"/>
    <w:rsid w:val="359C1EFA"/>
    <w:rsid w:val="35C6441D"/>
    <w:rsid w:val="35DE52C2"/>
    <w:rsid w:val="35E40CDB"/>
    <w:rsid w:val="36165E9C"/>
    <w:rsid w:val="361E5856"/>
    <w:rsid w:val="36801F82"/>
    <w:rsid w:val="368C4D1E"/>
    <w:rsid w:val="3694658E"/>
    <w:rsid w:val="369A1340"/>
    <w:rsid w:val="36B97ADD"/>
    <w:rsid w:val="36BE6024"/>
    <w:rsid w:val="36D85F49"/>
    <w:rsid w:val="36F6263B"/>
    <w:rsid w:val="36FD0A51"/>
    <w:rsid w:val="372543F3"/>
    <w:rsid w:val="37297180"/>
    <w:rsid w:val="37500442"/>
    <w:rsid w:val="3755743A"/>
    <w:rsid w:val="376E2676"/>
    <w:rsid w:val="379579C1"/>
    <w:rsid w:val="37A35F2C"/>
    <w:rsid w:val="37B00763"/>
    <w:rsid w:val="37CC19B1"/>
    <w:rsid w:val="3855296F"/>
    <w:rsid w:val="388218D8"/>
    <w:rsid w:val="388B7D2D"/>
    <w:rsid w:val="38DA050B"/>
    <w:rsid w:val="38E56105"/>
    <w:rsid w:val="38FE0FCD"/>
    <w:rsid w:val="391159AF"/>
    <w:rsid w:val="39243452"/>
    <w:rsid w:val="39551D3F"/>
    <w:rsid w:val="396C2964"/>
    <w:rsid w:val="39751204"/>
    <w:rsid w:val="39940E67"/>
    <w:rsid w:val="39C537BE"/>
    <w:rsid w:val="39DF78D8"/>
    <w:rsid w:val="3A0D1C0B"/>
    <w:rsid w:val="3A0E6242"/>
    <w:rsid w:val="3A171FAE"/>
    <w:rsid w:val="3A4D3E2C"/>
    <w:rsid w:val="3A625555"/>
    <w:rsid w:val="3A957526"/>
    <w:rsid w:val="3ABE0A43"/>
    <w:rsid w:val="3B120EEC"/>
    <w:rsid w:val="3B4007CD"/>
    <w:rsid w:val="3B561B9E"/>
    <w:rsid w:val="3B5F2697"/>
    <w:rsid w:val="3B9C2681"/>
    <w:rsid w:val="3BAB0D92"/>
    <w:rsid w:val="3BB014AF"/>
    <w:rsid w:val="3BB05F7B"/>
    <w:rsid w:val="3BC7134F"/>
    <w:rsid w:val="3BD65482"/>
    <w:rsid w:val="3BDA21E6"/>
    <w:rsid w:val="3BF710C3"/>
    <w:rsid w:val="3BFA41D5"/>
    <w:rsid w:val="3C186EE1"/>
    <w:rsid w:val="3C257429"/>
    <w:rsid w:val="3C430575"/>
    <w:rsid w:val="3C4E2A76"/>
    <w:rsid w:val="3C537840"/>
    <w:rsid w:val="3C752089"/>
    <w:rsid w:val="3C935671"/>
    <w:rsid w:val="3C9A2BEA"/>
    <w:rsid w:val="3CB25F15"/>
    <w:rsid w:val="3CBE7E9F"/>
    <w:rsid w:val="3CC71CA8"/>
    <w:rsid w:val="3CE42A47"/>
    <w:rsid w:val="3D581D30"/>
    <w:rsid w:val="3D775B49"/>
    <w:rsid w:val="3D893AC8"/>
    <w:rsid w:val="3DE90F80"/>
    <w:rsid w:val="3E2C3425"/>
    <w:rsid w:val="3E4531BF"/>
    <w:rsid w:val="3EA237B6"/>
    <w:rsid w:val="3EA47F39"/>
    <w:rsid w:val="3EB45F2A"/>
    <w:rsid w:val="3EC20B33"/>
    <w:rsid w:val="3EF141B2"/>
    <w:rsid w:val="3EF33AC7"/>
    <w:rsid w:val="3F043070"/>
    <w:rsid w:val="3F13697E"/>
    <w:rsid w:val="3F395C5F"/>
    <w:rsid w:val="3F45521F"/>
    <w:rsid w:val="3F47451F"/>
    <w:rsid w:val="3F504504"/>
    <w:rsid w:val="3F65239A"/>
    <w:rsid w:val="3F9278C6"/>
    <w:rsid w:val="3F941438"/>
    <w:rsid w:val="3FAB065C"/>
    <w:rsid w:val="404223B5"/>
    <w:rsid w:val="404253A9"/>
    <w:rsid w:val="405254E0"/>
    <w:rsid w:val="408325EF"/>
    <w:rsid w:val="40B05787"/>
    <w:rsid w:val="40B94AF3"/>
    <w:rsid w:val="40BC06B7"/>
    <w:rsid w:val="40DA7A41"/>
    <w:rsid w:val="40EE7F4E"/>
    <w:rsid w:val="40FB40E0"/>
    <w:rsid w:val="41177778"/>
    <w:rsid w:val="41285293"/>
    <w:rsid w:val="4152035E"/>
    <w:rsid w:val="419C7498"/>
    <w:rsid w:val="41B702A6"/>
    <w:rsid w:val="41CE5F28"/>
    <w:rsid w:val="41D43A1D"/>
    <w:rsid w:val="41E31BBB"/>
    <w:rsid w:val="41ED786B"/>
    <w:rsid w:val="41FF6CEC"/>
    <w:rsid w:val="422D4817"/>
    <w:rsid w:val="42336EDC"/>
    <w:rsid w:val="423D2056"/>
    <w:rsid w:val="42446DF5"/>
    <w:rsid w:val="425C6909"/>
    <w:rsid w:val="426E308D"/>
    <w:rsid w:val="42BB32A7"/>
    <w:rsid w:val="42BE7383"/>
    <w:rsid w:val="42BF51CA"/>
    <w:rsid w:val="42CA7724"/>
    <w:rsid w:val="4323123C"/>
    <w:rsid w:val="43366B3C"/>
    <w:rsid w:val="438A0837"/>
    <w:rsid w:val="439B42E3"/>
    <w:rsid w:val="43B27614"/>
    <w:rsid w:val="43CD3F67"/>
    <w:rsid w:val="43CF05F4"/>
    <w:rsid w:val="43F90B17"/>
    <w:rsid w:val="440D04B5"/>
    <w:rsid w:val="44173664"/>
    <w:rsid w:val="441A5CAD"/>
    <w:rsid w:val="445B7A45"/>
    <w:rsid w:val="44626241"/>
    <w:rsid w:val="44644441"/>
    <w:rsid w:val="446948F1"/>
    <w:rsid w:val="446B2045"/>
    <w:rsid w:val="44957494"/>
    <w:rsid w:val="44CE29A6"/>
    <w:rsid w:val="44FB7748"/>
    <w:rsid w:val="45126190"/>
    <w:rsid w:val="451429BB"/>
    <w:rsid w:val="45302890"/>
    <w:rsid w:val="45366970"/>
    <w:rsid w:val="45431A93"/>
    <w:rsid w:val="454D5FC1"/>
    <w:rsid w:val="45535C43"/>
    <w:rsid w:val="45800144"/>
    <w:rsid w:val="458217E0"/>
    <w:rsid w:val="45910E05"/>
    <w:rsid w:val="4599617B"/>
    <w:rsid w:val="45DE61D5"/>
    <w:rsid w:val="45E529EA"/>
    <w:rsid w:val="46026AA6"/>
    <w:rsid w:val="460B0BC5"/>
    <w:rsid w:val="462438B8"/>
    <w:rsid w:val="462E1B1C"/>
    <w:rsid w:val="4646138E"/>
    <w:rsid w:val="46782929"/>
    <w:rsid w:val="467C4DAF"/>
    <w:rsid w:val="46AC31BB"/>
    <w:rsid w:val="46B30817"/>
    <w:rsid w:val="46C4652A"/>
    <w:rsid w:val="46E03221"/>
    <w:rsid w:val="46EE6131"/>
    <w:rsid w:val="46FE4BEF"/>
    <w:rsid w:val="47054969"/>
    <w:rsid w:val="47160BCA"/>
    <w:rsid w:val="471E532F"/>
    <w:rsid w:val="472D4050"/>
    <w:rsid w:val="47353157"/>
    <w:rsid w:val="47357C6D"/>
    <w:rsid w:val="47413AD5"/>
    <w:rsid w:val="47753997"/>
    <w:rsid w:val="479D0736"/>
    <w:rsid w:val="47BF45EC"/>
    <w:rsid w:val="47C6205A"/>
    <w:rsid w:val="47D30E6E"/>
    <w:rsid w:val="47D31C64"/>
    <w:rsid w:val="47D744B6"/>
    <w:rsid w:val="481132D5"/>
    <w:rsid w:val="48502589"/>
    <w:rsid w:val="485F6C27"/>
    <w:rsid w:val="48626D69"/>
    <w:rsid w:val="48937526"/>
    <w:rsid w:val="489F6B33"/>
    <w:rsid w:val="48A44149"/>
    <w:rsid w:val="48C25198"/>
    <w:rsid w:val="48C47F1B"/>
    <w:rsid w:val="48D87541"/>
    <w:rsid w:val="48F30D3D"/>
    <w:rsid w:val="48F84495"/>
    <w:rsid w:val="49205746"/>
    <w:rsid w:val="493A5DF4"/>
    <w:rsid w:val="495116FB"/>
    <w:rsid w:val="49702E39"/>
    <w:rsid w:val="4975507C"/>
    <w:rsid w:val="49797AD6"/>
    <w:rsid w:val="497B4803"/>
    <w:rsid w:val="49807B7B"/>
    <w:rsid w:val="499D7295"/>
    <w:rsid w:val="49A32874"/>
    <w:rsid w:val="4A170301"/>
    <w:rsid w:val="4A1B3ACE"/>
    <w:rsid w:val="4A2D63C1"/>
    <w:rsid w:val="4A3B62B0"/>
    <w:rsid w:val="4A4C592A"/>
    <w:rsid w:val="4A4E669E"/>
    <w:rsid w:val="4A6B427E"/>
    <w:rsid w:val="4A837DF0"/>
    <w:rsid w:val="4A891664"/>
    <w:rsid w:val="4A944B06"/>
    <w:rsid w:val="4A9B3B72"/>
    <w:rsid w:val="4AC667B8"/>
    <w:rsid w:val="4AEF35CA"/>
    <w:rsid w:val="4B073A20"/>
    <w:rsid w:val="4B143418"/>
    <w:rsid w:val="4B1F66F8"/>
    <w:rsid w:val="4B23074F"/>
    <w:rsid w:val="4B23248E"/>
    <w:rsid w:val="4B2C48CA"/>
    <w:rsid w:val="4B3D45DA"/>
    <w:rsid w:val="4B466C66"/>
    <w:rsid w:val="4B512B86"/>
    <w:rsid w:val="4B7B6EEB"/>
    <w:rsid w:val="4B9D2C72"/>
    <w:rsid w:val="4B9E726D"/>
    <w:rsid w:val="4BAB57EF"/>
    <w:rsid w:val="4BF22F94"/>
    <w:rsid w:val="4C236710"/>
    <w:rsid w:val="4C3D16D4"/>
    <w:rsid w:val="4C68272A"/>
    <w:rsid w:val="4C776384"/>
    <w:rsid w:val="4C7C51AC"/>
    <w:rsid w:val="4CA86196"/>
    <w:rsid w:val="4CAA325C"/>
    <w:rsid w:val="4CC03170"/>
    <w:rsid w:val="4CC3460A"/>
    <w:rsid w:val="4CC96BF4"/>
    <w:rsid w:val="4CCF5092"/>
    <w:rsid w:val="4CF224C3"/>
    <w:rsid w:val="4CF729C2"/>
    <w:rsid w:val="4D443722"/>
    <w:rsid w:val="4D50397E"/>
    <w:rsid w:val="4D56754C"/>
    <w:rsid w:val="4D7D31BB"/>
    <w:rsid w:val="4D890CA8"/>
    <w:rsid w:val="4D8F4FD9"/>
    <w:rsid w:val="4D926C66"/>
    <w:rsid w:val="4D9D597F"/>
    <w:rsid w:val="4DA43078"/>
    <w:rsid w:val="4DA71A49"/>
    <w:rsid w:val="4DBF769C"/>
    <w:rsid w:val="4DED6593"/>
    <w:rsid w:val="4DEF1D3B"/>
    <w:rsid w:val="4DF12809"/>
    <w:rsid w:val="4E043DC1"/>
    <w:rsid w:val="4E12551C"/>
    <w:rsid w:val="4E3A2C4F"/>
    <w:rsid w:val="4E3F7A8E"/>
    <w:rsid w:val="4E5B0B53"/>
    <w:rsid w:val="4E921E2E"/>
    <w:rsid w:val="4E965BF7"/>
    <w:rsid w:val="4EB710E1"/>
    <w:rsid w:val="4F2B5053"/>
    <w:rsid w:val="4F5E791F"/>
    <w:rsid w:val="4F672B18"/>
    <w:rsid w:val="4F994CB5"/>
    <w:rsid w:val="4FB170A0"/>
    <w:rsid w:val="4FBC00C9"/>
    <w:rsid w:val="4FCD6206"/>
    <w:rsid w:val="4FDD4C3B"/>
    <w:rsid w:val="4FF16761"/>
    <w:rsid w:val="4FF82FCD"/>
    <w:rsid w:val="50163F3B"/>
    <w:rsid w:val="50417BB4"/>
    <w:rsid w:val="504E6A51"/>
    <w:rsid w:val="5086142D"/>
    <w:rsid w:val="50A31016"/>
    <w:rsid w:val="50C60DD3"/>
    <w:rsid w:val="50CB27D9"/>
    <w:rsid w:val="50E9295A"/>
    <w:rsid w:val="50F86241"/>
    <w:rsid w:val="50FA6B0E"/>
    <w:rsid w:val="50FC7506"/>
    <w:rsid w:val="510752DB"/>
    <w:rsid w:val="510F6820"/>
    <w:rsid w:val="513B39A9"/>
    <w:rsid w:val="51416F5E"/>
    <w:rsid w:val="516A3A56"/>
    <w:rsid w:val="517B7A06"/>
    <w:rsid w:val="518F4E5F"/>
    <w:rsid w:val="51CA76A1"/>
    <w:rsid w:val="51E2029D"/>
    <w:rsid w:val="51F93C67"/>
    <w:rsid w:val="521F0CE5"/>
    <w:rsid w:val="52242B61"/>
    <w:rsid w:val="522B7F7F"/>
    <w:rsid w:val="5244465C"/>
    <w:rsid w:val="525210BA"/>
    <w:rsid w:val="527D17B1"/>
    <w:rsid w:val="527E490B"/>
    <w:rsid w:val="52CD5976"/>
    <w:rsid w:val="52D31CE5"/>
    <w:rsid w:val="52D42BCC"/>
    <w:rsid w:val="52EF4289"/>
    <w:rsid w:val="53163E96"/>
    <w:rsid w:val="534A1636"/>
    <w:rsid w:val="534B5299"/>
    <w:rsid w:val="535E583D"/>
    <w:rsid w:val="538F3C48"/>
    <w:rsid w:val="53A67E78"/>
    <w:rsid w:val="54242582"/>
    <w:rsid w:val="547E5133"/>
    <w:rsid w:val="54840294"/>
    <w:rsid w:val="54B71115"/>
    <w:rsid w:val="54D4046E"/>
    <w:rsid w:val="54EF0874"/>
    <w:rsid w:val="55137FA3"/>
    <w:rsid w:val="554F4585"/>
    <w:rsid w:val="5589454B"/>
    <w:rsid w:val="55B367BE"/>
    <w:rsid w:val="55BF7115"/>
    <w:rsid w:val="55C04854"/>
    <w:rsid w:val="55DA73FC"/>
    <w:rsid w:val="56350AD7"/>
    <w:rsid w:val="5647129A"/>
    <w:rsid w:val="564725B8"/>
    <w:rsid w:val="5678249A"/>
    <w:rsid w:val="569951D6"/>
    <w:rsid w:val="569C1F45"/>
    <w:rsid w:val="56A5050F"/>
    <w:rsid w:val="56B80A1E"/>
    <w:rsid w:val="56D77DE0"/>
    <w:rsid w:val="572A43B4"/>
    <w:rsid w:val="5749169C"/>
    <w:rsid w:val="574B0578"/>
    <w:rsid w:val="575B031C"/>
    <w:rsid w:val="576059DC"/>
    <w:rsid w:val="5764497A"/>
    <w:rsid w:val="57724F91"/>
    <w:rsid w:val="577F7B44"/>
    <w:rsid w:val="57821453"/>
    <w:rsid w:val="578364CE"/>
    <w:rsid w:val="57CA0DDC"/>
    <w:rsid w:val="580C3A12"/>
    <w:rsid w:val="5812150A"/>
    <w:rsid w:val="58373978"/>
    <w:rsid w:val="5848109C"/>
    <w:rsid w:val="586C188E"/>
    <w:rsid w:val="58706EC5"/>
    <w:rsid w:val="5882172C"/>
    <w:rsid w:val="58A75D23"/>
    <w:rsid w:val="58B914D2"/>
    <w:rsid w:val="58C0728E"/>
    <w:rsid w:val="58EE65B7"/>
    <w:rsid w:val="58F30491"/>
    <w:rsid w:val="595C265B"/>
    <w:rsid w:val="59734E4D"/>
    <w:rsid w:val="597936DB"/>
    <w:rsid w:val="59815811"/>
    <w:rsid w:val="59924F82"/>
    <w:rsid w:val="59A07617"/>
    <w:rsid w:val="59B71052"/>
    <w:rsid w:val="59D4145F"/>
    <w:rsid w:val="5A257E64"/>
    <w:rsid w:val="5A3277FC"/>
    <w:rsid w:val="5A5E4A81"/>
    <w:rsid w:val="5A772751"/>
    <w:rsid w:val="5A7E66FB"/>
    <w:rsid w:val="5ABA2FDF"/>
    <w:rsid w:val="5B2D640F"/>
    <w:rsid w:val="5B5703CE"/>
    <w:rsid w:val="5B633094"/>
    <w:rsid w:val="5BB84237"/>
    <w:rsid w:val="5BC12FE3"/>
    <w:rsid w:val="5BED0BE1"/>
    <w:rsid w:val="5BFD16D8"/>
    <w:rsid w:val="5C343BF4"/>
    <w:rsid w:val="5C366D5A"/>
    <w:rsid w:val="5C427C6C"/>
    <w:rsid w:val="5C6E6AF1"/>
    <w:rsid w:val="5C9302E8"/>
    <w:rsid w:val="5C951009"/>
    <w:rsid w:val="5C9732F8"/>
    <w:rsid w:val="5CB37AD2"/>
    <w:rsid w:val="5CE87F9D"/>
    <w:rsid w:val="5D0134C1"/>
    <w:rsid w:val="5D0905C7"/>
    <w:rsid w:val="5D1906AD"/>
    <w:rsid w:val="5D854CC5"/>
    <w:rsid w:val="5D8B7388"/>
    <w:rsid w:val="5DAE1718"/>
    <w:rsid w:val="5DB86BDF"/>
    <w:rsid w:val="5DD6354A"/>
    <w:rsid w:val="5E0E2BE8"/>
    <w:rsid w:val="5E121B4B"/>
    <w:rsid w:val="5E1B0AB7"/>
    <w:rsid w:val="5E5D66C4"/>
    <w:rsid w:val="5EC563CA"/>
    <w:rsid w:val="5EC56FAB"/>
    <w:rsid w:val="5EED4BD2"/>
    <w:rsid w:val="5F14420B"/>
    <w:rsid w:val="5F1520DB"/>
    <w:rsid w:val="5F394304"/>
    <w:rsid w:val="5F527F33"/>
    <w:rsid w:val="5F592B72"/>
    <w:rsid w:val="5F846691"/>
    <w:rsid w:val="5F867FE8"/>
    <w:rsid w:val="5F877B19"/>
    <w:rsid w:val="5FAB683B"/>
    <w:rsid w:val="5FAD1F65"/>
    <w:rsid w:val="5FC34600"/>
    <w:rsid w:val="5FE56D85"/>
    <w:rsid w:val="60397415"/>
    <w:rsid w:val="60745818"/>
    <w:rsid w:val="60D13F48"/>
    <w:rsid w:val="60D86C2E"/>
    <w:rsid w:val="60F86CCC"/>
    <w:rsid w:val="612B0CDA"/>
    <w:rsid w:val="612C2AD6"/>
    <w:rsid w:val="61634BDE"/>
    <w:rsid w:val="618C65A0"/>
    <w:rsid w:val="619927F4"/>
    <w:rsid w:val="619E1E1A"/>
    <w:rsid w:val="61A217E0"/>
    <w:rsid w:val="61A47AB6"/>
    <w:rsid w:val="61B3691E"/>
    <w:rsid w:val="61D44796"/>
    <w:rsid w:val="61E31DE8"/>
    <w:rsid w:val="61E72512"/>
    <w:rsid w:val="62026496"/>
    <w:rsid w:val="627570E2"/>
    <w:rsid w:val="627F1E24"/>
    <w:rsid w:val="62CC05BD"/>
    <w:rsid w:val="62CF2FBC"/>
    <w:rsid w:val="62DF1B29"/>
    <w:rsid w:val="63402869"/>
    <w:rsid w:val="63411783"/>
    <w:rsid w:val="634569FB"/>
    <w:rsid w:val="634F1558"/>
    <w:rsid w:val="635B3CBB"/>
    <w:rsid w:val="6361115D"/>
    <w:rsid w:val="637169F7"/>
    <w:rsid w:val="63766023"/>
    <w:rsid w:val="63810D20"/>
    <w:rsid w:val="638E4697"/>
    <w:rsid w:val="639F3A33"/>
    <w:rsid w:val="63A1155A"/>
    <w:rsid w:val="63B13F4A"/>
    <w:rsid w:val="63D31A11"/>
    <w:rsid w:val="63E25311"/>
    <w:rsid w:val="640837C9"/>
    <w:rsid w:val="641536BE"/>
    <w:rsid w:val="64195948"/>
    <w:rsid w:val="642A38B4"/>
    <w:rsid w:val="643165AC"/>
    <w:rsid w:val="645D3B0C"/>
    <w:rsid w:val="64754794"/>
    <w:rsid w:val="64884AAD"/>
    <w:rsid w:val="648B1453"/>
    <w:rsid w:val="64923F3B"/>
    <w:rsid w:val="64B172A3"/>
    <w:rsid w:val="64E93A10"/>
    <w:rsid w:val="64FA028D"/>
    <w:rsid w:val="653D1756"/>
    <w:rsid w:val="656219FF"/>
    <w:rsid w:val="65882089"/>
    <w:rsid w:val="65972E76"/>
    <w:rsid w:val="659C2997"/>
    <w:rsid w:val="65A342E9"/>
    <w:rsid w:val="65AF22EA"/>
    <w:rsid w:val="65EF214B"/>
    <w:rsid w:val="65F41CDB"/>
    <w:rsid w:val="660B02F6"/>
    <w:rsid w:val="66291A75"/>
    <w:rsid w:val="663414BA"/>
    <w:rsid w:val="663A10AC"/>
    <w:rsid w:val="665A7368"/>
    <w:rsid w:val="665F1FEC"/>
    <w:rsid w:val="666601EF"/>
    <w:rsid w:val="667E6E63"/>
    <w:rsid w:val="66841DC2"/>
    <w:rsid w:val="66A808A3"/>
    <w:rsid w:val="66BE68C6"/>
    <w:rsid w:val="67041B93"/>
    <w:rsid w:val="67072E12"/>
    <w:rsid w:val="670D40D1"/>
    <w:rsid w:val="672A226F"/>
    <w:rsid w:val="67306233"/>
    <w:rsid w:val="67377175"/>
    <w:rsid w:val="6740773E"/>
    <w:rsid w:val="675A6B1D"/>
    <w:rsid w:val="677D10D5"/>
    <w:rsid w:val="677F5C17"/>
    <w:rsid w:val="67AA7DA2"/>
    <w:rsid w:val="67BC2E7E"/>
    <w:rsid w:val="67CB11B2"/>
    <w:rsid w:val="67EA6533"/>
    <w:rsid w:val="67F26828"/>
    <w:rsid w:val="67F96719"/>
    <w:rsid w:val="67FA15FC"/>
    <w:rsid w:val="67FA3EA9"/>
    <w:rsid w:val="68046FE2"/>
    <w:rsid w:val="68163561"/>
    <w:rsid w:val="68282344"/>
    <w:rsid w:val="68293532"/>
    <w:rsid w:val="68441834"/>
    <w:rsid w:val="684B01EF"/>
    <w:rsid w:val="687B2CDC"/>
    <w:rsid w:val="68F95A9A"/>
    <w:rsid w:val="69073FEB"/>
    <w:rsid w:val="69240832"/>
    <w:rsid w:val="694A619A"/>
    <w:rsid w:val="695A4E7C"/>
    <w:rsid w:val="69695586"/>
    <w:rsid w:val="697E5441"/>
    <w:rsid w:val="699D5FD4"/>
    <w:rsid w:val="69A637C8"/>
    <w:rsid w:val="69C3474C"/>
    <w:rsid w:val="6A6B68B5"/>
    <w:rsid w:val="6AA17D67"/>
    <w:rsid w:val="6AB63A2C"/>
    <w:rsid w:val="6ABF493E"/>
    <w:rsid w:val="6ADA345D"/>
    <w:rsid w:val="6AE9752C"/>
    <w:rsid w:val="6B174C36"/>
    <w:rsid w:val="6B2D5376"/>
    <w:rsid w:val="6B2F38EF"/>
    <w:rsid w:val="6B741C94"/>
    <w:rsid w:val="6B767770"/>
    <w:rsid w:val="6B7915FC"/>
    <w:rsid w:val="6BE3486A"/>
    <w:rsid w:val="6C0360CB"/>
    <w:rsid w:val="6C1D4AA5"/>
    <w:rsid w:val="6C700348"/>
    <w:rsid w:val="6C8859AD"/>
    <w:rsid w:val="6C9E5548"/>
    <w:rsid w:val="6CA169A6"/>
    <w:rsid w:val="6CBE7875"/>
    <w:rsid w:val="6CC810F4"/>
    <w:rsid w:val="6CC86D05"/>
    <w:rsid w:val="6CFA3457"/>
    <w:rsid w:val="6D0A63C2"/>
    <w:rsid w:val="6D1C66E8"/>
    <w:rsid w:val="6D1F4EAA"/>
    <w:rsid w:val="6D344076"/>
    <w:rsid w:val="6D4A0EB4"/>
    <w:rsid w:val="6D6A1C41"/>
    <w:rsid w:val="6D907449"/>
    <w:rsid w:val="6D9D4117"/>
    <w:rsid w:val="6DF4056F"/>
    <w:rsid w:val="6E384A9E"/>
    <w:rsid w:val="6E6558AC"/>
    <w:rsid w:val="6E9527E1"/>
    <w:rsid w:val="6E9C12B3"/>
    <w:rsid w:val="6EA51FA3"/>
    <w:rsid w:val="6EA96D85"/>
    <w:rsid w:val="6ED944DF"/>
    <w:rsid w:val="6EFD73A5"/>
    <w:rsid w:val="6F2578B2"/>
    <w:rsid w:val="6F3612DC"/>
    <w:rsid w:val="6F6D282D"/>
    <w:rsid w:val="6FA34535"/>
    <w:rsid w:val="6FAB59C1"/>
    <w:rsid w:val="6FCC4672"/>
    <w:rsid w:val="6FF70BE7"/>
    <w:rsid w:val="70101B35"/>
    <w:rsid w:val="70844ACC"/>
    <w:rsid w:val="709E1901"/>
    <w:rsid w:val="70C56B75"/>
    <w:rsid w:val="70C60851"/>
    <w:rsid w:val="70CD2FA7"/>
    <w:rsid w:val="70E8679D"/>
    <w:rsid w:val="70F8550E"/>
    <w:rsid w:val="710A7A59"/>
    <w:rsid w:val="71754026"/>
    <w:rsid w:val="71C82C84"/>
    <w:rsid w:val="71CC633B"/>
    <w:rsid w:val="71D76A8E"/>
    <w:rsid w:val="71D96059"/>
    <w:rsid w:val="72007D93"/>
    <w:rsid w:val="72083B25"/>
    <w:rsid w:val="722933A4"/>
    <w:rsid w:val="722D066E"/>
    <w:rsid w:val="722F1F60"/>
    <w:rsid w:val="72356478"/>
    <w:rsid w:val="7265719B"/>
    <w:rsid w:val="728B3621"/>
    <w:rsid w:val="72BB1F0C"/>
    <w:rsid w:val="72FF098C"/>
    <w:rsid w:val="73040142"/>
    <w:rsid w:val="731E7464"/>
    <w:rsid w:val="73262B3D"/>
    <w:rsid w:val="73295019"/>
    <w:rsid w:val="733A6744"/>
    <w:rsid w:val="73403821"/>
    <w:rsid w:val="736714A1"/>
    <w:rsid w:val="73847C26"/>
    <w:rsid w:val="73993FFB"/>
    <w:rsid w:val="73A6227B"/>
    <w:rsid w:val="73D11105"/>
    <w:rsid w:val="73E27943"/>
    <w:rsid w:val="74050B86"/>
    <w:rsid w:val="743C0E2B"/>
    <w:rsid w:val="74477EFB"/>
    <w:rsid w:val="748A4618"/>
    <w:rsid w:val="75067747"/>
    <w:rsid w:val="750D7E6B"/>
    <w:rsid w:val="75263F8E"/>
    <w:rsid w:val="755517C4"/>
    <w:rsid w:val="757927FA"/>
    <w:rsid w:val="758F35C2"/>
    <w:rsid w:val="75906D28"/>
    <w:rsid w:val="75A47106"/>
    <w:rsid w:val="75A73D14"/>
    <w:rsid w:val="75C11347"/>
    <w:rsid w:val="75C537CD"/>
    <w:rsid w:val="75CD1B97"/>
    <w:rsid w:val="75FC7A17"/>
    <w:rsid w:val="760A11E0"/>
    <w:rsid w:val="762430D2"/>
    <w:rsid w:val="76530DD9"/>
    <w:rsid w:val="76600D6D"/>
    <w:rsid w:val="76612DCA"/>
    <w:rsid w:val="766840FE"/>
    <w:rsid w:val="768E391F"/>
    <w:rsid w:val="76954F1D"/>
    <w:rsid w:val="76CC75F6"/>
    <w:rsid w:val="76D041DB"/>
    <w:rsid w:val="76DB2566"/>
    <w:rsid w:val="773348CC"/>
    <w:rsid w:val="776125B0"/>
    <w:rsid w:val="778925D9"/>
    <w:rsid w:val="77D17909"/>
    <w:rsid w:val="77DE0B76"/>
    <w:rsid w:val="77E31CE9"/>
    <w:rsid w:val="7805298F"/>
    <w:rsid w:val="78324A1E"/>
    <w:rsid w:val="783D525A"/>
    <w:rsid w:val="784B37E8"/>
    <w:rsid w:val="785B21C7"/>
    <w:rsid w:val="789E419E"/>
    <w:rsid w:val="78B6564F"/>
    <w:rsid w:val="78C209AA"/>
    <w:rsid w:val="78CD25BE"/>
    <w:rsid w:val="79052035"/>
    <w:rsid w:val="793F34EF"/>
    <w:rsid w:val="796A7A14"/>
    <w:rsid w:val="79733540"/>
    <w:rsid w:val="797A1017"/>
    <w:rsid w:val="799437AC"/>
    <w:rsid w:val="79CB4151"/>
    <w:rsid w:val="79D12015"/>
    <w:rsid w:val="79DD294E"/>
    <w:rsid w:val="79E611C8"/>
    <w:rsid w:val="79F27A14"/>
    <w:rsid w:val="7A07011E"/>
    <w:rsid w:val="7A7A782F"/>
    <w:rsid w:val="7A83373D"/>
    <w:rsid w:val="7A865955"/>
    <w:rsid w:val="7AA93859"/>
    <w:rsid w:val="7AC2652D"/>
    <w:rsid w:val="7AC33FD8"/>
    <w:rsid w:val="7AC7009C"/>
    <w:rsid w:val="7AE702A9"/>
    <w:rsid w:val="7AE86092"/>
    <w:rsid w:val="7B064FA9"/>
    <w:rsid w:val="7B072C89"/>
    <w:rsid w:val="7B424F78"/>
    <w:rsid w:val="7B614FF5"/>
    <w:rsid w:val="7B821741"/>
    <w:rsid w:val="7B850C2C"/>
    <w:rsid w:val="7BEE2DF8"/>
    <w:rsid w:val="7C577F94"/>
    <w:rsid w:val="7C581BED"/>
    <w:rsid w:val="7C6F1AA6"/>
    <w:rsid w:val="7C8212CA"/>
    <w:rsid w:val="7CD47696"/>
    <w:rsid w:val="7D0D7717"/>
    <w:rsid w:val="7D607410"/>
    <w:rsid w:val="7D6F6D8F"/>
    <w:rsid w:val="7D9D0B8C"/>
    <w:rsid w:val="7DAC22A3"/>
    <w:rsid w:val="7DD554DA"/>
    <w:rsid w:val="7DD95F38"/>
    <w:rsid w:val="7DDF4763"/>
    <w:rsid w:val="7DF312AC"/>
    <w:rsid w:val="7E09234E"/>
    <w:rsid w:val="7E130B1F"/>
    <w:rsid w:val="7E5F0DAF"/>
    <w:rsid w:val="7E61046A"/>
    <w:rsid w:val="7E620D55"/>
    <w:rsid w:val="7E665F8C"/>
    <w:rsid w:val="7E86573B"/>
    <w:rsid w:val="7E970A50"/>
    <w:rsid w:val="7E99193F"/>
    <w:rsid w:val="7E9C2016"/>
    <w:rsid w:val="7E9C6A8D"/>
    <w:rsid w:val="7F17138E"/>
    <w:rsid w:val="7F456D1B"/>
    <w:rsid w:val="7F857B2A"/>
    <w:rsid w:val="7F9239CD"/>
    <w:rsid w:val="7FA54456"/>
    <w:rsid w:val="7FD412E2"/>
    <w:rsid w:val="7FEA7F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54"/>
    <w:qFormat/>
    <w:uiPriority w:val="0"/>
    <w:pPr>
      <w:keepNext/>
      <w:keepLines/>
      <w:spacing w:after="120" w:line="360" w:lineRule="auto"/>
      <w:outlineLvl w:val="0"/>
    </w:pPr>
    <w:rPr>
      <w:kern w:val="44"/>
      <w:sz w:val="28"/>
      <w:szCs w:val="28"/>
    </w:rPr>
  </w:style>
  <w:style w:type="paragraph" w:styleId="4">
    <w:name w:val="heading 2"/>
    <w:basedOn w:val="1"/>
    <w:next w:val="1"/>
    <w:link w:val="57"/>
    <w:qFormat/>
    <w:uiPriority w:val="0"/>
    <w:pPr>
      <w:keepNext/>
      <w:keepLines/>
      <w:spacing w:before="120" w:after="120"/>
      <w:ind w:left="454" w:firstLine="212" w:firstLineChars="88"/>
      <w:jc w:val="left"/>
      <w:outlineLvl w:val="1"/>
    </w:pPr>
    <w:rPr>
      <w:rFonts w:ascii="Arial" w:hAnsi="Arial"/>
      <w:b/>
      <w:color w:val="000000"/>
      <w:kern w:val="0"/>
      <w:sz w:val="24"/>
      <w:szCs w:val="24"/>
    </w:rPr>
  </w:style>
  <w:style w:type="paragraph" w:styleId="5">
    <w:name w:val="heading 3"/>
    <w:basedOn w:val="1"/>
    <w:next w:val="1"/>
    <w:link w:val="58"/>
    <w:qFormat/>
    <w:uiPriority w:val="0"/>
    <w:pPr>
      <w:widowControl/>
      <w:spacing w:before="100" w:beforeAutospacing="1" w:after="100" w:afterAutospacing="1"/>
      <w:jc w:val="left"/>
      <w:outlineLvl w:val="2"/>
    </w:pPr>
    <w:rPr>
      <w:rFonts w:ascii="宋体" w:hAnsi="宋体"/>
      <w:kern w:val="0"/>
      <w:sz w:val="27"/>
      <w:szCs w:val="27"/>
    </w:rPr>
  </w:style>
  <w:style w:type="paragraph" w:styleId="6">
    <w:name w:val="heading 4"/>
    <w:basedOn w:val="5"/>
    <w:next w:val="2"/>
    <w:link w:val="59"/>
    <w:qFormat/>
    <w:uiPriority w:val="0"/>
    <w:pPr>
      <w:keepNext/>
      <w:keepLines/>
      <w:widowControl w:val="0"/>
      <w:numPr>
        <w:ilvl w:val="3"/>
        <w:numId w:val="1"/>
      </w:numPr>
      <w:spacing w:beforeLines="50" w:beforeAutospacing="0" w:afterLines="50" w:afterAutospacing="0" w:line="360" w:lineRule="auto"/>
      <w:outlineLvl w:val="3"/>
    </w:pPr>
    <w:rPr>
      <w:rFonts w:ascii="Arial" w:hAnsi="Arial"/>
      <w:color w:val="000000"/>
      <w:kern w:val="2"/>
      <w:sz w:val="21"/>
      <w:szCs w:val="21"/>
    </w:rPr>
  </w:style>
  <w:style w:type="paragraph" w:styleId="7">
    <w:name w:val="heading 5"/>
    <w:basedOn w:val="6"/>
    <w:next w:val="2"/>
    <w:link w:val="60"/>
    <w:qFormat/>
    <w:uiPriority w:val="0"/>
    <w:pPr>
      <w:numPr>
        <w:ilvl w:val="4"/>
      </w:numPr>
      <w:spacing w:line="240" w:lineRule="exact"/>
      <w:outlineLvl w:val="4"/>
    </w:pPr>
  </w:style>
  <w:style w:type="paragraph" w:styleId="8">
    <w:name w:val="heading 6"/>
    <w:basedOn w:val="1"/>
    <w:next w:val="1"/>
    <w:link w:val="61"/>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9">
    <w:name w:val="heading 7"/>
    <w:basedOn w:val="1"/>
    <w:next w:val="2"/>
    <w:link w:val="62"/>
    <w:qFormat/>
    <w:uiPriority w:val="0"/>
    <w:pPr>
      <w:keepNext/>
      <w:keepLines/>
      <w:numPr>
        <w:ilvl w:val="6"/>
        <w:numId w:val="1"/>
      </w:numPr>
      <w:spacing w:before="240" w:after="64" w:line="320" w:lineRule="auto"/>
      <w:outlineLvl w:val="6"/>
    </w:pPr>
    <w:rPr>
      <w:b/>
      <w:sz w:val="24"/>
      <w:szCs w:val="20"/>
    </w:rPr>
  </w:style>
  <w:style w:type="paragraph" w:styleId="10">
    <w:name w:val="heading 8"/>
    <w:basedOn w:val="1"/>
    <w:next w:val="2"/>
    <w:link w:val="63"/>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1">
    <w:name w:val="heading 9"/>
    <w:basedOn w:val="1"/>
    <w:next w:val="2"/>
    <w:link w:val="64"/>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eastAsia="等线"/>
      <w:szCs w:val="20"/>
    </w:rPr>
  </w:style>
  <w:style w:type="paragraph" w:styleId="12">
    <w:name w:val="Document Map"/>
    <w:basedOn w:val="1"/>
    <w:link w:val="65"/>
    <w:qFormat/>
    <w:uiPriority w:val="0"/>
    <w:pPr>
      <w:shd w:val="clear" w:color="auto" w:fill="000080"/>
    </w:pPr>
    <w:rPr>
      <w:kern w:val="0"/>
      <w:sz w:val="20"/>
      <w:szCs w:val="20"/>
    </w:rPr>
  </w:style>
  <w:style w:type="paragraph" w:styleId="13">
    <w:name w:val="annotation text"/>
    <w:basedOn w:val="1"/>
    <w:next w:val="1"/>
    <w:link w:val="66"/>
    <w:qFormat/>
    <w:uiPriority w:val="0"/>
    <w:pPr>
      <w:spacing w:line="360" w:lineRule="auto"/>
      <w:ind w:firstLine="523" w:firstLineChars="218"/>
      <w:jc w:val="left"/>
    </w:pPr>
    <w:rPr>
      <w:rFonts w:ascii="宋体" w:hAnsi="宋体"/>
      <w:kern w:val="0"/>
      <w:sz w:val="24"/>
      <w:szCs w:val="24"/>
    </w:rPr>
  </w:style>
  <w:style w:type="paragraph" w:styleId="14">
    <w:name w:val="Body Text"/>
    <w:basedOn w:val="1"/>
    <w:next w:val="1"/>
    <w:link w:val="55"/>
    <w:qFormat/>
    <w:uiPriority w:val="0"/>
    <w:pPr>
      <w:spacing w:after="120"/>
    </w:pPr>
    <w:rPr>
      <w:kern w:val="0"/>
      <w:sz w:val="20"/>
      <w:szCs w:val="20"/>
    </w:rPr>
  </w:style>
  <w:style w:type="paragraph" w:styleId="15">
    <w:name w:val="Body Text Indent"/>
    <w:basedOn w:val="1"/>
    <w:next w:val="16"/>
    <w:link w:val="51"/>
    <w:qFormat/>
    <w:uiPriority w:val="0"/>
    <w:pPr>
      <w:ind w:firstLine="570"/>
    </w:pPr>
    <w:rPr>
      <w:kern w:val="0"/>
      <w:sz w:val="28"/>
      <w:szCs w:val="20"/>
    </w:rPr>
  </w:style>
  <w:style w:type="paragraph" w:styleId="16">
    <w:name w:val="envelope return"/>
    <w:basedOn w:val="1"/>
    <w:qFormat/>
    <w:uiPriority w:val="0"/>
    <w:pPr>
      <w:snapToGrid w:val="0"/>
    </w:pPr>
    <w:rPr>
      <w:rFonts w:ascii="Arial" w:hAnsi="Arial"/>
      <w:szCs w:val="24"/>
    </w:rPr>
  </w:style>
  <w:style w:type="paragraph" w:styleId="17">
    <w:name w:val="Block Text"/>
    <w:basedOn w:val="1"/>
    <w:unhideWhenUsed/>
    <w:qFormat/>
    <w:uiPriority w:val="99"/>
    <w:pPr>
      <w:spacing w:after="120"/>
      <w:ind w:left="1440" w:leftChars="700" w:right="1440" w:rightChars="700"/>
    </w:pPr>
  </w:style>
  <w:style w:type="paragraph" w:styleId="18">
    <w:name w:val="toc 3"/>
    <w:basedOn w:val="1"/>
    <w:next w:val="1"/>
    <w:qFormat/>
    <w:uiPriority w:val="0"/>
    <w:pPr>
      <w:snapToGrid w:val="0"/>
      <w:spacing w:line="360" w:lineRule="auto"/>
      <w:ind w:left="400" w:leftChars="400"/>
      <w:jc w:val="left"/>
    </w:pPr>
    <w:rPr>
      <w:rFonts w:eastAsia="等线"/>
      <w:sz w:val="24"/>
      <w:szCs w:val="20"/>
    </w:rPr>
  </w:style>
  <w:style w:type="paragraph" w:styleId="19">
    <w:name w:val="Plain Text"/>
    <w:basedOn w:val="1"/>
    <w:next w:val="1"/>
    <w:link w:val="67"/>
    <w:qFormat/>
    <w:uiPriority w:val="99"/>
    <w:rPr>
      <w:rFonts w:ascii="宋体" w:hAnsi="Courier New"/>
      <w:kern w:val="0"/>
      <w:sz w:val="20"/>
      <w:szCs w:val="20"/>
    </w:rPr>
  </w:style>
  <w:style w:type="paragraph" w:styleId="20">
    <w:name w:val="Date"/>
    <w:basedOn w:val="1"/>
    <w:next w:val="1"/>
    <w:link w:val="68"/>
    <w:qFormat/>
    <w:uiPriority w:val="0"/>
    <w:rPr>
      <w:kern w:val="0"/>
      <w:sz w:val="20"/>
      <w:szCs w:val="20"/>
    </w:rPr>
  </w:style>
  <w:style w:type="paragraph" w:styleId="21">
    <w:name w:val="Body Text Indent 2"/>
    <w:basedOn w:val="1"/>
    <w:link w:val="69"/>
    <w:qFormat/>
    <w:uiPriority w:val="0"/>
    <w:pPr>
      <w:spacing w:line="400" w:lineRule="exact"/>
      <w:ind w:left="425"/>
    </w:pPr>
    <w:rPr>
      <w:color w:val="000000"/>
      <w:kern w:val="0"/>
      <w:sz w:val="24"/>
      <w:szCs w:val="20"/>
    </w:rPr>
  </w:style>
  <w:style w:type="paragraph" w:styleId="22">
    <w:name w:val="endnote text"/>
    <w:basedOn w:val="1"/>
    <w:link w:val="70"/>
    <w:qFormat/>
    <w:uiPriority w:val="0"/>
    <w:pPr>
      <w:snapToGrid w:val="0"/>
      <w:jc w:val="left"/>
    </w:pPr>
    <w:rPr>
      <w:kern w:val="0"/>
      <w:sz w:val="20"/>
      <w:szCs w:val="20"/>
    </w:rPr>
  </w:style>
  <w:style w:type="paragraph" w:styleId="23">
    <w:name w:val="Balloon Text"/>
    <w:basedOn w:val="1"/>
    <w:link w:val="71"/>
    <w:qFormat/>
    <w:uiPriority w:val="0"/>
    <w:rPr>
      <w:kern w:val="0"/>
      <w:sz w:val="18"/>
      <w:szCs w:val="18"/>
    </w:rPr>
  </w:style>
  <w:style w:type="paragraph" w:styleId="24">
    <w:name w:val="footer"/>
    <w:basedOn w:val="1"/>
    <w:link w:val="72"/>
    <w:qFormat/>
    <w:uiPriority w:val="0"/>
    <w:pPr>
      <w:tabs>
        <w:tab w:val="center" w:pos="4153"/>
        <w:tab w:val="right" w:pos="8306"/>
      </w:tabs>
      <w:snapToGrid w:val="0"/>
      <w:jc w:val="left"/>
    </w:pPr>
    <w:rPr>
      <w:rFonts w:ascii="Calibri" w:hAnsi="Calibri"/>
      <w:kern w:val="0"/>
      <w:sz w:val="18"/>
      <w:szCs w:val="18"/>
    </w:rPr>
  </w:style>
  <w:style w:type="paragraph" w:styleId="25">
    <w:name w:val="header"/>
    <w:basedOn w:val="1"/>
    <w:link w:val="73"/>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6">
    <w:name w:val="toc 1"/>
    <w:basedOn w:val="1"/>
    <w:next w:val="1"/>
    <w:qFormat/>
    <w:uiPriority w:val="0"/>
    <w:pPr>
      <w:tabs>
        <w:tab w:val="right" w:leader="dot" w:pos="9060"/>
      </w:tabs>
      <w:adjustRightInd w:val="0"/>
      <w:snapToGrid w:val="0"/>
      <w:spacing w:line="360" w:lineRule="auto"/>
      <w:jc w:val="left"/>
      <w:textAlignment w:val="baseline"/>
    </w:pPr>
    <w:rPr>
      <w:rFonts w:ascii="宋体" w:hAnsi="宋体" w:eastAsia="等线"/>
      <w:caps/>
      <w:kern w:val="0"/>
      <w:sz w:val="24"/>
      <w:szCs w:val="32"/>
    </w:rPr>
  </w:style>
  <w:style w:type="paragraph" w:styleId="27">
    <w:name w:val="Subtitle"/>
    <w:basedOn w:val="1"/>
    <w:next w:val="1"/>
    <w:link w:val="74"/>
    <w:qFormat/>
    <w:uiPriority w:val="0"/>
    <w:pPr>
      <w:spacing w:before="240" w:after="60" w:line="312" w:lineRule="auto"/>
      <w:jc w:val="center"/>
      <w:outlineLvl w:val="1"/>
    </w:pPr>
    <w:rPr>
      <w:rFonts w:ascii="Cambria" w:hAnsi="Cambria" w:eastAsia="等线"/>
      <w:b/>
      <w:bCs/>
      <w:kern w:val="28"/>
      <w:sz w:val="32"/>
      <w:szCs w:val="32"/>
    </w:rPr>
  </w:style>
  <w:style w:type="paragraph" w:styleId="28">
    <w:name w:val="footnote text"/>
    <w:basedOn w:val="1"/>
    <w:link w:val="75"/>
    <w:qFormat/>
    <w:uiPriority w:val="0"/>
    <w:pPr>
      <w:snapToGrid w:val="0"/>
      <w:spacing w:line="360" w:lineRule="auto"/>
      <w:ind w:firstLine="523" w:firstLineChars="218"/>
      <w:jc w:val="left"/>
    </w:pPr>
    <w:rPr>
      <w:rFonts w:ascii="宋体" w:hAnsi="宋体"/>
      <w:kern w:val="0"/>
      <w:sz w:val="18"/>
      <w:szCs w:val="18"/>
    </w:rPr>
  </w:style>
  <w:style w:type="paragraph" w:styleId="29">
    <w:name w:val="toc 6"/>
    <w:basedOn w:val="1"/>
    <w:next w:val="1"/>
    <w:qFormat/>
    <w:uiPriority w:val="0"/>
    <w:pPr>
      <w:ind w:left="1000" w:leftChars="1000"/>
    </w:pPr>
    <w:rPr>
      <w:rFonts w:ascii="Times New Roman" w:hAnsi="Times New Roman"/>
    </w:rPr>
  </w:style>
  <w:style w:type="paragraph" w:styleId="30">
    <w:name w:val="Body Text Indent 3"/>
    <w:basedOn w:val="1"/>
    <w:link w:val="76"/>
    <w:qFormat/>
    <w:uiPriority w:val="0"/>
    <w:pPr>
      <w:tabs>
        <w:tab w:val="left" w:pos="0"/>
      </w:tabs>
      <w:spacing w:line="400" w:lineRule="exact"/>
      <w:ind w:left="563" w:leftChars="228" w:hanging="84" w:hangingChars="35"/>
    </w:pPr>
    <w:rPr>
      <w:color w:val="000000"/>
      <w:kern w:val="0"/>
      <w:sz w:val="24"/>
      <w:szCs w:val="20"/>
    </w:rPr>
  </w:style>
  <w:style w:type="paragraph" w:styleId="31">
    <w:name w:val="toc 2"/>
    <w:basedOn w:val="1"/>
    <w:next w:val="1"/>
    <w:qFormat/>
    <w:uiPriority w:val="0"/>
    <w:pPr>
      <w:tabs>
        <w:tab w:val="right" w:leader="dot" w:pos="9060"/>
      </w:tabs>
      <w:snapToGrid w:val="0"/>
      <w:spacing w:line="360" w:lineRule="auto"/>
      <w:ind w:left="420" w:leftChars="200"/>
      <w:jc w:val="left"/>
    </w:pPr>
    <w:rPr>
      <w:rFonts w:eastAsia="等线"/>
      <w:sz w:val="24"/>
      <w:szCs w:val="24"/>
    </w:rPr>
  </w:style>
  <w:style w:type="paragraph" w:styleId="32">
    <w:name w:val="Body Text 2"/>
    <w:basedOn w:val="1"/>
    <w:link w:val="77"/>
    <w:qFormat/>
    <w:uiPriority w:val="0"/>
    <w:rPr>
      <w:rFonts w:ascii="宋体" w:hAnsi="宋体"/>
      <w:kern w:val="0"/>
      <w:sz w:val="20"/>
      <w:szCs w:val="24"/>
      <w:u w:val="single"/>
    </w:rPr>
  </w:style>
  <w:style w:type="paragraph" w:styleId="33">
    <w:name w:val="Normal (Web)"/>
    <w:basedOn w:val="1"/>
    <w:qFormat/>
    <w:uiPriority w:val="0"/>
    <w:pPr>
      <w:widowControl/>
      <w:spacing w:before="100" w:beforeAutospacing="1" w:after="100" w:afterAutospacing="1"/>
      <w:jc w:val="left"/>
    </w:pPr>
    <w:rPr>
      <w:rFonts w:ascii="宋体" w:hAnsi="宋体" w:eastAsia="等线"/>
      <w:kern w:val="0"/>
      <w:sz w:val="24"/>
      <w:szCs w:val="24"/>
    </w:rPr>
  </w:style>
  <w:style w:type="paragraph" w:styleId="34">
    <w:name w:val="index 1"/>
    <w:basedOn w:val="1"/>
    <w:next w:val="1"/>
    <w:qFormat/>
    <w:uiPriority w:val="0"/>
    <w:rPr>
      <w:rFonts w:eastAsia="仿宋_GB2312"/>
      <w:sz w:val="28"/>
      <w:szCs w:val="20"/>
    </w:rPr>
  </w:style>
  <w:style w:type="paragraph" w:styleId="35">
    <w:name w:val="Title"/>
    <w:basedOn w:val="1"/>
    <w:link w:val="53"/>
    <w:qFormat/>
    <w:uiPriority w:val="0"/>
    <w:pPr>
      <w:spacing w:before="120" w:after="60"/>
      <w:jc w:val="center"/>
    </w:pPr>
    <w:rPr>
      <w:rFonts w:ascii="Arial" w:hAnsi="Arial"/>
      <w:b/>
      <w:kern w:val="0"/>
      <w:sz w:val="44"/>
      <w:szCs w:val="20"/>
    </w:rPr>
  </w:style>
  <w:style w:type="paragraph" w:styleId="36">
    <w:name w:val="annotation subject"/>
    <w:basedOn w:val="13"/>
    <w:next w:val="13"/>
    <w:link w:val="78"/>
    <w:qFormat/>
    <w:uiPriority w:val="0"/>
    <w:rPr>
      <w:b/>
      <w:bCs/>
    </w:rPr>
  </w:style>
  <w:style w:type="paragraph" w:styleId="37">
    <w:name w:val="Body Text First Indent"/>
    <w:basedOn w:val="14"/>
    <w:next w:val="29"/>
    <w:link w:val="56"/>
    <w:qFormat/>
    <w:uiPriority w:val="0"/>
    <w:pPr>
      <w:ind w:firstLine="420"/>
    </w:pPr>
    <w:rPr>
      <w:rFonts w:ascii="等线" w:hAnsi="等线" w:eastAsia="等线"/>
    </w:rPr>
  </w:style>
  <w:style w:type="paragraph" w:styleId="38">
    <w:name w:val="Body Text First Indent 2"/>
    <w:basedOn w:val="15"/>
    <w:link w:val="52"/>
    <w:unhideWhenUsed/>
    <w:qFormat/>
    <w:uiPriority w:val="99"/>
    <w:pPr>
      <w:spacing w:after="120"/>
      <w:ind w:left="420" w:leftChars="200" w:firstLine="420" w:firstLineChars="200"/>
    </w:pPr>
    <w:rPr>
      <w:kern w:val="2"/>
      <w:sz w:val="21"/>
      <w:szCs w:val="22"/>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rFonts w:ascii="等线" w:hAnsi="等线" w:eastAsia="等线" w:cs="Times New Roman"/>
      <w:b/>
    </w:rPr>
  </w:style>
  <w:style w:type="character" w:styleId="43">
    <w:name w:val="endnote reference"/>
    <w:qFormat/>
    <w:uiPriority w:val="0"/>
    <w:rPr>
      <w:rFonts w:ascii="等线" w:hAnsi="等线" w:eastAsia="等线" w:cs="Times New Roman"/>
      <w:vertAlign w:val="superscript"/>
    </w:rPr>
  </w:style>
  <w:style w:type="character" w:styleId="44">
    <w:name w:val="page number"/>
    <w:qFormat/>
    <w:uiPriority w:val="0"/>
    <w:rPr>
      <w:rFonts w:ascii="等线" w:hAnsi="等线" w:eastAsia="等线" w:cs="Times New Roman"/>
    </w:rPr>
  </w:style>
  <w:style w:type="character" w:styleId="45">
    <w:name w:val="FollowedHyperlink"/>
    <w:qFormat/>
    <w:uiPriority w:val="0"/>
    <w:rPr>
      <w:rFonts w:ascii="等线" w:hAnsi="等线" w:eastAsia="等线" w:cs="Times New Roman"/>
      <w:color w:val="954F72"/>
      <w:u w:val="single"/>
    </w:rPr>
  </w:style>
  <w:style w:type="character" w:styleId="46">
    <w:name w:val="line number"/>
    <w:qFormat/>
    <w:uiPriority w:val="0"/>
    <w:rPr>
      <w:rFonts w:ascii="等线" w:hAnsi="等线" w:eastAsia="等线" w:cs="Times New Roman"/>
    </w:rPr>
  </w:style>
  <w:style w:type="character" w:styleId="47">
    <w:name w:val="Hyperlink"/>
    <w:qFormat/>
    <w:uiPriority w:val="0"/>
    <w:rPr>
      <w:rFonts w:ascii="等线" w:hAnsi="等线" w:eastAsia="等线" w:cs="Times New Roman"/>
      <w:color w:val="0000FF"/>
      <w:u w:val="single"/>
    </w:rPr>
  </w:style>
  <w:style w:type="character" w:styleId="48">
    <w:name w:val="annotation reference"/>
    <w:qFormat/>
    <w:uiPriority w:val="0"/>
    <w:rPr>
      <w:rFonts w:ascii="等线" w:hAnsi="等线" w:eastAsia="等线" w:cs="Times New Roman"/>
      <w:sz w:val="21"/>
      <w:szCs w:val="21"/>
    </w:rPr>
  </w:style>
  <w:style w:type="character" w:styleId="49">
    <w:name w:val="footnote reference"/>
    <w:qFormat/>
    <w:uiPriority w:val="0"/>
    <w:rPr>
      <w:rFonts w:ascii="等线" w:hAnsi="等线" w:eastAsia="等线" w:cs="Times New Roman"/>
      <w:vertAlign w:val="superscript"/>
    </w:rPr>
  </w:style>
  <w:style w:type="paragraph" w:customStyle="1" w:styleId="50">
    <w:name w:val="PlainText"/>
    <w:basedOn w:val="1"/>
    <w:qFormat/>
    <w:uiPriority w:val="0"/>
    <w:pPr>
      <w:textAlignment w:val="baseline"/>
    </w:pPr>
    <w:rPr>
      <w:rFonts w:ascii="宋体" w:hAnsi="Courier New" w:cs="Calibri"/>
      <w:color w:val="000000"/>
      <w:kern w:val="0"/>
      <w:sz w:val="20"/>
      <w:szCs w:val="20"/>
    </w:rPr>
  </w:style>
  <w:style w:type="character" w:customStyle="1" w:styleId="51">
    <w:name w:val="正文文本缩进 字符1"/>
    <w:link w:val="15"/>
    <w:qFormat/>
    <w:uiPriority w:val="0"/>
    <w:rPr>
      <w:rFonts w:ascii="Times New Roman" w:hAnsi="Times New Roman" w:eastAsia="宋体" w:cs="Times New Roman"/>
      <w:sz w:val="28"/>
      <w:szCs w:val="20"/>
    </w:rPr>
  </w:style>
  <w:style w:type="character" w:customStyle="1" w:styleId="52">
    <w:name w:val="正文文本首行缩进 2 字符"/>
    <w:basedOn w:val="51"/>
    <w:link w:val="38"/>
    <w:qFormat/>
    <w:uiPriority w:val="99"/>
    <w:rPr>
      <w:rFonts w:ascii="Times New Roman" w:hAnsi="Times New Roman" w:eastAsia="宋体" w:cs="Times New Roman"/>
      <w:kern w:val="2"/>
      <w:sz w:val="21"/>
      <w:szCs w:val="22"/>
    </w:rPr>
  </w:style>
  <w:style w:type="character" w:customStyle="1" w:styleId="53">
    <w:name w:val="标题 字符1"/>
    <w:link w:val="35"/>
    <w:qFormat/>
    <w:uiPriority w:val="0"/>
    <w:rPr>
      <w:rFonts w:ascii="Arial" w:hAnsi="Arial" w:eastAsia="宋体" w:cs="Times New Roman"/>
      <w:b/>
      <w:sz w:val="44"/>
      <w:szCs w:val="20"/>
    </w:rPr>
  </w:style>
  <w:style w:type="character" w:customStyle="1" w:styleId="54">
    <w:name w:val="标题 1 字符1"/>
    <w:link w:val="3"/>
    <w:qFormat/>
    <w:uiPriority w:val="0"/>
    <w:rPr>
      <w:rFonts w:ascii="Arial" w:hAnsi="Arial" w:eastAsia="宋体" w:cs="Times New Roman"/>
      <w:b/>
      <w:kern w:val="44"/>
      <w:sz w:val="28"/>
      <w:szCs w:val="28"/>
    </w:rPr>
  </w:style>
  <w:style w:type="character" w:customStyle="1" w:styleId="55">
    <w:name w:val="正文文本 字符1"/>
    <w:link w:val="14"/>
    <w:qFormat/>
    <w:uiPriority w:val="0"/>
    <w:rPr>
      <w:rFonts w:ascii="Times New Roman" w:hAnsi="Times New Roman" w:eastAsia="宋体" w:cs="Times New Roman"/>
      <w:szCs w:val="20"/>
    </w:rPr>
  </w:style>
  <w:style w:type="character" w:customStyle="1" w:styleId="56">
    <w:name w:val="正文文本首行缩进 字符"/>
    <w:link w:val="37"/>
    <w:qFormat/>
    <w:uiPriority w:val="0"/>
    <w:rPr>
      <w:rFonts w:ascii="等线" w:hAnsi="等线" w:eastAsia="等线" w:cs="Times New Roman"/>
    </w:rPr>
  </w:style>
  <w:style w:type="character" w:customStyle="1" w:styleId="57">
    <w:name w:val="标题 2 字符1"/>
    <w:link w:val="4"/>
    <w:qFormat/>
    <w:uiPriority w:val="0"/>
    <w:rPr>
      <w:rFonts w:ascii="Arial" w:hAnsi="Arial" w:eastAsia="宋体" w:cs="Times New Roman"/>
      <w:b/>
      <w:color w:val="000000"/>
      <w:sz w:val="24"/>
      <w:szCs w:val="24"/>
    </w:rPr>
  </w:style>
  <w:style w:type="character" w:customStyle="1" w:styleId="58">
    <w:name w:val="标题 3 字符1"/>
    <w:link w:val="5"/>
    <w:qFormat/>
    <w:uiPriority w:val="0"/>
    <w:rPr>
      <w:rFonts w:ascii="宋体" w:hAnsi="宋体" w:eastAsia="宋体" w:cs="宋体"/>
      <w:kern w:val="0"/>
      <w:sz w:val="27"/>
      <w:szCs w:val="27"/>
    </w:rPr>
  </w:style>
  <w:style w:type="character" w:customStyle="1" w:styleId="59">
    <w:name w:val="标题 4 字符1"/>
    <w:link w:val="6"/>
    <w:qFormat/>
    <w:uiPriority w:val="0"/>
    <w:rPr>
      <w:rFonts w:ascii="Arial" w:hAnsi="Arial" w:eastAsia="宋体" w:cs="Times New Roman"/>
      <w:color w:val="000000"/>
      <w:kern w:val="2"/>
      <w:sz w:val="21"/>
      <w:szCs w:val="21"/>
    </w:rPr>
  </w:style>
  <w:style w:type="character" w:customStyle="1" w:styleId="60">
    <w:name w:val="标题 5 字符1"/>
    <w:link w:val="7"/>
    <w:qFormat/>
    <w:uiPriority w:val="0"/>
    <w:rPr>
      <w:rFonts w:ascii="Arial" w:hAnsi="Arial" w:eastAsia="宋体" w:cs="Times New Roman"/>
      <w:color w:val="000000"/>
      <w:kern w:val="2"/>
      <w:sz w:val="21"/>
      <w:szCs w:val="21"/>
    </w:rPr>
  </w:style>
  <w:style w:type="character" w:customStyle="1" w:styleId="61">
    <w:name w:val="标题 6 字符1"/>
    <w:link w:val="8"/>
    <w:qFormat/>
    <w:uiPriority w:val="0"/>
    <w:rPr>
      <w:rFonts w:ascii="Arial" w:hAnsi="Arial" w:eastAsia="黑体" w:cs="Times New Roman"/>
      <w:b/>
      <w:bCs/>
      <w:kern w:val="2"/>
      <w:sz w:val="24"/>
      <w:szCs w:val="24"/>
    </w:rPr>
  </w:style>
  <w:style w:type="character" w:customStyle="1" w:styleId="62">
    <w:name w:val="标题 7 字符1"/>
    <w:link w:val="9"/>
    <w:qFormat/>
    <w:uiPriority w:val="0"/>
    <w:rPr>
      <w:rFonts w:ascii="Times New Roman" w:hAnsi="Times New Roman" w:eastAsia="宋体" w:cs="Times New Roman"/>
      <w:b/>
      <w:kern w:val="2"/>
      <w:sz w:val="24"/>
    </w:rPr>
  </w:style>
  <w:style w:type="character" w:customStyle="1" w:styleId="63">
    <w:name w:val="标题 8 字符1"/>
    <w:link w:val="10"/>
    <w:qFormat/>
    <w:uiPriority w:val="0"/>
    <w:rPr>
      <w:rFonts w:ascii="Arial" w:hAnsi="Arial" w:eastAsia="黑体" w:cs="Times New Roman"/>
      <w:kern w:val="2"/>
      <w:sz w:val="24"/>
    </w:rPr>
  </w:style>
  <w:style w:type="character" w:customStyle="1" w:styleId="64">
    <w:name w:val="标题 9 字符1"/>
    <w:link w:val="11"/>
    <w:qFormat/>
    <w:uiPriority w:val="0"/>
    <w:rPr>
      <w:rFonts w:ascii="Arial" w:hAnsi="Arial" w:eastAsia="黑体" w:cs="Times New Roman"/>
      <w:kern w:val="2"/>
      <w:sz w:val="21"/>
    </w:rPr>
  </w:style>
  <w:style w:type="character" w:customStyle="1" w:styleId="65">
    <w:name w:val="文档结构图 字符1"/>
    <w:link w:val="12"/>
    <w:qFormat/>
    <w:uiPriority w:val="0"/>
    <w:rPr>
      <w:rFonts w:ascii="Times New Roman" w:hAnsi="Times New Roman" w:eastAsia="宋体" w:cs="Times New Roman"/>
      <w:szCs w:val="20"/>
      <w:shd w:val="clear" w:color="auto" w:fill="000080"/>
    </w:rPr>
  </w:style>
  <w:style w:type="character" w:customStyle="1" w:styleId="66">
    <w:name w:val="批注文字 字符1"/>
    <w:link w:val="13"/>
    <w:qFormat/>
    <w:uiPriority w:val="0"/>
    <w:rPr>
      <w:rFonts w:ascii="宋体" w:hAnsi="宋体" w:eastAsia="宋体" w:cs="Times New Roman"/>
      <w:sz w:val="24"/>
      <w:szCs w:val="24"/>
    </w:rPr>
  </w:style>
  <w:style w:type="character" w:customStyle="1" w:styleId="67">
    <w:name w:val="纯文本 字符1"/>
    <w:link w:val="19"/>
    <w:qFormat/>
    <w:uiPriority w:val="99"/>
    <w:rPr>
      <w:rFonts w:ascii="宋体" w:hAnsi="Courier New" w:eastAsia="宋体" w:cs="Times New Roman"/>
      <w:szCs w:val="20"/>
    </w:rPr>
  </w:style>
  <w:style w:type="character" w:customStyle="1" w:styleId="68">
    <w:name w:val="日期 字符1"/>
    <w:link w:val="20"/>
    <w:qFormat/>
    <w:uiPriority w:val="0"/>
    <w:rPr>
      <w:rFonts w:ascii="Times New Roman" w:hAnsi="Times New Roman" w:eastAsia="宋体" w:cs="Times New Roman"/>
      <w:szCs w:val="20"/>
    </w:rPr>
  </w:style>
  <w:style w:type="character" w:customStyle="1" w:styleId="69">
    <w:name w:val="正文文本缩进 2 字符1"/>
    <w:link w:val="21"/>
    <w:qFormat/>
    <w:uiPriority w:val="0"/>
    <w:rPr>
      <w:rFonts w:ascii="Times New Roman" w:hAnsi="Times New Roman" w:eastAsia="宋体" w:cs="Times New Roman"/>
      <w:color w:val="000000"/>
      <w:sz w:val="24"/>
      <w:szCs w:val="20"/>
    </w:rPr>
  </w:style>
  <w:style w:type="character" w:customStyle="1" w:styleId="70">
    <w:name w:val="尾注文本 字符1"/>
    <w:link w:val="22"/>
    <w:qFormat/>
    <w:uiPriority w:val="0"/>
    <w:rPr>
      <w:rFonts w:ascii="Times New Roman" w:hAnsi="Times New Roman" w:eastAsia="宋体" w:cs="Times New Roman"/>
      <w:szCs w:val="20"/>
    </w:rPr>
  </w:style>
  <w:style w:type="character" w:customStyle="1" w:styleId="71">
    <w:name w:val="批注框文本 字符1"/>
    <w:link w:val="23"/>
    <w:qFormat/>
    <w:uiPriority w:val="0"/>
    <w:rPr>
      <w:rFonts w:ascii="Times New Roman" w:hAnsi="Times New Roman" w:eastAsia="宋体" w:cs="Times New Roman"/>
      <w:sz w:val="18"/>
      <w:szCs w:val="18"/>
    </w:rPr>
  </w:style>
  <w:style w:type="character" w:customStyle="1" w:styleId="72">
    <w:name w:val="页脚 字符1"/>
    <w:link w:val="24"/>
    <w:qFormat/>
    <w:uiPriority w:val="0"/>
    <w:rPr>
      <w:rFonts w:ascii="Calibri" w:hAnsi="Calibri" w:eastAsia="宋体" w:cs="Times New Roman"/>
      <w:sz w:val="18"/>
      <w:szCs w:val="18"/>
    </w:rPr>
  </w:style>
  <w:style w:type="character" w:customStyle="1" w:styleId="73">
    <w:name w:val="页眉 字符1"/>
    <w:link w:val="25"/>
    <w:qFormat/>
    <w:uiPriority w:val="0"/>
    <w:rPr>
      <w:rFonts w:ascii="Calibri" w:hAnsi="Calibri" w:eastAsia="宋体" w:cs="Times New Roman"/>
      <w:sz w:val="18"/>
      <w:szCs w:val="18"/>
    </w:rPr>
  </w:style>
  <w:style w:type="character" w:customStyle="1" w:styleId="74">
    <w:name w:val="副标题 字符"/>
    <w:link w:val="27"/>
    <w:qFormat/>
    <w:uiPriority w:val="0"/>
    <w:rPr>
      <w:rFonts w:ascii="Cambria" w:hAnsi="Cambria" w:eastAsia="等线" w:cs="Times New Roman"/>
      <w:b/>
      <w:bCs/>
      <w:kern w:val="28"/>
      <w:sz w:val="32"/>
      <w:szCs w:val="32"/>
    </w:rPr>
  </w:style>
  <w:style w:type="character" w:customStyle="1" w:styleId="75">
    <w:name w:val="脚注文本 字符1"/>
    <w:link w:val="28"/>
    <w:qFormat/>
    <w:uiPriority w:val="0"/>
    <w:rPr>
      <w:rFonts w:ascii="宋体" w:hAnsi="宋体" w:eastAsia="宋体" w:cs="Times New Roman"/>
      <w:sz w:val="18"/>
      <w:szCs w:val="18"/>
    </w:rPr>
  </w:style>
  <w:style w:type="character" w:customStyle="1" w:styleId="76">
    <w:name w:val="正文文本缩进 3 字符1"/>
    <w:link w:val="30"/>
    <w:qFormat/>
    <w:uiPriority w:val="0"/>
    <w:rPr>
      <w:rFonts w:ascii="Times New Roman" w:hAnsi="Times New Roman" w:eastAsia="宋体" w:cs="Times New Roman"/>
      <w:color w:val="000000"/>
      <w:sz w:val="24"/>
      <w:szCs w:val="20"/>
    </w:rPr>
  </w:style>
  <w:style w:type="character" w:customStyle="1" w:styleId="77">
    <w:name w:val="正文文本 2 字符1"/>
    <w:link w:val="32"/>
    <w:qFormat/>
    <w:uiPriority w:val="0"/>
    <w:rPr>
      <w:rFonts w:ascii="宋体" w:hAnsi="宋体" w:eastAsia="宋体" w:cs="Times New Roman"/>
      <w:szCs w:val="24"/>
      <w:u w:val="single"/>
    </w:rPr>
  </w:style>
  <w:style w:type="character" w:customStyle="1" w:styleId="78">
    <w:name w:val="批注主题 字符1"/>
    <w:link w:val="36"/>
    <w:qFormat/>
    <w:uiPriority w:val="0"/>
    <w:rPr>
      <w:rFonts w:ascii="宋体" w:hAnsi="宋体" w:eastAsia="宋体" w:cs="Times New Roman"/>
      <w:b/>
      <w:bCs/>
      <w:sz w:val="24"/>
      <w:szCs w:val="24"/>
    </w:rPr>
  </w:style>
  <w:style w:type="paragraph" w:customStyle="1" w:styleId="79">
    <w:name w:val="_Style 3"/>
    <w:basedOn w:val="1"/>
    <w:qFormat/>
    <w:uiPriority w:val="1"/>
    <w:pPr>
      <w:ind w:firstLine="420" w:firstLineChars="200"/>
    </w:pPr>
    <w:rPr>
      <w:sz w:val="20"/>
      <w:szCs w:val="24"/>
    </w:rPr>
  </w:style>
  <w:style w:type="character" w:customStyle="1" w:styleId="80">
    <w:name w:val="标题 4 字符"/>
    <w:qFormat/>
    <w:uiPriority w:val="0"/>
    <w:rPr>
      <w:rFonts w:ascii="等线 Light" w:hAnsi="等线 Light" w:eastAsia="等线 Light" w:cs="Times New Roman"/>
      <w:b/>
      <w:bCs/>
      <w:sz w:val="28"/>
      <w:szCs w:val="28"/>
    </w:rPr>
  </w:style>
  <w:style w:type="character" w:customStyle="1" w:styleId="81">
    <w:name w:val="标题 7 字符"/>
    <w:qFormat/>
    <w:uiPriority w:val="0"/>
    <w:rPr>
      <w:rFonts w:ascii="Calibri" w:hAnsi="Calibri" w:eastAsia="宋体" w:cs="Times New Roman"/>
      <w:b/>
      <w:bCs/>
      <w:sz w:val="24"/>
      <w:szCs w:val="24"/>
    </w:rPr>
  </w:style>
  <w:style w:type="character" w:customStyle="1" w:styleId="82">
    <w:name w:val="文一 Char"/>
    <w:link w:val="83"/>
    <w:qFormat/>
    <w:uiPriority w:val="0"/>
    <w:rPr>
      <w:rFonts w:ascii="等线" w:hAnsi="等线" w:eastAsia="宋体" w:cs="Times New Roman"/>
      <w:snapToGrid/>
      <w:spacing w:val="4"/>
      <w:sz w:val="24"/>
      <w:szCs w:val="24"/>
    </w:rPr>
  </w:style>
  <w:style w:type="paragraph" w:customStyle="1" w:styleId="83">
    <w:name w:val="文一"/>
    <w:basedOn w:val="1"/>
    <w:link w:val="82"/>
    <w:qFormat/>
    <w:uiPriority w:val="0"/>
    <w:pPr>
      <w:topLinePunct/>
      <w:adjustRightInd w:val="0"/>
      <w:snapToGrid w:val="0"/>
      <w:spacing w:line="360" w:lineRule="auto"/>
      <w:ind w:firstLine="200" w:firstLineChars="200"/>
    </w:pPr>
    <w:rPr>
      <w:rFonts w:ascii="等线" w:hAnsi="等线"/>
      <w:spacing w:val="4"/>
      <w:kern w:val="0"/>
      <w:sz w:val="24"/>
      <w:szCs w:val="24"/>
    </w:rPr>
  </w:style>
  <w:style w:type="character" w:customStyle="1" w:styleId="84">
    <w:name w:val="尾注文本 字符"/>
    <w:qFormat/>
    <w:uiPriority w:val="0"/>
    <w:rPr>
      <w:rFonts w:ascii="Calibri" w:hAnsi="Calibri" w:eastAsia="宋体" w:cs="Times New Roman"/>
    </w:rPr>
  </w:style>
  <w:style w:type="character" w:customStyle="1" w:styleId="85">
    <w:name w:val="标题 8 字符"/>
    <w:qFormat/>
    <w:uiPriority w:val="0"/>
    <w:rPr>
      <w:rFonts w:ascii="等线 Light" w:hAnsi="等线 Light" w:eastAsia="等线 Light" w:cs="Times New Roman"/>
      <w:sz w:val="24"/>
      <w:szCs w:val="24"/>
    </w:rPr>
  </w:style>
  <w:style w:type="character" w:customStyle="1" w:styleId="86">
    <w:name w:val="正文文本缩进 2 字符"/>
    <w:qFormat/>
    <w:uiPriority w:val="0"/>
    <w:rPr>
      <w:rFonts w:ascii="Calibri" w:hAnsi="Calibri" w:eastAsia="宋体" w:cs="Times New Roman"/>
    </w:rPr>
  </w:style>
  <w:style w:type="character" w:customStyle="1" w:styleId="87">
    <w:name w:val="正文文本缩进 3 字符"/>
    <w:qFormat/>
    <w:uiPriority w:val="0"/>
    <w:rPr>
      <w:rFonts w:ascii="Calibri" w:hAnsi="Calibri" w:eastAsia="宋体" w:cs="Times New Roman"/>
      <w:sz w:val="16"/>
      <w:szCs w:val="16"/>
    </w:rPr>
  </w:style>
  <w:style w:type="character" w:customStyle="1" w:styleId="88">
    <w:name w:val="font21"/>
    <w:qFormat/>
    <w:uiPriority w:val="0"/>
    <w:rPr>
      <w:rFonts w:hint="eastAsia" w:ascii="仿宋" w:hAnsi="仿宋" w:eastAsia="仿宋" w:cs="仿宋"/>
      <w:color w:val="000000"/>
      <w:sz w:val="28"/>
      <w:szCs w:val="28"/>
      <w:u w:val="none"/>
    </w:rPr>
  </w:style>
  <w:style w:type="character" w:customStyle="1" w:styleId="89">
    <w:name w:val="页脚 字符"/>
    <w:qFormat/>
    <w:uiPriority w:val="0"/>
    <w:rPr>
      <w:rFonts w:ascii="Calibri" w:hAnsi="Calibri" w:eastAsia="宋体" w:cs="Times New Roman"/>
      <w:sz w:val="18"/>
      <w:szCs w:val="18"/>
    </w:rPr>
  </w:style>
  <w:style w:type="character" w:customStyle="1" w:styleId="90">
    <w:name w:val="未处理的提及1"/>
    <w:qFormat/>
    <w:uiPriority w:val="0"/>
    <w:rPr>
      <w:rFonts w:ascii="等线" w:hAnsi="等线" w:eastAsia="等线" w:cs="Times New Roman"/>
      <w:color w:val="605E5C"/>
      <w:shd w:val="clear" w:color="auto" w:fill="E1DFDD"/>
    </w:rPr>
  </w:style>
  <w:style w:type="character" w:customStyle="1" w:styleId="91">
    <w:name w:val="正文首行缩进 字符"/>
    <w:qFormat/>
    <w:uiPriority w:val="0"/>
    <w:rPr>
      <w:rFonts w:ascii="等线" w:hAnsi="等线" w:eastAsia="等线" w:cs="Times New Roman"/>
    </w:rPr>
  </w:style>
  <w:style w:type="character" w:customStyle="1" w:styleId="92">
    <w:name w:val="正文文本缩进 2 Char1"/>
    <w:qFormat/>
    <w:uiPriority w:val="0"/>
    <w:rPr>
      <w:rFonts w:ascii="等线" w:hAnsi="等线" w:eastAsia="等线" w:cs="Times New Roman"/>
    </w:rPr>
  </w:style>
  <w:style w:type="character" w:customStyle="1" w:styleId="93">
    <w:name w:val="font31"/>
    <w:qFormat/>
    <w:uiPriority w:val="0"/>
    <w:rPr>
      <w:rFonts w:hint="eastAsia" w:ascii="仿宋" w:hAnsi="仿宋" w:eastAsia="仿宋" w:cs="仿宋"/>
      <w:b/>
      <w:color w:val="000000"/>
      <w:sz w:val="28"/>
      <w:szCs w:val="28"/>
      <w:u w:val="none"/>
    </w:rPr>
  </w:style>
  <w:style w:type="character" w:customStyle="1" w:styleId="94">
    <w:name w:val="正文首行缩进 Char1"/>
    <w:qFormat/>
    <w:uiPriority w:val="0"/>
    <w:rPr>
      <w:rFonts w:ascii="等线" w:hAnsi="等线" w:eastAsia="宋体" w:cs="Times New Roman"/>
      <w:kern w:val="2"/>
      <w:sz w:val="21"/>
      <w:lang w:val="en-US" w:eastAsia="zh-CN" w:bidi="ar-SA"/>
    </w:rPr>
  </w:style>
  <w:style w:type="character" w:customStyle="1" w:styleId="95">
    <w:name w:val="批注文字 Char2"/>
    <w:qFormat/>
    <w:uiPriority w:val="0"/>
    <w:rPr>
      <w:rFonts w:ascii="等线" w:hAnsi="等线" w:eastAsia="等线" w:cs="Times New Roman"/>
    </w:rPr>
  </w:style>
  <w:style w:type="character" w:customStyle="1" w:styleId="96">
    <w:name w:val="标题 9 字符"/>
    <w:qFormat/>
    <w:uiPriority w:val="0"/>
    <w:rPr>
      <w:rFonts w:ascii="等线 Light" w:hAnsi="等线 Light" w:eastAsia="等线 Light" w:cs="Times New Roman"/>
      <w:szCs w:val="21"/>
    </w:rPr>
  </w:style>
  <w:style w:type="character" w:customStyle="1" w:styleId="97">
    <w:name w:val="批注文字 字符"/>
    <w:qFormat/>
    <w:uiPriority w:val="0"/>
    <w:rPr>
      <w:rFonts w:ascii="Calibri" w:hAnsi="Calibri" w:eastAsia="宋体" w:cs="Times New Roman"/>
    </w:rPr>
  </w:style>
  <w:style w:type="character" w:customStyle="1" w:styleId="98">
    <w:name w:val="标题 3 字符"/>
    <w:qFormat/>
    <w:uiPriority w:val="0"/>
    <w:rPr>
      <w:rFonts w:ascii="Calibri" w:hAnsi="Calibri" w:eastAsia="宋体" w:cs="Times New Roman"/>
      <w:b/>
      <w:bCs/>
      <w:sz w:val="32"/>
      <w:szCs w:val="32"/>
    </w:rPr>
  </w:style>
  <w:style w:type="character" w:customStyle="1" w:styleId="99">
    <w:name w:val="正文文本 字符"/>
    <w:qFormat/>
    <w:uiPriority w:val="0"/>
    <w:rPr>
      <w:rFonts w:ascii="Calibri" w:hAnsi="Calibri" w:eastAsia="宋体" w:cs="Times New Roman"/>
    </w:rPr>
  </w:style>
  <w:style w:type="character" w:customStyle="1" w:styleId="100">
    <w:name w:val="标题 6 字符"/>
    <w:qFormat/>
    <w:uiPriority w:val="0"/>
    <w:rPr>
      <w:rFonts w:ascii="等线 Light" w:hAnsi="等线 Light" w:eastAsia="等线 Light" w:cs="Times New Roman"/>
      <w:b/>
      <w:bCs/>
      <w:sz w:val="24"/>
      <w:szCs w:val="24"/>
    </w:rPr>
  </w:style>
  <w:style w:type="character" w:customStyle="1" w:styleId="101">
    <w:name w:val="正文文本 2 字符"/>
    <w:qFormat/>
    <w:uiPriority w:val="0"/>
    <w:rPr>
      <w:rFonts w:ascii="Calibri" w:hAnsi="Calibri" w:eastAsia="宋体" w:cs="Times New Roman"/>
    </w:rPr>
  </w:style>
  <w:style w:type="character" w:customStyle="1" w:styleId="102">
    <w:name w:val="页眉 字符"/>
    <w:qFormat/>
    <w:uiPriority w:val="0"/>
    <w:rPr>
      <w:rFonts w:ascii="Calibri" w:hAnsi="Calibri" w:eastAsia="宋体" w:cs="Times New Roman"/>
      <w:sz w:val="18"/>
      <w:szCs w:val="18"/>
    </w:rPr>
  </w:style>
  <w:style w:type="character" w:customStyle="1" w:styleId="103">
    <w:name w:val="日期 字符"/>
    <w:qFormat/>
    <w:uiPriority w:val="0"/>
    <w:rPr>
      <w:rFonts w:ascii="Calibri" w:hAnsi="Calibri" w:eastAsia="宋体" w:cs="Times New Roman"/>
    </w:rPr>
  </w:style>
  <w:style w:type="character" w:customStyle="1" w:styleId="104">
    <w:name w:val="脚注文本 字符"/>
    <w:qFormat/>
    <w:uiPriority w:val="0"/>
    <w:rPr>
      <w:rFonts w:ascii="Calibri" w:hAnsi="Calibri" w:eastAsia="宋体" w:cs="Times New Roman"/>
      <w:sz w:val="18"/>
      <w:szCs w:val="18"/>
    </w:rPr>
  </w:style>
  <w:style w:type="character" w:customStyle="1" w:styleId="105">
    <w:name w:val="标题 1 字符"/>
    <w:qFormat/>
    <w:uiPriority w:val="0"/>
    <w:rPr>
      <w:rFonts w:ascii="Calibri" w:hAnsi="Calibri" w:eastAsia="宋体" w:cs="Times New Roman"/>
      <w:b/>
      <w:bCs/>
      <w:kern w:val="44"/>
      <w:sz w:val="44"/>
      <w:szCs w:val="44"/>
    </w:rPr>
  </w:style>
  <w:style w:type="character" w:customStyle="1" w:styleId="106">
    <w:name w:val="批注文字 Char1"/>
    <w:qFormat/>
    <w:uiPriority w:val="0"/>
    <w:rPr>
      <w:rFonts w:ascii="仿宋_GB2312" w:hAnsi="等线" w:eastAsia="宋体" w:cs="Times New Roman"/>
      <w:kern w:val="2"/>
      <w:sz w:val="21"/>
      <w:szCs w:val="32"/>
      <w:lang w:val="en-US" w:eastAsia="zh-CN" w:bidi="ar-SA"/>
    </w:rPr>
  </w:style>
  <w:style w:type="character" w:customStyle="1" w:styleId="107">
    <w:name w:val="标题 字符"/>
    <w:qFormat/>
    <w:uiPriority w:val="0"/>
    <w:rPr>
      <w:rFonts w:ascii="等线 Light" w:hAnsi="等线 Light" w:eastAsia="等线 Light" w:cs="Times New Roman"/>
      <w:b/>
      <w:bCs/>
      <w:sz w:val="32"/>
      <w:szCs w:val="32"/>
    </w:rPr>
  </w:style>
  <w:style w:type="character" w:customStyle="1" w:styleId="108">
    <w:name w:val="文档结构图 字符"/>
    <w:qFormat/>
    <w:uiPriority w:val="0"/>
    <w:rPr>
      <w:rFonts w:ascii="Microsoft YaHei UI" w:hAnsi="Calibri" w:eastAsia="Microsoft YaHei UI" w:cs="Times New Roman"/>
      <w:sz w:val="18"/>
      <w:szCs w:val="18"/>
    </w:rPr>
  </w:style>
  <w:style w:type="character" w:customStyle="1" w:styleId="109">
    <w:name w:val="NormalCharacter"/>
    <w:qFormat/>
    <w:uiPriority w:val="0"/>
  </w:style>
  <w:style w:type="character" w:customStyle="1" w:styleId="110">
    <w:name w:val="标题 2 字符"/>
    <w:qFormat/>
    <w:uiPriority w:val="0"/>
    <w:rPr>
      <w:rFonts w:ascii="等线 Light" w:hAnsi="等线 Light" w:eastAsia="等线 Light" w:cs="Times New Roman"/>
      <w:b/>
      <w:bCs/>
      <w:sz w:val="32"/>
      <w:szCs w:val="32"/>
    </w:rPr>
  </w:style>
  <w:style w:type="character" w:customStyle="1" w:styleId="111">
    <w:name w:val="批注框文本 Char3"/>
    <w:qFormat/>
    <w:uiPriority w:val="0"/>
    <w:rPr>
      <w:rFonts w:ascii="等线" w:hAnsi="等线" w:eastAsia="等线" w:cs="Times New Roman"/>
      <w:sz w:val="18"/>
      <w:szCs w:val="18"/>
      <w:lang w:eastAsia="en-US" w:bidi="en-US"/>
    </w:rPr>
  </w:style>
  <w:style w:type="character" w:customStyle="1" w:styleId="112">
    <w:name w:val="纯文本 字符"/>
    <w:qFormat/>
    <w:uiPriority w:val="0"/>
    <w:rPr>
      <w:rFonts w:ascii="等线" w:hAnsi="Courier New" w:eastAsia="等线" w:cs="Courier New"/>
    </w:rPr>
  </w:style>
  <w:style w:type="character" w:customStyle="1" w:styleId="113">
    <w:name w:val="批注主题 字符"/>
    <w:qFormat/>
    <w:uiPriority w:val="0"/>
    <w:rPr>
      <w:rFonts w:ascii="Calibri" w:hAnsi="Calibri" w:eastAsia="宋体" w:cs="Times New Roman"/>
      <w:b/>
      <w:bCs/>
    </w:rPr>
  </w:style>
  <w:style w:type="character" w:customStyle="1" w:styleId="114">
    <w:name w:val="副标题 Char1"/>
    <w:qFormat/>
    <w:uiPriority w:val="0"/>
    <w:rPr>
      <w:rFonts w:ascii="Cambria" w:hAnsi="Cambria" w:eastAsia="宋体" w:cs="Times New Roman"/>
      <w:b/>
      <w:bCs/>
      <w:kern w:val="28"/>
      <w:sz w:val="32"/>
      <w:szCs w:val="32"/>
    </w:rPr>
  </w:style>
  <w:style w:type="character" w:customStyle="1" w:styleId="115">
    <w:name w:val="s2"/>
    <w:qFormat/>
    <w:uiPriority w:val="0"/>
  </w:style>
  <w:style w:type="character" w:customStyle="1" w:styleId="116">
    <w:name w:val="正文文本缩进 字符"/>
    <w:qFormat/>
    <w:uiPriority w:val="0"/>
    <w:rPr>
      <w:rFonts w:ascii="Calibri" w:hAnsi="Calibri" w:eastAsia="宋体" w:cs="Times New Roman"/>
    </w:rPr>
  </w:style>
  <w:style w:type="character" w:customStyle="1" w:styleId="117">
    <w:name w:val="标题 5 字符"/>
    <w:qFormat/>
    <w:uiPriority w:val="0"/>
    <w:rPr>
      <w:rFonts w:ascii="Calibri" w:hAnsi="Calibri" w:eastAsia="宋体" w:cs="Times New Roman"/>
      <w:b/>
      <w:bCs/>
      <w:sz w:val="28"/>
      <w:szCs w:val="28"/>
    </w:rPr>
  </w:style>
  <w:style w:type="character" w:customStyle="1" w:styleId="118">
    <w:name w:val="批注框文本 字符"/>
    <w:qFormat/>
    <w:uiPriority w:val="0"/>
    <w:rPr>
      <w:rFonts w:ascii="Calibri" w:hAnsi="Calibri" w:eastAsia="宋体" w:cs="Times New Roman"/>
      <w:sz w:val="18"/>
      <w:szCs w:val="18"/>
    </w:rPr>
  </w:style>
  <w:style w:type="paragraph" w:customStyle="1" w:styleId="119">
    <w:name w:val="封二"/>
    <w:basedOn w:val="83"/>
    <w:next w:val="83"/>
    <w:qFormat/>
    <w:uiPriority w:val="0"/>
    <w:pPr>
      <w:ind w:firstLine="0" w:firstLineChars="0"/>
      <w:jc w:val="center"/>
    </w:pPr>
    <w:rPr>
      <w:rFonts w:eastAsia="黑体"/>
      <w:b/>
      <w:sz w:val="36"/>
      <w:szCs w:val="36"/>
    </w:rPr>
  </w:style>
  <w:style w:type="paragraph" w:customStyle="1" w:styleId="120">
    <w:name w:val="xl44"/>
    <w:basedOn w:val="1"/>
    <w:qFormat/>
    <w:uiPriority w:val="0"/>
    <w:pPr>
      <w:widowControl/>
      <w:pBdr>
        <w:left w:val="single" w:color="auto" w:sz="8" w:space="0"/>
        <w:bottom w:val="single" w:color="auto" w:sz="8" w:space="0"/>
        <w:right w:val="single" w:color="auto" w:sz="4" w:space="0"/>
      </w:pBdr>
      <w:spacing w:before="100" w:beforeAutospacing="1" w:after="100" w:afterAutospacing="1"/>
      <w:jc w:val="center"/>
    </w:pPr>
    <w:rPr>
      <w:rFonts w:ascii="宋体" w:hAnsi="宋体" w:eastAsia="等线"/>
      <w:kern w:val="0"/>
      <w:sz w:val="20"/>
      <w:szCs w:val="20"/>
    </w:rPr>
  </w:style>
  <w:style w:type="paragraph" w:customStyle="1" w:styleId="121">
    <w:name w:val="封四"/>
    <w:basedOn w:val="83"/>
    <w:next w:val="83"/>
    <w:qFormat/>
    <w:uiPriority w:val="0"/>
    <w:pPr>
      <w:jc w:val="left"/>
    </w:pPr>
    <w:rPr>
      <w:rFonts w:eastAsia="等线"/>
      <w:sz w:val="30"/>
      <w:szCs w:val="30"/>
    </w:rPr>
  </w:style>
  <w:style w:type="paragraph" w:customStyle="1" w:styleId="122">
    <w:name w:val="公文抬头"/>
    <w:basedOn w:val="2"/>
    <w:qFormat/>
    <w:uiPriority w:val="0"/>
    <w:pPr>
      <w:ind w:firstLine="0"/>
    </w:pPr>
    <w:rPr>
      <w:rFonts w:ascii="仿宋_GB2312" w:hAnsi="等线" w:eastAsia="仿宋_GB2312"/>
      <w:sz w:val="30"/>
      <w:szCs w:val="24"/>
    </w:rPr>
  </w:style>
  <w:style w:type="paragraph" w:customStyle="1" w:styleId="123">
    <w:name w:val="_Style 25"/>
    <w:basedOn w:val="1"/>
    <w:next w:val="1"/>
    <w:qFormat/>
    <w:uiPriority w:val="0"/>
    <w:rPr>
      <w:rFonts w:ascii="等线" w:hAnsi="等线" w:eastAsia="等线"/>
    </w:rPr>
  </w:style>
  <w:style w:type="paragraph" w:customStyle="1" w:styleId="124">
    <w:name w:val="表头"/>
    <w:basedOn w:val="1"/>
    <w:qFormat/>
    <w:uiPriority w:val="0"/>
    <w:pPr>
      <w:spacing w:line="360" w:lineRule="auto"/>
      <w:jc w:val="center"/>
    </w:pPr>
    <w:rPr>
      <w:rFonts w:ascii="黑体" w:eastAsia="黑体"/>
      <w:kern w:val="0"/>
      <w:sz w:val="24"/>
      <w:szCs w:val="20"/>
    </w:rPr>
  </w:style>
  <w:style w:type="paragraph" w:customStyle="1" w:styleId="125">
    <w:name w:val="章节三"/>
    <w:basedOn w:val="83"/>
    <w:next w:val="83"/>
    <w:qFormat/>
    <w:uiPriority w:val="0"/>
    <w:pPr>
      <w:spacing w:beforeLines="50" w:afterLines="50" w:line="240" w:lineRule="auto"/>
      <w:ind w:firstLine="0" w:firstLineChars="0"/>
      <w:jc w:val="left"/>
      <w:outlineLvl w:val="2"/>
    </w:pPr>
    <w:rPr>
      <w:rFonts w:ascii="黑体" w:hAnsi="宋体" w:eastAsia="黑体"/>
      <w:b/>
    </w:rPr>
  </w:style>
  <w:style w:type="paragraph" w:customStyle="1" w:styleId="126">
    <w:name w:val="正题"/>
    <w:basedOn w:val="83"/>
    <w:next w:val="83"/>
    <w:qFormat/>
    <w:uiPriority w:val="0"/>
    <w:pPr>
      <w:ind w:firstLine="0" w:firstLineChars="0"/>
      <w:jc w:val="center"/>
    </w:pPr>
    <w:rPr>
      <w:rFonts w:eastAsia="黑体"/>
      <w:b/>
      <w:sz w:val="36"/>
      <w:szCs w:val="36"/>
    </w:rPr>
  </w:style>
  <w:style w:type="paragraph" w:customStyle="1" w:styleId="127">
    <w:name w:val="Char1"/>
    <w:basedOn w:val="1"/>
    <w:qFormat/>
    <w:uiPriority w:val="0"/>
    <w:pPr>
      <w:numPr>
        <w:ilvl w:val="0"/>
        <w:numId w:val="1"/>
      </w:numPr>
    </w:pPr>
    <w:rPr>
      <w:rFonts w:eastAsia="等线"/>
      <w:sz w:val="24"/>
      <w:szCs w:val="24"/>
    </w:rPr>
  </w:style>
  <w:style w:type="paragraph" w:customStyle="1" w:styleId="128">
    <w:name w:val="Char Char Char1 Char"/>
    <w:basedOn w:val="12"/>
    <w:qFormat/>
    <w:uiPriority w:val="0"/>
    <w:rPr>
      <w:rFonts w:ascii="Tahoma" w:hAnsi="Tahoma" w:eastAsia="等线"/>
      <w:sz w:val="24"/>
      <w:szCs w:val="24"/>
    </w:rPr>
  </w:style>
  <w:style w:type="paragraph" w:customStyle="1" w:styleId="129">
    <w:name w:val="样式2"/>
    <w:basedOn w:val="1"/>
    <w:qFormat/>
    <w:uiPriority w:val="0"/>
    <w:pPr>
      <w:adjustRightInd w:val="0"/>
      <w:spacing w:before="120" w:after="120" w:line="312" w:lineRule="atLeast"/>
      <w:jc w:val="center"/>
      <w:textAlignment w:val="baseline"/>
    </w:pPr>
    <w:rPr>
      <w:rFonts w:eastAsia="等线"/>
      <w:kern w:val="0"/>
      <w:sz w:val="24"/>
      <w:szCs w:val="20"/>
    </w:rPr>
  </w:style>
  <w:style w:type="paragraph" w:customStyle="1" w:styleId="130">
    <w:name w:val="tab.txt"/>
    <w:basedOn w:val="1"/>
    <w:qFormat/>
    <w:uiPriority w:val="0"/>
    <w:pPr>
      <w:widowControl/>
      <w:jc w:val="left"/>
    </w:pPr>
    <w:rPr>
      <w:rFonts w:ascii="Arial" w:hAnsi="Arial" w:eastAsia="等线"/>
      <w:kern w:val="0"/>
      <w:sz w:val="18"/>
      <w:szCs w:val="20"/>
      <w:lang w:val="en-GB" w:eastAsia="fr-FR"/>
    </w:rPr>
  </w:style>
  <w:style w:type="paragraph" w:customStyle="1" w:styleId="131">
    <w:name w:val="文二"/>
    <w:basedOn w:val="1"/>
    <w:qFormat/>
    <w:uiPriority w:val="0"/>
    <w:pPr>
      <w:jc w:val="left"/>
    </w:pPr>
    <w:rPr>
      <w:rFonts w:ascii="宋体" w:hAnsi="宋体" w:eastAsia="等线"/>
      <w:szCs w:val="21"/>
    </w:rPr>
  </w:style>
  <w:style w:type="paragraph" w:styleId="132">
    <w:name w:val="List Paragraph"/>
    <w:basedOn w:val="1"/>
    <w:qFormat/>
    <w:uiPriority w:val="0"/>
    <w:pPr>
      <w:ind w:firstLine="420" w:firstLineChars="200"/>
    </w:pPr>
    <w:rPr>
      <w:rFonts w:eastAsia="等线"/>
      <w:szCs w:val="20"/>
    </w:rPr>
  </w:style>
  <w:style w:type="paragraph" w:customStyle="1" w:styleId="133">
    <w:name w:val="正文1"/>
    <w:qFormat/>
    <w:uiPriority w:val="0"/>
    <w:pPr>
      <w:widowControl w:val="0"/>
      <w:adjustRightInd w:val="0"/>
      <w:spacing w:line="240" w:lineRule="atLeast"/>
      <w:jc w:val="both"/>
      <w:textAlignment w:val="baseline"/>
    </w:pPr>
    <w:rPr>
      <w:rFonts w:ascii="宋体" w:hAnsi="Times New Roman" w:eastAsia="宋体" w:cs="Times New Roman"/>
      <w:sz w:val="34"/>
      <w:lang w:val="en-US" w:eastAsia="zh-CN" w:bidi="ar-SA"/>
    </w:rPr>
  </w:style>
  <w:style w:type="paragraph" w:customStyle="1" w:styleId="134">
    <w:name w:val="章节二"/>
    <w:basedOn w:val="1"/>
    <w:next w:val="1"/>
    <w:qFormat/>
    <w:uiPriority w:val="0"/>
    <w:pPr>
      <w:topLinePunct/>
      <w:adjustRightInd w:val="0"/>
      <w:snapToGrid w:val="0"/>
      <w:spacing w:beforeLines="50" w:afterLines="50"/>
      <w:jc w:val="center"/>
      <w:outlineLvl w:val="1"/>
    </w:pPr>
    <w:rPr>
      <w:rFonts w:ascii="等线" w:hAnsi="等线" w:eastAsia="黑体"/>
      <w:b/>
      <w:snapToGrid w:val="0"/>
      <w:spacing w:val="4"/>
      <w:kern w:val="0"/>
      <w:sz w:val="30"/>
      <w:szCs w:val="30"/>
    </w:rPr>
  </w:style>
  <w:style w:type="paragraph" w:customStyle="1" w:styleId="135">
    <w:name w:val="Char"/>
    <w:basedOn w:val="1"/>
    <w:qFormat/>
    <w:uiPriority w:val="0"/>
    <w:rPr>
      <w:rFonts w:ascii="Tahoma" w:hAnsi="Tahoma" w:eastAsia="等线"/>
      <w:sz w:val="24"/>
      <w:szCs w:val="20"/>
    </w:rPr>
  </w:style>
  <w:style w:type="paragraph" w:customStyle="1" w:styleId="136">
    <w:name w:val="_Style 5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7">
    <w:name w:val="_Style 134"/>
    <w:basedOn w:val="3"/>
    <w:next w:val="1"/>
    <w:qFormat/>
    <w:uiPriority w:val="0"/>
    <w:pPr>
      <w:widowControl/>
      <w:spacing w:before="480" w:after="0" w:line="276" w:lineRule="auto"/>
      <w:outlineLvl w:val="9"/>
    </w:pPr>
    <w:rPr>
      <w:rFonts w:ascii="Cambria" w:hAnsi="Cambria" w:eastAsia="等线"/>
      <w:color w:val="365F91"/>
      <w:kern w:val="0"/>
    </w:rPr>
  </w:style>
  <w:style w:type="paragraph" w:customStyle="1" w:styleId="138">
    <w:name w:val="Blockquote"/>
    <w:basedOn w:val="1"/>
    <w:qFormat/>
    <w:uiPriority w:val="0"/>
    <w:pPr>
      <w:autoSpaceDE w:val="0"/>
      <w:autoSpaceDN w:val="0"/>
      <w:adjustRightInd w:val="0"/>
      <w:spacing w:before="100" w:after="100"/>
      <w:ind w:left="360" w:right="360"/>
      <w:jc w:val="left"/>
    </w:pPr>
    <w:rPr>
      <w:rFonts w:eastAsia="等线"/>
      <w:kern w:val="0"/>
      <w:sz w:val="24"/>
      <w:szCs w:val="20"/>
    </w:rPr>
  </w:style>
  <w:style w:type="paragraph" w:customStyle="1" w:styleId="139">
    <w:name w:val="Char Char Char Char"/>
    <w:basedOn w:val="1"/>
    <w:qFormat/>
    <w:uiPriority w:val="0"/>
    <w:rPr>
      <w:rFonts w:eastAsia="等线"/>
      <w:sz w:val="30"/>
      <w:szCs w:val="24"/>
    </w:rPr>
  </w:style>
  <w:style w:type="paragraph" w:customStyle="1" w:styleId="140">
    <w:name w:val="封一"/>
    <w:basedOn w:val="83"/>
    <w:next w:val="83"/>
    <w:qFormat/>
    <w:uiPriority w:val="0"/>
    <w:pPr>
      <w:ind w:firstLine="0" w:firstLineChars="0"/>
      <w:jc w:val="center"/>
    </w:pPr>
    <w:rPr>
      <w:rFonts w:eastAsia="黑体"/>
      <w:b/>
      <w:sz w:val="84"/>
      <w:szCs w:val="84"/>
    </w:rPr>
  </w:style>
  <w:style w:type="paragraph" w:customStyle="1" w:styleId="14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42">
    <w:name w:val="发文落款"/>
    <w:basedOn w:val="141"/>
    <w:qFormat/>
    <w:uiPriority w:val="0"/>
    <w:pPr>
      <w:ind w:left="4094" w:right="607" w:firstLine="0"/>
      <w:jc w:val="center"/>
    </w:pPr>
    <w:rPr>
      <w:rFonts w:ascii="等线" w:hAnsi="等线" w:eastAsia="等线"/>
    </w:rPr>
  </w:style>
  <w:style w:type="paragraph" w:customStyle="1" w:styleId="143">
    <w:name w:val="Char2"/>
    <w:basedOn w:val="1"/>
    <w:qFormat/>
    <w:uiPriority w:val="0"/>
    <w:pPr>
      <w:widowControl/>
      <w:spacing w:after="160" w:line="240" w:lineRule="exact"/>
      <w:jc w:val="left"/>
    </w:pPr>
    <w:rPr>
      <w:rFonts w:ascii="Verdana" w:hAnsi="Verdana" w:eastAsia="等线"/>
      <w:kern w:val="0"/>
      <w:sz w:val="20"/>
      <w:szCs w:val="20"/>
      <w:lang w:eastAsia="en-US"/>
    </w:rPr>
  </w:style>
  <w:style w:type="paragraph" w:customStyle="1" w:styleId="144">
    <w:name w:val="公文标题"/>
    <w:basedOn w:val="5"/>
    <w:qFormat/>
    <w:uiPriority w:val="0"/>
    <w:pPr>
      <w:keepNext/>
      <w:keepLines/>
      <w:widowControl w:val="0"/>
      <w:spacing w:before="0" w:beforeAutospacing="0" w:after="0" w:afterAutospacing="0"/>
      <w:ind w:left="1469" w:right="1542"/>
    </w:pPr>
    <w:rPr>
      <w:rFonts w:ascii="等线" w:hAnsi="Times New Roman" w:eastAsia="等线"/>
      <w:b/>
      <w:kern w:val="2"/>
      <w:sz w:val="44"/>
      <w:szCs w:val="21"/>
    </w:rPr>
  </w:style>
  <w:style w:type="paragraph" w:customStyle="1" w:styleId="145">
    <w:name w:val="_Style 143"/>
    <w:qFormat/>
    <w:uiPriority w:val="0"/>
    <w:rPr>
      <w:rFonts w:ascii="Times New Roman" w:hAnsi="Times New Roman" w:eastAsia="宋体" w:cs="Times New Roman"/>
      <w:kern w:val="2"/>
      <w:sz w:val="21"/>
      <w:lang w:val="en-US" w:eastAsia="zh-CN" w:bidi="ar-SA"/>
    </w:rPr>
  </w:style>
  <w:style w:type="paragraph" w:customStyle="1" w:styleId="146">
    <w:name w:val="正文 New New"/>
    <w:basedOn w:val="1"/>
    <w:qFormat/>
    <w:uiPriority w:val="0"/>
    <w:rPr>
      <w:rFonts w:eastAsia="楷体_GB2312" w:cs="宋体"/>
      <w:szCs w:val="21"/>
    </w:rPr>
  </w:style>
  <w:style w:type="paragraph" w:customStyle="1" w:styleId="147">
    <w:name w:val="BodyText"/>
    <w:basedOn w:val="1"/>
    <w:qFormat/>
    <w:uiPriority w:val="99"/>
    <w:pPr>
      <w:spacing w:after="120"/>
    </w:pPr>
    <w:rPr>
      <w:kern w:val="0"/>
      <w:sz w:val="20"/>
      <w:szCs w:val="20"/>
    </w:rPr>
  </w:style>
  <w:style w:type="paragraph" w:customStyle="1" w:styleId="148">
    <w:name w:val="Heading2"/>
    <w:basedOn w:val="1"/>
    <w:next w:val="1"/>
    <w:qFormat/>
    <w:uiPriority w:val="0"/>
    <w:pPr>
      <w:keepNext/>
      <w:keepLines/>
      <w:spacing w:before="260" w:after="260" w:line="415" w:lineRule="auto"/>
    </w:pPr>
    <w:rPr>
      <w:rFonts w:ascii="Arial" w:hAnsi="Arial" w:eastAsia="黑体"/>
      <w:b/>
      <w:bCs/>
      <w:sz w:val="32"/>
      <w:szCs w:val="32"/>
    </w:rPr>
  </w:style>
  <w:style w:type="paragraph" w:customStyle="1" w:styleId="149">
    <w:name w:val="msolistparagraph"/>
    <w:basedOn w:val="1"/>
    <w:qFormat/>
    <w:uiPriority w:val="0"/>
    <w:pPr>
      <w:ind w:firstLine="420" w:firstLineChars="200"/>
    </w:pPr>
    <w:rPr>
      <w:rFonts w:ascii="Calibri" w:hAnsi="Calibri"/>
    </w:rPr>
  </w:style>
  <w:style w:type="paragraph" w:customStyle="1" w:styleId="150">
    <w:name w:val="纯文本1"/>
    <w:qFormat/>
    <w:uiPriority w:val="0"/>
    <w:rPr>
      <w:rFonts w:ascii="宋体" w:hAnsi="Courier New" w:eastAsia="宋体" w:cs="Times New Roman"/>
      <w:sz w:val="32"/>
      <w:szCs w:val="24"/>
      <w:lang w:val="en-US" w:eastAsia="zh-CN" w:bidi="ar-SA"/>
    </w:rPr>
  </w:style>
  <w:style w:type="paragraph" w:customStyle="1" w:styleId="151">
    <w:name w:val="表格文字"/>
    <w:basedOn w:val="1"/>
    <w:qFormat/>
    <w:uiPriority w:val="0"/>
    <w:pPr>
      <w:adjustRightInd w:val="0"/>
      <w:spacing w:line="420" w:lineRule="atLeast"/>
      <w:jc w:val="left"/>
      <w:textAlignment w:val="baseline"/>
    </w:pPr>
    <w:rPr>
      <w:kern w:val="0"/>
      <w:szCs w:val="20"/>
    </w:rPr>
  </w:style>
  <w:style w:type="character" w:customStyle="1" w:styleId="152">
    <w:name w:val="font11"/>
    <w:basedOn w:val="41"/>
    <w:qFormat/>
    <w:uiPriority w:val="0"/>
    <w:rPr>
      <w:rFonts w:hint="eastAsia" w:ascii="宋体" w:hAnsi="宋体" w:eastAsia="宋体" w:cs="宋体"/>
      <w:color w:val="000000"/>
      <w:sz w:val="21"/>
      <w:szCs w:val="21"/>
      <w:u w:val="none"/>
    </w:rPr>
  </w:style>
  <w:style w:type="character" w:customStyle="1" w:styleId="153">
    <w:name w:val="正文文本1"/>
    <w:qFormat/>
    <w:uiPriority w:val="0"/>
    <w:rPr>
      <w:rFonts w:ascii="宋体" w:hAnsi="宋体" w:eastAsia="宋体" w:cs="宋体"/>
      <w:color w:val="000000"/>
      <w:spacing w:val="0"/>
      <w:w w:val="100"/>
      <w:position w:val="0"/>
      <w:sz w:val="19"/>
      <w:szCs w:val="19"/>
      <w:shd w:val="clear" w:color="auto" w:fill="FFFFFF"/>
      <w:lang w:val="zh-TW"/>
    </w:rPr>
  </w:style>
  <w:style w:type="paragraph" w:customStyle="1" w:styleId="154">
    <w:name w:val="BodyText3"/>
    <w:basedOn w:val="1"/>
    <w:qFormat/>
    <w:uiPriority w:val="0"/>
    <w:pPr>
      <w:widowControl/>
      <w:textAlignment w:val="baseline"/>
    </w:pPr>
    <w:rPr>
      <w:sz w:val="16"/>
      <w:szCs w:val="16"/>
    </w:rPr>
  </w:style>
  <w:style w:type="character" w:customStyle="1" w:styleId="155">
    <w:name w:val="15"/>
    <w:basedOn w:val="41"/>
    <w:qFormat/>
    <w:uiPriority w:val="0"/>
    <w:rPr>
      <w:rFonts w:hint="default" w:ascii="Times New Roman" w:hAnsi="Times New Roman" w:cs="Times New Roman"/>
    </w:rPr>
  </w:style>
  <w:style w:type="character" w:customStyle="1" w:styleId="156">
    <w:name w:val="fontstyle01"/>
    <w:basedOn w:val="41"/>
    <w:qFormat/>
    <w:uiPriority w:val="0"/>
    <w:rPr>
      <w:rFonts w:ascii="宋体" w:hAnsi="宋体" w:eastAsia="宋体" w:cs="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29EE8A-7E26-4F27-BD05-B92F058F6741}">
  <ds:schemaRefs/>
</ds:datastoreItem>
</file>

<file path=docProps/app.xml><?xml version="1.0" encoding="utf-8"?>
<Properties xmlns="http://schemas.openxmlformats.org/officeDocument/2006/extended-properties" xmlns:vt="http://schemas.openxmlformats.org/officeDocument/2006/docPropsVTypes">
  <Template>Normal.dotm</Template>
  <Pages>78</Pages>
  <Words>51417</Words>
  <Characters>54249</Characters>
  <Lines>1</Lines>
  <Paragraphs>1</Paragraphs>
  <TotalTime>939</TotalTime>
  <ScaleCrop>false</ScaleCrop>
  <LinksUpToDate>false</LinksUpToDate>
  <CharactersWithSpaces>56320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2023-10-09T06:21:00Z</dcterms:created>
  <cp:lastPrinted>2025-12-01T00:13:00Z</cp:lastPrinted>
  <dcterms:modified xsi:type="dcterms:W3CDTF">2025-12-01T09:15:38Z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D0E0FDD18F894625AFDD826864B29876</vt:lpwstr>
  </property>
  <property fmtid="{D5CDD505-2E9C-101B-9397-08002B2CF9AE}" pid="4" name="KSOTemplateDocerSaveRecord">
    <vt:lpwstr>eyJoZGlkIjoiYWZmZTNjNTg0NjUxZjk5YmVjNjhiYzFjNDdkMTdiMmEiLCJ1c2VySWQiOiI0OTk3NTQ1MzIifQ==</vt:lpwstr>
  </property>
</Properties>
</file>