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8"/>
        <w:rPr>
          <w:rFonts w:hAnsi="Courier New" w:asciiTheme="minorEastAsia"/>
          <w:color w:val="auto"/>
          <w:sz w:val="24"/>
          <w:szCs w:val="28"/>
          <w:highlight w:val="none"/>
        </w:rPr>
      </w:pPr>
    </w:p>
    <w:p w14:paraId="1DFC4BED">
      <w:pPr>
        <w:rPr>
          <w:color w:val="auto"/>
          <w:highlight w:val="none"/>
        </w:rPr>
      </w:pPr>
    </w:p>
    <w:p w14:paraId="2724B893">
      <w:pPr>
        <w:pStyle w:val="8"/>
        <w:spacing w:line="360" w:lineRule="auto"/>
        <w:jc w:val="center"/>
        <w:rPr>
          <w:rFonts w:hint="eastAsia"/>
          <w:b/>
          <w:bCs/>
          <w:color w:val="auto"/>
          <w:sz w:val="44"/>
          <w:szCs w:val="44"/>
          <w:highlight w:val="none"/>
          <w:lang w:eastAsia="zh-CN"/>
        </w:rPr>
      </w:pPr>
      <w:r>
        <w:rPr>
          <w:rFonts w:hint="eastAsia"/>
          <w:b/>
          <w:bCs/>
          <w:color w:val="auto"/>
          <w:sz w:val="44"/>
          <w:szCs w:val="44"/>
          <w:highlight w:val="none"/>
          <w:lang w:eastAsia="zh-CN"/>
        </w:rPr>
        <w:t>白云智能网联高端制造产业园项目</w:t>
      </w:r>
    </w:p>
    <w:p w14:paraId="3E632663">
      <w:pPr>
        <w:pStyle w:val="8"/>
        <w:spacing w:line="360" w:lineRule="auto"/>
        <w:jc w:val="center"/>
        <w:rPr>
          <w:rFonts w:hint="eastAsia"/>
          <w:color w:val="auto"/>
          <w:highlight w:val="none"/>
        </w:rPr>
      </w:pPr>
      <w:r>
        <w:rPr>
          <w:rFonts w:hint="eastAsia"/>
          <w:b/>
          <w:bCs/>
          <w:color w:val="auto"/>
          <w:sz w:val="44"/>
          <w:szCs w:val="44"/>
          <w:highlight w:val="none"/>
          <w:lang w:eastAsia="zh-CN"/>
        </w:rPr>
        <w:t>勘察设计采购施工一体化</w:t>
      </w:r>
    </w:p>
    <w:p w14:paraId="7CC48B96">
      <w:pPr>
        <w:pStyle w:val="8"/>
        <w:spacing w:line="360" w:lineRule="auto"/>
        <w:rPr>
          <w:rFonts w:hint="eastAsia"/>
          <w:color w:val="auto"/>
          <w:highlight w:val="none"/>
        </w:rPr>
      </w:pPr>
    </w:p>
    <w:p w14:paraId="1B2C01B7">
      <w:pPr>
        <w:spacing w:line="360" w:lineRule="auto"/>
        <w:jc w:val="center"/>
        <w:rPr>
          <w:rFonts w:hint="eastAsia" w:ascii="宋体" w:hAnsi="宋体" w:cs="宋体"/>
          <w:color w:val="auto"/>
          <w:kern w:val="2"/>
          <w:sz w:val="72"/>
          <w:szCs w:val="72"/>
          <w:highlight w:val="none"/>
        </w:rPr>
      </w:pPr>
    </w:p>
    <w:p w14:paraId="024A85A7">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FF605AC">
      <w:pPr>
        <w:spacing w:line="360" w:lineRule="auto"/>
        <w:jc w:val="center"/>
        <w:rPr>
          <w:rFonts w:hint="eastAsia" w:ascii="宋体" w:hAnsi="宋体" w:cs="宋体"/>
          <w:color w:val="auto"/>
          <w:kern w:val="2"/>
          <w:sz w:val="48"/>
          <w:szCs w:val="21"/>
          <w:highlight w:val="none"/>
        </w:rPr>
      </w:pPr>
    </w:p>
    <w:p w14:paraId="1C44858F">
      <w:pPr>
        <w:spacing w:line="360" w:lineRule="auto"/>
        <w:jc w:val="center"/>
        <w:rPr>
          <w:rFonts w:hint="eastAsia" w:ascii="宋体" w:hAnsi="宋体" w:cs="宋体"/>
          <w:color w:val="auto"/>
          <w:kern w:val="2"/>
          <w:sz w:val="32"/>
          <w:szCs w:val="32"/>
          <w:highlight w:val="none"/>
        </w:rPr>
      </w:pPr>
    </w:p>
    <w:p w14:paraId="0BC482EA">
      <w:pPr>
        <w:pStyle w:val="8"/>
        <w:spacing w:line="360" w:lineRule="auto"/>
        <w:rPr>
          <w:rFonts w:hAnsi="Courier New" w:asciiTheme="minorEastAsia"/>
          <w:color w:val="auto"/>
          <w:sz w:val="21"/>
          <w:szCs w:val="22"/>
          <w:highlight w:val="none"/>
        </w:rPr>
      </w:pPr>
    </w:p>
    <w:p w14:paraId="0CDEF4D2">
      <w:pPr>
        <w:spacing w:line="360" w:lineRule="auto"/>
        <w:rPr>
          <w:rFonts w:hint="eastAsia" w:ascii="宋体" w:hAnsi="宋体" w:cs="宋体"/>
          <w:color w:val="auto"/>
          <w:kern w:val="2"/>
          <w:highlight w:val="none"/>
        </w:rPr>
      </w:pPr>
    </w:p>
    <w:p w14:paraId="6062DD66">
      <w:pPr>
        <w:pStyle w:val="8"/>
        <w:rPr>
          <w:rFonts w:hAnsi="Courier New" w:asciiTheme="minorEastAsia"/>
          <w:color w:val="auto"/>
          <w:highlight w:val="none"/>
        </w:rPr>
      </w:pPr>
    </w:p>
    <w:p w14:paraId="4BD48C56">
      <w:pPr>
        <w:pStyle w:val="8"/>
        <w:rPr>
          <w:rFonts w:hint="eastAsia"/>
          <w:color w:val="auto"/>
          <w:highlight w:val="none"/>
        </w:rPr>
      </w:pPr>
    </w:p>
    <w:p w14:paraId="3418A9DE">
      <w:pPr>
        <w:pStyle w:val="8"/>
        <w:rPr>
          <w:rFonts w:hint="eastAsia"/>
          <w:color w:val="auto"/>
          <w:highlight w:val="none"/>
        </w:rPr>
      </w:pPr>
    </w:p>
    <w:p w14:paraId="31396F55">
      <w:pPr>
        <w:pStyle w:val="8"/>
        <w:rPr>
          <w:rFonts w:hint="eastAsia"/>
          <w:color w:val="auto"/>
          <w:highlight w:val="none"/>
        </w:rPr>
      </w:pPr>
    </w:p>
    <w:p w14:paraId="0370E6E0">
      <w:pPr>
        <w:pStyle w:val="8"/>
        <w:rPr>
          <w:rFonts w:hint="eastAsia"/>
          <w:color w:val="auto"/>
          <w:highlight w:val="none"/>
        </w:rPr>
      </w:pPr>
    </w:p>
    <w:p w14:paraId="1D55CE6F">
      <w:pPr>
        <w:spacing w:line="360" w:lineRule="auto"/>
        <w:ind w:left="283" w:leftChars="135"/>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广州白云高端智造投资运营有限公司</w:t>
      </w:r>
    </w:p>
    <w:p w14:paraId="7FDD2E7E">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14:paraId="634DA47D">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w:t>
      </w:r>
      <w:r>
        <w:rPr>
          <w:rFonts w:hint="eastAsia" w:ascii="宋体" w:hAnsi="宋体" w:cs="宋体"/>
          <w:b/>
          <w:color w:val="auto"/>
          <w:kern w:val="2"/>
          <w:sz w:val="32"/>
          <w:szCs w:val="32"/>
          <w:highlight w:val="none"/>
          <w:lang w:val="en-US" w:eastAsia="zh-CN"/>
        </w:rPr>
        <w:t>12</w:t>
      </w:r>
      <w:r>
        <w:rPr>
          <w:rFonts w:hint="eastAsia" w:ascii="宋体" w:hAnsi="宋体" w:cs="宋体"/>
          <w:b/>
          <w:color w:val="auto"/>
          <w:kern w:val="2"/>
          <w:sz w:val="32"/>
          <w:szCs w:val="32"/>
          <w:highlight w:val="none"/>
        </w:rPr>
        <w:t>月</w:t>
      </w:r>
      <w:bookmarkStart w:id="1" w:name="_Toc247527532"/>
      <w:bookmarkEnd w:id="1"/>
      <w:bookmarkStart w:id="2" w:name="_Toc300834926"/>
      <w:bookmarkEnd w:id="2"/>
      <w:bookmarkStart w:id="3" w:name="_Toc144974478"/>
      <w:bookmarkEnd w:id="3"/>
      <w:bookmarkStart w:id="4" w:name="_Toc152042286"/>
      <w:bookmarkEnd w:id="4"/>
      <w:bookmarkStart w:id="5" w:name="_Toc367729707"/>
      <w:bookmarkEnd w:id="5"/>
    </w:p>
    <w:p w14:paraId="438AC5E2">
      <w:pPr>
        <w:rPr>
          <w:rFonts w:ascii="宋体" w:hAnsi="宋体" w:cs="宋体"/>
          <w:b/>
          <w:color w:val="auto"/>
          <w:sz w:val="32"/>
          <w:szCs w:val="32"/>
          <w:highlight w:val="none"/>
        </w:rPr>
        <w:sectPr>
          <w:pgSz w:w="11906" w:h="16838"/>
          <w:pgMar w:top="1440" w:right="1274" w:bottom="1440" w:left="1800" w:header="851" w:footer="992" w:gutter="0"/>
          <w:cols w:space="425" w:num="1"/>
          <w:docGrid w:type="lines" w:linePitch="312" w:charSpace="0"/>
        </w:sectPr>
      </w:pPr>
      <w:bookmarkStart w:id="6" w:name="_Hlk116483058"/>
    </w:p>
    <w:p w14:paraId="527BBFA3">
      <w:pPr>
        <w:widowControl/>
        <w:jc w:val="left"/>
        <w:rPr>
          <w:rFonts w:hint="eastAsia" w:ascii="宋体" w:hAnsi="宋体" w:cs="宋体"/>
          <w:b/>
          <w:color w:val="auto"/>
          <w:sz w:val="32"/>
          <w:szCs w:val="32"/>
          <w:highlight w:val="none"/>
        </w:rPr>
        <w:sectPr>
          <w:footerReference r:id="rId3" w:type="default"/>
          <w:pgSz w:w="11906" w:h="16838"/>
          <w:pgMar w:top="1440" w:right="1274" w:bottom="1440" w:left="1800" w:header="851" w:footer="992" w:gutter="0"/>
          <w:pgNumType w:start="1"/>
          <w:cols w:space="425" w:num="1"/>
          <w:docGrid w:type="lines" w:linePitch="312" w:charSpace="0"/>
        </w:sectPr>
      </w:pPr>
    </w:p>
    <w:p w14:paraId="199BEC80">
      <w:pPr>
        <w:widowControl/>
        <w:jc w:val="left"/>
        <w:rPr>
          <w:rFonts w:hint="eastAsia" w:ascii="宋体" w:hAnsi="宋体" w:cs="宋体"/>
          <w:b/>
          <w:color w:val="auto"/>
          <w:sz w:val="32"/>
          <w:szCs w:val="32"/>
          <w:highlight w:val="none"/>
        </w:rPr>
      </w:pPr>
    </w:p>
    <w:bookmarkEnd w:id="6"/>
    <w:p w14:paraId="63CFA920">
      <w:pPr>
        <w:pStyle w:val="13"/>
        <w:adjustRightInd w:val="0"/>
        <w:snapToGrid w:val="0"/>
        <w:spacing w:after="0" w:line="360" w:lineRule="auto"/>
        <w:jc w:val="center"/>
        <w:rPr>
          <w:rFonts w:hint="eastAsia" w:ascii="宋体" w:hAnsi="宋体" w:eastAsia="宋体" w:cs="宋体"/>
          <w:b/>
          <w:color w:val="auto"/>
          <w:sz w:val="32"/>
          <w:szCs w:val="32"/>
          <w:highlight w:val="none"/>
          <w:lang w:eastAsia="zh-CN"/>
        </w:rPr>
      </w:pPr>
      <w:bookmarkStart w:id="19" w:name="_GoBack"/>
      <w:bookmarkEnd w:id="19"/>
      <w:r>
        <w:rPr>
          <w:rFonts w:hint="eastAsia" w:ascii="宋体" w:hAnsi="宋体" w:cs="宋体"/>
          <w:b/>
          <w:color w:val="auto"/>
          <w:sz w:val="32"/>
          <w:szCs w:val="32"/>
          <w:highlight w:val="none"/>
          <w:lang w:eastAsia="zh-CN"/>
        </w:rPr>
        <w:t>白云智能网联高端制造产业园项目勘察设计采购施工一体化</w:t>
      </w:r>
    </w:p>
    <w:p w14:paraId="309816D4">
      <w:pPr>
        <w:pStyle w:val="13"/>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招标公告</w:t>
      </w:r>
    </w:p>
    <w:p w14:paraId="55B0939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7219DF44">
      <w:pPr>
        <w:pStyle w:val="8"/>
        <w:spacing w:line="360" w:lineRule="auto"/>
        <w:ind w:left="239" w:leftChars="114" w:firstLine="321" w:firstLineChars="134"/>
        <w:rPr>
          <w:rFonts w:hint="eastAsia"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lang w:eastAsia="zh-CN"/>
        </w:rPr>
        <w:t>白云智能网联高端制造产业园项目</w:t>
      </w:r>
      <w:r>
        <w:rPr>
          <w:rFonts w:hint="eastAsia" w:cs="宋体"/>
          <w:color w:val="auto"/>
          <w:sz w:val="24"/>
          <w:highlight w:val="none"/>
        </w:rPr>
        <w:t>已由</w:t>
      </w:r>
      <w:r>
        <w:rPr>
          <w:rFonts w:hint="eastAsia" w:cs="宋体"/>
          <w:color w:val="auto"/>
          <w:sz w:val="24"/>
          <w:highlight w:val="none"/>
          <w:u w:val="single"/>
        </w:rPr>
        <w:t>广东省企业投资项目备案证（证号：</w:t>
      </w:r>
      <w:r>
        <w:rPr>
          <w:rFonts w:hint="eastAsia" w:cs="宋体"/>
          <w:color w:val="auto"/>
          <w:sz w:val="24"/>
          <w:highlight w:val="none"/>
          <w:u w:val="single"/>
          <w:lang w:val="en-US" w:eastAsia="zh-CN"/>
        </w:rPr>
        <w:t>2507-440111-17-01-442713）</w:t>
      </w:r>
      <w:r>
        <w:rPr>
          <w:rFonts w:cs="宋体"/>
          <w:color w:val="auto"/>
          <w:sz w:val="24"/>
          <w:highlight w:val="none"/>
        </w:rPr>
        <w:t>批准实施</w:t>
      </w:r>
      <w:r>
        <w:rPr>
          <w:rFonts w:hint="eastAsia" w:cs="宋体"/>
          <w:color w:val="auto"/>
          <w:sz w:val="24"/>
          <w:highlight w:val="none"/>
        </w:rPr>
        <w:t>建设，项目业主为：</w:t>
      </w:r>
      <w:r>
        <w:rPr>
          <w:rFonts w:hint="eastAsia" w:cs="宋体"/>
          <w:color w:val="auto"/>
          <w:sz w:val="24"/>
          <w:highlight w:val="none"/>
          <w:u w:val="single"/>
          <w:lang w:eastAsia="zh-CN"/>
        </w:rPr>
        <w:t>广州白云高端智造投资运营有限公司</w:t>
      </w:r>
      <w:r>
        <w:rPr>
          <w:rFonts w:hint="eastAsia" w:cs="宋体"/>
          <w:color w:val="auto"/>
          <w:sz w:val="24"/>
          <w:highlight w:val="none"/>
        </w:rPr>
        <w:t>，建设资金来自</w:t>
      </w:r>
      <w:r>
        <w:rPr>
          <w:rFonts w:hint="eastAsia" w:cs="宋体"/>
          <w:color w:val="auto"/>
          <w:sz w:val="24"/>
          <w:highlight w:val="none"/>
          <w:u w:val="single"/>
        </w:rPr>
        <w:t>企业自筹</w:t>
      </w:r>
      <w:r>
        <w:rPr>
          <w:rFonts w:hint="eastAsia" w:cs="宋体"/>
          <w:color w:val="auto"/>
          <w:sz w:val="24"/>
          <w:highlight w:val="none"/>
          <w:u w:val="single"/>
          <w:lang w:val="en-US" w:eastAsia="zh-CN"/>
        </w:rPr>
        <w:t>资金</w:t>
      </w:r>
      <w:r>
        <w:rPr>
          <w:rFonts w:hint="eastAsia" w:cs="宋体"/>
          <w:color w:val="auto"/>
          <w:sz w:val="24"/>
          <w:highlight w:val="none"/>
        </w:rPr>
        <w:t>，招标人为</w:t>
      </w:r>
      <w:r>
        <w:rPr>
          <w:rFonts w:hint="eastAsia" w:cs="宋体"/>
          <w:color w:val="auto"/>
          <w:sz w:val="24"/>
          <w:highlight w:val="none"/>
          <w:u w:val="single"/>
          <w:lang w:eastAsia="zh-CN"/>
        </w:rPr>
        <w:t>广州白云高端智造投资运营有限公司</w:t>
      </w:r>
      <w:r>
        <w:rPr>
          <w:rFonts w:hint="eastAsia" w:cs="宋体"/>
          <w:color w:val="auto"/>
          <w:sz w:val="24"/>
          <w:highlight w:val="none"/>
        </w:rPr>
        <w:t>，项目已具备招标条件，现对该项目</w:t>
      </w:r>
      <w:r>
        <w:rPr>
          <w:rFonts w:hint="eastAsia" w:cs="宋体"/>
          <w:color w:val="auto"/>
          <w:sz w:val="24"/>
          <w:highlight w:val="none"/>
          <w:lang w:eastAsia="zh-CN"/>
        </w:rPr>
        <w:t>勘察设计采购施工一体化</w:t>
      </w:r>
      <w:r>
        <w:rPr>
          <w:rFonts w:hint="eastAsia" w:cs="宋体"/>
          <w:color w:val="auto"/>
          <w:sz w:val="24"/>
          <w:highlight w:val="none"/>
        </w:rPr>
        <w:t>进行公开招标。</w:t>
      </w:r>
    </w:p>
    <w:p w14:paraId="65971961">
      <w:pPr>
        <w:adjustRightInd w:val="0"/>
        <w:snapToGrid w:val="0"/>
        <w:spacing w:line="360" w:lineRule="auto"/>
        <w:ind w:firstLine="424" w:firstLineChars="132"/>
        <w:rPr>
          <w:rFonts w:hint="eastAsia"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4A086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color w:val="auto"/>
          <w:sz w:val="24"/>
          <w:highlight w:val="none"/>
          <w:u w:val="single"/>
          <w:lang w:val="en-US" w:eastAsia="zh-CN"/>
        </w:rPr>
        <w:t>广州市白云区太和镇广州市白云区太和镇沙亭岗广从公路东侧</w:t>
      </w:r>
      <w:r>
        <w:rPr>
          <w:rFonts w:hint="eastAsia"/>
          <w:lang w:eastAsia="zh-CN"/>
        </w:rPr>
        <w:t>。</w:t>
      </w:r>
    </w:p>
    <w:p w14:paraId="7BBA1B43">
      <w:pPr>
        <w:spacing w:line="360" w:lineRule="auto"/>
        <w:ind w:firstLine="480" w:firstLineChars="200"/>
        <w:rPr>
          <w:rFonts w:hint="eastAsia" w:ascii="宋体" w:hAnsi="宋体" w:cs="宋体"/>
          <w:color w:val="auto"/>
          <w:sz w:val="24"/>
          <w:szCs w:val="20"/>
          <w:highlight w:val="none"/>
          <w:u w:val="single"/>
          <w:lang w:val="zh-CN"/>
        </w:rPr>
      </w:pPr>
      <w:r>
        <w:rPr>
          <w:rFonts w:ascii="宋体" w:hAnsi="宋体" w:cs="宋体"/>
          <w:color w:val="auto"/>
          <w:sz w:val="24"/>
          <w:highlight w:val="none"/>
          <w:u w:val="single"/>
        </w:rPr>
        <w:t xml:space="preserve">2.2 </w:t>
      </w:r>
      <w:r>
        <w:rPr>
          <w:rFonts w:hint="eastAsia" w:ascii="宋体" w:hAnsi="宋体" w:cs="宋体"/>
          <w:color w:val="auto"/>
          <w:sz w:val="24"/>
          <w:highlight w:val="none"/>
          <w:u w:val="single"/>
        </w:rPr>
        <w:t>项目概况</w:t>
      </w:r>
      <w:r>
        <w:rPr>
          <w:rFonts w:hint="eastAsia" w:ascii="宋体" w:hAnsi="宋体" w:cs="宋体"/>
          <w:color w:val="auto"/>
          <w:sz w:val="24"/>
          <w:szCs w:val="20"/>
          <w:highlight w:val="none"/>
          <w:u w:val="single"/>
          <w:lang w:val="zh-CN"/>
        </w:rPr>
        <w:t>及规模：</w:t>
      </w:r>
      <w:r>
        <w:rPr>
          <w:rFonts w:hint="eastAsia" w:ascii="宋体" w:hAnsi="宋体" w:cs="宋体"/>
          <w:color w:val="auto"/>
          <w:sz w:val="24"/>
          <w:szCs w:val="20"/>
          <w:highlight w:val="none"/>
          <w:u w:val="single"/>
          <w:lang w:val="zh-CN" w:eastAsia="zh-CN"/>
        </w:rPr>
        <w:t>本项目总用地面积26365平方米，可建设用地面积16739平方米，总建筑面积约74996平方米；拟建研发中心、制造中心、仓储中心及综合配套等；主要建设内容包括厂房、仓库、地下车库等。高度不超100米，层数不超15层，建筑内最大12米柱跨。最大单体</w:t>
      </w:r>
      <w:r>
        <w:rPr>
          <w:rFonts w:hint="eastAsia" w:ascii="宋体" w:hAnsi="宋体" w:cs="宋体"/>
          <w:color w:val="auto"/>
          <w:sz w:val="24"/>
          <w:szCs w:val="20"/>
          <w:highlight w:val="none"/>
          <w:u w:val="single"/>
          <w:lang w:val="en-US" w:eastAsia="zh-CN"/>
        </w:rPr>
        <w:t>建筑面积</w:t>
      </w:r>
      <w:r>
        <w:rPr>
          <w:rFonts w:hint="eastAsia" w:ascii="宋体" w:hAnsi="宋体" w:cs="宋体"/>
          <w:color w:val="auto"/>
          <w:sz w:val="24"/>
          <w:szCs w:val="20"/>
          <w:highlight w:val="none"/>
          <w:u w:val="single"/>
          <w:lang w:val="zh-CN" w:eastAsia="zh-CN"/>
        </w:rPr>
        <w:t>超30000平方米，地下8040平方米。地基基础设计等级乙级，基坑工程安全等级三级，</w:t>
      </w:r>
      <w:r>
        <w:rPr>
          <w:rFonts w:hint="eastAsia" w:cs="宋体"/>
          <w:color w:val="auto"/>
          <w:sz w:val="24"/>
          <w:szCs w:val="22"/>
          <w:highlight w:val="none"/>
          <w:u w:val="single"/>
          <w:lang w:val="en-US" w:eastAsia="zh"/>
          <w:woUserID w:val="4"/>
        </w:rPr>
        <w:t>三等</w:t>
      </w:r>
      <w:r>
        <w:rPr>
          <w:rFonts w:hint="eastAsia" w:cs="宋体"/>
          <w:color w:val="auto"/>
          <w:sz w:val="24"/>
          <w:szCs w:val="22"/>
          <w:highlight w:val="none"/>
          <w:u w:val="single"/>
          <w:lang w:val="en-US"/>
        </w:rPr>
        <w:t>水准测量</w:t>
      </w:r>
      <w:r>
        <w:rPr>
          <w:rFonts w:hint="eastAsia" w:cs="宋体"/>
          <w:color w:val="auto"/>
          <w:sz w:val="24"/>
          <w:szCs w:val="22"/>
          <w:highlight w:val="none"/>
          <w:u w:val="single"/>
          <w:lang w:val="en-US" w:eastAsia="zh"/>
          <w:woUserID w:val="4"/>
        </w:rPr>
        <w:t>等级</w:t>
      </w:r>
      <w:r>
        <w:rPr>
          <w:rFonts w:hint="eastAsia" w:ascii="宋体" w:hAnsi="宋体" w:cs="宋体"/>
          <w:color w:val="auto"/>
          <w:sz w:val="24"/>
          <w:szCs w:val="20"/>
          <w:highlight w:val="none"/>
          <w:u w:val="single"/>
          <w:lang w:val="zh-CN" w:eastAsia="zh-CN"/>
        </w:rPr>
        <w:t>。项目按照生态文明建设要求开展建设，如涉及树木迁移，严格按照《广州市城市树木保护管理规定(试行)》执行。</w:t>
      </w:r>
    </w:p>
    <w:p w14:paraId="3A58FD5B">
      <w:pP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lang w:val="en-US" w:eastAsia="zh-CN"/>
        </w:rPr>
        <w:t>21个月</w:t>
      </w:r>
      <w:r>
        <w:rPr>
          <w:rFonts w:hint="eastAsia" w:ascii="宋体" w:hAnsi="宋体" w:cs="宋体"/>
          <w:color w:val="auto"/>
          <w:sz w:val="24"/>
          <w:szCs w:val="24"/>
          <w:highlight w:val="none"/>
          <w:u w:val="single"/>
        </w:rPr>
        <w:t>。</w:t>
      </w:r>
      <w:r>
        <w:rPr>
          <w:rFonts w:hint="eastAsia" w:ascii="宋体" w:hAnsi="宋体" w:cs="宋体"/>
          <w:color w:val="auto"/>
          <w:sz w:val="24"/>
          <w:szCs w:val="24"/>
          <w:u w:val="single"/>
        </w:rPr>
        <w:t>具体按合同约定条款要求为准。</w:t>
      </w:r>
    </w:p>
    <w:p w14:paraId="4D496FF7">
      <w:pPr>
        <w:adjustRightInd w:val="0"/>
        <w:snapToGrid w:val="0"/>
        <w:spacing w:line="360" w:lineRule="auto"/>
        <w:ind w:firstLine="566" w:firstLineChars="236"/>
        <w:rPr>
          <w:rFonts w:hint="eastAsia"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55942C8">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1C63A34A">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57BFCF0">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14:paraId="469C228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05B7F54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（1）勘察部分：</w:t>
      </w:r>
      <w:r>
        <w:rPr>
          <w:rFonts w:hint="eastAsia" w:ascii="宋体" w:hAnsi="宋体" w:cs="宋体"/>
          <w:color w:val="auto"/>
          <w:sz w:val="24"/>
          <w:highlight w:val="none"/>
          <w:u w:val="single"/>
        </w:rPr>
        <w:t>内容包括但不限于如下内容：</w:t>
      </w:r>
      <w:r>
        <w:rPr>
          <w:rFonts w:hint="eastAsia" w:ascii="宋体" w:hAnsi="宋体" w:cs="宋体"/>
          <w:color w:val="auto"/>
          <w:sz w:val="24"/>
          <w:szCs w:val="24"/>
          <w:highlight w:val="none"/>
          <w:u w:val="single"/>
          <w:lang w:bidi="ar"/>
        </w:rPr>
        <w:t>岩土工程勘察（初勘、详勘）、超前钻、工程物探〔管线探测、工程桩管波探测〕、地形测绘及工程测量、剪切波速、抽水试验、土壤氡浓度检测及噪声测试，包括但不限于勘察大纲、岩土工程勘察、详细勘察等其他工作。</w:t>
      </w:r>
      <w:r>
        <w:rPr>
          <w:rFonts w:hint="eastAsia" w:ascii="宋体" w:hAnsi="宋体" w:cs="宋体"/>
          <w:color w:val="auto"/>
          <w:sz w:val="24"/>
          <w:highlight w:val="none"/>
          <w:u w:val="single"/>
        </w:rPr>
        <w:t>（具体详见勘察设计任务书和合同约定条款）。</w:t>
      </w:r>
    </w:p>
    <w:p w14:paraId="67AC2F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）设计部分：</w:t>
      </w:r>
      <w:r>
        <w:rPr>
          <w:rFonts w:hint="eastAsia" w:ascii="宋体" w:hAnsi="宋体" w:cs="宋体"/>
          <w:color w:val="auto"/>
          <w:sz w:val="24"/>
          <w:highlight w:val="none"/>
          <w:u w:val="single"/>
        </w:rPr>
        <w:t>包括但不限于房建工程全部专业的方案设计、初步设计及施工图阶段设计图纸，设计深度需满足政府主管部门方案设计、初步设计及施工图报批深度的要求，包括场地的基坑支护设计、地基及软基处理设计、建筑方案设计、概算编制、因政策变化或相应外部条件改变带来的相应设计工作、总控协调工作（如有）、与本项目各设计阶段相关的设计等工作。（具体详见勘察设计任务书和合同约定条款）。</w:t>
      </w:r>
    </w:p>
    <w:p w14:paraId="08B95603">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）施工部分：</w:t>
      </w:r>
      <w:r>
        <w:rPr>
          <w:rFonts w:hint="eastAsia" w:ascii="宋体" w:hAnsi="宋体" w:cs="宋体"/>
          <w:color w:val="auto"/>
          <w:sz w:val="24"/>
          <w:highlight w:val="none"/>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勘察设计任务书和合同约定条款）。</w:t>
      </w:r>
    </w:p>
    <w:p w14:paraId="328089DE">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2D3F10CE">
      <w:pPr>
        <w:adjustRightInd/>
        <w:snapToGrid/>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2.4.3.3绿色建筑等级要求：</w:t>
      </w:r>
      <w:r>
        <w:rPr>
          <w:rFonts w:ascii="宋体" w:hAnsi="宋体"/>
          <w:color w:val="auto"/>
          <w:sz w:val="24"/>
          <w:szCs w:val="24"/>
          <w:u w:val="single"/>
        </w:rPr>
        <w:t>本项目要求按绿色建筑设计</w:t>
      </w:r>
      <w:r>
        <w:rPr>
          <w:rFonts w:hint="eastAsia" w:ascii="宋体" w:hAnsi="宋体"/>
          <w:color w:val="auto"/>
          <w:sz w:val="24"/>
          <w:szCs w:val="24"/>
          <w:u w:val="single"/>
          <w:lang w:eastAsia="zh"/>
        </w:rPr>
        <w:t>一星</w:t>
      </w:r>
      <w:r>
        <w:rPr>
          <w:rFonts w:hint="eastAsia" w:ascii="宋体" w:hAnsi="宋体"/>
          <w:color w:val="auto"/>
          <w:sz w:val="24"/>
          <w:szCs w:val="24"/>
          <w:u w:val="single"/>
        </w:rPr>
        <w:t>标准</w:t>
      </w:r>
      <w:r>
        <w:rPr>
          <w:rFonts w:ascii="宋体" w:hAnsi="宋体"/>
          <w:color w:val="auto"/>
          <w:sz w:val="24"/>
          <w:szCs w:val="24"/>
          <w:u w:val="single"/>
        </w:rPr>
        <w:t>进行设计</w:t>
      </w:r>
      <w:r>
        <w:rPr>
          <w:rFonts w:hint="eastAsia" w:ascii="宋体" w:hAnsi="宋体" w:eastAsia="宋体"/>
          <w:color w:val="auto"/>
          <w:kern w:val="2"/>
          <w:sz w:val="24"/>
          <w:szCs w:val="24"/>
          <w:highlight w:val="none"/>
          <w:u w:val="single"/>
          <w:lang w:eastAsia="zh-CN" w:bidi="ar"/>
        </w:rPr>
        <w:t>，</w:t>
      </w:r>
      <w:r>
        <w:rPr>
          <w:rFonts w:hint="eastAsia" w:ascii="宋体" w:hAnsi="宋体" w:cs="宋体"/>
          <w:color w:val="auto"/>
          <w:sz w:val="24"/>
          <w:highlight w:val="none"/>
          <w:u w:val="single"/>
        </w:rPr>
        <w:t>具体详见勘察设计任务书。</w:t>
      </w:r>
    </w:p>
    <w:p w14:paraId="170BBC95">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14:paraId="344580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2.4.4.质量要求：</w:t>
      </w:r>
    </w:p>
    <w:p w14:paraId="696B1E26">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2.4.4.1勘察设计部分：</w:t>
      </w:r>
      <w:r>
        <w:rPr>
          <w:rFonts w:hint="eastAsia" w:ascii="宋体" w:hAnsi="宋体" w:cs="宋体"/>
          <w:color w:val="auto"/>
          <w:sz w:val="24"/>
          <w:highlight w:val="none"/>
          <w:u w:val="single"/>
        </w:rPr>
        <w:t>符合国家、行业、地方相关强制性标准及勘察、设计任务书等的要求。</w:t>
      </w:r>
    </w:p>
    <w:p w14:paraId="4D70844D">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p w14:paraId="70905869">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严格执行有关安全与文明的法律法规和规章制度。</w:t>
      </w:r>
    </w:p>
    <w:p w14:paraId="6C9C9733">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4E615E76">
      <w:pPr>
        <w:adjustRightInd w:val="0"/>
        <w:snapToGrid w:val="0"/>
        <w:spacing w:line="360" w:lineRule="auto"/>
        <w:ind w:firstLine="540" w:firstLineChars="225"/>
        <w:rPr>
          <w:rFonts w:hint="eastAsia"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rPr>
        <w:t>广州市白云工程咨询管理有限公司（可行性研究报告编制单位）</w:t>
      </w:r>
      <w:r>
        <w:rPr>
          <w:rFonts w:hint="eastAsia" w:ascii="宋体" w:hAnsi="宋体" w:cs="宋体"/>
          <w:color w:val="auto"/>
          <w:sz w:val="24"/>
          <w:highlight w:val="none"/>
        </w:rPr>
        <w:t>。</w:t>
      </w:r>
    </w:p>
    <w:p w14:paraId="0871B41B">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0D171E1E">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3BB06FD6">
      <w:pPr>
        <w:widowControl/>
        <w:tabs>
          <w:tab w:val="left" w:pos="105"/>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本次招标最高投标限价为</w:t>
      </w:r>
      <w:r>
        <w:rPr>
          <w:rFonts w:hint="eastAsia" w:ascii="宋体" w:hAnsi="宋体" w:cs="宋体"/>
          <w:color w:val="auto"/>
          <w:sz w:val="24"/>
          <w:highlight w:val="none"/>
          <w:u w:val="single"/>
          <w:lang w:val="en-US" w:eastAsia="zh-CN"/>
        </w:rPr>
        <w:t>22955.02</w:t>
      </w:r>
      <w:r>
        <w:rPr>
          <w:rFonts w:hint="eastAsia" w:ascii="宋体" w:hAnsi="宋体" w:cs="宋体"/>
          <w:color w:val="auto"/>
          <w:sz w:val="24"/>
          <w:highlight w:val="none"/>
          <w:u w:val="single"/>
        </w:rPr>
        <w:t>万元，其中：勘察费最高投标限价为</w:t>
      </w:r>
      <w:r>
        <w:rPr>
          <w:rFonts w:hint="eastAsia" w:ascii="宋体" w:hAnsi="宋体" w:cs="宋体"/>
          <w:color w:val="auto"/>
          <w:sz w:val="24"/>
          <w:highlight w:val="none"/>
          <w:u w:val="single"/>
          <w:lang w:val="en-US" w:eastAsia="zh-CN"/>
        </w:rPr>
        <w:t>118.74</w:t>
      </w:r>
      <w:r>
        <w:rPr>
          <w:rFonts w:hint="eastAsia" w:ascii="宋体" w:hAnsi="宋体" w:cs="宋体"/>
          <w:color w:val="auto"/>
          <w:sz w:val="24"/>
          <w:highlight w:val="none"/>
          <w:u w:val="single"/>
        </w:rPr>
        <w:t>万元；设计费最高投标限价为</w:t>
      </w:r>
      <w:r>
        <w:rPr>
          <w:rFonts w:hint="eastAsia" w:ascii="宋体" w:hAnsi="宋体" w:cs="宋体"/>
          <w:color w:val="auto"/>
          <w:sz w:val="24"/>
          <w:highlight w:val="none"/>
          <w:u w:val="single"/>
          <w:lang w:val="en-US" w:eastAsia="zh-CN"/>
        </w:rPr>
        <w:t>337.48</w:t>
      </w:r>
      <w:r>
        <w:rPr>
          <w:rFonts w:hint="eastAsia" w:ascii="宋体" w:hAnsi="宋体" w:cs="宋体"/>
          <w:color w:val="auto"/>
          <w:sz w:val="24"/>
          <w:highlight w:val="none"/>
          <w:u w:val="single"/>
        </w:rPr>
        <w:t>万元；工程费最高投标限价为人民币</w:t>
      </w:r>
      <w:r>
        <w:rPr>
          <w:rFonts w:hint="eastAsia" w:ascii="宋体" w:hAnsi="宋体" w:cs="宋体"/>
          <w:color w:val="auto"/>
          <w:sz w:val="24"/>
          <w:highlight w:val="none"/>
          <w:u w:val="single"/>
          <w:lang w:val="en-US" w:eastAsia="zh-CN"/>
        </w:rPr>
        <w:t>22498.80</w:t>
      </w:r>
      <w:r>
        <w:rPr>
          <w:rFonts w:hint="eastAsia" w:ascii="宋体" w:hAnsi="宋体" w:cs="宋体"/>
          <w:color w:val="auto"/>
          <w:sz w:val="24"/>
          <w:highlight w:val="none"/>
          <w:u w:val="single"/>
        </w:rPr>
        <w:t>万元。</w:t>
      </w:r>
    </w:p>
    <w:p w14:paraId="1415FFB8">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2AFFFDB4">
      <w:pPr>
        <w:pStyle w:val="25"/>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39B49D49">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6102CA84">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74EAD852">
      <w:pPr>
        <w:pStyle w:val="25"/>
        <w:adjustRightInd w:val="0"/>
        <w:snapToGrid w:val="0"/>
        <w:ind w:firstLine="566" w:firstLineChars="23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工程勘察资质：</w:t>
      </w:r>
      <w:r>
        <w:rPr>
          <w:rFonts w:hint="eastAsia" w:ascii="宋体" w:hAnsi="宋体" w:eastAsia="宋体" w:cs="宋体"/>
          <w:color w:val="auto"/>
          <w:sz w:val="24"/>
          <w:szCs w:val="24"/>
          <w:highlight w:val="none"/>
          <w:u w:val="single"/>
        </w:rPr>
        <w:t>工程勘察综合甲级资质，或同时具有工程勘察专业类(岩土工程）甲级资质和工程勘察专业类（工程测量）乙级（或以上）资质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同时具有工程勘察专业类（岩土工程（分项）岩土工程勘察）甲级资质和工程勘察专业类（工程测量）乙级（或以上）资质。</w:t>
      </w:r>
    </w:p>
    <w:p w14:paraId="70024478">
      <w:pPr>
        <w:pStyle w:val="25"/>
        <w:adjustRightInd w:val="0"/>
        <w:snapToGrid w:val="0"/>
        <w:ind w:firstLine="566" w:firstLineChars="236"/>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1.2</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工程设计综合甲级资质，或建筑工程设计资质【建筑行业设计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资质，或建筑行业（建筑工程）专业设计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资质】，或建筑设计事务所资质证书。</w:t>
      </w:r>
    </w:p>
    <w:p w14:paraId="65965A4A">
      <w:pPr>
        <w:pStyle w:val="25"/>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号）的规定，香港企业参加勘察、设计投标的，须在广东省住房和城乡建设主管部门备案且备案业务满足招标资格要求的。</w:t>
      </w:r>
    </w:p>
    <w:p w14:paraId="5412B9E0">
      <w:pPr>
        <w:pStyle w:val="25"/>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5"/>
        <w:adjustRightInd w:val="0"/>
        <w:snapToGrid w:val="0"/>
        <w:ind w:firstLine="540"/>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3.1.3</w:t>
      </w:r>
      <w:r>
        <w:rPr>
          <w:rFonts w:hint="eastAsia" w:ascii="宋体" w:hAnsi="宋体" w:eastAsia="宋体" w:cs="宋体"/>
          <w:color w:val="auto"/>
          <w:sz w:val="24"/>
          <w:szCs w:val="24"/>
          <w:highlight w:val="none"/>
        </w:rPr>
        <w:t>施工资质：</w:t>
      </w:r>
      <w:r>
        <w:rPr>
          <w:rFonts w:hint="eastAsia" w:ascii="宋体" w:hAnsi="宋体" w:eastAsia="宋体" w:cs="宋体"/>
          <w:color w:val="auto"/>
          <w:sz w:val="24"/>
          <w:szCs w:val="24"/>
          <w:highlight w:val="none"/>
          <w:u w:val="single"/>
        </w:rPr>
        <w:t>具有承接本工程所需的</w:t>
      </w:r>
      <w:r>
        <w:rPr>
          <w:rFonts w:hint="eastAsia" w:ascii="宋体" w:hAnsi="宋体" w:eastAsia="宋体" w:cs="宋体"/>
          <w:bCs/>
          <w:color w:val="auto"/>
          <w:sz w:val="24"/>
          <w:szCs w:val="24"/>
          <w:highlight w:val="none"/>
          <w:u w:val="single"/>
        </w:rPr>
        <w:t>建筑工程施工总承包</w:t>
      </w:r>
      <w:r>
        <w:rPr>
          <w:rFonts w:hint="eastAsia" w:ascii="宋体" w:hAnsi="宋体" w:eastAsia="宋体" w:cs="宋体"/>
          <w:bCs/>
          <w:color w:val="auto"/>
          <w:sz w:val="24"/>
          <w:szCs w:val="24"/>
          <w:highlight w:val="none"/>
          <w:u w:val="single"/>
          <w:lang w:val="en-US" w:eastAsia="zh-CN"/>
        </w:rPr>
        <w:t>贰</w:t>
      </w:r>
      <w:r>
        <w:rPr>
          <w:rFonts w:hint="eastAsia" w:ascii="宋体" w:hAnsi="宋体" w:eastAsia="宋体" w:cs="宋体"/>
          <w:bCs/>
          <w:color w:val="auto"/>
          <w:sz w:val="24"/>
          <w:szCs w:val="24"/>
          <w:highlight w:val="none"/>
          <w:u w:val="single"/>
        </w:rPr>
        <w:t>级（或以上）资质，并具有建设行政主管部门颁发的安全生产许可证。</w:t>
      </w:r>
    </w:p>
    <w:p w14:paraId="4F42C004">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4ECD4B7E">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w:t>
      </w:r>
      <w:r>
        <w:rPr>
          <w:rFonts w:hint="eastAsia" w:ascii="宋体" w:hAnsi="宋体" w:cs="宋体"/>
          <w:bCs/>
          <w:color w:val="auto"/>
          <w:sz w:val="24"/>
          <w:szCs w:val="24"/>
          <w:highlight w:val="none"/>
          <w:u w:val="single"/>
          <w:lang w:val="en-US" w:eastAsia="zh-CN"/>
        </w:rPr>
        <w:t>和</w:t>
      </w:r>
      <w:r>
        <w:rPr>
          <w:rFonts w:hint="eastAsia" w:ascii="宋体" w:hAnsi="宋体" w:cs="宋体"/>
          <w:bCs/>
          <w:color w:val="auto"/>
          <w:sz w:val="24"/>
          <w:szCs w:val="24"/>
          <w:highlight w:val="none"/>
          <w:u w:val="single"/>
        </w:rPr>
        <w:t>城乡建设部关于建筑业企业资质管理有关问题的通知》（建市[2015]154号）、《住房</w:t>
      </w:r>
      <w:r>
        <w:rPr>
          <w:rFonts w:hint="eastAsia" w:ascii="宋体" w:hAnsi="宋体" w:cs="宋体"/>
          <w:bCs/>
          <w:color w:val="auto"/>
          <w:sz w:val="24"/>
          <w:szCs w:val="24"/>
          <w:highlight w:val="none"/>
          <w:u w:val="single"/>
          <w:lang w:val="en-US" w:eastAsia="zh-CN"/>
        </w:rPr>
        <w:t>和</w:t>
      </w:r>
      <w:r>
        <w:rPr>
          <w:rFonts w:hint="eastAsia" w:ascii="宋体" w:hAnsi="宋体" w:cs="宋体"/>
          <w:bCs/>
          <w:color w:val="auto"/>
          <w:sz w:val="24"/>
          <w:szCs w:val="24"/>
          <w:highlight w:val="none"/>
          <w:u w:val="single"/>
        </w:rPr>
        <w:t>城乡建设部关于简化建筑业企业资质标准部分指标的通知》(建市[2016]226号)的要求设置。</w:t>
      </w:r>
    </w:p>
    <w:p w14:paraId="245C0590">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w:t>
      </w:r>
      <w:r>
        <w:rPr>
          <w:rFonts w:hint="eastAsia" w:ascii="宋体" w:hAnsi="宋体" w:cs="宋体"/>
          <w:bCs/>
          <w:color w:val="auto"/>
          <w:sz w:val="24"/>
          <w:szCs w:val="24"/>
          <w:highlight w:val="none"/>
          <w:u w:val="single"/>
          <w:lang w:val="en-US" w:eastAsia="zh-CN"/>
        </w:rPr>
        <w:t>和</w:t>
      </w:r>
      <w:r>
        <w:rPr>
          <w:rFonts w:hint="eastAsia" w:ascii="宋体" w:hAnsi="宋体" w:cs="宋体"/>
          <w:bCs/>
          <w:color w:val="auto"/>
          <w:sz w:val="24"/>
          <w:szCs w:val="24"/>
          <w:highlight w:val="none"/>
          <w:u w:val="single"/>
        </w:rPr>
        <w:t>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3FFF038">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3.2.1允许联合体投标</w:t>
      </w:r>
      <w:r>
        <w:rPr>
          <w:rFonts w:hint="eastAsia" w:ascii="宋体" w:hAnsi="宋体" w:cs="宋体"/>
          <w:color w:val="auto"/>
          <w:sz w:val="24"/>
          <w:highlight w:val="none"/>
          <w:lang w:eastAsia="zh-CN"/>
        </w:rPr>
        <w:t>，</w:t>
      </w:r>
      <w:r>
        <w:rPr>
          <w:rFonts w:ascii="宋体" w:hAnsi="宋体" w:cs="宋体"/>
          <w:color w:val="auto"/>
          <w:sz w:val="24"/>
          <w:highlight w:val="none"/>
        </w:rPr>
        <w:t>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w:t>
      </w:r>
      <w:r>
        <w:rPr>
          <w:rFonts w:hint="eastAsia" w:ascii="宋体" w:hAnsi="宋体" w:cs="宋体"/>
          <w:color w:val="auto"/>
          <w:sz w:val="24"/>
          <w:highlight w:val="none"/>
          <w:lang w:val="en-US" w:eastAsia="zh-CN"/>
        </w:rPr>
        <w:t>一家</w:t>
      </w:r>
      <w:r>
        <w:rPr>
          <w:rFonts w:hint="eastAsia" w:ascii="宋体" w:hAnsi="宋体" w:cs="宋体"/>
          <w:color w:val="auto"/>
          <w:sz w:val="24"/>
          <w:highlight w:val="none"/>
        </w:rPr>
        <w:t>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00E39598">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w:t>
      </w:r>
      <w:r>
        <w:rPr>
          <w:rFonts w:hint="eastAsia" w:ascii="宋体" w:hAnsi="宋体" w:cs="宋体"/>
          <w:strike/>
          <w:color w:val="auto"/>
          <w:sz w:val="24"/>
          <w:highlight w:val="none"/>
        </w:rPr>
        <w:t>类似工程业绩、</w:t>
      </w:r>
      <w:r>
        <w:rPr>
          <w:rFonts w:hint="eastAsia" w:ascii="宋体" w:hAnsi="宋体" w:cs="宋体"/>
          <w:color w:val="auto"/>
          <w:sz w:val="24"/>
          <w:highlight w:val="none"/>
        </w:rPr>
        <w:t>专职安全员、项目负责人、项目技术负责人以联合体牵头方为准；工程设计资质、设计负责人以承接设计任务的一方为准；工程勘察资质以承担勘察任务的一方为准。</w:t>
      </w:r>
    </w:p>
    <w:p w14:paraId="35EEA92F">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1FDD3610">
      <w:pPr>
        <w:pStyle w:val="25"/>
        <w:adjustRightInd w:val="0"/>
        <w:snapToGrid w:val="0"/>
        <w:ind w:firstLine="54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4C8F86CA">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strike/>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highlight w:val="none"/>
        </w:rPr>
        <w:t>项目负责人在任职期间不得担任专职安全员，项目专职安全员在任职期间也不得担任项目负责人，项目负责人和专职安全员不为同一人。</w:t>
      </w:r>
    </w:p>
    <w:p w14:paraId="0AD2AFE4">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3.3.2投标人（若为联合体，指联合体牵头方）拟担任本工程技术负责人的资格要求为：</w:t>
      </w:r>
      <w:r>
        <w:rPr>
          <w:rFonts w:hint="eastAsia" w:ascii="宋体" w:hAnsi="宋体" w:cs="宋体"/>
          <w:color w:val="auto"/>
          <w:sz w:val="24"/>
          <w:highlight w:val="none"/>
          <w:u w:val="single"/>
        </w:rPr>
        <w:t>建筑工程相关专业</w:t>
      </w:r>
      <w:r>
        <w:rPr>
          <w:rFonts w:hint="default" w:ascii="宋体" w:hAnsi="宋体" w:cs="宋体"/>
          <w:color w:val="auto"/>
          <w:sz w:val="24"/>
          <w:highlight w:val="none"/>
          <w:u w:val="single"/>
          <w:lang w:val="en-US"/>
        </w:rPr>
        <w:t>高</w:t>
      </w:r>
      <w:r>
        <w:rPr>
          <w:rFonts w:hint="eastAsia" w:ascii="宋体" w:hAnsi="宋体" w:cs="宋体"/>
          <w:color w:val="auto"/>
          <w:sz w:val="24"/>
          <w:highlight w:val="none"/>
          <w:u w:val="single"/>
        </w:rPr>
        <w:t>级（或以上）工程师技术职称</w:t>
      </w:r>
      <w:r>
        <w:rPr>
          <w:rFonts w:hint="eastAsia" w:ascii="宋体" w:hAnsi="宋体" w:cs="宋体"/>
          <w:color w:val="auto"/>
          <w:sz w:val="24"/>
          <w:highlight w:val="none"/>
        </w:rPr>
        <w:t>。</w:t>
      </w:r>
    </w:p>
    <w:p w14:paraId="4FB27400">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如多方则</w:t>
      </w:r>
      <w:r>
        <w:rPr>
          <w:rFonts w:hint="eastAsia" w:ascii="宋体" w:hAnsi="宋体" w:cs="宋体"/>
          <w:color w:val="auto"/>
          <w:sz w:val="24"/>
          <w:highlight w:val="none"/>
          <w:lang w:eastAsia="zh-CN"/>
        </w:rPr>
        <w:t>任一</w:t>
      </w:r>
      <w:r>
        <w:rPr>
          <w:rFonts w:hint="eastAsia" w:ascii="宋体" w:hAnsi="宋体" w:cs="宋体"/>
          <w:color w:val="auto"/>
          <w:sz w:val="24"/>
          <w:highlight w:val="none"/>
          <w:lang w:val="en-US" w:eastAsia="zh-CN"/>
        </w:rPr>
        <w:t>设计单位</w:t>
      </w:r>
      <w:r>
        <w:rPr>
          <w:rFonts w:hint="eastAsia" w:ascii="宋体" w:hAnsi="宋体" w:cs="宋体"/>
          <w:color w:val="auto"/>
          <w:sz w:val="24"/>
          <w:highlight w:val="none"/>
        </w:rPr>
        <w:t>）</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0C190A5B">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u w:val="single"/>
        </w:rPr>
        <w:t>投标人（若为联合体，指联合体牵头方）专职安全员须具有在有效期内的安全生产考核合格证书（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4D48B8E0">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79E9520C">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06FD8D0D">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818D46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14:paraId="6E168D37">
      <w:pPr>
        <w:adjustRightInd w:val="0"/>
        <w:snapToGrid w:val="0"/>
        <w:spacing w:line="360" w:lineRule="auto"/>
        <w:ind w:firstLine="537" w:firstLineChars="224"/>
        <w:rPr>
          <w:rFonts w:hint="eastAsia" w:ascii="宋体" w:hAnsi="宋体" w:cs="Calibri"/>
          <w:color w:val="auto"/>
          <w:sz w:val="24"/>
          <w:szCs w:val="22"/>
          <w:highlight w:val="none"/>
          <w:lang w:val="zh-CN"/>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eastAsia="宋体" w:cs="Calibri"/>
          <w:b w:val="0"/>
          <w:color w:val="auto"/>
          <w:kern w:val="0"/>
          <w:sz w:val="24"/>
          <w:szCs w:val="22"/>
          <w:highlight w:val="none"/>
        </w:rPr>
        <w:t>未被列入拖欠农民工工资失信联合惩戒对象名单</w:t>
      </w:r>
      <w:r>
        <w:rPr>
          <w:rFonts w:hint="eastAsia" w:ascii="宋体" w:hAnsi="宋体" w:eastAsia="宋体" w:cs="Calibri"/>
          <w:bCs w:val="0"/>
          <w:color w:val="auto"/>
          <w:kern w:val="0"/>
          <w:sz w:val="24"/>
          <w:szCs w:val="22"/>
          <w:highlight w:val="none"/>
        </w:rPr>
        <w:t>。</w:t>
      </w:r>
    </w:p>
    <w:p w14:paraId="4C95E2A9">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0BD9C713">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4CB97E3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032ACC09">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BE22B85">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4EAC5446">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4429F2CC">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hint="eastAsia"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5FC5CB9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107C704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10EB0645">
      <w:pPr>
        <w:snapToGrid w:val="0"/>
        <w:spacing w:line="360" w:lineRule="auto"/>
        <w:ind w:firstLine="480" w:firstLineChars="200"/>
        <w:rPr>
          <w:rFonts w:hint="eastAsia"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235C2F5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2906E1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9DBB076">
      <w:pPr>
        <w:widowControl/>
        <w:shd w:val="clear" w:color="auto"/>
        <w:snapToGrid w:val="0"/>
        <w:spacing w:line="360" w:lineRule="auto"/>
        <w:ind w:left="764" w:leftChars="364" w:firstLine="1742" w:firstLineChars="72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C0D6561">
      <w:pPr>
        <w:widowControl/>
        <w:shd w:val="clear" w:color="auto"/>
        <w:snapToGrid w:val="0"/>
        <w:spacing w:line="360" w:lineRule="auto"/>
        <w:ind w:left="480" w:hanging="480" w:hangingChars="200"/>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F6EACB">
      <w:pPr>
        <w:widowControl/>
        <w:shd w:val="clear" w:color="auto"/>
        <w:snapToGrid w:val="0"/>
        <w:spacing w:line="360" w:lineRule="auto"/>
        <w:ind w:firstLine="424" w:firstLineChars="177"/>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39A3C32">
      <w:pPr>
        <w:widowControl/>
        <w:shd w:val="clear" w:color="auto"/>
        <w:snapToGrid w:val="0"/>
        <w:spacing w:line="360" w:lineRule="auto"/>
        <w:ind w:firstLine="480" w:firstLineChars="20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0F042AD3">
      <w:pPr>
        <w:widowControl/>
        <w:shd w:val="clear" w:color="auto"/>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37032B6">
      <w:pPr>
        <w:adjustRightInd w:val="0"/>
        <w:snapToGrid w:val="0"/>
        <w:spacing w:line="360" w:lineRule="auto"/>
        <w:ind w:firstLine="424" w:firstLineChars="132"/>
        <w:rPr>
          <w:rFonts w:hint="eastAsia" w:ascii="宋体" w:hAnsi="宋体" w:cs="宋体"/>
          <w:b/>
          <w:color w:val="auto"/>
          <w:sz w:val="32"/>
          <w:szCs w:val="32"/>
          <w:highlight w:val="none"/>
        </w:rPr>
      </w:pPr>
      <w:bookmarkStart w:id="7" w:name="_Toc253143217"/>
      <w:bookmarkStart w:id="8" w:name="_Toc249845969"/>
      <w:bookmarkStart w:id="9" w:name="_Toc266093546"/>
      <w:bookmarkStart w:id="10" w:name="_Toc245023998"/>
      <w:bookmarkStart w:id="11" w:name="_Toc439245991"/>
      <w:bookmarkStart w:id="12" w:name="_Toc302982757"/>
      <w:bookmarkStart w:id="13" w:name="_Toc249846224"/>
      <w:bookmarkStart w:id="14" w:name="_Toc266881398"/>
      <w:bookmarkStart w:id="15" w:name="_Toc309311443"/>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42563A12">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9"/>
          <w:rFonts w:hint="eastAsia" w:ascii="宋体" w:hAnsi="宋体" w:cs="宋体"/>
          <w:color w:val="auto"/>
          <w:sz w:val="24"/>
          <w:highlight w:val="none"/>
          <w:shd w:val="clear" w:color="auto" w:fill="FFFFFF"/>
        </w:rPr>
        <w:t>http://www.gzggzy.cn</w:t>
      </w:r>
      <w:r>
        <w:rPr>
          <w:rStyle w:val="19"/>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9"/>
          <w:rFonts w:hint="eastAsia" w:ascii="宋体" w:hAnsi="宋体" w:cs="宋体"/>
          <w:color w:val="auto"/>
          <w:sz w:val="24"/>
          <w:highlight w:val="none"/>
          <w:shd w:val="clear" w:color="auto" w:fill="FFFFFF"/>
        </w:rPr>
        <w:t>http://www.cebpubservice.com/</w:t>
      </w:r>
      <w:r>
        <w:rPr>
          <w:rStyle w:val="19"/>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9"/>
          <w:rFonts w:hint="eastAsia" w:ascii="宋体" w:hAnsi="宋体" w:cs="宋体"/>
          <w:color w:val="auto"/>
          <w:sz w:val="24"/>
          <w:highlight w:val="none"/>
          <w:shd w:val="clear" w:color="auto" w:fill="FFFFFF"/>
        </w:rPr>
        <w:t>http://zbtb.gd.gov.cn/</w:t>
      </w:r>
      <w:r>
        <w:rPr>
          <w:rStyle w:val="19"/>
          <w:rFonts w:hint="eastAsia" w:ascii="宋体" w:hAnsi="宋体" w:cs="宋体"/>
          <w:color w:val="auto"/>
          <w:sz w:val="24"/>
          <w:highlight w:val="none"/>
          <w:shd w:val="clear" w:color="auto" w:fill="FFFFFF"/>
        </w:rPr>
        <w:fldChar w:fldCharType="end"/>
      </w:r>
      <w:r>
        <w:rPr>
          <w:rStyle w:val="19"/>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w:t>
      </w:r>
      <w:r>
        <w:rPr>
          <w:rFonts w:hint="eastAsia" w:ascii="宋体" w:hAnsi="宋体" w:cs="宋体"/>
          <w:color w:val="auto"/>
          <w:sz w:val="24"/>
          <w:highlight w:val="none"/>
          <w:shd w:val="clear" w:color="auto" w:fill="FFFFFF"/>
          <w:lang w:val="en-US" w:eastAsia="zh-CN"/>
        </w:rPr>
        <w:t>和广东省招标投标监管网</w:t>
      </w:r>
      <w:r>
        <w:rPr>
          <w:rFonts w:hint="eastAsia" w:ascii="宋体" w:hAnsi="宋体" w:cs="宋体"/>
          <w:color w:val="auto"/>
          <w:sz w:val="24"/>
          <w:highlight w:val="none"/>
          <w:shd w:val="clear" w:color="auto" w:fill="FFFFFF"/>
        </w:rPr>
        <w:t>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4A9CE6B">
      <w:pPr>
        <w:pStyle w:val="8"/>
        <w:spacing w:line="360" w:lineRule="auto"/>
        <w:ind w:firstLine="480" w:firstLineChars="200"/>
        <w:rPr>
          <w:rFonts w:hint="eastAsia"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8"/>
        <w:spacing w:line="360" w:lineRule="auto"/>
        <w:ind w:firstLine="480" w:firstLineChars="200"/>
        <w:rPr>
          <w:rFonts w:hint="eastAsia"/>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2C1CBCDF">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广州白云高端智造投资运营有限公司</w:t>
      </w:r>
    </w:p>
    <w:p w14:paraId="658679B2">
      <w:pPr>
        <w:widowControl/>
        <w:adjustRightInd w:val="0"/>
        <w:snapToGrid w:val="0"/>
        <w:spacing w:line="360" w:lineRule="auto"/>
        <w:ind w:firstLine="566" w:firstLineChars="236"/>
        <w:rPr>
          <w:rFonts w:hint="default" w:ascii="宋体" w:hAnsi="宋体" w:eastAsia="宋体"/>
          <w:color w:val="auto"/>
          <w:sz w:val="24"/>
          <w:highlight w:val="none"/>
          <w:u w:val="singl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李</w:t>
      </w:r>
      <w:r>
        <w:rPr>
          <w:rFonts w:hint="default" w:ascii="宋体" w:hAnsi="宋体" w:cs="宋体"/>
          <w:color w:val="auto"/>
          <w:sz w:val="24"/>
          <w:highlight w:val="none"/>
          <w:u w:val="single"/>
          <w:lang w:val="en-US"/>
        </w:rPr>
        <w:t>工</w:t>
      </w:r>
      <w:r>
        <w:rPr>
          <w:rFonts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020-31211196-823</w:t>
      </w:r>
    </w:p>
    <w:p w14:paraId="72F794D3">
      <w:pPr>
        <w:widowControl/>
        <w:adjustRightInd w:val="0"/>
        <w:snapToGrid w:val="0"/>
        <w:spacing w:line="360" w:lineRule="auto"/>
        <w:ind w:firstLine="566" w:firstLineChars="236"/>
        <w:rPr>
          <w:rFonts w:hint="default" w:ascii="宋体" w:hAnsi="宋体" w:cs="宋体"/>
          <w:color w:val="auto"/>
          <w:sz w:val="24"/>
          <w:highlight w:val="none"/>
          <w:u w:val="single"/>
          <w:lang w:val="en-US"/>
        </w:rPr>
      </w:pPr>
      <w:r>
        <w:rPr>
          <w:rFonts w:hint="eastAsia" w:ascii="宋体" w:hAnsi="宋体" w:cs="宋体"/>
          <w:color w:val="auto"/>
          <w:sz w:val="24"/>
          <w:highlight w:val="none"/>
        </w:rPr>
        <w:t>地址：</w:t>
      </w:r>
      <w:r>
        <w:rPr>
          <w:rFonts w:hint="eastAsia" w:ascii="宋体" w:hAnsi="宋体" w:cs="宋体"/>
          <w:color w:val="auto"/>
          <w:sz w:val="24"/>
          <w:highlight w:val="none"/>
          <w:u w:val="single"/>
          <w:lang w:val="en-US" w:eastAsia="zh-CN"/>
        </w:rPr>
        <w:t>广州市白云区瑞科一路17号A栋13楼</w:t>
      </w:r>
    </w:p>
    <w:p w14:paraId="1F1569D3">
      <w:pPr>
        <w:adjustRightInd w:val="0"/>
        <w:snapToGrid w:val="0"/>
        <w:spacing w:line="360" w:lineRule="auto"/>
        <w:ind w:firstLine="566" w:firstLineChars="236"/>
        <w:rPr>
          <w:rFonts w:hint="eastAsia" w:ascii="宋体" w:hAnsi="宋体" w:cs="宋体"/>
          <w:color w:val="auto"/>
          <w:sz w:val="24"/>
          <w:highlight w:val="none"/>
        </w:rPr>
      </w:pPr>
    </w:p>
    <w:p w14:paraId="13899135">
      <w:pPr>
        <w:adjustRightInd w:val="0"/>
        <w:snapToGrid w:val="0"/>
        <w:spacing w:line="360" w:lineRule="auto"/>
        <w:ind w:firstLine="566" w:firstLineChars="236"/>
        <w:rPr>
          <w:rFonts w:hint="eastAsia"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1F9451A8">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巩工</w:t>
      </w:r>
      <w:r>
        <w:rPr>
          <w:rFonts w:hint="eastAsia" w:ascii="宋体" w:hAnsi="宋体" w:cs="宋体"/>
          <w:color w:val="auto"/>
          <w:sz w:val="24"/>
          <w:highlight w:val="none"/>
          <w:u w:val="single"/>
        </w:rPr>
        <w:t>、肖工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14:paraId="180D64BD">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14:paraId="54DE5D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C19C0C">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2B8C6E00">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4564B05E">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2CEF318">
      <w:pPr>
        <w:adjustRightInd w:val="0"/>
        <w:snapToGrid w:val="0"/>
        <w:spacing w:line="360" w:lineRule="auto"/>
        <w:ind w:firstLine="566" w:firstLineChars="236"/>
        <w:rPr>
          <w:rFonts w:hint="eastAsia" w:ascii="宋体" w:hAnsi="宋体" w:cs="宋体"/>
          <w:color w:val="auto"/>
          <w:sz w:val="24"/>
          <w:highlight w:val="none"/>
        </w:rPr>
      </w:pPr>
    </w:p>
    <w:p w14:paraId="1850BD9B">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广州白云高端智造投资运营有限公司</w:t>
      </w:r>
      <w:r>
        <w:rPr>
          <w:rFonts w:hint="eastAsia" w:ascii="宋体" w:hAnsi="宋体" w:cs="宋体"/>
          <w:color w:val="auto"/>
          <w:sz w:val="24"/>
          <w:highlight w:val="none"/>
        </w:rPr>
        <w:t>；</w:t>
      </w:r>
    </w:p>
    <w:p w14:paraId="6C86ADA3">
      <w:pPr>
        <w:adjustRightInd w:val="0"/>
        <w:snapToGrid w:val="0"/>
        <w:spacing w:line="360" w:lineRule="auto"/>
        <w:ind w:left="496" w:leftChars="236"/>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u w:val="single"/>
          <w:lang w:val="en-US" w:eastAsia="zh-CN"/>
        </w:rPr>
        <w:t>020-31211196-823</w:t>
      </w:r>
    </w:p>
    <w:p w14:paraId="05C02740">
      <w:pPr>
        <w:adjustRightInd w:val="0"/>
        <w:snapToGrid w:val="0"/>
        <w:spacing w:line="360" w:lineRule="auto"/>
        <w:ind w:firstLine="494" w:firstLineChars="20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lang w:val="en-US" w:eastAsia="zh-CN"/>
        </w:rPr>
        <w:t>广州市白云区瑞科一路17号A栋13楼</w:t>
      </w:r>
    </w:p>
    <w:p w14:paraId="37AE7E6B">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4A67493B">
      <w:pPr>
        <w:adjustRightInd w:val="0"/>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14:paraId="4C41D85A">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266688E">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14:paraId="1515DB6D">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14:paraId="028F9934">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14:paraId="61B945B5">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14:paraId="59F500A2">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（7）存在行贿情形的；</w:t>
      </w:r>
    </w:p>
    <w:p w14:paraId="27262F28">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（8）拖欠农民工工资的；</w:t>
      </w:r>
    </w:p>
    <w:p w14:paraId="7EEBD603">
      <w:pPr>
        <w:pStyle w:val="8"/>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14:paraId="762142BE">
      <w:pPr>
        <w:pStyle w:val="8"/>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p w14:paraId="7B5F11F6">
      <w:pPr>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（11）本项目投标时拟派的专职安全员在其他项目中有任职且在本项目开工前未完成更换确保专职安全员只在本项目上任职的;</w:t>
      </w:r>
    </w:p>
    <w:p w14:paraId="3FEF525B">
      <w:pPr>
        <w:rPr>
          <w:rFonts w:hint="eastAsia"/>
          <w:color w:val="auto"/>
          <w:highlight w:val="none"/>
          <w:lang w:val="en-US"/>
        </w:rPr>
      </w:pPr>
    </w:p>
    <w:bookmarkEnd w:id="7"/>
    <w:bookmarkEnd w:id="8"/>
    <w:bookmarkEnd w:id="9"/>
    <w:bookmarkEnd w:id="10"/>
    <w:bookmarkEnd w:id="11"/>
    <w:bookmarkEnd w:id="12"/>
    <w:bookmarkEnd w:id="13"/>
    <w:bookmarkEnd w:id="14"/>
    <w:bookmarkEnd w:id="15"/>
    <w:p w14:paraId="387E320B">
      <w:pPr>
        <w:pStyle w:val="8"/>
        <w:spacing w:line="360" w:lineRule="auto"/>
        <w:jc w:val="right"/>
        <w:rPr>
          <w:rFonts w:hint="eastAsia"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5C529AB3">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6805A289">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6"/>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1A473D3">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hint="eastAsia"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65C2B37E">
            <w:pPr>
              <w:rPr>
                <w:rFonts w:hint="eastAsia"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796CD0FF">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A009756">
            <w:pPr>
              <w:rPr>
                <w:rFonts w:hint="eastAsia" w:ascii="宋体" w:hAnsi="宋体" w:cs="宋体"/>
                <w:color w:val="auto"/>
                <w:szCs w:val="21"/>
                <w:highlight w:val="none"/>
              </w:rPr>
            </w:pPr>
            <w:r>
              <w:rPr>
                <w:rFonts w:hint="eastAsia" w:ascii="宋体" w:hAnsi="宋体" w:cs="宋体"/>
                <w:color w:val="auto"/>
                <w:szCs w:val="21"/>
                <w:highlight w:val="none"/>
              </w:rPr>
              <w:t>列明牵头方的联合体共同投标协议书（联合体投标的）</w:t>
            </w:r>
          </w:p>
        </w:tc>
        <w:tc>
          <w:tcPr>
            <w:tcW w:w="3598" w:type="dxa"/>
            <w:tcBorders>
              <w:right w:val="double" w:color="auto" w:sz="4" w:space="0"/>
            </w:tcBorders>
            <w:vAlign w:val="center"/>
          </w:tcPr>
          <w:p w14:paraId="33BAB6A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hint="eastAsia"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36916EBD">
            <w:pPr>
              <w:rPr>
                <w:rFonts w:hint="eastAsia"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452296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 w:hRule="atLeast"/>
          <w:jc w:val="center"/>
        </w:trPr>
        <w:tc>
          <w:tcPr>
            <w:tcW w:w="8933" w:type="dxa"/>
            <w:gridSpan w:val="3"/>
            <w:tcBorders>
              <w:left w:val="double" w:color="auto" w:sz="4" w:space="0"/>
              <w:right w:val="double" w:color="auto" w:sz="4" w:space="0"/>
            </w:tcBorders>
            <w:vAlign w:val="center"/>
          </w:tcPr>
          <w:p w14:paraId="3C983151">
            <w:pPr>
              <w:jc w:val="center"/>
              <w:rPr>
                <w:rFonts w:hint="eastAsia" w:ascii="宋体" w:hAnsi="宋体" w:cs="宋体"/>
                <w:b/>
                <w:color w:val="auto"/>
                <w:szCs w:val="21"/>
                <w:highlight w:val="none"/>
              </w:rPr>
            </w:pPr>
            <w:r>
              <w:rPr>
                <w:rFonts w:hint="eastAsia" w:ascii="宋体" w:hAnsi="宋体" w:cs="宋体"/>
                <w:b/>
                <w:color w:val="auto"/>
                <w:szCs w:val="21"/>
                <w:highlight w:val="none"/>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67BF0E6">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企业法定代表人证明书（若为联合体，由联合体牵头方出具）</w:t>
            </w:r>
          </w:p>
        </w:tc>
        <w:tc>
          <w:tcPr>
            <w:tcW w:w="3598" w:type="dxa"/>
            <w:tcBorders>
              <w:right w:val="double" w:color="auto" w:sz="4" w:space="0"/>
            </w:tcBorders>
            <w:vAlign w:val="center"/>
          </w:tcPr>
          <w:p w14:paraId="7BD574F4">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4D32A8EA">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投标人代表的法定代表人授权委托书（若为联合体，由联合体牵头方出具）</w:t>
            </w:r>
          </w:p>
        </w:tc>
        <w:tc>
          <w:tcPr>
            <w:tcW w:w="3598" w:type="dxa"/>
            <w:tcBorders>
              <w:right w:val="double" w:color="auto" w:sz="4" w:space="0"/>
            </w:tcBorders>
            <w:vAlign w:val="center"/>
          </w:tcPr>
          <w:p w14:paraId="2B86EDE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18B7D489">
            <w:pPr>
              <w:rPr>
                <w:rFonts w:hint="eastAsia"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5F613A60">
            <w:pPr>
              <w:rPr>
                <w:rFonts w:hint="eastAsia" w:ascii="宋体" w:hAnsi="宋体" w:cs="宋体"/>
                <w:color w:val="auto"/>
                <w:szCs w:val="21"/>
                <w:highlight w:val="none"/>
              </w:rPr>
            </w:pPr>
            <w:r>
              <w:rPr>
                <w:rFonts w:hint="eastAsia"/>
                <w:color w:val="auto"/>
                <w:highlight w:val="none"/>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6B0952A6">
            <w:pPr>
              <w:rPr>
                <w:rFonts w:hint="eastAsia"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FB49B38">
            <w:pPr>
              <w:rPr>
                <w:rFonts w:hint="eastAsia" w:ascii="宋体" w:hAnsi="宋体" w:cs="宋体"/>
                <w:color w:val="auto"/>
                <w:szCs w:val="21"/>
                <w:highlight w:val="none"/>
              </w:rPr>
            </w:pPr>
            <w:r>
              <w:rPr>
                <w:rFonts w:hint="eastAsia"/>
                <w:color w:val="auto"/>
                <w:highlight w:val="none"/>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886A0AA">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6FCE81C1">
            <w:pPr>
              <w:rPr>
                <w:rFonts w:hint="eastAsia" w:ascii="宋体" w:hAnsi="宋体" w:cs="宋体"/>
                <w:color w:val="auto"/>
                <w:szCs w:val="21"/>
                <w:highlight w:val="none"/>
              </w:rPr>
            </w:pPr>
            <w:r>
              <w:rPr>
                <w:rFonts w:hint="eastAsia"/>
                <w:color w:val="auto"/>
                <w:highlight w:val="none"/>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31FA1BC8">
            <w:pPr>
              <w:rPr>
                <w:rFonts w:hint="eastAsia"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6308A83D">
            <w:pPr>
              <w:rPr>
                <w:color w:val="auto"/>
                <w:highlight w:val="none"/>
              </w:rPr>
            </w:pPr>
            <w:r>
              <w:rPr>
                <w:rFonts w:hint="eastAsia"/>
                <w:color w:val="auto"/>
                <w:highlight w:val="none"/>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3C04CD55">
            <w:pPr>
              <w:rPr>
                <w:rFonts w:hint="eastAsia"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hint="eastAsia" w:ascii="宋体" w:hAnsi="宋体" w:cs="宋体"/>
                <w:color w:val="auto"/>
                <w:szCs w:val="21"/>
                <w:highlight w:val="none"/>
              </w:rPr>
            </w:pPr>
            <w:r>
              <w:rPr>
                <w:rFonts w:hint="eastAsia"/>
                <w:color w:val="auto"/>
                <w:highlight w:val="none"/>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D7E68E8">
            <w:pPr>
              <w:rPr>
                <w:rFonts w:hint="eastAsia"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158B471A">
            <w:pPr>
              <w:rPr>
                <w:rFonts w:hint="eastAsia" w:ascii="宋体" w:hAnsi="宋体" w:cs="宋体"/>
                <w:color w:val="auto"/>
                <w:szCs w:val="21"/>
                <w:highlight w:val="none"/>
              </w:rPr>
            </w:pPr>
            <w:r>
              <w:rPr>
                <w:rFonts w:hint="eastAsia"/>
                <w:color w:val="auto"/>
                <w:highlight w:val="none"/>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3D1BE42">
            <w:pPr>
              <w:rPr>
                <w:rFonts w:hint="eastAsia"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507CDC3E">
            <w:pPr>
              <w:rPr>
                <w:rFonts w:hint="eastAsia" w:ascii="宋体" w:hAnsi="宋体" w:cs="宋体"/>
                <w:color w:val="auto"/>
                <w:szCs w:val="21"/>
                <w:highlight w:val="none"/>
              </w:rPr>
            </w:pPr>
            <w:r>
              <w:rPr>
                <w:rFonts w:hint="eastAsia"/>
                <w:color w:val="auto"/>
                <w:highlight w:val="none"/>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hint="eastAsia"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344FE2AD">
            <w:pPr>
              <w:rPr>
                <w:rFonts w:hint="eastAsia"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77B7D5D2">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hint="eastAsia" w:ascii="宋体" w:hAnsi="宋体" w:cs="宋体"/>
                <w:b/>
                <w:color w:val="auto"/>
                <w:szCs w:val="21"/>
                <w:highlight w:val="none"/>
              </w:rPr>
            </w:pPr>
            <w:r>
              <w:rPr>
                <w:rFonts w:hint="eastAsia" w:ascii="宋体" w:hAnsi="宋体" w:cs="宋体"/>
                <w:b/>
                <w:color w:val="auto"/>
                <w:szCs w:val="21"/>
                <w:highlight w:val="none"/>
              </w:rPr>
              <w:t>勘察、设计部分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hint="eastAsia" w:ascii="宋体" w:hAnsi="宋体" w:cs="宋体"/>
                <w:color w:val="auto"/>
                <w:szCs w:val="21"/>
                <w:highlight w:val="none"/>
              </w:rPr>
            </w:pPr>
            <w:r>
              <w:rPr>
                <w:rFonts w:ascii="宋体" w:hAnsi="宋体" w:cs="宋体"/>
                <w:color w:val="auto"/>
                <w:szCs w:val="21"/>
                <w:highlight w:val="none"/>
              </w:rPr>
              <w:t>14</w:t>
            </w:r>
          </w:p>
        </w:tc>
        <w:tc>
          <w:tcPr>
            <w:tcW w:w="4665" w:type="dxa"/>
            <w:vAlign w:val="center"/>
          </w:tcPr>
          <w:p w14:paraId="2E090702">
            <w:pPr>
              <w:rPr>
                <w:rFonts w:hint="eastAsia" w:ascii="宋体" w:hAnsi="宋体" w:cs="宋体"/>
                <w:color w:val="auto"/>
                <w:szCs w:val="21"/>
                <w:highlight w:val="none"/>
              </w:rPr>
            </w:pPr>
            <w:r>
              <w:rPr>
                <w:rFonts w:hint="eastAsia" w:ascii="宋体" w:hAnsi="宋体" w:cs="宋体"/>
                <w:color w:val="auto"/>
                <w:szCs w:val="21"/>
                <w:highlight w:val="none"/>
              </w:rPr>
              <w:t>企业营业执照（勘察、设计单位）</w:t>
            </w:r>
          </w:p>
        </w:tc>
        <w:tc>
          <w:tcPr>
            <w:tcW w:w="3598" w:type="dxa"/>
            <w:tcBorders>
              <w:right w:val="double" w:color="auto" w:sz="4" w:space="0"/>
            </w:tcBorders>
            <w:vAlign w:val="center"/>
          </w:tcPr>
          <w:p w14:paraId="2B5EADAC">
            <w:pPr>
              <w:rPr>
                <w:rFonts w:hint="eastAsia" w:ascii="宋体" w:hAnsi="宋体" w:cs="宋体"/>
                <w:color w:val="auto"/>
                <w:szCs w:val="21"/>
                <w:highlight w:val="none"/>
              </w:rPr>
            </w:pPr>
            <w:r>
              <w:rPr>
                <w:rFonts w:hint="eastAsia"/>
                <w:color w:val="auto"/>
                <w:highlight w:val="none"/>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hint="eastAsia" w:ascii="宋体" w:hAnsi="宋体" w:cs="宋体"/>
                <w:color w:val="auto"/>
                <w:szCs w:val="21"/>
                <w:highlight w:val="none"/>
              </w:rPr>
            </w:pPr>
            <w:r>
              <w:rPr>
                <w:rFonts w:ascii="宋体" w:hAnsi="宋体" w:cs="宋体"/>
                <w:color w:val="auto"/>
                <w:szCs w:val="21"/>
                <w:highlight w:val="none"/>
              </w:rPr>
              <w:t>15</w:t>
            </w:r>
          </w:p>
        </w:tc>
        <w:tc>
          <w:tcPr>
            <w:tcW w:w="4665" w:type="dxa"/>
            <w:vAlign w:val="center"/>
          </w:tcPr>
          <w:p w14:paraId="24C2B0E4">
            <w:pPr>
              <w:rPr>
                <w:rFonts w:hint="eastAsia" w:ascii="宋体" w:hAnsi="宋体" w:cs="宋体"/>
                <w:color w:val="auto"/>
                <w:szCs w:val="21"/>
                <w:highlight w:val="none"/>
              </w:rPr>
            </w:pPr>
            <w:r>
              <w:rPr>
                <w:rFonts w:hint="eastAsia" w:ascii="宋体" w:hAnsi="宋体" w:cs="宋体"/>
                <w:color w:val="auto"/>
                <w:szCs w:val="21"/>
                <w:highlight w:val="none"/>
              </w:rPr>
              <w:t>企业资质证书（勘察、设计单位）</w:t>
            </w:r>
          </w:p>
        </w:tc>
        <w:tc>
          <w:tcPr>
            <w:tcW w:w="3598" w:type="dxa"/>
            <w:tcBorders>
              <w:right w:val="double" w:color="auto" w:sz="4" w:space="0"/>
            </w:tcBorders>
            <w:vAlign w:val="center"/>
          </w:tcPr>
          <w:p w14:paraId="5C08DDE3">
            <w:pPr>
              <w:rPr>
                <w:rFonts w:hint="eastAsia" w:ascii="宋体" w:hAnsi="宋体" w:cs="宋体"/>
                <w:color w:val="auto"/>
                <w:szCs w:val="21"/>
                <w:highlight w:val="none"/>
              </w:rPr>
            </w:pPr>
            <w:r>
              <w:rPr>
                <w:rFonts w:hint="eastAsia"/>
                <w:color w:val="auto"/>
                <w:highlight w:val="none"/>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hint="eastAsia" w:ascii="宋体" w:hAnsi="宋体" w:cs="宋体"/>
                <w:color w:val="auto"/>
                <w:szCs w:val="21"/>
                <w:highlight w:val="none"/>
              </w:rPr>
            </w:pPr>
            <w:r>
              <w:rPr>
                <w:rFonts w:ascii="宋体" w:hAnsi="宋体" w:cs="宋体"/>
                <w:color w:val="auto"/>
                <w:szCs w:val="21"/>
                <w:highlight w:val="none"/>
              </w:rPr>
              <w:t>16</w:t>
            </w:r>
          </w:p>
        </w:tc>
        <w:tc>
          <w:tcPr>
            <w:tcW w:w="4665" w:type="dxa"/>
            <w:vAlign w:val="center"/>
          </w:tcPr>
          <w:p w14:paraId="63D15D4C">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71F51B20">
            <w:pPr>
              <w:rPr>
                <w:rFonts w:hint="eastAsia" w:ascii="宋体" w:hAnsi="宋体" w:cs="宋体"/>
                <w:color w:val="auto"/>
                <w:szCs w:val="21"/>
                <w:highlight w:val="none"/>
              </w:rPr>
            </w:pPr>
            <w:r>
              <w:rPr>
                <w:rFonts w:hint="eastAsia"/>
                <w:color w:val="auto"/>
                <w:highlight w:val="none"/>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hint="eastAsia" w:ascii="宋体" w:hAnsi="宋体" w:cs="宋体"/>
                <w:color w:val="auto"/>
                <w:szCs w:val="21"/>
                <w:highlight w:val="none"/>
              </w:rPr>
            </w:pPr>
            <w:r>
              <w:rPr>
                <w:rFonts w:ascii="宋体" w:hAnsi="宋体" w:cs="宋体"/>
                <w:color w:val="auto"/>
                <w:szCs w:val="21"/>
                <w:highlight w:val="none"/>
              </w:rPr>
              <w:t>17</w:t>
            </w:r>
          </w:p>
        </w:tc>
        <w:tc>
          <w:tcPr>
            <w:tcW w:w="4665" w:type="dxa"/>
            <w:vAlign w:val="center"/>
          </w:tcPr>
          <w:p w14:paraId="40156B8D">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10CBDD3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8"/>
        <w:spacing w:line="360" w:lineRule="auto"/>
        <w:ind w:firstLine="140" w:firstLineChars="67"/>
        <w:jc w:val="left"/>
        <w:rPr>
          <w:rFonts w:hint="eastAsia"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6EB40AA3">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C08FF50">
      <w:pPr>
        <w:spacing w:line="360" w:lineRule="auto"/>
        <w:jc w:val="center"/>
        <w:rPr>
          <w:rFonts w:hint="eastAsia" w:ascii="宋体" w:hAnsi="宋体"/>
          <w:b/>
          <w:color w:val="auto"/>
          <w:sz w:val="44"/>
          <w:szCs w:val="44"/>
          <w:highlight w:val="none"/>
        </w:rPr>
      </w:pPr>
      <w:bookmarkStart w:id="17" w:name="_Toc416357992"/>
      <w:bookmarkStart w:id="18" w:name="_Toc416358163"/>
      <w:r>
        <w:rPr>
          <w:rFonts w:hint="eastAsia" w:ascii="宋体" w:hAnsi="宋体"/>
          <w:b/>
          <w:color w:val="auto"/>
          <w:sz w:val="44"/>
          <w:szCs w:val="44"/>
          <w:highlight w:val="none"/>
        </w:rPr>
        <w:t>投标人声明</w:t>
      </w:r>
      <w:bookmarkEnd w:id="17"/>
      <w:bookmarkEnd w:id="18"/>
    </w:p>
    <w:p w14:paraId="50374959">
      <w:pPr>
        <w:pStyle w:val="25"/>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广州白云高端智造投资运营有限公司</w:t>
      </w:r>
      <w:r>
        <w:rPr>
          <w:rFonts w:hint="eastAsia" w:ascii="宋体" w:hAnsi="宋体" w:eastAsia="宋体"/>
          <w:color w:val="auto"/>
          <w:sz w:val="24"/>
          <w:szCs w:val="24"/>
          <w:highlight w:val="none"/>
        </w:rPr>
        <w:t>：</w:t>
      </w:r>
    </w:p>
    <w:p w14:paraId="7405B864">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A7FC51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32B911CC">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BAC8261">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74128BEB">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068EA30F">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91228E1">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8B6FC95">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F04A67C">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073D264">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065B1D06">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7528B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59A82E3A">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24024C00">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2A692E">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111C0A3">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117E62A">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562C941B">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59A5D7DD">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w:t>
      </w:r>
      <w:r>
        <w:rPr>
          <w:rFonts w:hint="eastAsia" w:ascii="宋体" w:hAnsi="宋体" w:eastAsia="宋体"/>
          <w:color w:val="auto"/>
          <w:sz w:val="24"/>
          <w:szCs w:val="24"/>
          <w:highlight w:val="none"/>
          <w:lang w:val="en-US" w:eastAsia="zh-CN"/>
        </w:rPr>
        <w:t>员</w:t>
      </w:r>
      <w:r>
        <w:rPr>
          <w:rFonts w:hint="eastAsia" w:ascii="宋体" w:hAnsi="宋体" w:eastAsia="宋体"/>
          <w:color w:val="auto"/>
          <w:sz w:val="24"/>
          <w:szCs w:val="24"/>
          <w:highlight w:val="none"/>
        </w:rPr>
        <w:t>在其他项目中已有任职的，本公司保证在开工前完成更换，确保专职安全员只在本项目上任职，否则将承担违约责任和法律责任。</w:t>
      </w:r>
    </w:p>
    <w:p w14:paraId="138E0203">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w:t>
      </w:r>
      <w:r>
        <w:rPr>
          <w:rFonts w:hint="eastAsia" w:ascii="宋体" w:hAnsi="宋体" w:eastAsia="宋体"/>
          <w:color w:val="auto"/>
          <w:sz w:val="24"/>
          <w:szCs w:val="24"/>
          <w:highlight w:val="none"/>
          <w:lang w:val="en-US" w:eastAsia="zh-CN"/>
        </w:rPr>
        <w:t>和</w:t>
      </w:r>
      <w:r>
        <w:rPr>
          <w:rFonts w:hint="eastAsia" w:ascii="宋体" w:hAnsi="宋体" w:eastAsia="宋体"/>
          <w:color w:val="auto"/>
          <w:sz w:val="24"/>
          <w:szCs w:val="24"/>
          <w:highlight w:val="none"/>
        </w:rPr>
        <w:t>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pPr>
        <w:pStyle w:val="25"/>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7820C1">
      <w:pPr>
        <w:pStyle w:val="25"/>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9F7B2F4">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398D6DBF">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3CB36E75">
      <w:pPr>
        <w:pStyle w:val="26"/>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14:paraId="28F7D274">
      <w:pPr>
        <w:pStyle w:val="25"/>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46516862">
      <w:pPr>
        <w:pStyle w:val="25"/>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14:paraId="3C1E52F1">
      <w:pPr>
        <w:pStyle w:val="25"/>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14:paraId="7260AB22">
      <w:pPr>
        <w:pStyle w:val="25"/>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0192316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（企业公章）</w:t>
      </w:r>
    </w:p>
    <w:p w14:paraId="607E5EF0">
      <w:pPr>
        <w:spacing w:line="360" w:lineRule="auto"/>
        <w:rPr>
          <w:rFonts w:hint="eastAsia"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若为联合体投标，指联合体牵头方</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14:paraId="6B0CF634">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附件三：</w:t>
      </w:r>
    </w:p>
    <w:p w14:paraId="6B4E0619">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14:paraId="2B4CEBCA">
      <w:pPr>
        <w:spacing w:line="380" w:lineRule="exact"/>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40FE5DDA">
      <w:pPr>
        <w:pStyle w:val="8"/>
        <w:spacing w:line="380" w:lineRule="exact"/>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79635A3F">
      <w:pPr>
        <w:spacing w:line="380" w:lineRule="exact"/>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rPr>
        <w:t>牵头方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38A0BDC">
      <w:pPr>
        <w:spacing w:line="380" w:lineRule="exact"/>
        <w:ind w:firstLine="482"/>
        <w:rPr>
          <w:rFonts w:hint="eastAsia" w:ascii="宋体" w:hAnsi="宋体"/>
          <w:color w:val="auto"/>
          <w:sz w:val="24"/>
          <w:highlight w:val="none"/>
        </w:rPr>
      </w:pPr>
      <w:r>
        <w:rPr>
          <w:rFonts w:hint="eastAsia" w:ascii="宋体" w:hAnsi="宋体"/>
          <w:color w:val="auto"/>
          <w:sz w:val="24"/>
          <w:highlight w:val="none"/>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80" w:lineRule="exact"/>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2119BAC6">
      <w:pPr>
        <w:pStyle w:val="8"/>
        <w:spacing w:line="380" w:lineRule="exact"/>
        <w:rPr>
          <w:rFonts w:hint="eastAsia"/>
          <w:color w:val="auto"/>
          <w:sz w:val="24"/>
          <w:highlight w:val="none"/>
        </w:rPr>
      </w:pPr>
      <w:r>
        <w:rPr>
          <w:rFonts w:hint="eastAsia"/>
          <w:color w:val="auto"/>
          <w:sz w:val="24"/>
          <w:highlight w:val="none"/>
        </w:rPr>
        <w:t xml:space="preserve">    联合体牵头方：（盖章）</w:t>
      </w:r>
      <w:r>
        <w:rPr>
          <w:rFonts w:hint="eastAsia" w:ascii="楷体_GB2312" w:eastAsia="楷体_GB2312"/>
          <w:b/>
          <w:bCs/>
          <w:color w:val="auto"/>
          <w:sz w:val="24"/>
          <w:highlight w:val="none"/>
          <w:u w:val="single"/>
        </w:rPr>
        <w:t xml:space="preserve">                        </w:t>
      </w:r>
    </w:p>
    <w:p w14:paraId="731F0DF3">
      <w:pPr>
        <w:pStyle w:val="8"/>
        <w:spacing w:line="380" w:lineRule="exact"/>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0967232F">
      <w:pPr>
        <w:pStyle w:val="8"/>
        <w:spacing w:line="380" w:lineRule="exact"/>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BD77F2">
      <w:pPr>
        <w:pStyle w:val="8"/>
        <w:spacing w:line="380" w:lineRule="exact"/>
        <w:ind w:firstLine="420"/>
        <w:rPr>
          <w:rFonts w:hint="eastAsia"/>
          <w:color w:val="auto"/>
          <w:sz w:val="24"/>
          <w:highlight w:val="none"/>
        </w:rPr>
      </w:pPr>
    </w:p>
    <w:p w14:paraId="03AF6FC3">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7C5F2E14">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6A77B5D7">
      <w:pPr>
        <w:pStyle w:val="8"/>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0D87ED9F">
      <w:pPr>
        <w:pStyle w:val="8"/>
        <w:spacing w:line="380" w:lineRule="exact"/>
        <w:ind w:firstLine="420"/>
        <w:rPr>
          <w:rFonts w:hint="eastAsia"/>
          <w:color w:val="auto"/>
          <w:sz w:val="24"/>
          <w:highlight w:val="none"/>
        </w:rPr>
      </w:pPr>
    </w:p>
    <w:p w14:paraId="32B3B18C">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32AF17F5">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0236F284">
      <w:pPr>
        <w:pStyle w:val="8"/>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2C3B5013">
      <w:pPr>
        <w:spacing w:line="380" w:lineRule="exact"/>
        <w:rPr>
          <w:color w:val="auto"/>
          <w:highlight w:val="none"/>
        </w:rPr>
      </w:pPr>
    </w:p>
    <w:p w14:paraId="55962BE0">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25D9D3BD">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389A6DED">
      <w:pPr>
        <w:pStyle w:val="8"/>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4F7CE653">
      <w:pPr>
        <w:pStyle w:val="8"/>
        <w:spacing w:line="380" w:lineRule="exact"/>
        <w:ind w:firstLine="420"/>
        <w:rPr>
          <w:rFonts w:hint="eastAsia"/>
          <w:color w:val="auto"/>
          <w:sz w:val="24"/>
          <w:highlight w:val="none"/>
        </w:rPr>
      </w:pPr>
    </w:p>
    <w:p w14:paraId="4AA6F312">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4CAD1308">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141ABA8C">
      <w:pPr>
        <w:pStyle w:val="8"/>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7B426396">
      <w:pPr>
        <w:spacing w:line="380" w:lineRule="exact"/>
        <w:rPr>
          <w:color w:val="auto"/>
          <w:highlight w:val="none"/>
          <w:lang w:val="zh-CN"/>
        </w:rPr>
      </w:pPr>
    </w:p>
    <w:p w14:paraId="3CF3712C">
      <w:pPr>
        <w:spacing w:line="380" w:lineRule="exact"/>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2496C3D">
      <w:pPr>
        <w:spacing w:line="380" w:lineRule="exact"/>
        <w:rPr>
          <w:rFonts w:hint="eastAsia" w:ascii="宋体" w:hAnsi="宋体" w:cs="宋体"/>
          <w:color w:val="auto"/>
          <w:sz w:val="22"/>
          <w:szCs w:val="21"/>
          <w:highlight w:val="none"/>
          <w:lang w:bidi="ar"/>
        </w:rPr>
      </w:pPr>
    </w:p>
    <w:p w14:paraId="35CA5666">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41729FAD">
      <w:pPr>
        <w:ind w:firstLine="440" w:firstLineChars="200"/>
        <w:rPr>
          <w:rFonts w:hint="eastAsia"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E6152A9">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D986923">
      <w:pPr>
        <w:pStyle w:val="8"/>
        <w:rPr>
          <w:rFonts w:hint="eastAsia"/>
          <w:color w:val="auto"/>
          <w:highlight w:val="none"/>
          <w:lang w:val="en-US"/>
        </w:rPr>
      </w:pPr>
      <w:r>
        <w:rPr>
          <w:rFonts w:hint="eastAsia"/>
          <w:color w:val="auto"/>
          <w:highlight w:val="none"/>
          <w:lang w:val="en-US"/>
        </w:rPr>
        <w:t>附件四：</w:t>
      </w:r>
    </w:p>
    <w:p w14:paraId="0847D6C6">
      <w:pPr>
        <w:jc w:val="center"/>
        <w:rPr>
          <w:b/>
          <w:bCs/>
          <w:color w:val="auto"/>
          <w:sz w:val="24"/>
          <w:szCs w:val="28"/>
          <w:highlight w:val="none"/>
        </w:rPr>
      </w:pPr>
      <w:r>
        <w:rPr>
          <w:rFonts w:hint="eastAsia"/>
          <w:b/>
          <w:bCs/>
          <w:color w:val="auto"/>
          <w:sz w:val="24"/>
          <w:szCs w:val="28"/>
          <w:highlight w:val="none"/>
        </w:rPr>
        <w:t>招标人声明（另册）</w:t>
      </w:r>
    </w:p>
    <w:p w14:paraId="3EA218F6">
      <w:pPr>
        <w:rPr>
          <w:color w:val="auto"/>
          <w:highlight w:val="none"/>
        </w:rPr>
      </w:pPr>
    </w:p>
    <w:p w14:paraId="521369F0">
      <w:pPr>
        <w:rPr>
          <w:color w:val="auto"/>
          <w:highlight w:val="none"/>
        </w:rPr>
      </w:pPr>
    </w:p>
    <w:sectPr>
      <w:footerReference r:id="rId4" w:type="default"/>
      <w:pgSz w:w="11906" w:h="16838"/>
      <w:pgMar w:top="1440" w:right="1274"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FF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056"/>
    </w:sdtPr>
    <w:sdtContent>
      <w:p w14:paraId="1EC444A2">
        <w:pPr>
          <w:pStyle w:val="11"/>
          <w:jc w:val="center"/>
        </w:pPr>
        <w:r>
          <w:fldChar w:fldCharType="begin"/>
        </w:r>
        <w:r>
          <w:instrText xml:space="preserve">PAGE   \* MERGEFORMAT</w:instrText>
        </w:r>
        <w:r>
          <w:fldChar w:fldCharType="separate"/>
        </w:r>
        <w:r>
          <w:rPr>
            <w:lang w:val="zh-CN"/>
          </w:rPr>
          <w:t>17</w:t>
        </w:r>
        <w:r>
          <w:fldChar w:fldCharType="end"/>
        </w:r>
      </w:p>
    </w:sdtContent>
  </w:sdt>
  <w:p w14:paraId="4220A449">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7224"/>
    <w:rsid w:val="00190882"/>
    <w:rsid w:val="00191172"/>
    <w:rsid w:val="00197B9F"/>
    <w:rsid w:val="001C205E"/>
    <w:rsid w:val="001C34B0"/>
    <w:rsid w:val="001C4E95"/>
    <w:rsid w:val="001C53A8"/>
    <w:rsid w:val="001C7B8E"/>
    <w:rsid w:val="001D67DE"/>
    <w:rsid w:val="001E040B"/>
    <w:rsid w:val="001E1006"/>
    <w:rsid w:val="001E1B22"/>
    <w:rsid w:val="001E4728"/>
    <w:rsid w:val="001E56B0"/>
    <w:rsid w:val="001E579A"/>
    <w:rsid w:val="001E6555"/>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7F4E"/>
    <w:rsid w:val="009F69A4"/>
    <w:rsid w:val="00A02299"/>
    <w:rsid w:val="00A02530"/>
    <w:rsid w:val="00A04E84"/>
    <w:rsid w:val="00A07D68"/>
    <w:rsid w:val="00A2107A"/>
    <w:rsid w:val="00A21C19"/>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64C3"/>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57530"/>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4A35"/>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BBB"/>
    <w:rsid w:val="00E56842"/>
    <w:rsid w:val="00E56C89"/>
    <w:rsid w:val="00E5752C"/>
    <w:rsid w:val="00E60BC8"/>
    <w:rsid w:val="00E60E22"/>
    <w:rsid w:val="00E717E4"/>
    <w:rsid w:val="00E7193F"/>
    <w:rsid w:val="00E81BEC"/>
    <w:rsid w:val="00E85848"/>
    <w:rsid w:val="00E906C6"/>
    <w:rsid w:val="00E9160B"/>
    <w:rsid w:val="00E96055"/>
    <w:rsid w:val="00EA69BB"/>
    <w:rsid w:val="00EA75DA"/>
    <w:rsid w:val="00EA7E09"/>
    <w:rsid w:val="00EB1E48"/>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629D"/>
    <w:rsid w:val="00FC6009"/>
    <w:rsid w:val="00FD2695"/>
    <w:rsid w:val="00FE585C"/>
    <w:rsid w:val="00FE613E"/>
    <w:rsid w:val="00FF22B3"/>
    <w:rsid w:val="00FF785B"/>
    <w:rsid w:val="01A506ED"/>
    <w:rsid w:val="01A6215B"/>
    <w:rsid w:val="01BF37C7"/>
    <w:rsid w:val="023A2E4D"/>
    <w:rsid w:val="03B24C65"/>
    <w:rsid w:val="0442581F"/>
    <w:rsid w:val="044E4F5F"/>
    <w:rsid w:val="049302DC"/>
    <w:rsid w:val="056B1570"/>
    <w:rsid w:val="05792E4B"/>
    <w:rsid w:val="064C1252"/>
    <w:rsid w:val="068E19BA"/>
    <w:rsid w:val="06930D7E"/>
    <w:rsid w:val="06B17D4E"/>
    <w:rsid w:val="06B31420"/>
    <w:rsid w:val="071579E5"/>
    <w:rsid w:val="07405EC9"/>
    <w:rsid w:val="077566D6"/>
    <w:rsid w:val="081A1F72"/>
    <w:rsid w:val="08422A5C"/>
    <w:rsid w:val="0849203C"/>
    <w:rsid w:val="086C1887"/>
    <w:rsid w:val="08920B45"/>
    <w:rsid w:val="08B922D1"/>
    <w:rsid w:val="08C6543B"/>
    <w:rsid w:val="090348F9"/>
    <w:rsid w:val="093252B1"/>
    <w:rsid w:val="09B73E1A"/>
    <w:rsid w:val="09F85FFA"/>
    <w:rsid w:val="0A581DE2"/>
    <w:rsid w:val="0A7D7D7B"/>
    <w:rsid w:val="0AC80972"/>
    <w:rsid w:val="0AFE0548"/>
    <w:rsid w:val="0BE24C81"/>
    <w:rsid w:val="0C322DE7"/>
    <w:rsid w:val="0C6F5DE9"/>
    <w:rsid w:val="0C9E5704"/>
    <w:rsid w:val="0CF11F6D"/>
    <w:rsid w:val="0D323C54"/>
    <w:rsid w:val="0D3753CD"/>
    <w:rsid w:val="0D463ADF"/>
    <w:rsid w:val="0DC45CC1"/>
    <w:rsid w:val="0DD73C46"/>
    <w:rsid w:val="0DDC6937"/>
    <w:rsid w:val="0E1E6E95"/>
    <w:rsid w:val="0E320E7D"/>
    <w:rsid w:val="0E527771"/>
    <w:rsid w:val="0E68183E"/>
    <w:rsid w:val="0E707BF7"/>
    <w:rsid w:val="0EBF21E3"/>
    <w:rsid w:val="0EF00CEF"/>
    <w:rsid w:val="0F2C6214"/>
    <w:rsid w:val="0F824086"/>
    <w:rsid w:val="0F827BE2"/>
    <w:rsid w:val="0FF13609"/>
    <w:rsid w:val="1008458B"/>
    <w:rsid w:val="10234C04"/>
    <w:rsid w:val="10770845"/>
    <w:rsid w:val="10CA1840"/>
    <w:rsid w:val="10E02E12"/>
    <w:rsid w:val="10E11689"/>
    <w:rsid w:val="115D0906"/>
    <w:rsid w:val="11A3759A"/>
    <w:rsid w:val="12534878"/>
    <w:rsid w:val="125B21DF"/>
    <w:rsid w:val="13843763"/>
    <w:rsid w:val="14822E33"/>
    <w:rsid w:val="14E31122"/>
    <w:rsid w:val="15035321"/>
    <w:rsid w:val="15313C29"/>
    <w:rsid w:val="155D0ED5"/>
    <w:rsid w:val="15A07014"/>
    <w:rsid w:val="15D14DE8"/>
    <w:rsid w:val="16D57191"/>
    <w:rsid w:val="170C55F8"/>
    <w:rsid w:val="171A4BA4"/>
    <w:rsid w:val="17BE7C25"/>
    <w:rsid w:val="17CF598E"/>
    <w:rsid w:val="18C21C5E"/>
    <w:rsid w:val="18C41FB0"/>
    <w:rsid w:val="18F41CA0"/>
    <w:rsid w:val="18F953B8"/>
    <w:rsid w:val="1901601B"/>
    <w:rsid w:val="1951475E"/>
    <w:rsid w:val="196F567B"/>
    <w:rsid w:val="19DE008F"/>
    <w:rsid w:val="1A0D279E"/>
    <w:rsid w:val="1A6A7039"/>
    <w:rsid w:val="1AAE5BD8"/>
    <w:rsid w:val="1AC15ADF"/>
    <w:rsid w:val="1AE608DB"/>
    <w:rsid w:val="1B1F6C2C"/>
    <w:rsid w:val="1B6603B7"/>
    <w:rsid w:val="1B746F78"/>
    <w:rsid w:val="1B8459DF"/>
    <w:rsid w:val="1C3813D4"/>
    <w:rsid w:val="1C741708"/>
    <w:rsid w:val="1C821221"/>
    <w:rsid w:val="1CEB14BC"/>
    <w:rsid w:val="1CFC0FD3"/>
    <w:rsid w:val="1DD97567"/>
    <w:rsid w:val="1DE41D2A"/>
    <w:rsid w:val="1E05210A"/>
    <w:rsid w:val="1E28738C"/>
    <w:rsid w:val="1E3F1DB5"/>
    <w:rsid w:val="1E6A04B7"/>
    <w:rsid w:val="1EAC4C7B"/>
    <w:rsid w:val="1EAF02C7"/>
    <w:rsid w:val="1EEA6880"/>
    <w:rsid w:val="1F355293"/>
    <w:rsid w:val="1F583BAF"/>
    <w:rsid w:val="1F5C603D"/>
    <w:rsid w:val="1F707B20"/>
    <w:rsid w:val="1FED554B"/>
    <w:rsid w:val="202C7560"/>
    <w:rsid w:val="206C74F6"/>
    <w:rsid w:val="20966AE3"/>
    <w:rsid w:val="217F21D3"/>
    <w:rsid w:val="21C347B6"/>
    <w:rsid w:val="21FA5CFD"/>
    <w:rsid w:val="22BF31CF"/>
    <w:rsid w:val="22E026E2"/>
    <w:rsid w:val="22E449E3"/>
    <w:rsid w:val="22F76A45"/>
    <w:rsid w:val="23C2284B"/>
    <w:rsid w:val="24632CB5"/>
    <w:rsid w:val="24E24B3C"/>
    <w:rsid w:val="252201A4"/>
    <w:rsid w:val="25BC0ABD"/>
    <w:rsid w:val="25BF09D7"/>
    <w:rsid w:val="2607719D"/>
    <w:rsid w:val="261C6242"/>
    <w:rsid w:val="26860917"/>
    <w:rsid w:val="26930C35"/>
    <w:rsid w:val="26BE3D6B"/>
    <w:rsid w:val="26C46336"/>
    <w:rsid w:val="26F471BF"/>
    <w:rsid w:val="26FE3B9A"/>
    <w:rsid w:val="270E7812"/>
    <w:rsid w:val="271635D9"/>
    <w:rsid w:val="27225ADA"/>
    <w:rsid w:val="275E7A2A"/>
    <w:rsid w:val="27AB61D6"/>
    <w:rsid w:val="280E2503"/>
    <w:rsid w:val="28212236"/>
    <w:rsid w:val="2838407F"/>
    <w:rsid w:val="284B0E9E"/>
    <w:rsid w:val="28C33457"/>
    <w:rsid w:val="29200F7C"/>
    <w:rsid w:val="296E14AB"/>
    <w:rsid w:val="2A1738F0"/>
    <w:rsid w:val="2A506E02"/>
    <w:rsid w:val="2ABD4249"/>
    <w:rsid w:val="2B084FE7"/>
    <w:rsid w:val="2B144DFE"/>
    <w:rsid w:val="2B4F1836"/>
    <w:rsid w:val="2B662D13"/>
    <w:rsid w:val="2B711FE6"/>
    <w:rsid w:val="2B792345"/>
    <w:rsid w:val="2B7E34FB"/>
    <w:rsid w:val="2BD46ECE"/>
    <w:rsid w:val="2C8B2374"/>
    <w:rsid w:val="2CDE0C8A"/>
    <w:rsid w:val="2CE22B82"/>
    <w:rsid w:val="2CE5696E"/>
    <w:rsid w:val="2D6B6A5D"/>
    <w:rsid w:val="2DAB34A1"/>
    <w:rsid w:val="2E271C28"/>
    <w:rsid w:val="2E2C5491"/>
    <w:rsid w:val="2E7110F5"/>
    <w:rsid w:val="2E8039FF"/>
    <w:rsid w:val="2E870919"/>
    <w:rsid w:val="2EB27D4A"/>
    <w:rsid w:val="2ED4713D"/>
    <w:rsid w:val="2ED973C6"/>
    <w:rsid w:val="2F126434"/>
    <w:rsid w:val="2F4A02C4"/>
    <w:rsid w:val="2F7617CA"/>
    <w:rsid w:val="2FA06136"/>
    <w:rsid w:val="2FAD0853"/>
    <w:rsid w:val="30313232"/>
    <w:rsid w:val="30490208"/>
    <w:rsid w:val="30A54B43"/>
    <w:rsid w:val="30B520A4"/>
    <w:rsid w:val="30C63DB3"/>
    <w:rsid w:val="31230DCD"/>
    <w:rsid w:val="317D0677"/>
    <w:rsid w:val="319B0997"/>
    <w:rsid w:val="31AE7CC4"/>
    <w:rsid w:val="32300DFF"/>
    <w:rsid w:val="32546D64"/>
    <w:rsid w:val="326A2A2B"/>
    <w:rsid w:val="32871E7D"/>
    <w:rsid w:val="33E91C8B"/>
    <w:rsid w:val="3406324F"/>
    <w:rsid w:val="342C61EA"/>
    <w:rsid w:val="345319C9"/>
    <w:rsid w:val="355C524D"/>
    <w:rsid w:val="35613C72"/>
    <w:rsid w:val="35787830"/>
    <w:rsid w:val="359A25D7"/>
    <w:rsid w:val="361B6516"/>
    <w:rsid w:val="3643781B"/>
    <w:rsid w:val="36495138"/>
    <w:rsid w:val="369B4BEC"/>
    <w:rsid w:val="36CC7811"/>
    <w:rsid w:val="36D83E3F"/>
    <w:rsid w:val="36DA3DC2"/>
    <w:rsid w:val="37677539"/>
    <w:rsid w:val="387A12BB"/>
    <w:rsid w:val="38C36F94"/>
    <w:rsid w:val="38D1110E"/>
    <w:rsid w:val="392E47B3"/>
    <w:rsid w:val="39A44A75"/>
    <w:rsid w:val="39E11825"/>
    <w:rsid w:val="3A7B36BC"/>
    <w:rsid w:val="3A7C5D33"/>
    <w:rsid w:val="3A887EF3"/>
    <w:rsid w:val="3A8D375B"/>
    <w:rsid w:val="3A9E6377"/>
    <w:rsid w:val="3AD23825"/>
    <w:rsid w:val="3B246063"/>
    <w:rsid w:val="3BC44F5A"/>
    <w:rsid w:val="3BDF7FE6"/>
    <w:rsid w:val="3C371BD0"/>
    <w:rsid w:val="3C756255"/>
    <w:rsid w:val="3CA10D21"/>
    <w:rsid w:val="3CD218F9"/>
    <w:rsid w:val="3CFC24D2"/>
    <w:rsid w:val="3D12664F"/>
    <w:rsid w:val="3D4D2D2E"/>
    <w:rsid w:val="3DB50FFF"/>
    <w:rsid w:val="3E246184"/>
    <w:rsid w:val="3E3944AF"/>
    <w:rsid w:val="3EA9130C"/>
    <w:rsid w:val="3F2226C4"/>
    <w:rsid w:val="3F316DAB"/>
    <w:rsid w:val="3F477AA5"/>
    <w:rsid w:val="3F7B1DD4"/>
    <w:rsid w:val="3F88629F"/>
    <w:rsid w:val="3FA331A6"/>
    <w:rsid w:val="3FE52169"/>
    <w:rsid w:val="3FF35E0E"/>
    <w:rsid w:val="409969B6"/>
    <w:rsid w:val="41150B8F"/>
    <w:rsid w:val="412E12DF"/>
    <w:rsid w:val="4131291D"/>
    <w:rsid w:val="414219E5"/>
    <w:rsid w:val="41D17DFE"/>
    <w:rsid w:val="41FA689E"/>
    <w:rsid w:val="42312C1E"/>
    <w:rsid w:val="42772D26"/>
    <w:rsid w:val="42860430"/>
    <w:rsid w:val="4291041F"/>
    <w:rsid w:val="42C6780A"/>
    <w:rsid w:val="42D27D5B"/>
    <w:rsid w:val="42D576A6"/>
    <w:rsid w:val="43091CC8"/>
    <w:rsid w:val="431247FD"/>
    <w:rsid w:val="441F5664"/>
    <w:rsid w:val="4456696C"/>
    <w:rsid w:val="44E2459E"/>
    <w:rsid w:val="453E18DA"/>
    <w:rsid w:val="45545F62"/>
    <w:rsid w:val="45A80C96"/>
    <w:rsid w:val="45C30031"/>
    <w:rsid w:val="45D00555"/>
    <w:rsid w:val="461C4059"/>
    <w:rsid w:val="461F120F"/>
    <w:rsid w:val="46FF778E"/>
    <w:rsid w:val="48035B59"/>
    <w:rsid w:val="480A2BCD"/>
    <w:rsid w:val="48427933"/>
    <w:rsid w:val="489B5F59"/>
    <w:rsid w:val="48CC2535"/>
    <w:rsid w:val="48EE3617"/>
    <w:rsid w:val="492746C4"/>
    <w:rsid w:val="49811DE9"/>
    <w:rsid w:val="49AC01CB"/>
    <w:rsid w:val="49C75424"/>
    <w:rsid w:val="4A346EF9"/>
    <w:rsid w:val="4A357820"/>
    <w:rsid w:val="4AAA7A11"/>
    <w:rsid w:val="4B640BAF"/>
    <w:rsid w:val="4B757667"/>
    <w:rsid w:val="4B820380"/>
    <w:rsid w:val="4BBC4527"/>
    <w:rsid w:val="4C3E67D2"/>
    <w:rsid w:val="4CAC181F"/>
    <w:rsid w:val="4CB6269D"/>
    <w:rsid w:val="4D572089"/>
    <w:rsid w:val="4E161024"/>
    <w:rsid w:val="4E4D5283"/>
    <w:rsid w:val="4E5263F6"/>
    <w:rsid w:val="4E7E2ADA"/>
    <w:rsid w:val="4EA45063"/>
    <w:rsid w:val="4EAA7FE0"/>
    <w:rsid w:val="4EB64BD7"/>
    <w:rsid w:val="4F632910"/>
    <w:rsid w:val="4FD86DCF"/>
    <w:rsid w:val="50424420"/>
    <w:rsid w:val="504601DC"/>
    <w:rsid w:val="50706A49"/>
    <w:rsid w:val="507E3121"/>
    <w:rsid w:val="5097222A"/>
    <w:rsid w:val="50A72B4E"/>
    <w:rsid w:val="50D07117"/>
    <w:rsid w:val="512C2F2E"/>
    <w:rsid w:val="51387B25"/>
    <w:rsid w:val="51A1583A"/>
    <w:rsid w:val="523F1387"/>
    <w:rsid w:val="527C6137"/>
    <w:rsid w:val="52880638"/>
    <w:rsid w:val="52992845"/>
    <w:rsid w:val="52C27FEE"/>
    <w:rsid w:val="52C33D66"/>
    <w:rsid w:val="52F50A61"/>
    <w:rsid w:val="531D3476"/>
    <w:rsid w:val="53261E58"/>
    <w:rsid w:val="53B93617"/>
    <w:rsid w:val="53EA0E7E"/>
    <w:rsid w:val="545A0800"/>
    <w:rsid w:val="545A4D2F"/>
    <w:rsid w:val="557B26D6"/>
    <w:rsid w:val="55A859D5"/>
    <w:rsid w:val="56252019"/>
    <w:rsid w:val="56AF6ADB"/>
    <w:rsid w:val="580B61B0"/>
    <w:rsid w:val="580E7831"/>
    <w:rsid w:val="580F002F"/>
    <w:rsid w:val="58511B64"/>
    <w:rsid w:val="5932754F"/>
    <w:rsid w:val="59871EB0"/>
    <w:rsid w:val="59CF2FF0"/>
    <w:rsid w:val="5A105AE3"/>
    <w:rsid w:val="5A210922"/>
    <w:rsid w:val="5AAE01B7"/>
    <w:rsid w:val="5B1C2265"/>
    <w:rsid w:val="5B313D13"/>
    <w:rsid w:val="5B6305B0"/>
    <w:rsid w:val="5BBC7E7B"/>
    <w:rsid w:val="5BC621DD"/>
    <w:rsid w:val="5BEA2363"/>
    <w:rsid w:val="5C8A54F9"/>
    <w:rsid w:val="5C8D7364"/>
    <w:rsid w:val="5C974299"/>
    <w:rsid w:val="5CB14C2F"/>
    <w:rsid w:val="5CBB333D"/>
    <w:rsid w:val="5CC5380A"/>
    <w:rsid w:val="5D302934"/>
    <w:rsid w:val="5D537A94"/>
    <w:rsid w:val="5D605FB5"/>
    <w:rsid w:val="5E37645F"/>
    <w:rsid w:val="5E722C62"/>
    <w:rsid w:val="5EA06D09"/>
    <w:rsid w:val="5EA42C9D"/>
    <w:rsid w:val="5ECA4115"/>
    <w:rsid w:val="5ED7742F"/>
    <w:rsid w:val="5F5776B8"/>
    <w:rsid w:val="5F920D48"/>
    <w:rsid w:val="5F97635E"/>
    <w:rsid w:val="60067904"/>
    <w:rsid w:val="6037357D"/>
    <w:rsid w:val="60EF4F3D"/>
    <w:rsid w:val="610A4876"/>
    <w:rsid w:val="61FE4473"/>
    <w:rsid w:val="620358AF"/>
    <w:rsid w:val="62D57C58"/>
    <w:rsid w:val="62D91955"/>
    <w:rsid w:val="62E9320C"/>
    <w:rsid w:val="633F4D43"/>
    <w:rsid w:val="63860BC4"/>
    <w:rsid w:val="639C4724"/>
    <w:rsid w:val="63B82D47"/>
    <w:rsid w:val="63FF44D2"/>
    <w:rsid w:val="64A22BCF"/>
    <w:rsid w:val="64E75692"/>
    <w:rsid w:val="64EA0B03"/>
    <w:rsid w:val="64FB738F"/>
    <w:rsid w:val="65083310"/>
    <w:rsid w:val="65102E3B"/>
    <w:rsid w:val="65DB68B9"/>
    <w:rsid w:val="66017E33"/>
    <w:rsid w:val="66131883"/>
    <w:rsid w:val="661A250E"/>
    <w:rsid w:val="669A3EF5"/>
    <w:rsid w:val="67696832"/>
    <w:rsid w:val="684626D0"/>
    <w:rsid w:val="688976F1"/>
    <w:rsid w:val="6A0D7387"/>
    <w:rsid w:val="6A86594D"/>
    <w:rsid w:val="6B9F6CC6"/>
    <w:rsid w:val="6BB97828"/>
    <w:rsid w:val="6BD5370D"/>
    <w:rsid w:val="6BEA76BB"/>
    <w:rsid w:val="6C1B559E"/>
    <w:rsid w:val="6C7E03C6"/>
    <w:rsid w:val="6D350F65"/>
    <w:rsid w:val="6D585C17"/>
    <w:rsid w:val="6D6830E8"/>
    <w:rsid w:val="6D8B249D"/>
    <w:rsid w:val="6E0F7A08"/>
    <w:rsid w:val="6E4918E3"/>
    <w:rsid w:val="6E731D44"/>
    <w:rsid w:val="6EE80984"/>
    <w:rsid w:val="6EEB2223"/>
    <w:rsid w:val="6EFF182A"/>
    <w:rsid w:val="6F590786"/>
    <w:rsid w:val="6F6F4C02"/>
    <w:rsid w:val="6FD173BC"/>
    <w:rsid w:val="6FD87625"/>
    <w:rsid w:val="6FE33998"/>
    <w:rsid w:val="70826C68"/>
    <w:rsid w:val="70EB64DC"/>
    <w:rsid w:val="71461992"/>
    <w:rsid w:val="71A04BC0"/>
    <w:rsid w:val="71B454F3"/>
    <w:rsid w:val="71B52D11"/>
    <w:rsid w:val="71F96A05"/>
    <w:rsid w:val="721F1882"/>
    <w:rsid w:val="72A7186E"/>
    <w:rsid w:val="72B46451"/>
    <w:rsid w:val="73C117A4"/>
    <w:rsid w:val="73DC1BB7"/>
    <w:rsid w:val="73FC17BD"/>
    <w:rsid w:val="740718AD"/>
    <w:rsid w:val="747A7B49"/>
    <w:rsid w:val="74FA4F6E"/>
    <w:rsid w:val="752245AB"/>
    <w:rsid w:val="75653498"/>
    <w:rsid w:val="75B4336E"/>
    <w:rsid w:val="76027B21"/>
    <w:rsid w:val="760F75E6"/>
    <w:rsid w:val="762A6B7A"/>
    <w:rsid w:val="766C59F7"/>
    <w:rsid w:val="76783F68"/>
    <w:rsid w:val="76B26E17"/>
    <w:rsid w:val="76B37ACA"/>
    <w:rsid w:val="77A56195"/>
    <w:rsid w:val="77CE17E6"/>
    <w:rsid w:val="783E7253"/>
    <w:rsid w:val="784529A4"/>
    <w:rsid w:val="786C577D"/>
    <w:rsid w:val="78AC2A23"/>
    <w:rsid w:val="78FB3062"/>
    <w:rsid w:val="793F16BF"/>
    <w:rsid w:val="79967B68"/>
    <w:rsid w:val="7A87767C"/>
    <w:rsid w:val="7B5B603A"/>
    <w:rsid w:val="7B8F1E3B"/>
    <w:rsid w:val="7C2823C0"/>
    <w:rsid w:val="7C6453C2"/>
    <w:rsid w:val="7C7632AD"/>
    <w:rsid w:val="7CD9190C"/>
    <w:rsid w:val="7CF93D5D"/>
    <w:rsid w:val="7D140B97"/>
    <w:rsid w:val="7ECB1EA2"/>
    <w:rsid w:val="7F2F4C9E"/>
    <w:rsid w:val="7F4C292B"/>
    <w:rsid w:val="7F585D80"/>
    <w:rsid w:val="7F963AE5"/>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21"/>
    <w:qFormat/>
    <w:uiPriority w:val="0"/>
    <w:pPr>
      <w:keepNext/>
      <w:keepLines/>
      <w:spacing w:before="260" w:after="260" w:line="413" w:lineRule="auto"/>
      <w:outlineLvl w:val="1"/>
    </w:pPr>
    <w:rPr>
      <w:rFonts w:ascii="Arial" w:hAnsi="Arial" w:eastAsia="黑体" w:cs="Arial"/>
      <w:b/>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30"/>
    <w:unhideWhenUsed/>
    <w:qFormat/>
    <w:uiPriority w:val="99"/>
    <w:pPr>
      <w:jc w:val="left"/>
    </w:pPr>
  </w:style>
  <w:style w:type="paragraph" w:styleId="5">
    <w:name w:val="Body Text"/>
    <w:basedOn w:val="1"/>
    <w:link w:val="23"/>
    <w:qFormat/>
    <w:uiPriority w:val="0"/>
    <w:pPr>
      <w:spacing w:after="120"/>
    </w:pPr>
    <w:rPr>
      <w:kern w:val="1"/>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szCs w:val="24"/>
    </w:rPr>
  </w:style>
  <w:style w:type="paragraph" w:styleId="8">
    <w:name w:val="Plain Text"/>
    <w:basedOn w:val="1"/>
    <w:link w:val="22"/>
    <w:qFormat/>
    <w:uiPriority w:val="0"/>
    <w:rPr>
      <w:rFonts w:ascii="宋体" w:hAnsi="宋体" w:cs="Courier New"/>
      <w:sz w:val="20"/>
      <w:szCs w:val="20"/>
      <w:lang w:val="zh-CN"/>
    </w:rPr>
  </w:style>
  <w:style w:type="paragraph" w:styleId="9">
    <w:name w:val="Date"/>
    <w:basedOn w:val="1"/>
    <w:next w:val="1"/>
    <w:link w:val="34"/>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4"/>
    <w:qFormat/>
    <w:uiPriority w:val="0"/>
    <w:pPr>
      <w:spacing w:after="120" w:line="480" w:lineRule="auto"/>
    </w:pPr>
    <w:rPr>
      <w:sz w:val="20"/>
      <w:szCs w:val="24"/>
    </w:rPr>
  </w:style>
  <w:style w:type="paragraph" w:styleId="14">
    <w:name w:val="annotation subject"/>
    <w:basedOn w:val="4"/>
    <w:next w:val="4"/>
    <w:link w:val="31"/>
    <w:semiHidden/>
    <w:unhideWhenUsed/>
    <w:qFormat/>
    <w:uiPriority w:val="99"/>
    <w:rPr>
      <w:b/>
      <w:bCs/>
    </w:rPr>
  </w:style>
  <w:style w:type="paragraph" w:styleId="15">
    <w:name w:val="Body Text First Indent 2"/>
    <w:basedOn w:val="6"/>
    <w:unhideWhenUsed/>
    <w:qFormat/>
    <w:uiPriority w:val="99"/>
    <w:pPr>
      <w:ind w:firstLine="420" w:firstLineChars="200"/>
    </w:pPr>
    <w:rPr>
      <w:rFonts w:ascii="Times New Roman" w:hAnsi="Times New Roman"/>
      <w:sz w:val="21"/>
      <w:szCs w:val="22"/>
    </w:rPr>
  </w:style>
  <w:style w:type="character" w:styleId="18">
    <w:name w:val="Strong"/>
    <w:basedOn w:val="17"/>
    <w:qFormat/>
    <w:uiPriority w:val="22"/>
    <w:rPr>
      <w:b/>
    </w:rPr>
  </w:style>
  <w:style w:type="character" w:styleId="19">
    <w:name w:val="Hyperlink"/>
    <w:unhideWhenUsed/>
    <w:qFormat/>
    <w:uiPriority w:val="99"/>
    <w:rPr>
      <w:color w:val="0000FF"/>
      <w:u w:val="single"/>
    </w:rPr>
  </w:style>
  <w:style w:type="character" w:styleId="20">
    <w:name w:val="annotation reference"/>
    <w:basedOn w:val="17"/>
    <w:unhideWhenUsed/>
    <w:qFormat/>
    <w:uiPriority w:val="99"/>
    <w:rPr>
      <w:sz w:val="21"/>
      <w:szCs w:val="21"/>
    </w:rPr>
  </w:style>
  <w:style w:type="character" w:customStyle="1" w:styleId="21">
    <w:name w:val="标题 2 字符"/>
    <w:basedOn w:val="17"/>
    <w:link w:val="2"/>
    <w:qFormat/>
    <w:uiPriority w:val="0"/>
    <w:rPr>
      <w:rFonts w:ascii="Arial" w:hAnsi="Arial" w:eastAsia="黑体" w:cs="Arial"/>
      <w:b/>
      <w:color w:val="000000"/>
      <w:kern w:val="0"/>
      <w:sz w:val="32"/>
      <w:szCs w:val="32"/>
    </w:rPr>
  </w:style>
  <w:style w:type="character" w:customStyle="1" w:styleId="22">
    <w:name w:val="纯文本 字符"/>
    <w:basedOn w:val="17"/>
    <w:link w:val="8"/>
    <w:qFormat/>
    <w:uiPriority w:val="0"/>
    <w:rPr>
      <w:rFonts w:ascii="宋体" w:hAnsi="宋体" w:eastAsia="宋体" w:cs="Courier New"/>
      <w:color w:val="000000"/>
      <w:kern w:val="0"/>
      <w:sz w:val="20"/>
      <w:szCs w:val="20"/>
      <w:lang w:val="zh-CN"/>
    </w:rPr>
  </w:style>
  <w:style w:type="character" w:customStyle="1" w:styleId="23">
    <w:name w:val="正文文本 字符"/>
    <w:basedOn w:val="17"/>
    <w:link w:val="5"/>
    <w:qFormat/>
    <w:uiPriority w:val="0"/>
    <w:rPr>
      <w:rFonts w:ascii="Calibri" w:hAnsi="Calibri" w:eastAsia="宋体" w:cs="Calibri"/>
      <w:color w:val="000000"/>
      <w:kern w:val="1"/>
    </w:rPr>
  </w:style>
  <w:style w:type="character" w:customStyle="1" w:styleId="24">
    <w:name w:val="正文文本 2 字符"/>
    <w:basedOn w:val="17"/>
    <w:link w:val="13"/>
    <w:qFormat/>
    <w:uiPriority w:val="0"/>
    <w:rPr>
      <w:rFonts w:ascii="Calibri" w:hAnsi="Calibri" w:eastAsia="宋体" w:cs="Calibri"/>
      <w:color w:val="000000"/>
      <w:kern w:val="0"/>
      <w:sz w:val="20"/>
      <w:szCs w:val="24"/>
    </w:rPr>
  </w:style>
  <w:style w:type="paragraph" w:customStyle="1" w:styleId="25">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页眉 字符"/>
    <w:basedOn w:val="17"/>
    <w:link w:val="12"/>
    <w:qFormat/>
    <w:uiPriority w:val="99"/>
    <w:rPr>
      <w:rFonts w:ascii="Calibri" w:hAnsi="Calibri" w:eastAsia="宋体" w:cs="Calibri"/>
      <w:color w:val="000000"/>
      <w:kern w:val="0"/>
      <w:sz w:val="18"/>
      <w:szCs w:val="18"/>
    </w:rPr>
  </w:style>
  <w:style w:type="character" w:customStyle="1" w:styleId="28">
    <w:name w:val="页脚 字符"/>
    <w:basedOn w:val="17"/>
    <w:link w:val="11"/>
    <w:qFormat/>
    <w:uiPriority w:val="99"/>
    <w:rPr>
      <w:rFonts w:ascii="Calibri" w:hAnsi="Calibri" w:eastAsia="宋体" w:cs="Calibri"/>
      <w:color w:val="000000"/>
      <w:kern w:val="0"/>
      <w:sz w:val="18"/>
      <w:szCs w:val="18"/>
    </w:rPr>
  </w:style>
  <w:style w:type="paragraph" w:customStyle="1" w:styleId="29">
    <w:name w:val="修订1"/>
    <w:hidden/>
    <w:semiHidden/>
    <w:qFormat/>
    <w:uiPriority w:val="99"/>
    <w:rPr>
      <w:rFonts w:ascii="Calibri" w:hAnsi="Calibri" w:eastAsia="宋体" w:cs="Calibri"/>
      <w:color w:val="000000"/>
      <w:sz w:val="21"/>
      <w:szCs w:val="22"/>
      <w:lang w:val="en-US" w:eastAsia="zh-CN" w:bidi="ar-SA"/>
    </w:rPr>
  </w:style>
  <w:style w:type="character" w:customStyle="1" w:styleId="30">
    <w:name w:val="批注文字 字符"/>
    <w:basedOn w:val="17"/>
    <w:link w:val="4"/>
    <w:qFormat/>
    <w:uiPriority w:val="99"/>
    <w:rPr>
      <w:rFonts w:ascii="Calibri" w:hAnsi="Calibri" w:eastAsia="宋体" w:cs="Calibri"/>
      <w:color w:val="000000"/>
      <w:sz w:val="21"/>
      <w:szCs w:val="22"/>
    </w:rPr>
  </w:style>
  <w:style w:type="character" w:customStyle="1" w:styleId="31">
    <w:name w:val="批注主题 字符"/>
    <w:basedOn w:val="30"/>
    <w:link w:val="14"/>
    <w:semiHidden/>
    <w:qFormat/>
    <w:uiPriority w:val="99"/>
    <w:rPr>
      <w:rFonts w:ascii="Calibri" w:hAnsi="Calibri" w:eastAsia="宋体" w:cs="Calibri"/>
      <w:b/>
      <w:bCs/>
      <w:color w:val="000000"/>
      <w:sz w:val="21"/>
      <w:szCs w:val="22"/>
    </w:rPr>
  </w:style>
  <w:style w:type="character" w:customStyle="1" w:styleId="32">
    <w:name w:val="批注框文本 字符"/>
    <w:basedOn w:val="17"/>
    <w:link w:val="10"/>
    <w:semiHidden/>
    <w:qFormat/>
    <w:uiPriority w:val="99"/>
    <w:rPr>
      <w:rFonts w:ascii="Calibri" w:hAnsi="Calibri" w:eastAsia="宋体" w:cs="Calibri"/>
      <w:color w:val="000000"/>
      <w:sz w:val="18"/>
      <w:szCs w:val="18"/>
    </w:rPr>
  </w:style>
  <w:style w:type="character" w:customStyle="1" w:styleId="33">
    <w:name w:val="批注文字 字符1"/>
    <w:basedOn w:val="17"/>
    <w:qFormat/>
    <w:uiPriority w:val="0"/>
    <w:rPr>
      <w:rFonts w:ascii="Calibri" w:hAnsi="Calibri" w:eastAsia="宋体" w:cs="Calibri"/>
      <w:color w:val="000000"/>
      <w:sz w:val="21"/>
      <w:szCs w:val="22"/>
    </w:rPr>
  </w:style>
  <w:style w:type="character" w:customStyle="1" w:styleId="34">
    <w:name w:val="日期 字符"/>
    <w:basedOn w:val="17"/>
    <w:link w:val="9"/>
    <w:semiHidden/>
    <w:qFormat/>
    <w:uiPriority w:val="99"/>
    <w:rPr>
      <w:rFonts w:ascii="Calibri" w:hAnsi="Calibri" w:eastAsia="宋体" w:cs="Calibri"/>
      <w:color w:val="000000"/>
      <w:sz w:val="21"/>
      <w:szCs w:val="22"/>
    </w:rPr>
  </w:style>
  <w:style w:type="paragraph" w:customStyle="1" w:styleId="35">
    <w:name w:val="paragraph"/>
    <w:basedOn w:val="1"/>
    <w:qFormat/>
    <w:uiPriority w:val="0"/>
    <w:pPr>
      <w:widowControl/>
      <w:spacing w:before="100" w:beforeAutospacing="1" w:after="100" w:afterAutospacing="1"/>
      <w:jc w:val="left"/>
    </w:pPr>
    <w:rPr>
      <w:rFonts w:ascii="等线" w:hAnsi="等线" w:eastAsia="等线" w:cs="Times New Roman"/>
      <w:color w:val="auto"/>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5AD1-686B-4F9D-8FE9-D22F0F932878}">
  <ds:schemaRefs/>
</ds:datastoreItem>
</file>

<file path=docProps/app.xml><?xml version="1.0" encoding="utf-8"?>
<Properties xmlns="http://schemas.openxmlformats.org/officeDocument/2006/extended-properties" xmlns:vt="http://schemas.openxmlformats.org/officeDocument/2006/docPropsVTypes">
  <Template>Normal</Template>
  <Pages>20</Pages>
  <Words>11777</Words>
  <Characters>12564</Characters>
  <Lines>97</Lines>
  <Paragraphs>27</Paragraphs>
  <TotalTime>0</TotalTime>
  <ScaleCrop>false</ScaleCrop>
  <LinksUpToDate>false</LinksUpToDate>
  <CharactersWithSpaces>13535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liberty</cp:lastModifiedBy>
  <cp:lastPrinted>2025-07-25T03:34:00Z</cp:lastPrinted>
  <dcterms:modified xsi:type="dcterms:W3CDTF">2025-11-27T08:03:15Z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1BD367426CE842CFA95D15021C211CE3_13</vt:lpwstr>
  </property>
  <property fmtid="{D5CDD505-2E9C-101B-9397-08002B2CF9AE}" pid="4" name="KSOTemplateDocerSaveRecord">
    <vt:lpwstr>eyJoZGlkIjoiNTMxZTUzMzE1MzAxYmNjNDA1YjFkMzQ5OWQ2MTEwNTAiLCJ1c2VySWQiOiIzMDA3NTUwNjAifQ==</vt:lpwstr>
  </property>
</Properties>
</file>