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8112D">
      <w:pPr>
        <w:shd w:val="clear"/>
        <w:ind w:firstLine="315" w:firstLineChars="150"/>
        <w:rPr>
          <w:rFonts w:hint="eastAsia" w:ascii="宋体" w:hAnsi="宋体" w:cs="宋体"/>
          <w:szCs w:val="21"/>
          <w:highlight w:val="none"/>
        </w:rPr>
      </w:pPr>
      <w:bookmarkStart w:id="393" w:name="_GoBack"/>
      <w:bookmarkEnd w:id="393"/>
    </w:p>
    <w:p w14:paraId="04E98872">
      <w:pPr>
        <w:shd w:val="clear"/>
        <w:rPr>
          <w:rFonts w:hint="eastAsia" w:ascii="宋体" w:hAnsi="宋体" w:cs="宋体"/>
          <w:b/>
          <w:sz w:val="52"/>
          <w:szCs w:val="52"/>
          <w:highlight w:val="none"/>
        </w:rPr>
      </w:pPr>
    </w:p>
    <w:p w14:paraId="78DD26DA">
      <w:pPr>
        <w:pStyle w:val="9"/>
        <w:shd w:val="clear"/>
        <w:rPr>
          <w:rFonts w:hint="eastAsia" w:hAnsi="宋体" w:cs="宋体"/>
          <w:highlight w:val="none"/>
        </w:rPr>
      </w:pPr>
    </w:p>
    <w:p w14:paraId="57796455">
      <w:pPr>
        <w:shd w:val="clear"/>
        <w:spacing w:line="360" w:lineRule="auto"/>
        <w:jc w:val="center"/>
        <w:rPr>
          <w:rFonts w:hint="eastAsia" w:ascii="宋体" w:hAnsi="宋体" w:eastAsia="宋体" w:cs="宋体"/>
          <w:b/>
          <w:sz w:val="36"/>
          <w:szCs w:val="36"/>
          <w:highlight w:val="none"/>
          <w:lang w:eastAsia="zh-CN"/>
        </w:rPr>
      </w:pPr>
      <w:r>
        <w:rPr>
          <w:rFonts w:hint="eastAsia" w:ascii="宋体" w:hAnsi="宋体" w:cs="宋体"/>
          <w:b/>
          <w:sz w:val="36"/>
          <w:szCs w:val="36"/>
          <w:highlight w:val="none"/>
          <w:lang w:eastAsia="zh-CN"/>
        </w:rPr>
        <w:t>广州市黄埔区新龙镇镇龙村（西片区）城中村改造项目（洋田片区）复建AZ-02地块工程勘察初步设计</w:t>
      </w:r>
    </w:p>
    <w:p w14:paraId="4C60D227">
      <w:pPr>
        <w:pStyle w:val="9"/>
        <w:shd w:val="clear"/>
        <w:rPr>
          <w:rFonts w:hint="eastAsia" w:hAnsi="宋体" w:cs="宋体"/>
          <w:highlight w:val="none"/>
        </w:rPr>
      </w:pPr>
    </w:p>
    <w:p w14:paraId="066DF7C3">
      <w:pPr>
        <w:pStyle w:val="9"/>
        <w:shd w:val="clear"/>
        <w:rPr>
          <w:rFonts w:hint="eastAsia" w:hAnsi="宋体" w:cs="宋体"/>
          <w:highlight w:val="none"/>
        </w:rPr>
      </w:pPr>
    </w:p>
    <w:p w14:paraId="39C844F5">
      <w:pPr>
        <w:shd w:val="clear"/>
        <w:spacing w:line="360" w:lineRule="auto"/>
        <w:jc w:val="center"/>
        <w:rPr>
          <w:rFonts w:hint="eastAsia" w:ascii="宋体" w:hAnsi="宋体" w:cs="宋体"/>
          <w:b/>
          <w:sz w:val="52"/>
          <w:szCs w:val="52"/>
          <w:highlight w:val="none"/>
        </w:rPr>
      </w:pPr>
      <w:bookmarkStart w:id="0" w:name="_Toc16377"/>
      <w:bookmarkStart w:id="1" w:name="_Toc25654"/>
      <w:bookmarkStart w:id="2" w:name="_Toc12159"/>
      <w:bookmarkStart w:id="3" w:name="_Toc16273"/>
      <w:r>
        <w:rPr>
          <w:rFonts w:hint="eastAsia" w:ascii="宋体" w:hAnsi="宋体" w:cs="宋体"/>
          <w:b/>
          <w:sz w:val="52"/>
          <w:szCs w:val="52"/>
          <w:highlight w:val="none"/>
        </w:rPr>
        <w:t>招标文件</w:t>
      </w:r>
      <w:bookmarkEnd w:id="0"/>
      <w:bookmarkEnd w:id="1"/>
      <w:bookmarkEnd w:id="2"/>
      <w:bookmarkEnd w:id="3"/>
    </w:p>
    <w:p w14:paraId="3B72A070">
      <w:pPr>
        <w:shd w:val="clear"/>
        <w:spacing w:line="360" w:lineRule="auto"/>
        <w:rPr>
          <w:rFonts w:hint="eastAsia" w:ascii="宋体" w:hAnsi="宋体" w:cs="宋体"/>
          <w:szCs w:val="21"/>
          <w:highlight w:val="none"/>
        </w:rPr>
      </w:pPr>
    </w:p>
    <w:p w14:paraId="787F66A8">
      <w:pPr>
        <w:shd w:val="clear"/>
        <w:spacing w:line="360" w:lineRule="auto"/>
        <w:rPr>
          <w:rFonts w:hint="eastAsia" w:ascii="宋体" w:hAnsi="宋体" w:cs="宋体"/>
          <w:szCs w:val="21"/>
          <w:highlight w:val="none"/>
        </w:rPr>
      </w:pPr>
    </w:p>
    <w:p w14:paraId="0E546E27">
      <w:pPr>
        <w:shd w:val="clear"/>
        <w:spacing w:line="360" w:lineRule="auto"/>
        <w:rPr>
          <w:rFonts w:hint="eastAsia" w:ascii="宋体" w:hAnsi="宋体" w:cs="宋体"/>
          <w:szCs w:val="21"/>
          <w:highlight w:val="none"/>
        </w:rPr>
      </w:pPr>
    </w:p>
    <w:p w14:paraId="7C5F6EFF">
      <w:pPr>
        <w:pStyle w:val="5"/>
        <w:shd w:val="clear"/>
        <w:rPr>
          <w:rFonts w:hint="eastAsia" w:ascii="宋体" w:hAnsi="宋体" w:cs="宋体"/>
          <w:szCs w:val="21"/>
          <w:highlight w:val="none"/>
        </w:rPr>
      </w:pPr>
    </w:p>
    <w:p w14:paraId="11E545C2">
      <w:pPr>
        <w:pStyle w:val="5"/>
        <w:shd w:val="clear"/>
        <w:rPr>
          <w:rFonts w:hint="eastAsia" w:ascii="宋体" w:hAnsi="宋体" w:cs="宋体"/>
          <w:szCs w:val="21"/>
          <w:highlight w:val="none"/>
        </w:rPr>
      </w:pPr>
    </w:p>
    <w:p w14:paraId="26611AB6">
      <w:pPr>
        <w:pStyle w:val="5"/>
        <w:shd w:val="clear"/>
        <w:rPr>
          <w:rFonts w:hint="eastAsia" w:ascii="宋体" w:hAnsi="宋体" w:cs="宋体"/>
          <w:szCs w:val="21"/>
          <w:highlight w:val="none"/>
        </w:rPr>
      </w:pPr>
    </w:p>
    <w:p w14:paraId="4ADA8AAE">
      <w:pPr>
        <w:pStyle w:val="5"/>
        <w:shd w:val="clear"/>
        <w:rPr>
          <w:rFonts w:hint="eastAsia" w:ascii="宋体" w:hAnsi="宋体" w:cs="宋体"/>
          <w:szCs w:val="21"/>
          <w:highlight w:val="none"/>
        </w:rPr>
      </w:pPr>
    </w:p>
    <w:p w14:paraId="49B57BE1">
      <w:pPr>
        <w:pStyle w:val="5"/>
        <w:shd w:val="clear"/>
        <w:rPr>
          <w:rFonts w:hint="eastAsia" w:ascii="宋体" w:hAnsi="宋体" w:cs="宋体"/>
          <w:szCs w:val="21"/>
          <w:highlight w:val="none"/>
        </w:rPr>
      </w:pPr>
    </w:p>
    <w:p w14:paraId="2456A637">
      <w:pPr>
        <w:pStyle w:val="5"/>
        <w:shd w:val="clear"/>
        <w:rPr>
          <w:rFonts w:hint="eastAsia" w:ascii="宋体" w:hAnsi="宋体" w:cs="宋体"/>
          <w:szCs w:val="21"/>
          <w:highlight w:val="none"/>
        </w:rPr>
      </w:pPr>
    </w:p>
    <w:p w14:paraId="0E2CE8B1">
      <w:pPr>
        <w:pStyle w:val="5"/>
        <w:shd w:val="clear"/>
        <w:rPr>
          <w:rFonts w:hint="eastAsia" w:ascii="宋体" w:hAnsi="宋体" w:cs="宋体"/>
          <w:szCs w:val="21"/>
          <w:highlight w:val="none"/>
        </w:rPr>
      </w:pPr>
    </w:p>
    <w:p w14:paraId="6430E16E">
      <w:pPr>
        <w:pStyle w:val="5"/>
        <w:shd w:val="clear"/>
        <w:rPr>
          <w:rFonts w:hint="eastAsia" w:ascii="宋体" w:hAnsi="宋体" w:cs="宋体"/>
          <w:szCs w:val="21"/>
          <w:highlight w:val="none"/>
        </w:rPr>
      </w:pPr>
    </w:p>
    <w:p w14:paraId="757251AB">
      <w:pPr>
        <w:shd w:val="clear"/>
        <w:spacing w:line="360" w:lineRule="auto"/>
        <w:rPr>
          <w:rFonts w:hint="eastAsia" w:ascii="宋体" w:hAnsi="宋体" w:cs="宋体"/>
          <w:szCs w:val="21"/>
          <w:highlight w:val="none"/>
          <w:lang w:bidi="ar"/>
        </w:rPr>
        <w:sectPr>
          <w:type w:val="continuous"/>
          <w:pgSz w:w="11906" w:h="16838"/>
          <w:pgMar w:top="1440" w:right="1274" w:bottom="1440" w:left="1276" w:header="851" w:footer="992" w:gutter="0"/>
          <w:cols w:space="720" w:num="1"/>
          <w:docGrid w:type="lines" w:linePitch="312" w:charSpace="0"/>
        </w:sectPr>
      </w:pPr>
      <w:r>
        <w:rPr>
          <w:rFonts w:hint="eastAsia" w:ascii="宋体" w:hAnsi="宋体" w:cs="宋体"/>
          <w:szCs w:val="21"/>
          <w:highlight w:val="none"/>
        </w:rPr>
        <w:t>----------------------------------------------------------------------------------------</w:t>
      </w:r>
    </w:p>
    <w:p w14:paraId="08A410F5">
      <w:pPr>
        <w:shd w:val="clear"/>
        <w:spacing w:line="360" w:lineRule="auto"/>
        <w:rPr>
          <w:rFonts w:hint="eastAsia" w:ascii="宋体" w:hAnsi="宋体" w:eastAsia="宋体" w:cs="宋体"/>
          <w:szCs w:val="21"/>
          <w:highlight w:val="none"/>
          <w:lang w:eastAsia="zh-CN" w:bidi="ar"/>
        </w:rPr>
      </w:pPr>
      <w:r>
        <w:rPr>
          <w:rFonts w:hint="eastAsia" w:ascii="宋体" w:hAnsi="宋体" w:cs="宋体"/>
          <w:szCs w:val="21"/>
          <w:highlight w:val="none"/>
          <w:lang w:bidi="ar"/>
        </w:rPr>
        <w:t>招标人（章）：广州开城新晟城市开发投资有限公司</w:t>
      </w:r>
      <w:r>
        <w:rPr>
          <w:rFonts w:hint="eastAsia" w:ascii="宋体" w:hAnsi="宋体" w:cs="宋体"/>
          <w:szCs w:val="21"/>
          <w:highlight w:val="none"/>
          <w:lang w:bidi="ar"/>
        </w:rPr>
        <w:tab/>
      </w:r>
      <w:r>
        <w:rPr>
          <w:rFonts w:hint="eastAsia" w:ascii="宋体" w:hAnsi="宋体" w:cs="宋体"/>
          <w:szCs w:val="21"/>
          <w:highlight w:val="none"/>
          <w:lang w:bidi="ar"/>
        </w:rPr>
        <w:t>招标代理（章）：</w:t>
      </w:r>
      <w:r>
        <w:rPr>
          <w:rFonts w:hint="eastAsia" w:ascii="宋体" w:hAnsi="宋体" w:cs="宋体"/>
          <w:szCs w:val="21"/>
          <w:highlight w:val="none"/>
          <w:lang w:eastAsia="zh-CN" w:bidi="ar"/>
        </w:rPr>
        <w:t>广州天行咨询服务有限公司</w:t>
      </w:r>
    </w:p>
    <w:p w14:paraId="41818453">
      <w:pPr>
        <w:shd w:val="clear"/>
        <w:spacing w:line="360" w:lineRule="auto"/>
        <w:rPr>
          <w:rFonts w:hint="eastAsia" w:ascii="宋体" w:hAnsi="宋体" w:eastAsia="宋体" w:cs="宋体"/>
          <w:szCs w:val="21"/>
          <w:highlight w:val="none"/>
          <w:lang w:eastAsia="zh-CN"/>
        </w:rPr>
      </w:pPr>
      <w:r>
        <w:rPr>
          <w:rFonts w:hint="eastAsia" w:ascii="宋体" w:hAnsi="宋体" w:cs="宋体"/>
          <w:szCs w:val="21"/>
          <w:highlight w:val="none"/>
          <w:lang w:bidi="ar"/>
        </w:rPr>
        <w:t>联系人：</w:t>
      </w:r>
      <w:r>
        <w:rPr>
          <w:rFonts w:hint="eastAsia" w:ascii="宋体" w:hAnsi="宋体" w:cs="宋体"/>
          <w:szCs w:val="21"/>
          <w:highlight w:val="none"/>
          <w:lang w:val="en-US" w:eastAsia="zh-CN" w:bidi="ar"/>
        </w:rPr>
        <w:t>张工、</w:t>
      </w:r>
      <w:r>
        <w:rPr>
          <w:rFonts w:hint="eastAsia" w:ascii="宋体" w:hAnsi="宋体" w:cs="宋体"/>
          <w:szCs w:val="21"/>
          <w:highlight w:val="none"/>
          <w:lang w:bidi="ar"/>
        </w:rPr>
        <w:t>钟工</w:t>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 xml:space="preserve">    联系人：</w:t>
      </w:r>
      <w:r>
        <w:rPr>
          <w:rFonts w:hint="eastAsia" w:ascii="宋体" w:hAnsi="宋体" w:cs="宋体"/>
          <w:szCs w:val="21"/>
          <w:highlight w:val="none"/>
          <w:lang w:eastAsia="zh-CN" w:bidi="ar"/>
        </w:rPr>
        <w:t>车工</w:t>
      </w:r>
    </w:p>
    <w:p w14:paraId="23D223F0">
      <w:pPr>
        <w:shd w:val="clear"/>
        <w:spacing w:line="360" w:lineRule="auto"/>
        <w:ind w:left="4830" w:hanging="4830" w:hangingChars="2300"/>
        <w:rPr>
          <w:rFonts w:hint="eastAsia" w:ascii="宋体" w:hAnsi="宋体" w:cs="宋体"/>
          <w:szCs w:val="21"/>
          <w:highlight w:val="none"/>
          <w:lang w:bidi="ar"/>
        </w:rPr>
      </w:pPr>
      <w:r>
        <w:rPr>
          <w:rFonts w:hint="eastAsia" w:ascii="宋体" w:hAnsi="宋体" w:cs="宋体"/>
          <w:szCs w:val="21"/>
          <w:highlight w:val="none"/>
          <w:lang w:bidi="ar"/>
        </w:rPr>
        <w:t>地址：广州市黄埔区知凤街9号知识大厦7楼</w:t>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地址：</w:t>
      </w:r>
      <w:r>
        <w:rPr>
          <w:rFonts w:hint="eastAsia" w:ascii="宋体" w:hAnsi="宋体" w:cs="宋体"/>
          <w:highlight w:val="none"/>
        </w:rPr>
        <w:t>广州市黄埔区科学城科学大道162号创意</w:t>
      </w:r>
    </w:p>
    <w:p w14:paraId="7AD1413B">
      <w:pPr>
        <w:shd w:val="clear"/>
        <w:spacing w:line="360" w:lineRule="auto"/>
        <w:ind w:left="5050" w:leftChars="305" w:hanging="4410" w:hangingChars="2100"/>
        <w:rPr>
          <w:rFonts w:hint="eastAsia" w:ascii="宋体" w:hAnsi="宋体" w:cs="宋体"/>
          <w:szCs w:val="21"/>
          <w:highlight w:val="none"/>
        </w:rPr>
      </w:pPr>
      <w:r>
        <w:rPr>
          <w:rFonts w:hint="eastAsia" w:ascii="宋体" w:hAnsi="宋体" w:cs="宋体"/>
          <w:szCs w:val="21"/>
          <w:highlight w:val="none"/>
          <w:lang w:bidi="ar"/>
        </w:rPr>
        <w:t>01-06室</w:t>
      </w:r>
      <w:r>
        <w:rPr>
          <w:rFonts w:hint="eastAsia" w:ascii="宋体" w:hAnsi="宋体" w:cs="宋体"/>
          <w:szCs w:val="21"/>
          <w:highlight w:val="none"/>
          <w:lang w:bidi="ar"/>
        </w:rPr>
        <w:tab/>
      </w:r>
      <w:r>
        <w:rPr>
          <w:rFonts w:hint="eastAsia" w:ascii="宋体" w:hAnsi="宋体" w:cs="宋体"/>
          <w:szCs w:val="21"/>
          <w:highlight w:val="none"/>
          <w:lang w:bidi="ar"/>
        </w:rPr>
        <w:t xml:space="preserve">     大厦B2栋1201</w:t>
      </w:r>
    </w:p>
    <w:p w14:paraId="38E69407">
      <w:pPr>
        <w:shd w:val="clear"/>
        <w:spacing w:line="360" w:lineRule="auto"/>
        <w:rPr>
          <w:rFonts w:hint="eastAsia" w:ascii="宋体" w:hAnsi="宋体" w:eastAsia="宋体" w:cs="宋体"/>
          <w:szCs w:val="21"/>
          <w:highlight w:val="none"/>
          <w:lang w:eastAsia="zh-CN"/>
        </w:rPr>
      </w:pPr>
      <w:r>
        <w:rPr>
          <w:rFonts w:hint="eastAsia" w:ascii="宋体" w:hAnsi="宋体" w:cs="宋体"/>
          <w:szCs w:val="21"/>
          <w:highlight w:val="none"/>
          <w:lang w:bidi="ar"/>
        </w:rPr>
        <w:t>邮政编码：510555</w:t>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邮政编码：</w:t>
      </w:r>
      <w:r>
        <w:rPr>
          <w:rFonts w:hint="eastAsia" w:ascii="宋体" w:hAnsi="宋体" w:cs="宋体"/>
          <w:szCs w:val="21"/>
          <w:highlight w:val="none"/>
          <w:lang w:eastAsia="zh-CN" w:bidi="ar"/>
        </w:rPr>
        <w:t>510663</w:t>
      </w:r>
    </w:p>
    <w:p w14:paraId="45FF590C">
      <w:pPr>
        <w:shd w:val="clear"/>
        <w:spacing w:line="360" w:lineRule="auto"/>
        <w:rPr>
          <w:rFonts w:hint="eastAsia" w:ascii="宋体" w:hAnsi="宋体" w:eastAsia="宋体" w:cs="宋体"/>
          <w:szCs w:val="21"/>
          <w:highlight w:val="none"/>
          <w:lang w:eastAsia="zh-CN"/>
        </w:rPr>
      </w:pPr>
      <w:r>
        <w:rPr>
          <w:rFonts w:hint="eastAsia" w:ascii="宋体" w:hAnsi="宋体" w:cs="宋体"/>
          <w:szCs w:val="21"/>
          <w:highlight w:val="none"/>
          <w:lang w:bidi="ar"/>
        </w:rPr>
        <w:t>电话：</w:t>
      </w:r>
      <w:r>
        <w:rPr>
          <w:rFonts w:hint="eastAsia" w:ascii="宋体" w:hAnsi="宋体" w:cs="宋体"/>
          <w:highlight w:val="none"/>
        </w:rPr>
        <w:t>020-31700409</w:t>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电话：</w:t>
      </w:r>
      <w:r>
        <w:rPr>
          <w:rFonts w:hint="eastAsia" w:ascii="宋体" w:hAnsi="宋体" w:cs="宋体"/>
          <w:highlight w:val="none"/>
          <w:lang w:eastAsia="zh-CN"/>
        </w:rPr>
        <w:t>020-31604261</w:t>
      </w:r>
    </w:p>
    <w:p w14:paraId="4F3AB4E3">
      <w:pPr>
        <w:shd w:val="clear"/>
        <w:spacing w:line="360" w:lineRule="auto"/>
        <w:rPr>
          <w:rFonts w:hint="eastAsia" w:ascii="宋体" w:hAnsi="宋体" w:cs="宋体"/>
          <w:szCs w:val="21"/>
          <w:highlight w:val="none"/>
          <w:lang w:bidi="ar"/>
        </w:rPr>
      </w:pPr>
      <w:r>
        <w:rPr>
          <w:rFonts w:hint="eastAsia" w:ascii="宋体" w:hAnsi="宋体" w:cs="宋体"/>
          <w:szCs w:val="21"/>
          <w:highlight w:val="none"/>
          <w:lang w:bidi="ar"/>
        </w:rPr>
        <w:t>传真：</w:t>
      </w:r>
      <w:r>
        <w:rPr>
          <w:rFonts w:hint="eastAsia" w:ascii="宋体" w:hAnsi="宋体" w:cs="宋体"/>
          <w:szCs w:val="21"/>
          <w:highlight w:val="none"/>
          <w:u w:val="single"/>
          <w:lang w:bidi="ar"/>
        </w:rPr>
        <w:t xml:space="preserve">  /  </w:t>
      </w:r>
      <w:r>
        <w:rPr>
          <w:rFonts w:hint="eastAsia" w:ascii="宋体" w:hAnsi="宋体" w:cs="宋体"/>
          <w:szCs w:val="21"/>
          <w:highlight w:val="none"/>
          <w:lang w:bidi="ar"/>
        </w:rPr>
        <w:t xml:space="preserve"> </w:t>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传真：</w:t>
      </w:r>
      <w:r>
        <w:rPr>
          <w:rFonts w:hint="eastAsia" w:ascii="宋体" w:hAnsi="宋体" w:cs="宋体"/>
          <w:szCs w:val="21"/>
          <w:highlight w:val="none"/>
          <w:u w:val="single"/>
          <w:lang w:bidi="ar"/>
        </w:rPr>
        <w:t xml:space="preserve">  /  </w:t>
      </w:r>
    </w:p>
    <w:p w14:paraId="63E87266">
      <w:pPr>
        <w:shd w:val="clear"/>
        <w:spacing w:line="360" w:lineRule="auto"/>
        <w:rPr>
          <w:rFonts w:hint="eastAsia" w:ascii="宋体" w:hAnsi="宋体" w:cs="宋体"/>
          <w:highlight w:val="none"/>
        </w:rPr>
      </w:pPr>
      <w:r>
        <w:rPr>
          <w:rFonts w:hint="eastAsia" w:ascii="宋体" w:hAnsi="宋体" w:cs="宋体"/>
          <w:szCs w:val="21"/>
          <w:highlight w:val="none"/>
          <w:lang w:bidi="ar"/>
        </w:rPr>
        <w:t>电子邮箱：</w:t>
      </w:r>
      <w:r>
        <w:rPr>
          <w:rFonts w:hint="eastAsia" w:ascii="宋体" w:hAnsi="宋体" w:cs="宋体"/>
          <w:szCs w:val="21"/>
          <w:highlight w:val="none"/>
          <w:u w:val="single"/>
          <w:lang w:bidi="ar"/>
        </w:rPr>
        <w:t xml:space="preserve">  /  </w:t>
      </w:r>
      <w:r>
        <w:rPr>
          <w:rFonts w:hint="eastAsia" w:ascii="宋体" w:hAnsi="宋体" w:cs="宋体"/>
          <w:szCs w:val="21"/>
          <w:highlight w:val="none"/>
          <w:lang w:bidi="ar"/>
        </w:rPr>
        <w:t xml:space="preserve"> </w:t>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电子邮箱：</w:t>
      </w:r>
      <w:r>
        <w:rPr>
          <w:rFonts w:hint="eastAsia" w:ascii="宋体" w:hAnsi="宋体" w:cs="宋体"/>
          <w:szCs w:val="21"/>
          <w:highlight w:val="none"/>
          <w:u w:val="single"/>
          <w:lang w:bidi="ar"/>
        </w:rPr>
        <w:t xml:space="preserve"> / </w:t>
      </w:r>
    </w:p>
    <w:p w14:paraId="374DBB39">
      <w:pPr>
        <w:pStyle w:val="18"/>
        <w:shd w:val="clear"/>
        <w:ind w:firstLine="400"/>
        <w:rPr>
          <w:rFonts w:hint="eastAsia" w:ascii="宋体" w:hAnsi="宋体" w:cs="宋体"/>
          <w:szCs w:val="21"/>
          <w:highlight w:val="none"/>
        </w:rPr>
      </w:pPr>
    </w:p>
    <w:p w14:paraId="1C36CA50">
      <w:pPr>
        <w:shd w:val="clear"/>
        <w:rPr>
          <w:rFonts w:hint="eastAsia" w:ascii="宋体" w:hAnsi="宋体" w:cs="宋体"/>
          <w:szCs w:val="21"/>
          <w:highlight w:val="none"/>
        </w:rPr>
      </w:pPr>
      <w:r>
        <w:rPr>
          <w:rFonts w:hint="eastAsia" w:ascii="宋体" w:hAnsi="宋体" w:cs="宋体"/>
          <w:szCs w:val="21"/>
          <w:highlight w:val="none"/>
        </w:rPr>
        <w:br w:type="page"/>
      </w:r>
    </w:p>
    <w:p w14:paraId="1A60344C">
      <w:pPr>
        <w:shd w:val="clear"/>
        <w:jc w:val="center"/>
        <w:rPr>
          <w:rFonts w:hint="eastAsia" w:ascii="宋体" w:hAnsi="宋体" w:cs="宋体"/>
          <w:sz w:val="24"/>
          <w:szCs w:val="24"/>
          <w:highlight w:val="none"/>
        </w:rPr>
      </w:pPr>
      <w:r>
        <w:rPr>
          <w:rFonts w:hint="eastAsia" w:ascii="宋体" w:hAnsi="宋体" w:cs="宋体"/>
          <w:sz w:val="24"/>
          <w:szCs w:val="24"/>
          <w:highlight w:val="none"/>
        </w:rPr>
        <w:t>（本页无正文）</w:t>
      </w:r>
    </w:p>
    <w:p w14:paraId="42E3E81A">
      <w:pPr>
        <w:pStyle w:val="5"/>
        <w:shd w:val="clear"/>
        <w:ind w:firstLine="480"/>
        <w:jc w:val="center"/>
        <w:rPr>
          <w:rFonts w:hint="eastAsia" w:ascii="宋体" w:hAnsi="宋体" w:cs="宋体"/>
          <w:sz w:val="24"/>
          <w:szCs w:val="24"/>
          <w:highlight w:val="none"/>
        </w:rPr>
        <w:sectPr>
          <w:type w:val="continuous"/>
          <w:pgSz w:w="11906" w:h="16838"/>
          <w:pgMar w:top="1440" w:right="1274" w:bottom="1440" w:left="1276" w:header="851" w:footer="992" w:gutter="0"/>
          <w:cols w:space="720" w:num="1"/>
          <w:docGrid w:type="lines" w:linePitch="312" w:charSpace="0"/>
        </w:sectPr>
      </w:pPr>
    </w:p>
    <w:p w14:paraId="18EBBAD1">
      <w:pPr>
        <w:shd w:val="clear"/>
        <w:jc w:val="center"/>
        <w:outlineLvl w:val="0"/>
        <w:rPr>
          <w:rFonts w:hint="eastAsia" w:ascii="宋体" w:hAnsi="宋体" w:cs="宋体"/>
          <w:b/>
          <w:sz w:val="32"/>
          <w:szCs w:val="32"/>
          <w:highlight w:val="none"/>
        </w:rPr>
      </w:pPr>
      <w:bookmarkStart w:id="4" w:name="_Toc23884"/>
      <w:bookmarkStart w:id="5" w:name="_Toc19464"/>
      <w:bookmarkStart w:id="6" w:name="_Toc30652"/>
      <w:bookmarkStart w:id="7" w:name="_Toc6182"/>
      <w:bookmarkStart w:id="8" w:name="_Toc29872"/>
      <w:bookmarkStart w:id="9" w:name="_Toc20544"/>
      <w:bookmarkStart w:id="10" w:name="_Toc21919"/>
      <w:bookmarkStart w:id="11" w:name="_Toc17279"/>
      <w:bookmarkStart w:id="12" w:name="_Toc9546"/>
      <w:r>
        <w:rPr>
          <w:rFonts w:hint="eastAsia" w:ascii="宋体" w:hAnsi="宋体" w:cs="宋体"/>
          <w:b/>
          <w:sz w:val="32"/>
          <w:szCs w:val="32"/>
          <w:highlight w:val="none"/>
        </w:rPr>
        <w:t>招标文件修改表</w:t>
      </w:r>
      <w:bookmarkEnd w:id="4"/>
      <w:bookmarkEnd w:id="5"/>
      <w:bookmarkEnd w:id="6"/>
      <w:bookmarkEnd w:id="7"/>
      <w:bookmarkEnd w:id="8"/>
      <w:bookmarkEnd w:id="9"/>
      <w:bookmarkEnd w:id="10"/>
      <w:bookmarkEnd w:id="11"/>
      <w:bookmarkEnd w:id="12"/>
    </w:p>
    <w:p w14:paraId="564911A1">
      <w:pPr>
        <w:shd w:val="clear"/>
        <w:ind w:firstLine="420"/>
        <w:rPr>
          <w:rFonts w:hint="eastAsia" w:ascii="宋体" w:hAnsi="宋体" w:cs="宋体"/>
          <w:szCs w:val="21"/>
          <w:highlight w:val="none"/>
        </w:rPr>
      </w:pPr>
      <w:r>
        <w:rPr>
          <w:rFonts w:hint="eastAsia" w:ascii="宋体" w:hAnsi="宋体" w:cs="宋体"/>
          <w:szCs w:val="21"/>
          <w:highlight w:val="none"/>
        </w:rPr>
        <w:t>招标人（招标代理机构）一般应按照全过程电子化范本（房建类）格式编制招标文件。如果修改，范本被删除的内容应标注删除线，新增内容应标注下划线。需要修改的内容均在本表中列明，并以现文为准，原文不再有效。本招标文件中不再转录范本条款，请投标人自行到广州市住房和城乡建设局网站（网址：http://zfcj.gz.gov.cn/）下载查阅。</w:t>
      </w:r>
    </w:p>
    <w:p w14:paraId="1529330B">
      <w:pPr>
        <w:shd w:val="clear"/>
        <w:ind w:firstLine="420"/>
        <w:rPr>
          <w:rFonts w:hint="eastAsia" w:ascii="宋体" w:hAnsi="宋体" w:cs="宋体"/>
          <w:szCs w:val="21"/>
          <w:highlight w:val="none"/>
        </w:rPr>
      </w:pPr>
    </w:p>
    <w:tbl>
      <w:tblPr>
        <w:tblStyle w:val="19"/>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400"/>
        <w:gridCol w:w="3631"/>
        <w:gridCol w:w="3379"/>
      </w:tblGrid>
      <w:tr w14:paraId="5594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07" w:type="dxa"/>
            <w:tcBorders>
              <w:top w:val="single" w:color="auto" w:sz="4" w:space="0"/>
              <w:left w:val="single" w:color="auto" w:sz="4" w:space="0"/>
              <w:bottom w:val="single" w:color="auto" w:sz="4" w:space="0"/>
              <w:right w:val="single" w:color="auto" w:sz="4" w:space="0"/>
            </w:tcBorders>
            <w:vAlign w:val="center"/>
          </w:tcPr>
          <w:p w14:paraId="3882709A">
            <w:pPr>
              <w:shd w:val="clear"/>
              <w:snapToGrid w:val="0"/>
              <w:ind w:left="0" w:leftChars="0" w:right="0" w:rightChars="0" w:firstLine="0" w:firstLineChars="0"/>
              <w:jc w:val="center"/>
              <w:rPr>
                <w:rFonts w:hint="eastAsia" w:ascii="宋体" w:hAnsi="宋体" w:cs="宋体"/>
                <w:b/>
                <w:szCs w:val="21"/>
                <w:highlight w:val="none"/>
              </w:rPr>
            </w:pPr>
            <w:r>
              <w:rPr>
                <w:rFonts w:hint="eastAsia" w:ascii="宋体" w:hAnsi="宋体" w:cs="宋体"/>
                <w:b/>
                <w:szCs w:val="21"/>
                <w:highlight w:val="none"/>
              </w:rPr>
              <w:t>序号</w:t>
            </w:r>
          </w:p>
        </w:tc>
        <w:tc>
          <w:tcPr>
            <w:tcW w:w="1400" w:type="dxa"/>
            <w:tcBorders>
              <w:top w:val="single" w:color="auto" w:sz="4" w:space="0"/>
              <w:left w:val="single" w:color="auto" w:sz="4" w:space="0"/>
              <w:bottom w:val="single" w:color="auto" w:sz="4" w:space="0"/>
              <w:right w:val="single" w:color="auto" w:sz="4" w:space="0"/>
            </w:tcBorders>
            <w:vAlign w:val="center"/>
          </w:tcPr>
          <w:p w14:paraId="1A61493A">
            <w:pPr>
              <w:shd w:val="clear"/>
              <w:snapToGrid w:val="0"/>
              <w:ind w:left="0" w:leftChars="0" w:right="0" w:rightChars="0" w:firstLine="0" w:firstLineChars="0"/>
              <w:jc w:val="center"/>
              <w:rPr>
                <w:rFonts w:hint="eastAsia" w:ascii="宋体" w:hAnsi="宋体" w:cs="宋体"/>
                <w:b/>
                <w:szCs w:val="21"/>
                <w:highlight w:val="none"/>
              </w:rPr>
            </w:pPr>
            <w:r>
              <w:rPr>
                <w:rFonts w:hint="eastAsia" w:ascii="宋体" w:hAnsi="宋体" w:cs="宋体"/>
                <w:b/>
                <w:szCs w:val="21"/>
                <w:highlight w:val="none"/>
              </w:rPr>
              <w:t>章节、条目</w:t>
            </w:r>
          </w:p>
        </w:tc>
        <w:tc>
          <w:tcPr>
            <w:tcW w:w="3631" w:type="dxa"/>
            <w:tcBorders>
              <w:top w:val="single" w:color="auto" w:sz="4" w:space="0"/>
              <w:left w:val="single" w:color="auto" w:sz="4" w:space="0"/>
              <w:bottom w:val="single" w:color="auto" w:sz="4" w:space="0"/>
              <w:right w:val="single" w:color="auto" w:sz="4" w:space="0"/>
            </w:tcBorders>
            <w:vAlign w:val="center"/>
          </w:tcPr>
          <w:p w14:paraId="3798C46E">
            <w:pPr>
              <w:shd w:val="clear"/>
              <w:snapToGrid w:val="0"/>
              <w:ind w:left="0" w:leftChars="0" w:right="0" w:rightChars="0" w:firstLine="0" w:firstLineChars="0"/>
              <w:jc w:val="center"/>
              <w:rPr>
                <w:rFonts w:hint="eastAsia" w:ascii="宋体" w:hAnsi="宋体" w:cs="宋体"/>
                <w:b/>
                <w:szCs w:val="21"/>
                <w:highlight w:val="none"/>
              </w:rPr>
            </w:pPr>
            <w:r>
              <w:rPr>
                <w:rFonts w:hint="eastAsia" w:ascii="宋体" w:hAnsi="宋体" w:cs="宋体"/>
                <w:b/>
                <w:szCs w:val="21"/>
                <w:highlight w:val="none"/>
              </w:rPr>
              <w:t>范本原文</w:t>
            </w:r>
          </w:p>
        </w:tc>
        <w:tc>
          <w:tcPr>
            <w:tcW w:w="3379" w:type="dxa"/>
            <w:tcBorders>
              <w:top w:val="single" w:color="auto" w:sz="4" w:space="0"/>
              <w:left w:val="single" w:color="auto" w:sz="4" w:space="0"/>
              <w:bottom w:val="single" w:color="auto" w:sz="4" w:space="0"/>
              <w:right w:val="single" w:color="auto" w:sz="4" w:space="0"/>
            </w:tcBorders>
            <w:vAlign w:val="center"/>
          </w:tcPr>
          <w:p w14:paraId="5F6C32CE">
            <w:pPr>
              <w:shd w:val="clear"/>
              <w:snapToGrid w:val="0"/>
              <w:ind w:left="0" w:leftChars="0" w:right="0" w:rightChars="0" w:firstLine="0" w:firstLineChars="0"/>
              <w:jc w:val="center"/>
              <w:rPr>
                <w:rFonts w:hint="eastAsia" w:ascii="宋体" w:hAnsi="宋体" w:cs="宋体"/>
                <w:b/>
                <w:szCs w:val="21"/>
                <w:highlight w:val="none"/>
              </w:rPr>
            </w:pPr>
            <w:r>
              <w:rPr>
                <w:rFonts w:hint="eastAsia" w:ascii="宋体" w:hAnsi="宋体" w:cs="宋体"/>
                <w:b/>
                <w:szCs w:val="21"/>
                <w:highlight w:val="none"/>
              </w:rPr>
              <w:t>拟删改的内容</w:t>
            </w:r>
          </w:p>
        </w:tc>
      </w:tr>
      <w:tr w14:paraId="7FA7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73461893">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4ACE33C6">
            <w:pPr>
              <w:shd w:val="clear"/>
              <w:snapToGrid w:val="0"/>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第一章</w:t>
            </w:r>
          </w:p>
        </w:tc>
        <w:tc>
          <w:tcPr>
            <w:tcW w:w="3631" w:type="dxa"/>
            <w:tcBorders>
              <w:top w:val="single" w:color="auto" w:sz="4" w:space="0"/>
              <w:left w:val="single" w:color="auto" w:sz="4" w:space="0"/>
              <w:bottom w:val="single" w:color="auto" w:sz="4" w:space="0"/>
              <w:right w:val="single" w:color="auto" w:sz="4" w:space="0"/>
            </w:tcBorders>
            <w:vAlign w:val="center"/>
          </w:tcPr>
          <w:p w14:paraId="12DAF56A">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招标公告</w:t>
            </w:r>
          </w:p>
        </w:tc>
        <w:tc>
          <w:tcPr>
            <w:tcW w:w="3379" w:type="dxa"/>
            <w:tcBorders>
              <w:top w:val="single" w:color="auto" w:sz="4" w:space="0"/>
              <w:left w:val="single" w:color="auto" w:sz="4" w:space="0"/>
              <w:bottom w:val="single" w:color="auto" w:sz="4" w:space="0"/>
              <w:right w:val="single" w:color="auto" w:sz="4" w:space="0"/>
            </w:tcBorders>
            <w:vAlign w:val="center"/>
          </w:tcPr>
          <w:p w14:paraId="21108AFA">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修改详见《招标公告》</w:t>
            </w:r>
          </w:p>
        </w:tc>
      </w:tr>
      <w:tr w14:paraId="6AF6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1780B6C6">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292A66DF">
            <w:pPr>
              <w:shd w:val="clear"/>
              <w:snapToGrid w:val="0"/>
              <w:spacing w:line="240" w:lineRule="auto"/>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2.2.8</w:t>
            </w:r>
          </w:p>
        </w:tc>
        <w:tc>
          <w:tcPr>
            <w:tcW w:w="3631" w:type="dxa"/>
            <w:tcBorders>
              <w:top w:val="single" w:color="auto" w:sz="4" w:space="0"/>
              <w:left w:val="single" w:color="auto" w:sz="4" w:space="0"/>
              <w:bottom w:val="single" w:color="auto" w:sz="4" w:space="0"/>
              <w:right w:val="single" w:color="auto" w:sz="4" w:space="0"/>
            </w:tcBorders>
            <w:vAlign w:val="center"/>
          </w:tcPr>
          <w:p w14:paraId="10023669">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新增</w:t>
            </w:r>
          </w:p>
        </w:tc>
        <w:tc>
          <w:tcPr>
            <w:tcW w:w="3379" w:type="dxa"/>
            <w:tcBorders>
              <w:top w:val="single" w:color="auto" w:sz="4" w:space="0"/>
              <w:left w:val="single" w:color="auto" w:sz="4" w:space="0"/>
              <w:bottom w:val="single" w:color="auto" w:sz="4" w:space="0"/>
              <w:right w:val="single" w:color="auto" w:sz="4" w:space="0"/>
            </w:tcBorders>
            <w:vAlign w:val="center"/>
          </w:tcPr>
          <w:p w14:paraId="7074068D">
            <w:pPr>
              <w:shd w:val="clear"/>
              <w:snapToGrid w:val="0"/>
              <w:ind w:left="0" w:leftChars="0" w:right="0" w:rightChars="0" w:firstLine="0" w:firstLineChars="0"/>
              <w:jc w:val="left"/>
              <w:rPr>
                <w:rFonts w:hint="eastAsia" w:ascii="宋体" w:hAnsi="宋体" w:cs="宋体"/>
                <w:b/>
                <w:bCs/>
                <w:szCs w:val="21"/>
                <w:highlight w:val="none"/>
                <w:u w:val="single"/>
              </w:rPr>
            </w:pPr>
            <w:r>
              <w:rPr>
                <w:rFonts w:hint="eastAsia" w:ascii="宋体" w:hAnsi="宋体" w:cs="宋体"/>
                <w:b/>
                <w:bCs/>
                <w:szCs w:val="21"/>
                <w:highlight w:val="none"/>
                <w:u w:val="single"/>
              </w:rPr>
              <w:t>增加：</w:t>
            </w:r>
            <w:r>
              <w:rPr>
                <w:rFonts w:hint="eastAsia" w:ascii="宋体" w:hAnsi="宋体" w:cs="宋体"/>
                <w:szCs w:val="21"/>
                <w:highlight w:val="none"/>
                <w:u w:val="single"/>
              </w:rPr>
              <w:t>2.2.8</w:t>
            </w:r>
          </w:p>
          <w:p w14:paraId="7B90F742">
            <w:pPr>
              <w:shd w:val="clear"/>
              <w:snapToGrid w:val="0"/>
              <w:ind w:left="0" w:leftChars="0" w:right="0" w:rightChars="0" w:firstLine="0" w:firstLineChars="0"/>
              <w:jc w:val="left"/>
              <w:rPr>
                <w:rFonts w:hint="eastAsia" w:ascii="宋体" w:hAnsi="宋体" w:cs="宋体"/>
                <w:szCs w:val="21"/>
                <w:highlight w:val="none"/>
                <w:u w:val="single"/>
              </w:rPr>
            </w:pPr>
            <w:r>
              <w:rPr>
                <w:rFonts w:hint="eastAsia" w:ascii="宋体" w:hAnsi="宋体" w:cs="宋体"/>
                <w:szCs w:val="21"/>
                <w:highlight w:val="none"/>
                <w:u w:val="single"/>
              </w:rPr>
              <w:t>2.2.8 招标人有权使用领取补偿费的未中标单位的设计方案（不需另付给使用费）。</w:t>
            </w:r>
          </w:p>
        </w:tc>
      </w:tr>
      <w:tr w14:paraId="774D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59280806">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0919CA06">
            <w:pPr>
              <w:shd w:val="clear"/>
              <w:snapToGrid w:val="0"/>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3.1</w:t>
            </w:r>
          </w:p>
        </w:tc>
        <w:tc>
          <w:tcPr>
            <w:tcW w:w="3631" w:type="dxa"/>
            <w:tcBorders>
              <w:top w:val="single" w:color="auto" w:sz="4" w:space="0"/>
              <w:left w:val="single" w:color="auto" w:sz="4" w:space="0"/>
              <w:bottom w:val="single" w:color="auto" w:sz="4" w:space="0"/>
              <w:right w:val="single" w:color="auto" w:sz="4" w:space="0"/>
            </w:tcBorders>
            <w:vAlign w:val="center"/>
          </w:tcPr>
          <w:p w14:paraId="334428AD">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3.1    现场考察</w:t>
            </w:r>
          </w:p>
          <w:p w14:paraId="420C84A8">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3.1.1  招标人安排投标人代表对工程现场进行考察，目的是使每个投标人查看现场并获得编制投标文件所需要的一切资料。</w:t>
            </w:r>
          </w:p>
          <w:p w14:paraId="34BC4F21">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3.1.2  每个投标人参加现场考察的人数不宜超过3人，外国投标人代表应自带中文翻译。</w:t>
            </w:r>
          </w:p>
          <w:p w14:paraId="5A211B3D">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3.1.3  现场考察期间招标人接受投标人代表的提问。</w:t>
            </w:r>
          </w:p>
        </w:tc>
        <w:tc>
          <w:tcPr>
            <w:tcW w:w="3379" w:type="dxa"/>
            <w:tcBorders>
              <w:top w:val="single" w:color="auto" w:sz="4" w:space="0"/>
              <w:left w:val="single" w:color="auto" w:sz="4" w:space="0"/>
              <w:bottom w:val="single" w:color="auto" w:sz="4" w:space="0"/>
              <w:right w:val="single" w:color="auto" w:sz="4" w:space="0"/>
            </w:tcBorders>
            <w:vAlign w:val="center"/>
          </w:tcPr>
          <w:p w14:paraId="7F3041E0">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3.1    现场考察</w:t>
            </w:r>
          </w:p>
          <w:p w14:paraId="528F301F">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 xml:space="preserve">3.1.1  </w:t>
            </w:r>
            <w:r>
              <w:rPr>
                <w:rFonts w:hint="eastAsia" w:ascii="宋体" w:hAnsi="宋体" w:cs="宋体"/>
                <w:szCs w:val="21"/>
                <w:highlight w:val="none"/>
                <w:u w:val="single"/>
              </w:rPr>
              <w:t>现场考察由投标人自行考察，招标人不统一安排现场考察。</w:t>
            </w:r>
          </w:p>
          <w:p w14:paraId="76364CBF">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u w:val="single"/>
              </w:rPr>
              <w:t>3.1.2  投标人及其代表必须承担那些进入现场后，由于自身的行为所造成的人身伤害（不管是否致命）、财产损失或损坏，以及其他任何原因造成的损失、损坏或费用。招标人在投标人及其代表考察过程中不负任何责任。但投标人不得因此使招标人承担有关的责任和蒙受损失。投标人应承担踏勘现场的责任和风险。</w:t>
            </w:r>
          </w:p>
        </w:tc>
      </w:tr>
      <w:tr w14:paraId="5AC6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7708A436">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6F65A202">
            <w:pPr>
              <w:shd w:val="clear"/>
              <w:snapToGrid w:val="0"/>
              <w:spacing w:line="240" w:lineRule="auto"/>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3.2.1</w:t>
            </w:r>
          </w:p>
        </w:tc>
        <w:tc>
          <w:tcPr>
            <w:tcW w:w="3631" w:type="dxa"/>
            <w:tcBorders>
              <w:top w:val="single" w:color="auto" w:sz="4" w:space="0"/>
              <w:left w:val="single" w:color="auto" w:sz="4" w:space="0"/>
              <w:bottom w:val="single" w:color="auto" w:sz="4" w:space="0"/>
              <w:right w:val="single" w:color="auto" w:sz="4" w:space="0"/>
            </w:tcBorders>
            <w:vAlign w:val="center"/>
          </w:tcPr>
          <w:p w14:paraId="27644CA1">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投标人应认真审阅招标文件和有关资料，尽力澄清一切疑点，对工程现场和周围环境进行勘察，以获取编制投标文件和签署合同所需的所有资料。</w:t>
            </w:r>
          </w:p>
        </w:tc>
        <w:tc>
          <w:tcPr>
            <w:tcW w:w="3379" w:type="dxa"/>
            <w:tcBorders>
              <w:top w:val="single" w:color="auto" w:sz="4" w:space="0"/>
              <w:left w:val="single" w:color="auto" w:sz="4" w:space="0"/>
              <w:bottom w:val="single" w:color="auto" w:sz="4" w:space="0"/>
              <w:right w:val="single" w:color="auto" w:sz="4" w:space="0"/>
            </w:tcBorders>
            <w:vAlign w:val="center"/>
          </w:tcPr>
          <w:p w14:paraId="6C02465F">
            <w:pPr>
              <w:shd w:val="clear"/>
              <w:snapToGrid w:val="0"/>
              <w:ind w:left="0" w:leftChars="0" w:right="0" w:rightChars="0" w:firstLine="0" w:firstLineChars="0"/>
              <w:jc w:val="left"/>
              <w:rPr>
                <w:rFonts w:hint="eastAsia" w:ascii="宋体" w:hAnsi="宋体" w:cs="宋体"/>
                <w:szCs w:val="21"/>
                <w:highlight w:val="none"/>
                <w:u w:val="single"/>
              </w:rPr>
            </w:pPr>
            <w:r>
              <w:rPr>
                <w:rFonts w:hint="eastAsia" w:ascii="宋体" w:hAnsi="宋体" w:cs="宋体"/>
                <w:b/>
                <w:szCs w:val="21"/>
                <w:highlight w:val="none"/>
              </w:rPr>
              <w:t>修改：</w:t>
            </w:r>
            <w:r>
              <w:rPr>
                <w:rFonts w:hint="eastAsia" w:ascii="宋体" w:hAnsi="宋体" w:cs="宋体"/>
                <w:szCs w:val="21"/>
                <w:highlight w:val="none"/>
              </w:rPr>
              <w:t>投标人应认真审阅招标文件和有关资料，尽力澄清一切疑点，</w:t>
            </w:r>
            <w:r>
              <w:rPr>
                <w:rFonts w:hint="eastAsia" w:ascii="宋体" w:hAnsi="宋体" w:cs="宋体"/>
                <w:b/>
                <w:szCs w:val="21"/>
                <w:highlight w:val="none"/>
                <w:u w:val="single"/>
              </w:rPr>
              <w:t>自行</w:t>
            </w:r>
            <w:r>
              <w:rPr>
                <w:rFonts w:hint="eastAsia" w:ascii="宋体" w:hAnsi="宋体" w:cs="宋体"/>
                <w:szCs w:val="21"/>
                <w:highlight w:val="none"/>
              </w:rPr>
              <w:t>对工程现场和周围环境进行勘察，以获取编制投标文件和签署合同所需的所有资料。</w:t>
            </w:r>
          </w:p>
        </w:tc>
      </w:tr>
      <w:tr w14:paraId="0669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3140D33D">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5931AB75">
            <w:pPr>
              <w:shd w:val="clear"/>
              <w:snapToGrid w:val="0"/>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3.2.3</w:t>
            </w:r>
          </w:p>
        </w:tc>
        <w:tc>
          <w:tcPr>
            <w:tcW w:w="3631" w:type="dxa"/>
            <w:tcBorders>
              <w:top w:val="single" w:color="auto" w:sz="4" w:space="0"/>
              <w:left w:val="single" w:color="auto" w:sz="4" w:space="0"/>
              <w:bottom w:val="single" w:color="auto" w:sz="4" w:space="0"/>
              <w:right w:val="single" w:color="auto" w:sz="4" w:space="0"/>
            </w:tcBorders>
            <w:vAlign w:val="center"/>
          </w:tcPr>
          <w:p w14:paraId="717704CD">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3.2.3  投标人需要澄清的问题应在规定的时间内，按交易平台的操作指引上传至交易平台网站。招标人应在递交投标文件截止时间15日前解答投标人对招标文件提出的疑问，形成澄清或答疑纪要在交易平台发布。不足15日的，招标人应当顺延投标文件的截止时间。</w:t>
            </w:r>
          </w:p>
        </w:tc>
        <w:tc>
          <w:tcPr>
            <w:tcW w:w="3379" w:type="dxa"/>
            <w:tcBorders>
              <w:top w:val="single" w:color="auto" w:sz="4" w:space="0"/>
              <w:left w:val="single" w:color="auto" w:sz="4" w:space="0"/>
              <w:bottom w:val="single" w:color="auto" w:sz="4" w:space="0"/>
              <w:right w:val="single" w:color="auto" w:sz="4" w:space="0"/>
            </w:tcBorders>
            <w:vAlign w:val="center"/>
          </w:tcPr>
          <w:p w14:paraId="247AFD5C">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：投标人需要澄清的问题应</w:t>
            </w:r>
            <w:r>
              <w:rPr>
                <w:rFonts w:hint="eastAsia" w:ascii="宋体" w:hAnsi="宋体" w:cs="宋体"/>
                <w:szCs w:val="21"/>
                <w:highlight w:val="none"/>
                <w:u w:val="single"/>
              </w:rPr>
              <w:t>在投标截止时间18个日历天前</w:t>
            </w:r>
            <w:r>
              <w:rPr>
                <w:rFonts w:hint="eastAsia" w:ascii="宋体" w:hAnsi="宋体" w:cs="宋体"/>
                <w:szCs w:val="21"/>
                <w:highlight w:val="none"/>
              </w:rPr>
              <w:t>，按交易平台的操作指引上传至交易平台网站。招标人应在递交投标文件截止时间</w:t>
            </w:r>
            <w:r>
              <w:rPr>
                <w:rFonts w:hint="eastAsia" w:ascii="宋体" w:hAnsi="宋体" w:cs="宋体"/>
                <w:szCs w:val="21"/>
                <w:highlight w:val="none"/>
                <w:u w:val="single"/>
              </w:rPr>
              <w:t>15个日历天前</w:t>
            </w:r>
            <w:r>
              <w:rPr>
                <w:rFonts w:hint="eastAsia" w:ascii="宋体" w:hAnsi="宋体" w:cs="宋体"/>
                <w:szCs w:val="21"/>
                <w:highlight w:val="none"/>
              </w:rPr>
              <w:t>解答投标人对招标文件提出的疑问，形成澄清或答疑纪要，</w:t>
            </w:r>
            <w:r>
              <w:rPr>
                <w:rFonts w:hint="eastAsia" w:ascii="宋体" w:hAnsi="宋体" w:cs="宋体"/>
                <w:szCs w:val="21"/>
                <w:highlight w:val="none"/>
                <w:u w:val="single"/>
              </w:rPr>
              <w:t>在广州交易集团有限公司（广州公共资源交易中心）网站项目查询中本项目详情页里面发布。</w:t>
            </w:r>
            <w:r>
              <w:rPr>
                <w:rFonts w:hint="eastAsia" w:ascii="宋体" w:hAnsi="宋体" w:cs="宋体"/>
                <w:szCs w:val="21"/>
                <w:highlight w:val="none"/>
              </w:rPr>
              <w:t>不足</w:t>
            </w:r>
            <w:r>
              <w:rPr>
                <w:rFonts w:hint="eastAsia" w:ascii="宋体" w:hAnsi="宋体" w:cs="宋体"/>
                <w:szCs w:val="21"/>
                <w:highlight w:val="none"/>
                <w:u w:val="single"/>
              </w:rPr>
              <w:t>15个日历天</w:t>
            </w:r>
            <w:r>
              <w:rPr>
                <w:rFonts w:hint="eastAsia" w:ascii="宋体" w:hAnsi="宋体" w:cs="宋体"/>
                <w:szCs w:val="21"/>
                <w:highlight w:val="none"/>
              </w:rPr>
              <w:t>的，招标人应当顺延投标文件的截止时间。</w:t>
            </w:r>
            <w:r>
              <w:rPr>
                <w:rFonts w:hint="eastAsia" w:ascii="宋体" w:hAnsi="宋体" w:cs="宋体"/>
                <w:szCs w:val="21"/>
                <w:highlight w:val="none"/>
                <w:u w:val="single"/>
              </w:rPr>
              <w:t>投标人应在规定的时间内停止质疑。招标人对已发出的招标文件进行必要的澄清或者修改的，将统一整理为按时序编号的补充材料，在交易中心网站“项目查询（日程安排、答疑纪要）”中公开登载。网上答疑的操作指南为：</w:t>
            </w:r>
            <w:r>
              <w:rPr>
                <w:rFonts w:hint="eastAsia" w:ascii="宋体" w:hAnsi="宋体" w:cs="宋体"/>
                <w:szCs w:val="21"/>
                <w:highlight w:val="none"/>
                <w:u w:val="single"/>
                <w:lang w:eastAsia="zh-CN"/>
              </w:rPr>
              <w:t>登录</w:t>
            </w:r>
            <w:r>
              <w:rPr>
                <w:rFonts w:hint="eastAsia" w:ascii="宋体" w:hAnsi="宋体" w:cs="宋体"/>
                <w:szCs w:val="21"/>
                <w:highlight w:val="none"/>
                <w:u w:val="single"/>
              </w:rPr>
              <w:t>广州交易集团有限公司（广州公共资源交易中心）网站→进入“我是投标人”→进入“新建设工程交易平台”→进入“我的投标”→进入“招标答疑提问”→通过项目编号或名称找到所需的项目→在上述的答疑时间内点击“答疑提问”进入到提问区域→无记名或匿名提出问题以及查看所有的问题。</w:t>
            </w:r>
          </w:p>
        </w:tc>
      </w:tr>
      <w:tr w14:paraId="4C1C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4F589989">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77D26E3C">
            <w:pPr>
              <w:shd w:val="clear"/>
              <w:snapToGrid w:val="0"/>
              <w:spacing w:line="240" w:lineRule="auto"/>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3.2.5</w:t>
            </w:r>
          </w:p>
        </w:tc>
        <w:tc>
          <w:tcPr>
            <w:tcW w:w="3631" w:type="dxa"/>
            <w:tcBorders>
              <w:top w:val="single" w:color="auto" w:sz="4" w:space="0"/>
              <w:left w:val="single" w:color="auto" w:sz="4" w:space="0"/>
              <w:bottom w:val="single" w:color="auto" w:sz="4" w:space="0"/>
              <w:right w:val="single" w:color="auto" w:sz="4" w:space="0"/>
            </w:tcBorders>
            <w:vAlign w:val="center"/>
          </w:tcPr>
          <w:p w14:paraId="441B0DD4">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网上答疑的具体操作详见交易平台发布的相关操作指引。</w:t>
            </w:r>
          </w:p>
        </w:tc>
        <w:tc>
          <w:tcPr>
            <w:tcW w:w="3379" w:type="dxa"/>
            <w:tcBorders>
              <w:top w:val="single" w:color="auto" w:sz="4" w:space="0"/>
              <w:left w:val="single" w:color="auto" w:sz="4" w:space="0"/>
              <w:bottom w:val="single" w:color="auto" w:sz="4" w:space="0"/>
              <w:right w:val="single" w:color="auto" w:sz="4" w:space="0"/>
            </w:tcBorders>
            <w:vAlign w:val="center"/>
          </w:tcPr>
          <w:p w14:paraId="05A2F268">
            <w:pPr>
              <w:shd w:val="clear"/>
              <w:snapToGrid w:val="0"/>
              <w:ind w:left="0" w:leftChars="0" w:right="0" w:rightChars="0" w:firstLine="0" w:firstLineChars="0"/>
              <w:jc w:val="left"/>
              <w:rPr>
                <w:rFonts w:hint="eastAsia" w:ascii="宋体" w:hAnsi="宋体" w:cs="宋体"/>
                <w:b/>
                <w:szCs w:val="21"/>
                <w:highlight w:val="none"/>
              </w:rPr>
            </w:pPr>
            <w:r>
              <w:rPr>
                <w:rFonts w:hint="eastAsia" w:ascii="宋体" w:hAnsi="宋体" w:cs="宋体"/>
                <w:b/>
                <w:szCs w:val="21"/>
                <w:highlight w:val="none"/>
              </w:rPr>
              <w:t>修改</w:t>
            </w:r>
            <w:r>
              <w:rPr>
                <w:rFonts w:hint="eastAsia" w:ascii="宋体" w:hAnsi="宋体" w:cs="宋体"/>
                <w:szCs w:val="21"/>
                <w:highlight w:val="none"/>
              </w:rPr>
              <w:t>：网上答疑的具体操作详见交易平台发布的相关操作指引。</w:t>
            </w:r>
            <w:r>
              <w:rPr>
                <w:rFonts w:hint="eastAsia" w:ascii="宋体" w:hAnsi="宋体" w:cs="宋体"/>
                <w:szCs w:val="21"/>
                <w:highlight w:val="none"/>
                <w:u w:val="single"/>
              </w:rPr>
              <w:t>招标文件的澄清或修改在广州交易集团有限公司（广州公共资源交易中心）网站发布。招标文件的澄清或修改一经在广州交易集团有限公司（广州公共资源交易中心）网站发布，视作已发放给所有投标人。网上答疑的具体操作详见交易平台发布的相关操作指引。</w:t>
            </w:r>
          </w:p>
        </w:tc>
      </w:tr>
      <w:tr w14:paraId="6AF5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02084828">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30BAF585">
            <w:pPr>
              <w:shd w:val="clear"/>
              <w:snapToGrid w:val="0"/>
              <w:spacing w:line="240" w:lineRule="auto"/>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3.3.3</w:t>
            </w:r>
          </w:p>
        </w:tc>
        <w:tc>
          <w:tcPr>
            <w:tcW w:w="3631" w:type="dxa"/>
            <w:tcBorders>
              <w:top w:val="single" w:color="auto" w:sz="4" w:space="0"/>
              <w:left w:val="single" w:color="auto" w:sz="4" w:space="0"/>
              <w:bottom w:val="single" w:color="auto" w:sz="4" w:space="0"/>
              <w:right w:val="single" w:color="auto" w:sz="4" w:space="0"/>
            </w:tcBorders>
            <w:vAlign w:val="center"/>
          </w:tcPr>
          <w:p w14:paraId="33FE2F65">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tc>
        <w:tc>
          <w:tcPr>
            <w:tcW w:w="3379" w:type="dxa"/>
            <w:tcBorders>
              <w:top w:val="single" w:color="auto" w:sz="4" w:space="0"/>
              <w:left w:val="single" w:color="auto" w:sz="4" w:space="0"/>
              <w:bottom w:val="single" w:color="auto" w:sz="4" w:space="0"/>
              <w:right w:val="single" w:color="auto" w:sz="4" w:space="0"/>
            </w:tcBorders>
            <w:vAlign w:val="center"/>
          </w:tcPr>
          <w:p w14:paraId="22140D95">
            <w:pPr>
              <w:shd w:val="clear"/>
              <w:snapToGrid w:val="0"/>
              <w:ind w:left="0" w:leftChars="0" w:right="0" w:rightChars="0" w:firstLine="0" w:firstLineChars="0"/>
              <w:jc w:val="left"/>
              <w:rPr>
                <w:rFonts w:hint="eastAsia" w:ascii="宋体" w:hAnsi="宋体" w:cs="宋体"/>
                <w:b/>
                <w:szCs w:val="21"/>
                <w:highlight w:val="none"/>
              </w:rPr>
            </w:pPr>
            <w:r>
              <w:rPr>
                <w:rFonts w:hint="eastAsia" w:ascii="宋体" w:hAnsi="宋体" w:cs="宋体"/>
                <w:b/>
                <w:szCs w:val="21"/>
                <w:highlight w:val="none"/>
              </w:rPr>
              <w:t>修改</w:t>
            </w:r>
            <w:r>
              <w:rPr>
                <w:rFonts w:hint="eastAsia" w:ascii="宋体" w:hAnsi="宋体" w:cs="宋体"/>
                <w:szCs w:val="21"/>
                <w:highlight w:val="none"/>
              </w:rPr>
              <w:t>：投标文件全部采用电子文档，投标文件所附证书证件均为</w:t>
            </w:r>
            <w:r>
              <w:rPr>
                <w:rFonts w:hint="eastAsia" w:ascii="宋体" w:hAnsi="宋体" w:cs="宋体"/>
                <w:szCs w:val="21"/>
                <w:highlight w:val="none"/>
                <w:lang w:val="en-US" w:eastAsia="zh-CN"/>
              </w:rPr>
              <w:t>清晰</w:t>
            </w:r>
            <w:r>
              <w:rPr>
                <w:rFonts w:hint="eastAsia" w:ascii="宋体" w:hAnsi="宋体" w:cs="宋体"/>
                <w:szCs w:val="21"/>
                <w:highlight w:val="none"/>
              </w:rPr>
              <w:t>扫描件或电子证书，并采用单位数字证书，</w:t>
            </w:r>
            <w:r>
              <w:rPr>
                <w:rFonts w:hint="eastAsia" w:ascii="宋体" w:hAnsi="宋体" w:cs="宋体"/>
                <w:szCs w:val="21"/>
                <w:highlight w:val="none"/>
                <w:u w:val="single"/>
              </w:rPr>
              <w:t>对投标文件</w:t>
            </w:r>
            <w:r>
              <w:rPr>
                <w:rFonts w:hint="eastAsia" w:ascii="宋体" w:hAnsi="宋体" w:cs="宋体"/>
                <w:szCs w:val="21"/>
                <w:highlight w:val="none"/>
              </w:rPr>
              <w:t>加盖电子印章，投标文件中需个人签字或盖章的</w:t>
            </w:r>
            <w:r>
              <w:rPr>
                <w:rFonts w:hint="eastAsia" w:ascii="宋体" w:hAnsi="宋体" w:cs="宋体"/>
                <w:szCs w:val="21"/>
                <w:highlight w:val="none"/>
                <w:u w:val="single"/>
              </w:rPr>
              <w:t>，应手签后扫描上传，具体操作详见交易平台发布的相关操作指引，联合体投标的，除联合体共同投标协议书需联合体各方同时签字或盖章外，法定代表人（境外企业的企业负责人）证明书及授权委托证明书可由联合体牵头方（或主办方）出具，其中“单位”一栏可只填写联合体牵头方（或主办方）名称，投标文件其他内容及落款中的“投标人”应填写联合体各方的单位全称【格式表示为：</w:t>
            </w:r>
            <w:r>
              <w:rPr>
                <w:rFonts w:hint="eastAsia" w:ascii="宋体" w:hAnsi="宋体" w:cs="宋体"/>
                <w:szCs w:val="21"/>
                <w:highlight w:val="none"/>
                <w:u w:val="single"/>
                <w:lang w:eastAsia="zh-CN"/>
              </w:rPr>
              <w:t>（</w:t>
            </w:r>
            <w:r>
              <w:rPr>
                <w:rFonts w:hint="eastAsia" w:ascii="宋体" w:hAnsi="宋体" w:cs="宋体"/>
                <w:szCs w:val="21"/>
                <w:highlight w:val="none"/>
                <w:u w:val="single"/>
              </w:rPr>
              <w:t>主</w:t>
            </w:r>
            <w:r>
              <w:rPr>
                <w:rFonts w:hint="eastAsia" w:ascii="宋体" w:hAnsi="宋体" w:cs="宋体"/>
                <w:szCs w:val="21"/>
                <w:highlight w:val="none"/>
                <w:u w:val="single"/>
                <w:lang w:eastAsia="zh-CN"/>
              </w:rPr>
              <w:t>）</w:t>
            </w:r>
            <w:r>
              <w:rPr>
                <w:rFonts w:hint="eastAsia" w:ascii="宋体" w:hAnsi="宋体" w:cs="宋体"/>
                <w:szCs w:val="21"/>
                <w:highlight w:val="none"/>
                <w:u w:val="single"/>
              </w:rPr>
              <w:t>XXXX公司</w:t>
            </w:r>
            <w:r>
              <w:rPr>
                <w:rFonts w:hint="eastAsia" w:ascii="宋体" w:hAnsi="宋体" w:cs="宋体"/>
                <w:szCs w:val="21"/>
                <w:highlight w:val="none"/>
                <w:u w:val="single"/>
                <w:lang w:eastAsia="zh-CN"/>
              </w:rPr>
              <w:t>（</w:t>
            </w:r>
            <w:r>
              <w:rPr>
                <w:rFonts w:hint="eastAsia" w:ascii="宋体" w:hAnsi="宋体" w:cs="宋体"/>
                <w:szCs w:val="21"/>
                <w:highlight w:val="none"/>
                <w:u w:val="single"/>
              </w:rPr>
              <w:t>成</w:t>
            </w:r>
            <w:r>
              <w:rPr>
                <w:rFonts w:hint="eastAsia" w:ascii="宋体" w:hAnsi="宋体" w:cs="宋体"/>
                <w:szCs w:val="21"/>
                <w:highlight w:val="none"/>
                <w:u w:val="single"/>
                <w:lang w:eastAsia="zh-CN"/>
              </w:rPr>
              <w:t>）</w:t>
            </w:r>
            <w:r>
              <w:rPr>
                <w:rFonts w:hint="eastAsia" w:ascii="宋体" w:hAnsi="宋体" w:cs="宋体"/>
                <w:szCs w:val="21"/>
                <w:highlight w:val="none"/>
                <w:u w:val="single"/>
              </w:rPr>
              <w:t>XXXX公司】，投标文件由联合体牵头方（或主办方）签字、盖章即可。</w:t>
            </w:r>
          </w:p>
        </w:tc>
      </w:tr>
      <w:tr w14:paraId="533CF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0C04F9A2">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600D174C">
            <w:pPr>
              <w:shd w:val="clear"/>
              <w:snapToGrid w:val="0"/>
              <w:spacing w:line="240" w:lineRule="auto"/>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3.6.1</w:t>
            </w:r>
          </w:p>
        </w:tc>
        <w:tc>
          <w:tcPr>
            <w:tcW w:w="3631" w:type="dxa"/>
            <w:tcBorders>
              <w:top w:val="single" w:color="auto" w:sz="4" w:space="0"/>
              <w:left w:val="single" w:color="auto" w:sz="4" w:space="0"/>
              <w:bottom w:val="single" w:color="auto" w:sz="4" w:space="0"/>
              <w:right w:val="single" w:color="auto" w:sz="4" w:space="0"/>
            </w:tcBorders>
            <w:vAlign w:val="center"/>
          </w:tcPr>
          <w:p w14:paraId="0D204926">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投标人通过下载招标文件的交易平台递交电子投标文件。</w:t>
            </w:r>
          </w:p>
        </w:tc>
        <w:tc>
          <w:tcPr>
            <w:tcW w:w="3379" w:type="dxa"/>
            <w:tcBorders>
              <w:top w:val="single" w:color="auto" w:sz="4" w:space="0"/>
              <w:left w:val="single" w:color="auto" w:sz="4" w:space="0"/>
              <w:bottom w:val="single" w:color="auto" w:sz="4" w:space="0"/>
              <w:right w:val="single" w:color="auto" w:sz="4" w:space="0"/>
            </w:tcBorders>
            <w:vAlign w:val="center"/>
          </w:tcPr>
          <w:p w14:paraId="3ECF7009">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：投标人通过下载招标文件的</w:t>
            </w:r>
            <w:r>
              <w:rPr>
                <w:rFonts w:hint="eastAsia" w:ascii="宋体" w:hAnsi="宋体" w:cs="宋体"/>
                <w:szCs w:val="21"/>
                <w:highlight w:val="none"/>
                <w:u w:val="single"/>
              </w:rPr>
              <w:t>广州交易集团有限公司（广州公共资源交易中心）</w:t>
            </w:r>
            <w:r>
              <w:rPr>
                <w:rFonts w:hint="eastAsia" w:ascii="宋体" w:hAnsi="宋体" w:cs="宋体"/>
                <w:szCs w:val="21"/>
                <w:highlight w:val="none"/>
              </w:rPr>
              <w:t>交易平台递交电子投标文件。</w:t>
            </w:r>
          </w:p>
        </w:tc>
      </w:tr>
      <w:tr w14:paraId="3C19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6384941C">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6C4C970C">
            <w:pPr>
              <w:shd w:val="clear"/>
              <w:snapToGrid w:val="0"/>
              <w:spacing w:line="240" w:lineRule="auto"/>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3.8.1</w:t>
            </w:r>
          </w:p>
        </w:tc>
        <w:tc>
          <w:tcPr>
            <w:tcW w:w="3631" w:type="dxa"/>
            <w:tcBorders>
              <w:top w:val="single" w:color="auto" w:sz="4" w:space="0"/>
              <w:left w:val="single" w:color="auto" w:sz="4" w:space="0"/>
              <w:bottom w:val="single" w:color="auto" w:sz="4" w:space="0"/>
              <w:right w:val="single" w:color="auto" w:sz="4" w:space="0"/>
            </w:tcBorders>
            <w:vAlign w:val="center"/>
          </w:tcPr>
          <w:p w14:paraId="4F008834">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提交投标文件光盘备用</w:t>
            </w:r>
          </w:p>
          <w:p w14:paraId="047C0FF7">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c>
          <w:tcPr>
            <w:tcW w:w="3379" w:type="dxa"/>
            <w:tcBorders>
              <w:top w:val="single" w:color="auto" w:sz="4" w:space="0"/>
              <w:left w:val="single" w:color="auto" w:sz="4" w:space="0"/>
              <w:bottom w:val="single" w:color="auto" w:sz="4" w:space="0"/>
              <w:right w:val="single" w:color="auto" w:sz="4" w:space="0"/>
            </w:tcBorders>
            <w:vAlign w:val="center"/>
          </w:tcPr>
          <w:p w14:paraId="65690D1E">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：提交投标文件光盘</w:t>
            </w:r>
            <w:r>
              <w:rPr>
                <w:rFonts w:hint="eastAsia" w:ascii="宋体" w:hAnsi="宋体" w:cs="宋体"/>
                <w:szCs w:val="21"/>
                <w:highlight w:val="none"/>
                <w:u w:val="single"/>
              </w:rPr>
              <w:t>（或U盘）</w:t>
            </w:r>
            <w:r>
              <w:rPr>
                <w:rFonts w:hint="eastAsia" w:ascii="宋体" w:hAnsi="宋体" w:cs="宋体"/>
                <w:szCs w:val="21"/>
                <w:highlight w:val="none"/>
              </w:rPr>
              <w:t>备用</w:t>
            </w:r>
          </w:p>
          <w:p w14:paraId="568A2B57">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投标人可制作非加密的电子投标文件刻入光盘或U盘（</w:t>
            </w:r>
            <w:r>
              <w:rPr>
                <w:rFonts w:hint="eastAsia" w:ascii="宋体" w:hAnsi="宋体" w:cs="宋体"/>
                <w:szCs w:val="21"/>
                <w:highlight w:val="none"/>
                <w:u w:val="single"/>
              </w:rPr>
              <w:t>总信封</w:t>
            </w:r>
            <w:r>
              <w:rPr>
                <w:rFonts w:hint="eastAsia" w:ascii="宋体" w:hAnsi="宋体" w:cs="宋体"/>
                <w:szCs w:val="21"/>
                <w:highlight w:val="none"/>
              </w:rPr>
              <w:t>1份</w:t>
            </w:r>
            <w:r>
              <w:rPr>
                <w:rFonts w:hint="eastAsia" w:ascii="宋体" w:hAnsi="宋体" w:cs="宋体"/>
                <w:szCs w:val="21"/>
                <w:highlight w:val="none"/>
                <w:u w:val="single"/>
              </w:rPr>
              <w:t>，内含3个光盘或U盘）：</w:t>
            </w:r>
            <w:r>
              <w:rPr>
                <w:rFonts w:hint="eastAsia" w:ascii="宋体" w:hAnsi="宋体" w:cs="宋体"/>
                <w:b/>
                <w:szCs w:val="21"/>
                <w:highlight w:val="none"/>
                <w:u w:val="single"/>
              </w:rPr>
              <w:t>光盘</w:t>
            </w:r>
            <w:r>
              <w:rPr>
                <w:rFonts w:hint="eastAsia" w:ascii="宋体" w:hAnsi="宋体" w:cs="宋体"/>
                <w:b/>
                <w:bCs/>
                <w:szCs w:val="21"/>
                <w:highlight w:val="none"/>
                <w:u w:val="single"/>
              </w:rPr>
              <w:t>或U盘</w:t>
            </w:r>
            <w:r>
              <w:rPr>
                <w:rFonts w:hint="eastAsia" w:ascii="宋体" w:hAnsi="宋体" w:cs="宋体"/>
                <w:b/>
                <w:szCs w:val="21"/>
                <w:highlight w:val="none"/>
                <w:u w:val="single"/>
              </w:rPr>
              <w:t>分类如下</w:t>
            </w:r>
            <w:r>
              <w:rPr>
                <w:rFonts w:hint="eastAsia" w:ascii="宋体" w:hAnsi="宋体" w:cs="宋体"/>
                <w:szCs w:val="21"/>
                <w:highlight w:val="none"/>
                <w:u w:val="single"/>
              </w:rPr>
              <w:t>：①勘察初步设计方案（暗标，单独密封在密封袋中，不得标注或做任何可以辨认投标人及专业技术人员身份的名称、印章、商标、图形等），②用于揭晓勘察初步设计方案的可识别投标人身份的文件，③开标信封</w:t>
            </w:r>
            <w:r>
              <w:rPr>
                <w:rFonts w:hint="eastAsia" w:ascii="宋体" w:hAnsi="宋体" w:cs="宋体"/>
                <w:b/>
                <w:szCs w:val="21"/>
                <w:highlight w:val="none"/>
                <w:u w:val="single"/>
              </w:rPr>
              <w:t>（开标信封需包含的内容详见备注）</w:t>
            </w:r>
            <w:r>
              <w:rPr>
                <w:rFonts w:hint="eastAsia" w:ascii="宋体" w:hAnsi="宋体" w:cs="宋体"/>
                <w:szCs w:val="21"/>
                <w:highlight w:val="none"/>
                <w:u w:val="single"/>
              </w:rPr>
              <w:t>、资格审查文件及其他文件（如有）、报价文件。</w:t>
            </w:r>
            <w:r>
              <w:rPr>
                <w:rFonts w:hint="eastAsia" w:ascii="宋体" w:hAnsi="宋体" w:cs="宋体"/>
                <w:szCs w:val="21"/>
                <w:highlight w:val="none"/>
              </w:rPr>
              <w:t>在招标公告规定的时间、地点</w:t>
            </w:r>
            <w:r>
              <w:rPr>
                <w:rFonts w:hint="eastAsia" w:ascii="宋体" w:hAnsi="宋体" w:cs="宋体"/>
                <w:bCs/>
                <w:szCs w:val="24"/>
                <w:highlight w:val="none"/>
                <w:u w:val="single"/>
              </w:rPr>
              <w:t>凭法定代表人（境外企业的企业负责人）证明书原件、法定代表人（境外企业的企业负责人）授权委托证明书原件（非法定代表人办理手续时提供）、本人身份证原件</w:t>
            </w:r>
            <w:r>
              <w:rPr>
                <w:rFonts w:hint="eastAsia" w:ascii="宋体" w:hAnsi="宋体" w:cs="宋体"/>
                <w:szCs w:val="21"/>
                <w:highlight w:val="none"/>
              </w:rPr>
              <w:t>提交备用。刻录好的投标文件光盘</w:t>
            </w:r>
            <w:r>
              <w:rPr>
                <w:rFonts w:hint="eastAsia" w:ascii="宋体" w:hAnsi="宋体" w:cs="宋体"/>
                <w:szCs w:val="21"/>
                <w:highlight w:val="none"/>
                <w:u w:val="single"/>
              </w:rPr>
              <w:t>（或U盘）</w:t>
            </w:r>
            <w:r>
              <w:rPr>
                <w:rFonts w:hint="eastAsia" w:ascii="宋体" w:hAnsi="宋体" w:cs="宋体"/>
                <w:szCs w:val="21"/>
                <w:highlight w:val="none"/>
              </w:rPr>
              <w:t>密封在密封袋中，并在封口处加盖投标人单位公章</w:t>
            </w:r>
            <w:r>
              <w:rPr>
                <w:rFonts w:hint="eastAsia" w:ascii="宋体" w:hAnsi="宋体" w:cs="宋体"/>
                <w:szCs w:val="21"/>
                <w:highlight w:val="none"/>
                <w:u w:val="single"/>
              </w:rPr>
              <w:t>（设计方案光盘或U盘除外）</w:t>
            </w:r>
            <w:r>
              <w:rPr>
                <w:rFonts w:hint="eastAsia" w:ascii="宋体" w:hAnsi="宋体" w:cs="宋体"/>
                <w:szCs w:val="21"/>
                <w:highlight w:val="none"/>
              </w:rPr>
              <w:t>。密封袋上应写明项目名称和招标人名称</w:t>
            </w:r>
            <w:r>
              <w:rPr>
                <w:rFonts w:hint="eastAsia" w:ascii="宋体" w:hAnsi="宋体" w:cs="宋体"/>
                <w:szCs w:val="21"/>
                <w:highlight w:val="none"/>
                <w:u w:val="single"/>
              </w:rPr>
              <w:t>（设计方案光盘或U盘除外）</w:t>
            </w:r>
            <w:r>
              <w:rPr>
                <w:rFonts w:hint="eastAsia" w:ascii="宋体" w:hAnsi="宋体" w:cs="宋体"/>
                <w:szCs w:val="21"/>
                <w:highlight w:val="none"/>
              </w:rPr>
              <w:t>。递交的投标文件光盘</w:t>
            </w:r>
            <w:r>
              <w:rPr>
                <w:rFonts w:hint="eastAsia" w:ascii="宋体" w:hAnsi="宋体" w:cs="宋体"/>
                <w:szCs w:val="21"/>
                <w:highlight w:val="none"/>
                <w:u w:val="single"/>
              </w:rPr>
              <w:t>或U盘</w:t>
            </w:r>
            <w:r>
              <w:rPr>
                <w:rFonts w:hint="eastAsia" w:ascii="宋体" w:hAnsi="宋体" w:cs="宋体"/>
                <w:szCs w:val="21"/>
                <w:highlight w:val="none"/>
              </w:rPr>
              <w:t>（备用）不得加密。备用光盘</w:t>
            </w:r>
            <w:r>
              <w:rPr>
                <w:rFonts w:hint="eastAsia" w:ascii="宋体" w:hAnsi="宋体" w:cs="宋体"/>
                <w:szCs w:val="21"/>
                <w:highlight w:val="none"/>
                <w:u w:val="single"/>
              </w:rPr>
              <w:t>或U盘</w:t>
            </w:r>
            <w:r>
              <w:rPr>
                <w:rFonts w:hint="eastAsia" w:ascii="宋体" w:hAnsi="宋体" w:cs="宋体"/>
                <w:szCs w:val="21"/>
                <w:highlight w:val="none"/>
              </w:rPr>
              <w:t>无法读取或导入的，则视为未提交投标文件光盘</w:t>
            </w:r>
            <w:r>
              <w:rPr>
                <w:rFonts w:hint="eastAsia" w:ascii="宋体" w:hAnsi="宋体" w:cs="宋体"/>
                <w:szCs w:val="21"/>
                <w:highlight w:val="none"/>
                <w:u w:val="single"/>
              </w:rPr>
              <w:t>或U盘</w:t>
            </w:r>
            <w:r>
              <w:rPr>
                <w:rFonts w:hint="eastAsia" w:ascii="宋体" w:hAnsi="宋体" w:cs="宋体"/>
                <w:szCs w:val="21"/>
                <w:highlight w:val="none"/>
              </w:rPr>
              <w:t>（备用）。如果投标人没有按规定通过广州交易集团有限公司（广州公共资源交易中心）平台网上递交电子投标文件的，不再读取提交的光盘</w:t>
            </w:r>
            <w:r>
              <w:rPr>
                <w:rFonts w:hint="eastAsia" w:ascii="宋体" w:hAnsi="宋体" w:cs="宋体"/>
                <w:szCs w:val="21"/>
                <w:highlight w:val="none"/>
                <w:u w:val="single"/>
              </w:rPr>
              <w:t>或U盘</w:t>
            </w:r>
            <w:r>
              <w:rPr>
                <w:rFonts w:hint="eastAsia" w:ascii="宋体" w:hAnsi="宋体" w:cs="宋体"/>
                <w:szCs w:val="21"/>
                <w:highlight w:val="none"/>
              </w:rPr>
              <w:t>。投标人也可不提交投标文件光盘</w:t>
            </w:r>
            <w:r>
              <w:rPr>
                <w:rFonts w:hint="eastAsia" w:ascii="宋体" w:hAnsi="宋体" w:cs="宋体"/>
                <w:szCs w:val="21"/>
                <w:highlight w:val="none"/>
                <w:u w:val="single"/>
              </w:rPr>
              <w:t>或U盘</w:t>
            </w:r>
            <w:r>
              <w:rPr>
                <w:rFonts w:hint="eastAsia" w:ascii="宋体" w:hAnsi="宋体" w:cs="宋体"/>
                <w:szCs w:val="21"/>
                <w:highlight w:val="none"/>
              </w:rPr>
              <w:t>（备用）。</w:t>
            </w:r>
          </w:p>
          <w:p w14:paraId="3DCD60A3">
            <w:pPr>
              <w:shd w:val="clear"/>
              <w:snapToGrid w:val="0"/>
              <w:ind w:left="0" w:leftChars="0" w:right="0" w:rightChars="0" w:firstLine="0" w:firstLineChars="0"/>
              <w:jc w:val="left"/>
              <w:rPr>
                <w:rFonts w:hint="eastAsia" w:ascii="宋体" w:hAnsi="宋体" w:cs="宋体"/>
                <w:b/>
                <w:szCs w:val="21"/>
                <w:highlight w:val="none"/>
              </w:rPr>
            </w:pPr>
            <w:r>
              <w:rPr>
                <w:rFonts w:hint="eastAsia" w:ascii="宋体" w:hAnsi="宋体" w:cs="宋体"/>
                <w:b/>
                <w:szCs w:val="21"/>
                <w:highlight w:val="none"/>
                <w:u w:val="single"/>
              </w:rPr>
              <w:t>注：光盘中的“开标信封”需包含的内容：填妥并签字盖章的《投标书》（格式见附录6），联合体同时附填妥并签字盖章的《联合体共同投标协议》（格式见附录7）。</w:t>
            </w:r>
          </w:p>
        </w:tc>
      </w:tr>
      <w:tr w14:paraId="679F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1467393F">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17FBD9ED">
            <w:pPr>
              <w:shd w:val="clear"/>
              <w:snapToGrid w:val="0"/>
              <w:spacing w:line="240" w:lineRule="auto"/>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3.10.1</w:t>
            </w:r>
          </w:p>
        </w:tc>
        <w:tc>
          <w:tcPr>
            <w:tcW w:w="3631" w:type="dxa"/>
            <w:tcBorders>
              <w:top w:val="single" w:color="auto" w:sz="4" w:space="0"/>
              <w:left w:val="single" w:color="auto" w:sz="4" w:space="0"/>
              <w:bottom w:val="single" w:color="auto" w:sz="4" w:space="0"/>
              <w:right w:val="single" w:color="auto" w:sz="4" w:space="0"/>
            </w:tcBorders>
            <w:vAlign w:val="center"/>
          </w:tcPr>
          <w:p w14:paraId="03AE921A">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投标人不需要提交投标保证金，评标结果揭晓后，中标候选人所得投标补偿转作保证金，确定中标人后立即返还，其中中标人的保证金待签订合同后立即返还。如果重新招标，保证金立即返还。</w:t>
            </w:r>
          </w:p>
        </w:tc>
        <w:tc>
          <w:tcPr>
            <w:tcW w:w="3379" w:type="dxa"/>
            <w:tcBorders>
              <w:top w:val="single" w:color="auto" w:sz="4" w:space="0"/>
              <w:left w:val="single" w:color="auto" w:sz="4" w:space="0"/>
              <w:bottom w:val="single" w:color="auto" w:sz="4" w:space="0"/>
              <w:right w:val="single" w:color="auto" w:sz="4" w:space="0"/>
            </w:tcBorders>
            <w:vAlign w:val="center"/>
          </w:tcPr>
          <w:p w14:paraId="13C3B6E4">
            <w:pPr>
              <w:shd w:val="clear"/>
              <w:snapToGrid w:val="0"/>
              <w:ind w:left="0" w:leftChars="0" w:right="0" w:rightChars="0" w:firstLine="0" w:firstLineChars="0"/>
              <w:jc w:val="left"/>
              <w:rPr>
                <w:rFonts w:hint="eastAsia" w:ascii="宋体" w:hAnsi="宋体" w:cs="宋体"/>
                <w:szCs w:val="21"/>
                <w:highlight w:val="none"/>
                <w:u w:val="single"/>
              </w:rPr>
            </w:pPr>
            <w:r>
              <w:rPr>
                <w:rFonts w:hint="eastAsia" w:ascii="宋体" w:hAnsi="宋体" w:cs="宋体"/>
                <w:b/>
                <w:szCs w:val="21"/>
                <w:highlight w:val="none"/>
              </w:rPr>
              <w:t>修改</w:t>
            </w:r>
            <w:r>
              <w:rPr>
                <w:rFonts w:hint="eastAsia" w:ascii="宋体" w:hAnsi="宋体" w:cs="宋体"/>
                <w:szCs w:val="21"/>
                <w:highlight w:val="none"/>
                <w:u w:val="single"/>
              </w:rPr>
              <w:t>：投标人需要提交投标保证金。本项目投标保证金的金额：</w:t>
            </w:r>
            <w:r>
              <w:rPr>
                <w:rFonts w:hint="eastAsia" w:ascii="宋体" w:hAnsi="宋体" w:cs="宋体"/>
                <w:b/>
                <w:bCs/>
                <w:szCs w:val="21"/>
                <w:highlight w:val="none"/>
                <w:u w:val="single"/>
              </w:rPr>
              <w:t>5万元</w:t>
            </w:r>
            <w:r>
              <w:rPr>
                <w:rFonts w:hint="eastAsia" w:ascii="宋体" w:hAnsi="宋体" w:cs="宋体"/>
                <w:szCs w:val="21"/>
                <w:highlight w:val="none"/>
                <w:u w:val="single"/>
              </w:rPr>
              <w:t>人民币，缴纳时间在投标截止时间之前。</w:t>
            </w:r>
          </w:p>
          <w:p w14:paraId="17022451">
            <w:pPr>
              <w:shd w:val="clear"/>
              <w:snapToGrid w:val="0"/>
              <w:ind w:left="0" w:leftChars="0" w:right="0" w:rightChars="0" w:firstLine="0" w:firstLineChars="0"/>
              <w:jc w:val="left"/>
              <w:rPr>
                <w:rFonts w:hint="eastAsia" w:ascii="宋体" w:hAnsi="宋体" w:cs="宋体"/>
                <w:szCs w:val="21"/>
                <w:highlight w:val="none"/>
                <w:u w:val="single"/>
              </w:rPr>
            </w:pPr>
            <w:r>
              <w:rPr>
                <w:rFonts w:hint="eastAsia" w:ascii="宋体" w:hAnsi="宋体" w:cs="宋体"/>
                <w:szCs w:val="21"/>
                <w:highlight w:val="none"/>
                <w:u w:val="single"/>
              </w:rPr>
              <w:t>注：投标保证金有效期应当与投标文件有效期一致。</w:t>
            </w:r>
          </w:p>
          <w:p w14:paraId="7E0714C9">
            <w:pPr>
              <w:shd w:val="clear"/>
              <w:snapToGrid w:val="0"/>
              <w:ind w:left="0" w:leftChars="0" w:right="0" w:rightChars="0" w:firstLine="0" w:firstLineChars="0"/>
              <w:jc w:val="left"/>
              <w:rPr>
                <w:rFonts w:hint="eastAsia" w:ascii="宋体" w:hAnsi="宋体" w:cs="宋体"/>
                <w:szCs w:val="21"/>
                <w:highlight w:val="none"/>
                <w:u w:val="single"/>
              </w:rPr>
            </w:pPr>
            <w:r>
              <w:rPr>
                <w:rFonts w:hint="eastAsia" w:ascii="宋体" w:hAnsi="宋体" w:cs="宋体"/>
                <w:szCs w:val="21"/>
                <w:highlight w:val="none"/>
                <w:u w:val="single"/>
                <w:lang w:eastAsia="zh-CN"/>
              </w:rPr>
              <w:t>1.</w:t>
            </w:r>
            <w:r>
              <w:rPr>
                <w:rFonts w:hint="eastAsia" w:ascii="宋体" w:hAnsi="宋体" w:cs="宋体"/>
                <w:szCs w:val="21"/>
                <w:highlight w:val="none"/>
                <w:u w:val="single"/>
              </w:rPr>
              <w:t>投标保证金的形式：投标保证金可采用现金、支票（现金支票、转账支票）、银行汇票、银行本票、银行电汇、银行转账、银行保函、保证保险、专业工程担保公司担保等能够实现保证目的的形式。</w:t>
            </w:r>
          </w:p>
          <w:p w14:paraId="1872A80B">
            <w:pPr>
              <w:shd w:val="clear"/>
              <w:snapToGrid w:val="0"/>
              <w:ind w:left="0" w:leftChars="0" w:right="0" w:rightChars="0" w:firstLine="0" w:firstLineChars="0"/>
              <w:jc w:val="left"/>
              <w:rPr>
                <w:rFonts w:hint="eastAsia" w:ascii="宋体" w:hAnsi="宋体" w:cs="宋体"/>
                <w:szCs w:val="21"/>
                <w:highlight w:val="none"/>
                <w:u w:val="single"/>
              </w:rPr>
            </w:pPr>
            <w:r>
              <w:rPr>
                <w:rFonts w:hint="eastAsia" w:ascii="宋体" w:hAnsi="宋体" w:cs="宋体"/>
                <w:szCs w:val="21"/>
                <w:highlight w:val="none"/>
                <w:u w:val="single"/>
              </w:rPr>
              <w:t>收取方式：</w:t>
            </w:r>
          </w:p>
          <w:p w14:paraId="1EF6853D">
            <w:pPr>
              <w:shd w:val="clear"/>
              <w:snapToGrid w:val="0"/>
              <w:ind w:left="0" w:leftChars="0" w:right="0" w:rightChars="0" w:firstLine="0" w:firstLineChars="0"/>
              <w:jc w:val="left"/>
              <w:rPr>
                <w:rFonts w:hint="eastAsia" w:ascii="宋体" w:hAnsi="宋体" w:cs="宋体"/>
                <w:szCs w:val="21"/>
                <w:highlight w:val="none"/>
                <w:u w:val="single"/>
              </w:rPr>
            </w:pPr>
            <w:r>
              <w:rPr>
                <w:rFonts w:hint="eastAsia" w:ascii="宋体" w:hAnsi="宋体" w:cs="宋体"/>
                <w:szCs w:val="21"/>
                <w:highlight w:val="none"/>
                <w:u w:val="single"/>
              </w:rPr>
              <w:t>（1）如采用现金、支票或者银行汇票、银行本票、银行电汇、银行转账形式提交的，由广州交易集团有限公司代收，投标保证金须从投标人基本账户递交；</w:t>
            </w:r>
          </w:p>
          <w:p w14:paraId="6FAA07A5">
            <w:pPr>
              <w:shd w:val="clear"/>
              <w:snapToGrid w:val="0"/>
              <w:ind w:left="0" w:leftChars="0" w:right="0" w:rightChars="0" w:firstLine="0" w:firstLineChars="0"/>
              <w:jc w:val="left"/>
              <w:rPr>
                <w:rFonts w:hint="eastAsia" w:ascii="宋体" w:hAnsi="宋体" w:cs="宋体"/>
                <w:szCs w:val="21"/>
                <w:highlight w:val="none"/>
                <w:u w:val="single"/>
              </w:rPr>
            </w:pPr>
            <w:r>
              <w:rPr>
                <w:rFonts w:hint="eastAsia" w:ascii="宋体" w:hAnsi="宋体" w:cs="宋体"/>
                <w:szCs w:val="21"/>
                <w:highlight w:val="none"/>
                <w:u w:val="single"/>
              </w:rPr>
              <w:t>收款单位：广州交易集团有限公司</w:t>
            </w:r>
          </w:p>
          <w:p w14:paraId="58B80D4E">
            <w:pPr>
              <w:shd w:val="clear"/>
              <w:snapToGrid w:val="0"/>
              <w:ind w:left="0" w:leftChars="0" w:right="0" w:rightChars="0" w:firstLine="0" w:firstLineChars="0"/>
              <w:jc w:val="left"/>
              <w:rPr>
                <w:rFonts w:hint="eastAsia" w:ascii="宋体" w:hAnsi="宋体" w:cs="宋体"/>
                <w:szCs w:val="21"/>
                <w:highlight w:val="none"/>
                <w:u w:val="single"/>
              </w:rPr>
            </w:pPr>
            <w:r>
              <w:rPr>
                <w:rFonts w:hint="eastAsia" w:ascii="宋体" w:hAnsi="宋体" w:cs="宋体"/>
                <w:szCs w:val="21"/>
                <w:highlight w:val="none"/>
                <w:u w:val="single"/>
              </w:rPr>
              <w:t>银行账号：44001583404059333333</w:t>
            </w:r>
          </w:p>
          <w:p w14:paraId="6883FD8C">
            <w:pPr>
              <w:shd w:val="clear"/>
              <w:snapToGrid w:val="0"/>
              <w:ind w:left="0" w:leftChars="0" w:right="0" w:rightChars="0" w:firstLine="0" w:firstLineChars="0"/>
              <w:jc w:val="left"/>
              <w:rPr>
                <w:rFonts w:hint="eastAsia" w:ascii="宋体" w:hAnsi="宋体" w:cs="宋体"/>
                <w:szCs w:val="21"/>
                <w:highlight w:val="none"/>
                <w:u w:val="single"/>
              </w:rPr>
            </w:pPr>
            <w:r>
              <w:rPr>
                <w:rFonts w:hint="eastAsia" w:ascii="宋体" w:hAnsi="宋体" w:cs="宋体"/>
                <w:szCs w:val="21"/>
                <w:highlight w:val="none"/>
                <w:u w:val="single"/>
              </w:rPr>
              <w:t>开户银行：中国建设银行天润路支行</w:t>
            </w:r>
          </w:p>
          <w:p w14:paraId="45B5AC08">
            <w:pPr>
              <w:shd w:val="clear"/>
              <w:snapToGrid w:val="0"/>
              <w:ind w:left="0" w:leftChars="0" w:right="0" w:rightChars="0" w:firstLine="0" w:firstLineChars="0"/>
              <w:jc w:val="left"/>
              <w:rPr>
                <w:rFonts w:hint="eastAsia" w:ascii="宋体" w:hAnsi="宋体" w:cs="宋体"/>
                <w:szCs w:val="21"/>
                <w:highlight w:val="none"/>
                <w:u w:val="single"/>
              </w:rPr>
            </w:pPr>
            <w:r>
              <w:rPr>
                <w:rFonts w:hint="eastAsia" w:ascii="宋体" w:hAnsi="宋体" w:cs="宋体"/>
                <w:szCs w:val="21"/>
                <w:highlight w:val="none"/>
                <w:u w:val="single"/>
              </w:rPr>
              <w:t>具体操作要求详见广州交易集团有限公司（广州公共资源交易中心）有关指引，递交事宜请自行咨询广州交易集团有限公司（广州公共资源交易中心）；请各投标人在投标文件递交截止时间前按上述金额递交。保证金缴纳情况以开标时广州交易集团有限公司（广州公共资源交易中心）交易平台系统查询的信息为准。</w:t>
            </w:r>
          </w:p>
          <w:p w14:paraId="204C2068">
            <w:pPr>
              <w:shd w:val="clear"/>
              <w:snapToGrid w:val="0"/>
              <w:ind w:left="0" w:leftChars="0" w:right="0" w:rightChars="0" w:firstLine="0" w:firstLineChars="0"/>
              <w:jc w:val="left"/>
              <w:rPr>
                <w:rFonts w:hint="eastAsia" w:ascii="宋体" w:hAnsi="宋体" w:cs="宋体"/>
                <w:szCs w:val="21"/>
                <w:highlight w:val="none"/>
                <w:u w:val="single"/>
              </w:rPr>
            </w:pPr>
            <w:r>
              <w:rPr>
                <w:rFonts w:hint="eastAsia" w:ascii="宋体" w:hAnsi="宋体" w:cs="宋体"/>
                <w:szCs w:val="21"/>
                <w:highlight w:val="none"/>
                <w:u w:val="single"/>
              </w:rPr>
              <w:t>（2）如采用非电子形式的银行保函、专业担保公司担保或保证保险提交投标保证金的，在开标前不强制要求投标人提交纸质原件，由中标候选人在中标候选人公示前提交并在网上公示，投标人应在投标文件中提交保函、担保或保证保险扫描件并加盖投标人（或联合体牵头方）电子印章。如投标人选择在开标前提交纸质原件的，应在投标截止时间前单独密封递交至开标室（时间及地点同递交备用投标文件电子光盘的时间及地点）。</w:t>
            </w:r>
          </w:p>
          <w:p w14:paraId="51CF3741">
            <w:pPr>
              <w:shd w:val="clear"/>
              <w:snapToGrid w:val="0"/>
              <w:ind w:left="0" w:leftChars="0" w:right="0" w:rightChars="0" w:firstLine="0" w:firstLineChars="0"/>
              <w:jc w:val="left"/>
              <w:rPr>
                <w:rFonts w:hint="eastAsia" w:ascii="宋体" w:hAnsi="宋体" w:cs="宋体"/>
                <w:szCs w:val="21"/>
                <w:highlight w:val="none"/>
                <w:u w:val="single"/>
              </w:rPr>
            </w:pPr>
            <w:r>
              <w:rPr>
                <w:rFonts w:hint="eastAsia" w:ascii="宋体" w:hAnsi="宋体" w:cs="宋体"/>
                <w:szCs w:val="21"/>
                <w:highlight w:val="none"/>
                <w:u w:val="single"/>
              </w:rPr>
              <w:t>（3）采用电子形式的保函、担保或保证保险提交投标保证金的，开具及递交以广州交易集团有限公司（广州公共资源交易中心）的相关操作指引为准。</w:t>
            </w:r>
          </w:p>
          <w:p w14:paraId="3AFC1AA6">
            <w:pPr>
              <w:shd w:val="clear"/>
              <w:snapToGrid w:val="0"/>
              <w:ind w:left="0" w:leftChars="0" w:right="0" w:rightChars="0" w:firstLine="0" w:firstLineChars="0"/>
              <w:jc w:val="left"/>
              <w:rPr>
                <w:rFonts w:hint="eastAsia" w:ascii="宋体" w:hAnsi="宋体" w:cs="宋体"/>
                <w:szCs w:val="21"/>
                <w:highlight w:val="none"/>
                <w:u w:val="single"/>
              </w:rPr>
            </w:pPr>
            <w:r>
              <w:rPr>
                <w:rFonts w:hint="eastAsia" w:ascii="宋体" w:hAnsi="宋体" w:cs="宋体"/>
                <w:szCs w:val="21"/>
                <w:highlight w:val="none"/>
                <w:u w:val="single"/>
              </w:rPr>
              <w:t>（4）如联合体投标，投标保证金由联合体牵头方缴纳。</w:t>
            </w:r>
          </w:p>
          <w:p w14:paraId="14BEA3E0">
            <w:pPr>
              <w:shd w:val="clear"/>
              <w:snapToGrid w:val="0"/>
              <w:ind w:left="0" w:leftChars="0" w:right="0" w:rightChars="0" w:firstLine="0" w:firstLineChars="0"/>
              <w:jc w:val="left"/>
              <w:rPr>
                <w:rFonts w:hint="eastAsia" w:ascii="宋体" w:hAnsi="宋体" w:cs="宋体"/>
                <w:szCs w:val="21"/>
                <w:highlight w:val="none"/>
                <w:u w:val="single"/>
              </w:rPr>
            </w:pPr>
            <w:r>
              <w:rPr>
                <w:rFonts w:hint="eastAsia" w:ascii="宋体" w:hAnsi="宋体" w:cs="宋体"/>
                <w:szCs w:val="21"/>
                <w:highlight w:val="none"/>
                <w:u w:val="single"/>
              </w:rPr>
              <w:t>注：①对于未能按要求交纳投标保证金的投标人，招标人将视为不响应招标文件而予以拒绝，责任由投标人自负。</w:t>
            </w:r>
          </w:p>
          <w:p w14:paraId="01ADBCC3">
            <w:pPr>
              <w:shd w:val="clear"/>
              <w:snapToGrid w:val="0"/>
              <w:ind w:left="0" w:leftChars="0" w:right="0" w:rightChars="0" w:firstLine="0" w:firstLineChars="0"/>
              <w:jc w:val="left"/>
              <w:rPr>
                <w:rFonts w:hint="eastAsia" w:ascii="宋体" w:hAnsi="宋体" w:cs="宋体"/>
                <w:szCs w:val="21"/>
                <w:highlight w:val="none"/>
                <w:u w:val="single"/>
              </w:rPr>
            </w:pPr>
            <w:r>
              <w:rPr>
                <w:rFonts w:hint="eastAsia" w:ascii="宋体" w:hAnsi="宋体" w:cs="宋体"/>
                <w:szCs w:val="21"/>
                <w:highlight w:val="none"/>
                <w:u w:val="single"/>
              </w:rPr>
              <w:t>②投标保证金有效期应长于或等于投标有效期，若投标有效期延长的，投标保证金有效期应相应延长，且延长后的有效期应满足前述要求。</w:t>
            </w:r>
          </w:p>
          <w:p w14:paraId="6A7ACAF4">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u w:val="single"/>
              </w:rPr>
              <w:t>③投标保证金依据法律法规的相关规定退还。</w:t>
            </w:r>
          </w:p>
        </w:tc>
      </w:tr>
      <w:tr w14:paraId="38B1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4D733466">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17728A59">
            <w:pPr>
              <w:shd w:val="clear"/>
              <w:snapToGrid w:val="0"/>
              <w:spacing w:line="240" w:lineRule="auto"/>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3.10.2</w:t>
            </w:r>
          </w:p>
        </w:tc>
        <w:tc>
          <w:tcPr>
            <w:tcW w:w="3631" w:type="dxa"/>
            <w:tcBorders>
              <w:top w:val="single" w:color="auto" w:sz="4" w:space="0"/>
              <w:left w:val="single" w:color="auto" w:sz="4" w:space="0"/>
              <w:bottom w:val="single" w:color="auto" w:sz="4" w:space="0"/>
              <w:right w:val="single" w:color="auto" w:sz="4" w:space="0"/>
            </w:tcBorders>
            <w:vAlign w:val="center"/>
          </w:tcPr>
          <w:p w14:paraId="6843AE4F">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kern w:val="0"/>
                <w:szCs w:val="21"/>
                <w:highlight w:val="none"/>
              </w:rPr>
              <w:t>投标有效期90天，</w:t>
            </w:r>
            <w:r>
              <w:rPr>
                <w:rFonts w:hint="eastAsia" w:ascii="宋体" w:hAnsi="宋体" w:cs="宋体"/>
                <w:szCs w:val="21"/>
                <w:highlight w:val="none"/>
              </w:rPr>
              <w:t>从提交投标文件截止日起计算。在提交投标文件截止时间后到招标文件规定的投标有效期终止之前，投标人不得补充、修改或者撤回其投标文件，否则其保证金将被没收。</w:t>
            </w:r>
          </w:p>
        </w:tc>
        <w:tc>
          <w:tcPr>
            <w:tcW w:w="3379" w:type="dxa"/>
            <w:tcBorders>
              <w:top w:val="single" w:color="auto" w:sz="4" w:space="0"/>
              <w:left w:val="single" w:color="auto" w:sz="4" w:space="0"/>
              <w:bottom w:val="single" w:color="auto" w:sz="4" w:space="0"/>
              <w:right w:val="single" w:color="auto" w:sz="4" w:space="0"/>
            </w:tcBorders>
            <w:vAlign w:val="center"/>
          </w:tcPr>
          <w:p w14:paraId="76EEE5A4">
            <w:pPr>
              <w:shd w:val="clear"/>
              <w:snapToGrid w:val="0"/>
              <w:ind w:left="0" w:leftChars="0" w:right="0" w:rightChars="0" w:firstLine="0" w:firstLineChars="0"/>
              <w:jc w:val="left"/>
              <w:rPr>
                <w:rFonts w:hint="eastAsia" w:ascii="宋体" w:hAnsi="宋体" w:cs="宋体"/>
                <w:b/>
                <w:szCs w:val="21"/>
                <w:highlight w:val="none"/>
              </w:rPr>
            </w:pPr>
            <w:r>
              <w:rPr>
                <w:rFonts w:hint="eastAsia" w:ascii="宋体" w:hAnsi="宋体" w:cs="宋体"/>
                <w:b/>
                <w:szCs w:val="21"/>
                <w:highlight w:val="none"/>
              </w:rPr>
              <w:t>修改</w:t>
            </w:r>
            <w:r>
              <w:rPr>
                <w:rFonts w:hint="eastAsia" w:ascii="宋体" w:hAnsi="宋体" w:cs="宋体"/>
                <w:szCs w:val="21"/>
                <w:highlight w:val="none"/>
              </w:rPr>
              <w:t>：投标有效</w:t>
            </w:r>
            <w:r>
              <w:rPr>
                <w:rFonts w:hint="eastAsia" w:ascii="宋体" w:hAnsi="宋体" w:cs="宋体"/>
                <w:szCs w:val="21"/>
                <w:highlight w:val="none"/>
                <w:lang w:eastAsia="zh-CN"/>
              </w:rPr>
              <w:t>期为</w:t>
            </w:r>
            <w:r>
              <w:rPr>
                <w:rFonts w:hint="eastAsia" w:ascii="宋体" w:hAnsi="宋体" w:cs="宋体"/>
                <w:szCs w:val="21"/>
                <w:highlight w:val="none"/>
              </w:rPr>
              <w:t>90日历天，从提交投标文件截止日起计算</w:t>
            </w:r>
            <w:r>
              <w:rPr>
                <w:rFonts w:hint="eastAsia" w:ascii="宋体" w:hAnsi="宋体" w:cs="宋体"/>
                <w:szCs w:val="21"/>
                <w:highlight w:val="none"/>
                <w:u w:val="single"/>
              </w:rPr>
              <w:t>，如出现异议或投诉，则投标有效期自动延长至异议或投诉处理结束。</w:t>
            </w:r>
            <w:r>
              <w:rPr>
                <w:rFonts w:hint="eastAsia" w:ascii="宋体" w:hAnsi="宋体" w:cs="宋体"/>
                <w:szCs w:val="21"/>
                <w:highlight w:val="none"/>
              </w:rPr>
              <w:t>在提交投标文件截止时间后到招标文件规定的投标有效期终止之前，投标人不得补充、修改或者撤回其投标文件。</w:t>
            </w:r>
          </w:p>
        </w:tc>
      </w:tr>
      <w:tr w14:paraId="2C16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0F29326B">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0FEA07AD">
            <w:pPr>
              <w:shd w:val="clear"/>
              <w:snapToGrid w:val="0"/>
              <w:spacing w:line="240" w:lineRule="auto"/>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3.11</w:t>
            </w:r>
          </w:p>
        </w:tc>
        <w:tc>
          <w:tcPr>
            <w:tcW w:w="3631" w:type="dxa"/>
            <w:tcBorders>
              <w:top w:val="single" w:color="auto" w:sz="4" w:space="0"/>
              <w:left w:val="nil"/>
              <w:bottom w:val="single" w:color="auto" w:sz="4" w:space="0"/>
              <w:right w:val="single" w:color="auto" w:sz="4" w:space="0"/>
            </w:tcBorders>
            <w:vAlign w:val="center"/>
          </w:tcPr>
          <w:p w14:paraId="592D6157">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3.11</w:t>
            </w:r>
            <w:r>
              <w:rPr>
                <w:rFonts w:hint="eastAsia" w:ascii="宋体" w:hAnsi="宋体" w:cs="宋体"/>
                <w:b/>
                <w:szCs w:val="21"/>
                <w:highlight w:val="none"/>
              </w:rPr>
              <w:t>投标人不得存在下列情形之一：</w:t>
            </w:r>
          </w:p>
          <w:p w14:paraId="29D08500">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（1）为招标人不具有独立法人资格的附属机构（单位）；</w:t>
            </w:r>
          </w:p>
          <w:p w14:paraId="5B5B97C1">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（2）与招标人存在利害关系且可能影响招标公正性；</w:t>
            </w:r>
          </w:p>
          <w:p w14:paraId="37D33213">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（3）与本招标项目的其他投标人为同一个单位负责人；</w:t>
            </w:r>
          </w:p>
          <w:p w14:paraId="267F9B9C">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（4）与本招标项目的其他投标人存在控股、管理关系；</w:t>
            </w:r>
          </w:p>
          <w:p w14:paraId="68B06891">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（5）为本招标项目的代建人；</w:t>
            </w:r>
          </w:p>
          <w:p w14:paraId="569ABE8B">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（6）为本招标项目的招标代理机构；</w:t>
            </w:r>
          </w:p>
          <w:p w14:paraId="11A62EAB">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（7）与本招标项目的代建人或招标代理机构同为一个法定代表人；</w:t>
            </w:r>
          </w:p>
          <w:p w14:paraId="6FAD59F0">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（8）与本招标项目的代建人或招标代理机构存在控股或参股关系；</w:t>
            </w:r>
          </w:p>
          <w:p w14:paraId="3CFFD2B8">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（9）被依法暂停或者取消投标资格；</w:t>
            </w:r>
          </w:p>
          <w:p w14:paraId="6B40DDDE">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（10）被责令停产停业、暂扣或者吊销许可证、暂扣或者吊销执照；</w:t>
            </w:r>
          </w:p>
          <w:p w14:paraId="577ECD94">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（11）进入清算程序，或被宣告破产，或其他丧失履约能力的情形；</w:t>
            </w:r>
          </w:p>
          <w:p w14:paraId="0DA8F86E">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（12）在最近三年内发生重大设计质量问题（以相关行业主管部门的行政处罚决定或司法机关出具的有关法律文书为准）；</w:t>
            </w:r>
          </w:p>
          <w:p w14:paraId="380A0BE9">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（13）被工商行政管理机关在全国企业信用信息公示系统中列入严重违法失信企业名单；</w:t>
            </w:r>
          </w:p>
          <w:p w14:paraId="025D7C74">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（14）被最高人民法院在“信用中国”网站（www.creditchina.gov.cn）或各级信用信息共享平台中列入失信被执行人名单；</w:t>
            </w:r>
          </w:p>
          <w:p w14:paraId="59F2917B">
            <w:pPr>
              <w:shd w:val="clear"/>
              <w:snapToGrid w:val="0"/>
              <w:ind w:left="0" w:leftChars="0" w:right="0" w:rightChars="0" w:firstLine="0" w:firstLineChars="0"/>
              <w:jc w:val="left"/>
              <w:rPr>
                <w:rFonts w:hint="eastAsia" w:ascii="宋体" w:hAnsi="宋体" w:cs="宋体"/>
                <w:kern w:val="0"/>
                <w:szCs w:val="21"/>
                <w:highlight w:val="none"/>
              </w:rPr>
            </w:pPr>
            <w:r>
              <w:rPr>
                <w:rFonts w:hint="eastAsia" w:ascii="宋体" w:hAnsi="宋体" w:cs="宋体"/>
                <w:szCs w:val="21"/>
                <w:highlight w:val="none"/>
              </w:rPr>
              <w:t>（15）在近三年内投标人或其法定代表人、拟委任的项目负责人有行贿犯罪行为的。</w:t>
            </w:r>
          </w:p>
        </w:tc>
        <w:tc>
          <w:tcPr>
            <w:tcW w:w="3379" w:type="dxa"/>
            <w:tcBorders>
              <w:top w:val="single" w:color="auto" w:sz="4" w:space="0"/>
              <w:left w:val="nil"/>
              <w:bottom w:val="single" w:color="auto" w:sz="4" w:space="0"/>
              <w:right w:val="single" w:color="auto" w:sz="4" w:space="0"/>
            </w:tcBorders>
            <w:vAlign w:val="center"/>
          </w:tcPr>
          <w:p w14:paraId="3F6ED306">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3.11</w:t>
            </w:r>
            <w:r>
              <w:rPr>
                <w:rFonts w:hint="eastAsia" w:ascii="宋体" w:hAnsi="宋体" w:cs="宋体"/>
                <w:b/>
                <w:szCs w:val="21"/>
                <w:highlight w:val="none"/>
              </w:rPr>
              <w:t>投标人不得存在下列情形之一：</w:t>
            </w:r>
          </w:p>
          <w:p w14:paraId="4E11CE59">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（1）为招标人不具有独立法人资格的附属机构（单位）；</w:t>
            </w:r>
          </w:p>
          <w:p w14:paraId="7F06B97D">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（2）与招标人存在利害关系且可能影响招标公正性；</w:t>
            </w:r>
          </w:p>
          <w:p w14:paraId="11D86988">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（3）与本招标项目的其他投标人为同一个单位负责人；</w:t>
            </w:r>
          </w:p>
          <w:p w14:paraId="67BC18E8">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（4）与本招标项目的其他投标人存在控股、管理关系；</w:t>
            </w:r>
          </w:p>
          <w:p w14:paraId="35BA636B">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（5）为本招标项目的代建人；</w:t>
            </w:r>
          </w:p>
          <w:p w14:paraId="7499EA46">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（6）为本招标项目的招标代理机构；</w:t>
            </w:r>
          </w:p>
          <w:p w14:paraId="387CA023">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（7）与本招标项目的代建人或招标代理机构同为一个法定代表人；</w:t>
            </w:r>
          </w:p>
          <w:p w14:paraId="09F23E21">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（8）与本招标项目的代建人或招标代理机构存在控股或参股关系；</w:t>
            </w:r>
          </w:p>
          <w:p w14:paraId="68D6A767">
            <w:pPr>
              <w:shd w:val="clear"/>
              <w:snapToGrid w:val="0"/>
              <w:ind w:left="0" w:leftChars="0" w:right="0" w:rightChars="0" w:firstLine="0" w:firstLineChars="0"/>
              <w:jc w:val="left"/>
              <w:rPr>
                <w:rFonts w:hint="eastAsia" w:ascii="宋体" w:hAnsi="宋体" w:cs="宋体"/>
                <w:szCs w:val="21"/>
                <w:highlight w:val="none"/>
                <w:u w:val="single"/>
              </w:rPr>
            </w:pPr>
            <w:r>
              <w:rPr>
                <w:rFonts w:hint="eastAsia" w:ascii="宋体" w:hAnsi="宋体" w:cs="宋体"/>
                <w:szCs w:val="21"/>
                <w:highlight w:val="none"/>
              </w:rPr>
              <w:t>（9）被依法暂停或者取消投标资格；</w:t>
            </w:r>
            <w:r>
              <w:rPr>
                <w:rFonts w:hint="eastAsia" w:ascii="宋体" w:hAnsi="宋体" w:cs="宋体"/>
                <w:szCs w:val="21"/>
                <w:highlight w:val="none"/>
                <w:u w:val="single"/>
              </w:rPr>
              <w:t>（本项事实应当以根据《中华人民共和国行政处罚法》依法作出并已经生效的行政处罚决定为认定依据。行政处罚决定中已经明确的暂停或取消投标资格的区域范围不包含本招标项目建设地点的，不受该项规定限制）</w:t>
            </w:r>
          </w:p>
          <w:p w14:paraId="151ABCE9">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（10）被责令停产停业、暂扣或者吊销许可证、暂扣或者吊销执照</w:t>
            </w:r>
            <w:r>
              <w:rPr>
                <w:rFonts w:hint="eastAsia" w:ascii="宋体" w:hAnsi="宋体" w:cs="宋体"/>
                <w:szCs w:val="21"/>
                <w:highlight w:val="none"/>
                <w:u w:val="single"/>
              </w:rPr>
              <w:t>（本项事实应当以根据《中华人民共和国行政处罚法》依法作出并已经生效的行政处罚决定为认定依据。）</w:t>
            </w:r>
            <w:r>
              <w:rPr>
                <w:rFonts w:hint="eastAsia" w:ascii="宋体" w:hAnsi="宋体" w:cs="宋体"/>
                <w:szCs w:val="21"/>
                <w:highlight w:val="none"/>
              </w:rPr>
              <w:t>；</w:t>
            </w:r>
          </w:p>
          <w:p w14:paraId="79A49CF0">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（11）进入清算程序，或被宣告破产，或其他丧失履约能力的情形；</w:t>
            </w:r>
          </w:p>
          <w:p w14:paraId="16409A27">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（12）法律法规规定的其他情形。</w:t>
            </w:r>
          </w:p>
        </w:tc>
      </w:tr>
      <w:tr w14:paraId="0A0B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362AEC8B">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046FD908">
            <w:pPr>
              <w:shd w:val="clear"/>
              <w:snapToGrid w:val="0"/>
              <w:spacing w:line="240" w:lineRule="auto"/>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4.1.2</w:t>
            </w:r>
          </w:p>
        </w:tc>
        <w:tc>
          <w:tcPr>
            <w:tcW w:w="3631" w:type="dxa"/>
            <w:tcBorders>
              <w:top w:val="single" w:color="auto" w:sz="4" w:space="0"/>
              <w:left w:val="nil"/>
              <w:bottom w:val="single" w:color="auto" w:sz="4" w:space="0"/>
              <w:right w:val="single" w:color="auto" w:sz="4" w:space="0"/>
            </w:tcBorders>
            <w:vAlign w:val="center"/>
          </w:tcPr>
          <w:p w14:paraId="16AC6AAC">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4.1.2  有下列情况之一的，评标委员会应当否决其投标：</w:t>
            </w:r>
          </w:p>
          <w:p w14:paraId="2AF3DACB">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(a)《投标书》未加盖投标人公章，也未经法定代表人或者其授权代表签字；</w:t>
            </w:r>
          </w:p>
          <w:p w14:paraId="3C18D1D3">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(b)《投标书》包含有招标人不能接受的偏差，并且投标人拒绝书面撤回偏差；</w:t>
            </w:r>
            <w:r>
              <w:rPr>
                <w:rFonts w:hint="eastAsia" w:ascii="宋体" w:hAnsi="宋体" w:cs="宋体"/>
                <w:szCs w:val="21"/>
                <w:highlight w:val="none"/>
              </w:rPr>
              <w:br w:type="textWrapping"/>
            </w:r>
            <w:r>
              <w:rPr>
                <w:rFonts w:hint="eastAsia" w:ascii="宋体" w:hAnsi="宋体" w:cs="宋体"/>
                <w:szCs w:val="21"/>
                <w:highlight w:val="none"/>
              </w:rPr>
              <w:t>(c) 《投标人声明》未按规定格式填写或未加盖投标人公章（适用于未设资格审查环节的项目）；</w:t>
            </w:r>
          </w:p>
        </w:tc>
        <w:tc>
          <w:tcPr>
            <w:tcW w:w="3379" w:type="dxa"/>
            <w:tcBorders>
              <w:top w:val="single" w:color="auto" w:sz="4" w:space="0"/>
              <w:left w:val="nil"/>
              <w:bottom w:val="single" w:color="auto" w:sz="4" w:space="0"/>
              <w:right w:val="single" w:color="auto" w:sz="4" w:space="0"/>
            </w:tcBorders>
            <w:vAlign w:val="center"/>
          </w:tcPr>
          <w:p w14:paraId="42ED27A4">
            <w:pPr>
              <w:shd w:val="clear"/>
              <w:snapToGrid w:val="0"/>
              <w:ind w:left="0" w:leftChars="0" w:right="0" w:rightChars="0" w:firstLine="0" w:firstLineChars="0"/>
              <w:jc w:val="left"/>
              <w:rPr>
                <w:rFonts w:hint="eastAsia" w:ascii="宋体" w:hAnsi="宋体" w:cs="宋体"/>
                <w:b/>
                <w:szCs w:val="21"/>
                <w:highlight w:val="none"/>
              </w:rPr>
            </w:pPr>
            <w:r>
              <w:rPr>
                <w:rFonts w:hint="eastAsia" w:ascii="宋体" w:hAnsi="宋体" w:cs="宋体"/>
                <w:b/>
                <w:szCs w:val="21"/>
                <w:highlight w:val="none"/>
              </w:rPr>
              <w:t>修改：</w:t>
            </w:r>
          </w:p>
          <w:p w14:paraId="742AB384">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4.1.2  有下列情况之一的，评标委员会应当否决其投标：</w:t>
            </w:r>
          </w:p>
          <w:p w14:paraId="057EBDDB">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(a) 《投标书》未加盖</w:t>
            </w:r>
            <w:r>
              <w:rPr>
                <w:rFonts w:hint="eastAsia" w:ascii="宋体" w:hAnsi="宋体" w:cs="宋体"/>
                <w:szCs w:val="21"/>
                <w:highlight w:val="none"/>
                <w:u w:val="single"/>
              </w:rPr>
              <w:t>投标人电子印章</w:t>
            </w:r>
            <w:r>
              <w:rPr>
                <w:rFonts w:hint="eastAsia" w:ascii="宋体" w:hAnsi="宋体" w:cs="宋体"/>
                <w:szCs w:val="21"/>
                <w:highlight w:val="none"/>
              </w:rPr>
              <w:t>，也未经法定代表人</w:t>
            </w:r>
            <w:r>
              <w:rPr>
                <w:rFonts w:hint="eastAsia" w:ascii="宋体" w:hAnsi="宋体" w:cs="宋体"/>
                <w:szCs w:val="21"/>
                <w:highlight w:val="none"/>
                <w:u w:val="single"/>
              </w:rPr>
              <w:t>、委托代理人及项目负责人签字（或盖章）</w:t>
            </w:r>
            <w:r>
              <w:rPr>
                <w:rFonts w:hint="eastAsia" w:ascii="宋体" w:hAnsi="宋体" w:cs="宋体"/>
                <w:szCs w:val="21"/>
                <w:highlight w:val="none"/>
              </w:rPr>
              <w:t>；</w:t>
            </w:r>
          </w:p>
          <w:p w14:paraId="0F3B4335">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(b) 《投标书》包含有招标人不能接受的偏差，并且投标人拒绝书面撤回偏差；</w:t>
            </w:r>
            <w:r>
              <w:rPr>
                <w:rFonts w:hint="eastAsia" w:ascii="宋体" w:hAnsi="宋体" w:cs="宋体"/>
                <w:szCs w:val="21"/>
                <w:highlight w:val="none"/>
              </w:rPr>
              <w:br w:type="textWrapping"/>
            </w:r>
            <w:r>
              <w:rPr>
                <w:rFonts w:hint="eastAsia" w:ascii="宋体" w:hAnsi="宋体" w:cs="宋体"/>
                <w:szCs w:val="21"/>
                <w:highlight w:val="none"/>
              </w:rPr>
              <w:t>(c) 《投标人声明》未按规定格式填写或未加盖投标人</w:t>
            </w:r>
            <w:r>
              <w:rPr>
                <w:rFonts w:hint="eastAsia" w:ascii="宋体" w:hAnsi="宋体" w:cs="宋体"/>
                <w:highlight w:val="none"/>
              </w:rPr>
              <w:t>电子印章</w:t>
            </w:r>
            <w:r>
              <w:rPr>
                <w:rFonts w:hint="eastAsia" w:ascii="宋体" w:hAnsi="宋体" w:cs="宋体"/>
                <w:szCs w:val="21"/>
                <w:highlight w:val="none"/>
              </w:rPr>
              <w:t>；</w:t>
            </w:r>
          </w:p>
          <w:p w14:paraId="58746FC2">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u w:val="single"/>
              </w:rPr>
              <w:t>(d) 未按要求缴纳投标保证金。</w:t>
            </w:r>
          </w:p>
        </w:tc>
      </w:tr>
      <w:tr w14:paraId="64A3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10ADA684">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5527FB03">
            <w:pPr>
              <w:shd w:val="clear"/>
              <w:snapToGrid w:val="0"/>
              <w:spacing w:line="240" w:lineRule="auto"/>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4.1.3</w:t>
            </w:r>
          </w:p>
        </w:tc>
        <w:tc>
          <w:tcPr>
            <w:tcW w:w="3631" w:type="dxa"/>
            <w:tcBorders>
              <w:top w:val="single" w:color="auto" w:sz="4" w:space="0"/>
              <w:left w:val="nil"/>
              <w:bottom w:val="single" w:color="auto" w:sz="4" w:space="0"/>
              <w:right w:val="single" w:color="auto" w:sz="4" w:space="0"/>
            </w:tcBorders>
            <w:vAlign w:val="center"/>
          </w:tcPr>
          <w:p w14:paraId="0F85BEC0">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4.1.3  投标文件有下列情况之一的，评标委员会应当否决其投标：</w:t>
            </w:r>
          </w:p>
          <w:p w14:paraId="6E4EF5E0">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(a) 投标人与其他投标人加密打包投标文件电脑机器特征码一致的；</w:t>
            </w:r>
          </w:p>
          <w:p w14:paraId="7C39907D">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(b) 投标人在设计方案内标注名称、印章、商标、图形等记认符号，使人辨认出投标人或其专业技术人员的身份；</w:t>
            </w:r>
          </w:p>
          <w:p w14:paraId="4B2896B3">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(c)投标人之间存在《广东省实施&lt;中华人民共和国招标投标法&gt;》第十六条所禁止的情形的；</w:t>
            </w:r>
          </w:p>
          <w:p w14:paraId="5DA4A9F1">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（d）投标报价高于最高投标限价的。</w:t>
            </w:r>
          </w:p>
        </w:tc>
        <w:tc>
          <w:tcPr>
            <w:tcW w:w="3379" w:type="dxa"/>
            <w:tcBorders>
              <w:top w:val="single" w:color="auto" w:sz="4" w:space="0"/>
              <w:left w:val="nil"/>
              <w:bottom w:val="single" w:color="auto" w:sz="4" w:space="0"/>
              <w:right w:val="single" w:color="auto" w:sz="4" w:space="0"/>
            </w:tcBorders>
            <w:vAlign w:val="center"/>
          </w:tcPr>
          <w:p w14:paraId="4A19085E">
            <w:pPr>
              <w:shd w:val="clear"/>
              <w:snapToGrid w:val="0"/>
              <w:ind w:left="0" w:leftChars="0" w:right="0" w:rightChars="0" w:firstLine="0" w:firstLineChars="0"/>
              <w:jc w:val="left"/>
              <w:rPr>
                <w:rFonts w:hint="eastAsia" w:ascii="宋体" w:hAnsi="宋体" w:cs="宋体"/>
                <w:b/>
                <w:szCs w:val="21"/>
                <w:highlight w:val="none"/>
              </w:rPr>
            </w:pPr>
            <w:r>
              <w:rPr>
                <w:rFonts w:hint="eastAsia" w:ascii="宋体" w:hAnsi="宋体" w:cs="宋体"/>
                <w:b/>
                <w:szCs w:val="21"/>
                <w:highlight w:val="none"/>
              </w:rPr>
              <w:t>修改：</w:t>
            </w:r>
          </w:p>
          <w:p w14:paraId="1F1440BF">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4.1.3  投标文件有下列情况之一的，评标委员会应当否决其投标：</w:t>
            </w:r>
          </w:p>
          <w:p w14:paraId="1EE49BBC">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(a) 投标人与</w:t>
            </w:r>
            <w:r>
              <w:rPr>
                <w:rFonts w:hint="eastAsia" w:ascii="宋体" w:hAnsi="宋体" w:cs="宋体"/>
                <w:b/>
                <w:bCs/>
                <w:szCs w:val="21"/>
                <w:highlight w:val="none"/>
                <w:u w:val="single"/>
              </w:rPr>
              <w:t>本项目</w:t>
            </w:r>
            <w:r>
              <w:rPr>
                <w:rFonts w:hint="eastAsia" w:ascii="宋体" w:hAnsi="宋体" w:cs="宋体"/>
                <w:szCs w:val="21"/>
                <w:highlight w:val="none"/>
              </w:rPr>
              <w:t>其他投标人加密打包投标文件电脑机器特征码一致的；</w:t>
            </w:r>
          </w:p>
          <w:p w14:paraId="58DC4094">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((b)投标人在勘察设计方案内标注名称、印章、商标、图形等记认符号，使人辩认出投标人或其专业技术人员的身份；</w:t>
            </w:r>
          </w:p>
          <w:p w14:paraId="40C39EF1">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(c)投标人之间存在《广东省实施&lt;中华人民共和国招标投标法&gt;》第十六条所禁止的情形的；</w:t>
            </w:r>
          </w:p>
          <w:p w14:paraId="1A9F4989">
            <w:pPr>
              <w:shd w:val="clear"/>
              <w:snapToGrid w:val="0"/>
              <w:ind w:left="0" w:leftChars="0" w:right="0" w:rightChars="0" w:firstLine="0" w:firstLineChars="0"/>
              <w:jc w:val="left"/>
              <w:rPr>
                <w:rFonts w:hint="eastAsia" w:ascii="宋体" w:hAnsi="宋体" w:cs="宋体"/>
                <w:szCs w:val="21"/>
                <w:highlight w:val="none"/>
                <w:u w:val="single"/>
              </w:rPr>
            </w:pPr>
            <w:r>
              <w:rPr>
                <w:rFonts w:hint="eastAsia" w:ascii="宋体" w:hAnsi="宋体" w:cs="宋体"/>
                <w:szCs w:val="21"/>
                <w:highlight w:val="none"/>
                <w:u w:val="single"/>
              </w:rPr>
              <w:t>(d)投标总报价高于最高投标限价总价的或各分项投标报价高于各分项最高投标限价的。</w:t>
            </w:r>
          </w:p>
          <w:p w14:paraId="02E815E1">
            <w:pPr>
              <w:shd w:val="clear"/>
              <w:snapToGrid w:val="0"/>
              <w:ind w:left="0" w:leftChars="0" w:right="0" w:rightChars="0" w:firstLine="0" w:firstLineChars="0"/>
              <w:jc w:val="left"/>
              <w:rPr>
                <w:rFonts w:hint="eastAsia" w:ascii="宋体" w:hAnsi="宋体" w:cs="宋体"/>
                <w:szCs w:val="21"/>
                <w:highlight w:val="none"/>
                <w:u w:val="single"/>
              </w:rPr>
            </w:pPr>
            <w:r>
              <w:rPr>
                <w:rFonts w:hint="eastAsia" w:ascii="宋体" w:hAnsi="宋体" w:cs="宋体"/>
                <w:szCs w:val="21"/>
                <w:highlight w:val="none"/>
                <w:u w:val="single"/>
              </w:rPr>
              <w:t>(e)未按照招标文件要求进行投标报价，未按招标文件附件3、附件3-1、附件3-2填报报价；</w:t>
            </w:r>
          </w:p>
          <w:p w14:paraId="4051B53C">
            <w:pPr>
              <w:shd w:val="clear"/>
              <w:snapToGrid w:val="0"/>
              <w:ind w:left="0" w:leftChars="0" w:right="0" w:rightChars="0" w:firstLine="0" w:firstLineChars="0"/>
              <w:jc w:val="left"/>
              <w:rPr>
                <w:rFonts w:hint="eastAsia" w:ascii="宋体" w:hAnsi="宋体" w:cs="宋体"/>
                <w:szCs w:val="21"/>
                <w:highlight w:val="none"/>
                <w:u w:val="single"/>
              </w:rPr>
            </w:pPr>
            <w:r>
              <w:rPr>
                <w:rFonts w:hint="eastAsia" w:ascii="宋体" w:hAnsi="宋体" w:cs="宋体"/>
                <w:szCs w:val="21"/>
                <w:highlight w:val="none"/>
                <w:u w:val="single"/>
              </w:rPr>
              <w:t>(f)勘察初步设计方案发现互相雷同和串通投标（串通投标情形以《中华人民共和国招标投标法实施条例》的规定为准），或者发现明显抄袭行为，或者发现侵犯他人著作权和特许权；</w:t>
            </w:r>
          </w:p>
          <w:p w14:paraId="481CF5B1">
            <w:pPr>
              <w:shd w:val="clear"/>
              <w:snapToGrid w:val="0"/>
              <w:ind w:left="0" w:leftChars="0" w:right="0" w:rightChars="0" w:firstLine="0" w:firstLineChars="0"/>
              <w:jc w:val="left"/>
              <w:rPr>
                <w:rFonts w:hint="eastAsia" w:ascii="宋体" w:hAnsi="宋体" w:cs="宋体"/>
                <w:szCs w:val="21"/>
                <w:highlight w:val="none"/>
                <w:u w:val="single"/>
              </w:rPr>
            </w:pPr>
            <w:r>
              <w:rPr>
                <w:rFonts w:hint="eastAsia" w:ascii="宋体" w:hAnsi="宋体" w:cs="宋体"/>
                <w:szCs w:val="21"/>
                <w:highlight w:val="none"/>
                <w:u w:val="single"/>
              </w:rPr>
              <w:t>（g）未按照要求（必要时）对投标文件进行澄清、说明或者补正。</w:t>
            </w:r>
          </w:p>
        </w:tc>
      </w:tr>
      <w:tr w14:paraId="5898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7B26E732">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10234AB6">
            <w:pPr>
              <w:shd w:val="clear"/>
              <w:snapToGrid w:val="0"/>
              <w:spacing w:line="240" w:lineRule="auto"/>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4.2.1</w:t>
            </w:r>
          </w:p>
        </w:tc>
        <w:tc>
          <w:tcPr>
            <w:tcW w:w="3631" w:type="dxa"/>
            <w:tcBorders>
              <w:top w:val="single" w:color="auto" w:sz="4" w:space="0"/>
              <w:left w:val="single" w:color="auto" w:sz="4" w:space="0"/>
              <w:bottom w:val="single" w:color="auto" w:sz="4" w:space="0"/>
              <w:right w:val="single" w:color="auto" w:sz="4" w:space="0"/>
            </w:tcBorders>
            <w:vAlign w:val="center"/>
          </w:tcPr>
          <w:p w14:paraId="036855AE">
            <w:pPr>
              <w:shd w:val="clear"/>
              <w:snapToGrid w:val="0"/>
              <w:ind w:left="0" w:leftChars="0" w:right="0" w:rightChars="0" w:firstLine="0" w:firstLineChars="0"/>
              <w:jc w:val="left"/>
              <w:rPr>
                <w:rFonts w:hint="eastAsia" w:ascii="宋体" w:hAnsi="宋体" w:cs="宋体"/>
                <w:kern w:val="0"/>
                <w:szCs w:val="21"/>
                <w:highlight w:val="none"/>
              </w:rPr>
            </w:pPr>
            <w:r>
              <w:rPr>
                <w:rFonts w:hint="eastAsia" w:ascii="宋体" w:hAnsi="宋体" w:cs="宋体"/>
                <w:szCs w:val="21"/>
                <w:highlight w:val="none"/>
              </w:rPr>
              <w:t>评标委员会由专家和业主代表组成，专家不得少于评标委员会成员总数的三分之二。专家一般从政府评标专家库随机抽取，技术特别复杂、专业性要求特别高或者国家有特别要求的项目，采取随机抽取方式确定的专家难以胜任的，经审批部门核准可以由招标人直接确定。</w:t>
            </w:r>
          </w:p>
        </w:tc>
        <w:tc>
          <w:tcPr>
            <w:tcW w:w="3379" w:type="dxa"/>
            <w:tcBorders>
              <w:top w:val="single" w:color="auto" w:sz="4" w:space="0"/>
              <w:left w:val="single" w:color="auto" w:sz="4" w:space="0"/>
              <w:bottom w:val="single" w:color="auto" w:sz="4" w:space="0"/>
              <w:right w:val="single" w:color="auto" w:sz="4" w:space="0"/>
            </w:tcBorders>
            <w:vAlign w:val="center"/>
          </w:tcPr>
          <w:p w14:paraId="33C35DDE">
            <w:pPr>
              <w:shd w:val="clear"/>
              <w:snapToGrid w:val="0"/>
              <w:ind w:left="0" w:leftChars="0" w:right="0" w:rightChars="0" w:firstLine="0" w:firstLineChars="0"/>
              <w:jc w:val="left"/>
              <w:rPr>
                <w:rFonts w:hint="eastAsia" w:ascii="宋体" w:hAnsi="宋体" w:cs="宋体"/>
                <w:b/>
                <w:szCs w:val="21"/>
                <w:highlight w:val="none"/>
              </w:rPr>
            </w:pPr>
            <w:r>
              <w:rPr>
                <w:rFonts w:hint="eastAsia" w:ascii="宋体" w:hAnsi="宋体" w:cs="宋体"/>
                <w:b/>
                <w:szCs w:val="21"/>
                <w:highlight w:val="none"/>
              </w:rPr>
              <w:t>修改</w:t>
            </w:r>
            <w:r>
              <w:rPr>
                <w:rFonts w:hint="eastAsia" w:ascii="宋体" w:hAnsi="宋体" w:cs="宋体"/>
                <w:szCs w:val="21"/>
                <w:highlight w:val="none"/>
              </w:rPr>
              <w:t>：</w:t>
            </w:r>
            <w:r>
              <w:rPr>
                <w:rFonts w:hint="eastAsia" w:ascii="宋体" w:hAnsi="宋体" w:cs="宋体"/>
                <w:szCs w:val="21"/>
                <w:highlight w:val="none"/>
                <w:u w:val="single"/>
              </w:rPr>
              <w:t>评标委员会由招标人依法组建。</w:t>
            </w:r>
          </w:p>
        </w:tc>
      </w:tr>
      <w:tr w14:paraId="0A4C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100D371A">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30CD5326">
            <w:pPr>
              <w:shd w:val="clear"/>
              <w:snapToGrid w:val="0"/>
              <w:spacing w:line="240" w:lineRule="auto"/>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4.4.4</w:t>
            </w:r>
          </w:p>
        </w:tc>
        <w:tc>
          <w:tcPr>
            <w:tcW w:w="3631" w:type="dxa"/>
            <w:tcBorders>
              <w:top w:val="single" w:color="auto" w:sz="4" w:space="0"/>
              <w:left w:val="single" w:color="auto" w:sz="4" w:space="0"/>
              <w:bottom w:val="single" w:color="auto" w:sz="4" w:space="0"/>
              <w:right w:val="single" w:color="auto" w:sz="4" w:space="0"/>
            </w:tcBorders>
            <w:vAlign w:val="center"/>
          </w:tcPr>
          <w:p w14:paraId="702D19FC">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tc>
        <w:tc>
          <w:tcPr>
            <w:tcW w:w="3379" w:type="dxa"/>
            <w:tcBorders>
              <w:top w:val="single" w:color="auto" w:sz="4" w:space="0"/>
              <w:left w:val="single" w:color="auto" w:sz="4" w:space="0"/>
              <w:bottom w:val="single" w:color="auto" w:sz="4" w:space="0"/>
              <w:right w:val="single" w:color="auto" w:sz="4" w:space="0"/>
            </w:tcBorders>
            <w:vAlign w:val="center"/>
          </w:tcPr>
          <w:p w14:paraId="10C982A5">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14:paraId="1125555F">
            <w:pPr>
              <w:shd w:val="clear"/>
              <w:snapToGrid w:val="0"/>
              <w:ind w:left="0" w:leftChars="0" w:right="0" w:rightChars="0" w:firstLine="0" w:firstLineChars="0"/>
              <w:jc w:val="left"/>
              <w:rPr>
                <w:rFonts w:hint="eastAsia" w:ascii="宋体" w:hAnsi="宋体" w:cs="宋体"/>
                <w:szCs w:val="21"/>
                <w:highlight w:val="none"/>
                <w:u w:val="single"/>
              </w:rPr>
            </w:pPr>
            <w:r>
              <w:rPr>
                <w:rFonts w:hint="eastAsia" w:ascii="宋体" w:hAnsi="宋体" w:cs="宋体"/>
                <w:szCs w:val="21"/>
                <w:highlight w:val="none"/>
                <w:u w:val="single"/>
              </w:rPr>
              <w:t>若在评标期间</w:t>
            </w:r>
            <w:r>
              <w:rPr>
                <w:rFonts w:hint="eastAsia" w:ascii="宋体" w:hAnsi="宋体" w:cs="宋体"/>
                <w:b/>
                <w:szCs w:val="21"/>
                <w:highlight w:val="none"/>
                <w:u w:val="single"/>
              </w:rPr>
              <w:t>（勘察初步设计方案评审阶段除外）</w:t>
            </w:r>
            <w:r>
              <w:rPr>
                <w:rFonts w:hint="eastAsia" w:ascii="宋体" w:hAnsi="宋体" w:cs="宋体"/>
                <w:szCs w:val="21"/>
                <w:highlight w:val="none"/>
                <w:u w:val="single"/>
              </w:rPr>
              <w:t>，经评标委员会两人以上（含两人）以书面形式提出动议，评标委员会应当书面发出澄清通知，要求投标人对投标文件含义不明确的内容作出澄清。</w:t>
            </w:r>
          </w:p>
          <w:p w14:paraId="43EA1AF8">
            <w:pPr>
              <w:shd w:val="clear"/>
              <w:snapToGrid w:val="0"/>
              <w:ind w:left="0" w:leftChars="0" w:right="0" w:rightChars="0" w:firstLine="0" w:firstLineChars="0"/>
              <w:jc w:val="left"/>
              <w:rPr>
                <w:rFonts w:hint="eastAsia" w:ascii="宋体" w:hAnsi="宋体" w:cs="宋体"/>
                <w:szCs w:val="21"/>
                <w:highlight w:val="none"/>
                <w:u w:val="single"/>
              </w:rPr>
            </w:pPr>
            <w:r>
              <w:rPr>
                <w:rFonts w:hint="eastAsia" w:ascii="宋体" w:hAnsi="宋体" w:cs="宋体"/>
                <w:szCs w:val="21"/>
                <w:highlight w:val="none"/>
                <w:u w:val="single"/>
              </w:rPr>
              <w:t>投标人应以书面形式进行澄清，澄清中的承诺性意思表示在投标文件有效期内均对投标人有约束力。澄清不得超出投标文件的范围或改变投标文件的实质性内容，超出部分不作为评标委员会评审的依据。</w:t>
            </w:r>
          </w:p>
          <w:p w14:paraId="199AC095">
            <w:pPr>
              <w:shd w:val="clear"/>
              <w:snapToGrid w:val="0"/>
              <w:ind w:left="0" w:leftChars="0" w:right="0" w:rightChars="0" w:firstLine="0" w:firstLineChars="0"/>
              <w:jc w:val="left"/>
              <w:rPr>
                <w:rFonts w:hint="eastAsia" w:ascii="宋体" w:hAnsi="宋体" w:cs="宋体"/>
                <w:b/>
                <w:szCs w:val="21"/>
                <w:highlight w:val="none"/>
              </w:rPr>
            </w:pPr>
            <w:r>
              <w:rPr>
                <w:rFonts w:hint="eastAsia" w:ascii="宋体" w:hAnsi="宋体" w:cs="宋体"/>
                <w:szCs w:val="21"/>
                <w:highlight w:val="none"/>
                <w:u w:val="single"/>
              </w:rPr>
              <w:t>评标委员会均应当阅读投标人的澄清，但应独立参考澄清对投标文件进行评审。</w:t>
            </w:r>
          </w:p>
        </w:tc>
      </w:tr>
      <w:tr w14:paraId="7FDD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61444D53">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6CC1A165">
            <w:pPr>
              <w:shd w:val="clear"/>
              <w:snapToGrid w:val="0"/>
              <w:spacing w:line="240" w:lineRule="auto"/>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4.4.7</w:t>
            </w:r>
          </w:p>
        </w:tc>
        <w:tc>
          <w:tcPr>
            <w:tcW w:w="3631" w:type="dxa"/>
            <w:tcBorders>
              <w:top w:val="single" w:color="auto" w:sz="4" w:space="0"/>
              <w:left w:val="single" w:color="auto" w:sz="4" w:space="0"/>
              <w:bottom w:val="single" w:color="auto" w:sz="4" w:space="0"/>
              <w:right w:val="single" w:color="auto" w:sz="4" w:space="0"/>
            </w:tcBorders>
            <w:vAlign w:val="center"/>
          </w:tcPr>
          <w:p w14:paraId="285CD749">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b/>
                <w:szCs w:val="21"/>
                <w:highlight w:val="none"/>
              </w:rPr>
              <w:t>增加</w:t>
            </w:r>
          </w:p>
        </w:tc>
        <w:tc>
          <w:tcPr>
            <w:tcW w:w="3379" w:type="dxa"/>
            <w:tcBorders>
              <w:top w:val="single" w:color="auto" w:sz="4" w:space="0"/>
              <w:left w:val="single" w:color="auto" w:sz="4" w:space="0"/>
              <w:bottom w:val="single" w:color="auto" w:sz="4" w:space="0"/>
              <w:right w:val="single" w:color="auto" w:sz="4" w:space="0"/>
            </w:tcBorders>
            <w:vAlign w:val="center"/>
          </w:tcPr>
          <w:p w14:paraId="726FC6CC">
            <w:pPr>
              <w:shd w:val="clear"/>
              <w:snapToGrid w:val="0"/>
              <w:ind w:left="0" w:leftChars="0" w:right="0" w:rightChars="0" w:firstLine="0" w:firstLineChars="0"/>
              <w:jc w:val="left"/>
              <w:rPr>
                <w:rFonts w:hint="eastAsia" w:ascii="宋体" w:hAnsi="宋体" w:cs="宋体"/>
                <w:b/>
                <w:szCs w:val="21"/>
                <w:highlight w:val="none"/>
              </w:rPr>
            </w:pPr>
            <w:r>
              <w:rPr>
                <w:rFonts w:hint="eastAsia" w:ascii="宋体" w:hAnsi="宋体" w:cs="宋体"/>
                <w:b/>
                <w:szCs w:val="21"/>
                <w:highlight w:val="none"/>
              </w:rPr>
              <w:t>增加：</w:t>
            </w:r>
          </w:p>
          <w:p w14:paraId="1EE108F4">
            <w:pPr>
              <w:shd w:val="clear"/>
              <w:snapToGrid w:val="0"/>
              <w:ind w:left="0" w:leftChars="0" w:right="0" w:rightChars="0" w:firstLine="0" w:firstLineChars="0"/>
              <w:jc w:val="left"/>
              <w:rPr>
                <w:rFonts w:hint="eastAsia" w:ascii="宋体" w:hAnsi="宋体" w:cs="宋体"/>
                <w:szCs w:val="21"/>
                <w:highlight w:val="none"/>
                <w:u w:val="single"/>
              </w:rPr>
            </w:pPr>
            <w:r>
              <w:rPr>
                <w:rFonts w:hint="eastAsia" w:ascii="宋体" w:hAnsi="宋体" w:cs="宋体"/>
                <w:szCs w:val="21"/>
                <w:highlight w:val="none"/>
                <w:u w:val="single"/>
              </w:rPr>
              <w:t>评标委员会在开始评标前，应了解评标专家的职责及守则，认真阅读附录17《评标委员会成员声明》的内容并签名，签字后方可进行评标；</w:t>
            </w:r>
          </w:p>
        </w:tc>
      </w:tr>
      <w:tr w14:paraId="013D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49942497">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767F5ACE">
            <w:pPr>
              <w:shd w:val="clear"/>
              <w:snapToGrid w:val="0"/>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4.5.1</w:t>
            </w:r>
          </w:p>
        </w:tc>
        <w:tc>
          <w:tcPr>
            <w:tcW w:w="3631" w:type="dxa"/>
            <w:tcBorders>
              <w:top w:val="single" w:color="auto" w:sz="4" w:space="0"/>
              <w:left w:val="single" w:color="auto" w:sz="4" w:space="0"/>
              <w:bottom w:val="single" w:color="auto" w:sz="4" w:space="0"/>
              <w:right w:val="single" w:color="auto" w:sz="4" w:space="0"/>
            </w:tcBorders>
            <w:vAlign w:val="center"/>
          </w:tcPr>
          <w:p w14:paraId="40572610">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4.5.1  是否采用评定分离：</w:t>
            </w:r>
          </w:p>
          <w:p w14:paraId="15EF4DC0">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□是，入围定标环节的投标人家数：</w:t>
            </w:r>
          </w:p>
          <w:p w14:paraId="3C55DD49">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名；</w:t>
            </w:r>
          </w:p>
          <w:p w14:paraId="3F01FA61">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□否。</w:t>
            </w:r>
          </w:p>
        </w:tc>
        <w:tc>
          <w:tcPr>
            <w:tcW w:w="3379" w:type="dxa"/>
            <w:tcBorders>
              <w:top w:val="single" w:color="auto" w:sz="4" w:space="0"/>
              <w:left w:val="single" w:color="auto" w:sz="4" w:space="0"/>
              <w:bottom w:val="single" w:color="auto" w:sz="4" w:space="0"/>
              <w:right w:val="single" w:color="auto" w:sz="4" w:space="0"/>
            </w:tcBorders>
            <w:vAlign w:val="center"/>
          </w:tcPr>
          <w:p w14:paraId="0C2CC800">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4.5.1  是否采用评定分离：</w:t>
            </w:r>
          </w:p>
          <w:p w14:paraId="659A7973">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☑是，入围定标环节的投标人家数：</w:t>
            </w:r>
          </w:p>
          <w:p w14:paraId="4BD88388">
            <w:pPr>
              <w:shd w:val="clear"/>
              <w:snapToGrid w:val="0"/>
              <w:ind w:left="0" w:leftChars="0" w:right="0" w:rightChars="0" w:firstLine="0" w:firstLineChars="0"/>
              <w:jc w:val="left"/>
              <w:rPr>
                <w:rFonts w:hint="eastAsia" w:ascii="宋体" w:hAnsi="宋体" w:cs="宋体"/>
                <w:szCs w:val="21"/>
                <w:highlight w:val="none"/>
                <w:u w:val="single"/>
              </w:rPr>
            </w:pPr>
            <w:r>
              <w:rPr>
                <w:rFonts w:hint="eastAsia" w:ascii="宋体" w:hAnsi="宋体" w:cs="宋体"/>
                <w:szCs w:val="21"/>
                <w:highlight w:val="none"/>
                <w:u w:val="single"/>
              </w:rPr>
              <w:t>3名；</w:t>
            </w:r>
            <w:r>
              <w:rPr>
                <w:rFonts w:hint="eastAsia" w:ascii="宋体" w:hAnsi="宋体" w:cs="宋体"/>
                <w:bCs/>
                <w:szCs w:val="21"/>
                <w:highlight w:val="none"/>
                <w:u w:val="single"/>
                <w:lang w:bidi="ar"/>
              </w:rPr>
              <w:t>评标采用“有限</w:t>
            </w:r>
            <w:r>
              <w:rPr>
                <w:rFonts w:hint="eastAsia" w:ascii="宋体" w:hAnsi="宋体" w:cs="宋体"/>
                <w:szCs w:val="21"/>
                <w:highlight w:val="none"/>
                <w:u w:val="single"/>
              </w:rPr>
              <w:t>数量</w:t>
            </w:r>
            <w:r>
              <w:rPr>
                <w:rFonts w:hint="eastAsia" w:ascii="宋体" w:hAnsi="宋体" w:cs="宋体"/>
                <w:bCs/>
                <w:szCs w:val="21"/>
                <w:highlight w:val="none"/>
                <w:u w:val="single"/>
                <w:lang w:bidi="ar"/>
              </w:rPr>
              <w:t>制”推荐合格中标候选人。评标委员会应按照招标文件规定，推荐综合得分前3名的单位为不排序的合格中标候选人进入定标阶段【不排序，按统一社会信用代码后4位（除校验码外）大小排位，如统一社会信用代码后4位出现字母情况的，字母以“0”进行代替大小排位；如出现后4位（除校验码外）大小一致的，则随机排位。若为联合体投标，按联合体主办方的统一社会信用代码排序】。</w:t>
            </w:r>
          </w:p>
          <w:p w14:paraId="10F2F9CA">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□否</w:t>
            </w:r>
          </w:p>
        </w:tc>
      </w:tr>
      <w:tr w14:paraId="62F9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772E7B1C">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05BCAB92">
            <w:pPr>
              <w:shd w:val="clear"/>
              <w:snapToGrid w:val="0"/>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4.5.2</w:t>
            </w:r>
          </w:p>
        </w:tc>
        <w:tc>
          <w:tcPr>
            <w:tcW w:w="3631" w:type="dxa"/>
            <w:tcBorders>
              <w:top w:val="single" w:color="auto" w:sz="4" w:space="0"/>
              <w:left w:val="single" w:color="auto" w:sz="4" w:space="0"/>
              <w:bottom w:val="single" w:color="auto" w:sz="4" w:space="0"/>
              <w:right w:val="single" w:color="auto" w:sz="4" w:space="0"/>
            </w:tcBorders>
            <w:vAlign w:val="center"/>
          </w:tcPr>
          <w:p w14:paraId="5C4BE42D">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4.5.2  不采用评定分离项目的评标办法</w:t>
            </w:r>
          </w:p>
          <w:p w14:paraId="1FECA4CC">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4.5.2.1招标人（招标代理机构）在不透露投标人身份的前提下（资格审查文件除外）将投标文件交给评标委员会，除4.5.2.2(g)中规定，不需要投标人派代表介绍投标方案。</w:t>
            </w:r>
          </w:p>
          <w:p w14:paraId="603A9839">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4.5.2.2如果评标委员会成员在交易服务机构评标，将按方法    规定的步骤进行：</w:t>
            </w:r>
          </w:p>
          <w:p w14:paraId="7D04BD42">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方法一（设有资格审查环节的一阶段评标法）：a、b、c、d、e、f、h、i、j</w:t>
            </w:r>
          </w:p>
          <w:p w14:paraId="4DD9EBD2">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方法二（设有资格审查环节的二阶段评标法）：a、b、c、d、e、f、g、h、i、j</w:t>
            </w:r>
          </w:p>
          <w:p w14:paraId="712B6E92">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方法三（未设资格审查环节的一阶段评标法）：a、d、e、f、h、i、j</w:t>
            </w:r>
          </w:p>
          <w:p w14:paraId="211B1016">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方法四（未设资格审查环节的二阶段评标法）：a、d、e、f、g、h、i、j</w:t>
            </w:r>
          </w:p>
          <w:p w14:paraId="3839FCFE">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(a) 评标委员会成员依据招标文件规定，否决两个（含两个）以上的加密打包投标文件电脑机器特征码一致的投标人，不参与下一阶段评审。</w:t>
            </w:r>
          </w:p>
          <w:p w14:paraId="055F6C60">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(b) 评标委员会成员依据招标文件规定，按附录12《资格审查表》对各投标人递交的投标文件进行资格审查。</w:t>
            </w:r>
          </w:p>
          <w:p w14:paraId="56E55FB0">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(c) 评标委员会成员汇总资格审查结果，编写资格审查报告。</w:t>
            </w:r>
          </w:p>
          <w:p w14:paraId="45552896">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(d) 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677B935C">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(e) 以差额选举逐轮淘汰的记名投票方式选出所有投标方案的排序。（方案补偿费按(h)步骤确定的最终排序进行补偿）。</w:t>
            </w:r>
          </w:p>
          <w:p w14:paraId="44B5F722">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(f) 评标委员会揭晓投标人身份。</w:t>
            </w:r>
          </w:p>
          <w:p w14:paraId="34D7B457">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(g) 采用二阶段评标法的，由方案排序前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会成员再次共同表决，以差额选举逐轮淘汰的记名投票方式选出投标方案的排序（讲解方案的人员在讲解前需提供投标人授权证明书及身份证原件给评标委员会确认其身份，未提供以上资料的不得进行讲解）。</w:t>
            </w:r>
          </w:p>
          <w:p w14:paraId="4BD84CF0">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(h)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3名中标候选人。投标经济补偿费按投标方案的最终排序确定进行补偿。</w:t>
            </w:r>
          </w:p>
          <w:p w14:paraId="161CAE30">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(i) 编写、签署评标报告，并标明最终中标候选人的排列顺序，评标报告由评标委员会全体成员签字，对评标结论持有异议的评标委员会成员可以书面方式阐述其不同意见和理由。</w:t>
            </w:r>
          </w:p>
          <w:p w14:paraId="1BAFA8A0">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(j) 评标委员会向招标人提交书面评标报告后即告解散，评标过程中使用的文件、表格以及其他资料应当即时归还招标人（招标代理机构）。</w:t>
            </w:r>
          </w:p>
        </w:tc>
        <w:tc>
          <w:tcPr>
            <w:tcW w:w="3379" w:type="dxa"/>
            <w:tcBorders>
              <w:top w:val="single" w:color="auto" w:sz="4" w:space="0"/>
              <w:left w:val="single" w:color="auto" w:sz="4" w:space="0"/>
              <w:bottom w:val="single" w:color="auto" w:sz="4" w:space="0"/>
              <w:right w:val="single" w:color="auto" w:sz="4" w:space="0"/>
            </w:tcBorders>
            <w:vAlign w:val="center"/>
          </w:tcPr>
          <w:p w14:paraId="739A93AF">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b/>
                <w:szCs w:val="21"/>
                <w:highlight w:val="none"/>
              </w:rPr>
              <w:t>删除</w:t>
            </w:r>
          </w:p>
        </w:tc>
      </w:tr>
      <w:tr w14:paraId="7536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48BA400F">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30427DDD">
            <w:pPr>
              <w:shd w:val="clear"/>
              <w:snapToGrid w:val="0"/>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4.5.3</w:t>
            </w:r>
          </w:p>
        </w:tc>
        <w:tc>
          <w:tcPr>
            <w:tcW w:w="3631" w:type="dxa"/>
            <w:tcBorders>
              <w:top w:val="single" w:color="auto" w:sz="4" w:space="0"/>
              <w:left w:val="single" w:color="auto" w:sz="4" w:space="0"/>
              <w:bottom w:val="single" w:color="auto" w:sz="4" w:space="0"/>
              <w:right w:val="single" w:color="auto" w:sz="4" w:space="0"/>
            </w:tcBorders>
            <w:vAlign w:val="center"/>
          </w:tcPr>
          <w:p w14:paraId="72F3E14B">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4.5.3  采用评定分离项目的评标及定标办法</w:t>
            </w:r>
          </w:p>
          <w:p w14:paraId="22F7E527">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4.5.3.1招标人（招标代理机构）在不透露投标人身份的前提下（资格审查文件除外）将投标文件交给评标委员会，不需要投标人派代表介绍投标方案。</w:t>
            </w:r>
          </w:p>
          <w:p w14:paraId="1C76617E">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4.5.3.2如果评标委员会成员在交易服务机构评标，将按方法    规定的步骤进行：</w:t>
            </w:r>
          </w:p>
          <w:p w14:paraId="09F7FF33">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方法一（设有资格审查环节的一阶段评标法）：a、b、c、d、e、f、g、h、i、j</w:t>
            </w:r>
          </w:p>
          <w:p w14:paraId="7C9A7466">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方法二（未设资格审查环节的一阶段评标法）：a、d、e、f、g、h、i、j</w:t>
            </w:r>
          </w:p>
          <w:p w14:paraId="0E2BB920">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 xml:space="preserve">(a)评标委员会成员依据招标文件规定，否决两个（含两个）以上的加密打包投标文件电脑机器特征码一致的投标人，不参与下一阶段评审。 </w:t>
            </w:r>
          </w:p>
          <w:p w14:paraId="79D7C0CE">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(b)评标委员会成员业主代表及专家依据招标文件规定，按附录12《资格审查表》对各投标人递交的投标文件进行资格审查。</w:t>
            </w:r>
          </w:p>
          <w:p w14:paraId="42C4D36C">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(c) 评标委员会成员汇总资格审查结果，编写资格审查报告。</w:t>
            </w:r>
          </w:p>
          <w:p w14:paraId="76D81582">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d)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02D84CE0">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(e) 以差额选举逐轮淘汰的记名投票方式选出所有投标方案的排序，并按照4.5.1约定的家数入围定标阶段（该排序不作为定标的依据）；或以差额选举逐轮淘汰的记名投票方式直接确定入围定标阶段的投标人。（方案补偿费按(g)步骤确定的方式进行补偿）。</w:t>
            </w:r>
          </w:p>
          <w:p w14:paraId="3482217A">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 xml:space="preserve">(f) 评标委员会揭晓投标人身份。 </w:t>
            </w:r>
          </w:p>
          <w:p w14:paraId="6D601819">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(g)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若采取排序方式确定入围单位的，其余通过资格审查（如有）及有效性审查的投标人按排序依次上升替补入围定标阶段，以此类推。若采取直接确定入围单位的，确定替补入围单位的方法为：              。评标委员会按上述方式推荐入围定标阶段的投标人。投标经济补偿费按投标方案的最终排序（采取排序方式的）或             （采取直接确定入围方式的）确定进行补偿。</w:t>
            </w:r>
          </w:p>
          <w:p w14:paraId="6421CBDF">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(h) 编写、签署评标报告，评标报告由评标委员会全体成员签字，对评标结论持有异议的评标委员会成员可以书面方式阐述其不同意见和理由。</w:t>
            </w:r>
          </w:p>
          <w:p w14:paraId="265565DC">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(i) 评标委员会向招标人提交书面评标报告后即告解散，评标过程中使用的文件、表格以及其他资料应当即时归还招标人（招标代理机构）。</w:t>
            </w:r>
          </w:p>
          <w:p w14:paraId="00C2D744">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（j）定标委员会定标。定标委员会按附录16《定标原则》确定    名（不多于3名）中标候选人（排序），也可直接确定中标人。</w:t>
            </w:r>
          </w:p>
        </w:tc>
        <w:tc>
          <w:tcPr>
            <w:tcW w:w="3379" w:type="dxa"/>
            <w:tcBorders>
              <w:top w:val="single" w:color="auto" w:sz="4" w:space="0"/>
              <w:left w:val="single" w:color="auto" w:sz="4" w:space="0"/>
              <w:bottom w:val="single" w:color="auto" w:sz="4" w:space="0"/>
              <w:right w:val="single" w:color="auto" w:sz="4" w:space="0"/>
            </w:tcBorders>
            <w:vAlign w:val="center"/>
          </w:tcPr>
          <w:p w14:paraId="74871FEF">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4.5.3  采用评定分离项目的评标及定标办法</w:t>
            </w:r>
          </w:p>
          <w:p w14:paraId="3774E85E">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4.5.3.1招标人（招标代理机构）在不透露投标人身份的前提下（资格审查文件除外）将投标文件交给评标委员会，不需要投标人派代表介绍投标方案。</w:t>
            </w:r>
          </w:p>
          <w:p w14:paraId="1B6227DE">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4.5.3.2如果评标委员会成员在交易服务机构评标，将按方法</w:t>
            </w:r>
            <w:r>
              <w:rPr>
                <w:rFonts w:hint="eastAsia" w:ascii="宋体" w:hAnsi="宋体" w:cs="宋体"/>
                <w:szCs w:val="21"/>
                <w:highlight w:val="none"/>
                <w:u w:val="single"/>
              </w:rPr>
              <w:t xml:space="preserve"> 一 </w:t>
            </w:r>
            <w:r>
              <w:rPr>
                <w:rFonts w:hint="eastAsia" w:ascii="宋体" w:hAnsi="宋体" w:cs="宋体"/>
                <w:szCs w:val="21"/>
                <w:highlight w:val="none"/>
              </w:rPr>
              <w:t>规定的步骤进行：</w:t>
            </w:r>
          </w:p>
          <w:p w14:paraId="6C9D4BFC">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方法一（设有资格审查环节的一阶段评标法）：a、b、c、d、e、f、g、h、i、j</w:t>
            </w:r>
          </w:p>
          <w:p w14:paraId="6A2BAEAA">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(a)评标委员会成员依据招标文件规定，否决两个（含两个）以上的加密打包投标文件电脑机器特征码一致的投标人，不参与下一阶段评审。</w:t>
            </w:r>
          </w:p>
          <w:p w14:paraId="43851EB7">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(b)评标委员会成员业主代表及专家依据招标文件规定，按</w:t>
            </w:r>
            <w:r>
              <w:rPr>
                <w:rFonts w:hint="eastAsia" w:ascii="宋体" w:hAnsi="宋体" w:cs="宋体"/>
                <w:szCs w:val="21"/>
                <w:highlight w:val="none"/>
                <w:u w:val="single"/>
              </w:rPr>
              <w:t>附录9《资格审查表》</w:t>
            </w:r>
            <w:r>
              <w:rPr>
                <w:rFonts w:hint="eastAsia" w:ascii="宋体" w:hAnsi="宋体" w:cs="宋体"/>
                <w:szCs w:val="21"/>
                <w:highlight w:val="none"/>
              </w:rPr>
              <w:t>对各投标人递交的投标文件进行资格审查。</w:t>
            </w:r>
          </w:p>
          <w:p w14:paraId="302E70CD">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(c)评标委员会成员汇总资格审查结果，编写资格审查报告。</w:t>
            </w:r>
            <w:r>
              <w:rPr>
                <w:rFonts w:hint="eastAsia" w:ascii="宋体" w:hAnsi="宋体" w:cs="宋体"/>
                <w:szCs w:val="21"/>
                <w:highlight w:val="none"/>
                <w:u w:val="single"/>
              </w:rPr>
              <w:t>如果有否决投标提议，则评标委员会成员共同表决，按照少数服从多数的原则决定是否否决。</w:t>
            </w:r>
          </w:p>
          <w:p w14:paraId="4640D288">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(d)评标委员会专家依据招标文件规定，</w:t>
            </w:r>
            <w:r>
              <w:rPr>
                <w:rFonts w:hint="eastAsia" w:ascii="宋体" w:hAnsi="宋体" w:cs="宋体"/>
                <w:szCs w:val="21"/>
                <w:highlight w:val="none"/>
                <w:u w:val="single"/>
              </w:rPr>
              <w:t>按附录12《有效性审查表》、附录12-1《投标报价算术复核表》、附录13《勘察初步设计方案部分评分表》、附录13-1《勘察初步设计商务部分评分表》，对各投标人递交的投标文件进行评审。</w:t>
            </w:r>
            <w:r>
              <w:rPr>
                <w:rFonts w:hint="eastAsia" w:ascii="宋体" w:hAnsi="宋体" w:cs="宋体"/>
                <w:highlight w:val="none"/>
                <w:u w:val="single"/>
              </w:rPr>
              <w:t>投标人的综合得分（满分100分）＝商务部分得分×30％+勘察初步设计方案得分×70％，</w:t>
            </w:r>
            <w:r>
              <w:rPr>
                <w:rFonts w:hint="eastAsia" w:ascii="宋体" w:hAnsi="宋体" w:cs="宋体"/>
                <w:szCs w:val="21"/>
                <w:highlight w:val="none"/>
                <w:u w:val="single"/>
              </w:rPr>
              <w:t>商务部分得分和勘察初步设计方案部分得分为各评委评分的算术平均分，得出每个投标人商务部分和勘察初步设计方案部分的得分，分数出现小数点，保留小数点后</w:t>
            </w:r>
            <w:r>
              <w:rPr>
                <w:rFonts w:hint="eastAsia" w:ascii="宋体" w:hAnsi="宋体" w:cs="宋体"/>
                <w:szCs w:val="21"/>
                <w:highlight w:val="none"/>
                <w:u w:val="single"/>
                <w:lang w:eastAsia="zh-CN"/>
              </w:rPr>
              <w:t>两位</w:t>
            </w:r>
            <w:r>
              <w:rPr>
                <w:rFonts w:hint="eastAsia" w:ascii="宋体" w:hAnsi="宋体" w:cs="宋体"/>
                <w:szCs w:val="21"/>
                <w:highlight w:val="none"/>
                <w:u w:val="single"/>
              </w:rPr>
              <w:t>，第三位小数四舍五入。如果投标人的综合得分出现相同，以勘察初步设计方案部分得分高的排前，如果勘察初步设计方案部分得分也相同，以商务部分得分高的排前，如果也出现商务部分得分相同，评标委员会成员以记名方式投票确定最终排名。</w:t>
            </w:r>
            <w:r>
              <w:rPr>
                <w:rFonts w:hint="eastAsia" w:ascii="宋体" w:hAnsi="宋体" w:cs="宋体"/>
                <w:szCs w:val="21"/>
                <w:highlight w:val="none"/>
              </w:rPr>
              <w:t>如果有否决投标提议，则评标委员会成员共同表决，按照少数服从多数的原则决定是否否决。</w:t>
            </w:r>
          </w:p>
          <w:p w14:paraId="037BE4F7">
            <w:pPr>
              <w:shd w:val="clear"/>
              <w:snapToGrid w:val="0"/>
              <w:ind w:left="0" w:leftChars="0" w:right="0" w:rightChars="0" w:firstLine="0" w:firstLineChars="0"/>
              <w:jc w:val="left"/>
              <w:rPr>
                <w:rFonts w:hint="eastAsia" w:ascii="宋体" w:hAnsi="宋体" w:cs="宋体"/>
                <w:szCs w:val="21"/>
                <w:highlight w:val="none"/>
                <w:u w:val="single"/>
              </w:rPr>
            </w:pPr>
            <w:r>
              <w:rPr>
                <w:rFonts w:hint="eastAsia" w:ascii="宋体" w:hAnsi="宋体" w:cs="宋体"/>
                <w:szCs w:val="21"/>
                <w:highlight w:val="none"/>
              </w:rPr>
              <w:t>(e)</w:t>
            </w:r>
            <w:r>
              <w:rPr>
                <w:rFonts w:hint="eastAsia" w:ascii="宋体" w:hAnsi="宋体" w:cs="宋体"/>
                <w:szCs w:val="21"/>
                <w:highlight w:val="none"/>
                <w:u w:val="single"/>
              </w:rPr>
              <w:t>按照4.5.1约定推荐入围定标阶段中标候选人。</w:t>
            </w:r>
          </w:p>
          <w:p w14:paraId="564687AD">
            <w:pPr>
              <w:pStyle w:val="15"/>
              <w:widowControl w:val="0"/>
              <w:shd w:val="clear"/>
              <w:snapToGrid w:val="0"/>
              <w:spacing w:beforeAutospacing="0" w:afterAutospacing="0"/>
              <w:ind w:left="0" w:leftChars="0" w:right="0" w:rightChars="0" w:firstLine="0" w:firstLineChars="0"/>
              <w:jc w:val="left"/>
              <w:rPr>
                <w:rFonts w:cs="宋体"/>
                <w:kern w:val="2"/>
                <w:sz w:val="21"/>
                <w:szCs w:val="21"/>
                <w:highlight w:val="none"/>
              </w:rPr>
            </w:pPr>
            <w:r>
              <w:rPr>
                <w:rFonts w:cs="宋体"/>
                <w:kern w:val="2"/>
                <w:sz w:val="21"/>
                <w:szCs w:val="21"/>
                <w:highlight w:val="none"/>
              </w:rPr>
              <w:t>(f)评标委员会揭晓投标人身份。</w:t>
            </w:r>
          </w:p>
          <w:p w14:paraId="05948FAF">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g)评标委员会按只有通过资格审查及有效性审查的投标人的投标文件方可进入下一阶段评审的评审原则，在揭晓投标人身份后，根据资格审查及有效性审查结果，取消被否决投标及未通过资格审查的投标人的投标。</w:t>
            </w:r>
            <w:r>
              <w:rPr>
                <w:rFonts w:hint="eastAsia" w:ascii="宋体" w:hAnsi="宋体" w:cs="宋体"/>
                <w:szCs w:val="21"/>
                <w:highlight w:val="none"/>
                <w:u w:val="single"/>
              </w:rPr>
              <w:t>合格中标候选人（联合体投标的社会信用代码选取联合体牵头方）按统一社会信用代码后4位（除校验码外）大小排位，不排序。如统一社会信用代码后4位（除校验码外）出现字母情况的，字母以“0”进行代替大小排位，如出现后4位（除校验码外）大小一致的，则随机排位。合格的中标候选人少于3家的，应当重新招标。</w:t>
            </w:r>
          </w:p>
          <w:p w14:paraId="7A518EBA">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（h）编写、签署评标报告，评标报告由评标委员会全体成员签字，对评标结论持有异议的评标委员会成员可以书面方式阐述其不同意见和理由。</w:t>
            </w:r>
          </w:p>
          <w:p w14:paraId="4666B96D">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(i)评标委员会向招标人提交书面评标报告后即告解散，评标过程中使用的文件、表格以及其他资料应当即时归还招标人（招标代理机构）。</w:t>
            </w:r>
          </w:p>
          <w:p w14:paraId="781C78FC">
            <w:pPr>
              <w:shd w:val="clear"/>
              <w:snapToGrid w:val="0"/>
              <w:ind w:left="0" w:leftChars="0" w:right="0" w:rightChars="0" w:firstLine="0" w:firstLineChars="0"/>
              <w:jc w:val="left"/>
              <w:rPr>
                <w:rFonts w:hint="eastAsia" w:ascii="宋体" w:hAnsi="宋体" w:cs="宋体"/>
                <w:szCs w:val="21"/>
                <w:highlight w:val="none"/>
                <w:u w:val="single"/>
              </w:rPr>
            </w:pPr>
            <w:r>
              <w:rPr>
                <w:rFonts w:hint="eastAsia" w:ascii="宋体" w:hAnsi="宋体" w:cs="宋体"/>
                <w:szCs w:val="21"/>
                <w:highlight w:val="none"/>
              </w:rPr>
              <w:t>（j）定标委员会定标。</w:t>
            </w:r>
            <w:r>
              <w:rPr>
                <w:rFonts w:hint="eastAsia" w:ascii="宋体" w:hAnsi="宋体" w:cs="宋体"/>
                <w:szCs w:val="21"/>
                <w:highlight w:val="none"/>
                <w:u w:val="single"/>
              </w:rPr>
              <w:t>定标委员会按附录16《定标原则》确定中标人。</w:t>
            </w:r>
          </w:p>
        </w:tc>
      </w:tr>
      <w:tr w14:paraId="26E3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3EB418BD">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7DBDB7D9">
            <w:pPr>
              <w:shd w:val="clear"/>
              <w:snapToGrid w:val="0"/>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5.1</w:t>
            </w:r>
          </w:p>
        </w:tc>
        <w:tc>
          <w:tcPr>
            <w:tcW w:w="3631" w:type="dxa"/>
            <w:tcBorders>
              <w:top w:val="single" w:color="auto" w:sz="4" w:space="0"/>
              <w:left w:val="single" w:color="auto" w:sz="4" w:space="0"/>
              <w:bottom w:val="single" w:color="auto" w:sz="4" w:space="0"/>
              <w:right w:val="single" w:color="auto" w:sz="4" w:space="0"/>
            </w:tcBorders>
            <w:vAlign w:val="center"/>
          </w:tcPr>
          <w:p w14:paraId="76111E02">
            <w:pPr>
              <w:shd w:val="clear"/>
              <w:snapToGrid w:val="0"/>
              <w:spacing w:line="240" w:lineRule="auto"/>
              <w:ind w:left="0" w:leftChars="0" w:right="0" w:rightChars="0" w:firstLine="0" w:firstLineChars="0"/>
              <w:jc w:val="left"/>
              <w:rPr>
                <w:rFonts w:hint="eastAsia" w:ascii="宋体" w:hAnsi="宋体" w:cs="宋体"/>
                <w:b/>
                <w:szCs w:val="21"/>
                <w:highlight w:val="none"/>
              </w:rPr>
            </w:pPr>
            <w:r>
              <w:rPr>
                <w:rFonts w:hint="eastAsia" w:ascii="宋体" w:hAnsi="宋体" w:cs="宋体"/>
                <w:b/>
                <w:szCs w:val="21"/>
                <w:highlight w:val="none"/>
              </w:rPr>
              <w:t>5.1    确定中标人</w:t>
            </w:r>
          </w:p>
          <w:p w14:paraId="03E935E0">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采用方式确定中标人：</w:t>
            </w:r>
          </w:p>
          <w:p w14:paraId="63BE4312">
            <w:pPr>
              <w:shd w:val="clear"/>
              <w:snapToGrid w:val="0"/>
              <w:spacing w:line="240" w:lineRule="auto"/>
              <w:ind w:left="0" w:leftChars="0" w:right="0" w:rightChars="0" w:firstLine="0" w:firstLineChars="0"/>
              <w:jc w:val="left"/>
              <w:rPr>
                <w:rFonts w:hint="eastAsia" w:ascii="宋体" w:hAnsi="宋体" w:cs="宋体"/>
                <w:b/>
                <w:szCs w:val="21"/>
                <w:highlight w:val="none"/>
              </w:rPr>
            </w:pPr>
            <w:r>
              <w:rPr>
                <w:rFonts w:hint="eastAsia" w:ascii="宋体" w:hAnsi="宋体" w:cs="宋体"/>
                <w:b/>
                <w:szCs w:val="21"/>
                <w:highlight w:val="none"/>
              </w:rPr>
              <w:t>方式一（适用于设置资格审查环节的项目）：</w:t>
            </w:r>
          </w:p>
          <w:p w14:paraId="7EC9A04E">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5.1.1  招标人在评标委员会或定标委员会推荐的中标候选人中确定中标人。</w:t>
            </w:r>
          </w:p>
          <w:p w14:paraId="0FFB31C2">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5.1.2  招标人确定中标人：</w:t>
            </w:r>
          </w:p>
          <w:p w14:paraId="44298300">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中标候选人为中标人，也可以重新招标。如定标委员会直接确定中标人的，可省略此步骤。</w:t>
            </w:r>
          </w:p>
          <w:p w14:paraId="7A752978">
            <w:pPr>
              <w:pStyle w:val="15"/>
              <w:widowControl w:val="0"/>
              <w:shd w:val="clear"/>
              <w:snapToGrid w:val="0"/>
              <w:spacing w:beforeAutospacing="0" w:afterAutospacing="0"/>
              <w:ind w:left="0" w:leftChars="0" w:right="0" w:rightChars="0" w:firstLine="0" w:firstLineChars="0"/>
              <w:jc w:val="left"/>
              <w:rPr>
                <w:rFonts w:cs="宋体"/>
                <w:sz w:val="21"/>
                <w:szCs w:val="21"/>
                <w:highlight w:val="none"/>
              </w:rPr>
            </w:pPr>
            <w:r>
              <w:rPr>
                <w:rFonts w:cs="宋体"/>
                <w:sz w:val="21"/>
                <w:szCs w:val="21"/>
                <w:highlight w:val="none"/>
              </w:rPr>
              <w:t>5.1.3 在产生中标候选人后，招标人将中标候选人的投标文件商务部分（包括报价清单、人员、业绩、奖项等资料）在交易平台和广东省招标投标监管网公开。</w:t>
            </w:r>
          </w:p>
          <w:p w14:paraId="1DA6E061">
            <w:pPr>
              <w:shd w:val="clear"/>
              <w:snapToGrid w:val="0"/>
              <w:spacing w:line="240" w:lineRule="auto"/>
              <w:ind w:left="0" w:leftChars="0" w:right="0" w:rightChars="0" w:firstLine="0" w:firstLineChars="0"/>
              <w:jc w:val="left"/>
              <w:rPr>
                <w:rFonts w:hint="eastAsia" w:ascii="宋体" w:hAnsi="宋体" w:cs="宋体"/>
                <w:b/>
                <w:szCs w:val="21"/>
                <w:highlight w:val="none"/>
              </w:rPr>
            </w:pPr>
            <w:r>
              <w:rPr>
                <w:rFonts w:hint="eastAsia" w:ascii="宋体" w:hAnsi="宋体" w:cs="宋体"/>
                <w:b/>
                <w:szCs w:val="21"/>
                <w:highlight w:val="none"/>
              </w:rPr>
              <w:t>方式二（适用于未设资格审查环节的项目）：</w:t>
            </w:r>
          </w:p>
          <w:p w14:paraId="6DEA0B4F">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5.1.1  招标人依据评标委员会或定标委员会推荐的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14:paraId="777F9950">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5.1.2  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通过资格复核的中标候选人为中标人，也可以重新招标。</w:t>
            </w:r>
          </w:p>
          <w:p w14:paraId="128D79E6">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5.1.3  定标委员会直接确定中标人，中标人未能通过资格复核的，招标失败。招标人应重新组织招标。</w:t>
            </w:r>
          </w:p>
          <w:p w14:paraId="23F9D9DA">
            <w:pPr>
              <w:pStyle w:val="15"/>
              <w:widowControl w:val="0"/>
              <w:shd w:val="clear"/>
              <w:snapToGrid w:val="0"/>
              <w:spacing w:beforeAutospacing="0" w:afterAutospacing="0"/>
              <w:ind w:left="0" w:leftChars="0" w:right="0" w:rightChars="0" w:firstLine="0" w:firstLineChars="0"/>
              <w:jc w:val="left"/>
              <w:rPr>
                <w:rFonts w:cs="宋体"/>
                <w:sz w:val="20"/>
                <w:szCs w:val="20"/>
                <w:highlight w:val="none"/>
              </w:rPr>
            </w:pPr>
            <w:r>
              <w:rPr>
                <w:rFonts w:cs="宋体"/>
                <w:sz w:val="20"/>
                <w:szCs w:val="20"/>
                <w:highlight w:val="none"/>
              </w:rPr>
              <w:t>5.1.4  在产生中标候选人后，招标人将中标候选人的投标文件商务部分（包括报价清单、人员、业绩、奖项等资料）在交易平台和广东省招标投标监管网公开。</w:t>
            </w:r>
          </w:p>
        </w:tc>
        <w:tc>
          <w:tcPr>
            <w:tcW w:w="3379" w:type="dxa"/>
            <w:tcBorders>
              <w:top w:val="single" w:color="auto" w:sz="4" w:space="0"/>
              <w:left w:val="single" w:color="auto" w:sz="4" w:space="0"/>
              <w:bottom w:val="single" w:color="auto" w:sz="4" w:space="0"/>
              <w:right w:val="single" w:color="auto" w:sz="4" w:space="0"/>
            </w:tcBorders>
            <w:vAlign w:val="center"/>
          </w:tcPr>
          <w:p w14:paraId="6A160089">
            <w:pPr>
              <w:shd w:val="clear"/>
              <w:snapToGrid w:val="0"/>
              <w:spacing w:line="240" w:lineRule="auto"/>
              <w:ind w:left="0" w:leftChars="0" w:right="0" w:rightChars="0" w:firstLine="0" w:firstLineChars="0"/>
              <w:jc w:val="left"/>
              <w:rPr>
                <w:rFonts w:hint="eastAsia" w:ascii="宋体" w:hAnsi="宋体" w:cs="宋体"/>
                <w:b/>
                <w:szCs w:val="21"/>
                <w:highlight w:val="none"/>
              </w:rPr>
            </w:pPr>
            <w:r>
              <w:rPr>
                <w:rFonts w:hint="eastAsia" w:ascii="宋体" w:hAnsi="宋体" w:cs="宋体"/>
                <w:b/>
                <w:szCs w:val="21"/>
                <w:highlight w:val="none"/>
              </w:rPr>
              <w:t>5.1    确定中标人</w:t>
            </w:r>
          </w:p>
          <w:p w14:paraId="55DFC44A">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采用方式</w:t>
            </w:r>
            <w:r>
              <w:rPr>
                <w:rFonts w:hint="eastAsia" w:ascii="宋体" w:hAnsi="宋体" w:cs="宋体"/>
                <w:szCs w:val="21"/>
                <w:highlight w:val="none"/>
                <w:u w:val="single"/>
              </w:rPr>
              <w:t>一</w:t>
            </w:r>
            <w:r>
              <w:rPr>
                <w:rFonts w:hint="eastAsia" w:ascii="宋体" w:hAnsi="宋体" w:cs="宋体"/>
                <w:szCs w:val="21"/>
                <w:highlight w:val="none"/>
              </w:rPr>
              <w:t>确定中标人：</w:t>
            </w:r>
          </w:p>
          <w:p w14:paraId="4C1F12D3">
            <w:pPr>
              <w:shd w:val="clear"/>
              <w:snapToGrid w:val="0"/>
              <w:spacing w:line="240" w:lineRule="auto"/>
              <w:ind w:left="0" w:leftChars="0" w:right="0" w:rightChars="0" w:firstLine="0" w:firstLineChars="0"/>
              <w:jc w:val="left"/>
              <w:rPr>
                <w:rFonts w:hint="eastAsia" w:ascii="宋体" w:hAnsi="宋体" w:cs="宋体"/>
                <w:b/>
                <w:szCs w:val="21"/>
                <w:highlight w:val="none"/>
              </w:rPr>
            </w:pPr>
            <w:r>
              <w:rPr>
                <w:rFonts w:hint="eastAsia" w:ascii="宋体" w:hAnsi="宋体" w:cs="宋体"/>
                <w:b/>
                <w:szCs w:val="21"/>
                <w:highlight w:val="none"/>
              </w:rPr>
              <w:t>方式一（适用于设置资格审查环节的项目）：</w:t>
            </w:r>
          </w:p>
          <w:p w14:paraId="18F777A0">
            <w:pPr>
              <w:pStyle w:val="15"/>
              <w:widowControl w:val="0"/>
              <w:shd w:val="clear"/>
              <w:snapToGrid w:val="0"/>
              <w:spacing w:beforeAutospacing="0" w:afterAutospacing="0"/>
              <w:ind w:left="0" w:leftChars="0" w:right="0" w:rightChars="0" w:firstLine="0" w:firstLineChars="0"/>
              <w:jc w:val="left"/>
              <w:rPr>
                <w:rFonts w:cs="宋体"/>
                <w:sz w:val="21"/>
                <w:szCs w:val="21"/>
                <w:highlight w:val="none"/>
                <w:u w:val="single"/>
              </w:rPr>
            </w:pPr>
            <w:r>
              <w:rPr>
                <w:rFonts w:cs="宋体"/>
                <w:sz w:val="21"/>
                <w:szCs w:val="21"/>
                <w:highlight w:val="none"/>
              </w:rPr>
              <w:t xml:space="preserve">5.1.1  </w:t>
            </w:r>
            <w:r>
              <w:rPr>
                <w:rFonts w:cs="宋体"/>
                <w:sz w:val="21"/>
                <w:szCs w:val="21"/>
                <w:highlight w:val="none"/>
                <w:u w:val="single"/>
              </w:rPr>
              <w:t>评标委员会</w:t>
            </w:r>
            <w:r>
              <w:rPr>
                <w:rFonts w:hint="eastAsia" w:cs="宋体"/>
                <w:sz w:val="21"/>
                <w:szCs w:val="21"/>
                <w:highlight w:val="none"/>
                <w:u w:val="single"/>
                <w:lang w:eastAsia="zh-CN"/>
              </w:rPr>
              <w:t>按</w:t>
            </w:r>
            <w:r>
              <w:rPr>
                <w:rFonts w:cs="宋体"/>
                <w:sz w:val="21"/>
                <w:szCs w:val="21"/>
                <w:highlight w:val="none"/>
                <w:u w:val="single"/>
              </w:rPr>
              <w:t>照4.5.1约定推荐入围定标阶段中标候选人；定标委员会对合格中标候选人进行评审打分并计算综合得分，定标委员会按得分由高到低顺序，确定中标候选人的名次，若定标综合得分相同时，以定标阶段方案因素部分得分高的排前；如仍存在相同情况，由定标委员会成员记名投票决定排序。</w:t>
            </w:r>
          </w:p>
          <w:p w14:paraId="4BA6D3CA">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kern w:val="0"/>
                <w:szCs w:val="21"/>
                <w:highlight w:val="none"/>
              </w:rPr>
              <w:t>5.1.2 招</w:t>
            </w:r>
            <w:r>
              <w:rPr>
                <w:rFonts w:hint="eastAsia" w:ascii="宋体" w:hAnsi="宋体" w:cs="宋体"/>
                <w:szCs w:val="21"/>
                <w:highlight w:val="none"/>
              </w:rPr>
              <w:t>标人确定中标人：</w:t>
            </w:r>
          </w:p>
          <w:p w14:paraId="624625B5">
            <w:pPr>
              <w:pStyle w:val="15"/>
              <w:widowControl w:val="0"/>
              <w:shd w:val="clear"/>
              <w:snapToGrid w:val="0"/>
              <w:spacing w:beforeAutospacing="0" w:afterAutospacing="0"/>
              <w:ind w:left="0" w:leftChars="0" w:right="0" w:rightChars="0" w:firstLine="0" w:firstLineChars="0"/>
              <w:jc w:val="left"/>
              <w:rPr>
                <w:rFonts w:cs="宋体"/>
                <w:sz w:val="21"/>
                <w:szCs w:val="21"/>
                <w:highlight w:val="none"/>
              </w:rPr>
            </w:pPr>
            <w:r>
              <w:rPr>
                <w:rFonts w:cs="宋体"/>
                <w:sz w:val="21"/>
                <w:szCs w:val="21"/>
                <w:highlight w:val="none"/>
              </w:rPr>
              <w:t>应当确定定标阶段排名第一的中标候选人为中标人。排名第一的中标候选人放弃中标、因不可抗力不能履行合同、不按照招标文件要求提交履约保证金，或者被查实存在影响中标结果的违法行为等情形，不符合中标条件的，招标人可以按照定标委员会提出的中标候选人名单排序依次确定其他中标候选人为中标人，也可以重新招标。</w:t>
            </w:r>
          </w:p>
          <w:p w14:paraId="01397A0E">
            <w:pPr>
              <w:pStyle w:val="15"/>
              <w:widowControl w:val="0"/>
              <w:shd w:val="clear"/>
              <w:snapToGrid w:val="0"/>
              <w:spacing w:beforeAutospacing="0" w:afterAutospacing="0"/>
              <w:ind w:left="0" w:leftChars="0" w:right="0" w:rightChars="0" w:firstLine="0" w:firstLineChars="0"/>
              <w:jc w:val="left"/>
              <w:rPr>
                <w:rFonts w:cs="宋体"/>
                <w:sz w:val="21"/>
                <w:szCs w:val="21"/>
                <w:highlight w:val="none"/>
              </w:rPr>
            </w:pPr>
            <w:r>
              <w:rPr>
                <w:rFonts w:cs="宋体"/>
                <w:sz w:val="21"/>
                <w:szCs w:val="21"/>
                <w:highlight w:val="none"/>
              </w:rPr>
              <w:t>5.1.3 在产生中标</w:t>
            </w:r>
            <w:r>
              <w:rPr>
                <w:rFonts w:cs="宋体"/>
                <w:kern w:val="2"/>
                <w:sz w:val="21"/>
                <w:szCs w:val="21"/>
                <w:highlight w:val="none"/>
              </w:rPr>
              <w:t>候选人</w:t>
            </w:r>
            <w:r>
              <w:rPr>
                <w:rFonts w:cs="宋体"/>
                <w:sz w:val="21"/>
                <w:szCs w:val="21"/>
                <w:highlight w:val="none"/>
              </w:rPr>
              <w:t>后，招标人将中标候选人的投标文件的商务部分（包括人员、业绩、奖项等资料）在广州交易集团有限公司（广州公共资源交易中心）网站和广东省招标投标监管网公开。</w:t>
            </w:r>
          </w:p>
          <w:p w14:paraId="6874F035">
            <w:pPr>
              <w:pStyle w:val="15"/>
              <w:widowControl w:val="0"/>
              <w:shd w:val="clear"/>
              <w:snapToGrid w:val="0"/>
              <w:spacing w:beforeAutospacing="0" w:afterAutospacing="0"/>
              <w:jc w:val="left"/>
              <w:rPr>
                <w:rFonts w:cs="宋体"/>
                <w:b/>
                <w:bCs/>
                <w:sz w:val="21"/>
                <w:szCs w:val="21"/>
                <w:highlight w:val="none"/>
                <w:u w:val="single"/>
              </w:rPr>
            </w:pPr>
            <w:r>
              <w:rPr>
                <w:rFonts w:cs="宋体"/>
                <w:sz w:val="21"/>
                <w:szCs w:val="21"/>
                <w:highlight w:val="none"/>
                <w:u w:val="single"/>
              </w:rPr>
              <w:t>5.1.4招标人将在广州交易集团有限公司（广州公共资源交易中心）网站、</w:t>
            </w:r>
            <w:r>
              <w:rPr>
                <w:rFonts w:hint="eastAsia" w:cs="宋体"/>
                <w:sz w:val="21"/>
                <w:szCs w:val="21"/>
                <w:highlight w:val="none"/>
                <w:u w:val="single"/>
              </w:rPr>
              <w:t>广州国企阳光采购信息发布平台网站</w:t>
            </w:r>
            <w:r>
              <w:rPr>
                <w:rFonts w:hint="eastAsia" w:cs="宋体"/>
                <w:sz w:val="21"/>
                <w:szCs w:val="21"/>
                <w:highlight w:val="none"/>
                <w:u w:val="single"/>
                <w:lang w:eastAsia="zh-CN"/>
              </w:rPr>
              <w:t>、</w:t>
            </w:r>
            <w:r>
              <w:rPr>
                <w:rFonts w:cs="宋体"/>
                <w:sz w:val="21"/>
                <w:szCs w:val="21"/>
                <w:highlight w:val="none"/>
                <w:u w:val="single"/>
              </w:rPr>
              <w:t>广东省招标投标监管网和中国招标投标公共服务平台公示中标候选人，公示期为三天，公示期间的最后1天应当为工作日，否则将公示期的最后1天顺延至下一个工作日。</w:t>
            </w:r>
            <w:r>
              <w:rPr>
                <w:rFonts w:cs="宋体"/>
                <w:b/>
                <w:bCs/>
                <w:sz w:val="21"/>
                <w:szCs w:val="21"/>
                <w:highlight w:val="none"/>
                <w:u w:val="single"/>
              </w:rPr>
              <w:t>投标人或其他利害关系人对评标结果有异议的，应当在中标候选人公示期间提出，可以通过线上的形式提出异议。线上提交的，应通过交易平台进行，招标人也应通过交易平台答复线上提交的异议。作出答复前，应当暂停招标投标活动。</w:t>
            </w:r>
          </w:p>
        </w:tc>
      </w:tr>
      <w:tr w14:paraId="6388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0C74F491">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47E7651A">
            <w:pPr>
              <w:shd w:val="clear"/>
              <w:snapToGrid w:val="0"/>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5.2.2.1</w:t>
            </w:r>
          </w:p>
        </w:tc>
        <w:tc>
          <w:tcPr>
            <w:tcW w:w="3631" w:type="dxa"/>
            <w:tcBorders>
              <w:top w:val="single" w:color="auto" w:sz="4" w:space="0"/>
              <w:left w:val="single" w:color="auto" w:sz="4" w:space="0"/>
              <w:bottom w:val="single" w:color="auto" w:sz="4" w:space="0"/>
              <w:right w:val="single" w:color="auto" w:sz="4" w:space="0"/>
            </w:tcBorders>
            <w:vAlign w:val="center"/>
          </w:tcPr>
          <w:p w14:paraId="23D18956">
            <w:pPr>
              <w:shd w:val="clear"/>
              <w:snapToGrid w:val="0"/>
              <w:spacing w:line="240" w:lineRule="auto"/>
              <w:ind w:left="0" w:leftChars="0" w:right="0" w:rightChars="0" w:firstLine="0" w:firstLineChars="0"/>
              <w:jc w:val="left"/>
              <w:rPr>
                <w:rFonts w:hint="eastAsia" w:ascii="宋体" w:hAnsi="宋体" w:cs="宋体"/>
                <w:b/>
                <w:szCs w:val="21"/>
                <w:highlight w:val="none"/>
              </w:rPr>
            </w:pPr>
            <w:r>
              <w:rPr>
                <w:rFonts w:hint="eastAsia" w:ascii="宋体" w:hAnsi="宋体" w:cs="宋体"/>
                <w:b/>
                <w:szCs w:val="21"/>
                <w:highlight w:val="none"/>
              </w:rPr>
              <w:t>增加</w:t>
            </w:r>
          </w:p>
        </w:tc>
        <w:tc>
          <w:tcPr>
            <w:tcW w:w="3379" w:type="dxa"/>
            <w:tcBorders>
              <w:top w:val="single" w:color="auto" w:sz="4" w:space="0"/>
              <w:left w:val="single" w:color="auto" w:sz="4" w:space="0"/>
              <w:bottom w:val="single" w:color="auto" w:sz="4" w:space="0"/>
              <w:right w:val="single" w:color="auto" w:sz="4" w:space="0"/>
            </w:tcBorders>
            <w:vAlign w:val="center"/>
          </w:tcPr>
          <w:p w14:paraId="3EB8FD4A">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u w:val="single"/>
              </w:rPr>
              <w:t>5.2.2.1经招标人同意，中标人可以把中标项目的部分非主体、非关键性工作分包给具有相应资质和能力的专业单位实施，但不得再次分包。并且分包工作需按照服务合同分包条款执行。</w:t>
            </w:r>
          </w:p>
        </w:tc>
      </w:tr>
      <w:tr w14:paraId="39DF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078B7389">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14180AF4">
            <w:pPr>
              <w:shd w:val="clear"/>
              <w:snapToGrid w:val="0"/>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5.2.6</w:t>
            </w:r>
          </w:p>
        </w:tc>
        <w:tc>
          <w:tcPr>
            <w:tcW w:w="3631" w:type="dxa"/>
            <w:tcBorders>
              <w:top w:val="single" w:color="auto" w:sz="4" w:space="0"/>
              <w:left w:val="single" w:color="auto" w:sz="4" w:space="0"/>
              <w:bottom w:val="single" w:color="auto" w:sz="4" w:space="0"/>
              <w:right w:val="single" w:color="auto" w:sz="4" w:space="0"/>
            </w:tcBorders>
            <w:vAlign w:val="center"/>
          </w:tcPr>
          <w:p w14:paraId="34BF77EE">
            <w:pPr>
              <w:shd w:val="clear"/>
              <w:snapToGrid w:val="0"/>
              <w:spacing w:line="240" w:lineRule="auto"/>
              <w:ind w:left="0" w:leftChars="0" w:right="0" w:rightChars="0" w:firstLine="0" w:firstLineChars="0"/>
              <w:jc w:val="left"/>
              <w:rPr>
                <w:rFonts w:hint="eastAsia" w:ascii="宋体" w:hAnsi="宋体" w:cs="宋体"/>
                <w:b/>
                <w:szCs w:val="21"/>
                <w:highlight w:val="none"/>
              </w:rPr>
            </w:pPr>
            <w:r>
              <w:rPr>
                <w:rFonts w:hint="eastAsia" w:ascii="宋体" w:hAnsi="宋体" w:cs="宋体"/>
                <w:b/>
                <w:szCs w:val="21"/>
                <w:highlight w:val="none"/>
              </w:rPr>
              <w:t>新增</w:t>
            </w:r>
          </w:p>
        </w:tc>
        <w:tc>
          <w:tcPr>
            <w:tcW w:w="3379" w:type="dxa"/>
            <w:tcBorders>
              <w:top w:val="single" w:color="auto" w:sz="4" w:space="0"/>
              <w:left w:val="single" w:color="auto" w:sz="4" w:space="0"/>
              <w:bottom w:val="single" w:color="auto" w:sz="4" w:space="0"/>
              <w:right w:val="single" w:color="auto" w:sz="4" w:space="0"/>
            </w:tcBorders>
            <w:vAlign w:val="center"/>
          </w:tcPr>
          <w:p w14:paraId="72BA2F70">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5.2.6</w:t>
            </w:r>
            <w:r>
              <w:rPr>
                <w:rFonts w:hint="eastAsia" w:ascii="宋体" w:hAnsi="宋体" w:cs="宋体"/>
                <w:szCs w:val="21"/>
                <w:highlight w:val="none"/>
                <w:u w:val="single"/>
              </w:rPr>
              <w:t>中标人在中标公示后，签订合同前，须提供与所递交投标电子标书内容一致且加盖单位公章的纸质文件二套及电子文件二套（包括所递交投标电子标书内容一致的设计方案A3版及设计图纸、资格审查文件等投标文件；补齐遗漏表格及相关内容或者无条件接受招标人给出的表格及相关内容。电子文件介质使用CD-R光盘或U盘，所有电子文件不能采用压缩处理）给招标人（具体份数以招标人通知为准。）</w:t>
            </w:r>
            <w:r>
              <w:rPr>
                <w:rFonts w:hint="eastAsia" w:ascii="宋体" w:hAnsi="宋体" w:cs="宋体"/>
                <w:szCs w:val="21"/>
                <w:highlight w:val="none"/>
              </w:rPr>
              <w:t>。</w:t>
            </w:r>
          </w:p>
        </w:tc>
      </w:tr>
      <w:tr w14:paraId="7EAF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0880FFFC">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4B20EFD7">
            <w:pPr>
              <w:shd w:val="clear"/>
              <w:snapToGrid w:val="0"/>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5.3.5</w:t>
            </w:r>
          </w:p>
        </w:tc>
        <w:tc>
          <w:tcPr>
            <w:tcW w:w="3631" w:type="dxa"/>
            <w:tcBorders>
              <w:top w:val="single" w:color="auto" w:sz="4" w:space="0"/>
              <w:left w:val="single" w:color="auto" w:sz="4" w:space="0"/>
              <w:bottom w:val="single" w:color="auto" w:sz="4" w:space="0"/>
              <w:right w:val="single" w:color="auto" w:sz="4" w:space="0"/>
            </w:tcBorders>
            <w:vAlign w:val="center"/>
          </w:tcPr>
          <w:p w14:paraId="6D4745F0">
            <w:pPr>
              <w:shd w:val="clear"/>
              <w:snapToGrid w:val="0"/>
              <w:spacing w:line="240" w:lineRule="auto"/>
              <w:ind w:left="0" w:leftChars="0" w:right="0" w:rightChars="0" w:firstLine="0" w:firstLineChars="0"/>
              <w:jc w:val="left"/>
              <w:rPr>
                <w:rFonts w:hint="eastAsia" w:ascii="宋体" w:hAnsi="宋体" w:cs="宋体"/>
                <w:b/>
                <w:szCs w:val="21"/>
                <w:highlight w:val="none"/>
              </w:rPr>
            </w:pPr>
            <w:r>
              <w:rPr>
                <w:rFonts w:hint="eastAsia" w:ascii="宋体" w:hAnsi="宋体" w:cs="宋体"/>
                <w:b/>
                <w:szCs w:val="21"/>
                <w:highlight w:val="none"/>
              </w:rPr>
              <w:t>新增</w:t>
            </w:r>
          </w:p>
        </w:tc>
        <w:tc>
          <w:tcPr>
            <w:tcW w:w="3379" w:type="dxa"/>
            <w:tcBorders>
              <w:top w:val="single" w:color="auto" w:sz="4" w:space="0"/>
              <w:left w:val="single" w:color="auto" w:sz="4" w:space="0"/>
              <w:bottom w:val="single" w:color="auto" w:sz="4" w:space="0"/>
              <w:right w:val="single" w:color="auto" w:sz="4" w:space="0"/>
            </w:tcBorders>
            <w:vAlign w:val="center"/>
          </w:tcPr>
          <w:p w14:paraId="7175B8D1">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 xml:space="preserve">5.3.5 </w:t>
            </w:r>
            <w:r>
              <w:rPr>
                <w:rFonts w:hint="eastAsia" w:ascii="宋体" w:hAnsi="宋体" w:cs="宋体"/>
                <w:szCs w:val="21"/>
                <w:highlight w:val="none"/>
                <w:u w:val="single"/>
              </w:rPr>
              <w:t>中标人应按合同规定提交中标价款（人民币） 10 %的</w:t>
            </w:r>
            <w:r>
              <w:rPr>
                <w:rFonts w:hint="eastAsia" w:ascii="宋体" w:hAnsi="宋体" w:cs="宋体"/>
                <w:szCs w:val="21"/>
                <w:highlight w:val="none"/>
                <w:u w:val="single"/>
                <w:lang w:eastAsia="zh-CN"/>
              </w:rPr>
              <w:t>履约保证金</w:t>
            </w:r>
            <w:r>
              <w:rPr>
                <w:rFonts w:hint="eastAsia" w:ascii="宋体" w:hAnsi="宋体" w:cs="宋体"/>
                <w:szCs w:val="21"/>
                <w:highlight w:val="none"/>
              </w:rPr>
              <w:t>。</w:t>
            </w:r>
          </w:p>
        </w:tc>
      </w:tr>
      <w:tr w14:paraId="465F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7CF6570B">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5AAF4626">
            <w:pPr>
              <w:shd w:val="clear"/>
              <w:snapToGrid w:val="0"/>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5.3.6</w:t>
            </w:r>
          </w:p>
        </w:tc>
        <w:tc>
          <w:tcPr>
            <w:tcW w:w="3631" w:type="dxa"/>
            <w:tcBorders>
              <w:top w:val="single" w:color="auto" w:sz="4" w:space="0"/>
              <w:left w:val="single" w:color="auto" w:sz="4" w:space="0"/>
              <w:bottom w:val="single" w:color="auto" w:sz="4" w:space="0"/>
              <w:right w:val="single" w:color="auto" w:sz="4" w:space="0"/>
            </w:tcBorders>
            <w:vAlign w:val="center"/>
          </w:tcPr>
          <w:p w14:paraId="46C838A8">
            <w:pPr>
              <w:shd w:val="clear"/>
              <w:snapToGrid w:val="0"/>
              <w:spacing w:line="240" w:lineRule="auto"/>
              <w:ind w:left="0" w:leftChars="0" w:right="0" w:rightChars="0" w:firstLine="0" w:firstLineChars="0"/>
              <w:jc w:val="left"/>
              <w:rPr>
                <w:rFonts w:hint="eastAsia" w:ascii="宋体" w:hAnsi="宋体" w:cs="宋体"/>
                <w:b/>
                <w:szCs w:val="21"/>
                <w:highlight w:val="none"/>
              </w:rPr>
            </w:pPr>
            <w:r>
              <w:rPr>
                <w:rFonts w:hint="eastAsia" w:ascii="宋体" w:hAnsi="宋体" w:cs="宋体"/>
                <w:b/>
                <w:szCs w:val="21"/>
                <w:highlight w:val="none"/>
              </w:rPr>
              <w:t>新增</w:t>
            </w:r>
          </w:p>
        </w:tc>
        <w:tc>
          <w:tcPr>
            <w:tcW w:w="3379" w:type="dxa"/>
            <w:tcBorders>
              <w:top w:val="single" w:color="auto" w:sz="4" w:space="0"/>
              <w:left w:val="single" w:color="auto" w:sz="4" w:space="0"/>
              <w:bottom w:val="single" w:color="auto" w:sz="4" w:space="0"/>
              <w:right w:val="single" w:color="auto" w:sz="4" w:space="0"/>
            </w:tcBorders>
            <w:vAlign w:val="center"/>
          </w:tcPr>
          <w:p w14:paraId="139219D4">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5.3.6</w:t>
            </w:r>
            <w:r>
              <w:rPr>
                <w:rFonts w:hint="eastAsia" w:ascii="宋体" w:hAnsi="宋体" w:cs="宋体"/>
                <w:szCs w:val="21"/>
                <w:highlight w:val="none"/>
                <w:u w:val="single"/>
              </w:rPr>
              <w:t>交易服务费：中标人按《广州市发展改革委转发省发展改革委关于规范公共资源交易服务收费及有关问题的通知》（穗发改〔2017〕811号）文件的规定，向广州公共资源交易中心（收款单位：广州交易集团有限公司）代缴交易服务费，交易服务费的金额为中标总金额的0.9‰，其费用包含在中标人投标报价中，招标人不另行支付。</w:t>
            </w:r>
          </w:p>
        </w:tc>
      </w:tr>
      <w:tr w14:paraId="5DE3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3524F79A">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3029684D">
            <w:pPr>
              <w:shd w:val="clear"/>
              <w:snapToGrid w:val="0"/>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5.3.6</w:t>
            </w:r>
          </w:p>
        </w:tc>
        <w:tc>
          <w:tcPr>
            <w:tcW w:w="3631" w:type="dxa"/>
            <w:tcBorders>
              <w:top w:val="single" w:color="auto" w:sz="4" w:space="0"/>
              <w:left w:val="single" w:color="auto" w:sz="4" w:space="0"/>
              <w:bottom w:val="single" w:color="auto" w:sz="4" w:space="0"/>
              <w:right w:val="single" w:color="auto" w:sz="4" w:space="0"/>
            </w:tcBorders>
            <w:vAlign w:val="center"/>
          </w:tcPr>
          <w:p w14:paraId="0C1D5EFA">
            <w:pPr>
              <w:shd w:val="clear"/>
              <w:snapToGrid w:val="0"/>
              <w:spacing w:line="240" w:lineRule="auto"/>
              <w:ind w:left="0" w:leftChars="0" w:right="0" w:rightChars="0" w:firstLine="0" w:firstLineChars="0"/>
              <w:jc w:val="left"/>
              <w:rPr>
                <w:rFonts w:hint="eastAsia" w:ascii="宋体" w:hAnsi="宋体" w:cs="宋体"/>
                <w:b/>
                <w:szCs w:val="21"/>
                <w:highlight w:val="none"/>
              </w:rPr>
            </w:pPr>
            <w:r>
              <w:rPr>
                <w:rFonts w:hint="eastAsia" w:ascii="宋体" w:hAnsi="宋体" w:cs="宋体"/>
                <w:b/>
                <w:szCs w:val="21"/>
                <w:highlight w:val="none"/>
              </w:rPr>
              <w:t>新增</w:t>
            </w:r>
          </w:p>
        </w:tc>
        <w:tc>
          <w:tcPr>
            <w:tcW w:w="3379" w:type="dxa"/>
            <w:tcBorders>
              <w:top w:val="single" w:color="auto" w:sz="4" w:space="0"/>
              <w:left w:val="single" w:color="auto" w:sz="4" w:space="0"/>
              <w:bottom w:val="single" w:color="auto" w:sz="4" w:space="0"/>
              <w:right w:val="single" w:color="auto" w:sz="4" w:space="0"/>
            </w:tcBorders>
            <w:vAlign w:val="center"/>
          </w:tcPr>
          <w:p w14:paraId="03E6E6B8">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5.3.7</w:t>
            </w:r>
            <w:r>
              <w:rPr>
                <w:rFonts w:hint="eastAsia" w:ascii="宋体" w:hAnsi="宋体" w:cs="宋体"/>
                <w:szCs w:val="21"/>
                <w:highlight w:val="none"/>
                <w:u w:val="single"/>
              </w:rPr>
              <w:t>招标代理费：本项目招标代理费由中标人支付，具体详见招标代理合同。</w:t>
            </w:r>
          </w:p>
        </w:tc>
      </w:tr>
      <w:tr w14:paraId="4E34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452DB3F0">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27063E2A">
            <w:pPr>
              <w:shd w:val="clear"/>
              <w:snapToGrid w:val="0"/>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6.1.6</w:t>
            </w:r>
          </w:p>
        </w:tc>
        <w:tc>
          <w:tcPr>
            <w:tcW w:w="3631" w:type="dxa"/>
            <w:tcBorders>
              <w:top w:val="single" w:color="auto" w:sz="4" w:space="0"/>
              <w:left w:val="single" w:color="auto" w:sz="4" w:space="0"/>
              <w:bottom w:val="single" w:color="auto" w:sz="4" w:space="0"/>
              <w:right w:val="single" w:color="auto" w:sz="4" w:space="0"/>
            </w:tcBorders>
            <w:vAlign w:val="center"/>
          </w:tcPr>
          <w:p w14:paraId="3C8B5965">
            <w:pPr>
              <w:shd w:val="clear"/>
              <w:snapToGrid w:val="0"/>
              <w:spacing w:line="240" w:lineRule="auto"/>
              <w:ind w:left="0" w:leftChars="0" w:right="0" w:rightChars="0" w:firstLine="0" w:firstLineChars="0"/>
              <w:jc w:val="left"/>
              <w:rPr>
                <w:rFonts w:hint="eastAsia" w:ascii="宋体" w:hAnsi="宋体" w:cs="宋体"/>
                <w:b/>
                <w:szCs w:val="21"/>
                <w:highlight w:val="none"/>
              </w:rPr>
            </w:pPr>
            <w:r>
              <w:rPr>
                <w:rFonts w:hint="eastAsia" w:ascii="宋体" w:hAnsi="宋体" w:cs="宋体"/>
                <w:b/>
                <w:szCs w:val="21"/>
                <w:highlight w:val="none"/>
              </w:rPr>
              <w:t>新增</w:t>
            </w:r>
          </w:p>
        </w:tc>
        <w:tc>
          <w:tcPr>
            <w:tcW w:w="3379" w:type="dxa"/>
            <w:tcBorders>
              <w:top w:val="single" w:color="auto" w:sz="4" w:space="0"/>
              <w:left w:val="single" w:color="auto" w:sz="4" w:space="0"/>
              <w:bottom w:val="single" w:color="auto" w:sz="4" w:space="0"/>
              <w:right w:val="single" w:color="auto" w:sz="4" w:space="0"/>
            </w:tcBorders>
            <w:vAlign w:val="center"/>
          </w:tcPr>
          <w:p w14:paraId="03EF0051">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6.1.6</w:t>
            </w:r>
            <w:r>
              <w:rPr>
                <w:rFonts w:hint="eastAsia" w:ascii="宋体" w:hAnsi="宋体" w:cs="宋体"/>
                <w:szCs w:val="21"/>
                <w:highlight w:val="none"/>
                <w:u w:val="single"/>
              </w:rPr>
              <w:t>中标通知书发出之日起30日内，中标人应按照招标文件和中标人的投标文件积极配合招标人完成合同签订工作。中标通知书发出之日起30日后，中标人无正当理由不与招标人订立合同的，招标人有权解除中标通知书，并且招标人可从其他合格的中标候选人中采用原定标办法，由原定标委员会确定中标人，也可以重新招标。</w:t>
            </w:r>
          </w:p>
        </w:tc>
      </w:tr>
      <w:tr w14:paraId="514D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377E0472">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0DB94A0E">
            <w:pPr>
              <w:shd w:val="clear"/>
              <w:snapToGrid w:val="0"/>
              <w:spacing w:line="240" w:lineRule="auto"/>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7.2.1</w:t>
            </w:r>
          </w:p>
        </w:tc>
        <w:tc>
          <w:tcPr>
            <w:tcW w:w="3631" w:type="dxa"/>
            <w:tcBorders>
              <w:top w:val="single" w:color="auto" w:sz="4" w:space="0"/>
              <w:left w:val="single" w:color="auto" w:sz="4" w:space="0"/>
              <w:bottom w:val="single" w:color="auto" w:sz="4" w:space="0"/>
              <w:right w:val="single" w:color="auto" w:sz="4" w:space="0"/>
            </w:tcBorders>
            <w:vAlign w:val="center"/>
          </w:tcPr>
          <w:p w14:paraId="3EFFF0D2">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7.2.1  授予合同并支付定金后，中标方案的发表权、展览权、使用权归招标人和中标人共有。</w:t>
            </w:r>
          </w:p>
        </w:tc>
        <w:tc>
          <w:tcPr>
            <w:tcW w:w="3379" w:type="dxa"/>
            <w:tcBorders>
              <w:top w:val="single" w:color="auto" w:sz="4" w:space="0"/>
              <w:left w:val="single" w:color="auto" w:sz="4" w:space="0"/>
              <w:bottom w:val="single" w:color="auto" w:sz="4" w:space="0"/>
              <w:right w:val="single" w:color="auto" w:sz="4" w:space="0"/>
            </w:tcBorders>
            <w:vAlign w:val="center"/>
          </w:tcPr>
          <w:p w14:paraId="346E8C04">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7.2.1  授予合同并支付</w:t>
            </w:r>
            <w:r>
              <w:rPr>
                <w:rFonts w:hint="eastAsia" w:ascii="宋体" w:hAnsi="宋体" w:cs="宋体"/>
                <w:szCs w:val="21"/>
                <w:highlight w:val="none"/>
                <w:u w:val="single"/>
              </w:rPr>
              <w:t>预付款</w:t>
            </w:r>
            <w:r>
              <w:rPr>
                <w:rFonts w:hint="eastAsia" w:ascii="宋体" w:hAnsi="宋体" w:cs="宋体"/>
                <w:szCs w:val="21"/>
                <w:highlight w:val="none"/>
              </w:rPr>
              <w:t>后，中标方案的发表权、展览权、使用权归招标人和中标人共有。</w:t>
            </w:r>
          </w:p>
        </w:tc>
      </w:tr>
      <w:tr w14:paraId="3160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1E08B443">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70AE86A7">
            <w:pPr>
              <w:shd w:val="clear"/>
              <w:snapToGrid w:val="0"/>
              <w:spacing w:line="240" w:lineRule="auto"/>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第八章</w:t>
            </w:r>
          </w:p>
        </w:tc>
        <w:tc>
          <w:tcPr>
            <w:tcW w:w="3631" w:type="dxa"/>
            <w:tcBorders>
              <w:top w:val="single" w:color="auto" w:sz="4" w:space="0"/>
              <w:left w:val="single" w:color="auto" w:sz="4" w:space="0"/>
              <w:bottom w:val="single" w:color="auto" w:sz="4" w:space="0"/>
              <w:right w:val="single" w:color="auto" w:sz="4" w:space="0"/>
            </w:tcBorders>
            <w:vAlign w:val="center"/>
          </w:tcPr>
          <w:p w14:paraId="01677A06">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合同条款</w:t>
            </w:r>
          </w:p>
        </w:tc>
        <w:tc>
          <w:tcPr>
            <w:tcW w:w="3379" w:type="dxa"/>
            <w:tcBorders>
              <w:top w:val="single" w:color="auto" w:sz="4" w:space="0"/>
              <w:left w:val="single" w:color="auto" w:sz="4" w:space="0"/>
              <w:bottom w:val="single" w:color="auto" w:sz="4" w:space="0"/>
              <w:right w:val="single" w:color="auto" w:sz="4" w:space="0"/>
            </w:tcBorders>
            <w:vAlign w:val="center"/>
          </w:tcPr>
          <w:p w14:paraId="0B941F38">
            <w:pPr>
              <w:shd w:val="clear"/>
              <w:snapToGrid w:val="0"/>
              <w:spacing w:line="240" w:lineRule="auto"/>
              <w:ind w:left="0" w:leftChars="0" w:right="0" w:rightChars="0" w:firstLine="0" w:firstLineChars="0"/>
              <w:jc w:val="left"/>
              <w:rPr>
                <w:rFonts w:hint="eastAsia" w:ascii="宋体" w:hAnsi="宋体" w:cs="宋体"/>
                <w:b/>
                <w:szCs w:val="21"/>
                <w:highlight w:val="none"/>
              </w:rPr>
            </w:pPr>
            <w:r>
              <w:rPr>
                <w:rFonts w:hint="eastAsia" w:ascii="宋体" w:hAnsi="宋体" w:cs="宋体"/>
                <w:b/>
                <w:szCs w:val="21"/>
                <w:highlight w:val="none"/>
              </w:rPr>
              <w:t>修改：</w:t>
            </w:r>
            <w:r>
              <w:rPr>
                <w:rFonts w:hint="eastAsia" w:ascii="宋体" w:hAnsi="宋体" w:cs="宋体"/>
                <w:szCs w:val="21"/>
                <w:highlight w:val="none"/>
              </w:rPr>
              <w:t>合同条款（另册）</w:t>
            </w:r>
          </w:p>
        </w:tc>
      </w:tr>
      <w:tr w14:paraId="0189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64D1F8EA">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18A2590A">
            <w:pPr>
              <w:shd w:val="clear"/>
              <w:snapToGrid w:val="0"/>
              <w:ind w:left="0" w:leftChars="0" w:right="0" w:rightChars="0" w:firstLine="0" w:firstLineChars="0"/>
              <w:jc w:val="center"/>
              <w:rPr>
                <w:rFonts w:hint="eastAsia" w:ascii="宋体" w:hAnsi="宋体" w:cs="宋体"/>
                <w:szCs w:val="21"/>
                <w:highlight w:val="none"/>
              </w:rPr>
            </w:pPr>
            <w:r>
              <w:rPr>
                <w:rFonts w:hint="eastAsia" w:ascii="宋体" w:hAnsi="宋体" w:cs="宋体"/>
                <w:bCs/>
                <w:szCs w:val="21"/>
                <w:highlight w:val="none"/>
              </w:rPr>
              <w:t>附录1</w:t>
            </w:r>
          </w:p>
        </w:tc>
        <w:tc>
          <w:tcPr>
            <w:tcW w:w="3631" w:type="dxa"/>
            <w:tcBorders>
              <w:top w:val="single" w:color="auto" w:sz="4" w:space="0"/>
              <w:left w:val="single" w:color="auto" w:sz="4" w:space="0"/>
              <w:bottom w:val="single" w:color="auto" w:sz="4" w:space="0"/>
              <w:right w:val="single" w:color="auto" w:sz="4" w:space="0"/>
            </w:tcBorders>
            <w:vAlign w:val="center"/>
          </w:tcPr>
          <w:p w14:paraId="62549965">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投标申请表（投入人员承诺）</w:t>
            </w:r>
          </w:p>
        </w:tc>
        <w:tc>
          <w:tcPr>
            <w:tcW w:w="3379" w:type="dxa"/>
            <w:tcBorders>
              <w:top w:val="single" w:color="auto" w:sz="4" w:space="0"/>
              <w:left w:val="single" w:color="auto" w:sz="4" w:space="0"/>
              <w:bottom w:val="single" w:color="auto" w:sz="4" w:space="0"/>
              <w:right w:val="single" w:color="auto" w:sz="4" w:space="0"/>
            </w:tcBorders>
            <w:vAlign w:val="center"/>
          </w:tcPr>
          <w:p w14:paraId="75520ADC">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b/>
                <w:szCs w:val="21"/>
                <w:highlight w:val="none"/>
              </w:rPr>
              <w:t>删除</w:t>
            </w:r>
          </w:p>
        </w:tc>
      </w:tr>
      <w:tr w14:paraId="05CE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53073EAE">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49C31982">
            <w:pPr>
              <w:shd w:val="clear"/>
              <w:snapToGrid w:val="0"/>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附件2</w:t>
            </w:r>
          </w:p>
        </w:tc>
        <w:tc>
          <w:tcPr>
            <w:tcW w:w="3631" w:type="dxa"/>
            <w:tcBorders>
              <w:top w:val="single" w:color="auto" w:sz="4" w:space="0"/>
              <w:left w:val="single" w:color="auto" w:sz="4" w:space="0"/>
              <w:bottom w:val="single" w:color="auto" w:sz="4" w:space="0"/>
              <w:right w:val="single" w:color="auto" w:sz="4" w:space="0"/>
            </w:tcBorders>
            <w:vAlign w:val="center"/>
          </w:tcPr>
          <w:p w14:paraId="1C49D030">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设计投标文件编制要求（见范本）</w:t>
            </w:r>
          </w:p>
        </w:tc>
        <w:tc>
          <w:tcPr>
            <w:tcW w:w="3379" w:type="dxa"/>
            <w:tcBorders>
              <w:top w:val="single" w:color="auto" w:sz="4" w:space="0"/>
              <w:left w:val="single" w:color="auto" w:sz="4" w:space="0"/>
              <w:bottom w:val="single" w:color="auto" w:sz="4" w:space="0"/>
              <w:right w:val="single" w:color="auto" w:sz="4" w:space="0"/>
            </w:tcBorders>
            <w:vAlign w:val="center"/>
          </w:tcPr>
          <w:p w14:paraId="780267D3">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设计投标文件编制要求</w:t>
            </w:r>
            <w:r>
              <w:rPr>
                <w:rFonts w:hint="eastAsia" w:ascii="宋体" w:hAnsi="宋体" w:cs="宋体"/>
                <w:szCs w:val="21"/>
                <w:highlight w:val="none"/>
                <w:u w:val="single"/>
              </w:rPr>
              <w:t>（详见附件2）</w:t>
            </w:r>
          </w:p>
        </w:tc>
      </w:tr>
      <w:tr w14:paraId="588C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549318CA">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2DC96727">
            <w:pPr>
              <w:shd w:val="clear"/>
              <w:snapToGrid w:val="0"/>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附件3</w:t>
            </w:r>
          </w:p>
        </w:tc>
        <w:tc>
          <w:tcPr>
            <w:tcW w:w="3631" w:type="dxa"/>
            <w:tcBorders>
              <w:top w:val="single" w:color="auto" w:sz="4" w:space="0"/>
              <w:left w:val="single" w:color="auto" w:sz="4" w:space="0"/>
              <w:bottom w:val="single" w:color="auto" w:sz="4" w:space="0"/>
              <w:right w:val="single" w:color="auto" w:sz="4" w:space="0"/>
            </w:tcBorders>
            <w:vAlign w:val="center"/>
          </w:tcPr>
          <w:p w14:paraId="6B0CEA29">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勘察初步设计费报价表</w:t>
            </w:r>
          </w:p>
        </w:tc>
        <w:tc>
          <w:tcPr>
            <w:tcW w:w="3379" w:type="dxa"/>
            <w:tcBorders>
              <w:top w:val="single" w:color="auto" w:sz="4" w:space="0"/>
              <w:left w:val="single" w:color="auto" w:sz="4" w:space="0"/>
              <w:bottom w:val="single" w:color="auto" w:sz="4" w:space="0"/>
              <w:right w:val="single" w:color="auto" w:sz="4" w:space="0"/>
            </w:tcBorders>
            <w:vAlign w:val="center"/>
          </w:tcPr>
          <w:p w14:paraId="56BF42E1">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b/>
                <w:szCs w:val="21"/>
                <w:highlight w:val="none"/>
              </w:rPr>
              <w:t>附件3</w:t>
            </w:r>
            <w:r>
              <w:rPr>
                <w:rFonts w:hint="eastAsia" w:ascii="宋体" w:hAnsi="宋体" w:cs="宋体"/>
                <w:szCs w:val="21"/>
                <w:highlight w:val="none"/>
                <w:u w:val="single"/>
              </w:rPr>
              <w:t>（工程勘察初步设计费报价汇总表）</w:t>
            </w:r>
          </w:p>
        </w:tc>
      </w:tr>
      <w:tr w14:paraId="5FA1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2AFF5424">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11CDB83A">
            <w:pPr>
              <w:shd w:val="clear"/>
              <w:snapToGrid w:val="0"/>
              <w:spacing w:line="240" w:lineRule="auto"/>
              <w:ind w:left="0" w:leftChars="0" w:right="0" w:rightChars="0" w:firstLine="0" w:firstLineChars="0"/>
              <w:jc w:val="center"/>
              <w:rPr>
                <w:rFonts w:hint="eastAsia" w:ascii="宋体" w:hAnsi="宋体" w:cs="宋体"/>
                <w:szCs w:val="21"/>
                <w:highlight w:val="none"/>
              </w:rPr>
            </w:pPr>
            <w:r>
              <w:rPr>
                <w:rFonts w:hint="eastAsia" w:ascii="宋体" w:hAnsi="宋体" w:cs="宋体"/>
                <w:b/>
                <w:szCs w:val="21"/>
                <w:highlight w:val="none"/>
              </w:rPr>
              <w:t>附件3－1</w:t>
            </w:r>
          </w:p>
        </w:tc>
        <w:tc>
          <w:tcPr>
            <w:tcW w:w="3631" w:type="dxa"/>
            <w:tcBorders>
              <w:top w:val="single" w:color="auto" w:sz="4" w:space="0"/>
              <w:left w:val="single" w:color="auto" w:sz="4" w:space="0"/>
              <w:bottom w:val="single" w:color="auto" w:sz="4" w:space="0"/>
              <w:right w:val="single" w:color="auto" w:sz="4" w:space="0"/>
            </w:tcBorders>
            <w:vAlign w:val="center"/>
          </w:tcPr>
          <w:p w14:paraId="6925B6ED">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增加</w:t>
            </w:r>
          </w:p>
        </w:tc>
        <w:tc>
          <w:tcPr>
            <w:tcW w:w="3379" w:type="dxa"/>
            <w:tcBorders>
              <w:top w:val="single" w:color="auto" w:sz="4" w:space="0"/>
              <w:left w:val="single" w:color="auto" w:sz="4" w:space="0"/>
              <w:bottom w:val="single" w:color="auto" w:sz="4" w:space="0"/>
              <w:right w:val="single" w:color="auto" w:sz="4" w:space="0"/>
            </w:tcBorders>
            <w:vAlign w:val="center"/>
          </w:tcPr>
          <w:p w14:paraId="4A99D2B6">
            <w:pPr>
              <w:shd w:val="clear"/>
              <w:snapToGrid w:val="0"/>
              <w:spacing w:line="240" w:lineRule="auto"/>
              <w:ind w:left="0" w:leftChars="0" w:right="0" w:rightChars="0" w:firstLine="0" w:firstLineChars="0"/>
              <w:jc w:val="left"/>
              <w:rPr>
                <w:rFonts w:hint="eastAsia" w:ascii="宋体" w:hAnsi="宋体" w:cs="宋体"/>
                <w:b/>
                <w:szCs w:val="21"/>
                <w:highlight w:val="none"/>
              </w:rPr>
            </w:pPr>
            <w:r>
              <w:rPr>
                <w:rFonts w:hint="eastAsia" w:ascii="宋体" w:hAnsi="宋体" w:cs="宋体"/>
                <w:b/>
                <w:szCs w:val="21"/>
                <w:highlight w:val="none"/>
              </w:rPr>
              <w:t>附件3－1：建筑信息模型（BIM）技术应用费计算表</w:t>
            </w:r>
          </w:p>
        </w:tc>
      </w:tr>
      <w:tr w14:paraId="7B1D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61045068">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0CD9BDB0">
            <w:pPr>
              <w:shd w:val="clear"/>
              <w:snapToGrid w:val="0"/>
              <w:spacing w:line="240" w:lineRule="auto"/>
              <w:ind w:left="0" w:leftChars="0" w:right="0" w:rightChars="0" w:firstLine="0" w:firstLineChars="0"/>
              <w:jc w:val="center"/>
              <w:rPr>
                <w:rFonts w:hint="eastAsia" w:ascii="宋体" w:hAnsi="宋体" w:cs="宋体"/>
                <w:szCs w:val="21"/>
                <w:highlight w:val="none"/>
              </w:rPr>
            </w:pPr>
            <w:r>
              <w:rPr>
                <w:rFonts w:hint="eastAsia" w:ascii="宋体" w:hAnsi="宋体" w:cs="宋体"/>
                <w:b/>
                <w:szCs w:val="21"/>
                <w:highlight w:val="none"/>
              </w:rPr>
              <w:t>附件3－2</w:t>
            </w:r>
          </w:p>
        </w:tc>
        <w:tc>
          <w:tcPr>
            <w:tcW w:w="3631" w:type="dxa"/>
            <w:tcBorders>
              <w:top w:val="single" w:color="auto" w:sz="4" w:space="0"/>
              <w:left w:val="single" w:color="auto" w:sz="4" w:space="0"/>
              <w:bottom w:val="single" w:color="auto" w:sz="4" w:space="0"/>
              <w:right w:val="single" w:color="auto" w:sz="4" w:space="0"/>
            </w:tcBorders>
            <w:vAlign w:val="center"/>
          </w:tcPr>
          <w:p w14:paraId="2F9CF8F4">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增加</w:t>
            </w:r>
          </w:p>
        </w:tc>
        <w:tc>
          <w:tcPr>
            <w:tcW w:w="3379" w:type="dxa"/>
            <w:tcBorders>
              <w:top w:val="single" w:color="auto" w:sz="4" w:space="0"/>
              <w:left w:val="single" w:color="auto" w:sz="4" w:space="0"/>
              <w:bottom w:val="single" w:color="auto" w:sz="4" w:space="0"/>
              <w:right w:val="single" w:color="auto" w:sz="4" w:space="0"/>
            </w:tcBorders>
            <w:vAlign w:val="center"/>
          </w:tcPr>
          <w:p w14:paraId="791913E5">
            <w:pPr>
              <w:shd w:val="clear"/>
              <w:snapToGrid w:val="0"/>
              <w:spacing w:line="240" w:lineRule="auto"/>
              <w:ind w:left="0" w:leftChars="0" w:right="0" w:rightChars="0" w:firstLine="0" w:firstLineChars="0"/>
              <w:jc w:val="left"/>
              <w:rPr>
                <w:rFonts w:hint="eastAsia" w:ascii="宋体" w:hAnsi="宋体" w:cs="宋体"/>
                <w:b/>
                <w:szCs w:val="21"/>
                <w:highlight w:val="none"/>
              </w:rPr>
            </w:pPr>
            <w:r>
              <w:rPr>
                <w:rFonts w:hint="eastAsia" w:ascii="宋体" w:hAnsi="宋体" w:cs="宋体"/>
                <w:b/>
                <w:szCs w:val="21"/>
                <w:highlight w:val="none"/>
              </w:rPr>
              <w:t>附件3－2：工程勘察费计算表</w:t>
            </w:r>
          </w:p>
        </w:tc>
      </w:tr>
      <w:tr w14:paraId="7AB1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194C0323">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3A16B10D">
            <w:pPr>
              <w:shd w:val="clear"/>
              <w:snapToGrid w:val="0"/>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附录4</w:t>
            </w:r>
          </w:p>
        </w:tc>
        <w:tc>
          <w:tcPr>
            <w:tcW w:w="3631" w:type="dxa"/>
            <w:tcBorders>
              <w:top w:val="single" w:color="auto" w:sz="4" w:space="0"/>
              <w:left w:val="single" w:color="auto" w:sz="4" w:space="0"/>
              <w:bottom w:val="single" w:color="auto" w:sz="4" w:space="0"/>
              <w:right w:val="single" w:color="auto" w:sz="4" w:space="0"/>
            </w:tcBorders>
            <w:vAlign w:val="center"/>
          </w:tcPr>
          <w:p w14:paraId="46D67800">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建筑工程设计方案测试记录表</w:t>
            </w:r>
          </w:p>
        </w:tc>
        <w:tc>
          <w:tcPr>
            <w:tcW w:w="3379" w:type="dxa"/>
            <w:tcBorders>
              <w:top w:val="single" w:color="auto" w:sz="4" w:space="0"/>
              <w:left w:val="single" w:color="auto" w:sz="4" w:space="0"/>
              <w:bottom w:val="single" w:color="auto" w:sz="4" w:space="0"/>
              <w:right w:val="single" w:color="auto" w:sz="4" w:space="0"/>
            </w:tcBorders>
            <w:vAlign w:val="center"/>
          </w:tcPr>
          <w:p w14:paraId="30916AF8">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b/>
                <w:szCs w:val="21"/>
                <w:highlight w:val="none"/>
              </w:rPr>
              <w:t>删除</w:t>
            </w:r>
          </w:p>
        </w:tc>
      </w:tr>
      <w:tr w14:paraId="28E7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4AA9D5CA">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28E13288">
            <w:pPr>
              <w:shd w:val="clear"/>
              <w:snapToGrid w:val="0"/>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附件5</w:t>
            </w:r>
          </w:p>
        </w:tc>
        <w:tc>
          <w:tcPr>
            <w:tcW w:w="3631" w:type="dxa"/>
            <w:tcBorders>
              <w:top w:val="single" w:color="auto" w:sz="4" w:space="0"/>
              <w:left w:val="single" w:color="auto" w:sz="4" w:space="0"/>
              <w:bottom w:val="single" w:color="auto" w:sz="4" w:space="0"/>
              <w:right w:val="single" w:color="auto" w:sz="4" w:space="0"/>
            </w:tcBorders>
            <w:vAlign w:val="center"/>
          </w:tcPr>
          <w:p w14:paraId="196A6592">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勘察投标文件编制要求（见范本）</w:t>
            </w:r>
          </w:p>
        </w:tc>
        <w:tc>
          <w:tcPr>
            <w:tcW w:w="3379" w:type="dxa"/>
            <w:tcBorders>
              <w:top w:val="single" w:color="auto" w:sz="4" w:space="0"/>
              <w:left w:val="single" w:color="auto" w:sz="4" w:space="0"/>
              <w:bottom w:val="single" w:color="auto" w:sz="4" w:space="0"/>
              <w:right w:val="single" w:color="auto" w:sz="4" w:space="0"/>
            </w:tcBorders>
            <w:vAlign w:val="center"/>
          </w:tcPr>
          <w:p w14:paraId="0ED3D922">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b/>
                <w:szCs w:val="21"/>
                <w:highlight w:val="none"/>
              </w:rPr>
              <w:t>删除</w:t>
            </w:r>
          </w:p>
        </w:tc>
      </w:tr>
      <w:tr w14:paraId="25CD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407B3540">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608D25AA">
            <w:pPr>
              <w:shd w:val="clear"/>
              <w:snapToGrid w:val="0"/>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附录6</w:t>
            </w:r>
          </w:p>
        </w:tc>
        <w:tc>
          <w:tcPr>
            <w:tcW w:w="3631" w:type="dxa"/>
            <w:tcBorders>
              <w:top w:val="single" w:color="auto" w:sz="4" w:space="0"/>
              <w:left w:val="single" w:color="auto" w:sz="4" w:space="0"/>
              <w:bottom w:val="single" w:color="auto" w:sz="4" w:space="0"/>
              <w:right w:val="single" w:color="auto" w:sz="4" w:space="0"/>
            </w:tcBorders>
            <w:vAlign w:val="center"/>
          </w:tcPr>
          <w:p w14:paraId="422DCD56">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投标书（见范本）</w:t>
            </w:r>
          </w:p>
        </w:tc>
        <w:tc>
          <w:tcPr>
            <w:tcW w:w="3379" w:type="dxa"/>
            <w:tcBorders>
              <w:top w:val="single" w:color="auto" w:sz="4" w:space="0"/>
              <w:left w:val="single" w:color="auto" w:sz="4" w:space="0"/>
              <w:bottom w:val="single" w:color="auto" w:sz="4" w:space="0"/>
              <w:right w:val="single" w:color="auto" w:sz="4" w:space="0"/>
            </w:tcBorders>
            <w:vAlign w:val="center"/>
          </w:tcPr>
          <w:p w14:paraId="3F0CF6D1">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附录6 投标书</w:t>
            </w:r>
            <w:r>
              <w:rPr>
                <w:rFonts w:hint="eastAsia" w:ascii="宋体" w:hAnsi="宋体" w:cs="宋体"/>
                <w:szCs w:val="21"/>
                <w:highlight w:val="none"/>
                <w:u w:val="single"/>
              </w:rPr>
              <w:t>（详见附录6）</w:t>
            </w:r>
          </w:p>
        </w:tc>
      </w:tr>
      <w:tr w14:paraId="007A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0EA69C94">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053D95CC">
            <w:pPr>
              <w:shd w:val="clear"/>
              <w:snapToGrid w:val="0"/>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附录7</w:t>
            </w:r>
          </w:p>
        </w:tc>
        <w:tc>
          <w:tcPr>
            <w:tcW w:w="3631" w:type="dxa"/>
            <w:tcBorders>
              <w:top w:val="single" w:color="auto" w:sz="4" w:space="0"/>
              <w:left w:val="single" w:color="auto" w:sz="4" w:space="0"/>
              <w:bottom w:val="single" w:color="auto" w:sz="4" w:space="0"/>
              <w:right w:val="single" w:color="auto" w:sz="4" w:space="0"/>
            </w:tcBorders>
            <w:vAlign w:val="center"/>
          </w:tcPr>
          <w:p w14:paraId="24C0446C">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联合体共同投标协议（见范本）</w:t>
            </w:r>
          </w:p>
        </w:tc>
        <w:tc>
          <w:tcPr>
            <w:tcW w:w="3379" w:type="dxa"/>
            <w:tcBorders>
              <w:top w:val="single" w:color="auto" w:sz="4" w:space="0"/>
              <w:left w:val="single" w:color="auto" w:sz="4" w:space="0"/>
              <w:bottom w:val="single" w:color="auto" w:sz="4" w:space="0"/>
              <w:right w:val="single" w:color="auto" w:sz="4" w:space="0"/>
            </w:tcBorders>
            <w:vAlign w:val="center"/>
          </w:tcPr>
          <w:p w14:paraId="1B91D9EE">
            <w:pPr>
              <w:shd w:val="clear"/>
              <w:snapToGrid w:val="0"/>
              <w:ind w:left="0" w:leftChars="0" w:right="0" w:rightChars="0" w:firstLine="0" w:firstLineChars="0"/>
              <w:jc w:val="left"/>
              <w:rPr>
                <w:rFonts w:hint="eastAsia" w:ascii="宋体" w:hAnsi="宋体" w:cs="宋体"/>
                <w:b/>
                <w:szCs w:val="21"/>
                <w:highlight w:val="none"/>
              </w:rPr>
            </w:pPr>
            <w:r>
              <w:rPr>
                <w:rFonts w:hint="eastAsia" w:ascii="宋体" w:hAnsi="宋体" w:cs="宋体"/>
                <w:b/>
                <w:szCs w:val="21"/>
                <w:highlight w:val="none"/>
              </w:rPr>
              <w:t>修改：</w:t>
            </w:r>
            <w:r>
              <w:rPr>
                <w:rFonts w:hint="eastAsia" w:ascii="宋体" w:hAnsi="宋体" w:cs="宋体"/>
                <w:szCs w:val="21"/>
                <w:highlight w:val="none"/>
              </w:rPr>
              <w:t>附录7联合体共同投标协议</w:t>
            </w:r>
            <w:r>
              <w:rPr>
                <w:rFonts w:hint="eastAsia" w:ascii="宋体" w:hAnsi="宋体" w:cs="宋体"/>
                <w:szCs w:val="21"/>
                <w:highlight w:val="none"/>
                <w:u w:val="single"/>
              </w:rPr>
              <w:t>（详见附录7）</w:t>
            </w:r>
          </w:p>
        </w:tc>
      </w:tr>
      <w:tr w14:paraId="7D24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620B3E49">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6DEAFD21">
            <w:pPr>
              <w:shd w:val="clear"/>
              <w:snapToGrid w:val="0"/>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附录7-1</w:t>
            </w:r>
          </w:p>
        </w:tc>
        <w:tc>
          <w:tcPr>
            <w:tcW w:w="3631" w:type="dxa"/>
            <w:tcBorders>
              <w:top w:val="single" w:color="auto" w:sz="4" w:space="0"/>
              <w:left w:val="single" w:color="auto" w:sz="4" w:space="0"/>
              <w:bottom w:val="single" w:color="auto" w:sz="4" w:space="0"/>
              <w:right w:val="single" w:color="auto" w:sz="4" w:space="0"/>
            </w:tcBorders>
            <w:vAlign w:val="center"/>
          </w:tcPr>
          <w:p w14:paraId="3E3644E3">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合作设计协议</w:t>
            </w:r>
          </w:p>
        </w:tc>
        <w:tc>
          <w:tcPr>
            <w:tcW w:w="3379" w:type="dxa"/>
            <w:tcBorders>
              <w:top w:val="single" w:color="auto" w:sz="4" w:space="0"/>
              <w:left w:val="single" w:color="auto" w:sz="4" w:space="0"/>
              <w:bottom w:val="single" w:color="auto" w:sz="4" w:space="0"/>
              <w:right w:val="single" w:color="auto" w:sz="4" w:space="0"/>
            </w:tcBorders>
            <w:vAlign w:val="center"/>
          </w:tcPr>
          <w:p w14:paraId="5433B50A">
            <w:pPr>
              <w:shd w:val="clear"/>
              <w:snapToGrid w:val="0"/>
              <w:ind w:left="0" w:leftChars="0" w:right="0" w:rightChars="0" w:firstLine="0" w:firstLineChars="0"/>
              <w:jc w:val="left"/>
              <w:rPr>
                <w:rFonts w:hint="eastAsia" w:ascii="宋体" w:hAnsi="宋体" w:cs="宋体"/>
                <w:b/>
                <w:szCs w:val="21"/>
                <w:highlight w:val="none"/>
              </w:rPr>
            </w:pPr>
            <w:r>
              <w:rPr>
                <w:rFonts w:hint="eastAsia" w:ascii="宋体" w:hAnsi="宋体" w:cs="宋体"/>
                <w:b/>
                <w:szCs w:val="21"/>
                <w:highlight w:val="none"/>
              </w:rPr>
              <w:t>修改：</w:t>
            </w:r>
            <w:r>
              <w:rPr>
                <w:rFonts w:hint="eastAsia" w:ascii="宋体" w:hAnsi="宋体" w:cs="宋体"/>
                <w:szCs w:val="21"/>
                <w:highlight w:val="none"/>
                <w:u w:val="single"/>
              </w:rPr>
              <w:t>附录7-1合作设计协议（详见附录7-1）</w:t>
            </w:r>
          </w:p>
        </w:tc>
      </w:tr>
      <w:tr w14:paraId="0995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7891ABFC">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6E5B6A29">
            <w:pPr>
              <w:shd w:val="clear"/>
              <w:snapToGrid w:val="0"/>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附录8</w:t>
            </w:r>
          </w:p>
        </w:tc>
        <w:tc>
          <w:tcPr>
            <w:tcW w:w="3631" w:type="dxa"/>
            <w:tcBorders>
              <w:top w:val="single" w:color="auto" w:sz="4" w:space="0"/>
              <w:left w:val="single" w:color="auto" w:sz="4" w:space="0"/>
              <w:bottom w:val="single" w:color="auto" w:sz="4" w:space="0"/>
              <w:right w:val="single" w:color="auto" w:sz="4" w:space="0"/>
            </w:tcBorders>
            <w:vAlign w:val="center"/>
          </w:tcPr>
          <w:p w14:paraId="13B28D2A">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投标人声明（见范本）</w:t>
            </w:r>
          </w:p>
        </w:tc>
        <w:tc>
          <w:tcPr>
            <w:tcW w:w="3379" w:type="dxa"/>
            <w:tcBorders>
              <w:top w:val="single" w:color="auto" w:sz="4" w:space="0"/>
              <w:left w:val="single" w:color="auto" w:sz="4" w:space="0"/>
              <w:bottom w:val="single" w:color="auto" w:sz="4" w:space="0"/>
              <w:right w:val="single" w:color="auto" w:sz="4" w:space="0"/>
            </w:tcBorders>
            <w:vAlign w:val="center"/>
          </w:tcPr>
          <w:p w14:paraId="7297F910">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附录8 投标人声明</w:t>
            </w:r>
            <w:r>
              <w:rPr>
                <w:rFonts w:hint="eastAsia" w:ascii="宋体" w:hAnsi="宋体" w:cs="宋体"/>
                <w:szCs w:val="21"/>
                <w:highlight w:val="none"/>
                <w:u w:val="single"/>
              </w:rPr>
              <w:t>（详见附录8）</w:t>
            </w:r>
          </w:p>
        </w:tc>
      </w:tr>
      <w:tr w14:paraId="3679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2C34FA3A">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2D550C92">
            <w:pPr>
              <w:shd w:val="clear"/>
              <w:snapToGrid w:val="0"/>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附录9</w:t>
            </w:r>
          </w:p>
        </w:tc>
        <w:tc>
          <w:tcPr>
            <w:tcW w:w="3631" w:type="dxa"/>
            <w:tcBorders>
              <w:top w:val="single" w:color="auto" w:sz="4" w:space="0"/>
              <w:left w:val="single" w:color="auto" w:sz="4" w:space="0"/>
              <w:bottom w:val="single" w:color="auto" w:sz="4" w:space="0"/>
              <w:right w:val="single" w:color="auto" w:sz="4" w:space="0"/>
            </w:tcBorders>
            <w:vAlign w:val="center"/>
          </w:tcPr>
          <w:p w14:paraId="07ECA5BB">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资格审查表（见范本）</w:t>
            </w:r>
          </w:p>
        </w:tc>
        <w:tc>
          <w:tcPr>
            <w:tcW w:w="3379" w:type="dxa"/>
            <w:tcBorders>
              <w:top w:val="single" w:color="auto" w:sz="4" w:space="0"/>
              <w:left w:val="single" w:color="auto" w:sz="4" w:space="0"/>
              <w:bottom w:val="single" w:color="auto" w:sz="4" w:space="0"/>
              <w:right w:val="single" w:color="auto" w:sz="4" w:space="0"/>
            </w:tcBorders>
            <w:vAlign w:val="center"/>
          </w:tcPr>
          <w:p w14:paraId="25E8D6C3">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附录9 资格审查表</w:t>
            </w:r>
            <w:r>
              <w:rPr>
                <w:rFonts w:hint="eastAsia" w:ascii="宋体" w:hAnsi="宋体" w:cs="宋体"/>
                <w:szCs w:val="21"/>
                <w:highlight w:val="none"/>
                <w:u w:val="single"/>
              </w:rPr>
              <w:t>（详见附录9）</w:t>
            </w:r>
          </w:p>
        </w:tc>
      </w:tr>
      <w:tr w14:paraId="7D23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0BDF9293">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5E177083">
            <w:pPr>
              <w:shd w:val="clear"/>
              <w:snapToGrid w:val="0"/>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附件10</w:t>
            </w:r>
          </w:p>
        </w:tc>
        <w:tc>
          <w:tcPr>
            <w:tcW w:w="3631" w:type="dxa"/>
            <w:tcBorders>
              <w:top w:val="single" w:color="auto" w:sz="4" w:space="0"/>
              <w:left w:val="single" w:color="auto" w:sz="4" w:space="0"/>
              <w:bottom w:val="single" w:color="auto" w:sz="4" w:space="0"/>
              <w:right w:val="single" w:color="auto" w:sz="4" w:space="0"/>
            </w:tcBorders>
            <w:vAlign w:val="center"/>
          </w:tcPr>
          <w:p w14:paraId="72C9A746">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附件10 投票表格</w:t>
            </w:r>
          </w:p>
        </w:tc>
        <w:tc>
          <w:tcPr>
            <w:tcW w:w="3379" w:type="dxa"/>
            <w:tcBorders>
              <w:top w:val="single" w:color="auto" w:sz="4" w:space="0"/>
              <w:left w:val="single" w:color="auto" w:sz="4" w:space="0"/>
              <w:bottom w:val="single" w:color="auto" w:sz="4" w:space="0"/>
              <w:right w:val="single" w:color="auto" w:sz="4" w:space="0"/>
            </w:tcBorders>
            <w:vAlign w:val="center"/>
          </w:tcPr>
          <w:p w14:paraId="288BAEA0">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b/>
                <w:szCs w:val="21"/>
                <w:highlight w:val="none"/>
              </w:rPr>
              <w:t>删除</w:t>
            </w:r>
          </w:p>
        </w:tc>
      </w:tr>
      <w:tr w14:paraId="176E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2231674A">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7A0282A3">
            <w:pPr>
              <w:shd w:val="clear"/>
              <w:snapToGrid w:val="0"/>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附录11</w:t>
            </w:r>
          </w:p>
        </w:tc>
        <w:tc>
          <w:tcPr>
            <w:tcW w:w="3631" w:type="dxa"/>
            <w:tcBorders>
              <w:top w:val="single" w:color="auto" w:sz="4" w:space="0"/>
              <w:left w:val="single" w:color="auto" w:sz="4" w:space="0"/>
              <w:bottom w:val="single" w:color="auto" w:sz="4" w:space="0"/>
              <w:right w:val="single" w:color="auto" w:sz="4" w:space="0"/>
            </w:tcBorders>
            <w:vAlign w:val="center"/>
          </w:tcPr>
          <w:p w14:paraId="5C989BD3">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附录11投标汇总表格</w:t>
            </w:r>
          </w:p>
        </w:tc>
        <w:tc>
          <w:tcPr>
            <w:tcW w:w="3379" w:type="dxa"/>
            <w:tcBorders>
              <w:top w:val="single" w:color="auto" w:sz="4" w:space="0"/>
              <w:left w:val="single" w:color="auto" w:sz="4" w:space="0"/>
              <w:bottom w:val="single" w:color="auto" w:sz="4" w:space="0"/>
              <w:right w:val="single" w:color="auto" w:sz="4" w:space="0"/>
            </w:tcBorders>
            <w:vAlign w:val="center"/>
          </w:tcPr>
          <w:p w14:paraId="3925A30D">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b/>
                <w:szCs w:val="21"/>
                <w:highlight w:val="none"/>
              </w:rPr>
              <w:t>删除</w:t>
            </w:r>
          </w:p>
        </w:tc>
      </w:tr>
      <w:tr w14:paraId="7D9E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4B574128">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5104070F">
            <w:pPr>
              <w:shd w:val="clear"/>
              <w:snapToGrid w:val="0"/>
              <w:ind w:left="0" w:leftChars="0" w:right="0" w:rightChars="0" w:firstLine="0" w:firstLineChars="0"/>
              <w:jc w:val="center"/>
              <w:rPr>
                <w:rFonts w:hint="eastAsia" w:ascii="宋体" w:hAnsi="宋体" w:cs="宋体"/>
                <w:szCs w:val="21"/>
                <w:highlight w:val="none"/>
              </w:rPr>
            </w:pPr>
            <w:r>
              <w:rPr>
                <w:rFonts w:hint="eastAsia" w:ascii="宋体" w:hAnsi="宋体" w:cs="宋体"/>
                <w:b/>
                <w:szCs w:val="21"/>
                <w:highlight w:val="none"/>
              </w:rPr>
              <w:t>附录12</w:t>
            </w:r>
          </w:p>
        </w:tc>
        <w:tc>
          <w:tcPr>
            <w:tcW w:w="3631" w:type="dxa"/>
            <w:tcBorders>
              <w:top w:val="single" w:color="auto" w:sz="4" w:space="0"/>
              <w:left w:val="single" w:color="auto" w:sz="4" w:space="0"/>
              <w:bottom w:val="single" w:color="auto" w:sz="4" w:space="0"/>
              <w:right w:val="single" w:color="auto" w:sz="4" w:space="0"/>
            </w:tcBorders>
            <w:vAlign w:val="center"/>
          </w:tcPr>
          <w:p w14:paraId="7D429149">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增加</w:t>
            </w:r>
          </w:p>
        </w:tc>
        <w:tc>
          <w:tcPr>
            <w:tcW w:w="3379" w:type="dxa"/>
            <w:tcBorders>
              <w:top w:val="single" w:color="auto" w:sz="4" w:space="0"/>
              <w:left w:val="single" w:color="auto" w:sz="4" w:space="0"/>
              <w:bottom w:val="single" w:color="auto" w:sz="4" w:space="0"/>
              <w:right w:val="single" w:color="auto" w:sz="4" w:space="0"/>
            </w:tcBorders>
            <w:vAlign w:val="center"/>
          </w:tcPr>
          <w:p w14:paraId="2181CD25">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b/>
                <w:szCs w:val="21"/>
                <w:highlight w:val="none"/>
              </w:rPr>
              <w:t>附录12</w:t>
            </w:r>
            <w:r>
              <w:rPr>
                <w:rFonts w:hint="eastAsia" w:ascii="宋体" w:hAnsi="宋体" w:cs="宋体"/>
                <w:b/>
                <w:szCs w:val="21"/>
                <w:highlight w:val="none"/>
                <w:u w:val="single"/>
              </w:rPr>
              <w:t>《有效性审查表》</w:t>
            </w:r>
          </w:p>
        </w:tc>
      </w:tr>
      <w:tr w14:paraId="40C3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0F7F41CD">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09CD1857">
            <w:pPr>
              <w:shd w:val="clear"/>
              <w:snapToGrid w:val="0"/>
              <w:ind w:left="0" w:leftChars="0" w:right="0" w:rightChars="0" w:firstLine="0" w:firstLineChars="0"/>
              <w:jc w:val="center"/>
              <w:rPr>
                <w:rFonts w:hint="eastAsia" w:ascii="宋体" w:hAnsi="宋体" w:cs="宋体"/>
                <w:b/>
                <w:szCs w:val="21"/>
                <w:highlight w:val="none"/>
              </w:rPr>
            </w:pPr>
            <w:r>
              <w:rPr>
                <w:rFonts w:hint="eastAsia" w:ascii="宋体" w:hAnsi="宋体" w:cs="宋体"/>
                <w:b/>
                <w:szCs w:val="21"/>
                <w:highlight w:val="none"/>
              </w:rPr>
              <w:t>附录12-1</w:t>
            </w:r>
          </w:p>
        </w:tc>
        <w:tc>
          <w:tcPr>
            <w:tcW w:w="3631" w:type="dxa"/>
            <w:tcBorders>
              <w:top w:val="single" w:color="auto" w:sz="4" w:space="0"/>
              <w:left w:val="single" w:color="auto" w:sz="4" w:space="0"/>
              <w:bottom w:val="single" w:color="auto" w:sz="4" w:space="0"/>
              <w:right w:val="single" w:color="auto" w:sz="4" w:space="0"/>
            </w:tcBorders>
            <w:vAlign w:val="center"/>
          </w:tcPr>
          <w:p w14:paraId="0D553B2E">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u w:val="single"/>
              </w:rPr>
              <w:t>增加</w:t>
            </w:r>
          </w:p>
        </w:tc>
        <w:tc>
          <w:tcPr>
            <w:tcW w:w="3379" w:type="dxa"/>
            <w:tcBorders>
              <w:top w:val="single" w:color="auto" w:sz="4" w:space="0"/>
              <w:left w:val="single" w:color="auto" w:sz="4" w:space="0"/>
              <w:bottom w:val="single" w:color="auto" w:sz="4" w:space="0"/>
              <w:right w:val="single" w:color="auto" w:sz="4" w:space="0"/>
            </w:tcBorders>
            <w:vAlign w:val="center"/>
          </w:tcPr>
          <w:p w14:paraId="76E32013">
            <w:pPr>
              <w:shd w:val="clear"/>
              <w:snapToGrid w:val="0"/>
              <w:spacing w:line="240" w:lineRule="auto"/>
              <w:ind w:left="0" w:leftChars="0" w:right="0" w:rightChars="0" w:firstLine="0" w:firstLineChars="0"/>
              <w:jc w:val="left"/>
              <w:rPr>
                <w:rFonts w:hint="eastAsia" w:ascii="宋体" w:hAnsi="宋体" w:cs="宋体"/>
                <w:b/>
                <w:szCs w:val="21"/>
                <w:highlight w:val="none"/>
              </w:rPr>
            </w:pPr>
            <w:r>
              <w:rPr>
                <w:rFonts w:hint="eastAsia" w:ascii="宋体" w:hAnsi="宋体" w:cs="宋体"/>
                <w:szCs w:val="21"/>
                <w:highlight w:val="none"/>
                <w:u w:val="single"/>
              </w:rPr>
              <w:t>附录12-1《投标报价算术复核表》</w:t>
            </w:r>
          </w:p>
        </w:tc>
      </w:tr>
      <w:tr w14:paraId="3D97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63149B3B">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3A32A2D2">
            <w:pPr>
              <w:shd w:val="clear"/>
              <w:snapToGrid w:val="0"/>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附录13</w:t>
            </w:r>
          </w:p>
        </w:tc>
        <w:tc>
          <w:tcPr>
            <w:tcW w:w="3631" w:type="dxa"/>
            <w:tcBorders>
              <w:top w:val="single" w:color="auto" w:sz="4" w:space="0"/>
              <w:left w:val="single" w:color="auto" w:sz="4" w:space="0"/>
              <w:bottom w:val="single" w:color="auto" w:sz="4" w:space="0"/>
              <w:right w:val="single" w:color="auto" w:sz="4" w:space="0"/>
            </w:tcBorders>
            <w:vAlign w:val="center"/>
          </w:tcPr>
          <w:p w14:paraId="10416BC6">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投标方案评语</w:t>
            </w:r>
          </w:p>
        </w:tc>
        <w:tc>
          <w:tcPr>
            <w:tcW w:w="3379" w:type="dxa"/>
            <w:tcBorders>
              <w:top w:val="single" w:color="auto" w:sz="4" w:space="0"/>
              <w:left w:val="single" w:color="auto" w:sz="4" w:space="0"/>
              <w:bottom w:val="single" w:color="auto" w:sz="4" w:space="0"/>
              <w:right w:val="single" w:color="auto" w:sz="4" w:space="0"/>
            </w:tcBorders>
            <w:vAlign w:val="center"/>
          </w:tcPr>
          <w:p w14:paraId="0B9EA24D">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附录13勘察初步设计方案部分评分表</w:t>
            </w:r>
            <w:r>
              <w:rPr>
                <w:rFonts w:hint="eastAsia" w:ascii="宋体" w:hAnsi="宋体" w:cs="宋体"/>
                <w:szCs w:val="21"/>
                <w:highlight w:val="none"/>
                <w:u w:val="single"/>
              </w:rPr>
              <w:t>（见招标文件附录13）</w:t>
            </w:r>
          </w:p>
        </w:tc>
      </w:tr>
      <w:tr w14:paraId="79F0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072014D0">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2828C019">
            <w:pPr>
              <w:shd w:val="clear"/>
              <w:snapToGrid w:val="0"/>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u w:val="single"/>
              </w:rPr>
              <w:t>附录13-1</w:t>
            </w:r>
          </w:p>
        </w:tc>
        <w:tc>
          <w:tcPr>
            <w:tcW w:w="3631" w:type="dxa"/>
            <w:tcBorders>
              <w:top w:val="single" w:color="auto" w:sz="4" w:space="0"/>
              <w:left w:val="single" w:color="auto" w:sz="4" w:space="0"/>
              <w:bottom w:val="single" w:color="auto" w:sz="4" w:space="0"/>
              <w:right w:val="single" w:color="auto" w:sz="4" w:space="0"/>
            </w:tcBorders>
            <w:vAlign w:val="center"/>
          </w:tcPr>
          <w:p w14:paraId="55F10D06">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增加</w:t>
            </w:r>
          </w:p>
        </w:tc>
        <w:tc>
          <w:tcPr>
            <w:tcW w:w="3379" w:type="dxa"/>
            <w:tcBorders>
              <w:top w:val="single" w:color="auto" w:sz="4" w:space="0"/>
              <w:left w:val="single" w:color="auto" w:sz="4" w:space="0"/>
              <w:bottom w:val="single" w:color="auto" w:sz="4" w:space="0"/>
              <w:right w:val="single" w:color="auto" w:sz="4" w:space="0"/>
            </w:tcBorders>
            <w:vAlign w:val="center"/>
          </w:tcPr>
          <w:p w14:paraId="55D864D0">
            <w:pPr>
              <w:shd w:val="clear"/>
              <w:snapToGrid w:val="0"/>
              <w:spacing w:line="240" w:lineRule="auto"/>
              <w:ind w:left="0" w:leftChars="0" w:right="0" w:rightChars="0" w:firstLine="0" w:firstLineChars="0"/>
              <w:jc w:val="left"/>
              <w:rPr>
                <w:rFonts w:hint="eastAsia" w:ascii="宋体" w:hAnsi="宋体" w:cs="宋体"/>
                <w:b/>
                <w:szCs w:val="21"/>
                <w:highlight w:val="none"/>
              </w:rPr>
            </w:pPr>
            <w:r>
              <w:rPr>
                <w:rFonts w:hint="eastAsia" w:ascii="宋体" w:hAnsi="宋体" w:cs="宋体"/>
                <w:szCs w:val="21"/>
                <w:highlight w:val="none"/>
              </w:rPr>
              <w:t>附录13-1勘察初步设计商务</w:t>
            </w:r>
            <w:r>
              <w:rPr>
                <w:rFonts w:hint="eastAsia" w:ascii="宋体" w:hAnsi="宋体" w:cs="宋体"/>
                <w:szCs w:val="21"/>
                <w:highlight w:val="none"/>
                <w:u w:val="single"/>
              </w:rPr>
              <w:t>部分</w:t>
            </w:r>
            <w:r>
              <w:rPr>
                <w:rFonts w:hint="eastAsia" w:ascii="宋体" w:hAnsi="宋体" w:cs="宋体"/>
                <w:szCs w:val="21"/>
                <w:highlight w:val="none"/>
              </w:rPr>
              <w:t>评分表</w:t>
            </w:r>
          </w:p>
        </w:tc>
      </w:tr>
      <w:tr w14:paraId="28E7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72383441">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2DB5E47F">
            <w:pPr>
              <w:shd w:val="clear"/>
              <w:snapToGrid w:val="0"/>
              <w:spacing w:line="240" w:lineRule="auto"/>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附录14</w:t>
            </w:r>
          </w:p>
        </w:tc>
        <w:tc>
          <w:tcPr>
            <w:tcW w:w="3631" w:type="dxa"/>
            <w:tcBorders>
              <w:top w:val="single" w:color="auto" w:sz="4" w:space="0"/>
              <w:left w:val="single" w:color="auto" w:sz="4" w:space="0"/>
              <w:bottom w:val="single" w:color="auto" w:sz="4" w:space="0"/>
              <w:right w:val="single" w:color="auto" w:sz="4" w:space="0"/>
            </w:tcBorders>
            <w:vAlign w:val="center"/>
          </w:tcPr>
          <w:p w14:paraId="3106B713">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基础资料和勘察初步设计任务书</w:t>
            </w:r>
          </w:p>
        </w:tc>
        <w:tc>
          <w:tcPr>
            <w:tcW w:w="3379" w:type="dxa"/>
            <w:tcBorders>
              <w:top w:val="single" w:color="auto" w:sz="4" w:space="0"/>
              <w:left w:val="single" w:color="auto" w:sz="4" w:space="0"/>
              <w:bottom w:val="single" w:color="auto" w:sz="4" w:space="0"/>
              <w:right w:val="single" w:color="auto" w:sz="4" w:space="0"/>
            </w:tcBorders>
            <w:vAlign w:val="center"/>
          </w:tcPr>
          <w:p w14:paraId="2C9BE2D9">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b/>
                <w:bCs/>
                <w:szCs w:val="21"/>
                <w:highlight w:val="none"/>
              </w:rPr>
              <w:t>另册</w:t>
            </w:r>
          </w:p>
        </w:tc>
      </w:tr>
      <w:tr w14:paraId="682B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5D0A8B2E">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7CA54F55">
            <w:pPr>
              <w:shd w:val="clear"/>
              <w:snapToGrid w:val="0"/>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附录15</w:t>
            </w:r>
          </w:p>
        </w:tc>
        <w:tc>
          <w:tcPr>
            <w:tcW w:w="3631" w:type="dxa"/>
            <w:tcBorders>
              <w:top w:val="single" w:color="auto" w:sz="4" w:space="0"/>
              <w:left w:val="single" w:color="auto" w:sz="4" w:space="0"/>
              <w:bottom w:val="single" w:color="auto" w:sz="4" w:space="0"/>
              <w:right w:val="single" w:color="auto" w:sz="4" w:space="0"/>
            </w:tcBorders>
            <w:vAlign w:val="center"/>
          </w:tcPr>
          <w:p w14:paraId="5439D00A">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定标委员会的组成</w:t>
            </w:r>
          </w:p>
        </w:tc>
        <w:tc>
          <w:tcPr>
            <w:tcW w:w="3379" w:type="dxa"/>
            <w:tcBorders>
              <w:top w:val="single" w:color="auto" w:sz="4" w:space="0"/>
              <w:left w:val="single" w:color="auto" w:sz="4" w:space="0"/>
              <w:bottom w:val="single" w:color="auto" w:sz="4" w:space="0"/>
              <w:right w:val="single" w:color="auto" w:sz="4" w:space="0"/>
            </w:tcBorders>
            <w:vAlign w:val="center"/>
          </w:tcPr>
          <w:p w14:paraId="405B28F7">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附录15定标委员会的组成</w:t>
            </w:r>
          </w:p>
          <w:p w14:paraId="6F8A1D9D">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u w:val="single"/>
              </w:rPr>
              <w:t>详见附录15</w:t>
            </w:r>
            <w:r>
              <w:rPr>
                <w:rFonts w:hint="eastAsia" w:ascii="宋体" w:hAnsi="宋体" w:cs="宋体"/>
                <w:szCs w:val="21"/>
                <w:highlight w:val="none"/>
              </w:rPr>
              <w:t>）</w:t>
            </w:r>
          </w:p>
        </w:tc>
      </w:tr>
      <w:tr w14:paraId="0026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154A0AFD">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039D0ED9">
            <w:pPr>
              <w:shd w:val="clear"/>
              <w:snapToGrid w:val="0"/>
              <w:ind w:left="0" w:leftChars="0" w:right="0" w:rightChars="0" w:firstLine="0" w:firstLineChars="0"/>
              <w:jc w:val="center"/>
              <w:rPr>
                <w:rFonts w:hint="eastAsia" w:ascii="宋体" w:hAnsi="宋体" w:cs="宋体"/>
                <w:szCs w:val="21"/>
                <w:highlight w:val="none"/>
              </w:rPr>
            </w:pPr>
            <w:r>
              <w:rPr>
                <w:rFonts w:hint="eastAsia" w:ascii="宋体" w:hAnsi="宋体" w:cs="宋体"/>
                <w:szCs w:val="21"/>
                <w:highlight w:val="none"/>
              </w:rPr>
              <w:t>附录16</w:t>
            </w:r>
          </w:p>
        </w:tc>
        <w:tc>
          <w:tcPr>
            <w:tcW w:w="3631" w:type="dxa"/>
            <w:tcBorders>
              <w:top w:val="single" w:color="auto" w:sz="4" w:space="0"/>
              <w:left w:val="single" w:color="auto" w:sz="4" w:space="0"/>
              <w:bottom w:val="single" w:color="auto" w:sz="4" w:space="0"/>
              <w:right w:val="single" w:color="auto" w:sz="4" w:space="0"/>
            </w:tcBorders>
            <w:vAlign w:val="center"/>
          </w:tcPr>
          <w:p w14:paraId="1FF3A39F">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定标原则</w:t>
            </w:r>
          </w:p>
        </w:tc>
        <w:tc>
          <w:tcPr>
            <w:tcW w:w="3379" w:type="dxa"/>
            <w:tcBorders>
              <w:top w:val="single" w:color="auto" w:sz="4" w:space="0"/>
              <w:left w:val="single" w:color="auto" w:sz="4" w:space="0"/>
              <w:bottom w:val="single" w:color="auto" w:sz="4" w:space="0"/>
              <w:right w:val="single" w:color="auto" w:sz="4" w:space="0"/>
            </w:tcBorders>
            <w:vAlign w:val="center"/>
          </w:tcPr>
          <w:p w14:paraId="1FC29C4F">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附录16定标原则</w:t>
            </w:r>
            <w:r>
              <w:rPr>
                <w:rFonts w:hint="eastAsia" w:ascii="宋体" w:hAnsi="宋体" w:cs="宋体"/>
                <w:szCs w:val="21"/>
                <w:highlight w:val="none"/>
                <w:u w:val="single"/>
              </w:rPr>
              <w:t>（详见附录16）</w:t>
            </w:r>
          </w:p>
        </w:tc>
      </w:tr>
      <w:tr w14:paraId="692C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06A0304A">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2A52DC75">
            <w:pPr>
              <w:shd w:val="clear"/>
              <w:snapToGrid w:val="0"/>
              <w:ind w:left="0" w:leftChars="0" w:right="0" w:rightChars="0" w:firstLine="0" w:firstLineChars="0"/>
              <w:jc w:val="center"/>
              <w:rPr>
                <w:rFonts w:hint="eastAsia" w:ascii="宋体" w:hAnsi="宋体" w:cs="宋体"/>
                <w:b/>
                <w:szCs w:val="21"/>
                <w:highlight w:val="none"/>
              </w:rPr>
            </w:pPr>
            <w:r>
              <w:rPr>
                <w:rFonts w:hint="eastAsia" w:ascii="宋体" w:hAnsi="宋体" w:cs="宋体"/>
                <w:b/>
                <w:szCs w:val="21"/>
                <w:highlight w:val="none"/>
              </w:rPr>
              <w:t>附录16-1</w:t>
            </w:r>
          </w:p>
        </w:tc>
        <w:tc>
          <w:tcPr>
            <w:tcW w:w="3631" w:type="dxa"/>
            <w:tcBorders>
              <w:top w:val="single" w:color="auto" w:sz="4" w:space="0"/>
              <w:left w:val="single" w:color="auto" w:sz="4" w:space="0"/>
              <w:bottom w:val="single" w:color="auto" w:sz="4" w:space="0"/>
              <w:right w:val="single" w:color="auto" w:sz="4" w:space="0"/>
            </w:tcBorders>
            <w:vAlign w:val="center"/>
          </w:tcPr>
          <w:p w14:paraId="437622E6">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增加</w:t>
            </w:r>
          </w:p>
        </w:tc>
        <w:tc>
          <w:tcPr>
            <w:tcW w:w="3379" w:type="dxa"/>
            <w:tcBorders>
              <w:top w:val="single" w:color="auto" w:sz="4" w:space="0"/>
              <w:left w:val="single" w:color="auto" w:sz="4" w:space="0"/>
              <w:bottom w:val="single" w:color="auto" w:sz="4" w:space="0"/>
              <w:right w:val="single" w:color="auto" w:sz="4" w:space="0"/>
            </w:tcBorders>
            <w:vAlign w:val="center"/>
          </w:tcPr>
          <w:p w14:paraId="49BE822C">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b/>
                <w:szCs w:val="21"/>
                <w:highlight w:val="none"/>
              </w:rPr>
              <w:t>附录16-1</w:t>
            </w:r>
            <w:r>
              <w:rPr>
                <w:rFonts w:hint="eastAsia" w:ascii="宋体" w:hAnsi="宋体" w:cs="宋体"/>
                <w:b/>
                <w:szCs w:val="21"/>
                <w:highlight w:val="none"/>
                <w:u w:val="single"/>
              </w:rPr>
              <w:t>定标因素表（定标阶段用表）</w:t>
            </w:r>
          </w:p>
        </w:tc>
      </w:tr>
      <w:tr w14:paraId="5B32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6FF4E913">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78DE5B58">
            <w:pPr>
              <w:pStyle w:val="15"/>
              <w:shd w:val="clear"/>
              <w:snapToGrid w:val="0"/>
              <w:spacing w:beforeAutospacing="0" w:afterAutospacing="0" w:line="240" w:lineRule="auto"/>
              <w:ind w:left="0" w:leftChars="0" w:right="0" w:rightChars="0" w:firstLine="0" w:firstLineChars="0"/>
              <w:jc w:val="center"/>
              <w:rPr>
                <w:rFonts w:cs="宋体"/>
                <w:sz w:val="21"/>
                <w:szCs w:val="21"/>
                <w:highlight w:val="none"/>
              </w:rPr>
            </w:pPr>
            <w:r>
              <w:rPr>
                <w:rFonts w:cs="宋体"/>
                <w:b/>
                <w:bCs/>
                <w:sz w:val="21"/>
                <w:szCs w:val="21"/>
                <w:highlight w:val="none"/>
              </w:rPr>
              <w:t>附录17</w:t>
            </w:r>
          </w:p>
        </w:tc>
        <w:tc>
          <w:tcPr>
            <w:tcW w:w="3631" w:type="dxa"/>
            <w:tcBorders>
              <w:top w:val="single" w:color="auto" w:sz="4" w:space="0"/>
              <w:left w:val="single" w:color="auto" w:sz="4" w:space="0"/>
              <w:bottom w:val="single" w:color="auto" w:sz="4" w:space="0"/>
              <w:right w:val="single" w:color="auto" w:sz="4" w:space="0"/>
            </w:tcBorders>
            <w:vAlign w:val="center"/>
          </w:tcPr>
          <w:p w14:paraId="1306A7F8">
            <w:pPr>
              <w:shd w:val="clear"/>
              <w:snapToGrid w:val="0"/>
              <w:spacing w:line="240" w:lineRule="auto"/>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增加</w:t>
            </w:r>
          </w:p>
        </w:tc>
        <w:tc>
          <w:tcPr>
            <w:tcW w:w="3379" w:type="dxa"/>
            <w:tcBorders>
              <w:top w:val="single" w:color="auto" w:sz="4" w:space="0"/>
              <w:left w:val="single" w:color="auto" w:sz="4" w:space="0"/>
              <w:bottom w:val="single" w:color="auto" w:sz="4" w:space="0"/>
              <w:right w:val="single" w:color="auto" w:sz="4" w:space="0"/>
            </w:tcBorders>
            <w:vAlign w:val="center"/>
          </w:tcPr>
          <w:p w14:paraId="1F7BFE43">
            <w:pPr>
              <w:shd w:val="clear"/>
              <w:snapToGrid w:val="0"/>
              <w:spacing w:line="240" w:lineRule="auto"/>
              <w:ind w:left="0" w:leftChars="0" w:right="0" w:rightChars="0" w:firstLine="0" w:firstLineChars="0"/>
              <w:jc w:val="left"/>
              <w:rPr>
                <w:rFonts w:hint="eastAsia" w:ascii="宋体" w:hAnsi="宋体" w:cs="宋体"/>
                <w:b/>
                <w:szCs w:val="21"/>
                <w:highlight w:val="none"/>
              </w:rPr>
            </w:pPr>
            <w:r>
              <w:rPr>
                <w:rFonts w:hint="eastAsia" w:ascii="宋体" w:hAnsi="宋体" w:cs="宋体"/>
                <w:b/>
                <w:szCs w:val="21"/>
                <w:highlight w:val="none"/>
              </w:rPr>
              <w:t>附录17 评标委员会成员声明</w:t>
            </w:r>
          </w:p>
        </w:tc>
      </w:tr>
      <w:tr w14:paraId="6643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7021AB4B">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25885303">
            <w:pPr>
              <w:pStyle w:val="15"/>
              <w:shd w:val="clear"/>
              <w:snapToGrid w:val="0"/>
              <w:spacing w:beforeAutospacing="0" w:afterAutospacing="0" w:line="240" w:lineRule="auto"/>
              <w:ind w:left="0" w:leftChars="0" w:right="0" w:rightChars="0" w:firstLine="0" w:firstLineChars="0"/>
              <w:jc w:val="center"/>
              <w:rPr>
                <w:rFonts w:cs="宋体"/>
                <w:b/>
                <w:bCs/>
                <w:sz w:val="21"/>
                <w:szCs w:val="21"/>
                <w:highlight w:val="none"/>
              </w:rPr>
            </w:pPr>
            <w:r>
              <w:rPr>
                <w:rFonts w:cs="宋体"/>
                <w:b/>
                <w:bCs/>
                <w:sz w:val="21"/>
                <w:szCs w:val="21"/>
                <w:highlight w:val="none"/>
              </w:rPr>
              <w:t>附录18</w:t>
            </w:r>
          </w:p>
        </w:tc>
        <w:tc>
          <w:tcPr>
            <w:tcW w:w="3631" w:type="dxa"/>
            <w:tcBorders>
              <w:top w:val="single" w:color="auto" w:sz="4" w:space="0"/>
              <w:left w:val="single" w:color="auto" w:sz="4" w:space="0"/>
              <w:bottom w:val="single" w:color="auto" w:sz="4" w:space="0"/>
              <w:right w:val="single" w:color="auto" w:sz="4" w:space="0"/>
            </w:tcBorders>
            <w:vAlign w:val="center"/>
          </w:tcPr>
          <w:p w14:paraId="55964DCD">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增加</w:t>
            </w:r>
          </w:p>
        </w:tc>
        <w:tc>
          <w:tcPr>
            <w:tcW w:w="3379" w:type="dxa"/>
            <w:tcBorders>
              <w:top w:val="single" w:color="auto" w:sz="4" w:space="0"/>
              <w:left w:val="single" w:color="auto" w:sz="4" w:space="0"/>
              <w:bottom w:val="single" w:color="auto" w:sz="4" w:space="0"/>
              <w:right w:val="single" w:color="auto" w:sz="4" w:space="0"/>
            </w:tcBorders>
            <w:vAlign w:val="center"/>
          </w:tcPr>
          <w:p w14:paraId="14277890">
            <w:pPr>
              <w:shd w:val="clear"/>
              <w:snapToGrid w:val="0"/>
              <w:ind w:left="0" w:leftChars="0" w:right="0" w:rightChars="0" w:firstLine="0" w:firstLineChars="0"/>
              <w:jc w:val="left"/>
              <w:rPr>
                <w:rFonts w:hint="eastAsia" w:ascii="宋体" w:hAnsi="宋体" w:cs="宋体"/>
                <w:b/>
                <w:szCs w:val="21"/>
                <w:highlight w:val="none"/>
              </w:rPr>
            </w:pPr>
            <w:r>
              <w:rPr>
                <w:rFonts w:hint="eastAsia" w:ascii="宋体" w:hAnsi="宋体" w:cs="宋体"/>
                <w:b/>
                <w:szCs w:val="21"/>
                <w:highlight w:val="none"/>
              </w:rPr>
              <w:t>本项目拟投入的人员基本情况表</w:t>
            </w:r>
          </w:p>
        </w:tc>
      </w:tr>
      <w:tr w14:paraId="1F32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7AF6E188">
            <w:pPr>
              <w:numPr>
                <w:ilvl w:val="0"/>
                <w:numId w:val="1"/>
              </w:numPr>
              <w:shd w:val="clear"/>
              <w:snapToGrid w:val="0"/>
              <w:ind w:left="0" w:leftChars="0" w:right="0" w:rightChars="0" w:firstLine="0" w:firstLineChars="0"/>
              <w:jc w:val="left"/>
              <w:rPr>
                <w:rFonts w:hint="eastAsia" w:ascii="宋体" w:hAnsi="宋体" w:cs="宋体"/>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52BCF167">
            <w:pPr>
              <w:pStyle w:val="15"/>
              <w:shd w:val="clear"/>
              <w:snapToGrid w:val="0"/>
              <w:spacing w:beforeAutospacing="0" w:afterAutospacing="0" w:line="240" w:lineRule="auto"/>
              <w:ind w:left="0" w:leftChars="0" w:right="0" w:rightChars="0" w:firstLine="0" w:firstLineChars="0"/>
              <w:jc w:val="center"/>
              <w:rPr>
                <w:rFonts w:cs="宋体"/>
                <w:b/>
                <w:bCs/>
                <w:sz w:val="21"/>
                <w:szCs w:val="21"/>
                <w:highlight w:val="none"/>
              </w:rPr>
            </w:pPr>
            <w:r>
              <w:rPr>
                <w:rFonts w:cs="宋体"/>
                <w:b/>
                <w:bCs/>
                <w:sz w:val="21"/>
                <w:szCs w:val="21"/>
                <w:highlight w:val="none"/>
              </w:rPr>
              <w:t>附录19</w:t>
            </w:r>
          </w:p>
        </w:tc>
        <w:tc>
          <w:tcPr>
            <w:tcW w:w="3631" w:type="dxa"/>
            <w:tcBorders>
              <w:top w:val="single" w:color="auto" w:sz="4" w:space="0"/>
              <w:left w:val="single" w:color="auto" w:sz="4" w:space="0"/>
              <w:bottom w:val="single" w:color="auto" w:sz="4" w:space="0"/>
              <w:right w:val="single" w:color="auto" w:sz="4" w:space="0"/>
            </w:tcBorders>
            <w:vAlign w:val="center"/>
          </w:tcPr>
          <w:p w14:paraId="321B4B78">
            <w:pPr>
              <w:shd w:val="clear"/>
              <w:snapToGrid w:val="0"/>
              <w:ind w:left="0" w:leftChars="0" w:right="0" w:rightChars="0" w:firstLine="0" w:firstLineChars="0"/>
              <w:jc w:val="left"/>
              <w:rPr>
                <w:rFonts w:hint="eastAsia" w:ascii="宋体" w:hAnsi="宋体" w:cs="宋体"/>
                <w:szCs w:val="21"/>
                <w:highlight w:val="none"/>
              </w:rPr>
            </w:pPr>
            <w:r>
              <w:rPr>
                <w:rFonts w:hint="eastAsia" w:ascii="宋体" w:hAnsi="宋体" w:cs="宋体"/>
                <w:szCs w:val="21"/>
                <w:highlight w:val="none"/>
              </w:rPr>
              <w:t>增加</w:t>
            </w:r>
          </w:p>
        </w:tc>
        <w:tc>
          <w:tcPr>
            <w:tcW w:w="3379" w:type="dxa"/>
            <w:tcBorders>
              <w:top w:val="single" w:color="auto" w:sz="4" w:space="0"/>
              <w:left w:val="single" w:color="auto" w:sz="4" w:space="0"/>
              <w:bottom w:val="single" w:color="auto" w:sz="4" w:space="0"/>
              <w:right w:val="single" w:color="auto" w:sz="4" w:space="0"/>
            </w:tcBorders>
            <w:vAlign w:val="center"/>
          </w:tcPr>
          <w:p w14:paraId="7A84B39D">
            <w:pPr>
              <w:shd w:val="clear"/>
              <w:snapToGrid w:val="0"/>
              <w:ind w:left="0" w:leftChars="0" w:right="0" w:rightChars="0" w:firstLine="0" w:firstLineChars="0"/>
              <w:jc w:val="left"/>
              <w:rPr>
                <w:rFonts w:hint="eastAsia" w:ascii="宋体" w:hAnsi="宋体" w:cs="宋体"/>
                <w:b/>
                <w:szCs w:val="21"/>
                <w:highlight w:val="none"/>
              </w:rPr>
            </w:pPr>
            <w:r>
              <w:rPr>
                <w:rFonts w:hint="eastAsia" w:ascii="宋体" w:hAnsi="宋体" w:cs="宋体"/>
                <w:b/>
                <w:szCs w:val="21"/>
                <w:highlight w:val="none"/>
              </w:rPr>
              <w:t>附录19企业类似工程业绩</w:t>
            </w:r>
          </w:p>
        </w:tc>
      </w:tr>
      <w:tr w14:paraId="4DE3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01481B89">
            <w:pPr>
              <w:numPr>
                <w:ilvl w:val="0"/>
                <w:numId w:val="1"/>
              </w:numPr>
              <w:shd w:val="clear"/>
              <w:snapToGrid w:val="0"/>
              <w:ind w:left="0" w:leftChars="0" w:right="0" w:rightChars="0" w:firstLine="0" w:firstLineChars="0"/>
              <w:jc w:val="center"/>
              <w:rPr>
                <w:rFonts w:hint="eastAsia" w:ascii="宋体" w:hAnsi="宋体" w:cs="宋体"/>
                <w:szCs w:val="21"/>
                <w:highlight w:val="none"/>
              </w:rPr>
            </w:pPr>
          </w:p>
        </w:tc>
        <w:tc>
          <w:tcPr>
            <w:tcW w:w="3631" w:type="dxa"/>
            <w:gridSpan w:val="2"/>
            <w:tcBorders>
              <w:top w:val="single" w:color="auto" w:sz="4" w:space="0"/>
              <w:left w:val="single" w:color="auto" w:sz="4" w:space="0"/>
              <w:bottom w:val="single" w:color="auto" w:sz="4" w:space="0"/>
              <w:right w:val="single" w:color="auto" w:sz="4" w:space="0"/>
            </w:tcBorders>
            <w:vAlign w:val="center"/>
          </w:tcPr>
          <w:p w14:paraId="15646FE3">
            <w:pPr>
              <w:pStyle w:val="46"/>
              <w:shd w:val="clear"/>
              <w:snapToGrid w:val="0"/>
              <w:spacing w:line="240" w:lineRule="auto"/>
              <w:ind w:left="0" w:leftChars="0" w:right="0" w:rightChars="0" w:firstLine="0" w:firstLineChars="0"/>
              <w:jc w:val="center"/>
              <w:rPr>
                <w:rFonts w:hint="eastAsia" w:ascii="宋体" w:hAnsi="宋体" w:cs="宋体"/>
                <w:b/>
                <w:bCs/>
                <w:szCs w:val="21"/>
                <w:highlight w:val="none"/>
              </w:rPr>
            </w:pPr>
            <w:r>
              <w:rPr>
                <w:rFonts w:hint="eastAsia" w:ascii="宋体" w:hAnsi="宋体" w:cs="宋体"/>
                <w:b/>
                <w:bCs/>
                <w:highlight w:val="none"/>
              </w:rPr>
              <w:t>投标活动的有关人员社保证明</w:t>
            </w:r>
          </w:p>
        </w:tc>
        <w:tc>
          <w:tcPr>
            <w:tcW w:w="3379" w:type="dxa"/>
            <w:tcBorders>
              <w:top w:val="single" w:color="auto" w:sz="4" w:space="0"/>
              <w:left w:val="single" w:color="auto" w:sz="4" w:space="0"/>
              <w:bottom w:val="single" w:color="auto" w:sz="4" w:space="0"/>
              <w:right w:val="single" w:color="auto" w:sz="4" w:space="0"/>
            </w:tcBorders>
            <w:vAlign w:val="center"/>
          </w:tcPr>
          <w:p w14:paraId="71949064">
            <w:pPr>
              <w:pStyle w:val="46"/>
              <w:shd w:val="clear"/>
              <w:tabs>
                <w:tab w:val="left" w:pos="2100"/>
              </w:tabs>
              <w:snapToGrid w:val="0"/>
              <w:spacing w:line="240" w:lineRule="auto"/>
              <w:ind w:left="0" w:leftChars="0" w:right="0" w:rightChars="0" w:firstLine="0" w:firstLineChars="0"/>
              <w:jc w:val="center"/>
              <w:rPr>
                <w:rFonts w:hint="eastAsia" w:ascii="宋体" w:hAnsi="宋体" w:cs="宋体"/>
                <w:b/>
                <w:bCs/>
                <w:szCs w:val="21"/>
                <w:highlight w:val="none"/>
              </w:rPr>
            </w:pPr>
            <w:r>
              <w:rPr>
                <w:rFonts w:hint="eastAsia" w:ascii="宋体" w:hAnsi="宋体" w:cs="宋体"/>
                <w:b/>
                <w:bCs/>
                <w:highlight w:val="none"/>
              </w:rPr>
              <w:t>各投标人中参加投标活动的有关人员</w:t>
            </w:r>
            <w:r>
              <w:rPr>
                <w:rFonts w:hint="eastAsia" w:ascii="宋体" w:hAnsi="宋体" w:cs="宋体"/>
                <w:b/>
                <w:bCs/>
                <w:highlight w:val="none"/>
                <w:lang w:eastAsia="zh-CN"/>
              </w:rPr>
              <w:t>（</w:t>
            </w:r>
            <w:r>
              <w:rPr>
                <w:rFonts w:hint="eastAsia" w:ascii="宋体" w:hAnsi="宋体" w:cs="宋体"/>
                <w:b/>
                <w:bCs/>
                <w:highlight w:val="none"/>
              </w:rPr>
              <w:t>包括且不限于投标文件的编制人员、递交投标文件及递交备用光盘的被授权委托人、答辩人员等)均须提供社保证明材料。</w:t>
            </w:r>
          </w:p>
        </w:tc>
      </w:tr>
    </w:tbl>
    <w:p w14:paraId="4BE9A9DB">
      <w:pPr>
        <w:shd w:val="clear"/>
        <w:jc w:val="left"/>
        <w:rPr>
          <w:highlight w:val="none"/>
        </w:rPr>
      </w:pPr>
      <w:r>
        <w:rPr>
          <w:rFonts w:hint="eastAsia" w:ascii="宋体" w:hAnsi="宋体" w:cs="宋体"/>
          <w:b/>
          <w:bCs/>
          <w:sz w:val="28"/>
          <w:szCs w:val="28"/>
          <w:highlight w:val="none"/>
        </w:rPr>
        <w:br w:type="page"/>
      </w:r>
      <w:bookmarkStart w:id="13" w:name="_Toc3590"/>
      <w:bookmarkStart w:id="14" w:name="_Toc14995"/>
      <w:bookmarkStart w:id="15" w:name="_Toc12851"/>
      <w:bookmarkStart w:id="16" w:name="_Toc8461"/>
    </w:p>
    <w:sdt>
      <w:sdtPr>
        <w:rPr>
          <w:rFonts w:ascii="宋体" w:hAnsi="宋体" w:eastAsia="宋体" w:cs="Times New Roman"/>
          <w:b/>
          <w:bCs/>
          <w:kern w:val="2"/>
          <w:sz w:val="36"/>
          <w:szCs w:val="36"/>
          <w:highlight w:val="none"/>
          <w:lang w:val="en-US" w:eastAsia="zh-CN" w:bidi="ar-SA"/>
        </w:rPr>
        <w:id w:val="147479517"/>
        <w15:color w:val="DBDBDB"/>
        <w:docPartObj>
          <w:docPartGallery w:val="Table of Contents"/>
          <w:docPartUnique/>
        </w:docPartObj>
      </w:sdtPr>
      <w:sdtEndPr>
        <w:rPr>
          <w:rFonts w:hint="eastAsia" w:ascii="宋体" w:hAnsi="宋体" w:eastAsia="宋体" w:cs="宋体"/>
          <w:b/>
          <w:bCs/>
          <w:kern w:val="2"/>
          <w:sz w:val="21"/>
          <w:szCs w:val="21"/>
          <w:highlight w:val="none"/>
          <w:lang w:val="en-US" w:eastAsia="zh-CN" w:bidi="ar-SA"/>
        </w:rPr>
      </w:sdtEndPr>
      <w:sdtContent>
        <w:p w14:paraId="3261AEC4">
          <w:pPr>
            <w:shd w:val="clear"/>
            <w:spacing w:before="0" w:beforeLines="0" w:after="0" w:afterLines="0" w:line="240" w:lineRule="auto"/>
            <w:ind w:left="0" w:leftChars="0" w:right="0" w:rightChars="0" w:firstLine="0" w:firstLineChars="0"/>
            <w:jc w:val="center"/>
            <w:rPr>
              <w:b/>
              <w:bCs/>
              <w:sz w:val="36"/>
              <w:szCs w:val="36"/>
              <w:highlight w:val="none"/>
            </w:rPr>
          </w:pPr>
          <w:r>
            <w:rPr>
              <w:rFonts w:ascii="宋体" w:hAnsi="宋体" w:eastAsia="宋体"/>
              <w:b/>
              <w:bCs/>
              <w:sz w:val="36"/>
              <w:szCs w:val="36"/>
              <w:highlight w:val="none"/>
            </w:rPr>
            <w:t>目录</w:t>
          </w:r>
        </w:p>
        <w:p w14:paraId="1E1CCE0C">
          <w:pPr>
            <w:pStyle w:val="13"/>
            <w:shd w:val="clear"/>
            <w:tabs>
              <w:tab w:val="right" w:leader="dot" w:pos="9000"/>
            </w:tabs>
            <w:spacing w:line="24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TOC \o "1-2" \h \u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_Toc17279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招标文件修改表</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_Toc17279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2561089A">
          <w:pPr>
            <w:pStyle w:val="13"/>
            <w:shd w:val="clear"/>
            <w:tabs>
              <w:tab w:val="right" w:leader="dot" w:pos="9000"/>
            </w:tabs>
            <w:spacing w:line="24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_Toc30216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第一章  招标公告</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_Toc30216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16</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58B79B9D">
          <w:pPr>
            <w:pStyle w:val="13"/>
            <w:shd w:val="clear"/>
            <w:tabs>
              <w:tab w:val="right" w:leader="dot" w:pos="9000"/>
            </w:tabs>
            <w:spacing w:line="24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_Toc9200 </w:instrText>
          </w:r>
          <w:r>
            <w:rPr>
              <w:rFonts w:hint="eastAsia" w:ascii="宋体" w:hAnsi="宋体" w:eastAsia="宋体" w:cs="宋体"/>
              <w:szCs w:val="21"/>
              <w:highlight w:val="none"/>
            </w:rPr>
            <w:fldChar w:fldCharType="separate"/>
          </w:r>
          <w:r>
            <w:rPr>
              <w:rFonts w:hint="eastAsia" w:ascii="宋体" w:hAnsi="宋体" w:eastAsia="宋体" w:cs="宋体"/>
              <w:kern w:val="44"/>
              <w:szCs w:val="21"/>
              <w:highlight w:val="none"/>
            </w:rPr>
            <w:t>第二章  招标（范本原文）</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_Toc9200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17</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7CADC8EA">
          <w:pPr>
            <w:pStyle w:val="13"/>
            <w:shd w:val="clear"/>
            <w:tabs>
              <w:tab w:val="right" w:leader="dot" w:pos="9000"/>
            </w:tabs>
            <w:spacing w:line="24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_Toc29265 </w:instrText>
          </w:r>
          <w:r>
            <w:rPr>
              <w:rFonts w:hint="eastAsia" w:ascii="宋体" w:hAnsi="宋体" w:eastAsia="宋体" w:cs="宋体"/>
              <w:szCs w:val="21"/>
              <w:highlight w:val="none"/>
            </w:rPr>
            <w:fldChar w:fldCharType="separate"/>
          </w:r>
          <w:r>
            <w:rPr>
              <w:rFonts w:hint="eastAsia" w:ascii="宋体" w:hAnsi="宋体" w:eastAsia="宋体" w:cs="宋体"/>
              <w:kern w:val="44"/>
              <w:szCs w:val="21"/>
              <w:highlight w:val="none"/>
            </w:rPr>
            <w:t>第四章  评标（范本原文）</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_Toc29265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25</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5D8D6CE4">
          <w:pPr>
            <w:pStyle w:val="13"/>
            <w:shd w:val="clear"/>
            <w:tabs>
              <w:tab w:val="right" w:leader="dot" w:pos="9000"/>
            </w:tabs>
            <w:spacing w:line="24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_Toc25679 </w:instrText>
          </w:r>
          <w:r>
            <w:rPr>
              <w:rFonts w:hint="eastAsia" w:ascii="宋体" w:hAnsi="宋体" w:eastAsia="宋体" w:cs="宋体"/>
              <w:szCs w:val="21"/>
              <w:highlight w:val="none"/>
            </w:rPr>
            <w:fldChar w:fldCharType="separate"/>
          </w:r>
          <w:r>
            <w:rPr>
              <w:rFonts w:hint="eastAsia" w:ascii="宋体" w:hAnsi="宋体" w:eastAsia="宋体" w:cs="宋体"/>
              <w:kern w:val="44"/>
              <w:szCs w:val="21"/>
              <w:highlight w:val="none"/>
            </w:rPr>
            <w:t>第五章  定标（范本原文）</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_Toc25679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31</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567D1F00">
          <w:pPr>
            <w:pStyle w:val="13"/>
            <w:shd w:val="clear"/>
            <w:tabs>
              <w:tab w:val="right" w:leader="dot" w:pos="9000"/>
            </w:tabs>
            <w:spacing w:line="24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_Toc1699 </w:instrText>
          </w:r>
          <w:r>
            <w:rPr>
              <w:rFonts w:hint="eastAsia" w:ascii="宋体" w:hAnsi="宋体" w:eastAsia="宋体" w:cs="宋体"/>
              <w:szCs w:val="21"/>
              <w:highlight w:val="none"/>
            </w:rPr>
            <w:fldChar w:fldCharType="separate"/>
          </w:r>
          <w:r>
            <w:rPr>
              <w:rFonts w:hint="eastAsia" w:ascii="宋体" w:hAnsi="宋体" w:eastAsia="宋体" w:cs="宋体"/>
              <w:kern w:val="44"/>
              <w:szCs w:val="21"/>
              <w:highlight w:val="none"/>
            </w:rPr>
            <w:t>第六章  授予合同（范本原文）</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_Toc1699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34</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34846A06">
          <w:pPr>
            <w:pStyle w:val="13"/>
            <w:shd w:val="clear"/>
            <w:tabs>
              <w:tab w:val="right" w:leader="dot" w:pos="9000"/>
            </w:tabs>
            <w:spacing w:line="24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_Toc18345 </w:instrText>
          </w:r>
          <w:r>
            <w:rPr>
              <w:rFonts w:hint="eastAsia" w:ascii="宋体" w:hAnsi="宋体" w:eastAsia="宋体" w:cs="宋体"/>
              <w:szCs w:val="21"/>
              <w:highlight w:val="none"/>
            </w:rPr>
            <w:fldChar w:fldCharType="separate"/>
          </w:r>
          <w:r>
            <w:rPr>
              <w:rFonts w:hint="eastAsia" w:ascii="宋体" w:hAnsi="宋体" w:eastAsia="宋体" w:cs="宋体"/>
              <w:kern w:val="44"/>
              <w:szCs w:val="21"/>
              <w:highlight w:val="none"/>
            </w:rPr>
            <w:t>第七章  知识产权（范本原文）</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_Toc18345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35</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36B0D96F">
          <w:pPr>
            <w:pStyle w:val="13"/>
            <w:shd w:val="clear"/>
            <w:tabs>
              <w:tab w:val="right" w:leader="dot" w:pos="9000"/>
            </w:tabs>
            <w:spacing w:line="24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_Toc6596 </w:instrText>
          </w:r>
          <w:r>
            <w:rPr>
              <w:rFonts w:hint="eastAsia" w:ascii="宋体" w:hAnsi="宋体" w:eastAsia="宋体" w:cs="宋体"/>
              <w:szCs w:val="21"/>
              <w:highlight w:val="none"/>
            </w:rPr>
            <w:fldChar w:fldCharType="separate"/>
          </w:r>
          <w:r>
            <w:rPr>
              <w:rFonts w:hint="eastAsia" w:ascii="宋体" w:hAnsi="宋体" w:eastAsia="宋体" w:cs="宋体"/>
              <w:kern w:val="44"/>
              <w:szCs w:val="21"/>
              <w:highlight w:val="none"/>
            </w:rPr>
            <w:t>第八章  合同条款</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_Toc6596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37</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23913891">
          <w:pPr>
            <w:pStyle w:val="14"/>
            <w:shd w:val="clear"/>
            <w:tabs>
              <w:tab w:val="right" w:leader="dot" w:pos="9000"/>
            </w:tabs>
            <w:spacing w:line="24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_Toc31839 </w:instrText>
          </w:r>
          <w:r>
            <w:rPr>
              <w:rFonts w:hint="eastAsia" w:ascii="宋体" w:hAnsi="宋体" w:eastAsia="宋体" w:cs="宋体"/>
              <w:highlight w:val="none"/>
            </w:rPr>
            <w:fldChar w:fldCharType="separate"/>
          </w:r>
          <w:r>
            <w:rPr>
              <w:rFonts w:hint="eastAsia" w:ascii="宋体" w:hAnsi="宋体" w:eastAsia="宋体" w:cs="宋体"/>
              <w:strike/>
              <w:kern w:val="44"/>
              <w:szCs w:val="21"/>
              <w:highlight w:val="none"/>
            </w:rPr>
            <w:t>附录1 投标申请表（投入人员承诺）</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_Toc31839 \h </w:instrText>
          </w:r>
          <w:r>
            <w:rPr>
              <w:rFonts w:hint="eastAsia" w:ascii="宋体" w:hAnsi="宋体" w:eastAsia="宋体" w:cs="宋体"/>
              <w:highlight w:val="none"/>
            </w:rPr>
            <w:fldChar w:fldCharType="separate"/>
          </w:r>
          <w:r>
            <w:rPr>
              <w:rFonts w:hint="eastAsia" w:ascii="宋体" w:hAnsi="宋体" w:eastAsia="宋体" w:cs="宋体"/>
              <w:highlight w:val="none"/>
            </w:rPr>
            <w:t>38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4A4D122">
          <w:pPr>
            <w:pStyle w:val="14"/>
            <w:shd w:val="clear"/>
            <w:tabs>
              <w:tab w:val="right" w:leader="dot" w:pos="9000"/>
            </w:tabs>
            <w:spacing w:line="24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_Toc16501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附件2 设计投标文件编制要求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_Toc16501 \h </w:instrText>
          </w:r>
          <w:r>
            <w:rPr>
              <w:rFonts w:hint="eastAsia" w:ascii="宋体" w:hAnsi="宋体" w:eastAsia="宋体" w:cs="宋体"/>
              <w:highlight w:val="none"/>
            </w:rPr>
            <w:fldChar w:fldCharType="separate"/>
          </w:r>
          <w:r>
            <w:rPr>
              <w:rFonts w:hint="eastAsia" w:ascii="宋体" w:hAnsi="宋体" w:eastAsia="宋体" w:cs="宋体"/>
              <w:highlight w:val="none"/>
            </w:rPr>
            <w:t>40</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77637A7">
          <w:pPr>
            <w:pStyle w:val="14"/>
            <w:shd w:val="clear"/>
            <w:tabs>
              <w:tab w:val="right" w:leader="dot" w:pos="9000"/>
            </w:tabs>
            <w:spacing w:line="24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_Toc3186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附件3  工程勘察初步设计费报价汇总表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_Toc3186 \h </w:instrText>
          </w:r>
          <w:r>
            <w:rPr>
              <w:rFonts w:hint="eastAsia" w:ascii="宋体" w:hAnsi="宋体" w:eastAsia="宋体" w:cs="宋体"/>
              <w:highlight w:val="none"/>
            </w:rPr>
            <w:fldChar w:fldCharType="separate"/>
          </w:r>
          <w:r>
            <w:rPr>
              <w:rFonts w:hint="eastAsia" w:ascii="宋体" w:hAnsi="宋体" w:eastAsia="宋体" w:cs="宋体"/>
              <w:highlight w:val="none"/>
            </w:rPr>
            <w:t>44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B41500C">
          <w:pPr>
            <w:pStyle w:val="14"/>
            <w:shd w:val="clear"/>
            <w:tabs>
              <w:tab w:val="right" w:leader="dot" w:pos="9000"/>
            </w:tabs>
            <w:spacing w:line="24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_Toc3059 </w:instrText>
          </w:r>
          <w:r>
            <w:rPr>
              <w:rFonts w:hint="eastAsia" w:ascii="宋体" w:hAnsi="宋体" w:eastAsia="宋体" w:cs="宋体"/>
              <w:highlight w:val="none"/>
            </w:rPr>
            <w:fldChar w:fldCharType="separate"/>
          </w:r>
          <w:r>
            <w:rPr>
              <w:rFonts w:hint="eastAsia" w:ascii="宋体" w:hAnsi="宋体" w:eastAsia="宋体" w:cs="宋体"/>
              <w:strike/>
              <w:szCs w:val="21"/>
              <w:highlight w:val="none"/>
            </w:rPr>
            <w:t>附录4建筑工程设计方案测试记录表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_Toc3059 \h </w:instrText>
          </w:r>
          <w:r>
            <w:rPr>
              <w:rFonts w:hint="eastAsia" w:ascii="宋体" w:hAnsi="宋体" w:eastAsia="宋体" w:cs="宋体"/>
              <w:highlight w:val="none"/>
            </w:rPr>
            <w:fldChar w:fldCharType="separate"/>
          </w:r>
          <w:r>
            <w:rPr>
              <w:rFonts w:hint="eastAsia" w:ascii="宋体" w:hAnsi="宋体" w:eastAsia="宋体" w:cs="宋体"/>
              <w:highlight w:val="none"/>
            </w:rPr>
            <w:t>47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BA40B40">
          <w:pPr>
            <w:pStyle w:val="14"/>
            <w:shd w:val="clear"/>
            <w:tabs>
              <w:tab w:val="right" w:leader="dot" w:pos="9000"/>
            </w:tabs>
            <w:spacing w:line="24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_Toc7799 </w:instrText>
          </w:r>
          <w:r>
            <w:rPr>
              <w:rFonts w:hint="eastAsia" w:ascii="宋体" w:hAnsi="宋体" w:eastAsia="宋体" w:cs="宋体"/>
              <w:highlight w:val="none"/>
            </w:rPr>
            <w:fldChar w:fldCharType="separate"/>
          </w:r>
          <w:r>
            <w:rPr>
              <w:rFonts w:hint="eastAsia" w:ascii="宋体" w:hAnsi="宋体" w:eastAsia="宋体" w:cs="宋体"/>
              <w:strike/>
              <w:szCs w:val="21"/>
              <w:highlight w:val="none"/>
            </w:rPr>
            <w:t>附件5勘察投标文件编制要求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_Toc7799 \h </w:instrText>
          </w:r>
          <w:r>
            <w:rPr>
              <w:rFonts w:hint="eastAsia" w:ascii="宋体" w:hAnsi="宋体" w:eastAsia="宋体" w:cs="宋体"/>
              <w:highlight w:val="none"/>
            </w:rPr>
            <w:fldChar w:fldCharType="separate"/>
          </w:r>
          <w:r>
            <w:rPr>
              <w:rFonts w:hint="eastAsia" w:ascii="宋体" w:hAnsi="宋体" w:eastAsia="宋体" w:cs="宋体"/>
              <w:highlight w:val="none"/>
            </w:rPr>
            <w:t>48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6E97733">
          <w:pPr>
            <w:pStyle w:val="14"/>
            <w:shd w:val="clear"/>
            <w:tabs>
              <w:tab w:val="right" w:leader="dot" w:pos="9000"/>
            </w:tabs>
            <w:spacing w:line="24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_Toc16773 </w:instrText>
          </w:r>
          <w:r>
            <w:rPr>
              <w:rFonts w:hint="eastAsia" w:ascii="宋体" w:hAnsi="宋体" w:eastAsia="宋体" w:cs="宋体"/>
              <w:highlight w:val="none"/>
            </w:rPr>
            <w:fldChar w:fldCharType="separate"/>
          </w:r>
          <w:r>
            <w:rPr>
              <w:rFonts w:hint="eastAsia" w:ascii="宋体" w:hAnsi="宋体" w:eastAsia="宋体" w:cs="宋体"/>
              <w:kern w:val="44"/>
              <w:szCs w:val="21"/>
              <w:highlight w:val="none"/>
            </w:rPr>
            <w:t>附录6 投标书</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_Toc16773 \h </w:instrText>
          </w:r>
          <w:r>
            <w:rPr>
              <w:rFonts w:hint="eastAsia" w:ascii="宋体" w:hAnsi="宋体" w:eastAsia="宋体" w:cs="宋体"/>
              <w:highlight w:val="none"/>
            </w:rPr>
            <w:fldChar w:fldCharType="separate"/>
          </w:r>
          <w:r>
            <w:rPr>
              <w:rFonts w:hint="eastAsia" w:ascii="宋体" w:hAnsi="宋体" w:eastAsia="宋体" w:cs="宋体"/>
              <w:highlight w:val="none"/>
            </w:rPr>
            <w:t>51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BA7FB7B">
          <w:pPr>
            <w:pStyle w:val="14"/>
            <w:shd w:val="clear"/>
            <w:tabs>
              <w:tab w:val="right" w:leader="dot" w:pos="9000"/>
            </w:tabs>
            <w:spacing w:line="24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_Toc24446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附录7 联合体共同投标协议</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_Toc24446 \h </w:instrText>
          </w:r>
          <w:r>
            <w:rPr>
              <w:rFonts w:hint="eastAsia" w:ascii="宋体" w:hAnsi="宋体" w:eastAsia="宋体" w:cs="宋体"/>
              <w:highlight w:val="none"/>
            </w:rPr>
            <w:fldChar w:fldCharType="separate"/>
          </w:r>
          <w:r>
            <w:rPr>
              <w:rFonts w:hint="eastAsia" w:ascii="宋体" w:hAnsi="宋体" w:eastAsia="宋体" w:cs="宋体"/>
              <w:highlight w:val="none"/>
            </w:rPr>
            <w:t>53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0465D66">
          <w:pPr>
            <w:pStyle w:val="14"/>
            <w:shd w:val="clear"/>
            <w:tabs>
              <w:tab w:val="right" w:leader="dot" w:pos="9000"/>
            </w:tabs>
            <w:spacing w:line="24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_Toc27475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附录8 投标人声明</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_Toc27475 \h </w:instrText>
          </w:r>
          <w:r>
            <w:rPr>
              <w:rFonts w:hint="eastAsia" w:ascii="宋体" w:hAnsi="宋体" w:eastAsia="宋体" w:cs="宋体"/>
              <w:highlight w:val="none"/>
            </w:rPr>
            <w:fldChar w:fldCharType="separate"/>
          </w:r>
          <w:r>
            <w:rPr>
              <w:rFonts w:hint="eastAsia" w:ascii="宋体" w:hAnsi="宋体" w:eastAsia="宋体" w:cs="宋体"/>
              <w:highlight w:val="none"/>
            </w:rPr>
            <w:t>55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CC74C44">
          <w:pPr>
            <w:pStyle w:val="14"/>
            <w:shd w:val="clear"/>
            <w:tabs>
              <w:tab w:val="right" w:leader="dot" w:pos="9000"/>
            </w:tabs>
            <w:spacing w:line="24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_Toc25858 </w:instrText>
          </w:r>
          <w:r>
            <w:rPr>
              <w:rFonts w:hint="eastAsia" w:ascii="宋体" w:hAnsi="宋体" w:eastAsia="宋体" w:cs="宋体"/>
              <w:highlight w:val="none"/>
            </w:rPr>
            <w:fldChar w:fldCharType="separate"/>
          </w:r>
          <w:r>
            <w:rPr>
              <w:rFonts w:hint="eastAsia" w:ascii="宋体" w:hAnsi="宋体" w:eastAsia="宋体" w:cs="宋体"/>
              <w:kern w:val="44"/>
              <w:szCs w:val="21"/>
              <w:highlight w:val="none"/>
            </w:rPr>
            <w:t>附录9 资格审查表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_Toc25858 \h </w:instrText>
          </w:r>
          <w:r>
            <w:rPr>
              <w:rFonts w:hint="eastAsia" w:ascii="宋体" w:hAnsi="宋体" w:eastAsia="宋体" w:cs="宋体"/>
              <w:highlight w:val="none"/>
            </w:rPr>
            <w:fldChar w:fldCharType="separate"/>
          </w:r>
          <w:r>
            <w:rPr>
              <w:rFonts w:hint="eastAsia" w:ascii="宋体" w:hAnsi="宋体" w:eastAsia="宋体" w:cs="宋体"/>
              <w:highlight w:val="none"/>
            </w:rPr>
            <w:t>57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6362999">
          <w:pPr>
            <w:pStyle w:val="14"/>
            <w:shd w:val="clear"/>
            <w:tabs>
              <w:tab w:val="right" w:leader="dot" w:pos="9000"/>
            </w:tabs>
            <w:spacing w:line="24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_Toc29980 </w:instrText>
          </w:r>
          <w:r>
            <w:rPr>
              <w:rFonts w:hint="eastAsia" w:ascii="宋体" w:hAnsi="宋体" w:eastAsia="宋体" w:cs="宋体"/>
              <w:highlight w:val="none"/>
            </w:rPr>
            <w:fldChar w:fldCharType="separate"/>
          </w:r>
          <w:r>
            <w:rPr>
              <w:rFonts w:hint="eastAsia" w:ascii="宋体" w:hAnsi="宋体" w:eastAsia="宋体" w:cs="宋体"/>
              <w:strike/>
              <w:szCs w:val="21"/>
              <w:highlight w:val="none"/>
            </w:rPr>
            <w:t>附件10 投票表格</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_Toc29980 \h </w:instrText>
          </w:r>
          <w:r>
            <w:rPr>
              <w:rFonts w:hint="eastAsia" w:ascii="宋体" w:hAnsi="宋体" w:eastAsia="宋体" w:cs="宋体"/>
              <w:highlight w:val="none"/>
            </w:rPr>
            <w:fldChar w:fldCharType="separate"/>
          </w:r>
          <w:r>
            <w:rPr>
              <w:rFonts w:hint="eastAsia" w:ascii="宋体" w:hAnsi="宋体" w:eastAsia="宋体" w:cs="宋体"/>
              <w:highlight w:val="none"/>
            </w:rPr>
            <w:t>59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74A72DF">
          <w:pPr>
            <w:pStyle w:val="14"/>
            <w:shd w:val="clear"/>
            <w:tabs>
              <w:tab w:val="right" w:leader="dot" w:pos="9000"/>
            </w:tabs>
            <w:spacing w:line="24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_Toc23435 </w:instrText>
          </w:r>
          <w:r>
            <w:rPr>
              <w:rFonts w:hint="eastAsia" w:ascii="宋体" w:hAnsi="宋体" w:eastAsia="宋体" w:cs="宋体"/>
              <w:highlight w:val="none"/>
            </w:rPr>
            <w:fldChar w:fldCharType="separate"/>
          </w:r>
          <w:r>
            <w:rPr>
              <w:rFonts w:hint="eastAsia" w:ascii="宋体" w:hAnsi="宋体" w:eastAsia="宋体" w:cs="宋体"/>
              <w:strike/>
              <w:szCs w:val="21"/>
              <w:highlight w:val="none"/>
            </w:rPr>
            <w:t>附录11 投标汇总表格</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_Toc23435 \h </w:instrText>
          </w:r>
          <w:r>
            <w:rPr>
              <w:rFonts w:hint="eastAsia" w:ascii="宋体" w:hAnsi="宋体" w:eastAsia="宋体" w:cs="宋体"/>
              <w:highlight w:val="none"/>
            </w:rPr>
            <w:fldChar w:fldCharType="separate"/>
          </w:r>
          <w:r>
            <w:rPr>
              <w:rFonts w:hint="eastAsia" w:ascii="宋体" w:hAnsi="宋体" w:eastAsia="宋体" w:cs="宋体"/>
              <w:highlight w:val="none"/>
            </w:rPr>
            <w:t>61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233D36C">
          <w:pPr>
            <w:pStyle w:val="14"/>
            <w:shd w:val="clear"/>
            <w:tabs>
              <w:tab w:val="right" w:leader="dot" w:pos="9000"/>
            </w:tabs>
            <w:spacing w:line="24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_Toc30688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附录12有效性审查表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_Toc30688 \h </w:instrText>
          </w:r>
          <w:r>
            <w:rPr>
              <w:rFonts w:hint="eastAsia" w:ascii="宋体" w:hAnsi="宋体" w:eastAsia="宋体" w:cs="宋体"/>
              <w:highlight w:val="none"/>
            </w:rPr>
            <w:fldChar w:fldCharType="separate"/>
          </w:r>
          <w:r>
            <w:rPr>
              <w:rFonts w:hint="eastAsia" w:ascii="宋体" w:hAnsi="宋体" w:eastAsia="宋体" w:cs="宋体"/>
              <w:highlight w:val="none"/>
            </w:rPr>
            <w:t>62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D7E95DE">
          <w:pPr>
            <w:pStyle w:val="14"/>
            <w:shd w:val="clear"/>
            <w:tabs>
              <w:tab w:val="right" w:leader="dot" w:pos="9000"/>
            </w:tabs>
            <w:spacing w:line="24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_Toc27444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附录12-1 投标报价算术复核表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_Toc27444 \h </w:instrText>
          </w:r>
          <w:r>
            <w:rPr>
              <w:rFonts w:hint="eastAsia" w:ascii="宋体" w:hAnsi="宋体" w:eastAsia="宋体" w:cs="宋体"/>
              <w:highlight w:val="none"/>
            </w:rPr>
            <w:fldChar w:fldCharType="separate"/>
          </w:r>
          <w:r>
            <w:rPr>
              <w:rFonts w:hint="eastAsia" w:ascii="宋体" w:hAnsi="宋体" w:eastAsia="宋体" w:cs="宋体"/>
              <w:highlight w:val="none"/>
            </w:rPr>
            <w:t>66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22466E4">
          <w:pPr>
            <w:pStyle w:val="14"/>
            <w:shd w:val="clear"/>
            <w:tabs>
              <w:tab w:val="right" w:leader="dot" w:pos="9000"/>
            </w:tabs>
            <w:spacing w:line="24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_Toc5423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附录13 勘察初步设计方案部分评分表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_Toc5423 \h </w:instrText>
          </w:r>
          <w:r>
            <w:rPr>
              <w:rFonts w:hint="eastAsia" w:ascii="宋体" w:hAnsi="宋体" w:eastAsia="宋体" w:cs="宋体"/>
              <w:highlight w:val="none"/>
            </w:rPr>
            <w:fldChar w:fldCharType="separate"/>
          </w:r>
          <w:r>
            <w:rPr>
              <w:rFonts w:hint="eastAsia" w:ascii="宋体" w:hAnsi="宋体" w:eastAsia="宋体" w:cs="宋体"/>
              <w:highlight w:val="none"/>
            </w:rPr>
            <w:t>67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D16AAAF">
          <w:pPr>
            <w:pStyle w:val="14"/>
            <w:shd w:val="clear"/>
            <w:tabs>
              <w:tab w:val="right" w:leader="dot" w:pos="9000"/>
            </w:tabs>
            <w:spacing w:line="24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_Toc13446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附录13-1 勘察初步设计商务部分评分表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_Toc13446 \h </w:instrText>
          </w:r>
          <w:r>
            <w:rPr>
              <w:rFonts w:hint="eastAsia" w:ascii="宋体" w:hAnsi="宋体" w:eastAsia="宋体" w:cs="宋体"/>
              <w:highlight w:val="none"/>
            </w:rPr>
            <w:fldChar w:fldCharType="separate"/>
          </w:r>
          <w:r>
            <w:rPr>
              <w:rFonts w:hint="eastAsia" w:ascii="宋体" w:hAnsi="宋体" w:eastAsia="宋体" w:cs="宋体"/>
              <w:highlight w:val="none"/>
            </w:rPr>
            <w:t>70</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4729ECD">
          <w:pPr>
            <w:pStyle w:val="14"/>
            <w:shd w:val="clear"/>
            <w:tabs>
              <w:tab w:val="right" w:leader="dot" w:pos="9000"/>
            </w:tabs>
            <w:spacing w:line="24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_Toc17182 </w:instrText>
          </w:r>
          <w:r>
            <w:rPr>
              <w:rFonts w:hint="eastAsia" w:ascii="宋体" w:hAnsi="宋体" w:eastAsia="宋体" w:cs="宋体"/>
              <w:highlight w:val="none"/>
            </w:rPr>
            <w:fldChar w:fldCharType="separate"/>
          </w:r>
          <w:r>
            <w:rPr>
              <w:rFonts w:hint="eastAsia" w:ascii="宋体" w:hAnsi="宋体" w:eastAsia="宋体" w:cs="宋体"/>
              <w:bCs/>
              <w:szCs w:val="21"/>
              <w:highlight w:val="none"/>
            </w:rPr>
            <w:t>附录14 基础资料和勘察初步设计任务书</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_Toc17182 \h </w:instrText>
          </w:r>
          <w:r>
            <w:rPr>
              <w:rFonts w:hint="eastAsia" w:ascii="宋体" w:hAnsi="宋体" w:eastAsia="宋体" w:cs="宋体"/>
              <w:highlight w:val="none"/>
            </w:rPr>
            <w:fldChar w:fldCharType="separate"/>
          </w:r>
          <w:r>
            <w:rPr>
              <w:rFonts w:hint="eastAsia" w:ascii="宋体" w:hAnsi="宋体" w:eastAsia="宋体" w:cs="宋体"/>
              <w:highlight w:val="none"/>
            </w:rPr>
            <w:t>75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9A055EE">
          <w:pPr>
            <w:pStyle w:val="14"/>
            <w:shd w:val="clear"/>
            <w:tabs>
              <w:tab w:val="right" w:leader="dot" w:pos="9000"/>
            </w:tabs>
            <w:spacing w:line="24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_Toc17454 </w:instrText>
          </w:r>
          <w:r>
            <w:rPr>
              <w:rFonts w:hint="eastAsia" w:ascii="宋体" w:hAnsi="宋体" w:eastAsia="宋体" w:cs="宋体"/>
              <w:highlight w:val="none"/>
            </w:rPr>
            <w:fldChar w:fldCharType="separate"/>
          </w:r>
          <w:r>
            <w:rPr>
              <w:rFonts w:hint="eastAsia" w:ascii="宋体" w:hAnsi="宋体" w:eastAsia="宋体" w:cs="宋体"/>
              <w:bCs/>
              <w:szCs w:val="21"/>
              <w:highlight w:val="none"/>
            </w:rPr>
            <w:t>附录15 定标委员会的组成</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_Toc17454 \h </w:instrText>
          </w:r>
          <w:r>
            <w:rPr>
              <w:rFonts w:hint="eastAsia" w:ascii="宋体" w:hAnsi="宋体" w:eastAsia="宋体" w:cs="宋体"/>
              <w:highlight w:val="none"/>
            </w:rPr>
            <w:fldChar w:fldCharType="separate"/>
          </w:r>
          <w:r>
            <w:rPr>
              <w:rFonts w:hint="eastAsia" w:ascii="宋体" w:hAnsi="宋体" w:eastAsia="宋体" w:cs="宋体"/>
              <w:highlight w:val="none"/>
            </w:rPr>
            <w:t>76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5AD4A87">
          <w:pPr>
            <w:pStyle w:val="14"/>
            <w:shd w:val="clear"/>
            <w:tabs>
              <w:tab w:val="right" w:leader="dot" w:pos="9000"/>
            </w:tabs>
            <w:spacing w:line="24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_Toc8803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附录16 定标原则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_Toc8803 \h </w:instrText>
          </w:r>
          <w:r>
            <w:rPr>
              <w:rFonts w:hint="eastAsia" w:ascii="宋体" w:hAnsi="宋体" w:eastAsia="宋体" w:cs="宋体"/>
              <w:highlight w:val="none"/>
            </w:rPr>
            <w:fldChar w:fldCharType="separate"/>
          </w:r>
          <w:r>
            <w:rPr>
              <w:rFonts w:hint="eastAsia" w:ascii="宋体" w:hAnsi="宋体" w:eastAsia="宋体" w:cs="宋体"/>
              <w:highlight w:val="none"/>
            </w:rPr>
            <w:t>77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2B7B515">
          <w:pPr>
            <w:pStyle w:val="5"/>
            <w:shd w:val="clear"/>
            <w:spacing w:line="240" w:lineRule="auto"/>
            <w:ind w:firstLine="420" w:firstLineChars="200"/>
            <w:rPr>
              <w:highlight w:val="none"/>
            </w:rPr>
          </w:pPr>
          <w:r>
            <w:rPr>
              <w:rFonts w:hint="eastAsia" w:ascii="宋体" w:hAnsi="宋体" w:eastAsia="宋体" w:cs="宋体"/>
              <w:szCs w:val="21"/>
              <w:highlight w:val="none"/>
            </w:rPr>
            <w:fldChar w:fldCharType="end"/>
          </w:r>
          <w:bookmarkEnd w:id="13"/>
          <w:bookmarkEnd w:id="14"/>
          <w:bookmarkEnd w:id="15"/>
          <w:bookmarkEnd w:id="16"/>
        </w:p>
      </w:sdtContent>
    </w:sdt>
    <w:p w14:paraId="48AC4C33">
      <w:pPr>
        <w:shd w:val="clear"/>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p w14:paraId="2EF06E9D">
      <w:pPr>
        <w:pStyle w:val="2"/>
        <w:widowControl/>
        <w:shd w:val="clear"/>
        <w:jc w:val="center"/>
        <w:rPr>
          <w:rFonts w:hint="eastAsia" w:ascii="宋体" w:hAnsi="宋体" w:cs="宋体"/>
          <w:sz w:val="36"/>
          <w:szCs w:val="36"/>
          <w:highlight w:val="none"/>
        </w:rPr>
      </w:pPr>
      <w:bookmarkStart w:id="17" w:name="_Toc5333"/>
      <w:bookmarkStart w:id="18" w:name="_Toc30216"/>
      <w:bookmarkStart w:id="19" w:name="_Toc9372"/>
      <w:bookmarkStart w:id="20" w:name="_Toc3014"/>
      <w:bookmarkStart w:id="21" w:name="_Toc14136"/>
      <w:bookmarkStart w:id="22" w:name="_Toc23068"/>
      <w:bookmarkStart w:id="23" w:name="_Toc30995"/>
      <w:r>
        <w:rPr>
          <w:rFonts w:hint="eastAsia" w:ascii="宋体" w:hAnsi="宋体" w:cs="宋体"/>
          <w:sz w:val="36"/>
          <w:szCs w:val="36"/>
          <w:highlight w:val="none"/>
        </w:rPr>
        <w:t>第一章  招标公告</w:t>
      </w:r>
      <w:bookmarkEnd w:id="17"/>
      <w:bookmarkEnd w:id="18"/>
      <w:bookmarkEnd w:id="19"/>
      <w:bookmarkEnd w:id="20"/>
      <w:bookmarkEnd w:id="21"/>
      <w:bookmarkEnd w:id="22"/>
      <w:bookmarkEnd w:id="23"/>
    </w:p>
    <w:p w14:paraId="57C5489E">
      <w:pPr>
        <w:shd w:val="clear"/>
        <w:spacing w:line="360" w:lineRule="auto"/>
        <w:jc w:val="center"/>
        <w:rPr>
          <w:rFonts w:hint="eastAsia" w:ascii="宋体" w:hAnsi="宋体" w:cs="宋体"/>
          <w:szCs w:val="21"/>
          <w:highlight w:val="none"/>
        </w:rPr>
      </w:pPr>
      <w:r>
        <w:rPr>
          <w:rFonts w:hint="eastAsia" w:ascii="宋体" w:hAnsi="宋体" w:cs="宋体"/>
          <w:szCs w:val="21"/>
          <w:highlight w:val="none"/>
          <w:u w:val="single"/>
        </w:rPr>
        <w:t>详见《招标公告》</w:t>
      </w:r>
    </w:p>
    <w:p w14:paraId="17B5B2B3">
      <w:pPr>
        <w:keepNext/>
        <w:keepLines/>
        <w:shd w:val="clear"/>
        <w:spacing w:before="340" w:after="330" w:line="576" w:lineRule="auto"/>
        <w:jc w:val="center"/>
        <w:outlineLvl w:val="0"/>
        <w:rPr>
          <w:rFonts w:hint="eastAsia" w:ascii="宋体" w:hAnsi="宋体" w:cs="宋体"/>
          <w:bCs/>
          <w:kern w:val="44"/>
          <w:sz w:val="24"/>
          <w:szCs w:val="24"/>
          <w:highlight w:val="none"/>
        </w:rPr>
      </w:pPr>
      <w:r>
        <w:rPr>
          <w:rFonts w:hint="eastAsia" w:ascii="宋体" w:hAnsi="宋体" w:cs="宋体"/>
          <w:b/>
          <w:sz w:val="36"/>
          <w:szCs w:val="36"/>
          <w:highlight w:val="none"/>
        </w:rPr>
        <w:br w:type="page"/>
      </w:r>
      <w:bookmarkStart w:id="24" w:name="_Toc97803958"/>
      <w:bookmarkEnd w:id="24"/>
      <w:bookmarkStart w:id="25" w:name="_Toc11803"/>
      <w:bookmarkStart w:id="26" w:name="_Toc5627"/>
      <w:bookmarkStart w:id="27" w:name="_Toc31050"/>
      <w:bookmarkStart w:id="28" w:name="_Toc9200"/>
      <w:bookmarkStart w:id="29" w:name="_Toc30666"/>
      <w:bookmarkStart w:id="30" w:name="_Toc17163"/>
      <w:bookmarkStart w:id="31" w:name="_Toc21395"/>
      <w:r>
        <w:rPr>
          <w:rFonts w:hint="eastAsia" w:ascii="宋体" w:hAnsi="宋体" w:cs="宋体"/>
          <w:b/>
          <w:kern w:val="44"/>
          <w:sz w:val="36"/>
          <w:szCs w:val="36"/>
          <w:highlight w:val="none"/>
        </w:rPr>
        <w:t>第二章  招标</w:t>
      </w:r>
      <w:r>
        <w:rPr>
          <w:rFonts w:hint="eastAsia" w:ascii="宋体" w:hAnsi="宋体" w:cs="宋体"/>
          <w:b/>
          <w:kern w:val="44"/>
          <w:sz w:val="36"/>
          <w:szCs w:val="36"/>
          <w:highlight w:val="none"/>
          <w:u w:val="single"/>
        </w:rPr>
        <w:t>（范本原文）</w:t>
      </w:r>
      <w:bookmarkEnd w:id="25"/>
      <w:bookmarkEnd w:id="26"/>
      <w:bookmarkEnd w:id="27"/>
      <w:bookmarkEnd w:id="28"/>
      <w:bookmarkEnd w:id="29"/>
      <w:bookmarkEnd w:id="30"/>
      <w:bookmarkEnd w:id="31"/>
    </w:p>
    <w:p w14:paraId="5CB3CA4F">
      <w:pPr>
        <w:shd w:val="clear"/>
        <w:rPr>
          <w:rFonts w:hint="eastAsia" w:ascii="宋体" w:hAnsi="宋体" w:cs="宋体"/>
          <w:sz w:val="24"/>
          <w:szCs w:val="24"/>
          <w:highlight w:val="none"/>
        </w:rPr>
      </w:pPr>
    </w:p>
    <w:p w14:paraId="017504C5">
      <w:pPr>
        <w:shd w:val="clear"/>
        <w:spacing w:line="360" w:lineRule="auto"/>
        <w:ind w:left="824" w:hanging="824" w:hangingChars="342"/>
        <w:rPr>
          <w:rFonts w:hint="eastAsia" w:ascii="宋体" w:hAnsi="宋体" w:cs="宋体"/>
          <w:b/>
          <w:sz w:val="24"/>
          <w:szCs w:val="24"/>
          <w:highlight w:val="none"/>
        </w:rPr>
      </w:pPr>
      <w:bookmarkStart w:id="32" w:name="_Toc18483"/>
      <w:bookmarkStart w:id="33" w:name="_Toc1243"/>
      <w:bookmarkStart w:id="34" w:name="_Toc22981"/>
      <w:bookmarkStart w:id="35" w:name="_Toc5748"/>
      <w:r>
        <w:rPr>
          <w:rFonts w:hint="eastAsia" w:ascii="宋体" w:hAnsi="宋体" w:cs="宋体"/>
          <w:b/>
          <w:sz w:val="24"/>
          <w:szCs w:val="24"/>
          <w:highlight w:val="none"/>
        </w:rPr>
        <w:t>2.1    释义</w:t>
      </w:r>
      <w:bookmarkEnd w:id="32"/>
      <w:bookmarkEnd w:id="33"/>
      <w:bookmarkEnd w:id="34"/>
      <w:bookmarkEnd w:id="35"/>
    </w:p>
    <w:p w14:paraId="286A663B">
      <w:pPr>
        <w:shd w:val="clear"/>
        <w:spacing w:line="360" w:lineRule="auto"/>
        <w:ind w:left="821" w:hanging="820" w:hangingChars="342"/>
        <w:rPr>
          <w:rFonts w:hint="eastAsia" w:ascii="宋体" w:hAnsi="宋体" w:cs="宋体"/>
          <w:sz w:val="24"/>
          <w:szCs w:val="24"/>
          <w:highlight w:val="none"/>
        </w:rPr>
      </w:pPr>
    </w:p>
    <w:p w14:paraId="563347CB">
      <w:pPr>
        <w:shd w:val="clea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2.1.1  “设计”是指根据建设工程的要求，对建设工程所需的技术、经济、资源、环境等条件进行综合分析、论证，编制建设工程设计文件的活动。</w:t>
      </w:r>
    </w:p>
    <w:p w14:paraId="501343DC">
      <w:pPr>
        <w:shd w:val="clea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2.1.2  “勘察”是指根据建设工程的要求，查明、分析、评价建设场地的地质地理环境特征和岩土工程条件，编制建设工程勘察文件的活动。</w:t>
      </w:r>
    </w:p>
    <w:p w14:paraId="1594019C">
      <w:pPr>
        <w:shd w:val="clea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2.1.3  “招标”是指发包人通过建设工程的勘察、初步设计等方案招标，将工程相应的任务发包给符合勘察初步设计资质条件的建设工程承包单位的行为。</w:t>
      </w:r>
    </w:p>
    <w:p w14:paraId="4686EC27">
      <w:pPr>
        <w:shd w:val="clea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2.1.4  “招标人”是指提出招标项目、进行招标的法人或者其他组织。</w:t>
      </w:r>
    </w:p>
    <w:p w14:paraId="6C41E429">
      <w:pPr>
        <w:shd w:val="clea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2.1.5  “招标代理机构”是指从事招标代理业务并提供相关服务的社会中介组织。</w:t>
      </w:r>
    </w:p>
    <w:p w14:paraId="342EA5FD">
      <w:pPr>
        <w:shd w:val="clea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2.1.6  “投标人”是指响应招标、参加投标竞争的法人或者其他组织。</w:t>
      </w:r>
    </w:p>
    <w:p w14:paraId="7114E122">
      <w:pPr>
        <w:shd w:val="clea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2.1.7  “监督机构”是指招标活动的监督机构。</w:t>
      </w:r>
    </w:p>
    <w:p w14:paraId="4670AC95">
      <w:pPr>
        <w:shd w:val="clea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2.1.8 “招标管理机构”是指受监督机构委托管理招标活动的机构。</w:t>
      </w:r>
    </w:p>
    <w:p w14:paraId="11C7E8CF">
      <w:pPr>
        <w:shd w:val="clea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2.1.9 “交易服务机构”是指为招标人和投标人提供场所、信息和咨询服务，见证招标过程，确认中标通知书的服务机构。</w:t>
      </w:r>
    </w:p>
    <w:p w14:paraId="21A156AB">
      <w:pPr>
        <w:shd w:val="clea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2.1.10 “招标文件”是指招标人（招标代理机构）发出的包括招标预告、招标公告、招标程序和规则、技术规范、合同条件、附件、图表、说明、投资立项批准文件、建设用地批准文件及其它一切补充资料的书面文件和电子文件。</w:t>
      </w:r>
    </w:p>
    <w:p w14:paraId="5B296EFE">
      <w:pPr>
        <w:shd w:val="clear"/>
        <w:spacing w:line="360" w:lineRule="auto"/>
        <w:rPr>
          <w:rFonts w:hint="eastAsia" w:ascii="宋体" w:hAnsi="宋体" w:cs="宋体"/>
          <w:sz w:val="24"/>
          <w:szCs w:val="24"/>
          <w:highlight w:val="none"/>
        </w:rPr>
      </w:pPr>
    </w:p>
    <w:p w14:paraId="272231C8">
      <w:pPr>
        <w:shd w:val="clear"/>
        <w:spacing w:line="360" w:lineRule="auto"/>
        <w:jc w:val="left"/>
        <w:rPr>
          <w:rFonts w:hint="eastAsia" w:ascii="宋体" w:hAnsi="宋体" w:cs="宋体"/>
          <w:b/>
          <w:sz w:val="24"/>
          <w:szCs w:val="24"/>
          <w:highlight w:val="none"/>
        </w:rPr>
      </w:pPr>
      <w:bookmarkStart w:id="36" w:name="_Toc25233"/>
      <w:bookmarkStart w:id="37" w:name="_Toc23164"/>
      <w:bookmarkStart w:id="38" w:name="_Toc5747"/>
      <w:bookmarkStart w:id="39" w:name="_Toc20614"/>
      <w:r>
        <w:rPr>
          <w:rFonts w:hint="eastAsia" w:ascii="宋体" w:hAnsi="宋体" w:cs="宋体"/>
          <w:b/>
          <w:sz w:val="24"/>
          <w:szCs w:val="24"/>
          <w:highlight w:val="none"/>
        </w:rPr>
        <w:t>2.2    免责条款</w:t>
      </w:r>
      <w:bookmarkEnd w:id="36"/>
      <w:bookmarkEnd w:id="37"/>
      <w:bookmarkEnd w:id="38"/>
      <w:bookmarkEnd w:id="39"/>
    </w:p>
    <w:p w14:paraId="16F43109">
      <w:pPr>
        <w:shd w:val="clear"/>
        <w:spacing w:line="360" w:lineRule="auto"/>
        <w:rPr>
          <w:rFonts w:hint="eastAsia" w:ascii="宋体" w:hAnsi="宋体" w:cs="宋体"/>
          <w:sz w:val="24"/>
          <w:szCs w:val="24"/>
          <w:highlight w:val="none"/>
        </w:rPr>
      </w:pPr>
    </w:p>
    <w:p w14:paraId="640612FD">
      <w:pPr>
        <w:shd w:val="clea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2.2.1  招标文件的解释权归招标人所有，招标人有权在法律允许范围内调整本次招标活动的细节及保留最终解释权。</w:t>
      </w:r>
    </w:p>
    <w:p w14:paraId="6CB7D3E6">
      <w:pPr>
        <w:shd w:val="clea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2.2.2  招标人不受将合同授予任何投标人的约束，招标人有权接受任何一份投标文件的全部或部分内容。</w:t>
      </w:r>
    </w:p>
    <w:p w14:paraId="5EFEC2F7">
      <w:pPr>
        <w:shd w:val="clea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2.2.3  招标人向投标人提供的资料和数据，是招标人现有的能使投标人利用的资料，招标人对投标人由此而作出的推论、理解和结论概不负责。</w:t>
      </w:r>
    </w:p>
    <w:p w14:paraId="0E330368">
      <w:pPr>
        <w:shd w:val="clear"/>
        <w:spacing w:line="360" w:lineRule="auto"/>
        <w:ind w:left="821" w:hanging="820" w:hangingChars="342"/>
        <w:jc w:val="left"/>
        <w:rPr>
          <w:rFonts w:hint="eastAsia" w:ascii="宋体" w:hAnsi="宋体" w:cs="宋体"/>
          <w:kern w:val="0"/>
          <w:sz w:val="24"/>
          <w:szCs w:val="24"/>
          <w:highlight w:val="none"/>
        </w:rPr>
      </w:pPr>
      <w:r>
        <w:rPr>
          <w:rFonts w:hint="eastAsia" w:ascii="宋体" w:hAnsi="宋体" w:cs="宋体"/>
          <w:kern w:val="0"/>
          <w:sz w:val="24"/>
          <w:szCs w:val="24"/>
          <w:highlight w:val="none"/>
        </w:rPr>
        <w:t>2.2.4  投标人应承担其现场考察、编制和提交投标文件有关的一切费用、损害和人身伤亡事故责任，不管投标结果如何，招标人对上述费用不负任何责任。</w:t>
      </w:r>
    </w:p>
    <w:p w14:paraId="258D7875">
      <w:pPr>
        <w:shd w:val="clea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2.2.5  招标人对投标人的失误不负任何责任，投标人应指定一名投标事务负责人，专门负责跟踪、接收、阅读和理解招标文件及随后收到的有关资料，向招标人发出质疑，检查投标文件，协助有关人员尽力克服各种投标失误。</w:t>
      </w:r>
    </w:p>
    <w:p w14:paraId="59727F94">
      <w:pPr>
        <w:shd w:val="clea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2.2.6  评标委员会成员应承担其参加评标有关的一切费用、损害和人身伤亡事故责任，招标人除提供评标酬金和差旅费用外，对其他费用不负任何责任。</w:t>
      </w:r>
    </w:p>
    <w:p w14:paraId="7CDDEDA7">
      <w:pPr>
        <w:shd w:val="clea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2.2.7  如果投标人实质上不符合投标资格，即使已购买招标文件、参加投标并缴纳各种费用，招标人可以随时取消其投标或中标资格，招标人对该投标人的一切损失不负任何责任。</w:t>
      </w:r>
    </w:p>
    <w:p w14:paraId="553F01A2">
      <w:pPr>
        <w:shd w:val="clear"/>
        <w:spacing w:line="360" w:lineRule="auto"/>
        <w:ind w:left="821" w:hanging="820" w:hangingChars="342"/>
        <w:rPr>
          <w:rFonts w:hint="eastAsia" w:ascii="宋体" w:hAnsi="宋体" w:cs="宋体"/>
          <w:sz w:val="24"/>
          <w:szCs w:val="24"/>
          <w:highlight w:val="none"/>
        </w:rPr>
      </w:pPr>
    </w:p>
    <w:p w14:paraId="0FCE1476">
      <w:pPr>
        <w:shd w:val="clear"/>
        <w:spacing w:line="360" w:lineRule="auto"/>
        <w:rPr>
          <w:rFonts w:hint="eastAsia" w:ascii="宋体" w:hAnsi="宋体" w:cs="宋体"/>
          <w:b/>
          <w:sz w:val="24"/>
          <w:szCs w:val="24"/>
          <w:highlight w:val="none"/>
        </w:rPr>
      </w:pPr>
      <w:bookmarkStart w:id="40" w:name="_Toc21131"/>
      <w:bookmarkStart w:id="41" w:name="_Toc10380"/>
      <w:bookmarkStart w:id="42" w:name="_Toc693"/>
      <w:bookmarkStart w:id="43" w:name="_Toc3210"/>
      <w:r>
        <w:rPr>
          <w:rFonts w:hint="eastAsia" w:ascii="宋体" w:hAnsi="宋体" w:cs="宋体"/>
          <w:b/>
          <w:sz w:val="24"/>
          <w:szCs w:val="24"/>
          <w:highlight w:val="none"/>
        </w:rPr>
        <w:t>2.3    招标文件效力</w:t>
      </w:r>
      <w:bookmarkEnd w:id="40"/>
      <w:bookmarkEnd w:id="41"/>
      <w:bookmarkEnd w:id="42"/>
      <w:bookmarkEnd w:id="43"/>
    </w:p>
    <w:p w14:paraId="54F0DB6C">
      <w:pPr>
        <w:shd w:val="clear"/>
        <w:spacing w:line="360" w:lineRule="auto"/>
        <w:rPr>
          <w:rFonts w:hint="eastAsia" w:ascii="宋体" w:hAnsi="宋体" w:cs="宋体"/>
          <w:sz w:val="24"/>
          <w:szCs w:val="24"/>
          <w:highlight w:val="none"/>
        </w:rPr>
      </w:pPr>
    </w:p>
    <w:p w14:paraId="1D0D6FC4">
      <w:pPr>
        <w:shd w:val="clea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2.3.1  招标文件是招标人发出的要约寻求，投标人参加投标均视为承认招标公告、招标文件及附件的所有条款，并承诺一旦中标将按招标文件、投标文件、合同条款、技术规范要求的质量和进度完成全部委托任务。</w:t>
      </w:r>
    </w:p>
    <w:p w14:paraId="205F3375">
      <w:pPr>
        <w:shd w:val="clea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2.3.2  招标人或招标代理机构与投标人之间使用电子邮箱传送的文件，与公开登载的文件或者盖章发出的文件一样具有同等效力。</w:t>
      </w:r>
    </w:p>
    <w:p w14:paraId="381FFF50">
      <w:pPr>
        <w:shd w:val="clea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2.3.3  招标人通过交易服务机构公开登载的文件，与盖章发出的文件一样具有同等效力。</w:t>
      </w:r>
    </w:p>
    <w:p w14:paraId="4ABA808E">
      <w:pPr>
        <w:keepNext/>
        <w:keepLines/>
        <w:shd w:val="clear"/>
        <w:spacing w:before="340" w:after="330" w:line="576" w:lineRule="auto"/>
        <w:jc w:val="center"/>
        <w:rPr>
          <w:rFonts w:hint="eastAsia" w:ascii="宋体" w:hAnsi="宋体" w:cs="宋体"/>
          <w:bCs/>
          <w:kern w:val="44"/>
          <w:sz w:val="24"/>
          <w:szCs w:val="24"/>
          <w:highlight w:val="none"/>
        </w:rPr>
      </w:pPr>
      <w:r>
        <w:rPr>
          <w:rFonts w:hint="eastAsia" w:ascii="宋体" w:hAnsi="宋体" w:cs="宋体"/>
          <w:b/>
          <w:kern w:val="44"/>
          <w:sz w:val="24"/>
          <w:szCs w:val="24"/>
          <w:highlight w:val="none"/>
        </w:rPr>
        <w:br w:type="page"/>
      </w:r>
      <w:bookmarkStart w:id="44" w:name="_Toc143817035"/>
      <w:bookmarkStart w:id="45" w:name="_Toc28986"/>
      <w:bookmarkStart w:id="46" w:name="_Toc7419"/>
      <w:r>
        <w:rPr>
          <w:rFonts w:hint="eastAsia" w:ascii="宋体" w:hAnsi="宋体" w:cs="宋体"/>
          <w:b/>
          <w:kern w:val="44"/>
          <w:sz w:val="36"/>
          <w:szCs w:val="36"/>
          <w:highlight w:val="none"/>
        </w:rPr>
        <w:t>第三章</w:t>
      </w:r>
      <w:bookmarkEnd w:id="44"/>
      <w:r>
        <w:rPr>
          <w:rFonts w:hint="eastAsia" w:ascii="宋体" w:hAnsi="宋体" w:cs="宋体"/>
          <w:b/>
          <w:kern w:val="44"/>
          <w:sz w:val="36"/>
          <w:szCs w:val="36"/>
          <w:highlight w:val="none"/>
        </w:rPr>
        <w:t xml:space="preserve">  投标</w:t>
      </w:r>
      <w:r>
        <w:rPr>
          <w:rFonts w:hint="eastAsia" w:ascii="宋体" w:hAnsi="宋体" w:cs="宋体"/>
          <w:b/>
          <w:kern w:val="44"/>
          <w:sz w:val="36"/>
          <w:szCs w:val="36"/>
          <w:highlight w:val="none"/>
          <w:u w:val="single"/>
        </w:rPr>
        <w:t>（范本原文）</w:t>
      </w:r>
      <w:bookmarkEnd w:id="45"/>
      <w:bookmarkEnd w:id="46"/>
    </w:p>
    <w:p w14:paraId="4BD59D28">
      <w:pPr>
        <w:shd w:val="clear"/>
        <w:spacing w:line="360" w:lineRule="auto"/>
        <w:ind w:left="850" w:hanging="849" w:hangingChars="354"/>
        <w:rPr>
          <w:rFonts w:hint="eastAsia" w:ascii="宋体" w:hAnsi="宋体" w:cs="宋体"/>
          <w:sz w:val="24"/>
          <w:szCs w:val="24"/>
          <w:highlight w:val="none"/>
        </w:rPr>
      </w:pPr>
    </w:p>
    <w:p w14:paraId="18901517">
      <w:pPr>
        <w:shd w:val="clear"/>
        <w:spacing w:line="360" w:lineRule="auto"/>
        <w:ind w:left="853" w:hanging="853" w:hangingChars="354"/>
        <w:jc w:val="left"/>
        <w:rPr>
          <w:rFonts w:hint="eastAsia" w:ascii="宋体" w:hAnsi="宋体" w:cs="宋体"/>
          <w:b/>
          <w:sz w:val="24"/>
          <w:szCs w:val="24"/>
          <w:highlight w:val="none"/>
        </w:rPr>
      </w:pPr>
      <w:bookmarkStart w:id="47" w:name="_Toc27524"/>
      <w:bookmarkStart w:id="48" w:name="_Toc11308"/>
      <w:bookmarkStart w:id="49" w:name="_Toc23703"/>
      <w:bookmarkStart w:id="50" w:name="_Toc32"/>
      <w:r>
        <w:rPr>
          <w:rFonts w:hint="eastAsia" w:ascii="宋体" w:hAnsi="宋体" w:cs="宋体"/>
          <w:b/>
          <w:sz w:val="24"/>
          <w:szCs w:val="24"/>
          <w:highlight w:val="none"/>
        </w:rPr>
        <w:t>3.1    现场考察</w:t>
      </w:r>
      <w:bookmarkEnd w:id="47"/>
      <w:bookmarkEnd w:id="48"/>
      <w:bookmarkEnd w:id="49"/>
      <w:bookmarkEnd w:id="50"/>
    </w:p>
    <w:p w14:paraId="0BCD19AC">
      <w:pPr>
        <w:shd w:val="clear"/>
        <w:spacing w:line="360" w:lineRule="auto"/>
        <w:ind w:left="850" w:hanging="849" w:hangingChars="354"/>
        <w:jc w:val="left"/>
        <w:rPr>
          <w:rFonts w:hint="eastAsia" w:ascii="宋体" w:hAnsi="宋体" w:cs="宋体"/>
          <w:sz w:val="24"/>
          <w:szCs w:val="24"/>
          <w:highlight w:val="none"/>
        </w:rPr>
      </w:pPr>
    </w:p>
    <w:p w14:paraId="404A9AA4">
      <w:pPr>
        <w:shd w:val="clea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3.1.1  招标人安排投标人代表对工程现场进行考察，目的是使每个投标人查看现场并获得编制投标文件所需要的一切资料。</w:t>
      </w:r>
    </w:p>
    <w:p w14:paraId="1DBD1F4F">
      <w:pPr>
        <w:shd w:val="clea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3.1.2  每个投标人参加现场考察的人数不宜超过3人，外国投标人代表应自带中文翻译。</w:t>
      </w:r>
    </w:p>
    <w:p w14:paraId="574F089F">
      <w:pPr>
        <w:shd w:val="clea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3.1.3  现场考察期间招标人将召开一次会议，接受投标人代表的提问。</w:t>
      </w:r>
    </w:p>
    <w:p w14:paraId="74930CDF">
      <w:pPr>
        <w:shd w:val="clear"/>
        <w:spacing w:line="360" w:lineRule="auto"/>
        <w:ind w:left="850" w:hanging="849" w:hangingChars="354"/>
        <w:jc w:val="left"/>
        <w:rPr>
          <w:rFonts w:hint="eastAsia" w:ascii="宋体" w:hAnsi="宋体" w:cs="宋体"/>
          <w:sz w:val="24"/>
          <w:szCs w:val="24"/>
          <w:highlight w:val="none"/>
        </w:rPr>
      </w:pPr>
    </w:p>
    <w:p w14:paraId="2AA846D4">
      <w:pPr>
        <w:shd w:val="clear"/>
        <w:spacing w:line="360" w:lineRule="auto"/>
        <w:ind w:left="853" w:hanging="853" w:hangingChars="354"/>
        <w:rPr>
          <w:rFonts w:hint="eastAsia" w:ascii="宋体" w:hAnsi="宋体" w:cs="宋体"/>
          <w:sz w:val="24"/>
          <w:szCs w:val="24"/>
          <w:highlight w:val="none"/>
        </w:rPr>
      </w:pPr>
      <w:bookmarkStart w:id="51" w:name="_Toc30932"/>
      <w:bookmarkStart w:id="52" w:name="_Toc10719"/>
      <w:bookmarkStart w:id="53" w:name="_Toc20404"/>
      <w:bookmarkStart w:id="54" w:name="_Toc13532"/>
      <w:r>
        <w:rPr>
          <w:rFonts w:hint="eastAsia" w:ascii="宋体" w:hAnsi="宋体" w:cs="宋体"/>
          <w:b/>
          <w:sz w:val="24"/>
          <w:szCs w:val="24"/>
          <w:highlight w:val="none"/>
        </w:rPr>
        <w:t>3.2    质疑和澄清</w:t>
      </w:r>
      <w:bookmarkEnd w:id="51"/>
      <w:bookmarkEnd w:id="52"/>
      <w:bookmarkEnd w:id="53"/>
      <w:bookmarkEnd w:id="54"/>
    </w:p>
    <w:p w14:paraId="12106CB7">
      <w:pPr>
        <w:shd w:val="clear"/>
        <w:spacing w:line="360" w:lineRule="auto"/>
        <w:ind w:left="850" w:hanging="849" w:hangingChars="354"/>
        <w:jc w:val="left"/>
        <w:rPr>
          <w:rFonts w:hint="eastAsia" w:ascii="宋体" w:hAnsi="宋体" w:cs="宋体"/>
          <w:sz w:val="24"/>
          <w:szCs w:val="24"/>
          <w:highlight w:val="none"/>
        </w:rPr>
      </w:pPr>
    </w:p>
    <w:p w14:paraId="69662CCA">
      <w:pPr>
        <w:shd w:val="clea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3.2.1  投标人应认真审阅招标文件和有关资料，尽力澄清一切疑点，对工程现场和周围环境进行勘察，以获取编制投标文件和签署合同所需的所有资料。</w:t>
      </w:r>
    </w:p>
    <w:p w14:paraId="7F727192">
      <w:pPr>
        <w:shd w:val="clea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3.2.2  投标人和其他利害关系人如对招标文件及随后收到的有关资料有任何异议的，应当在投标截止时间10日前向招标人提出。招标人应当自收到异议之日起3日内作出答复；作出答复前，应当暂停招标投标活动。</w:t>
      </w:r>
    </w:p>
    <w:p w14:paraId="2FCB9F78">
      <w:pPr>
        <w:shd w:val="clea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3.2.3  投标人需要澄清的问题应在规定的时间内，按交易平台的操作指引上传至交易平台网站。招标人应在递交投标文件截止时间15日前解答投标人对招标文件提出的疑问，形成澄清或答疑纪要在交易平台发布。不足15日的，招标人应当顺延投标文件的截止时间。</w:t>
      </w:r>
    </w:p>
    <w:p w14:paraId="0F693E5F">
      <w:pPr>
        <w:shd w:val="clea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3.2.4  澄清或答疑纪要是招标文件的组成部分，对投标人起约束作用。若招标答疑纪要或澄清与招标文件有矛盾时，以交易平台网站最后发布的答疑纪要或澄清为准。</w:t>
      </w:r>
    </w:p>
    <w:p w14:paraId="595163A9">
      <w:pPr>
        <w:shd w:val="clea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3.2.5  网上答疑的具体操作详见交易平台发布的相关操作指引。</w:t>
      </w:r>
    </w:p>
    <w:p w14:paraId="3AA7BC00">
      <w:pPr>
        <w:shd w:val="clear"/>
        <w:spacing w:line="360" w:lineRule="auto"/>
        <w:ind w:left="850" w:hanging="849" w:hangingChars="354"/>
        <w:rPr>
          <w:rFonts w:hint="eastAsia" w:ascii="宋体" w:hAnsi="宋体" w:cs="宋体"/>
          <w:sz w:val="24"/>
          <w:szCs w:val="24"/>
          <w:highlight w:val="none"/>
        </w:rPr>
      </w:pPr>
    </w:p>
    <w:p w14:paraId="278FEEAA">
      <w:pPr>
        <w:shd w:val="clear"/>
        <w:spacing w:line="360" w:lineRule="auto"/>
        <w:ind w:left="853" w:hanging="853" w:hangingChars="354"/>
        <w:rPr>
          <w:rFonts w:hint="eastAsia" w:ascii="宋体" w:hAnsi="宋体" w:cs="宋体"/>
          <w:sz w:val="24"/>
          <w:szCs w:val="24"/>
          <w:highlight w:val="none"/>
        </w:rPr>
      </w:pPr>
      <w:bookmarkStart w:id="55" w:name="_Toc7883"/>
      <w:bookmarkStart w:id="56" w:name="_Toc1659"/>
      <w:bookmarkStart w:id="57" w:name="_Toc10366"/>
      <w:bookmarkStart w:id="58" w:name="_Toc24576"/>
      <w:r>
        <w:rPr>
          <w:rFonts w:hint="eastAsia" w:ascii="宋体" w:hAnsi="宋体" w:cs="宋体"/>
          <w:b/>
          <w:sz w:val="24"/>
          <w:szCs w:val="24"/>
          <w:highlight w:val="none"/>
        </w:rPr>
        <w:t>3.3    投标文件编制要求</w:t>
      </w:r>
      <w:bookmarkEnd w:id="55"/>
      <w:bookmarkEnd w:id="56"/>
      <w:bookmarkEnd w:id="57"/>
      <w:bookmarkEnd w:id="58"/>
    </w:p>
    <w:p w14:paraId="042BC8E3">
      <w:pPr>
        <w:shd w:val="clear"/>
        <w:spacing w:line="360" w:lineRule="auto"/>
        <w:ind w:left="850" w:hanging="849" w:hangingChars="354"/>
        <w:rPr>
          <w:rFonts w:hint="eastAsia" w:ascii="宋体" w:hAnsi="宋体" w:cs="宋体"/>
          <w:sz w:val="24"/>
          <w:szCs w:val="24"/>
          <w:highlight w:val="none"/>
        </w:rPr>
      </w:pPr>
    </w:p>
    <w:p w14:paraId="2488A5A2">
      <w:pPr>
        <w:shd w:val="clea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3.3.1  投标文件应做到清晰、完整，文本、图纸文件大小应满足交易平台的要求。除非另有规定，否则投标文件的计量单位宜采用国际标准计量单位，尺寸齐全、准确，所有文字说明和文字标注以中文为准，报价均为人民币，时间均为北京时间。</w:t>
      </w:r>
    </w:p>
    <w:p w14:paraId="171E8850">
      <w:pPr>
        <w:shd w:val="clea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3.3.2  每个投标人报送一个投标方案，投标文件应达到招标文件规定的深度，满足评审需要。不响应招标文件要求的投标文件可能被拒绝，责任由投标人自负。</w:t>
      </w:r>
    </w:p>
    <w:p w14:paraId="01BE59B8">
      <w:pPr>
        <w:shd w:val="clear"/>
        <w:spacing w:line="360" w:lineRule="auto"/>
        <w:ind w:left="850" w:hanging="849" w:hangingChars="354"/>
        <w:jc w:val="left"/>
        <w:rPr>
          <w:rFonts w:hint="eastAsia" w:ascii="宋体" w:hAnsi="宋体" w:cs="宋体"/>
          <w:kern w:val="0"/>
          <w:sz w:val="24"/>
          <w:szCs w:val="24"/>
          <w:highlight w:val="none"/>
        </w:rPr>
      </w:pPr>
      <w:r>
        <w:rPr>
          <w:rFonts w:hint="eastAsia" w:ascii="宋体" w:hAnsi="宋体" w:cs="宋体"/>
          <w:sz w:val="24"/>
          <w:szCs w:val="24"/>
          <w:highlight w:val="none"/>
        </w:rPr>
        <w:t>3.3.3  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p w14:paraId="157FEF4E">
      <w:pPr>
        <w:shd w:val="clea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3.3.4  投标文件加密要求</w:t>
      </w:r>
    </w:p>
    <w:p w14:paraId="09E2BDFE">
      <w:pPr>
        <w:shd w:val="clea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3.3.4.1递交的电子投标文件必须进行加密。具体操作详见交易平台发布的相关操作指引。</w:t>
      </w:r>
    </w:p>
    <w:p w14:paraId="026498A0">
      <w:pPr>
        <w:shd w:val="clea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3.3.4.2 未按要求加密的投标文件，交易平台将予以拒收。</w:t>
      </w:r>
    </w:p>
    <w:p w14:paraId="5552500A">
      <w:pPr>
        <w:shd w:val="clear"/>
        <w:spacing w:line="360" w:lineRule="auto"/>
        <w:ind w:left="850" w:hanging="849" w:hangingChars="354"/>
        <w:rPr>
          <w:rFonts w:hint="eastAsia" w:ascii="宋体" w:hAnsi="宋体" w:cs="宋体"/>
          <w:sz w:val="24"/>
          <w:szCs w:val="24"/>
          <w:highlight w:val="none"/>
        </w:rPr>
      </w:pPr>
    </w:p>
    <w:p w14:paraId="379BB768">
      <w:pPr>
        <w:shd w:val="clear"/>
        <w:spacing w:line="360" w:lineRule="auto"/>
        <w:ind w:left="853" w:hanging="853" w:hangingChars="354"/>
        <w:rPr>
          <w:rFonts w:hint="eastAsia" w:ascii="宋体" w:hAnsi="宋体" w:cs="宋体"/>
          <w:b/>
          <w:kern w:val="0"/>
          <w:sz w:val="24"/>
          <w:szCs w:val="24"/>
          <w:highlight w:val="none"/>
        </w:rPr>
      </w:pPr>
      <w:bookmarkStart w:id="59" w:name="_Toc26285"/>
      <w:bookmarkStart w:id="60" w:name="_Toc32765"/>
      <w:bookmarkStart w:id="61" w:name="_Toc15329"/>
      <w:bookmarkStart w:id="62" w:name="_Toc28600"/>
      <w:r>
        <w:rPr>
          <w:rFonts w:hint="eastAsia" w:ascii="宋体" w:hAnsi="宋体" w:cs="宋体"/>
          <w:b/>
          <w:kern w:val="0"/>
          <w:sz w:val="24"/>
          <w:szCs w:val="24"/>
          <w:highlight w:val="none"/>
        </w:rPr>
        <w:t>3.4    延期</w:t>
      </w:r>
      <w:bookmarkEnd w:id="59"/>
      <w:bookmarkEnd w:id="60"/>
      <w:bookmarkEnd w:id="61"/>
      <w:bookmarkEnd w:id="62"/>
    </w:p>
    <w:p w14:paraId="0B240B70">
      <w:pPr>
        <w:shd w:val="clear"/>
        <w:spacing w:line="360" w:lineRule="auto"/>
        <w:ind w:left="850" w:hanging="849" w:hangingChars="354"/>
        <w:rPr>
          <w:rFonts w:hint="eastAsia" w:ascii="宋体" w:hAnsi="宋体" w:cs="宋体"/>
          <w:sz w:val="24"/>
          <w:szCs w:val="24"/>
          <w:highlight w:val="none"/>
        </w:rPr>
      </w:pPr>
    </w:p>
    <w:p w14:paraId="3E069E7D">
      <w:pPr>
        <w:shd w:val="clea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3.4.1  如果招标过程出现监督机构、招标管理机构要求暂停、重新评标等意外情形，招标投标各项期限相应延长。</w:t>
      </w:r>
    </w:p>
    <w:p w14:paraId="4F61AEB0">
      <w:pPr>
        <w:shd w:val="clea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3.4.2  为使投标人在编制投标文件时把</w:t>
      </w:r>
      <w:r>
        <w:rPr>
          <w:rFonts w:hint="eastAsia" w:ascii="宋体" w:hAnsi="宋体" w:cs="宋体"/>
          <w:kern w:val="0"/>
          <w:sz w:val="24"/>
          <w:szCs w:val="24"/>
          <w:highlight w:val="none"/>
        </w:rPr>
        <w:t>招标人对招标文件的澄清、修改和</w:t>
      </w:r>
      <w:r>
        <w:rPr>
          <w:rFonts w:hint="eastAsia" w:ascii="宋体" w:hAnsi="宋体" w:cs="宋体"/>
          <w:sz w:val="24"/>
          <w:szCs w:val="24"/>
          <w:highlight w:val="none"/>
        </w:rPr>
        <w:t>补充内容考虑进去，招标人可以酌情延长提交投标文件的截止日期。</w:t>
      </w:r>
    </w:p>
    <w:p w14:paraId="3B9FF55C">
      <w:pPr>
        <w:shd w:val="clea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3.4.3  某几个投标人因无法控制的原因不能如期提交投标文件，影响到提交投标文件的人数少于三人，招标人可以决定展延截止日期。延长提交投标文件截标日期和截止时间的决定由招标人作出。</w:t>
      </w:r>
    </w:p>
    <w:p w14:paraId="7BF9BBF5">
      <w:pPr>
        <w:shd w:val="clear"/>
        <w:spacing w:line="360" w:lineRule="auto"/>
        <w:ind w:left="850" w:hanging="849" w:hangingChars="354"/>
        <w:rPr>
          <w:rFonts w:hint="eastAsia" w:ascii="宋体" w:hAnsi="宋体" w:cs="宋体"/>
          <w:sz w:val="24"/>
          <w:szCs w:val="24"/>
          <w:highlight w:val="none"/>
        </w:rPr>
      </w:pPr>
    </w:p>
    <w:p w14:paraId="4732CB05">
      <w:pPr>
        <w:shd w:val="clear"/>
        <w:spacing w:line="360" w:lineRule="auto"/>
        <w:ind w:left="853" w:hanging="853" w:hangingChars="354"/>
        <w:rPr>
          <w:rFonts w:hint="eastAsia" w:ascii="宋体" w:hAnsi="宋体" w:cs="宋体"/>
          <w:b/>
          <w:sz w:val="24"/>
          <w:szCs w:val="24"/>
          <w:highlight w:val="none"/>
        </w:rPr>
      </w:pPr>
      <w:bookmarkStart w:id="63" w:name="_Toc3940"/>
      <w:bookmarkStart w:id="64" w:name="_Toc23146"/>
      <w:bookmarkStart w:id="65" w:name="_Toc1430"/>
      <w:bookmarkStart w:id="66" w:name="_Toc3482"/>
      <w:r>
        <w:rPr>
          <w:rFonts w:hint="eastAsia" w:ascii="宋体" w:hAnsi="宋体" w:cs="宋体"/>
          <w:b/>
          <w:sz w:val="24"/>
          <w:szCs w:val="24"/>
          <w:highlight w:val="none"/>
        </w:rPr>
        <w:t>3.5    投标时间</w:t>
      </w:r>
      <w:bookmarkEnd w:id="63"/>
      <w:bookmarkEnd w:id="64"/>
      <w:bookmarkEnd w:id="65"/>
      <w:bookmarkEnd w:id="66"/>
    </w:p>
    <w:p w14:paraId="354882B6">
      <w:pPr>
        <w:shd w:val="clear"/>
        <w:spacing w:line="360" w:lineRule="auto"/>
        <w:ind w:left="850" w:hanging="849" w:hangingChars="354"/>
        <w:rPr>
          <w:rFonts w:hint="eastAsia" w:ascii="宋体" w:hAnsi="宋体" w:cs="宋体"/>
          <w:sz w:val="24"/>
          <w:szCs w:val="24"/>
          <w:highlight w:val="none"/>
        </w:rPr>
      </w:pPr>
    </w:p>
    <w:p w14:paraId="08057156">
      <w:pPr>
        <w:shd w:val="clea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3.5.1  投标截止时间自本工程招标公告发布之日起计。</w:t>
      </w:r>
    </w:p>
    <w:p w14:paraId="6EE41712">
      <w:pPr>
        <w:shd w:val="clea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3.5.2  具体投标截止时间以招标人（招标代理机构）的最新通知为准，请各投标人留意交易平台网站发布的本工程相关信息。</w:t>
      </w:r>
    </w:p>
    <w:p w14:paraId="37EE892C">
      <w:pPr>
        <w:shd w:val="clea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3.5.3  到投标截止时间止，招标人收到的投标文件少于3家的，招标人将重新组织招标（当N个标段同时招标且不允许兼中时，若有效投标人不足N+2家，则重新组织招标）。</w:t>
      </w:r>
    </w:p>
    <w:p w14:paraId="0C1C474E">
      <w:pPr>
        <w:shd w:val="clear"/>
        <w:spacing w:line="360" w:lineRule="auto"/>
        <w:ind w:left="850" w:hanging="849" w:hangingChars="354"/>
        <w:rPr>
          <w:rFonts w:hint="eastAsia" w:ascii="宋体" w:hAnsi="宋体" w:cs="宋体"/>
          <w:sz w:val="24"/>
          <w:szCs w:val="24"/>
          <w:highlight w:val="none"/>
        </w:rPr>
      </w:pPr>
    </w:p>
    <w:p w14:paraId="528DA4FF">
      <w:pPr>
        <w:shd w:val="clear"/>
        <w:spacing w:line="360" w:lineRule="auto"/>
        <w:ind w:left="853" w:hanging="853" w:hangingChars="354"/>
        <w:rPr>
          <w:rFonts w:hint="eastAsia" w:ascii="宋体" w:hAnsi="宋体" w:cs="宋体"/>
          <w:b/>
          <w:sz w:val="24"/>
          <w:szCs w:val="24"/>
          <w:highlight w:val="none"/>
        </w:rPr>
      </w:pPr>
      <w:bookmarkStart w:id="67" w:name="_Toc23473"/>
      <w:bookmarkStart w:id="68" w:name="_Toc7939"/>
      <w:bookmarkStart w:id="69" w:name="_Toc11547"/>
      <w:bookmarkStart w:id="70" w:name="_Toc19353"/>
      <w:r>
        <w:rPr>
          <w:rFonts w:hint="eastAsia" w:ascii="宋体" w:hAnsi="宋体" w:cs="宋体"/>
          <w:b/>
          <w:sz w:val="24"/>
          <w:szCs w:val="24"/>
          <w:highlight w:val="none"/>
        </w:rPr>
        <w:t>3.6    投标文件的递交和接受</w:t>
      </w:r>
      <w:bookmarkEnd w:id="67"/>
      <w:bookmarkEnd w:id="68"/>
      <w:bookmarkEnd w:id="69"/>
      <w:bookmarkEnd w:id="70"/>
    </w:p>
    <w:p w14:paraId="206BB41A">
      <w:pPr>
        <w:shd w:val="clear"/>
        <w:spacing w:line="360" w:lineRule="auto"/>
        <w:ind w:left="850" w:hanging="849" w:hangingChars="354"/>
        <w:rPr>
          <w:rFonts w:hint="eastAsia" w:ascii="宋体" w:hAnsi="宋体" w:cs="宋体"/>
          <w:sz w:val="24"/>
          <w:szCs w:val="24"/>
          <w:highlight w:val="none"/>
        </w:rPr>
      </w:pPr>
    </w:p>
    <w:p w14:paraId="54817B49">
      <w:pPr>
        <w:shd w:val="clea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3.6.1  投标人通过下载招标文件的交易平台递交电子投标文件。</w:t>
      </w:r>
    </w:p>
    <w:p w14:paraId="7844E44C">
      <w:pPr>
        <w:shd w:val="clea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3.6.2  投标人完成电子投标文件上传后，交易平台即时向投标人发出递交回执通知。递交时间以递交回执通知载明的传输完成时间为准。</w:t>
      </w:r>
    </w:p>
    <w:p w14:paraId="1D48F850">
      <w:pPr>
        <w:shd w:val="clea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3.6.3  如按招标公告要求需要提交投标文件光盘（备用），备用光盘不得加密。如使用投标文件光盘（备用）时无法读取或导入的，则视为未提交投标文件。</w:t>
      </w:r>
    </w:p>
    <w:p w14:paraId="06212F31">
      <w:pPr>
        <w:shd w:val="clea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3.6.4  逾期送达的投标文件，交易平台将予以拒收。</w:t>
      </w:r>
    </w:p>
    <w:p w14:paraId="48C6FDEA">
      <w:pPr>
        <w:shd w:val="clear"/>
        <w:spacing w:line="360" w:lineRule="auto"/>
        <w:ind w:left="850" w:hanging="849" w:hangingChars="354"/>
        <w:jc w:val="left"/>
        <w:rPr>
          <w:rFonts w:hint="eastAsia" w:ascii="宋体" w:hAnsi="宋体" w:cs="宋体"/>
          <w:sz w:val="24"/>
          <w:szCs w:val="24"/>
          <w:highlight w:val="none"/>
        </w:rPr>
      </w:pPr>
    </w:p>
    <w:p w14:paraId="263ABD6C">
      <w:pPr>
        <w:shd w:val="clear"/>
        <w:spacing w:line="360" w:lineRule="auto"/>
        <w:ind w:left="853" w:hanging="853" w:hangingChars="354"/>
        <w:jc w:val="left"/>
        <w:rPr>
          <w:rFonts w:hint="eastAsia" w:ascii="宋体" w:hAnsi="宋体" w:cs="宋体"/>
          <w:b/>
          <w:sz w:val="24"/>
          <w:szCs w:val="24"/>
          <w:highlight w:val="none"/>
        </w:rPr>
      </w:pPr>
      <w:bookmarkStart w:id="71" w:name="_Toc11541"/>
      <w:bookmarkStart w:id="72" w:name="_Toc28962"/>
      <w:bookmarkStart w:id="73" w:name="_Toc12731"/>
      <w:bookmarkStart w:id="74" w:name="_Toc7846"/>
      <w:r>
        <w:rPr>
          <w:rFonts w:hint="eastAsia" w:ascii="宋体" w:hAnsi="宋体" w:cs="宋体"/>
          <w:b/>
          <w:sz w:val="24"/>
          <w:szCs w:val="24"/>
          <w:highlight w:val="none"/>
        </w:rPr>
        <w:t>3.7    投标文件的修改与撤回</w:t>
      </w:r>
      <w:bookmarkEnd w:id="71"/>
      <w:bookmarkEnd w:id="72"/>
      <w:bookmarkEnd w:id="73"/>
      <w:bookmarkEnd w:id="74"/>
    </w:p>
    <w:p w14:paraId="5AC3026A">
      <w:pPr>
        <w:shd w:val="clear"/>
        <w:spacing w:line="360" w:lineRule="auto"/>
        <w:ind w:left="853" w:hanging="853" w:hangingChars="354"/>
        <w:jc w:val="left"/>
        <w:rPr>
          <w:rFonts w:hint="eastAsia" w:ascii="宋体" w:hAnsi="宋体" w:cs="宋体"/>
          <w:b/>
          <w:sz w:val="24"/>
          <w:szCs w:val="24"/>
          <w:highlight w:val="none"/>
        </w:rPr>
      </w:pPr>
    </w:p>
    <w:p w14:paraId="35AD0E5B">
      <w:pPr>
        <w:shd w:val="clea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3.7.1  在规定的投标截止时间前，投标人可以修改或撤回已递交的投标文件。</w:t>
      </w:r>
    </w:p>
    <w:p w14:paraId="1EFD7298">
      <w:pPr>
        <w:shd w:val="clea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3.7.2  投标人修改或撤回已递交的投标文件，需在交易平台发出撤回通知，并按要求加盖电子印章。电子招标投标交易平台收到通知后，即时向投标人发布确认回执通知。</w:t>
      </w:r>
    </w:p>
    <w:p w14:paraId="7CBA8AE3">
      <w:pPr>
        <w:shd w:val="clea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3.7.3  修改后再次递交的，按3.6的规定执行。</w:t>
      </w:r>
    </w:p>
    <w:p w14:paraId="5C54F0E3">
      <w:pPr>
        <w:shd w:val="clea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3.7.4  在投标截止时间后，投标人不得补充、修改或更换投标文件。</w:t>
      </w:r>
    </w:p>
    <w:p w14:paraId="458CE111">
      <w:pPr>
        <w:shd w:val="clear"/>
        <w:spacing w:line="360" w:lineRule="auto"/>
        <w:ind w:left="850" w:hanging="849" w:hangingChars="354"/>
        <w:jc w:val="left"/>
        <w:rPr>
          <w:rFonts w:hint="eastAsia" w:ascii="宋体" w:hAnsi="宋体" w:cs="宋体"/>
          <w:sz w:val="24"/>
          <w:szCs w:val="24"/>
          <w:highlight w:val="none"/>
        </w:rPr>
      </w:pPr>
    </w:p>
    <w:p w14:paraId="02132581">
      <w:pPr>
        <w:shd w:val="clear"/>
        <w:spacing w:line="360" w:lineRule="auto"/>
        <w:ind w:left="853" w:hanging="853" w:hangingChars="354"/>
        <w:jc w:val="left"/>
        <w:rPr>
          <w:rFonts w:hint="eastAsia" w:ascii="宋体" w:hAnsi="宋体" w:cs="宋体"/>
          <w:b/>
          <w:sz w:val="24"/>
          <w:szCs w:val="24"/>
          <w:highlight w:val="none"/>
        </w:rPr>
      </w:pPr>
      <w:bookmarkStart w:id="75" w:name="_Toc13727"/>
      <w:bookmarkStart w:id="76" w:name="_Toc17008"/>
      <w:bookmarkStart w:id="77" w:name="_Toc22588"/>
      <w:bookmarkStart w:id="78" w:name="_Toc2740"/>
      <w:r>
        <w:rPr>
          <w:rFonts w:hint="eastAsia" w:ascii="宋体" w:hAnsi="宋体" w:cs="宋体"/>
          <w:b/>
          <w:sz w:val="24"/>
          <w:szCs w:val="24"/>
          <w:highlight w:val="none"/>
        </w:rPr>
        <w:t>3.8    电子招标投标解密失败及突发状况的补救</w:t>
      </w:r>
      <w:bookmarkEnd w:id="75"/>
      <w:bookmarkEnd w:id="76"/>
      <w:bookmarkEnd w:id="77"/>
      <w:bookmarkEnd w:id="78"/>
    </w:p>
    <w:p w14:paraId="09C266C6">
      <w:pPr>
        <w:shd w:val="clear"/>
        <w:spacing w:line="360" w:lineRule="auto"/>
        <w:ind w:left="853" w:hanging="853" w:hangingChars="354"/>
        <w:jc w:val="left"/>
        <w:rPr>
          <w:rFonts w:hint="eastAsia" w:ascii="宋体" w:hAnsi="宋体" w:cs="宋体"/>
          <w:b/>
          <w:sz w:val="24"/>
          <w:szCs w:val="24"/>
          <w:highlight w:val="none"/>
        </w:rPr>
      </w:pPr>
    </w:p>
    <w:p w14:paraId="223CEEFD">
      <w:pPr>
        <w:shd w:val="clea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3.8.1  提交投标文件光盘备用</w:t>
      </w:r>
    </w:p>
    <w:p w14:paraId="4CE5A6F0">
      <w:pPr>
        <w:shd w:val="clea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 xml:space="preserve">       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14:paraId="7C0DBCFF">
      <w:pPr>
        <w:shd w:val="clea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3.8.2  补救方案</w:t>
      </w:r>
    </w:p>
    <w:p w14:paraId="27420D0C">
      <w:pPr>
        <w:shd w:val="clea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3.8.2.1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478DE95C">
      <w:pPr>
        <w:shd w:val="clea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3.8.2.2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p w14:paraId="126ACCBB">
      <w:pPr>
        <w:shd w:val="clea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3.8.2.3除发生上述情况外，开标评标均以投标人通过交易平台网上递交的电子投标文件为准。</w:t>
      </w:r>
    </w:p>
    <w:p w14:paraId="10560E75">
      <w:pPr>
        <w:shd w:val="clear"/>
        <w:spacing w:line="360" w:lineRule="auto"/>
        <w:ind w:left="850" w:hanging="849" w:hangingChars="354"/>
        <w:jc w:val="left"/>
        <w:rPr>
          <w:rFonts w:hint="eastAsia" w:ascii="宋体" w:hAnsi="宋体" w:cs="宋体"/>
          <w:sz w:val="24"/>
          <w:szCs w:val="24"/>
          <w:highlight w:val="none"/>
        </w:rPr>
      </w:pPr>
    </w:p>
    <w:p w14:paraId="1A367A18">
      <w:pPr>
        <w:shd w:val="clear"/>
        <w:spacing w:line="360" w:lineRule="auto"/>
        <w:ind w:left="853" w:hanging="853" w:hangingChars="354"/>
        <w:rPr>
          <w:rFonts w:hint="eastAsia" w:ascii="宋体" w:hAnsi="宋体" w:cs="宋体"/>
          <w:b/>
          <w:sz w:val="24"/>
          <w:szCs w:val="24"/>
          <w:highlight w:val="none"/>
        </w:rPr>
      </w:pPr>
      <w:bookmarkStart w:id="79" w:name="_Toc5497"/>
      <w:bookmarkStart w:id="80" w:name="_Toc22219"/>
      <w:bookmarkStart w:id="81" w:name="_Toc7091"/>
      <w:bookmarkStart w:id="82" w:name="_Toc2093"/>
      <w:r>
        <w:rPr>
          <w:rFonts w:hint="eastAsia" w:ascii="宋体" w:hAnsi="宋体" w:cs="宋体"/>
          <w:b/>
          <w:sz w:val="24"/>
          <w:szCs w:val="24"/>
          <w:highlight w:val="none"/>
        </w:rPr>
        <w:t>3.9    开标及投标文件编号</w:t>
      </w:r>
      <w:bookmarkEnd w:id="79"/>
      <w:bookmarkEnd w:id="80"/>
      <w:bookmarkEnd w:id="81"/>
      <w:bookmarkEnd w:id="82"/>
    </w:p>
    <w:p w14:paraId="677BD57A">
      <w:pPr>
        <w:shd w:val="clear"/>
        <w:spacing w:line="360" w:lineRule="auto"/>
        <w:ind w:left="850" w:hanging="849" w:hangingChars="354"/>
        <w:jc w:val="left"/>
        <w:rPr>
          <w:rFonts w:hint="eastAsia" w:ascii="宋体" w:hAnsi="宋体" w:cs="宋体"/>
          <w:sz w:val="24"/>
          <w:szCs w:val="24"/>
          <w:highlight w:val="none"/>
        </w:rPr>
      </w:pPr>
    </w:p>
    <w:p w14:paraId="272279DE">
      <w:pPr>
        <w:shd w:val="clea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3.9.1  在投标截止时间后半小时内，投标人通过递交投标文件的交易平台对已递交的电子投标文件进行解密。投标人完成解密后，再由招标人进行解密。解密完成后，公布招标项目名称、投标人名称、开标信封文件和资格审查文件（如有）。未在规定时间内解密的投标文件不参与开标、评标。</w:t>
      </w:r>
    </w:p>
    <w:p w14:paraId="439C66CD">
      <w:pPr>
        <w:shd w:val="clea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3.9.2  截标后，开标开始时间因故推迟的，相关评标信息仍以原定的开标开始时间的信息为准。</w:t>
      </w:r>
    </w:p>
    <w:p w14:paraId="542D1E0E">
      <w:pPr>
        <w:shd w:val="clea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3.9.3  备用光盘的读取按3.8.2的规定执行。</w:t>
      </w:r>
    </w:p>
    <w:p w14:paraId="51FC859D">
      <w:pPr>
        <w:shd w:val="clea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3.9.4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71BF9059">
      <w:pPr>
        <w:shd w:val="clea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3.9.5  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7C827B6C">
      <w:pPr>
        <w:shd w:val="clea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3.9.6  参加现场开标的投标人对开标结果有异议的，应当在开标现场提出，招标人应当当场作出答复，并制作记录。</w:t>
      </w:r>
    </w:p>
    <w:p w14:paraId="0AE18FB4">
      <w:pPr>
        <w:shd w:val="clea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3.9.7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33EC62D5">
      <w:pPr>
        <w:shd w:val="clea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3.9.8  投标人未参加开标或在规定的时间内未提出异议的，视为对开标无异议。</w:t>
      </w:r>
    </w:p>
    <w:p w14:paraId="7409494E">
      <w:pPr>
        <w:shd w:val="clea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3.9.9  开标时，两个（含两个）以上的投标人加密打包投标文件电脑机器特征码一致的，不参与下一程序，并由评标委员会否决其投标。</w:t>
      </w:r>
    </w:p>
    <w:p w14:paraId="71C3C5FB">
      <w:pPr>
        <w:shd w:val="clea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3.9.10 投标文件（设计方案）开标时不得开启，在评标时由交易平台随机编号后开启，交由评标委员会进行评审。编号所对应的投标人在投票结束前不得告知评标委员会、交易平台工作人员、招标人或招标代理机构。</w:t>
      </w:r>
    </w:p>
    <w:p w14:paraId="1C62A3A0">
      <w:pPr>
        <w:shd w:val="clear"/>
        <w:spacing w:line="360" w:lineRule="auto"/>
        <w:ind w:left="850" w:hanging="849" w:hangingChars="354"/>
        <w:jc w:val="left"/>
        <w:rPr>
          <w:rFonts w:hint="eastAsia" w:ascii="宋体" w:hAnsi="宋体" w:cs="宋体"/>
          <w:sz w:val="24"/>
          <w:szCs w:val="24"/>
          <w:highlight w:val="none"/>
        </w:rPr>
      </w:pPr>
    </w:p>
    <w:p w14:paraId="0D52A5F7">
      <w:pPr>
        <w:shd w:val="clear"/>
        <w:spacing w:line="360" w:lineRule="auto"/>
        <w:ind w:left="853" w:hanging="853" w:hangingChars="354"/>
        <w:rPr>
          <w:rFonts w:hint="eastAsia" w:ascii="宋体" w:hAnsi="宋体" w:cs="宋体"/>
          <w:b/>
          <w:sz w:val="24"/>
          <w:szCs w:val="24"/>
          <w:highlight w:val="none"/>
        </w:rPr>
      </w:pPr>
      <w:bookmarkStart w:id="83" w:name="_Toc28701"/>
      <w:bookmarkStart w:id="84" w:name="_Toc5486"/>
      <w:bookmarkStart w:id="85" w:name="_Toc12218"/>
      <w:bookmarkStart w:id="86" w:name="_Toc4011"/>
      <w:r>
        <w:rPr>
          <w:rFonts w:hint="eastAsia" w:ascii="宋体" w:hAnsi="宋体" w:cs="宋体"/>
          <w:b/>
          <w:sz w:val="24"/>
          <w:szCs w:val="24"/>
          <w:highlight w:val="none"/>
        </w:rPr>
        <w:t>3.10   投标保证</w:t>
      </w:r>
      <w:bookmarkEnd w:id="83"/>
      <w:bookmarkEnd w:id="84"/>
      <w:bookmarkEnd w:id="85"/>
      <w:bookmarkEnd w:id="86"/>
    </w:p>
    <w:p w14:paraId="48F20D10">
      <w:pPr>
        <w:shd w:val="clear"/>
        <w:spacing w:line="360" w:lineRule="auto"/>
        <w:ind w:left="850" w:hanging="849" w:hangingChars="354"/>
        <w:rPr>
          <w:rFonts w:hint="eastAsia" w:ascii="宋体" w:hAnsi="宋体" w:cs="宋体"/>
          <w:sz w:val="24"/>
          <w:szCs w:val="24"/>
          <w:highlight w:val="none"/>
        </w:rPr>
      </w:pPr>
    </w:p>
    <w:p w14:paraId="36F084BC">
      <w:pPr>
        <w:shd w:val="clea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3.10.1 投标人不需要提交投标保证金，评标结果揭晓后，中标候选人所得投标补偿转作保证金，确定中标人后立即返还，其中中标人的保证金待签订合同后立即返还。如果重新招标，保证金立即返还。</w:t>
      </w:r>
    </w:p>
    <w:p w14:paraId="0CC2C03E">
      <w:pPr>
        <w:shd w:val="clea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 xml:space="preserve">3.10.2 </w:t>
      </w:r>
      <w:r>
        <w:rPr>
          <w:rFonts w:hint="eastAsia" w:ascii="宋体" w:hAnsi="宋体" w:cs="宋体"/>
          <w:kern w:val="0"/>
          <w:sz w:val="24"/>
          <w:szCs w:val="24"/>
          <w:highlight w:val="none"/>
        </w:rPr>
        <w:t>投标有效期90天，</w:t>
      </w:r>
      <w:r>
        <w:rPr>
          <w:rFonts w:hint="eastAsia" w:ascii="宋体" w:hAnsi="宋体" w:cs="宋体"/>
          <w:sz w:val="24"/>
          <w:szCs w:val="24"/>
          <w:highlight w:val="none"/>
        </w:rPr>
        <w:t>从提交投标文件截止日起计算。在提交投标文件截止时间后到招标文件规定的投标有效期终止之前，投标人不得补充、修改或者撤回其投标文件，否则其保证金将被没收。</w:t>
      </w:r>
    </w:p>
    <w:p w14:paraId="56EBD6CF">
      <w:pPr>
        <w:shd w:val="clea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3.10.3 招标人因特殊情况需要延长提交投标文件截止时间，投标人可以拒绝投标，招标人对退出的投标人不作任何经济补偿。同意延长投标有效期的投标人，在延长期内本招标文件的规定仍然适用。</w:t>
      </w:r>
    </w:p>
    <w:p w14:paraId="6F90E897">
      <w:pPr>
        <w:shd w:val="clear"/>
        <w:spacing w:line="360" w:lineRule="auto"/>
        <w:ind w:left="850" w:hanging="849" w:hangingChars="354"/>
        <w:rPr>
          <w:rFonts w:hint="eastAsia" w:ascii="宋体" w:hAnsi="宋体" w:cs="宋体"/>
          <w:kern w:val="0"/>
          <w:sz w:val="24"/>
          <w:szCs w:val="24"/>
          <w:highlight w:val="none"/>
        </w:rPr>
      </w:pPr>
    </w:p>
    <w:p w14:paraId="7AD29ED8">
      <w:pPr>
        <w:shd w:val="clear"/>
        <w:spacing w:line="360" w:lineRule="auto"/>
        <w:ind w:left="853" w:hanging="853" w:hangingChars="354"/>
        <w:rPr>
          <w:rFonts w:hint="eastAsia" w:ascii="宋体" w:hAnsi="宋体" w:cs="宋体"/>
          <w:b/>
          <w:kern w:val="0"/>
          <w:sz w:val="24"/>
          <w:szCs w:val="24"/>
          <w:highlight w:val="none"/>
        </w:rPr>
      </w:pPr>
      <w:bookmarkStart w:id="87" w:name="_Toc183"/>
      <w:bookmarkStart w:id="88" w:name="_Toc28203"/>
      <w:bookmarkStart w:id="89" w:name="_Toc2850"/>
      <w:bookmarkStart w:id="90" w:name="_Toc26140"/>
      <w:r>
        <w:rPr>
          <w:rFonts w:hint="eastAsia" w:ascii="宋体" w:hAnsi="宋体" w:cs="宋体"/>
          <w:b/>
          <w:kern w:val="0"/>
          <w:sz w:val="24"/>
          <w:szCs w:val="24"/>
          <w:highlight w:val="none"/>
        </w:rPr>
        <w:t>3.11    投标人不得存在下列情形之一：</w:t>
      </w:r>
      <w:bookmarkEnd w:id="87"/>
      <w:bookmarkEnd w:id="88"/>
      <w:bookmarkEnd w:id="89"/>
      <w:bookmarkEnd w:id="90"/>
    </w:p>
    <w:p w14:paraId="0250DD34">
      <w:pPr>
        <w:shd w:val="clear"/>
        <w:spacing w:line="360" w:lineRule="auto"/>
        <w:ind w:left="850" w:hanging="849" w:hangingChars="354"/>
        <w:rPr>
          <w:rFonts w:hint="eastAsia" w:ascii="宋体" w:hAnsi="宋体" w:cs="宋体"/>
          <w:kern w:val="0"/>
          <w:sz w:val="24"/>
          <w:szCs w:val="24"/>
          <w:highlight w:val="none"/>
        </w:rPr>
      </w:pPr>
    </w:p>
    <w:p w14:paraId="211C5AAA">
      <w:pPr>
        <w:shd w:val="clea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（1）为招标人不具有独立法人资格的附属机构（单位）；</w:t>
      </w:r>
    </w:p>
    <w:p w14:paraId="02A86FEE">
      <w:pPr>
        <w:shd w:val="clea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（2）与招标人存在利害关系且可能影响招标公正性；</w:t>
      </w:r>
    </w:p>
    <w:p w14:paraId="13C7A4B3">
      <w:pPr>
        <w:shd w:val="clea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（3）与本招标项目的其他投标人为同一个单位负责人；</w:t>
      </w:r>
    </w:p>
    <w:p w14:paraId="30DBFCF1">
      <w:pPr>
        <w:shd w:val="clea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（4）与本招标项目的其他投标人存在控股、管理关系；</w:t>
      </w:r>
    </w:p>
    <w:p w14:paraId="47EAB7AC">
      <w:pPr>
        <w:shd w:val="clea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（5）为本招标项目的代建人；</w:t>
      </w:r>
    </w:p>
    <w:p w14:paraId="1DEBD0FD">
      <w:pPr>
        <w:shd w:val="clea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（6）为本招标项目的招标代理机构；</w:t>
      </w:r>
    </w:p>
    <w:p w14:paraId="13A44CBA">
      <w:pPr>
        <w:shd w:val="clea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（7）与本招标项目的代建人或招标代理机构同为一个法定代表人；</w:t>
      </w:r>
    </w:p>
    <w:p w14:paraId="50439ABD">
      <w:pPr>
        <w:shd w:val="clea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（8）与本招标项目的代建人或招标代理机构存在控股或参股关系；</w:t>
      </w:r>
    </w:p>
    <w:p w14:paraId="3DE7E058">
      <w:pPr>
        <w:shd w:val="clea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（9）被依法暂停或者取消投标资格；</w:t>
      </w:r>
    </w:p>
    <w:p w14:paraId="2C462429">
      <w:pPr>
        <w:shd w:val="clea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（10）被责令停产停业、暂扣或者吊销许可证、暂扣或者吊销执照；</w:t>
      </w:r>
    </w:p>
    <w:p w14:paraId="118F273A">
      <w:pPr>
        <w:shd w:val="clea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（11）进入清算程序，或被宣告破产，或其他丧失履约能力的情形；</w:t>
      </w:r>
    </w:p>
    <w:p w14:paraId="3BA5398E">
      <w:pPr>
        <w:shd w:val="clea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（12）在最近三年内发生重大设计质量问题（以相关行业主管部门的行政处罚决定或司法机关出具的有关法律文书为准）；</w:t>
      </w:r>
    </w:p>
    <w:p w14:paraId="09D13EE0">
      <w:pPr>
        <w:numPr>
          <w:ilvl w:val="0"/>
          <w:numId w:val="2"/>
        </w:numPr>
        <w:shd w:val="clea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被工商行政管理机关在全国企业信用信息公示系统中列入严重违法失信企业名单；</w:t>
      </w:r>
    </w:p>
    <w:p w14:paraId="24D169F0">
      <w:pPr>
        <w:shd w:val="clea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（14）被最高人民法院在“信用中国”网站（www.creditchina.gov.cn）或各级信用信息共享平台中列入失信被执行人名单；</w:t>
      </w:r>
    </w:p>
    <w:p w14:paraId="39C39241">
      <w:pPr>
        <w:shd w:val="clear"/>
        <w:spacing w:line="360" w:lineRule="auto"/>
        <w:ind w:left="850" w:hanging="849" w:hangingChars="354"/>
        <w:jc w:val="center"/>
        <w:rPr>
          <w:rFonts w:hint="eastAsia" w:ascii="宋体" w:hAnsi="宋体" w:cs="宋体"/>
          <w:kern w:val="0"/>
          <w:sz w:val="24"/>
          <w:szCs w:val="24"/>
          <w:highlight w:val="none"/>
        </w:rPr>
      </w:pPr>
      <w:r>
        <w:rPr>
          <w:rFonts w:hint="eastAsia" w:ascii="宋体" w:hAnsi="宋体" w:cs="宋体"/>
          <w:kern w:val="0"/>
          <w:sz w:val="24"/>
          <w:szCs w:val="24"/>
          <w:highlight w:val="none"/>
        </w:rPr>
        <w:t>（15）在近三年内投标人或其法定代表人、拟委任的项目负责人有行贿犯罪行为的。</w:t>
      </w:r>
    </w:p>
    <w:p w14:paraId="33576C11">
      <w:pPr>
        <w:keepNext/>
        <w:keepLines/>
        <w:shd w:val="clear"/>
        <w:spacing w:before="340" w:after="330" w:line="576" w:lineRule="auto"/>
        <w:jc w:val="center"/>
        <w:outlineLvl w:val="0"/>
        <w:rPr>
          <w:rFonts w:hint="eastAsia" w:ascii="宋体" w:hAnsi="宋体" w:cs="宋体"/>
          <w:b/>
          <w:kern w:val="44"/>
          <w:sz w:val="24"/>
          <w:szCs w:val="24"/>
          <w:highlight w:val="none"/>
        </w:rPr>
      </w:pPr>
      <w:r>
        <w:rPr>
          <w:rFonts w:hint="eastAsia" w:ascii="宋体" w:hAnsi="宋体" w:cs="宋体"/>
          <w:b/>
          <w:kern w:val="44"/>
          <w:sz w:val="24"/>
          <w:szCs w:val="24"/>
          <w:highlight w:val="none"/>
        </w:rPr>
        <w:br w:type="page"/>
      </w:r>
      <w:bookmarkStart w:id="91" w:name="_Toc143817036"/>
      <w:bookmarkStart w:id="92" w:name="_Toc22331"/>
      <w:bookmarkStart w:id="93" w:name="_Toc29265"/>
      <w:bookmarkStart w:id="94" w:name="_Toc13315"/>
      <w:bookmarkStart w:id="95" w:name="_Toc22927"/>
      <w:bookmarkStart w:id="96" w:name="_Toc31817"/>
      <w:bookmarkStart w:id="97" w:name="_Toc30571"/>
      <w:bookmarkStart w:id="98" w:name="_Toc21741"/>
      <w:r>
        <w:rPr>
          <w:rFonts w:hint="eastAsia" w:ascii="宋体" w:hAnsi="宋体" w:cs="宋体"/>
          <w:b/>
          <w:kern w:val="44"/>
          <w:sz w:val="36"/>
          <w:szCs w:val="36"/>
          <w:highlight w:val="none"/>
        </w:rPr>
        <w:t>第四章</w:t>
      </w:r>
      <w:bookmarkEnd w:id="91"/>
      <w:r>
        <w:rPr>
          <w:rFonts w:hint="eastAsia" w:ascii="宋体" w:hAnsi="宋体" w:cs="宋体"/>
          <w:b/>
          <w:kern w:val="44"/>
          <w:sz w:val="36"/>
          <w:szCs w:val="36"/>
          <w:highlight w:val="none"/>
        </w:rPr>
        <w:t xml:space="preserve">  评标</w:t>
      </w:r>
      <w:r>
        <w:rPr>
          <w:rFonts w:hint="eastAsia" w:ascii="宋体" w:hAnsi="宋体" w:cs="宋体"/>
          <w:b/>
          <w:kern w:val="44"/>
          <w:sz w:val="36"/>
          <w:szCs w:val="36"/>
          <w:highlight w:val="none"/>
          <w:u w:val="single"/>
        </w:rPr>
        <w:t>（范本原文）</w:t>
      </w:r>
      <w:bookmarkEnd w:id="92"/>
      <w:bookmarkEnd w:id="93"/>
      <w:bookmarkEnd w:id="94"/>
      <w:bookmarkEnd w:id="95"/>
      <w:bookmarkEnd w:id="96"/>
      <w:bookmarkEnd w:id="97"/>
      <w:bookmarkEnd w:id="98"/>
    </w:p>
    <w:p w14:paraId="670C358D">
      <w:pPr>
        <w:shd w:val="clear"/>
        <w:spacing w:line="360" w:lineRule="auto"/>
        <w:ind w:left="425" w:hanging="424" w:hangingChars="177"/>
        <w:rPr>
          <w:rFonts w:hint="eastAsia" w:ascii="宋体" w:hAnsi="宋体" w:cs="宋体"/>
          <w:kern w:val="0"/>
          <w:sz w:val="24"/>
          <w:szCs w:val="24"/>
          <w:highlight w:val="none"/>
        </w:rPr>
      </w:pPr>
    </w:p>
    <w:p w14:paraId="38CD9187">
      <w:pPr>
        <w:shd w:val="clear"/>
        <w:spacing w:line="360" w:lineRule="auto"/>
        <w:ind w:left="426" w:hanging="426" w:hangingChars="177"/>
        <w:rPr>
          <w:rFonts w:hint="eastAsia" w:ascii="宋体" w:hAnsi="宋体" w:cs="宋体"/>
          <w:b/>
          <w:sz w:val="24"/>
          <w:szCs w:val="24"/>
          <w:highlight w:val="none"/>
        </w:rPr>
      </w:pPr>
      <w:bookmarkStart w:id="99" w:name="_Toc18002"/>
      <w:bookmarkStart w:id="100" w:name="_Toc4607"/>
      <w:bookmarkStart w:id="101" w:name="_Toc10844"/>
      <w:bookmarkStart w:id="102" w:name="_Toc30315"/>
      <w:r>
        <w:rPr>
          <w:rFonts w:hint="eastAsia" w:ascii="宋体" w:hAnsi="宋体" w:cs="宋体"/>
          <w:b/>
          <w:sz w:val="24"/>
          <w:szCs w:val="24"/>
          <w:highlight w:val="none"/>
        </w:rPr>
        <w:t>4.1    否决投标</w:t>
      </w:r>
      <w:bookmarkEnd w:id="99"/>
      <w:bookmarkEnd w:id="100"/>
      <w:bookmarkEnd w:id="101"/>
      <w:bookmarkEnd w:id="102"/>
    </w:p>
    <w:p w14:paraId="4125EE4D">
      <w:pPr>
        <w:shd w:val="clear"/>
        <w:spacing w:line="360" w:lineRule="auto"/>
        <w:ind w:left="425" w:hanging="424" w:hangingChars="177"/>
        <w:rPr>
          <w:rFonts w:hint="eastAsia" w:ascii="宋体" w:hAnsi="宋体" w:cs="宋体"/>
          <w:sz w:val="24"/>
          <w:szCs w:val="24"/>
          <w:highlight w:val="none"/>
        </w:rPr>
      </w:pPr>
    </w:p>
    <w:p w14:paraId="3315935F">
      <w:pPr>
        <w:shd w:val="clea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4.1.1  投标人有下列情况之一的，评标委员会应当否决其投标：</w:t>
      </w:r>
    </w:p>
    <w:p w14:paraId="43208F61">
      <w:pPr>
        <w:shd w:val="clea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(a) 投标人与招标人、评标委员会成员或者其他投标人串通投标；</w:t>
      </w:r>
    </w:p>
    <w:p w14:paraId="4A4C69E8">
      <w:pPr>
        <w:shd w:val="clea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(b) 投标人之间存在《广东省实施&lt;中华人民共和国招标投标法&gt;》第十六条所禁止的情形的；</w:t>
      </w:r>
    </w:p>
    <w:p w14:paraId="3F5BA23D">
      <w:pPr>
        <w:shd w:val="clea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4.1.2  有下列情况之一的，评标委员会应当否决其投标：</w:t>
      </w:r>
    </w:p>
    <w:p w14:paraId="6610CF09">
      <w:pPr>
        <w:shd w:val="clea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(a) 《投标书》未加盖投标人公章，也未经法定代表人或者其授权代表签字；</w:t>
      </w:r>
    </w:p>
    <w:p w14:paraId="039DFDC7">
      <w:pPr>
        <w:shd w:val="clea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(b) 《投标书》包含有招标人不能接受的偏差，并且投标人拒绝书面撤回偏差；</w:t>
      </w:r>
    </w:p>
    <w:p w14:paraId="5B8A80FD">
      <w:pPr>
        <w:shd w:val="clea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(c) 《投标人声明》未按规定格式填写或未加盖投标人公章（适用于未设资格审查环节的项目）；</w:t>
      </w:r>
    </w:p>
    <w:p w14:paraId="2652197C">
      <w:pPr>
        <w:shd w:val="clea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4.1.3  投标文件有下列情况之一的，评标委员会应当否决其投标：</w:t>
      </w:r>
    </w:p>
    <w:p w14:paraId="4276036C">
      <w:pPr>
        <w:shd w:val="clear"/>
        <w:spacing w:line="360" w:lineRule="auto"/>
        <w:ind w:left="425" w:hanging="424" w:hangingChars="177"/>
        <w:jc w:val="left"/>
        <w:rPr>
          <w:rFonts w:hint="eastAsia" w:ascii="宋体" w:hAnsi="宋体" w:cs="宋体"/>
          <w:sz w:val="24"/>
          <w:szCs w:val="24"/>
          <w:highlight w:val="none"/>
        </w:rPr>
      </w:pPr>
      <w:r>
        <w:rPr>
          <w:rFonts w:hint="eastAsia" w:ascii="宋体" w:hAnsi="宋体" w:cs="宋体"/>
          <w:sz w:val="24"/>
          <w:szCs w:val="24"/>
          <w:highlight w:val="none"/>
        </w:rPr>
        <w:t xml:space="preserve">   (a) 投标人与其他投标人加密打包投标文件电脑机器特征码一致的；</w:t>
      </w:r>
    </w:p>
    <w:p w14:paraId="5E81B2F0">
      <w:pPr>
        <w:shd w:val="clea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(b) 投标人在设计方案内标注名称、印章、商标、图形等记认符号，使人辨认出投标人或其专业技术人员的身份；</w:t>
      </w:r>
    </w:p>
    <w:p w14:paraId="24F31BDD">
      <w:pPr>
        <w:shd w:val="clea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(c)投标人之间存在《广东省实施&lt;中华人民共和国招标投标法&gt;》第十六条所禁止的情形的；</w:t>
      </w:r>
    </w:p>
    <w:p w14:paraId="0F6A59AE">
      <w:pPr>
        <w:shd w:val="clea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（d）投标报价高于最高投标限价的。</w:t>
      </w:r>
    </w:p>
    <w:p w14:paraId="7829849D">
      <w:pPr>
        <w:shd w:val="clea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4.1.4  投标人有下列情况之一的，视为串通投标：</w:t>
      </w:r>
    </w:p>
    <w:p w14:paraId="60EB1AAB">
      <w:pPr>
        <w:shd w:val="clea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(a) 递交投标文件前，投标人私下向招标人或其雇员出示或告知投标文件内容；</w:t>
      </w:r>
    </w:p>
    <w:p w14:paraId="32EB1976">
      <w:pPr>
        <w:shd w:val="clea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(b) 评标表决结束前，投标人私下向评标委员会成员出示或告知投标文件内容；</w:t>
      </w:r>
    </w:p>
    <w:p w14:paraId="410CD2DB">
      <w:pPr>
        <w:shd w:val="clea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(c) 评标结果揭晓前，投标人与招标人就投标价格、投标方案等实质性内容进行谈判。</w:t>
      </w:r>
    </w:p>
    <w:p w14:paraId="5A36C584">
      <w:pPr>
        <w:shd w:val="clea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4.1.5  发生下列情形之一的，招标人应当重新组织招标：</w:t>
      </w:r>
    </w:p>
    <w:p w14:paraId="72FE495B">
      <w:pPr>
        <w:shd w:val="clea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(a) 递交投标文件或通过资格审查的投标人不足三人；</w:t>
      </w:r>
    </w:p>
    <w:p w14:paraId="26E114C2">
      <w:pPr>
        <w:shd w:val="clea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(b) 所有投标被否决，或者经评议有效投标的投标人少于三人；</w:t>
      </w:r>
    </w:p>
    <w:p w14:paraId="25A61DFE">
      <w:pPr>
        <w:shd w:val="clea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(c) 经项目审批部门会同行业主管部门裁定招标投标结果无效；</w:t>
      </w:r>
    </w:p>
    <w:p w14:paraId="4AE8D84E">
      <w:pPr>
        <w:shd w:val="clea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4.1.6  否决投标的决定由评标委员会作出，其他投标人无权干涉。</w:t>
      </w:r>
    </w:p>
    <w:p w14:paraId="4A5CD358">
      <w:pPr>
        <w:shd w:val="clea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4.1.7  投标文件如果隐瞒不符合评审标准的事实，一切法律责任由投标人承担。</w:t>
      </w:r>
    </w:p>
    <w:p w14:paraId="49BFEB04">
      <w:pPr>
        <w:shd w:val="clear"/>
        <w:spacing w:line="360" w:lineRule="auto"/>
        <w:ind w:left="425" w:hanging="424" w:hangingChars="177"/>
        <w:rPr>
          <w:rFonts w:hint="eastAsia" w:ascii="宋体" w:hAnsi="宋体" w:cs="宋体"/>
          <w:sz w:val="24"/>
          <w:szCs w:val="24"/>
          <w:highlight w:val="none"/>
        </w:rPr>
      </w:pPr>
    </w:p>
    <w:p w14:paraId="23ACEC80">
      <w:pPr>
        <w:shd w:val="clear"/>
        <w:spacing w:line="360" w:lineRule="auto"/>
        <w:ind w:left="426" w:hanging="426" w:hangingChars="177"/>
        <w:rPr>
          <w:rFonts w:hint="eastAsia" w:ascii="宋体" w:hAnsi="宋体" w:cs="宋体"/>
          <w:b/>
          <w:kern w:val="0"/>
          <w:sz w:val="24"/>
          <w:szCs w:val="24"/>
          <w:highlight w:val="none"/>
        </w:rPr>
      </w:pPr>
      <w:bookmarkStart w:id="103" w:name="_Toc32723"/>
      <w:bookmarkStart w:id="104" w:name="_Toc25514"/>
      <w:bookmarkStart w:id="105" w:name="_Toc28089"/>
      <w:bookmarkStart w:id="106" w:name="_Toc8174"/>
      <w:r>
        <w:rPr>
          <w:rFonts w:hint="eastAsia" w:ascii="宋体" w:hAnsi="宋体" w:cs="宋体"/>
          <w:b/>
          <w:kern w:val="0"/>
          <w:sz w:val="24"/>
          <w:szCs w:val="24"/>
          <w:highlight w:val="none"/>
        </w:rPr>
        <w:t>4.2    评标委员会</w:t>
      </w:r>
      <w:bookmarkEnd w:id="103"/>
      <w:bookmarkEnd w:id="104"/>
      <w:bookmarkEnd w:id="105"/>
      <w:bookmarkEnd w:id="106"/>
    </w:p>
    <w:p w14:paraId="25C656D9">
      <w:pPr>
        <w:shd w:val="clear"/>
        <w:spacing w:line="360" w:lineRule="auto"/>
        <w:ind w:left="425" w:hanging="424" w:hangingChars="177"/>
        <w:rPr>
          <w:rFonts w:hint="eastAsia" w:ascii="宋体" w:hAnsi="宋体" w:cs="宋体"/>
          <w:kern w:val="0"/>
          <w:sz w:val="24"/>
          <w:szCs w:val="24"/>
          <w:highlight w:val="none"/>
        </w:rPr>
      </w:pPr>
    </w:p>
    <w:p w14:paraId="76C64AD5">
      <w:pPr>
        <w:shd w:val="clea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4.2.1  评标委员会由专家和业主代表组成，专家不得少于评标委员会成员总数的三分之二。专家一般从政府评标专家库随机抽取，技术特别复杂、专业性要求特别高或者国家有特别要求的项目，采取随机抽取方式确定的专家难以胜任的，可以由招标人直接确定。</w:t>
      </w:r>
    </w:p>
    <w:p w14:paraId="65B8BFB8">
      <w:pPr>
        <w:shd w:val="clea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4.2.2  评标委员会随机产生一名负责人，主持评审工作，在每一轮投票中，负责人与其他成员有同等表决权。每一轮投票结束后，如果有得票相同的投标方案，则评标委员会对得票相同的投标方案进行附加投票表决排序和取舍。</w:t>
      </w:r>
    </w:p>
    <w:p w14:paraId="1940AE30">
      <w:pPr>
        <w:shd w:val="clea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4.2.3  评标委员会成员至少应了解和熟悉招标的目标、范围、性质、主要技术要求和标准、商务条款、评标标准、评标方法和在评标过程中考虑的相关因素，并对所提出的评审意见承担个人责任。</w:t>
      </w:r>
    </w:p>
    <w:p w14:paraId="43E3C947">
      <w:pPr>
        <w:shd w:val="clea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4.2.4  下列人员不得担任评标委员会成员：</w:t>
      </w:r>
    </w:p>
    <w:p w14:paraId="0F54EE25">
      <w:pPr>
        <w:shd w:val="clea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 xml:space="preserve">   (a) 从事相关领域工作不满八年（招标人代表除外）；</w:t>
      </w:r>
    </w:p>
    <w:p w14:paraId="4F0A37D1">
      <w:pPr>
        <w:shd w:val="clea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 xml:space="preserve">   (b) 不具有高级职称或者同等专业水平（招标人代表除外）；</w:t>
      </w:r>
    </w:p>
    <w:p w14:paraId="729EC2F2">
      <w:pPr>
        <w:shd w:val="clea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 xml:space="preserve">   (c) 不熟悉评审本项目所必须的专业知识（招标人代表除外）；</w:t>
      </w:r>
    </w:p>
    <w:p w14:paraId="0323B0C5">
      <w:pPr>
        <w:shd w:val="clea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 xml:space="preserve">   (d) 评标前浏览过本项目的某个投标文件；</w:t>
      </w:r>
    </w:p>
    <w:p w14:paraId="4769F1EB">
      <w:pPr>
        <w:shd w:val="clea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 xml:space="preserve">   (e) 与投标人有利害关系；</w:t>
      </w:r>
    </w:p>
    <w:p w14:paraId="098B0C64">
      <w:pPr>
        <w:shd w:val="clea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 xml:space="preserve">   (f) 招标代理机构的工作人员。</w:t>
      </w:r>
    </w:p>
    <w:p w14:paraId="4700FD76">
      <w:pPr>
        <w:shd w:val="clea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4.2.5  如果评标专家到达评标地点后发现不符合本项目评标资格，酬金或交通费用按相关规定执行。</w:t>
      </w:r>
    </w:p>
    <w:p w14:paraId="6C287B7D">
      <w:pPr>
        <w:shd w:val="clea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4.2.6  评标委员会成员不得私下接触投标人，不得收受投标人的财物或者其他好处。</w:t>
      </w:r>
    </w:p>
    <w:p w14:paraId="4DDFA081">
      <w:pPr>
        <w:shd w:val="clea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4.2.7  评标委员会开展工作期间发生的费用和劳务报酬由招标人承担，若招标人与招标代理机构另有协议，按协议执行。</w:t>
      </w:r>
    </w:p>
    <w:p w14:paraId="7EC53EB4">
      <w:pPr>
        <w:shd w:val="clea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4.2.8  评标结果在评标结束后公示，接受公众监督。</w:t>
      </w:r>
    </w:p>
    <w:p w14:paraId="516AADAA">
      <w:pPr>
        <w:shd w:val="clear"/>
        <w:spacing w:line="360" w:lineRule="auto"/>
        <w:ind w:left="850" w:hanging="849" w:hangingChars="354"/>
        <w:rPr>
          <w:rFonts w:hint="eastAsia" w:ascii="宋体" w:hAnsi="宋体" w:cs="宋体"/>
          <w:kern w:val="0"/>
          <w:sz w:val="24"/>
          <w:szCs w:val="24"/>
          <w:highlight w:val="none"/>
        </w:rPr>
      </w:pPr>
    </w:p>
    <w:p w14:paraId="55EC6727">
      <w:pPr>
        <w:shd w:val="clear"/>
        <w:spacing w:line="360" w:lineRule="auto"/>
        <w:ind w:left="853" w:hanging="853" w:hangingChars="354"/>
        <w:rPr>
          <w:rFonts w:hint="eastAsia" w:ascii="宋体" w:hAnsi="宋体" w:cs="宋体"/>
          <w:b/>
          <w:kern w:val="0"/>
          <w:sz w:val="24"/>
          <w:szCs w:val="24"/>
          <w:highlight w:val="none"/>
        </w:rPr>
      </w:pPr>
      <w:bookmarkStart w:id="107" w:name="_Toc28207"/>
      <w:bookmarkStart w:id="108" w:name="_Toc15249"/>
      <w:bookmarkStart w:id="109" w:name="_Toc6582"/>
      <w:bookmarkStart w:id="110" w:name="_Toc3019"/>
      <w:r>
        <w:rPr>
          <w:rFonts w:hint="eastAsia" w:ascii="宋体" w:hAnsi="宋体" w:cs="宋体"/>
          <w:b/>
          <w:kern w:val="0"/>
          <w:sz w:val="24"/>
          <w:szCs w:val="24"/>
          <w:highlight w:val="none"/>
        </w:rPr>
        <w:t>4.3    定标委员会（如有）</w:t>
      </w:r>
      <w:bookmarkEnd w:id="107"/>
      <w:bookmarkEnd w:id="108"/>
      <w:bookmarkEnd w:id="109"/>
      <w:bookmarkEnd w:id="110"/>
    </w:p>
    <w:p w14:paraId="01096D53">
      <w:pPr>
        <w:shd w:val="clea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4.3.1  定标委员会由招标人组建。组建办法详见附表15《定标委员会的组成》</w:t>
      </w:r>
    </w:p>
    <w:p w14:paraId="15A7F358">
      <w:pPr>
        <w:shd w:val="clear"/>
        <w:spacing w:line="360" w:lineRule="auto"/>
        <w:ind w:left="850" w:hanging="849" w:hangingChars="354"/>
        <w:rPr>
          <w:rFonts w:hint="eastAsia" w:ascii="宋体" w:hAnsi="宋体" w:cs="宋体"/>
          <w:kern w:val="0"/>
          <w:sz w:val="24"/>
          <w:szCs w:val="24"/>
          <w:highlight w:val="none"/>
        </w:rPr>
      </w:pPr>
    </w:p>
    <w:p w14:paraId="3D94BC07">
      <w:pPr>
        <w:shd w:val="clear"/>
        <w:spacing w:line="360" w:lineRule="auto"/>
        <w:ind w:left="853" w:hanging="853" w:hangingChars="354"/>
        <w:rPr>
          <w:rFonts w:hint="eastAsia" w:ascii="宋体" w:hAnsi="宋体" w:cs="宋体"/>
          <w:b/>
          <w:sz w:val="24"/>
          <w:szCs w:val="24"/>
          <w:highlight w:val="none"/>
        </w:rPr>
      </w:pPr>
      <w:bookmarkStart w:id="111" w:name="_Toc8370"/>
      <w:bookmarkStart w:id="112" w:name="_Toc21399"/>
      <w:bookmarkStart w:id="113" w:name="_Toc9115"/>
      <w:bookmarkStart w:id="114" w:name="_Toc4226"/>
      <w:r>
        <w:rPr>
          <w:rFonts w:hint="eastAsia" w:ascii="宋体" w:hAnsi="宋体" w:cs="宋体"/>
          <w:b/>
          <w:sz w:val="24"/>
          <w:szCs w:val="24"/>
          <w:highlight w:val="none"/>
        </w:rPr>
        <w:t>4.4    评标原则</w:t>
      </w:r>
      <w:bookmarkEnd w:id="111"/>
      <w:bookmarkEnd w:id="112"/>
      <w:bookmarkEnd w:id="113"/>
      <w:bookmarkEnd w:id="114"/>
    </w:p>
    <w:p w14:paraId="65A18257">
      <w:pPr>
        <w:shd w:val="clear"/>
        <w:spacing w:line="360" w:lineRule="auto"/>
        <w:ind w:left="850" w:hanging="849" w:hangingChars="354"/>
        <w:rPr>
          <w:rFonts w:hint="eastAsia" w:ascii="宋体" w:hAnsi="宋体" w:cs="宋体"/>
          <w:sz w:val="24"/>
          <w:szCs w:val="24"/>
          <w:highlight w:val="none"/>
        </w:rPr>
      </w:pPr>
    </w:p>
    <w:p w14:paraId="248783E7">
      <w:pPr>
        <w:shd w:val="clea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4.4.1  评标委员会根据招标文件规定的评标标准和方法，对投标文件进行评审和比较，招标文件中没有规定的标准和方法不得作为评标的依据。</w:t>
      </w:r>
    </w:p>
    <w:p w14:paraId="6B1C7EF3">
      <w:pPr>
        <w:shd w:val="clea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4.4.2  在符合招标文件规定的前提下，评标委员会主要对投标方案的经济性、独创性、优越性、功能和造型、运行和维护费用、对环境的影响等进行比选、评价和裁定，确定方案的优劣。</w:t>
      </w:r>
    </w:p>
    <w:p w14:paraId="3DD790AD">
      <w:pPr>
        <w:shd w:val="clea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4.4.3  开标、评标过程发现的问题和产生的纠纷，由评标委员会负责裁决。裁决前，评标委员会应认真阅读招标文件的规定，并征询招标人、招标代理机构、交易服务机构、招标管理机构、监督机构等各方代表的意见。除非符合否决投标的条件，否则投标文件存在的其他缺陷和失误，由评标委员会在评估时综合考虑，不作否决投标处理。</w:t>
      </w:r>
    </w:p>
    <w:p w14:paraId="6CDAB816">
      <w:pPr>
        <w:shd w:val="clear"/>
        <w:spacing w:line="360" w:lineRule="auto"/>
        <w:ind w:left="850" w:hanging="849" w:hangingChars="354"/>
        <w:rPr>
          <w:rFonts w:hint="eastAsia" w:ascii="宋体" w:hAnsi="宋体" w:cs="宋体"/>
          <w:bCs/>
          <w:sz w:val="24"/>
          <w:szCs w:val="24"/>
          <w:highlight w:val="none"/>
        </w:rPr>
      </w:pPr>
      <w:r>
        <w:rPr>
          <w:rFonts w:hint="eastAsia" w:ascii="宋体" w:hAnsi="宋体" w:cs="宋体"/>
          <w:sz w:val="24"/>
          <w:szCs w:val="24"/>
          <w:highlight w:val="none"/>
        </w:rPr>
        <w:t xml:space="preserve">4.4.4  </w:t>
      </w:r>
      <w:r>
        <w:rPr>
          <w:rFonts w:hint="eastAsia" w:ascii="宋体" w:hAnsi="宋体" w:cs="宋体"/>
          <w:bCs/>
          <w:sz w:val="24"/>
          <w:szCs w:val="24"/>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14:paraId="2D4BE886">
      <w:pPr>
        <w:shd w:val="clea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4.4.5  如果少数投标人超越招标文件要求提交了模型、演示动画或发生其他特殊情况，评标委员会对超越招标文件要求的内容不进行评审，只评审该投标文件符合要求的内容。</w:t>
      </w:r>
    </w:p>
    <w:p w14:paraId="7B6E097D">
      <w:pPr>
        <w:shd w:val="clea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4.4.6  评标委员会经评审，认为所有投标都不符合招标文件要求的，可以否决所有投标。如果所有投标被否决而重新招标，评标委员会成员及其从业机构不得参加投标。</w:t>
      </w:r>
    </w:p>
    <w:p w14:paraId="72B34A78">
      <w:pPr>
        <w:shd w:val="clear"/>
        <w:spacing w:line="360" w:lineRule="auto"/>
        <w:ind w:left="850" w:hanging="849" w:hangingChars="354"/>
        <w:rPr>
          <w:rFonts w:hint="eastAsia" w:ascii="宋体" w:hAnsi="宋体" w:cs="宋体"/>
          <w:sz w:val="24"/>
          <w:szCs w:val="24"/>
          <w:highlight w:val="none"/>
        </w:rPr>
      </w:pPr>
    </w:p>
    <w:p w14:paraId="34767AB8">
      <w:pPr>
        <w:shd w:val="clear"/>
        <w:spacing w:line="360" w:lineRule="auto"/>
        <w:ind w:left="853" w:hanging="853" w:hangingChars="354"/>
        <w:rPr>
          <w:rFonts w:hint="eastAsia" w:ascii="宋体" w:hAnsi="宋体" w:cs="宋体"/>
          <w:b/>
          <w:sz w:val="24"/>
          <w:szCs w:val="24"/>
          <w:highlight w:val="none"/>
        </w:rPr>
      </w:pPr>
      <w:bookmarkStart w:id="115" w:name="_Toc20898"/>
      <w:bookmarkStart w:id="116" w:name="_Toc26069"/>
      <w:bookmarkStart w:id="117" w:name="_Toc27327"/>
      <w:bookmarkStart w:id="118" w:name="_Toc197"/>
      <w:r>
        <w:rPr>
          <w:rFonts w:hint="eastAsia" w:ascii="宋体" w:hAnsi="宋体" w:cs="宋体"/>
          <w:b/>
          <w:sz w:val="24"/>
          <w:szCs w:val="24"/>
          <w:highlight w:val="none"/>
        </w:rPr>
        <w:t>4.5    评标办法</w:t>
      </w:r>
      <w:bookmarkEnd w:id="115"/>
      <w:bookmarkEnd w:id="116"/>
      <w:bookmarkEnd w:id="117"/>
      <w:bookmarkEnd w:id="118"/>
    </w:p>
    <w:p w14:paraId="0FE5EA34">
      <w:pPr>
        <w:shd w:val="clear"/>
        <w:spacing w:line="360" w:lineRule="auto"/>
        <w:ind w:left="850" w:hanging="849" w:hangingChars="354"/>
        <w:rPr>
          <w:rFonts w:hint="eastAsia" w:ascii="宋体" w:hAnsi="宋体" w:cs="宋体"/>
          <w:b/>
          <w:sz w:val="24"/>
          <w:szCs w:val="24"/>
          <w:highlight w:val="none"/>
        </w:rPr>
      </w:pPr>
      <w:r>
        <w:rPr>
          <w:rFonts w:hint="eastAsia" w:ascii="宋体" w:hAnsi="宋体" w:cs="宋体"/>
          <w:sz w:val="24"/>
          <w:szCs w:val="24"/>
          <w:highlight w:val="none"/>
        </w:rPr>
        <w:t>[注释] 招标人应在招标文件修改表中明确适用于本项目的评标方法。</w:t>
      </w:r>
    </w:p>
    <w:p w14:paraId="61B61085">
      <w:pPr>
        <w:shd w:val="clear"/>
        <w:spacing w:line="360" w:lineRule="auto"/>
        <w:ind w:left="850" w:hanging="849" w:hangingChars="354"/>
        <w:rPr>
          <w:rFonts w:hint="eastAsia" w:ascii="宋体" w:hAnsi="宋体" w:cs="宋体"/>
          <w:sz w:val="24"/>
          <w:szCs w:val="24"/>
          <w:highlight w:val="none"/>
        </w:rPr>
      </w:pPr>
    </w:p>
    <w:p w14:paraId="781E36E0">
      <w:pPr>
        <w:shd w:val="clea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 xml:space="preserve">4.5.1  是否采用评定分离：□是，入围定标环节的投标人家数：名； </w:t>
      </w:r>
    </w:p>
    <w:p w14:paraId="464C84CE">
      <w:pPr>
        <w:shd w:val="clea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 xml:space="preserve">                         □否。</w:t>
      </w:r>
    </w:p>
    <w:p w14:paraId="318B1765">
      <w:pPr>
        <w:shd w:val="clea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4.5.2  不采用评定分离项目的评标办法</w:t>
      </w:r>
    </w:p>
    <w:p w14:paraId="1AEC8AEA">
      <w:pPr>
        <w:shd w:val="clea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4.5.2.1招标人（招标代理机构）在不透露投标人身份的前提下（资格审查文件除外）将投标文件交给评标委员会，除4.5.2.2(g)中规定，不需要投标人派代表介绍投标方案。</w:t>
      </w:r>
    </w:p>
    <w:p w14:paraId="2D05148D">
      <w:pPr>
        <w:shd w:val="clea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4.5.2.2如果评标委员会成员在交易服务机构评标，将按方法规定的步骤进行：</w:t>
      </w:r>
    </w:p>
    <w:p w14:paraId="5C9B15DE">
      <w:pPr>
        <w:shd w:val="clea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 xml:space="preserve">       方法一（设有资格审查环节的一阶段评标法）：a、b、c、d、e、f、h、i、j</w:t>
      </w:r>
    </w:p>
    <w:p w14:paraId="249C6D81">
      <w:pPr>
        <w:shd w:val="clea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 xml:space="preserve">       方法二（设有资格审查环节的二阶段评标法）：a、b、c、d、e、f、g、h、i、</w:t>
      </w:r>
    </w:p>
    <w:p w14:paraId="58472DCA">
      <w:pPr>
        <w:shd w:val="clea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j</w:t>
      </w:r>
    </w:p>
    <w:p w14:paraId="518E0C5E">
      <w:pPr>
        <w:shd w:val="clea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 xml:space="preserve">       方法三（未设资格审查环节的一阶段评标法）：a、d、e、f、h、i、j</w:t>
      </w:r>
    </w:p>
    <w:p w14:paraId="394E3221">
      <w:pPr>
        <w:shd w:val="clea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 xml:space="preserve">       方法四（未设资格审查环节的二阶段评标法）：a、d、e、f、g、h、i、j</w:t>
      </w:r>
    </w:p>
    <w:p w14:paraId="7B39C39E">
      <w:pPr>
        <w:shd w:val="clea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(a) 评标委员会成员依据招标文件规定，否决两个（含两个）以上的加密打包投标文件电脑机器特征码一致的投标人，不参与下一阶段评审。</w:t>
      </w:r>
    </w:p>
    <w:p w14:paraId="66D7B3F7">
      <w:pPr>
        <w:shd w:val="clea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(b) 评标委员会成员依据招标文件规定，按附录12《资格审查表》对各投标人递交的投标文件进行资格审查。</w:t>
      </w:r>
    </w:p>
    <w:p w14:paraId="7FBFDDE3">
      <w:pPr>
        <w:shd w:val="clea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(c) 评标委员会成员汇总资格审查结果，编写资格审查报告。</w:t>
      </w:r>
    </w:p>
    <w:p w14:paraId="3171BA39">
      <w:pPr>
        <w:shd w:val="clea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(d) 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21841F2F">
      <w:pPr>
        <w:shd w:val="clea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(e) 以差额选举逐轮淘汰的记名投票方式选出所有投标方案的排序。（方案补偿费按(h)步骤确定的最终排序进行补偿）。</w:t>
      </w:r>
    </w:p>
    <w:p w14:paraId="2A2D17D3">
      <w:pPr>
        <w:shd w:val="clea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(f) 评标委员会揭晓投标人身份。</w:t>
      </w:r>
    </w:p>
    <w:p w14:paraId="0B2A15B1">
      <w:pPr>
        <w:shd w:val="clea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(g) 采用二阶段评标法的，由方案排序前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会成员再次共同表决，以差额选举逐轮淘汰的记名投票方式选出投标方案的排序（讲解方案的人员在讲解前需提供投标人授权证明书及身份证原件给评标委员会确认其身份，未提供以上资料的不得进行讲解）。</w:t>
      </w:r>
    </w:p>
    <w:p w14:paraId="24B294E3">
      <w:pPr>
        <w:shd w:val="clea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(h)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3名中标候选人。投标经济补偿费按投标方案的最终排序确定进行补偿。</w:t>
      </w:r>
    </w:p>
    <w:p w14:paraId="3BF8B238">
      <w:pPr>
        <w:shd w:val="clea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(i) 编写、签署评标报告，并标明最终中标候选人的排列顺序，评标报告由评标委员会全体成员签字，对评标结论持有异议的评标委员会成员可以书面方式阐述其不同意见和理由。</w:t>
      </w:r>
    </w:p>
    <w:p w14:paraId="1E2A8580">
      <w:pPr>
        <w:shd w:val="clea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(j) 评标委员会向招标人提交书面评标报告后即告解散，评标过程中使用的文件、表格以及其他资料应当即时归还招标人（招标代理机构）。</w:t>
      </w:r>
    </w:p>
    <w:p w14:paraId="6428C395">
      <w:pPr>
        <w:shd w:val="clear"/>
        <w:spacing w:line="360" w:lineRule="auto"/>
        <w:ind w:left="850" w:hanging="849" w:hangingChars="354"/>
        <w:jc w:val="left"/>
        <w:rPr>
          <w:rFonts w:hint="eastAsia" w:ascii="宋体" w:hAnsi="宋体" w:cs="宋体"/>
          <w:sz w:val="24"/>
          <w:szCs w:val="24"/>
          <w:highlight w:val="none"/>
        </w:rPr>
      </w:pPr>
    </w:p>
    <w:p w14:paraId="5130F3D9">
      <w:pPr>
        <w:shd w:val="clear"/>
        <w:spacing w:line="360" w:lineRule="auto"/>
        <w:ind w:left="850" w:hanging="849" w:hangingChars="354"/>
        <w:rPr>
          <w:rFonts w:hint="eastAsia" w:ascii="宋体" w:hAnsi="宋体" w:cs="宋体"/>
          <w:b/>
          <w:sz w:val="24"/>
          <w:szCs w:val="24"/>
          <w:highlight w:val="none"/>
        </w:rPr>
      </w:pPr>
      <w:r>
        <w:rPr>
          <w:rFonts w:hint="eastAsia" w:ascii="宋体" w:hAnsi="宋体" w:cs="宋体"/>
          <w:bCs/>
          <w:sz w:val="24"/>
          <w:szCs w:val="24"/>
          <w:highlight w:val="none"/>
        </w:rPr>
        <w:t>4.5.3</w:t>
      </w:r>
      <w:r>
        <w:rPr>
          <w:rFonts w:hint="eastAsia" w:ascii="宋体" w:hAnsi="宋体" w:cs="宋体"/>
          <w:sz w:val="24"/>
          <w:szCs w:val="24"/>
          <w:highlight w:val="none"/>
        </w:rPr>
        <w:t>采用评定分离项目的评标及定标办法</w:t>
      </w:r>
    </w:p>
    <w:p w14:paraId="1010B49F">
      <w:pPr>
        <w:shd w:val="clea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4.5.3.1招标人（招标代理机构）在不透露投标人身份的前提下（资格审查文件除外）将投标文件交给评标委员会，不需要投标人派代表介绍投标方案。</w:t>
      </w:r>
    </w:p>
    <w:p w14:paraId="79209DF5">
      <w:pPr>
        <w:shd w:val="clea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4.5.3.2如果评标委员会成员在交易服务机构评标，将按方法规定的步骤进行：</w:t>
      </w:r>
    </w:p>
    <w:p w14:paraId="78889533">
      <w:pPr>
        <w:shd w:val="clea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 xml:space="preserve">       方法一（设有资格审查环节的一阶段评标法）：a、b、c、d、e、f、g、h、i、</w:t>
      </w:r>
    </w:p>
    <w:p w14:paraId="41ECF3FA">
      <w:pPr>
        <w:shd w:val="clea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j</w:t>
      </w:r>
    </w:p>
    <w:p w14:paraId="3AEB0678">
      <w:pPr>
        <w:shd w:val="clea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 xml:space="preserve">       方法二（未设资格审查环节的一阶段评标法）：a、d、e、f、g、h、i、j</w:t>
      </w:r>
    </w:p>
    <w:p w14:paraId="252CE65B">
      <w:pPr>
        <w:shd w:val="clea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 xml:space="preserve">   (a)评标委员会成员依据招标文件规定，否决两个（含两个）以上的加密打包投标文件电脑机器特征码一致的投标人，不参与下一阶段评审。 </w:t>
      </w:r>
    </w:p>
    <w:p w14:paraId="7B6979A0">
      <w:pPr>
        <w:shd w:val="clear"/>
        <w:spacing w:line="360" w:lineRule="auto"/>
        <w:ind w:left="842" w:leftChars="200" w:hanging="422" w:hangingChars="176"/>
        <w:rPr>
          <w:rFonts w:hint="eastAsia" w:ascii="宋体" w:hAnsi="宋体" w:cs="宋体"/>
          <w:sz w:val="24"/>
          <w:szCs w:val="24"/>
          <w:highlight w:val="none"/>
        </w:rPr>
      </w:pPr>
      <w:r>
        <w:rPr>
          <w:rFonts w:hint="eastAsia" w:ascii="宋体" w:hAnsi="宋体" w:cs="宋体"/>
          <w:sz w:val="24"/>
          <w:szCs w:val="24"/>
          <w:highlight w:val="none"/>
        </w:rPr>
        <w:t>(b)评标委员会成员业主代表及专家依据招标文件规定，按附录12《资格审查表》对各投标人递交的投标文件进行资格审查。</w:t>
      </w:r>
    </w:p>
    <w:p w14:paraId="5FBC0583">
      <w:pPr>
        <w:shd w:val="clear"/>
        <w:spacing w:line="360" w:lineRule="auto"/>
        <w:ind w:left="842" w:leftChars="200" w:hanging="422" w:hangingChars="176"/>
        <w:rPr>
          <w:rFonts w:hint="eastAsia" w:ascii="宋体" w:hAnsi="宋体" w:cs="宋体"/>
          <w:sz w:val="24"/>
          <w:szCs w:val="24"/>
          <w:highlight w:val="none"/>
        </w:rPr>
      </w:pPr>
      <w:r>
        <w:rPr>
          <w:rFonts w:hint="eastAsia" w:ascii="宋体" w:hAnsi="宋体" w:cs="宋体"/>
          <w:sz w:val="24"/>
          <w:szCs w:val="24"/>
          <w:highlight w:val="none"/>
        </w:rPr>
        <w:t>(c) 评标委员会成员汇总资格审查结果，编写资格审查报告。</w:t>
      </w:r>
    </w:p>
    <w:p w14:paraId="7B79380C">
      <w:pPr>
        <w:shd w:val="clear"/>
        <w:spacing w:line="360" w:lineRule="auto"/>
        <w:ind w:left="842" w:leftChars="200" w:hanging="422" w:hangingChars="176"/>
        <w:rPr>
          <w:rFonts w:hint="eastAsia" w:ascii="宋体" w:hAnsi="宋体" w:cs="宋体"/>
          <w:sz w:val="24"/>
          <w:szCs w:val="24"/>
          <w:highlight w:val="none"/>
        </w:rPr>
      </w:pPr>
      <w:r>
        <w:rPr>
          <w:rFonts w:hint="eastAsia" w:ascii="宋体" w:hAnsi="宋体" w:cs="宋体"/>
          <w:sz w:val="24"/>
          <w:szCs w:val="24"/>
          <w:highlight w:val="none"/>
        </w:rPr>
        <w:t>(d)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4FD0C0C0">
      <w:pPr>
        <w:shd w:val="clear"/>
        <w:spacing w:line="360" w:lineRule="auto"/>
        <w:ind w:left="842" w:leftChars="200" w:hanging="422" w:hangingChars="176"/>
        <w:rPr>
          <w:rFonts w:hint="eastAsia" w:ascii="宋体" w:hAnsi="宋体" w:cs="宋体"/>
          <w:sz w:val="24"/>
          <w:szCs w:val="24"/>
          <w:highlight w:val="none"/>
        </w:rPr>
      </w:pPr>
      <w:r>
        <w:rPr>
          <w:rFonts w:hint="eastAsia" w:ascii="宋体" w:hAnsi="宋体" w:cs="宋体"/>
          <w:sz w:val="24"/>
          <w:szCs w:val="24"/>
          <w:highlight w:val="none"/>
        </w:rPr>
        <w:t>(e) 以差额选举逐轮淘汰的记名投票方式选出所有投标方案的排序，并按照4.5.1约定的家数入围定标阶段（该排序不作为定标的依据）；或以差额选举逐轮淘汰的记名投票方式直接确定入围定标阶段的投标人。（方案补偿费按(g)步骤确定的方式进行补偿）。</w:t>
      </w:r>
    </w:p>
    <w:p w14:paraId="41F85BA8">
      <w:pPr>
        <w:shd w:val="clear"/>
        <w:spacing w:line="360" w:lineRule="auto"/>
        <w:ind w:left="842" w:leftChars="200" w:hanging="422" w:hangingChars="176"/>
        <w:rPr>
          <w:rFonts w:hint="eastAsia" w:ascii="宋体" w:hAnsi="宋体" w:cs="宋体"/>
          <w:sz w:val="24"/>
          <w:szCs w:val="24"/>
          <w:highlight w:val="none"/>
        </w:rPr>
      </w:pPr>
      <w:r>
        <w:rPr>
          <w:rFonts w:hint="eastAsia" w:ascii="宋体" w:hAnsi="宋体" w:cs="宋体"/>
          <w:sz w:val="24"/>
          <w:szCs w:val="24"/>
          <w:highlight w:val="none"/>
        </w:rPr>
        <w:t xml:space="preserve">(f) 评标委员会揭晓投标人身份。 </w:t>
      </w:r>
    </w:p>
    <w:p w14:paraId="490BC183">
      <w:pPr>
        <w:shd w:val="clear"/>
        <w:spacing w:line="360" w:lineRule="auto"/>
        <w:ind w:left="842" w:leftChars="200" w:hanging="422" w:hangingChars="176"/>
        <w:rPr>
          <w:rFonts w:hint="eastAsia" w:ascii="宋体" w:hAnsi="宋体" w:cs="宋体"/>
          <w:sz w:val="24"/>
          <w:szCs w:val="24"/>
          <w:highlight w:val="none"/>
        </w:rPr>
      </w:pPr>
      <w:r>
        <w:rPr>
          <w:rFonts w:hint="eastAsia" w:ascii="宋体" w:hAnsi="宋体" w:cs="宋体"/>
          <w:sz w:val="24"/>
          <w:szCs w:val="24"/>
          <w:highlight w:val="none"/>
        </w:rPr>
        <w:t>(g)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若采取排序方式确定入围单位的，其余通过资格审查（如有）及有效性审查的投标人按排序依次上升替补入围定标阶段，以此类推。若采取直接确定入围单位的，确定替补入围单位的方法为：。评标委员会按上述方式推荐入围定标阶段的投标人。投标经济补偿费按投标方案的最终排序（采取排序方式的）或（采取直接确定入围方式的）确定进行补偿。</w:t>
      </w:r>
    </w:p>
    <w:p w14:paraId="7D7BD6E8">
      <w:pPr>
        <w:shd w:val="clear"/>
        <w:spacing w:line="360" w:lineRule="auto"/>
        <w:ind w:left="842" w:leftChars="200" w:hanging="422" w:hangingChars="176"/>
        <w:rPr>
          <w:rFonts w:hint="eastAsia" w:ascii="宋体" w:hAnsi="宋体" w:cs="宋体"/>
          <w:sz w:val="24"/>
          <w:szCs w:val="24"/>
          <w:highlight w:val="none"/>
        </w:rPr>
      </w:pPr>
      <w:r>
        <w:rPr>
          <w:rFonts w:hint="eastAsia" w:ascii="宋体" w:hAnsi="宋体" w:cs="宋体"/>
          <w:sz w:val="24"/>
          <w:szCs w:val="24"/>
          <w:highlight w:val="none"/>
        </w:rPr>
        <w:t>(h) 编写、签署评标报告，评标报告由评标委员会全体成员签字，对评标结论持有异议的评标委员会成员可以书面方式阐述其不同意见和理由。</w:t>
      </w:r>
    </w:p>
    <w:p w14:paraId="12AD3858">
      <w:pPr>
        <w:shd w:val="clear"/>
        <w:spacing w:line="360" w:lineRule="auto"/>
        <w:ind w:left="842" w:leftChars="200" w:hanging="422" w:hangingChars="176"/>
        <w:rPr>
          <w:rFonts w:hint="eastAsia" w:ascii="宋体" w:hAnsi="宋体" w:cs="宋体"/>
          <w:sz w:val="24"/>
          <w:szCs w:val="24"/>
          <w:highlight w:val="none"/>
        </w:rPr>
      </w:pPr>
      <w:r>
        <w:rPr>
          <w:rFonts w:hint="eastAsia" w:ascii="宋体" w:hAnsi="宋体" w:cs="宋体"/>
          <w:sz w:val="24"/>
          <w:szCs w:val="24"/>
          <w:highlight w:val="none"/>
        </w:rPr>
        <w:t>(i) 评标委员会向招标人提交书面评标报告后即告解散，评标过程中使用的文件、表格以及其他资料应当即时归还招标人（招标代理机构）。</w:t>
      </w:r>
    </w:p>
    <w:p w14:paraId="687F4D1D">
      <w:pPr>
        <w:shd w:val="clear"/>
        <w:spacing w:line="360" w:lineRule="auto"/>
        <w:ind w:left="842" w:leftChars="200" w:hanging="422" w:hangingChars="176"/>
        <w:rPr>
          <w:rFonts w:hint="eastAsia" w:ascii="宋体" w:hAnsi="宋体" w:cs="宋体"/>
          <w:sz w:val="24"/>
          <w:szCs w:val="24"/>
          <w:highlight w:val="none"/>
        </w:rPr>
      </w:pPr>
      <w:r>
        <w:rPr>
          <w:rFonts w:hint="eastAsia" w:ascii="宋体" w:hAnsi="宋体" w:cs="宋体"/>
          <w:sz w:val="24"/>
          <w:szCs w:val="24"/>
          <w:highlight w:val="none"/>
        </w:rPr>
        <w:t>（j）定标委员会定标。定标委员会按附录16《定标原则》确定名（不多于3名）中标候选人（排序），也可直接确定中标人。</w:t>
      </w:r>
    </w:p>
    <w:p w14:paraId="7F4A6E73">
      <w:pPr>
        <w:shd w:val="clear"/>
        <w:spacing w:line="360" w:lineRule="auto"/>
        <w:ind w:left="842" w:leftChars="200" w:hanging="422" w:hangingChars="176"/>
        <w:rPr>
          <w:rFonts w:hint="eastAsia" w:ascii="宋体" w:hAnsi="宋体" w:cs="宋体"/>
          <w:sz w:val="24"/>
          <w:szCs w:val="24"/>
          <w:highlight w:val="none"/>
        </w:rPr>
      </w:pPr>
    </w:p>
    <w:p w14:paraId="3EF844EE">
      <w:pPr>
        <w:keepNext/>
        <w:keepLines/>
        <w:shd w:val="clear"/>
        <w:spacing w:before="340" w:after="330" w:line="360" w:lineRule="auto"/>
        <w:ind w:left="844" w:leftChars="200" w:hanging="424" w:hangingChars="176"/>
        <w:jc w:val="center"/>
        <w:outlineLvl w:val="0"/>
        <w:rPr>
          <w:rFonts w:hint="eastAsia" w:ascii="宋体" w:hAnsi="宋体" w:cs="宋体"/>
          <w:b/>
          <w:kern w:val="44"/>
          <w:sz w:val="24"/>
          <w:szCs w:val="24"/>
          <w:highlight w:val="none"/>
        </w:rPr>
      </w:pPr>
      <w:r>
        <w:rPr>
          <w:rFonts w:hint="eastAsia" w:ascii="宋体" w:hAnsi="宋体" w:cs="宋体"/>
          <w:b/>
          <w:kern w:val="44"/>
          <w:sz w:val="24"/>
          <w:szCs w:val="24"/>
          <w:highlight w:val="none"/>
        </w:rPr>
        <w:br w:type="page"/>
      </w:r>
      <w:bookmarkStart w:id="119" w:name="_Toc143817037"/>
      <w:bookmarkEnd w:id="119"/>
      <w:bookmarkStart w:id="120" w:name="_Toc25679"/>
      <w:bookmarkStart w:id="121" w:name="_Toc22987"/>
      <w:bookmarkStart w:id="122" w:name="_Toc3147"/>
      <w:bookmarkStart w:id="123" w:name="_Toc12746"/>
      <w:bookmarkStart w:id="124" w:name="_Toc7264"/>
      <w:bookmarkStart w:id="125" w:name="_Toc718"/>
      <w:bookmarkStart w:id="126" w:name="_Toc9011"/>
      <w:r>
        <w:rPr>
          <w:rFonts w:hint="eastAsia" w:ascii="宋体" w:hAnsi="宋体" w:cs="宋体"/>
          <w:b/>
          <w:kern w:val="44"/>
          <w:sz w:val="36"/>
          <w:szCs w:val="36"/>
          <w:highlight w:val="none"/>
        </w:rPr>
        <w:t>第五章  定标</w:t>
      </w:r>
      <w:r>
        <w:rPr>
          <w:rFonts w:hint="eastAsia" w:ascii="宋体" w:hAnsi="宋体" w:cs="宋体"/>
          <w:b/>
          <w:kern w:val="44"/>
          <w:sz w:val="36"/>
          <w:szCs w:val="36"/>
          <w:highlight w:val="none"/>
          <w:u w:val="single"/>
        </w:rPr>
        <w:t>（范本原文）</w:t>
      </w:r>
      <w:bookmarkEnd w:id="120"/>
      <w:bookmarkEnd w:id="121"/>
      <w:bookmarkEnd w:id="122"/>
      <w:bookmarkEnd w:id="123"/>
      <w:bookmarkEnd w:id="124"/>
      <w:bookmarkEnd w:id="125"/>
      <w:bookmarkEnd w:id="126"/>
    </w:p>
    <w:p w14:paraId="4A5928EE">
      <w:pPr>
        <w:shd w:val="clear"/>
        <w:rPr>
          <w:rFonts w:hint="eastAsia" w:ascii="宋体" w:hAnsi="宋体" w:cs="宋体"/>
          <w:sz w:val="24"/>
          <w:szCs w:val="24"/>
          <w:highlight w:val="none"/>
        </w:rPr>
      </w:pPr>
    </w:p>
    <w:p w14:paraId="4764E934">
      <w:pPr>
        <w:shd w:val="clear"/>
        <w:spacing w:line="360" w:lineRule="auto"/>
        <w:jc w:val="left"/>
        <w:rPr>
          <w:rFonts w:hint="eastAsia" w:ascii="宋体" w:hAnsi="宋体" w:cs="宋体"/>
          <w:b/>
          <w:sz w:val="24"/>
          <w:szCs w:val="24"/>
          <w:highlight w:val="none"/>
        </w:rPr>
      </w:pPr>
      <w:bookmarkStart w:id="127" w:name="_Toc9357"/>
      <w:bookmarkStart w:id="128" w:name="_Toc14346"/>
      <w:bookmarkStart w:id="129" w:name="_Toc13630"/>
      <w:bookmarkStart w:id="130" w:name="_Toc22265"/>
      <w:r>
        <w:rPr>
          <w:rFonts w:hint="eastAsia" w:ascii="宋体" w:hAnsi="宋体" w:cs="宋体"/>
          <w:b/>
          <w:sz w:val="24"/>
          <w:szCs w:val="24"/>
          <w:highlight w:val="none"/>
        </w:rPr>
        <w:t>5.1    确定中标人</w:t>
      </w:r>
      <w:bookmarkEnd w:id="127"/>
      <w:bookmarkEnd w:id="128"/>
      <w:bookmarkEnd w:id="129"/>
      <w:bookmarkEnd w:id="130"/>
    </w:p>
    <w:p w14:paraId="4D2765D5">
      <w:pPr>
        <w:shd w:val="clear"/>
        <w:spacing w:line="360" w:lineRule="auto"/>
        <w:jc w:val="left"/>
        <w:rPr>
          <w:rFonts w:hint="eastAsia" w:ascii="宋体" w:hAnsi="宋体" w:cs="宋体"/>
          <w:sz w:val="24"/>
          <w:szCs w:val="24"/>
          <w:highlight w:val="none"/>
        </w:rPr>
      </w:pPr>
    </w:p>
    <w:p w14:paraId="207282C8">
      <w:pPr>
        <w:shd w:val="clear"/>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采用方式</w:t>
      </w:r>
      <w:r>
        <w:rPr>
          <w:rFonts w:hint="eastAsia" w:ascii="宋体" w:hAnsi="宋体" w:cs="宋体"/>
          <w:sz w:val="24"/>
          <w:szCs w:val="24"/>
          <w:highlight w:val="none"/>
          <w:u w:val="single"/>
        </w:rPr>
        <w:t xml:space="preserve">    </w:t>
      </w:r>
      <w:r>
        <w:rPr>
          <w:rFonts w:hint="eastAsia" w:ascii="宋体" w:hAnsi="宋体" w:cs="宋体"/>
          <w:sz w:val="24"/>
          <w:szCs w:val="24"/>
          <w:highlight w:val="none"/>
        </w:rPr>
        <w:t>确定中标人：</w:t>
      </w:r>
    </w:p>
    <w:p w14:paraId="32E93AFB">
      <w:pPr>
        <w:shd w:val="clear"/>
        <w:spacing w:line="360" w:lineRule="auto"/>
        <w:jc w:val="left"/>
        <w:rPr>
          <w:rFonts w:hint="eastAsia" w:ascii="宋体" w:hAnsi="宋体" w:cs="宋体"/>
          <w:sz w:val="24"/>
          <w:szCs w:val="24"/>
          <w:highlight w:val="none"/>
        </w:rPr>
      </w:pPr>
    </w:p>
    <w:p w14:paraId="789F9091">
      <w:pPr>
        <w:shd w:val="clear"/>
        <w:spacing w:line="360" w:lineRule="auto"/>
        <w:jc w:val="left"/>
        <w:rPr>
          <w:rFonts w:hint="eastAsia" w:ascii="宋体" w:hAnsi="宋体" w:cs="宋体"/>
          <w:b/>
          <w:sz w:val="24"/>
          <w:szCs w:val="24"/>
          <w:highlight w:val="none"/>
        </w:rPr>
      </w:pPr>
      <w:r>
        <w:rPr>
          <w:rFonts w:hint="eastAsia" w:ascii="宋体" w:hAnsi="宋体" w:cs="宋体"/>
          <w:b/>
          <w:sz w:val="24"/>
          <w:szCs w:val="24"/>
          <w:highlight w:val="none"/>
        </w:rPr>
        <w:t>方式一（适用于设置资格审查环节的项目）：</w:t>
      </w:r>
    </w:p>
    <w:p w14:paraId="2A4E3B19">
      <w:pPr>
        <w:shd w:val="clea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5.1.1  招标人在评标委员会或定标委员会推荐的中标候选人中确定中标人。</w:t>
      </w:r>
    </w:p>
    <w:p w14:paraId="53BE1F55">
      <w:pPr>
        <w:shd w:val="clea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5.1.2  招标人确定中标人：</w:t>
      </w:r>
    </w:p>
    <w:p w14:paraId="61F98183">
      <w:pPr>
        <w:shd w:val="clear"/>
        <w:spacing w:line="360" w:lineRule="auto"/>
        <w:ind w:left="735" w:leftChars="350"/>
        <w:jc w:val="left"/>
        <w:rPr>
          <w:rFonts w:hint="eastAsia" w:ascii="宋体" w:hAnsi="宋体" w:cs="宋体"/>
          <w:sz w:val="24"/>
          <w:szCs w:val="24"/>
          <w:highlight w:val="none"/>
        </w:rPr>
      </w:pPr>
      <w:r>
        <w:rPr>
          <w:rFonts w:hint="eastAsia" w:ascii="宋体" w:hAnsi="宋体" w:cs="宋体"/>
          <w:sz w:val="24"/>
          <w:szCs w:val="24"/>
          <w:highlight w:val="none"/>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中标候选人为中标人，也可以重新招标。如定标委员会直接确定中标人的，可省略此步骤。</w:t>
      </w:r>
    </w:p>
    <w:p w14:paraId="7B5929D4">
      <w:pPr>
        <w:shd w:val="clear"/>
        <w:spacing w:line="360" w:lineRule="auto"/>
        <w:ind w:left="720" w:hanging="720" w:hangingChars="300"/>
        <w:rPr>
          <w:rFonts w:hint="eastAsia" w:ascii="宋体" w:hAnsi="宋体" w:cs="宋体"/>
          <w:sz w:val="24"/>
          <w:szCs w:val="24"/>
          <w:highlight w:val="none"/>
        </w:rPr>
      </w:pPr>
      <w:r>
        <w:rPr>
          <w:rFonts w:hint="eastAsia" w:ascii="宋体" w:hAnsi="宋体" w:cs="宋体"/>
          <w:sz w:val="24"/>
          <w:szCs w:val="24"/>
          <w:highlight w:val="none"/>
        </w:rPr>
        <w:t>5.1.3 在产生中标候选人后，招标人将中标候选人的投标文件商务部分（包括报价清单、人员、业绩、奖项等资料）在交易平台和广东省招标投标监管网公开。</w:t>
      </w:r>
    </w:p>
    <w:p w14:paraId="3E785920">
      <w:pPr>
        <w:shd w:val="clear"/>
        <w:spacing w:line="360" w:lineRule="auto"/>
        <w:jc w:val="left"/>
        <w:rPr>
          <w:rFonts w:hint="eastAsia" w:ascii="宋体" w:hAnsi="宋体" w:cs="宋体"/>
          <w:sz w:val="24"/>
          <w:szCs w:val="24"/>
          <w:highlight w:val="none"/>
        </w:rPr>
      </w:pPr>
    </w:p>
    <w:p w14:paraId="2A566502">
      <w:pPr>
        <w:shd w:val="clear"/>
        <w:spacing w:line="360" w:lineRule="auto"/>
        <w:rPr>
          <w:rFonts w:hint="eastAsia" w:ascii="宋体" w:hAnsi="宋体" w:cs="宋体"/>
          <w:b/>
          <w:sz w:val="24"/>
          <w:szCs w:val="24"/>
          <w:highlight w:val="none"/>
        </w:rPr>
      </w:pPr>
      <w:r>
        <w:rPr>
          <w:rFonts w:hint="eastAsia" w:ascii="宋体" w:hAnsi="宋体" w:cs="宋体"/>
          <w:b/>
          <w:sz w:val="24"/>
          <w:szCs w:val="24"/>
          <w:highlight w:val="none"/>
        </w:rPr>
        <w:t>方式二（适用于未设资格审查环节的项目）：</w:t>
      </w:r>
    </w:p>
    <w:p w14:paraId="678C4004">
      <w:pPr>
        <w:shd w:val="clea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5.1.1  招标人依据评标委员会或定标委员会推荐的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14:paraId="4B28EB85">
      <w:pPr>
        <w:shd w:val="clea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5.1.2  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通过资格复核的中标候选人为中标人，也可以重新招标。</w:t>
      </w:r>
    </w:p>
    <w:p w14:paraId="4E49A650">
      <w:pPr>
        <w:shd w:val="clea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5.1.3  定标委员会直接确定中标人，中标人未能通过资格复核的，招标失败。招标人应重新组织招标。</w:t>
      </w:r>
    </w:p>
    <w:p w14:paraId="0FD782AE">
      <w:pPr>
        <w:shd w:val="clear"/>
        <w:spacing w:line="360" w:lineRule="auto"/>
        <w:ind w:left="840" w:hanging="840" w:hangingChars="350"/>
        <w:rPr>
          <w:rFonts w:hint="eastAsia" w:ascii="宋体" w:hAnsi="宋体" w:cs="宋体"/>
          <w:sz w:val="24"/>
          <w:szCs w:val="24"/>
          <w:highlight w:val="none"/>
        </w:rPr>
      </w:pPr>
      <w:r>
        <w:rPr>
          <w:rFonts w:hint="eastAsia" w:ascii="宋体" w:hAnsi="宋体" w:cs="宋体"/>
          <w:sz w:val="24"/>
          <w:szCs w:val="24"/>
          <w:highlight w:val="none"/>
        </w:rPr>
        <w:t>5.1.4  在产生中标候选人后，招标人将中标候选人的投标文件商务部分（包括报价清单、人员、业绩、奖项等资料）在交易平台和广东省招标投标监管网公开。</w:t>
      </w:r>
    </w:p>
    <w:p w14:paraId="753F55BD">
      <w:pPr>
        <w:shd w:val="clear"/>
        <w:spacing w:line="360" w:lineRule="auto"/>
        <w:ind w:left="840" w:hanging="840" w:hangingChars="350"/>
        <w:rPr>
          <w:rFonts w:hint="eastAsia" w:ascii="宋体" w:hAnsi="宋体" w:cs="宋体"/>
          <w:sz w:val="24"/>
          <w:szCs w:val="24"/>
          <w:highlight w:val="none"/>
        </w:rPr>
      </w:pPr>
    </w:p>
    <w:p w14:paraId="34645D3E">
      <w:pPr>
        <w:shd w:val="clear"/>
        <w:spacing w:line="360" w:lineRule="auto"/>
        <w:jc w:val="left"/>
        <w:rPr>
          <w:rFonts w:hint="eastAsia" w:ascii="宋体" w:hAnsi="宋体" w:cs="宋体"/>
          <w:b/>
          <w:sz w:val="24"/>
          <w:szCs w:val="24"/>
          <w:highlight w:val="none"/>
        </w:rPr>
      </w:pPr>
      <w:bookmarkStart w:id="131" w:name="_Toc8048"/>
      <w:bookmarkStart w:id="132" w:name="_Toc3912"/>
      <w:bookmarkStart w:id="133" w:name="_Toc19558"/>
      <w:bookmarkStart w:id="134" w:name="_Toc1840"/>
      <w:r>
        <w:rPr>
          <w:rFonts w:hint="eastAsia" w:ascii="宋体" w:hAnsi="宋体" w:cs="宋体"/>
          <w:b/>
          <w:sz w:val="24"/>
          <w:szCs w:val="24"/>
          <w:highlight w:val="none"/>
        </w:rPr>
        <w:t>5.2    中标资格审核及中标通知</w:t>
      </w:r>
      <w:bookmarkEnd w:id="131"/>
      <w:bookmarkEnd w:id="132"/>
      <w:bookmarkEnd w:id="133"/>
      <w:bookmarkEnd w:id="134"/>
    </w:p>
    <w:p w14:paraId="3C17DB63">
      <w:pPr>
        <w:shd w:val="clear"/>
        <w:spacing w:line="360" w:lineRule="auto"/>
        <w:rPr>
          <w:rFonts w:hint="eastAsia" w:ascii="宋体" w:hAnsi="宋体" w:cs="宋体"/>
          <w:sz w:val="24"/>
          <w:szCs w:val="24"/>
          <w:highlight w:val="none"/>
        </w:rPr>
      </w:pPr>
    </w:p>
    <w:p w14:paraId="7DD15BA0">
      <w:pPr>
        <w:shd w:val="clea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5.2.1  招标人发出中标通知书前，与中标人落实以下事项：</w:t>
      </w:r>
    </w:p>
    <w:p w14:paraId="2BE5EADE">
      <w:pPr>
        <w:shd w:val="clea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(a) 投标文件是否有明显抄袭行为；</w:t>
      </w:r>
    </w:p>
    <w:p w14:paraId="5D009AA4">
      <w:pPr>
        <w:shd w:val="clear"/>
        <w:spacing w:line="360" w:lineRule="auto"/>
        <w:ind w:firstLine="240" w:firstLineChars="100"/>
        <w:rPr>
          <w:rFonts w:hint="eastAsia" w:ascii="宋体" w:hAnsi="宋体" w:cs="宋体"/>
          <w:sz w:val="24"/>
          <w:szCs w:val="24"/>
          <w:highlight w:val="none"/>
        </w:rPr>
      </w:pPr>
      <w:r>
        <w:rPr>
          <w:rFonts w:hint="eastAsia" w:ascii="宋体" w:hAnsi="宋体" w:cs="宋体"/>
          <w:sz w:val="24"/>
          <w:szCs w:val="24"/>
          <w:highlight w:val="none"/>
        </w:rPr>
        <w:t xml:space="preserve"> (b) 投标文件是否有侵犯他人著作权和特许权；</w:t>
      </w:r>
    </w:p>
    <w:p w14:paraId="5C5F6661">
      <w:pPr>
        <w:shd w:val="clear"/>
        <w:spacing w:line="360" w:lineRule="auto"/>
        <w:ind w:firstLine="240" w:firstLineChars="100"/>
        <w:rPr>
          <w:rFonts w:hint="eastAsia" w:ascii="宋体" w:hAnsi="宋体" w:cs="宋体"/>
          <w:sz w:val="24"/>
          <w:szCs w:val="24"/>
          <w:highlight w:val="none"/>
        </w:rPr>
      </w:pPr>
      <w:r>
        <w:rPr>
          <w:rFonts w:hint="eastAsia" w:ascii="宋体" w:hAnsi="宋体" w:cs="宋体"/>
          <w:sz w:val="24"/>
          <w:szCs w:val="24"/>
          <w:highlight w:val="none"/>
        </w:rPr>
        <w:t xml:space="preserve"> (c) 投标文件是否有参加过其他竞赛，或在其他竞赛中获奖的作品。</w:t>
      </w:r>
    </w:p>
    <w:p w14:paraId="4DAE59B5">
      <w:pPr>
        <w:shd w:val="clear"/>
        <w:spacing w:line="360" w:lineRule="auto"/>
        <w:ind w:left="849" w:leftChars="404" w:hanging="1"/>
        <w:rPr>
          <w:rFonts w:hint="eastAsia" w:ascii="宋体" w:hAnsi="宋体" w:cs="宋体"/>
          <w:sz w:val="24"/>
          <w:szCs w:val="24"/>
          <w:highlight w:val="none"/>
        </w:rPr>
      </w:pPr>
      <w:r>
        <w:rPr>
          <w:rFonts w:hint="eastAsia" w:ascii="宋体" w:hAnsi="宋体" w:cs="宋体"/>
          <w:sz w:val="24"/>
          <w:szCs w:val="24"/>
          <w:highlight w:val="none"/>
        </w:rPr>
        <w:t>中标人出现以上情形的，中标无效。招标人按照《中华人民共和国招标投标法实施条例》第五十五条的规定依次确定中标人或重新招标。</w:t>
      </w:r>
    </w:p>
    <w:p w14:paraId="0F4AF12F">
      <w:pPr>
        <w:shd w:val="clea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5.2.2  如果投标人不具备承接任务所需要的全部专业技能和资质，可以通过联合体投标或中标后分包的方式来获得全部专业技能和资质。联合体成员之间分工相同的，以资质等级低的单位业务许可范围核定资格；分工不同的，按各自业务许可范围核定资格。中标人可以将部分工程设计发包给具有相应资质条件的分包单位，但分包单位必须经招标人认可。</w:t>
      </w:r>
    </w:p>
    <w:p w14:paraId="482791FC">
      <w:pPr>
        <w:shd w:val="clea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5.2.3  如果中标候选人的报价不符合招标文件规定，招标人有权作出修正，招标人的修正备忘录在得到中标候选人的同意后向其颁发中标通知书。</w:t>
      </w:r>
    </w:p>
    <w:p w14:paraId="7917423A">
      <w:pPr>
        <w:shd w:val="clea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5.2.4  中标人确定后，招标人（招标代理机构）通过交易平台和广东省招标投标监管网公示中标结果。</w:t>
      </w:r>
    </w:p>
    <w:p w14:paraId="17BE6441">
      <w:pPr>
        <w:shd w:val="clea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5.2.5  招标人自确定中标人之日起十五日内向招标管理机构提交招标投标情况的书面报告。</w:t>
      </w:r>
    </w:p>
    <w:p w14:paraId="48B92C19">
      <w:pPr>
        <w:shd w:val="clear"/>
        <w:spacing w:line="360" w:lineRule="auto"/>
        <w:rPr>
          <w:rFonts w:hint="eastAsia" w:ascii="宋体" w:hAnsi="宋体" w:cs="宋体"/>
          <w:sz w:val="24"/>
          <w:szCs w:val="24"/>
          <w:highlight w:val="none"/>
        </w:rPr>
      </w:pPr>
    </w:p>
    <w:p w14:paraId="56D9582A">
      <w:pPr>
        <w:shd w:val="clear"/>
        <w:spacing w:line="360" w:lineRule="auto"/>
        <w:rPr>
          <w:rFonts w:hint="eastAsia" w:ascii="宋体" w:hAnsi="宋体" w:cs="宋体"/>
          <w:b/>
          <w:sz w:val="24"/>
          <w:szCs w:val="24"/>
          <w:highlight w:val="none"/>
        </w:rPr>
      </w:pPr>
      <w:bookmarkStart w:id="135" w:name="_Toc28658"/>
      <w:bookmarkStart w:id="136" w:name="_Toc1428"/>
      <w:bookmarkStart w:id="137" w:name="_Toc21518"/>
      <w:bookmarkStart w:id="138" w:name="_Toc30211"/>
      <w:r>
        <w:rPr>
          <w:rFonts w:hint="eastAsia" w:ascii="宋体" w:hAnsi="宋体" w:cs="宋体"/>
          <w:b/>
          <w:sz w:val="24"/>
          <w:szCs w:val="24"/>
          <w:highlight w:val="none"/>
        </w:rPr>
        <w:t>5.3    其他</w:t>
      </w:r>
      <w:bookmarkEnd w:id="135"/>
      <w:bookmarkEnd w:id="136"/>
      <w:bookmarkEnd w:id="137"/>
      <w:bookmarkEnd w:id="138"/>
    </w:p>
    <w:p w14:paraId="3DE72CD0">
      <w:pPr>
        <w:shd w:val="clear"/>
        <w:spacing w:line="360" w:lineRule="auto"/>
        <w:rPr>
          <w:rFonts w:hint="eastAsia" w:ascii="宋体" w:hAnsi="宋体" w:cs="宋体"/>
          <w:sz w:val="24"/>
          <w:szCs w:val="24"/>
          <w:highlight w:val="none"/>
        </w:rPr>
      </w:pPr>
    </w:p>
    <w:p w14:paraId="1C80C4B5">
      <w:pPr>
        <w:shd w:val="clea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5.3.1  凡是以他人名义投标，或者投标人允许其他单位或者个人以投标人的名义投标承揽业务的，均属违法行为，招标人对这些单位或个人的损失概不负责，对这些单位或个人的投诉概不受理。</w:t>
      </w:r>
    </w:p>
    <w:p w14:paraId="45827910">
      <w:pPr>
        <w:shd w:val="clea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5.3.2  本次招标由交易服务机构对各投标人提交的成果和评标过程、评标结果予以见证，若有纠纷，将按现行法律、法规通过友好协商或诉讼程序解决。</w:t>
      </w:r>
    </w:p>
    <w:p w14:paraId="32972A92">
      <w:pPr>
        <w:shd w:val="clea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5.3.3  腐败与欺诈行为</w:t>
      </w:r>
    </w:p>
    <w:p w14:paraId="6AC1ECE6">
      <w:pPr>
        <w:shd w:val="clea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 xml:space="preserve">       在招标和合同实施期间，招标人要求投标人和承包人遵守最高的道德标准。</w:t>
      </w:r>
    </w:p>
    <w:p w14:paraId="1B454896">
      <w:pPr>
        <w:shd w:val="clea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5.3.3.1对本条款的规定，特定义如下词汇：</w:t>
      </w:r>
    </w:p>
    <w:p w14:paraId="73DC7E92">
      <w:pPr>
        <w:shd w:val="clea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 xml:space="preserve">       1）、“腐败行为”是指在招标或合同执行期间，通过提供、给予、接受或索要任何有价值的东西，从而影响招标人有关人员工作的行为；</w:t>
      </w:r>
    </w:p>
    <w:p w14:paraId="5DE07B98">
      <w:pPr>
        <w:shd w:val="clea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 xml:space="preserve">       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671D93E9">
      <w:pPr>
        <w:shd w:val="clea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5.3.3.2如果投标人被认定在本招标的竞争中有腐败或欺诈行为，则会被取消投标资格。</w:t>
      </w:r>
    </w:p>
    <w:p w14:paraId="4C071C86">
      <w:pPr>
        <w:shd w:val="clea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5.3.3.3投标人如在本项目中存在串通投标、弄虚作假、行贿情形的，中标无效，行政监督部门将对其违法行为进行政处罚并通报。该投标人将被招标人列入黑名单并限制其参与招标人后续项目的投标。</w:t>
      </w:r>
    </w:p>
    <w:p w14:paraId="7164EE94">
      <w:pPr>
        <w:shd w:val="clea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5.3.4  投标人如在本项目中存在串通投标、弄虚作假、行贿情形且在评标、定标过程中未被发现的，该投标不改变本项目评标、定标结果排序，其中标无效。招标人按照《中华人民共和国招标投标法实施条例》第五十五条的规定依次确定中标人或重新招标。</w:t>
      </w:r>
    </w:p>
    <w:p w14:paraId="4171BC49">
      <w:pPr>
        <w:keepNext/>
        <w:keepLines/>
        <w:shd w:val="clear"/>
        <w:spacing w:before="340" w:after="330" w:line="360" w:lineRule="auto"/>
        <w:jc w:val="center"/>
        <w:outlineLvl w:val="0"/>
        <w:rPr>
          <w:rFonts w:hint="eastAsia" w:ascii="宋体" w:hAnsi="宋体" w:cs="宋体"/>
          <w:b/>
          <w:kern w:val="44"/>
          <w:sz w:val="24"/>
          <w:szCs w:val="24"/>
          <w:highlight w:val="none"/>
        </w:rPr>
      </w:pPr>
      <w:r>
        <w:rPr>
          <w:rFonts w:hint="eastAsia" w:ascii="宋体" w:hAnsi="宋体" w:cs="宋体"/>
          <w:b/>
          <w:kern w:val="44"/>
          <w:sz w:val="24"/>
          <w:szCs w:val="24"/>
          <w:highlight w:val="none"/>
        </w:rPr>
        <w:br w:type="page"/>
      </w:r>
      <w:bookmarkStart w:id="139" w:name="_Toc143817038"/>
      <w:bookmarkEnd w:id="139"/>
      <w:bookmarkStart w:id="140" w:name="_Toc1699"/>
      <w:bookmarkStart w:id="141" w:name="_Toc30397"/>
      <w:bookmarkStart w:id="142" w:name="_Toc4338"/>
      <w:bookmarkStart w:id="143" w:name="_Toc13268"/>
      <w:bookmarkStart w:id="144" w:name="_Toc15478"/>
      <w:bookmarkStart w:id="145" w:name="_Toc25208"/>
      <w:bookmarkStart w:id="146" w:name="_Toc18623"/>
      <w:r>
        <w:rPr>
          <w:rFonts w:hint="eastAsia" w:ascii="宋体" w:hAnsi="宋体" w:cs="宋体"/>
          <w:b/>
          <w:kern w:val="44"/>
          <w:sz w:val="36"/>
          <w:szCs w:val="36"/>
          <w:highlight w:val="none"/>
        </w:rPr>
        <w:t>第六章  授予合同</w:t>
      </w:r>
      <w:r>
        <w:rPr>
          <w:rFonts w:hint="eastAsia" w:ascii="宋体" w:hAnsi="宋体" w:cs="宋体"/>
          <w:b/>
          <w:kern w:val="44"/>
          <w:sz w:val="36"/>
          <w:szCs w:val="36"/>
          <w:highlight w:val="none"/>
          <w:u w:val="single"/>
        </w:rPr>
        <w:t>（范本原文）</w:t>
      </w:r>
      <w:bookmarkEnd w:id="140"/>
      <w:bookmarkEnd w:id="141"/>
      <w:bookmarkEnd w:id="142"/>
      <w:bookmarkEnd w:id="143"/>
      <w:bookmarkEnd w:id="144"/>
      <w:bookmarkEnd w:id="145"/>
      <w:bookmarkEnd w:id="146"/>
    </w:p>
    <w:p w14:paraId="288D1EDF">
      <w:pPr>
        <w:shd w:val="clear"/>
        <w:spacing w:line="360" w:lineRule="auto"/>
        <w:rPr>
          <w:rFonts w:hint="eastAsia" w:ascii="宋体" w:hAnsi="宋体" w:cs="宋体"/>
          <w:sz w:val="24"/>
          <w:szCs w:val="24"/>
          <w:highlight w:val="none"/>
        </w:rPr>
      </w:pPr>
    </w:p>
    <w:p w14:paraId="7C3ABA30">
      <w:pPr>
        <w:shd w:val="clear"/>
        <w:spacing w:line="360" w:lineRule="auto"/>
        <w:rPr>
          <w:rFonts w:hint="eastAsia" w:ascii="宋体" w:hAnsi="宋体" w:cs="宋体"/>
          <w:b/>
          <w:sz w:val="24"/>
          <w:szCs w:val="24"/>
          <w:highlight w:val="none"/>
        </w:rPr>
      </w:pPr>
      <w:bookmarkStart w:id="147" w:name="_Toc19818"/>
      <w:bookmarkStart w:id="148" w:name="_Toc2224"/>
      <w:bookmarkStart w:id="149" w:name="_Toc25109"/>
      <w:bookmarkStart w:id="150" w:name="_Toc21968"/>
      <w:r>
        <w:rPr>
          <w:rFonts w:hint="eastAsia" w:ascii="宋体" w:hAnsi="宋体" w:cs="宋体"/>
          <w:b/>
          <w:sz w:val="24"/>
          <w:szCs w:val="24"/>
          <w:highlight w:val="none"/>
        </w:rPr>
        <w:t>6.1    授予合同</w:t>
      </w:r>
      <w:bookmarkEnd w:id="147"/>
      <w:bookmarkEnd w:id="148"/>
      <w:bookmarkEnd w:id="149"/>
      <w:bookmarkEnd w:id="150"/>
    </w:p>
    <w:p w14:paraId="7E208316">
      <w:pPr>
        <w:shd w:val="clear"/>
        <w:spacing w:line="360" w:lineRule="auto"/>
        <w:rPr>
          <w:rFonts w:hint="eastAsia" w:ascii="宋体" w:hAnsi="宋体" w:cs="宋体"/>
          <w:sz w:val="24"/>
          <w:szCs w:val="24"/>
          <w:highlight w:val="none"/>
        </w:rPr>
      </w:pPr>
    </w:p>
    <w:p w14:paraId="4DB72C14">
      <w:pPr>
        <w:shd w:val="clear"/>
        <w:spacing w:line="360" w:lineRule="auto"/>
        <w:ind w:left="821" w:hanging="820" w:hangingChars="342"/>
        <w:jc w:val="left"/>
        <w:rPr>
          <w:rFonts w:hint="eastAsia" w:ascii="宋体" w:hAnsi="宋体" w:cs="宋体"/>
          <w:kern w:val="0"/>
          <w:sz w:val="24"/>
          <w:szCs w:val="24"/>
          <w:highlight w:val="none"/>
        </w:rPr>
      </w:pPr>
      <w:r>
        <w:rPr>
          <w:rFonts w:hint="eastAsia" w:ascii="宋体" w:hAnsi="宋体" w:cs="宋体"/>
          <w:kern w:val="0"/>
          <w:sz w:val="24"/>
          <w:szCs w:val="24"/>
          <w:highlight w:val="none"/>
        </w:rPr>
        <w:t>6.1.1  招标人一般将合同授予中标人，合同必须在投标有效期或投标人接受的延长期内授出。</w:t>
      </w:r>
    </w:p>
    <w:p w14:paraId="546C234D">
      <w:pPr>
        <w:shd w:val="clear"/>
        <w:spacing w:line="360" w:lineRule="auto"/>
        <w:ind w:left="821" w:hanging="820" w:hangingChars="342"/>
        <w:jc w:val="left"/>
        <w:rPr>
          <w:rFonts w:hint="eastAsia" w:ascii="宋体" w:hAnsi="宋体" w:cs="宋体"/>
          <w:kern w:val="0"/>
          <w:sz w:val="24"/>
          <w:szCs w:val="24"/>
          <w:highlight w:val="none"/>
        </w:rPr>
      </w:pPr>
      <w:r>
        <w:rPr>
          <w:rFonts w:hint="eastAsia" w:ascii="宋体" w:hAnsi="宋体" w:cs="宋体"/>
          <w:kern w:val="0"/>
          <w:sz w:val="24"/>
          <w:szCs w:val="24"/>
          <w:highlight w:val="none"/>
        </w:rPr>
        <w:t>6.1.2  中标通知书是合同的组成部分，任何单位和个人不得采取有碍合同生效或履行的行动。</w:t>
      </w:r>
    </w:p>
    <w:p w14:paraId="7F58D8CE">
      <w:pPr>
        <w:shd w:val="clear"/>
        <w:spacing w:line="360" w:lineRule="auto"/>
        <w:ind w:left="821" w:hanging="820" w:hangingChars="342"/>
        <w:jc w:val="left"/>
        <w:rPr>
          <w:rFonts w:hint="eastAsia" w:ascii="宋体" w:hAnsi="宋体" w:cs="宋体"/>
          <w:kern w:val="0"/>
          <w:sz w:val="24"/>
          <w:szCs w:val="24"/>
          <w:highlight w:val="none"/>
        </w:rPr>
      </w:pPr>
      <w:r>
        <w:rPr>
          <w:rFonts w:hint="eastAsia" w:ascii="宋体" w:hAnsi="宋体" w:cs="宋体"/>
          <w:kern w:val="0"/>
          <w:sz w:val="24"/>
          <w:szCs w:val="24"/>
          <w:highlight w:val="none"/>
        </w:rPr>
        <w:t>6.1.3  联合体中标的，由所有联合体成员法定代表人签署授权委托书，指定牵头人或代表，授权其代表所有联合体成员与招标人签订合同，负责整个合同实施阶段的协调工作。招标人认为必要时，联合体各方应当共同与招标人签订合同，为实施合同共同和分别承担责任。</w:t>
      </w:r>
    </w:p>
    <w:p w14:paraId="61BF1DAF">
      <w:pPr>
        <w:shd w:val="clear"/>
        <w:spacing w:line="360" w:lineRule="auto"/>
        <w:ind w:left="821" w:hanging="820" w:hangingChars="342"/>
        <w:jc w:val="left"/>
        <w:rPr>
          <w:rFonts w:hint="eastAsia" w:ascii="宋体" w:hAnsi="宋体" w:cs="宋体"/>
          <w:kern w:val="0"/>
          <w:sz w:val="24"/>
          <w:szCs w:val="24"/>
          <w:highlight w:val="none"/>
        </w:rPr>
      </w:pPr>
      <w:r>
        <w:rPr>
          <w:rFonts w:hint="eastAsia" w:ascii="宋体" w:hAnsi="宋体" w:cs="宋体"/>
          <w:kern w:val="0"/>
          <w:sz w:val="24"/>
          <w:szCs w:val="24"/>
          <w:highlight w:val="none"/>
        </w:rPr>
        <w:t>6.1.4  中标人必须签署并执行招标文件规定的合同条件，如中标人所提供的投标条件（报价、工期、估算工程造价）比其他投标异常低，招标人可要求中标人对遵守参加投标的各项条件和履行合同的能力作出保证。</w:t>
      </w:r>
    </w:p>
    <w:p w14:paraId="076B0FA1">
      <w:pPr>
        <w:shd w:val="clea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6.1.5  招标人提供证据证明中标人有下列行为之一的，经有关行政监督部门确认，该中标无效，招标人不与中标人签订合同：</w:t>
      </w:r>
    </w:p>
    <w:p w14:paraId="1020E38D">
      <w:pPr>
        <w:shd w:val="clea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(a) 不能兑现投标承诺；</w:t>
      </w:r>
    </w:p>
    <w:p w14:paraId="78EBA11E">
      <w:pPr>
        <w:shd w:val="clea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(b) 弄虚作假骗取中标；</w:t>
      </w:r>
    </w:p>
    <w:p w14:paraId="5EF07562">
      <w:pPr>
        <w:shd w:val="clea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 xml:space="preserve">     （c）在招标、投标、评标、定标以及授予合同过程中，对招标人、代理机构、其他投标人、评标委员会成员、</w:t>
      </w:r>
      <w:r>
        <w:rPr>
          <w:rFonts w:hint="eastAsia" w:ascii="宋体" w:hAnsi="宋体" w:cs="宋体"/>
          <w:kern w:val="0"/>
          <w:sz w:val="24"/>
          <w:szCs w:val="24"/>
          <w:highlight w:val="none"/>
        </w:rPr>
        <w:t>交易服务机构的</w:t>
      </w:r>
      <w:r>
        <w:rPr>
          <w:rFonts w:hint="eastAsia" w:ascii="宋体" w:hAnsi="宋体" w:cs="宋体"/>
          <w:sz w:val="24"/>
          <w:szCs w:val="24"/>
          <w:highlight w:val="none"/>
        </w:rPr>
        <w:t>工作人员行贿、</w:t>
      </w:r>
      <w:r>
        <w:rPr>
          <w:rFonts w:hint="eastAsia" w:ascii="宋体" w:hAnsi="宋体" w:cs="宋体"/>
          <w:kern w:val="0"/>
          <w:sz w:val="24"/>
          <w:szCs w:val="24"/>
          <w:highlight w:val="none"/>
        </w:rPr>
        <w:t>利诱、</w:t>
      </w:r>
      <w:r>
        <w:rPr>
          <w:rFonts w:hint="eastAsia" w:ascii="宋体" w:hAnsi="宋体" w:cs="宋体"/>
          <w:sz w:val="24"/>
          <w:szCs w:val="24"/>
          <w:highlight w:val="none"/>
        </w:rPr>
        <w:t>欺诈或者施加影响；</w:t>
      </w:r>
    </w:p>
    <w:p w14:paraId="2E452768">
      <w:pPr>
        <w:shd w:val="clea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(d) 擅自将任务转包其他单位；</w:t>
      </w:r>
    </w:p>
    <w:p w14:paraId="697CB357">
      <w:pPr>
        <w:shd w:val="clea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(e) 中标人实质上不符合投标资格；</w:t>
      </w:r>
    </w:p>
    <w:p w14:paraId="03F8FE27">
      <w:pPr>
        <w:shd w:val="clea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(f) 法律、法规规定的其他损害招标人利益和社会公共利益的情形。</w:t>
      </w:r>
    </w:p>
    <w:p w14:paraId="4D587222">
      <w:pPr>
        <w:keepNext/>
        <w:keepLines/>
        <w:shd w:val="clear"/>
        <w:spacing w:before="340" w:after="330" w:line="360" w:lineRule="auto"/>
        <w:jc w:val="center"/>
        <w:outlineLvl w:val="0"/>
        <w:rPr>
          <w:rFonts w:hint="eastAsia" w:ascii="宋体" w:hAnsi="宋体" w:cs="宋体"/>
          <w:b/>
          <w:kern w:val="44"/>
          <w:sz w:val="24"/>
          <w:szCs w:val="24"/>
          <w:highlight w:val="none"/>
        </w:rPr>
      </w:pPr>
      <w:r>
        <w:rPr>
          <w:rFonts w:hint="eastAsia" w:ascii="宋体" w:hAnsi="宋体" w:cs="宋体"/>
          <w:b/>
          <w:kern w:val="44"/>
          <w:sz w:val="24"/>
          <w:szCs w:val="24"/>
          <w:highlight w:val="none"/>
        </w:rPr>
        <w:br w:type="page"/>
      </w:r>
      <w:bookmarkStart w:id="151" w:name="_Toc143817039"/>
      <w:bookmarkStart w:id="152" w:name="_Toc31135"/>
      <w:bookmarkStart w:id="153" w:name="_Toc19390"/>
      <w:bookmarkStart w:id="154" w:name="_Toc28612"/>
      <w:bookmarkStart w:id="155" w:name="_Toc31888"/>
      <w:bookmarkStart w:id="156" w:name="_Toc18345"/>
      <w:bookmarkStart w:id="157" w:name="_Toc2595"/>
      <w:bookmarkStart w:id="158" w:name="_Toc14756"/>
      <w:r>
        <w:rPr>
          <w:rFonts w:hint="eastAsia" w:ascii="宋体" w:hAnsi="宋体" w:cs="宋体"/>
          <w:b/>
          <w:kern w:val="44"/>
          <w:sz w:val="36"/>
          <w:szCs w:val="36"/>
          <w:highlight w:val="none"/>
        </w:rPr>
        <w:t>第七章</w:t>
      </w:r>
      <w:bookmarkEnd w:id="151"/>
      <w:r>
        <w:rPr>
          <w:rFonts w:hint="eastAsia" w:ascii="宋体" w:hAnsi="宋体" w:cs="宋体"/>
          <w:b/>
          <w:kern w:val="44"/>
          <w:sz w:val="36"/>
          <w:szCs w:val="36"/>
          <w:highlight w:val="none"/>
        </w:rPr>
        <w:t xml:space="preserve">  知识产权</w:t>
      </w:r>
      <w:r>
        <w:rPr>
          <w:rFonts w:hint="eastAsia" w:ascii="宋体" w:hAnsi="宋体" w:cs="宋体"/>
          <w:b/>
          <w:kern w:val="44"/>
          <w:sz w:val="36"/>
          <w:szCs w:val="36"/>
          <w:highlight w:val="none"/>
          <w:u w:val="single"/>
        </w:rPr>
        <w:t>（范本原文）</w:t>
      </w:r>
      <w:bookmarkEnd w:id="152"/>
      <w:bookmarkEnd w:id="153"/>
      <w:bookmarkEnd w:id="154"/>
      <w:bookmarkEnd w:id="155"/>
      <w:bookmarkEnd w:id="156"/>
      <w:bookmarkEnd w:id="157"/>
      <w:bookmarkEnd w:id="158"/>
    </w:p>
    <w:p w14:paraId="35F17983">
      <w:pPr>
        <w:shd w:val="clear"/>
        <w:spacing w:line="360" w:lineRule="auto"/>
        <w:rPr>
          <w:rFonts w:hint="eastAsia" w:ascii="宋体" w:hAnsi="宋体" w:cs="宋体"/>
          <w:sz w:val="24"/>
          <w:szCs w:val="24"/>
          <w:highlight w:val="none"/>
        </w:rPr>
      </w:pPr>
    </w:p>
    <w:p w14:paraId="72A957F4">
      <w:pPr>
        <w:shd w:val="clear"/>
        <w:spacing w:line="360" w:lineRule="auto"/>
        <w:rPr>
          <w:rFonts w:hint="eastAsia" w:ascii="宋体" w:hAnsi="宋体" w:cs="宋体"/>
          <w:b/>
          <w:sz w:val="24"/>
          <w:szCs w:val="24"/>
          <w:highlight w:val="none"/>
        </w:rPr>
      </w:pPr>
      <w:bookmarkStart w:id="159" w:name="_Toc11606"/>
      <w:bookmarkStart w:id="160" w:name="_Toc23271"/>
      <w:bookmarkStart w:id="161" w:name="_Toc18684"/>
      <w:bookmarkStart w:id="162" w:name="_Toc30376"/>
      <w:r>
        <w:rPr>
          <w:rFonts w:hint="eastAsia" w:ascii="宋体" w:hAnsi="宋体" w:cs="宋体"/>
          <w:b/>
          <w:sz w:val="24"/>
          <w:szCs w:val="24"/>
          <w:highlight w:val="none"/>
        </w:rPr>
        <w:t>7.1    公开展示</w:t>
      </w:r>
      <w:bookmarkEnd w:id="159"/>
      <w:bookmarkEnd w:id="160"/>
      <w:bookmarkEnd w:id="161"/>
      <w:bookmarkEnd w:id="162"/>
    </w:p>
    <w:p w14:paraId="75404BCE">
      <w:pPr>
        <w:shd w:val="clear"/>
        <w:spacing w:line="360" w:lineRule="auto"/>
        <w:rPr>
          <w:rFonts w:hint="eastAsia" w:ascii="宋体" w:hAnsi="宋体" w:cs="宋体"/>
          <w:sz w:val="24"/>
          <w:szCs w:val="24"/>
          <w:highlight w:val="none"/>
        </w:rPr>
      </w:pPr>
    </w:p>
    <w:p w14:paraId="10AEC344">
      <w:pPr>
        <w:shd w:val="clea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7.1.1  按招标文件规定获得补偿的投标文件，评标后不予退回。</w:t>
      </w:r>
    </w:p>
    <w:p w14:paraId="54211506">
      <w:pPr>
        <w:shd w:val="clea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7.1.2  招标人有权在评标结束后公开展示获得补偿费用的所有投标方案成果，并通过传播媒介、杂志、书刊或其它形式介绍、展示及评价该方案成果，所有展示、推介、广告均不再向投标人支付费用。</w:t>
      </w:r>
    </w:p>
    <w:p w14:paraId="1BC851BC">
      <w:pPr>
        <w:shd w:val="clear"/>
        <w:spacing w:line="360" w:lineRule="auto"/>
        <w:ind w:left="821" w:hanging="820" w:hangingChars="342"/>
        <w:jc w:val="left"/>
        <w:rPr>
          <w:rFonts w:hint="eastAsia" w:ascii="宋体" w:hAnsi="宋体" w:cs="宋体"/>
          <w:sz w:val="24"/>
          <w:szCs w:val="24"/>
          <w:highlight w:val="none"/>
        </w:rPr>
      </w:pPr>
    </w:p>
    <w:p w14:paraId="626B0B11">
      <w:pPr>
        <w:shd w:val="clear"/>
        <w:spacing w:line="360" w:lineRule="auto"/>
        <w:rPr>
          <w:rFonts w:hint="eastAsia" w:ascii="宋体" w:hAnsi="宋体" w:cs="宋体"/>
          <w:b/>
          <w:sz w:val="24"/>
          <w:szCs w:val="24"/>
          <w:highlight w:val="none"/>
        </w:rPr>
      </w:pPr>
      <w:bookmarkStart w:id="163" w:name="_Toc5915"/>
      <w:bookmarkStart w:id="164" w:name="_Toc10309"/>
      <w:bookmarkStart w:id="165" w:name="_Toc14400"/>
      <w:bookmarkStart w:id="166" w:name="_Toc13068"/>
      <w:r>
        <w:rPr>
          <w:rFonts w:hint="eastAsia" w:ascii="宋体" w:hAnsi="宋体" w:cs="宋体"/>
          <w:b/>
          <w:sz w:val="24"/>
          <w:szCs w:val="24"/>
          <w:highlight w:val="none"/>
        </w:rPr>
        <w:t>7.2    知识产权转移</w:t>
      </w:r>
      <w:bookmarkEnd w:id="163"/>
      <w:bookmarkEnd w:id="164"/>
      <w:bookmarkEnd w:id="165"/>
      <w:bookmarkEnd w:id="166"/>
    </w:p>
    <w:p w14:paraId="417270BF">
      <w:pPr>
        <w:shd w:val="clear"/>
        <w:spacing w:line="360" w:lineRule="auto"/>
        <w:ind w:left="821" w:hanging="820" w:hangingChars="342"/>
        <w:jc w:val="left"/>
        <w:rPr>
          <w:rFonts w:hint="eastAsia" w:ascii="宋体" w:hAnsi="宋体" w:cs="宋体"/>
          <w:sz w:val="24"/>
          <w:szCs w:val="24"/>
          <w:highlight w:val="none"/>
        </w:rPr>
      </w:pPr>
    </w:p>
    <w:p w14:paraId="09ECC249">
      <w:pPr>
        <w:shd w:val="clea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7.2.1  授予合同并支付定金后，中标方案的发表权、展览权、使用权归招标人和中标人共有。</w:t>
      </w:r>
    </w:p>
    <w:p w14:paraId="4BFE36B6">
      <w:pPr>
        <w:shd w:val="clea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7.2.2  授予合同并支付定金后，招标人有权在招标标的中使用中标方案中中标人享有合法权利的著作权、专利权，对于中标方案中涉及的他人所有的知识产权，中标人有义务获得许可，否则招标人有权解除合同并要求退还已支付的费用，招标人因此收到损害的，有权要求中标人予以赔偿，如果招标人、中标人使用未中标方案作为本项目实施方案，招标人按招标文件规定向提交方案的投标人付给使用费后，该方案的发表权、展览权、使用权归招标人和中标人共有。</w:t>
      </w:r>
    </w:p>
    <w:p w14:paraId="10C79DCE">
      <w:pPr>
        <w:shd w:val="clear"/>
        <w:spacing w:line="360" w:lineRule="auto"/>
        <w:ind w:left="821" w:hanging="820" w:hangingChars="342"/>
        <w:rPr>
          <w:rFonts w:hint="eastAsia" w:ascii="宋体" w:hAnsi="宋体" w:cs="宋体"/>
          <w:sz w:val="24"/>
          <w:szCs w:val="24"/>
          <w:highlight w:val="none"/>
        </w:rPr>
      </w:pPr>
    </w:p>
    <w:p w14:paraId="5B4702D6">
      <w:pPr>
        <w:shd w:val="clear"/>
        <w:spacing w:line="360" w:lineRule="auto"/>
        <w:rPr>
          <w:rFonts w:hint="eastAsia" w:ascii="宋体" w:hAnsi="宋体" w:cs="宋体"/>
          <w:b/>
          <w:sz w:val="24"/>
          <w:szCs w:val="24"/>
          <w:highlight w:val="none"/>
        </w:rPr>
      </w:pPr>
      <w:bookmarkStart w:id="167" w:name="_Toc1146"/>
      <w:bookmarkStart w:id="168" w:name="_Toc17398"/>
      <w:bookmarkStart w:id="169" w:name="_Toc20494"/>
      <w:bookmarkStart w:id="170" w:name="_Toc32320"/>
      <w:r>
        <w:rPr>
          <w:rFonts w:hint="eastAsia" w:ascii="宋体" w:hAnsi="宋体" w:cs="宋体"/>
          <w:b/>
          <w:sz w:val="24"/>
          <w:szCs w:val="24"/>
          <w:highlight w:val="none"/>
        </w:rPr>
        <w:t>7.3    其他</w:t>
      </w:r>
      <w:bookmarkEnd w:id="167"/>
      <w:bookmarkEnd w:id="168"/>
      <w:bookmarkEnd w:id="169"/>
      <w:bookmarkEnd w:id="170"/>
    </w:p>
    <w:p w14:paraId="752F76AC">
      <w:pPr>
        <w:shd w:val="clear"/>
        <w:spacing w:line="360" w:lineRule="auto"/>
        <w:ind w:left="821" w:hanging="820" w:hangingChars="342"/>
        <w:rPr>
          <w:rFonts w:hint="eastAsia" w:ascii="宋体" w:hAnsi="宋体" w:cs="宋体"/>
          <w:sz w:val="24"/>
          <w:szCs w:val="24"/>
          <w:highlight w:val="none"/>
        </w:rPr>
      </w:pPr>
    </w:p>
    <w:p w14:paraId="0BFC8251">
      <w:pPr>
        <w:shd w:val="clea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7.3.1  除特殊情况外，招标人有权在工程建设中根据需要对选定的实施方案进行调整和修改。招标人有权在实施方案中参考使用获得补偿费用的所有投标方案成果的部分内容，被使用部分的方案使用费按招标文件规定执行。</w:t>
      </w:r>
    </w:p>
    <w:p w14:paraId="283A3185">
      <w:pPr>
        <w:shd w:val="clea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7.3.2  投标人保证投标文件及资料均未侵犯他人的知识产权，否则必须承担全部责任。若投标人使用了他人的专利、专有技术，涉及的费用由投标人负责。</w:t>
      </w:r>
    </w:p>
    <w:p w14:paraId="58AAA825">
      <w:pPr>
        <w:shd w:val="clea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7.3.3  中标人未经招标人许可，不得将中标方案成果整体用于其他相同或类似项目的投标和设计（专利权除外）。</w:t>
      </w:r>
    </w:p>
    <w:p w14:paraId="2D05B5B3">
      <w:pPr>
        <w:shd w:val="clear"/>
        <w:spacing w:line="360" w:lineRule="auto"/>
        <w:ind w:left="840" w:hanging="840" w:hangingChars="350"/>
        <w:rPr>
          <w:rFonts w:hint="eastAsia" w:ascii="宋体" w:hAnsi="宋体" w:cs="宋体"/>
          <w:sz w:val="24"/>
          <w:szCs w:val="24"/>
          <w:highlight w:val="none"/>
        </w:rPr>
      </w:pPr>
      <w:r>
        <w:rPr>
          <w:rFonts w:hint="eastAsia" w:ascii="宋体" w:hAnsi="宋体" w:cs="宋体"/>
          <w:sz w:val="24"/>
          <w:szCs w:val="24"/>
          <w:highlight w:val="none"/>
        </w:rPr>
        <w:t>7.3.4  招标人有权无须事先征求中标人的同意而披露关于中标人的名称、地址、合同条款。</w:t>
      </w:r>
    </w:p>
    <w:p w14:paraId="52AB5881">
      <w:pPr>
        <w:shd w:val="clear"/>
        <w:spacing w:line="360" w:lineRule="auto"/>
        <w:rPr>
          <w:rFonts w:hint="eastAsia" w:ascii="宋体" w:hAnsi="宋体" w:cs="宋体"/>
          <w:sz w:val="24"/>
          <w:szCs w:val="24"/>
          <w:highlight w:val="none"/>
        </w:rPr>
      </w:pPr>
    </w:p>
    <w:p w14:paraId="4032D2C7">
      <w:pPr>
        <w:shd w:val="clear"/>
        <w:spacing w:line="360" w:lineRule="auto"/>
        <w:rPr>
          <w:rFonts w:hint="eastAsia" w:ascii="宋体" w:hAnsi="宋体" w:cs="宋体"/>
          <w:sz w:val="24"/>
          <w:szCs w:val="24"/>
          <w:highlight w:val="none"/>
        </w:rPr>
      </w:pPr>
    </w:p>
    <w:p w14:paraId="02B11196">
      <w:pPr>
        <w:shd w:val="clear"/>
        <w:rPr>
          <w:rFonts w:hint="eastAsia" w:ascii="宋体" w:hAnsi="宋体" w:cs="宋体"/>
          <w:szCs w:val="21"/>
          <w:highlight w:val="none"/>
        </w:rPr>
      </w:pPr>
    </w:p>
    <w:p w14:paraId="58620E1C">
      <w:pPr>
        <w:keepNext/>
        <w:keepLines/>
        <w:shd w:val="clear"/>
        <w:spacing w:line="360" w:lineRule="auto"/>
        <w:jc w:val="center"/>
        <w:outlineLvl w:val="0"/>
        <w:rPr>
          <w:rFonts w:hint="eastAsia" w:ascii="宋体" w:hAnsi="宋体" w:cs="宋体"/>
          <w:b/>
          <w:kern w:val="44"/>
          <w:sz w:val="36"/>
          <w:szCs w:val="36"/>
          <w:highlight w:val="none"/>
        </w:rPr>
      </w:pPr>
      <w:r>
        <w:rPr>
          <w:rFonts w:hint="eastAsia" w:ascii="宋体" w:hAnsi="宋体" w:cs="宋体"/>
          <w:szCs w:val="21"/>
          <w:highlight w:val="none"/>
        </w:rPr>
        <w:br w:type="page"/>
      </w:r>
      <w:bookmarkStart w:id="171" w:name="_Toc143817040"/>
      <w:bookmarkStart w:id="172" w:name="_Toc6618"/>
      <w:bookmarkStart w:id="173" w:name="_Toc15745"/>
      <w:bookmarkStart w:id="174" w:name="_Toc14718"/>
      <w:bookmarkStart w:id="175" w:name="_Toc29556"/>
      <w:bookmarkStart w:id="176" w:name="_Toc23945"/>
      <w:bookmarkStart w:id="177" w:name="_Toc6596"/>
      <w:bookmarkStart w:id="178" w:name="_Toc8783"/>
      <w:r>
        <w:rPr>
          <w:rFonts w:hint="eastAsia" w:ascii="宋体" w:hAnsi="宋体" w:cs="宋体"/>
          <w:b/>
          <w:kern w:val="44"/>
          <w:sz w:val="36"/>
          <w:szCs w:val="36"/>
          <w:highlight w:val="none"/>
        </w:rPr>
        <w:t>第八章</w:t>
      </w:r>
      <w:bookmarkEnd w:id="171"/>
      <w:r>
        <w:rPr>
          <w:rFonts w:hint="eastAsia" w:ascii="宋体" w:hAnsi="宋体" w:cs="宋体"/>
          <w:b/>
          <w:kern w:val="44"/>
          <w:sz w:val="36"/>
          <w:szCs w:val="36"/>
          <w:highlight w:val="none"/>
        </w:rPr>
        <w:t xml:space="preserve">  合同条款</w:t>
      </w:r>
      <w:bookmarkEnd w:id="172"/>
      <w:bookmarkEnd w:id="173"/>
      <w:bookmarkEnd w:id="174"/>
      <w:bookmarkEnd w:id="175"/>
      <w:bookmarkEnd w:id="176"/>
      <w:bookmarkEnd w:id="177"/>
      <w:bookmarkEnd w:id="178"/>
    </w:p>
    <w:p w14:paraId="5CA070C4">
      <w:pPr>
        <w:shd w:val="clear"/>
        <w:spacing w:line="360" w:lineRule="auto"/>
        <w:jc w:val="center"/>
        <w:rPr>
          <w:rFonts w:hint="eastAsia" w:ascii="宋体" w:hAnsi="宋体" w:cs="宋体"/>
          <w:highlight w:val="none"/>
        </w:rPr>
      </w:pPr>
      <w:r>
        <w:rPr>
          <w:rFonts w:hint="eastAsia" w:ascii="宋体" w:hAnsi="宋体" w:cs="宋体"/>
          <w:szCs w:val="21"/>
          <w:highlight w:val="none"/>
        </w:rPr>
        <w:t>（另册）</w:t>
      </w:r>
    </w:p>
    <w:p w14:paraId="4751A398">
      <w:pPr>
        <w:shd w:val="clear"/>
        <w:spacing w:line="360" w:lineRule="auto"/>
        <w:rPr>
          <w:rFonts w:hint="eastAsia" w:ascii="宋体" w:hAnsi="宋体" w:cs="宋体"/>
          <w:szCs w:val="21"/>
          <w:highlight w:val="none"/>
        </w:rPr>
        <w:sectPr>
          <w:footerReference r:id="rId3" w:type="default"/>
          <w:pgSz w:w="11906" w:h="16838"/>
          <w:pgMar w:top="1440" w:right="1466" w:bottom="1440" w:left="1440" w:header="851" w:footer="992" w:gutter="0"/>
          <w:pgNumType w:start="1"/>
          <w:cols w:space="720" w:num="1"/>
          <w:docGrid w:type="lines" w:linePitch="312" w:charSpace="0"/>
        </w:sectPr>
      </w:pPr>
    </w:p>
    <w:p w14:paraId="14C29DA6">
      <w:pPr>
        <w:keepNext/>
        <w:keepLines/>
        <w:shd w:val="clear"/>
        <w:spacing w:line="360" w:lineRule="auto"/>
        <w:outlineLvl w:val="1"/>
        <w:rPr>
          <w:rFonts w:hint="eastAsia" w:ascii="宋体" w:hAnsi="宋体" w:cs="宋体"/>
          <w:b/>
          <w:strike/>
          <w:kern w:val="44"/>
          <w:szCs w:val="21"/>
          <w:highlight w:val="none"/>
        </w:rPr>
      </w:pPr>
      <w:bookmarkStart w:id="179" w:name="_Toc9307"/>
      <w:bookmarkEnd w:id="179"/>
      <w:bookmarkStart w:id="180" w:name="_Toc11184"/>
      <w:bookmarkStart w:id="181" w:name="_Toc5000"/>
      <w:bookmarkStart w:id="182" w:name="_Toc31839"/>
      <w:bookmarkStart w:id="183" w:name="_Toc16027"/>
      <w:bookmarkStart w:id="184" w:name="_Toc27761"/>
      <w:bookmarkStart w:id="185" w:name="_Toc8971"/>
      <w:bookmarkStart w:id="186" w:name="_Toc13812"/>
      <w:r>
        <w:rPr>
          <w:rFonts w:hint="eastAsia" w:ascii="宋体" w:hAnsi="宋体" w:cs="宋体"/>
          <w:b/>
          <w:strike/>
          <w:kern w:val="44"/>
          <w:szCs w:val="21"/>
          <w:highlight w:val="none"/>
        </w:rPr>
        <w:t>附录1 投标申请表（投入人员承诺）</w:t>
      </w:r>
      <w:bookmarkEnd w:id="180"/>
      <w:bookmarkEnd w:id="181"/>
      <w:bookmarkEnd w:id="182"/>
      <w:bookmarkEnd w:id="183"/>
      <w:bookmarkEnd w:id="184"/>
      <w:bookmarkEnd w:id="185"/>
      <w:bookmarkEnd w:id="186"/>
    </w:p>
    <w:p w14:paraId="00A0A943">
      <w:pPr>
        <w:shd w:val="clear"/>
        <w:spacing w:line="360" w:lineRule="auto"/>
        <w:jc w:val="center"/>
        <w:rPr>
          <w:rFonts w:hint="eastAsia" w:ascii="宋体" w:hAnsi="宋体" w:cs="宋体"/>
          <w:b/>
          <w:strike/>
          <w:sz w:val="36"/>
          <w:szCs w:val="36"/>
          <w:highlight w:val="none"/>
        </w:rPr>
      </w:pPr>
      <w:r>
        <w:rPr>
          <w:rFonts w:hint="eastAsia" w:ascii="宋体" w:hAnsi="宋体" w:cs="宋体"/>
          <w:b/>
          <w:strike/>
          <w:sz w:val="36"/>
          <w:szCs w:val="36"/>
          <w:highlight w:val="none"/>
        </w:rPr>
        <w:t>投标申请表（投入人员承诺）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74"/>
        <w:gridCol w:w="2748"/>
        <w:gridCol w:w="3013"/>
        <w:gridCol w:w="1221"/>
        <w:gridCol w:w="5397"/>
      </w:tblGrid>
      <w:tr w14:paraId="5A82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2860F8C7">
            <w:pPr>
              <w:shd w:val="clear"/>
              <w:spacing w:line="360" w:lineRule="auto"/>
              <w:jc w:val="center"/>
              <w:rPr>
                <w:rFonts w:hint="eastAsia" w:ascii="宋体" w:hAnsi="宋体" w:cs="宋体"/>
                <w:strike/>
                <w:szCs w:val="21"/>
                <w:highlight w:val="none"/>
              </w:rPr>
            </w:pPr>
            <w:r>
              <w:rPr>
                <w:rFonts w:hint="eastAsia" w:ascii="宋体" w:hAnsi="宋体" w:cs="宋体"/>
                <w:strike/>
                <w:szCs w:val="21"/>
                <w:highlight w:val="none"/>
              </w:rPr>
              <w:t>序号</w:t>
            </w:r>
          </w:p>
        </w:tc>
        <w:tc>
          <w:tcPr>
            <w:tcW w:w="1074" w:type="dxa"/>
            <w:tcBorders>
              <w:top w:val="single" w:color="auto" w:sz="4" w:space="0"/>
              <w:left w:val="single" w:color="auto" w:sz="4" w:space="0"/>
              <w:bottom w:val="single" w:color="auto" w:sz="4" w:space="0"/>
              <w:right w:val="single" w:color="auto" w:sz="4" w:space="0"/>
            </w:tcBorders>
            <w:vAlign w:val="center"/>
          </w:tcPr>
          <w:p w14:paraId="10651109">
            <w:pPr>
              <w:shd w:val="clear"/>
              <w:spacing w:line="360" w:lineRule="auto"/>
              <w:jc w:val="center"/>
              <w:rPr>
                <w:rFonts w:hint="eastAsia" w:ascii="宋体" w:hAnsi="宋体" w:cs="宋体"/>
                <w:strike/>
                <w:szCs w:val="21"/>
                <w:highlight w:val="none"/>
              </w:rPr>
            </w:pPr>
            <w:r>
              <w:rPr>
                <w:rFonts w:hint="eastAsia" w:ascii="宋体" w:hAnsi="宋体" w:cs="宋体"/>
                <w:strike/>
                <w:szCs w:val="21"/>
                <w:highlight w:val="none"/>
              </w:rPr>
              <w:t>姓名</w:t>
            </w:r>
          </w:p>
        </w:tc>
        <w:tc>
          <w:tcPr>
            <w:tcW w:w="2748" w:type="dxa"/>
            <w:tcBorders>
              <w:top w:val="single" w:color="auto" w:sz="4" w:space="0"/>
              <w:left w:val="single" w:color="auto" w:sz="4" w:space="0"/>
              <w:bottom w:val="single" w:color="auto" w:sz="4" w:space="0"/>
              <w:right w:val="single" w:color="auto" w:sz="4" w:space="0"/>
            </w:tcBorders>
            <w:vAlign w:val="center"/>
          </w:tcPr>
          <w:p w14:paraId="04444139">
            <w:pPr>
              <w:shd w:val="clear"/>
              <w:spacing w:line="360" w:lineRule="auto"/>
              <w:jc w:val="center"/>
              <w:rPr>
                <w:rFonts w:hint="eastAsia" w:ascii="宋体" w:hAnsi="宋体" w:cs="宋体"/>
                <w:strike/>
                <w:szCs w:val="21"/>
                <w:highlight w:val="none"/>
              </w:rPr>
            </w:pPr>
            <w:r>
              <w:rPr>
                <w:rFonts w:hint="eastAsia" w:ascii="宋体" w:hAnsi="宋体" w:cs="宋体"/>
                <w:strike/>
                <w:szCs w:val="21"/>
                <w:highlight w:val="none"/>
              </w:rPr>
              <w:t>专业分工</w:t>
            </w:r>
          </w:p>
        </w:tc>
        <w:tc>
          <w:tcPr>
            <w:tcW w:w="3013" w:type="dxa"/>
            <w:tcBorders>
              <w:top w:val="single" w:color="auto" w:sz="4" w:space="0"/>
              <w:left w:val="single" w:color="auto" w:sz="4" w:space="0"/>
              <w:bottom w:val="single" w:color="auto" w:sz="4" w:space="0"/>
              <w:right w:val="single" w:color="auto" w:sz="4" w:space="0"/>
            </w:tcBorders>
            <w:vAlign w:val="center"/>
          </w:tcPr>
          <w:p w14:paraId="033BD6D1">
            <w:pPr>
              <w:shd w:val="clear"/>
              <w:spacing w:line="360" w:lineRule="auto"/>
              <w:jc w:val="center"/>
              <w:rPr>
                <w:rFonts w:hint="eastAsia" w:ascii="宋体" w:hAnsi="宋体" w:cs="宋体"/>
                <w:strike/>
                <w:szCs w:val="21"/>
                <w:highlight w:val="none"/>
              </w:rPr>
            </w:pPr>
            <w:r>
              <w:rPr>
                <w:rFonts w:hint="eastAsia" w:ascii="宋体" w:hAnsi="宋体" w:cs="宋体"/>
                <w:strike/>
                <w:szCs w:val="21"/>
                <w:highlight w:val="none"/>
              </w:rPr>
              <w:t>专业职称</w:t>
            </w:r>
          </w:p>
        </w:tc>
        <w:tc>
          <w:tcPr>
            <w:tcW w:w="1221" w:type="dxa"/>
            <w:tcBorders>
              <w:top w:val="single" w:color="auto" w:sz="4" w:space="0"/>
              <w:left w:val="single" w:color="auto" w:sz="4" w:space="0"/>
              <w:bottom w:val="single" w:color="auto" w:sz="4" w:space="0"/>
              <w:right w:val="single" w:color="auto" w:sz="4" w:space="0"/>
            </w:tcBorders>
            <w:vAlign w:val="center"/>
          </w:tcPr>
          <w:p w14:paraId="48249DEA">
            <w:pPr>
              <w:shd w:val="clear"/>
              <w:spacing w:line="360" w:lineRule="auto"/>
              <w:jc w:val="center"/>
              <w:rPr>
                <w:rFonts w:hint="eastAsia" w:ascii="宋体" w:hAnsi="宋体" w:cs="宋体"/>
                <w:strike/>
                <w:szCs w:val="21"/>
                <w:highlight w:val="none"/>
              </w:rPr>
            </w:pPr>
            <w:r>
              <w:rPr>
                <w:rFonts w:hint="eastAsia" w:ascii="宋体" w:hAnsi="宋体" w:cs="宋体"/>
                <w:strike/>
                <w:szCs w:val="21"/>
                <w:highlight w:val="none"/>
              </w:rPr>
              <w:t>工龄（年）</w:t>
            </w:r>
          </w:p>
        </w:tc>
        <w:tc>
          <w:tcPr>
            <w:tcW w:w="5397" w:type="dxa"/>
            <w:tcBorders>
              <w:top w:val="single" w:color="auto" w:sz="4" w:space="0"/>
              <w:left w:val="single" w:color="auto" w:sz="4" w:space="0"/>
              <w:bottom w:val="single" w:color="auto" w:sz="4" w:space="0"/>
              <w:right w:val="single" w:color="auto" w:sz="4" w:space="0"/>
            </w:tcBorders>
            <w:vAlign w:val="center"/>
          </w:tcPr>
          <w:p w14:paraId="76BDC0DE">
            <w:pPr>
              <w:shd w:val="clear"/>
              <w:spacing w:line="360" w:lineRule="auto"/>
              <w:jc w:val="center"/>
              <w:rPr>
                <w:rFonts w:hint="eastAsia" w:ascii="宋体" w:hAnsi="宋体" w:cs="宋体"/>
                <w:strike/>
                <w:szCs w:val="21"/>
                <w:highlight w:val="none"/>
              </w:rPr>
            </w:pPr>
            <w:r>
              <w:rPr>
                <w:rFonts w:hint="eastAsia" w:ascii="宋体" w:hAnsi="宋体" w:cs="宋体"/>
                <w:strike/>
                <w:szCs w:val="21"/>
                <w:highlight w:val="none"/>
              </w:rPr>
              <w:t>主要作品、业绩、著作名称</w:t>
            </w:r>
          </w:p>
        </w:tc>
      </w:tr>
      <w:tr w14:paraId="6C46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7718AC21">
            <w:pPr>
              <w:shd w:val="clea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3B4A8041">
            <w:pPr>
              <w:shd w:val="clea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79E5874C">
            <w:pPr>
              <w:shd w:val="clear"/>
              <w:snapToGrid w:val="0"/>
              <w:spacing w:before="156" w:beforeLines="50" w:after="156" w:afterLines="50"/>
              <w:jc w:val="center"/>
              <w:rPr>
                <w:rFonts w:hint="eastAsia" w:ascii="宋体" w:hAnsi="宋体" w:cs="宋体"/>
                <w:strike/>
                <w:szCs w:val="21"/>
                <w:highlight w:val="none"/>
              </w:rPr>
            </w:pPr>
            <w:r>
              <w:rPr>
                <w:rFonts w:hint="eastAsia" w:ascii="宋体" w:hAnsi="宋体" w:cs="宋体"/>
                <w:b/>
                <w:bCs/>
                <w:strike/>
                <w:sz w:val="24"/>
                <w:szCs w:val="24"/>
                <w:highlight w:val="none"/>
              </w:rPr>
              <w:t>勘察人员</w:t>
            </w:r>
          </w:p>
        </w:tc>
        <w:tc>
          <w:tcPr>
            <w:tcW w:w="3013" w:type="dxa"/>
            <w:tcBorders>
              <w:top w:val="single" w:color="auto" w:sz="4" w:space="0"/>
              <w:left w:val="single" w:color="auto" w:sz="4" w:space="0"/>
              <w:bottom w:val="single" w:color="auto" w:sz="4" w:space="0"/>
              <w:right w:val="single" w:color="auto" w:sz="4" w:space="0"/>
            </w:tcBorders>
            <w:vAlign w:val="center"/>
          </w:tcPr>
          <w:p w14:paraId="0E29884D">
            <w:pPr>
              <w:shd w:val="clear"/>
              <w:spacing w:line="360" w:lineRule="auto"/>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50EE67CD">
            <w:pPr>
              <w:shd w:val="clea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11EAEF47">
            <w:pPr>
              <w:shd w:val="clear"/>
              <w:spacing w:line="360" w:lineRule="auto"/>
              <w:jc w:val="center"/>
              <w:rPr>
                <w:rFonts w:hint="eastAsia" w:ascii="宋体" w:hAnsi="宋体" w:cs="宋体"/>
                <w:strike/>
                <w:szCs w:val="21"/>
                <w:highlight w:val="none"/>
              </w:rPr>
            </w:pPr>
          </w:p>
        </w:tc>
      </w:tr>
      <w:tr w14:paraId="1E1F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21F86323">
            <w:pPr>
              <w:shd w:val="clear"/>
              <w:spacing w:line="360" w:lineRule="auto"/>
              <w:jc w:val="center"/>
              <w:rPr>
                <w:rFonts w:hint="eastAsia" w:ascii="宋体" w:hAnsi="宋体" w:cs="宋体"/>
                <w:strike/>
                <w:sz w:val="32"/>
                <w:szCs w:val="32"/>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30D192FF">
            <w:pPr>
              <w:shd w:val="clear"/>
              <w:spacing w:line="360" w:lineRule="auto"/>
              <w:jc w:val="center"/>
              <w:rPr>
                <w:rFonts w:hint="eastAsia" w:ascii="宋体" w:hAnsi="宋体" w:cs="宋体"/>
                <w:strike/>
                <w:sz w:val="32"/>
                <w:szCs w:val="32"/>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3F3E6FE8">
            <w:pPr>
              <w:shd w:val="clear"/>
              <w:snapToGrid w:val="0"/>
              <w:spacing w:before="156" w:beforeLines="50" w:after="156" w:afterLines="50"/>
              <w:jc w:val="center"/>
              <w:rPr>
                <w:rFonts w:hint="eastAsia" w:ascii="宋体" w:hAnsi="宋体" w:cs="宋体"/>
                <w:strike/>
                <w:szCs w:val="21"/>
                <w:highlight w:val="none"/>
              </w:rPr>
            </w:pPr>
            <w:r>
              <w:rPr>
                <w:rFonts w:hint="eastAsia" w:ascii="宋体" w:hAnsi="宋体" w:cs="宋体"/>
                <w:strike/>
                <w:sz w:val="24"/>
                <w:szCs w:val="24"/>
                <w:highlight w:val="none"/>
              </w:rPr>
              <w:t>勘察专业负责人</w:t>
            </w:r>
          </w:p>
        </w:tc>
        <w:tc>
          <w:tcPr>
            <w:tcW w:w="3013" w:type="dxa"/>
            <w:tcBorders>
              <w:top w:val="single" w:color="auto" w:sz="4" w:space="0"/>
              <w:left w:val="single" w:color="auto" w:sz="4" w:space="0"/>
              <w:bottom w:val="single" w:color="auto" w:sz="4" w:space="0"/>
              <w:right w:val="single" w:color="auto" w:sz="4" w:space="0"/>
            </w:tcBorders>
            <w:vAlign w:val="center"/>
          </w:tcPr>
          <w:p w14:paraId="296325C9">
            <w:pPr>
              <w:shd w:val="clea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4C466513">
            <w:pPr>
              <w:shd w:val="clea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027B5095">
            <w:pPr>
              <w:shd w:val="clear"/>
              <w:spacing w:line="360" w:lineRule="auto"/>
              <w:jc w:val="center"/>
              <w:rPr>
                <w:rFonts w:hint="eastAsia" w:ascii="宋体" w:hAnsi="宋体" w:cs="宋体"/>
                <w:strike/>
                <w:szCs w:val="21"/>
                <w:highlight w:val="none"/>
              </w:rPr>
            </w:pPr>
          </w:p>
        </w:tc>
      </w:tr>
      <w:tr w14:paraId="32AD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3B8F17B8">
            <w:pPr>
              <w:shd w:val="clea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1273593C">
            <w:pPr>
              <w:shd w:val="clea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1BA44431">
            <w:pPr>
              <w:shd w:val="clear"/>
              <w:snapToGrid w:val="0"/>
              <w:spacing w:before="156" w:beforeLines="50" w:after="156" w:afterLines="50"/>
              <w:jc w:val="center"/>
              <w:rPr>
                <w:rFonts w:hint="eastAsia" w:ascii="宋体" w:hAnsi="宋体" w:cs="宋体"/>
                <w:strike/>
                <w:szCs w:val="21"/>
                <w:highlight w:val="none"/>
              </w:rPr>
            </w:pPr>
            <w:r>
              <w:rPr>
                <w:rFonts w:hint="eastAsia" w:ascii="宋体" w:hAnsi="宋体" w:cs="宋体"/>
                <w:b/>
                <w:bCs/>
                <w:strike/>
                <w:sz w:val="24"/>
                <w:szCs w:val="24"/>
                <w:highlight w:val="none"/>
              </w:rPr>
              <w:t>设计人员</w:t>
            </w:r>
          </w:p>
        </w:tc>
        <w:tc>
          <w:tcPr>
            <w:tcW w:w="3013" w:type="dxa"/>
            <w:tcBorders>
              <w:top w:val="single" w:color="auto" w:sz="4" w:space="0"/>
              <w:left w:val="single" w:color="auto" w:sz="4" w:space="0"/>
              <w:bottom w:val="single" w:color="auto" w:sz="4" w:space="0"/>
              <w:right w:val="single" w:color="auto" w:sz="4" w:space="0"/>
            </w:tcBorders>
            <w:vAlign w:val="center"/>
          </w:tcPr>
          <w:p w14:paraId="74A6F428">
            <w:pPr>
              <w:shd w:val="clea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6071A15E">
            <w:pPr>
              <w:shd w:val="clea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2130EF95">
            <w:pPr>
              <w:shd w:val="clear"/>
              <w:spacing w:line="360" w:lineRule="auto"/>
              <w:jc w:val="center"/>
              <w:rPr>
                <w:rFonts w:hint="eastAsia" w:ascii="宋体" w:hAnsi="宋体" w:cs="宋体"/>
                <w:strike/>
                <w:szCs w:val="21"/>
                <w:highlight w:val="none"/>
              </w:rPr>
            </w:pPr>
          </w:p>
        </w:tc>
      </w:tr>
      <w:tr w14:paraId="456E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68B8DA6D">
            <w:pPr>
              <w:shd w:val="clea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637D025D">
            <w:pPr>
              <w:shd w:val="clea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15D6AA2B">
            <w:pPr>
              <w:shd w:val="clear"/>
              <w:snapToGrid w:val="0"/>
              <w:spacing w:before="156" w:beforeLines="50" w:after="156" w:afterLines="50"/>
              <w:jc w:val="center"/>
              <w:rPr>
                <w:rFonts w:hint="eastAsia" w:ascii="宋体" w:hAnsi="宋体" w:cs="宋体"/>
                <w:strike/>
                <w:sz w:val="24"/>
                <w:szCs w:val="24"/>
                <w:highlight w:val="none"/>
              </w:rPr>
            </w:pPr>
            <w:r>
              <w:rPr>
                <w:rFonts w:hint="eastAsia" w:ascii="宋体" w:hAnsi="宋体" w:cs="宋体"/>
                <w:strike/>
                <w:sz w:val="24"/>
                <w:szCs w:val="24"/>
                <w:highlight w:val="none"/>
              </w:rPr>
              <w:t>设计负责人</w:t>
            </w:r>
          </w:p>
          <w:p w14:paraId="24A3267F">
            <w:pPr>
              <w:shd w:val="clear"/>
              <w:snapToGrid w:val="0"/>
              <w:spacing w:before="156" w:beforeLines="50" w:after="156" w:afterLines="50"/>
              <w:jc w:val="center"/>
              <w:rPr>
                <w:rFonts w:hint="eastAsia" w:ascii="宋体" w:hAnsi="宋体" w:cs="宋体"/>
                <w:strike/>
                <w:szCs w:val="21"/>
                <w:highlight w:val="none"/>
              </w:rPr>
            </w:pPr>
            <w:r>
              <w:rPr>
                <w:rFonts w:hint="eastAsia" w:ascii="宋体" w:hAnsi="宋体" w:cs="宋体"/>
                <w:strike/>
                <w:sz w:val="24"/>
                <w:szCs w:val="24"/>
                <w:highlight w:val="none"/>
              </w:rPr>
              <w:t>（项目负责人）</w:t>
            </w:r>
          </w:p>
        </w:tc>
        <w:tc>
          <w:tcPr>
            <w:tcW w:w="3013" w:type="dxa"/>
            <w:tcBorders>
              <w:top w:val="single" w:color="auto" w:sz="4" w:space="0"/>
              <w:left w:val="single" w:color="auto" w:sz="4" w:space="0"/>
              <w:bottom w:val="single" w:color="auto" w:sz="4" w:space="0"/>
              <w:right w:val="single" w:color="auto" w:sz="4" w:space="0"/>
            </w:tcBorders>
            <w:vAlign w:val="center"/>
          </w:tcPr>
          <w:p w14:paraId="22F3DFB1">
            <w:pPr>
              <w:shd w:val="clea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3A7A514F">
            <w:pPr>
              <w:shd w:val="clea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5D2FBFB3">
            <w:pPr>
              <w:shd w:val="clear"/>
              <w:spacing w:line="360" w:lineRule="auto"/>
              <w:jc w:val="center"/>
              <w:rPr>
                <w:rFonts w:hint="eastAsia" w:ascii="宋体" w:hAnsi="宋体" w:cs="宋体"/>
                <w:strike/>
                <w:szCs w:val="21"/>
                <w:highlight w:val="none"/>
              </w:rPr>
            </w:pPr>
          </w:p>
        </w:tc>
      </w:tr>
      <w:tr w14:paraId="38B5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69F19316">
            <w:pPr>
              <w:shd w:val="clea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37E7B00B">
            <w:pPr>
              <w:shd w:val="clea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1B31AFCA">
            <w:pPr>
              <w:shd w:val="clear"/>
              <w:snapToGrid w:val="0"/>
              <w:spacing w:before="156" w:beforeLines="50" w:after="156" w:afterLines="50"/>
              <w:jc w:val="center"/>
              <w:rPr>
                <w:rFonts w:hint="eastAsia" w:ascii="宋体" w:hAnsi="宋体" w:cs="宋体"/>
                <w:strike/>
                <w:sz w:val="24"/>
                <w:szCs w:val="24"/>
                <w:highlight w:val="none"/>
              </w:rPr>
            </w:pPr>
            <w:r>
              <w:rPr>
                <w:rFonts w:hint="eastAsia" w:ascii="宋体" w:hAnsi="宋体" w:cs="宋体"/>
                <w:strike/>
                <w:sz w:val="24"/>
                <w:szCs w:val="24"/>
                <w:highlight w:val="none"/>
              </w:rPr>
              <w:t>项目协调人</w:t>
            </w:r>
          </w:p>
        </w:tc>
        <w:tc>
          <w:tcPr>
            <w:tcW w:w="3013" w:type="dxa"/>
            <w:tcBorders>
              <w:top w:val="single" w:color="auto" w:sz="4" w:space="0"/>
              <w:left w:val="single" w:color="auto" w:sz="4" w:space="0"/>
              <w:bottom w:val="single" w:color="auto" w:sz="4" w:space="0"/>
              <w:right w:val="single" w:color="auto" w:sz="4" w:space="0"/>
            </w:tcBorders>
            <w:vAlign w:val="center"/>
          </w:tcPr>
          <w:p w14:paraId="7B167C99">
            <w:pPr>
              <w:shd w:val="clea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4060E518">
            <w:pPr>
              <w:shd w:val="clea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7F15BAB1">
            <w:pPr>
              <w:shd w:val="clear"/>
              <w:spacing w:line="360" w:lineRule="auto"/>
              <w:jc w:val="center"/>
              <w:rPr>
                <w:rFonts w:hint="eastAsia" w:ascii="宋体" w:hAnsi="宋体" w:cs="宋体"/>
                <w:strike/>
                <w:szCs w:val="21"/>
                <w:highlight w:val="none"/>
              </w:rPr>
            </w:pPr>
          </w:p>
        </w:tc>
      </w:tr>
      <w:tr w14:paraId="4FCD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29A529EE">
            <w:pPr>
              <w:shd w:val="clea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672A40A0">
            <w:pPr>
              <w:shd w:val="clea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71CC308D">
            <w:pPr>
              <w:shd w:val="clear"/>
              <w:snapToGrid w:val="0"/>
              <w:spacing w:before="156" w:beforeLines="50" w:after="156" w:afterLines="50"/>
              <w:jc w:val="center"/>
              <w:rPr>
                <w:rFonts w:hint="eastAsia" w:ascii="宋体" w:hAnsi="宋体" w:cs="宋体"/>
                <w:strike/>
                <w:szCs w:val="21"/>
                <w:highlight w:val="none"/>
              </w:rPr>
            </w:pPr>
            <w:r>
              <w:rPr>
                <w:rFonts w:hint="eastAsia" w:ascii="宋体" w:hAnsi="宋体" w:cs="宋体"/>
                <w:strike/>
                <w:sz w:val="24"/>
                <w:szCs w:val="24"/>
                <w:highlight w:val="none"/>
              </w:rPr>
              <w:t>建筑专业负责人</w:t>
            </w:r>
          </w:p>
        </w:tc>
        <w:tc>
          <w:tcPr>
            <w:tcW w:w="3013" w:type="dxa"/>
            <w:tcBorders>
              <w:top w:val="single" w:color="auto" w:sz="4" w:space="0"/>
              <w:left w:val="single" w:color="auto" w:sz="4" w:space="0"/>
              <w:bottom w:val="single" w:color="auto" w:sz="4" w:space="0"/>
              <w:right w:val="single" w:color="auto" w:sz="4" w:space="0"/>
            </w:tcBorders>
            <w:vAlign w:val="center"/>
          </w:tcPr>
          <w:p w14:paraId="100FF3F1">
            <w:pPr>
              <w:shd w:val="clea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47581855">
            <w:pPr>
              <w:shd w:val="clea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2B07A8FD">
            <w:pPr>
              <w:shd w:val="clear"/>
              <w:spacing w:line="360" w:lineRule="auto"/>
              <w:jc w:val="center"/>
              <w:rPr>
                <w:rFonts w:hint="eastAsia" w:ascii="宋体" w:hAnsi="宋体" w:cs="宋体"/>
                <w:strike/>
                <w:szCs w:val="21"/>
                <w:highlight w:val="none"/>
              </w:rPr>
            </w:pPr>
          </w:p>
        </w:tc>
      </w:tr>
      <w:tr w14:paraId="40DC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65D94242">
            <w:pPr>
              <w:shd w:val="clea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4F23C511">
            <w:pPr>
              <w:shd w:val="clea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693709AB">
            <w:pPr>
              <w:shd w:val="clear"/>
              <w:snapToGrid w:val="0"/>
              <w:spacing w:before="156" w:beforeLines="50" w:after="156" w:afterLines="50"/>
              <w:jc w:val="center"/>
              <w:rPr>
                <w:rFonts w:hint="eastAsia" w:ascii="宋体" w:hAnsi="宋体" w:cs="宋体"/>
                <w:strike/>
                <w:sz w:val="24"/>
                <w:szCs w:val="24"/>
                <w:highlight w:val="none"/>
              </w:rPr>
            </w:pPr>
            <w:r>
              <w:rPr>
                <w:rFonts w:hint="eastAsia" w:ascii="宋体" w:hAnsi="宋体" w:cs="宋体"/>
                <w:strike/>
                <w:sz w:val="24"/>
                <w:szCs w:val="24"/>
                <w:highlight w:val="none"/>
              </w:rPr>
              <w:t>建筑专业设计人</w:t>
            </w:r>
          </w:p>
        </w:tc>
        <w:tc>
          <w:tcPr>
            <w:tcW w:w="3013" w:type="dxa"/>
            <w:tcBorders>
              <w:top w:val="single" w:color="auto" w:sz="4" w:space="0"/>
              <w:left w:val="single" w:color="auto" w:sz="4" w:space="0"/>
              <w:bottom w:val="single" w:color="auto" w:sz="4" w:space="0"/>
              <w:right w:val="single" w:color="auto" w:sz="4" w:space="0"/>
            </w:tcBorders>
            <w:vAlign w:val="center"/>
          </w:tcPr>
          <w:p w14:paraId="5081034A">
            <w:pPr>
              <w:shd w:val="clea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6B109F39">
            <w:pPr>
              <w:shd w:val="clea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65D9AF2D">
            <w:pPr>
              <w:shd w:val="clear"/>
              <w:spacing w:line="360" w:lineRule="auto"/>
              <w:jc w:val="center"/>
              <w:rPr>
                <w:rFonts w:hint="eastAsia" w:ascii="宋体" w:hAnsi="宋体" w:cs="宋体"/>
                <w:strike/>
                <w:szCs w:val="21"/>
                <w:highlight w:val="none"/>
              </w:rPr>
            </w:pPr>
          </w:p>
        </w:tc>
      </w:tr>
      <w:tr w14:paraId="609C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4D951451">
            <w:pPr>
              <w:shd w:val="clea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450C29EF">
            <w:pPr>
              <w:shd w:val="clea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7FB52935">
            <w:pPr>
              <w:shd w:val="clear"/>
              <w:snapToGrid w:val="0"/>
              <w:spacing w:before="156" w:beforeLines="50" w:after="156" w:afterLines="50"/>
              <w:jc w:val="center"/>
              <w:rPr>
                <w:rFonts w:hint="eastAsia" w:ascii="宋体" w:hAnsi="宋体" w:cs="宋体"/>
                <w:strike/>
                <w:sz w:val="24"/>
                <w:szCs w:val="24"/>
                <w:highlight w:val="none"/>
              </w:rPr>
            </w:pPr>
            <w:r>
              <w:rPr>
                <w:rFonts w:hint="eastAsia" w:ascii="宋体" w:hAnsi="宋体" w:cs="宋体"/>
                <w:strike/>
                <w:sz w:val="24"/>
                <w:szCs w:val="24"/>
                <w:highlight w:val="none"/>
              </w:rPr>
              <w:t>结构专业负责人</w:t>
            </w:r>
          </w:p>
        </w:tc>
        <w:tc>
          <w:tcPr>
            <w:tcW w:w="3013" w:type="dxa"/>
            <w:tcBorders>
              <w:top w:val="single" w:color="auto" w:sz="4" w:space="0"/>
              <w:left w:val="single" w:color="auto" w:sz="4" w:space="0"/>
              <w:bottom w:val="single" w:color="auto" w:sz="4" w:space="0"/>
              <w:right w:val="single" w:color="auto" w:sz="4" w:space="0"/>
            </w:tcBorders>
            <w:vAlign w:val="center"/>
          </w:tcPr>
          <w:p w14:paraId="48835E9D">
            <w:pPr>
              <w:shd w:val="clea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62DA51D5">
            <w:pPr>
              <w:shd w:val="clea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53E1A5BF">
            <w:pPr>
              <w:shd w:val="clear"/>
              <w:spacing w:line="360" w:lineRule="auto"/>
              <w:jc w:val="center"/>
              <w:rPr>
                <w:rFonts w:hint="eastAsia" w:ascii="宋体" w:hAnsi="宋体" w:cs="宋体"/>
                <w:strike/>
                <w:szCs w:val="21"/>
                <w:highlight w:val="none"/>
              </w:rPr>
            </w:pPr>
          </w:p>
        </w:tc>
      </w:tr>
      <w:tr w14:paraId="0808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4D26C8F8">
            <w:pPr>
              <w:shd w:val="clea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62ED9A11">
            <w:pPr>
              <w:shd w:val="clea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310C9C1F">
            <w:pPr>
              <w:shd w:val="clear"/>
              <w:snapToGrid w:val="0"/>
              <w:spacing w:before="156" w:beforeLines="50" w:after="156" w:afterLines="50"/>
              <w:jc w:val="center"/>
              <w:rPr>
                <w:rFonts w:hint="eastAsia" w:ascii="宋体" w:hAnsi="宋体" w:cs="宋体"/>
                <w:strike/>
                <w:sz w:val="24"/>
                <w:szCs w:val="24"/>
                <w:highlight w:val="none"/>
              </w:rPr>
            </w:pPr>
            <w:r>
              <w:rPr>
                <w:rFonts w:hint="eastAsia" w:ascii="宋体" w:hAnsi="宋体" w:cs="宋体"/>
                <w:strike/>
                <w:sz w:val="24"/>
                <w:szCs w:val="24"/>
                <w:highlight w:val="none"/>
              </w:rPr>
              <w:t>结构专业设计人</w:t>
            </w:r>
          </w:p>
        </w:tc>
        <w:tc>
          <w:tcPr>
            <w:tcW w:w="3013" w:type="dxa"/>
            <w:tcBorders>
              <w:top w:val="single" w:color="auto" w:sz="4" w:space="0"/>
              <w:left w:val="single" w:color="auto" w:sz="4" w:space="0"/>
              <w:bottom w:val="single" w:color="auto" w:sz="4" w:space="0"/>
              <w:right w:val="single" w:color="auto" w:sz="4" w:space="0"/>
            </w:tcBorders>
            <w:vAlign w:val="center"/>
          </w:tcPr>
          <w:p w14:paraId="60523F2A">
            <w:pPr>
              <w:shd w:val="clea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0B08E855">
            <w:pPr>
              <w:shd w:val="clea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3A2C72AC">
            <w:pPr>
              <w:shd w:val="clear"/>
              <w:spacing w:line="360" w:lineRule="auto"/>
              <w:jc w:val="center"/>
              <w:rPr>
                <w:rFonts w:hint="eastAsia" w:ascii="宋体" w:hAnsi="宋体" w:cs="宋体"/>
                <w:strike/>
                <w:szCs w:val="21"/>
                <w:highlight w:val="none"/>
              </w:rPr>
            </w:pPr>
          </w:p>
        </w:tc>
      </w:tr>
      <w:tr w14:paraId="0EF2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2C14179F">
            <w:pPr>
              <w:shd w:val="clea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1F98B58A">
            <w:pPr>
              <w:shd w:val="clea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7BB677B2">
            <w:pPr>
              <w:shd w:val="clear"/>
              <w:snapToGrid w:val="0"/>
              <w:spacing w:before="156" w:beforeLines="50" w:after="156" w:afterLines="50"/>
              <w:jc w:val="center"/>
              <w:rPr>
                <w:rFonts w:hint="eastAsia" w:ascii="宋体" w:hAnsi="宋体" w:cs="宋体"/>
                <w:strike/>
                <w:sz w:val="24"/>
                <w:szCs w:val="24"/>
                <w:highlight w:val="none"/>
              </w:rPr>
            </w:pPr>
            <w:r>
              <w:rPr>
                <w:rFonts w:hint="eastAsia" w:ascii="宋体" w:hAnsi="宋体" w:cs="宋体"/>
                <w:strike/>
                <w:sz w:val="24"/>
                <w:szCs w:val="24"/>
                <w:highlight w:val="none"/>
              </w:rPr>
              <w:t>给排水专业负责人</w:t>
            </w:r>
          </w:p>
        </w:tc>
        <w:tc>
          <w:tcPr>
            <w:tcW w:w="3013" w:type="dxa"/>
            <w:tcBorders>
              <w:top w:val="single" w:color="auto" w:sz="4" w:space="0"/>
              <w:left w:val="single" w:color="auto" w:sz="4" w:space="0"/>
              <w:bottom w:val="single" w:color="auto" w:sz="4" w:space="0"/>
              <w:right w:val="single" w:color="auto" w:sz="4" w:space="0"/>
            </w:tcBorders>
            <w:vAlign w:val="center"/>
          </w:tcPr>
          <w:p w14:paraId="0642C4BC">
            <w:pPr>
              <w:shd w:val="clea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11CE4634">
            <w:pPr>
              <w:shd w:val="clea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659F72F7">
            <w:pPr>
              <w:shd w:val="clear"/>
              <w:spacing w:line="360" w:lineRule="auto"/>
              <w:jc w:val="center"/>
              <w:rPr>
                <w:rFonts w:hint="eastAsia" w:ascii="宋体" w:hAnsi="宋体" w:cs="宋体"/>
                <w:strike/>
                <w:szCs w:val="21"/>
                <w:highlight w:val="none"/>
              </w:rPr>
            </w:pPr>
          </w:p>
        </w:tc>
      </w:tr>
      <w:tr w14:paraId="68D8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51C4E96E">
            <w:pPr>
              <w:shd w:val="clea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469A5C30">
            <w:pPr>
              <w:shd w:val="clea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2DE7D3BA">
            <w:pPr>
              <w:shd w:val="clear"/>
              <w:snapToGrid w:val="0"/>
              <w:spacing w:before="156" w:beforeLines="50" w:after="156" w:afterLines="50"/>
              <w:jc w:val="center"/>
              <w:rPr>
                <w:rFonts w:hint="eastAsia" w:ascii="宋体" w:hAnsi="宋体" w:cs="宋体"/>
                <w:strike/>
                <w:sz w:val="24"/>
                <w:szCs w:val="24"/>
                <w:highlight w:val="none"/>
              </w:rPr>
            </w:pPr>
            <w:r>
              <w:rPr>
                <w:rFonts w:hint="eastAsia" w:ascii="宋体" w:hAnsi="宋体" w:cs="宋体"/>
                <w:strike/>
                <w:sz w:val="24"/>
                <w:szCs w:val="24"/>
                <w:highlight w:val="none"/>
              </w:rPr>
              <w:t>给排水专业设计人</w:t>
            </w:r>
          </w:p>
        </w:tc>
        <w:tc>
          <w:tcPr>
            <w:tcW w:w="3013" w:type="dxa"/>
            <w:tcBorders>
              <w:top w:val="single" w:color="auto" w:sz="4" w:space="0"/>
              <w:left w:val="single" w:color="auto" w:sz="4" w:space="0"/>
              <w:bottom w:val="single" w:color="auto" w:sz="4" w:space="0"/>
              <w:right w:val="single" w:color="auto" w:sz="4" w:space="0"/>
            </w:tcBorders>
            <w:vAlign w:val="center"/>
          </w:tcPr>
          <w:p w14:paraId="3E9C5FFD">
            <w:pPr>
              <w:shd w:val="clea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0B810C18">
            <w:pPr>
              <w:shd w:val="clea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30185614">
            <w:pPr>
              <w:shd w:val="clear"/>
              <w:spacing w:line="360" w:lineRule="auto"/>
              <w:jc w:val="center"/>
              <w:rPr>
                <w:rFonts w:hint="eastAsia" w:ascii="宋体" w:hAnsi="宋体" w:cs="宋体"/>
                <w:strike/>
                <w:szCs w:val="21"/>
                <w:highlight w:val="none"/>
              </w:rPr>
            </w:pPr>
          </w:p>
        </w:tc>
      </w:tr>
      <w:tr w14:paraId="60EB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55F148CD">
            <w:pPr>
              <w:shd w:val="clea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5E64705A">
            <w:pPr>
              <w:shd w:val="clea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4705C248">
            <w:pPr>
              <w:shd w:val="clear"/>
              <w:snapToGrid w:val="0"/>
              <w:spacing w:before="156" w:beforeLines="50" w:after="156" w:afterLines="50"/>
              <w:jc w:val="center"/>
              <w:rPr>
                <w:rFonts w:hint="eastAsia" w:ascii="宋体" w:hAnsi="宋体" w:cs="宋体"/>
                <w:strike/>
                <w:sz w:val="24"/>
                <w:szCs w:val="24"/>
                <w:highlight w:val="none"/>
              </w:rPr>
            </w:pPr>
            <w:r>
              <w:rPr>
                <w:rFonts w:hint="eastAsia" w:ascii="宋体" w:hAnsi="宋体" w:cs="宋体"/>
                <w:strike/>
                <w:sz w:val="24"/>
                <w:szCs w:val="24"/>
                <w:highlight w:val="none"/>
              </w:rPr>
              <w:t>电气专业负责人</w:t>
            </w:r>
          </w:p>
        </w:tc>
        <w:tc>
          <w:tcPr>
            <w:tcW w:w="3013" w:type="dxa"/>
            <w:tcBorders>
              <w:top w:val="single" w:color="auto" w:sz="4" w:space="0"/>
              <w:left w:val="single" w:color="auto" w:sz="4" w:space="0"/>
              <w:bottom w:val="single" w:color="auto" w:sz="4" w:space="0"/>
              <w:right w:val="single" w:color="auto" w:sz="4" w:space="0"/>
            </w:tcBorders>
            <w:vAlign w:val="center"/>
          </w:tcPr>
          <w:p w14:paraId="3D9DD9B1">
            <w:pPr>
              <w:shd w:val="clea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7D14A188">
            <w:pPr>
              <w:shd w:val="clea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1F607A1B">
            <w:pPr>
              <w:shd w:val="clear"/>
              <w:spacing w:line="360" w:lineRule="auto"/>
              <w:jc w:val="center"/>
              <w:rPr>
                <w:rFonts w:hint="eastAsia" w:ascii="宋体" w:hAnsi="宋体" w:cs="宋体"/>
                <w:strike/>
                <w:szCs w:val="21"/>
                <w:highlight w:val="none"/>
              </w:rPr>
            </w:pPr>
          </w:p>
        </w:tc>
      </w:tr>
      <w:tr w14:paraId="0985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225D7172">
            <w:pPr>
              <w:shd w:val="clea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37F97736">
            <w:pPr>
              <w:shd w:val="clea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220A1846">
            <w:pPr>
              <w:shd w:val="clear"/>
              <w:snapToGrid w:val="0"/>
              <w:spacing w:before="156" w:beforeLines="50" w:after="156" w:afterLines="50"/>
              <w:jc w:val="center"/>
              <w:rPr>
                <w:rFonts w:hint="eastAsia" w:ascii="宋体" w:hAnsi="宋体" w:cs="宋体"/>
                <w:strike/>
                <w:sz w:val="24"/>
                <w:szCs w:val="24"/>
                <w:highlight w:val="none"/>
              </w:rPr>
            </w:pPr>
            <w:r>
              <w:rPr>
                <w:rFonts w:hint="eastAsia" w:ascii="宋体" w:hAnsi="宋体" w:cs="宋体"/>
                <w:strike/>
                <w:sz w:val="24"/>
                <w:szCs w:val="24"/>
                <w:highlight w:val="none"/>
              </w:rPr>
              <w:t>电气专业设计人</w:t>
            </w:r>
          </w:p>
        </w:tc>
        <w:tc>
          <w:tcPr>
            <w:tcW w:w="3013" w:type="dxa"/>
            <w:tcBorders>
              <w:top w:val="single" w:color="auto" w:sz="4" w:space="0"/>
              <w:left w:val="single" w:color="auto" w:sz="4" w:space="0"/>
              <w:bottom w:val="single" w:color="auto" w:sz="4" w:space="0"/>
              <w:right w:val="single" w:color="auto" w:sz="4" w:space="0"/>
            </w:tcBorders>
            <w:vAlign w:val="center"/>
          </w:tcPr>
          <w:p w14:paraId="558D1115">
            <w:pPr>
              <w:shd w:val="clea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1037838A">
            <w:pPr>
              <w:shd w:val="clea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6196CEC1">
            <w:pPr>
              <w:shd w:val="clear"/>
              <w:spacing w:line="360" w:lineRule="auto"/>
              <w:jc w:val="center"/>
              <w:rPr>
                <w:rFonts w:hint="eastAsia" w:ascii="宋体" w:hAnsi="宋体" w:cs="宋体"/>
                <w:strike/>
                <w:szCs w:val="21"/>
                <w:highlight w:val="none"/>
              </w:rPr>
            </w:pPr>
          </w:p>
        </w:tc>
      </w:tr>
      <w:tr w14:paraId="142C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1F38B2D6">
            <w:pPr>
              <w:shd w:val="clea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027E4F2E">
            <w:pPr>
              <w:shd w:val="clea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3EE9D4D2">
            <w:pPr>
              <w:shd w:val="clear"/>
              <w:snapToGrid w:val="0"/>
              <w:spacing w:before="156" w:beforeLines="50" w:after="156" w:afterLines="50"/>
              <w:jc w:val="center"/>
              <w:rPr>
                <w:rFonts w:hint="eastAsia" w:ascii="宋体" w:hAnsi="宋体" w:cs="宋体"/>
                <w:strike/>
                <w:sz w:val="24"/>
                <w:szCs w:val="24"/>
                <w:highlight w:val="none"/>
              </w:rPr>
            </w:pPr>
            <w:r>
              <w:rPr>
                <w:rFonts w:hint="eastAsia" w:ascii="宋体" w:hAnsi="宋体" w:cs="宋体"/>
                <w:strike/>
                <w:sz w:val="24"/>
                <w:szCs w:val="24"/>
                <w:highlight w:val="none"/>
              </w:rPr>
              <w:t>暖通空调专业负责人</w:t>
            </w:r>
          </w:p>
        </w:tc>
        <w:tc>
          <w:tcPr>
            <w:tcW w:w="3013" w:type="dxa"/>
            <w:tcBorders>
              <w:top w:val="single" w:color="auto" w:sz="4" w:space="0"/>
              <w:left w:val="single" w:color="auto" w:sz="4" w:space="0"/>
              <w:bottom w:val="single" w:color="auto" w:sz="4" w:space="0"/>
              <w:right w:val="single" w:color="auto" w:sz="4" w:space="0"/>
            </w:tcBorders>
            <w:vAlign w:val="center"/>
          </w:tcPr>
          <w:p w14:paraId="65978740">
            <w:pPr>
              <w:shd w:val="clea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58B464D1">
            <w:pPr>
              <w:shd w:val="clea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248A672A">
            <w:pPr>
              <w:shd w:val="clear"/>
              <w:spacing w:line="360" w:lineRule="auto"/>
              <w:jc w:val="center"/>
              <w:rPr>
                <w:rFonts w:hint="eastAsia" w:ascii="宋体" w:hAnsi="宋体" w:cs="宋体"/>
                <w:strike/>
                <w:szCs w:val="21"/>
                <w:highlight w:val="none"/>
              </w:rPr>
            </w:pPr>
          </w:p>
        </w:tc>
      </w:tr>
      <w:tr w14:paraId="2ABF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456DC698">
            <w:pPr>
              <w:shd w:val="clea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72703774">
            <w:pPr>
              <w:shd w:val="clea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5FB8FD9E">
            <w:pPr>
              <w:shd w:val="clear"/>
              <w:snapToGrid w:val="0"/>
              <w:spacing w:before="156" w:beforeLines="50" w:after="156" w:afterLines="50"/>
              <w:jc w:val="center"/>
              <w:rPr>
                <w:rFonts w:hint="eastAsia" w:ascii="宋体" w:hAnsi="宋体" w:cs="宋体"/>
                <w:strike/>
                <w:sz w:val="24"/>
                <w:szCs w:val="24"/>
                <w:highlight w:val="none"/>
              </w:rPr>
            </w:pPr>
            <w:r>
              <w:rPr>
                <w:rFonts w:hint="eastAsia" w:ascii="宋体" w:hAnsi="宋体" w:cs="宋体"/>
                <w:strike/>
                <w:sz w:val="24"/>
                <w:szCs w:val="24"/>
                <w:highlight w:val="none"/>
              </w:rPr>
              <w:t>暖通空调专业设计人</w:t>
            </w:r>
          </w:p>
        </w:tc>
        <w:tc>
          <w:tcPr>
            <w:tcW w:w="3013" w:type="dxa"/>
            <w:tcBorders>
              <w:top w:val="single" w:color="auto" w:sz="4" w:space="0"/>
              <w:left w:val="single" w:color="auto" w:sz="4" w:space="0"/>
              <w:bottom w:val="single" w:color="auto" w:sz="4" w:space="0"/>
              <w:right w:val="single" w:color="auto" w:sz="4" w:space="0"/>
            </w:tcBorders>
            <w:vAlign w:val="center"/>
          </w:tcPr>
          <w:p w14:paraId="3D0D0F67">
            <w:pPr>
              <w:shd w:val="clea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5F7284DF">
            <w:pPr>
              <w:shd w:val="clea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28E94C27">
            <w:pPr>
              <w:shd w:val="clear"/>
              <w:spacing w:line="360" w:lineRule="auto"/>
              <w:jc w:val="center"/>
              <w:rPr>
                <w:rFonts w:hint="eastAsia" w:ascii="宋体" w:hAnsi="宋体" w:cs="宋体"/>
                <w:strike/>
                <w:szCs w:val="21"/>
                <w:highlight w:val="none"/>
              </w:rPr>
            </w:pPr>
          </w:p>
        </w:tc>
      </w:tr>
      <w:tr w14:paraId="615E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1460AE8A">
            <w:pPr>
              <w:shd w:val="clea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48F173F9">
            <w:pPr>
              <w:shd w:val="clea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60A9828F">
            <w:pPr>
              <w:shd w:val="clear"/>
              <w:snapToGrid w:val="0"/>
              <w:spacing w:before="156" w:beforeLines="50" w:after="156" w:afterLines="50"/>
              <w:jc w:val="center"/>
              <w:rPr>
                <w:rFonts w:hint="eastAsia" w:ascii="宋体" w:hAnsi="宋体" w:cs="宋体"/>
                <w:strike/>
                <w:sz w:val="24"/>
                <w:szCs w:val="24"/>
                <w:highlight w:val="none"/>
              </w:rPr>
            </w:pPr>
            <w:r>
              <w:rPr>
                <w:rFonts w:hint="eastAsia" w:ascii="宋体" w:hAnsi="宋体" w:cs="宋体"/>
                <w:strike/>
                <w:highlight w:val="none"/>
              </w:rPr>
              <w:t>...</w:t>
            </w:r>
          </w:p>
        </w:tc>
        <w:tc>
          <w:tcPr>
            <w:tcW w:w="3013" w:type="dxa"/>
            <w:tcBorders>
              <w:top w:val="single" w:color="auto" w:sz="4" w:space="0"/>
              <w:left w:val="single" w:color="auto" w:sz="4" w:space="0"/>
              <w:bottom w:val="single" w:color="auto" w:sz="4" w:space="0"/>
              <w:right w:val="single" w:color="auto" w:sz="4" w:space="0"/>
            </w:tcBorders>
            <w:vAlign w:val="center"/>
          </w:tcPr>
          <w:p w14:paraId="2CEB1C14">
            <w:pPr>
              <w:shd w:val="clea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58B109ED">
            <w:pPr>
              <w:shd w:val="clea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7DD25095">
            <w:pPr>
              <w:shd w:val="clear"/>
              <w:spacing w:line="360" w:lineRule="auto"/>
              <w:jc w:val="center"/>
              <w:rPr>
                <w:rFonts w:hint="eastAsia" w:ascii="宋体" w:hAnsi="宋体" w:cs="宋体"/>
                <w:strike/>
                <w:szCs w:val="21"/>
                <w:highlight w:val="none"/>
              </w:rPr>
            </w:pPr>
          </w:p>
        </w:tc>
      </w:tr>
    </w:tbl>
    <w:p w14:paraId="3DE2440F">
      <w:pPr>
        <w:shd w:val="clear"/>
        <w:spacing w:line="360" w:lineRule="auto"/>
        <w:jc w:val="left"/>
        <w:rPr>
          <w:rFonts w:hint="eastAsia" w:ascii="宋体" w:hAnsi="宋体" w:cs="宋体"/>
          <w:strike/>
          <w:highlight w:val="none"/>
        </w:rPr>
      </w:pPr>
      <w:r>
        <w:rPr>
          <w:rFonts w:hint="eastAsia" w:ascii="宋体" w:hAnsi="宋体" w:cs="宋体"/>
          <w:strike/>
          <w:sz w:val="24"/>
          <w:szCs w:val="24"/>
          <w:highlight w:val="none"/>
        </w:rPr>
        <w:t>注：以上投入人员不得兼任。资格审查只审核项目负责人资格，其他投入人员由投标人自行提供。</w:t>
      </w:r>
    </w:p>
    <w:p w14:paraId="305F8E2F">
      <w:pPr>
        <w:shd w:val="clear"/>
        <w:rPr>
          <w:rFonts w:hint="eastAsia" w:ascii="宋体" w:hAnsi="宋体" w:cs="宋体"/>
          <w:strike/>
          <w:szCs w:val="21"/>
          <w:highlight w:val="none"/>
        </w:rPr>
        <w:sectPr>
          <w:pgSz w:w="16838" w:h="11906" w:orient="landscape"/>
          <w:pgMar w:top="1440" w:right="1440" w:bottom="1466" w:left="1440" w:header="851" w:footer="992" w:gutter="0"/>
          <w:cols w:space="720" w:num="1"/>
          <w:docGrid w:type="lines" w:linePitch="312" w:charSpace="0"/>
        </w:sectPr>
      </w:pPr>
    </w:p>
    <w:p w14:paraId="1E2EB396">
      <w:pPr>
        <w:pStyle w:val="3"/>
        <w:shd w:val="clear"/>
        <w:rPr>
          <w:rFonts w:hint="eastAsia" w:ascii="宋体" w:hAnsi="宋体" w:cs="宋体"/>
          <w:highlight w:val="none"/>
        </w:rPr>
      </w:pPr>
      <w:bookmarkStart w:id="187" w:name="_Toc16501"/>
      <w:bookmarkStart w:id="188" w:name="_Toc17243"/>
      <w:bookmarkStart w:id="189" w:name="_Toc18675"/>
      <w:bookmarkStart w:id="190" w:name="_Toc13024"/>
      <w:bookmarkStart w:id="191" w:name="_Toc25101"/>
      <w:bookmarkStart w:id="192" w:name="_Toc23459"/>
      <w:bookmarkStart w:id="193" w:name="_Toc271"/>
      <w:r>
        <w:rPr>
          <w:rFonts w:hint="eastAsia" w:ascii="宋体" w:hAnsi="宋体" w:cs="宋体"/>
          <w:sz w:val="21"/>
          <w:szCs w:val="21"/>
          <w:highlight w:val="none"/>
        </w:rPr>
        <w:t>附件2 设计投标文件编制要求</w:t>
      </w:r>
      <w:bookmarkEnd w:id="187"/>
      <w:bookmarkEnd w:id="188"/>
      <w:bookmarkEnd w:id="189"/>
      <w:bookmarkEnd w:id="190"/>
      <w:bookmarkEnd w:id="191"/>
      <w:bookmarkEnd w:id="192"/>
      <w:bookmarkEnd w:id="193"/>
    </w:p>
    <w:p w14:paraId="05FE24A6">
      <w:pPr>
        <w:shd w:val="clear"/>
        <w:jc w:val="center"/>
        <w:rPr>
          <w:rFonts w:hint="eastAsia" w:ascii="宋体" w:hAnsi="宋体" w:cs="宋体"/>
          <w:b/>
          <w:sz w:val="32"/>
          <w:szCs w:val="32"/>
          <w:highlight w:val="none"/>
        </w:rPr>
      </w:pPr>
      <w:r>
        <w:rPr>
          <w:rFonts w:hint="eastAsia" w:ascii="宋体" w:hAnsi="宋体" w:cs="宋体"/>
          <w:b/>
          <w:sz w:val="32"/>
          <w:szCs w:val="32"/>
          <w:highlight w:val="none"/>
        </w:rPr>
        <w:t>设计投标文件编制要求</w:t>
      </w:r>
    </w:p>
    <w:p w14:paraId="70839DE1">
      <w:pPr>
        <w:shd w:val="clea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（适用于勘察初步设计投标）</w:t>
      </w:r>
    </w:p>
    <w:p w14:paraId="44003B98">
      <w:pPr>
        <w:shd w:val="clear"/>
        <w:spacing w:line="360" w:lineRule="auto"/>
        <w:rPr>
          <w:rFonts w:hint="eastAsia" w:ascii="宋体" w:hAnsi="宋体" w:cs="宋体"/>
          <w:sz w:val="24"/>
          <w:szCs w:val="24"/>
          <w:highlight w:val="none"/>
        </w:rPr>
      </w:pPr>
      <w:bookmarkStart w:id="194" w:name="_Toc17609"/>
      <w:bookmarkStart w:id="195" w:name="_Toc21994"/>
      <w:bookmarkStart w:id="196" w:name="_Toc22863"/>
      <w:r>
        <w:rPr>
          <w:rFonts w:hint="eastAsia" w:ascii="宋体" w:hAnsi="宋体" w:cs="宋体"/>
          <w:b/>
          <w:sz w:val="24"/>
          <w:szCs w:val="24"/>
          <w:highlight w:val="none"/>
        </w:rPr>
        <w:t>1   投标文件</w:t>
      </w:r>
      <w:bookmarkEnd w:id="194"/>
      <w:bookmarkEnd w:id="195"/>
      <w:bookmarkEnd w:id="196"/>
    </w:p>
    <w:p w14:paraId="40E0071F">
      <w:pPr>
        <w:shd w:val="clear"/>
        <w:spacing w:line="360" w:lineRule="auto"/>
        <w:jc w:val="left"/>
        <w:rPr>
          <w:rFonts w:hint="eastAsia" w:ascii="宋体" w:hAnsi="宋体" w:cs="宋体"/>
          <w:sz w:val="24"/>
          <w:szCs w:val="24"/>
          <w:highlight w:val="none"/>
        </w:rPr>
      </w:pPr>
    </w:p>
    <w:p w14:paraId="1717B402">
      <w:pPr>
        <w:shd w:val="clea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1.1    投标文件由下列资料组成。</w:t>
      </w:r>
    </w:p>
    <w:p w14:paraId="38AD122F">
      <w:pPr>
        <w:shd w:val="clear"/>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(a) 开标信封。</w:t>
      </w:r>
    </w:p>
    <w:p w14:paraId="79DEE0B1">
      <w:pPr>
        <w:shd w:val="clear"/>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 xml:space="preserve">(b) </w:t>
      </w:r>
      <w:r>
        <w:rPr>
          <w:rFonts w:hint="eastAsia" w:ascii="宋体" w:hAnsi="宋体" w:cs="宋体"/>
          <w:sz w:val="24"/>
          <w:szCs w:val="24"/>
          <w:highlight w:val="none"/>
          <w:u w:val="single"/>
        </w:rPr>
        <w:t>勘察初步设计</w:t>
      </w:r>
      <w:r>
        <w:rPr>
          <w:rFonts w:hint="eastAsia" w:ascii="宋体" w:hAnsi="宋体" w:cs="宋体"/>
          <w:sz w:val="24"/>
          <w:szCs w:val="24"/>
          <w:highlight w:val="none"/>
          <w:lang w:val="en-US" w:eastAsia="zh-CN"/>
        </w:rPr>
        <w:t>文件（含定标文件）</w:t>
      </w:r>
      <w:r>
        <w:rPr>
          <w:rFonts w:hint="eastAsia" w:ascii="宋体" w:hAnsi="宋体" w:cs="宋体"/>
          <w:sz w:val="24"/>
          <w:szCs w:val="24"/>
          <w:highlight w:val="none"/>
        </w:rPr>
        <w:t>。</w:t>
      </w:r>
    </w:p>
    <w:p w14:paraId="5C83D762">
      <w:pPr>
        <w:shd w:val="clear"/>
        <w:spacing w:line="360" w:lineRule="auto"/>
        <w:ind w:firstLine="960" w:firstLineChars="4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①勘察初步设计方案</w:t>
      </w:r>
    </w:p>
    <w:p w14:paraId="3CFE08F1">
      <w:pPr>
        <w:shd w:val="clear"/>
        <w:spacing w:line="360" w:lineRule="auto"/>
        <w:ind w:firstLine="960" w:firstLineChars="400"/>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②定标文件</w:t>
      </w:r>
    </w:p>
    <w:p w14:paraId="65D623D7">
      <w:pPr>
        <w:shd w:val="clear"/>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(c) 资格</w:t>
      </w:r>
      <w:r>
        <w:rPr>
          <w:rFonts w:hint="eastAsia" w:ascii="宋体" w:hAnsi="宋体" w:cs="宋体"/>
          <w:sz w:val="24"/>
          <w:szCs w:val="24"/>
          <w:highlight w:val="none"/>
          <w:u w:val="single"/>
        </w:rPr>
        <w:t>审查</w:t>
      </w:r>
      <w:r>
        <w:rPr>
          <w:rFonts w:hint="eastAsia" w:ascii="宋体" w:hAnsi="宋体" w:cs="宋体"/>
          <w:sz w:val="24"/>
          <w:szCs w:val="24"/>
          <w:highlight w:val="none"/>
        </w:rPr>
        <w:t>文件（如果招标人要求提供）。</w:t>
      </w:r>
    </w:p>
    <w:p w14:paraId="64D298DA">
      <w:pPr>
        <w:shd w:val="clear"/>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 xml:space="preserve">(d) </w:t>
      </w:r>
      <w:r>
        <w:rPr>
          <w:rFonts w:hint="eastAsia" w:ascii="宋体" w:hAnsi="宋体" w:cs="宋体"/>
          <w:sz w:val="24"/>
          <w:szCs w:val="24"/>
          <w:highlight w:val="none"/>
          <w:u w:val="single"/>
        </w:rPr>
        <w:t>报价文件</w:t>
      </w:r>
      <w:r>
        <w:rPr>
          <w:rFonts w:hint="eastAsia" w:ascii="宋体" w:hAnsi="宋体" w:cs="宋体"/>
          <w:sz w:val="24"/>
          <w:szCs w:val="24"/>
          <w:highlight w:val="none"/>
        </w:rPr>
        <w:t>。</w:t>
      </w:r>
    </w:p>
    <w:p w14:paraId="02E9311C">
      <w:pPr>
        <w:shd w:val="clear"/>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(e) 商务文件。</w:t>
      </w:r>
    </w:p>
    <w:p w14:paraId="2B164C24">
      <w:pPr>
        <w:shd w:val="clear"/>
        <w:spacing w:line="360" w:lineRule="auto"/>
        <w:jc w:val="left"/>
        <w:rPr>
          <w:rFonts w:hint="eastAsia" w:ascii="宋体" w:hAnsi="宋体" w:cs="宋体"/>
          <w:sz w:val="24"/>
          <w:szCs w:val="24"/>
          <w:highlight w:val="none"/>
        </w:rPr>
      </w:pPr>
    </w:p>
    <w:p w14:paraId="21542171">
      <w:pPr>
        <w:shd w:val="clear"/>
        <w:spacing w:line="360" w:lineRule="auto"/>
        <w:jc w:val="left"/>
        <w:rPr>
          <w:rFonts w:hint="eastAsia" w:ascii="宋体" w:hAnsi="宋体" w:cs="宋体"/>
          <w:sz w:val="24"/>
          <w:szCs w:val="24"/>
          <w:highlight w:val="none"/>
        </w:rPr>
      </w:pPr>
    </w:p>
    <w:p w14:paraId="04581FDF">
      <w:pPr>
        <w:shd w:val="clear"/>
        <w:spacing w:line="360" w:lineRule="auto"/>
        <w:rPr>
          <w:rFonts w:hint="eastAsia" w:ascii="宋体" w:hAnsi="宋体" w:cs="宋体"/>
          <w:sz w:val="24"/>
          <w:szCs w:val="24"/>
          <w:highlight w:val="none"/>
        </w:rPr>
      </w:pPr>
      <w:bookmarkStart w:id="197" w:name="_Toc22794"/>
      <w:bookmarkStart w:id="198" w:name="_Toc13752"/>
      <w:bookmarkStart w:id="199" w:name="_Toc20464"/>
      <w:r>
        <w:rPr>
          <w:rFonts w:hint="eastAsia" w:ascii="宋体" w:hAnsi="宋体" w:cs="宋体"/>
          <w:b/>
          <w:sz w:val="24"/>
          <w:szCs w:val="24"/>
          <w:highlight w:val="none"/>
        </w:rPr>
        <w:t>2    保密要求</w:t>
      </w:r>
      <w:bookmarkEnd w:id="197"/>
      <w:bookmarkEnd w:id="198"/>
      <w:bookmarkEnd w:id="199"/>
    </w:p>
    <w:p w14:paraId="618585AC">
      <w:pPr>
        <w:shd w:val="clear"/>
        <w:spacing w:line="360" w:lineRule="auto"/>
        <w:rPr>
          <w:rFonts w:hint="eastAsia" w:ascii="宋体" w:hAnsi="宋体" w:cs="宋体"/>
          <w:sz w:val="24"/>
          <w:szCs w:val="24"/>
          <w:highlight w:val="none"/>
        </w:rPr>
      </w:pPr>
    </w:p>
    <w:p w14:paraId="5E0E4D02">
      <w:pPr>
        <w:shd w:val="clear"/>
        <w:spacing w:line="360" w:lineRule="auto"/>
        <w:ind w:left="570" w:leftChars="-5" w:hanging="580" w:hangingChars="242"/>
        <w:jc w:val="left"/>
        <w:rPr>
          <w:rFonts w:hint="eastAsia" w:ascii="宋体" w:hAnsi="宋体" w:cs="宋体"/>
          <w:sz w:val="24"/>
          <w:szCs w:val="24"/>
          <w:highlight w:val="none"/>
        </w:rPr>
      </w:pPr>
      <w:r>
        <w:rPr>
          <w:rFonts w:hint="eastAsia" w:ascii="宋体" w:hAnsi="宋体" w:cs="宋体"/>
          <w:sz w:val="24"/>
          <w:szCs w:val="24"/>
          <w:highlight w:val="none"/>
        </w:rPr>
        <w:t>2.1   投标文件必须隐匿投标人及专业技术人员的名称，除了《投标书》（格式见附录6）、</w:t>
      </w:r>
      <w:r>
        <w:rPr>
          <w:rFonts w:hint="eastAsia" w:ascii="宋体" w:hAnsi="宋体" w:cs="宋体"/>
          <w:sz w:val="24"/>
          <w:szCs w:val="24"/>
          <w:highlight w:val="none"/>
          <w:u w:val="single"/>
        </w:rPr>
        <w:t>《联合体共同投标协议》</w:t>
      </w:r>
      <w:r>
        <w:rPr>
          <w:rFonts w:hint="eastAsia" w:ascii="宋体" w:hAnsi="宋体" w:cs="宋体"/>
          <w:sz w:val="24"/>
          <w:szCs w:val="24"/>
          <w:highlight w:val="none"/>
        </w:rPr>
        <w:t>（格式见附录7）、《投标人声明》（格式见附录8）和资格审查文件、</w:t>
      </w:r>
      <w:r>
        <w:rPr>
          <w:rFonts w:hint="eastAsia" w:ascii="宋体" w:hAnsi="宋体" w:cs="宋体"/>
          <w:sz w:val="24"/>
          <w:highlight w:val="none"/>
        </w:rPr>
        <w:t>报价文件、商务文件</w:t>
      </w:r>
      <w:r>
        <w:rPr>
          <w:rFonts w:hint="eastAsia" w:ascii="宋体" w:hAnsi="宋体" w:cs="宋体"/>
          <w:sz w:val="24"/>
          <w:szCs w:val="24"/>
          <w:highlight w:val="none"/>
        </w:rPr>
        <w:t>外，投标人不得在</w:t>
      </w:r>
      <w:r>
        <w:rPr>
          <w:rFonts w:hint="eastAsia" w:ascii="宋体" w:hAnsi="宋体" w:cs="宋体"/>
          <w:sz w:val="24"/>
          <w:szCs w:val="24"/>
          <w:highlight w:val="none"/>
          <w:u w:val="single"/>
        </w:rPr>
        <w:t>勘察初步</w:t>
      </w:r>
      <w:r>
        <w:rPr>
          <w:rFonts w:hint="eastAsia" w:ascii="宋体" w:hAnsi="宋体" w:cs="宋体"/>
          <w:sz w:val="24"/>
          <w:szCs w:val="24"/>
          <w:highlight w:val="none"/>
        </w:rPr>
        <w:t>设计方案</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含定标文件</w:t>
      </w:r>
      <w:r>
        <w:rPr>
          <w:rFonts w:hint="eastAsia" w:ascii="宋体" w:hAnsi="宋体" w:cs="宋体"/>
          <w:sz w:val="24"/>
          <w:szCs w:val="24"/>
          <w:highlight w:val="none"/>
          <w:lang w:eastAsia="zh-CN"/>
        </w:rPr>
        <w:t>）</w:t>
      </w:r>
      <w:r>
        <w:rPr>
          <w:rFonts w:hint="eastAsia" w:ascii="宋体" w:hAnsi="宋体" w:cs="宋体"/>
          <w:sz w:val="24"/>
          <w:szCs w:val="24"/>
          <w:highlight w:val="none"/>
        </w:rPr>
        <w:t>上标注或做任何可以辨认投标人及专业技术人员身份的名称、印章、商标、图形等。</w:t>
      </w:r>
    </w:p>
    <w:p w14:paraId="57111ACB">
      <w:pPr>
        <w:shd w:val="clear"/>
        <w:spacing w:line="360" w:lineRule="auto"/>
        <w:ind w:left="410" w:hanging="410" w:hangingChars="171"/>
        <w:rPr>
          <w:rFonts w:hint="eastAsia" w:ascii="宋体" w:hAnsi="宋体" w:cs="宋体"/>
          <w:sz w:val="24"/>
          <w:szCs w:val="24"/>
          <w:highlight w:val="none"/>
        </w:rPr>
      </w:pPr>
    </w:p>
    <w:p w14:paraId="015AF4E7">
      <w:pPr>
        <w:shd w:val="clear"/>
        <w:spacing w:line="360" w:lineRule="auto"/>
        <w:jc w:val="left"/>
        <w:rPr>
          <w:rFonts w:hint="eastAsia" w:ascii="宋体" w:hAnsi="宋体" w:cs="宋体"/>
          <w:b/>
          <w:sz w:val="24"/>
          <w:szCs w:val="24"/>
          <w:highlight w:val="none"/>
        </w:rPr>
      </w:pPr>
      <w:bookmarkStart w:id="200" w:name="_Toc21746"/>
      <w:bookmarkStart w:id="201" w:name="_Toc7666"/>
      <w:bookmarkStart w:id="202" w:name="_Toc31970"/>
      <w:r>
        <w:rPr>
          <w:rFonts w:hint="eastAsia" w:ascii="宋体" w:hAnsi="宋体" w:cs="宋体"/>
          <w:b/>
          <w:strike/>
          <w:sz w:val="24"/>
          <w:szCs w:val="24"/>
          <w:highlight w:val="none"/>
        </w:rPr>
        <w:t>3</w:t>
      </w:r>
      <w:r>
        <w:rPr>
          <w:rFonts w:hint="eastAsia" w:ascii="宋体" w:hAnsi="宋体" w:cs="宋体"/>
          <w:b/>
          <w:sz w:val="24"/>
          <w:szCs w:val="24"/>
          <w:highlight w:val="none"/>
        </w:rPr>
        <w:t xml:space="preserve">      开标信封</w:t>
      </w:r>
      <w:bookmarkEnd w:id="200"/>
      <w:bookmarkEnd w:id="201"/>
      <w:bookmarkEnd w:id="202"/>
    </w:p>
    <w:p w14:paraId="0B5F1B85">
      <w:pPr>
        <w:shd w:val="clear"/>
        <w:spacing w:line="360" w:lineRule="auto"/>
        <w:rPr>
          <w:rFonts w:hint="eastAsia" w:ascii="宋体" w:hAnsi="宋体" w:cs="宋体"/>
          <w:sz w:val="24"/>
          <w:szCs w:val="24"/>
          <w:highlight w:val="none"/>
        </w:rPr>
      </w:pPr>
    </w:p>
    <w:p w14:paraId="085F2AD1">
      <w:pPr>
        <w:shd w:val="clea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3.1    开标信封内附填妥并签字盖章的《投标书》（格式见附录6），联合体同时附填妥并签字盖章的</w:t>
      </w:r>
      <w:r>
        <w:rPr>
          <w:rFonts w:hint="eastAsia" w:ascii="宋体" w:hAnsi="宋体" w:cs="宋体"/>
          <w:sz w:val="24"/>
          <w:szCs w:val="24"/>
          <w:highlight w:val="none"/>
          <w:u w:val="single"/>
        </w:rPr>
        <w:t>《联合体共同投标协议》</w:t>
      </w:r>
      <w:r>
        <w:rPr>
          <w:rFonts w:hint="eastAsia" w:ascii="宋体" w:hAnsi="宋体" w:cs="宋体"/>
          <w:sz w:val="24"/>
          <w:szCs w:val="24"/>
          <w:highlight w:val="none"/>
        </w:rPr>
        <w:t>（格式见附录7）。未设资格审查环节的项目，还应提供填妥并盖章的《投标人声明》（格式见附录8）。</w:t>
      </w:r>
    </w:p>
    <w:p w14:paraId="269AE84F">
      <w:pPr>
        <w:shd w:val="clear"/>
        <w:spacing w:line="360" w:lineRule="auto"/>
        <w:rPr>
          <w:rFonts w:hint="eastAsia" w:ascii="宋体" w:hAnsi="宋体" w:cs="宋体"/>
          <w:sz w:val="24"/>
          <w:szCs w:val="24"/>
          <w:highlight w:val="none"/>
        </w:rPr>
      </w:pPr>
    </w:p>
    <w:p w14:paraId="0C774CC6">
      <w:pPr>
        <w:shd w:val="clear"/>
        <w:spacing w:line="360" w:lineRule="auto"/>
        <w:ind w:left="964" w:hanging="964" w:hangingChars="400"/>
        <w:rPr>
          <w:rFonts w:hint="eastAsia" w:ascii="宋体" w:hAnsi="宋体" w:cs="宋体"/>
          <w:b/>
          <w:sz w:val="24"/>
          <w:szCs w:val="24"/>
          <w:highlight w:val="none"/>
          <w:u w:val="single"/>
        </w:rPr>
      </w:pPr>
      <w:r>
        <w:rPr>
          <w:rFonts w:hint="eastAsia" w:ascii="宋体" w:hAnsi="宋体" w:cs="宋体"/>
          <w:b/>
          <w:sz w:val="24"/>
          <w:szCs w:val="24"/>
          <w:highlight w:val="none"/>
        </w:rPr>
        <w:t>4      勘察初步设计方案</w:t>
      </w:r>
      <w:r>
        <w:rPr>
          <w:rFonts w:hint="eastAsia" w:ascii="宋体" w:hAnsi="宋体" w:cs="宋体"/>
          <w:b/>
          <w:sz w:val="24"/>
          <w:szCs w:val="24"/>
          <w:highlight w:val="none"/>
          <w:u w:val="single"/>
        </w:rPr>
        <w:t>（暗标，不得标注或做任何可以辨认投标人及专业技术人员身份的名称、印章、商标、图形等，上传交易平台网站）</w:t>
      </w:r>
    </w:p>
    <w:p w14:paraId="73483753">
      <w:pPr>
        <w:pStyle w:val="15"/>
        <w:widowControl w:val="0"/>
        <w:shd w:val="clear"/>
        <w:spacing w:beforeAutospacing="0" w:afterAutospacing="0" w:line="360" w:lineRule="auto"/>
        <w:jc w:val="both"/>
        <w:rPr>
          <w:rFonts w:cs="宋体"/>
          <w:highlight w:val="none"/>
        </w:rPr>
      </w:pPr>
    </w:p>
    <w:p w14:paraId="15CDCE2A">
      <w:pPr>
        <w:shd w:val="clear"/>
        <w:spacing w:line="360" w:lineRule="auto"/>
        <w:rPr>
          <w:rFonts w:hint="eastAsia" w:ascii="宋体" w:hAnsi="宋体" w:cs="宋体"/>
          <w:b/>
          <w:bCs/>
          <w:sz w:val="24"/>
          <w:szCs w:val="24"/>
          <w:highlight w:val="none"/>
        </w:rPr>
      </w:pPr>
      <w:r>
        <w:rPr>
          <w:rFonts w:hint="eastAsia" w:ascii="宋体" w:hAnsi="宋体" w:cs="宋体"/>
          <w:b/>
          <w:bCs/>
          <w:sz w:val="24"/>
          <w:szCs w:val="24"/>
          <w:highlight w:val="none"/>
        </w:rPr>
        <w:t xml:space="preserve">4.1    </w:t>
      </w:r>
      <w:r>
        <w:rPr>
          <w:rFonts w:hint="eastAsia" w:ascii="宋体" w:hAnsi="宋体" w:cs="宋体"/>
          <w:b/>
          <w:sz w:val="24"/>
          <w:szCs w:val="24"/>
          <w:highlight w:val="none"/>
        </w:rPr>
        <w:t>勘察初步</w:t>
      </w:r>
      <w:r>
        <w:rPr>
          <w:rFonts w:hint="eastAsia" w:ascii="宋体" w:hAnsi="宋体" w:cs="宋体"/>
          <w:b/>
          <w:bCs/>
          <w:sz w:val="24"/>
          <w:szCs w:val="24"/>
          <w:highlight w:val="none"/>
        </w:rPr>
        <w:t>设计方案内容（文件大小不得超过500M）：</w:t>
      </w:r>
    </w:p>
    <w:p w14:paraId="7975A853">
      <w:pPr>
        <w:shd w:val="clea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（a）封面：写明项目名称、设计作品主题（不宜超过20个字）、编制年月。</w:t>
      </w:r>
    </w:p>
    <w:p w14:paraId="50E7DBDF">
      <w:pPr>
        <w:shd w:val="clea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（b）目录；</w:t>
      </w:r>
    </w:p>
    <w:p w14:paraId="20173AC5">
      <w:pPr>
        <w:shd w:val="clea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（c）含设计图纸（需包括表现图、分析示意图、总平面图等）：</w:t>
      </w:r>
    </w:p>
    <w:p w14:paraId="482221B1">
      <w:pPr>
        <w:shd w:val="clea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（d）设计说明书；</w:t>
      </w:r>
      <w:bookmarkStart w:id="203" w:name="_Toc11433"/>
      <w:bookmarkStart w:id="204" w:name="_Toc14907"/>
    </w:p>
    <w:p w14:paraId="20515B3B">
      <w:pPr>
        <w:shd w:val="clea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（e）《工期计划表》（方案修改、设计的总工时和工期）</w:t>
      </w:r>
      <w:bookmarkEnd w:id="203"/>
      <w:bookmarkEnd w:id="204"/>
    </w:p>
    <w:p w14:paraId="646713BE">
      <w:pPr>
        <w:shd w:val="clea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（f）完成本项目的难点，保障工期、质量的主要措施；</w:t>
      </w:r>
    </w:p>
    <w:p w14:paraId="4375AA40">
      <w:pPr>
        <w:shd w:val="clea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（g）针对项目场地采用的原位试验种类。勘察方案（勘察手段、方法及工艺）及建议，本次勘察的难点及建议</w:t>
      </w:r>
      <w:r>
        <w:rPr>
          <w:rFonts w:hint="eastAsia" w:ascii="宋体" w:hAnsi="宋体" w:cs="宋体"/>
          <w:sz w:val="24"/>
          <w:szCs w:val="24"/>
          <w:highlight w:val="none"/>
          <w:lang w:eastAsia="zh-CN"/>
        </w:rPr>
        <w:t>（</w:t>
      </w:r>
      <w:r>
        <w:rPr>
          <w:rFonts w:hint="eastAsia" w:ascii="宋体" w:hAnsi="宋体" w:cs="宋体"/>
          <w:sz w:val="24"/>
          <w:szCs w:val="24"/>
          <w:highlight w:val="none"/>
        </w:rPr>
        <w:t>适用于含勘察内容的项目</w:t>
      </w:r>
      <w:r>
        <w:rPr>
          <w:rFonts w:hint="eastAsia" w:ascii="宋体" w:hAnsi="宋体" w:cs="宋体"/>
          <w:sz w:val="24"/>
          <w:szCs w:val="24"/>
          <w:highlight w:val="none"/>
          <w:lang w:eastAsia="zh-CN"/>
        </w:rPr>
        <w:t>）</w:t>
      </w:r>
      <w:r>
        <w:rPr>
          <w:rFonts w:hint="eastAsia" w:ascii="宋体" w:hAnsi="宋体" w:cs="宋体"/>
          <w:sz w:val="24"/>
          <w:szCs w:val="24"/>
          <w:highlight w:val="none"/>
        </w:rPr>
        <w:t>；</w:t>
      </w:r>
    </w:p>
    <w:p w14:paraId="05913377">
      <w:pPr>
        <w:shd w:val="clea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（h）勘察工作流程和相应的工期进度计划</w:t>
      </w:r>
      <w:r>
        <w:rPr>
          <w:rFonts w:hint="eastAsia" w:ascii="宋体" w:hAnsi="宋体" w:cs="宋体"/>
          <w:sz w:val="24"/>
          <w:szCs w:val="24"/>
          <w:highlight w:val="none"/>
          <w:lang w:eastAsia="zh-CN"/>
        </w:rPr>
        <w:t>（</w:t>
      </w:r>
      <w:r>
        <w:rPr>
          <w:rFonts w:hint="eastAsia" w:ascii="宋体" w:hAnsi="宋体" w:cs="宋体"/>
          <w:sz w:val="24"/>
          <w:szCs w:val="24"/>
          <w:highlight w:val="none"/>
        </w:rPr>
        <w:t>适用于含勘察内容的项目</w:t>
      </w:r>
      <w:r>
        <w:rPr>
          <w:rFonts w:hint="eastAsia" w:ascii="宋体" w:hAnsi="宋体" w:cs="宋体"/>
          <w:sz w:val="24"/>
          <w:szCs w:val="24"/>
          <w:highlight w:val="none"/>
          <w:lang w:eastAsia="zh-CN"/>
        </w:rPr>
        <w:t>）</w:t>
      </w:r>
      <w:r>
        <w:rPr>
          <w:rFonts w:hint="eastAsia" w:ascii="宋体" w:hAnsi="宋体" w:cs="宋体"/>
          <w:sz w:val="24"/>
          <w:szCs w:val="24"/>
          <w:highlight w:val="none"/>
        </w:rPr>
        <w:t>；</w:t>
      </w:r>
    </w:p>
    <w:p w14:paraId="23634315">
      <w:pPr>
        <w:shd w:val="clea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（i）投标人认为有必要提供的其他资料；</w:t>
      </w:r>
    </w:p>
    <w:p w14:paraId="747875A5">
      <w:pPr>
        <w:shd w:val="clear"/>
        <w:spacing w:line="360" w:lineRule="auto"/>
        <w:rPr>
          <w:rFonts w:hint="eastAsia" w:ascii="宋体" w:hAnsi="宋体" w:cs="宋体"/>
          <w:sz w:val="24"/>
          <w:szCs w:val="24"/>
          <w:highlight w:val="none"/>
        </w:rPr>
      </w:pPr>
      <w:r>
        <w:rPr>
          <w:rFonts w:hint="eastAsia" w:ascii="宋体" w:hAnsi="宋体" w:cs="宋体"/>
          <w:b/>
          <w:bCs/>
          <w:sz w:val="24"/>
          <w:szCs w:val="24"/>
          <w:highlight w:val="none"/>
        </w:rPr>
        <w:t>注：勘察初步设计方案不能有涉及投标报价相关内容文件。</w:t>
      </w:r>
    </w:p>
    <w:p w14:paraId="0798B979">
      <w:pPr>
        <w:shd w:val="clear"/>
        <w:spacing w:line="360" w:lineRule="auto"/>
        <w:rPr>
          <w:rFonts w:hint="eastAsia" w:ascii="宋体" w:hAnsi="宋体" w:cs="宋体"/>
          <w:b/>
          <w:sz w:val="24"/>
          <w:szCs w:val="24"/>
          <w:highlight w:val="none"/>
        </w:rPr>
      </w:pPr>
      <w:bookmarkStart w:id="205" w:name="_Toc13926"/>
      <w:bookmarkStart w:id="206" w:name="_Toc25873"/>
      <w:bookmarkStart w:id="207" w:name="_Toc32310"/>
      <w:r>
        <w:rPr>
          <w:rFonts w:hint="eastAsia" w:ascii="宋体" w:hAnsi="宋体" w:cs="宋体"/>
          <w:b/>
          <w:sz w:val="24"/>
          <w:szCs w:val="24"/>
          <w:highlight w:val="none"/>
        </w:rPr>
        <w:t>5      深度要求</w:t>
      </w:r>
      <w:bookmarkEnd w:id="205"/>
      <w:bookmarkEnd w:id="206"/>
      <w:bookmarkEnd w:id="207"/>
    </w:p>
    <w:p w14:paraId="32254234">
      <w:pPr>
        <w:shd w:val="clea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5.1    投标深度要求：</w:t>
      </w:r>
    </w:p>
    <w:p w14:paraId="43A0A36C">
      <w:pPr>
        <w:shd w:val="clear"/>
        <w:tabs>
          <w:tab w:val="left" w:pos="142"/>
        </w:tabs>
        <w:spacing w:line="360" w:lineRule="auto"/>
        <w:ind w:left="283" w:leftChars="135"/>
        <w:rPr>
          <w:rFonts w:hint="eastAsia" w:ascii="宋体" w:hAnsi="宋体" w:cs="宋体"/>
          <w:sz w:val="24"/>
          <w:szCs w:val="24"/>
          <w:highlight w:val="none"/>
          <w:lang w:bidi="ar"/>
        </w:rPr>
      </w:pPr>
      <w:r>
        <w:rPr>
          <w:rFonts w:hint="eastAsia" w:ascii="宋体" w:hAnsi="宋体" w:cs="宋体"/>
          <w:sz w:val="24"/>
          <w:szCs w:val="24"/>
          <w:highlight w:val="none"/>
          <w:lang w:bidi="ar"/>
        </w:rPr>
        <w:t>(a) 建筑工程设计投标文件宜达到建设部《建筑工程设计文件编制深度规定》（2016年版）相应设计阶段的要求。</w:t>
      </w:r>
    </w:p>
    <w:p w14:paraId="6B26671C">
      <w:pPr>
        <w:shd w:val="clear"/>
        <w:tabs>
          <w:tab w:val="left" w:pos="142"/>
        </w:tabs>
        <w:spacing w:line="360" w:lineRule="auto"/>
        <w:ind w:left="283" w:leftChars="135"/>
        <w:rPr>
          <w:rFonts w:hint="eastAsia" w:ascii="宋体" w:hAnsi="宋体" w:cs="宋体"/>
          <w:sz w:val="24"/>
          <w:szCs w:val="24"/>
          <w:highlight w:val="none"/>
          <w:lang w:bidi="ar"/>
        </w:rPr>
      </w:pPr>
      <w:r>
        <w:rPr>
          <w:rFonts w:hint="eastAsia" w:ascii="宋体" w:hAnsi="宋体" w:cs="宋体"/>
          <w:sz w:val="24"/>
          <w:szCs w:val="24"/>
          <w:highlight w:val="none"/>
          <w:lang w:bidi="ar"/>
        </w:rPr>
        <w:t>(b) 市政工程设计投标文件宜达到建设部《市政公用工程设计文件编制深度规定》相应设计阶段的要求。</w:t>
      </w:r>
    </w:p>
    <w:p w14:paraId="3DF6DEEB">
      <w:pPr>
        <w:shd w:val="clear"/>
        <w:tabs>
          <w:tab w:val="left" w:pos="142"/>
        </w:tabs>
        <w:spacing w:line="360" w:lineRule="auto"/>
        <w:ind w:left="283" w:leftChars="135"/>
        <w:rPr>
          <w:rFonts w:hint="eastAsia" w:ascii="宋体" w:hAnsi="宋体" w:cs="宋体"/>
          <w:sz w:val="24"/>
          <w:szCs w:val="24"/>
          <w:highlight w:val="none"/>
        </w:rPr>
      </w:pPr>
      <w:r>
        <w:rPr>
          <w:rFonts w:hint="eastAsia" w:ascii="宋体" w:hAnsi="宋体" w:cs="宋体"/>
          <w:sz w:val="24"/>
          <w:szCs w:val="24"/>
          <w:highlight w:val="none"/>
          <w:lang w:bidi="ar"/>
        </w:rPr>
        <w:t>(c) 装饰工程</w:t>
      </w:r>
      <w:r>
        <w:rPr>
          <w:rFonts w:hint="eastAsia" w:ascii="宋体" w:hAnsi="宋体" w:cs="宋体"/>
          <w:sz w:val="24"/>
          <w:szCs w:val="24"/>
          <w:highlight w:val="none"/>
        </w:rPr>
        <w:t>设计</w:t>
      </w:r>
      <w:r>
        <w:rPr>
          <w:rFonts w:hint="eastAsia" w:ascii="宋体" w:hAnsi="宋体" w:cs="宋体"/>
          <w:sz w:val="24"/>
          <w:szCs w:val="24"/>
          <w:highlight w:val="none"/>
          <w:lang w:bidi="ar"/>
        </w:rPr>
        <w:t>投标文件，应提供效果图、平面布置图、天花平面图、立面图，以及《材料表》和《投资估算表》。《投资估算表》应列出明细表，豪华灯具、地毯、洁具、重要设备应列出品牌、型号、数量和价格，所有活动家具不包括在工程造价估算以内。</w:t>
      </w:r>
    </w:p>
    <w:p w14:paraId="22C26D97">
      <w:pPr>
        <w:shd w:val="clear"/>
        <w:tabs>
          <w:tab w:val="left" w:pos="142"/>
        </w:tabs>
        <w:spacing w:line="360" w:lineRule="auto"/>
        <w:ind w:left="283" w:leftChars="135"/>
        <w:rPr>
          <w:rFonts w:hint="eastAsia" w:ascii="宋体" w:hAnsi="宋体" w:cs="宋体"/>
          <w:sz w:val="24"/>
          <w:szCs w:val="24"/>
          <w:highlight w:val="none"/>
        </w:rPr>
      </w:pPr>
      <w:r>
        <w:rPr>
          <w:rFonts w:hint="eastAsia" w:ascii="宋体" w:hAnsi="宋体" w:cs="宋体"/>
          <w:sz w:val="24"/>
          <w:szCs w:val="24"/>
          <w:highlight w:val="none"/>
          <w:lang w:bidi="ar"/>
        </w:rPr>
        <w:t>(d) 设计独特</w:t>
      </w:r>
      <w:r>
        <w:rPr>
          <w:rFonts w:hint="eastAsia" w:ascii="宋体" w:hAnsi="宋体" w:cs="宋体"/>
          <w:sz w:val="24"/>
          <w:szCs w:val="24"/>
          <w:highlight w:val="none"/>
        </w:rPr>
        <w:t>具有</w:t>
      </w:r>
      <w:r>
        <w:rPr>
          <w:rFonts w:hint="eastAsia" w:ascii="宋体" w:hAnsi="宋体" w:cs="宋体"/>
          <w:sz w:val="24"/>
          <w:szCs w:val="24"/>
          <w:highlight w:val="none"/>
          <w:lang w:bidi="ar"/>
        </w:rPr>
        <w:t>独创性的节点位置，应该提供示意图。</w:t>
      </w:r>
    </w:p>
    <w:p w14:paraId="53524FA5">
      <w:pPr>
        <w:shd w:val="clear"/>
        <w:spacing w:line="360" w:lineRule="auto"/>
        <w:jc w:val="left"/>
        <w:rPr>
          <w:rFonts w:hint="eastAsia" w:ascii="宋体" w:hAnsi="宋体" w:cs="宋体"/>
          <w:b/>
          <w:strike/>
          <w:sz w:val="24"/>
          <w:szCs w:val="24"/>
          <w:highlight w:val="none"/>
        </w:rPr>
      </w:pPr>
      <w:bookmarkStart w:id="208" w:name="_Toc3102"/>
      <w:bookmarkStart w:id="209" w:name="_Toc25342"/>
      <w:bookmarkStart w:id="210" w:name="_Toc21717"/>
      <w:r>
        <w:rPr>
          <w:rFonts w:hint="eastAsia" w:ascii="宋体" w:hAnsi="宋体" w:cs="宋体"/>
          <w:b/>
          <w:sz w:val="24"/>
          <w:szCs w:val="24"/>
          <w:highlight w:val="none"/>
        </w:rPr>
        <w:t>6    资格审查文件（如有）</w:t>
      </w:r>
      <w:bookmarkEnd w:id="208"/>
      <w:bookmarkEnd w:id="209"/>
      <w:bookmarkEnd w:id="210"/>
    </w:p>
    <w:p w14:paraId="11E157F9">
      <w:pPr>
        <w:shd w:val="clear"/>
        <w:spacing w:line="360" w:lineRule="auto"/>
        <w:rPr>
          <w:rFonts w:hint="eastAsia" w:ascii="宋体" w:hAnsi="宋体" w:cs="宋体"/>
          <w:sz w:val="24"/>
          <w:szCs w:val="24"/>
          <w:highlight w:val="none"/>
        </w:rPr>
      </w:pPr>
      <w:r>
        <w:rPr>
          <w:rFonts w:hint="eastAsia" w:ascii="宋体" w:hAnsi="宋体" w:cs="宋体"/>
          <w:sz w:val="24"/>
          <w:szCs w:val="24"/>
          <w:highlight w:val="none"/>
        </w:rPr>
        <w:t>6.1   资格审查文件内容：</w:t>
      </w:r>
    </w:p>
    <w:p w14:paraId="0E06F872">
      <w:pPr>
        <w:shd w:val="clear"/>
        <w:spacing w:line="360" w:lineRule="auto"/>
        <w:rPr>
          <w:rFonts w:hint="eastAsia" w:ascii="宋体" w:hAnsi="宋体" w:cs="宋体"/>
          <w:sz w:val="24"/>
          <w:szCs w:val="24"/>
          <w:highlight w:val="none"/>
        </w:rPr>
      </w:pPr>
      <w:r>
        <w:rPr>
          <w:rFonts w:hint="eastAsia" w:ascii="宋体" w:hAnsi="宋体" w:cs="宋体"/>
          <w:sz w:val="24"/>
          <w:szCs w:val="24"/>
          <w:highlight w:val="none"/>
        </w:rPr>
        <w:t>(a) 目录；</w:t>
      </w:r>
    </w:p>
    <w:p w14:paraId="4CBCF877">
      <w:pPr>
        <w:shd w:val="clear"/>
        <w:spacing w:line="360" w:lineRule="auto"/>
        <w:ind w:left="853" w:leftChars="-51" w:hanging="960" w:hangingChars="400"/>
        <w:rPr>
          <w:rFonts w:hint="eastAsia" w:ascii="宋体" w:hAnsi="宋体" w:cs="宋体"/>
          <w:sz w:val="24"/>
          <w:szCs w:val="24"/>
          <w:highlight w:val="none"/>
        </w:rPr>
      </w:pPr>
      <w:r>
        <w:rPr>
          <w:rFonts w:hint="eastAsia" w:ascii="宋体" w:hAnsi="宋体" w:cs="宋体"/>
          <w:sz w:val="24"/>
          <w:szCs w:val="24"/>
          <w:highlight w:val="none"/>
        </w:rPr>
        <w:t xml:space="preserve">    (b) 填妥并签字盖章的《投标书》</w:t>
      </w:r>
      <w:r>
        <w:rPr>
          <w:rFonts w:hint="eastAsia" w:ascii="宋体" w:hAnsi="宋体" w:cs="宋体"/>
          <w:sz w:val="24"/>
          <w:highlight w:val="none"/>
          <w:lang w:bidi="ar"/>
        </w:rPr>
        <w:t>（投标人无需提供，评标委员会根据“开标信封”中的《投标书》进行评审。投标人再次提供且不一致的，以“开标信封”中的《投标书》为准）</w:t>
      </w:r>
      <w:r>
        <w:rPr>
          <w:rFonts w:hint="eastAsia" w:ascii="宋体" w:hAnsi="宋体" w:cs="宋体"/>
          <w:sz w:val="24"/>
          <w:szCs w:val="24"/>
          <w:highlight w:val="none"/>
        </w:rPr>
        <w:t>；</w:t>
      </w:r>
    </w:p>
    <w:p w14:paraId="704B80C2">
      <w:pPr>
        <w:shd w:val="clear"/>
        <w:spacing w:line="360" w:lineRule="auto"/>
        <w:ind w:firstLine="360" w:firstLineChars="150"/>
        <w:rPr>
          <w:rFonts w:hint="eastAsia" w:ascii="宋体" w:hAnsi="宋体" w:cs="宋体"/>
          <w:sz w:val="24"/>
          <w:szCs w:val="24"/>
          <w:highlight w:val="none"/>
        </w:rPr>
      </w:pPr>
      <w:r>
        <w:rPr>
          <w:rFonts w:hint="eastAsia" w:ascii="宋体" w:hAnsi="宋体" w:cs="宋体"/>
          <w:sz w:val="24"/>
          <w:szCs w:val="24"/>
          <w:highlight w:val="none"/>
        </w:rPr>
        <w:t>(c) 填妥并盖章的《投标人声明》（格式见附录8）；</w:t>
      </w:r>
    </w:p>
    <w:p w14:paraId="6FA39918">
      <w:pPr>
        <w:shd w:val="clea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 xml:space="preserve">   (d) 填妥并签字盖章的《联合体共同投标协议》（联合体投标人提供）</w:t>
      </w:r>
      <w:r>
        <w:rPr>
          <w:rFonts w:hint="eastAsia" w:ascii="宋体" w:hAnsi="宋体" w:cs="宋体"/>
          <w:sz w:val="24"/>
          <w:highlight w:val="none"/>
          <w:lang w:bidi="ar"/>
        </w:rPr>
        <w:t>（投标人无需提供，评标委员会根据“开标信封”中的《联合体共同投标协议》进行评审。投标人再次提供且不一致的，以“开标信封”中的《联合体共同投标协议》为准）</w:t>
      </w:r>
      <w:r>
        <w:rPr>
          <w:rFonts w:hint="eastAsia" w:ascii="宋体" w:hAnsi="宋体" w:cs="宋体"/>
          <w:sz w:val="24"/>
          <w:szCs w:val="24"/>
          <w:highlight w:val="none"/>
        </w:rPr>
        <w:t xml:space="preserve"> ；</w:t>
      </w:r>
    </w:p>
    <w:p w14:paraId="62007720">
      <w:pPr>
        <w:shd w:val="clea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 xml:space="preserve">   (e) 填妥并签字盖章的《合作设计协议》</w:t>
      </w:r>
      <w:r>
        <w:rPr>
          <w:rFonts w:hint="eastAsia" w:ascii="宋体" w:hAnsi="宋体" w:cs="宋体"/>
          <w:sz w:val="24"/>
          <w:szCs w:val="24"/>
          <w:highlight w:val="none"/>
          <w:lang w:eastAsia="zh-CN"/>
        </w:rPr>
        <w:t>（</w:t>
      </w:r>
      <w:r>
        <w:rPr>
          <w:rFonts w:hint="eastAsia" w:ascii="宋体" w:hAnsi="宋体" w:cs="宋体"/>
          <w:sz w:val="24"/>
          <w:szCs w:val="24"/>
          <w:highlight w:val="none"/>
        </w:rPr>
        <w:t>外国或香港、澳门、台湾的设计企业提供）（格式见附录 7-1）；</w:t>
      </w:r>
    </w:p>
    <w:p w14:paraId="10328F47">
      <w:pPr>
        <w:shd w:val="clea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 xml:space="preserve">   (f) 投标人资质证书；</w:t>
      </w:r>
    </w:p>
    <w:p w14:paraId="0B3639BC">
      <w:pPr>
        <w:shd w:val="clear"/>
        <w:spacing w:line="360" w:lineRule="auto"/>
        <w:ind w:left="789" w:leftChars="67" w:hanging="648" w:hangingChars="270"/>
        <w:rPr>
          <w:rFonts w:hint="eastAsia" w:ascii="宋体" w:hAnsi="宋体" w:cs="宋体"/>
          <w:sz w:val="24"/>
          <w:szCs w:val="24"/>
          <w:highlight w:val="none"/>
        </w:rPr>
      </w:pPr>
      <w:r>
        <w:rPr>
          <w:rFonts w:hint="eastAsia" w:ascii="宋体" w:hAnsi="宋体" w:cs="宋体"/>
          <w:sz w:val="24"/>
          <w:szCs w:val="24"/>
          <w:highlight w:val="none"/>
        </w:rPr>
        <w:t xml:space="preserve">  (g) 申请人已在广州市住房和城乡建设局建立企业信用档案，拟委派的项目负责人须是本企业信用档案中的在册人员。</w:t>
      </w:r>
    </w:p>
    <w:p w14:paraId="1B3DCCE9">
      <w:pPr>
        <w:shd w:val="clear"/>
        <w:spacing w:line="360" w:lineRule="auto"/>
        <w:ind w:left="759" w:leftChars="167" w:hanging="408" w:hangingChars="170"/>
        <w:rPr>
          <w:rFonts w:hint="eastAsia" w:ascii="宋体" w:hAnsi="宋体" w:cs="宋体"/>
          <w:dstrike/>
          <w:sz w:val="24"/>
          <w:szCs w:val="24"/>
          <w:highlight w:val="none"/>
        </w:rPr>
      </w:pPr>
      <w:r>
        <w:rPr>
          <w:rFonts w:hint="eastAsia" w:ascii="宋体" w:hAnsi="宋体" w:cs="宋体"/>
          <w:dstrike/>
          <w:sz w:val="24"/>
          <w:szCs w:val="24"/>
          <w:highlight w:val="none"/>
        </w:rPr>
        <w:t>(h) 投标申请表（附录1）；</w:t>
      </w:r>
    </w:p>
    <w:p w14:paraId="09707669">
      <w:pPr>
        <w:shd w:val="clea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(i) 拟派项目负责人注册执业资格证书</w:t>
      </w:r>
      <w:r>
        <w:rPr>
          <w:rFonts w:hint="eastAsia" w:ascii="宋体" w:hAnsi="宋体" w:cs="宋体"/>
          <w:strike/>
          <w:sz w:val="24"/>
          <w:szCs w:val="24"/>
          <w:highlight w:val="none"/>
        </w:rPr>
        <w:t>或职称证书</w:t>
      </w:r>
      <w:r>
        <w:rPr>
          <w:rFonts w:hint="eastAsia" w:ascii="宋体" w:hAnsi="宋体" w:cs="宋体"/>
          <w:sz w:val="24"/>
          <w:szCs w:val="24"/>
          <w:highlight w:val="none"/>
        </w:rPr>
        <w:t>或符合本招标项目对项目负责人要求的香港专业人士的相关证书；</w:t>
      </w:r>
    </w:p>
    <w:p w14:paraId="1C742CB0">
      <w:pPr>
        <w:shd w:val="clear"/>
        <w:spacing w:line="360" w:lineRule="auto"/>
        <w:ind w:firstLine="480" w:firstLineChars="200"/>
        <w:rPr>
          <w:rFonts w:hint="eastAsia" w:ascii="宋体" w:hAnsi="宋体" w:cs="宋体"/>
          <w:strike/>
          <w:sz w:val="24"/>
          <w:szCs w:val="24"/>
          <w:highlight w:val="none"/>
        </w:rPr>
      </w:pPr>
      <w:r>
        <w:rPr>
          <w:rFonts w:hint="eastAsia" w:ascii="宋体" w:hAnsi="宋体" w:cs="宋体"/>
          <w:strike/>
          <w:sz w:val="24"/>
          <w:szCs w:val="24"/>
          <w:highlight w:val="none"/>
        </w:rPr>
        <w:t>(j) 拟派各专业负责人注册执业资格证书或职称证书及工作简历；</w:t>
      </w:r>
    </w:p>
    <w:p w14:paraId="00C1302E">
      <w:pPr>
        <w:shd w:val="clea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(k)投标保证金； </w:t>
      </w:r>
    </w:p>
    <w:p w14:paraId="506BEAB2">
      <w:pPr>
        <w:shd w:val="clea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（l）</w:t>
      </w:r>
      <w:r>
        <w:rPr>
          <w:rFonts w:hint="eastAsia" w:ascii="宋体" w:hAnsi="宋体" w:cs="宋体"/>
          <w:sz w:val="24"/>
          <w:szCs w:val="24"/>
          <w:highlight w:val="none"/>
        </w:rPr>
        <w:t>投标人认为有必要提供的其他资料。</w:t>
      </w:r>
    </w:p>
    <w:p w14:paraId="09DD13E3">
      <w:pPr>
        <w:shd w:val="clear"/>
        <w:spacing w:line="360" w:lineRule="auto"/>
        <w:ind w:left="611" w:leftChars="15" w:hanging="580" w:hangingChars="242"/>
        <w:rPr>
          <w:rFonts w:hint="eastAsia" w:ascii="宋体" w:hAnsi="宋体" w:cs="宋体"/>
          <w:sz w:val="24"/>
          <w:szCs w:val="24"/>
          <w:highlight w:val="none"/>
        </w:rPr>
      </w:pPr>
      <w:r>
        <w:rPr>
          <w:rFonts w:hint="eastAsia" w:ascii="宋体" w:hAnsi="宋体" w:cs="宋体"/>
          <w:sz w:val="24"/>
          <w:szCs w:val="24"/>
          <w:highlight w:val="none"/>
        </w:rPr>
        <w:t>注：资格审查文件中的</w:t>
      </w:r>
      <w:r>
        <w:rPr>
          <w:rFonts w:hint="eastAsia" w:ascii="宋体" w:hAnsi="宋体" w:cs="宋体"/>
          <w:sz w:val="24"/>
          <w:szCs w:val="24"/>
          <w:highlight w:val="none"/>
          <w:lang w:eastAsia="zh-CN"/>
        </w:rPr>
        <w:t>（</w:t>
      </w:r>
      <w:r>
        <w:rPr>
          <w:rFonts w:hint="eastAsia" w:ascii="宋体" w:hAnsi="宋体" w:cs="宋体"/>
          <w:sz w:val="24"/>
          <w:szCs w:val="24"/>
          <w:highlight w:val="none"/>
        </w:rPr>
        <w:t>f</w:t>
      </w:r>
      <w:r>
        <w:rPr>
          <w:rFonts w:hint="eastAsia" w:ascii="宋体" w:hAnsi="宋体" w:cs="宋体"/>
          <w:sz w:val="24"/>
          <w:szCs w:val="24"/>
          <w:highlight w:val="none"/>
          <w:lang w:eastAsia="zh-CN"/>
        </w:rPr>
        <w:t>）</w:t>
      </w:r>
      <w:r>
        <w:rPr>
          <w:rFonts w:hint="eastAsia" w:ascii="宋体" w:hAnsi="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sz w:val="24"/>
          <w:szCs w:val="24"/>
          <w:highlight w:val="none"/>
        </w:rPr>
        <w:t>g</w:t>
      </w:r>
      <w:r>
        <w:rPr>
          <w:rFonts w:hint="eastAsia" w:ascii="宋体" w:hAnsi="宋体" w:cs="宋体"/>
          <w:sz w:val="24"/>
          <w:szCs w:val="24"/>
          <w:highlight w:val="none"/>
          <w:lang w:eastAsia="zh-CN"/>
        </w:rPr>
        <w:t>）</w:t>
      </w:r>
      <w:r>
        <w:rPr>
          <w:rFonts w:hint="eastAsia" w:ascii="宋体" w:hAnsi="宋体" w:cs="宋体"/>
          <w:sz w:val="24"/>
          <w:szCs w:val="24"/>
          <w:highlight w:val="none"/>
        </w:rPr>
        <w:t>取自</w:t>
      </w:r>
      <w:r>
        <w:rPr>
          <w:rFonts w:hint="eastAsia" w:ascii="宋体" w:hAnsi="宋体" w:cs="宋体"/>
          <w:sz w:val="24"/>
          <w:szCs w:val="24"/>
          <w:highlight w:val="none"/>
          <w:u w:val="single"/>
        </w:rPr>
        <w:t>广州市住建行业信用管理平台</w:t>
      </w:r>
      <w:r>
        <w:rPr>
          <w:rFonts w:hint="eastAsia" w:ascii="宋体" w:hAnsi="宋体" w:cs="宋体"/>
          <w:sz w:val="24"/>
          <w:szCs w:val="24"/>
          <w:highlight w:val="none"/>
        </w:rPr>
        <w:t>，投标人</w:t>
      </w:r>
      <w:r>
        <w:rPr>
          <w:rFonts w:hint="eastAsia" w:ascii="宋体" w:hAnsi="宋体" w:cs="宋体"/>
          <w:sz w:val="24"/>
          <w:szCs w:val="24"/>
          <w:highlight w:val="none"/>
          <w:u w:val="single"/>
        </w:rPr>
        <w:t>广州市住建行业信用管理平台</w:t>
      </w:r>
      <w:r>
        <w:rPr>
          <w:rFonts w:hint="eastAsia" w:ascii="宋体" w:hAnsi="宋体" w:cs="宋体"/>
          <w:sz w:val="24"/>
          <w:szCs w:val="24"/>
          <w:highlight w:val="none"/>
        </w:rPr>
        <w:t>记录的该部分上传件将被视为投标人递交投标文件的一部分，不需重复提交。评标委员会对该部分资料的审查将以投标截止时间在</w:t>
      </w:r>
      <w:r>
        <w:rPr>
          <w:rFonts w:hint="eastAsia" w:ascii="宋体" w:hAnsi="宋体" w:cs="宋体"/>
          <w:sz w:val="24"/>
          <w:szCs w:val="24"/>
          <w:highlight w:val="none"/>
          <w:u w:val="single"/>
        </w:rPr>
        <w:t>广州市住建行业信用管理平台</w:t>
      </w:r>
      <w:r>
        <w:rPr>
          <w:rFonts w:hint="eastAsia" w:ascii="宋体" w:hAnsi="宋体" w:cs="宋体"/>
          <w:sz w:val="24"/>
          <w:szCs w:val="24"/>
          <w:highlight w:val="none"/>
        </w:rPr>
        <w:t>上传件为依据。若招标人延长投标截止时间的，以上资料的评审时点也相应延长。投标人应及时维护其在</w:t>
      </w:r>
      <w:r>
        <w:rPr>
          <w:rFonts w:hint="eastAsia" w:ascii="宋体" w:hAnsi="宋体" w:cs="宋体"/>
          <w:sz w:val="24"/>
          <w:szCs w:val="24"/>
          <w:highlight w:val="none"/>
          <w:u w:val="single"/>
        </w:rPr>
        <w:t>广州市住建行业信用管理平台</w:t>
      </w:r>
      <w:r>
        <w:rPr>
          <w:rFonts w:hint="eastAsia" w:ascii="宋体" w:hAnsi="宋体" w:cs="宋体"/>
          <w:sz w:val="24"/>
          <w:szCs w:val="24"/>
          <w:highlight w:val="none"/>
        </w:rPr>
        <w:t>登记的信息及上传件，确保各项信息及上传件在有效期内。</w:t>
      </w:r>
    </w:p>
    <w:p w14:paraId="0A5F48DA">
      <w:pPr>
        <w:pStyle w:val="15"/>
        <w:widowControl w:val="0"/>
        <w:shd w:val="clear"/>
        <w:spacing w:beforeAutospacing="0" w:afterAutospacing="0"/>
        <w:ind w:firstLine="400" w:firstLineChars="200"/>
        <w:jc w:val="both"/>
        <w:rPr>
          <w:rFonts w:cs="宋体"/>
          <w:sz w:val="20"/>
          <w:szCs w:val="20"/>
          <w:highlight w:val="none"/>
        </w:rPr>
      </w:pPr>
    </w:p>
    <w:p w14:paraId="251C37BD">
      <w:pPr>
        <w:shd w:val="clear"/>
        <w:spacing w:line="360" w:lineRule="auto"/>
        <w:ind w:left="361" w:hanging="361" w:hangingChars="150"/>
        <w:rPr>
          <w:rFonts w:hint="eastAsia" w:ascii="宋体" w:hAnsi="宋体" w:cs="宋体"/>
          <w:b/>
          <w:sz w:val="24"/>
          <w:szCs w:val="24"/>
          <w:highlight w:val="none"/>
        </w:rPr>
      </w:pPr>
      <w:bookmarkStart w:id="211" w:name="_Toc10213"/>
      <w:r>
        <w:rPr>
          <w:rFonts w:hint="eastAsia" w:ascii="宋体" w:hAnsi="宋体" w:cs="宋体"/>
          <w:b/>
          <w:sz w:val="24"/>
          <w:szCs w:val="24"/>
          <w:highlight w:val="none"/>
        </w:rPr>
        <w:t xml:space="preserve">7    </w:t>
      </w:r>
      <w:r>
        <w:rPr>
          <w:rFonts w:hint="eastAsia" w:ascii="宋体" w:hAnsi="宋体" w:cs="宋体"/>
          <w:b/>
          <w:sz w:val="24"/>
          <w:szCs w:val="24"/>
          <w:highlight w:val="none"/>
          <w:u w:val="single"/>
        </w:rPr>
        <w:t>报价文件</w:t>
      </w:r>
      <w:bookmarkEnd w:id="211"/>
    </w:p>
    <w:p w14:paraId="59F08AFE">
      <w:pPr>
        <w:shd w:val="clear"/>
        <w:spacing w:line="360" w:lineRule="auto"/>
        <w:ind w:firstLine="600" w:firstLineChars="250"/>
        <w:rPr>
          <w:rFonts w:hint="eastAsia" w:ascii="宋体" w:hAnsi="宋体" w:cs="宋体"/>
          <w:sz w:val="24"/>
          <w:szCs w:val="24"/>
          <w:highlight w:val="none"/>
          <w:u w:val="single"/>
        </w:rPr>
      </w:pPr>
      <w:r>
        <w:rPr>
          <w:rFonts w:hint="eastAsia" w:ascii="宋体" w:hAnsi="宋体" w:cs="宋体"/>
          <w:sz w:val="24"/>
          <w:szCs w:val="24"/>
          <w:highlight w:val="none"/>
          <w:u w:val="single"/>
        </w:rPr>
        <w:t>(a)《工程勘察初步设计费报价汇总表》（见附件3）；</w:t>
      </w:r>
    </w:p>
    <w:p w14:paraId="2DC26237">
      <w:pPr>
        <w:shd w:val="clear"/>
        <w:spacing w:line="360" w:lineRule="auto"/>
        <w:ind w:firstLine="600" w:firstLineChars="250"/>
        <w:rPr>
          <w:rFonts w:hint="eastAsia" w:ascii="宋体" w:hAnsi="宋体" w:cs="宋体"/>
          <w:sz w:val="24"/>
          <w:szCs w:val="24"/>
          <w:highlight w:val="none"/>
          <w:u w:val="single"/>
        </w:rPr>
      </w:pPr>
      <w:r>
        <w:rPr>
          <w:rFonts w:hint="eastAsia" w:ascii="宋体" w:hAnsi="宋体" w:cs="宋体"/>
          <w:sz w:val="24"/>
          <w:szCs w:val="24"/>
          <w:highlight w:val="none"/>
          <w:u w:val="single"/>
        </w:rPr>
        <w:t>(b)《建筑信息模型（BIM）技术应用费计算表》（见附件3－1）；</w:t>
      </w:r>
    </w:p>
    <w:p w14:paraId="7A5C498D">
      <w:pPr>
        <w:shd w:val="clear"/>
        <w:spacing w:line="360" w:lineRule="auto"/>
        <w:ind w:firstLine="600" w:firstLineChars="250"/>
        <w:rPr>
          <w:rFonts w:hint="eastAsia" w:ascii="宋体" w:hAnsi="宋体" w:cs="宋体"/>
          <w:sz w:val="24"/>
          <w:szCs w:val="24"/>
          <w:highlight w:val="none"/>
          <w:u w:val="single"/>
        </w:rPr>
      </w:pPr>
      <w:r>
        <w:rPr>
          <w:rFonts w:hint="eastAsia" w:ascii="宋体" w:hAnsi="宋体" w:cs="宋体"/>
          <w:sz w:val="24"/>
          <w:szCs w:val="24"/>
          <w:highlight w:val="none"/>
          <w:u w:val="single"/>
        </w:rPr>
        <w:t>(c)《工程勘察费计算表》（见附件3－2）。岩土工程勘察综合单价应包含全部费用成本、利润和税金，包含全部实物工作和技术工作。发包人将按照承发包双方确认的实际工程量乘以综合单价进行结算，对于超过深度要求的超钻部分，其工程量不予计量。除上述报价外，如果有另需付费的项目，应详细列明勘察工作和收费标准（内容、数量、单价、合价）。</w:t>
      </w:r>
    </w:p>
    <w:p w14:paraId="37F555D8">
      <w:pPr>
        <w:shd w:val="clear"/>
        <w:rPr>
          <w:rFonts w:hint="eastAsia" w:ascii="宋体" w:hAnsi="宋体" w:cs="宋体"/>
          <w:szCs w:val="21"/>
          <w:highlight w:val="none"/>
        </w:rPr>
      </w:pPr>
    </w:p>
    <w:p w14:paraId="75C7F325">
      <w:pPr>
        <w:shd w:val="clear"/>
        <w:spacing w:line="360" w:lineRule="auto"/>
        <w:rPr>
          <w:rFonts w:hint="eastAsia" w:ascii="宋体" w:hAnsi="宋体" w:cs="宋体"/>
          <w:sz w:val="24"/>
          <w:szCs w:val="24"/>
          <w:highlight w:val="none"/>
        </w:rPr>
      </w:pPr>
      <w:bookmarkStart w:id="212" w:name="_Toc21570"/>
      <w:bookmarkStart w:id="213" w:name="_Toc7046"/>
      <w:r>
        <w:rPr>
          <w:rFonts w:hint="eastAsia" w:ascii="宋体" w:hAnsi="宋体" w:cs="宋体"/>
          <w:sz w:val="24"/>
          <w:szCs w:val="24"/>
          <w:highlight w:val="none"/>
        </w:rPr>
        <w:t>8  商务文件</w:t>
      </w:r>
    </w:p>
    <w:p w14:paraId="4A1BC6B6">
      <w:pPr>
        <w:pStyle w:val="5"/>
        <w:shd w:val="clear"/>
        <w:ind w:firstLine="480"/>
        <w:rPr>
          <w:rFonts w:hint="eastAsia" w:ascii="宋体" w:hAnsi="宋体" w:cs="宋体"/>
          <w:sz w:val="24"/>
          <w:szCs w:val="24"/>
          <w:highlight w:val="none"/>
        </w:rPr>
      </w:pPr>
    </w:p>
    <w:p w14:paraId="2D5742B2">
      <w:pPr>
        <w:shd w:val="clear"/>
        <w:spacing w:line="400" w:lineRule="exact"/>
        <w:ind w:left="63" w:leftChars="30" w:right="92" w:rightChars="44" w:firstLine="200"/>
        <w:rPr>
          <w:rFonts w:hint="eastAsia" w:ascii="宋体" w:hAnsi="宋体" w:cs="宋体"/>
          <w:sz w:val="24"/>
          <w:szCs w:val="24"/>
          <w:highlight w:val="none"/>
          <w:u w:val="single"/>
        </w:rPr>
      </w:pPr>
      <w:r>
        <w:rPr>
          <w:rFonts w:hint="eastAsia" w:ascii="宋体" w:hAnsi="宋体" w:cs="宋体"/>
          <w:sz w:val="24"/>
          <w:szCs w:val="24"/>
          <w:highlight w:val="none"/>
          <w:u w:val="single"/>
        </w:rPr>
        <w:t>商务文件由下列资料组成：</w:t>
      </w:r>
    </w:p>
    <w:p w14:paraId="3D342964">
      <w:pPr>
        <w:shd w:val="clear"/>
        <w:spacing w:line="400" w:lineRule="exact"/>
        <w:ind w:left="63" w:leftChars="30" w:right="92" w:rightChars="44" w:firstLine="360"/>
        <w:rPr>
          <w:rFonts w:hint="eastAsia" w:ascii="宋体" w:hAnsi="宋体" w:cs="宋体"/>
          <w:sz w:val="24"/>
          <w:szCs w:val="24"/>
          <w:highlight w:val="none"/>
          <w:u w:val="single"/>
        </w:rPr>
      </w:pPr>
      <w:r>
        <w:rPr>
          <w:rFonts w:hint="eastAsia" w:ascii="宋体" w:hAnsi="宋体" w:cs="宋体"/>
          <w:sz w:val="24"/>
          <w:szCs w:val="24"/>
          <w:highlight w:val="none"/>
          <w:u w:val="single"/>
        </w:rPr>
        <w:t>（1）封面：写明项目名称、商务文件、投标人单位及年月日；加盖投标人公章；</w:t>
      </w:r>
    </w:p>
    <w:p w14:paraId="1C807A1C">
      <w:pPr>
        <w:shd w:val="clear"/>
        <w:spacing w:line="400" w:lineRule="exact"/>
        <w:ind w:left="63" w:leftChars="30" w:right="92" w:rightChars="44" w:firstLine="360"/>
        <w:rPr>
          <w:rFonts w:hint="eastAsia" w:ascii="宋体" w:hAnsi="宋体" w:cs="宋体"/>
          <w:sz w:val="24"/>
          <w:szCs w:val="24"/>
          <w:highlight w:val="none"/>
          <w:u w:val="single"/>
        </w:rPr>
      </w:pPr>
      <w:r>
        <w:rPr>
          <w:rFonts w:hint="eastAsia" w:ascii="宋体" w:hAnsi="宋体" w:cs="宋体"/>
          <w:sz w:val="24"/>
          <w:szCs w:val="24"/>
          <w:highlight w:val="none"/>
          <w:u w:val="single"/>
        </w:rPr>
        <w:t>（2）目录；</w:t>
      </w:r>
    </w:p>
    <w:p w14:paraId="6C841DDB">
      <w:pPr>
        <w:shd w:val="clear"/>
        <w:spacing w:line="400" w:lineRule="exact"/>
        <w:ind w:left="63" w:leftChars="30" w:right="92" w:rightChars="44" w:firstLine="360"/>
        <w:rPr>
          <w:rFonts w:hint="eastAsia" w:ascii="宋体" w:hAnsi="宋体" w:cs="宋体"/>
          <w:sz w:val="24"/>
          <w:szCs w:val="24"/>
          <w:highlight w:val="none"/>
          <w:u w:val="single"/>
        </w:rPr>
      </w:pPr>
      <w:r>
        <w:rPr>
          <w:rFonts w:hint="eastAsia" w:ascii="宋体" w:hAnsi="宋体" w:cs="宋体"/>
          <w:sz w:val="24"/>
          <w:szCs w:val="24"/>
          <w:highlight w:val="none"/>
          <w:u w:val="single"/>
        </w:rPr>
        <w:t>（3）企业类似工程业绩（格式见附录19）及获奖证明材料扫描件；</w:t>
      </w:r>
    </w:p>
    <w:p w14:paraId="33C9A53A">
      <w:pPr>
        <w:shd w:val="clear"/>
        <w:spacing w:line="400" w:lineRule="exact"/>
        <w:ind w:left="63" w:leftChars="30" w:right="92" w:rightChars="44" w:firstLine="360"/>
        <w:rPr>
          <w:rFonts w:hint="eastAsia" w:ascii="宋体" w:hAnsi="宋体" w:cs="宋体"/>
          <w:sz w:val="24"/>
          <w:szCs w:val="24"/>
          <w:highlight w:val="none"/>
          <w:u w:val="single"/>
        </w:rPr>
      </w:pPr>
      <w:r>
        <w:rPr>
          <w:rFonts w:hint="eastAsia" w:ascii="宋体" w:hAnsi="宋体" w:cs="宋体"/>
          <w:sz w:val="24"/>
          <w:szCs w:val="24"/>
          <w:highlight w:val="none"/>
          <w:u w:val="single"/>
        </w:rPr>
        <w:t>（4）为本项目拟投入的技术力量。主要包括项目负责人及各专业负责人的资格、业绩、参加本项目人员配置情况等，对资格和业绩内容必须附上有关的证明材料，并能保证材料的真实性。（格式见附录18）；</w:t>
      </w:r>
    </w:p>
    <w:p w14:paraId="0531BDBD">
      <w:pPr>
        <w:shd w:val="clear"/>
        <w:spacing w:line="400" w:lineRule="exact"/>
        <w:ind w:left="63" w:leftChars="30" w:right="92" w:rightChars="44" w:firstLine="360"/>
        <w:rPr>
          <w:rFonts w:hint="eastAsia" w:ascii="宋体" w:hAnsi="宋体" w:cs="宋体"/>
          <w:sz w:val="24"/>
          <w:szCs w:val="24"/>
          <w:highlight w:val="none"/>
          <w:u w:val="single"/>
        </w:rPr>
      </w:pPr>
      <w:r>
        <w:rPr>
          <w:rFonts w:hint="eastAsia" w:ascii="宋体" w:hAnsi="宋体" w:cs="宋体"/>
          <w:sz w:val="24"/>
          <w:szCs w:val="24"/>
          <w:highlight w:val="none"/>
          <w:u w:val="single"/>
        </w:rPr>
        <w:t>（5）投标人认为有必要提供的其他资料。</w:t>
      </w:r>
    </w:p>
    <w:bookmarkEnd w:id="212"/>
    <w:bookmarkEnd w:id="213"/>
    <w:p w14:paraId="4285F390">
      <w:pPr>
        <w:shd w:val="clear"/>
        <w:spacing w:line="360" w:lineRule="auto"/>
        <w:ind w:firstLine="480" w:firstLineChars="200"/>
        <w:rPr>
          <w:rFonts w:hint="eastAsia" w:ascii="宋体" w:hAnsi="宋体" w:cs="宋体"/>
          <w:sz w:val="24"/>
          <w:szCs w:val="24"/>
          <w:highlight w:val="none"/>
          <w:u w:val="single"/>
        </w:rPr>
      </w:pPr>
    </w:p>
    <w:p w14:paraId="525DBA4E">
      <w:pPr>
        <w:pStyle w:val="3"/>
        <w:shd w:val="clear"/>
        <w:rPr>
          <w:rFonts w:hint="eastAsia" w:ascii="宋体" w:hAnsi="宋体" w:cs="宋体"/>
          <w:sz w:val="21"/>
          <w:szCs w:val="21"/>
          <w:highlight w:val="none"/>
        </w:rPr>
      </w:pPr>
      <w:r>
        <w:rPr>
          <w:rFonts w:hint="eastAsia" w:ascii="宋体" w:hAnsi="宋体" w:cs="宋体"/>
          <w:sz w:val="24"/>
          <w:szCs w:val="24"/>
          <w:highlight w:val="none"/>
        </w:rPr>
        <w:br w:type="page"/>
      </w:r>
      <w:bookmarkStart w:id="214" w:name="_Toc3186"/>
      <w:bookmarkStart w:id="215" w:name="_Toc25832"/>
      <w:bookmarkStart w:id="216" w:name="_Toc19951"/>
      <w:bookmarkStart w:id="217" w:name="_Toc21902"/>
      <w:bookmarkStart w:id="218" w:name="_Toc29624"/>
      <w:bookmarkStart w:id="219" w:name="_Toc20284"/>
      <w:bookmarkStart w:id="220" w:name="_Toc4898"/>
      <w:r>
        <w:rPr>
          <w:rFonts w:hint="eastAsia" w:ascii="宋体" w:hAnsi="宋体" w:cs="宋体"/>
          <w:sz w:val="21"/>
          <w:szCs w:val="21"/>
          <w:highlight w:val="none"/>
        </w:rPr>
        <w:t>附件3  工程勘察初步设计费报价汇总表</w:t>
      </w:r>
      <w:bookmarkEnd w:id="214"/>
      <w:bookmarkEnd w:id="215"/>
      <w:bookmarkEnd w:id="216"/>
      <w:bookmarkEnd w:id="217"/>
      <w:bookmarkEnd w:id="218"/>
      <w:bookmarkEnd w:id="219"/>
      <w:bookmarkEnd w:id="220"/>
    </w:p>
    <w:p w14:paraId="2B63254D">
      <w:pPr>
        <w:shd w:val="clear"/>
        <w:jc w:val="center"/>
        <w:rPr>
          <w:rFonts w:hint="eastAsia" w:ascii="宋体" w:hAnsi="宋体" w:cs="宋体"/>
          <w:b/>
          <w:sz w:val="28"/>
          <w:szCs w:val="28"/>
          <w:highlight w:val="none"/>
        </w:rPr>
      </w:pPr>
      <w:bookmarkStart w:id="221" w:name="_Toc114493758"/>
      <w:bookmarkEnd w:id="221"/>
      <w:r>
        <w:rPr>
          <w:rFonts w:hint="eastAsia" w:ascii="宋体" w:hAnsi="宋体" w:cs="宋体"/>
          <w:b/>
          <w:sz w:val="28"/>
          <w:szCs w:val="28"/>
          <w:highlight w:val="none"/>
        </w:rPr>
        <w:t>工程勘察初步设计费报价汇总表</w:t>
      </w:r>
    </w:p>
    <w:tbl>
      <w:tblPr>
        <w:tblStyle w:val="19"/>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2340"/>
        <w:gridCol w:w="1823"/>
        <w:gridCol w:w="1107"/>
        <w:gridCol w:w="3119"/>
      </w:tblGrid>
      <w:tr w14:paraId="6917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14:paraId="7D47EE65">
            <w:pPr>
              <w:shd w:val="clear"/>
              <w:jc w:val="center"/>
              <w:rPr>
                <w:rFonts w:hint="eastAsia" w:ascii="宋体" w:hAnsi="宋体" w:cs="宋体"/>
                <w:b/>
                <w:szCs w:val="21"/>
                <w:highlight w:val="none"/>
              </w:rPr>
            </w:pPr>
            <w:r>
              <w:rPr>
                <w:rFonts w:hint="eastAsia" w:ascii="宋体" w:hAnsi="宋体" w:cs="宋体"/>
                <w:sz w:val="24"/>
                <w:highlight w:val="none"/>
              </w:rPr>
              <w:t>序号</w:t>
            </w:r>
          </w:p>
        </w:tc>
        <w:tc>
          <w:tcPr>
            <w:tcW w:w="2340" w:type="dxa"/>
            <w:tcBorders>
              <w:top w:val="single" w:color="auto" w:sz="4" w:space="0"/>
              <w:left w:val="single" w:color="auto" w:sz="4" w:space="0"/>
              <w:bottom w:val="single" w:color="auto" w:sz="4" w:space="0"/>
              <w:right w:val="single" w:color="auto" w:sz="4" w:space="0"/>
            </w:tcBorders>
            <w:vAlign w:val="center"/>
          </w:tcPr>
          <w:p w14:paraId="64EAD2BD">
            <w:pPr>
              <w:shd w:val="clear"/>
              <w:jc w:val="center"/>
              <w:rPr>
                <w:rFonts w:hint="eastAsia" w:ascii="宋体" w:hAnsi="宋体" w:cs="宋体"/>
                <w:b/>
                <w:szCs w:val="21"/>
                <w:highlight w:val="none"/>
              </w:rPr>
            </w:pPr>
            <w:r>
              <w:rPr>
                <w:rFonts w:hint="eastAsia" w:ascii="宋体" w:hAnsi="宋体" w:cs="宋体"/>
                <w:sz w:val="24"/>
                <w:highlight w:val="none"/>
              </w:rPr>
              <w:t>投标报价</w:t>
            </w:r>
          </w:p>
        </w:tc>
        <w:tc>
          <w:tcPr>
            <w:tcW w:w="1823" w:type="dxa"/>
            <w:tcBorders>
              <w:top w:val="single" w:color="auto" w:sz="4" w:space="0"/>
              <w:left w:val="single" w:color="auto" w:sz="4" w:space="0"/>
              <w:bottom w:val="single" w:color="auto" w:sz="4" w:space="0"/>
              <w:right w:val="single" w:color="auto" w:sz="4" w:space="0"/>
            </w:tcBorders>
            <w:vAlign w:val="center"/>
          </w:tcPr>
          <w:p w14:paraId="6E1F452C">
            <w:pPr>
              <w:shd w:val="clear"/>
              <w:jc w:val="center"/>
              <w:rPr>
                <w:rFonts w:hint="eastAsia" w:ascii="宋体" w:hAnsi="宋体" w:cs="宋体"/>
                <w:b/>
                <w:szCs w:val="21"/>
                <w:highlight w:val="none"/>
              </w:rPr>
            </w:pPr>
            <w:r>
              <w:rPr>
                <w:rFonts w:hint="eastAsia" w:ascii="宋体" w:hAnsi="宋体" w:cs="宋体"/>
                <w:sz w:val="24"/>
                <w:highlight w:val="none"/>
              </w:rPr>
              <w:t>万元</w:t>
            </w:r>
          </w:p>
        </w:tc>
        <w:tc>
          <w:tcPr>
            <w:tcW w:w="1107" w:type="dxa"/>
            <w:tcBorders>
              <w:top w:val="single" w:color="auto" w:sz="4" w:space="0"/>
              <w:left w:val="single" w:color="auto" w:sz="4" w:space="0"/>
              <w:bottom w:val="single" w:color="auto" w:sz="4" w:space="0"/>
              <w:right w:val="single" w:color="auto" w:sz="4" w:space="0"/>
            </w:tcBorders>
            <w:vAlign w:val="center"/>
          </w:tcPr>
          <w:p w14:paraId="65AF31E7">
            <w:pPr>
              <w:shd w:val="clear"/>
              <w:jc w:val="center"/>
              <w:rPr>
                <w:rFonts w:hint="eastAsia" w:ascii="宋体" w:hAnsi="宋体" w:cs="宋体"/>
                <w:b/>
                <w:szCs w:val="21"/>
                <w:highlight w:val="none"/>
              </w:rPr>
            </w:pPr>
            <w:r>
              <w:rPr>
                <w:rFonts w:hint="eastAsia" w:ascii="宋体" w:hAnsi="宋体" w:cs="宋体"/>
                <w:sz w:val="24"/>
                <w:highlight w:val="none"/>
              </w:rPr>
              <w:t>投标下浮率</w:t>
            </w:r>
          </w:p>
        </w:tc>
        <w:tc>
          <w:tcPr>
            <w:tcW w:w="3119" w:type="dxa"/>
            <w:tcBorders>
              <w:top w:val="single" w:color="auto" w:sz="4" w:space="0"/>
              <w:left w:val="single" w:color="auto" w:sz="4" w:space="0"/>
              <w:bottom w:val="single" w:color="auto" w:sz="4" w:space="0"/>
              <w:right w:val="single" w:color="auto" w:sz="4" w:space="0"/>
            </w:tcBorders>
            <w:vAlign w:val="center"/>
          </w:tcPr>
          <w:p w14:paraId="627FB0CD">
            <w:pPr>
              <w:shd w:val="clear"/>
              <w:jc w:val="center"/>
              <w:rPr>
                <w:rFonts w:hint="eastAsia" w:ascii="宋体" w:hAnsi="宋体" w:cs="宋体"/>
                <w:b/>
                <w:szCs w:val="21"/>
                <w:highlight w:val="none"/>
              </w:rPr>
            </w:pPr>
            <w:r>
              <w:rPr>
                <w:rFonts w:hint="eastAsia" w:ascii="宋体" w:hAnsi="宋体" w:cs="宋体"/>
                <w:sz w:val="24"/>
                <w:highlight w:val="none"/>
              </w:rPr>
              <w:t>备注</w:t>
            </w:r>
          </w:p>
        </w:tc>
      </w:tr>
      <w:tr w14:paraId="6A74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14:paraId="348A773B">
            <w:pPr>
              <w:shd w:val="clear"/>
              <w:jc w:val="center"/>
              <w:rPr>
                <w:rFonts w:hint="eastAsia" w:ascii="宋体" w:hAnsi="宋体" w:cs="宋体"/>
                <w:szCs w:val="21"/>
                <w:highlight w:val="none"/>
              </w:rPr>
            </w:pPr>
            <w:r>
              <w:rPr>
                <w:rFonts w:hint="eastAsia" w:ascii="宋体" w:hAnsi="宋体" w:cs="宋体"/>
                <w:sz w:val="24"/>
                <w:highlight w:val="none"/>
              </w:rPr>
              <w:t>1</w:t>
            </w:r>
          </w:p>
        </w:tc>
        <w:tc>
          <w:tcPr>
            <w:tcW w:w="2340" w:type="dxa"/>
            <w:tcBorders>
              <w:top w:val="single" w:color="auto" w:sz="4" w:space="0"/>
              <w:left w:val="single" w:color="auto" w:sz="4" w:space="0"/>
              <w:bottom w:val="single" w:color="auto" w:sz="4" w:space="0"/>
              <w:right w:val="single" w:color="auto" w:sz="4" w:space="0"/>
            </w:tcBorders>
            <w:vAlign w:val="center"/>
          </w:tcPr>
          <w:p w14:paraId="36263282">
            <w:pPr>
              <w:pStyle w:val="6"/>
              <w:shd w:val="clear"/>
              <w:jc w:val="center"/>
              <w:rPr>
                <w:rFonts w:hint="eastAsia" w:ascii="宋体" w:hAnsi="宋体" w:cs="宋体"/>
                <w:szCs w:val="21"/>
                <w:highlight w:val="none"/>
              </w:rPr>
            </w:pPr>
            <w:r>
              <w:rPr>
                <w:rFonts w:hint="eastAsia" w:ascii="宋体" w:hAnsi="宋体" w:cs="宋体"/>
                <w:sz w:val="24"/>
                <w:highlight w:val="none"/>
              </w:rPr>
              <w:t>勘察费报价</w:t>
            </w:r>
          </w:p>
        </w:tc>
        <w:tc>
          <w:tcPr>
            <w:tcW w:w="1823" w:type="dxa"/>
            <w:tcBorders>
              <w:top w:val="single" w:color="auto" w:sz="4" w:space="0"/>
              <w:left w:val="single" w:color="auto" w:sz="4" w:space="0"/>
              <w:bottom w:val="single" w:color="auto" w:sz="4" w:space="0"/>
              <w:right w:val="single" w:color="auto" w:sz="4" w:space="0"/>
            </w:tcBorders>
            <w:vAlign w:val="center"/>
          </w:tcPr>
          <w:p w14:paraId="5DD137CA">
            <w:pPr>
              <w:shd w:val="clear"/>
              <w:jc w:val="center"/>
              <w:rPr>
                <w:rFonts w:hint="eastAsia" w:ascii="宋体" w:hAnsi="宋体" w:cs="宋体"/>
                <w:szCs w:val="21"/>
                <w:highlight w:val="none"/>
              </w:rPr>
            </w:pPr>
          </w:p>
        </w:tc>
        <w:tc>
          <w:tcPr>
            <w:tcW w:w="1107" w:type="dxa"/>
            <w:tcBorders>
              <w:top w:val="single" w:color="auto" w:sz="4" w:space="0"/>
              <w:left w:val="single" w:color="auto" w:sz="4" w:space="0"/>
              <w:bottom w:val="single" w:color="auto" w:sz="4" w:space="0"/>
              <w:right w:val="single" w:color="auto" w:sz="4" w:space="0"/>
            </w:tcBorders>
            <w:vAlign w:val="center"/>
          </w:tcPr>
          <w:p w14:paraId="794AFBD0">
            <w:pPr>
              <w:pStyle w:val="6"/>
              <w:shd w:val="clear"/>
              <w:jc w:val="center"/>
              <w:rPr>
                <w:rFonts w:hint="eastAsia" w:ascii="宋体" w:hAnsi="宋体" w:cs="宋体"/>
                <w:szCs w:val="21"/>
                <w:highlight w:val="none"/>
              </w:rPr>
            </w:pPr>
            <w:r>
              <w:rPr>
                <w:rFonts w:hint="eastAsia" w:ascii="宋体" w:hAnsi="宋体" w:cs="宋体"/>
                <w:sz w:val="24"/>
                <w:highlight w:val="none"/>
              </w:rPr>
              <w:t>%</w:t>
            </w:r>
          </w:p>
        </w:tc>
        <w:tc>
          <w:tcPr>
            <w:tcW w:w="3119" w:type="dxa"/>
            <w:tcBorders>
              <w:top w:val="single" w:color="auto" w:sz="4" w:space="0"/>
              <w:left w:val="single" w:color="auto" w:sz="4" w:space="0"/>
              <w:bottom w:val="single" w:color="auto" w:sz="4" w:space="0"/>
              <w:right w:val="single" w:color="auto" w:sz="4" w:space="0"/>
            </w:tcBorders>
            <w:vAlign w:val="center"/>
          </w:tcPr>
          <w:p w14:paraId="7738806E">
            <w:pPr>
              <w:pStyle w:val="6"/>
              <w:shd w:val="clear"/>
              <w:jc w:val="center"/>
              <w:rPr>
                <w:rFonts w:hint="eastAsia" w:ascii="宋体" w:hAnsi="宋体" w:cs="宋体"/>
                <w:b/>
                <w:sz w:val="24"/>
                <w:szCs w:val="24"/>
                <w:highlight w:val="none"/>
              </w:rPr>
            </w:pPr>
            <w:r>
              <w:rPr>
                <w:rFonts w:hint="eastAsia" w:ascii="宋体" w:hAnsi="宋体" w:cs="宋体"/>
                <w:sz w:val="24"/>
                <w:szCs w:val="24"/>
                <w:highlight w:val="none"/>
              </w:rPr>
              <w:t>对应报价金额不得超过最高投标限价</w:t>
            </w:r>
            <w:r>
              <w:rPr>
                <w:rFonts w:hint="eastAsia" w:ascii="宋体" w:hAnsi="宋体" w:cs="宋体"/>
                <w:sz w:val="24"/>
                <w:szCs w:val="24"/>
                <w:highlight w:val="none"/>
                <w:lang w:val="en-US" w:eastAsia="zh-CN"/>
              </w:rPr>
              <w:t>1,536,671.94</w:t>
            </w:r>
            <w:r>
              <w:rPr>
                <w:rFonts w:hint="eastAsia" w:ascii="宋体" w:hAnsi="宋体" w:cs="宋体"/>
                <w:sz w:val="24"/>
                <w:szCs w:val="24"/>
                <w:highlight w:val="none"/>
              </w:rPr>
              <w:t>元</w:t>
            </w:r>
          </w:p>
        </w:tc>
      </w:tr>
      <w:tr w14:paraId="57E1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14:paraId="723395D0">
            <w:pPr>
              <w:shd w:val="clear"/>
              <w:jc w:val="center"/>
              <w:rPr>
                <w:rFonts w:hint="eastAsia" w:ascii="宋体" w:hAnsi="宋体" w:cs="宋体"/>
                <w:szCs w:val="21"/>
                <w:highlight w:val="none"/>
              </w:rPr>
            </w:pPr>
            <w:r>
              <w:rPr>
                <w:rFonts w:hint="eastAsia" w:ascii="宋体" w:hAnsi="宋体" w:cs="宋体"/>
                <w:sz w:val="24"/>
                <w:highlight w:val="none"/>
              </w:rPr>
              <w:t>2</w:t>
            </w:r>
          </w:p>
        </w:tc>
        <w:tc>
          <w:tcPr>
            <w:tcW w:w="2340" w:type="dxa"/>
            <w:tcBorders>
              <w:top w:val="single" w:color="auto" w:sz="4" w:space="0"/>
              <w:left w:val="single" w:color="auto" w:sz="4" w:space="0"/>
              <w:bottom w:val="single" w:color="auto" w:sz="4" w:space="0"/>
              <w:right w:val="single" w:color="auto" w:sz="4" w:space="0"/>
            </w:tcBorders>
            <w:vAlign w:val="center"/>
          </w:tcPr>
          <w:p w14:paraId="72155FE6">
            <w:pPr>
              <w:pStyle w:val="6"/>
              <w:shd w:val="clear"/>
              <w:jc w:val="center"/>
              <w:rPr>
                <w:rFonts w:hint="eastAsia" w:ascii="宋体" w:hAnsi="宋体" w:cs="宋体"/>
                <w:szCs w:val="21"/>
                <w:highlight w:val="none"/>
              </w:rPr>
            </w:pPr>
            <w:r>
              <w:rPr>
                <w:rFonts w:hint="eastAsia" w:ascii="宋体" w:hAnsi="宋体" w:cs="宋体"/>
                <w:sz w:val="24"/>
                <w:highlight w:val="none"/>
              </w:rPr>
              <w:t>初步设计费（含方案设计、初步设计）报价</w:t>
            </w:r>
          </w:p>
        </w:tc>
        <w:tc>
          <w:tcPr>
            <w:tcW w:w="1823" w:type="dxa"/>
            <w:tcBorders>
              <w:top w:val="single" w:color="auto" w:sz="4" w:space="0"/>
              <w:left w:val="single" w:color="auto" w:sz="4" w:space="0"/>
              <w:bottom w:val="single" w:color="auto" w:sz="4" w:space="0"/>
              <w:right w:val="single" w:color="auto" w:sz="4" w:space="0"/>
            </w:tcBorders>
            <w:vAlign w:val="center"/>
          </w:tcPr>
          <w:p w14:paraId="103AD6B8">
            <w:pPr>
              <w:shd w:val="clear"/>
              <w:jc w:val="center"/>
              <w:rPr>
                <w:rFonts w:hint="eastAsia" w:ascii="宋体" w:hAnsi="宋体" w:cs="宋体"/>
                <w:szCs w:val="21"/>
                <w:highlight w:val="none"/>
              </w:rPr>
            </w:pPr>
          </w:p>
        </w:tc>
        <w:tc>
          <w:tcPr>
            <w:tcW w:w="1107" w:type="dxa"/>
            <w:tcBorders>
              <w:top w:val="single" w:color="auto" w:sz="4" w:space="0"/>
              <w:left w:val="single" w:color="auto" w:sz="4" w:space="0"/>
              <w:bottom w:val="single" w:color="auto" w:sz="4" w:space="0"/>
              <w:right w:val="single" w:color="auto" w:sz="4" w:space="0"/>
            </w:tcBorders>
            <w:vAlign w:val="center"/>
          </w:tcPr>
          <w:p w14:paraId="0E3EB291">
            <w:pPr>
              <w:pStyle w:val="6"/>
              <w:shd w:val="clear"/>
              <w:jc w:val="center"/>
              <w:rPr>
                <w:rFonts w:hint="eastAsia" w:ascii="宋体" w:hAnsi="宋体" w:cs="宋体"/>
                <w:szCs w:val="21"/>
                <w:highlight w:val="none"/>
              </w:rPr>
            </w:pPr>
            <w:r>
              <w:rPr>
                <w:rFonts w:hint="eastAsia" w:ascii="宋体" w:hAnsi="宋体" w:cs="宋体"/>
                <w:sz w:val="24"/>
                <w:highlight w:val="none"/>
              </w:rPr>
              <w:t>%</w:t>
            </w:r>
          </w:p>
        </w:tc>
        <w:tc>
          <w:tcPr>
            <w:tcW w:w="3119" w:type="dxa"/>
            <w:tcBorders>
              <w:top w:val="single" w:color="auto" w:sz="4" w:space="0"/>
              <w:left w:val="single" w:color="auto" w:sz="4" w:space="0"/>
              <w:bottom w:val="single" w:color="auto" w:sz="4" w:space="0"/>
              <w:right w:val="single" w:color="auto" w:sz="4" w:space="0"/>
            </w:tcBorders>
            <w:vAlign w:val="center"/>
          </w:tcPr>
          <w:p w14:paraId="4555BA93">
            <w:pPr>
              <w:pStyle w:val="6"/>
              <w:shd w:val="clear"/>
              <w:jc w:val="center"/>
              <w:rPr>
                <w:rFonts w:hint="eastAsia" w:ascii="宋体" w:hAnsi="宋体" w:cs="宋体"/>
                <w:sz w:val="24"/>
                <w:szCs w:val="24"/>
                <w:highlight w:val="none"/>
              </w:rPr>
            </w:pPr>
            <w:r>
              <w:rPr>
                <w:rFonts w:hint="eastAsia" w:ascii="宋体" w:hAnsi="宋体" w:cs="宋体"/>
                <w:sz w:val="24"/>
                <w:szCs w:val="24"/>
                <w:highlight w:val="none"/>
              </w:rPr>
              <w:t>对应报价金额不得超过最高投标限价</w:t>
            </w:r>
            <w:r>
              <w:rPr>
                <w:rFonts w:hint="eastAsia" w:ascii="宋体" w:hAnsi="宋体" w:cs="宋体"/>
                <w:sz w:val="24"/>
                <w:szCs w:val="24"/>
                <w:highlight w:val="none"/>
                <w:lang w:val="en-US" w:eastAsia="zh-CN"/>
              </w:rPr>
              <w:t>9,497,392.00</w:t>
            </w:r>
            <w:r>
              <w:rPr>
                <w:rFonts w:hint="eastAsia" w:ascii="宋体" w:hAnsi="宋体" w:cs="宋体"/>
                <w:sz w:val="24"/>
                <w:szCs w:val="24"/>
                <w:highlight w:val="none"/>
              </w:rPr>
              <w:t>元</w:t>
            </w:r>
          </w:p>
        </w:tc>
      </w:tr>
      <w:tr w14:paraId="4276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14:paraId="16C315EE">
            <w:pPr>
              <w:shd w:val="clear"/>
              <w:jc w:val="center"/>
              <w:rPr>
                <w:rFonts w:hint="eastAsia" w:ascii="宋体" w:hAnsi="宋体" w:cs="宋体"/>
                <w:szCs w:val="21"/>
                <w:highlight w:val="none"/>
              </w:rPr>
            </w:pPr>
            <w:r>
              <w:rPr>
                <w:rFonts w:hint="eastAsia" w:ascii="宋体" w:hAnsi="宋体" w:cs="宋体"/>
                <w:sz w:val="24"/>
                <w:highlight w:val="none"/>
              </w:rPr>
              <w:t>3</w:t>
            </w:r>
          </w:p>
        </w:tc>
        <w:tc>
          <w:tcPr>
            <w:tcW w:w="2340" w:type="dxa"/>
            <w:tcBorders>
              <w:top w:val="single" w:color="auto" w:sz="4" w:space="0"/>
              <w:left w:val="single" w:color="auto" w:sz="4" w:space="0"/>
              <w:bottom w:val="single" w:color="auto" w:sz="4" w:space="0"/>
              <w:right w:val="single" w:color="auto" w:sz="4" w:space="0"/>
            </w:tcBorders>
            <w:vAlign w:val="center"/>
          </w:tcPr>
          <w:p w14:paraId="01400313">
            <w:pPr>
              <w:pStyle w:val="6"/>
              <w:shd w:val="clear"/>
              <w:jc w:val="center"/>
              <w:rPr>
                <w:rFonts w:hint="eastAsia" w:ascii="宋体" w:hAnsi="宋体" w:cs="宋体"/>
                <w:szCs w:val="21"/>
                <w:highlight w:val="none"/>
              </w:rPr>
            </w:pPr>
            <w:r>
              <w:rPr>
                <w:rFonts w:hint="eastAsia" w:ascii="宋体" w:hAnsi="宋体" w:cs="宋体"/>
                <w:sz w:val="24"/>
                <w:highlight w:val="none"/>
              </w:rPr>
              <w:t>建筑信息模型（BIM）技术应用费报价</w:t>
            </w:r>
          </w:p>
        </w:tc>
        <w:tc>
          <w:tcPr>
            <w:tcW w:w="1823" w:type="dxa"/>
            <w:tcBorders>
              <w:top w:val="single" w:color="auto" w:sz="4" w:space="0"/>
              <w:left w:val="single" w:color="auto" w:sz="4" w:space="0"/>
              <w:bottom w:val="single" w:color="auto" w:sz="4" w:space="0"/>
              <w:right w:val="single" w:color="auto" w:sz="4" w:space="0"/>
            </w:tcBorders>
            <w:vAlign w:val="center"/>
          </w:tcPr>
          <w:p w14:paraId="07290FAB">
            <w:pPr>
              <w:shd w:val="clear"/>
              <w:jc w:val="center"/>
              <w:rPr>
                <w:rFonts w:hint="eastAsia" w:ascii="宋体" w:hAnsi="宋体" w:cs="宋体"/>
                <w:szCs w:val="21"/>
                <w:highlight w:val="none"/>
              </w:rPr>
            </w:pPr>
          </w:p>
        </w:tc>
        <w:tc>
          <w:tcPr>
            <w:tcW w:w="1107" w:type="dxa"/>
            <w:tcBorders>
              <w:top w:val="single" w:color="auto" w:sz="4" w:space="0"/>
              <w:left w:val="single" w:color="auto" w:sz="4" w:space="0"/>
              <w:bottom w:val="single" w:color="auto" w:sz="4" w:space="0"/>
              <w:right w:val="single" w:color="auto" w:sz="4" w:space="0"/>
            </w:tcBorders>
            <w:vAlign w:val="center"/>
          </w:tcPr>
          <w:p w14:paraId="665EA98F">
            <w:pPr>
              <w:pStyle w:val="6"/>
              <w:shd w:val="clear"/>
              <w:jc w:val="center"/>
              <w:rPr>
                <w:rFonts w:hint="eastAsia" w:ascii="宋体" w:hAnsi="宋体" w:cs="宋体"/>
                <w:szCs w:val="21"/>
                <w:highlight w:val="none"/>
              </w:rPr>
            </w:pPr>
            <w:r>
              <w:rPr>
                <w:rFonts w:hint="eastAsia" w:ascii="宋体" w:hAnsi="宋体" w:cs="宋体"/>
                <w:sz w:val="24"/>
                <w:highlight w:val="none"/>
              </w:rPr>
              <w:t>%</w:t>
            </w:r>
          </w:p>
        </w:tc>
        <w:tc>
          <w:tcPr>
            <w:tcW w:w="3119" w:type="dxa"/>
            <w:tcBorders>
              <w:top w:val="single" w:color="auto" w:sz="4" w:space="0"/>
              <w:left w:val="single" w:color="auto" w:sz="4" w:space="0"/>
              <w:bottom w:val="single" w:color="auto" w:sz="4" w:space="0"/>
              <w:right w:val="single" w:color="auto" w:sz="4" w:space="0"/>
            </w:tcBorders>
            <w:vAlign w:val="center"/>
          </w:tcPr>
          <w:p w14:paraId="64CB5554">
            <w:pPr>
              <w:pStyle w:val="6"/>
              <w:shd w:val="clear"/>
              <w:jc w:val="center"/>
              <w:rPr>
                <w:rFonts w:hint="eastAsia" w:ascii="宋体" w:hAnsi="宋体" w:cs="宋体"/>
                <w:sz w:val="24"/>
                <w:szCs w:val="24"/>
                <w:highlight w:val="none"/>
              </w:rPr>
            </w:pPr>
            <w:r>
              <w:rPr>
                <w:rFonts w:hint="eastAsia" w:ascii="宋体" w:hAnsi="宋体" w:cs="宋体"/>
                <w:sz w:val="24"/>
                <w:szCs w:val="24"/>
                <w:highlight w:val="none"/>
              </w:rPr>
              <w:t>对应报价金额不得超过最高投标限价</w:t>
            </w:r>
            <w:r>
              <w:rPr>
                <w:rFonts w:hint="eastAsia" w:ascii="宋体" w:hAnsi="宋体" w:cs="宋体"/>
                <w:sz w:val="24"/>
                <w:szCs w:val="24"/>
                <w:highlight w:val="none"/>
                <w:lang w:val="en-US" w:eastAsia="zh-CN"/>
              </w:rPr>
              <w:t>530,273.10</w:t>
            </w:r>
            <w:r>
              <w:rPr>
                <w:rFonts w:hint="eastAsia" w:ascii="宋体" w:hAnsi="宋体" w:cs="宋体"/>
                <w:sz w:val="24"/>
                <w:szCs w:val="24"/>
                <w:highlight w:val="none"/>
              </w:rPr>
              <w:t>元</w:t>
            </w:r>
          </w:p>
        </w:tc>
      </w:tr>
      <w:tr w14:paraId="4A71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2883" w:type="dxa"/>
            <w:gridSpan w:val="2"/>
            <w:tcBorders>
              <w:top w:val="single" w:color="auto" w:sz="4" w:space="0"/>
              <w:left w:val="single" w:color="auto" w:sz="4" w:space="0"/>
              <w:bottom w:val="single" w:color="auto" w:sz="4" w:space="0"/>
              <w:right w:val="single" w:color="auto" w:sz="4" w:space="0"/>
            </w:tcBorders>
            <w:vAlign w:val="center"/>
          </w:tcPr>
          <w:p w14:paraId="68EBCFFF">
            <w:pPr>
              <w:pStyle w:val="6"/>
              <w:shd w:val="clear"/>
              <w:jc w:val="center"/>
              <w:rPr>
                <w:rFonts w:hint="eastAsia" w:ascii="宋体" w:hAnsi="宋体" w:cs="宋体"/>
                <w:sz w:val="24"/>
                <w:highlight w:val="none"/>
              </w:rPr>
            </w:pPr>
            <w:r>
              <w:rPr>
                <w:rFonts w:hint="eastAsia" w:ascii="宋体" w:hAnsi="宋体" w:cs="宋体"/>
                <w:sz w:val="24"/>
                <w:highlight w:val="none"/>
              </w:rPr>
              <w:t>工程勘察初步设计费投标总报价</w:t>
            </w:r>
          </w:p>
        </w:tc>
        <w:tc>
          <w:tcPr>
            <w:tcW w:w="1823" w:type="dxa"/>
            <w:tcBorders>
              <w:top w:val="single" w:color="auto" w:sz="4" w:space="0"/>
              <w:left w:val="single" w:color="auto" w:sz="4" w:space="0"/>
              <w:bottom w:val="single" w:color="auto" w:sz="4" w:space="0"/>
              <w:right w:val="single" w:color="auto" w:sz="4" w:space="0"/>
            </w:tcBorders>
            <w:vAlign w:val="center"/>
          </w:tcPr>
          <w:p w14:paraId="3334F666">
            <w:pPr>
              <w:shd w:val="clear"/>
              <w:jc w:val="center"/>
              <w:rPr>
                <w:rFonts w:hint="eastAsia" w:ascii="宋体" w:hAnsi="宋体" w:cs="宋体"/>
                <w:szCs w:val="21"/>
                <w:highlight w:val="none"/>
              </w:rPr>
            </w:pPr>
          </w:p>
        </w:tc>
        <w:tc>
          <w:tcPr>
            <w:tcW w:w="1107" w:type="dxa"/>
            <w:tcBorders>
              <w:top w:val="single" w:color="auto" w:sz="4" w:space="0"/>
              <w:left w:val="single" w:color="auto" w:sz="4" w:space="0"/>
              <w:bottom w:val="single" w:color="auto" w:sz="4" w:space="0"/>
              <w:right w:val="single" w:color="auto" w:sz="4" w:space="0"/>
            </w:tcBorders>
            <w:vAlign w:val="center"/>
          </w:tcPr>
          <w:p w14:paraId="293AAF19">
            <w:pPr>
              <w:pStyle w:val="6"/>
              <w:shd w:val="clear"/>
              <w:jc w:val="center"/>
              <w:rPr>
                <w:rFonts w:hint="eastAsia" w:ascii="宋体" w:hAnsi="宋体" w:cs="宋体"/>
                <w:sz w:val="24"/>
                <w:highlight w:val="none"/>
              </w:rPr>
            </w:pPr>
            <w:r>
              <w:rPr>
                <w:rFonts w:hint="eastAsia" w:ascii="宋体" w:hAnsi="宋体" w:cs="宋体"/>
                <w:sz w:val="24"/>
                <w:highlight w:val="none"/>
              </w:rPr>
              <w:t>%</w:t>
            </w:r>
          </w:p>
        </w:tc>
        <w:tc>
          <w:tcPr>
            <w:tcW w:w="3119" w:type="dxa"/>
            <w:tcBorders>
              <w:top w:val="single" w:color="auto" w:sz="4" w:space="0"/>
              <w:left w:val="single" w:color="auto" w:sz="4" w:space="0"/>
              <w:bottom w:val="single" w:color="auto" w:sz="4" w:space="0"/>
              <w:right w:val="single" w:color="auto" w:sz="4" w:space="0"/>
            </w:tcBorders>
            <w:vAlign w:val="center"/>
          </w:tcPr>
          <w:p w14:paraId="788125E0">
            <w:pPr>
              <w:pStyle w:val="6"/>
              <w:shd w:val="clear"/>
              <w:jc w:val="center"/>
              <w:rPr>
                <w:rFonts w:hint="eastAsia" w:ascii="宋体" w:hAnsi="宋体" w:cs="宋体"/>
                <w:sz w:val="24"/>
                <w:szCs w:val="24"/>
                <w:highlight w:val="none"/>
              </w:rPr>
            </w:pPr>
            <w:r>
              <w:rPr>
                <w:rFonts w:hint="eastAsia" w:ascii="宋体" w:hAnsi="宋体" w:cs="宋体"/>
                <w:sz w:val="24"/>
                <w:szCs w:val="24"/>
                <w:highlight w:val="none"/>
              </w:rPr>
              <w:t>对应报价金额不得超过最高投标限价</w:t>
            </w:r>
            <w:r>
              <w:rPr>
                <w:rFonts w:hint="eastAsia" w:ascii="宋体" w:hAnsi="宋体" w:cs="宋体"/>
                <w:sz w:val="24"/>
                <w:szCs w:val="24"/>
                <w:highlight w:val="none"/>
                <w:lang w:val="en-US" w:eastAsia="zh-CN"/>
              </w:rPr>
              <w:t>11,564,337.04</w:t>
            </w:r>
            <w:r>
              <w:rPr>
                <w:rFonts w:hint="eastAsia" w:ascii="宋体" w:hAnsi="宋体" w:cs="宋体"/>
                <w:sz w:val="24"/>
                <w:szCs w:val="24"/>
                <w:highlight w:val="none"/>
              </w:rPr>
              <w:t>元</w:t>
            </w:r>
          </w:p>
        </w:tc>
      </w:tr>
    </w:tbl>
    <w:p w14:paraId="214BD913">
      <w:pPr>
        <w:shd w:val="clea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注释：</w:t>
      </w:r>
    </w:p>
    <w:p w14:paraId="3250560D">
      <w:pPr>
        <w:shd w:val="clea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1.投标人根据《工程勘察初步设计费报价汇总表》的要求进行报价。</w:t>
      </w:r>
    </w:p>
    <w:p w14:paraId="74F0621B">
      <w:pPr>
        <w:shd w:val="clea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2.</w:t>
      </w:r>
      <w:r>
        <w:rPr>
          <w:rFonts w:hint="eastAsia" w:ascii="宋体" w:hAnsi="宋体" w:cs="宋体"/>
          <w:szCs w:val="21"/>
          <w:highlight w:val="none"/>
        </w:rPr>
        <w:t>若勘察初步设计费报价超过勘察初步设计费最高投标限价或单项报价超过单项最高投标限价均作无效标书处理。</w:t>
      </w:r>
    </w:p>
    <w:p w14:paraId="6613C32B">
      <w:pPr>
        <w:shd w:val="clea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3.</w:t>
      </w:r>
      <w:r>
        <w:rPr>
          <w:rFonts w:hint="eastAsia" w:ascii="宋体" w:hAnsi="宋体" w:cs="宋体"/>
          <w:szCs w:val="21"/>
          <w:highlight w:val="none"/>
        </w:rPr>
        <w:t>投标下浮率=（最高投标限价-投标报价）/最高投标限价×100%。</w:t>
      </w:r>
    </w:p>
    <w:p w14:paraId="34B32ABC">
      <w:pPr>
        <w:shd w:val="clear"/>
        <w:spacing w:line="360" w:lineRule="auto"/>
        <w:ind w:firstLine="420" w:firstLineChars="200"/>
        <w:rPr>
          <w:rFonts w:hint="eastAsia" w:ascii="宋体" w:hAnsi="宋体" w:cs="宋体"/>
          <w:highlight w:val="none"/>
        </w:rPr>
      </w:pPr>
      <w:r>
        <w:rPr>
          <w:rFonts w:hint="eastAsia" w:ascii="宋体" w:hAnsi="宋体" w:cs="宋体"/>
          <w:szCs w:val="21"/>
          <w:highlight w:val="none"/>
          <w:lang w:eastAsia="zh-CN"/>
        </w:rPr>
        <w:t>4.</w:t>
      </w:r>
      <w:r>
        <w:rPr>
          <w:rFonts w:hint="eastAsia" w:ascii="宋体" w:hAnsi="宋体" w:cs="宋体"/>
          <w:szCs w:val="21"/>
          <w:highlight w:val="none"/>
        </w:rPr>
        <w:t>勘察初步设计费报价与勘察初步设计费下浮率所算出的价格不一致的，以勘察初步设计费报价为准，修正勘察初步设计费下浮率=1-勘察初步设计费报价/最高投标限价（以%为单位，精确到小数点后</w:t>
      </w:r>
      <w:r>
        <w:rPr>
          <w:rFonts w:hint="eastAsia" w:ascii="宋体" w:hAnsi="宋体" w:cs="宋体"/>
          <w:szCs w:val="21"/>
          <w:highlight w:val="none"/>
          <w:lang w:val="en-US" w:eastAsia="zh-CN"/>
        </w:rPr>
        <w:t>两</w:t>
      </w:r>
      <w:r>
        <w:rPr>
          <w:rFonts w:hint="eastAsia" w:ascii="宋体" w:hAnsi="宋体" w:cs="宋体"/>
          <w:szCs w:val="21"/>
          <w:highlight w:val="none"/>
        </w:rPr>
        <w:t>位）。评标委员会</w:t>
      </w:r>
      <w:r>
        <w:rPr>
          <w:rFonts w:hint="eastAsia" w:ascii="宋体" w:hAnsi="宋体" w:cs="宋体"/>
          <w:highlight w:val="none"/>
        </w:rPr>
        <w:t>按上述修正错误的原则及方法修正投标文件的</w:t>
      </w:r>
      <w:r>
        <w:rPr>
          <w:rFonts w:hint="eastAsia" w:ascii="宋体" w:hAnsi="宋体" w:cs="宋体"/>
          <w:szCs w:val="21"/>
          <w:highlight w:val="none"/>
        </w:rPr>
        <w:t>勘察初步设计费下浮率</w:t>
      </w:r>
      <w:r>
        <w:rPr>
          <w:rFonts w:hint="eastAsia" w:ascii="宋体" w:hAnsi="宋体" w:cs="宋体"/>
          <w:highlight w:val="none"/>
        </w:rPr>
        <w:t>，调整后的</w:t>
      </w:r>
      <w:r>
        <w:rPr>
          <w:rFonts w:hint="eastAsia" w:ascii="宋体" w:hAnsi="宋体" w:cs="宋体"/>
          <w:szCs w:val="21"/>
          <w:highlight w:val="none"/>
        </w:rPr>
        <w:t>勘察初步设计费下浮率</w:t>
      </w:r>
      <w:r>
        <w:rPr>
          <w:rFonts w:hint="eastAsia" w:ascii="宋体" w:hAnsi="宋体" w:cs="宋体"/>
          <w:highlight w:val="none"/>
        </w:rPr>
        <w:t>对投标人起约束作用。如果投标人不接受修正后的</w:t>
      </w:r>
      <w:r>
        <w:rPr>
          <w:rFonts w:hint="eastAsia" w:ascii="宋体" w:hAnsi="宋体" w:cs="宋体"/>
          <w:szCs w:val="21"/>
          <w:highlight w:val="none"/>
        </w:rPr>
        <w:t>勘察初步设计费下浮率</w:t>
      </w:r>
      <w:r>
        <w:rPr>
          <w:rFonts w:hint="eastAsia" w:ascii="宋体" w:hAnsi="宋体" w:cs="宋体"/>
          <w:highlight w:val="none"/>
        </w:rPr>
        <w:t>，则取消其中标资格。</w:t>
      </w:r>
    </w:p>
    <w:p w14:paraId="31D9ACD8">
      <w:pPr>
        <w:pStyle w:val="7"/>
        <w:shd w:val="clear"/>
        <w:kinsoku w:val="0"/>
        <w:overflowPunct w:val="0"/>
        <w:spacing w:line="360" w:lineRule="auto"/>
        <w:ind w:firstLine="2891" w:firstLineChars="1200"/>
        <w:jc w:val="right"/>
        <w:rPr>
          <w:rFonts w:hint="eastAsia" w:ascii="宋体" w:hAnsi="宋体" w:cs="宋体"/>
          <w:b/>
          <w:sz w:val="24"/>
          <w:szCs w:val="24"/>
          <w:highlight w:val="none"/>
        </w:rPr>
      </w:pPr>
      <w:r>
        <w:rPr>
          <w:rFonts w:hint="eastAsia" w:ascii="宋体" w:hAnsi="宋体" w:cs="宋体"/>
          <w:b/>
          <w:sz w:val="24"/>
          <w:szCs w:val="24"/>
          <w:highlight w:val="none"/>
        </w:rPr>
        <w:t>投标</w:t>
      </w:r>
      <w:r>
        <w:rPr>
          <w:rFonts w:hint="eastAsia" w:ascii="宋体" w:hAnsi="宋体" w:cs="宋体"/>
          <w:b/>
          <w:spacing w:val="-2"/>
          <w:sz w:val="24"/>
          <w:szCs w:val="24"/>
          <w:highlight w:val="none"/>
        </w:rPr>
        <w:t>人：</w:t>
      </w:r>
      <w:r>
        <w:rPr>
          <w:rFonts w:hint="eastAsia" w:ascii="宋体" w:hAnsi="宋体" w:cs="宋体"/>
          <w:b/>
          <w:spacing w:val="-2"/>
          <w:sz w:val="24"/>
          <w:szCs w:val="24"/>
          <w:highlight w:val="none"/>
          <w:u w:val="single"/>
        </w:rPr>
        <w:t xml:space="preserve">      </w:t>
      </w:r>
      <w:r>
        <w:rPr>
          <w:rFonts w:hint="eastAsia" w:ascii="宋体" w:hAnsi="宋体" w:cs="宋体"/>
          <w:b/>
          <w:spacing w:val="-1"/>
          <w:sz w:val="24"/>
          <w:szCs w:val="24"/>
          <w:highlight w:val="none"/>
        </w:rPr>
        <w:t>（盖单位章）</w:t>
      </w:r>
    </w:p>
    <w:p w14:paraId="656E3BE7">
      <w:pPr>
        <w:pStyle w:val="7"/>
        <w:shd w:val="clear"/>
        <w:kinsoku w:val="0"/>
        <w:overflowPunct w:val="0"/>
        <w:spacing w:line="360" w:lineRule="auto"/>
        <w:ind w:firstLine="2891" w:firstLineChars="1200"/>
        <w:jc w:val="right"/>
        <w:rPr>
          <w:rFonts w:hint="eastAsia" w:ascii="宋体" w:hAnsi="宋体" w:cs="宋体"/>
          <w:b/>
          <w:sz w:val="24"/>
          <w:szCs w:val="24"/>
          <w:highlight w:val="none"/>
        </w:rPr>
      </w:pPr>
      <w:r>
        <w:rPr>
          <w:rFonts w:hint="eastAsia" w:ascii="宋体" w:hAnsi="宋体" w:cs="宋体"/>
          <w:b/>
          <w:bCs/>
          <w:sz w:val="24"/>
          <w:szCs w:val="24"/>
          <w:highlight w:val="none"/>
        </w:rPr>
        <w:t>法定代表人或</w:t>
      </w:r>
      <w:r>
        <w:rPr>
          <w:rFonts w:hint="eastAsia" w:ascii="宋体" w:hAnsi="宋体" w:cs="宋体"/>
          <w:b/>
          <w:sz w:val="24"/>
          <w:szCs w:val="24"/>
          <w:highlight w:val="none"/>
        </w:rPr>
        <w:t>其委托代理人：</w:t>
      </w:r>
      <w:r>
        <w:rPr>
          <w:rFonts w:hint="eastAsia" w:ascii="宋体" w:hAnsi="宋体" w:cs="宋体"/>
          <w:b/>
          <w:spacing w:val="-2"/>
          <w:sz w:val="24"/>
          <w:szCs w:val="24"/>
          <w:highlight w:val="none"/>
          <w:u w:val="single"/>
        </w:rPr>
        <w:t xml:space="preserve">      </w:t>
      </w:r>
      <w:r>
        <w:rPr>
          <w:rFonts w:hint="eastAsia" w:ascii="宋体" w:hAnsi="宋体" w:cs="宋体"/>
          <w:b/>
          <w:sz w:val="24"/>
          <w:szCs w:val="24"/>
          <w:highlight w:val="none"/>
        </w:rPr>
        <w:t>（签字或盖章）</w:t>
      </w:r>
    </w:p>
    <w:p w14:paraId="06D526C1">
      <w:pPr>
        <w:shd w:val="clear"/>
        <w:spacing w:line="360" w:lineRule="auto"/>
        <w:jc w:val="right"/>
        <w:rPr>
          <w:rFonts w:hint="eastAsia" w:ascii="宋体" w:hAnsi="宋体" w:cs="宋体"/>
          <w:highlight w:val="none"/>
        </w:rPr>
      </w:pPr>
      <w:r>
        <w:rPr>
          <w:rFonts w:hint="eastAsia" w:ascii="宋体" w:hAnsi="宋体" w:cs="宋体"/>
          <w:b/>
          <w:sz w:val="24"/>
          <w:szCs w:val="24"/>
          <w:highlight w:val="none"/>
        </w:rPr>
        <w:t>年     月</w:t>
      </w:r>
      <w:r>
        <w:rPr>
          <w:rFonts w:hint="eastAsia" w:ascii="宋体" w:hAnsi="宋体" w:cs="宋体"/>
          <w:b/>
          <w:sz w:val="24"/>
          <w:szCs w:val="24"/>
          <w:highlight w:val="none"/>
        </w:rPr>
        <w:tab/>
      </w:r>
      <w:r>
        <w:rPr>
          <w:rFonts w:hint="eastAsia" w:ascii="宋体" w:hAnsi="宋体" w:cs="宋体"/>
          <w:b/>
          <w:sz w:val="24"/>
          <w:szCs w:val="24"/>
          <w:highlight w:val="none"/>
        </w:rPr>
        <w:t xml:space="preserve"> 日</w:t>
      </w:r>
    </w:p>
    <w:p w14:paraId="2A7E3A33">
      <w:pPr>
        <w:widowControl/>
        <w:shd w:val="clear"/>
        <w:jc w:val="left"/>
        <w:rPr>
          <w:rFonts w:hint="eastAsia" w:ascii="宋体" w:hAnsi="宋体" w:cs="宋体"/>
          <w:szCs w:val="21"/>
          <w:highlight w:val="none"/>
        </w:rPr>
      </w:pPr>
      <w:r>
        <w:rPr>
          <w:rFonts w:hint="eastAsia" w:ascii="宋体" w:hAnsi="宋体" w:cs="宋体"/>
          <w:szCs w:val="21"/>
          <w:highlight w:val="none"/>
        </w:rPr>
        <w:br w:type="page"/>
      </w:r>
    </w:p>
    <w:p w14:paraId="0631FAC4">
      <w:pPr>
        <w:shd w:val="clear"/>
        <w:rPr>
          <w:rFonts w:hint="eastAsia" w:ascii="宋体" w:hAnsi="宋体" w:cs="宋体"/>
          <w:b/>
          <w:szCs w:val="21"/>
          <w:highlight w:val="none"/>
        </w:rPr>
      </w:pPr>
      <w:r>
        <w:rPr>
          <w:rFonts w:hint="eastAsia" w:ascii="宋体" w:hAnsi="宋体" w:cs="宋体"/>
          <w:b/>
          <w:szCs w:val="21"/>
          <w:highlight w:val="none"/>
        </w:rPr>
        <w:t>附件3－1：建筑信息模型（BIM）技术应用费计算表</w:t>
      </w:r>
    </w:p>
    <w:p w14:paraId="7C2439CA">
      <w:pPr>
        <w:shd w:val="clear"/>
        <w:rPr>
          <w:rFonts w:hint="eastAsia" w:ascii="宋体" w:hAnsi="宋体" w:cs="宋体"/>
          <w:b/>
          <w:szCs w:val="21"/>
          <w:highlight w:val="none"/>
        </w:rPr>
      </w:pPr>
    </w:p>
    <w:p w14:paraId="00F9D6BF">
      <w:pPr>
        <w:shd w:val="clear"/>
        <w:spacing w:line="400" w:lineRule="exact"/>
        <w:ind w:left="178" w:leftChars="85"/>
        <w:jc w:val="center"/>
        <w:rPr>
          <w:rFonts w:hint="eastAsia" w:ascii="宋体" w:hAnsi="宋体" w:cs="宋体"/>
          <w:b/>
          <w:sz w:val="32"/>
          <w:highlight w:val="none"/>
        </w:rPr>
      </w:pPr>
      <w:bookmarkStart w:id="222" w:name="_Toc28664"/>
      <w:r>
        <w:rPr>
          <w:rFonts w:hint="eastAsia" w:ascii="宋体" w:hAnsi="宋体" w:cs="宋体"/>
          <w:b/>
          <w:sz w:val="32"/>
          <w:highlight w:val="none"/>
        </w:rPr>
        <w:t>建筑信息模型（BIM）技术应用费计算表</w:t>
      </w:r>
    </w:p>
    <w:tbl>
      <w:tblPr>
        <w:tblStyle w:val="19"/>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3694"/>
        <w:gridCol w:w="2619"/>
        <w:gridCol w:w="2168"/>
      </w:tblGrid>
      <w:tr w14:paraId="07CB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132D3178">
            <w:pPr>
              <w:pStyle w:val="4"/>
              <w:shd w:val="clear"/>
              <w:jc w:val="center"/>
              <w:rPr>
                <w:rFonts w:hint="eastAsia" w:ascii="宋体" w:hAnsi="宋体" w:cs="宋体"/>
                <w:sz w:val="24"/>
                <w:szCs w:val="24"/>
                <w:highlight w:val="none"/>
              </w:rPr>
            </w:pPr>
            <w:r>
              <w:rPr>
                <w:rFonts w:hint="eastAsia" w:ascii="宋体" w:hAnsi="宋体" w:cs="宋体"/>
                <w:sz w:val="24"/>
                <w:szCs w:val="24"/>
                <w:highlight w:val="none"/>
              </w:rPr>
              <w:t>序号</w:t>
            </w:r>
          </w:p>
        </w:tc>
        <w:tc>
          <w:tcPr>
            <w:tcW w:w="3707" w:type="dxa"/>
          </w:tcPr>
          <w:p w14:paraId="33A01782">
            <w:pPr>
              <w:pStyle w:val="4"/>
              <w:shd w:val="clear"/>
              <w:jc w:val="center"/>
              <w:rPr>
                <w:rFonts w:hint="eastAsia" w:ascii="宋体" w:hAnsi="宋体" w:cs="宋体"/>
                <w:sz w:val="24"/>
                <w:szCs w:val="24"/>
                <w:highlight w:val="none"/>
              </w:rPr>
            </w:pPr>
            <w:r>
              <w:rPr>
                <w:rFonts w:hint="eastAsia" w:ascii="宋体" w:hAnsi="宋体" w:cs="宋体"/>
                <w:sz w:val="24"/>
                <w:szCs w:val="24"/>
                <w:highlight w:val="none"/>
              </w:rPr>
              <w:t>分项</w:t>
            </w:r>
          </w:p>
        </w:tc>
        <w:tc>
          <w:tcPr>
            <w:tcW w:w="2626" w:type="dxa"/>
          </w:tcPr>
          <w:p w14:paraId="62A029BE">
            <w:pPr>
              <w:pStyle w:val="4"/>
              <w:shd w:val="clear"/>
              <w:jc w:val="center"/>
              <w:rPr>
                <w:rFonts w:hint="eastAsia" w:ascii="宋体" w:hAnsi="宋体" w:cs="宋体"/>
                <w:sz w:val="24"/>
                <w:szCs w:val="24"/>
                <w:highlight w:val="none"/>
              </w:rPr>
            </w:pPr>
            <w:r>
              <w:rPr>
                <w:rFonts w:hint="eastAsia" w:ascii="宋体" w:hAnsi="宋体" w:cs="宋体"/>
                <w:sz w:val="24"/>
                <w:szCs w:val="24"/>
                <w:highlight w:val="none"/>
              </w:rPr>
              <w:t>投标值</w:t>
            </w:r>
          </w:p>
        </w:tc>
        <w:tc>
          <w:tcPr>
            <w:tcW w:w="2175" w:type="dxa"/>
          </w:tcPr>
          <w:p w14:paraId="6680C97E">
            <w:pPr>
              <w:pStyle w:val="4"/>
              <w:shd w:val="clear"/>
              <w:jc w:val="center"/>
              <w:rPr>
                <w:rFonts w:hint="eastAsia" w:ascii="宋体" w:hAnsi="宋体" w:cs="宋体"/>
                <w:sz w:val="24"/>
                <w:szCs w:val="24"/>
                <w:highlight w:val="none"/>
              </w:rPr>
            </w:pPr>
            <w:r>
              <w:rPr>
                <w:rFonts w:hint="eastAsia" w:ascii="宋体" w:hAnsi="宋体" w:cs="宋体"/>
                <w:sz w:val="24"/>
                <w:szCs w:val="24"/>
                <w:highlight w:val="none"/>
              </w:rPr>
              <w:t>备注</w:t>
            </w:r>
          </w:p>
        </w:tc>
      </w:tr>
      <w:tr w14:paraId="1C3A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vAlign w:val="center"/>
          </w:tcPr>
          <w:p w14:paraId="7E3A945A">
            <w:pPr>
              <w:pStyle w:val="4"/>
              <w:shd w:val="clear"/>
              <w:jc w:val="center"/>
              <w:rPr>
                <w:rFonts w:hint="eastAsia" w:ascii="宋体" w:hAnsi="宋体" w:cs="宋体"/>
                <w:sz w:val="24"/>
                <w:szCs w:val="24"/>
                <w:highlight w:val="none"/>
              </w:rPr>
            </w:pPr>
            <w:r>
              <w:rPr>
                <w:rFonts w:hint="eastAsia" w:ascii="宋体" w:hAnsi="宋体" w:cs="宋体"/>
                <w:sz w:val="24"/>
                <w:szCs w:val="24"/>
                <w:highlight w:val="none"/>
              </w:rPr>
              <w:t>一</w:t>
            </w:r>
          </w:p>
        </w:tc>
        <w:tc>
          <w:tcPr>
            <w:tcW w:w="3707" w:type="dxa"/>
            <w:vAlign w:val="center"/>
          </w:tcPr>
          <w:p w14:paraId="1FDF7235">
            <w:pPr>
              <w:pStyle w:val="4"/>
              <w:shd w:val="clear"/>
              <w:jc w:val="left"/>
              <w:rPr>
                <w:rFonts w:hint="eastAsia" w:ascii="宋体" w:hAnsi="宋体" w:cs="宋体"/>
                <w:sz w:val="24"/>
                <w:szCs w:val="24"/>
                <w:highlight w:val="none"/>
              </w:rPr>
            </w:pPr>
            <w:r>
              <w:rPr>
                <w:rFonts w:hint="eastAsia" w:ascii="宋体" w:hAnsi="宋体" w:cs="宋体"/>
                <w:sz w:val="24"/>
                <w:szCs w:val="24"/>
                <w:highlight w:val="none"/>
              </w:rPr>
              <w:t>计算基础（建筑面积）（m</w:t>
            </w:r>
            <w:r>
              <w:rPr>
                <w:rFonts w:hint="eastAsia" w:ascii="宋体" w:hAnsi="宋体" w:cs="宋体"/>
                <w:sz w:val="24"/>
                <w:szCs w:val="24"/>
                <w:highlight w:val="none"/>
                <w:vertAlign w:val="superscript"/>
              </w:rPr>
              <w:t>2</w:t>
            </w:r>
            <w:r>
              <w:rPr>
                <w:rFonts w:hint="eastAsia" w:ascii="宋体" w:hAnsi="宋体" w:cs="宋体"/>
                <w:sz w:val="24"/>
                <w:szCs w:val="24"/>
                <w:highlight w:val="none"/>
              </w:rPr>
              <w:t>）</w:t>
            </w:r>
          </w:p>
        </w:tc>
        <w:tc>
          <w:tcPr>
            <w:tcW w:w="2626" w:type="dxa"/>
            <w:vAlign w:val="center"/>
          </w:tcPr>
          <w:p w14:paraId="3740D764">
            <w:pPr>
              <w:pStyle w:val="4"/>
              <w:shd w:val="clear"/>
              <w:jc w:val="center"/>
              <w:rPr>
                <w:rFonts w:hint="default" w:ascii="宋体" w:hAnsi="宋体" w:eastAsia="宋体" w:cs="宋体"/>
                <w:sz w:val="24"/>
                <w:szCs w:val="24"/>
                <w:highlight w:val="none"/>
                <w:lang w:val="en-US" w:eastAsia="zh-CN"/>
              </w:rPr>
            </w:pPr>
            <w:r>
              <w:rPr>
                <w:rFonts w:hint="eastAsia" w:ascii="宋体" w:hAnsi="宋体" w:cs="宋体"/>
                <w:b w:val="0"/>
                <w:bCs w:val="0"/>
                <w:sz w:val="24"/>
                <w:szCs w:val="24"/>
                <w:highlight w:val="none"/>
              </w:rPr>
              <w:t>252511</w:t>
            </w:r>
            <w:r>
              <w:rPr>
                <w:rFonts w:hint="eastAsia" w:ascii="宋体" w:hAnsi="宋体" w:cs="宋体"/>
                <w:b w:val="0"/>
                <w:bCs w:val="0"/>
                <w:sz w:val="24"/>
                <w:szCs w:val="24"/>
                <w:highlight w:val="none"/>
                <w:lang w:val="en-US" w:eastAsia="zh-CN"/>
              </w:rPr>
              <w:t>.00</w:t>
            </w:r>
          </w:p>
        </w:tc>
        <w:tc>
          <w:tcPr>
            <w:tcW w:w="2175" w:type="dxa"/>
          </w:tcPr>
          <w:p w14:paraId="77F454AA">
            <w:pPr>
              <w:pStyle w:val="4"/>
              <w:shd w:val="clear"/>
              <w:rPr>
                <w:rFonts w:hint="eastAsia" w:ascii="宋体" w:hAnsi="宋体" w:cs="宋体"/>
                <w:sz w:val="24"/>
                <w:szCs w:val="24"/>
                <w:highlight w:val="none"/>
              </w:rPr>
            </w:pPr>
            <w:r>
              <w:rPr>
                <w:rFonts w:hint="eastAsia" w:ascii="宋体" w:hAnsi="宋体" w:cs="宋体"/>
                <w:sz w:val="24"/>
                <w:szCs w:val="24"/>
                <w:highlight w:val="none"/>
              </w:rPr>
              <w:t>暂定工程量，投标不得浮动</w:t>
            </w:r>
          </w:p>
        </w:tc>
      </w:tr>
      <w:tr w14:paraId="443E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103D59A4">
            <w:pPr>
              <w:pStyle w:val="4"/>
              <w:shd w:val="clear"/>
              <w:jc w:val="center"/>
              <w:rPr>
                <w:rFonts w:hint="eastAsia" w:ascii="宋体" w:hAnsi="宋体" w:cs="宋体"/>
                <w:sz w:val="24"/>
                <w:szCs w:val="24"/>
                <w:highlight w:val="none"/>
              </w:rPr>
            </w:pPr>
            <w:r>
              <w:rPr>
                <w:rFonts w:hint="eastAsia" w:ascii="宋体" w:hAnsi="宋体" w:cs="宋体"/>
                <w:sz w:val="24"/>
                <w:szCs w:val="24"/>
                <w:highlight w:val="none"/>
              </w:rPr>
              <w:t>二</w:t>
            </w:r>
          </w:p>
        </w:tc>
        <w:tc>
          <w:tcPr>
            <w:tcW w:w="3707" w:type="dxa"/>
          </w:tcPr>
          <w:p w14:paraId="7BC96142">
            <w:pPr>
              <w:pStyle w:val="4"/>
              <w:shd w:val="clear"/>
              <w:rPr>
                <w:rFonts w:hint="eastAsia" w:ascii="宋体" w:hAnsi="宋体" w:cs="宋体"/>
                <w:sz w:val="24"/>
                <w:szCs w:val="24"/>
                <w:highlight w:val="none"/>
              </w:rPr>
            </w:pPr>
            <w:r>
              <w:rPr>
                <w:rFonts w:hint="eastAsia" w:ascii="宋体" w:hAnsi="宋体" w:cs="宋体"/>
                <w:sz w:val="24"/>
                <w:szCs w:val="24"/>
                <w:highlight w:val="none"/>
              </w:rPr>
              <w:t>含税综合包干单价（元/m</w:t>
            </w:r>
            <w:r>
              <w:rPr>
                <w:rFonts w:hint="eastAsia" w:ascii="宋体" w:hAnsi="宋体" w:cs="宋体"/>
                <w:sz w:val="24"/>
                <w:szCs w:val="24"/>
                <w:highlight w:val="none"/>
                <w:vertAlign w:val="superscript"/>
              </w:rPr>
              <w:t>2</w:t>
            </w:r>
            <w:r>
              <w:rPr>
                <w:rFonts w:hint="eastAsia" w:ascii="宋体" w:hAnsi="宋体" w:cs="宋体"/>
                <w:sz w:val="24"/>
                <w:szCs w:val="24"/>
                <w:highlight w:val="none"/>
              </w:rPr>
              <w:t>）</w:t>
            </w:r>
          </w:p>
        </w:tc>
        <w:tc>
          <w:tcPr>
            <w:tcW w:w="2626" w:type="dxa"/>
          </w:tcPr>
          <w:p w14:paraId="388880C4">
            <w:pPr>
              <w:pStyle w:val="4"/>
              <w:shd w:val="clear"/>
              <w:rPr>
                <w:rFonts w:hint="eastAsia" w:ascii="宋体" w:hAnsi="宋体" w:cs="宋体"/>
                <w:sz w:val="24"/>
                <w:szCs w:val="24"/>
                <w:highlight w:val="none"/>
              </w:rPr>
            </w:pPr>
          </w:p>
        </w:tc>
        <w:tc>
          <w:tcPr>
            <w:tcW w:w="2175" w:type="dxa"/>
          </w:tcPr>
          <w:p w14:paraId="0B65DD78">
            <w:pPr>
              <w:pStyle w:val="4"/>
              <w:shd w:val="clear"/>
              <w:rPr>
                <w:rFonts w:hint="eastAsia" w:ascii="宋体" w:hAnsi="宋体" w:cs="宋体"/>
                <w:sz w:val="24"/>
                <w:szCs w:val="24"/>
                <w:highlight w:val="none"/>
              </w:rPr>
            </w:pPr>
            <w:r>
              <w:rPr>
                <w:rFonts w:hint="eastAsia" w:ascii="宋体" w:hAnsi="宋体" w:cs="宋体"/>
                <w:sz w:val="24"/>
                <w:szCs w:val="24"/>
                <w:highlight w:val="none"/>
              </w:rPr>
              <w:t>投标单位</w:t>
            </w:r>
            <w:r>
              <w:rPr>
                <w:rFonts w:hint="eastAsia" w:ascii="宋体" w:hAnsi="宋体" w:cs="宋体"/>
                <w:sz w:val="24"/>
                <w:szCs w:val="24"/>
                <w:highlight w:val="none"/>
                <w:lang w:eastAsia="zh-CN"/>
              </w:rPr>
              <w:t>自行</w:t>
            </w:r>
            <w:r>
              <w:rPr>
                <w:rFonts w:hint="eastAsia" w:ascii="宋体" w:hAnsi="宋体" w:cs="宋体"/>
                <w:sz w:val="24"/>
                <w:szCs w:val="24"/>
                <w:highlight w:val="none"/>
              </w:rPr>
              <w:t>填报</w:t>
            </w:r>
          </w:p>
        </w:tc>
      </w:tr>
      <w:tr w14:paraId="69FC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49563CA2">
            <w:pPr>
              <w:pStyle w:val="4"/>
              <w:shd w:val="clear"/>
              <w:jc w:val="center"/>
              <w:rPr>
                <w:rFonts w:hint="eastAsia" w:ascii="宋体" w:hAnsi="宋体" w:cs="宋体"/>
                <w:sz w:val="24"/>
                <w:szCs w:val="24"/>
                <w:highlight w:val="none"/>
              </w:rPr>
            </w:pPr>
            <w:r>
              <w:rPr>
                <w:rFonts w:hint="eastAsia" w:ascii="宋体" w:hAnsi="宋体" w:cs="宋体"/>
                <w:sz w:val="24"/>
                <w:szCs w:val="24"/>
                <w:highlight w:val="none"/>
              </w:rPr>
              <w:t>三</w:t>
            </w:r>
          </w:p>
        </w:tc>
        <w:tc>
          <w:tcPr>
            <w:tcW w:w="3707" w:type="dxa"/>
          </w:tcPr>
          <w:p w14:paraId="161B9257">
            <w:pPr>
              <w:pStyle w:val="4"/>
              <w:shd w:val="clear"/>
              <w:rPr>
                <w:rFonts w:hint="eastAsia" w:ascii="宋体" w:hAnsi="宋体" w:cs="宋体"/>
                <w:sz w:val="24"/>
                <w:szCs w:val="24"/>
                <w:highlight w:val="none"/>
              </w:rPr>
            </w:pPr>
            <w:r>
              <w:rPr>
                <w:rFonts w:hint="eastAsia" w:ascii="宋体" w:hAnsi="宋体" w:cs="宋体"/>
                <w:sz w:val="24"/>
                <w:szCs w:val="24"/>
                <w:highlight w:val="none"/>
              </w:rPr>
              <w:t>建筑信息模型（BIM）技术应用费（元）</w:t>
            </w:r>
          </w:p>
        </w:tc>
        <w:tc>
          <w:tcPr>
            <w:tcW w:w="2626" w:type="dxa"/>
          </w:tcPr>
          <w:p w14:paraId="2F39CD4B">
            <w:pPr>
              <w:pStyle w:val="4"/>
              <w:shd w:val="clear"/>
              <w:rPr>
                <w:rFonts w:hint="eastAsia" w:ascii="宋体" w:hAnsi="宋体" w:cs="宋体"/>
                <w:sz w:val="24"/>
                <w:szCs w:val="24"/>
                <w:highlight w:val="none"/>
              </w:rPr>
            </w:pPr>
          </w:p>
        </w:tc>
        <w:tc>
          <w:tcPr>
            <w:tcW w:w="2175" w:type="dxa"/>
          </w:tcPr>
          <w:p w14:paraId="20890E7D">
            <w:pPr>
              <w:pStyle w:val="4"/>
              <w:shd w:val="clear"/>
              <w:rPr>
                <w:rFonts w:hint="eastAsia" w:ascii="宋体" w:hAnsi="宋体" w:cs="宋体"/>
                <w:sz w:val="24"/>
                <w:szCs w:val="24"/>
                <w:highlight w:val="none"/>
              </w:rPr>
            </w:pPr>
          </w:p>
        </w:tc>
      </w:tr>
    </w:tbl>
    <w:p w14:paraId="5CF95F04">
      <w:pPr>
        <w:shd w:val="clear"/>
        <w:spacing w:line="360" w:lineRule="auto"/>
        <w:rPr>
          <w:rFonts w:hint="eastAsia" w:ascii="宋体" w:hAnsi="宋体" w:cs="宋体"/>
          <w:b/>
          <w:bCs/>
          <w:sz w:val="24"/>
          <w:szCs w:val="24"/>
          <w:highlight w:val="none"/>
        </w:rPr>
      </w:pPr>
      <w:r>
        <w:rPr>
          <w:rFonts w:hint="eastAsia" w:ascii="宋体" w:hAnsi="宋体" w:cs="宋体"/>
          <w:b/>
          <w:bCs/>
          <w:sz w:val="24"/>
          <w:szCs w:val="24"/>
          <w:highlight w:val="none"/>
        </w:rPr>
        <w:t>注：1.BIM技术应用费综合包干单价不超过2.10元/m</w:t>
      </w:r>
      <w:r>
        <w:rPr>
          <w:rFonts w:hint="eastAsia" w:ascii="宋体" w:hAnsi="宋体" w:cs="宋体"/>
          <w:b/>
          <w:bCs/>
          <w:sz w:val="24"/>
          <w:szCs w:val="24"/>
          <w:highlight w:val="none"/>
          <w:vertAlign w:val="superscript"/>
        </w:rPr>
        <w:t>2</w:t>
      </w:r>
      <w:r>
        <w:rPr>
          <w:rFonts w:hint="eastAsia" w:ascii="宋体" w:hAnsi="宋体" w:cs="宋体"/>
          <w:b/>
          <w:bCs/>
          <w:sz w:val="24"/>
          <w:szCs w:val="24"/>
          <w:highlight w:val="none"/>
        </w:rPr>
        <w:t>，投标综合包干单价超出最高投标限价由评标委</w:t>
      </w:r>
      <w:r>
        <w:rPr>
          <w:rFonts w:hint="eastAsia" w:ascii="宋体" w:hAnsi="宋体" w:cs="宋体"/>
          <w:b/>
          <w:bCs/>
          <w:sz w:val="24"/>
          <w:szCs w:val="24"/>
          <w:highlight w:val="none"/>
          <w:lang w:eastAsia="zh-CN"/>
        </w:rPr>
        <w:t>员会</w:t>
      </w:r>
      <w:r>
        <w:rPr>
          <w:rFonts w:hint="eastAsia" w:ascii="宋体" w:hAnsi="宋体" w:cs="宋体"/>
          <w:b/>
          <w:bCs/>
          <w:sz w:val="24"/>
          <w:szCs w:val="24"/>
          <w:highlight w:val="none"/>
        </w:rPr>
        <w:t>作废标处理。</w:t>
      </w:r>
      <w:bookmarkEnd w:id="222"/>
    </w:p>
    <w:p w14:paraId="302A2027">
      <w:pPr>
        <w:shd w:val="clear"/>
        <w:spacing w:line="360" w:lineRule="auto"/>
        <w:rPr>
          <w:rFonts w:hint="eastAsia" w:ascii="宋体" w:hAnsi="宋体" w:cs="宋体"/>
          <w:b/>
          <w:bCs/>
          <w:sz w:val="24"/>
          <w:szCs w:val="24"/>
          <w:highlight w:val="none"/>
        </w:rPr>
      </w:pPr>
      <w:r>
        <w:rPr>
          <w:rFonts w:hint="eastAsia" w:ascii="宋体" w:hAnsi="宋体" w:cs="宋体"/>
          <w:b/>
          <w:bCs/>
          <w:sz w:val="24"/>
          <w:szCs w:val="24"/>
          <w:highlight w:val="none"/>
        </w:rPr>
        <w:t>2.建筑信息模型（BIM）技术应用费=计算基础（建筑面积）*含税综合包干单价</w:t>
      </w:r>
    </w:p>
    <w:p w14:paraId="3541F015">
      <w:pPr>
        <w:pStyle w:val="7"/>
        <w:shd w:val="clear"/>
        <w:kinsoku w:val="0"/>
        <w:overflowPunct w:val="0"/>
        <w:spacing w:line="360" w:lineRule="auto"/>
        <w:ind w:firstLine="2891" w:firstLineChars="1200"/>
        <w:jc w:val="right"/>
        <w:rPr>
          <w:rFonts w:hint="eastAsia" w:ascii="宋体" w:hAnsi="宋体" w:cs="宋体"/>
          <w:b/>
          <w:bCs/>
          <w:sz w:val="24"/>
          <w:szCs w:val="24"/>
          <w:highlight w:val="none"/>
        </w:rPr>
      </w:pPr>
    </w:p>
    <w:p w14:paraId="6D6AF606">
      <w:pPr>
        <w:pStyle w:val="7"/>
        <w:shd w:val="clear"/>
        <w:kinsoku w:val="0"/>
        <w:overflowPunct w:val="0"/>
        <w:spacing w:line="360" w:lineRule="auto"/>
        <w:ind w:firstLine="2891" w:firstLineChars="1200"/>
        <w:jc w:val="right"/>
        <w:rPr>
          <w:rFonts w:hint="eastAsia" w:ascii="宋体" w:hAnsi="宋体" w:cs="宋体"/>
          <w:b/>
          <w:bCs/>
          <w:sz w:val="24"/>
          <w:szCs w:val="24"/>
          <w:highlight w:val="none"/>
        </w:rPr>
      </w:pPr>
      <w:r>
        <w:rPr>
          <w:rFonts w:hint="eastAsia" w:ascii="宋体" w:hAnsi="宋体" w:cs="宋体"/>
          <w:b/>
          <w:bCs/>
          <w:sz w:val="24"/>
          <w:szCs w:val="24"/>
          <w:highlight w:val="none"/>
        </w:rPr>
        <w:t>投标</w:t>
      </w:r>
      <w:r>
        <w:rPr>
          <w:rFonts w:hint="eastAsia" w:ascii="宋体" w:hAnsi="宋体" w:cs="宋体"/>
          <w:b/>
          <w:bCs/>
          <w:spacing w:val="-2"/>
          <w:sz w:val="24"/>
          <w:szCs w:val="24"/>
          <w:highlight w:val="none"/>
        </w:rPr>
        <w:t>人：</w:t>
      </w:r>
      <w:r>
        <w:rPr>
          <w:rFonts w:hint="eastAsia" w:ascii="宋体" w:hAnsi="宋体" w:cs="宋体"/>
          <w:b/>
          <w:bCs/>
          <w:spacing w:val="-2"/>
          <w:sz w:val="24"/>
          <w:szCs w:val="24"/>
          <w:highlight w:val="none"/>
          <w:u w:val="single"/>
        </w:rPr>
        <w:t xml:space="preserve">      </w:t>
      </w:r>
      <w:r>
        <w:rPr>
          <w:rFonts w:hint="eastAsia" w:ascii="宋体" w:hAnsi="宋体" w:cs="宋体"/>
          <w:b/>
          <w:bCs/>
          <w:spacing w:val="-1"/>
          <w:sz w:val="24"/>
          <w:szCs w:val="24"/>
          <w:highlight w:val="none"/>
        </w:rPr>
        <w:t>（盖单位章）</w:t>
      </w:r>
    </w:p>
    <w:p w14:paraId="779CD883">
      <w:pPr>
        <w:pStyle w:val="7"/>
        <w:shd w:val="clear"/>
        <w:kinsoku w:val="0"/>
        <w:overflowPunct w:val="0"/>
        <w:spacing w:line="360" w:lineRule="auto"/>
        <w:ind w:firstLine="2891" w:firstLineChars="1200"/>
        <w:jc w:val="right"/>
        <w:rPr>
          <w:rFonts w:hint="eastAsia" w:ascii="宋体" w:hAnsi="宋体" w:cs="宋体"/>
          <w:b/>
          <w:bCs/>
          <w:sz w:val="24"/>
          <w:szCs w:val="24"/>
          <w:highlight w:val="none"/>
        </w:rPr>
      </w:pPr>
      <w:r>
        <w:rPr>
          <w:rFonts w:hint="eastAsia" w:ascii="宋体" w:hAnsi="宋体" w:cs="宋体"/>
          <w:b/>
          <w:bCs/>
          <w:sz w:val="24"/>
          <w:szCs w:val="24"/>
          <w:highlight w:val="none"/>
        </w:rPr>
        <w:t>法定代表人或其委托代理人：</w:t>
      </w:r>
      <w:r>
        <w:rPr>
          <w:rFonts w:hint="eastAsia" w:ascii="宋体" w:hAnsi="宋体" w:cs="宋体"/>
          <w:b/>
          <w:bCs/>
          <w:spacing w:val="-2"/>
          <w:sz w:val="24"/>
          <w:szCs w:val="24"/>
          <w:highlight w:val="none"/>
          <w:u w:val="single"/>
        </w:rPr>
        <w:t xml:space="preserve">      </w:t>
      </w:r>
      <w:r>
        <w:rPr>
          <w:rFonts w:hint="eastAsia" w:ascii="宋体" w:hAnsi="宋体" w:cs="宋体"/>
          <w:b/>
          <w:bCs/>
          <w:sz w:val="24"/>
          <w:szCs w:val="24"/>
          <w:highlight w:val="none"/>
        </w:rPr>
        <w:t>（签字或盖章）</w:t>
      </w:r>
    </w:p>
    <w:p w14:paraId="192344A4">
      <w:pPr>
        <w:shd w:val="clear"/>
        <w:spacing w:line="360" w:lineRule="auto"/>
        <w:jc w:val="right"/>
        <w:rPr>
          <w:rFonts w:hint="eastAsia" w:ascii="宋体" w:hAnsi="宋体" w:cs="宋体"/>
          <w:szCs w:val="21"/>
          <w:highlight w:val="none"/>
        </w:rPr>
      </w:pPr>
      <w:r>
        <w:rPr>
          <w:rFonts w:hint="eastAsia" w:ascii="宋体" w:hAnsi="宋体" w:cs="宋体"/>
          <w:b/>
          <w:bCs/>
          <w:sz w:val="24"/>
          <w:szCs w:val="24"/>
          <w:highlight w:val="none"/>
        </w:rPr>
        <w:t>年     月</w:t>
      </w:r>
      <w:r>
        <w:rPr>
          <w:rFonts w:hint="eastAsia" w:ascii="宋体" w:hAnsi="宋体" w:cs="宋体"/>
          <w:b/>
          <w:bCs/>
          <w:sz w:val="24"/>
          <w:szCs w:val="24"/>
          <w:highlight w:val="none"/>
        </w:rPr>
        <w:tab/>
      </w:r>
      <w:r>
        <w:rPr>
          <w:rFonts w:hint="eastAsia" w:ascii="宋体" w:hAnsi="宋体" w:cs="宋体"/>
          <w:b/>
          <w:bCs/>
          <w:sz w:val="24"/>
          <w:szCs w:val="24"/>
          <w:highlight w:val="none"/>
        </w:rPr>
        <w:t xml:space="preserve"> 日</w:t>
      </w:r>
    </w:p>
    <w:p w14:paraId="1444576F">
      <w:pPr>
        <w:shd w:val="clear"/>
        <w:spacing w:line="360" w:lineRule="auto"/>
        <w:rPr>
          <w:rFonts w:hint="eastAsia" w:ascii="宋体" w:hAnsi="宋体" w:cs="宋体"/>
          <w:b/>
          <w:szCs w:val="21"/>
          <w:highlight w:val="none"/>
        </w:rPr>
      </w:pPr>
    </w:p>
    <w:p w14:paraId="00DA7A92">
      <w:pPr>
        <w:shd w:val="clear"/>
        <w:rPr>
          <w:rFonts w:hint="eastAsia" w:ascii="宋体" w:hAnsi="宋体" w:cs="宋体"/>
          <w:b/>
          <w:szCs w:val="21"/>
          <w:highlight w:val="none"/>
        </w:rPr>
        <w:sectPr>
          <w:pgSz w:w="11906" w:h="16838"/>
          <w:pgMar w:top="1417" w:right="1417" w:bottom="1417" w:left="1417" w:header="851" w:footer="992" w:gutter="0"/>
          <w:cols w:space="720" w:num="1"/>
          <w:docGrid w:type="lines" w:linePitch="312" w:charSpace="0"/>
        </w:sectPr>
      </w:pPr>
    </w:p>
    <w:p w14:paraId="6DCB1A13">
      <w:pPr>
        <w:shd w:val="clear"/>
        <w:rPr>
          <w:rFonts w:hint="eastAsia" w:ascii="宋体" w:hAnsi="宋体" w:cs="宋体"/>
          <w:sz w:val="24"/>
          <w:szCs w:val="24"/>
          <w:highlight w:val="none"/>
        </w:rPr>
      </w:pPr>
      <w:bookmarkStart w:id="223" w:name="_Toc114493761"/>
      <w:bookmarkEnd w:id="223"/>
      <w:r>
        <w:rPr>
          <w:rFonts w:hint="eastAsia" w:ascii="宋体" w:hAnsi="宋体" w:cs="宋体"/>
          <w:b/>
          <w:szCs w:val="21"/>
          <w:highlight w:val="none"/>
        </w:rPr>
        <w:t>附件3－2工程勘察费计算表</w:t>
      </w:r>
      <w:bookmarkStart w:id="224" w:name="_Toc114493762"/>
      <w:bookmarkEnd w:id="224"/>
      <w:bookmarkStart w:id="225" w:name="_Toc11498"/>
      <w:bookmarkEnd w:id="225"/>
    </w:p>
    <w:p w14:paraId="50361F2C">
      <w:pPr>
        <w:shd w:val="clear"/>
        <w:spacing w:line="400" w:lineRule="exact"/>
        <w:ind w:left="178" w:leftChars="85"/>
        <w:jc w:val="center"/>
        <w:rPr>
          <w:rFonts w:hint="eastAsia" w:ascii="宋体" w:hAnsi="宋体" w:cs="宋体"/>
          <w:b/>
          <w:sz w:val="28"/>
          <w:szCs w:val="28"/>
          <w:highlight w:val="none"/>
        </w:rPr>
      </w:pPr>
      <w:r>
        <w:rPr>
          <w:rFonts w:hint="eastAsia" w:ascii="宋体" w:hAnsi="宋体" w:cs="宋体"/>
          <w:b/>
          <w:sz w:val="28"/>
          <w:szCs w:val="28"/>
          <w:highlight w:val="none"/>
        </w:rPr>
        <w:t>勘察费计算表</w:t>
      </w:r>
    </w:p>
    <w:tbl>
      <w:tblPr>
        <w:tblStyle w:val="19"/>
        <w:tblW w:w="14986" w:type="dxa"/>
        <w:tblInd w:w="-19" w:type="dxa"/>
        <w:tblLayout w:type="fixed"/>
        <w:tblCellMar>
          <w:top w:w="0" w:type="dxa"/>
          <w:left w:w="108" w:type="dxa"/>
          <w:bottom w:w="0" w:type="dxa"/>
          <w:right w:w="108" w:type="dxa"/>
        </w:tblCellMar>
      </w:tblPr>
      <w:tblGrid>
        <w:gridCol w:w="720"/>
        <w:gridCol w:w="1756"/>
        <w:gridCol w:w="4455"/>
        <w:gridCol w:w="780"/>
        <w:gridCol w:w="1185"/>
        <w:gridCol w:w="1650"/>
        <w:gridCol w:w="1689"/>
        <w:gridCol w:w="2751"/>
      </w:tblGrid>
      <w:tr w14:paraId="08E45BDA">
        <w:tblPrEx>
          <w:tblCellMar>
            <w:top w:w="0" w:type="dxa"/>
            <w:left w:w="108" w:type="dxa"/>
            <w:bottom w:w="0" w:type="dxa"/>
            <w:right w:w="108" w:type="dxa"/>
          </w:tblCellMar>
        </w:tblPrEx>
        <w:trPr>
          <w:trHeight w:val="444" w:hRule="atLeast"/>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14:paraId="63F7EE78">
            <w:pPr>
              <w:widowControl/>
              <w:shd w:val="clear"/>
              <w:jc w:val="center"/>
              <w:textAlignment w:val="center"/>
              <w:rPr>
                <w:rFonts w:hint="eastAsia" w:ascii="宋体" w:hAnsi="宋体" w:cs="宋体"/>
                <w:szCs w:val="21"/>
                <w:highlight w:val="none"/>
              </w:rPr>
            </w:pPr>
            <w:r>
              <w:rPr>
                <w:rFonts w:hint="eastAsia" w:ascii="宋体" w:hAnsi="宋体" w:cs="宋体"/>
                <w:szCs w:val="21"/>
                <w:highlight w:val="none"/>
                <w:lang w:bidi="ar"/>
              </w:rPr>
              <w:t>序号</w:t>
            </w:r>
          </w:p>
        </w:tc>
        <w:tc>
          <w:tcPr>
            <w:tcW w:w="1756" w:type="dxa"/>
            <w:vMerge w:val="restart"/>
            <w:tcBorders>
              <w:top w:val="single" w:color="000000" w:sz="4" w:space="0"/>
              <w:left w:val="single" w:color="000000" w:sz="4" w:space="0"/>
              <w:bottom w:val="single" w:color="000000" w:sz="4" w:space="0"/>
              <w:right w:val="single" w:color="000000" w:sz="4" w:space="0"/>
            </w:tcBorders>
            <w:vAlign w:val="center"/>
          </w:tcPr>
          <w:p w14:paraId="6BAEA4B3">
            <w:pPr>
              <w:widowControl/>
              <w:shd w:val="clear"/>
              <w:jc w:val="center"/>
              <w:textAlignment w:val="center"/>
              <w:rPr>
                <w:rFonts w:hint="eastAsia" w:ascii="宋体" w:hAnsi="宋体" w:cs="宋体"/>
                <w:szCs w:val="21"/>
                <w:highlight w:val="none"/>
              </w:rPr>
            </w:pPr>
            <w:r>
              <w:rPr>
                <w:rFonts w:hint="eastAsia" w:ascii="宋体" w:hAnsi="宋体" w:cs="宋体"/>
                <w:szCs w:val="21"/>
                <w:highlight w:val="none"/>
                <w:lang w:bidi="ar"/>
              </w:rPr>
              <w:t>费用名称</w:t>
            </w:r>
          </w:p>
        </w:tc>
        <w:tc>
          <w:tcPr>
            <w:tcW w:w="4455" w:type="dxa"/>
            <w:vMerge w:val="restart"/>
            <w:tcBorders>
              <w:top w:val="single" w:color="000000" w:sz="4" w:space="0"/>
              <w:left w:val="single" w:color="000000" w:sz="4" w:space="0"/>
              <w:bottom w:val="single" w:color="000000" w:sz="4" w:space="0"/>
              <w:right w:val="single" w:color="000000" w:sz="4" w:space="0"/>
            </w:tcBorders>
            <w:vAlign w:val="center"/>
          </w:tcPr>
          <w:p w14:paraId="08B1F200">
            <w:pPr>
              <w:widowControl/>
              <w:shd w:val="clear"/>
              <w:jc w:val="center"/>
              <w:textAlignment w:val="center"/>
              <w:rPr>
                <w:rFonts w:hint="eastAsia" w:ascii="宋体" w:hAnsi="宋体" w:cs="宋体"/>
                <w:szCs w:val="21"/>
                <w:highlight w:val="none"/>
              </w:rPr>
            </w:pPr>
            <w:r>
              <w:rPr>
                <w:rFonts w:hint="eastAsia" w:ascii="宋体" w:hAnsi="宋体" w:cs="宋体"/>
                <w:szCs w:val="21"/>
                <w:highlight w:val="none"/>
                <w:lang w:bidi="ar"/>
              </w:rPr>
              <w:t>项目特征</w:t>
            </w: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14:paraId="2AF2129F">
            <w:pPr>
              <w:widowControl/>
              <w:shd w:val="clear"/>
              <w:jc w:val="center"/>
              <w:textAlignment w:val="center"/>
              <w:rPr>
                <w:rFonts w:hint="eastAsia" w:ascii="宋体" w:hAnsi="宋体" w:cs="宋体"/>
                <w:szCs w:val="21"/>
                <w:highlight w:val="none"/>
              </w:rPr>
            </w:pPr>
            <w:r>
              <w:rPr>
                <w:rFonts w:hint="eastAsia" w:ascii="宋体" w:hAnsi="宋体" w:cs="宋体"/>
                <w:szCs w:val="21"/>
                <w:highlight w:val="none"/>
                <w:lang w:bidi="ar"/>
              </w:rPr>
              <w:t>单位</w:t>
            </w:r>
          </w:p>
        </w:tc>
        <w:tc>
          <w:tcPr>
            <w:tcW w:w="1185" w:type="dxa"/>
            <w:vMerge w:val="restart"/>
            <w:tcBorders>
              <w:top w:val="single" w:color="000000" w:sz="4" w:space="0"/>
              <w:left w:val="single" w:color="000000" w:sz="4" w:space="0"/>
              <w:bottom w:val="single" w:color="000000" w:sz="4" w:space="0"/>
              <w:right w:val="single" w:color="000000" w:sz="4" w:space="0"/>
            </w:tcBorders>
            <w:vAlign w:val="center"/>
          </w:tcPr>
          <w:p w14:paraId="5CD4DD61">
            <w:pPr>
              <w:widowControl/>
              <w:shd w:val="clear"/>
              <w:jc w:val="center"/>
              <w:textAlignment w:val="center"/>
              <w:rPr>
                <w:rFonts w:hint="eastAsia" w:ascii="宋体" w:hAnsi="宋体" w:cs="宋体"/>
                <w:szCs w:val="21"/>
                <w:highlight w:val="none"/>
              </w:rPr>
            </w:pPr>
            <w:r>
              <w:rPr>
                <w:rFonts w:hint="eastAsia" w:ascii="宋体" w:hAnsi="宋体" w:cs="宋体"/>
                <w:szCs w:val="21"/>
                <w:highlight w:val="none"/>
                <w:lang w:bidi="ar"/>
              </w:rPr>
              <w:t>暂定工作量</w:t>
            </w:r>
          </w:p>
        </w:tc>
        <w:tc>
          <w:tcPr>
            <w:tcW w:w="1650" w:type="dxa"/>
            <w:vMerge w:val="restart"/>
            <w:tcBorders>
              <w:top w:val="single" w:color="000000" w:sz="4" w:space="0"/>
              <w:left w:val="single" w:color="000000" w:sz="4" w:space="0"/>
              <w:bottom w:val="single" w:color="000000" w:sz="4" w:space="0"/>
              <w:right w:val="single" w:color="000000" w:sz="4" w:space="0"/>
            </w:tcBorders>
            <w:vAlign w:val="center"/>
          </w:tcPr>
          <w:p w14:paraId="6FFB61E6">
            <w:pPr>
              <w:widowControl/>
              <w:shd w:val="clear"/>
              <w:jc w:val="center"/>
              <w:textAlignment w:val="center"/>
              <w:rPr>
                <w:rFonts w:hint="eastAsia" w:ascii="宋体" w:hAnsi="宋体" w:cs="宋体"/>
                <w:szCs w:val="21"/>
                <w:highlight w:val="none"/>
              </w:rPr>
            </w:pPr>
            <w:r>
              <w:rPr>
                <w:rFonts w:hint="eastAsia" w:ascii="宋体" w:hAnsi="宋体" w:cs="宋体"/>
                <w:szCs w:val="21"/>
                <w:highlight w:val="none"/>
              </w:rPr>
              <w:t>含税综合包干单价（元）</w:t>
            </w:r>
          </w:p>
        </w:tc>
        <w:tc>
          <w:tcPr>
            <w:tcW w:w="1689" w:type="dxa"/>
            <w:vMerge w:val="restart"/>
            <w:tcBorders>
              <w:top w:val="single" w:color="000000" w:sz="4" w:space="0"/>
              <w:left w:val="single" w:color="000000" w:sz="4" w:space="0"/>
              <w:bottom w:val="single" w:color="000000" w:sz="4" w:space="0"/>
              <w:right w:val="single" w:color="000000" w:sz="4" w:space="0"/>
            </w:tcBorders>
            <w:vAlign w:val="center"/>
          </w:tcPr>
          <w:p w14:paraId="66AA3661">
            <w:pPr>
              <w:widowControl/>
              <w:shd w:val="clear"/>
              <w:jc w:val="center"/>
              <w:rPr>
                <w:rFonts w:hint="eastAsia" w:ascii="宋体" w:hAnsi="宋体" w:cs="宋体"/>
                <w:szCs w:val="21"/>
                <w:highlight w:val="none"/>
              </w:rPr>
            </w:pPr>
            <w:r>
              <w:rPr>
                <w:rFonts w:hint="eastAsia" w:ascii="宋体" w:hAnsi="宋体" w:cs="宋体"/>
                <w:szCs w:val="21"/>
                <w:highlight w:val="none"/>
              </w:rPr>
              <w:t>含税合价（元）</w:t>
            </w:r>
          </w:p>
        </w:tc>
        <w:tc>
          <w:tcPr>
            <w:tcW w:w="2751" w:type="dxa"/>
            <w:vMerge w:val="restart"/>
            <w:tcBorders>
              <w:top w:val="single" w:color="000000" w:sz="4" w:space="0"/>
              <w:left w:val="single" w:color="000000" w:sz="4" w:space="0"/>
              <w:bottom w:val="single" w:color="000000" w:sz="4" w:space="0"/>
              <w:right w:val="single" w:color="000000" w:sz="4" w:space="0"/>
            </w:tcBorders>
            <w:vAlign w:val="center"/>
          </w:tcPr>
          <w:p w14:paraId="02FFA0F7">
            <w:pPr>
              <w:widowControl/>
              <w:shd w:val="clear"/>
              <w:jc w:val="center"/>
              <w:textAlignment w:val="center"/>
              <w:rPr>
                <w:rFonts w:hint="eastAsia" w:ascii="宋体" w:hAnsi="宋体" w:cs="宋体"/>
                <w:szCs w:val="21"/>
                <w:highlight w:val="none"/>
              </w:rPr>
            </w:pPr>
            <w:r>
              <w:rPr>
                <w:rFonts w:hint="eastAsia" w:ascii="宋体" w:hAnsi="宋体" w:cs="宋体"/>
                <w:szCs w:val="21"/>
                <w:highlight w:val="none"/>
                <w:lang w:bidi="ar"/>
              </w:rPr>
              <w:t>备注</w:t>
            </w:r>
          </w:p>
        </w:tc>
      </w:tr>
      <w:tr w14:paraId="4251957E">
        <w:tblPrEx>
          <w:tblCellMar>
            <w:top w:w="0" w:type="dxa"/>
            <w:left w:w="108" w:type="dxa"/>
            <w:bottom w:w="0" w:type="dxa"/>
            <w:right w:w="108" w:type="dxa"/>
          </w:tblCellMar>
        </w:tblPrEx>
        <w:trPr>
          <w:trHeight w:val="444" w:hRule="atLeast"/>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14:paraId="6FBE7401">
            <w:pPr>
              <w:shd w:val="clear"/>
              <w:jc w:val="center"/>
              <w:rPr>
                <w:rFonts w:hint="eastAsia" w:ascii="宋体" w:hAnsi="宋体" w:cs="宋体"/>
                <w:szCs w:val="21"/>
                <w:highlight w:val="none"/>
              </w:rPr>
            </w:pPr>
          </w:p>
        </w:tc>
        <w:tc>
          <w:tcPr>
            <w:tcW w:w="1756" w:type="dxa"/>
            <w:vMerge w:val="continue"/>
            <w:tcBorders>
              <w:top w:val="single" w:color="000000" w:sz="4" w:space="0"/>
              <w:left w:val="single" w:color="000000" w:sz="4" w:space="0"/>
              <w:bottom w:val="single" w:color="000000" w:sz="4" w:space="0"/>
              <w:right w:val="single" w:color="000000" w:sz="4" w:space="0"/>
            </w:tcBorders>
            <w:vAlign w:val="center"/>
          </w:tcPr>
          <w:p w14:paraId="5C20F893">
            <w:pPr>
              <w:shd w:val="clear"/>
              <w:jc w:val="center"/>
              <w:rPr>
                <w:rFonts w:hint="eastAsia" w:ascii="宋体" w:hAnsi="宋体" w:cs="宋体"/>
                <w:szCs w:val="21"/>
                <w:highlight w:val="none"/>
              </w:rPr>
            </w:pPr>
          </w:p>
        </w:tc>
        <w:tc>
          <w:tcPr>
            <w:tcW w:w="4455" w:type="dxa"/>
            <w:vMerge w:val="continue"/>
            <w:tcBorders>
              <w:top w:val="single" w:color="000000" w:sz="4" w:space="0"/>
              <w:left w:val="single" w:color="000000" w:sz="4" w:space="0"/>
              <w:bottom w:val="single" w:color="000000" w:sz="4" w:space="0"/>
              <w:right w:val="single" w:color="000000" w:sz="4" w:space="0"/>
            </w:tcBorders>
            <w:vAlign w:val="center"/>
          </w:tcPr>
          <w:p w14:paraId="6A8D07CE">
            <w:pPr>
              <w:shd w:val="clear"/>
              <w:jc w:val="center"/>
              <w:rPr>
                <w:rFonts w:hint="eastAsia" w:ascii="宋体" w:hAnsi="宋体" w:cs="宋体"/>
                <w:szCs w:val="21"/>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3364797D">
            <w:pPr>
              <w:shd w:val="clear"/>
              <w:jc w:val="center"/>
              <w:rPr>
                <w:rFonts w:hint="eastAsia" w:ascii="宋体" w:hAnsi="宋体" w:cs="宋体"/>
                <w:szCs w:val="21"/>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vAlign w:val="center"/>
          </w:tcPr>
          <w:p w14:paraId="79BE7F26">
            <w:pPr>
              <w:shd w:val="clear"/>
              <w:jc w:val="center"/>
              <w:rPr>
                <w:rFonts w:hint="eastAsia" w:ascii="宋体" w:hAnsi="宋体" w:cs="宋体"/>
                <w:szCs w:val="21"/>
                <w:highlight w:val="none"/>
              </w:rPr>
            </w:pPr>
          </w:p>
        </w:tc>
        <w:tc>
          <w:tcPr>
            <w:tcW w:w="1650" w:type="dxa"/>
            <w:vMerge w:val="continue"/>
            <w:tcBorders>
              <w:top w:val="single" w:color="000000" w:sz="4" w:space="0"/>
              <w:left w:val="single" w:color="000000" w:sz="4" w:space="0"/>
              <w:bottom w:val="single" w:color="000000" w:sz="4" w:space="0"/>
              <w:right w:val="single" w:color="000000" w:sz="4" w:space="0"/>
            </w:tcBorders>
            <w:vAlign w:val="center"/>
          </w:tcPr>
          <w:p w14:paraId="227F5720">
            <w:pPr>
              <w:shd w:val="clear"/>
              <w:jc w:val="center"/>
              <w:rPr>
                <w:rFonts w:hint="eastAsia" w:ascii="宋体" w:hAnsi="宋体" w:cs="宋体"/>
                <w:szCs w:val="21"/>
                <w:highlight w:val="none"/>
              </w:rPr>
            </w:pPr>
          </w:p>
        </w:tc>
        <w:tc>
          <w:tcPr>
            <w:tcW w:w="1689" w:type="dxa"/>
            <w:vMerge w:val="continue"/>
            <w:tcBorders>
              <w:top w:val="single" w:color="000000" w:sz="4" w:space="0"/>
              <w:left w:val="single" w:color="000000" w:sz="4" w:space="0"/>
              <w:bottom w:val="single" w:color="000000" w:sz="4" w:space="0"/>
              <w:right w:val="single" w:color="000000" w:sz="4" w:space="0"/>
            </w:tcBorders>
            <w:vAlign w:val="center"/>
          </w:tcPr>
          <w:p w14:paraId="25542563">
            <w:pPr>
              <w:shd w:val="clear"/>
              <w:jc w:val="center"/>
              <w:rPr>
                <w:rFonts w:hint="eastAsia" w:ascii="宋体" w:hAnsi="宋体" w:cs="宋体"/>
                <w:szCs w:val="21"/>
                <w:highlight w:val="none"/>
              </w:rPr>
            </w:pPr>
          </w:p>
        </w:tc>
        <w:tc>
          <w:tcPr>
            <w:tcW w:w="2751" w:type="dxa"/>
            <w:vMerge w:val="continue"/>
            <w:tcBorders>
              <w:top w:val="single" w:color="000000" w:sz="4" w:space="0"/>
              <w:left w:val="single" w:color="000000" w:sz="4" w:space="0"/>
              <w:bottom w:val="single" w:color="000000" w:sz="4" w:space="0"/>
              <w:right w:val="single" w:color="000000" w:sz="4" w:space="0"/>
            </w:tcBorders>
            <w:vAlign w:val="center"/>
          </w:tcPr>
          <w:p w14:paraId="5A55A84C">
            <w:pPr>
              <w:shd w:val="clear"/>
              <w:jc w:val="center"/>
              <w:rPr>
                <w:rFonts w:hint="eastAsia" w:ascii="宋体" w:hAnsi="宋体" w:cs="宋体"/>
                <w:szCs w:val="21"/>
                <w:highlight w:val="none"/>
              </w:rPr>
            </w:pPr>
          </w:p>
        </w:tc>
      </w:tr>
      <w:tr w14:paraId="4CBDC0DC">
        <w:tblPrEx>
          <w:tblCellMar>
            <w:top w:w="0" w:type="dxa"/>
            <w:left w:w="108" w:type="dxa"/>
            <w:bottom w:w="0" w:type="dxa"/>
            <w:right w:w="108" w:type="dxa"/>
          </w:tblCellMar>
        </w:tblPrEx>
        <w:trPr>
          <w:trHeight w:val="50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93E0702">
            <w:pPr>
              <w:widowControl/>
              <w:shd w:val="clear"/>
              <w:jc w:val="center"/>
              <w:textAlignment w:val="center"/>
              <w:rPr>
                <w:rFonts w:hint="eastAsia" w:ascii="宋体" w:hAnsi="宋体" w:cs="宋体"/>
                <w:szCs w:val="21"/>
                <w:highlight w:val="none"/>
              </w:rPr>
            </w:pPr>
            <w:r>
              <w:rPr>
                <w:rFonts w:hint="eastAsia" w:ascii="宋体" w:hAnsi="宋体" w:cs="宋体"/>
                <w:szCs w:val="21"/>
                <w:highlight w:val="none"/>
                <w:lang w:bidi="ar"/>
              </w:rPr>
              <w:t>一</w:t>
            </w:r>
          </w:p>
        </w:tc>
        <w:tc>
          <w:tcPr>
            <w:tcW w:w="1756" w:type="dxa"/>
            <w:tcBorders>
              <w:top w:val="single" w:color="000000" w:sz="4" w:space="0"/>
              <w:left w:val="single" w:color="000000" w:sz="4" w:space="0"/>
              <w:bottom w:val="single" w:color="000000" w:sz="4" w:space="0"/>
              <w:right w:val="single" w:color="000000" w:sz="4" w:space="0"/>
            </w:tcBorders>
            <w:vAlign w:val="center"/>
          </w:tcPr>
          <w:p w14:paraId="448B7554">
            <w:pPr>
              <w:widowControl/>
              <w:shd w:val="clear"/>
              <w:jc w:val="center"/>
              <w:textAlignment w:val="center"/>
              <w:rPr>
                <w:rFonts w:hint="eastAsia" w:ascii="宋体" w:hAnsi="宋体" w:cs="宋体"/>
                <w:szCs w:val="21"/>
                <w:highlight w:val="none"/>
              </w:rPr>
            </w:pPr>
            <w:r>
              <w:rPr>
                <w:rFonts w:hint="eastAsia" w:ascii="宋体" w:hAnsi="宋体" w:cs="宋体"/>
                <w:szCs w:val="21"/>
                <w:highlight w:val="none"/>
                <w:lang w:bidi="ar"/>
              </w:rPr>
              <w:t>详细勘察</w:t>
            </w:r>
          </w:p>
        </w:tc>
        <w:tc>
          <w:tcPr>
            <w:tcW w:w="4455" w:type="dxa"/>
            <w:tcBorders>
              <w:top w:val="single" w:color="000000" w:sz="4" w:space="0"/>
              <w:left w:val="single" w:color="000000" w:sz="4" w:space="0"/>
              <w:bottom w:val="single" w:color="000000" w:sz="4" w:space="0"/>
              <w:right w:val="single" w:color="000000" w:sz="4" w:space="0"/>
            </w:tcBorders>
            <w:vAlign w:val="center"/>
          </w:tcPr>
          <w:p w14:paraId="705D9B24">
            <w:pPr>
              <w:shd w:val="clear"/>
              <w:jc w:val="center"/>
              <w:rPr>
                <w:rFonts w:hint="eastAsia" w:ascii="宋体" w:hAnsi="宋体" w:cs="宋体"/>
                <w:szCs w:val="21"/>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3D79637B">
            <w:pPr>
              <w:shd w:val="clear"/>
              <w:rPr>
                <w:rFonts w:hint="eastAsia" w:ascii="宋体" w:hAnsi="宋体" w:cs="宋体"/>
                <w:szCs w:val="21"/>
                <w:highlight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3EC79242">
            <w:pPr>
              <w:shd w:val="clear"/>
              <w:jc w:val="center"/>
              <w:rPr>
                <w:rFonts w:hint="eastAsia" w:ascii="宋体" w:hAnsi="宋体" w:cs="宋体"/>
                <w:szCs w:val="21"/>
                <w:highlight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3B7938E1">
            <w:pPr>
              <w:shd w:val="clear"/>
              <w:jc w:val="center"/>
              <w:rPr>
                <w:rFonts w:hint="eastAsia" w:ascii="宋体" w:hAnsi="宋体" w:cs="宋体"/>
                <w:szCs w:val="21"/>
                <w:highlight w:val="none"/>
              </w:rPr>
            </w:pPr>
          </w:p>
        </w:tc>
        <w:tc>
          <w:tcPr>
            <w:tcW w:w="1689" w:type="dxa"/>
            <w:tcBorders>
              <w:top w:val="single" w:color="000000" w:sz="4" w:space="0"/>
              <w:left w:val="single" w:color="000000" w:sz="4" w:space="0"/>
              <w:bottom w:val="single" w:color="000000" w:sz="4" w:space="0"/>
              <w:right w:val="single" w:color="000000" w:sz="4" w:space="0"/>
            </w:tcBorders>
            <w:vAlign w:val="center"/>
          </w:tcPr>
          <w:p w14:paraId="75028A01">
            <w:pPr>
              <w:shd w:val="clear"/>
              <w:rPr>
                <w:rFonts w:hint="eastAsia" w:ascii="宋体" w:hAnsi="宋体" w:cs="宋体"/>
                <w:szCs w:val="21"/>
                <w:highlight w:val="none"/>
              </w:rPr>
            </w:pPr>
          </w:p>
        </w:tc>
        <w:tc>
          <w:tcPr>
            <w:tcW w:w="2751" w:type="dxa"/>
            <w:tcBorders>
              <w:top w:val="single" w:color="000000" w:sz="4" w:space="0"/>
              <w:left w:val="single" w:color="000000" w:sz="4" w:space="0"/>
              <w:bottom w:val="single" w:color="000000" w:sz="4" w:space="0"/>
              <w:right w:val="single" w:color="000000" w:sz="4" w:space="0"/>
            </w:tcBorders>
            <w:vAlign w:val="center"/>
          </w:tcPr>
          <w:p w14:paraId="5F48E434">
            <w:pPr>
              <w:shd w:val="clear"/>
              <w:jc w:val="center"/>
              <w:rPr>
                <w:rFonts w:hint="eastAsia" w:ascii="宋体" w:hAnsi="宋体" w:cs="宋体"/>
                <w:szCs w:val="21"/>
                <w:highlight w:val="none"/>
              </w:rPr>
            </w:pPr>
          </w:p>
        </w:tc>
      </w:tr>
      <w:tr w14:paraId="34E63968">
        <w:tblPrEx>
          <w:tblCellMar>
            <w:top w:w="0" w:type="dxa"/>
            <w:left w:w="108" w:type="dxa"/>
            <w:bottom w:w="0" w:type="dxa"/>
            <w:right w:w="108" w:type="dxa"/>
          </w:tblCellMar>
        </w:tblPrEx>
        <w:trPr>
          <w:trHeight w:val="103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6C0290AB">
            <w:pPr>
              <w:widowControl/>
              <w:shd w:val="clear"/>
              <w:jc w:val="center"/>
              <w:textAlignment w:val="center"/>
              <w:rPr>
                <w:rFonts w:hint="eastAsia" w:ascii="宋体" w:hAnsi="宋体" w:cs="宋体"/>
                <w:szCs w:val="21"/>
                <w:highlight w:val="none"/>
              </w:rPr>
            </w:pPr>
            <w:r>
              <w:rPr>
                <w:rFonts w:hint="eastAsia" w:ascii="宋体" w:hAnsi="宋体" w:cs="宋体"/>
                <w:szCs w:val="21"/>
                <w:highlight w:val="none"/>
                <w:lang w:bidi="ar"/>
              </w:rPr>
              <w:t>1.1</w:t>
            </w:r>
          </w:p>
        </w:tc>
        <w:tc>
          <w:tcPr>
            <w:tcW w:w="1756" w:type="dxa"/>
            <w:tcBorders>
              <w:top w:val="single" w:color="000000" w:sz="4" w:space="0"/>
              <w:left w:val="single" w:color="000000" w:sz="4" w:space="0"/>
              <w:bottom w:val="single" w:color="000000" w:sz="4" w:space="0"/>
              <w:right w:val="single" w:color="000000" w:sz="4" w:space="0"/>
            </w:tcBorders>
            <w:vAlign w:val="center"/>
          </w:tcPr>
          <w:p w14:paraId="6B3A693C">
            <w:pPr>
              <w:widowControl/>
              <w:shd w:val="clear"/>
              <w:jc w:val="center"/>
              <w:textAlignment w:val="center"/>
              <w:rPr>
                <w:rFonts w:hint="eastAsia" w:ascii="宋体" w:hAnsi="宋体" w:cs="宋体"/>
                <w:szCs w:val="21"/>
                <w:highlight w:val="none"/>
              </w:rPr>
            </w:pPr>
            <w:r>
              <w:rPr>
                <w:rFonts w:hint="eastAsia" w:ascii="宋体" w:hAnsi="宋体" w:cs="宋体"/>
                <w:szCs w:val="21"/>
                <w:highlight w:val="none"/>
                <w:lang w:bidi="ar"/>
              </w:rPr>
              <w:t>勘察钻孔</w:t>
            </w:r>
          </w:p>
        </w:tc>
        <w:tc>
          <w:tcPr>
            <w:tcW w:w="4455" w:type="dxa"/>
            <w:tcBorders>
              <w:top w:val="single" w:color="000000" w:sz="4" w:space="0"/>
              <w:left w:val="single" w:color="000000" w:sz="4" w:space="0"/>
              <w:bottom w:val="single" w:color="000000" w:sz="4" w:space="0"/>
              <w:right w:val="single" w:color="000000" w:sz="4" w:space="0"/>
            </w:tcBorders>
            <w:vAlign w:val="center"/>
          </w:tcPr>
          <w:p w14:paraId="210BD321">
            <w:pPr>
              <w:widowControl/>
              <w:shd w:val="clear"/>
              <w:textAlignment w:val="center"/>
              <w:rPr>
                <w:rFonts w:hint="eastAsia" w:ascii="宋体" w:hAnsi="宋体" w:cs="宋体"/>
                <w:szCs w:val="21"/>
                <w:highlight w:val="none"/>
              </w:rPr>
            </w:pPr>
            <w:r>
              <w:rPr>
                <w:rFonts w:hint="eastAsia" w:ascii="宋体" w:hAnsi="宋体" w:cs="宋体"/>
                <w:szCs w:val="21"/>
                <w:highlight w:val="none"/>
                <w:lang w:bidi="ar"/>
              </w:rPr>
              <w:t>1、土质类别：不分类别，综合考虑</w:t>
            </w:r>
            <w:r>
              <w:rPr>
                <w:rFonts w:hint="eastAsia" w:ascii="宋体" w:hAnsi="宋体" w:cs="宋体"/>
                <w:szCs w:val="21"/>
                <w:highlight w:val="none"/>
                <w:lang w:bidi="ar"/>
              </w:rPr>
              <w:br w:type="textWrapping"/>
            </w:r>
            <w:r>
              <w:rPr>
                <w:rFonts w:hint="eastAsia" w:ascii="宋体" w:hAnsi="宋体" w:cs="宋体"/>
                <w:szCs w:val="21"/>
                <w:highlight w:val="none"/>
                <w:lang w:bidi="ar"/>
              </w:rPr>
              <w:t>2、孔深：不分孔深，综合考虑</w:t>
            </w:r>
            <w:r>
              <w:rPr>
                <w:rFonts w:hint="eastAsia" w:ascii="宋体" w:hAnsi="宋体" w:cs="宋体"/>
                <w:szCs w:val="21"/>
                <w:highlight w:val="none"/>
                <w:lang w:bidi="ar"/>
              </w:rPr>
              <w:br w:type="textWrapping"/>
            </w:r>
            <w:r>
              <w:rPr>
                <w:rFonts w:hint="eastAsia" w:ascii="宋体" w:hAnsi="宋体" w:cs="宋体"/>
                <w:szCs w:val="21"/>
                <w:highlight w:val="none"/>
                <w:lang w:bidi="ar"/>
              </w:rPr>
              <w:t>3、综合考虑入岩深度</w:t>
            </w:r>
          </w:p>
        </w:tc>
        <w:tc>
          <w:tcPr>
            <w:tcW w:w="780" w:type="dxa"/>
            <w:tcBorders>
              <w:top w:val="single" w:color="000000" w:sz="4" w:space="0"/>
              <w:left w:val="single" w:color="000000" w:sz="4" w:space="0"/>
              <w:bottom w:val="single" w:color="000000" w:sz="4" w:space="0"/>
              <w:right w:val="single" w:color="000000" w:sz="4" w:space="0"/>
            </w:tcBorders>
            <w:vAlign w:val="center"/>
          </w:tcPr>
          <w:p w14:paraId="1B357C85">
            <w:pPr>
              <w:widowControl/>
              <w:shd w:val="clear"/>
              <w:jc w:val="center"/>
              <w:textAlignment w:val="center"/>
              <w:rPr>
                <w:rFonts w:hint="eastAsia" w:ascii="宋体" w:hAnsi="宋体" w:cs="宋体"/>
                <w:szCs w:val="21"/>
                <w:highlight w:val="none"/>
              </w:rPr>
            </w:pPr>
            <w:r>
              <w:rPr>
                <w:rFonts w:hint="eastAsia" w:ascii="宋体" w:hAnsi="宋体" w:cs="宋体"/>
                <w:szCs w:val="21"/>
                <w:highlight w:val="none"/>
                <w:lang w:bidi="ar"/>
              </w:rPr>
              <w:t>米</w:t>
            </w:r>
          </w:p>
        </w:tc>
        <w:tc>
          <w:tcPr>
            <w:tcW w:w="1185" w:type="dxa"/>
            <w:tcBorders>
              <w:top w:val="single" w:color="000000" w:sz="4" w:space="0"/>
              <w:left w:val="single" w:color="000000" w:sz="4" w:space="0"/>
              <w:bottom w:val="single" w:color="000000" w:sz="4" w:space="0"/>
              <w:right w:val="single" w:color="000000" w:sz="4" w:space="0"/>
            </w:tcBorders>
            <w:vAlign w:val="center"/>
          </w:tcPr>
          <w:p w14:paraId="1CFA16B3">
            <w:pPr>
              <w:widowControl/>
              <w:shd w:val="clear"/>
              <w:jc w:val="center"/>
              <w:textAlignment w:val="center"/>
              <w:rPr>
                <w:rFonts w:hint="eastAsia" w:ascii="宋体" w:hAnsi="宋体" w:cs="宋体"/>
                <w:szCs w:val="21"/>
                <w:highlight w:val="none"/>
              </w:rPr>
            </w:pPr>
            <w:r>
              <w:rPr>
                <w:rFonts w:hint="eastAsia" w:ascii="宋体" w:hAnsi="宋体" w:cs="宋体"/>
                <w:szCs w:val="21"/>
                <w:highlight w:val="none"/>
              </w:rPr>
              <w:t>8465.76</w:t>
            </w:r>
          </w:p>
        </w:tc>
        <w:tc>
          <w:tcPr>
            <w:tcW w:w="1650" w:type="dxa"/>
            <w:tcBorders>
              <w:top w:val="single" w:color="000000" w:sz="4" w:space="0"/>
              <w:left w:val="single" w:color="000000" w:sz="4" w:space="0"/>
              <w:bottom w:val="single" w:color="000000" w:sz="4" w:space="0"/>
              <w:right w:val="single" w:color="000000" w:sz="4" w:space="0"/>
            </w:tcBorders>
            <w:vAlign w:val="center"/>
          </w:tcPr>
          <w:p w14:paraId="09C1C53A">
            <w:pPr>
              <w:widowControl/>
              <w:shd w:val="clear"/>
              <w:jc w:val="center"/>
              <w:textAlignment w:val="center"/>
              <w:rPr>
                <w:rFonts w:hint="eastAsia" w:ascii="宋体" w:hAnsi="宋体" w:cs="宋体"/>
                <w:szCs w:val="21"/>
                <w:highlight w:val="none"/>
              </w:rPr>
            </w:pPr>
            <w:r>
              <w:rPr>
                <w:rFonts w:hint="eastAsia" w:ascii="宋体" w:hAnsi="宋体" w:cs="宋体"/>
                <w:szCs w:val="21"/>
                <w:highlight w:val="none"/>
                <w:lang w:bidi="ar"/>
              </w:rPr>
              <w:t xml:space="preserve"> </w:t>
            </w:r>
          </w:p>
        </w:tc>
        <w:tc>
          <w:tcPr>
            <w:tcW w:w="1689" w:type="dxa"/>
            <w:tcBorders>
              <w:top w:val="single" w:color="000000" w:sz="4" w:space="0"/>
              <w:left w:val="single" w:color="000000" w:sz="4" w:space="0"/>
              <w:bottom w:val="single" w:color="000000" w:sz="4" w:space="0"/>
              <w:right w:val="single" w:color="000000" w:sz="4" w:space="0"/>
            </w:tcBorders>
            <w:vAlign w:val="center"/>
          </w:tcPr>
          <w:p w14:paraId="501E7E1E">
            <w:pPr>
              <w:widowControl/>
              <w:shd w:val="clear"/>
              <w:jc w:val="center"/>
              <w:textAlignment w:val="center"/>
              <w:rPr>
                <w:rFonts w:hint="eastAsia" w:ascii="宋体" w:hAnsi="宋体" w:cs="宋体"/>
                <w:szCs w:val="21"/>
                <w:highlight w:val="none"/>
              </w:rPr>
            </w:pPr>
          </w:p>
        </w:tc>
        <w:tc>
          <w:tcPr>
            <w:tcW w:w="2751" w:type="dxa"/>
            <w:tcBorders>
              <w:top w:val="single" w:color="000000" w:sz="4" w:space="0"/>
              <w:left w:val="single" w:color="000000" w:sz="4" w:space="0"/>
              <w:bottom w:val="single" w:color="000000" w:sz="4" w:space="0"/>
              <w:right w:val="single" w:color="000000" w:sz="4" w:space="0"/>
            </w:tcBorders>
            <w:vAlign w:val="center"/>
          </w:tcPr>
          <w:p w14:paraId="5D33ABA4">
            <w:pPr>
              <w:shd w:val="clear"/>
              <w:jc w:val="center"/>
              <w:rPr>
                <w:rFonts w:hint="eastAsia" w:ascii="宋体" w:hAnsi="宋体" w:cs="宋体"/>
                <w:szCs w:val="21"/>
                <w:highlight w:val="none"/>
              </w:rPr>
            </w:pPr>
            <w:r>
              <w:rPr>
                <w:rFonts w:hint="eastAsia" w:ascii="宋体" w:hAnsi="宋体" w:cs="宋体"/>
                <w:szCs w:val="21"/>
                <w:highlight w:val="none"/>
              </w:rPr>
              <w:t>对应单价报价金额不得超过综合包干单价最高投标限价为</w:t>
            </w:r>
            <w:r>
              <w:rPr>
                <w:rFonts w:hint="eastAsia" w:ascii="宋体" w:hAnsi="宋体" w:cs="宋体"/>
                <w:szCs w:val="21"/>
                <w:highlight w:val="none"/>
                <w:u w:val="single"/>
              </w:rPr>
              <w:t>110.00</w:t>
            </w:r>
            <w:r>
              <w:rPr>
                <w:rFonts w:hint="eastAsia" w:ascii="宋体" w:hAnsi="宋体" w:cs="宋体"/>
                <w:szCs w:val="21"/>
                <w:highlight w:val="none"/>
              </w:rPr>
              <w:t>元/米</w:t>
            </w:r>
          </w:p>
        </w:tc>
      </w:tr>
      <w:tr w14:paraId="1BD10700">
        <w:tblPrEx>
          <w:tblCellMar>
            <w:top w:w="0" w:type="dxa"/>
            <w:left w:w="108" w:type="dxa"/>
            <w:bottom w:w="0" w:type="dxa"/>
            <w:right w:w="108" w:type="dxa"/>
          </w:tblCellMar>
        </w:tblPrEx>
        <w:trPr>
          <w:trHeight w:val="504"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569CF00E">
            <w:pPr>
              <w:widowControl/>
              <w:shd w:val="clear"/>
              <w:jc w:val="center"/>
              <w:textAlignment w:val="center"/>
              <w:rPr>
                <w:rFonts w:hint="eastAsia" w:ascii="宋体" w:hAnsi="宋体" w:cs="宋体"/>
                <w:szCs w:val="21"/>
                <w:highlight w:val="none"/>
              </w:rPr>
            </w:pPr>
            <w:r>
              <w:rPr>
                <w:rFonts w:hint="eastAsia" w:ascii="宋体" w:hAnsi="宋体" w:cs="宋体"/>
                <w:szCs w:val="21"/>
                <w:highlight w:val="none"/>
                <w:lang w:bidi="ar"/>
              </w:rPr>
              <w:t>1.2</w:t>
            </w:r>
          </w:p>
        </w:tc>
        <w:tc>
          <w:tcPr>
            <w:tcW w:w="1756" w:type="dxa"/>
            <w:tcBorders>
              <w:top w:val="single" w:color="000000" w:sz="4" w:space="0"/>
              <w:left w:val="single" w:color="000000" w:sz="4" w:space="0"/>
              <w:bottom w:val="single" w:color="000000" w:sz="4" w:space="0"/>
              <w:right w:val="single" w:color="000000" w:sz="4" w:space="0"/>
            </w:tcBorders>
            <w:vAlign w:val="center"/>
          </w:tcPr>
          <w:p w14:paraId="0E236AD9">
            <w:pPr>
              <w:widowControl/>
              <w:shd w:val="clear"/>
              <w:jc w:val="center"/>
              <w:textAlignment w:val="center"/>
              <w:rPr>
                <w:rFonts w:hint="eastAsia" w:ascii="宋体" w:hAnsi="宋体" w:cs="宋体"/>
                <w:szCs w:val="21"/>
                <w:highlight w:val="none"/>
              </w:rPr>
            </w:pPr>
            <w:r>
              <w:rPr>
                <w:rFonts w:hint="eastAsia" w:ascii="宋体" w:hAnsi="宋体" w:cs="宋体"/>
                <w:szCs w:val="21"/>
                <w:highlight w:val="none"/>
                <w:lang w:bidi="ar"/>
              </w:rPr>
              <w:t>钻孔剪切波速测试</w:t>
            </w:r>
          </w:p>
        </w:tc>
        <w:tc>
          <w:tcPr>
            <w:tcW w:w="4455" w:type="dxa"/>
            <w:tcBorders>
              <w:top w:val="single" w:color="000000" w:sz="4" w:space="0"/>
              <w:left w:val="single" w:color="000000" w:sz="4" w:space="0"/>
              <w:bottom w:val="single" w:color="000000" w:sz="4" w:space="0"/>
              <w:right w:val="single" w:color="000000" w:sz="4" w:space="0"/>
            </w:tcBorders>
            <w:vAlign w:val="center"/>
          </w:tcPr>
          <w:p w14:paraId="5F42C5AE">
            <w:pPr>
              <w:widowControl/>
              <w:shd w:val="clear"/>
              <w:textAlignment w:val="center"/>
              <w:rPr>
                <w:rFonts w:hint="eastAsia" w:ascii="宋体" w:hAnsi="宋体" w:cs="宋体"/>
                <w:szCs w:val="21"/>
                <w:highlight w:val="none"/>
              </w:rPr>
            </w:pPr>
            <w:r>
              <w:rPr>
                <w:rFonts w:hint="eastAsia" w:ascii="宋体" w:hAnsi="宋体" w:cs="宋体"/>
                <w:szCs w:val="21"/>
                <w:highlight w:val="none"/>
                <w:lang w:bidi="ar"/>
              </w:rPr>
              <w:t>1、实测剪切波速</w:t>
            </w:r>
          </w:p>
        </w:tc>
        <w:tc>
          <w:tcPr>
            <w:tcW w:w="780" w:type="dxa"/>
            <w:tcBorders>
              <w:top w:val="single" w:color="000000" w:sz="4" w:space="0"/>
              <w:left w:val="single" w:color="000000" w:sz="4" w:space="0"/>
              <w:bottom w:val="single" w:color="000000" w:sz="4" w:space="0"/>
              <w:right w:val="single" w:color="000000" w:sz="4" w:space="0"/>
            </w:tcBorders>
            <w:vAlign w:val="center"/>
          </w:tcPr>
          <w:p w14:paraId="2A44FD05">
            <w:pPr>
              <w:widowControl/>
              <w:shd w:val="clear"/>
              <w:jc w:val="center"/>
              <w:textAlignment w:val="center"/>
              <w:rPr>
                <w:rFonts w:hint="eastAsia" w:ascii="宋体" w:hAnsi="宋体" w:cs="宋体"/>
                <w:szCs w:val="21"/>
                <w:highlight w:val="none"/>
              </w:rPr>
            </w:pPr>
            <w:r>
              <w:rPr>
                <w:rFonts w:hint="eastAsia" w:ascii="宋体" w:hAnsi="宋体" w:cs="宋体"/>
                <w:szCs w:val="21"/>
                <w:highlight w:val="none"/>
                <w:lang w:bidi="ar"/>
              </w:rPr>
              <w:t>孔</w:t>
            </w:r>
          </w:p>
        </w:tc>
        <w:tc>
          <w:tcPr>
            <w:tcW w:w="1185" w:type="dxa"/>
            <w:tcBorders>
              <w:top w:val="single" w:color="000000" w:sz="4" w:space="0"/>
              <w:left w:val="single" w:color="000000" w:sz="4" w:space="0"/>
              <w:bottom w:val="single" w:color="000000" w:sz="4" w:space="0"/>
              <w:right w:val="single" w:color="000000" w:sz="4" w:space="0"/>
            </w:tcBorders>
            <w:vAlign w:val="center"/>
          </w:tcPr>
          <w:p w14:paraId="1BB87ED7">
            <w:pPr>
              <w:widowControl/>
              <w:shd w:val="clear"/>
              <w:jc w:val="center"/>
              <w:textAlignment w:val="center"/>
              <w:rPr>
                <w:rFonts w:hint="eastAsia" w:ascii="宋体" w:hAnsi="宋体" w:cs="宋体"/>
                <w:szCs w:val="21"/>
                <w:highlight w:val="none"/>
              </w:rPr>
            </w:pPr>
            <w:r>
              <w:rPr>
                <w:rFonts w:hint="eastAsia" w:ascii="宋体" w:hAnsi="宋体" w:cs="宋体"/>
                <w:szCs w:val="21"/>
                <w:highlight w:val="none"/>
              </w:rPr>
              <w:t>40.00</w:t>
            </w:r>
          </w:p>
        </w:tc>
        <w:tc>
          <w:tcPr>
            <w:tcW w:w="1650" w:type="dxa"/>
            <w:tcBorders>
              <w:top w:val="single" w:color="000000" w:sz="4" w:space="0"/>
              <w:left w:val="single" w:color="000000" w:sz="4" w:space="0"/>
              <w:bottom w:val="single" w:color="000000" w:sz="4" w:space="0"/>
              <w:right w:val="single" w:color="000000" w:sz="4" w:space="0"/>
            </w:tcBorders>
            <w:vAlign w:val="center"/>
          </w:tcPr>
          <w:p w14:paraId="6474CF35">
            <w:pPr>
              <w:widowControl/>
              <w:shd w:val="clear"/>
              <w:jc w:val="center"/>
              <w:textAlignment w:val="center"/>
              <w:rPr>
                <w:rFonts w:hint="eastAsia" w:ascii="宋体" w:hAnsi="宋体" w:cs="宋体"/>
                <w:szCs w:val="21"/>
                <w:highlight w:val="none"/>
              </w:rPr>
            </w:pPr>
            <w:r>
              <w:rPr>
                <w:rFonts w:hint="eastAsia" w:ascii="宋体" w:hAnsi="宋体" w:cs="宋体"/>
                <w:szCs w:val="21"/>
                <w:highlight w:val="none"/>
                <w:lang w:bidi="ar"/>
              </w:rPr>
              <w:t xml:space="preserve"> </w:t>
            </w:r>
          </w:p>
        </w:tc>
        <w:tc>
          <w:tcPr>
            <w:tcW w:w="1689" w:type="dxa"/>
            <w:tcBorders>
              <w:top w:val="single" w:color="000000" w:sz="4" w:space="0"/>
              <w:left w:val="single" w:color="000000" w:sz="4" w:space="0"/>
              <w:bottom w:val="single" w:color="000000" w:sz="4" w:space="0"/>
              <w:right w:val="single" w:color="000000" w:sz="4" w:space="0"/>
            </w:tcBorders>
            <w:vAlign w:val="center"/>
          </w:tcPr>
          <w:p w14:paraId="7A0E9BD0">
            <w:pPr>
              <w:widowControl/>
              <w:shd w:val="clear"/>
              <w:jc w:val="center"/>
              <w:textAlignment w:val="center"/>
              <w:rPr>
                <w:rFonts w:hint="eastAsia" w:ascii="宋体" w:hAnsi="宋体" w:cs="宋体"/>
                <w:szCs w:val="21"/>
                <w:highlight w:val="none"/>
              </w:rPr>
            </w:pPr>
          </w:p>
        </w:tc>
        <w:tc>
          <w:tcPr>
            <w:tcW w:w="2751" w:type="dxa"/>
            <w:tcBorders>
              <w:top w:val="single" w:color="000000" w:sz="4" w:space="0"/>
              <w:left w:val="single" w:color="000000" w:sz="4" w:space="0"/>
              <w:bottom w:val="single" w:color="000000" w:sz="4" w:space="0"/>
              <w:right w:val="single" w:color="000000" w:sz="4" w:space="0"/>
            </w:tcBorders>
            <w:vAlign w:val="center"/>
          </w:tcPr>
          <w:p w14:paraId="1420AC59">
            <w:pPr>
              <w:shd w:val="clear"/>
              <w:jc w:val="center"/>
              <w:rPr>
                <w:rFonts w:hint="eastAsia" w:ascii="宋体" w:hAnsi="宋体" w:cs="宋体"/>
                <w:szCs w:val="21"/>
                <w:highlight w:val="none"/>
              </w:rPr>
            </w:pPr>
            <w:r>
              <w:rPr>
                <w:rFonts w:hint="eastAsia" w:ascii="宋体" w:hAnsi="宋体" w:cs="宋体"/>
                <w:szCs w:val="21"/>
                <w:highlight w:val="none"/>
              </w:rPr>
              <w:t>对应单价报价金额不得超过综合包干单价最高投标限价为</w:t>
            </w:r>
            <w:r>
              <w:rPr>
                <w:rFonts w:hint="eastAsia" w:ascii="宋体" w:hAnsi="宋体" w:cs="宋体"/>
                <w:szCs w:val="21"/>
                <w:highlight w:val="none"/>
                <w:u w:val="single"/>
              </w:rPr>
              <w:t>2210.00</w:t>
            </w:r>
            <w:r>
              <w:rPr>
                <w:rFonts w:hint="eastAsia" w:ascii="宋体" w:hAnsi="宋体" w:cs="宋体"/>
                <w:szCs w:val="21"/>
                <w:highlight w:val="none"/>
              </w:rPr>
              <w:t>元/孔</w:t>
            </w:r>
          </w:p>
        </w:tc>
      </w:tr>
      <w:tr w14:paraId="420E02C4">
        <w:tblPrEx>
          <w:tblCellMar>
            <w:top w:w="0" w:type="dxa"/>
            <w:left w:w="108" w:type="dxa"/>
            <w:bottom w:w="0" w:type="dxa"/>
            <w:right w:w="108" w:type="dxa"/>
          </w:tblCellMar>
        </w:tblPrEx>
        <w:trPr>
          <w:trHeight w:val="94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608C5F2C">
            <w:pPr>
              <w:widowControl/>
              <w:shd w:val="clear"/>
              <w:jc w:val="center"/>
              <w:textAlignment w:val="center"/>
              <w:rPr>
                <w:rFonts w:hint="eastAsia" w:ascii="宋体" w:hAnsi="宋体" w:cs="宋体"/>
                <w:szCs w:val="21"/>
                <w:highlight w:val="none"/>
              </w:rPr>
            </w:pPr>
            <w:r>
              <w:rPr>
                <w:rFonts w:hint="eastAsia" w:ascii="宋体" w:hAnsi="宋体" w:cs="宋体"/>
                <w:szCs w:val="21"/>
                <w:highlight w:val="none"/>
                <w:lang w:bidi="ar"/>
              </w:rPr>
              <w:t>二</w:t>
            </w:r>
          </w:p>
        </w:tc>
        <w:tc>
          <w:tcPr>
            <w:tcW w:w="1756" w:type="dxa"/>
            <w:tcBorders>
              <w:top w:val="single" w:color="000000" w:sz="4" w:space="0"/>
              <w:left w:val="single" w:color="000000" w:sz="4" w:space="0"/>
              <w:bottom w:val="single" w:color="000000" w:sz="4" w:space="0"/>
              <w:right w:val="single" w:color="000000" w:sz="4" w:space="0"/>
            </w:tcBorders>
            <w:vAlign w:val="center"/>
          </w:tcPr>
          <w:p w14:paraId="448B0D40">
            <w:pPr>
              <w:widowControl/>
              <w:shd w:val="clear"/>
              <w:jc w:val="center"/>
              <w:textAlignment w:val="center"/>
              <w:rPr>
                <w:rFonts w:hint="eastAsia" w:ascii="宋体" w:hAnsi="宋体" w:cs="宋体"/>
                <w:szCs w:val="21"/>
                <w:highlight w:val="none"/>
              </w:rPr>
            </w:pPr>
            <w:r>
              <w:rPr>
                <w:rFonts w:hint="eastAsia" w:ascii="宋体" w:hAnsi="宋体" w:cs="宋体"/>
                <w:szCs w:val="21"/>
                <w:highlight w:val="none"/>
                <w:lang w:bidi="ar"/>
              </w:rPr>
              <w:t>地下管线探测</w:t>
            </w:r>
          </w:p>
        </w:tc>
        <w:tc>
          <w:tcPr>
            <w:tcW w:w="4455" w:type="dxa"/>
            <w:tcBorders>
              <w:top w:val="single" w:color="000000" w:sz="4" w:space="0"/>
              <w:left w:val="single" w:color="000000" w:sz="4" w:space="0"/>
              <w:bottom w:val="single" w:color="000000" w:sz="4" w:space="0"/>
              <w:right w:val="single" w:color="000000" w:sz="4" w:space="0"/>
            </w:tcBorders>
            <w:vAlign w:val="center"/>
          </w:tcPr>
          <w:p w14:paraId="0954ED15">
            <w:pPr>
              <w:widowControl/>
              <w:shd w:val="clear"/>
              <w:textAlignment w:val="center"/>
              <w:rPr>
                <w:rFonts w:hint="eastAsia" w:ascii="宋体" w:hAnsi="宋体" w:cs="宋体"/>
                <w:szCs w:val="21"/>
                <w:highlight w:val="none"/>
              </w:rPr>
            </w:pPr>
            <w:r>
              <w:rPr>
                <w:rFonts w:hint="eastAsia" w:ascii="宋体" w:hAnsi="宋体" w:cs="宋体"/>
                <w:szCs w:val="21"/>
                <w:highlight w:val="none"/>
                <w:lang w:bidi="ar"/>
              </w:rPr>
              <w:t>1、含测量放点、场地探测；</w:t>
            </w:r>
            <w:r>
              <w:rPr>
                <w:rFonts w:hint="eastAsia" w:ascii="宋体" w:hAnsi="宋体" w:cs="宋体"/>
                <w:szCs w:val="21"/>
                <w:highlight w:val="none"/>
                <w:lang w:bidi="ar"/>
              </w:rPr>
              <w:br w:type="textWrapping"/>
            </w:r>
            <w:r>
              <w:rPr>
                <w:rFonts w:hint="eastAsia" w:ascii="宋体" w:hAnsi="宋体" w:cs="宋体"/>
                <w:szCs w:val="21"/>
                <w:highlight w:val="none"/>
                <w:lang w:bidi="ar"/>
              </w:rPr>
              <w:t>2、不区分探测深度。</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7F16684">
            <w:pPr>
              <w:widowControl/>
              <w:shd w:val="clear"/>
              <w:jc w:val="center"/>
              <w:textAlignment w:val="center"/>
              <w:rPr>
                <w:rFonts w:hint="eastAsia" w:ascii="宋体" w:hAnsi="宋体" w:cs="宋体"/>
                <w:szCs w:val="21"/>
                <w:highlight w:val="none"/>
              </w:rPr>
            </w:pPr>
            <w:r>
              <w:rPr>
                <w:rFonts w:hint="eastAsia" w:ascii="宋体" w:hAnsi="宋体" w:cs="宋体"/>
                <w:szCs w:val="21"/>
                <w:highlight w:val="none"/>
                <w:lang w:bidi="ar"/>
              </w:rPr>
              <w:t>平方米</w:t>
            </w:r>
          </w:p>
        </w:tc>
        <w:tc>
          <w:tcPr>
            <w:tcW w:w="1185" w:type="dxa"/>
            <w:tcBorders>
              <w:top w:val="single" w:color="000000" w:sz="4" w:space="0"/>
              <w:left w:val="single" w:color="000000" w:sz="4" w:space="0"/>
              <w:bottom w:val="single" w:color="000000" w:sz="4" w:space="0"/>
              <w:right w:val="single" w:color="000000" w:sz="4" w:space="0"/>
            </w:tcBorders>
            <w:vAlign w:val="center"/>
          </w:tcPr>
          <w:p w14:paraId="416FA729">
            <w:pPr>
              <w:widowControl/>
              <w:shd w:val="clear"/>
              <w:jc w:val="center"/>
              <w:textAlignment w:val="center"/>
              <w:rPr>
                <w:rFonts w:hint="eastAsia" w:ascii="宋体" w:hAnsi="宋体" w:cs="宋体"/>
                <w:szCs w:val="21"/>
                <w:highlight w:val="none"/>
              </w:rPr>
            </w:pPr>
            <w:r>
              <w:rPr>
                <w:rFonts w:hint="eastAsia" w:ascii="宋体" w:hAnsi="宋体" w:cs="宋体"/>
                <w:szCs w:val="21"/>
                <w:highlight w:val="none"/>
              </w:rPr>
              <w:t xml:space="preserve">42148.80 </w:t>
            </w:r>
          </w:p>
        </w:tc>
        <w:tc>
          <w:tcPr>
            <w:tcW w:w="1650" w:type="dxa"/>
            <w:tcBorders>
              <w:top w:val="single" w:color="000000" w:sz="4" w:space="0"/>
              <w:left w:val="single" w:color="000000" w:sz="4" w:space="0"/>
              <w:bottom w:val="single" w:color="000000" w:sz="4" w:space="0"/>
              <w:right w:val="single" w:color="000000" w:sz="4" w:space="0"/>
            </w:tcBorders>
            <w:vAlign w:val="center"/>
          </w:tcPr>
          <w:p w14:paraId="4CB2E179">
            <w:pPr>
              <w:widowControl/>
              <w:shd w:val="clear"/>
              <w:jc w:val="center"/>
              <w:textAlignment w:val="center"/>
              <w:rPr>
                <w:rFonts w:hint="eastAsia" w:ascii="宋体" w:hAnsi="宋体" w:cs="宋体"/>
                <w:szCs w:val="21"/>
                <w:highlight w:val="none"/>
              </w:rPr>
            </w:pPr>
            <w:r>
              <w:rPr>
                <w:rFonts w:hint="eastAsia" w:ascii="宋体" w:hAnsi="宋体" w:cs="宋体"/>
                <w:szCs w:val="21"/>
                <w:highlight w:val="none"/>
                <w:lang w:bidi="ar"/>
              </w:rPr>
              <w:t xml:space="preserve"> </w:t>
            </w:r>
          </w:p>
        </w:tc>
        <w:tc>
          <w:tcPr>
            <w:tcW w:w="1689" w:type="dxa"/>
            <w:tcBorders>
              <w:top w:val="single" w:color="000000" w:sz="4" w:space="0"/>
              <w:left w:val="single" w:color="000000" w:sz="4" w:space="0"/>
              <w:bottom w:val="single" w:color="000000" w:sz="4" w:space="0"/>
              <w:right w:val="single" w:color="000000" w:sz="4" w:space="0"/>
            </w:tcBorders>
            <w:vAlign w:val="center"/>
          </w:tcPr>
          <w:p w14:paraId="12A4A6F8">
            <w:pPr>
              <w:widowControl/>
              <w:shd w:val="clear"/>
              <w:jc w:val="center"/>
              <w:textAlignment w:val="center"/>
              <w:rPr>
                <w:rFonts w:hint="eastAsia" w:ascii="宋体" w:hAnsi="宋体" w:cs="宋体"/>
                <w:szCs w:val="21"/>
                <w:highlight w:val="none"/>
              </w:rPr>
            </w:pPr>
          </w:p>
        </w:tc>
        <w:tc>
          <w:tcPr>
            <w:tcW w:w="2751" w:type="dxa"/>
            <w:tcBorders>
              <w:top w:val="single" w:color="000000" w:sz="4" w:space="0"/>
              <w:left w:val="single" w:color="000000" w:sz="4" w:space="0"/>
              <w:bottom w:val="single" w:color="000000" w:sz="4" w:space="0"/>
              <w:right w:val="single" w:color="000000" w:sz="4" w:space="0"/>
            </w:tcBorders>
            <w:vAlign w:val="center"/>
          </w:tcPr>
          <w:p w14:paraId="0ACBC8A0">
            <w:pPr>
              <w:shd w:val="clear"/>
              <w:jc w:val="center"/>
              <w:rPr>
                <w:rFonts w:hint="eastAsia" w:ascii="宋体" w:hAnsi="宋体" w:cs="宋体"/>
                <w:szCs w:val="21"/>
                <w:highlight w:val="none"/>
              </w:rPr>
            </w:pPr>
            <w:r>
              <w:rPr>
                <w:rFonts w:hint="eastAsia" w:ascii="宋体" w:hAnsi="宋体" w:cs="宋体"/>
                <w:szCs w:val="21"/>
                <w:highlight w:val="none"/>
              </w:rPr>
              <w:t>对应单价报价金额不得超过综合包干单价最高投标限价为</w:t>
            </w:r>
            <w:r>
              <w:rPr>
                <w:rFonts w:hint="eastAsia" w:ascii="宋体" w:hAnsi="宋体" w:cs="宋体"/>
                <w:szCs w:val="21"/>
                <w:highlight w:val="none"/>
                <w:u w:val="single"/>
              </w:rPr>
              <w:t>1.22</w:t>
            </w:r>
            <w:r>
              <w:rPr>
                <w:rFonts w:hint="eastAsia" w:ascii="宋体" w:hAnsi="宋体" w:cs="宋体"/>
                <w:szCs w:val="21"/>
                <w:highlight w:val="none"/>
              </w:rPr>
              <w:t>元/平方米</w:t>
            </w:r>
          </w:p>
        </w:tc>
      </w:tr>
      <w:tr w14:paraId="70E3BB65">
        <w:tblPrEx>
          <w:tblCellMar>
            <w:top w:w="0" w:type="dxa"/>
            <w:left w:w="108" w:type="dxa"/>
            <w:bottom w:w="0" w:type="dxa"/>
            <w:right w:w="108" w:type="dxa"/>
          </w:tblCellMar>
        </w:tblPrEx>
        <w:trPr>
          <w:trHeight w:val="297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49DA211C">
            <w:pPr>
              <w:widowControl/>
              <w:shd w:val="clear"/>
              <w:jc w:val="center"/>
              <w:textAlignment w:val="center"/>
              <w:rPr>
                <w:rFonts w:hint="eastAsia" w:ascii="宋体" w:hAnsi="宋体" w:cs="宋体"/>
                <w:szCs w:val="21"/>
                <w:highlight w:val="none"/>
              </w:rPr>
            </w:pPr>
            <w:r>
              <w:rPr>
                <w:rFonts w:hint="eastAsia" w:ascii="宋体" w:hAnsi="宋体" w:cs="宋体"/>
                <w:szCs w:val="21"/>
                <w:highlight w:val="none"/>
                <w:lang w:bidi="ar"/>
              </w:rPr>
              <w:t>三</w:t>
            </w:r>
          </w:p>
        </w:tc>
        <w:tc>
          <w:tcPr>
            <w:tcW w:w="1756" w:type="dxa"/>
            <w:tcBorders>
              <w:top w:val="single" w:color="000000" w:sz="4" w:space="0"/>
              <w:left w:val="single" w:color="000000" w:sz="4" w:space="0"/>
              <w:bottom w:val="single" w:color="000000" w:sz="4" w:space="0"/>
              <w:right w:val="single" w:color="000000" w:sz="4" w:space="0"/>
            </w:tcBorders>
            <w:vAlign w:val="center"/>
          </w:tcPr>
          <w:p w14:paraId="32019A95">
            <w:pPr>
              <w:widowControl/>
              <w:shd w:val="clear"/>
              <w:jc w:val="center"/>
              <w:textAlignment w:val="center"/>
              <w:rPr>
                <w:rFonts w:hint="eastAsia" w:ascii="宋体" w:hAnsi="宋体" w:cs="宋体"/>
                <w:szCs w:val="21"/>
                <w:highlight w:val="none"/>
              </w:rPr>
            </w:pPr>
            <w:r>
              <w:rPr>
                <w:rFonts w:hint="eastAsia" w:ascii="宋体" w:hAnsi="宋体" w:cs="宋体"/>
                <w:szCs w:val="21"/>
                <w:highlight w:val="none"/>
                <w:lang w:bidi="ar"/>
              </w:rPr>
              <w:t>桩基超前钻探</w:t>
            </w:r>
          </w:p>
        </w:tc>
        <w:tc>
          <w:tcPr>
            <w:tcW w:w="4455" w:type="dxa"/>
            <w:tcBorders>
              <w:top w:val="single" w:color="000000" w:sz="4" w:space="0"/>
              <w:left w:val="single" w:color="000000" w:sz="4" w:space="0"/>
              <w:bottom w:val="single" w:color="000000" w:sz="4" w:space="0"/>
              <w:right w:val="single" w:color="000000" w:sz="4" w:space="0"/>
            </w:tcBorders>
            <w:vAlign w:val="center"/>
          </w:tcPr>
          <w:p w14:paraId="77C4AF5E">
            <w:pPr>
              <w:widowControl/>
              <w:shd w:val="clear"/>
              <w:textAlignment w:val="center"/>
              <w:rPr>
                <w:rFonts w:hint="eastAsia" w:ascii="宋体" w:hAnsi="宋体" w:cs="宋体"/>
                <w:szCs w:val="21"/>
                <w:highlight w:val="none"/>
                <w:lang w:bidi="ar"/>
              </w:rPr>
            </w:pPr>
            <w:r>
              <w:rPr>
                <w:rFonts w:hint="eastAsia" w:ascii="宋体" w:hAnsi="宋体" w:cs="宋体"/>
                <w:szCs w:val="21"/>
                <w:highlight w:val="none"/>
                <w:lang w:bidi="ar"/>
              </w:rPr>
              <w:t>1、超前钻勘察；</w:t>
            </w:r>
            <w:r>
              <w:rPr>
                <w:rFonts w:hint="eastAsia" w:ascii="宋体" w:hAnsi="宋体" w:cs="宋体"/>
                <w:szCs w:val="21"/>
                <w:highlight w:val="none"/>
                <w:lang w:bidi="ar"/>
              </w:rPr>
              <w:br w:type="textWrapping"/>
            </w:r>
            <w:r>
              <w:rPr>
                <w:rFonts w:hint="eastAsia" w:ascii="宋体" w:hAnsi="宋体" w:cs="宋体"/>
                <w:szCs w:val="21"/>
                <w:highlight w:val="none"/>
                <w:lang w:bidi="ar"/>
              </w:rPr>
              <w:t>2、综合考虑不同土层地质；</w:t>
            </w:r>
            <w:r>
              <w:rPr>
                <w:rFonts w:hint="eastAsia" w:ascii="宋体" w:hAnsi="宋体" w:cs="宋体"/>
                <w:szCs w:val="21"/>
                <w:highlight w:val="none"/>
                <w:lang w:bidi="ar"/>
              </w:rPr>
              <w:br w:type="textWrapping"/>
            </w:r>
            <w:r>
              <w:rPr>
                <w:rFonts w:hint="eastAsia" w:ascii="宋体" w:hAnsi="宋体" w:cs="宋体"/>
                <w:szCs w:val="21"/>
                <w:highlight w:val="none"/>
                <w:lang w:bidi="ar"/>
              </w:rPr>
              <w:t>3、协助编制勘察方案；</w:t>
            </w:r>
            <w:r>
              <w:rPr>
                <w:rFonts w:hint="eastAsia" w:ascii="宋体" w:hAnsi="宋体" w:cs="宋体"/>
                <w:szCs w:val="21"/>
                <w:highlight w:val="none"/>
                <w:lang w:bidi="ar"/>
              </w:rPr>
              <w:br w:type="textWrapping"/>
            </w:r>
            <w:r>
              <w:rPr>
                <w:rFonts w:hint="eastAsia" w:ascii="宋体" w:hAnsi="宋体" w:cs="宋体"/>
                <w:szCs w:val="21"/>
                <w:highlight w:val="none"/>
                <w:lang w:bidi="ar"/>
              </w:rPr>
              <w:t>4、测量放孔、钻机一次进退场、钻孔场地清理平整；</w:t>
            </w:r>
            <w:r>
              <w:rPr>
                <w:rFonts w:hint="eastAsia" w:ascii="宋体" w:hAnsi="宋体" w:cs="宋体"/>
                <w:szCs w:val="21"/>
                <w:highlight w:val="none"/>
                <w:lang w:bidi="ar"/>
              </w:rPr>
              <w:br w:type="textWrapping"/>
            </w:r>
            <w:r>
              <w:rPr>
                <w:rFonts w:hint="eastAsia" w:ascii="宋体" w:hAnsi="宋体" w:cs="宋体"/>
                <w:szCs w:val="21"/>
                <w:highlight w:val="none"/>
                <w:lang w:bidi="ar"/>
              </w:rPr>
              <w:t>5、现场试验及取样送检，编制勘察报告；</w:t>
            </w:r>
            <w:r>
              <w:rPr>
                <w:rFonts w:hint="eastAsia" w:ascii="宋体" w:hAnsi="宋体" w:cs="宋体"/>
                <w:szCs w:val="21"/>
                <w:highlight w:val="none"/>
                <w:lang w:bidi="ar"/>
              </w:rPr>
              <w:br w:type="textWrapping"/>
            </w:r>
            <w:r>
              <w:rPr>
                <w:rFonts w:hint="eastAsia" w:ascii="宋体" w:hAnsi="宋体" w:cs="宋体"/>
                <w:szCs w:val="21"/>
                <w:highlight w:val="none"/>
                <w:lang w:bidi="ar"/>
              </w:rPr>
              <w:t>6、贯合考虑作业面及进尺深度；</w:t>
            </w:r>
            <w:r>
              <w:rPr>
                <w:rFonts w:hint="eastAsia" w:ascii="宋体" w:hAnsi="宋体" w:cs="宋体"/>
                <w:szCs w:val="21"/>
                <w:highlight w:val="none"/>
                <w:lang w:bidi="ar"/>
              </w:rPr>
              <w:br w:type="textWrapping"/>
            </w:r>
            <w:r>
              <w:rPr>
                <w:rFonts w:hint="eastAsia" w:ascii="宋体" w:hAnsi="宋体" w:cs="宋体"/>
                <w:szCs w:val="21"/>
                <w:highlight w:val="none"/>
                <w:lang w:bidi="ar"/>
              </w:rPr>
              <w:t>7、钻探过程中遇到的卵石层、夹层、孤石等在综合单价考虑。</w:t>
            </w:r>
          </w:p>
          <w:p w14:paraId="4F2630A2">
            <w:pPr>
              <w:pStyle w:val="5"/>
              <w:numPr>
                <w:ilvl w:val="255"/>
                <w:numId w:val="0"/>
              </w:numPr>
              <w:shd w:val="clear"/>
              <w:rPr>
                <w:rFonts w:hint="eastAsia" w:ascii="宋体" w:hAnsi="宋体" w:cs="宋体"/>
                <w:highlight w:val="none"/>
              </w:rPr>
            </w:pPr>
            <w:r>
              <w:rPr>
                <w:rFonts w:hint="eastAsia" w:ascii="宋体" w:hAnsi="宋体" w:cs="宋体"/>
                <w:highlight w:val="none"/>
              </w:rPr>
              <w:t>8、一般雨水、积水的处理。</w:t>
            </w:r>
          </w:p>
        </w:tc>
        <w:tc>
          <w:tcPr>
            <w:tcW w:w="780" w:type="dxa"/>
            <w:tcBorders>
              <w:top w:val="single" w:color="000000" w:sz="4" w:space="0"/>
              <w:left w:val="single" w:color="000000" w:sz="4" w:space="0"/>
              <w:bottom w:val="single" w:color="000000" w:sz="4" w:space="0"/>
              <w:right w:val="single" w:color="000000" w:sz="4" w:space="0"/>
            </w:tcBorders>
            <w:vAlign w:val="center"/>
          </w:tcPr>
          <w:p w14:paraId="5E8764E0">
            <w:pPr>
              <w:widowControl/>
              <w:shd w:val="clear"/>
              <w:jc w:val="center"/>
              <w:textAlignment w:val="center"/>
              <w:rPr>
                <w:rFonts w:hint="eastAsia" w:ascii="宋体" w:hAnsi="宋体" w:cs="宋体"/>
                <w:szCs w:val="21"/>
                <w:highlight w:val="none"/>
              </w:rPr>
            </w:pPr>
            <w:r>
              <w:rPr>
                <w:rFonts w:hint="eastAsia" w:ascii="宋体" w:hAnsi="宋体" w:cs="宋体"/>
                <w:szCs w:val="21"/>
                <w:highlight w:val="none"/>
                <w:lang w:bidi="ar"/>
              </w:rPr>
              <w:t>米</w:t>
            </w:r>
          </w:p>
        </w:tc>
        <w:tc>
          <w:tcPr>
            <w:tcW w:w="1185" w:type="dxa"/>
            <w:tcBorders>
              <w:top w:val="single" w:color="000000" w:sz="4" w:space="0"/>
              <w:left w:val="single" w:color="000000" w:sz="4" w:space="0"/>
              <w:bottom w:val="single" w:color="000000" w:sz="4" w:space="0"/>
              <w:right w:val="single" w:color="000000" w:sz="4" w:space="0"/>
            </w:tcBorders>
            <w:vAlign w:val="center"/>
          </w:tcPr>
          <w:p w14:paraId="1BB8B92D">
            <w:pPr>
              <w:widowControl/>
              <w:shd w:val="clear"/>
              <w:jc w:val="center"/>
              <w:textAlignment w:val="center"/>
              <w:rPr>
                <w:rFonts w:hint="eastAsia" w:ascii="宋体" w:hAnsi="宋体" w:cs="宋体"/>
                <w:szCs w:val="21"/>
                <w:highlight w:val="none"/>
              </w:rPr>
            </w:pPr>
            <w:r>
              <w:rPr>
                <w:rFonts w:hint="eastAsia" w:ascii="宋体" w:hAnsi="宋体" w:cs="宋体"/>
                <w:szCs w:val="21"/>
                <w:highlight w:val="none"/>
              </w:rPr>
              <w:t>4232.88</w:t>
            </w:r>
          </w:p>
        </w:tc>
        <w:tc>
          <w:tcPr>
            <w:tcW w:w="1650" w:type="dxa"/>
            <w:tcBorders>
              <w:top w:val="single" w:color="000000" w:sz="4" w:space="0"/>
              <w:left w:val="single" w:color="000000" w:sz="4" w:space="0"/>
              <w:bottom w:val="single" w:color="000000" w:sz="4" w:space="0"/>
              <w:right w:val="single" w:color="000000" w:sz="4" w:space="0"/>
            </w:tcBorders>
            <w:vAlign w:val="center"/>
          </w:tcPr>
          <w:p w14:paraId="5F7BFFE1">
            <w:pPr>
              <w:widowControl/>
              <w:shd w:val="clear"/>
              <w:jc w:val="center"/>
              <w:textAlignment w:val="center"/>
              <w:rPr>
                <w:rFonts w:hint="eastAsia" w:ascii="宋体" w:hAnsi="宋体" w:cs="宋体"/>
                <w:szCs w:val="21"/>
                <w:highlight w:val="none"/>
              </w:rPr>
            </w:pPr>
            <w:r>
              <w:rPr>
                <w:rFonts w:hint="eastAsia" w:ascii="宋体" w:hAnsi="宋体" w:cs="宋体"/>
                <w:szCs w:val="21"/>
                <w:highlight w:val="none"/>
                <w:lang w:bidi="ar"/>
              </w:rPr>
              <w:t xml:space="preserve"> </w:t>
            </w:r>
          </w:p>
        </w:tc>
        <w:tc>
          <w:tcPr>
            <w:tcW w:w="1689" w:type="dxa"/>
            <w:tcBorders>
              <w:top w:val="single" w:color="000000" w:sz="4" w:space="0"/>
              <w:left w:val="single" w:color="000000" w:sz="4" w:space="0"/>
              <w:bottom w:val="single" w:color="000000" w:sz="4" w:space="0"/>
              <w:right w:val="single" w:color="000000" w:sz="4" w:space="0"/>
            </w:tcBorders>
            <w:vAlign w:val="center"/>
          </w:tcPr>
          <w:p w14:paraId="1357D7C3">
            <w:pPr>
              <w:widowControl/>
              <w:shd w:val="clear"/>
              <w:jc w:val="center"/>
              <w:textAlignment w:val="center"/>
              <w:rPr>
                <w:rFonts w:hint="eastAsia" w:ascii="宋体" w:hAnsi="宋体" w:cs="宋体"/>
                <w:szCs w:val="21"/>
                <w:highlight w:val="none"/>
              </w:rPr>
            </w:pPr>
          </w:p>
        </w:tc>
        <w:tc>
          <w:tcPr>
            <w:tcW w:w="2751" w:type="dxa"/>
            <w:tcBorders>
              <w:top w:val="single" w:color="000000" w:sz="4" w:space="0"/>
              <w:left w:val="single" w:color="000000" w:sz="4" w:space="0"/>
              <w:bottom w:val="single" w:color="000000" w:sz="4" w:space="0"/>
              <w:right w:val="single" w:color="000000" w:sz="4" w:space="0"/>
            </w:tcBorders>
            <w:vAlign w:val="center"/>
          </w:tcPr>
          <w:p w14:paraId="13DF30B0">
            <w:pPr>
              <w:shd w:val="clear"/>
              <w:jc w:val="center"/>
              <w:rPr>
                <w:rFonts w:hint="eastAsia" w:ascii="宋体" w:hAnsi="宋体" w:cs="宋体"/>
                <w:szCs w:val="21"/>
                <w:highlight w:val="none"/>
              </w:rPr>
            </w:pPr>
            <w:r>
              <w:rPr>
                <w:rFonts w:hint="eastAsia" w:ascii="宋体" w:hAnsi="宋体" w:cs="宋体"/>
                <w:szCs w:val="21"/>
                <w:highlight w:val="none"/>
              </w:rPr>
              <w:t>对应单价报价金额不得超过综合包干单价最高投标限价为</w:t>
            </w:r>
            <w:r>
              <w:rPr>
                <w:rFonts w:hint="eastAsia" w:ascii="宋体" w:hAnsi="宋体" w:cs="宋体"/>
                <w:szCs w:val="21"/>
                <w:highlight w:val="none"/>
                <w:u w:val="single"/>
              </w:rPr>
              <w:t>110.00</w:t>
            </w:r>
            <w:r>
              <w:rPr>
                <w:rFonts w:hint="eastAsia" w:ascii="宋体" w:hAnsi="宋体" w:cs="宋体"/>
                <w:szCs w:val="21"/>
                <w:highlight w:val="none"/>
              </w:rPr>
              <w:t>元/米</w:t>
            </w:r>
          </w:p>
        </w:tc>
      </w:tr>
      <w:tr w14:paraId="3F2AA43F">
        <w:tblPrEx>
          <w:tblCellMar>
            <w:top w:w="0" w:type="dxa"/>
            <w:left w:w="108" w:type="dxa"/>
            <w:bottom w:w="0" w:type="dxa"/>
            <w:right w:w="108" w:type="dxa"/>
          </w:tblCellMar>
        </w:tblPrEx>
        <w:trPr>
          <w:trHeight w:val="103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25E2635E">
            <w:pPr>
              <w:widowControl/>
              <w:shd w:val="clear"/>
              <w:jc w:val="center"/>
              <w:textAlignment w:val="center"/>
              <w:rPr>
                <w:rFonts w:hint="eastAsia" w:ascii="宋体" w:hAnsi="宋体" w:cs="宋体"/>
                <w:szCs w:val="21"/>
                <w:highlight w:val="none"/>
                <w:lang w:bidi="ar"/>
              </w:rPr>
            </w:pPr>
            <w:r>
              <w:rPr>
                <w:rFonts w:hint="eastAsia" w:ascii="宋体" w:hAnsi="宋体" w:cs="宋体"/>
                <w:szCs w:val="21"/>
                <w:highlight w:val="none"/>
                <w:lang w:bidi="ar"/>
              </w:rPr>
              <w:t>四</w:t>
            </w:r>
          </w:p>
        </w:tc>
        <w:tc>
          <w:tcPr>
            <w:tcW w:w="1756" w:type="dxa"/>
            <w:tcBorders>
              <w:top w:val="single" w:color="000000" w:sz="4" w:space="0"/>
              <w:left w:val="single" w:color="000000" w:sz="4" w:space="0"/>
              <w:bottom w:val="single" w:color="000000" w:sz="4" w:space="0"/>
              <w:right w:val="single" w:color="000000" w:sz="4" w:space="0"/>
            </w:tcBorders>
            <w:vAlign w:val="center"/>
          </w:tcPr>
          <w:p w14:paraId="5C68A4B5">
            <w:pPr>
              <w:widowControl/>
              <w:shd w:val="clear"/>
              <w:jc w:val="center"/>
              <w:textAlignment w:val="center"/>
              <w:rPr>
                <w:rFonts w:hint="eastAsia" w:ascii="宋体" w:hAnsi="宋体" w:cs="宋体"/>
                <w:szCs w:val="21"/>
                <w:highlight w:val="none"/>
                <w:lang w:bidi="ar"/>
              </w:rPr>
            </w:pPr>
            <w:r>
              <w:rPr>
                <w:rFonts w:hint="eastAsia" w:ascii="宋体" w:hAnsi="宋体" w:cs="宋体"/>
                <w:szCs w:val="21"/>
                <w:highlight w:val="none"/>
                <w:lang w:bidi="ar"/>
              </w:rPr>
              <w:t>勘察费报价</w:t>
            </w:r>
          </w:p>
        </w:tc>
        <w:tc>
          <w:tcPr>
            <w:tcW w:w="4455" w:type="dxa"/>
            <w:tcBorders>
              <w:top w:val="single" w:color="000000" w:sz="4" w:space="0"/>
              <w:left w:val="single" w:color="000000" w:sz="4" w:space="0"/>
              <w:bottom w:val="single" w:color="000000" w:sz="4" w:space="0"/>
              <w:right w:val="single" w:color="000000" w:sz="4" w:space="0"/>
            </w:tcBorders>
            <w:vAlign w:val="center"/>
          </w:tcPr>
          <w:p w14:paraId="55DADB90">
            <w:pPr>
              <w:widowControl/>
              <w:shd w:val="clear"/>
              <w:textAlignment w:val="center"/>
              <w:rPr>
                <w:rFonts w:hint="eastAsia" w:ascii="宋体" w:hAnsi="宋体" w:cs="宋体"/>
                <w:szCs w:val="21"/>
                <w:highlight w:val="none"/>
                <w:lang w:bidi="ar"/>
              </w:rPr>
            </w:pPr>
            <w:r>
              <w:rPr>
                <w:rFonts w:hint="eastAsia" w:ascii="宋体" w:hAnsi="宋体" w:cs="宋体"/>
                <w:szCs w:val="21"/>
                <w:highlight w:val="none"/>
                <w:lang w:bidi="ar"/>
              </w:rPr>
              <w:t>-</w:t>
            </w:r>
          </w:p>
        </w:tc>
        <w:tc>
          <w:tcPr>
            <w:tcW w:w="780" w:type="dxa"/>
            <w:tcBorders>
              <w:top w:val="single" w:color="000000" w:sz="4" w:space="0"/>
              <w:left w:val="single" w:color="000000" w:sz="4" w:space="0"/>
              <w:bottom w:val="single" w:color="000000" w:sz="4" w:space="0"/>
              <w:right w:val="single" w:color="000000" w:sz="4" w:space="0"/>
            </w:tcBorders>
            <w:vAlign w:val="center"/>
          </w:tcPr>
          <w:p w14:paraId="623021F0">
            <w:pPr>
              <w:widowControl/>
              <w:shd w:val="clear"/>
              <w:jc w:val="center"/>
              <w:textAlignment w:val="center"/>
              <w:rPr>
                <w:rFonts w:hint="eastAsia" w:ascii="宋体" w:hAnsi="宋体" w:cs="宋体"/>
                <w:szCs w:val="21"/>
                <w:highlight w:val="none"/>
                <w:lang w:bidi="ar"/>
              </w:rPr>
            </w:pPr>
            <w:r>
              <w:rPr>
                <w:rFonts w:hint="eastAsia" w:ascii="宋体" w:hAnsi="宋体" w:cs="宋体"/>
                <w:szCs w:val="21"/>
                <w:highlight w:val="none"/>
                <w:lang w:bidi="ar"/>
              </w:rPr>
              <w:t>-</w:t>
            </w:r>
          </w:p>
        </w:tc>
        <w:tc>
          <w:tcPr>
            <w:tcW w:w="1185" w:type="dxa"/>
            <w:tcBorders>
              <w:top w:val="single" w:color="000000" w:sz="4" w:space="0"/>
              <w:left w:val="single" w:color="000000" w:sz="4" w:space="0"/>
              <w:bottom w:val="single" w:color="000000" w:sz="4" w:space="0"/>
              <w:right w:val="single" w:color="000000" w:sz="4" w:space="0"/>
            </w:tcBorders>
            <w:vAlign w:val="center"/>
          </w:tcPr>
          <w:p w14:paraId="0EF3859C">
            <w:pPr>
              <w:widowControl/>
              <w:shd w:val="clear"/>
              <w:jc w:val="center"/>
              <w:textAlignment w:val="center"/>
              <w:rPr>
                <w:rFonts w:hint="eastAsia" w:ascii="宋体" w:hAnsi="宋体" w:cs="宋体"/>
                <w:szCs w:val="21"/>
                <w:highlight w:val="none"/>
                <w:lang w:bidi="ar"/>
              </w:rPr>
            </w:pPr>
            <w:r>
              <w:rPr>
                <w:rFonts w:hint="eastAsia" w:ascii="宋体" w:hAnsi="宋体" w:cs="宋体"/>
                <w:szCs w:val="21"/>
                <w:highlight w:val="none"/>
                <w:lang w:bidi="ar"/>
              </w:rPr>
              <w:t>-</w:t>
            </w:r>
          </w:p>
        </w:tc>
        <w:tc>
          <w:tcPr>
            <w:tcW w:w="1650" w:type="dxa"/>
            <w:tcBorders>
              <w:top w:val="single" w:color="000000" w:sz="4" w:space="0"/>
              <w:left w:val="single" w:color="000000" w:sz="4" w:space="0"/>
              <w:bottom w:val="single" w:color="000000" w:sz="4" w:space="0"/>
              <w:right w:val="single" w:color="000000" w:sz="4" w:space="0"/>
            </w:tcBorders>
            <w:vAlign w:val="center"/>
          </w:tcPr>
          <w:p w14:paraId="03B4C701">
            <w:pPr>
              <w:widowControl/>
              <w:shd w:val="clear"/>
              <w:jc w:val="center"/>
              <w:textAlignment w:val="center"/>
              <w:rPr>
                <w:rFonts w:hint="eastAsia" w:ascii="宋体" w:hAnsi="宋体" w:cs="宋体"/>
                <w:szCs w:val="21"/>
                <w:highlight w:val="none"/>
                <w:lang w:bidi="ar"/>
              </w:rPr>
            </w:pPr>
            <w:r>
              <w:rPr>
                <w:rFonts w:hint="eastAsia" w:ascii="宋体" w:hAnsi="宋体" w:cs="宋体"/>
                <w:szCs w:val="21"/>
                <w:highlight w:val="none"/>
                <w:lang w:bidi="ar"/>
              </w:rPr>
              <w:t>-</w:t>
            </w:r>
          </w:p>
        </w:tc>
        <w:tc>
          <w:tcPr>
            <w:tcW w:w="1689" w:type="dxa"/>
            <w:tcBorders>
              <w:top w:val="single" w:color="000000" w:sz="4" w:space="0"/>
              <w:left w:val="single" w:color="000000" w:sz="4" w:space="0"/>
              <w:bottom w:val="single" w:color="000000" w:sz="4" w:space="0"/>
              <w:right w:val="single" w:color="000000" w:sz="4" w:space="0"/>
            </w:tcBorders>
            <w:vAlign w:val="center"/>
          </w:tcPr>
          <w:p w14:paraId="40019103">
            <w:pPr>
              <w:widowControl/>
              <w:shd w:val="clear"/>
              <w:jc w:val="center"/>
              <w:textAlignment w:val="center"/>
              <w:rPr>
                <w:rFonts w:hint="eastAsia" w:ascii="宋体" w:hAnsi="宋体" w:cs="宋体"/>
                <w:szCs w:val="21"/>
                <w:highlight w:val="none"/>
                <w:lang w:bidi="ar"/>
              </w:rPr>
            </w:pPr>
          </w:p>
        </w:tc>
        <w:tc>
          <w:tcPr>
            <w:tcW w:w="2751" w:type="dxa"/>
            <w:tcBorders>
              <w:top w:val="single" w:color="000000" w:sz="4" w:space="0"/>
              <w:left w:val="single" w:color="000000" w:sz="4" w:space="0"/>
              <w:bottom w:val="single" w:color="000000" w:sz="4" w:space="0"/>
              <w:right w:val="single" w:color="000000" w:sz="4" w:space="0"/>
            </w:tcBorders>
            <w:vAlign w:val="center"/>
          </w:tcPr>
          <w:p w14:paraId="32BEF70A">
            <w:pPr>
              <w:shd w:val="clear"/>
              <w:jc w:val="center"/>
              <w:rPr>
                <w:rFonts w:hint="eastAsia" w:ascii="宋体" w:hAnsi="宋体" w:cs="宋体"/>
                <w:szCs w:val="21"/>
                <w:highlight w:val="none"/>
              </w:rPr>
            </w:pPr>
            <w:r>
              <w:rPr>
                <w:rFonts w:hint="eastAsia" w:ascii="宋体" w:hAnsi="宋体" w:cs="宋体"/>
                <w:bCs/>
                <w:szCs w:val="21"/>
                <w:highlight w:val="none"/>
              </w:rPr>
              <w:t>对应报价金额不得超过最高投标限价</w:t>
            </w:r>
            <w:r>
              <w:rPr>
                <w:rFonts w:hint="eastAsia" w:ascii="宋体" w:hAnsi="宋体" w:cs="宋体"/>
                <w:bCs/>
                <w:szCs w:val="21"/>
                <w:highlight w:val="none"/>
                <w:lang w:val="en-US" w:eastAsia="zh-CN"/>
              </w:rPr>
              <w:t>1536671.94</w:t>
            </w:r>
            <w:r>
              <w:rPr>
                <w:rFonts w:hint="eastAsia" w:ascii="宋体" w:hAnsi="宋体" w:cs="宋体"/>
                <w:bCs/>
                <w:szCs w:val="21"/>
                <w:highlight w:val="none"/>
              </w:rPr>
              <w:t>元</w:t>
            </w:r>
          </w:p>
        </w:tc>
      </w:tr>
    </w:tbl>
    <w:p w14:paraId="7EDAC01F">
      <w:pPr>
        <w:shd w:val="clear"/>
        <w:rPr>
          <w:rFonts w:hint="eastAsia" w:ascii="宋体" w:hAnsi="宋体" w:cs="宋体"/>
          <w:szCs w:val="21"/>
          <w:highlight w:val="none"/>
        </w:rPr>
        <w:sectPr>
          <w:pgSz w:w="16838" w:h="11906" w:orient="landscape"/>
          <w:pgMar w:top="1003" w:right="1327" w:bottom="1003" w:left="1327" w:header="851" w:footer="567" w:gutter="0"/>
          <w:cols w:space="720" w:num="1"/>
          <w:docGrid w:type="lines" w:linePitch="312" w:charSpace="0"/>
        </w:sectPr>
      </w:pPr>
    </w:p>
    <w:p w14:paraId="7702D1C1">
      <w:pPr>
        <w:pStyle w:val="3"/>
        <w:shd w:val="clear"/>
        <w:rPr>
          <w:rFonts w:hint="eastAsia" w:ascii="宋体" w:hAnsi="宋体" w:cs="宋体"/>
          <w:strike/>
          <w:sz w:val="21"/>
          <w:szCs w:val="21"/>
          <w:highlight w:val="none"/>
        </w:rPr>
      </w:pPr>
      <w:bookmarkStart w:id="226" w:name="_Toc717"/>
      <w:bookmarkStart w:id="227" w:name="_Toc8424"/>
      <w:bookmarkStart w:id="228" w:name="_Toc19758"/>
      <w:bookmarkStart w:id="229" w:name="_Toc3059"/>
      <w:bookmarkStart w:id="230" w:name="_Toc22111"/>
      <w:bookmarkStart w:id="231" w:name="_Toc25392"/>
      <w:bookmarkStart w:id="232" w:name="_Toc20249"/>
      <w:r>
        <w:rPr>
          <w:rFonts w:hint="eastAsia" w:ascii="宋体" w:hAnsi="宋体" w:cs="宋体"/>
          <w:strike/>
          <w:sz w:val="21"/>
          <w:szCs w:val="21"/>
          <w:highlight w:val="none"/>
        </w:rPr>
        <w:t>附录4建筑工程设计方案测试记录表</w:t>
      </w:r>
      <w:bookmarkEnd w:id="226"/>
      <w:bookmarkEnd w:id="227"/>
      <w:bookmarkEnd w:id="228"/>
      <w:bookmarkEnd w:id="229"/>
      <w:bookmarkEnd w:id="230"/>
      <w:bookmarkEnd w:id="231"/>
      <w:bookmarkEnd w:id="232"/>
    </w:p>
    <w:p w14:paraId="1AD90157">
      <w:pPr>
        <w:shd w:val="clear"/>
        <w:jc w:val="center"/>
        <w:rPr>
          <w:rFonts w:hint="eastAsia" w:ascii="宋体" w:hAnsi="宋体" w:cs="宋体"/>
          <w:strike/>
          <w:sz w:val="28"/>
          <w:szCs w:val="32"/>
          <w:highlight w:val="none"/>
        </w:rPr>
      </w:pPr>
      <w:r>
        <w:rPr>
          <w:rFonts w:hint="eastAsia" w:ascii="宋体" w:hAnsi="宋体" w:cs="宋体"/>
          <w:strike/>
          <w:sz w:val="28"/>
          <w:szCs w:val="32"/>
          <w:highlight w:val="none"/>
        </w:rPr>
        <w:t>建筑工程设计方案测试记录表</w:t>
      </w:r>
    </w:p>
    <w:p w14:paraId="52498AC4">
      <w:pPr>
        <w:shd w:val="clear"/>
        <w:jc w:val="center"/>
        <w:rPr>
          <w:rFonts w:hint="eastAsia" w:ascii="宋体" w:hAnsi="宋体" w:cs="宋体"/>
          <w:strike/>
          <w:szCs w:val="21"/>
          <w:highlight w:val="none"/>
        </w:rPr>
      </w:pPr>
      <w:r>
        <w:rPr>
          <w:rFonts w:hint="eastAsia" w:ascii="宋体" w:hAnsi="宋体" w:cs="宋体"/>
          <w:strike/>
          <w:szCs w:val="21"/>
          <w:highlight w:val="none"/>
        </w:rPr>
        <w:t>（本表宜装订放在设计投标文本文件的设计说明书前面）</w:t>
      </w:r>
    </w:p>
    <w:p w14:paraId="4C8258CD">
      <w:pPr>
        <w:shd w:val="clear"/>
        <w:jc w:val="left"/>
        <w:rPr>
          <w:rFonts w:hint="eastAsia" w:ascii="宋体" w:hAnsi="宋体" w:cs="宋体"/>
          <w:strike/>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960"/>
        <w:gridCol w:w="1080"/>
        <w:gridCol w:w="3492"/>
      </w:tblGrid>
      <w:tr w14:paraId="69B8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34889EDD">
            <w:pPr>
              <w:shd w:val="clear"/>
              <w:jc w:val="center"/>
              <w:rPr>
                <w:rFonts w:hint="eastAsia" w:ascii="宋体" w:hAnsi="宋体" w:cs="宋体"/>
                <w:strike/>
                <w:szCs w:val="21"/>
                <w:highlight w:val="none"/>
              </w:rPr>
            </w:pPr>
            <w:r>
              <w:rPr>
                <w:rFonts w:hint="eastAsia" w:ascii="宋体" w:hAnsi="宋体" w:cs="宋体"/>
                <w:strike/>
                <w:szCs w:val="21"/>
                <w:highlight w:val="none"/>
              </w:rPr>
              <w:t>序号</w:t>
            </w:r>
          </w:p>
        </w:tc>
        <w:tc>
          <w:tcPr>
            <w:tcW w:w="3960" w:type="dxa"/>
            <w:tcBorders>
              <w:top w:val="single" w:color="auto" w:sz="4" w:space="0"/>
              <w:left w:val="single" w:color="auto" w:sz="4" w:space="0"/>
              <w:bottom w:val="single" w:color="auto" w:sz="4" w:space="0"/>
              <w:right w:val="single" w:color="auto" w:sz="4" w:space="0"/>
            </w:tcBorders>
          </w:tcPr>
          <w:p w14:paraId="656414C4">
            <w:pPr>
              <w:shd w:val="clear"/>
              <w:jc w:val="center"/>
              <w:rPr>
                <w:rFonts w:hint="eastAsia" w:ascii="宋体" w:hAnsi="宋体" w:cs="宋体"/>
                <w:strike/>
                <w:szCs w:val="21"/>
                <w:highlight w:val="none"/>
              </w:rPr>
            </w:pPr>
            <w:r>
              <w:rPr>
                <w:rFonts w:hint="eastAsia" w:ascii="宋体" w:hAnsi="宋体" w:cs="宋体"/>
                <w:strike/>
                <w:szCs w:val="21"/>
                <w:highlight w:val="none"/>
              </w:rPr>
              <w:t>指标</w:t>
            </w:r>
          </w:p>
        </w:tc>
        <w:tc>
          <w:tcPr>
            <w:tcW w:w="1080" w:type="dxa"/>
            <w:tcBorders>
              <w:top w:val="single" w:color="auto" w:sz="4" w:space="0"/>
              <w:left w:val="single" w:color="auto" w:sz="4" w:space="0"/>
              <w:bottom w:val="single" w:color="auto" w:sz="4" w:space="0"/>
              <w:right w:val="single" w:color="auto" w:sz="4" w:space="0"/>
            </w:tcBorders>
          </w:tcPr>
          <w:p w14:paraId="5C3FA3A2">
            <w:pPr>
              <w:shd w:val="clear"/>
              <w:jc w:val="center"/>
              <w:rPr>
                <w:rFonts w:hint="eastAsia" w:ascii="宋体" w:hAnsi="宋体" w:cs="宋体"/>
                <w:strike/>
                <w:szCs w:val="21"/>
                <w:highlight w:val="none"/>
              </w:rPr>
            </w:pPr>
            <w:r>
              <w:rPr>
                <w:rFonts w:hint="eastAsia" w:ascii="宋体" w:hAnsi="宋体" w:cs="宋体"/>
                <w:strike/>
                <w:szCs w:val="21"/>
                <w:highlight w:val="none"/>
              </w:rPr>
              <w:t>单位</w:t>
            </w:r>
          </w:p>
        </w:tc>
        <w:tc>
          <w:tcPr>
            <w:tcW w:w="3492" w:type="dxa"/>
            <w:tcBorders>
              <w:top w:val="single" w:color="auto" w:sz="4" w:space="0"/>
              <w:left w:val="single" w:color="auto" w:sz="4" w:space="0"/>
              <w:bottom w:val="single" w:color="auto" w:sz="4" w:space="0"/>
              <w:right w:val="single" w:color="auto" w:sz="4" w:space="0"/>
            </w:tcBorders>
          </w:tcPr>
          <w:p w14:paraId="2DBBDE7E">
            <w:pPr>
              <w:shd w:val="clear"/>
              <w:jc w:val="center"/>
              <w:rPr>
                <w:rFonts w:hint="eastAsia" w:ascii="宋体" w:hAnsi="宋体" w:cs="宋体"/>
                <w:strike/>
                <w:szCs w:val="21"/>
                <w:highlight w:val="none"/>
              </w:rPr>
            </w:pPr>
            <w:r>
              <w:rPr>
                <w:rFonts w:hint="eastAsia" w:ascii="宋体" w:hAnsi="宋体" w:cs="宋体"/>
                <w:strike/>
                <w:szCs w:val="21"/>
                <w:highlight w:val="none"/>
              </w:rPr>
              <w:t>数值</w:t>
            </w:r>
          </w:p>
        </w:tc>
      </w:tr>
      <w:tr w14:paraId="383A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3EF83B72">
            <w:pPr>
              <w:shd w:val="clea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3B6EB399">
            <w:pPr>
              <w:shd w:val="clear"/>
              <w:rPr>
                <w:rFonts w:hint="eastAsia" w:ascii="宋体" w:hAnsi="宋体" w:cs="宋体"/>
                <w:strike/>
                <w:szCs w:val="21"/>
                <w:highlight w:val="none"/>
              </w:rPr>
            </w:pPr>
            <w:r>
              <w:rPr>
                <w:rFonts w:hint="eastAsia" w:ascii="宋体" w:hAnsi="宋体" w:cs="宋体"/>
                <w:strike/>
                <w:szCs w:val="21"/>
                <w:highlight w:val="none"/>
              </w:rPr>
              <w:t>基地面积</w:t>
            </w:r>
          </w:p>
        </w:tc>
        <w:tc>
          <w:tcPr>
            <w:tcW w:w="1080" w:type="dxa"/>
            <w:tcBorders>
              <w:top w:val="single" w:color="auto" w:sz="4" w:space="0"/>
              <w:left w:val="single" w:color="auto" w:sz="4" w:space="0"/>
              <w:bottom w:val="single" w:color="auto" w:sz="4" w:space="0"/>
              <w:right w:val="single" w:color="auto" w:sz="4" w:space="0"/>
            </w:tcBorders>
          </w:tcPr>
          <w:p w14:paraId="6FF6388A">
            <w:pPr>
              <w:shd w:val="clea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7E611146">
            <w:pPr>
              <w:shd w:val="clear"/>
              <w:jc w:val="center"/>
              <w:rPr>
                <w:rFonts w:hint="eastAsia" w:ascii="宋体" w:hAnsi="宋体" w:cs="宋体"/>
                <w:strike/>
                <w:szCs w:val="21"/>
                <w:highlight w:val="none"/>
              </w:rPr>
            </w:pPr>
          </w:p>
        </w:tc>
      </w:tr>
      <w:tr w14:paraId="5BBB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3271C10E">
            <w:pPr>
              <w:shd w:val="clea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2A5ABE54">
            <w:pPr>
              <w:shd w:val="clear"/>
              <w:rPr>
                <w:rFonts w:hint="eastAsia" w:ascii="宋体" w:hAnsi="宋体" w:cs="宋体"/>
                <w:strike/>
                <w:szCs w:val="21"/>
                <w:highlight w:val="none"/>
              </w:rPr>
            </w:pPr>
            <w:r>
              <w:rPr>
                <w:rFonts w:hint="eastAsia" w:ascii="宋体" w:hAnsi="宋体" w:cs="宋体"/>
                <w:strike/>
                <w:szCs w:val="21"/>
                <w:highlight w:val="none"/>
              </w:rPr>
              <w:t>建筑容积率</w:t>
            </w:r>
          </w:p>
        </w:tc>
        <w:tc>
          <w:tcPr>
            <w:tcW w:w="1080" w:type="dxa"/>
            <w:tcBorders>
              <w:top w:val="single" w:color="auto" w:sz="4" w:space="0"/>
              <w:left w:val="single" w:color="auto" w:sz="4" w:space="0"/>
              <w:bottom w:val="single" w:color="auto" w:sz="4" w:space="0"/>
              <w:right w:val="single" w:color="auto" w:sz="4" w:space="0"/>
            </w:tcBorders>
          </w:tcPr>
          <w:p w14:paraId="0DF1D8B1">
            <w:pPr>
              <w:shd w:val="clear"/>
              <w:jc w:val="center"/>
              <w:rPr>
                <w:rFonts w:hint="eastAsia" w:ascii="宋体" w:hAnsi="宋体" w:cs="宋体"/>
                <w:strike/>
                <w:szCs w:val="21"/>
                <w:highlight w:val="none"/>
              </w:rPr>
            </w:pPr>
          </w:p>
        </w:tc>
        <w:tc>
          <w:tcPr>
            <w:tcW w:w="3492" w:type="dxa"/>
            <w:tcBorders>
              <w:top w:val="single" w:color="auto" w:sz="4" w:space="0"/>
              <w:left w:val="single" w:color="auto" w:sz="4" w:space="0"/>
              <w:bottom w:val="single" w:color="auto" w:sz="4" w:space="0"/>
              <w:right w:val="single" w:color="auto" w:sz="4" w:space="0"/>
            </w:tcBorders>
          </w:tcPr>
          <w:p w14:paraId="2308FFB2">
            <w:pPr>
              <w:shd w:val="clear"/>
              <w:jc w:val="center"/>
              <w:rPr>
                <w:rFonts w:hint="eastAsia" w:ascii="宋体" w:hAnsi="宋体" w:cs="宋体"/>
                <w:strike/>
                <w:szCs w:val="21"/>
                <w:highlight w:val="none"/>
              </w:rPr>
            </w:pPr>
          </w:p>
        </w:tc>
      </w:tr>
      <w:tr w14:paraId="3563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4AC4C461">
            <w:pPr>
              <w:shd w:val="clea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64243E79">
            <w:pPr>
              <w:shd w:val="clear"/>
              <w:rPr>
                <w:rFonts w:hint="eastAsia" w:ascii="宋体" w:hAnsi="宋体" w:cs="宋体"/>
                <w:strike/>
                <w:szCs w:val="21"/>
                <w:highlight w:val="none"/>
              </w:rPr>
            </w:pPr>
            <w:r>
              <w:rPr>
                <w:rFonts w:hint="eastAsia" w:ascii="宋体" w:hAnsi="宋体" w:cs="宋体"/>
                <w:strike/>
                <w:szCs w:val="21"/>
                <w:highlight w:val="none"/>
              </w:rPr>
              <w:t>建筑密度</w:t>
            </w:r>
          </w:p>
        </w:tc>
        <w:tc>
          <w:tcPr>
            <w:tcW w:w="1080" w:type="dxa"/>
            <w:tcBorders>
              <w:top w:val="single" w:color="auto" w:sz="4" w:space="0"/>
              <w:left w:val="single" w:color="auto" w:sz="4" w:space="0"/>
              <w:bottom w:val="single" w:color="auto" w:sz="4" w:space="0"/>
              <w:right w:val="single" w:color="auto" w:sz="4" w:space="0"/>
            </w:tcBorders>
          </w:tcPr>
          <w:p w14:paraId="7B4CA88C">
            <w:pPr>
              <w:shd w:val="clear"/>
              <w:jc w:val="center"/>
              <w:rPr>
                <w:rFonts w:hint="eastAsia" w:ascii="宋体" w:hAnsi="宋体" w:cs="宋体"/>
                <w:strike/>
                <w:szCs w:val="21"/>
                <w:highlight w:val="none"/>
              </w:rPr>
            </w:pPr>
            <w:r>
              <w:rPr>
                <w:rFonts w:hint="eastAsia" w:ascii="宋体" w:hAnsi="宋体" w:cs="宋体"/>
                <w:strike/>
                <w:szCs w:val="21"/>
                <w:highlight w:val="none"/>
              </w:rPr>
              <w:t>%</w:t>
            </w:r>
          </w:p>
        </w:tc>
        <w:tc>
          <w:tcPr>
            <w:tcW w:w="3492" w:type="dxa"/>
            <w:tcBorders>
              <w:top w:val="single" w:color="auto" w:sz="4" w:space="0"/>
              <w:left w:val="single" w:color="auto" w:sz="4" w:space="0"/>
              <w:bottom w:val="single" w:color="auto" w:sz="4" w:space="0"/>
              <w:right w:val="single" w:color="auto" w:sz="4" w:space="0"/>
            </w:tcBorders>
          </w:tcPr>
          <w:p w14:paraId="01879E0A">
            <w:pPr>
              <w:shd w:val="clear"/>
              <w:jc w:val="center"/>
              <w:rPr>
                <w:rFonts w:hint="eastAsia" w:ascii="宋体" w:hAnsi="宋体" w:cs="宋体"/>
                <w:strike/>
                <w:szCs w:val="21"/>
                <w:highlight w:val="none"/>
              </w:rPr>
            </w:pPr>
          </w:p>
        </w:tc>
      </w:tr>
      <w:tr w14:paraId="1DBE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283512E3">
            <w:pPr>
              <w:shd w:val="clea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1AA183F5">
            <w:pPr>
              <w:shd w:val="clear"/>
              <w:rPr>
                <w:rFonts w:hint="eastAsia" w:ascii="宋体" w:hAnsi="宋体" w:cs="宋体"/>
                <w:strike/>
                <w:szCs w:val="21"/>
                <w:highlight w:val="none"/>
              </w:rPr>
            </w:pPr>
            <w:r>
              <w:rPr>
                <w:rFonts w:hint="eastAsia" w:ascii="宋体" w:hAnsi="宋体" w:cs="宋体"/>
                <w:strike/>
                <w:szCs w:val="21"/>
                <w:highlight w:val="none"/>
              </w:rPr>
              <w:t>绿地率</w:t>
            </w:r>
          </w:p>
        </w:tc>
        <w:tc>
          <w:tcPr>
            <w:tcW w:w="1080" w:type="dxa"/>
            <w:tcBorders>
              <w:top w:val="single" w:color="auto" w:sz="4" w:space="0"/>
              <w:left w:val="single" w:color="auto" w:sz="4" w:space="0"/>
              <w:bottom w:val="single" w:color="auto" w:sz="4" w:space="0"/>
              <w:right w:val="single" w:color="auto" w:sz="4" w:space="0"/>
            </w:tcBorders>
          </w:tcPr>
          <w:p w14:paraId="099FECA5">
            <w:pPr>
              <w:shd w:val="clear"/>
              <w:jc w:val="center"/>
              <w:rPr>
                <w:rFonts w:hint="eastAsia" w:ascii="宋体" w:hAnsi="宋体" w:cs="宋体"/>
                <w:strike/>
                <w:szCs w:val="21"/>
                <w:highlight w:val="none"/>
              </w:rPr>
            </w:pPr>
            <w:r>
              <w:rPr>
                <w:rFonts w:hint="eastAsia" w:ascii="宋体" w:hAnsi="宋体" w:cs="宋体"/>
                <w:strike/>
                <w:szCs w:val="21"/>
                <w:highlight w:val="none"/>
              </w:rPr>
              <w:t>%</w:t>
            </w:r>
          </w:p>
        </w:tc>
        <w:tc>
          <w:tcPr>
            <w:tcW w:w="3492" w:type="dxa"/>
            <w:tcBorders>
              <w:top w:val="single" w:color="auto" w:sz="4" w:space="0"/>
              <w:left w:val="single" w:color="auto" w:sz="4" w:space="0"/>
              <w:bottom w:val="single" w:color="auto" w:sz="4" w:space="0"/>
              <w:right w:val="single" w:color="auto" w:sz="4" w:space="0"/>
            </w:tcBorders>
          </w:tcPr>
          <w:p w14:paraId="16F59F20">
            <w:pPr>
              <w:shd w:val="clear"/>
              <w:jc w:val="center"/>
              <w:rPr>
                <w:rFonts w:hint="eastAsia" w:ascii="宋体" w:hAnsi="宋体" w:cs="宋体"/>
                <w:strike/>
                <w:szCs w:val="21"/>
                <w:highlight w:val="none"/>
              </w:rPr>
            </w:pPr>
          </w:p>
        </w:tc>
      </w:tr>
      <w:tr w14:paraId="3513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5ADE41D8">
            <w:pPr>
              <w:shd w:val="clea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2A28E747">
            <w:pPr>
              <w:shd w:val="clear"/>
              <w:jc w:val="left"/>
              <w:rPr>
                <w:rFonts w:hint="eastAsia" w:ascii="宋体" w:hAnsi="宋体" w:cs="宋体"/>
                <w:strike/>
                <w:szCs w:val="21"/>
                <w:highlight w:val="none"/>
              </w:rPr>
            </w:pPr>
            <w:r>
              <w:rPr>
                <w:rFonts w:hint="eastAsia" w:ascii="宋体" w:hAnsi="宋体" w:cs="宋体"/>
                <w:strike/>
                <w:szCs w:val="21"/>
                <w:highlight w:val="none"/>
              </w:rPr>
              <w:t>总建筑面积</w:t>
            </w:r>
          </w:p>
        </w:tc>
        <w:tc>
          <w:tcPr>
            <w:tcW w:w="1080" w:type="dxa"/>
            <w:tcBorders>
              <w:top w:val="single" w:color="auto" w:sz="4" w:space="0"/>
              <w:left w:val="single" w:color="auto" w:sz="4" w:space="0"/>
              <w:bottom w:val="single" w:color="auto" w:sz="4" w:space="0"/>
              <w:right w:val="single" w:color="auto" w:sz="4" w:space="0"/>
            </w:tcBorders>
          </w:tcPr>
          <w:p w14:paraId="71322790">
            <w:pPr>
              <w:shd w:val="clea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6E135B0B">
            <w:pPr>
              <w:shd w:val="clear"/>
              <w:jc w:val="left"/>
              <w:rPr>
                <w:rFonts w:hint="eastAsia" w:ascii="宋体" w:hAnsi="宋体" w:cs="宋体"/>
                <w:strike/>
                <w:szCs w:val="21"/>
                <w:highlight w:val="none"/>
              </w:rPr>
            </w:pPr>
          </w:p>
        </w:tc>
      </w:tr>
      <w:tr w14:paraId="0B13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33A00F0">
            <w:pPr>
              <w:shd w:val="clea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7E19F5D5">
            <w:pPr>
              <w:shd w:val="clear"/>
              <w:rPr>
                <w:rFonts w:hint="eastAsia" w:ascii="宋体" w:hAnsi="宋体" w:cs="宋体"/>
                <w:strike/>
                <w:szCs w:val="21"/>
                <w:highlight w:val="none"/>
              </w:rPr>
            </w:pPr>
            <w:r>
              <w:rPr>
                <w:rFonts w:hint="eastAsia" w:ascii="宋体" w:hAnsi="宋体" w:cs="宋体"/>
                <w:strike/>
                <w:szCs w:val="21"/>
                <w:highlight w:val="none"/>
              </w:rPr>
              <w:t>地上建筑面积</w:t>
            </w:r>
          </w:p>
        </w:tc>
        <w:tc>
          <w:tcPr>
            <w:tcW w:w="1080" w:type="dxa"/>
            <w:tcBorders>
              <w:top w:val="single" w:color="auto" w:sz="4" w:space="0"/>
              <w:left w:val="single" w:color="auto" w:sz="4" w:space="0"/>
              <w:bottom w:val="single" w:color="auto" w:sz="4" w:space="0"/>
              <w:right w:val="single" w:color="auto" w:sz="4" w:space="0"/>
            </w:tcBorders>
          </w:tcPr>
          <w:p w14:paraId="605A0C76">
            <w:pPr>
              <w:shd w:val="clea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0F617856">
            <w:pPr>
              <w:shd w:val="clear"/>
              <w:jc w:val="center"/>
              <w:rPr>
                <w:rFonts w:hint="eastAsia" w:ascii="宋体" w:hAnsi="宋体" w:cs="宋体"/>
                <w:strike/>
                <w:szCs w:val="21"/>
                <w:highlight w:val="none"/>
              </w:rPr>
            </w:pPr>
          </w:p>
        </w:tc>
      </w:tr>
      <w:tr w14:paraId="723A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288ECFDE">
            <w:pPr>
              <w:shd w:val="clea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622051E4">
            <w:pPr>
              <w:shd w:val="clear"/>
              <w:rPr>
                <w:rFonts w:hint="eastAsia" w:ascii="宋体" w:hAnsi="宋体" w:cs="宋体"/>
                <w:strike/>
                <w:szCs w:val="21"/>
                <w:highlight w:val="none"/>
              </w:rPr>
            </w:pPr>
            <w:r>
              <w:rPr>
                <w:rFonts w:hint="eastAsia" w:ascii="宋体" w:hAnsi="宋体" w:cs="宋体"/>
                <w:strike/>
                <w:szCs w:val="21"/>
                <w:highlight w:val="none"/>
              </w:rPr>
              <w:t>地下建筑面积</w:t>
            </w:r>
          </w:p>
        </w:tc>
        <w:tc>
          <w:tcPr>
            <w:tcW w:w="1080" w:type="dxa"/>
            <w:tcBorders>
              <w:top w:val="single" w:color="auto" w:sz="4" w:space="0"/>
              <w:left w:val="single" w:color="auto" w:sz="4" w:space="0"/>
              <w:bottom w:val="single" w:color="auto" w:sz="4" w:space="0"/>
              <w:right w:val="single" w:color="auto" w:sz="4" w:space="0"/>
            </w:tcBorders>
          </w:tcPr>
          <w:p w14:paraId="7D3521B8">
            <w:pPr>
              <w:shd w:val="clea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6AB7BAC2">
            <w:pPr>
              <w:shd w:val="clear"/>
              <w:jc w:val="center"/>
              <w:rPr>
                <w:rFonts w:hint="eastAsia" w:ascii="宋体" w:hAnsi="宋体" w:cs="宋体"/>
                <w:strike/>
                <w:szCs w:val="21"/>
                <w:highlight w:val="none"/>
              </w:rPr>
            </w:pPr>
          </w:p>
        </w:tc>
      </w:tr>
      <w:tr w14:paraId="4376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1B61EAC">
            <w:pPr>
              <w:shd w:val="clea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3087A594">
            <w:pPr>
              <w:shd w:val="clear"/>
              <w:jc w:val="left"/>
              <w:rPr>
                <w:rFonts w:hint="eastAsia" w:ascii="宋体" w:hAnsi="宋体" w:cs="宋体"/>
                <w:strike/>
                <w:szCs w:val="21"/>
                <w:highlight w:val="none"/>
              </w:rPr>
            </w:pPr>
            <w:r>
              <w:rPr>
                <w:rFonts w:hint="eastAsia" w:ascii="宋体" w:hAnsi="宋体" w:cs="宋体"/>
                <w:strike/>
                <w:szCs w:val="21"/>
                <w:highlight w:val="none"/>
              </w:rPr>
              <w:t>室内停车位</w:t>
            </w:r>
          </w:p>
        </w:tc>
        <w:tc>
          <w:tcPr>
            <w:tcW w:w="1080" w:type="dxa"/>
            <w:tcBorders>
              <w:top w:val="single" w:color="auto" w:sz="4" w:space="0"/>
              <w:left w:val="single" w:color="auto" w:sz="4" w:space="0"/>
              <w:bottom w:val="single" w:color="auto" w:sz="4" w:space="0"/>
              <w:right w:val="single" w:color="auto" w:sz="4" w:space="0"/>
            </w:tcBorders>
          </w:tcPr>
          <w:p w14:paraId="1DCB8F43">
            <w:pPr>
              <w:shd w:val="clear"/>
              <w:jc w:val="center"/>
              <w:rPr>
                <w:rFonts w:hint="eastAsia" w:ascii="宋体" w:hAnsi="宋体" w:cs="宋体"/>
                <w:strike/>
                <w:szCs w:val="21"/>
                <w:highlight w:val="none"/>
              </w:rPr>
            </w:pPr>
            <w:r>
              <w:rPr>
                <w:rFonts w:hint="eastAsia" w:ascii="宋体" w:hAnsi="宋体" w:cs="宋体"/>
                <w:strike/>
                <w:szCs w:val="21"/>
                <w:highlight w:val="none"/>
              </w:rPr>
              <w:t>个</w:t>
            </w:r>
          </w:p>
        </w:tc>
        <w:tc>
          <w:tcPr>
            <w:tcW w:w="3492" w:type="dxa"/>
            <w:tcBorders>
              <w:top w:val="single" w:color="auto" w:sz="4" w:space="0"/>
              <w:left w:val="single" w:color="auto" w:sz="4" w:space="0"/>
              <w:bottom w:val="single" w:color="auto" w:sz="4" w:space="0"/>
              <w:right w:val="single" w:color="auto" w:sz="4" w:space="0"/>
            </w:tcBorders>
          </w:tcPr>
          <w:p w14:paraId="572A4A23">
            <w:pPr>
              <w:shd w:val="clear"/>
              <w:jc w:val="left"/>
              <w:rPr>
                <w:rFonts w:hint="eastAsia" w:ascii="宋体" w:hAnsi="宋体" w:cs="宋体"/>
                <w:strike/>
                <w:szCs w:val="21"/>
                <w:highlight w:val="none"/>
              </w:rPr>
            </w:pPr>
          </w:p>
        </w:tc>
      </w:tr>
      <w:tr w14:paraId="2A12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0708108">
            <w:pPr>
              <w:shd w:val="clea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4C357087">
            <w:pPr>
              <w:shd w:val="clear"/>
              <w:jc w:val="left"/>
              <w:rPr>
                <w:rFonts w:hint="eastAsia" w:ascii="宋体" w:hAnsi="宋体" w:cs="宋体"/>
                <w:strike/>
                <w:szCs w:val="21"/>
                <w:highlight w:val="none"/>
              </w:rPr>
            </w:pPr>
            <w:r>
              <w:rPr>
                <w:rFonts w:hint="eastAsia" w:ascii="宋体" w:hAnsi="宋体" w:cs="宋体"/>
                <w:strike/>
                <w:szCs w:val="21"/>
                <w:highlight w:val="none"/>
              </w:rPr>
              <w:t>室外停车位</w:t>
            </w:r>
          </w:p>
        </w:tc>
        <w:tc>
          <w:tcPr>
            <w:tcW w:w="1080" w:type="dxa"/>
            <w:tcBorders>
              <w:top w:val="single" w:color="auto" w:sz="4" w:space="0"/>
              <w:left w:val="single" w:color="auto" w:sz="4" w:space="0"/>
              <w:bottom w:val="single" w:color="auto" w:sz="4" w:space="0"/>
              <w:right w:val="single" w:color="auto" w:sz="4" w:space="0"/>
            </w:tcBorders>
          </w:tcPr>
          <w:p w14:paraId="2A05A26E">
            <w:pPr>
              <w:shd w:val="clear"/>
              <w:jc w:val="center"/>
              <w:rPr>
                <w:rFonts w:hint="eastAsia" w:ascii="宋体" w:hAnsi="宋体" w:cs="宋体"/>
                <w:strike/>
                <w:szCs w:val="21"/>
                <w:highlight w:val="none"/>
              </w:rPr>
            </w:pPr>
            <w:r>
              <w:rPr>
                <w:rFonts w:hint="eastAsia" w:ascii="宋体" w:hAnsi="宋体" w:cs="宋体"/>
                <w:strike/>
                <w:szCs w:val="21"/>
                <w:highlight w:val="none"/>
              </w:rPr>
              <w:t>个</w:t>
            </w:r>
          </w:p>
        </w:tc>
        <w:tc>
          <w:tcPr>
            <w:tcW w:w="3492" w:type="dxa"/>
            <w:tcBorders>
              <w:top w:val="single" w:color="auto" w:sz="4" w:space="0"/>
              <w:left w:val="single" w:color="auto" w:sz="4" w:space="0"/>
              <w:bottom w:val="single" w:color="auto" w:sz="4" w:space="0"/>
              <w:right w:val="single" w:color="auto" w:sz="4" w:space="0"/>
            </w:tcBorders>
          </w:tcPr>
          <w:p w14:paraId="29DEA963">
            <w:pPr>
              <w:shd w:val="clear"/>
              <w:jc w:val="left"/>
              <w:rPr>
                <w:rFonts w:hint="eastAsia" w:ascii="宋体" w:hAnsi="宋体" w:cs="宋体"/>
                <w:strike/>
                <w:szCs w:val="21"/>
                <w:highlight w:val="none"/>
              </w:rPr>
            </w:pPr>
          </w:p>
        </w:tc>
      </w:tr>
      <w:tr w14:paraId="79E7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6D20BFD5">
            <w:pPr>
              <w:shd w:val="clea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17ACD75E">
            <w:pPr>
              <w:shd w:val="clear"/>
              <w:rPr>
                <w:rFonts w:hint="eastAsia" w:ascii="宋体" w:hAnsi="宋体" w:cs="宋体"/>
                <w:strike/>
                <w:szCs w:val="21"/>
                <w:highlight w:val="none"/>
              </w:rPr>
            </w:pPr>
            <w:r>
              <w:rPr>
                <w:rFonts w:hint="eastAsia" w:ascii="宋体" w:hAnsi="宋体" w:cs="宋体"/>
                <w:strike/>
                <w:szCs w:val="21"/>
                <w:highlight w:val="none"/>
              </w:rPr>
              <w:t>住宅总户数</w:t>
            </w:r>
          </w:p>
        </w:tc>
        <w:tc>
          <w:tcPr>
            <w:tcW w:w="1080" w:type="dxa"/>
            <w:tcBorders>
              <w:top w:val="single" w:color="auto" w:sz="4" w:space="0"/>
              <w:left w:val="single" w:color="auto" w:sz="4" w:space="0"/>
              <w:bottom w:val="single" w:color="auto" w:sz="4" w:space="0"/>
              <w:right w:val="single" w:color="auto" w:sz="4" w:space="0"/>
            </w:tcBorders>
          </w:tcPr>
          <w:p w14:paraId="1A8EFDD5">
            <w:pPr>
              <w:shd w:val="clear"/>
              <w:jc w:val="center"/>
              <w:rPr>
                <w:rFonts w:hint="eastAsia" w:ascii="宋体" w:hAnsi="宋体" w:cs="宋体"/>
                <w:strike/>
                <w:szCs w:val="21"/>
                <w:highlight w:val="none"/>
              </w:rPr>
            </w:pPr>
            <w:r>
              <w:rPr>
                <w:rFonts w:hint="eastAsia" w:ascii="宋体" w:hAnsi="宋体" w:cs="宋体"/>
                <w:strike/>
                <w:szCs w:val="21"/>
                <w:highlight w:val="none"/>
              </w:rPr>
              <w:t>户</w:t>
            </w:r>
          </w:p>
        </w:tc>
        <w:tc>
          <w:tcPr>
            <w:tcW w:w="3492" w:type="dxa"/>
            <w:tcBorders>
              <w:top w:val="single" w:color="auto" w:sz="4" w:space="0"/>
              <w:left w:val="single" w:color="auto" w:sz="4" w:space="0"/>
              <w:bottom w:val="single" w:color="auto" w:sz="4" w:space="0"/>
              <w:right w:val="single" w:color="auto" w:sz="4" w:space="0"/>
            </w:tcBorders>
          </w:tcPr>
          <w:p w14:paraId="70D30CF3">
            <w:pPr>
              <w:shd w:val="clear"/>
              <w:jc w:val="center"/>
              <w:rPr>
                <w:rFonts w:hint="eastAsia" w:ascii="宋体" w:hAnsi="宋体" w:cs="宋体"/>
                <w:strike/>
                <w:szCs w:val="21"/>
                <w:highlight w:val="none"/>
              </w:rPr>
            </w:pPr>
          </w:p>
        </w:tc>
      </w:tr>
      <w:tr w14:paraId="6DE0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6550489D">
            <w:pPr>
              <w:shd w:val="clea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4A92F248">
            <w:pPr>
              <w:shd w:val="clear"/>
              <w:rPr>
                <w:rFonts w:hint="eastAsia" w:ascii="宋体" w:hAnsi="宋体" w:cs="宋体"/>
                <w:strike/>
                <w:szCs w:val="21"/>
                <w:highlight w:val="none"/>
              </w:rPr>
            </w:pPr>
            <w:r>
              <w:rPr>
                <w:rFonts w:hint="eastAsia" w:ascii="宋体" w:hAnsi="宋体" w:cs="宋体"/>
                <w:strike/>
                <w:szCs w:val="21"/>
                <w:highlight w:val="none"/>
              </w:rPr>
              <w:t>90平方米以下户型住宅户数</w:t>
            </w:r>
          </w:p>
        </w:tc>
        <w:tc>
          <w:tcPr>
            <w:tcW w:w="1080" w:type="dxa"/>
            <w:tcBorders>
              <w:top w:val="single" w:color="auto" w:sz="4" w:space="0"/>
              <w:left w:val="single" w:color="auto" w:sz="4" w:space="0"/>
              <w:bottom w:val="single" w:color="auto" w:sz="4" w:space="0"/>
              <w:right w:val="single" w:color="auto" w:sz="4" w:space="0"/>
            </w:tcBorders>
          </w:tcPr>
          <w:p w14:paraId="2EB8E2BD">
            <w:pPr>
              <w:shd w:val="clear"/>
              <w:jc w:val="center"/>
              <w:rPr>
                <w:rFonts w:hint="eastAsia" w:ascii="宋体" w:hAnsi="宋体" w:cs="宋体"/>
                <w:strike/>
                <w:szCs w:val="21"/>
                <w:highlight w:val="none"/>
              </w:rPr>
            </w:pPr>
            <w:r>
              <w:rPr>
                <w:rFonts w:hint="eastAsia" w:ascii="宋体" w:hAnsi="宋体" w:cs="宋体"/>
                <w:strike/>
                <w:szCs w:val="21"/>
                <w:highlight w:val="none"/>
              </w:rPr>
              <w:t>户</w:t>
            </w:r>
          </w:p>
        </w:tc>
        <w:tc>
          <w:tcPr>
            <w:tcW w:w="3492" w:type="dxa"/>
            <w:tcBorders>
              <w:top w:val="single" w:color="auto" w:sz="4" w:space="0"/>
              <w:left w:val="single" w:color="auto" w:sz="4" w:space="0"/>
              <w:bottom w:val="single" w:color="auto" w:sz="4" w:space="0"/>
              <w:right w:val="single" w:color="auto" w:sz="4" w:space="0"/>
            </w:tcBorders>
          </w:tcPr>
          <w:p w14:paraId="3123E6A1">
            <w:pPr>
              <w:shd w:val="clear"/>
              <w:jc w:val="center"/>
              <w:rPr>
                <w:rFonts w:hint="eastAsia" w:ascii="宋体" w:hAnsi="宋体" w:cs="宋体"/>
                <w:strike/>
                <w:szCs w:val="21"/>
                <w:highlight w:val="none"/>
              </w:rPr>
            </w:pPr>
          </w:p>
        </w:tc>
      </w:tr>
      <w:tr w14:paraId="4DE2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5AA742CC">
            <w:pPr>
              <w:shd w:val="clea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453AA1FF">
            <w:pPr>
              <w:shd w:val="clear"/>
              <w:rPr>
                <w:rFonts w:hint="eastAsia" w:ascii="宋体" w:hAnsi="宋体" w:cs="宋体"/>
                <w:strike/>
                <w:szCs w:val="21"/>
                <w:highlight w:val="none"/>
              </w:rPr>
            </w:pPr>
            <w:r>
              <w:rPr>
                <w:rFonts w:hint="eastAsia" w:ascii="宋体" w:hAnsi="宋体" w:cs="宋体"/>
                <w:strike/>
                <w:szCs w:val="21"/>
                <w:highlight w:val="none"/>
              </w:rPr>
              <w:t>住宅</w:t>
            </w:r>
          </w:p>
        </w:tc>
        <w:tc>
          <w:tcPr>
            <w:tcW w:w="1080" w:type="dxa"/>
            <w:tcBorders>
              <w:top w:val="single" w:color="auto" w:sz="4" w:space="0"/>
              <w:left w:val="single" w:color="auto" w:sz="4" w:space="0"/>
              <w:bottom w:val="single" w:color="auto" w:sz="4" w:space="0"/>
              <w:right w:val="single" w:color="auto" w:sz="4" w:space="0"/>
            </w:tcBorders>
          </w:tcPr>
          <w:p w14:paraId="1A652B26">
            <w:pPr>
              <w:shd w:val="clea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5017E583">
            <w:pPr>
              <w:shd w:val="clear"/>
              <w:jc w:val="center"/>
              <w:rPr>
                <w:rFonts w:hint="eastAsia" w:ascii="宋体" w:hAnsi="宋体" w:cs="宋体"/>
                <w:strike/>
                <w:szCs w:val="21"/>
                <w:highlight w:val="none"/>
              </w:rPr>
            </w:pPr>
          </w:p>
        </w:tc>
      </w:tr>
      <w:tr w14:paraId="7032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37AFE140">
            <w:pPr>
              <w:shd w:val="clea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4B97A06B">
            <w:pPr>
              <w:shd w:val="clear"/>
              <w:rPr>
                <w:rFonts w:hint="eastAsia" w:ascii="宋体" w:hAnsi="宋体" w:cs="宋体"/>
                <w:strike/>
                <w:szCs w:val="21"/>
                <w:highlight w:val="none"/>
              </w:rPr>
            </w:pPr>
            <w:r>
              <w:rPr>
                <w:rFonts w:hint="eastAsia" w:ascii="宋体" w:hAnsi="宋体" w:cs="宋体"/>
                <w:strike/>
                <w:szCs w:val="21"/>
                <w:highlight w:val="none"/>
              </w:rPr>
              <w:t>宾馆</w:t>
            </w:r>
          </w:p>
        </w:tc>
        <w:tc>
          <w:tcPr>
            <w:tcW w:w="1080" w:type="dxa"/>
            <w:tcBorders>
              <w:top w:val="single" w:color="auto" w:sz="4" w:space="0"/>
              <w:left w:val="single" w:color="auto" w:sz="4" w:space="0"/>
              <w:bottom w:val="single" w:color="auto" w:sz="4" w:space="0"/>
              <w:right w:val="single" w:color="auto" w:sz="4" w:space="0"/>
            </w:tcBorders>
          </w:tcPr>
          <w:p w14:paraId="114E5E95">
            <w:pPr>
              <w:shd w:val="clea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7C9FB7A3">
            <w:pPr>
              <w:shd w:val="clear"/>
              <w:jc w:val="center"/>
              <w:rPr>
                <w:rFonts w:hint="eastAsia" w:ascii="宋体" w:hAnsi="宋体" w:cs="宋体"/>
                <w:strike/>
                <w:szCs w:val="21"/>
                <w:highlight w:val="none"/>
              </w:rPr>
            </w:pPr>
          </w:p>
        </w:tc>
      </w:tr>
      <w:tr w14:paraId="5EC4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431D5BFA">
            <w:pPr>
              <w:shd w:val="clea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77FE581E">
            <w:pPr>
              <w:shd w:val="clear"/>
              <w:rPr>
                <w:rFonts w:hint="eastAsia" w:ascii="宋体" w:hAnsi="宋体" w:cs="宋体"/>
                <w:strike/>
                <w:szCs w:val="21"/>
                <w:highlight w:val="none"/>
              </w:rPr>
            </w:pPr>
            <w:r>
              <w:rPr>
                <w:rFonts w:hint="eastAsia" w:ascii="宋体" w:hAnsi="宋体" w:cs="宋体"/>
                <w:strike/>
                <w:szCs w:val="21"/>
                <w:highlight w:val="none"/>
              </w:rPr>
              <w:t>商业</w:t>
            </w:r>
          </w:p>
        </w:tc>
        <w:tc>
          <w:tcPr>
            <w:tcW w:w="1080" w:type="dxa"/>
            <w:tcBorders>
              <w:top w:val="single" w:color="auto" w:sz="4" w:space="0"/>
              <w:left w:val="single" w:color="auto" w:sz="4" w:space="0"/>
              <w:bottom w:val="single" w:color="auto" w:sz="4" w:space="0"/>
              <w:right w:val="single" w:color="auto" w:sz="4" w:space="0"/>
            </w:tcBorders>
          </w:tcPr>
          <w:p w14:paraId="36C4E53E">
            <w:pPr>
              <w:shd w:val="clea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0F5A87B2">
            <w:pPr>
              <w:shd w:val="clear"/>
              <w:jc w:val="center"/>
              <w:rPr>
                <w:rFonts w:hint="eastAsia" w:ascii="宋体" w:hAnsi="宋体" w:cs="宋体"/>
                <w:strike/>
                <w:szCs w:val="21"/>
                <w:highlight w:val="none"/>
              </w:rPr>
            </w:pPr>
          </w:p>
        </w:tc>
      </w:tr>
      <w:tr w14:paraId="15A4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079D0FB5">
            <w:pPr>
              <w:shd w:val="clea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4112BE7B">
            <w:pPr>
              <w:shd w:val="clear"/>
              <w:rPr>
                <w:rFonts w:hint="eastAsia" w:ascii="宋体" w:hAnsi="宋体" w:cs="宋体"/>
                <w:strike/>
                <w:szCs w:val="21"/>
                <w:highlight w:val="none"/>
              </w:rPr>
            </w:pPr>
            <w:r>
              <w:rPr>
                <w:rFonts w:hint="eastAsia" w:ascii="宋体" w:hAnsi="宋体" w:cs="宋体"/>
                <w:strike/>
                <w:szCs w:val="21"/>
                <w:highlight w:val="none"/>
              </w:rPr>
              <w:t>办公</w:t>
            </w:r>
          </w:p>
        </w:tc>
        <w:tc>
          <w:tcPr>
            <w:tcW w:w="1080" w:type="dxa"/>
            <w:tcBorders>
              <w:top w:val="single" w:color="auto" w:sz="4" w:space="0"/>
              <w:left w:val="single" w:color="auto" w:sz="4" w:space="0"/>
              <w:bottom w:val="single" w:color="auto" w:sz="4" w:space="0"/>
              <w:right w:val="single" w:color="auto" w:sz="4" w:space="0"/>
            </w:tcBorders>
          </w:tcPr>
          <w:p w14:paraId="6CF0CB10">
            <w:pPr>
              <w:shd w:val="clea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4716A94A">
            <w:pPr>
              <w:shd w:val="clear"/>
              <w:jc w:val="center"/>
              <w:rPr>
                <w:rFonts w:hint="eastAsia" w:ascii="宋体" w:hAnsi="宋体" w:cs="宋体"/>
                <w:strike/>
                <w:szCs w:val="21"/>
                <w:highlight w:val="none"/>
              </w:rPr>
            </w:pPr>
          </w:p>
        </w:tc>
      </w:tr>
      <w:tr w14:paraId="76DE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68088FA7">
            <w:pPr>
              <w:shd w:val="clea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68DA941D">
            <w:pPr>
              <w:shd w:val="clear"/>
              <w:rPr>
                <w:rFonts w:hint="eastAsia" w:ascii="宋体" w:hAnsi="宋体" w:cs="宋体"/>
                <w:strike/>
                <w:szCs w:val="21"/>
                <w:highlight w:val="none"/>
              </w:rPr>
            </w:pPr>
            <w:r>
              <w:rPr>
                <w:rFonts w:hint="eastAsia" w:ascii="宋体" w:hAnsi="宋体" w:cs="宋体"/>
                <w:strike/>
                <w:szCs w:val="21"/>
                <w:highlight w:val="none"/>
              </w:rPr>
              <w:t>文教体卫</w:t>
            </w:r>
          </w:p>
        </w:tc>
        <w:tc>
          <w:tcPr>
            <w:tcW w:w="1080" w:type="dxa"/>
            <w:tcBorders>
              <w:top w:val="single" w:color="auto" w:sz="4" w:space="0"/>
              <w:left w:val="single" w:color="auto" w:sz="4" w:space="0"/>
              <w:bottom w:val="single" w:color="auto" w:sz="4" w:space="0"/>
              <w:right w:val="single" w:color="auto" w:sz="4" w:space="0"/>
            </w:tcBorders>
          </w:tcPr>
          <w:p w14:paraId="4744BA09">
            <w:pPr>
              <w:shd w:val="clea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14E1A18A">
            <w:pPr>
              <w:shd w:val="clear"/>
              <w:jc w:val="center"/>
              <w:rPr>
                <w:rFonts w:hint="eastAsia" w:ascii="宋体" w:hAnsi="宋体" w:cs="宋体"/>
                <w:strike/>
                <w:szCs w:val="21"/>
                <w:highlight w:val="none"/>
              </w:rPr>
            </w:pPr>
          </w:p>
        </w:tc>
      </w:tr>
      <w:tr w14:paraId="01C5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2DB4BE09">
            <w:pPr>
              <w:shd w:val="clea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08AD3BC2">
            <w:pPr>
              <w:shd w:val="clear"/>
              <w:rPr>
                <w:rFonts w:hint="eastAsia" w:ascii="宋体" w:hAnsi="宋体" w:cs="宋体"/>
                <w:strike/>
                <w:szCs w:val="21"/>
                <w:highlight w:val="none"/>
              </w:rPr>
            </w:pPr>
            <w:r>
              <w:rPr>
                <w:rFonts w:hint="eastAsia" w:ascii="宋体" w:hAnsi="宋体" w:cs="宋体"/>
                <w:strike/>
                <w:szCs w:val="21"/>
                <w:highlight w:val="none"/>
              </w:rPr>
              <w:t>工业仓储</w:t>
            </w:r>
          </w:p>
        </w:tc>
        <w:tc>
          <w:tcPr>
            <w:tcW w:w="1080" w:type="dxa"/>
            <w:tcBorders>
              <w:top w:val="single" w:color="auto" w:sz="4" w:space="0"/>
              <w:left w:val="single" w:color="auto" w:sz="4" w:space="0"/>
              <w:bottom w:val="single" w:color="auto" w:sz="4" w:space="0"/>
              <w:right w:val="single" w:color="auto" w:sz="4" w:space="0"/>
            </w:tcBorders>
          </w:tcPr>
          <w:p w14:paraId="378D1283">
            <w:pPr>
              <w:shd w:val="clea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5C84D14B">
            <w:pPr>
              <w:shd w:val="clear"/>
              <w:jc w:val="center"/>
              <w:rPr>
                <w:rFonts w:hint="eastAsia" w:ascii="宋体" w:hAnsi="宋体" w:cs="宋体"/>
                <w:strike/>
                <w:szCs w:val="21"/>
                <w:highlight w:val="none"/>
              </w:rPr>
            </w:pPr>
          </w:p>
        </w:tc>
      </w:tr>
      <w:tr w14:paraId="595D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02E522D1">
            <w:pPr>
              <w:shd w:val="clea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7FB8DDD7">
            <w:pPr>
              <w:shd w:val="clear"/>
              <w:rPr>
                <w:rFonts w:hint="eastAsia" w:ascii="宋体" w:hAnsi="宋体" w:cs="宋体"/>
                <w:strike/>
                <w:szCs w:val="21"/>
                <w:highlight w:val="none"/>
              </w:rPr>
            </w:pPr>
            <w:r>
              <w:rPr>
                <w:rFonts w:hint="eastAsia" w:ascii="宋体" w:hAnsi="宋体" w:cs="宋体"/>
                <w:strike/>
                <w:szCs w:val="21"/>
                <w:highlight w:val="none"/>
              </w:rPr>
              <w:t>站场设施</w:t>
            </w:r>
          </w:p>
        </w:tc>
        <w:tc>
          <w:tcPr>
            <w:tcW w:w="1080" w:type="dxa"/>
            <w:tcBorders>
              <w:top w:val="single" w:color="auto" w:sz="4" w:space="0"/>
              <w:left w:val="single" w:color="auto" w:sz="4" w:space="0"/>
              <w:bottom w:val="single" w:color="auto" w:sz="4" w:space="0"/>
              <w:right w:val="single" w:color="auto" w:sz="4" w:space="0"/>
            </w:tcBorders>
          </w:tcPr>
          <w:p w14:paraId="331067C7">
            <w:pPr>
              <w:shd w:val="clea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7B1429AE">
            <w:pPr>
              <w:shd w:val="clear"/>
              <w:jc w:val="center"/>
              <w:rPr>
                <w:rFonts w:hint="eastAsia" w:ascii="宋体" w:hAnsi="宋体" w:cs="宋体"/>
                <w:strike/>
                <w:szCs w:val="21"/>
                <w:highlight w:val="none"/>
              </w:rPr>
            </w:pPr>
          </w:p>
        </w:tc>
      </w:tr>
      <w:tr w14:paraId="35C2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00421327">
            <w:pPr>
              <w:shd w:val="clea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390ECCD4">
            <w:pPr>
              <w:shd w:val="clear"/>
              <w:rPr>
                <w:rFonts w:hint="eastAsia" w:ascii="宋体" w:hAnsi="宋体" w:cs="宋体"/>
                <w:strike/>
                <w:szCs w:val="21"/>
                <w:highlight w:val="none"/>
              </w:rPr>
            </w:pPr>
            <w:r>
              <w:rPr>
                <w:rFonts w:hint="eastAsia" w:ascii="宋体" w:hAnsi="宋体" w:cs="宋体"/>
                <w:strike/>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tcPr>
          <w:p w14:paraId="7FFF797A">
            <w:pPr>
              <w:shd w:val="clea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49322C3C">
            <w:pPr>
              <w:shd w:val="clear"/>
              <w:jc w:val="center"/>
              <w:rPr>
                <w:rFonts w:hint="eastAsia" w:ascii="宋体" w:hAnsi="宋体" w:cs="宋体"/>
                <w:strike/>
                <w:szCs w:val="21"/>
                <w:highlight w:val="none"/>
              </w:rPr>
            </w:pPr>
          </w:p>
        </w:tc>
      </w:tr>
      <w:tr w14:paraId="5549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0527A2DB">
            <w:pPr>
              <w:shd w:val="clea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65C87FA3">
            <w:pPr>
              <w:shd w:val="clear"/>
              <w:rPr>
                <w:rFonts w:hint="eastAsia" w:ascii="宋体" w:hAnsi="宋体" w:cs="宋体"/>
                <w:strike/>
                <w:szCs w:val="21"/>
                <w:highlight w:val="none"/>
              </w:rPr>
            </w:pPr>
            <w:r>
              <w:rPr>
                <w:rFonts w:hint="eastAsia" w:ascii="宋体" w:hAnsi="宋体" w:cs="宋体"/>
                <w:strike/>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tcPr>
          <w:p w14:paraId="48031C71">
            <w:pPr>
              <w:shd w:val="clea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68456C08">
            <w:pPr>
              <w:shd w:val="clear"/>
              <w:jc w:val="center"/>
              <w:rPr>
                <w:rFonts w:hint="eastAsia" w:ascii="宋体" w:hAnsi="宋体" w:cs="宋体"/>
                <w:strike/>
                <w:szCs w:val="21"/>
                <w:highlight w:val="none"/>
              </w:rPr>
            </w:pPr>
          </w:p>
        </w:tc>
      </w:tr>
      <w:tr w14:paraId="7E34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221B1A7">
            <w:pPr>
              <w:shd w:val="clea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2EA42C16">
            <w:pPr>
              <w:shd w:val="clear"/>
              <w:rPr>
                <w:rFonts w:hint="eastAsia" w:ascii="宋体" w:hAnsi="宋体" w:cs="宋体"/>
                <w:strike/>
                <w:szCs w:val="21"/>
                <w:highlight w:val="none"/>
              </w:rPr>
            </w:pPr>
            <w:r>
              <w:rPr>
                <w:rFonts w:hint="eastAsia" w:ascii="宋体" w:hAnsi="宋体" w:cs="宋体"/>
                <w:strike/>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tcPr>
          <w:p w14:paraId="62165F80">
            <w:pPr>
              <w:shd w:val="clea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058A8B67">
            <w:pPr>
              <w:shd w:val="clear"/>
              <w:jc w:val="center"/>
              <w:rPr>
                <w:rFonts w:hint="eastAsia" w:ascii="宋体" w:hAnsi="宋体" w:cs="宋体"/>
                <w:strike/>
                <w:szCs w:val="21"/>
                <w:highlight w:val="none"/>
              </w:rPr>
            </w:pPr>
          </w:p>
        </w:tc>
      </w:tr>
      <w:tr w14:paraId="04A7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72BEE41B">
            <w:pPr>
              <w:shd w:val="clea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16E706C7">
            <w:pPr>
              <w:shd w:val="clear"/>
              <w:rPr>
                <w:rFonts w:hint="eastAsia" w:ascii="宋体" w:hAnsi="宋体" w:cs="宋体"/>
                <w:strike/>
                <w:szCs w:val="21"/>
                <w:highlight w:val="none"/>
              </w:rPr>
            </w:pPr>
            <w:r>
              <w:rPr>
                <w:rFonts w:hint="eastAsia" w:ascii="宋体" w:hAnsi="宋体" w:cs="宋体"/>
                <w:strike/>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tcPr>
          <w:p w14:paraId="7FEE162F">
            <w:pPr>
              <w:shd w:val="clea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07059270">
            <w:pPr>
              <w:shd w:val="clear"/>
              <w:jc w:val="center"/>
              <w:rPr>
                <w:rFonts w:hint="eastAsia" w:ascii="宋体" w:hAnsi="宋体" w:cs="宋体"/>
                <w:strike/>
                <w:szCs w:val="21"/>
                <w:highlight w:val="none"/>
              </w:rPr>
            </w:pPr>
          </w:p>
        </w:tc>
      </w:tr>
      <w:tr w14:paraId="610C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2C0A78B">
            <w:pPr>
              <w:shd w:val="clea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095E42B8">
            <w:pPr>
              <w:shd w:val="clear"/>
              <w:rPr>
                <w:rFonts w:hint="eastAsia" w:ascii="宋体" w:hAnsi="宋体" w:cs="宋体"/>
                <w:strike/>
                <w:szCs w:val="21"/>
                <w:highlight w:val="none"/>
              </w:rPr>
            </w:pPr>
            <w:r>
              <w:rPr>
                <w:rFonts w:hint="eastAsia" w:ascii="宋体" w:hAnsi="宋体" w:cs="宋体"/>
                <w:strike/>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tcPr>
          <w:p w14:paraId="3A9066E8">
            <w:pPr>
              <w:shd w:val="clea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096F5242">
            <w:pPr>
              <w:shd w:val="clear"/>
              <w:jc w:val="center"/>
              <w:rPr>
                <w:rFonts w:hint="eastAsia" w:ascii="宋体" w:hAnsi="宋体" w:cs="宋体"/>
                <w:strike/>
                <w:szCs w:val="21"/>
                <w:highlight w:val="none"/>
              </w:rPr>
            </w:pPr>
          </w:p>
        </w:tc>
      </w:tr>
      <w:tr w14:paraId="4D5C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25ECB606">
            <w:pPr>
              <w:shd w:val="clea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5F2B4C57">
            <w:pPr>
              <w:shd w:val="clear"/>
              <w:rPr>
                <w:rFonts w:hint="eastAsia" w:ascii="宋体" w:hAnsi="宋体" w:cs="宋体"/>
                <w:strike/>
                <w:szCs w:val="21"/>
                <w:highlight w:val="none"/>
              </w:rPr>
            </w:pPr>
            <w:r>
              <w:rPr>
                <w:rFonts w:hint="eastAsia" w:ascii="宋体" w:hAnsi="宋体" w:cs="宋体"/>
                <w:strike/>
                <w:szCs w:val="21"/>
                <w:highlight w:val="none"/>
              </w:rPr>
              <w:t>建筑总高度</w:t>
            </w:r>
          </w:p>
        </w:tc>
        <w:tc>
          <w:tcPr>
            <w:tcW w:w="1080" w:type="dxa"/>
            <w:tcBorders>
              <w:top w:val="single" w:color="auto" w:sz="4" w:space="0"/>
              <w:left w:val="single" w:color="auto" w:sz="4" w:space="0"/>
              <w:bottom w:val="single" w:color="auto" w:sz="4" w:space="0"/>
              <w:right w:val="single" w:color="auto" w:sz="4" w:space="0"/>
            </w:tcBorders>
          </w:tcPr>
          <w:p w14:paraId="693BDD1E">
            <w:pPr>
              <w:shd w:val="clear"/>
              <w:jc w:val="center"/>
              <w:rPr>
                <w:rFonts w:hint="eastAsia" w:ascii="宋体" w:hAnsi="宋体" w:cs="宋体"/>
                <w:strike/>
                <w:szCs w:val="21"/>
                <w:highlight w:val="none"/>
              </w:rPr>
            </w:pPr>
            <w:r>
              <w:rPr>
                <w:rFonts w:hint="eastAsia" w:ascii="宋体" w:hAnsi="宋体" w:cs="宋体"/>
                <w:strike/>
                <w:szCs w:val="21"/>
                <w:highlight w:val="none"/>
              </w:rPr>
              <w:t>米</w:t>
            </w:r>
          </w:p>
        </w:tc>
        <w:tc>
          <w:tcPr>
            <w:tcW w:w="3492" w:type="dxa"/>
            <w:tcBorders>
              <w:top w:val="single" w:color="auto" w:sz="4" w:space="0"/>
              <w:left w:val="single" w:color="auto" w:sz="4" w:space="0"/>
              <w:bottom w:val="single" w:color="auto" w:sz="4" w:space="0"/>
              <w:right w:val="single" w:color="auto" w:sz="4" w:space="0"/>
            </w:tcBorders>
          </w:tcPr>
          <w:p w14:paraId="6D4FD505">
            <w:pPr>
              <w:shd w:val="clear"/>
              <w:jc w:val="center"/>
              <w:rPr>
                <w:rFonts w:hint="eastAsia" w:ascii="宋体" w:hAnsi="宋体" w:cs="宋体"/>
                <w:strike/>
                <w:szCs w:val="21"/>
                <w:highlight w:val="none"/>
              </w:rPr>
            </w:pPr>
          </w:p>
        </w:tc>
      </w:tr>
      <w:tr w14:paraId="66E0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6CEA28BD">
            <w:pPr>
              <w:shd w:val="clear"/>
              <w:jc w:val="left"/>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79AA2422">
            <w:pPr>
              <w:shd w:val="clear"/>
              <w:jc w:val="left"/>
              <w:rPr>
                <w:rFonts w:hint="eastAsia" w:ascii="宋体" w:hAnsi="宋体" w:cs="宋体"/>
                <w:strike/>
                <w:szCs w:val="21"/>
                <w:highlight w:val="none"/>
              </w:rPr>
            </w:pPr>
            <w:r>
              <w:rPr>
                <w:rFonts w:hint="eastAsia" w:ascii="宋体" w:hAnsi="宋体" w:cs="宋体"/>
                <w:strike/>
                <w:szCs w:val="21"/>
                <w:highlight w:val="none"/>
              </w:rPr>
              <w:t>地上层数</w:t>
            </w:r>
          </w:p>
        </w:tc>
        <w:tc>
          <w:tcPr>
            <w:tcW w:w="1080" w:type="dxa"/>
            <w:tcBorders>
              <w:top w:val="single" w:color="auto" w:sz="4" w:space="0"/>
              <w:left w:val="single" w:color="auto" w:sz="4" w:space="0"/>
              <w:bottom w:val="single" w:color="auto" w:sz="4" w:space="0"/>
              <w:right w:val="single" w:color="auto" w:sz="4" w:space="0"/>
            </w:tcBorders>
          </w:tcPr>
          <w:p w14:paraId="31F7155A">
            <w:pPr>
              <w:shd w:val="clear"/>
              <w:jc w:val="center"/>
              <w:rPr>
                <w:rFonts w:hint="eastAsia" w:ascii="宋体" w:hAnsi="宋体" w:cs="宋体"/>
                <w:strike/>
                <w:szCs w:val="21"/>
                <w:highlight w:val="none"/>
              </w:rPr>
            </w:pPr>
            <w:r>
              <w:rPr>
                <w:rFonts w:hint="eastAsia" w:ascii="宋体" w:hAnsi="宋体" w:cs="宋体"/>
                <w:strike/>
                <w:szCs w:val="21"/>
                <w:highlight w:val="none"/>
              </w:rPr>
              <w:t>层</w:t>
            </w:r>
          </w:p>
        </w:tc>
        <w:tc>
          <w:tcPr>
            <w:tcW w:w="3492" w:type="dxa"/>
            <w:tcBorders>
              <w:top w:val="single" w:color="auto" w:sz="4" w:space="0"/>
              <w:left w:val="single" w:color="auto" w:sz="4" w:space="0"/>
              <w:bottom w:val="single" w:color="auto" w:sz="4" w:space="0"/>
              <w:right w:val="single" w:color="auto" w:sz="4" w:space="0"/>
            </w:tcBorders>
          </w:tcPr>
          <w:p w14:paraId="5ECA3E91">
            <w:pPr>
              <w:shd w:val="clear"/>
              <w:jc w:val="left"/>
              <w:rPr>
                <w:rFonts w:hint="eastAsia" w:ascii="宋体" w:hAnsi="宋体" w:cs="宋体"/>
                <w:strike/>
                <w:szCs w:val="21"/>
                <w:highlight w:val="none"/>
              </w:rPr>
            </w:pPr>
          </w:p>
        </w:tc>
      </w:tr>
      <w:tr w14:paraId="6C93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AD24D40">
            <w:pPr>
              <w:shd w:val="clear"/>
              <w:jc w:val="left"/>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7E6D5F49">
            <w:pPr>
              <w:shd w:val="clear"/>
              <w:jc w:val="left"/>
              <w:rPr>
                <w:rFonts w:hint="eastAsia" w:ascii="宋体" w:hAnsi="宋体" w:cs="宋体"/>
                <w:strike/>
                <w:szCs w:val="21"/>
                <w:highlight w:val="none"/>
              </w:rPr>
            </w:pPr>
            <w:r>
              <w:rPr>
                <w:rFonts w:hint="eastAsia" w:ascii="宋体" w:hAnsi="宋体" w:cs="宋体"/>
                <w:strike/>
                <w:szCs w:val="21"/>
                <w:highlight w:val="none"/>
              </w:rPr>
              <w:t>地下层数</w:t>
            </w:r>
          </w:p>
        </w:tc>
        <w:tc>
          <w:tcPr>
            <w:tcW w:w="1080" w:type="dxa"/>
            <w:tcBorders>
              <w:top w:val="single" w:color="auto" w:sz="4" w:space="0"/>
              <w:left w:val="single" w:color="auto" w:sz="4" w:space="0"/>
              <w:bottom w:val="single" w:color="auto" w:sz="4" w:space="0"/>
              <w:right w:val="single" w:color="auto" w:sz="4" w:space="0"/>
            </w:tcBorders>
          </w:tcPr>
          <w:p w14:paraId="42DA149E">
            <w:pPr>
              <w:shd w:val="clear"/>
              <w:jc w:val="center"/>
              <w:rPr>
                <w:rFonts w:hint="eastAsia" w:ascii="宋体" w:hAnsi="宋体" w:cs="宋体"/>
                <w:strike/>
                <w:szCs w:val="21"/>
                <w:highlight w:val="none"/>
              </w:rPr>
            </w:pPr>
            <w:r>
              <w:rPr>
                <w:rFonts w:hint="eastAsia" w:ascii="宋体" w:hAnsi="宋体" w:cs="宋体"/>
                <w:strike/>
                <w:szCs w:val="21"/>
                <w:highlight w:val="none"/>
              </w:rPr>
              <w:t>层</w:t>
            </w:r>
          </w:p>
        </w:tc>
        <w:tc>
          <w:tcPr>
            <w:tcW w:w="3492" w:type="dxa"/>
            <w:tcBorders>
              <w:top w:val="single" w:color="auto" w:sz="4" w:space="0"/>
              <w:left w:val="single" w:color="auto" w:sz="4" w:space="0"/>
              <w:bottom w:val="single" w:color="auto" w:sz="4" w:space="0"/>
              <w:right w:val="single" w:color="auto" w:sz="4" w:space="0"/>
            </w:tcBorders>
          </w:tcPr>
          <w:p w14:paraId="7705DEF2">
            <w:pPr>
              <w:shd w:val="clear"/>
              <w:jc w:val="left"/>
              <w:rPr>
                <w:rFonts w:hint="eastAsia" w:ascii="宋体" w:hAnsi="宋体" w:cs="宋体"/>
                <w:strike/>
                <w:szCs w:val="21"/>
                <w:highlight w:val="none"/>
              </w:rPr>
            </w:pPr>
          </w:p>
        </w:tc>
      </w:tr>
      <w:tr w14:paraId="2208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9314A55">
            <w:pPr>
              <w:shd w:val="clear"/>
              <w:jc w:val="left"/>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4AA635A5">
            <w:pPr>
              <w:shd w:val="clear"/>
              <w:jc w:val="left"/>
              <w:rPr>
                <w:rFonts w:hint="eastAsia" w:ascii="宋体" w:hAnsi="宋体" w:cs="宋体"/>
                <w:strike/>
                <w:szCs w:val="21"/>
                <w:highlight w:val="none"/>
              </w:rPr>
            </w:pPr>
            <w:r>
              <w:rPr>
                <w:rFonts w:hint="eastAsia" w:ascii="宋体" w:hAnsi="宋体" w:cs="宋体"/>
                <w:strike/>
                <w:szCs w:val="21"/>
                <w:highlight w:val="none"/>
              </w:rPr>
              <w:t>电梯</w:t>
            </w:r>
          </w:p>
        </w:tc>
        <w:tc>
          <w:tcPr>
            <w:tcW w:w="1080" w:type="dxa"/>
            <w:tcBorders>
              <w:top w:val="single" w:color="auto" w:sz="4" w:space="0"/>
              <w:left w:val="single" w:color="auto" w:sz="4" w:space="0"/>
              <w:bottom w:val="single" w:color="auto" w:sz="4" w:space="0"/>
              <w:right w:val="single" w:color="auto" w:sz="4" w:space="0"/>
            </w:tcBorders>
          </w:tcPr>
          <w:p w14:paraId="42401EAD">
            <w:pPr>
              <w:shd w:val="clear"/>
              <w:jc w:val="center"/>
              <w:rPr>
                <w:rFonts w:hint="eastAsia" w:ascii="宋体" w:hAnsi="宋体" w:cs="宋体"/>
                <w:strike/>
                <w:szCs w:val="21"/>
                <w:highlight w:val="none"/>
              </w:rPr>
            </w:pPr>
            <w:r>
              <w:rPr>
                <w:rFonts w:hint="eastAsia" w:ascii="宋体" w:hAnsi="宋体" w:cs="宋体"/>
                <w:strike/>
                <w:szCs w:val="21"/>
                <w:highlight w:val="none"/>
              </w:rPr>
              <w:t>台</w:t>
            </w:r>
          </w:p>
        </w:tc>
        <w:tc>
          <w:tcPr>
            <w:tcW w:w="3492" w:type="dxa"/>
            <w:tcBorders>
              <w:top w:val="single" w:color="auto" w:sz="4" w:space="0"/>
              <w:left w:val="single" w:color="auto" w:sz="4" w:space="0"/>
              <w:bottom w:val="single" w:color="auto" w:sz="4" w:space="0"/>
              <w:right w:val="single" w:color="auto" w:sz="4" w:space="0"/>
            </w:tcBorders>
          </w:tcPr>
          <w:p w14:paraId="44699CF0">
            <w:pPr>
              <w:shd w:val="clear"/>
              <w:jc w:val="left"/>
              <w:rPr>
                <w:rFonts w:hint="eastAsia" w:ascii="宋体" w:hAnsi="宋体" w:cs="宋体"/>
                <w:strike/>
                <w:szCs w:val="21"/>
                <w:highlight w:val="none"/>
              </w:rPr>
            </w:pPr>
          </w:p>
        </w:tc>
      </w:tr>
      <w:tr w14:paraId="21EF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542A86B7">
            <w:pPr>
              <w:shd w:val="clear"/>
              <w:jc w:val="left"/>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05372202">
            <w:pPr>
              <w:shd w:val="clear"/>
              <w:jc w:val="left"/>
              <w:rPr>
                <w:rFonts w:hint="eastAsia" w:ascii="宋体" w:hAnsi="宋体" w:cs="宋体"/>
                <w:strike/>
                <w:szCs w:val="21"/>
                <w:highlight w:val="none"/>
              </w:rPr>
            </w:pPr>
            <w:r>
              <w:rPr>
                <w:rFonts w:hint="eastAsia" w:ascii="宋体" w:hAnsi="宋体" w:cs="宋体"/>
                <w:strike/>
                <w:szCs w:val="21"/>
                <w:highlight w:val="none"/>
              </w:rPr>
              <w:t>楼梯</w:t>
            </w:r>
          </w:p>
        </w:tc>
        <w:tc>
          <w:tcPr>
            <w:tcW w:w="1080" w:type="dxa"/>
            <w:tcBorders>
              <w:top w:val="single" w:color="auto" w:sz="4" w:space="0"/>
              <w:left w:val="single" w:color="auto" w:sz="4" w:space="0"/>
              <w:bottom w:val="single" w:color="auto" w:sz="4" w:space="0"/>
              <w:right w:val="single" w:color="auto" w:sz="4" w:space="0"/>
            </w:tcBorders>
          </w:tcPr>
          <w:p w14:paraId="3710273B">
            <w:pPr>
              <w:shd w:val="clear"/>
              <w:jc w:val="center"/>
              <w:rPr>
                <w:rFonts w:hint="eastAsia" w:ascii="宋体" w:hAnsi="宋体" w:cs="宋体"/>
                <w:strike/>
                <w:szCs w:val="21"/>
                <w:highlight w:val="none"/>
              </w:rPr>
            </w:pPr>
            <w:r>
              <w:rPr>
                <w:rFonts w:hint="eastAsia" w:ascii="宋体" w:hAnsi="宋体" w:cs="宋体"/>
                <w:strike/>
                <w:szCs w:val="21"/>
                <w:highlight w:val="none"/>
              </w:rPr>
              <w:t>樘</w:t>
            </w:r>
          </w:p>
        </w:tc>
        <w:tc>
          <w:tcPr>
            <w:tcW w:w="3492" w:type="dxa"/>
            <w:tcBorders>
              <w:top w:val="single" w:color="auto" w:sz="4" w:space="0"/>
              <w:left w:val="single" w:color="auto" w:sz="4" w:space="0"/>
              <w:bottom w:val="single" w:color="auto" w:sz="4" w:space="0"/>
              <w:right w:val="single" w:color="auto" w:sz="4" w:space="0"/>
            </w:tcBorders>
          </w:tcPr>
          <w:p w14:paraId="2663914A">
            <w:pPr>
              <w:shd w:val="clear"/>
              <w:jc w:val="left"/>
              <w:rPr>
                <w:rFonts w:hint="eastAsia" w:ascii="宋体" w:hAnsi="宋体" w:cs="宋体"/>
                <w:strike/>
                <w:szCs w:val="21"/>
                <w:highlight w:val="none"/>
              </w:rPr>
            </w:pPr>
          </w:p>
        </w:tc>
      </w:tr>
      <w:tr w14:paraId="2BC0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48BED4BE">
            <w:pPr>
              <w:shd w:val="clear"/>
              <w:jc w:val="left"/>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25313887">
            <w:pPr>
              <w:shd w:val="clear"/>
              <w:jc w:val="left"/>
              <w:rPr>
                <w:rFonts w:hint="eastAsia" w:ascii="宋体" w:hAnsi="宋体" w:cs="宋体"/>
                <w:strike/>
                <w:szCs w:val="21"/>
                <w:highlight w:val="none"/>
              </w:rPr>
            </w:pPr>
            <w:r>
              <w:rPr>
                <w:rFonts w:hint="eastAsia" w:ascii="宋体" w:hAnsi="宋体" w:cs="宋体"/>
                <w:strike/>
                <w:szCs w:val="21"/>
                <w:highlight w:val="none"/>
              </w:rPr>
              <w:t>主入口朝向</w:t>
            </w:r>
          </w:p>
        </w:tc>
        <w:tc>
          <w:tcPr>
            <w:tcW w:w="1080" w:type="dxa"/>
            <w:tcBorders>
              <w:top w:val="single" w:color="auto" w:sz="4" w:space="0"/>
              <w:left w:val="single" w:color="auto" w:sz="4" w:space="0"/>
              <w:bottom w:val="single" w:color="auto" w:sz="4" w:space="0"/>
              <w:right w:val="single" w:color="auto" w:sz="4" w:space="0"/>
            </w:tcBorders>
          </w:tcPr>
          <w:p w14:paraId="76FFBD86">
            <w:pPr>
              <w:shd w:val="clear"/>
              <w:jc w:val="center"/>
              <w:rPr>
                <w:rFonts w:hint="eastAsia" w:ascii="宋体" w:hAnsi="宋体" w:cs="宋体"/>
                <w:strike/>
                <w:szCs w:val="21"/>
                <w:highlight w:val="none"/>
              </w:rPr>
            </w:pPr>
            <w:r>
              <w:rPr>
                <w:rFonts w:hint="eastAsia" w:ascii="宋体" w:hAnsi="宋体" w:cs="宋体"/>
                <w:strike/>
                <w:szCs w:val="21"/>
                <w:highlight w:val="none"/>
              </w:rPr>
              <w:t>方向</w:t>
            </w:r>
          </w:p>
        </w:tc>
        <w:tc>
          <w:tcPr>
            <w:tcW w:w="3492" w:type="dxa"/>
            <w:tcBorders>
              <w:top w:val="single" w:color="auto" w:sz="4" w:space="0"/>
              <w:left w:val="single" w:color="auto" w:sz="4" w:space="0"/>
              <w:bottom w:val="single" w:color="auto" w:sz="4" w:space="0"/>
              <w:right w:val="single" w:color="auto" w:sz="4" w:space="0"/>
            </w:tcBorders>
          </w:tcPr>
          <w:p w14:paraId="156D0D39">
            <w:pPr>
              <w:shd w:val="clear"/>
              <w:jc w:val="left"/>
              <w:rPr>
                <w:rFonts w:hint="eastAsia" w:ascii="宋体" w:hAnsi="宋体" w:cs="宋体"/>
                <w:strike/>
                <w:szCs w:val="21"/>
                <w:highlight w:val="none"/>
              </w:rPr>
            </w:pPr>
          </w:p>
        </w:tc>
      </w:tr>
      <w:tr w14:paraId="6080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0B04433F">
            <w:pPr>
              <w:shd w:val="clear"/>
              <w:jc w:val="left"/>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11776AEA">
            <w:pPr>
              <w:shd w:val="clear"/>
              <w:jc w:val="left"/>
              <w:rPr>
                <w:rFonts w:hint="eastAsia" w:ascii="宋体" w:hAnsi="宋体" w:cs="宋体"/>
                <w:strike/>
                <w:szCs w:val="21"/>
                <w:highlight w:val="none"/>
              </w:rPr>
            </w:pPr>
            <w:r>
              <w:rPr>
                <w:rFonts w:hint="eastAsia" w:ascii="宋体" w:hAnsi="宋体" w:cs="宋体"/>
                <w:strike/>
                <w:szCs w:val="21"/>
                <w:highlight w:val="none"/>
              </w:rPr>
              <w:t>无日照采光的房间</w:t>
            </w:r>
          </w:p>
        </w:tc>
        <w:tc>
          <w:tcPr>
            <w:tcW w:w="1080" w:type="dxa"/>
            <w:tcBorders>
              <w:top w:val="single" w:color="auto" w:sz="4" w:space="0"/>
              <w:left w:val="single" w:color="auto" w:sz="4" w:space="0"/>
              <w:bottom w:val="single" w:color="auto" w:sz="4" w:space="0"/>
              <w:right w:val="single" w:color="auto" w:sz="4" w:space="0"/>
            </w:tcBorders>
          </w:tcPr>
          <w:p w14:paraId="5A721AA8">
            <w:pPr>
              <w:shd w:val="clear"/>
              <w:jc w:val="center"/>
              <w:rPr>
                <w:rFonts w:hint="eastAsia" w:ascii="宋体" w:hAnsi="宋体" w:cs="宋体"/>
                <w:strike/>
                <w:szCs w:val="21"/>
                <w:highlight w:val="none"/>
              </w:rPr>
            </w:pPr>
            <w:r>
              <w:rPr>
                <w:rFonts w:hint="eastAsia" w:ascii="宋体" w:hAnsi="宋体" w:cs="宋体"/>
                <w:strike/>
                <w:szCs w:val="21"/>
                <w:highlight w:val="none"/>
              </w:rPr>
              <w:t>个</w:t>
            </w:r>
          </w:p>
        </w:tc>
        <w:tc>
          <w:tcPr>
            <w:tcW w:w="3492" w:type="dxa"/>
            <w:tcBorders>
              <w:top w:val="single" w:color="auto" w:sz="4" w:space="0"/>
              <w:left w:val="single" w:color="auto" w:sz="4" w:space="0"/>
              <w:bottom w:val="single" w:color="auto" w:sz="4" w:space="0"/>
              <w:right w:val="single" w:color="auto" w:sz="4" w:space="0"/>
            </w:tcBorders>
          </w:tcPr>
          <w:p w14:paraId="5D575351">
            <w:pPr>
              <w:shd w:val="clear"/>
              <w:jc w:val="left"/>
              <w:rPr>
                <w:rFonts w:hint="eastAsia" w:ascii="宋体" w:hAnsi="宋体" w:cs="宋体"/>
                <w:strike/>
                <w:szCs w:val="21"/>
                <w:highlight w:val="none"/>
              </w:rPr>
            </w:pPr>
          </w:p>
        </w:tc>
      </w:tr>
      <w:tr w14:paraId="07AB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221D5DA7">
            <w:pPr>
              <w:shd w:val="clear"/>
              <w:jc w:val="left"/>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34C77519">
            <w:pPr>
              <w:shd w:val="clear"/>
              <w:jc w:val="left"/>
              <w:rPr>
                <w:rFonts w:hint="eastAsia" w:ascii="宋体" w:hAnsi="宋体" w:cs="宋体"/>
                <w:strike/>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7B472606">
            <w:pPr>
              <w:shd w:val="clear"/>
              <w:jc w:val="left"/>
              <w:rPr>
                <w:rFonts w:hint="eastAsia" w:ascii="宋体" w:hAnsi="宋体" w:cs="宋体"/>
                <w:strike/>
                <w:szCs w:val="21"/>
                <w:highlight w:val="none"/>
              </w:rPr>
            </w:pPr>
          </w:p>
        </w:tc>
        <w:tc>
          <w:tcPr>
            <w:tcW w:w="3492" w:type="dxa"/>
            <w:tcBorders>
              <w:top w:val="single" w:color="auto" w:sz="4" w:space="0"/>
              <w:left w:val="single" w:color="auto" w:sz="4" w:space="0"/>
              <w:bottom w:val="single" w:color="auto" w:sz="4" w:space="0"/>
              <w:right w:val="single" w:color="auto" w:sz="4" w:space="0"/>
            </w:tcBorders>
          </w:tcPr>
          <w:p w14:paraId="671F426C">
            <w:pPr>
              <w:shd w:val="clear"/>
              <w:jc w:val="left"/>
              <w:rPr>
                <w:rFonts w:hint="eastAsia" w:ascii="宋体" w:hAnsi="宋体" w:cs="宋体"/>
                <w:strike/>
                <w:szCs w:val="21"/>
                <w:highlight w:val="none"/>
              </w:rPr>
            </w:pPr>
          </w:p>
        </w:tc>
      </w:tr>
    </w:tbl>
    <w:p w14:paraId="5064FA5A">
      <w:pPr>
        <w:shd w:val="clear"/>
        <w:jc w:val="left"/>
        <w:rPr>
          <w:rFonts w:hint="eastAsia" w:ascii="宋体" w:hAnsi="宋体" w:cs="宋体"/>
          <w:strike/>
          <w:szCs w:val="21"/>
          <w:highlight w:val="none"/>
        </w:rPr>
      </w:pPr>
      <w:r>
        <w:rPr>
          <w:rFonts w:hint="eastAsia" w:ascii="宋体" w:hAnsi="宋体" w:cs="宋体"/>
          <w:strike/>
          <w:szCs w:val="21"/>
          <w:highlight w:val="none"/>
        </w:rPr>
        <w:t>数值栏由投标人填写。为了确保评选的精确性，在评标委员会评审之前，招标人（招标代理机构）可委托专业人士对设计方案进行测试，借助CAD和图表复核设计方案中描述的面积、体积、空间体量及其他客观标准内容，填写在测试结果栏，测试结果提供评标委员会参考。</w:t>
      </w:r>
    </w:p>
    <w:p w14:paraId="1D50D68F">
      <w:pPr>
        <w:pStyle w:val="3"/>
        <w:shd w:val="clear"/>
        <w:rPr>
          <w:rFonts w:hint="eastAsia" w:ascii="宋体" w:hAnsi="宋体" w:cs="宋体"/>
          <w:strike/>
          <w:highlight w:val="none"/>
        </w:rPr>
      </w:pPr>
      <w:r>
        <w:rPr>
          <w:rFonts w:hint="eastAsia" w:ascii="宋体" w:hAnsi="宋体" w:cs="宋体"/>
          <w:b w:val="0"/>
          <w:highlight w:val="none"/>
        </w:rPr>
        <w:br w:type="page"/>
      </w:r>
      <w:bookmarkStart w:id="233" w:name="_Toc16855"/>
      <w:bookmarkStart w:id="234" w:name="_Toc28094"/>
      <w:bookmarkStart w:id="235" w:name="_Toc16329"/>
      <w:bookmarkStart w:id="236" w:name="_Toc3457"/>
      <w:bookmarkStart w:id="237" w:name="_Toc10381"/>
      <w:bookmarkStart w:id="238" w:name="_Toc5516"/>
      <w:bookmarkStart w:id="239" w:name="_Toc7799"/>
      <w:r>
        <w:rPr>
          <w:rFonts w:hint="eastAsia" w:ascii="宋体" w:hAnsi="宋体" w:cs="宋体"/>
          <w:strike/>
          <w:sz w:val="21"/>
          <w:szCs w:val="21"/>
          <w:highlight w:val="none"/>
        </w:rPr>
        <w:t>附件5勘察投标文件编制要求</w:t>
      </w:r>
      <w:bookmarkEnd w:id="233"/>
      <w:bookmarkEnd w:id="234"/>
      <w:bookmarkEnd w:id="235"/>
      <w:bookmarkEnd w:id="236"/>
      <w:bookmarkEnd w:id="237"/>
      <w:bookmarkEnd w:id="238"/>
      <w:bookmarkEnd w:id="239"/>
    </w:p>
    <w:p w14:paraId="6C59E57F">
      <w:pPr>
        <w:shd w:val="clear"/>
        <w:jc w:val="center"/>
        <w:rPr>
          <w:rFonts w:hint="eastAsia" w:ascii="宋体" w:hAnsi="宋体" w:cs="宋体"/>
          <w:b/>
          <w:strike/>
          <w:sz w:val="32"/>
          <w:szCs w:val="32"/>
          <w:highlight w:val="none"/>
        </w:rPr>
      </w:pPr>
      <w:r>
        <w:rPr>
          <w:rFonts w:hint="eastAsia" w:ascii="宋体" w:hAnsi="宋体" w:cs="宋体"/>
          <w:b/>
          <w:strike/>
          <w:sz w:val="32"/>
          <w:szCs w:val="32"/>
          <w:highlight w:val="none"/>
        </w:rPr>
        <w:t>勘察投标文件编制要求</w:t>
      </w:r>
    </w:p>
    <w:p w14:paraId="7332244F">
      <w:pPr>
        <w:shd w:val="clea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（只适用于勘察投标）</w:t>
      </w:r>
    </w:p>
    <w:p w14:paraId="162206E6">
      <w:pPr>
        <w:shd w:val="clear"/>
        <w:spacing w:line="360" w:lineRule="auto"/>
        <w:jc w:val="center"/>
        <w:rPr>
          <w:rFonts w:hint="eastAsia" w:ascii="宋体" w:hAnsi="宋体" w:cs="宋体"/>
          <w:strike/>
          <w:sz w:val="24"/>
          <w:szCs w:val="24"/>
          <w:highlight w:val="none"/>
        </w:rPr>
      </w:pPr>
    </w:p>
    <w:p w14:paraId="2BD72103">
      <w:pPr>
        <w:shd w:val="clear"/>
        <w:spacing w:line="360" w:lineRule="auto"/>
        <w:jc w:val="left"/>
        <w:rPr>
          <w:rFonts w:hint="eastAsia" w:ascii="宋体" w:hAnsi="宋体" w:cs="宋体"/>
          <w:strike/>
          <w:sz w:val="24"/>
          <w:szCs w:val="24"/>
          <w:highlight w:val="none"/>
        </w:rPr>
      </w:pPr>
      <w:bookmarkStart w:id="240" w:name="_Toc16913"/>
      <w:bookmarkStart w:id="241" w:name="_Toc14043"/>
      <w:bookmarkStart w:id="242" w:name="_Toc388"/>
      <w:r>
        <w:rPr>
          <w:rFonts w:hint="eastAsia" w:ascii="宋体" w:hAnsi="宋体" w:cs="宋体"/>
          <w:b/>
          <w:strike/>
          <w:sz w:val="24"/>
          <w:szCs w:val="24"/>
          <w:highlight w:val="none"/>
        </w:rPr>
        <w:t>1投标文件</w:t>
      </w:r>
      <w:bookmarkEnd w:id="240"/>
      <w:bookmarkEnd w:id="241"/>
      <w:bookmarkEnd w:id="242"/>
    </w:p>
    <w:p w14:paraId="0F9A95C0">
      <w:pPr>
        <w:shd w:val="clear"/>
        <w:spacing w:line="360" w:lineRule="auto"/>
        <w:jc w:val="left"/>
        <w:rPr>
          <w:rFonts w:hint="eastAsia" w:ascii="宋体" w:hAnsi="宋体" w:cs="宋体"/>
          <w:strike/>
          <w:sz w:val="24"/>
          <w:szCs w:val="24"/>
          <w:highlight w:val="none"/>
        </w:rPr>
      </w:pPr>
    </w:p>
    <w:p w14:paraId="35738E8F">
      <w:pPr>
        <w:shd w:val="clear"/>
        <w:spacing w:line="360" w:lineRule="auto"/>
        <w:ind w:left="821" w:hanging="820" w:hangingChars="342"/>
        <w:rPr>
          <w:rFonts w:hint="eastAsia" w:ascii="宋体" w:hAnsi="宋体" w:cs="宋体"/>
          <w:strike/>
          <w:sz w:val="24"/>
          <w:szCs w:val="24"/>
          <w:highlight w:val="none"/>
        </w:rPr>
      </w:pPr>
      <w:r>
        <w:rPr>
          <w:rFonts w:hint="eastAsia" w:ascii="宋体" w:hAnsi="宋体" w:cs="宋体"/>
          <w:strike/>
          <w:sz w:val="24"/>
          <w:szCs w:val="24"/>
          <w:highlight w:val="none"/>
        </w:rPr>
        <w:t>1.1    投标文件由下列资料组成。</w:t>
      </w:r>
    </w:p>
    <w:p w14:paraId="62B7CB57">
      <w:pPr>
        <w:shd w:val="clear"/>
        <w:spacing w:line="360" w:lineRule="auto"/>
        <w:jc w:val="left"/>
        <w:rPr>
          <w:rFonts w:hint="eastAsia" w:ascii="宋体" w:hAnsi="宋体" w:cs="宋体"/>
          <w:strike/>
          <w:sz w:val="24"/>
          <w:szCs w:val="24"/>
          <w:highlight w:val="none"/>
        </w:rPr>
      </w:pPr>
      <w:r>
        <w:rPr>
          <w:rFonts w:hint="eastAsia" w:ascii="宋体" w:hAnsi="宋体" w:cs="宋体"/>
          <w:strike/>
          <w:sz w:val="24"/>
          <w:szCs w:val="24"/>
          <w:highlight w:val="none"/>
        </w:rPr>
        <w:t xml:space="preserve">   (a) 开标信封。</w:t>
      </w:r>
    </w:p>
    <w:p w14:paraId="5CD1632F">
      <w:pPr>
        <w:shd w:val="clear"/>
        <w:spacing w:line="360" w:lineRule="auto"/>
        <w:jc w:val="left"/>
        <w:rPr>
          <w:rFonts w:hint="eastAsia" w:ascii="宋体" w:hAnsi="宋体" w:cs="宋体"/>
          <w:strike/>
          <w:sz w:val="24"/>
          <w:szCs w:val="24"/>
          <w:highlight w:val="none"/>
        </w:rPr>
      </w:pPr>
      <w:r>
        <w:rPr>
          <w:rFonts w:hint="eastAsia" w:ascii="宋体" w:hAnsi="宋体" w:cs="宋体"/>
          <w:strike/>
          <w:sz w:val="24"/>
          <w:szCs w:val="24"/>
          <w:highlight w:val="none"/>
        </w:rPr>
        <w:t xml:space="preserve">   (b) 勘察方案。</w:t>
      </w:r>
    </w:p>
    <w:p w14:paraId="5C6EB453">
      <w:pPr>
        <w:shd w:val="clear"/>
        <w:spacing w:line="360" w:lineRule="auto"/>
        <w:jc w:val="left"/>
        <w:rPr>
          <w:rFonts w:hint="eastAsia" w:ascii="宋体" w:hAnsi="宋体" w:cs="宋体"/>
          <w:strike/>
          <w:sz w:val="24"/>
          <w:szCs w:val="24"/>
          <w:highlight w:val="none"/>
        </w:rPr>
      </w:pPr>
      <w:r>
        <w:rPr>
          <w:rFonts w:hint="eastAsia" w:ascii="宋体" w:hAnsi="宋体" w:cs="宋体"/>
          <w:strike/>
          <w:sz w:val="24"/>
          <w:szCs w:val="24"/>
          <w:highlight w:val="none"/>
        </w:rPr>
        <w:t xml:space="preserve">   (c) 资格审查文件（如果招标人要求提供）。</w:t>
      </w:r>
    </w:p>
    <w:p w14:paraId="697EEC78">
      <w:pPr>
        <w:shd w:val="clear"/>
        <w:spacing w:line="360" w:lineRule="auto"/>
        <w:jc w:val="left"/>
        <w:rPr>
          <w:rFonts w:hint="eastAsia" w:ascii="宋体" w:hAnsi="宋体" w:cs="宋体"/>
          <w:strike/>
          <w:sz w:val="24"/>
          <w:szCs w:val="24"/>
          <w:highlight w:val="none"/>
        </w:rPr>
      </w:pPr>
    </w:p>
    <w:p w14:paraId="21801AA0">
      <w:pPr>
        <w:shd w:val="clear"/>
        <w:spacing w:line="360" w:lineRule="auto"/>
        <w:rPr>
          <w:rFonts w:hint="eastAsia" w:ascii="宋体" w:hAnsi="宋体" w:cs="宋体"/>
          <w:strike/>
          <w:sz w:val="24"/>
          <w:szCs w:val="24"/>
          <w:highlight w:val="none"/>
        </w:rPr>
      </w:pPr>
      <w:bookmarkStart w:id="243" w:name="_Toc6830"/>
      <w:bookmarkStart w:id="244" w:name="_Toc19186"/>
      <w:bookmarkStart w:id="245" w:name="_Toc11546"/>
      <w:r>
        <w:rPr>
          <w:rFonts w:hint="eastAsia" w:ascii="宋体" w:hAnsi="宋体" w:cs="宋体"/>
          <w:b/>
          <w:strike/>
          <w:sz w:val="24"/>
          <w:szCs w:val="24"/>
          <w:highlight w:val="none"/>
        </w:rPr>
        <w:t>2      保密要求</w:t>
      </w:r>
      <w:bookmarkEnd w:id="243"/>
      <w:bookmarkEnd w:id="244"/>
      <w:bookmarkEnd w:id="245"/>
    </w:p>
    <w:p w14:paraId="209D864B">
      <w:pPr>
        <w:shd w:val="clear"/>
        <w:spacing w:line="360" w:lineRule="auto"/>
        <w:rPr>
          <w:rFonts w:hint="eastAsia" w:ascii="宋体" w:hAnsi="宋体" w:cs="宋体"/>
          <w:strike/>
          <w:sz w:val="24"/>
          <w:szCs w:val="24"/>
          <w:highlight w:val="none"/>
        </w:rPr>
      </w:pPr>
    </w:p>
    <w:p w14:paraId="446E3C6F">
      <w:pPr>
        <w:shd w:val="clear"/>
        <w:spacing w:line="360" w:lineRule="auto"/>
        <w:ind w:left="821" w:hanging="820" w:hangingChars="342"/>
        <w:jc w:val="left"/>
        <w:rPr>
          <w:rFonts w:hint="eastAsia" w:ascii="宋体" w:hAnsi="宋体" w:cs="宋体"/>
          <w:strike/>
          <w:sz w:val="24"/>
          <w:szCs w:val="24"/>
          <w:highlight w:val="none"/>
        </w:rPr>
      </w:pPr>
      <w:r>
        <w:rPr>
          <w:rFonts w:hint="eastAsia" w:ascii="宋体" w:hAnsi="宋体" w:cs="宋体"/>
          <w:strike/>
          <w:sz w:val="24"/>
          <w:szCs w:val="24"/>
          <w:highlight w:val="none"/>
        </w:rPr>
        <w:t>2.1    投标文件必须隐匿投标人及专业技术人员的名称，除了《投标书》（格式见附录6）、《联合体投标协议》（格式见附录7）、《投标人声明》和资格审查文件（如有）内的分辨投标人身份的文件外，投标人不得在投标文件的勘察方案上标注或做任何可以辨认投标人及专业技术人员身份的名称、印章、商标、图形等。</w:t>
      </w:r>
    </w:p>
    <w:p w14:paraId="11C8906E">
      <w:pPr>
        <w:shd w:val="clear"/>
        <w:spacing w:line="360" w:lineRule="auto"/>
        <w:ind w:left="410" w:hanging="410" w:hangingChars="171"/>
        <w:rPr>
          <w:rFonts w:hint="eastAsia" w:ascii="宋体" w:hAnsi="宋体" w:cs="宋体"/>
          <w:strike/>
          <w:sz w:val="24"/>
          <w:szCs w:val="24"/>
          <w:highlight w:val="none"/>
        </w:rPr>
      </w:pPr>
    </w:p>
    <w:p w14:paraId="6B713CCF">
      <w:pPr>
        <w:shd w:val="clear"/>
        <w:spacing w:line="360" w:lineRule="auto"/>
        <w:jc w:val="left"/>
        <w:rPr>
          <w:rFonts w:hint="eastAsia" w:ascii="宋体" w:hAnsi="宋体" w:cs="宋体"/>
          <w:b/>
          <w:strike/>
          <w:sz w:val="24"/>
          <w:szCs w:val="24"/>
          <w:highlight w:val="none"/>
        </w:rPr>
      </w:pPr>
      <w:bookmarkStart w:id="246" w:name="_Toc29767"/>
      <w:bookmarkStart w:id="247" w:name="_Toc30022"/>
      <w:bookmarkStart w:id="248" w:name="_Toc26939"/>
      <w:r>
        <w:rPr>
          <w:rFonts w:hint="eastAsia" w:ascii="宋体" w:hAnsi="宋体" w:cs="宋体"/>
          <w:b/>
          <w:strike/>
          <w:sz w:val="24"/>
          <w:szCs w:val="24"/>
          <w:highlight w:val="none"/>
        </w:rPr>
        <w:t>3      开标信封</w:t>
      </w:r>
      <w:bookmarkEnd w:id="246"/>
      <w:bookmarkEnd w:id="247"/>
      <w:bookmarkEnd w:id="248"/>
    </w:p>
    <w:p w14:paraId="44B233EE">
      <w:pPr>
        <w:shd w:val="clear"/>
        <w:spacing w:line="360" w:lineRule="auto"/>
        <w:rPr>
          <w:rFonts w:hint="eastAsia" w:ascii="宋体" w:hAnsi="宋体" w:cs="宋体"/>
          <w:strike/>
          <w:sz w:val="24"/>
          <w:szCs w:val="24"/>
          <w:highlight w:val="none"/>
        </w:rPr>
      </w:pPr>
    </w:p>
    <w:p w14:paraId="5C29BAF8">
      <w:pPr>
        <w:shd w:val="clear"/>
        <w:spacing w:line="360" w:lineRule="auto"/>
        <w:ind w:left="821" w:hanging="820" w:hangingChars="342"/>
        <w:rPr>
          <w:rFonts w:hint="eastAsia" w:ascii="宋体" w:hAnsi="宋体" w:cs="宋体"/>
          <w:strike/>
          <w:sz w:val="24"/>
          <w:szCs w:val="24"/>
          <w:highlight w:val="none"/>
        </w:rPr>
      </w:pPr>
      <w:r>
        <w:rPr>
          <w:rFonts w:hint="eastAsia" w:ascii="宋体" w:hAnsi="宋体" w:cs="宋体"/>
          <w:strike/>
          <w:sz w:val="24"/>
          <w:szCs w:val="24"/>
          <w:highlight w:val="none"/>
        </w:rPr>
        <w:t>3.1    开标信封内附填妥并签字盖章的《投标书》（格式见附录6），联合体同时附填妥并签字盖章的《联合体投标协议》（格式见附录7）。未设资格审查环节的项目，还应提供填妥并盖章的《投标人声明》（格式见附录8）。</w:t>
      </w:r>
    </w:p>
    <w:p w14:paraId="59027C29">
      <w:pPr>
        <w:shd w:val="clear"/>
        <w:spacing w:line="360" w:lineRule="auto"/>
        <w:rPr>
          <w:rFonts w:hint="eastAsia" w:ascii="宋体" w:hAnsi="宋体" w:cs="宋体"/>
          <w:strike/>
          <w:sz w:val="24"/>
          <w:szCs w:val="24"/>
          <w:highlight w:val="none"/>
        </w:rPr>
      </w:pPr>
    </w:p>
    <w:p w14:paraId="6B5A32F9">
      <w:pPr>
        <w:shd w:val="clear"/>
        <w:spacing w:line="360" w:lineRule="auto"/>
        <w:rPr>
          <w:rFonts w:hint="eastAsia" w:ascii="宋体" w:hAnsi="宋体" w:cs="宋体"/>
          <w:strike/>
          <w:sz w:val="24"/>
          <w:szCs w:val="24"/>
          <w:highlight w:val="none"/>
        </w:rPr>
      </w:pPr>
    </w:p>
    <w:p w14:paraId="1B18CC23">
      <w:pPr>
        <w:shd w:val="clear"/>
        <w:spacing w:line="360" w:lineRule="auto"/>
        <w:rPr>
          <w:rFonts w:hint="eastAsia" w:ascii="宋体" w:hAnsi="宋体" w:cs="宋体"/>
          <w:strike/>
          <w:sz w:val="24"/>
          <w:szCs w:val="24"/>
          <w:highlight w:val="none"/>
        </w:rPr>
      </w:pPr>
    </w:p>
    <w:p w14:paraId="45C9BF22">
      <w:pPr>
        <w:shd w:val="clear"/>
        <w:spacing w:line="360" w:lineRule="auto"/>
        <w:rPr>
          <w:rFonts w:hint="eastAsia" w:ascii="宋体" w:hAnsi="宋体" w:cs="宋体"/>
          <w:b/>
          <w:strike/>
          <w:sz w:val="24"/>
          <w:szCs w:val="24"/>
          <w:highlight w:val="none"/>
        </w:rPr>
      </w:pPr>
      <w:bookmarkStart w:id="249" w:name="_Toc8918"/>
      <w:bookmarkStart w:id="250" w:name="_Toc1272"/>
      <w:bookmarkStart w:id="251" w:name="_Toc16035"/>
      <w:r>
        <w:rPr>
          <w:rFonts w:hint="eastAsia" w:ascii="宋体" w:hAnsi="宋体" w:cs="宋体"/>
          <w:b/>
          <w:strike/>
          <w:sz w:val="24"/>
          <w:szCs w:val="24"/>
          <w:highlight w:val="none"/>
        </w:rPr>
        <w:t>4      勘察方案</w:t>
      </w:r>
      <w:bookmarkEnd w:id="249"/>
      <w:bookmarkEnd w:id="250"/>
      <w:bookmarkEnd w:id="251"/>
    </w:p>
    <w:p w14:paraId="41D883BF">
      <w:pPr>
        <w:shd w:val="clear"/>
        <w:spacing w:line="360" w:lineRule="auto"/>
        <w:rPr>
          <w:rFonts w:hint="eastAsia" w:ascii="宋体" w:hAnsi="宋体" w:cs="宋体"/>
          <w:strike/>
          <w:sz w:val="24"/>
          <w:szCs w:val="24"/>
          <w:highlight w:val="none"/>
        </w:rPr>
      </w:pPr>
    </w:p>
    <w:p w14:paraId="0B00C3D7">
      <w:pPr>
        <w:pStyle w:val="15"/>
        <w:widowControl w:val="0"/>
        <w:shd w:val="clear"/>
        <w:spacing w:beforeAutospacing="0" w:afterAutospacing="0" w:line="360" w:lineRule="auto"/>
        <w:jc w:val="both"/>
        <w:rPr>
          <w:rFonts w:cs="宋体"/>
          <w:strike/>
          <w:highlight w:val="none"/>
        </w:rPr>
      </w:pPr>
      <w:r>
        <w:rPr>
          <w:rFonts w:cs="宋体"/>
          <w:strike/>
          <w:highlight w:val="none"/>
        </w:rPr>
        <w:t>4.1    勘察方案内容（文件大小不得超过500M）：</w:t>
      </w:r>
    </w:p>
    <w:p w14:paraId="68B8BDE5">
      <w:pPr>
        <w:shd w:val="clea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(a) 首页：写明项目名称、编制年月；</w:t>
      </w:r>
    </w:p>
    <w:p w14:paraId="015BFF44">
      <w:pPr>
        <w:pStyle w:val="15"/>
        <w:widowControl w:val="0"/>
        <w:shd w:val="clear"/>
        <w:spacing w:beforeAutospacing="0" w:afterAutospacing="0" w:line="360" w:lineRule="auto"/>
        <w:jc w:val="both"/>
        <w:rPr>
          <w:rFonts w:cs="宋体"/>
          <w:strike/>
          <w:highlight w:val="none"/>
        </w:rPr>
      </w:pPr>
      <w:r>
        <w:rPr>
          <w:rFonts w:cs="宋体"/>
          <w:strike/>
          <w:highlight w:val="none"/>
        </w:rPr>
        <w:t xml:space="preserve">   (b) 目录；</w:t>
      </w:r>
    </w:p>
    <w:p w14:paraId="2E781FAD">
      <w:pPr>
        <w:shd w:val="clear"/>
        <w:spacing w:line="360" w:lineRule="auto"/>
        <w:ind w:left="821" w:hanging="820" w:hangingChars="342"/>
        <w:rPr>
          <w:rFonts w:hint="eastAsia" w:ascii="宋体" w:hAnsi="宋体" w:cs="宋体"/>
          <w:strike/>
          <w:sz w:val="24"/>
          <w:szCs w:val="24"/>
          <w:highlight w:val="none"/>
        </w:rPr>
      </w:pPr>
      <w:r>
        <w:rPr>
          <w:rFonts w:hint="eastAsia" w:ascii="宋体" w:hAnsi="宋体" w:cs="宋体"/>
          <w:strike/>
          <w:sz w:val="24"/>
          <w:szCs w:val="24"/>
          <w:highlight w:val="none"/>
        </w:rPr>
        <w:t>（c）《勘察设计费报价表》（见附录3）；</w:t>
      </w:r>
    </w:p>
    <w:p w14:paraId="722B34BF">
      <w:pPr>
        <w:shd w:val="clear"/>
        <w:spacing w:line="360" w:lineRule="auto"/>
        <w:ind w:left="818" w:hanging="818" w:hangingChars="341"/>
        <w:rPr>
          <w:rFonts w:hint="eastAsia" w:ascii="宋体" w:hAnsi="宋体" w:cs="宋体"/>
          <w:strike/>
          <w:sz w:val="24"/>
          <w:szCs w:val="24"/>
          <w:highlight w:val="none"/>
        </w:rPr>
      </w:pPr>
      <w:r>
        <w:rPr>
          <w:rFonts w:hint="eastAsia" w:ascii="宋体" w:hAnsi="宋体" w:cs="宋体"/>
          <w:strike/>
          <w:sz w:val="24"/>
          <w:szCs w:val="24"/>
          <w:highlight w:val="none"/>
        </w:rPr>
        <w:t xml:space="preserve">   (d) 除上述报价外，如果有另需付费的项目，应详细列明勘察工作和收费标准（内容、数量、单价、合价）；</w:t>
      </w:r>
    </w:p>
    <w:p w14:paraId="01296EAB">
      <w:pPr>
        <w:shd w:val="clear"/>
        <w:spacing w:line="360" w:lineRule="auto"/>
        <w:ind w:left="821" w:hanging="820" w:hangingChars="342"/>
        <w:rPr>
          <w:rFonts w:hint="eastAsia" w:ascii="宋体" w:hAnsi="宋体" w:cs="宋体"/>
          <w:strike/>
          <w:sz w:val="24"/>
          <w:szCs w:val="24"/>
          <w:highlight w:val="none"/>
        </w:rPr>
      </w:pPr>
      <w:r>
        <w:rPr>
          <w:rFonts w:hint="eastAsia" w:ascii="宋体" w:hAnsi="宋体" w:cs="宋体"/>
          <w:strike/>
          <w:sz w:val="24"/>
          <w:szCs w:val="24"/>
          <w:highlight w:val="none"/>
        </w:rPr>
        <w:t xml:space="preserve">   (e) 针对项目场地采用的原位试验种类。勘察方案（勘察手段、方法及工艺）及建议，本次勘察的难点及建议；</w:t>
      </w:r>
    </w:p>
    <w:p w14:paraId="5EBE77DE">
      <w:pPr>
        <w:shd w:val="clea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(f) 勘察工作流程和相应的工期进度计划；</w:t>
      </w:r>
    </w:p>
    <w:p w14:paraId="37EC8FCA">
      <w:pPr>
        <w:shd w:val="clea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(g) 投入本项目的人数、工种、设备；</w:t>
      </w:r>
    </w:p>
    <w:p w14:paraId="7CAF01F8">
      <w:pPr>
        <w:shd w:val="clea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(h) 勘察报告综合评价深度，勘察成果文件内容目录；</w:t>
      </w:r>
    </w:p>
    <w:p w14:paraId="21DB7FBA">
      <w:pPr>
        <w:shd w:val="clea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(i) 投标人掌握的勘察工作有关的法律法规、标准、规范一览表；</w:t>
      </w:r>
    </w:p>
    <w:p w14:paraId="6CA18469">
      <w:pPr>
        <w:shd w:val="clea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(j) 需要建设单位、设计单位配合的事项；</w:t>
      </w:r>
    </w:p>
    <w:p w14:paraId="6E31F1FC">
      <w:pPr>
        <w:shd w:val="clea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(k) 发生追记行为的相应赔偿办法；</w:t>
      </w:r>
    </w:p>
    <w:p w14:paraId="5AADF306">
      <w:pPr>
        <w:shd w:val="clear"/>
        <w:spacing w:line="360" w:lineRule="auto"/>
        <w:ind w:left="821" w:hanging="820" w:hangingChars="342"/>
        <w:rPr>
          <w:rFonts w:hint="eastAsia" w:ascii="宋体" w:hAnsi="宋体" w:cs="宋体"/>
          <w:strike/>
          <w:sz w:val="24"/>
          <w:szCs w:val="24"/>
          <w:highlight w:val="none"/>
        </w:rPr>
      </w:pPr>
      <w:r>
        <w:rPr>
          <w:rFonts w:hint="eastAsia" w:ascii="宋体" w:hAnsi="宋体" w:cs="宋体"/>
          <w:strike/>
          <w:sz w:val="24"/>
          <w:szCs w:val="24"/>
          <w:highlight w:val="none"/>
        </w:rPr>
        <w:t xml:space="preserve">   (l) 投标人参与施工验槽，解决工程设计和施工中与勘察工作有关问题的服务承诺、响应时间、相关费用。</w:t>
      </w:r>
    </w:p>
    <w:p w14:paraId="66A18D47">
      <w:pPr>
        <w:shd w:val="clea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(m) 技术培训和职业道德教育情况。</w:t>
      </w:r>
    </w:p>
    <w:p w14:paraId="01DA6DC2">
      <w:pPr>
        <w:shd w:val="clea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(n) 以往完工项目的资料分类编目、装订、归档保存的情况。</w:t>
      </w:r>
    </w:p>
    <w:p w14:paraId="2434DC10">
      <w:pPr>
        <w:shd w:val="clear"/>
        <w:spacing w:line="360" w:lineRule="auto"/>
        <w:rPr>
          <w:rFonts w:hint="eastAsia" w:ascii="宋体" w:hAnsi="宋体" w:cs="宋体"/>
          <w:strike/>
          <w:sz w:val="24"/>
          <w:szCs w:val="24"/>
          <w:highlight w:val="none"/>
        </w:rPr>
      </w:pPr>
    </w:p>
    <w:p w14:paraId="0B5C6C73">
      <w:pPr>
        <w:shd w:val="clear"/>
        <w:spacing w:line="360" w:lineRule="auto"/>
        <w:jc w:val="left"/>
        <w:rPr>
          <w:rFonts w:hint="eastAsia" w:ascii="宋体" w:hAnsi="宋体" w:cs="宋体"/>
          <w:b/>
          <w:strike/>
          <w:sz w:val="24"/>
          <w:szCs w:val="24"/>
          <w:highlight w:val="none"/>
        </w:rPr>
      </w:pPr>
      <w:bookmarkStart w:id="252" w:name="_Toc27667"/>
      <w:bookmarkStart w:id="253" w:name="_Toc13422"/>
      <w:bookmarkStart w:id="254" w:name="_Toc976"/>
      <w:r>
        <w:rPr>
          <w:rFonts w:hint="eastAsia" w:ascii="宋体" w:hAnsi="宋体" w:cs="宋体"/>
          <w:b/>
          <w:strike/>
          <w:sz w:val="24"/>
          <w:szCs w:val="24"/>
          <w:highlight w:val="none"/>
        </w:rPr>
        <w:t>5   资格审查文件（如有）</w:t>
      </w:r>
      <w:bookmarkEnd w:id="252"/>
      <w:bookmarkEnd w:id="253"/>
      <w:bookmarkEnd w:id="254"/>
    </w:p>
    <w:p w14:paraId="49EFB9ED">
      <w:pPr>
        <w:pStyle w:val="15"/>
        <w:widowControl w:val="0"/>
        <w:shd w:val="clear"/>
        <w:spacing w:beforeAutospacing="0" w:afterAutospacing="0" w:line="360" w:lineRule="auto"/>
        <w:jc w:val="both"/>
        <w:rPr>
          <w:rFonts w:cs="宋体"/>
          <w:strike/>
          <w:highlight w:val="none"/>
        </w:rPr>
      </w:pPr>
    </w:p>
    <w:p w14:paraId="123D7814">
      <w:pPr>
        <w:pStyle w:val="15"/>
        <w:widowControl w:val="0"/>
        <w:shd w:val="clear"/>
        <w:spacing w:beforeAutospacing="0" w:afterAutospacing="0" w:line="360" w:lineRule="auto"/>
        <w:jc w:val="both"/>
        <w:rPr>
          <w:rFonts w:cs="宋体"/>
          <w:strike/>
          <w:highlight w:val="none"/>
        </w:rPr>
      </w:pPr>
      <w:r>
        <w:rPr>
          <w:rFonts w:cs="宋体"/>
          <w:strike/>
          <w:highlight w:val="none"/>
        </w:rPr>
        <w:t>5.1   资格审查文件内容：</w:t>
      </w:r>
    </w:p>
    <w:p w14:paraId="6522A8DF">
      <w:pPr>
        <w:pStyle w:val="15"/>
        <w:widowControl w:val="0"/>
        <w:shd w:val="clear"/>
        <w:spacing w:beforeAutospacing="0" w:afterAutospacing="0" w:line="360" w:lineRule="auto"/>
        <w:jc w:val="both"/>
        <w:rPr>
          <w:rFonts w:cs="宋体"/>
          <w:strike/>
          <w:highlight w:val="none"/>
        </w:rPr>
      </w:pPr>
      <w:r>
        <w:rPr>
          <w:rFonts w:cs="宋体"/>
          <w:strike/>
          <w:highlight w:val="none"/>
        </w:rPr>
        <w:t xml:space="preserve">   (a) 目录；</w:t>
      </w:r>
    </w:p>
    <w:p w14:paraId="7AB46D69">
      <w:pPr>
        <w:pStyle w:val="15"/>
        <w:widowControl w:val="0"/>
        <w:shd w:val="clear"/>
        <w:spacing w:beforeAutospacing="0" w:afterAutospacing="0" w:line="360" w:lineRule="auto"/>
        <w:jc w:val="both"/>
        <w:rPr>
          <w:rFonts w:cs="宋体"/>
          <w:strike/>
          <w:highlight w:val="none"/>
        </w:rPr>
      </w:pPr>
      <w:r>
        <w:rPr>
          <w:rFonts w:cs="宋体"/>
          <w:strike/>
          <w:highlight w:val="none"/>
        </w:rPr>
        <w:t xml:space="preserve">   (b) 填妥并签字盖章的《投标书》（投标人无需提供，评标委员会根据“开标信封”中的《投标书》进行评审。投标人再次提供且不一致的，以“开标信封”中的《投标书》为准）；</w:t>
      </w:r>
    </w:p>
    <w:p w14:paraId="0C040B0B">
      <w:pPr>
        <w:pStyle w:val="15"/>
        <w:widowControl w:val="0"/>
        <w:shd w:val="clear"/>
        <w:spacing w:beforeAutospacing="0" w:afterAutospacing="0" w:line="360" w:lineRule="auto"/>
        <w:ind w:firstLine="360" w:firstLineChars="150"/>
        <w:jc w:val="both"/>
        <w:rPr>
          <w:rFonts w:cs="宋体"/>
          <w:strike/>
          <w:highlight w:val="none"/>
        </w:rPr>
      </w:pPr>
      <w:r>
        <w:rPr>
          <w:rFonts w:cs="宋体"/>
          <w:strike/>
          <w:highlight w:val="none"/>
        </w:rPr>
        <w:t>(c) 填妥并签字盖章的《投标人声明》（格式见附录8）；</w:t>
      </w:r>
    </w:p>
    <w:p w14:paraId="056E3061">
      <w:pPr>
        <w:shd w:val="clear"/>
        <w:spacing w:line="360" w:lineRule="auto"/>
        <w:ind w:left="821" w:hanging="820" w:hangingChars="342"/>
        <w:rPr>
          <w:rFonts w:hint="eastAsia" w:ascii="宋体" w:hAnsi="宋体" w:cs="宋体"/>
          <w:strike/>
          <w:sz w:val="24"/>
          <w:szCs w:val="24"/>
          <w:highlight w:val="none"/>
        </w:rPr>
      </w:pPr>
      <w:r>
        <w:rPr>
          <w:rFonts w:hint="eastAsia" w:ascii="宋体" w:hAnsi="宋体" w:cs="宋体"/>
          <w:strike/>
          <w:sz w:val="24"/>
          <w:szCs w:val="24"/>
          <w:highlight w:val="none"/>
        </w:rPr>
        <w:t xml:space="preserve">   (d) 填妥并签字盖章的《联合体投标协议》（联合体投标人提供）（投标人无需提供，评标委员会根据“开标信封”中的《联合体投标协议》进行评审。投标人再次提供且不一致的，以“开标信封”中的《联合体投标协议》为准）；</w:t>
      </w:r>
    </w:p>
    <w:p w14:paraId="15DB5F11">
      <w:pPr>
        <w:shd w:val="clear"/>
        <w:spacing w:line="360" w:lineRule="auto"/>
        <w:ind w:left="821" w:hanging="820" w:hangingChars="342"/>
        <w:rPr>
          <w:rFonts w:hint="eastAsia" w:ascii="宋体" w:hAnsi="宋体" w:cs="宋体"/>
          <w:strike/>
          <w:sz w:val="24"/>
          <w:szCs w:val="24"/>
          <w:highlight w:val="none"/>
        </w:rPr>
      </w:pPr>
      <w:r>
        <w:rPr>
          <w:rFonts w:hint="eastAsia" w:ascii="宋体" w:hAnsi="宋体" w:cs="宋体"/>
          <w:strike/>
          <w:sz w:val="24"/>
          <w:szCs w:val="24"/>
          <w:highlight w:val="none"/>
        </w:rPr>
        <w:t xml:space="preserve">   (e) 投标人资质证书；</w:t>
      </w:r>
    </w:p>
    <w:p w14:paraId="32507EEA">
      <w:pPr>
        <w:shd w:val="clear"/>
        <w:spacing w:line="360" w:lineRule="auto"/>
        <w:ind w:left="821" w:hanging="820" w:hangingChars="342"/>
        <w:rPr>
          <w:rFonts w:hint="eastAsia" w:ascii="宋体" w:hAnsi="宋体" w:cs="宋体"/>
          <w:strike/>
          <w:sz w:val="24"/>
          <w:szCs w:val="24"/>
          <w:highlight w:val="none"/>
        </w:rPr>
      </w:pPr>
      <w:r>
        <w:rPr>
          <w:rFonts w:hint="eastAsia" w:ascii="宋体" w:hAnsi="宋体" w:cs="宋体"/>
          <w:strike/>
          <w:sz w:val="24"/>
          <w:szCs w:val="24"/>
          <w:highlight w:val="none"/>
        </w:rPr>
        <w:t xml:space="preserve">   (f) 申请人已在广州市住房和城乡建设局建立企业信用档案，拟委派的项目负责人须是本企业信用档案中的在册人员；</w:t>
      </w:r>
    </w:p>
    <w:p w14:paraId="24D94F39">
      <w:pPr>
        <w:shd w:val="clear"/>
        <w:spacing w:line="360" w:lineRule="auto"/>
        <w:ind w:left="789" w:leftChars="67" w:hanging="648" w:hangingChars="270"/>
        <w:rPr>
          <w:rFonts w:hint="eastAsia" w:ascii="宋体" w:hAnsi="宋体" w:cs="宋体"/>
          <w:strike/>
          <w:sz w:val="24"/>
          <w:szCs w:val="24"/>
          <w:highlight w:val="none"/>
        </w:rPr>
      </w:pPr>
      <w:r>
        <w:rPr>
          <w:rFonts w:hint="eastAsia" w:ascii="宋体" w:hAnsi="宋体" w:cs="宋体"/>
          <w:strike/>
          <w:sz w:val="24"/>
          <w:szCs w:val="24"/>
          <w:highlight w:val="none"/>
        </w:rPr>
        <w:t xml:space="preserve">  (g) 投标申请表（附录1）；</w:t>
      </w:r>
    </w:p>
    <w:p w14:paraId="78073EAF">
      <w:pPr>
        <w:shd w:val="clear"/>
        <w:spacing w:line="360" w:lineRule="auto"/>
        <w:ind w:left="759" w:leftChars="167" w:hanging="408" w:hangingChars="170"/>
        <w:rPr>
          <w:rFonts w:hint="eastAsia" w:ascii="宋体" w:hAnsi="宋体" w:cs="宋体"/>
          <w:strike/>
          <w:sz w:val="24"/>
          <w:szCs w:val="24"/>
          <w:highlight w:val="none"/>
        </w:rPr>
      </w:pPr>
      <w:r>
        <w:rPr>
          <w:rFonts w:hint="eastAsia" w:ascii="宋体" w:hAnsi="宋体" w:cs="宋体"/>
          <w:strike/>
          <w:sz w:val="24"/>
          <w:szCs w:val="24"/>
          <w:highlight w:val="none"/>
        </w:rPr>
        <w:t>(h) 拟派项目负责人注册执业资格证书或职称证书；</w:t>
      </w:r>
    </w:p>
    <w:p w14:paraId="61522AE9">
      <w:pPr>
        <w:shd w:val="clea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(i) 拟派各专业负责人注册执业资格证书或职称证书及工作简历；</w:t>
      </w:r>
    </w:p>
    <w:p w14:paraId="52676F0A">
      <w:pPr>
        <w:shd w:val="clea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(j) 投标人认为有必要提供的其他资料。</w:t>
      </w:r>
    </w:p>
    <w:p w14:paraId="7AB3ADF5">
      <w:pPr>
        <w:shd w:val="clear"/>
        <w:spacing w:line="360" w:lineRule="auto"/>
        <w:rPr>
          <w:rFonts w:hint="eastAsia" w:ascii="宋体" w:hAnsi="宋体" w:cs="宋体"/>
          <w:strike/>
          <w:sz w:val="24"/>
          <w:szCs w:val="24"/>
          <w:highlight w:val="none"/>
        </w:rPr>
      </w:pPr>
    </w:p>
    <w:p w14:paraId="7ECC165A">
      <w:pPr>
        <w:shd w:val="clear"/>
        <w:spacing w:line="360" w:lineRule="auto"/>
        <w:ind w:left="611" w:leftChars="15" w:hanging="580" w:hangingChars="242"/>
        <w:rPr>
          <w:rFonts w:hint="eastAsia" w:ascii="宋体" w:hAnsi="宋体" w:cs="宋体"/>
          <w:strike/>
          <w:sz w:val="24"/>
          <w:szCs w:val="24"/>
          <w:highlight w:val="none"/>
        </w:rPr>
      </w:pPr>
      <w:r>
        <w:rPr>
          <w:rFonts w:hint="eastAsia" w:ascii="宋体" w:hAnsi="宋体" w:cs="宋体"/>
          <w:strike/>
          <w:sz w:val="24"/>
          <w:szCs w:val="24"/>
          <w:highlight w:val="none"/>
        </w:rPr>
        <w:t>注：资格审查文件中的(e)、(f)取自广州市住建行业信用管理平台（原企业诚信档案信息库），投标人平台中记录的该部分上传件将被视为投标人递交投标文件的一部分，不需重复提交。评标委员会对该部分资料的审查将以投标截止时间在广州市住建行业信用管理平台内上传件为依据。若招标人延长投标截止时间的，以上资料的评审时点也相应延长。投标人应及时维护其在广州市住建行业信用管理平台登记的信息及上传件，确保各项信息及上传件在有效期内。</w:t>
      </w:r>
    </w:p>
    <w:p w14:paraId="29BBB436">
      <w:pPr>
        <w:shd w:val="clear"/>
        <w:spacing w:line="360" w:lineRule="auto"/>
        <w:ind w:left="361" w:hanging="361" w:hangingChars="150"/>
        <w:rPr>
          <w:rFonts w:hint="eastAsia" w:ascii="宋体" w:hAnsi="宋体" w:cs="宋体"/>
          <w:b/>
          <w:strike/>
          <w:sz w:val="24"/>
          <w:szCs w:val="24"/>
          <w:highlight w:val="none"/>
        </w:rPr>
      </w:pPr>
      <w:bookmarkStart w:id="255" w:name="_Toc21475"/>
      <w:bookmarkStart w:id="256" w:name="_Toc2665"/>
      <w:bookmarkStart w:id="257" w:name="_Toc1245"/>
      <w:r>
        <w:rPr>
          <w:rFonts w:hint="eastAsia" w:ascii="宋体" w:hAnsi="宋体" w:cs="宋体"/>
          <w:b/>
          <w:strike/>
          <w:sz w:val="24"/>
          <w:szCs w:val="24"/>
          <w:highlight w:val="none"/>
        </w:rPr>
        <w:t>6    定标资料（如有）</w:t>
      </w:r>
      <w:bookmarkEnd w:id="255"/>
      <w:bookmarkEnd w:id="256"/>
      <w:bookmarkEnd w:id="257"/>
    </w:p>
    <w:p w14:paraId="7EA67AF1">
      <w:pPr>
        <w:shd w:val="clear"/>
        <w:spacing w:line="360" w:lineRule="auto"/>
        <w:ind w:left="360" w:hanging="360" w:hangingChars="150"/>
        <w:rPr>
          <w:rFonts w:hint="eastAsia" w:ascii="宋体" w:hAnsi="宋体" w:cs="宋体"/>
          <w:strike/>
          <w:sz w:val="24"/>
          <w:szCs w:val="24"/>
          <w:highlight w:val="none"/>
        </w:rPr>
      </w:pPr>
    </w:p>
    <w:p w14:paraId="7F4CB351">
      <w:pPr>
        <w:shd w:val="clear"/>
        <w:spacing w:line="360" w:lineRule="auto"/>
        <w:ind w:left="360" w:hanging="360" w:hangingChars="150"/>
        <w:rPr>
          <w:rFonts w:hint="eastAsia" w:ascii="宋体" w:hAnsi="宋体" w:cs="宋体"/>
          <w:strike/>
          <w:sz w:val="24"/>
          <w:szCs w:val="24"/>
          <w:highlight w:val="none"/>
        </w:rPr>
      </w:pPr>
      <w:r>
        <w:rPr>
          <w:rFonts w:hint="eastAsia" w:ascii="宋体" w:hAnsi="宋体" w:cs="宋体"/>
          <w:strike/>
          <w:sz w:val="24"/>
          <w:szCs w:val="24"/>
          <w:highlight w:val="none"/>
        </w:rPr>
        <w:t>（由招标人自定）</w:t>
      </w:r>
    </w:p>
    <w:p w14:paraId="42184F82">
      <w:pPr>
        <w:shd w:val="clear"/>
        <w:jc w:val="left"/>
        <w:rPr>
          <w:rFonts w:hint="eastAsia" w:ascii="宋体" w:hAnsi="宋体" w:cs="宋体"/>
          <w:szCs w:val="21"/>
          <w:highlight w:val="none"/>
        </w:rPr>
      </w:pPr>
    </w:p>
    <w:p w14:paraId="435DCC00">
      <w:pPr>
        <w:keepNext/>
        <w:keepLines/>
        <w:shd w:val="clear"/>
        <w:spacing w:line="360" w:lineRule="auto"/>
        <w:rPr>
          <w:rFonts w:hint="eastAsia" w:ascii="宋体" w:hAnsi="宋体" w:cs="宋体"/>
          <w:szCs w:val="21"/>
          <w:highlight w:val="none"/>
        </w:rPr>
      </w:pPr>
      <w:r>
        <w:rPr>
          <w:rFonts w:hint="eastAsia" w:ascii="宋体" w:hAnsi="宋体" w:cs="宋体"/>
          <w:szCs w:val="21"/>
          <w:highlight w:val="none"/>
        </w:rPr>
        <w:br w:type="page"/>
      </w:r>
    </w:p>
    <w:p w14:paraId="2832EC9D">
      <w:pPr>
        <w:keepNext/>
        <w:keepLines/>
        <w:shd w:val="clear"/>
        <w:spacing w:line="360" w:lineRule="auto"/>
        <w:outlineLvl w:val="1"/>
        <w:rPr>
          <w:rFonts w:hint="eastAsia" w:ascii="宋体" w:hAnsi="宋体" w:cs="宋体"/>
          <w:kern w:val="44"/>
          <w:sz w:val="44"/>
          <w:szCs w:val="44"/>
          <w:highlight w:val="none"/>
        </w:rPr>
      </w:pPr>
      <w:bookmarkStart w:id="258" w:name="_Toc4809"/>
      <w:bookmarkStart w:id="259" w:name="_Toc11468"/>
      <w:bookmarkStart w:id="260" w:name="_Toc8397"/>
      <w:bookmarkStart w:id="261" w:name="_Toc23605"/>
      <w:bookmarkStart w:id="262" w:name="_Toc17492"/>
      <w:bookmarkStart w:id="263" w:name="_Toc16773"/>
      <w:bookmarkStart w:id="264" w:name="_Toc7881"/>
      <w:r>
        <w:rPr>
          <w:rFonts w:hint="eastAsia" w:ascii="宋体" w:hAnsi="宋体" w:cs="宋体"/>
          <w:b/>
          <w:kern w:val="44"/>
          <w:szCs w:val="21"/>
          <w:highlight w:val="none"/>
        </w:rPr>
        <w:t>附录6 投标书</w:t>
      </w:r>
      <w:bookmarkEnd w:id="258"/>
      <w:bookmarkEnd w:id="259"/>
      <w:bookmarkEnd w:id="260"/>
      <w:bookmarkEnd w:id="261"/>
      <w:bookmarkEnd w:id="262"/>
      <w:bookmarkEnd w:id="263"/>
      <w:bookmarkEnd w:id="264"/>
    </w:p>
    <w:p w14:paraId="17A2CCD6">
      <w:pPr>
        <w:shd w:val="clear"/>
        <w:spacing w:line="360" w:lineRule="auto"/>
        <w:jc w:val="center"/>
        <w:rPr>
          <w:rFonts w:hint="eastAsia" w:ascii="宋体" w:hAnsi="宋体" w:cs="宋体"/>
          <w:b/>
          <w:sz w:val="32"/>
          <w:szCs w:val="32"/>
          <w:highlight w:val="none"/>
        </w:rPr>
      </w:pPr>
      <w:r>
        <w:rPr>
          <w:rFonts w:hint="eastAsia" w:ascii="宋体" w:hAnsi="宋体" w:cs="宋体"/>
          <w:b/>
          <w:sz w:val="32"/>
          <w:szCs w:val="32"/>
          <w:highlight w:val="none"/>
        </w:rPr>
        <w:t>投标书</w:t>
      </w:r>
    </w:p>
    <w:p w14:paraId="5F339570">
      <w:pPr>
        <w:shd w:val="clear"/>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项目名称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1CF123AC">
      <w:pPr>
        <w:shd w:val="clear"/>
        <w:spacing w:line="360" w:lineRule="auto"/>
        <w:rPr>
          <w:rFonts w:hint="eastAsia"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（招标人、招标代理机构名称）</w:t>
      </w:r>
    </w:p>
    <w:p w14:paraId="3256C880">
      <w:pPr>
        <w:shd w:val="clear"/>
        <w:spacing w:line="360" w:lineRule="auto"/>
        <w:jc w:val="left"/>
        <w:rPr>
          <w:rFonts w:hint="eastAsia" w:ascii="宋体" w:hAnsi="宋体" w:cs="宋体"/>
          <w:sz w:val="24"/>
          <w:szCs w:val="24"/>
          <w:highlight w:val="none"/>
        </w:rPr>
      </w:pPr>
    </w:p>
    <w:p w14:paraId="52A133B0">
      <w:pPr>
        <w:shd w:val="clear"/>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我方（投标人的简称）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我方愿以《工程勘察初步设计费报价汇总表》的投标总报价，承包本次招标所包含的工作，并承担质量缺陷责任。我方项目负责人为网上投标登记时选择的项目负责人。如我司成为本项目中标候选人，我司同意并授权招标人将我司投标文件商务部分进行公开。</w:t>
      </w:r>
    </w:p>
    <w:p w14:paraId="3B1C866F">
      <w:pPr>
        <w:shd w:val="clear"/>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14:paraId="753D751B">
      <w:pPr>
        <w:shd w:val="clear"/>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我方认同招标文件规定的评审规则，遵守评标委员会的裁决结果，并且不会采取妨碍项目进展的行为。我方理解你方没有必须接受你方可能收到的最低标或任何投标的义务。</w:t>
      </w:r>
    </w:p>
    <w:p w14:paraId="40A082DC">
      <w:pPr>
        <w:shd w:val="clear"/>
        <w:spacing w:line="360" w:lineRule="auto"/>
        <w:ind w:firstLine="420"/>
        <w:rPr>
          <w:rFonts w:hint="eastAsia" w:ascii="宋体" w:hAnsi="宋体" w:cs="宋体"/>
          <w:b/>
          <w:sz w:val="24"/>
          <w:szCs w:val="24"/>
          <w:highlight w:val="none"/>
          <w:u w:val="single"/>
        </w:rPr>
      </w:pPr>
      <w:r>
        <w:rPr>
          <w:rFonts w:hint="eastAsia" w:ascii="宋体" w:hAnsi="宋体" w:cs="宋体"/>
          <w:b/>
          <w:sz w:val="24"/>
          <w:szCs w:val="24"/>
          <w:highlight w:val="none"/>
          <w:u w:val="single"/>
        </w:rPr>
        <w:t>如果我方中标，</w:t>
      </w:r>
      <w:r>
        <w:rPr>
          <w:rFonts w:hint="eastAsia" w:ascii="宋体" w:hAnsi="宋体" w:cs="宋体"/>
          <w:b/>
          <w:sz w:val="24"/>
          <w:szCs w:val="24"/>
          <w:highlight w:val="none"/>
          <w:u w:val="single"/>
          <w:lang w:eastAsia="zh-CN"/>
        </w:rPr>
        <w:t>我方</w:t>
      </w:r>
      <w:r>
        <w:rPr>
          <w:rFonts w:hint="eastAsia" w:ascii="宋体" w:hAnsi="宋体" w:cs="宋体"/>
          <w:b/>
          <w:sz w:val="24"/>
          <w:szCs w:val="24"/>
          <w:highlight w:val="none"/>
          <w:u w:val="single"/>
        </w:rPr>
        <w:t>所配备的人员不满足本项目合同条款及基础资料和勘察初步设计任务书要求，我方承诺按合同约定承担违约责任。</w:t>
      </w:r>
      <w:r>
        <w:rPr>
          <w:rFonts w:hint="eastAsia" w:ascii="宋体" w:hAnsi="宋体" w:cs="宋体"/>
          <w:spacing w:val="4"/>
          <w:sz w:val="24"/>
          <w:szCs w:val="24"/>
          <w:highlight w:val="none"/>
        </w:rPr>
        <w:t>我方承诺严格按照合同和招投标文件规定履行义务，并同意你方将我方履行合同、招投标文件义务的履约情况和不诚信行为（包括但不限于由你方做出的违约责任处理决定等）在你方网站和建设项目业主网站及其他媒体上公开披露，由此造成的一切损失和不利后果均由我方自行承担。</w:t>
      </w:r>
    </w:p>
    <w:p w14:paraId="43BC3299">
      <w:pPr>
        <w:shd w:val="clear"/>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如果我方中标，我方将提供规定的</w:t>
      </w:r>
      <w:r>
        <w:rPr>
          <w:rFonts w:hint="eastAsia" w:ascii="宋体" w:hAnsi="宋体" w:cs="宋体"/>
          <w:sz w:val="24"/>
          <w:szCs w:val="24"/>
          <w:highlight w:val="none"/>
          <w:lang w:eastAsia="zh-CN"/>
        </w:rPr>
        <w:t>履约保证金</w:t>
      </w:r>
      <w:r>
        <w:rPr>
          <w:rFonts w:hint="eastAsia" w:ascii="宋体" w:hAnsi="宋体" w:cs="宋体"/>
          <w:sz w:val="24"/>
          <w:szCs w:val="24"/>
          <w:highlight w:val="none"/>
        </w:rPr>
        <w:t>，将在合同规定的日期开工，并在竣工时间内，按照上述文件完成项目。</w:t>
      </w:r>
    </w:p>
    <w:p w14:paraId="0E70A9F7">
      <w:pPr>
        <w:shd w:val="clear"/>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除非制订正式合同协议书并生效，本投标书以及你方中标通知书，应构成你我双方间具有约束力的合同。</w:t>
      </w:r>
    </w:p>
    <w:p w14:paraId="5F80EAC8">
      <w:pPr>
        <w:shd w:val="clear"/>
        <w:spacing w:line="360" w:lineRule="auto"/>
        <w:ind w:firstLine="405"/>
        <w:rPr>
          <w:rFonts w:hint="eastAsia" w:ascii="宋体" w:hAnsi="宋体" w:cs="宋体"/>
          <w:sz w:val="24"/>
          <w:szCs w:val="24"/>
          <w:highlight w:val="none"/>
        </w:rPr>
      </w:pPr>
      <w:r>
        <w:rPr>
          <w:rFonts w:hint="eastAsia" w:ascii="宋体" w:hAnsi="宋体" w:cs="宋体"/>
          <w:sz w:val="24"/>
          <w:szCs w:val="24"/>
          <w:highlight w:val="none"/>
        </w:rPr>
        <w:t>本投标书同时作为法人证明书或法人授权委托书。</w:t>
      </w:r>
    </w:p>
    <w:p w14:paraId="3418FB88">
      <w:pPr>
        <w:shd w:val="clear"/>
        <w:spacing w:line="360" w:lineRule="auto"/>
        <w:ind w:firstLine="405"/>
        <w:rPr>
          <w:rFonts w:hint="eastAsia" w:ascii="宋体" w:hAnsi="宋体" w:cs="宋体"/>
          <w:sz w:val="24"/>
          <w:szCs w:val="24"/>
          <w:highlight w:val="none"/>
        </w:rPr>
      </w:pPr>
      <w:r>
        <w:rPr>
          <w:rFonts w:hint="eastAsia" w:ascii="宋体" w:hAnsi="宋体" w:cs="宋体"/>
          <w:b/>
          <w:szCs w:val="21"/>
          <w:highlight w:val="none"/>
        </w:rPr>
        <w:t>注：联合体投标的，“投标人”一栏应填写联合体各方的单位全称【格式为：（主）XXXX公司（成）XXXXX公司】，可仅由联合体牵头人盖章或签字，视作符合要求。</w:t>
      </w:r>
    </w:p>
    <w:p w14:paraId="1568D60B">
      <w:pPr>
        <w:shd w:val="clear"/>
        <w:spacing w:line="360" w:lineRule="auto"/>
        <w:rPr>
          <w:rFonts w:hint="eastAsia" w:ascii="宋体" w:hAnsi="宋体" w:cs="宋体"/>
          <w:sz w:val="24"/>
          <w:szCs w:val="24"/>
          <w:highlight w:val="none"/>
        </w:rPr>
      </w:pPr>
    </w:p>
    <w:p w14:paraId="4E3D1150">
      <w:pPr>
        <w:shd w:val="clear"/>
        <w:spacing w:line="360" w:lineRule="auto"/>
        <w:ind w:firstLine="405"/>
        <w:rPr>
          <w:rFonts w:hint="eastAsia" w:ascii="宋体" w:hAnsi="宋体" w:cs="宋体"/>
          <w:sz w:val="24"/>
          <w:szCs w:val="24"/>
          <w:highlight w:val="none"/>
          <w:u w:val="single"/>
        </w:rPr>
      </w:pPr>
      <w:r>
        <w:rPr>
          <w:rFonts w:hint="eastAsia" w:ascii="宋体" w:hAnsi="宋体" w:cs="宋体"/>
          <w:sz w:val="24"/>
          <w:szCs w:val="24"/>
          <w:highlight w:val="none"/>
        </w:rPr>
        <w:t>投标人：（盖章）</w:t>
      </w:r>
      <w:r>
        <w:rPr>
          <w:rFonts w:hint="eastAsia" w:ascii="宋体" w:hAnsi="宋体" w:cs="宋体"/>
          <w:sz w:val="24"/>
          <w:szCs w:val="24"/>
          <w:highlight w:val="none"/>
          <w:u w:val="single"/>
        </w:rPr>
        <w:t xml:space="preserve">                                     </w:t>
      </w:r>
    </w:p>
    <w:p w14:paraId="4EB516F3">
      <w:pPr>
        <w:shd w:val="clear"/>
        <w:spacing w:line="360" w:lineRule="auto"/>
        <w:ind w:firstLine="405"/>
        <w:rPr>
          <w:rFonts w:hint="eastAsia" w:ascii="宋体" w:hAnsi="宋体" w:cs="宋体"/>
          <w:sz w:val="24"/>
          <w:szCs w:val="24"/>
          <w:highlight w:val="none"/>
          <w:u w:val="single"/>
        </w:rPr>
      </w:pPr>
      <w:r>
        <w:rPr>
          <w:rFonts w:hint="eastAsia" w:ascii="宋体" w:hAnsi="宋体" w:cs="宋体"/>
          <w:sz w:val="24"/>
          <w:szCs w:val="24"/>
          <w:highlight w:val="none"/>
        </w:rPr>
        <w:t>法定代表人：（签字或盖章）</w:t>
      </w:r>
      <w:r>
        <w:rPr>
          <w:rFonts w:hint="eastAsia" w:ascii="宋体" w:hAnsi="宋体" w:cs="宋体"/>
          <w:sz w:val="24"/>
          <w:szCs w:val="24"/>
          <w:highlight w:val="none"/>
          <w:u w:val="single"/>
        </w:rPr>
        <w:t xml:space="preserve">                           </w:t>
      </w:r>
    </w:p>
    <w:p w14:paraId="713E892A">
      <w:pPr>
        <w:shd w:val="clear"/>
        <w:spacing w:line="360" w:lineRule="auto"/>
        <w:ind w:firstLine="405"/>
        <w:rPr>
          <w:rFonts w:hint="eastAsia" w:ascii="宋体" w:hAnsi="宋体" w:cs="宋体"/>
          <w:sz w:val="24"/>
          <w:szCs w:val="24"/>
          <w:highlight w:val="none"/>
          <w:u w:val="single"/>
        </w:rPr>
      </w:pPr>
      <w:r>
        <w:rPr>
          <w:rFonts w:hint="eastAsia" w:ascii="宋体" w:hAnsi="宋体" w:cs="宋体"/>
          <w:sz w:val="24"/>
          <w:szCs w:val="24"/>
          <w:highlight w:val="none"/>
        </w:rPr>
        <w:t>委托代理人：（签字或盖章）</w:t>
      </w:r>
      <w:r>
        <w:rPr>
          <w:rFonts w:hint="eastAsia" w:ascii="宋体" w:hAnsi="宋体" w:cs="宋体"/>
          <w:sz w:val="24"/>
          <w:szCs w:val="24"/>
          <w:highlight w:val="none"/>
          <w:u w:val="single"/>
        </w:rPr>
        <w:t xml:space="preserve">                           </w:t>
      </w:r>
    </w:p>
    <w:p w14:paraId="67789164">
      <w:pPr>
        <w:shd w:val="clear"/>
        <w:spacing w:line="360" w:lineRule="auto"/>
        <w:ind w:firstLine="405"/>
        <w:rPr>
          <w:rFonts w:hint="eastAsia" w:ascii="宋体" w:hAnsi="宋体" w:cs="宋体"/>
          <w:sz w:val="24"/>
          <w:szCs w:val="24"/>
          <w:highlight w:val="none"/>
          <w:u w:val="single"/>
        </w:rPr>
      </w:pPr>
      <w:r>
        <w:rPr>
          <w:rFonts w:hint="eastAsia" w:ascii="宋体" w:hAnsi="宋体" w:cs="宋体"/>
          <w:sz w:val="24"/>
          <w:szCs w:val="24"/>
          <w:highlight w:val="none"/>
        </w:rPr>
        <w:t>项目负责人：（签字或盖章）</w:t>
      </w:r>
      <w:r>
        <w:rPr>
          <w:rFonts w:hint="eastAsia" w:ascii="宋体" w:hAnsi="宋体" w:cs="宋体"/>
          <w:sz w:val="24"/>
          <w:szCs w:val="24"/>
          <w:highlight w:val="none"/>
          <w:u w:val="single"/>
        </w:rPr>
        <w:t xml:space="preserve">                           </w:t>
      </w:r>
    </w:p>
    <w:p w14:paraId="36028553">
      <w:pPr>
        <w:shd w:val="clear"/>
        <w:spacing w:line="360" w:lineRule="auto"/>
        <w:ind w:firstLine="405"/>
        <w:rPr>
          <w:rFonts w:hint="eastAsia" w:ascii="宋体" w:hAnsi="宋体" w:cs="宋体"/>
          <w:sz w:val="24"/>
          <w:szCs w:val="24"/>
          <w:highlight w:val="none"/>
          <w:u w:val="single"/>
        </w:rPr>
      </w:pPr>
      <w:r>
        <w:rPr>
          <w:rFonts w:hint="eastAsia" w:ascii="宋体" w:hAnsi="宋体" w:cs="宋体"/>
          <w:sz w:val="24"/>
          <w:szCs w:val="24"/>
          <w:highlight w:val="none"/>
        </w:rPr>
        <w:t>地址：</w:t>
      </w:r>
      <w:r>
        <w:rPr>
          <w:rFonts w:hint="eastAsia" w:ascii="宋体" w:hAnsi="宋体" w:cs="宋体"/>
          <w:sz w:val="24"/>
          <w:szCs w:val="24"/>
          <w:highlight w:val="none"/>
          <w:u w:val="single"/>
        </w:rPr>
        <w:t xml:space="preserve">                                              </w:t>
      </w:r>
    </w:p>
    <w:p w14:paraId="262867DD">
      <w:pPr>
        <w:shd w:val="clear"/>
        <w:spacing w:line="360" w:lineRule="auto"/>
        <w:ind w:firstLine="405"/>
        <w:rPr>
          <w:rFonts w:hint="eastAsia" w:ascii="宋体" w:hAnsi="宋体" w:cs="宋体"/>
          <w:sz w:val="24"/>
          <w:szCs w:val="24"/>
          <w:highlight w:val="none"/>
          <w:u w:val="single"/>
        </w:rPr>
      </w:pPr>
      <w:r>
        <w:rPr>
          <w:rFonts w:hint="eastAsia" w:ascii="宋体" w:hAnsi="宋体" w:cs="宋体"/>
          <w:sz w:val="24"/>
          <w:szCs w:val="24"/>
          <w:highlight w:val="none"/>
        </w:rPr>
        <w:t>邮政编码：</w:t>
      </w:r>
      <w:r>
        <w:rPr>
          <w:rFonts w:hint="eastAsia" w:ascii="宋体" w:hAnsi="宋体" w:cs="宋体"/>
          <w:sz w:val="24"/>
          <w:szCs w:val="24"/>
          <w:highlight w:val="none"/>
          <w:u w:val="single"/>
        </w:rPr>
        <w:t xml:space="preserve">                                          </w:t>
      </w:r>
    </w:p>
    <w:p w14:paraId="2314068A">
      <w:pPr>
        <w:shd w:val="clear"/>
        <w:spacing w:line="360" w:lineRule="auto"/>
        <w:ind w:firstLine="405"/>
        <w:rPr>
          <w:rFonts w:hint="eastAsia" w:ascii="宋体" w:hAnsi="宋体" w:cs="宋体"/>
          <w:sz w:val="24"/>
          <w:szCs w:val="24"/>
          <w:highlight w:val="none"/>
        </w:rPr>
      </w:pPr>
      <w:r>
        <w:rPr>
          <w:rFonts w:hint="eastAsia" w:ascii="宋体" w:hAnsi="宋体" w:cs="宋体"/>
          <w:sz w:val="24"/>
          <w:szCs w:val="24"/>
          <w:highlight w:val="none"/>
        </w:rPr>
        <w:t>电话/传真：</w:t>
      </w:r>
      <w:r>
        <w:rPr>
          <w:rFonts w:hint="eastAsia" w:ascii="宋体" w:hAnsi="宋体" w:cs="宋体"/>
          <w:sz w:val="24"/>
          <w:szCs w:val="24"/>
          <w:highlight w:val="none"/>
          <w:u w:val="single"/>
        </w:rPr>
        <w:t xml:space="preserve">                    /FAX                 </w:t>
      </w:r>
    </w:p>
    <w:p w14:paraId="21F7C61B">
      <w:pPr>
        <w:shd w:val="clear"/>
        <w:spacing w:line="360" w:lineRule="auto"/>
        <w:ind w:firstLine="405"/>
        <w:rPr>
          <w:rFonts w:hint="eastAsia" w:ascii="宋体" w:hAnsi="宋体" w:cs="宋体"/>
          <w:sz w:val="24"/>
          <w:szCs w:val="24"/>
          <w:highlight w:val="none"/>
          <w:u w:val="single"/>
        </w:rPr>
      </w:pPr>
      <w:r>
        <w:rPr>
          <w:rFonts w:hint="eastAsia" w:ascii="宋体" w:hAnsi="宋体" w:cs="宋体"/>
          <w:sz w:val="24"/>
          <w:szCs w:val="24"/>
          <w:highlight w:val="none"/>
        </w:rPr>
        <w:t>电子邮箱：</w:t>
      </w:r>
      <w:r>
        <w:rPr>
          <w:rFonts w:hint="eastAsia" w:ascii="宋体" w:hAnsi="宋体" w:cs="宋体"/>
          <w:sz w:val="24"/>
          <w:szCs w:val="24"/>
          <w:highlight w:val="none"/>
          <w:u w:val="single"/>
        </w:rPr>
        <w:t xml:space="preserve">                                          </w:t>
      </w:r>
    </w:p>
    <w:p w14:paraId="1C7C9778">
      <w:pPr>
        <w:shd w:val="clear"/>
        <w:spacing w:line="360" w:lineRule="auto"/>
        <w:ind w:firstLine="405"/>
        <w:rPr>
          <w:rFonts w:hint="eastAsia" w:ascii="宋体" w:hAnsi="宋体" w:cs="宋体"/>
          <w:sz w:val="24"/>
          <w:szCs w:val="24"/>
          <w:highlight w:val="none"/>
          <w:u w:val="single"/>
        </w:rPr>
      </w:pPr>
      <w:r>
        <w:rPr>
          <w:rFonts w:hint="eastAsia" w:ascii="宋体" w:hAnsi="宋体" w:cs="宋体"/>
          <w:sz w:val="24"/>
          <w:szCs w:val="24"/>
          <w:highlight w:val="none"/>
        </w:rPr>
        <w:t>开户银行名称、账号：</w:t>
      </w:r>
      <w:r>
        <w:rPr>
          <w:rFonts w:hint="eastAsia" w:ascii="宋体" w:hAnsi="宋体" w:cs="宋体"/>
          <w:sz w:val="24"/>
          <w:szCs w:val="24"/>
          <w:highlight w:val="none"/>
          <w:u w:val="single"/>
        </w:rPr>
        <w:t xml:space="preserve">                                </w:t>
      </w:r>
    </w:p>
    <w:p w14:paraId="71D27C14">
      <w:pPr>
        <w:shd w:val="clear"/>
        <w:spacing w:line="360" w:lineRule="auto"/>
        <w:ind w:firstLine="405"/>
        <w:rPr>
          <w:rFonts w:hint="eastAsia" w:ascii="宋体" w:hAnsi="宋体" w:cs="宋体"/>
          <w:sz w:val="24"/>
          <w:szCs w:val="24"/>
          <w:highlight w:val="none"/>
          <w:u w:val="single"/>
        </w:rPr>
      </w:pPr>
      <w:r>
        <w:rPr>
          <w:rFonts w:hint="eastAsia" w:ascii="宋体" w:hAnsi="宋体" w:cs="宋体"/>
          <w:sz w:val="24"/>
          <w:szCs w:val="24"/>
          <w:highlight w:val="none"/>
        </w:rPr>
        <w:t>开户行地址/电话：</w:t>
      </w:r>
      <w:r>
        <w:rPr>
          <w:rFonts w:hint="eastAsia" w:ascii="宋体" w:hAnsi="宋体" w:cs="宋体"/>
          <w:sz w:val="24"/>
          <w:szCs w:val="24"/>
          <w:highlight w:val="none"/>
          <w:u w:val="single"/>
        </w:rPr>
        <w:t xml:space="preserve">                                   </w:t>
      </w:r>
    </w:p>
    <w:p w14:paraId="3A09AECA">
      <w:pPr>
        <w:shd w:val="clear"/>
        <w:spacing w:line="360" w:lineRule="auto"/>
        <w:ind w:firstLine="405"/>
        <w:jc w:val="right"/>
        <w:rPr>
          <w:rFonts w:hint="eastAsia" w:ascii="宋体" w:hAnsi="宋体" w:cs="宋体"/>
          <w:sz w:val="24"/>
          <w:szCs w:val="24"/>
          <w:highlight w:val="none"/>
        </w:rPr>
      </w:pPr>
    </w:p>
    <w:p w14:paraId="6550D054">
      <w:pPr>
        <w:pStyle w:val="14"/>
        <w:shd w:val="clear"/>
        <w:rPr>
          <w:rFonts w:hint="eastAsia"/>
          <w:highlight w:val="none"/>
        </w:rPr>
      </w:pPr>
    </w:p>
    <w:p w14:paraId="5803B01B">
      <w:pPr>
        <w:shd w:val="clear"/>
        <w:spacing w:line="360" w:lineRule="auto"/>
        <w:ind w:firstLine="405"/>
        <w:jc w:val="right"/>
        <w:rPr>
          <w:rFonts w:hint="eastAsia" w:ascii="宋体" w:hAnsi="宋体" w:cs="宋体"/>
          <w:highlight w:val="none"/>
        </w:rPr>
      </w:pPr>
      <w:r>
        <w:rPr>
          <w:rFonts w:hint="eastAsia" w:ascii="宋体" w:hAnsi="宋体" w:cs="宋体"/>
          <w:sz w:val="24"/>
          <w:szCs w:val="24"/>
          <w:highlight w:val="none"/>
        </w:rPr>
        <w:t>日期：    年    月    日</w:t>
      </w:r>
    </w:p>
    <w:p w14:paraId="1C236D52">
      <w:pPr>
        <w:shd w:val="clear"/>
        <w:spacing w:line="360" w:lineRule="auto"/>
        <w:rPr>
          <w:rFonts w:hint="eastAsia" w:ascii="宋体" w:hAnsi="宋体" w:cs="宋体"/>
          <w:sz w:val="24"/>
          <w:szCs w:val="24"/>
          <w:highlight w:val="none"/>
        </w:rPr>
        <w:sectPr>
          <w:pgSz w:w="11906" w:h="16838"/>
          <w:pgMar w:top="1440" w:right="1797" w:bottom="1440" w:left="1797" w:header="851" w:footer="992" w:gutter="0"/>
          <w:cols w:space="720" w:num="1"/>
          <w:docGrid w:type="lines" w:linePitch="312" w:charSpace="0"/>
        </w:sectPr>
      </w:pPr>
    </w:p>
    <w:p w14:paraId="702A07DE">
      <w:pPr>
        <w:pStyle w:val="3"/>
        <w:shd w:val="clear"/>
        <w:rPr>
          <w:rFonts w:hint="eastAsia" w:ascii="宋体" w:hAnsi="宋体" w:cs="宋体"/>
          <w:b w:val="0"/>
          <w:highlight w:val="none"/>
        </w:rPr>
      </w:pPr>
      <w:bookmarkStart w:id="265" w:name="_Toc5803"/>
      <w:bookmarkStart w:id="266" w:name="_Toc46"/>
      <w:bookmarkStart w:id="267" w:name="_Toc24446"/>
      <w:bookmarkStart w:id="268" w:name="_Toc5202"/>
      <w:bookmarkStart w:id="269" w:name="_Toc11218"/>
      <w:bookmarkStart w:id="270" w:name="_Toc2110"/>
      <w:bookmarkStart w:id="271" w:name="_Toc12008"/>
      <w:r>
        <w:rPr>
          <w:rFonts w:hint="eastAsia" w:ascii="宋体" w:hAnsi="宋体" w:cs="宋体"/>
          <w:sz w:val="21"/>
          <w:szCs w:val="21"/>
          <w:highlight w:val="none"/>
        </w:rPr>
        <w:t>附录7 联合体共同投标协议</w:t>
      </w:r>
      <w:bookmarkEnd w:id="265"/>
      <w:bookmarkEnd w:id="266"/>
      <w:bookmarkEnd w:id="267"/>
      <w:bookmarkEnd w:id="268"/>
      <w:bookmarkEnd w:id="269"/>
      <w:bookmarkEnd w:id="270"/>
      <w:bookmarkEnd w:id="271"/>
    </w:p>
    <w:p w14:paraId="34250CE7">
      <w:pPr>
        <w:shd w:val="clear"/>
        <w:jc w:val="center"/>
        <w:rPr>
          <w:rFonts w:hint="eastAsia" w:ascii="宋体" w:hAnsi="宋体" w:cs="宋体"/>
          <w:sz w:val="24"/>
          <w:highlight w:val="none"/>
        </w:rPr>
      </w:pPr>
      <w:r>
        <w:rPr>
          <w:rFonts w:hint="eastAsia" w:ascii="宋体" w:hAnsi="宋体" w:cs="宋体"/>
          <w:b/>
          <w:bCs/>
          <w:sz w:val="32"/>
          <w:highlight w:val="none"/>
        </w:rPr>
        <w:t>联合体共同投标协议</w:t>
      </w:r>
    </w:p>
    <w:p w14:paraId="01FB9D0D">
      <w:pPr>
        <w:shd w:val="clear"/>
        <w:spacing w:line="360" w:lineRule="exact"/>
        <w:rPr>
          <w:rFonts w:hint="eastAsia" w:ascii="宋体" w:hAnsi="宋体" w:cs="宋体"/>
          <w:szCs w:val="21"/>
          <w:highlight w:val="none"/>
        </w:rPr>
      </w:pPr>
      <w:r>
        <w:rPr>
          <w:rFonts w:hint="eastAsia" w:ascii="宋体" w:hAnsi="宋体" w:cs="宋体"/>
          <w:szCs w:val="21"/>
          <w:highlight w:val="none"/>
        </w:rPr>
        <w:t>投标项目名称：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41574BB0">
      <w:pPr>
        <w:pStyle w:val="9"/>
        <w:shd w:val="clear"/>
        <w:spacing w:line="360" w:lineRule="exact"/>
        <w:rPr>
          <w:rFonts w:hint="eastAsia" w:hAnsi="宋体" w:cs="宋体"/>
          <w:highlight w:val="none"/>
        </w:rPr>
      </w:pPr>
    </w:p>
    <w:p w14:paraId="792D9CAA">
      <w:pPr>
        <w:pStyle w:val="9"/>
        <w:shd w:val="clear"/>
        <w:spacing w:line="360" w:lineRule="exact"/>
        <w:rPr>
          <w:rFonts w:hint="eastAsia" w:hAnsi="宋体" w:cs="宋体"/>
          <w:szCs w:val="22"/>
          <w:highlight w:val="none"/>
        </w:rPr>
      </w:pPr>
      <w:r>
        <w:rPr>
          <w:rFonts w:hint="eastAsia" w:hAnsi="宋体" w:cs="宋体"/>
          <w:szCs w:val="22"/>
          <w:highlight w:val="none"/>
        </w:rPr>
        <w:t>致：</w:t>
      </w:r>
      <w:r>
        <w:rPr>
          <w:rFonts w:hint="eastAsia" w:hAnsi="宋体" w:cs="宋体"/>
          <w:szCs w:val="22"/>
          <w:highlight w:val="none"/>
          <w:u w:val="single"/>
        </w:rPr>
        <w:t xml:space="preserve">                                    </w:t>
      </w:r>
      <w:r>
        <w:rPr>
          <w:rFonts w:hint="eastAsia" w:hAnsi="宋体" w:cs="宋体"/>
          <w:szCs w:val="22"/>
          <w:highlight w:val="none"/>
        </w:rPr>
        <w:t>（招标人、招标代理机构名称）</w:t>
      </w:r>
    </w:p>
    <w:p w14:paraId="07600413">
      <w:pPr>
        <w:shd w:val="clear"/>
        <w:spacing w:line="360" w:lineRule="exact"/>
        <w:rPr>
          <w:rFonts w:hint="eastAsia" w:ascii="宋体" w:hAnsi="宋体" w:cs="宋体"/>
          <w:highlight w:val="none"/>
        </w:rPr>
      </w:pPr>
    </w:p>
    <w:p w14:paraId="3B16B175">
      <w:pPr>
        <w:pStyle w:val="9"/>
        <w:shd w:val="clear"/>
        <w:spacing w:line="360" w:lineRule="exact"/>
        <w:ind w:firstLine="420"/>
        <w:rPr>
          <w:rFonts w:hint="eastAsia" w:hAnsi="宋体" w:cs="宋体"/>
          <w:szCs w:val="22"/>
          <w:highlight w:val="none"/>
        </w:rPr>
      </w:pPr>
      <w:r>
        <w:rPr>
          <w:rFonts w:hint="eastAsia" w:hAnsi="宋体" w:cs="宋体"/>
          <w:szCs w:val="22"/>
          <w:highlight w:val="none"/>
        </w:rPr>
        <w:t>我方决定组成联合体共同参加以上项目的投标，若中标，联合体各成员向招标人承担连带责任。我方授权委托本协议牵头人，代表所有联合体成员参加投标、提交投标文件，以及与招标人签订合同，负责整个合同实施阶段的协调工作。</w:t>
      </w:r>
    </w:p>
    <w:p w14:paraId="53697AFA">
      <w:pPr>
        <w:pStyle w:val="9"/>
        <w:shd w:val="clear"/>
        <w:spacing w:line="360" w:lineRule="exact"/>
        <w:ind w:firstLine="420"/>
        <w:rPr>
          <w:rFonts w:hint="eastAsia" w:hAnsi="宋体" w:cs="宋体"/>
          <w:szCs w:val="22"/>
          <w:highlight w:val="none"/>
        </w:rPr>
      </w:pPr>
      <w:r>
        <w:rPr>
          <w:rFonts w:hint="eastAsia" w:hAnsi="宋体" w:cs="宋体"/>
          <w:szCs w:val="22"/>
          <w:highlight w:val="none"/>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343CB6A3">
      <w:pPr>
        <w:shd w:val="clear"/>
        <w:spacing w:line="360" w:lineRule="exact"/>
        <w:ind w:firstLine="405"/>
        <w:rPr>
          <w:rFonts w:hint="eastAsia" w:ascii="宋体" w:hAnsi="宋体" w:cs="宋体"/>
          <w:highlight w:val="none"/>
        </w:rPr>
      </w:pPr>
      <w:r>
        <w:rPr>
          <w:rFonts w:hint="eastAsia" w:ascii="宋体" w:hAnsi="宋体" w:cs="宋体"/>
          <w:highlight w:val="none"/>
        </w:rPr>
        <w:t>本投标协议同时作为法人证明书或法人授权委托书。</w:t>
      </w:r>
    </w:p>
    <w:p w14:paraId="559B7C89">
      <w:pPr>
        <w:pStyle w:val="9"/>
        <w:shd w:val="clear"/>
        <w:spacing w:line="360" w:lineRule="exact"/>
        <w:rPr>
          <w:rFonts w:hint="eastAsia" w:hAnsi="宋体" w:cs="宋体"/>
          <w:highlight w:val="none"/>
        </w:rPr>
      </w:pPr>
    </w:p>
    <w:p w14:paraId="44CC90CB">
      <w:pPr>
        <w:pStyle w:val="9"/>
        <w:shd w:val="clear"/>
        <w:spacing w:line="360" w:lineRule="exact"/>
        <w:ind w:firstLine="405"/>
        <w:rPr>
          <w:rFonts w:hint="eastAsia" w:hAnsi="宋体" w:cs="宋体"/>
          <w:szCs w:val="22"/>
          <w:highlight w:val="none"/>
        </w:rPr>
      </w:pPr>
      <w:r>
        <w:rPr>
          <w:rFonts w:hint="eastAsia" w:hAnsi="宋体" w:cs="宋体"/>
          <w:szCs w:val="22"/>
          <w:highlight w:val="none"/>
        </w:rPr>
        <w:t>投标牵头人：（盖章）</w:t>
      </w:r>
      <w:r>
        <w:rPr>
          <w:rFonts w:hint="eastAsia" w:hAnsi="宋体" w:cs="宋体"/>
          <w:szCs w:val="22"/>
          <w:highlight w:val="none"/>
          <w:u w:val="single"/>
        </w:rPr>
        <w:t xml:space="preserve">                                         </w:t>
      </w:r>
    </w:p>
    <w:p w14:paraId="5256E29D">
      <w:pPr>
        <w:pStyle w:val="9"/>
        <w:shd w:val="clear"/>
        <w:spacing w:line="360" w:lineRule="exact"/>
        <w:ind w:firstLine="405"/>
        <w:rPr>
          <w:rFonts w:hint="eastAsia" w:hAnsi="宋体" w:cs="宋体"/>
          <w:szCs w:val="22"/>
          <w:highlight w:val="none"/>
        </w:rPr>
      </w:pPr>
      <w:r>
        <w:rPr>
          <w:rFonts w:hint="eastAsia" w:hAnsi="宋体" w:cs="宋体"/>
          <w:szCs w:val="22"/>
          <w:highlight w:val="none"/>
        </w:rPr>
        <w:t>法定代表人：（签字或盖章）</w:t>
      </w:r>
      <w:r>
        <w:rPr>
          <w:rFonts w:hint="eastAsia" w:hAnsi="宋体" w:cs="宋体"/>
          <w:szCs w:val="22"/>
          <w:highlight w:val="none"/>
          <w:u w:val="single"/>
        </w:rPr>
        <w:t xml:space="preserve">                                   </w:t>
      </w:r>
    </w:p>
    <w:p w14:paraId="57BEEAD3">
      <w:pPr>
        <w:pStyle w:val="9"/>
        <w:shd w:val="clear"/>
        <w:spacing w:line="360" w:lineRule="exact"/>
        <w:ind w:firstLine="405"/>
        <w:rPr>
          <w:rFonts w:hint="eastAsia" w:hAnsi="宋体" w:cs="宋体"/>
          <w:szCs w:val="22"/>
          <w:highlight w:val="none"/>
        </w:rPr>
      </w:pPr>
      <w:r>
        <w:rPr>
          <w:rFonts w:hint="eastAsia" w:hAnsi="宋体" w:cs="宋体"/>
          <w:szCs w:val="22"/>
          <w:highlight w:val="none"/>
        </w:rPr>
        <w:t>委托代理人：（签字或盖章）</w:t>
      </w:r>
      <w:r>
        <w:rPr>
          <w:rFonts w:hint="eastAsia" w:hAnsi="宋体" w:cs="宋体"/>
          <w:szCs w:val="22"/>
          <w:highlight w:val="none"/>
          <w:u w:val="single"/>
        </w:rPr>
        <w:t xml:space="preserve">                                   </w:t>
      </w:r>
    </w:p>
    <w:p w14:paraId="0C099A51">
      <w:pPr>
        <w:pStyle w:val="9"/>
        <w:shd w:val="clear"/>
        <w:spacing w:line="360" w:lineRule="exact"/>
        <w:ind w:firstLine="405"/>
        <w:rPr>
          <w:rFonts w:hint="eastAsia" w:hAnsi="宋体" w:cs="宋体"/>
          <w:szCs w:val="22"/>
          <w:highlight w:val="none"/>
        </w:rPr>
      </w:pPr>
      <w:r>
        <w:rPr>
          <w:rFonts w:hint="eastAsia" w:hAnsi="宋体" w:cs="宋体"/>
          <w:szCs w:val="22"/>
          <w:highlight w:val="none"/>
        </w:rPr>
        <w:t>地址：</w:t>
      </w:r>
      <w:r>
        <w:rPr>
          <w:rFonts w:hint="eastAsia" w:hAnsi="宋体" w:cs="宋体"/>
          <w:szCs w:val="22"/>
          <w:highlight w:val="none"/>
          <w:u w:val="single"/>
        </w:rPr>
        <w:t xml:space="preserve">                                                      </w:t>
      </w:r>
    </w:p>
    <w:p w14:paraId="0BC61A4F">
      <w:pPr>
        <w:pStyle w:val="9"/>
        <w:shd w:val="clear"/>
        <w:spacing w:line="360" w:lineRule="exact"/>
        <w:ind w:firstLine="405"/>
        <w:rPr>
          <w:rFonts w:hint="eastAsia" w:hAnsi="宋体" w:cs="宋体"/>
          <w:szCs w:val="22"/>
          <w:highlight w:val="none"/>
        </w:rPr>
      </w:pPr>
      <w:r>
        <w:rPr>
          <w:rFonts w:hint="eastAsia" w:hAnsi="宋体" w:cs="宋体"/>
          <w:szCs w:val="22"/>
          <w:highlight w:val="none"/>
        </w:rPr>
        <w:t>邮政编码：</w:t>
      </w:r>
      <w:r>
        <w:rPr>
          <w:rFonts w:hint="eastAsia" w:hAnsi="宋体" w:cs="宋体"/>
          <w:szCs w:val="22"/>
          <w:highlight w:val="none"/>
          <w:u w:val="single"/>
        </w:rPr>
        <w:t xml:space="preserve">          </w:t>
      </w:r>
      <w:r>
        <w:rPr>
          <w:rFonts w:hint="eastAsia" w:hAnsi="宋体" w:cs="宋体"/>
          <w:szCs w:val="22"/>
          <w:highlight w:val="none"/>
        </w:rPr>
        <w:t>电话/传真：</w:t>
      </w:r>
      <w:r>
        <w:rPr>
          <w:rFonts w:hint="eastAsia" w:hAnsi="宋体" w:cs="宋体"/>
          <w:szCs w:val="22"/>
          <w:highlight w:val="none"/>
          <w:u w:val="single"/>
        </w:rPr>
        <w:t xml:space="preserve">                             </w:t>
      </w:r>
    </w:p>
    <w:p w14:paraId="6C0FE663">
      <w:pPr>
        <w:pStyle w:val="9"/>
        <w:shd w:val="clear"/>
        <w:spacing w:line="360" w:lineRule="exact"/>
        <w:ind w:firstLine="405"/>
        <w:rPr>
          <w:rFonts w:hint="eastAsia" w:hAnsi="宋体" w:cs="宋体"/>
          <w:szCs w:val="22"/>
          <w:highlight w:val="none"/>
        </w:rPr>
      </w:pPr>
      <w:r>
        <w:rPr>
          <w:rFonts w:hint="eastAsia" w:hAnsi="宋体" w:cs="宋体"/>
          <w:szCs w:val="22"/>
          <w:highlight w:val="none"/>
        </w:rPr>
        <w:t>分工内容及责任：</w:t>
      </w:r>
      <w:r>
        <w:rPr>
          <w:rFonts w:hint="eastAsia" w:hAnsi="宋体" w:cs="宋体"/>
          <w:szCs w:val="22"/>
          <w:highlight w:val="none"/>
          <w:u w:val="single"/>
        </w:rPr>
        <w:t xml:space="preserve">                                                  </w:t>
      </w:r>
    </w:p>
    <w:p w14:paraId="60660FE7">
      <w:pPr>
        <w:pStyle w:val="9"/>
        <w:shd w:val="clear"/>
        <w:spacing w:line="360" w:lineRule="exact"/>
        <w:rPr>
          <w:rFonts w:hint="eastAsia" w:hAnsi="宋体" w:cs="宋体"/>
          <w:szCs w:val="22"/>
          <w:highlight w:val="none"/>
        </w:rPr>
      </w:pPr>
    </w:p>
    <w:p w14:paraId="39961069">
      <w:pPr>
        <w:pStyle w:val="9"/>
        <w:shd w:val="clear"/>
        <w:spacing w:line="360" w:lineRule="exact"/>
        <w:ind w:firstLine="405"/>
        <w:rPr>
          <w:rFonts w:hint="eastAsia" w:hAnsi="宋体" w:cs="宋体"/>
          <w:szCs w:val="22"/>
          <w:highlight w:val="none"/>
        </w:rPr>
      </w:pPr>
      <w:r>
        <w:rPr>
          <w:rFonts w:hint="eastAsia" w:hAnsi="宋体" w:cs="宋体"/>
          <w:szCs w:val="22"/>
          <w:highlight w:val="none"/>
        </w:rPr>
        <w:t>联合体成员：（盖章）</w:t>
      </w:r>
      <w:r>
        <w:rPr>
          <w:rFonts w:hint="eastAsia" w:hAnsi="宋体" w:cs="宋体"/>
          <w:szCs w:val="22"/>
          <w:highlight w:val="none"/>
          <w:u w:val="single"/>
        </w:rPr>
        <w:t xml:space="preserve">                                         </w:t>
      </w:r>
    </w:p>
    <w:p w14:paraId="4F8BA4AD">
      <w:pPr>
        <w:pStyle w:val="9"/>
        <w:shd w:val="clear"/>
        <w:spacing w:line="360" w:lineRule="exact"/>
        <w:ind w:firstLine="405"/>
        <w:rPr>
          <w:rFonts w:hint="eastAsia" w:hAnsi="宋体" w:cs="宋体"/>
          <w:szCs w:val="22"/>
          <w:highlight w:val="none"/>
        </w:rPr>
      </w:pPr>
      <w:r>
        <w:rPr>
          <w:rFonts w:hint="eastAsia" w:hAnsi="宋体" w:cs="宋体"/>
          <w:szCs w:val="22"/>
          <w:highlight w:val="none"/>
        </w:rPr>
        <w:t>法定代表人：（签字或盖章）</w:t>
      </w:r>
      <w:r>
        <w:rPr>
          <w:rFonts w:hint="eastAsia" w:hAnsi="宋体" w:cs="宋体"/>
          <w:szCs w:val="22"/>
          <w:highlight w:val="none"/>
          <w:u w:val="single"/>
        </w:rPr>
        <w:t xml:space="preserve">                                   </w:t>
      </w:r>
    </w:p>
    <w:p w14:paraId="5A0D7DF5">
      <w:pPr>
        <w:pStyle w:val="9"/>
        <w:shd w:val="clear"/>
        <w:spacing w:line="360" w:lineRule="exact"/>
        <w:ind w:firstLine="405"/>
        <w:rPr>
          <w:rFonts w:hint="eastAsia" w:hAnsi="宋体" w:cs="宋体"/>
          <w:szCs w:val="22"/>
          <w:highlight w:val="none"/>
        </w:rPr>
      </w:pPr>
      <w:r>
        <w:rPr>
          <w:rFonts w:hint="eastAsia" w:hAnsi="宋体" w:cs="宋体"/>
          <w:szCs w:val="22"/>
          <w:highlight w:val="none"/>
        </w:rPr>
        <w:t>委托代理人：（签字或盖章）</w:t>
      </w:r>
      <w:r>
        <w:rPr>
          <w:rFonts w:hint="eastAsia" w:hAnsi="宋体" w:cs="宋体"/>
          <w:szCs w:val="22"/>
          <w:highlight w:val="none"/>
          <w:u w:val="single"/>
        </w:rPr>
        <w:t xml:space="preserve">                                   </w:t>
      </w:r>
    </w:p>
    <w:p w14:paraId="6CC9FDB4">
      <w:pPr>
        <w:pStyle w:val="9"/>
        <w:shd w:val="clear"/>
        <w:spacing w:line="360" w:lineRule="exact"/>
        <w:ind w:firstLine="405"/>
        <w:rPr>
          <w:rFonts w:hint="eastAsia" w:hAnsi="宋体" w:cs="宋体"/>
          <w:szCs w:val="22"/>
          <w:highlight w:val="none"/>
        </w:rPr>
      </w:pPr>
      <w:r>
        <w:rPr>
          <w:rFonts w:hint="eastAsia" w:hAnsi="宋体" w:cs="宋体"/>
          <w:szCs w:val="22"/>
          <w:highlight w:val="none"/>
        </w:rPr>
        <w:t>地址：</w:t>
      </w:r>
      <w:r>
        <w:rPr>
          <w:rFonts w:hint="eastAsia" w:hAnsi="宋体" w:cs="宋体"/>
          <w:szCs w:val="22"/>
          <w:highlight w:val="none"/>
          <w:u w:val="single"/>
        </w:rPr>
        <w:t xml:space="preserve">                                                      </w:t>
      </w:r>
    </w:p>
    <w:p w14:paraId="469F1537">
      <w:pPr>
        <w:pStyle w:val="9"/>
        <w:shd w:val="clear"/>
        <w:spacing w:line="360" w:lineRule="exact"/>
        <w:ind w:firstLine="405"/>
        <w:rPr>
          <w:rFonts w:hint="eastAsia" w:hAnsi="宋体" w:cs="宋体"/>
          <w:szCs w:val="22"/>
          <w:highlight w:val="none"/>
        </w:rPr>
      </w:pPr>
      <w:r>
        <w:rPr>
          <w:rFonts w:hint="eastAsia" w:hAnsi="宋体" w:cs="宋体"/>
          <w:szCs w:val="22"/>
          <w:highlight w:val="none"/>
        </w:rPr>
        <w:t>邮政编码：</w:t>
      </w:r>
      <w:r>
        <w:rPr>
          <w:rFonts w:hint="eastAsia" w:hAnsi="宋体" w:cs="宋体"/>
          <w:szCs w:val="22"/>
          <w:highlight w:val="none"/>
          <w:u w:val="single"/>
        </w:rPr>
        <w:t xml:space="preserve">          </w:t>
      </w:r>
      <w:r>
        <w:rPr>
          <w:rFonts w:hint="eastAsia" w:hAnsi="宋体" w:cs="宋体"/>
          <w:szCs w:val="22"/>
          <w:highlight w:val="none"/>
        </w:rPr>
        <w:t>电话/传真：</w:t>
      </w:r>
      <w:r>
        <w:rPr>
          <w:rFonts w:hint="eastAsia" w:hAnsi="宋体" w:cs="宋体"/>
          <w:szCs w:val="22"/>
          <w:highlight w:val="none"/>
          <w:u w:val="single"/>
        </w:rPr>
        <w:t xml:space="preserve">                             </w:t>
      </w:r>
    </w:p>
    <w:p w14:paraId="5D61C8F9">
      <w:pPr>
        <w:pStyle w:val="9"/>
        <w:shd w:val="clear"/>
        <w:spacing w:line="360" w:lineRule="exact"/>
        <w:ind w:firstLine="405"/>
        <w:rPr>
          <w:rFonts w:hint="eastAsia" w:hAnsi="宋体" w:cs="宋体"/>
          <w:szCs w:val="22"/>
          <w:highlight w:val="none"/>
        </w:rPr>
      </w:pPr>
      <w:r>
        <w:rPr>
          <w:rFonts w:hint="eastAsia" w:hAnsi="宋体" w:cs="宋体"/>
          <w:szCs w:val="22"/>
          <w:highlight w:val="none"/>
        </w:rPr>
        <w:t>分工内容及责任：</w:t>
      </w:r>
      <w:r>
        <w:rPr>
          <w:rFonts w:hint="eastAsia" w:hAnsi="宋体" w:cs="宋体"/>
          <w:szCs w:val="22"/>
          <w:highlight w:val="none"/>
          <w:u w:val="single"/>
        </w:rPr>
        <w:t xml:space="preserve">                                                  </w:t>
      </w:r>
    </w:p>
    <w:p w14:paraId="7FDBC4D4">
      <w:pPr>
        <w:shd w:val="clear"/>
        <w:spacing w:line="360" w:lineRule="auto"/>
        <w:rPr>
          <w:rFonts w:hint="eastAsia" w:ascii="宋体" w:hAnsi="宋体" w:cs="宋体"/>
          <w:b/>
          <w:kern w:val="44"/>
          <w:szCs w:val="21"/>
          <w:highlight w:val="none"/>
        </w:rPr>
      </w:pPr>
      <w:r>
        <w:rPr>
          <w:rFonts w:hint="eastAsia" w:ascii="宋体" w:hAnsi="宋体" w:cs="宋体"/>
          <w:szCs w:val="21"/>
          <w:highlight w:val="none"/>
        </w:rPr>
        <w:br w:type="page"/>
      </w:r>
      <w:r>
        <w:rPr>
          <w:rFonts w:hint="eastAsia" w:ascii="宋体" w:hAnsi="宋体" w:cs="宋体"/>
          <w:b/>
          <w:kern w:val="44"/>
          <w:szCs w:val="21"/>
          <w:highlight w:val="none"/>
        </w:rPr>
        <w:t>附录 7-1（</w:t>
      </w:r>
      <w:r>
        <w:rPr>
          <w:rFonts w:hint="eastAsia" w:ascii="宋体" w:hAnsi="宋体" w:cs="宋体"/>
          <w:b/>
          <w:kern w:val="44"/>
          <w:szCs w:val="21"/>
          <w:highlight w:val="none"/>
          <w:u w:val="single"/>
        </w:rPr>
        <w:t>适用于合作设计</w:t>
      </w:r>
      <w:r>
        <w:rPr>
          <w:rFonts w:hint="eastAsia" w:ascii="宋体" w:hAnsi="宋体" w:cs="宋体"/>
          <w:b/>
          <w:kern w:val="44"/>
          <w:szCs w:val="21"/>
          <w:highlight w:val="none"/>
        </w:rPr>
        <w:t>）</w:t>
      </w:r>
    </w:p>
    <w:p w14:paraId="741F9D27">
      <w:pPr>
        <w:shd w:val="clear"/>
        <w:spacing w:line="360" w:lineRule="auto"/>
        <w:jc w:val="center"/>
        <w:rPr>
          <w:rFonts w:hint="eastAsia" w:ascii="宋体" w:hAnsi="宋体" w:cs="宋体"/>
          <w:b/>
          <w:sz w:val="32"/>
          <w:szCs w:val="32"/>
          <w:highlight w:val="none"/>
        </w:rPr>
      </w:pPr>
      <w:r>
        <w:rPr>
          <w:rFonts w:hint="eastAsia" w:ascii="宋体" w:hAnsi="宋体" w:cs="宋体"/>
          <w:b/>
          <w:sz w:val="32"/>
          <w:szCs w:val="32"/>
          <w:highlight w:val="none"/>
        </w:rPr>
        <w:t>合作设计协议书</w:t>
      </w:r>
    </w:p>
    <w:p w14:paraId="73D620FF">
      <w:pPr>
        <w:shd w:val="clear"/>
        <w:spacing w:line="360" w:lineRule="auto"/>
        <w:rPr>
          <w:rFonts w:hint="eastAsia" w:ascii="宋体" w:hAnsi="宋体" w:cs="宋体"/>
          <w:b/>
          <w:szCs w:val="21"/>
          <w:highlight w:val="none"/>
        </w:rPr>
      </w:pPr>
    </w:p>
    <w:p w14:paraId="056D35E7">
      <w:pPr>
        <w:shd w:val="clear"/>
        <w:spacing w:line="360" w:lineRule="auto"/>
        <w:rPr>
          <w:rFonts w:hint="eastAsia" w:ascii="宋体" w:hAnsi="宋体" w:cs="宋体"/>
          <w:sz w:val="24"/>
          <w:szCs w:val="24"/>
          <w:highlight w:val="none"/>
        </w:rPr>
      </w:pPr>
    </w:p>
    <w:p w14:paraId="21EB3833">
      <w:pPr>
        <w:shd w:val="clear"/>
        <w:spacing w:line="360" w:lineRule="auto"/>
        <w:jc w:val="left"/>
        <w:rPr>
          <w:rFonts w:hint="eastAsia" w:ascii="宋体" w:hAnsi="宋体" w:cs="宋体"/>
          <w:szCs w:val="21"/>
          <w:highlight w:val="none"/>
        </w:rPr>
      </w:pPr>
      <w:r>
        <w:rPr>
          <w:rFonts w:hint="eastAsia" w:ascii="宋体" w:hAnsi="宋体" w:cs="宋体"/>
          <w:szCs w:val="21"/>
          <w:highlight w:val="none"/>
        </w:rPr>
        <w:t>投标项目名称：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45577C0F">
      <w:pPr>
        <w:shd w:val="clear"/>
        <w:spacing w:line="360" w:lineRule="auto"/>
        <w:rPr>
          <w:rFonts w:hint="eastAsia" w:ascii="宋体" w:hAnsi="宋体" w:cs="宋体"/>
          <w:szCs w:val="21"/>
          <w:highlight w:val="none"/>
        </w:rPr>
      </w:pPr>
    </w:p>
    <w:p w14:paraId="40A9AAE7">
      <w:pPr>
        <w:shd w:val="clear"/>
        <w:spacing w:line="360" w:lineRule="auto"/>
        <w:rPr>
          <w:rFonts w:hint="eastAsia" w:ascii="宋体" w:hAnsi="宋体" w:cs="宋体"/>
          <w:szCs w:val="21"/>
          <w:highlight w:val="none"/>
        </w:rPr>
      </w:pPr>
      <w:r>
        <w:rPr>
          <w:rFonts w:hint="eastAsia" w:ascii="宋体" w:hAnsi="宋体" w:cs="宋体"/>
          <w:szCs w:val="21"/>
          <w:highlight w:val="none"/>
        </w:rPr>
        <w:t>致：</w:t>
      </w:r>
      <w:r>
        <w:rPr>
          <w:rFonts w:hint="eastAsia" w:ascii="宋体" w:hAnsi="宋体" w:cs="宋体"/>
          <w:szCs w:val="21"/>
          <w:highlight w:val="none"/>
          <w:u w:val="single"/>
        </w:rPr>
        <w:t xml:space="preserve">                 </w:t>
      </w:r>
      <w:r>
        <w:rPr>
          <w:rFonts w:hint="eastAsia" w:ascii="宋体" w:hAnsi="宋体" w:cs="宋体"/>
          <w:szCs w:val="21"/>
          <w:highlight w:val="none"/>
        </w:rPr>
        <w:t>（招标人、招标代理机构名称）</w:t>
      </w:r>
    </w:p>
    <w:p w14:paraId="59FD916A">
      <w:pPr>
        <w:shd w:val="clear"/>
        <w:spacing w:line="360" w:lineRule="auto"/>
        <w:jc w:val="left"/>
        <w:rPr>
          <w:rFonts w:hint="eastAsia" w:ascii="宋体" w:hAnsi="宋体" w:cs="宋体"/>
          <w:sz w:val="24"/>
          <w:szCs w:val="24"/>
          <w:highlight w:val="none"/>
        </w:rPr>
      </w:pPr>
    </w:p>
    <w:p w14:paraId="419FE8A1">
      <w:pPr>
        <w:shd w:val="clear"/>
        <w:spacing w:line="360" w:lineRule="auto"/>
        <w:ind w:firstLine="420"/>
        <w:rPr>
          <w:rFonts w:hint="eastAsia" w:ascii="宋体" w:hAnsi="宋体" w:cs="宋体"/>
          <w:szCs w:val="21"/>
          <w:highlight w:val="none"/>
        </w:rPr>
      </w:pPr>
      <w:r>
        <w:rPr>
          <w:rFonts w:hint="eastAsia" w:ascii="宋体" w:hAnsi="宋体" w:cs="宋体"/>
          <w:szCs w:val="21"/>
          <w:highlight w:val="none"/>
        </w:rPr>
        <w:t>按照招标公告的规定，</w:t>
      </w:r>
      <w:r>
        <w:rPr>
          <w:rFonts w:hint="eastAsia" w:ascii="宋体" w:hAnsi="宋体" w:cs="宋体"/>
          <w:szCs w:val="21"/>
          <w:highlight w:val="none"/>
          <w:u w:val="single"/>
        </w:rPr>
        <w:t xml:space="preserve">                 </w:t>
      </w:r>
      <w:r>
        <w:rPr>
          <w:rFonts w:hint="eastAsia" w:ascii="宋体" w:hAnsi="宋体" w:cs="宋体"/>
          <w:szCs w:val="21"/>
          <w:highlight w:val="none"/>
        </w:rPr>
        <w:t>（外国或香港、澳门、台湾的设计企业）作为投标人（即“申请人”，下同）</w:t>
      </w:r>
      <w:r>
        <w:rPr>
          <w:rFonts w:hint="eastAsia" w:ascii="宋体" w:hAnsi="宋体" w:cs="宋体"/>
          <w:szCs w:val="21"/>
          <w:highlight w:val="none"/>
          <w:u w:val="single"/>
        </w:rPr>
        <w:t xml:space="preserve">                </w:t>
      </w:r>
      <w:r>
        <w:rPr>
          <w:rFonts w:hint="eastAsia" w:ascii="宋体" w:hAnsi="宋体" w:cs="宋体"/>
          <w:szCs w:val="21"/>
          <w:highlight w:val="none"/>
        </w:rPr>
        <w:t>（符合招标公告第3条资质条件的企业）的合作设计方，参与本项目进行合作设计。若中标，各成员向招标人承担连带责任。合作设计方授权委托</w:t>
      </w:r>
      <w:r>
        <w:rPr>
          <w:rFonts w:hint="eastAsia" w:ascii="宋体" w:hAnsi="宋体" w:cs="宋体"/>
          <w:szCs w:val="21"/>
          <w:highlight w:val="none"/>
          <w:u w:val="single"/>
        </w:rPr>
        <w:t xml:space="preserve">                 </w:t>
      </w:r>
      <w:r>
        <w:rPr>
          <w:rFonts w:hint="eastAsia" w:ascii="宋体" w:hAnsi="宋体" w:cs="宋体"/>
          <w:szCs w:val="21"/>
          <w:highlight w:val="none"/>
        </w:rPr>
        <w:t>（符合招标公告第3条资质条件的企业）代表所有合作成员参加投标、提交投标文件，以及与招标人签订合同，负责整个合同实施阶段的协调工作。</w:t>
      </w:r>
    </w:p>
    <w:p w14:paraId="1FCC8A30">
      <w:pPr>
        <w:shd w:val="clear"/>
        <w:spacing w:line="360" w:lineRule="auto"/>
        <w:ind w:firstLine="420"/>
        <w:rPr>
          <w:rFonts w:hint="eastAsia" w:ascii="宋体" w:hAnsi="宋体" w:cs="宋体"/>
          <w:szCs w:val="21"/>
          <w:highlight w:val="none"/>
        </w:rPr>
      </w:pPr>
    </w:p>
    <w:p w14:paraId="1809FF07">
      <w:pPr>
        <w:shd w:val="clear"/>
        <w:spacing w:line="360" w:lineRule="auto"/>
        <w:ind w:left="735" w:hanging="735" w:hangingChars="350"/>
        <w:jc w:val="left"/>
        <w:rPr>
          <w:rFonts w:hint="eastAsia" w:ascii="宋体" w:hAnsi="宋体" w:cs="宋体"/>
          <w:szCs w:val="21"/>
          <w:highlight w:val="none"/>
        </w:rPr>
      </w:pPr>
    </w:p>
    <w:p w14:paraId="4C5135AC">
      <w:pPr>
        <w:shd w:val="clear"/>
        <w:spacing w:line="360" w:lineRule="auto"/>
        <w:rPr>
          <w:rFonts w:hint="eastAsia" w:ascii="宋体" w:hAnsi="宋体" w:cs="宋体"/>
          <w:szCs w:val="21"/>
          <w:highlight w:val="none"/>
        </w:rPr>
      </w:pPr>
    </w:p>
    <w:p w14:paraId="5BFDBF71">
      <w:pPr>
        <w:shd w:val="clear"/>
        <w:spacing w:line="360" w:lineRule="auto"/>
        <w:rPr>
          <w:rFonts w:hint="eastAsia" w:ascii="宋体" w:hAnsi="宋体" w:cs="宋体"/>
          <w:szCs w:val="21"/>
          <w:highlight w:val="none"/>
        </w:rPr>
      </w:pPr>
    </w:p>
    <w:p w14:paraId="7722FC44">
      <w:pPr>
        <w:shd w:val="clear"/>
        <w:spacing w:line="360" w:lineRule="auto"/>
        <w:ind w:firstLine="210" w:firstLineChars="100"/>
        <w:rPr>
          <w:rFonts w:hint="eastAsia" w:ascii="宋体" w:hAnsi="宋体" w:cs="宋体"/>
          <w:szCs w:val="21"/>
          <w:highlight w:val="none"/>
        </w:rPr>
      </w:pPr>
      <w:r>
        <w:rPr>
          <w:rFonts w:hint="eastAsia" w:ascii="宋体" w:hAnsi="宋体" w:cs="宋体"/>
          <w:szCs w:val="21"/>
          <w:highlight w:val="none"/>
          <w:lang w:bidi="ar"/>
        </w:rPr>
        <w:t>合作设计方：（盖章）</w:t>
      </w:r>
    </w:p>
    <w:p w14:paraId="6632AB50">
      <w:pPr>
        <w:shd w:val="clea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lang w:bidi="ar"/>
        </w:rPr>
        <w:t>代表人：（签字或盖章）</w:t>
      </w:r>
    </w:p>
    <w:p w14:paraId="00E8ACA4">
      <w:pPr>
        <w:shd w:val="clear"/>
        <w:spacing w:line="360" w:lineRule="auto"/>
        <w:rPr>
          <w:rFonts w:hint="eastAsia" w:ascii="宋体" w:hAnsi="宋体" w:cs="宋体"/>
          <w:szCs w:val="21"/>
          <w:highlight w:val="none"/>
        </w:rPr>
      </w:pPr>
      <w:r>
        <w:rPr>
          <w:rFonts w:hint="eastAsia" w:ascii="宋体" w:hAnsi="宋体" w:cs="宋体"/>
          <w:szCs w:val="21"/>
          <w:highlight w:val="none"/>
          <w:lang w:bidi="ar"/>
        </w:rPr>
        <w:t xml:space="preserve">  分工内容：</w:t>
      </w:r>
    </w:p>
    <w:p w14:paraId="01F8A562">
      <w:pPr>
        <w:shd w:val="clear"/>
        <w:spacing w:line="360" w:lineRule="auto"/>
        <w:rPr>
          <w:rFonts w:hint="eastAsia" w:ascii="宋体" w:hAnsi="宋体" w:cs="宋体"/>
          <w:szCs w:val="21"/>
          <w:highlight w:val="none"/>
        </w:rPr>
      </w:pPr>
      <w:r>
        <w:rPr>
          <w:rFonts w:hint="eastAsia" w:ascii="宋体" w:hAnsi="宋体" w:cs="宋体"/>
          <w:szCs w:val="21"/>
          <w:highlight w:val="none"/>
          <w:lang w:bidi="ar"/>
        </w:rPr>
        <w:t xml:space="preserve"> </w:t>
      </w:r>
    </w:p>
    <w:p w14:paraId="6FF3772A">
      <w:pPr>
        <w:shd w:val="clear"/>
        <w:spacing w:line="360" w:lineRule="auto"/>
        <w:rPr>
          <w:rFonts w:hint="eastAsia" w:ascii="宋体" w:hAnsi="宋体" w:cs="宋体"/>
          <w:szCs w:val="21"/>
          <w:highlight w:val="none"/>
        </w:rPr>
      </w:pPr>
      <w:r>
        <w:rPr>
          <w:rFonts w:hint="eastAsia" w:ascii="宋体" w:hAnsi="宋体" w:cs="宋体"/>
          <w:szCs w:val="21"/>
          <w:highlight w:val="none"/>
          <w:lang w:bidi="ar"/>
        </w:rPr>
        <w:t xml:space="preserve">  投标人：（盖章）</w:t>
      </w:r>
    </w:p>
    <w:p w14:paraId="60DE7C7D">
      <w:pPr>
        <w:shd w:val="clea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lang w:bidi="ar"/>
        </w:rPr>
        <w:t>法定代表人：（签字或盖章）</w:t>
      </w:r>
    </w:p>
    <w:p w14:paraId="7DF483B2">
      <w:pPr>
        <w:shd w:val="clear"/>
        <w:spacing w:line="360" w:lineRule="auto"/>
        <w:rPr>
          <w:rFonts w:hint="eastAsia" w:ascii="宋体" w:hAnsi="宋体" w:cs="宋体"/>
          <w:szCs w:val="21"/>
          <w:highlight w:val="none"/>
        </w:rPr>
      </w:pPr>
      <w:r>
        <w:rPr>
          <w:rFonts w:hint="eastAsia" w:ascii="宋体" w:hAnsi="宋体" w:cs="宋体"/>
          <w:szCs w:val="21"/>
          <w:highlight w:val="none"/>
          <w:lang w:bidi="ar"/>
        </w:rPr>
        <w:t xml:space="preserve">  分工内容：</w:t>
      </w:r>
    </w:p>
    <w:p w14:paraId="4EA88B8C">
      <w:pPr>
        <w:pStyle w:val="15"/>
        <w:widowControl w:val="0"/>
        <w:shd w:val="clear"/>
        <w:spacing w:beforeAutospacing="0" w:afterAutospacing="0"/>
        <w:ind w:firstLine="400" w:firstLineChars="200"/>
        <w:jc w:val="both"/>
        <w:rPr>
          <w:rFonts w:cs="宋体"/>
          <w:sz w:val="20"/>
          <w:szCs w:val="20"/>
          <w:highlight w:val="none"/>
        </w:rPr>
      </w:pPr>
    </w:p>
    <w:p w14:paraId="02A94DB9">
      <w:pPr>
        <w:pStyle w:val="15"/>
        <w:widowControl w:val="0"/>
        <w:shd w:val="clear"/>
        <w:spacing w:beforeAutospacing="0" w:afterAutospacing="0"/>
        <w:ind w:firstLine="400" w:firstLineChars="200"/>
        <w:jc w:val="both"/>
        <w:rPr>
          <w:rFonts w:cs="宋体"/>
          <w:sz w:val="20"/>
          <w:szCs w:val="20"/>
          <w:highlight w:val="none"/>
        </w:rPr>
      </w:pPr>
    </w:p>
    <w:p w14:paraId="13681199">
      <w:pPr>
        <w:pStyle w:val="15"/>
        <w:widowControl w:val="0"/>
        <w:shd w:val="clear"/>
        <w:spacing w:beforeAutospacing="0" w:afterAutospacing="0"/>
        <w:ind w:firstLine="400" w:firstLineChars="200"/>
        <w:jc w:val="both"/>
        <w:rPr>
          <w:rFonts w:cs="宋体"/>
          <w:sz w:val="20"/>
          <w:szCs w:val="20"/>
          <w:highlight w:val="none"/>
        </w:rPr>
      </w:pPr>
    </w:p>
    <w:p w14:paraId="2FD293DA">
      <w:pPr>
        <w:shd w:val="clear"/>
        <w:rPr>
          <w:rFonts w:hint="eastAsia" w:ascii="宋体" w:hAnsi="宋体" w:cs="宋体"/>
          <w:szCs w:val="21"/>
          <w:highlight w:val="none"/>
        </w:rPr>
      </w:pPr>
      <w:bookmarkStart w:id="272" w:name="_Toc23270"/>
      <w:bookmarkStart w:id="273" w:name="_Toc26253"/>
      <w:bookmarkStart w:id="274" w:name="_Toc7854"/>
      <w:bookmarkStart w:id="275" w:name="_Toc26991"/>
      <w:bookmarkStart w:id="276" w:name="_Toc24409"/>
      <w:bookmarkStart w:id="277" w:name="_Toc22046"/>
      <w:r>
        <w:rPr>
          <w:rFonts w:hint="eastAsia" w:ascii="宋体" w:hAnsi="宋体" w:cs="宋体"/>
          <w:szCs w:val="21"/>
          <w:highlight w:val="none"/>
        </w:rPr>
        <w:br w:type="page"/>
      </w:r>
    </w:p>
    <w:p w14:paraId="020AE712">
      <w:pPr>
        <w:pStyle w:val="3"/>
        <w:shd w:val="clear"/>
        <w:rPr>
          <w:rFonts w:hint="eastAsia" w:ascii="宋体" w:hAnsi="宋体" w:cs="宋体"/>
          <w:sz w:val="21"/>
          <w:szCs w:val="21"/>
          <w:highlight w:val="none"/>
        </w:rPr>
      </w:pPr>
      <w:bookmarkStart w:id="278" w:name="_Toc27475"/>
      <w:r>
        <w:rPr>
          <w:rFonts w:hint="eastAsia" w:ascii="宋体" w:hAnsi="宋体" w:cs="宋体"/>
          <w:sz w:val="21"/>
          <w:szCs w:val="21"/>
          <w:highlight w:val="none"/>
        </w:rPr>
        <w:t>附录8 投标人声明</w:t>
      </w:r>
      <w:bookmarkEnd w:id="272"/>
      <w:bookmarkEnd w:id="273"/>
      <w:bookmarkEnd w:id="274"/>
      <w:bookmarkEnd w:id="275"/>
      <w:bookmarkEnd w:id="276"/>
      <w:bookmarkEnd w:id="277"/>
      <w:bookmarkEnd w:id="278"/>
    </w:p>
    <w:p w14:paraId="399D028E">
      <w:pPr>
        <w:shd w:val="clear"/>
        <w:jc w:val="center"/>
        <w:rPr>
          <w:rFonts w:hint="eastAsia" w:ascii="宋体" w:hAnsi="宋体" w:cs="宋体"/>
          <w:b/>
          <w:bCs/>
          <w:sz w:val="32"/>
          <w:szCs w:val="32"/>
          <w:highlight w:val="none"/>
        </w:rPr>
      </w:pPr>
      <w:r>
        <w:rPr>
          <w:rFonts w:hint="eastAsia" w:ascii="宋体" w:hAnsi="宋体" w:cs="宋体"/>
          <w:b/>
          <w:bCs/>
          <w:sz w:val="32"/>
          <w:szCs w:val="32"/>
          <w:highlight w:val="none"/>
        </w:rPr>
        <w:t>投标人声明</w:t>
      </w:r>
    </w:p>
    <w:p w14:paraId="3A4EE136">
      <w:pPr>
        <w:pStyle w:val="43"/>
        <w:shd w:val="clear"/>
        <w:ind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广州市黄埔区住房城乡建设和交通运输局、本招标项目招标人及招标监管机构：</w:t>
      </w:r>
    </w:p>
    <w:p w14:paraId="5FCE67F4">
      <w:pPr>
        <w:pStyle w:val="43"/>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投标工作，作出郑重声明：</w:t>
      </w:r>
    </w:p>
    <w:p w14:paraId="4B5C166B">
      <w:pPr>
        <w:pStyle w:val="43"/>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我方与招标人过去3年内无合同履约纠纷，与本公司单位负责人为同一人或者与本公司存在控股、管理关系的其他单位包括：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。（注：本条由投标人如实填写，如有，应列出全部满足招标公告资质要求的相关单位的名称；如无，则填写“无”。）</w:t>
      </w:r>
    </w:p>
    <w:p w14:paraId="2FABA94C">
      <w:pPr>
        <w:pStyle w:val="43"/>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p>
    <w:p w14:paraId="134CCD0E">
      <w:pPr>
        <w:pStyle w:val="43"/>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本公司承诺遵循公平、公正、公开、诚实信用原则，在本项目投标中诚信投标，在本项目投标中不与其他单位围标、串标，不出让投标资格，不</w:t>
      </w:r>
      <w:r>
        <w:rPr>
          <w:rFonts w:hint="eastAsia" w:ascii="宋体" w:hAnsi="宋体" w:eastAsia="宋体" w:cs="宋体"/>
          <w:color w:val="auto"/>
          <w:sz w:val="24"/>
          <w:szCs w:val="24"/>
          <w:highlight w:val="none"/>
          <w:lang w:eastAsia="zh-CN"/>
        </w:rPr>
        <w:t>向</w:t>
      </w:r>
      <w:r>
        <w:rPr>
          <w:rFonts w:hint="eastAsia" w:ascii="宋体" w:hAnsi="宋体" w:eastAsia="宋体" w:cs="宋体"/>
          <w:color w:val="auto"/>
          <w:sz w:val="24"/>
          <w:szCs w:val="24"/>
          <w:highlight w:val="none"/>
        </w:rPr>
        <w:t>招标人或评标委员会成员行贿，不存在少放、不放业绩、奖项等客观评审资料，减少自身竞争力的情形，若存在以上情形的，将自愿接受被招标人列入拒绝投标名单，不能参与招标人后续招标项目的投标。</w:t>
      </w:r>
    </w:p>
    <w:p w14:paraId="6856D3F3">
      <w:pPr>
        <w:pStyle w:val="43"/>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不存在招标文件第三章第3.11项规定的任何一种情形。</w:t>
      </w:r>
    </w:p>
    <w:p w14:paraId="51B511FE">
      <w:pPr>
        <w:pStyle w:val="43"/>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不存在以下情形：未被列入拖欠农民工工资失信联合惩戒对象名单。</w:t>
      </w:r>
    </w:p>
    <w:p w14:paraId="4296AA25">
      <w:pPr>
        <w:shd w:val="clear"/>
        <w:spacing w:line="360" w:lineRule="auto"/>
        <w:rPr>
          <w:rFonts w:hint="eastAsia" w:ascii="宋体" w:hAnsi="宋体" w:cs="宋体"/>
          <w:sz w:val="24"/>
          <w:szCs w:val="24"/>
          <w:highlight w:val="none"/>
        </w:rPr>
      </w:pPr>
      <w:r>
        <w:rPr>
          <w:rFonts w:hint="eastAsia" w:ascii="宋体" w:hAnsi="宋体" w:cs="宋体"/>
          <w:sz w:val="24"/>
          <w:szCs w:val="24"/>
          <w:highlight w:val="none"/>
        </w:rPr>
        <w:t>特此声明。</w:t>
      </w:r>
    </w:p>
    <w:p w14:paraId="1E7BEB5C">
      <w:pPr>
        <w:pStyle w:val="43"/>
        <w:shd w:val="clear"/>
        <w:spacing w:line="400" w:lineRule="exact"/>
        <w:rPr>
          <w:rFonts w:hint="eastAsia" w:ascii="宋体" w:hAnsi="宋体" w:eastAsia="宋体" w:cs="宋体"/>
          <w:color w:val="auto"/>
          <w:sz w:val="21"/>
          <w:szCs w:val="21"/>
          <w:highlight w:val="none"/>
        </w:rPr>
      </w:pPr>
    </w:p>
    <w:p w14:paraId="28872921">
      <w:pPr>
        <w:pStyle w:val="43"/>
        <w:shd w:val="clear"/>
        <w:spacing w:line="400" w:lineRule="exact"/>
        <w:rPr>
          <w:rFonts w:hint="eastAsia" w:ascii="宋体" w:hAnsi="宋体" w:eastAsia="宋体" w:cs="宋体"/>
          <w:color w:val="auto"/>
          <w:sz w:val="21"/>
          <w:szCs w:val="21"/>
          <w:highlight w:val="none"/>
        </w:rPr>
      </w:pPr>
    </w:p>
    <w:p w14:paraId="15B09F13">
      <w:pPr>
        <w:pStyle w:val="44"/>
        <w:shd w:val="clear"/>
        <w:spacing w:line="400" w:lineRule="exact"/>
        <w:ind w:left="0" w:right="1449" w:firstLine="3570" w:firstLineChars="17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盖章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713B6307">
      <w:pPr>
        <w:pStyle w:val="43"/>
        <w:shd w:val="clear"/>
        <w:spacing w:line="400" w:lineRule="exact"/>
        <w:ind w:right="1449"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法定代表人：（签字或盖章）</w:t>
      </w:r>
    </w:p>
    <w:p w14:paraId="10C6CB9D">
      <w:pPr>
        <w:pStyle w:val="43"/>
        <w:shd w:val="clear"/>
        <w:spacing w:line="400" w:lineRule="exact"/>
        <w:ind w:right="2079" w:firstLine="1890" w:firstLineChars="9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450E3239">
      <w:pPr>
        <w:shd w:val="clear"/>
        <w:rPr>
          <w:rFonts w:hint="eastAsia" w:ascii="宋体" w:hAnsi="宋体" w:cs="宋体"/>
          <w:highlight w:val="none"/>
        </w:rPr>
      </w:pPr>
    </w:p>
    <w:p w14:paraId="6A01A2AC">
      <w:pPr>
        <w:pStyle w:val="15"/>
        <w:widowControl w:val="0"/>
        <w:shd w:val="clear"/>
        <w:spacing w:beforeAutospacing="0" w:afterAutospacing="0" w:line="360" w:lineRule="auto"/>
        <w:jc w:val="both"/>
        <w:rPr>
          <w:rFonts w:cs="宋体"/>
          <w:highlight w:val="none"/>
        </w:rPr>
      </w:pPr>
      <w:r>
        <w:rPr>
          <w:rFonts w:cs="宋体"/>
          <w:b/>
          <w:highlight w:val="none"/>
        </w:rPr>
        <w:t>注：投标人（或联合体牵头方）的法定代表人须在本声明上签字或盖章。若为联合体，声明企业包含联合体全体成员，由联合体牵头方盖章即可。</w:t>
      </w:r>
    </w:p>
    <w:p w14:paraId="2BA492D9">
      <w:pPr>
        <w:pStyle w:val="15"/>
        <w:widowControl w:val="0"/>
        <w:shd w:val="clear"/>
        <w:spacing w:beforeAutospacing="0" w:afterAutospacing="0"/>
        <w:jc w:val="both"/>
        <w:rPr>
          <w:rFonts w:cs="宋体"/>
          <w:sz w:val="20"/>
          <w:szCs w:val="20"/>
          <w:highlight w:val="none"/>
        </w:rPr>
      </w:pPr>
    </w:p>
    <w:p w14:paraId="4C643E34">
      <w:pPr>
        <w:shd w:val="clear"/>
        <w:rPr>
          <w:rFonts w:hint="eastAsia" w:ascii="宋体" w:hAnsi="宋体" w:cs="宋体"/>
          <w:szCs w:val="21"/>
          <w:highlight w:val="none"/>
        </w:rPr>
      </w:pPr>
      <w:r>
        <w:rPr>
          <w:rFonts w:hint="eastAsia" w:ascii="宋体" w:hAnsi="宋体" w:cs="宋体"/>
          <w:szCs w:val="21"/>
          <w:highlight w:val="none"/>
        </w:rPr>
        <w:br w:type="page"/>
      </w:r>
    </w:p>
    <w:p w14:paraId="447E8618">
      <w:pPr>
        <w:shd w:val="clear"/>
        <w:rPr>
          <w:rFonts w:hint="eastAsia" w:ascii="宋体" w:hAnsi="宋体" w:cs="宋体"/>
          <w:szCs w:val="21"/>
          <w:highlight w:val="none"/>
        </w:rPr>
      </w:pPr>
    </w:p>
    <w:p w14:paraId="5C150963">
      <w:pPr>
        <w:shd w:val="clear"/>
        <w:jc w:val="center"/>
        <w:rPr>
          <w:rFonts w:hint="eastAsia" w:ascii="宋体" w:hAnsi="宋体" w:cs="宋体"/>
          <w:b/>
          <w:strike/>
          <w:sz w:val="32"/>
          <w:szCs w:val="32"/>
          <w:highlight w:val="none"/>
        </w:rPr>
      </w:pPr>
      <w:r>
        <w:rPr>
          <w:rFonts w:hint="eastAsia" w:ascii="宋体" w:hAnsi="宋体" w:cs="宋体"/>
          <w:b/>
          <w:strike/>
          <w:sz w:val="32"/>
          <w:szCs w:val="32"/>
          <w:highlight w:val="none"/>
        </w:rPr>
        <w:t>投标人声明（适用于未设资格审查环节的项目）</w:t>
      </w:r>
    </w:p>
    <w:p w14:paraId="0274DA34">
      <w:pPr>
        <w:pStyle w:val="15"/>
        <w:widowControl w:val="0"/>
        <w:shd w:val="clear"/>
        <w:spacing w:beforeAutospacing="0" w:afterAutospacing="0" w:line="360" w:lineRule="auto"/>
        <w:ind w:firstLine="629"/>
        <w:jc w:val="both"/>
        <w:rPr>
          <w:rFonts w:cs="宋体"/>
          <w:strike/>
          <w:highlight w:val="none"/>
        </w:rPr>
      </w:pPr>
    </w:p>
    <w:p w14:paraId="6AA95F03">
      <w:pPr>
        <w:pStyle w:val="15"/>
        <w:widowControl w:val="0"/>
        <w:shd w:val="clear"/>
        <w:spacing w:beforeAutospacing="0" w:afterAutospacing="0" w:line="360" w:lineRule="auto"/>
        <w:ind w:firstLine="629"/>
        <w:jc w:val="both"/>
        <w:rPr>
          <w:rFonts w:cs="宋体"/>
          <w:strike/>
          <w:highlight w:val="none"/>
        </w:rPr>
      </w:pPr>
      <w:r>
        <w:rPr>
          <w:rFonts w:cs="宋体"/>
          <w:strike/>
          <w:highlight w:val="none"/>
        </w:rPr>
        <w:t>广州市住房和城乡建设局、本招标项目招标人及招标监管机构：</w:t>
      </w:r>
    </w:p>
    <w:p w14:paraId="2FB5EC8C">
      <w:pPr>
        <w:pStyle w:val="15"/>
        <w:widowControl w:val="0"/>
        <w:shd w:val="clear"/>
        <w:spacing w:beforeAutospacing="0" w:afterAutospacing="0" w:line="360" w:lineRule="auto"/>
        <w:ind w:firstLine="629"/>
        <w:jc w:val="both"/>
        <w:rPr>
          <w:rFonts w:cs="宋体"/>
          <w:strike/>
          <w:highlight w:val="none"/>
        </w:rPr>
      </w:pPr>
      <w:r>
        <w:rPr>
          <w:rFonts w:cs="宋体"/>
          <w:strike/>
          <w:highlight w:val="none"/>
        </w:rPr>
        <w:t>本公司就参加投标工作，作出郑重声明：我方满足招标公告“1.4 投标资格”中的各项要求。如本公司成为本项目中标候选人的，将在招标人规定的时间内提交相关资料供招标人复核。本公司未按要求提交资料或经复核不满足资格条件的，视为放弃中标资格。</w:t>
      </w:r>
    </w:p>
    <w:p w14:paraId="4BD9CAD8">
      <w:pPr>
        <w:shd w:val="clear"/>
        <w:spacing w:line="360" w:lineRule="auto"/>
        <w:rPr>
          <w:rFonts w:hint="eastAsia" w:ascii="宋体" w:hAnsi="宋体" w:cs="宋体"/>
          <w:strike/>
          <w:sz w:val="24"/>
          <w:szCs w:val="24"/>
          <w:highlight w:val="none"/>
        </w:rPr>
      </w:pPr>
    </w:p>
    <w:p w14:paraId="283FF411">
      <w:pPr>
        <w:pStyle w:val="15"/>
        <w:widowControl w:val="0"/>
        <w:shd w:val="clear"/>
        <w:spacing w:beforeAutospacing="0" w:afterAutospacing="0" w:line="360" w:lineRule="auto"/>
        <w:ind w:firstLine="629"/>
        <w:jc w:val="both"/>
        <w:rPr>
          <w:rFonts w:cs="宋体"/>
          <w:strike/>
          <w:highlight w:val="none"/>
        </w:rPr>
      </w:pPr>
      <w:r>
        <w:rPr>
          <w:rFonts w:cs="宋体"/>
          <w:strike/>
          <w:highlight w:val="none"/>
        </w:rPr>
        <w:t>特此声明。</w:t>
      </w:r>
    </w:p>
    <w:p w14:paraId="76631914">
      <w:pPr>
        <w:pStyle w:val="15"/>
        <w:widowControl w:val="0"/>
        <w:shd w:val="clear"/>
        <w:spacing w:beforeAutospacing="0" w:afterAutospacing="0" w:line="360" w:lineRule="auto"/>
        <w:ind w:firstLine="629"/>
        <w:jc w:val="both"/>
        <w:rPr>
          <w:rFonts w:cs="宋体"/>
          <w:strike/>
          <w:highlight w:val="none"/>
        </w:rPr>
      </w:pPr>
    </w:p>
    <w:p w14:paraId="72303F02">
      <w:pPr>
        <w:pStyle w:val="15"/>
        <w:widowControl w:val="0"/>
        <w:shd w:val="clear"/>
        <w:spacing w:line="360" w:lineRule="auto"/>
        <w:ind w:right="1449" w:firstLine="3840" w:firstLineChars="1600"/>
        <w:jc w:val="both"/>
        <w:rPr>
          <w:rFonts w:cs="宋体"/>
          <w:strike/>
          <w:highlight w:val="none"/>
        </w:rPr>
      </w:pPr>
      <w:r>
        <w:rPr>
          <w:rFonts w:cs="宋体"/>
          <w:strike/>
          <w:highlight w:val="none"/>
        </w:rPr>
        <w:t>投标人：(盖章)</w:t>
      </w:r>
    </w:p>
    <w:p w14:paraId="5E57B09A">
      <w:pPr>
        <w:pStyle w:val="15"/>
        <w:widowControl w:val="0"/>
        <w:shd w:val="clear"/>
        <w:spacing w:beforeAutospacing="0" w:afterAutospacing="0" w:line="360" w:lineRule="auto"/>
        <w:ind w:right="1449"/>
        <w:jc w:val="center"/>
        <w:rPr>
          <w:rFonts w:cs="宋体"/>
          <w:strike/>
          <w:highlight w:val="none"/>
        </w:rPr>
      </w:pPr>
    </w:p>
    <w:p w14:paraId="231A609B">
      <w:pPr>
        <w:pStyle w:val="15"/>
        <w:widowControl w:val="0"/>
        <w:shd w:val="clear"/>
        <w:spacing w:beforeAutospacing="0" w:afterAutospacing="0" w:line="360" w:lineRule="auto"/>
        <w:ind w:right="2079" w:firstLine="2160" w:firstLineChars="900"/>
        <w:jc w:val="right"/>
        <w:rPr>
          <w:rFonts w:cs="宋体"/>
          <w:strike/>
          <w:highlight w:val="none"/>
        </w:rPr>
      </w:pPr>
      <w:r>
        <w:rPr>
          <w:rFonts w:cs="宋体"/>
          <w:strike/>
          <w:highlight w:val="none"/>
        </w:rPr>
        <w:t>年月日</w:t>
      </w:r>
    </w:p>
    <w:p w14:paraId="01AE9CDA">
      <w:pPr>
        <w:shd w:val="clear"/>
        <w:spacing w:line="360" w:lineRule="auto"/>
        <w:jc w:val="left"/>
        <w:rPr>
          <w:rFonts w:hint="eastAsia" w:ascii="宋体" w:hAnsi="宋体" w:cs="宋体"/>
          <w:strike/>
          <w:sz w:val="24"/>
          <w:szCs w:val="24"/>
          <w:highlight w:val="none"/>
        </w:rPr>
      </w:pPr>
    </w:p>
    <w:p w14:paraId="0839D026">
      <w:pPr>
        <w:shd w:val="clear"/>
        <w:spacing w:line="360" w:lineRule="auto"/>
        <w:jc w:val="left"/>
        <w:rPr>
          <w:rFonts w:hint="eastAsia" w:ascii="宋体" w:hAnsi="宋体" w:cs="宋体"/>
          <w:strike/>
          <w:sz w:val="24"/>
          <w:szCs w:val="24"/>
          <w:highlight w:val="none"/>
        </w:rPr>
      </w:pPr>
    </w:p>
    <w:p w14:paraId="3F572E77">
      <w:pPr>
        <w:shd w:val="clear"/>
        <w:spacing w:line="360" w:lineRule="auto"/>
        <w:jc w:val="left"/>
        <w:rPr>
          <w:rFonts w:hint="eastAsia" w:ascii="宋体" w:hAnsi="宋体" w:cs="宋体"/>
          <w:strike/>
          <w:sz w:val="24"/>
          <w:szCs w:val="24"/>
          <w:highlight w:val="none"/>
        </w:rPr>
      </w:pPr>
    </w:p>
    <w:p w14:paraId="50D899D8">
      <w:pPr>
        <w:pStyle w:val="15"/>
        <w:widowControl w:val="0"/>
        <w:shd w:val="clear"/>
        <w:spacing w:beforeAutospacing="0" w:afterAutospacing="0" w:line="360" w:lineRule="auto"/>
        <w:jc w:val="both"/>
        <w:rPr>
          <w:rFonts w:cs="宋体"/>
          <w:highlight w:val="none"/>
        </w:rPr>
      </w:pPr>
      <w:r>
        <w:rPr>
          <w:rFonts w:cs="宋体"/>
          <w:b/>
          <w:strike/>
          <w:highlight w:val="none"/>
          <w:u w:val="single"/>
        </w:rPr>
        <w:t>（注：如联合体投标人，须由联合体主办方盖章。）</w:t>
      </w:r>
    </w:p>
    <w:p w14:paraId="77CAD09F">
      <w:pPr>
        <w:shd w:val="clear"/>
        <w:spacing w:line="360" w:lineRule="auto"/>
        <w:rPr>
          <w:rFonts w:hint="eastAsia" w:ascii="宋体" w:hAnsi="宋体" w:cs="宋体"/>
          <w:strike/>
          <w:kern w:val="0"/>
          <w:sz w:val="24"/>
          <w:szCs w:val="24"/>
          <w:highlight w:val="none"/>
        </w:rPr>
        <w:sectPr>
          <w:pgSz w:w="11906" w:h="16838"/>
          <w:pgMar w:top="1440" w:right="1797" w:bottom="1440" w:left="1797" w:header="851" w:footer="992" w:gutter="0"/>
          <w:cols w:space="720" w:num="1"/>
          <w:docGrid w:type="lines" w:linePitch="312" w:charSpace="0"/>
        </w:sectPr>
      </w:pPr>
    </w:p>
    <w:p w14:paraId="7D5E9692">
      <w:pPr>
        <w:keepNext/>
        <w:keepLines/>
        <w:shd w:val="clear"/>
        <w:spacing w:line="360" w:lineRule="auto"/>
        <w:outlineLvl w:val="1"/>
        <w:rPr>
          <w:rFonts w:hint="eastAsia" w:ascii="宋体" w:hAnsi="宋体" w:cs="宋体"/>
          <w:b/>
          <w:kern w:val="44"/>
          <w:szCs w:val="21"/>
          <w:highlight w:val="none"/>
        </w:rPr>
      </w:pPr>
      <w:bookmarkStart w:id="279" w:name="_Toc143817049"/>
      <w:bookmarkEnd w:id="279"/>
      <w:bookmarkStart w:id="280" w:name="_Toc11718"/>
      <w:bookmarkStart w:id="281" w:name="_Toc25858"/>
      <w:bookmarkStart w:id="282" w:name="_Toc13344"/>
      <w:bookmarkStart w:id="283" w:name="_Toc19867"/>
      <w:bookmarkStart w:id="284" w:name="_Toc25796"/>
      <w:bookmarkStart w:id="285" w:name="_Toc6606"/>
      <w:bookmarkStart w:id="286" w:name="_Toc27336"/>
      <w:r>
        <w:rPr>
          <w:rFonts w:hint="eastAsia" w:ascii="宋体" w:hAnsi="宋体" w:cs="宋体"/>
          <w:b/>
          <w:kern w:val="44"/>
          <w:szCs w:val="21"/>
          <w:highlight w:val="none"/>
        </w:rPr>
        <w:t>附录9 资格审查表</w:t>
      </w:r>
      <w:bookmarkEnd w:id="280"/>
      <w:bookmarkEnd w:id="281"/>
      <w:bookmarkEnd w:id="282"/>
      <w:bookmarkEnd w:id="283"/>
      <w:bookmarkEnd w:id="284"/>
      <w:bookmarkEnd w:id="285"/>
      <w:bookmarkEnd w:id="286"/>
    </w:p>
    <w:p w14:paraId="6BF83A8D">
      <w:pPr>
        <w:shd w:val="clear"/>
        <w:spacing w:line="360" w:lineRule="auto"/>
        <w:jc w:val="center"/>
        <w:rPr>
          <w:rFonts w:hint="eastAsia" w:ascii="宋体" w:hAnsi="宋体" w:cs="宋体"/>
          <w:b/>
          <w:sz w:val="32"/>
          <w:szCs w:val="32"/>
          <w:highlight w:val="none"/>
        </w:rPr>
      </w:pPr>
      <w:r>
        <w:rPr>
          <w:rFonts w:hint="eastAsia" w:ascii="宋体" w:hAnsi="宋体" w:cs="宋体"/>
          <w:b/>
          <w:sz w:val="32"/>
          <w:szCs w:val="32"/>
          <w:highlight w:val="none"/>
        </w:rPr>
        <w:t>资格审查表</w:t>
      </w:r>
    </w:p>
    <w:p w14:paraId="7A6D9DD3">
      <w:pPr>
        <w:shd w:val="clear"/>
        <w:spacing w:line="360" w:lineRule="auto"/>
        <w:rPr>
          <w:rFonts w:hint="eastAsia" w:ascii="宋体" w:hAnsi="宋体" w:cs="宋体"/>
          <w:b/>
          <w:sz w:val="24"/>
          <w:szCs w:val="24"/>
          <w:highlight w:val="none"/>
        </w:rPr>
      </w:pPr>
      <w:r>
        <w:rPr>
          <w:rFonts w:hint="eastAsia" w:ascii="宋体" w:hAnsi="宋体" w:cs="宋体"/>
          <w:sz w:val="24"/>
          <w:szCs w:val="24"/>
          <w:highlight w:val="none"/>
        </w:rPr>
        <w:t>项目名称：</w:t>
      </w:r>
    </w:p>
    <w:tbl>
      <w:tblPr>
        <w:tblStyle w:val="19"/>
        <w:tblW w:w="8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4658"/>
        <w:gridCol w:w="1136"/>
        <w:gridCol w:w="1003"/>
        <w:gridCol w:w="1022"/>
      </w:tblGrid>
      <w:tr w14:paraId="110EB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638" w:type="dxa"/>
            <w:tcBorders>
              <w:top w:val="single" w:color="auto" w:sz="4" w:space="0"/>
              <w:left w:val="single" w:color="auto" w:sz="4" w:space="0"/>
              <w:bottom w:val="single" w:color="auto" w:sz="4" w:space="0"/>
              <w:right w:val="single" w:color="auto" w:sz="4" w:space="0"/>
            </w:tcBorders>
            <w:vAlign w:val="center"/>
          </w:tcPr>
          <w:p w14:paraId="214B3445">
            <w:pPr>
              <w:shd w:val="clea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序号</w:t>
            </w:r>
          </w:p>
        </w:tc>
        <w:tc>
          <w:tcPr>
            <w:tcW w:w="4658" w:type="dxa"/>
            <w:tcBorders>
              <w:top w:val="single" w:color="auto" w:sz="4" w:space="0"/>
              <w:left w:val="nil"/>
              <w:bottom w:val="single" w:color="auto" w:sz="4" w:space="0"/>
              <w:right w:val="single" w:color="auto" w:sz="4" w:space="0"/>
            </w:tcBorders>
            <w:vAlign w:val="center"/>
          </w:tcPr>
          <w:p w14:paraId="544D3B06">
            <w:pPr>
              <w:shd w:val="clear"/>
              <w:spacing w:line="360" w:lineRule="auto"/>
              <w:jc w:val="center"/>
              <w:rPr>
                <w:rFonts w:hint="eastAsia" w:ascii="宋体" w:hAnsi="宋体" w:cs="宋体"/>
                <w:b/>
                <w:sz w:val="24"/>
                <w:szCs w:val="24"/>
                <w:highlight w:val="none"/>
              </w:rPr>
            </w:pPr>
            <w:r>
              <w:rPr>
                <w:rFonts w:hint="eastAsia" w:ascii="宋体" w:hAnsi="宋体" w:cs="宋体"/>
                <w:sz w:val="24"/>
                <w:szCs w:val="24"/>
                <w:highlight w:val="none"/>
              </w:rPr>
              <w:t>审查项目</w:t>
            </w:r>
          </w:p>
        </w:tc>
        <w:tc>
          <w:tcPr>
            <w:tcW w:w="1136" w:type="dxa"/>
            <w:tcBorders>
              <w:top w:val="single" w:color="auto" w:sz="4" w:space="0"/>
              <w:left w:val="nil"/>
              <w:bottom w:val="single" w:color="auto" w:sz="4" w:space="0"/>
              <w:right w:val="single" w:color="auto" w:sz="4" w:space="0"/>
            </w:tcBorders>
            <w:vAlign w:val="center"/>
          </w:tcPr>
          <w:p w14:paraId="551BEF59">
            <w:pPr>
              <w:shd w:val="clear"/>
              <w:spacing w:line="360" w:lineRule="auto"/>
              <w:jc w:val="center"/>
              <w:rPr>
                <w:rFonts w:hint="eastAsia" w:ascii="宋体" w:hAnsi="宋体" w:cs="宋体"/>
                <w:b/>
                <w:sz w:val="24"/>
                <w:szCs w:val="24"/>
                <w:highlight w:val="none"/>
              </w:rPr>
            </w:pPr>
            <w:r>
              <w:rPr>
                <w:rFonts w:hint="eastAsia" w:ascii="宋体" w:hAnsi="宋体" w:cs="宋体"/>
                <w:sz w:val="24"/>
                <w:szCs w:val="24"/>
                <w:highlight w:val="none"/>
              </w:rPr>
              <w:t>投标人名称</w:t>
            </w:r>
          </w:p>
        </w:tc>
        <w:tc>
          <w:tcPr>
            <w:tcW w:w="1003" w:type="dxa"/>
            <w:tcBorders>
              <w:top w:val="single" w:color="auto" w:sz="4" w:space="0"/>
              <w:left w:val="nil"/>
              <w:bottom w:val="single" w:color="auto" w:sz="4" w:space="0"/>
              <w:right w:val="single" w:color="auto" w:sz="4" w:space="0"/>
            </w:tcBorders>
            <w:vAlign w:val="center"/>
          </w:tcPr>
          <w:p w14:paraId="6452052D">
            <w:pPr>
              <w:shd w:val="clear"/>
              <w:spacing w:line="360" w:lineRule="auto"/>
              <w:jc w:val="center"/>
              <w:rPr>
                <w:rFonts w:hint="eastAsia" w:ascii="宋体" w:hAnsi="宋体" w:cs="宋体"/>
                <w:b/>
                <w:sz w:val="24"/>
                <w:szCs w:val="24"/>
                <w:highlight w:val="none"/>
              </w:rPr>
            </w:pPr>
            <w:r>
              <w:rPr>
                <w:rFonts w:hint="eastAsia" w:ascii="宋体" w:hAnsi="宋体" w:cs="宋体"/>
                <w:b/>
                <w:sz w:val="24"/>
                <w:szCs w:val="24"/>
                <w:highlight w:val="none"/>
              </w:rPr>
              <w:t>....</w:t>
            </w:r>
          </w:p>
        </w:tc>
        <w:tc>
          <w:tcPr>
            <w:tcW w:w="1022" w:type="dxa"/>
            <w:tcBorders>
              <w:top w:val="single" w:color="auto" w:sz="4" w:space="0"/>
              <w:left w:val="nil"/>
              <w:bottom w:val="single" w:color="auto" w:sz="4" w:space="0"/>
              <w:right w:val="single" w:color="auto" w:sz="4" w:space="0"/>
            </w:tcBorders>
            <w:vAlign w:val="center"/>
          </w:tcPr>
          <w:p w14:paraId="30E53B08">
            <w:pPr>
              <w:shd w:val="clear"/>
              <w:spacing w:line="360" w:lineRule="auto"/>
              <w:jc w:val="center"/>
              <w:rPr>
                <w:rFonts w:hint="eastAsia" w:ascii="宋体" w:hAnsi="宋体" w:cs="宋体"/>
                <w:b/>
                <w:sz w:val="24"/>
                <w:szCs w:val="24"/>
                <w:highlight w:val="none"/>
              </w:rPr>
            </w:pPr>
            <w:r>
              <w:rPr>
                <w:rFonts w:hint="eastAsia" w:ascii="宋体" w:hAnsi="宋体" w:cs="宋体"/>
                <w:b/>
                <w:sz w:val="24"/>
                <w:szCs w:val="24"/>
                <w:highlight w:val="none"/>
              </w:rPr>
              <w:t>....</w:t>
            </w:r>
          </w:p>
        </w:tc>
      </w:tr>
      <w:tr w14:paraId="5623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638" w:type="dxa"/>
            <w:tcBorders>
              <w:top w:val="single" w:color="auto" w:sz="4" w:space="0"/>
              <w:left w:val="single" w:color="auto" w:sz="4" w:space="0"/>
              <w:bottom w:val="single" w:color="auto" w:sz="4" w:space="0"/>
              <w:right w:val="single" w:color="auto" w:sz="4" w:space="0"/>
            </w:tcBorders>
            <w:vAlign w:val="center"/>
          </w:tcPr>
          <w:p w14:paraId="3CF8A8CD">
            <w:pPr>
              <w:shd w:val="clea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1</w:t>
            </w:r>
          </w:p>
        </w:tc>
        <w:tc>
          <w:tcPr>
            <w:tcW w:w="4658" w:type="dxa"/>
            <w:tcBorders>
              <w:top w:val="single" w:color="auto" w:sz="4" w:space="0"/>
              <w:left w:val="nil"/>
              <w:bottom w:val="single" w:color="auto" w:sz="4" w:space="0"/>
              <w:right w:val="single" w:color="auto" w:sz="4" w:space="0"/>
            </w:tcBorders>
            <w:vAlign w:val="center"/>
          </w:tcPr>
          <w:p w14:paraId="071D05B3">
            <w:pPr>
              <w:shd w:val="clear"/>
              <w:spacing w:line="360" w:lineRule="auto"/>
              <w:rPr>
                <w:rFonts w:hint="eastAsia" w:ascii="宋体" w:hAnsi="宋体" w:cs="宋体"/>
                <w:sz w:val="24"/>
                <w:szCs w:val="24"/>
                <w:highlight w:val="none"/>
                <w:u w:val="single"/>
              </w:rPr>
            </w:pPr>
            <w:r>
              <w:rPr>
                <w:rFonts w:hint="eastAsia" w:ascii="宋体" w:hAnsi="宋体" w:cs="宋体"/>
                <w:sz w:val="24"/>
                <w:szCs w:val="24"/>
                <w:highlight w:val="none"/>
                <w:u w:val="single"/>
              </w:rPr>
              <w:t>申请人（若为联合体，指联合体各方）与招标人过去3年内无合同履约纠纷，没有不得参加投标的情形。（注：不得参加投标的情形详见招标文件第三章第3.11项及根据投标人声明评审）</w:t>
            </w:r>
          </w:p>
        </w:tc>
        <w:tc>
          <w:tcPr>
            <w:tcW w:w="1136" w:type="dxa"/>
            <w:tcBorders>
              <w:top w:val="single" w:color="auto" w:sz="4" w:space="0"/>
              <w:left w:val="nil"/>
              <w:bottom w:val="single" w:color="auto" w:sz="4" w:space="0"/>
              <w:right w:val="single" w:color="auto" w:sz="4" w:space="0"/>
            </w:tcBorders>
          </w:tcPr>
          <w:p w14:paraId="38422860">
            <w:pPr>
              <w:shd w:val="clear"/>
              <w:spacing w:line="360" w:lineRule="auto"/>
              <w:jc w:val="center"/>
              <w:rPr>
                <w:rFonts w:hint="eastAsia" w:ascii="宋体" w:hAnsi="宋体" w:cs="宋体"/>
                <w:b/>
                <w:sz w:val="24"/>
                <w:szCs w:val="24"/>
                <w:highlight w:val="none"/>
              </w:rPr>
            </w:pPr>
          </w:p>
        </w:tc>
        <w:tc>
          <w:tcPr>
            <w:tcW w:w="1003" w:type="dxa"/>
            <w:tcBorders>
              <w:top w:val="single" w:color="auto" w:sz="4" w:space="0"/>
              <w:left w:val="nil"/>
              <w:bottom w:val="single" w:color="auto" w:sz="4" w:space="0"/>
              <w:right w:val="single" w:color="auto" w:sz="4" w:space="0"/>
            </w:tcBorders>
          </w:tcPr>
          <w:p w14:paraId="36801524">
            <w:pPr>
              <w:shd w:val="clear"/>
              <w:spacing w:line="360" w:lineRule="auto"/>
              <w:jc w:val="center"/>
              <w:rPr>
                <w:rFonts w:hint="eastAsia" w:ascii="宋体" w:hAnsi="宋体" w:cs="宋体"/>
                <w:b/>
                <w:sz w:val="24"/>
                <w:szCs w:val="24"/>
                <w:highlight w:val="none"/>
              </w:rPr>
            </w:pPr>
          </w:p>
        </w:tc>
        <w:tc>
          <w:tcPr>
            <w:tcW w:w="1022" w:type="dxa"/>
            <w:tcBorders>
              <w:top w:val="single" w:color="auto" w:sz="4" w:space="0"/>
              <w:left w:val="nil"/>
              <w:bottom w:val="single" w:color="auto" w:sz="4" w:space="0"/>
              <w:right w:val="single" w:color="auto" w:sz="4" w:space="0"/>
            </w:tcBorders>
          </w:tcPr>
          <w:p w14:paraId="4AEE2545">
            <w:pPr>
              <w:shd w:val="clear"/>
              <w:spacing w:line="360" w:lineRule="auto"/>
              <w:jc w:val="center"/>
              <w:rPr>
                <w:rFonts w:hint="eastAsia" w:ascii="宋体" w:hAnsi="宋体" w:cs="宋体"/>
                <w:b/>
                <w:sz w:val="24"/>
                <w:szCs w:val="24"/>
                <w:highlight w:val="none"/>
              </w:rPr>
            </w:pPr>
          </w:p>
        </w:tc>
      </w:tr>
      <w:tr w14:paraId="4954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38" w:type="dxa"/>
            <w:tcBorders>
              <w:top w:val="single" w:color="auto" w:sz="4" w:space="0"/>
              <w:left w:val="single" w:color="auto" w:sz="4" w:space="0"/>
              <w:bottom w:val="single" w:color="auto" w:sz="4" w:space="0"/>
              <w:right w:val="single" w:color="auto" w:sz="4" w:space="0"/>
            </w:tcBorders>
            <w:vAlign w:val="center"/>
          </w:tcPr>
          <w:p w14:paraId="22774281">
            <w:pPr>
              <w:shd w:val="clea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2</w:t>
            </w:r>
          </w:p>
        </w:tc>
        <w:tc>
          <w:tcPr>
            <w:tcW w:w="4658" w:type="dxa"/>
            <w:tcBorders>
              <w:top w:val="single" w:color="auto" w:sz="4" w:space="0"/>
              <w:left w:val="nil"/>
              <w:bottom w:val="single" w:color="auto" w:sz="4" w:space="0"/>
              <w:right w:val="single" w:color="auto" w:sz="4" w:space="0"/>
            </w:tcBorders>
            <w:vAlign w:val="center"/>
          </w:tcPr>
          <w:p w14:paraId="577A4621">
            <w:pPr>
              <w:shd w:val="clear"/>
              <w:spacing w:line="360" w:lineRule="auto"/>
              <w:rPr>
                <w:rFonts w:hint="eastAsia" w:ascii="宋体" w:hAnsi="宋体" w:cs="宋体"/>
                <w:sz w:val="24"/>
                <w:szCs w:val="24"/>
                <w:highlight w:val="none"/>
                <w:u w:val="single"/>
              </w:rPr>
            </w:pPr>
            <w:r>
              <w:rPr>
                <w:rFonts w:hint="eastAsia" w:ascii="宋体" w:hAnsi="宋体" w:cs="宋体"/>
                <w:sz w:val="24"/>
                <w:szCs w:val="24"/>
                <w:highlight w:val="none"/>
                <w:u w:val="single"/>
              </w:rPr>
              <w:t>申请人的资质满足招标公告规定。</w:t>
            </w:r>
          </w:p>
        </w:tc>
        <w:tc>
          <w:tcPr>
            <w:tcW w:w="1136" w:type="dxa"/>
            <w:tcBorders>
              <w:top w:val="single" w:color="auto" w:sz="4" w:space="0"/>
              <w:left w:val="nil"/>
              <w:bottom w:val="single" w:color="auto" w:sz="4" w:space="0"/>
              <w:right w:val="single" w:color="auto" w:sz="4" w:space="0"/>
            </w:tcBorders>
          </w:tcPr>
          <w:p w14:paraId="18B884D2">
            <w:pPr>
              <w:shd w:val="clear"/>
              <w:spacing w:line="360" w:lineRule="auto"/>
              <w:jc w:val="center"/>
              <w:rPr>
                <w:rFonts w:hint="eastAsia" w:ascii="宋体" w:hAnsi="宋体" w:cs="宋体"/>
                <w:b/>
                <w:sz w:val="24"/>
                <w:szCs w:val="24"/>
                <w:highlight w:val="none"/>
              </w:rPr>
            </w:pPr>
          </w:p>
        </w:tc>
        <w:tc>
          <w:tcPr>
            <w:tcW w:w="1003" w:type="dxa"/>
            <w:tcBorders>
              <w:top w:val="single" w:color="auto" w:sz="4" w:space="0"/>
              <w:left w:val="nil"/>
              <w:bottom w:val="single" w:color="auto" w:sz="4" w:space="0"/>
              <w:right w:val="single" w:color="auto" w:sz="4" w:space="0"/>
            </w:tcBorders>
          </w:tcPr>
          <w:p w14:paraId="6991A334">
            <w:pPr>
              <w:shd w:val="clear"/>
              <w:spacing w:line="360" w:lineRule="auto"/>
              <w:jc w:val="center"/>
              <w:rPr>
                <w:rFonts w:hint="eastAsia" w:ascii="宋体" w:hAnsi="宋体" w:cs="宋体"/>
                <w:b/>
                <w:sz w:val="24"/>
                <w:szCs w:val="24"/>
                <w:highlight w:val="none"/>
              </w:rPr>
            </w:pPr>
          </w:p>
        </w:tc>
        <w:tc>
          <w:tcPr>
            <w:tcW w:w="1022" w:type="dxa"/>
            <w:tcBorders>
              <w:top w:val="single" w:color="auto" w:sz="4" w:space="0"/>
              <w:left w:val="nil"/>
              <w:bottom w:val="single" w:color="auto" w:sz="4" w:space="0"/>
              <w:right w:val="single" w:color="auto" w:sz="4" w:space="0"/>
            </w:tcBorders>
          </w:tcPr>
          <w:p w14:paraId="6CADE0C4">
            <w:pPr>
              <w:shd w:val="clear"/>
              <w:spacing w:line="360" w:lineRule="auto"/>
              <w:jc w:val="center"/>
              <w:rPr>
                <w:rFonts w:hint="eastAsia" w:ascii="宋体" w:hAnsi="宋体" w:cs="宋体"/>
                <w:b/>
                <w:sz w:val="24"/>
                <w:szCs w:val="24"/>
                <w:highlight w:val="none"/>
              </w:rPr>
            </w:pPr>
          </w:p>
        </w:tc>
      </w:tr>
      <w:tr w14:paraId="0F68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638" w:type="dxa"/>
            <w:tcBorders>
              <w:top w:val="single" w:color="auto" w:sz="4" w:space="0"/>
              <w:left w:val="single" w:color="auto" w:sz="4" w:space="0"/>
              <w:bottom w:val="single" w:color="auto" w:sz="4" w:space="0"/>
              <w:right w:val="single" w:color="auto" w:sz="4" w:space="0"/>
            </w:tcBorders>
            <w:vAlign w:val="center"/>
          </w:tcPr>
          <w:p w14:paraId="0706BA48">
            <w:pPr>
              <w:shd w:val="clea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3</w:t>
            </w:r>
          </w:p>
        </w:tc>
        <w:tc>
          <w:tcPr>
            <w:tcW w:w="4658" w:type="dxa"/>
            <w:tcBorders>
              <w:top w:val="single" w:color="auto" w:sz="4" w:space="0"/>
              <w:left w:val="nil"/>
              <w:bottom w:val="single" w:color="auto" w:sz="4" w:space="0"/>
              <w:right w:val="single" w:color="auto" w:sz="4" w:space="0"/>
            </w:tcBorders>
            <w:vAlign w:val="center"/>
          </w:tcPr>
          <w:p w14:paraId="05811E3F">
            <w:pPr>
              <w:shd w:val="clear"/>
              <w:spacing w:line="360" w:lineRule="auto"/>
              <w:rPr>
                <w:rFonts w:hint="eastAsia" w:ascii="宋体" w:hAnsi="宋体" w:cs="宋体"/>
                <w:sz w:val="24"/>
                <w:szCs w:val="24"/>
                <w:highlight w:val="none"/>
                <w:u w:val="single"/>
              </w:rPr>
            </w:pPr>
            <w:r>
              <w:rPr>
                <w:rFonts w:hint="eastAsia" w:ascii="宋体" w:hAnsi="宋体" w:cs="宋体"/>
                <w:sz w:val="24"/>
                <w:szCs w:val="24"/>
                <w:highlight w:val="none"/>
                <w:u w:val="single"/>
              </w:rPr>
              <w:t>外国或澳门、台湾的设计企业必须选择一家符合上述条件的企业进行合作设计。香港企业如不单独参加投标，也必须选择一家符合上述条件的企业进行合作设计。（如有，如果没有，本条款不需要评审）</w:t>
            </w:r>
          </w:p>
        </w:tc>
        <w:tc>
          <w:tcPr>
            <w:tcW w:w="1136" w:type="dxa"/>
            <w:tcBorders>
              <w:top w:val="single" w:color="auto" w:sz="4" w:space="0"/>
              <w:left w:val="nil"/>
              <w:bottom w:val="single" w:color="auto" w:sz="4" w:space="0"/>
              <w:right w:val="single" w:color="auto" w:sz="4" w:space="0"/>
            </w:tcBorders>
          </w:tcPr>
          <w:p w14:paraId="6B40C9A9">
            <w:pPr>
              <w:shd w:val="clear"/>
              <w:spacing w:line="360" w:lineRule="auto"/>
              <w:jc w:val="center"/>
              <w:rPr>
                <w:rFonts w:hint="eastAsia" w:ascii="宋体" w:hAnsi="宋体" w:cs="宋体"/>
                <w:b/>
                <w:sz w:val="24"/>
                <w:szCs w:val="24"/>
                <w:highlight w:val="none"/>
              </w:rPr>
            </w:pPr>
          </w:p>
        </w:tc>
        <w:tc>
          <w:tcPr>
            <w:tcW w:w="1003" w:type="dxa"/>
            <w:tcBorders>
              <w:top w:val="single" w:color="auto" w:sz="4" w:space="0"/>
              <w:left w:val="nil"/>
              <w:bottom w:val="single" w:color="auto" w:sz="4" w:space="0"/>
              <w:right w:val="single" w:color="auto" w:sz="4" w:space="0"/>
            </w:tcBorders>
          </w:tcPr>
          <w:p w14:paraId="15D2A518">
            <w:pPr>
              <w:shd w:val="clear"/>
              <w:spacing w:line="360" w:lineRule="auto"/>
              <w:jc w:val="center"/>
              <w:rPr>
                <w:rFonts w:hint="eastAsia" w:ascii="宋体" w:hAnsi="宋体" w:cs="宋体"/>
                <w:b/>
                <w:sz w:val="24"/>
                <w:szCs w:val="24"/>
                <w:highlight w:val="none"/>
              </w:rPr>
            </w:pPr>
          </w:p>
        </w:tc>
        <w:tc>
          <w:tcPr>
            <w:tcW w:w="1022" w:type="dxa"/>
            <w:tcBorders>
              <w:top w:val="single" w:color="auto" w:sz="4" w:space="0"/>
              <w:left w:val="nil"/>
              <w:bottom w:val="single" w:color="auto" w:sz="4" w:space="0"/>
              <w:right w:val="single" w:color="auto" w:sz="4" w:space="0"/>
            </w:tcBorders>
          </w:tcPr>
          <w:p w14:paraId="42577D11">
            <w:pPr>
              <w:shd w:val="clear"/>
              <w:spacing w:line="360" w:lineRule="auto"/>
              <w:jc w:val="center"/>
              <w:rPr>
                <w:rFonts w:hint="eastAsia" w:ascii="宋体" w:hAnsi="宋体" w:cs="宋体"/>
                <w:b/>
                <w:sz w:val="24"/>
                <w:szCs w:val="24"/>
                <w:highlight w:val="none"/>
              </w:rPr>
            </w:pPr>
          </w:p>
        </w:tc>
      </w:tr>
      <w:tr w14:paraId="49B2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638" w:type="dxa"/>
            <w:tcBorders>
              <w:top w:val="single" w:color="auto" w:sz="4" w:space="0"/>
              <w:left w:val="single" w:color="auto" w:sz="4" w:space="0"/>
              <w:bottom w:val="single" w:color="auto" w:sz="4" w:space="0"/>
              <w:right w:val="single" w:color="auto" w:sz="4" w:space="0"/>
            </w:tcBorders>
            <w:vAlign w:val="center"/>
          </w:tcPr>
          <w:p w14:paraId="5FB0E28D">
            <w:pPr>
              <w:shd w:val="clea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4</w:t>
            </w:r>
          </w:p>
        </w:tc>
        <w:tc>
          <w:tcPr>
            <w:tcW w:w="4658" w:type="dxa"/>
            <w:tcBorders>
              <w:top w:val="single" w:color="auto" w:sz="4" w:space="0"/>
              <w:left w:val="nil"/>
              <w:bottom w:val="single" w:color="auto" w:sz="4" w:space="0"/>
              <w:right w:val="single" w:color="auto" w:sz="4" w:space="0"/>
            </w:tcBorders>
            <w:vAlign w:val="center"/>
          </w:tcPr>
          <w:p w14:paraId="76CBC889">
            <w:pPr>
              <w:shd w:val="clear"/>
              <w:spacing w:line="360" w:lineRule="auto"/>
              <w:rPr>
                <w:rFonts w:hint="eastAsia" w:ascii="宋体" w:hAnsi="宋体" w:cs="宋体"/>
                <w:sz w:val="24"/>
                <w:szCs w:val="24"/>
                <w:highlight w:val="none"/>
                <w:u w:val="single"/>
              </w:rPr>
            </w:pPr>
            <w:r>
              <w:rPr>
                <w:rFonts w:hint="eastAsia" w:ascii="宋体" w:hAnsi="宋体" w:cs="宋体"/>
                <w:sz w:val="24"/>
                <w:szCs w:val="24"/>
                <w:highlight w:val="none"/>
                <w:u w:val="single"/>
              </w:rPr>
              <w:t>申请人</w:t>
            </w:r>
            <w:r>
              <w:rPr>
                <w:rFonts w:hint="eastAsia" w:ascii="宋体" w:hAnsi="宋体" w:cs="宋体"/>
                <w:sz w:val="24"/>
                <w:highlight w:val="none"/>
                <w:u w:val="single"/>
              </w:rPr>
              <w:t>（若为联合体，指联合体各方）</w:t>
            </w:r>
            <w:r>
              <w:rPr>
                <w:rFonts w:hint="eastAsia" w:ascii="宋体" w:hAnsi="宋体" w:cs="宋体"/>
                <w:sz w:val="24"/>
                <w:szCs w:val="24"/>
                <w:highlight w:val="none"/>
                <w:u w:val="single"/>
              </w:rPr>
              <w:t>已在广州市住房和城乡建设局建立</w:t>
            </w:r>
            <w:r>
              <w:rPr>
                <w:rFonts w:hint="eastAsia" w:ascii="宋体" w:hAnsi="宋体" w:cs="宋体"/>
                <w:bCs/>
                <w:sz w:val="24"/>
                <w:szCs w:val="24"/>
                <w:highlight w:val="none"/>
                <w:u w:val="single"/>
              </w:rPr>
              <w:t>企业信用档案</w:t>
            </w:r>
            <w:r>
              <w:rPr>
                <w:rFonts w:hint="eastAsia" w:ascii="宋体" w:hAnsi="宋体" w:cs="宋体"/>
                <w:sz w:val="24"/>
                <w:szCs w:val="24"/>
                <w:highlight w:val="none"/>
                <w:u w:val="single"/>
              </w:rPr>
              <w:t>，拟委派的项目负责人</w:t>
            </w:r>
            <w:r>
              <w:rPr>
                <w:rFonts w:hint="eastAsia" w:ascii="宋体" w:hAnsi="宋体" w:cs="宋体"/>
                <w:sz w:val="24"/>
                <w:highlight w:val="none"/>
                <w:u w:val="single"/>
              </w:rPr>
              <w:t>（若为联合体，指联合体牵头方）</w:t>
            </w:r>
            <w:r>
              <w:rPr>
                <w:rFonts w:hint="eastAsia" w:ascii="宋体" w:hAnsi="宋体" w:cs="宋体"/>
                <w:sz w:val="24"/>
                <w:szCs w:val="24"/>
                <w:highlight w:val="none"/>
                <w:u w:val="single"/>
              </w:rPr>
              <w:t>须是本企业</w:t>
            </w:r>
            <w:r>
              <w:rPr>
                <w:rFonts w:hint="eastAsia" w:ascii="宋体" w:hAnsi="宋体" w:cs="宋体"/>
                <w:bCs/>
                <w:sz w:val="24"/>
                <w:szCs w:val="24"/>
                <w:highlight w:val="none"/>
                <w:u w:val="single"/>
              </w:rPr>
              <w:t>信用档案</w:t>
            </w:r>
            <w:r>
              <w:rPr>
                <w:rFonts w:hint="eastAsia" w:ascii="宋体" w:hAnsi="宋体" w:cs="宋体"/>
                <w:sz w:val="24"/>
                <w:szCs w:val="24"/>
                <w:highlight w:val="none"/>
                <w:u w:val="single"/>
              </w:rPr>
              <w:t>中的在册人员。</w:t>
            </w:r>
          </w:p>
        </w:tc>
        <w:tc>
          <w:tcPr>
            <w:tcW w:w="1136" w:type="dxa"/>
            <w:tcBorders>
              <w:top w:val="single" w:color="auto" w:sz="4" w:space="0"/>
              <w:left w:val="nil"/>
              <w:bottom w:val="single" w:color="auto" w:sz="4" w:space="0"/>
              <w:right w:val="single" w:color="auto" w:sz="4" w:space="0"/>
            </w:tcBorders>
          </w:tcPr>
          <w:p w14:paraId="06AF6431">
            <w:pPr>
              <w:shd w:val="clear"/>
              <w:spacing w:line="360" w:lineRule="auto"/>
              <w:jc w:val="center"/>
              <w:rPr>
                <w:rFonts w:hint="eastAsia" w:ascii="宋体" w:hAnsi="宋体" w:cs="宋体"/>
                <w:b/>
                <w:sz w:val="24"/>
                <w:szCs w:val="24"/>
                <w:highlight w:val="none"/>
              </w:rPr>
            </w:pPr>
          </w:p>
        </w:tc>
        <w:tc>
          <w:tcPr>
            <w:tcW w:w="1003" w:type="dxa"/>
            <w:tcBorders>
              <w:top w:val="single" w:color="auto" w:sz="4" w:space="0"/>
              <w:left w:val="nil"/>
              <w:bottom w:val="single" w:color="auto" w:sz="4" w:space="0"/>
              <w:right w:val="single" w:color="auto" w:sz="4" w:space="0"/>
            </w:tcBorders>
          </w:tcPr>
          <w:p w14:paraId="075F45DD">
            <w:pPr>
              <w:shd w:val="clear"/>
              <w:spacing w:line="360" w:lineRule="auto"/>
              <w:jc w:val="center"/>
              <w:rPr>
                <w:rFonts w:hint="eastAsia" w:ascii="宋体" w:hAnsi="宋体" w:cs="宋体"/>
                <w:b/>
                <w:sz w:val="24"/>
                <w:szCs w:val="24"/>
                <w:highlight w:val="none"/>
              </w:rPr>
            </w:pPr>
          </w:p>
        </w:tc>
        <w:tc>
          <w:tcPr>
            <w:tcW w:w="1022" w:type="dxa"/>
            <w:tcBorders>
              <w:top w:val="single" w:color="auto" w:sz="4" w:space="0"/>
              <w:left w:val="nil"/>
              <w:bottom w:val="single" w:color="auto" w:sz="4" w:space="0"/>
              <w:right w:val="single" w:color="auto" w:sz="4" w:space="0"/>
            </w:tcBorders>
          </w:tcPr>
          <w:p w14:paraId="1F79C38E">
            <w:pPr>
              <w:shd w:val="clear"/>
              <w:spacing w:line="360" w:lineRule="auto"/>
              <w:jc w:val="center"/>
              <w:rPr>
                <w:rFonts w:hint="eastAsia" w:ascii="宋体" w:hAnsi="宋体" w:cs="宋体"/>
                <w:b/>
                <w:sz w:val="24"/>
                <w:szCs w:val="24"/>
                <w:highlight w:val="none"/>
              </w:rPr>
            </w:pPr>
          </w:p>
        </w:tc>
      </w:tr>
      <w:tr w14:paraId="7196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638" w:type="dxa"/>
            <w:tcBorders>
              <w:top w:val="single" w:color="auto" w:sz="4" w:space="0"/>
              <w:left w:val="single" w:color="auto" w:sz="4" w:space="0"/>
              <w:bottom w:val="single" w:color="auto" w:sz="4" w:space="0"/>
              <w:right w:val="single" w:color="auto" w:sz="4" w:space="0"/>
            </w:tcBorders>
            <w:vAlign w:val="center"/>
          </w:tcPr>
          <w:p w14:paraId="39AD6F8E">
            <w:pPr>
              <w:shd w:val="clea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5</w:t>
            </w:r>
          </w:p>
        </w:tc>
        <w:tc>
          <w:tcPr>
            <w:tcW w:w="4658" w:type="dxa"/>
            <w:tcBorders>
              <w:top w:val="single" w:color="auto" w:sz="4" w:space="0"/>
              <w:left w:val="nil"/>
              <w:bottom w:val="single" w:color="auto" w:sz="4" w:space="0"/>
              <w:right w:val="single" w:color="auto" w:sz="4" w:space="0"/>
            </w:tcBorders>
            <w:vAlign w:val="center"/>
          </w:tcPr>
          <w:p w14:paraId="06F76C7F">
            <w:pPr>
              <w:shd w:val="clear"/>
              <w:spacing w:line="360" w:lineRule="auto"/>
              <w:rPr>
                <w:rFonts w:hint="eastAsia" w:ascii="宋体" w:hAnsi="宋体" w:cs="宋体"/>
                <w:sz w:val="24"/>
                <w:szCs w:val="24"/>
                <w:highlight w:val="none"/>
                <w:u w:val="single"/>
              </w:rPr>
            </w:pPr>
            <w:r>
              <w:rPr>
                <w:rFonts w:hint="eastAsia" w:ascii="宋体" w:hAnsi="宋体" w:cs="宋体"/>
                <w:sz w:val="24"/>
                <w:szCs w:val="24"/>
                <w:highlight w:val="none"/>
                <w:u w:val="single"/>
              </w:rPr>
              <w:t>申请人（若为联合体，指联合体</w:t>
            </w:r>
            <w:r>
              <w:rPr>
                <w:rFonts w:hint="eastAsia" w:ascii="宋体" w:hAnsi="宋体" w:cs="宋体"/>
                <w:sz w:val="24"/>
                <w:highlight w:val="none"/>
                <w:u w:val="single"/>
              </w:rPr>
              <w:t>牵头</w:t>
            </w:r>
            <w:r>
              <w:rPr>
                <w:rFonts w:hint="eastAsia" w:ascii="宋体" w:hAnsi="宋体" w:cs="宋体"/>
                <w:sz w:val="24"/>
                <w:szCs w:val="24"/>
                <w:highlight w:val="none"/>
                <w:u w:val="single"/>
              </w:rPr>
              <w:t>方）拟派项目负责人资格满足招标公告规定。</w:t>
            </w:r>
          </w:p>
        </w:tc>
        <w:tc>
          <w:tcPr>
            <w:tcW w:w="1136" w:type="dxa"/>
            <w:tcBorders>
              <w:top w:val="single" w:color="auto" w:sz="4" w:space="0"/>
              <w:left w:val="nil"/>
              <w:bottom w:val="single" w:color="auto" w:sz="4" w:space="0"/>
              <w:right w:val="single" w:color="auto" w:sz="4" w:space="0"/>
            </w:tcBorders>
          </w:tcPr>
          <w:p w14:paraId="6252B37E">
            <w:pPr>
              <w:shd w:val="clear"/>
              <w:spacing w:line="360" w:lineRule="auto"/>
              <w:jc w:val="center"/>
              <w:rPr>
                <w:rFonts w:hint="eastAsia" w:ascii="宋体" w:hAnsi="宋体" w:cs="宋体"/>
                <w:b/>
                <w:sz w:val="24"/>
                <w:szCs w:val="24"/>
                <w:highlight w:val="none"/>
              </w:rPr>
            </w:pPr>
          </w:p>
        </w:tc>
        <w:tc>
          <w:tcPr>
            <w:tcW w:w="1003" w:type="dxa"/>
            <w:tcBorders>
              <w:top w:val="single" w:color="auto" w:sz="4" w:space="0"/>
              <w:left w:val="nil"/>
              <w:bottom w:val="single" w:color="auto" w:sz="4" w:space="0"/>
              <w:right w:val="single" w:color="auto" w:sz="4" w:space="0"/>
            </w:tcBorders>
          </w:tcPr>
          <w:p w14:paraId="136D472B">
            <w:pPr>
              <w:shd w:val="clear"/>
              <w:spacing w:line="360" w:lineRule="auto"/>
              <w:jc w:val="center"/>
              <w:rPr>
                <w:rFonts w:hint="eastAsia" w:ascii="宋体" w:hAnsi="宋体" w:cs="宋体"/>
                <w:b/>
                <w:sz w:val="24"/>
                <w:szCs w:val="24"/>
                <w:highlight w:val="none"/>
              </w:rPr>
            </w:pPr>
          </w:p>
        </w:tc>
        <w:tc>
          <w:tcPr>
            <w:tcW w:w="1022" w:type="dxa"/>
            <w:tcBorders>
              <w:top w:val="single" w:color="auto" w:sz="4" w:space="0"/>
              <w:left w:val="nil"/>
              <w:bottom w:val="single" w:color="auto" w:sz="4" w:space="0"/>
              <w:right w:val="single" w:color="auto" w:sz="4" w:space="0"/>
            </w:tcBorders>
          </w:tcPr>
          <w:p w14:paraId="7AECC603">
            <w:pPr>
              <w:shd w:val="clear"/>
              <w:spacing w:line="360" w:lineRule="auto"/>
              <w:jc w:val="center"/>
              <w:rPr>
                <w:rFonts w:hint="eastAsia" w:ascii="宋体" w:hAnsi="宋体" w:cs="宋体"/>
                <w:b/>
                <w:sz w:val="24"/>
                <w:szCs w:val="24"/>
                <w:highlight w:val="none"/>
              </w:rPr>
            </w:pPr>
          </w:p>
        </w:tc>
      </w:tr>
      <w:tr w14:paraId="3658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638" w:type="dxa"/>
            <w:tcBorders>
              <w:top w:val="single" w:color="auto" w:sz="4" w:space="0"/>
              <w:left w:val="single" w:color="auto" w:sz="4" w:space="0"/>
              <w:bottom w:val="single" w:color="auto" w:sz="4" w:space="0"/>
              <w:right w:val="single" w:color="auto" w:sz="4" w:space="0"/>
            </w:tcBorders>
            <w:vAlign w:val="center"/>
          </w:tcPr>
          <w:p w14:paraId="4F121696">
            <w:pPr>
              <w:shd w:val="clea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6</w:t>
            </w:r>
          </w:p>
        </w:tc>
        <w:tc>
          <w:tcPr>
            <w:tcW w:w="4658" w:type="dxa"/>
            <w:tcBorders>
              <w:top w:val="single" w:color="auto" w:sz="4" w:space="0"/>
              <w:left w:val="nil"/>
              <w:bottom w:val="single" w:color="auto" w:sz="4" w:space="0"/>
              <w:right w:val="single" w:color="auto" w:sz="4" w:space="0"/>
            </w:tcBorders>
            <w:vAlign w:val="center"/>
          </w:tcPr>
          <w:p w14:paraId="6C00F3F0">
            <w:pPr>
              <w:shd w:val="clear"/>
              <w:spacing w:line="360" w:lineRule="auto"/>
              <w:rPr>
                <w:rFonts w:hint="eastAsia" w:ascii="宋体" w:hAnsi="宋体" w:cs="宋体"/>
                <w:sz w:val="24"/>
                <w:szCs w:val="24"/>
                <w:highlight w:val="none"/>
                <w:u w:val="single"/>
              </w:rPr>
            </w:pPr>
            <w:r>
              <w:rPr>
                <w:rFonts w:hint="eastAsia" w:ascii="宋体" w:hAnsi="宋体" w:cs="宋体"/>
                <w:sz w:val="24"/>
                <w:szCs w:val="24"/>
                <w:highlight w:val="none"/>
                <w:u w:val="single"/>
              </w:rPr>
              <w:t>以联合体形式投标的，已按要求向招标人提交联合体共同投标协议。</w:t>
            </w:r>
          </w:p>
        </w:tc>
        <w:tc>
          <w:tcPr>
            <w:tcW w:w="1136" w:type="dxa"/>
            <w:tcBorders>
              <w:top w:val="single" w:color="auto" w:sz="4" w:space="0"/>
              <w:left w:val="nil"/>
              <w:bottom w:val="single" w:color="auto" w:sz="4" w:space="0"/>
              <w:right w:val="single" w:color="auto" w:sz="4" w:space="0"/>
            </w:tcBorders>
          </w:tcPr>
          <w:p w14:paraId="069AFD0A">
            <w:pPr>
              <w:shd w:val="clear"/>
              <w:spacing w:line="360" w:lineRule="auto"/>
              <w:jc w:val="center"/>
              <w:rPr>
                <w:rFonts w:hint="eastAsia" w:ascii="宋体" w:hAnsi="宋体" w:cs="宋体"/>
                <w:b/>
                <w:sz w:val="24"/>
                <w:szCs w:val="24"/>
                <w:highlight w:val="none"/>
              </w:rPr>
            </w:pPr>
          </w:p>
        </w:tc>
        <w:tc>
          <w:tcPr>
            <w:tcW w:w="1003" w:type="dxa"/>
            <w:tcBorders>
              <w:top w:val="single" w:color="auto" w:sz="4" w:space="0"/>
              <w:left w:val="nil"/>
              <w:bottom w:val="single" w:color="auto" w:sz="4" w:space="0"/>
              <w:right w:val="single" w:color="auto" w:sz="4" w:space="0"/>
            </w:tcBorders>
          </w:tcPr>
          <w:p w14:paraId="13346F30">
            <w:pPr>
              <w:shd w:val="clear"/>
              <w:spacing w:line="360" w:lineRule="auto"/>
              <w:jc w:val="center"/>
              <w:rPr>
                <w:rFonts w:hint="eastAsia" w:ascii="宋体" w:hAnsi="宋体" w:cs="宋体"/>
                <w:b/>
                <w:sz w:val="24"/>
                <w:szCs w:val="24"/>
                <w:highlight w:val="none"/>
              </w:rPr>
            </w:pPr>
          </w:p>
        </w:tc>
        <w:tc>
          <w:tcPr>
            <w:tcW w:w="1022" w:type="dxa"/>
            <w:tcBorders>
              <w:top w:val="single" w:color="auto" w:sz="4" w:space="0"/>
              <w:left w:val="nil"/>
              <w:bottom w:val="single" w:color="auto" w:sz="4" w:space="0"/>
              <w:right w:val="single" w:color="auto" w:sz="4" w:space="0"/>
            </w:tcBorders>
          </w:tcPr>
          <w:p w14:paraId="0823E676">
            <w:pPr>
              <w:shd w:val="clear"/>
              <w:spacing w:line="360" w:lineRule="auto"/>
              <w:jc w:val="center"/>
              <w:rPr>
                <w:rFonts w:hint="eastAsia" w:ascii="宋体" w:hAnsi="宋体" w:cs="宋体"/>
                <w:b/>
                <w:sz w:val="24"/>
                <w:szCs w:val="24"/>
                <w:highlight w:val="none"/>
              </w:rPr>
            </w:pPr>
          </w:p>
        </w:tc>
      </w:tr>
      <w:tr w14:paraId="283C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638" w:type="dxa"/>
            <w:tcBorders>
              <w:top w:val="single" w:color="auto" w:sz="4" w:space="0"/>
              <w:left w:val="single" w:color="auto" w:sz="4" w:space="0"/>
              <w:bottom w:val="single" w:color="auto" w:sz="4" w:space="0"/>
              <w:right w:val="single" w:color="auto" w:sz="4" w:space="0"/>
            </w:tcBorders>
            <w:vAlign w:val="center"/>
          </w:tcPr>
          <w:p w14:paraId="42C61702">
            <w:pPr>
              <w:shd w:val="clea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7</w:t>
            </w:r>
          </w:p>
        </w:tc>
        <w:tc>
          <w:tcPr>
            <w:tcW w:w="4658" w:type="dxa"/>
            <w:tcBorders>
              <w:top w:val="single" w:color="auto" w:sz="4" w:space="0"/>
              <w:left w:val="nil"/>
              <w:bottom w:val="single" w:color="auto" w:sz="4" w:space="0"/>
              <w:right w:val="single" w:color="auto" w:sz="4" w:space="0"/>
            </w:tcBorders>
            <w:vAlign w:val="center"/>
          </w:tcPr>
          <w:p w14:paraId="103EEEC9">
            <w:pPr>
              <w:shd w:val="clear"/>
              <w:spacing w:line="360" w:lineRule="auto"/>
              <w:rPr>
                <w:rFonts w:hint="eastAsia" w:ascii="宋体" w:hAnsi="宋体" w:cs="宋体"/>
                <w:sz w:val="24"/>
                <w:szCs w:val="24"/>
                <w:highlight w:val="none"/>
                <w:u w:val="single"/>
              </w:rPr>
            </w:pPr>
            <w:r>
              <w:rPr>
                <w:rFonts w:hint="eastAsia" w:ascii="宋体" w:hAnsi="宋体" w:cs="宋体"/>
                <w:sz w:val="24"/>
                <w:szCs w:val="24"/>
                <w:highlight w:val="none"/>
                <w:u w:val="single"/>
              </w:rPr>
              <w:t>申请人</w:t>
            </w:r>
            <w:r>
              <w:rPr>
                <w:rFonts w:hint="eastAsia" w:ascii="宋体" w:hAnsi="宋体" w:cs="宋体"/>
                <w:sz w:val="24"/>
                <w:highlight w:val="none"/>
                <w:u w:val="single"/>
              </w:rPr>
              <w:t>（若为联合体，指联合体各方）</w:t>
            </w:r>
            <w:r>
              <w:rPr>
                <w:rFonts w:hint="eastAsia" w:ascii="宋体" w:hAnsi="宋体" w:cs="宋体"/>
                <w:sz w:val="24"/>
                <w:szCs w:val="24"/>
                <w:highlight w:val="none"/>
                <w:u w:val="single"/>
              </w:rPr>
              <w:t>没有第三章第3.11项规定的任何一种情形（根据《投标人声明》进行评审）。</w:t>
            </w:r>
          </w:p>
        </w:tc>
        <w:tc>
          <w:tcPr>
            <w:tcW w:w="1136" w:type="dxa"/>
            <w:tcBorders>
              <w:top w:val="single" w:color="auto" w:sz="4" w:space="0"/>
              <w:left w:val="nil"/>
              <w:bottom w:val="single" w:color="auto" w:sz="4" w:space="0"/>
              <w:right w:val="single" w:color="auto" w:sz="4" w:space="0"/>
            </w:tcBorders>
          </w:tcPr>
          <w:p w14:paraId="067BCDCD">
            <w:pPr>
              <w:shd w:val="clear"/>
              <w:spacing w:line="360" w:lineRule="auto"/>
              <w:jc w:val="center"/>
              <w:rPr>
                <w:rFonts w:hint="eastAsia" w:ascii="宋体" w:hAnsi="宋体" w:cs="宋体"/>
                <w:b/>
                <w:sz w:val="24"/>
                <w:szCs w:val="24"/>
                <w:highlight w:val="none"/>
              </w:rPr>
            </w:pPr>
          </w:p>
        </w:tc>
        <w:tc>
          <w:tcPr>
            <w:tcW w:w="1003" w:type="dxa"/>
            <w:tcBorders>
              <w:top w:val="single" w:color="auto" w:sz="4" w:space="0"/>
              <w:left w:val="nil"/>
              <w:bottom w:val="single" w:color="auto" w:sz="4" w:space="0"/>
              <w:right w:val="single" w:color="auto" w:sz="4" w:space="0"/>
            </w:tcBorders>
          </w:tcPr>
          <w:p w14:paraId="6E6BD223">
            <w:pPr>
              <w:shd w:val="clear"/>
              <w:spacing w:line="360" w:lineRule="auto"/>
              <w:jc w:val="center"/>
              <w:rPr>
                <w:rFonts w:hint="eastAsia" w:ascii="宋体" w:hAnsi="宋体" w:cs="宋体"/>
                <w:b/>
                <w:sz w:val="24"/>
                <w:szCs w:val="24"/>
                <w:highlight w:val="none"/>
              </w:rPr>
            </w:pPr>
          </w:p>
        </w:tc>
        <w:tc>
          <w:tcPr>
            <w:tcW w:w="1022" w:type="dxa"/>
            <w:tcBorders>
              <w:top w:val="single" w:color="auto" w:sz="4" w:space="0"/>
              <w:left w:val="nil"/>
              <w:bottom w:val="single" w:color="auto" w:sz="4" w:space="0"/>
              <w:right w:val="single" w:color="auto" w:sz="4" w:space="0"/>
            </w:tcBorders>
          </w:tcPr>
          <w:p w14:paraId="1E50BE0F">
            <w:pPr>
              <w:shd w:val="clear"/>
              <w:spacing w:line="360" w:lineRule="auto"/>
              <w:jc w:val="center"/>
              <w:rPr>
                <w:rFonts w:hint="eastAsia" w:ascii="宋体" w:hAnsi="宋体" w:cs="宋体"/>
                <w:b/>
                <w:sz w:val="24"/>
                <w:szCs w:val="24"/>
                <w:highlight w:val="none"/>
              </w:rPr>
            </w:pPr>
          </w:p>
        </w:tc>
      </w:tr>
      <w:tr w14:paraId="2744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638" w:type="dxa"/>
            <w:tcBorders>
              <w:top w:val="single" w:color="auto" w:sz="4" w:space="0"/>
              <w:left w:val="single" w:color="auto" w:sz="4" w:space="0"/>
              <w:bottom w:val="single" w:color="auto" w:sz="4" w:space="0"/>
              <w:right w:val="single" w:color="auto" w:sz="4" w:space="0"/>
            </w:tcBorders>
            <w:vAlign w:val="center"/>
          </w:tcPr>
          <w:p w14:paraId="487C483A">
            <w:pPr>
              <w:shd w:val="clea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8</w:t>
            </w:r>
          </w:p>
        </w:tc>
        <w:tc>
          <w:tcPr>
            <w:tcW w:w="4658" w:type="dxa"/>
            <w:tcBorders>
              <w:top w:val="single" w:color="auto" w:sz="4" w:space="0"/>
              <w:left w:val="nil"/>
              <w:bottom w:val="single" w:color="auto" w:sz="4" w:space="0"/>
              <w:right w:val="single" w:color="auto" w:sz="4" w:space="0"/>
            </w:tcBorders>
            <w:vAlign w:val="center"/>
          </w:tcPr>
          <w:p w14:paraId="01C14EE3">
            <w:pPr>
              <w:shd w:val="clear"/>
              <w:spacing w:line="360" w:lineRule="auto"/>
              <w:rPr>
                <w:rFonts w:hint="eastAsia" w:ascii="宋体" w:hAnsi="宋体" w:cs="宋体"/>
                <w:sz w:val="24"/>
                <w:szCs w:val="24"/>
                <w:highlight w:val="none"/>
                <w:u w:val="single"/>
              </w:rPr>
            </w:pPr>
            <w:r>
              <w:rPr>
                <w:rFonts w:hint="eastAsia" w:ascii="宋体" w:hAnsi="宋体" w:cs="宋体"/>
                <w:sz w:val="24"/>
                <w:szCs w:val="24"/>
                <w:highlight w:val="none"/>
                <w:u w:val="single"/>
              </w:rPr>
              <w:t>申请人（若为联合体，指联合体各方）未被列入拖欠农民工工资失信联合惩戒对象名单。注：投标人无需提供资料，资格审查时，按投标截止时广州交易集团有限公司（广州公共资源交易中心）交易系统比对的结果进行评审。</w:t>
            </w:r>
          </w:p>
        </w:tc>
        <w:tc>
          <w:tcPr>
            <w:tcW w:w="1136" w:type="dxa"/>
            <w:tcBorders>
              <w:top w:val="single" w:color="auto" w:sz="4" w:space="0"/>
              <w:left w:val="nil"/>
              <w:bottom w:val="single" w:color="auto" w:sz="4" w:space="0"/>
              <w:right w:val="single" w:color="auto" w:sz="4" w:space="0"/>
            </w:tcBorders>
          </w:tcPr>
          <w:p w14:paraId="13431BD0">
            <w:pPr>
              <w:shd w:val="clear"/>
              <w:spacing w:line="360" w:lineRule="auto"/>
              <w:jc w:val="center"/>
              <w:rPr>
                <w:rFonts w:hint="eastAsia" w:ascii="宋体" w:hAnsi="宋体" w:cs="宋体"/>
                <w:b/>
                <w:sz w:val="24"/>
                <w:szCs w:val="24"/>
                <w:highlight w:val="none"/>
              </w:rPr>
            </w:pPr>
          </w:p>
        </w:tc>
        <w:tc>
          <w:tcPr>
            <w:tcW w:w="1003" w:type="dxa"/>
            <w:tcBorders>
              <w:top w:val="single" w:color="auto" w:sz="4" w:space="0"/>
              <w:left w:val="nil"/>
              <w:bottom w:val="single" w:color="auto" w:sz="4" w:space="0"/>
              <w:right w:val="single" w:color="auto" w:sz="4" w:space="0"/>
            </w:tcBorders>
          </w:tcPr>
          <w:p w14:paraId="607C53A9">
            <w:pPr>
              <w:shd w:val="clear"/>
              <w:spacing w:line="360" w:lineRule="auto"/>
              <w:jc w:val="center"/>
              <w:rPr>
                <w:rFonts w:hint="eastAsia" w:ascii="宋体" w:hAnsi="宋体" w:cs="宋体"/>
                <w:b/>
                <w:sz w:val="24"/>
                <w:szCs w:val="24"/>
                <w:highlight w:val="none"/>
              </w:rPr>
            </w:pPr>
          </w:p>
        </w:tc>
        <w:tc>
          <w:tcPr>
            <w:tcW w:w="1022" w:type="dxa"/>
            <w:tcBorders>
              <w:top w:val="single" w:color="auto" w:sz="4" w:space="0"/>
              <w:left w:val="nil"/>
              <w:bottom w:val="single" w:color="auto" w:sz="4" w:space="0"/>
              <w:right w:val="single" w:color="auto" w:sz="4" w:space="0"/>
            </w:tcBorders>
          </w:tcPr>
          <w:p w14:paraId="55B05B3A">
            <w:pPr>
              <w:shd w:val="clear"/>
              <w:spacing w:line="360" w:lineRule="auto"/>
              <w:jc w:val="center"/>
              <w:rPr>
                <w:rFonts w:hint="eastAsia" w:ascii="宋体" w:hAnsi="宋体" w:cs="宋体"/>
                <w:b/>
                <w:sz w:val="24"/>
                <w:szCs w:val="24"/>
                <w:highlight w:val="none"/>
              </w:rPr>
            </w:pPr>
          </w:p>
        </w:tc>
      </w:tr>
      <w:tr w14:paraId="3287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38" w:type="dxa"/>
            <w:tcBorders>
              <w:top w:val="single" w:color="auto" w:sz="4" w:space="0"/>
              <w:left w:val="single" w:color="auto" w:sz="4" w:space="0"/>
              <w:bottom w:val="single" w:color="auto" w:sz="4" w:space="0"/>
              <w:right w:val="single" w:color="auto" w:sz="4" w:space="0"/>
            </w:tcBorders>
            <w:vAlign w:val="center"/>
          </w:tcPr>
          <w:p w14:paraId="2FCDA834">
            <w:pPr>
              <w:shd w:val="clea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结论</w:t>
            </w:r>
          </w:p>
        </w:tc>
        <w:tc>
          <w:tcPr>
            <w:tcW w:w="4658" w:type="dxa"/>
            <w:tcBorders>
              <w:top w:val="single" w:color="auto" w:sz="4" w:space="0"/>
              <w:left w:val="nil"/>
              <w:bottom w:val="single" w:color="auto" w:sz="4" w:space="0"/>
              <w:right w:val="single" w:color="auto" w:sz="4" w:space="0"/>
            </w:tcBorders>
            <w:vAlign w:val="center"/>
          </w:tcPr>
          <w:p w14:paraId="2FC76900">
            <w:pPr>
              <w:shd w:val="clear"/>
              <w:spacing w:line="360" w:lineRule="auto"/>
              <w:rPr>
                <w:rFonts w:hint="eastAsia" w:ascii="宋体" w:hAnsi="宋体" w:cs="宋体"/>
                <w:sz w:val="24"/>
                <w:szCs w:val="24"/>
                <w:highlight w:val="none"/>
              </w:rPr>
            </w:pPr>
            <w:r>
              <w:rPr>
                <w:rFonts w:hint="eastAsia" w:ascii="宋体" w:hAnsi="宋体" w:cs="宋体"/>
                <w:sz w:val="24"/>
                <w:szCs w:val="24"/>
                <w:highlight w:val="none"/>
              </w:rPr>
              <w:t>是否通过并进入下一阶段评审</w:t>
            </w:r>
          </w:p>
        </w:tc>
        <w:tc>
          <w:tcPr>
            <w:tcW w:w="1136" w:type="dxa"/>
            <w:tcBorders>
              <w:top w:val="single" w:color="auto" w:sz="4" w:space="0"/>
              <w:left w:val="nil"/>
              <w:bottom w:val="single" w:color="auto" w:sz="4" w:space="0"/>
              <w:right w:val="single" w:color="auto" w:sz="4" w:space="0"/>
            </w:tcBorders>
          </w:tcPr>
          <w:p w14:paraId="5CF5C8CE">
            <w:pPr>
              <w:shd w:val="clear"/>
              <w:spacing w:line="360" w:lineRule="auto"/>
              <w:jc w:val="center"/>
              <w:rPr>
                <w:rFonts w:hint="eastAsia" w:ascii="宋体" w:hAnsi="宋体" w:cs="宋体"/>
                <w:b/>
                <w:sz w:val="24"/>
                <w:szCs w:val="24"/>
                <w:highlight w:val="none"/>
              </w:rPr>
            </w:pPr>
          </w:p>
        </w:tc>
        <w:tc>
          <w:tcPr>
            <w:tcW w:w="1003" w:type="dxa"/>
            <w:tcBorders>
              <w:top w:val="single" w:color="auto" w:sz="4" w:space="0"/>
              <w:left w:val="nil"/>
              <w:bottom w:val="single" w:color="auto" w:sz="4" w:space="0"/>
              <w:right w:val="single" w:color="auto" w:sz="4" w:space="0"/>
            </w:tcBorders>
          </w:tcPr>
          <w:p w14:paraId="1C36BEDA">
            <w:pPr>
              <w:shd w:val="clear"/>
              <w:spacing w:line="360" w:lineRule="auto"/>
              <w:jc w:val="center"/>
              <w:rPr>
                <w:rFonts w:hint="eastAsia" w:ascii="宋体" w:hAnsi="宋体" w:cs="宋体"/>
                <w:b/>
                <w:sz w:val="24"/>
                <w:szCs w:val="24"/>
                <w:highlight w:val="none"/>
              </w:rPr>
            </w:pPr>
          </w:p>
        </w:tc>
        <w:tc>
          <w:tcPr>
            <w:tcW w:w="1022" w:type="dxa"/>
            <w:tcBorders>
              <w:top w:val="single" w:color="auto" w:sz="4" w:space="0"/>
              <w:left w:val="nil"/>
              <w:bottom w:val="single" w:color="auto" w:sz="4" w:space="0"/>
              <w:right w:val="single" w:color="auto" w:sz="4" w:space="0"/>
            </w:tcBorders>
          </w:tcPr>
          <w:p w14:paraId="452E8688">
            <w:pPr>
              <w:shd w:val="clear"/>
              <w:spacing w:line="360" w:lineRule="auto"/>
              <w:jc w:val="center"/>
              <w:rPr>
                <w:rFonts w:hint="eastAsia" w:ascii="宋体" w:hAnsi="宋体" w:cs="宋体"/>
                <w:b/>
                <w:sz w:val="24"/>
                <w:szCs w:val="24"/>
                <w:highlight w:val="none"/>
              </w:rPr>
            </w:pPr>
          </w:p>
        </w:tc>
      </w:tr>
    </w:tbl>
    <w:p w14:paraId="2D05B3DD">
      <w:pPr>
        <w:shd w:val="clear"/>
        <w:spacing w:line="360" w:lineRule="auto"/>
        <w:rPr>
          <w:rFonts w:hint="eastAsia" w:ascii="宋体" w:hAnsi="宋体" w:cs="宋体"/>
          <w:sz w:val="24"/>
          <w:szCs w:val="24"/>
          <w:highlight w:val="none"/>
        </w:rPr>
      </w:pPr>
      <w:r>
        <w:rPr>
          <w:rFonts w:hint="eastAsia" w:ascii="宋体" w:hAnsi="宋体" w:cs="宋体"/>
          <w:sz w:val="24"/>
          <w:szCs w:val="24"/>
          <w:highlight w:val="none"/>
        </w:rPr>
        <w:t>备注：</w:t>
      </w:r>
      <w:r>
        <w:rPr>
          <w:rFonts w:hint="default" w:ascii="宋体" w:hAnsi="宋体" w:cs="宋体"/>
          <w:sz w:val="24"/>
          <w:szCs w:val="24"/>
          <w:highlight w:val="none"/>
          <w:lang w:val="en-US"/>
        </w:rPr>
        <w:t>1、</w:t>
      </w:r>
      <w:r>
        <w:rPr>
          <w:rFonts w:hint="eastAsia" w:ascii="宋体" w:hAnsi="宋体" w:cs="宋体"/>
          <w:sz w:val="24"/>
          <w:szCs w:val="24"/>
          <w:highlight w:val="none"/>
        </w:rPr>
        <w:t>根据本表的审查项目，填“是”或“否”。</w:t>
      </w:r>
    </w:p>
    <w:p w14:paraId="1736830A">
      <w:pPr>
        <w:shd w:val="clear"/>
        <w:spacing w:line="360" w:lineRule="auto"/>
        <w:ind w:firstLine="720" w:firstLineChars="300"/>
        <w:rPr>
          <w:rFonts w:hint="eastAsia" w:ascii="宋体" w:hAnsi="宋体" w:cs="宋体"/>
          <w:sz w:val="24"/>
          <w:szCs w:val="24"/>
          <w:highlight w:val="none"/>
        </w:rPr>
      </w:pPr>
      <w:r>
        <w:rPr>
          <w:rFonts w:hint="eastAsia" w:ascii="宋体" w:hAnsi="宋体" w:cs="宋体"/>
          <w:sz w:val="24"/>
          <w:szCs w:val="24"/>
          <w:highlight w:val="none"/>
        </w:rPr>
        <w:t>2、表中出现一个或以上“否”，即该投标人的评审“结论”为“否”，即该投标人不进入下一阶段评审。</w:t>
      </w:r>
    </w:p>
    <w:p w14:paraId="0EA23FD5">
      <w:pPr>
        <w:shd w:val="clear"/>
        <w:spacing w:line="360" w:lineRule="auto"/>
        <w:ind w:firstLine="720" w:firstLineChars="300"/>
        <w:rPr>
          <w:rFonts w:hint="eastAsia" w:ascii="宋体" w:hAnsi="宋体" w:cs="宋体"/>
          <w:sz w:val="24"/>
          <w:szCs w:val="24"/>
          <w:highlight w:val="none"/>
        </w:rPr>
      </w:pPr>
      <w:bookmarkStart w:id="287" w:name="_Toc2438"/>
      <w:bookmarkStart w:id="288" w:name="_Toc352"/>
      <w:bookmarkStart w:id="289" w:name="_Toc9269"/>
      <w:r>
        <w:rPr>
          <w:rFonts w:hint="eastAsia" w:ascii="宋体" w:hAnsi="宋体" w:cs="宋体"/>
          <w:sz w:val="24"/>
          <w:szCs w:val="24"/>
          <w:highlight w:val="none"/>
        </w:rPr>
        <w:t>3、表中全部评审结果为“是”，视为同意进入下一阶段评审。</w:t>
      </w:r>
      <w:bookmarkEnd w:id="287"/>
      <w:bookmarkEnd w:id="288"/>
      <w:bookmarkEnd w:id="289"/>
    </w:p>
    <w:p w14:paraId="0C6690BC">
      <w:pPr>
        <w:shd w:val="clear"/>
        <w:spacing w:line="360" w:lineRule="auto"/>
        <w:ind w:firstLine="720" w:firstLineChars="300"/>
        <w:rPr>
          <w:rFonts w:hint="eastAsia" w:ascii="宋体" w:hAnsi="宋体" w:cs="宋体"/>
          <w:sz w:val="24"/>
          <w:szCs w:val="24"/>
          <w:highlight w:val="none"/>
        </w:rPr>
      </w:pPr>
      <w:r>
        <w:rPr>
          <w:rFonts w:hint="eastAsia" w:ascii="宋体" w:hAnsi="宋体" w:cs="宋体"/>
          <w:sz w:val="24"/>
          <w:szCs w:val="24"/>
          <w:highlight w:val="none"/>
        </w:rPr>
        <w:t>4、若评委意见不一致时，则按少数服从多数的原则，决定该投标人是否通过符合性审查，进入下一阶段评审。</w:t>
      </w:r>
    </w:p>
    <w:p w14:paraId="6035B549">
      <w:pPr>
        <w:shd w:val="clear"/>
        <w:spacing w:line="360" w:lineRule="auto"/>
        <w:jc w:val="right"/>
        <w:rPr>
          <w:rFonts w:hint="eastAsia" w:ascii="宋体" w:hAnsi="宋体" w:cs="宋体"/>
          <w:sz w:val="24"/>
          <w:szCs w:val="24"/>
          <w:highlight w:val="none"/>
        </w:rPr>
      </w:pPr>
      <w:r>
        <w:rPr>
          <w:rFonts w:hint="eastAsia" w:ascii="宋体" w:hAnsi="宋体" w:cs="宋体"/>
          <w:sz w:val="24"/>
          <w:szCs w:val="24"/>
          <w:highlight w:val="none"/>
        </w:rPr>
        <w:t>评委签名：</w:t>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p>
    <w:p w14:paraId="7DEC7C37">
      <w:pPr>
        <w:shd w:val="clear"/>
        <w:spacing w:line="360" w:lineRule="auto"/>
        <w:ind w:left="1260" w:firstLine="420"/>
        <w:jc w:val="right"/>
        <w:rPr>
          <w:rFonts w:hint="eastAsia" w:ascii="宋体" w:hAnsi="宋体" w:cs="宋体"/>
          <w:sz w:val="24"/>
          <w:szCs w:val="24"/>
          <w:highlight w:val="none"/>
        </w:rPr>
      </w:pPr>
      <w:r>
        <w:rPr>
          <w:rFonts w:hint="eastAsia" w:ascii="宋体" w:hAnsi="宋体" w:cs="宋体"/>
          <w:sz w:val="24"/>
          <w:szCs w:val="24"/>
          <w:highlight w:val="none"/>
        </w:rPr>
        <w:t>日期：</w:t>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p>
    <w:p w14:paraId="2EA62D37">
      <w:pPr>
        <w:widowControl/>
        <w:shd w:val="clear"/>
        <w:jc w:val="left"/>
        <w:rPr>
          <w:rFonts w:hint="eastAsia" w:ascii="宋体" w:hAnsi="宋体" w:cs="宋体"/>
          <w:kern w:val="0"/>
          <w:sz w:val="20"/>
          <w:szCs w:val="20"/>
          <w:highlight w:val="none"/>
        </w:rPr>
      </w:pPr>
      <w:r>
        <w:rPr>
          <w:rFonts w:hint="eastAsia" w:ascii="宋体" w:hAnsi="宋体" w:cs="宋体"/>
          <w:szCs w:val="21"/>
          <w:highlight w:val="none"/>
        </w:rPr>
        <w:br w:type="page"/>
      </w:r>
    </w:p>
    <w:p w14:paraId="567BF4E4">
      <w:pPr>
        <w:pStyle w:val="3"/>
        <w:shd w:val="clear"/>
        <w:rPr>
          <w:rFonts w:hint="eastAsia" w:ascii="宋体" w:hAnsi="宋体" w:cs="宋体"/>
          <w:b w:val="0"/>
          <w:strike/>
          <w:highlight w:val="none"/>
        </w:rPr>
      </w:pPr>
      <w:bookmarkStart w:id="290" w:name="_Toc9233"/>
      <w:bookmarkStart w:id="291" w:name="_Toc30312"/>
      <w:bookmarkStart w:id="292" w:name="_Toc10364"/>
      <w:bookmarkStart w:id="293" w:name="_Toc29980"/>
      <w:bookmarkStart w:id="294" w:name="_Toc21869"/>
      <w:bookmarkStart w:id="295" w:name="_Toc21160"/>
      <w:bookmarkStart w:id="296" w:name="_Toc2205"/>
      <w:r>
        <w:rPr>
          <w:rFonts w:hint="eastAsia" w:ascii="宋体" w:hAnsi="宋体" w:cs="宋体"/>
          <w:strike/>
          <w:sz w:val="21"/>
          <w:szCs w:val="21"/>
          <w:highlight w:val="none"/>
        </w:rPr>
        <w:t>附件10 投票表格</w:t>
      </w:r>
      <w:bookmarkEnd w:id="290"/>
      <w:bookmarkEnd w:id="291"/>
      <w:bookmarkEnd w:id="292"/>
      <w:bookmarkEnd w:id="293"/>
      <w:bookmarkEnd w:id="294"/>
      <w:bookmarkEnd w:id="295"/>
      <w:bookmarkEnd w:id="296"/>
    </w:p>
    <w:p w14:paraId="6244CE89">
      <w:pPr>
        <w:pStyle w:val="15"/>
        <w:widowControl w:val="0"/>
        <w:shd w:val="clear"/>
        <w:spacing w:beforeAutospacing="0" w:afterAutospacing="0"/>
        <w:jc w:val="center"/>
        <w:rPr>
          <w:rFonts w:cs="宋体"/>
          <w:b/>
          <w:strike/>
          <w:sz w:val="32"/>
          <w:szCs w:val="32"/>
          <w:highlight w:val="none"/>
        </w:rPr>
      </w:pPr>
      <w:r>
        <w:rPr>
          <w:rFonts w:cs="宋体"/>
          <w:b/>
          <w:strike/>
          <w:sz w:val="32"/>
          <w:szCs w:val="32"/>
          <w:highlight w:val="none"/>
        </w:rPr>
        <w:t>投票表格</w:t>
      </w:r>
    </w:p>
    <w:p w14:paraId="63ADDE3E">
      <w:pPr>
        <w:shd w:val="clear"/>
        <w:rPr>
          <w:rFonts w:hint="eastAsia" w:ascii="宋体" w:hAnsi="宋体" w:cs="宋体"/>
          <w:strike/>
          <w:sz w:val="24"/>
          <w:szCs w:val="24"/>
          <w:highlight w:val="none"/>
        </w:rPr>
      </w:pPr>
    </w:p>
    <w:p w14:paraId="12881643">
      <w:pPr>
        <w:shd w:val="clea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项目名称：</w:t>
      </w:r>
    </w:p>
    <w:p w14:paraId="18A1BD04">
      <w:pPr>
        <w:shd w:val="clear"/>
        <w:spacing w:line="360" w:lineRule="auto"/>
        <w:rPr>
          <w:rFonts w:hint="eastAsia" w:ascii="宋体" w:hAnsi="宋体" w:cs="宋体"/>
          <w:strike/>
          <w:sz w:val="24"/>
          <w:szCs w:val="24"/>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17"/>
        <w:gridCol w:w="918"/>
        <w:gridCol w:w="917"/>
        <w:gridCol w:w="918"/>
        <w:gridCol w:w="917"/>
        <w:gridCol w:w="918"/>
        <w:gridCol w:w="917"/>
        <w:gridCol w:w="918"/>
      </w:tblGrid>
      <w:tr w14:paraId="59EC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vAlign w:val="center"/>
          </w:tcPr>
          <w:p w14:paraId="461D3CBB">
            <w:pPr>
              <w:shd w:val="clea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第轮</w:t>
            </w:r>
          </w:p>
        </w:tc>
        <w:tc>
          <w:tcPr>
            <w:tcW w:w="917" w:type="dxa"/>
            <w:tcBorders>
              <w:top w:val="double" w:color="auto" w:sz="2" w:space="0"/>
              <w:left w:val="nil"/>
              <w:bottom w:val="double" w:color="auto" w:sz="2" w:space="0"/>
              <w:right w:val="single" w:color="auto" w:sz="4" w:space="0"/>
            </w:tcBorders>
          </w:tcPr>
          <w:p w14:paraId="252C3D23">
            <w:pPr>
              <w:shd w:val="clear"/>
              <w:spacing w:line="360" w:lineRule="auto"/>
              <w:rPr>
                <w:rFonts w:hint="eastAsia" w:ascii="宋体" w:hAnsi="宋体" w:cs="宋体"/>
                <w:strike/>
                <w:sz w:val="24"/>
                <w:szCs w:val="24"/>
                <w:highlight w:val="none"/>
              </w:rPr>
            </w:pPr>
          </w:p>
        </w:tc>
        <w:tc>
          <w:tcPr>
            <w:tcW w:w="918" w:type="dxa"/>
            <w:tcBorders>
              <w:top w:val="double" w:color="auto" w:sz="2" w:space="0"/>
              <w:left w:val="single" w:color="auto" w:sz="4" w:space="0"/>
              <w:bottom w:val="double" w:color="auto" w:sz="2" w:space="0"/>
              <w:right w:val="single" w:color="auto" w:sz="4" w:space="0"/>
            </w:tcBorders>
          </w:tcPr>
          <w:p w14:paraId="4343C932">
            <w:pPr>
              <w:shd w:val="clear"/>
              <w:spacing w:line="360" w:lineRule="auto"/>
              <w:rPr>
                <w:rFonts w:hint="eastAsia" w:ascii="宋体" w:hAnsi="宋体" w:cs="宋体"/>
                <w:strike/>
                <w:sz w:val="24"/>
                <w:szCs w:val="24"/>
                <w:highlight w:val="none"/>
              </w:rPr>
            </w:pPr>
          </w:p>
        </w:tc>
        <w:tc>
          <w:tcPr>
            <w:tcW w:w="917" w:type="dxa"/>
            <w:tcBorders>
              <w:top w:val="double" w:color="auto" w:sz="2" w:space="0"/>
              <w:left w:val="single" w:color="auto" w:sz="4" w:space="0"/>
              <w:bottom w:val="double" w:color="auto" w:sz="2" w:space="0"/>
              <w:right w:val="single" w:color="auto" w:sz="4" w:space="0"/>
            </w:tcBorders>
          </w:tcPr>
          <w:p w14:paraId="4BC2EE9E">
            <w:pPr>
              <w:shd w:val="clear"/>
              <w:spacing w:line="360" w:lineRule="auto"/>
              <w:rPr>
                <w:rFonts w:hint="eastAsia" w:ascii="宋体" w:hAnsi="宋体" w:cs="宋体"/>
                <w:strike/>
                <w:sz w:val="24"/>
                <w:szCs w:val="24"/>
                <w:highlight w:val="none"/>
              </w:rPr>
            </w:pPr>
          </w:p>
        </w:tc>
        <w:tc>
          <w:tcPr>
            <w:tcW w:w="918" w:type="dxa"/>
            <w:tcBorders>
              <w:top w:val="double" w:color="auto" w:sz="2" w:space="0"/>
              <w:left w:val="single" w:color="auto" w:sz="4" w:space="0"/>
              <w:bottom w:val="double" w:color="auto" w:sz="2" w:space="0"/>
              <w:right w:val="single" w:color="auto" w:sz="4" w:space="0"/>
            </w:tcBorders>
          </w:tcPr>
          <w:p w14:paraId="1A86DAA6">
            <w:pPr>
              <w:shd w:val="clear"/>
              <w:spacing w:line="360" w:lineRule="auto"/>
              <w:rPr>
                <w:rFonts w:hint="eastAsia" w:ascii="宋体" w:hAnsi="宋体" w:cs="宋体"/>
                <w:strike/>
                <w:sz w:val="24"/>
                <w:szCs w:val="24"/>
                <w:highlight w:val="none"/>
              </w:rPr>
            </w:pPr>
          </w:p>
        </w:tc>
        <w:tc>
          <w:tcPr>
            <w:tcW w:w="917" w:type="dxa"/>
            <w:tcBorders>
              <w:top w:val="double" w:color="auto" w:sz="2" w:space="0"/>
              <w:left w:val="single" w:color="auto" w:sz="4" w:space="0"/>
              <w:bottom w:val="double" w:color="auto" w:sz="2" w:space="0"/>
              <w:right w:val="single" w:color="auto" w:sz="4" w:space="0"/>
            </w:tcBorders>
          </w:tcPr>
          <w:p w14:paraId="6D023061">
            <w:pPr>
              <w:shd w:val="clear"/>
              <w:spacing w:line="360" w:lineRule="auto"/>
              <w:rPr>
                <w:rFonts w:hint="eastAsia" w:ascii="宋体" w:hAnsi="宋体" w:cs="宋体"/>
                <w:strike/>
                <w:sz w:val="24"/>
                <w:szCs w:val="24"/>
                <w:highlight w:val="none"/>
              </w:rPr>
            </w:pPr>
          </w:p>
        </w:tc>
        <w:tc>
          <w:tcPr>
            <w:tcW w:w="918" w:type="dxa"/>
            <w:tcBorders>
              <w:top w:val="double" w:color="auto" w:sz="2" w:space="0"/>
              <w:left w:val="single" w:color="auto" w:sz="4" w:space="0"/>
              <w:bottom w:val="double" w:color="auto" w:sz="2" w:space="0"/>
              <w:right w:val="single" w:color="auto" w:sz="4" w:space="0"/>
            </w:tcBorders>
          </w:tcPr>
          <w:p w14:paraId="0B437B43">
            <w:pPr>
              <w:shd w:val="clear"/>
              <w:spacing w:line="360" w:lineRule="auto"/>
              <w:rPr>
                <w:rFonts w:hint="eastAsia" w:ascii="宋体" w:hAnsi="宋体" w:cs="宋体"/>
                <w:strike/>
                <w:sz w:val="24"/>
                <w:szCs w:val="24"/>
                <w:highlight w:val="none"/>
              </w:rPr>
            </w:pPr>
          </w:p>
        </w:tc>
        <w:tc>
          <w:tcPr>
            <w:tcW w:w="917" w:type="dxa"/>
            <w:tcBorders>
              <w:top w:val="double" w:color="auto" w:sz="2" w:space="0"/>
              <w:left w:val="single" w:color="auto" w:sz="4" w:space="0"/>
              <w:bottom w:val="double" w:color="auto" w:sz="2" w:space="0"/>
              <w:right w:val="single" w:color="auto" w:sz="4" w:space="0"/>
            </w:tcBorders>
          </w:tcPr>
          <w:p w14:paraId="6DDCC90D">
            <w:pPr>
              <w:shd w:val="clear"/>
              <w:spacing w:line="360" w:lineRule="auto"/>
              <w:rPr>
                <w:rFonts w:hint="eastAsia" w:ascii="宋体" w:hAnsi="宋体" w:cs="宋体"/>
                <w:strike/>
                <w:sz w:val="24"/>
                <w:szCs w:val="24"/>
                <w:highlight w:val="none"/>
              </w:rPr>
            </w:pPr>
          </w:p>
        </w:tc>
        <w:tc>
          <w:tcPr>
            <w:tcW w:w="918" w:type="dxa"/>
            <w:tcBorders>
              <w:top w:val="double" w:color="auto" w:sz="2" w:space="0"/>
              <w:left w:val="single" w:color="auto" w:sz="4" w:space="0"/>
              <w:bottom w:val="double" w:color="auto" w:sz="2" w:space="0"/>
              <w:right w:val="double" w:color="auto" w:sz="2" w:space="0"/>
            </w:tcBorders>
          </w:tcPr>
          <w:p w14:paraId="2FB0F760">
            <w:pPr>
              <w:shd w:val="clear"/>
              <w:spacing w:line="360" w:lineRule="auto"/>
              <w:rPr>
                <w:rFonts w:hint="eastAsia" w:ascii="宋体" w:hAnsi="宋体" w:cs="宋体"/>
                <w:strike/>
                <w:sz w:val="24"/>
                <w:szCs w:val="24"/>
                <w:highlight w:val="none"/>
              </w:rPr>
            </w:pPr>
          </w:p>
        </w:tc>
      </w:tr>
      <w:tr w14:paraId="3FAB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vAlign w:val="center"/>
          </w:tcPr>
          <w:p w14:paraId="54867A75">
            <w:pPr>
              <w:shd w:val="clea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第轮</w:t>
            </w:r>
          </w:p>
        </w:tc>
        <w:tc>
          <w:tcPr>
            <w:tcW w:w="1835" w:type="dxa"/>
            <w:gridSpan w:val="2"/>
            <w:tcBorders>
              <w:top w:val="double" w:color="auto" w:sz="2" w:space="0"/>
              <w:left w:val="nil"/>
              <w:bottom w:val="double" w:color="auto" w:sz="2" w:space="0"/>
              <w:right w:val="single" w:color="auto" w:sz="4" w:space="0"/>
            </w:tcBorders>
          </w:tcPr>
          <w:p w14:paraId="601EF49B">
            <w:pPr>
              <w:shd w:val="clear"/>
              <w:spacing w:line="360" w:lineRule="auto"/>
              <w:rPr>
                <w:rFonts w:hint="eastAsia" w:ascii="宋体" w:hAnsi="宋体" w:cs="宋体"/>
                <w:strike/>
                <w:sz w:val="24"/>
                <w:szCs w:val="24"/>
                <w:highlight w:val="none"/>
              </w:rPr>
            </w:pPr>
          </w:p>
        </w:tc>
        <w:tc>
          <w:tcPr>
            <w:tcW w:w="1835" w:type="dxa"/>
            <w:gridSpan w:val="2"/>
            <w:tcBorders>
              <w:top w:val="double" w:color="auto" w:sz="2" w:space="0"/>
              <w:left w:val="single" w:color="auto" w:sz="4" w:space="0"/>
              <w:bottom w:val="double" w:color="auto" w:sz="2" w:space="0"/>
              <w:right w:val="single" w:color="auto" w:sz="4" w:space="0"/>
            </w:tcBorders>
          </w:tcPr>
          <w:p w14:paraId="20D8E2D2">
            <w:pPr>
              <w:shd w:val="clear"/>
              <w:spacing w:line="360" w:lineRule="auto"/>
              <w:rPr>
                <w:rFonts w:hint="eastAsia" w:ascii="宋体" w:hAnsi="宋体" w:cs="宋体"/>
                <w:strike/>
                <w:sz w:val="24"/>
                <w:szCs w:val="24"/>
                <w:highlight w:val="none"/>
              </w:rPr>
            </w:pPr>
          </w:p>
        </w:tc>
        <w:tc>
          <w:tcPr>
            <w:tcW w:w="1835" w:type="dxa"/>
            <w:gridSpan w:val="2"/>
            <w:tcBorders>
              <w:top w:val="double" w:color="auto" w:sz="2" w:space="0"/>
              <w:left w:val="single" w:color="auto" w:sz="4" w:space="0"/>
              <w:bottom w:val="double" w:color="auto" w:sz="2" w:space="0"/>
              <w:right w:val="single" w:color="auto" w:sz="4" w:space="0"/>
            </w:tcBorders>
          </w:tcPr>
          <w:p w14:paraId="1F20691C">
            <w:pPr>
              <w:shd w:val="clear"/>
              <w:spacing w:line="360" w:lineRule="auto"/>
              <w:rPr>
                <w:rFonts w:hint="eastAsia" w:ascii="宋体" w:hAnsi="宋体" w:cs="宋体"/>
                <w:strike/>
                <w:sz w:val="24"/>
                <w:szCs w:val="24"/>
                <w:highlight w:val="none"/>
              </w:rPr>
            </w:pPr>
          </w:p>
        </w:tc>
        <w:tc>
          <w:tcPr>
            <w:tcW w:w="1835" w:type="dxa"/>
            <w:gridSpan w:val="2"/>
            <w:tcBorders>
              <w:top w:val="double" w:color="auto" w:sz="2" w:space="0"/>
              <w:left w:val="single" w:color="auto" w:sz="4" w:space="0"/>
              <w:bottom w:val="double" w:color="auto" w:sz="2" w:space="0"/>
              <w:right w:val="double" w:color="auto" w:sz="2" w:space="0"/>
            </w:tcBorders>
          </w:tcPr>
          <w:p w14:paraId="6046EF31">
            <w:pPr>
              <w:shd w:val="clear"/>
              <w:spacing w:line="360" w:lineRule="auto"/>
              <w:rPr>
                <w:rFonts w:hint="eastAsia" w:ascii="宋体" w:hAnsi="宋体" w:cs="宋体"/>
                <w:strike/>
                <w:sz w:val="24"/>
                <w:szCs w:val="24"/>
                <w:highlight w:val="none"/>
              </w:rPr>
            </w:pPr>
          </w:p>
        </w:tc>
      </w:tr>
      <w:tr w14:paraId="7C71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vAlign w:val="center"/>
          </w:tcPr>
          <w:p w14:paraId="6CE4B20C">
            <w:pPr>
              <w:shd w:val="clea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第轮</w:t>
            </w:r>
          </w:p>
        </w:tc>
        <w:tc>
          <w:tcPr>
            <w:tcW w:w="3670" w:type="dxa"/>
            <w:gridSpan w:val="4"/>
            <w:tcBorders>
              <w:top w:val="double" w:color="auto" w:sz="2" w:space="0"/>
              <w:left w:val="nil"/>
              <w:bottom w:val="double" w:color="auto" w:sz="2" w:space="0"/>
              <w:right w:val="single" w:color="auto" w:sz="4" w:space="0"/>
            </w:tcBorders>
          </w:tcPr>
          <w:p w14:paraId="43F7A8DB">
            <w:pPr>
              <w:shd w:val="clear"/>
              <w:spacing w:line="360" w:lineRule="auto"/>
              <w:rPr>
                <w:rFonts w:hint="eastAsia" w:ascii="宋体" w:hAnsi="宋体" w:cs="宋体"/>
                <w:strike/>
                <w:sz w:val="24"/>
                <w:szCs w:val="24"/>
                <w:highlight w:val="none"/>
              </w:rPr>
            </w:pPr>
          </w:p>
        </w:tc>
        <w:tc>
          <w:tcPr>
            <w:tcW w:w="3670" w:type="dxa"/>
            <w:gridSpan w:val="4"/>
            <w:tcBorders>
              <w:top w:val="double" w:color="auto" w:sz="2" w:space="0"/>
              <w:left w:val="single" w:color="auto" w:sz="4" w:space="0"/>
              <w:bottom w:val="double" w:color="auto" w:sz="2" w:space="0"/>
              <w:right w:val="double" w:color="auto" w:sz="2" w:space="0"/>
            </w:tcBorders>
          </w:tcPr>
          <w:p w14:paraId="465F18D4">
            <w:pPr>
              <w:shd w:val="clear"/>
              <w:spacing w:line="360" w:lineRule="auto"/>
              <w:rPr>
                <w:rFonts w:hint="eastAsia" w:ascii="宋体" w:hAnsi="宋体" w:cs="宋体"/>
                <w:strike/>
                <w:sz w:val="24"/>
                <w:szCs w:val="24"/>
                <w:highlight w:val="none"/>
              </w:rPr>
            </w:pPr>
          </w:p>
        </w:tc>
      </w:tr>
      <w:tr w14:paraId="1F2B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vAlign w:val="center"/>
          </w:tcPr>
          <w:p w14:paraId="7E7EE515">
            <w:pPr>
              <w:shd w:val="clea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第轮</w:t>
            </w:r>
          </w:p>
        </w:tc>
        <w:tc>
          <w:tcPr>
            <w:tcW w:w="7340" w:type="dxa"/>
            <w:gridSpan w:val="8"/>
            <w:tcBorders>
              <w:top w:val="double" w:color="auto" w:sz="2" w:space="0"/>
              <w:left w:val="nil"/>
              <w:bottom w:val="double" w:color="auto" w:sz="2" w:space="0"/>
              <w:right w:val="double" w:color="auto" w:sz="2" w:space="0"/>
            </w:tcBorders>
          </w:tcPr>
          <w:p w14:paraId="0C86060E">
            <w:pPr>
              <w:shd w:val="clear"/>
              <w:spacing w:line="360" w:lineRule="auto"/>
              <w:rPr>
                <w:rFonts w:hint="eastAsia" w:ascii="宋体" w:hAnsi="宋体" w:cs="宋体"/>
                <w:strike/>
                <w:sz w:val="24"/>
                <w:szCs w:val="24"/>
                <w:highlight w:val="none"/>
              </w:rPr>
            </w:pPr>
          </w:p>
        </w:tc>
      </w:tr>
    </w:tbl>
    <w:p w14:paraId="4AB344CD">
      <w:pPr>
        <w:shd w:val="clea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正式投票规则：以上表格用于正式投票，从上到下每轮投票限使用一行空格，每个空格限填一个方案编号，同一行的空格内的方案编号不得重复。每轮投票允许选择的总数即下一轮候选总数，以得票多的方案当选为下一轮投票的候选方案。不能进入下一轮的方案，根据本轮得票数量确定名次。遇票数相等不能确定入选下一轮的投标方案时，应进行附加投票，以确定名次。若投标人数为9人或以上，第一轮投票从第1行空格开始；若投标人数为5至8人，第一轮投票从上表第2行空格开始；若投标人数为3至4人，第一轮投票从上表第3行空格开始。每轮正式投票允许选择投标方案总数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980"/>
        <w:gridCol w:w="1980"/>
        <w:gridCol w:w="2160"/>
      </w:tblGrid>
      <w:tr w14:paraId="05A2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tcPr>
          <w:p w14:paraId="5C125BC4">
            <w:pPr>
              <w:shd w:val="clear"/>
              <w:spacing w:line="360" w:lineRule="auto"/>
              <w:rPr>
                <w:rFonts w:hint="eastAsia" w:ascii="宋体" w:hAnsi="宋体" w:cs="宋体"/>
                <w:strike/>
                <w:sz w:val="24"/>
                <w:szCs w:val="24"/>
                <w:highlight w:val="none"/>
              </w:rPr>
            </w:pPr>
          </w:p>
        </w:tc>
        <w:tc>
          <w:tcPr>
            <w:tcW w:w="6120" w:type="dxa"/>
            <w:gridSpan w:val="3"/>
            <w:tcBorders>
              <w:top w:val="single" w:color="auto" w:sz="4" w:space="0"/>
              <w:left w:val="single" w:color="auto" w:sz="4" w:space="0"/>
              <w:bottom w:val="single" w:color="auto" w:sz="4" w:space="0"/>
              <w:right w:val="single" w:color="auto" w:sz="4" w:space="0"/>
            </w:tcBorders>
          </w:tcPr>
          <w:p w14:paraId="06607D8C">
            <w:pPr>
              <w:shd w:val="clea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每轮正式投票允许选择总数</w:t>
            </w:r>
          </w:p>
        </w:tc>
      </w:tr>
      <w:tr w14:paraId="0B0E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tcPr>
          <w:p w14:paraId="24DB89EA">
            <w:pPr>
              <w:shd w:val="clea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投标人数</w:t>
            </w:r>
          </w:p>
        </w:tc>
        <w:tc>
          <w:tcPr>
            <w:tcW w:w="1980" w:type="dxa"/>
            <w:tcBorders>
              <w:top w:val="single" w:color="auto" w:sz="4" w:space="0"/>
              <w:left w:val="single" w:color="auto" w:sz="4" w:space="0"/>
              <w:bottom w:val="single" w:color="auto" w:sz="4" w:space="0"/>
              <w:right w:val="single" w:color="auto" w:sz="4" w:space="0"/>
            </w:tcBorders>
          </w:tcPr>
          <w:p w14:paraId="3993BEC8">
            <w:pPr>
              <w:shd w:val="clea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3至4</w:t>
            </w:r>
          </w:p>
        </w:tc>
        <w:tc>
          <w:tcPr>
            <w:tcW w:w="1980" w:type="dxa"/>
            <w:tcBorders>
              <w:top w:val="single" w:color="auto" w:sz="4" w:space="0"/>
              <w:left w:val="single" w:color="auto" w:sz="4" w:space="0"/>
              <w:bottom w:val="single" w:color="auto" w:sz="4" w:space="0"/>
              <w:right w:val="single" w:color="auto" w:sz="4" w:space="0"/>
            </w:tcBorders>
          </w:tcPr>
          <w:p w14:paraId="50D8D1F1">
            <w:pPr>
              <w:shd w:val="clea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5至8</w:t>
            </w:r>
          </w:p>
        </w:tc>
        <w:tc>
          <w:tcPr>
            <w:tcW w:w="2160" w:type="dxa"/>
            <w:tcBorders>
              <w:top w:val="single" w:color="auto" w:sz="4" w:space="0"/>
              <w:left w:val="single" w:color="auto" w:sz="4" w:space="0"/>
              <w:bottom w:val="single" w:color="auto" w:sz="4" w:space="0"/>
              <w:right w:val="single" w:color="auto" w:sz="4" w:space="0"/>
            </w:tcBorders>
          </w:tcPr>
          <w:p w14:paraId="58F47E00">
            <w:pPr>
              <w:shd w:val="clea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9人或以上</w:t>
            </w:r>
          </w:p>
        </w:tc>
      </w:tr>
      <w:tr w14:paraId="01B1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tcPr>
          <w:p w14:paraId="1730A5F2">
            <w:pPr>
              <w:shd w:val="clea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第1轮</w:t>
            </w:r>
          </w:p>
        </w:tc>
        <w:tc>
          <w:tcPr>
            <w:tcW w:w="1980" w:type="dxa"/>
            <w:tcBorders>
              <w:top w:val="single" w:color="auto" w:sz="4" w:space="0"/>
              <w:left w:val="single" w:color="auto" w:sz="4" w:space="0"/>
              <w:bottom w:val="single" w:color="auto" w:sz="4" w:space="0"/>
              <w:right w:val="single" w:color="auto" w:sz="4" w:space="0"/>
            </w:tcBorders>
          </w:tcPr>
          <w:p w14:paraId="31896718">
            <w:pPr>
              <w:shd w:val="clea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2</w:t>
            </w:r>
          </w:p>
        </w:tc>
        <w:tc>
          <w:tcPr>
            <w:tcW w:w="1980" w:type="dxa"/>
            <w:tcBorders>
              <w:top w:val="single" w:color="auto" w:sz="4" w:space="0"/>
              <w:left w:val="single" w:color="auto" w:sz="4" w:space="0"/>
              <w:bottom w:val="single" w:color="auto" w:sz="4" w:space="0"/>
              <w:right w:val="single" w:color="auto" w:sz="4" w:space="0"/>
            </w:tcBorders>
          </w:tcPr>
          <w:p w14:paraId="3D8FB893">
            <w:pPr>
              <w:shd w:val="clea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4</w:t>
            </w:r>
          </w:p>
        </w:tc>
        <w:tc>
          <w:tcPr>
            <w:tcW w:w="2160" w:type="dxa"/>
            <w:tcBorders>
              <w:top w:val="single" w:color="auto" w:sz="4" w:space="0"/>
              <w:left w:val="single" w:color="auto" w:sz="4" w:space="0"/>
              <w:bottom w:val="single" w:color="auto" w:sz="4" w:space="0"/>
              <w:right w:val="single" w:color="auto" w:sz="4" w:space="0"/>
            </w:tcBorders>
          </w:tcPr>
          <w:p w14:paraId="01F28B0D">
            <w:pPr>
              <w:shd w:val="clea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8</w:t>
            </w:r>
          </w:p>
        </w:tc>
      </w:tr>
      <w:tr w14:paraId="7FB5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tcPr>
          <w:p w14:paraId="2A22CA6E">
            <w:pPr>
              <w:shd w:val="clea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第2轮</w:t>
            </w:r>
          </w:p>
        </w:tc>
        <w:tc>
          <w:tcPr>
            <w:tcW w:w="1980" w:type="dxa"/>
            <w:tcBorders>
              <w:top w:val="single" w:color="auto" w:sz="4" w:space="0"/>
              <w:left w:val="single" w:color="auto" w:sz="4" w:space="0"/>
              <w:bottom w:val="single" w:color="auto" w:sz="4" w:space="0"/>
              <w:right w:val="single" w:color="auto" w:sz="4" w:space="0"/>
            </w:tcBorders>
          </w:tcPr>
          <w:p w14:paraId="6854E889">
            <w:pPr>
              <w:shd w:val="clea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1</w:t>
            </w:r>
          </w:p>
        </w:tc>
        <w:tc>
          <w:tcPr>
            <w:tcW w:w="1980" w:type="dxa"/>
            <w:tcBorders>
              <w:top w:val="single" w:color="auto" w:sz="4" w:space="0"/>
              <w:left w:val="single" w:color="auto" w:sz="4" w:space="0"/>
              <w:bottom w:val="single" w:color="auto" w:sz="4" w:space="0"/>
              <w:right w:val="single" w:color="auto" w:sz="4" w:space="0"/>
            </w:tcBorders>
          </w:tcPr>
          <w:p w14:paraId="2E67C8A2">
            <w:pPr>
              <w:shd w:val="clea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2</w:t>
            </w:r>
          </w:p>
        </w:tc>
        <w:tc>
          <w:tcPr>
            <w:tcW w:w="2160" w:type="dxa"/>
            <w:tcBorders>
              <w:top w:val="single" w:color="auto" w:sz="4" w:space="0"/>
              <w:left w:val="single" w:color="auto" w:sz="4" w:space="0"/>
              <w:bottom w:val="single" w:color="auto" w:sz="4" w:space="0"/>
              <w:right w:val="single" w:color="auto" w:sz="4" w:space="0"/>
            </w:tcBorders>
          </w:tcPr>
          <w:p w14:paraId="131AF640">
            <w:pPr>
              <w:shd w:val="clea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4</w:t>
            </w:r>
          </w:p>
        </w:tc>
      </w:tr>
      <w:tr w14:paraId="24B8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tcPr>
          <w:p w14:paraId="32C1E087">
            <w:pPr>
              <w:shd w:val="clea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第3轮</w:t>
            </w:r>
          </w:p>
        </w:tc>
        <w:tc>
          <w:tcPr>
            <w:tcW w:w="1980" w:type="dxa"/>
            <w:tcBorders>
              <w:top w:val="single" w:color="auto" w:sz="4" w:space="0"/>
              <w:left w:val="single" w:color="auto" w:sz="4" w:space="0"/>
              <w:bottom w:val="single" w:color="auto" w:sz="4" w:space="0"/>
              <w:right w:val="single" w:color="auto" w:sz="4" w:space="0"/>
            </w:tcBorders>
          </w:tcPr>
          <w:p w14:paraId="0AB6842E">
            <w:pPr>
              <w:shd w:val="clear"/>
              <w:spacing w:line="360" w:lineRule="auto"/>
              <w:jc w:val="center"/>
              <w:rPr>
                <w:rFonts w:hint="eastAsia" w:ascii="宋体" w:hAnsi="宋体" w:cs="宋体"/>
                <w:strike/>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455992EF">
            <w:pPr>
              <w:shd w:val="clea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1</w:t>
            </w:r>
          </w:p>
        </w:tc>
        <w:tc>
          <w:tcPr>
            <w:tcW w:w="2160" w:type="dxa"/>
            <w:tcBorders>
              <w:top w:val="single" w:color="auto" w:sz="4" w:space="0"/>
              <w:left w:val="single" w:color="auto" w:sz="4" w:space="0"/>
              <w:bottom w:val="single" w:color="auto" w:sz="4" w:space="0"/>
              <w:right w:val="single" w:color="auto" w:sz="4" w:space="0"/>
            </w:tcBorders>
          </w:tcPr>
          <w:p w14:paraId="21662629">
            <w:pPr>
              <w:shd w:val="clea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2</w:t>
            </w:r>
          </w:p>
        </w:tc>
      </w:tr>
      <w:tr w14:paraId="7E4C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tcPr>
          <w:p w14:paraId="497109A3">
            <w:pPr>
              <w:shd w:val="clea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第4轮</w:t>
            </w:r>
          </w:p>
        </w:tc>
        <w:tc>
          <w:tcPr>
            <w:tcW w:w="1980" w:type="dxa"/>
            <w:tcBorders>
              <w:top w:val="single" w:color="auto" w:sz="4" w:space="0"/>
              <w:left w:val="single" w:color="auto" w:sz="4" w:space="0"/>
              <w:bottom w:val="single" w:color="auto" w:sz="4" w:space="0"/>
              <w:right w:val="single" w:color="auto" w:sz="4" w:space="0"/>
            </w:tcBorders>
          </w:tcPr>
          <w:p w14:paraId="2D8A29FD">
            <w:pPr>
              <w:shd w:val="clear"/>
              <w:spacing w:line="360" w:lineRule="auto"/>
              <w:jc w:val="center"/>
              <w:rPr>
                <w:rFonts w:hint="eastAsia" w:ascii="宋体" w:hAnsi="宋体" w:cs="宋体"/>
                <w:strike/>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02243548">
            <w:pPr>
              <w:shd w:val="clear"/>
              <w:spacing w:line="360" w:lineRule="auto"/>
              <w:jc w:val="center"/>
              <w:rPr>
                <w:rFonts w:hint="eastAsia" w:ascii="宋体" w:hAnsi="宋体" w:cs="宋体"/>
                <w:strike/>
                <w:sz w:val="24"/>
                <w:szCs w:val="24"/>
                <w:highlight w:val="none"/>
              </w:rPr>
            </w:pPr>
          </w:p>
        </w:tc>
        <w:tc>
          <w:tcPr>
            <w:tcW w:w="2160" w:type="dxa"/>
            <w:tcBorders>
              <w:top w:val="single" w:color="auto" w:sz="4" w:space="0"/>
              <w:left w:val="single" w:color="auto" w:sz="4" w:space="0"/>
              <w:bottom w:val="single" w:color="auto" w:sz="4" w:space="0"/>
              <w:right w:val="single" w:color="auto" w:sz="4" w:space="0"/>
            </w:tcBorders>
          </w:tcPr>
          <w:p w14:paraId="773A46B1">
            <w:pPr>
              <w:shd w:val="clea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1</w:t>
            </w:r>
          </w:p>
        </w:tc>
      </w:tr>
    </w:tbl>
    <w:p w14:paraId="154A49C9">
      <w:pPr>
        <w:shd w:val="clea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(1) 投票结束后，点票人员对投票人数、票数和每票应选方案总数加以核对和统计，作废的选票不得统计，并向评标委员会报告。</w:t>
      </w:r>
    </w:p>
    <w:p w14:paraId="59C06933">
      <w:pPr>
        <w:shd w:val="clear"/>
        <w:spacing w:line="360" w:lineRule="auto"/>
        <w:ind w:firstLine="480"/>
        <w:rPr>
          <w:rFonts w:hint="eastAsia" w:ascii="宋体" w:hAnsi="宋体" w:cs="宋体"/>
          <w:strike/>
          <w:sz w:val="24"/>
          <w:szCs w:val="24"/>
          <w:highlight w:val="none"/>
        </w:rPr>
      </w:pPr>
      <w:r>
        <w:rPr>
          <w:rFonts w:hint="eastAsia" w:ascii="宋体" w:hAnsi="宋体" w:cs="宋体"/>
          <w:strike/>
          <w:sz w:val="24"/>
          <w:szCs w:val="24"/>
          <w:highlight w:val="none"/>
        </w:rPr>
        <w:t>(2)评标委员会成员应当独立投票，自投票开始至最终排名统计结果公布期间，任何人不得非法干预、影响投票过程，不得透露、协商、改变投票结果，不得使用通信联络工具。</w:t>
      </w:r>
    </w:p>
    <w:p w14:paraId="1DB9D872">
      <w:pPr>
        <w:shd w:val="clear"/>
        <w:spacing w:line="360" w:lineRule="auto"/>
        <w:ind w:firstLine="480"/>
        <w:rPr>
          <w:rFonts w:hint="eastAsia" w:ascii="宋体" w:hAnsi="宋体" w:cs="宋体"/>
          <w:strike/>
          <w:sz w:val="24"/>
          <w:szCs w:val="24"/>
          <w:highlight w:val="none"/>
        </w:rPr>
      </w:pPr>
    </w:p>
    <w:p w14:paraId="02CCF2F4">
      <w:pPr>
        <w:shd w:val="clea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评委签名：日期：年月日</w:t>
      </w:r>
    </w:p>
    <w:p w14:paraId="4F1B69AF">
      <w:pPr>
        <w:shd w:val="clear"/>
        <w:spacing w:line="360" w:lineRule="auto"/>
        <w:rPr>
          <w:rFonts w:hint="eastAsia" w:ascii="宋体" w:hAnsi="宋体" w:cs="宋体"/>
          <w:sz w:val="24"/>
          <w:szCs w:val="24"/>
          <w:highlight w:val="none"/>
        </w:rPr>
      </w:pPr>
    </w:p>
    <w:p w14:paraId="255E111B">
      <w:pPr>
        <w:shd w:val="clear"/>
        <w:rPr>
          <w:rFonts w:hint="eastAsia" w:ascii="宋体" w:hAnsi="宋体" w:cs="宋体"/>
          <w:szCs w:val="21"/>
          <w:highlight w:val="none"/>
        </w:rPr>
        <w:sectPr>
          <w:pgSz w:w="11906" w:h="16838"/>
          <w:pgMar w:top="1440" w:right="1797" w:bottom="1440" w:left="1797" w:header="851" w:footer="992" w:gutter="0"/>
          <w:cols w:space="720" w:num="1"/>
          <w:docGrid w:type="lines" w:linePitch="312" w:charSpace="0"/>
        </w:sectPr>
      </w:pPr>
    </w:p>
    <w:p w14:paraId="7C0D8653">
      <w:pPr>
        <w:pStyle w:val="3"/>
        <w:shd w:val="clear"/>
        <w:rPr>
          <w:rFonts w:hint="eastAsia" w:ascii="宋体" w:hAnsi="宋体" w:cs="宋体"/>
          <w:strike/>
          <w:sz w:val="21"/>
          <w:szCs w:val="21"/>
          <w:highlight w:val="none"/>
        </w:rPr>
      </w:pPr>
      <w:bookmarkStart w:id="297" w:name="_Toc11625"/>
      <w:bookmarkStart w:id="298" w:name="_Toc18893"/>
      <w:bookmarkStart w:id="299" w:name="_Toc11228"/>
      <w:bookmarkStart w:id="300" w:name="_Toc23435"/>
      <w:bookmarkStart w:id="301" w:name="_Toc7140"/>
      <w:bookmarkStart w:id="302" w:name="_Toc16566"/>
      <w:bookmarkStart w:id="303" w:name="_Toc32042"/>
      <w:r>
        <w:rPr>
          <w:rFonts w:hint="eastAsia" w:ascii="宋体" w:hAnsi="宋体" w:cs="宋体"/>
          <w:strike/>
          <w:sz w:val="21"/>
          <w:szCs w:val="21"/>
          <w:highlight w:val="none"/>
        </w:rPr>
        <w:t>附录11 投标汇总表格</w:t>
      </w:r>
      <w:bookmarkEnd w:id="297"/>
      <w:bookmarkEnd w:id="298"/>
      <w:bookmarkEnd w:id="299"/>
      <w:bookmarkEnd w:id="300"/>
      <w:bookmarkEnd w:id="301"/>
      <w:bookmarkEnd w:id="302"/>
      <w:bookmarkEnd w:id="303"/>
    </w:p>
    <w:p w14:paraId="1DB95D35">
      <w:pPr>
        <w:shd w:val="clear"/>
        <w:jc w:val="center"/>
        <w:rPr>
          <w:rFonts w:hint="eastAsia" w:ascii="宋体" w:hAnsi="宋体" w:cs="宋体"/>
          <w:b/>
          <w:strike/>
          <w:sz w:val="32"/>
          <w:szCs w:val="32"/>
          <w:highlight w:val="none"/>
        </w:rPr>
      </w:pPr>
      <w:r>
        <w:rPr>
          <w:rFonts w:hint="eastAsia" w:ascii="宋体" w:hAnsi="宋体" w:cs="宋体"/>
          <w:b/>
          <w:strike/>
          <w:sz w:val="32"/>
          <w:szCs w:val="32"/>
          <w:highlight w:val="none"/>
        </w:rPr>
        <w:t>投票汇总表格</w:t>
      </w:r>
    </w:p>
    <w:p w14:paraId="13008EAA">
      <w:pPr>
        <w:shd w:val="clear"/>
        <w:rPr>
          <w:rFonts w:hint="eastAsia" w:ascii="宋体" w:hAnsi="宋体" w:cs="宋体"/>
          <w:strike/>
          <w:sz w:val="24"/>
          <w:szCs w:val="24"/>
          <w:highlight w:val="none"/>
        </w:rPr>
      </w:pPr>
      <w:r>
        <w:rPr>
          <w:rFonts w:hint="eastAsia" w:ascii="宋体" w:hAnsi="宋体" w:cs="宋体"/>
          <w:strike/>
          <w:sz w:val="24"/>
          <w:szCs w:val="24"/>
          <w:highlight w:val="none"/>
        </w:rPr>
        <w:t>项目名称：日期：年月日</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677"/>
        <w:gridCol w:w="677"/>
        <w:gridCol w:w="677"/>
        <w:gridCol w:w="677"/>
        <w:gridCol w:w="1275"/>
        <w:gridCol w:w="3045"/>
      </w:tblGrid>
      <w:tr w14:paraId="525E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0" w:type="dxa"/>
            <w:vMerge w:val="restart"/>
            <w:tcBorders>
              <w:top w:val="single" w:color="auto" w:sz="4" w:space="0"/>
              <w:left w:val="single" w:color="auto" w:sz="4" w:space="0"/>
              <w:bottom w:val="single" w:color="auto" w:sz="4" w:space="0"/>
              <w:right w:val="single" w:color="auto" w:sz="4" w:space="0"/>
            </w:tcBorders>
          </w:tcPr>
          <w:p w14:paraId="0E9ABE4F">
            <w:pPr>
              <w:shd w:val="clea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方案编号</w:t>
            </w:r>
          </w:p>
        </w:tc>
        <w:tc>
          <w:tcPr>
            <w:tcW w:w="1420" w:type="dxa"/>
            <w:vMerge w:val="restart"/>
            <w:tcBorders>
              <w:top w:val="single" w:color="auto" w:sz="4" w:space="0"/>
              <w:left w:val="single" w:color="auto" w:sz="4" w:space="0"/>
              <w:bottom w:val="single" w:color="auto" w:sz="4" w:space="0"/>
              <w:right w:val="single" w:color="auto" w:sz="4" w:space="0"/>
            </w:tcBorders>
          </w:tcPr>
          <w:p w14:paraId="0F73563C">
            <w:pPr>
              <w:shd w:val="clea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第一轮得票</w:t>
            </w:r>
          </w:p>
        </w:tc>
        <w:tc>
          <w:tcPr>
            <w:tcW w:w="1420" w:type="dxa"/>
            <w:vMerge w:val="restart"/>
            <w:tcBorders>
              <w:top w:val="single" w:color="auto" w:sz="4" w:space="0"/>
              <w:left w:val="single" w:color="auto" w:sz="4" w:space="0"/>
              <w:bottom w:val="single" w:color="auto" w:sz="4" w:space="0"/>
              <w:right w:val="single" w:color="auto" w:sz="4" w:space="0"/>
            </w:tcBorders>
          </w:tcPr>
          <w:p w14:paraId="45080DCC">
            <w:pPr>
              <w:shd w:val="clea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第二轮得票</w:t>
            </w:r>
          </w:p>
        </w:tc>
        <w:tc>
          <w:tcPr>
            <w:tcW w:w="1420" w:type="dxa"/>
            <w:vMerge w:val="restart"/>
            <w:tcBorders>
              <w:top w:val="single" w:color="auto" w:sz="4" w:space="0"/>
              <w:left w:val="single" w:color="auto" w:sz="4" w:space="0"/>
              <w:bottom w:val="single" w:color="auto" w:sz="4" w:space="0"/>
              <w:right w:val="single" w:color="auto" w:sz="4" w:space="0"/>
            </w:tcBorders>
          </w:tcPr>
          <w:p w14:paraId="23C8B3EC">
            <w:pPr>
              <w:shd w:val="clea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第三轮得票</w:t>
            </w:r>
          </w:p>
        </w:tc>
        <w:tc>
          <w:tcPr>
            <w:tcW w:w="1420" w:type="dxa"/>
            <w:vMerge w:val="restart"/>
            <w:tcBorders>
              <w:top w:val="single" w:color="auto" w:sz="4" w:space="0"/>
              <w:left w:val="single" w:color="auto" w:sz="4" w:space="0"/>
              <w:bottom w:val="single" w:color="auto" w:sz="4" w:space="0"/>
              <w:right w:val="single" w:color="auto" w:sz="4" w:space="0"/>
            </w:tcBorders>
          </w:tcPr>
          <w:p w14:paraId="195FF00A">
            <w:pPr>
              <w:shd w:val="clea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第四轮得票</w:t>
            </w:r>
          </w:p>
        </w:tc>
        <w:tc>
          <w:tcPr>
            <w:tcW w:w="2708" w:type="dxa"/>
            <w:gridSpan w:val="4"/>
            <w:tcBorders>
              <w:top w:val="single" w:color="auto" w:sz="4" w:space="0"/>
              <w:left w:val="single" w:color="auto" w:sz="4" w:space="0"/>
              <w:bottom w:val="single" w:color="auto" w:sz="4" w:space="0"/>
              <w:right w:val="single" w:color="auto" w:sz="4" w:space="0"/>
            </w:tcBorders>
          </w:tcPr>
          <w:p w14:paraId="5B1DD14E">
            <w:pPr>
              <w:shd w:val="clea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每轮得票相同的排序</w:t>
            </w:r>
          </w:p>
        </w:tc>
        <w:tc>
          <w:tcPr>
            <w:tcW w:w="1275" w:type="dxa"/>
            <w:vMerge w:val="restart"/>
            <w:tcBorders>
              <w:top w:val="single" w:color="auto" w:sz="4" w:space="0"/>
              <w:left w:val="single" w:color="auto" w:sz="4" w:space="0"/>
              <w:bottom w:val="single" w:color="auto" w:sz="4" w:space="0"/>
              <w:right w:val="single" w:color="auto" w:sz="4" w:space="0"/>
            </w:tcBorders>
          </w:tcPr>
          <w:p w14:paraId="3CF500B2">
            <w:pPr>
              <w:shd w:val="clea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排列名次</w:t>
            </w:r>
          </w:p>
        </w:tc>
        <w:tc>
          <w:tcPr>
            <w:tcW w:w="3045" w:type="dxa"/>
            <w:vMerge w:val="restart"/>
            <w:tcBorders>
              <w:top w:val="single" w:color="auto" w:sz="4" w:space="0"/>
              <w:left w:val="single" w:color="auto" w:sz="4" w:space="0"/>
              <w:bottom w:val="single" w:color="auto" w:sz="4" w:space="0"/>
              <w:right w:val="single" w:color="auto" w:sz="4" w:space="0"/>
            </w:tcBorders>
          </w:tcPr>
          <w:p w14:paraId="443606FF">
            <w:pPr>
              <w:shd w:val="clea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投标人名称</w:t>
            </w:r>
          </w:p>
          <w:p w14:paraId="5CEC20B0">
            <w:pPr>
              <w:shd w:val="clea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（建筑师）</w:t>
            </w:r>
          </w:p>
        </w:tc>
      </w:tr>
      <w:tr w14:paraId="321E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tcPr>
          <w:p w14:paraId="756D9F07">
            <w:pPr>
              <w:shd w:val="clear"/>
              <w:rPr>
                <w:rFonts w:hint="eastAsia" w:ascii="宋体" w:hAnsi="宋体" w:cs="宋体"/>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tcPr>
          <w:p w14:paraId="5E3468A7">
            <w:pPr>
              <w:shd w:val="clear"/>
              <w:rPr>
                <w:rFonts w:hint="eastAsia" w:ascii="宋体" w:hAnsi="宋体" w:cs="宋体"/>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tcPr>
          <w:p w14:paraId="6684BD81">
            <w:pPr>
              <w:shd w:val="clear"/>
              <w:rPr>
                <w:rFonts w:hint="eastAsia" w:ascii="宋体" w:hAnsi="宋体" w:cs="宋体"/>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tcPr>
          <w:p w14:paraId="4DF8CB8C">
            <w:pPr>
              <w:shd w:val="clear"/>
              <w:rPr>
                <w:rFonts w:hint="eastAsia" w:ascii="宋体" w:hAnsi="宋体" w:cs="宋体"/>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tcPr>
          <w:p w14:paraId="12296CAD">
            <w:pPr>
              <w:shd w:val="clear"/>
              <w:rPr>
                <w:rFonts w:hint="eastAsia" w:ascii="宋体" w:hAnsi="宋体" w:cs="宋体"/>
                <w:sz w:val="20"/>
                <w:szCs w:val="20"/>
                <w:highlight w:val="none"/>
              </w:rPr>
            </w:pPr>
          </w:p>
        </w:tc>
        <w:tc>
          <w:tcPr>
            <w:tcW w:w="677" w:type="dxa"/>
            <w:tcBorders>
              <w:top w:val="single" w:color="auto" w:sz="4" w:space="0"/>
              <w:left w:val="single" w:color="auto" w:sz="4" w:space="0"/>
              <w:bottom w:val="single" w:color="auto" w:sz="4" w:space="0"/>
              <w:right w:val="single" w:color="auto" w:sz="4" w:space="0"/>
            </w:tcBorders>
          </w:tcPr>
          <w:p w14:paraId="619C56BA">
            <w:pPr>
              <w:shd w:val="clear"/>
              <w:spacing w:line="360" w:lineRule="auto"/>
              <w:jc w:val="center"/>
              <w:rPr>
                <w:rFonts w:hint="eastAsia" w:ascii="宋体" w:hAnsi="宋体" w:cs="宋体"/>
                <w:strike/>
                <w:szCs w:val="21"/>
                <w:highlight w:val="none"/>
              </w:rPr>
            </w:pPr>
            <w:r>
              <w:rPr>
                <w:rFonts w:hint="eastAsia" w:ascii="宋体" w:hAnsi="宋体" w:cs="宋体"/>
                <w:strike/>
                <w:szCs w:val="21"/>
                <w:highlight w:val="none"/>
              </w:rPr>
              <w:t>1</w:t>
            </w:r>
          </w:p>
        </w:tc>
        <w:tc>
          <w:tcPr>
            <w:tcW w:w="677" w:type="dxa"/>
            <w:tcBorders>
              <w:top w:val="single" w:color="auto" w:sz="4" w:space="0"/>
              <w:left w:val="single" w:color="auto" w:sz="4" w:space="0"/>
              <w:bottom w:val="single" w:color="auto" w:sz="4" w:space="0"/>
              <w:right w:val="single" w:color="auto" w:sz="4" w:space="0"/>
            </w:tcBorders>
          </w:tcPr>
          <w:p w14:paraId="2B1C7383">
            <w:pPr>
              <w:shd w:val="clear"/>
              <w:spacing w:line="360" w:lineRule="auto"/>
              <w:jc w:val="center"/>
              <w:rPr>
                <w:rFonts w:hint="eastAsia" w:ascii="宋体" w:hAnsi="宋体" w:cs="宋体"/>
                <w:strike/>
                <w:szCs w:val="21"/>
                <w:highlight w:val="none"/>
              </w:rPr>
            </w:pPr>
            <w:r>
              <w:rPr>
                <w:rFonts w:hint="eastAsia" w:ascii="宋体" w:hAnsi="宋体" w:cs="宋体"/>
                <w:strike/>
                <w:szCs w:val="21"/>
                <w:highlight w:val="none"/>
              </w:rPr>
              <w:t>2</w:t>
            </w:r>
          </w:p>
        </w:tc>
        <w:tc>
          <w:tcPr>
            <w:tcW w:w="677" w:type="dxa"/>
            <w:tcBorders>
              <w:top w:val="single" w:color="auto" w:sz="4" w:space="0"/>
              <w:left w:val="single" w:color="auto" w:sz="4" w:space="0"/>
              <w:bottom w:val="single" w:color="auto" w:sz="4" w:space="0"/>
              <w:right w:val="single" w:color="auto" w:sz="4" w:space="0"/>
            </w:tcBorders>
          </w:tcPr>
          <w:p w14:paraId="1AC302B1">
            <w:pPr>
              <w:shd w:val="clear"/>
              <w:spacing w:line="360" w:lineRule="auto"/>
              <w:jc w:val="center"/>
              <w:rPr>
                <w:rFonts w:hint="eastAsia" w:ascii="宋体" w:hAnsi="宋体" w:cs="宋体"/>
                <w:strike/>
                <w:szCs w:val="21"/>
                <w:highlight w:val="none"/>
              </w:rPr>
            </w:pPr>
            <w:r>
              <w:rPr>
                <w:rFonts w:hint="eastAsia" w:ascii="宋体" w:hAnsi="宋体" w:cs="宋体"/>
                <w:strike/>
                <w:szCs w:val="21"/>
                <w:highlight w:val="none"/>
              </w:rPr>
              <w:t>3</w:t>
            </w:r>
          </w:p>
        </w:tc>
        <w:tc>
          <w:tcPr>
            <w:tcW w:w="677" w:type="dxa"/>
            <w:tcBorders>
              <w:top w:val="single" w:color="auto" w:sz="4" w:space="0"/>
              <w:left w:val="single" w:color="auto" w:sz="4" w:space="0"/>
              <w:bottom w:val="single" w:color="auto" w:sz="4" w:space="0"/>
              <w:right w:val="single" w:color="auto" w:sz="4" w:space="0"/>
            </w:tcBorders>
          </w:tcPr>
          <w:p w14:paraId="2D878135">
            <w:pPr>
              <w:shd w:val="clear"/>
              <w:spacing w:line="360" w:lineRule="auto"/>
              <w:jc w:val="center"/>
              <w:rPr>
                <w:rFonts w:hint="eastAsia" w:ascii="宋体" w:hAnsi="宋体" w:cs="宋体"/>
                <w:strike/>
                <w:szCs w:val="21"/>
                <w:highlight w:val="none"/>
              </w:rPr>
            </w:pPr>
            <w:r>
              <w:rPr>
                <w:rFonts w:hint="eastAsia" w:ascii="宋体" w:hAnsi="宋体" w:cs="宋体"/>
                <w:strike/>
                <w:szCs w:val="21"/>
                <w:highlight w:val="none"/>
              </w:rPr>
              <w:t>4</w:t>
            </w:r>
          </w:p>
        </w:tc>
        <w:tc>
          <w:tcPr>
            <w:tcW w:w="1275" w:type="dxa"/>
            <w:vMerge w:val="continue"/>
            <w:tcBorders>
              <w:top w:val="single" w:color="auto" w:sz="4" w:space="0"/>
              <w:left w:val="single" w:color="auto" w:sz="4" w:space="0"/>
              <w:bottom w:val="single" w:color="auto" w:sz="4" w:space="0"/>
              <w:right w:val="single" w:color="auto" w:sz="4" w:space="0"/>
            </w:tcBorders>
          </w:tcPr>
          <w:p w14:paraId="794FA82B">
            <w:pPr>
              <w:shd w:val="clear"/>
              <w:rPr>
                <w:rFonts w:hint="eastAsia" w:ascii="宋体" w:hAnsi="宋体" w:cs="宋体"/>
                <w:sz w:val="20"/>
                <w:szCs w:val="20"/>
                <w:highlight w:val="none"/>
              </w:rPr>
            </w:pPr>
          </w:p>
        </w:tc>
        <w:tc>
          <w:tcPr>
            <w:tcW w:w="3045" w:type="dxa"/>
            <w:vMerge w:val="continue"/>
            <w:tcBorders>
              <w:top w:val="single" w:color="auto" w:sz="4" w:space="0"/>
              <w:left w:val="single" w:color="auto" w:sz="4" w:space="0"/>
              <w:bottom w:val="single" w:color="auto" w:sz="4" w:space="0"/>
              <w:right w:val="single" w:color="auto" w:sz="4" w:space="0"/>
            </w:tcBorders>
          </w:tcPr>
          <w:p w14:paraId="6D6CBD4D">
            <w:pPr>
              <w:shd w:val="clear"/>
              <w:rPr>
                <w:rFonts w:hint="eastAsia" w:ascii="宋体" w:hAnsi="宋体" w:cs="宋体"/>
                <w:sz w:val="20"/>
                <w:szCs w:val="20"/>
                <w:highlight w:val="none"/>
              </w:rPr>
            </w:pPr>
          </w:p>
        </w:tc>
      </w:tr>
      <w:tr w14:paraId="644A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20" w:type="dxa"/>
            <w:tcBorders>
              <w:top w:val="single" w:color="auto" w:sz="4" w:space="0"/>
              <w:left w:val="single" w:color="auto" w:sz="4" w:space="0"/>
              <w:bottom w:val="single" w:color="auto" w:sz="4" w:space="0"/>
              <w:right w:val="single" w:color="auto" w:sz="4" w:space="0"/>
            </w:tcBorders>
          </w:tcPr>
          <w:p w14:paraId="1008E806">
            <w:pPr>
              <w:shd w:val="clear"/>
              <w:spacing w:line="480" w:lineRule="auto"/>
              <w:jc w:val="center"/>
              <w:rPr>
                <w:rFonts w:hint="eastAsia" w:ascii="宋体" w:hAnsi="宋体" w:cs="宋体"/>
                <w:strike/>
                <w:kern w:val="0"/>
                <w:szCs w:val="21"/>
                <w:highlight w:val="none"/>
              </w:rPr>
            </w:pPr>
            <w:r>
              <w:rPr>
                <w:rFonts w:hint="eastAsia" w:ascii="宋体" w:hAnsi="宋体" w:cs="宋体"/>
                <w:strike/>
                <w:kern w:val="0"/>
                <w:szCs w:val="21"/>
                <w:highlight w:val="none"/>
              </w:rPr>
              <w:t>1</w:t>
            </w:r>
          </w:p>
        </w:tc>
        <w:tc>
          <w:tcPr>
            <w:tcW w:w="1420" w:type="dxa"/>
            <w:tcBorders>
              <w:top w:val="single" w:color="auto" w:sz="4" w:space="0"/>
              <w:left w:val="single" w:color="auto" w:sz="4" w:space="0"/>
              <w:bottom w:val="single" w:color="auto" w:sz="4" w:space="0"/>
              <w:right w:val="single" w:color="auto" w:sz="4" w:space="0"/>
            </w:tcBorders>
          </w:tcPr>
          <w:p w14:paraId="7C912653">
            <w:pPr>
              <w:shd w:val="clea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57E97AEC">
            <w:pPr>
              <w:shd w:val="clea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663CB191">
            <w:pPr>
              <w:shd w:val="clea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0844A9AD">
            <w:pPr>
              <w:shd w:val="clea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3BC529D5">
            <w:pPr>
              <w:shd w:val="clea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721238D9">
            <w:pPr>
              <w:shd w:val="clea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22C019DA">
            <w:pPr>
              <w:shd w:val="clea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4716BD6C">
            <w:pPr>
              <w:shd w:val="clear"/>
              <w:spacing w:line="480" w:lineRule="auto"/>
              <w:rPr>
                <w:rFonts w:hint="eastAsia" w:ascii="宋体" w:hAnsi="宋体" w:cs="宋体"/>
                <w:strike/>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75FB62AA">
            <w:pPr>
              <w:shd w:val="clear"/>
              <w:spacing w:line="480" w:lineRule="auto"/>
              <w:rPr>
                <w:rFonts w:hint="eastAsia" w:ascii="宋体" w:hAnsi="宋体" w:cs="宋体"/>
                <w:strike/>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tcPr>
          <w:p w14:paraId="5C6AE852">
            <w:pPr>
              <w:shd w:val="clear"/>
              <w:spacing w:line="480" w:lineRule="auto"/>
              <w:rPr>
                <w:rFonts w:hint="eastAsia" w:ascii="宋体" w:hAnsi="宋体" w:cs="宋体"/>
                <w:strike/>
                <w:kern w:val="0"/>
                <w:szCs w:val="21"/>
                <w:highlight w:val="none"/>
              </w:rPr>
            </w:pPr>
          </w:p>
        </w:tc>
      </w:tr>
      <w:tr w14:paraId="6BB8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tcPr>
          <w:p w14:paraId="5D5F93B8">
            <w:pPr>
              <w:shd w:val="clear"/>
              <w:spacing w:line="480" w:lineRule="auto"/>
              <w:jc w:val="center"/>
              <w:rPr>
                <w:rFonts w:hint="eastAsia" w:ascii="宋体" w:hAnsi="宋体" w:cs="宋体"/>
                <w:strike/>
                <w:kern w:val="0"/>
                <w:szCs w:val="21"/>
                <w:highlight w:val="none"/>
              </w:rPr>
            </w:pPr>
            <w:r>
              <w:rPr>
                <w:rFonts w:hint="eastAsia" w:ascii="宋体" w:hAnsi="宋体" w:cs="宋体"/>
                <w:strike/>
                <w:kern w:val="0"/>
                <w:szCs w:val="21"/>
                <w:highlight w:val="none"/>
              </w:rPr>
              <w:t>2</w:t>
            </w:r>
          </w:p>
        </w:tc>
        <w:tc>
          <w:tcPr>
            <w:tcW w:w="1420" w:type="dxa"/>
            <w:tcBorders>
              <w:top w:val="single" w:color="auto" w:sz="4" w:space="0"/>
              <w:left w:val="single" w:color="auto" w:sz="4" w:space="0"/>
              <w:bottom w:val="single" w:color="auto" w:sz="4" w:space="0"/>
              <w:right w:val="single" w:color="auto" w:sz="4" w:space="0"/>
            </w:tcBorders>
          </w:tcPr>
          <w:p w14:paraId="49E1D3B8">
            <w:pPr>
              <w:shd w:val="clea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112537D1">
            <w:pPr>
              <w:shd w:val="clea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5632DA78">
            <w:pPr>
              <w:shd w:val="clea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484C467E">
            <w:pPr>
              <w:shd w:val="clea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7AE112DD">
            <w:pPr>
              <w:shd w:val="clea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623FCEAD">
            <w:pPr>
              <w:shd w:val="clea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4D95B8A7">
            <w:pPr>
              <w:shd w:val="clea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0942F9C6">
            <w:pPr>
              <w:shd w:val="clear"/>
              <w:spacing w:line="480" w:lineRule="auto"/>
              <w:rPr>
                <w:rFonts w:hint="eastAsia" w:ascii="宋体" w:hAnsi="宋体" w:cs="宋体"/>
                <w:strike/>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5A222C08">
            <w:pPr>
              <w:shd w:val="clear"/>
              <w:spacing w:line="480" w:lineRule="auto"/>
              <w:rPr>
                <w:rFonts w:hint="eastAsia" w:ascii="宋体" w:hAnsi="宋体" w:cs="宋体"/>
                <w:strike/>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tcPr>
          <w:p w14:paraId="78C35A9A">
            <w:pPr>
              <w:shd w:val="clear"/>
              <w:spacing w:line="480" w:lineRule="auto"/>
              <w:rPr>
                <w:rFonts w:hint="eastAsia" w:ascii="宋体" w:hAnsi="宋体" w:cs="宋体"/>
                <w:strike/>
                <w:kern w:val="0"/>
                <w:szCs w:val="21"/>
                <w:highlight w:val="none"/>
              </w:rPr>
            </w:pPr>
          </w:p>
        </w:tc>
      </w:tr>
      <w:tr w14:paraId="486B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tcPr>
          <w:p w14:paraId="3E6EDC1A">
            <w:pPr>
              <w:shd w:val="clear"/>
              <w:spacing w:line="480" w:lineRule="auto"/>
              <w:jc w:val="center"/>
              <w:rPr>
                <w:rFonts w:hint="eastAsia" w:ascii="宋体" w:hAnsi="宋体" w:cs="宋体"/>
                <w:strike/>
                <w:kern w:val="0"/>
                <w:szCs w:val="21"/>
                <w:highlight w:val="none"/>
              </w:rPr>
            </w:pPr>
            <w:r>
              <w:rPr>
                <w:rFonts w:hint="eastAsia" w:ascii="宋体" w:hAnsi="宋体" w:cs="宋体"/>
                <w:strike/>
                <w:kern w:val="0"/>
                <w:szCs w:val="21"/>
                <w:highlight w:val="none"/>
              </w:rPr>
              <w:t>3</w:t>
            </w:r>
          </w:p>
        </w:tc>
        <w:tc>
          <w:tcPr>
            <w:tcW w:w="1420" w:type="dxa"/>
            <w:tcBorders>
              <w:top w:val="single" w:color="auto" w:sz="4" w:space="0"/>
              <w:left w:val="single" w:color="auto" w:sz="4" w:space="0"/>
              <w:bottom w:val="single" w:color="auto" w:sz="4" w:space="0"/>
              <w:right w:val="single" w:color="auto" w:sz="4" w:space="0"/>
            </w:tcBorders>
          </w:tcPr>
          <w:p w14:paraId="47884D17">
            <w:pPr>
              <w:shd w:val="clea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789486DC">
            <w:pPr>
              <w:shd w:val="clea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38227D85">
            <w:pPr>
              <w:shd w:val="clea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5436E69E">
            <w:pPr>
              <w:shd w:val="clea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4D6C47A6">
            <w:pPr>
              <w:shd w:val="clea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61E2776A">
            <w:pPr>
              <w:shd w:val="clea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2E99A1A9">
            <w:pPr>
              <w:shd w:val="clea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339F49FC">
            <w:pPr>
              <w:shd w:val="clear"/>
              <w:spacing w:line="480" w:lineRule="auto"/>
              <w:rPr>
                <w:rFonts w:hint="eastAsia" w:ascii="宋体" w:hAnsi="宋体" w:cs="宋体"/>
                <w:strike/>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083E6511">
            <w:pPr>
              <w:shd w:val="clear"/>
              <w:spacing w:line="480" w:lineRule="auto"/>
              <w:rPr>
                <w:rFonts w:hint="eastAsia" w:ascii="宋体" w:hAnsi="宋体" w:cs="宋体"/>
                <w:strike/>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tcPr>
          <w:p w14:paraId="2B0A9C5D">
            <w:pPr>
              <w:shd w:val="clear"/>
              <w:spacing w:line="480" w:lineRule="auto"/>
              <w:rPr>
                <w:rFonts w:hint="eastAsia" w:ascii="宋体" w:hAnsi="宋体" w:cs="宋体"/>
                <w:strike/>
                <w:kern w:val="0"/>
                <w:szCs w:val="21"/>
                <w:highlight w:val="none"/>
              </w:rPr>
            </w:pPr>
          </w:p>
        </w:tc>
      </w:tr>
      <w:tr w14:paraId="5393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tcPr>
          <w:p w14:paraId="1DBDBDBD">
            <w:pPr>
              <w:shd w:val="clear"/>
              <w:spacing w:line="480" w:lineRule="auto"/>
              <w:jc w:val="center"/>
              <w:rPr>
                <w:rFonts w:hint="eastAsia" w:ascii="宋体" w:hAnsi="宋体" w:cs="宋体"/>
                <w:strike/>
                <w:kern w:val="0"/>
                <w:szCs w:val="21"/>
                <w:highlight w:val="none"/>
              </w:rPr>
            </w:pPr>
            <w:r>
              <w:rPr>
                <w:rFonts w:hint="eastAsia" w:ascii="宋体" w:hAnsi="宋体" w:cs="宋体"/>
                <w:strike/>
                <w:kern w:val="0"/>
                <w:szCs w:val="21"/>
                <w:highlight w:val="none"/>
              </w:rPr>
              <w:t>4</w:t>
            </w:r>
          </w:p>
        </w:tc>
        <w:tc>
          <w:tcPr>
            <w:tcW w:w="1420" w:type="dxa"/>
            <w:tcBorders>
              <w:top w:val="single" w:color="auto" w:sz="4" w:space="0"/>
              <w:left w:val="single" w:color="auto" w:sz="4" w:space="0"/>
              <w:bottom w:val="single" w:color="auto" w:sz="4" w:space="0"/>
              <w:right w:val="single" w:color="auto" w:sz="4" w:space="0"/>
            </w:tcBorders>
          </w:tcPr>
          <w:p w14:paraId="5AA98B91">
            <w:pPr>
              <w:shd w:val="clea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2DA931CC">
            <w:pPr>
              <w:shd w:val="clea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2CA22BD6">
            <w:pPr>
              <w:shd w:val="clea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4999D17F">
            <w:pPr>
              <w:shd w:val="clea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72BBDB50">
            <w:pPr>
              <w:shd w:val="clea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1612FB6A">
            <w:pPr>
              <w:shd w:val="clea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70EDFAE7">
            <w:pPr>
              <w:shd w:val="clea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24F69669">
            <w:pPr>
              <w:shd w:val="clear"/>
              <w:spacing w:line="480" w:lineRule="auto"/>
              <w:rPr>
                <w:rFonts w:hint="eastAsia" w:ascii="宋体" w:hAnsi="宋体" w:cs="宋体"/>
                <w:strike/>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083332BE">
            <w:pPr>
              <w:shd w:val="clear"/>
              <w:spacing w:line="480" w:lineRule="auto"/>
              <w:rPr>
                <w:rFonts w:hint="eastAsia" w:ascii="宋体" w:hAnsi="宋体" w:cs="宋体"/>
                <w:strike/>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tcPr>
          <w:p w14:paraId="4740C32D">
            <w:pPr>
              <w:shd w:val="clear"/>
              <w:spacing w:line="480" w:lineRule="auto"/>
              <w:rPr>
                <w:rFonts w:hint="eastAsia" w:ascii="宋体" w:hAnsi="宋体" w:cs="宋体"/>
                <w:strike/>
                <w:kern w:val="0"/>
                <w:szCs w:val="21"/>
                <w:highlight w:val="none"/>
              </w:rPr>
            </w:pPr>
          </w:p>
        </w:tc>
      </w:tr>
      <w:tr w14:paraId="2C28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tcPr>
          <w:p w14:paraId="1F196E50">
            <w:pPr>
              <w:shd w:val="clear"/>
              <w:spacing w:line="480" w:lineRule="auto"/>
              <w:jc w:val="center"/>
              <w:rPr>
                <w:rFonts w:hint="eastAsia" w:ascii="宋体" w:hAnsi="宋体" w:cs="宋体"/>
                <w:strike/>
                <w:kern w:val="0"/>
                <w:szCs w:val="21"/>
                <w:highlight w:val="none"/>
              </w:rPr>
            </w:pPr>
            <w:r>
              <w:rPr>
                <w:rFonts w:hint="eastAsia" w:ascii="宋体" w:hAnsi="宋体" w:cs="宋体"/>
                <w:strike/>
                <w:kern w:val="0"/>
                <w:szCs w:val="21"/>
                <w:highlight w:val="none"/>
              </w:rPr>
              <w:t>5</w:t>
            </w:r>
          </w:p>
        </w:tc>
        <w:tc>
          <w:tcPr>
            <w:tcW w:w="1420" w:type="dxa"/>
            <w:tcBorders>
              <w:top w:val="single" w:color="auto" w:sz="4" w:space="0"/>
              <w:left w:val="single" w:color="auto" w:sz="4" w:space="0"/>
              <w:bottom w:val="single" w:color="auto" w:sz="4" w:space="0"/>
              <w:right w:val="single" w:color="auto" w:sz="4" w:space="0"/>
            </w:tcBorders>
          </w:tcPr>
          <w:p w14:paraId="2578A94C">
            <w:pPr>
              <w:shd w:val="clea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5C64A2E9">
            <w:pPr>
              <w:shd w:val="clea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3ACE01C1">
            <w:pPr>
              <w:shd w:val="clea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42273B29">
            <w:pPr>
              <w:shd w:val="clea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5FEB57E3">
            <w:pPr>
              <w:shd w:val="clea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7B8E6645">
            <w:pPr>
              <w:shd w:val="clea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595E0463">
            <w:pPr>
              <w:shd w:val="clea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4BDEF4F5">
            <w:pPr>
              <w:shd w:val="clear"/>
              <w:spacing w:line="480" w:lineRule="auto"/>
              <w:rPr>
                <w:rFonts w:hint="eastAsia" w:ascii="宋体" w:hAnsi="宋体" w:cs="宋体"/>
                <w:strike/>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0813E6E0">
            <w:pPr>
              <w:shd w:val="clear"/>
              <w:spacing w:line="480" w:lineRule="auto"/>
              <w:rPr>
                <w:rFonts w:hint="eastAsia" w:ascii="宋体" w:hAnsi="宋体" w:cs="宋体"/>
                <w:strike/>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tcPr>
          <w:p w14:paraId="2F08FDF0">
            <w:pPr>
              <w:shd w:val="clear"/>
              <w:spacing w:line="480" w:lineRule="auto"/>
              <w:rPr>
                <w:rFonts w:hint="eastAsia" w:ascii="宋体" w:hAnsi="宋体" w:cs="宋体"/>
                <w:strike/>
                <w:kern w:val="0"/>
                <w:szCs w:val="21"/>
                <w:highlight w:val="none"/>
              </w:rPr>
            </w:pPr>
          </w:p>
        </w:tc>
      </w:tr>
      <w:tr w14:paraId="2A4F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tcPr>
          <w:p w14:paraId="3997C0A7">
            <w:pPr>
              <w:shd w:val="clear"/>
              <w:spacing w:line="480" w:lineRule="auto"/>
              <w:jc w:val="center"/>
              <w:rPr>
                <w:rFonts w:hint="eastAsia" w:ascii="宋体" w:hAnsi="宋体" w:cs="宋体"/>
                <w:strike/>
                <w:kern w:val="0"/>
                <w:szCs w:val="21"/>
                <w:highlight w:val="none"/>
              </w:rPr>
            </w:pPr>
            <w:r>
              <w:rPr>
                <w:rFonts w:hint="eastAsia" w:ascii="宋体" w:hAnsi="宋体" w:cs="宋体"/>
                <w:strike/>
                <w:kern w:val="0"/>
                <w:szCs w:val="21"/>
                <w:highlight w:val="none"/>
              </w:rPr>
              <w:t>6</w:t>
            </w:r>
          </w:p>
        </w:tc>
        <w:tc>
          <w:tcPr>
            <w:tcW w:w="1420" w:type="dxa"/>
            <w:tcBorders>
              <w:top w:val="single" w:color="auto" w:sz="4" w:space="0"/>
              <w:left w:val="single" w:color="auto" w:sz="4" w:space="0"/>
              <w:bottom w:val="single" w:color="auto" w:sz="4" w:space="0"/>
              <w:right w:val="single" w:color="auto" w:sz="4" w:space="0"/>
            </w:tcBorders>
          </w:tcPr>
          <w:p w14:paraId="44A071DA">
            <w:pPr>
              <w:shd w:val="clea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17A36FB0">
            <w:pPr>
              <w:shd w:val="clea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24602A62">
            <w:pPr>
              <w:shd w:val="clea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42C55271">
            <w:pPr>
              <w:shd w:val="clea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0A21BE11">
            <w:pPr>
              <w:shd w:val="clea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3902685D">
            <w:pPr>
              <w:shd w:val="clea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320DD3C6">
            <w:pPr>
              <w:shd w:val="clea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6223019D">
            <w:pPr>
              <w:shd w:val="clear"/>
              <w:spacing w:line="480" w:lineRule="auto"/>
              <w:rPr>
                <w:rFonts w:hint="eastAsia" w:ascii="宋体" w:hAnsi="宋体" w:cs="宋体"/>
                <w:strike/>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4BE80C7B">
            <w:pPr>
              <w:shd w:val="clear"/>
              <w:spacing w:line="480" w:lineRule="auto"/>
              <w:rPr>
                <w:rFonts w:hint="eastAsia" w:ascii="宋体" w:hAnsi="宋体" w:cs="宋体"/>
                <w:strike/>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tcPr>
          <w:p w14:paraId="5C3EAFC5">
            <w:pPr>
              <w:shd w:val="clear"/>
              <w:spacing w:line="480" w:lineRule="auto"/>
              <w:rPr>
                <w:rFonts w:hint="eastAsia" w:ascii="宋体" w:hAnsi="宋体" w:cs="宋体"/>
                <w:strike/>
                <w:kern w:val="0"/>
                <w:szCs w:val="21"/>
                <w:highlight w:val="none"/>
              </w:rPr>
            </w:pPr>
          </w:p>
        </w:tc>
      </w:tr>
      <w:tr w14:paraId="103C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tcPr>
          <w:p w14:paraId="2DB9B145">
            <w:pPr>
              <w:shd w:val="clear"/>
              <w:spacing w:line="480" w:lineRule="auto"/>
              <w:jc w:val="center"/>
              <w:rPr>
                <w:rFonts w:hint="eastAsia" w:ascii="宋体" w:hAnsi="宋体" w:cs="宋体"/>
                <w:strike/>
                <w:kern w:val="0"/>
                <w:szCs w:val="21"/>
                <w:highlight w:val="none"/>
              </w:rPr>
            </w:pPr>
            <w:r>
              <w:rPr>
                <w:rFonts w:hint="eastAsia" w:ascii="宋体" w:hAnsi="宋体" w:cs="宋体"/>
                <w:strike/>
                <w:kern w:val="0"/>
                <w:szCs w:val="21"/>
                <w:highlight w:val="none"/>
              </w:rPr>
              <w:t>…</w:t>
            </w:r>
          </w:p>
        </w:tc>
        <w:tc>
          <w:tcPr>
            <w:tcW w:w="1420" w:type="dxa"/>
            <w:tcBorders>
              <w:top w:val="single" w:color="auto" w:sz="4" w:space="0"/>
              <w:left w:val="single" w:color="auto" w:sz="4" w:space="0"/>
              <w:bottom w:val="single" w:color="auto" w:sz="4" w:space="0"/>
              <w:right w:val="single" w:color="auto" w:sz="4" w:space="0"/>
            </w:tcBorders>
          </w:tcPr>
          <w:p w14:paraId="082B5EE2">
            <w:pPr>
              <w:shd w:val="clea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7A694FF0">
            <w:pPr>
              <w:shd w:val="clea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vAlign w:val="bottom"/>
          </w:tcPr>
          <w:p w14:paraId="0ECB6548">
            <w:pPr>
              <w:shd w:val="clear"/>
              <w:spacing w:line="480" w:lineRule="auto"/>
              <w:jc w:val="center"/>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17750C44">
            <w:pPr>
              <w:shd w:val="clea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3B44038D">
            <w:pPr>
              <w:shd w:val="clea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080B01F5">
            <w:pPr>
              <w:shd w:val="clea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vAlign w:val="bottom"/>
          </w:tcPr>
          <w:p w14:paraId="7B3436DD">
            <w:pPr>
              <w:shd w:val="clea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vAlign w:val="bottom"/>
          </w:tcPr>
          <w:p w14:paraId="4F58E09C">
            <w:pPr>
              <w:shd w:val="clear"/>
              <w:spacing w:line="480" w:lineRule="auto"/>
              <w:rPr>
                <w:rFonts w:hint="eastAsia" w:ascii="宋体" w:hAnsi="宋体" w:cs="宋体"/>
                <w:strike/>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bottom"/>
          </w:tcPr>
          <w:p w14:paraId="468726AE">
            <w:pPr>
              <w:shd w:val="clear"/>
              <w:spacing w:line="480" w:lineRule="auto"/>
              <w:jc w:val="center"/>
              <w:rPr>
                <w:rFonts w:hint="eastAsia" w:ascii="宋体" w:hAnsi="宋体" w:cs="宋体"/>
                <w:strike/>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vAlign w:val="bottom"/>
          </w:tcPr>
          <w:p w14:paraId="4D5B88F5">
            <w:pPr>
              <w:shd w:val="clear"/>
              <w:spacing w:line="480" w:lineRule="auto"/>
              <w:jc w:val="center"/>
              <w:rPr>
                <w:rFonts w:hint="eastAsia" w:ascii="宋体" w:hAnsi="宋体" w:cs="宋体"/>
                <w:strike/>
                <w:kern w:val="0"/>
                <w:szCs w:val="21"/>
                <w:highlight w:val="none"/>
              </w:rPr>
            </w:pPr>
          </w:p>
        </w:tc>
      </w:tr>
    </w:tbl>
    <w:p w14:paraId="61B6253C">
      <w:pPr>
        <w:shd w:val="clear"/>
        <w:jc w:val="right"/>
        <w:rPr>
          <w:rFonts w:hint="eastAsia" w:ascii="宋体" w:hAnsi="宋体" w:cs="宋体"/>
          <w:strike/>
          <w:szCs w:val="21"/>
          <w:highlight w:val="none"/>
        </w:rPr>
      </w:pPr>
      <w:r>
        <w:rPr>
          <w:rFonts w:hint="eastAsia" w:ascii="宋体" w:hAnsi="宋体" w:cs="宋体"/>
          <w:strike/>
          <w:szCs w:val="21"/>
          <w:highlight w:val="none"/>
        </w:rPr>
        <w:t>评标委员会全体成员签字：</w:t>
      </w:r>
    </w:p>
    <w:p w14:paraId="15F8F6A2">
      <w:pPr>
        <w:shd w:val="clear"/>
        <w:rPr>
          <w:rFonts w:hint="eastAsia" w:ascii="宋体" w:hAnsi="宋体" w:cs="宋体"/>
          <w:szCs w:val="21"/>
          <w:highlight w:val="none"/>
        </w:rPr>
      </w:pPr>
    </w:p>
    <w:p w14:paraId="35CB1882">
      <w:pPr>
        <w:pStyle w:val="3"/>
        <w:shd w:val="clear"/>
        <w:rPr>
          <w:rFonts w:hint="eastAsia" w:ascii="宋体" w:hAnsi="宋体" w:cs="宋体"/>
          <w:sz w:val="21"/>
          <w:szCs w:val="21"/>
          <w:highlight w:val="none"/>
        </w:rPr>
      </w:pPr>
      <w:bookmarkStart w:id="304" w:name="_Toc2450"/>
      <w:bookmarkStart w:id="305" w:name="_Toc30688"/>
      <w:bookmarkStart w:id="306" w:name="_Toc16305"/>
      <w:bookmarkStart w:id="307" w:name="_Toc1102"/>
      <w:bookmarkStart w:id="308" w:name="_Toc27863"/>
      <w:bookmarkStart w:id="309" w:name="_Toc30826"/>
      <w:bookmarkStart w:id="310" w:name="_Toc10023"/>
      <w:r>
        <w:rPr>
          <w:rFonts w:hint="eastAsia" w:ascii="宋体" w:hAnsi="宋体" w:cs="宋体"/>
          <w:sz w:val="21"/>
          <w:szCs w:val="21"/>
          <w:highlight w:val="none"/>
        </w:rPr>
        <w:t>附录12有效性审查表</w:t>
      </w:r>
      <w:bookmarkEnd w:id="304"/>
      <w:bookmarkEnd w:id="305"/>
      <w:bookmarkEnd w:id="306"/>
      <w:bookmarkEnd w:id="307"/>
      <w:bookmarkEnd w:id="308"/>
      <w:bookmarkEnd w:id="309"/>
      <w:bookmarkEnd w:id="310"/>
    </w:p>
    <w:p w14:paraId="39023ED5">
      <w:pPr>
        <w:widowControl/>
        <w:shd w:val="clear"/>
        <w:jc w:val="center"/>
        <w:rPr>
          <w:rFonts w:hint="eastAsia" w:ascii="宋体" w:hAnsi="宋体" w:cs="宋体"/>
          <w:b/>
          <w:kern w:val="0"/>
          <w:sz w:val="32"/>
          <w:szCs w:val="32"/>
          <w:highlight w:val="none"/>
        </w:rPr>
      </w:pPr>
      <w:r>
        <w:rPr>
          <w:rFonts w:hint="eastAsia" w:ascii="宋体" w:hAnsi="宋体" w:cs="宋体"/>
          <w:b/>
          <w:kern w:val="0"/>
          <w:sz w:val="32"/>
          <w:szCs w:val="32"/>
          <w:highlight w:val="none"/>
        </w:rPr>
        <w:t>有效性审查表（技术方案）</w:t>
      </w:r>
    </w:p>
    <w:p w14:paraId="46581EC3">
      <w:pPr>
        <w:pStyle w:val="15"/>
        <w:widowControl w:val="0"/>
        <w:shd w:val="clear"/>
        <w:spacing w:beforeAutospacing="0" w:afterAutospacing="0"/>
        <w:rPr>
          <w:rFonts w:cs="宋体"/>
          <w:b/>
          <w:highlight w:val="none"/>
        </w:rPr>
      </w:pPr>
      <w:r>
        <w:rPr>
          <w:rFonts w:cs="宋体"/>
          <w:highlight w:val="none"/>
        </w:rPr>
        <w:t>项目名称：方案编号</w:t>
      </w:r>
      <w:r>
        <w:rPr>
          <w:rFonts w:hint="eastAsia" w:cs="宋体"/>
          <w:highlight w:val="none"/>
          <w:lang w:eastAsia="zh-CN"/>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4825"/>
        <w:gridCol w:w="1877"/>
        <w:gridCol w:w="2393"/>
        <w:gridCol w:w="2205"/>
        <w:gridCol w:w="2032"/>
      </w:tblGrid>
      <w:tr w14:paraId="63DD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64" w:type="dxa"/>
            <w:tcBorders>
              <w:top w:val="single" w:color="auto" w:sz="4" w:space="0"/>
              <w:left w:val="single" w:color="auto" w:sz="4" w:space="0"/>
              <w:bottom w:val="single" w:color="auto" w:sz="4" w:space="0"/>
              <w:right w:val="single" w:color="auto" w:sz="4" w:space="0"/>
            </w:tcBorders>
            <w:vAlign w:val="center"/>
          </w:tcPr>
          <w:p w14:paraId="5E864BE2">
            <w:pPr>
              <w:pStyle w:val="15"/>
              <w:widowControl w:val="0"/>
              <w:shd w:val="clear"/>
              <w:spacing w:beforeAutospacing="0" w:afterAutospacing="0"/>
              <w:jc w:val="center"/>
              <w:rPr>
                <w:rFonts w:cs="宋体"/>
                <w:kern w:val="2"/>
                <w:highlight w:val="none"/>
              </w:rPr>
            </w:pPr>
            <w:r>
              <w:rPr>
                <w:rFonts w:cs="宋体"/>
                <w:kern w:val="2"/>
                <w:highlight w:val="none"/>
              </w:rPr>
              <w:t>序号</w:t>
            </w:r>
          </w:p>
        </w:tc>
        <w:tc>
          <w:tcPr>
            <w:tcW w:w="4825" w:type="dxa"/>
            <w:tcBorders>
              <w:top w:val="single" w:color="auto" w:sz="4" w:space="0"/>
              <w:left w:val="nil"/>
              <w:bottom w:val="single" w:color="auto" w:sz="4" w:space="0"/>
              <w:right w:val="single" w:color="auto" w:sz="4" w:space="0"/>
            </w:tcBorders>
            <w:vAlign w:val="center"/>
          </w:tcPr>
          <w:p w14:paraId="6F65C352">
            <w:pPr>
              <w:pStyle w:val="15"/>
              <w:widowControl w:val="0"/>
              <w:shd w:val="clear"/>
              <w:spacing w:beforeAutospacing="0" w:afterAutospacing="0"/>
              <w:jc w:val="center"/>
              <w:rPr>
                <w:rFonts w:cs="宋体"/>
                <w:b/>
                <w:kern w:val="2"/>
                <w:highlight w:val="none"/>
              </w:rPr>
            </w:pPr>
            <w:r>
              <w:rPr>
                <w:rFonts w:cs="宋体"/>
                <w:kern w:val="2"/>
                <w:highlight w:val="none"/>
              </w:rPr>
              <w:t>审查项目</w:t>
            </w:r>
          </w:p>
        </w:tc>
        <w:tc>
          <w:tcPr>
            <w:tcW w:w="1877" w:type="dxa"/>
            <w:tcBorders>
              <w:top w:val="single" w:color="auto" w:sz="4" w:space="0"/>
              <w:left w:val="nil"/>
              <w:bottom w:val="single" w:color="auto" w:sz="4" w:space="0"/>
              <w:right w:val="single" w:color="auto" w:sz="4" w:space="0"/>
            </w:tcBorders>
            <w:vAlign w:val="center"/>
          </w:tcPr>
          <w:p w14:paraId="4A5EF25E">
            <w:pPr>
              <w:pStyle w:val="15"/>
              <w:widowControl w:val="0"/>
              <w:shd w:val="clear"/>
              <w:spacing w:beforeAutospacing="0" w:afterAutospacing="0"/>
              <w:jc w:val="center"/>
              <w:rPr>
                <w:rFonts w:cs="宋体"/>
                <w:b/>
                <w:kern w:val="2"/>
                <w:highlight w:val="none"/>
              </w:rPr>
            </w:pPr>
            <w:r>
              <w:rPr>
                <w:rFonts w:cs="宋体"/>
                <w:kern w:val="2"/>
                <w:highlight w:val="none"/>
              </w:rPr>
              <w:t>投标人名称</w:t>
            </w:r>
          </w:p>
        </w:tc>
        <w:tc>
          <w:tcPr>
            <w:tcW w:w="2393" w:type="dxa"/>
            <w:tcBorders>
              <w:top w:val="single" w:color="auto" w:sz="4" w:space="0"/>
              <w:left w:val="nil"/>
              <w:bottom w:val="single" w:color="auto" w:sz="4" w:space="0"/>
              <w:right w:val="single" w:color="auto" w:sz="4" w:space="0"/>
            </w:tcBorders>
            <w:vAlign w:val="center"/>
          </w:tcPr>
          <w:p w14:paraId="559F9E98">
            <w:pPr>
              <w:pStyle w:val="15"/>
              <w:widowControl w:val="0"/>
              <w:shd w:val="clear"/>
              <w:spacing w:beforeAutospacing="0" w:afterAutospacing="0"/>
              <w:jc w:val="center"/>
              <w:rPr>
                <w:rFonts w:cs="宋体"/>
                <w:b/>
                <w:kern w:val="2"/>
                <w:highlight w:val="none"/>
              </w:rPr>
            </w:pPr>
            <w:r>
              <w:rPr>
                <w:rFonts w:cs="宋体"/>
                <w:b/>
                <w:kern w:val="2"/>
                <w:highlight w:val="none"/>
              </w:rPr>
              <w:t>....</w:t>
            </w:r>
          </w:p>
        </w:tc>
        <w:tc>
          <w:tcPr>
            <w:tcW w:w="2205" w:type="dxa"/>
            <w:tcBorders>
              <w:top w:val="single" w:color="auto" w:sz="4" w:space="0"/>
              <w:left w:val="nil"/>
              <w:bottom w:val="single" w:color="auto" w:sz="4" w:space="0"/>
              <w:right w:val="single" w:color="auto" w:sz="4" w:space="0"/>
            </w:tcBorders>
            <w:vAlign w:val="center"/>
          </w:tcPr>
          <w:p w14:paraId="0E4B003B">
            <w:pPr>
              <w:pStyle w:val="15"/>
              <w:widowControl w:val="0"/>
              <w:shd w:val="clear"/>
              <w:spacing w:beforeAutospacing="0" w:afterAutospacing="0"/>
              <w:jc w:val="center"/>
              <w:rPr>
                <w:rFonts w:cs="宋体"/>
                <w:b/>
                <w:kern w:val="2"/>
                <w:highlight w:val="none"/>
              </w:rPr>
            </w:pPr>
            <w:r>
              <w:rPr>
                <w:rFonts w:cs="宋体"/>
                <w:b/>
                <w:kern w:val="2"/>
                <w:highlight w:val="none"/>
              </w:rPr>
              <w:t>....</w:t>
            </w:r>
          </w:p>
        </w:tc>
        <w:tc>
          <w:tcPr>
            <w:tcW w:w="2032" w:type="dxa"/>
            <w:tcBorders>
              <w:top w:val="single" w:color="auto" w:sz="4" w:space="0"/>
              <w:left w:val="nil"/>
              <w:bottom w:val="single" w:color="auto" w:sz="4" w:space="0"/>
              <w:right w:val="single" w:color="auto" w:sz="4" w:space="0"/>
            </w:tcBorders>
            <w:vAlign w:val="center"/>
          </w:tcPr>
          <w:p w14:paraId="3C8B26CD">
            <w:pPr>
              <w:pStyle w:val="15"/>
              <w:widowControl w:val="0"/>
              <w:shd w:val="clear"/>
              <w:spacing w:beforeAutospacing="0" w:afterAutospacing="0"/>
              <w:jc w:val="center"/>
              <w:rPr>
                <w:rFonts w:cs="宋体"/>
                <w:b/>
                <w:kern w:val="2"/>
                <w:highlight w:val="none"/>
              </w:rPr>
            </w:pPr>
            <w:r>
              <w:rPr>
                <w:rFonts w:cs="宋体"/>
                <w:b/>
                <w:kern w:val="2"/>
                <w:highlight w:val="none"/>
              </w:rPr>
              <w:t>....</w:t>
            </w:r>
          </w:p>
        </w:tc>
      </w:tr>
      <w:tr w14:paraId="26ED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764" w:type="dxa"/>
            <w:tcBorders>
              <w:top w:val="single" w:color="auto" w:sz="4" w:space="0"/>
              <w:left w:val="single" w:color="auto" w:sz="4" w:space="0"/>
              <w:bottom w:val="single" w:color="auto" w:sz="4" w:space="0"/>
              <w:right w:val="single" w:color="auto" w:sz="4" w:space="0"/>
            </w:tcBorders>
            <w:vAlign w:val="center"/>
          </w:tcPr>
          <w:p w14:paraId="72824397">
            <w:pPr>
              <w:pStyle w:val="15"/>
              <w:widowControl w:val="0"/>
              <w:shd w:val="clear"/>
              <w:spacing w:beforeAutospacing="0" w:afterAutospacing="0"/>
              <w:jc w:val="center"/>
              <w:rPr>
                <w:rFonts w:cs="宋体"/>
                <w:kern w:val="2"/>
                <w:highlight w:val="none"/>
              </w:rPr>
            </w:pPr>
            <w:r>
              <w:rPr>
                <w:rFonts w:cs="宋体"/>
                <w:kern w:val="2"/>
                <w:highlight w:val="none"/>
              </w:rPr>
              <w:t>1</w:t>
            </w:r>
          </w:p>
        </w:tc>
        <w:tc>
          <w:tcPr>
            <w:tcW w:w="4825" w:type="dxa"/>
            <w:tcBorders>
              <w:top w:val="single" w:color="auto" w:sz="4" w:space="0"/>
              <w:left w:val="nil"/>
              <w:bottom w:val="single" w:color="auto" w:sz="4" w:space="0"/>
              <w:right w:val="single" w:color="auto" w:sz="4" w:space="0"/>
            </w:tcBorders>
            <w:vAlign w:val="center"/>
          </w:tcPr>
          <w:p w14:paraId="285B735D">
            <w:pPr>
              <w:pStyle w:val="15"/>
              <w:widowControl w:val="0"/>
              <w:shd w:val="clear"/>
              <w:spacing w:beforeAutospacing="0" w:afterAutospacing="0"/>
              <w:jc w:val="both"/>
              <w:rPr>
                <w:rFonts w:cs="宋体"/>
                <w:kern w:val="2"/>
                <w:highlight w:val="none"/>
              </w:rPr>
            </w:pPr>
            <w:r>
              <w:rPr>
                <w:rFonts w:cs="宋体"/>
                <w:kern w:val="2"/>
                <w:highlight w:val="none"/>
              </w:rPr>
              <w:t>勘察初步设计方案文件按招标文件要求编制；投标人没有在勘察初步设计方案内标注名称、印章、商标、图形等记认符号，使人辨认出投标人或其专业技术人员的身份；</w:t>
            </w:r>
          </w:p>
        </w:tc>
        <w:tc>
          <w:tcPr>
            <w:tcW w:w="1877" w:type="dxa"/>
            <w:tcBorders>
              <w:top w:val="single" w:color="auto" w:sz="4" w:space="0"/>
              <w:left w:val="nil"/>
              <w:bottom w:val="single" w:color="auto" w:sz="4" w:space="0"/>
              <w:right w:val="single" w:color="auto" w:sz="4" w:space="0"/>
            </w:tcBorders>
          </w:tcPr>
          <w:p w14:paraId="2BA31338">
            <w:pPr>
              <w:pStyle w:val="15"/>
              <w:widowControl w:val="0"/>
              <w:shd w:val="clear"/>
              <w:spacing w:beforeAutospacing="0" w:afterAutospacing="0"/>
              <w:jc w:val="center"/>
              <w:rPr>
                <w:rFonts w:cs="宋体"/>
                <w:b/>
                <w:kern w:val="2"/>
                <w:highlight w:val="none"/>
              </w:rPr>
            </w:pPr>
          </w:p>
        </w:tc>
        <w:tc>
          <w:tcPr>
            <w:tcW w:w="2393" w:type="dxa"/>
            <w:tcBorders>
              <w:top w:val="single" w:color="auto" w:sz="4" w:space="0"/>
              <w:left w:val="nil"/>
              <w:bottom w:val="single" w:color="auto" w:sz="4" w:space="0"/>
              <w:right w:val="single" w:color="auto" w:sz="4" w:space="0"/>
            </w:tcBorders>
          </w:tcPr>
          <w:p w14:paraId="4597E28F">
            <w:pPr>
              <w:pStyle w:val="15"/>
              <w:widowControl w:val="0"/>
              <w:shd w:val="clear"/>
              <w:spacing w:beforeAutospacing="0" w:afterAutospacing="0"/>
              <w:jc w:val="center"/>
              <w:rPr>
                <w:rFonts w:cs="宋体"/>
                <w:b/>
                <w:kern w:val="2"/>
                <w:highlight w:val="none"/>
              </w:rPr>
            </w:pPr>
          </w:p>
        </w:tc>
        <w:tc>
          <w:tcPr>
            <w:tcW w:w="2205" w:type="dxa"/>
            <w:tcBorders>
              <w:top w:val="single" w:color="auto" w:sz="4" w:space="0"/>
              <w:left w:val="nil"/>
              <w:bottom w:val="single" w:color="auto" w:sz="4" w:space="0"/>
              <w:right w:val="single" w:color="auto" w:sz="4" w:space="0"/>
            </w:tcBorders>
          </w:tcPr>
          <w:p w14:paraId="4841F81B">
            <w:pPr>
              <w:pStyle w:val="15"/>
              <w:widowControl w:val="0"/>
              <w:shd w:val="clear"/>
              <w:spacing w:beforeAutospacing="0" w:afterAutospacing="0"/>
              <w:jc w:val="center"/>
              <w:rPr>
                <w:rFonts w:cs="宋体"/>
                <w:b/>
                <w:kern w:val="2"/>
                <w:highlight w:val="none"/>
              </w:rPr>
            </w:pPr>
          </w:p>
        </w:tc>
        <w:tc>
          <w:tcPr>
            <w:tcW w:w="2032" w:type="dxa"/>
            <w:tcBorders>
              <w:top w:val="single" w:color="auto" w:sz="4" w:space="0"/>
              <w:left w:val="nil"/>
              <w:bottom w:val="single" w:color="auto" w:sz="4" w:space="0"/>
              <w:right w:val="single" w:color="auto" w:sz="4" w:space="0"/>
            </w:tcBorders>
          </w:tcPr>
          <w:p w14:paraId="5DD78521">
            <w:pPr>
              <w:pStyle w:val="15"/>
              <w:widowControl w:val="0"/>
              <w:shd w:val="clear"/>
              <w:spacing w:beforeAutospacing="0" w:afterAutospacing="0"/>
              <w:jc w:val="center"/>
              <w:rPr>
                <w:rFonts w:cs="宋体"/>
                <w:b/>
                <w:kern w:val="2"/>
                <w:highlight w:val="none"/>
              </w:rPr>
            </w:pPr>
          </w:p>
        </w:tc>
      </w:tr>
      <w:tr w14:paraId="6279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64" w:type="dxa"/>
            <w:tcBorders>
              <w:top w:val="single" w:color="auto" w:sz="4" w:space="0"/>
              <w:left w:val="single" w:color="auto" w:sz="4" w:space="0"/>
              <w:bottom w:val="single" w:color="auto" w:sz="4" w:space="0"/>
              <w:right w:val="single" w:color="auto" w:sz="4" w:space="0"/>
            </w:tcBorders>
            <w:vAlign w:val="center"/>
          </w:tcPr>
          <w:p w14:paraId="114DB825">
            <w:pPr>
              <w:pStyle w:val="15"/>
              <w:widowControl w:val="0"/>
              <w:shd w:val="clear"/>
              <w:spacing w:beforeAutospacing="0" w:afterAutospacing="0"/>
              <w:jc w:val="center"/>
              <w:rPr>
                <w:rFonts w:cs="宋体"/>
                <w:kern w:val="2"/>
                <w:highlight w:val="none"/>
              </w:rPr>
            </w:pPr>
            <w:r>
              <w:rPr>
                <w:rFonts w:cs="宋体"/>
                <w:kern w:val="2"/>
                <w:highlight w:val="none"/>
              </w:rPr>
              <w:t>2</w:t>
            </w:r>
          </w:p>
        </w:tc>
        <w:tc>
          <w:tcPr>
            <w:tcW w:w="4825" w:type="dxa"/>
            <w:tcBorders>
              <w:top w:val="single" w:color="auto" w:sz="4" w:space="0"/>
              <w:left w:val="nil"/>
              <w:bottom w:val="single" w:color="auto" w:sz="4" w:space="0"/>
              <w:right w:val="single" w:color="auto" w:sz="4" w:space="0"/>
            </w:tcBorders>
            <w:vAlign w:val="center"/>
          </w:tcPr>
          <w:p w14:paraId="6980FF89">
            <w:pPr>
              <w:pStyle w:val="15"/>
              <w:widowControl w:val="0"/>
              <w:shd w:val="clear"/>
              <w:spacing w:beforeAutospacing="0" w:afterAutospacing="0"/>
              <w:jc w:val="both"/>
              <w:rPr>
                <w:rFonts w:cs="宋体"/>
                <w:kern w:val="2"/>
                <w:highlight w:val="none"/>
              </w:rPr>
            </w:pPr>
            <w:r>
              <w:rPr>
                <w:rFonts w:cs="宋体"/>
                <w:kern w:val="2"/>
                <w:highlight w:val="none"/>
              </w:rPr>
              <w:t>投标人与招标人、评标委员会成员或者其他投标人无串通投标；</w:t>
            </w:r>
          </w:p>
        </w:tc>
        <w:tc>
          <w:tcPr>
            <w:tcW w:w="1877" w:type="dxa"/>
            <w:tcBorders>
              <w:top w:val="single" w:color="auto" w:sz="4" w:space="0"/>
              <w:left w:val="nil"/>
              <w:bottom w:val="single" w:color="auto" w:sz="4" w:space="0"/>
              <w:right w:val="single" w:color="auto" w:sz="4" w:space="0"/>
            </w:tcBorders>
          </w:tcPr>
          <w:p w14:paraId="7FE71D42">
            <w:pPr>
              <w:pStyle w:val="15"/>
              <w:widowControl w:val="0"/>
              <w:shd w:val="clear"/>
              <w:spacing w:beforeAutospacing="0" w:afterAutospacing="0"/>
              <w:jc w:val="center"/>
              <w:rPr>
                <w:rFonts w:cs="宋体"/>
                <w:b/>
                <w:kern w:val="2"/>
                <w:highlight w:val="none"/>
              </w:rPr>
            </w:pPr>
          </w:p>
        </w:tc>
        <w:tc>
          <w:tcPr>
            <w:tcW w:w="2393" w:type="dxa"/>
            <w:tcBorders>
              <w:top w:val="single" w:color="auto" w:sz="4" w:space="0"/>
              <w:left w:val="nil"/>
              <w:bottom w:val="single" w:color="auto" w:sz="4" w:space="0"/>
              <w:right w:val="single" w:color="auto" w:sz="4" w:space="0"/>
            </w:tcBorders>
          </w:tcPr>
          <w:p w14:paraId="6B2802BF">
            <w:pPr>
              <w:pStyle w:val="15"/>
              <w:widowControl w:val="0"/>
              <w:shd w:val="clear"/>
              <w:spacing w:beforeAutospacing="0" w:afterAutospacing="0"/>
              <w:jc w:val="center"/>
              <w:rPr>
                <w:rFonts w:cs="宋体"/>
                <w:b/>
                <w:kern w:val="2"/>
                <w:highlight w:val="none"/>
              </w:rPr>
            </w:pPr>
          </w:p>
        </w:tc>
        <w:tc>
          <w:tcPr>
            <w:tcW w:w="2205" w:type="dxa"/>
            <w:tcBorders>
              <w:top w:val="single" w:color="auto" w:sz="4" w:space="0"/>
              <w:left w:val="nil"/>
              <w:bottom w:val="single" w:color="auto" w:sz="4" w:space="0"/>
              <w:right w:val="single" w:color="auto" w:sz="4" w:space="0"/>
            </w:tcBorders>
          </w:tcPr>
          <w:p w14:paraId="40A7C778">
            <w:pPr>
              <w:pStyle w:val="15"/>
              <w:widowControl w:val="0"/>
              <w:shd w:val="clear"/>
              <w:spacing w:beforeAutospacing="0" w:afterAutospacing="0"/>
              <w:jc w:val="center"/>
              <w:rPr>
                <w:rFonts w:cs="宋体"/>
                <w:b/>
                <w:kern w:val="2"/>
                <w:highlight w:val="none"/>
              </w:rPr>
            </w:pPr>
          </w:p>
        </w:tc>
        <w:tc>
          <w:tcPr>
            <w:tcW w:w="2032" w:type="dxa"/>
            <w:tcBorders>
              <w:top w:val="single" w:color="auto" w:sz="4" w:space="0"/>
              <w:left w:val="nil"/>
              <w:bottom w:val="single" w:color="auto" w:sz="4" w:space="0"/>
              <w:right w:val="single" w:color="auto" w:sz="4" w:space="0"/>
            </w:tcBorders>
          </w:tcPr>
          <w:p w14:paraId="4A9DAF6A">
            <w:pPr>
              <w:pStyle w:val="15"/>
              <w:widowControl w:val="0"/>
              <w:shd w:val="clear"/>
              <w:spacing w:beforeAutospacing="0" w:afterAutospacing="0"/>
              <w:jc w:val="center"/>
              <w:rPr>
                <w:rFonts w:cs="宋体"/>
                <w:b/>
                <w:kern w:val="2"/>
                <w:highlight w:val="none"/>
              </w:rPr>
            </w:pPr>
          </w:p>
        </w:tc>
      </w:tr>
      <w:tr w14:paraId="677A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64" w:type="dxa"/>
            <w:tcBorders>
              <w:top w:val="single" w:color="auto" w:sz="4" w:space="0"/>
              <w:left w:val="single" w:color="auto" w:sz="4" w:space="0"/>
              <w:bottom w:val="single" w:color="auto" w:sz="4" w:space="0"/>
              <w:right w:val="single" w:color="auto" w:sz="4" w:space="0"/>
            </w:tcBorders>
            <w:vAlign w:val="center"/>
          </w:tcPr>
          <w:p w14:paraId="355D224D">
            <w:pPr>
              <w:pStyle w:val="15"/>
              <w:widowControl w:val="0"/>
              <w:shd w:val="clear"/>
              <w:spacing w:beforeAutospacing="0" w:afterAutospacing="0"/>
              <w:jc w:val="center"/>
              <w:rPr>
                <w:rFonts w:cs="宋体"/>
                <w:kern w:val="2"/>
                <w:highlight w:val="none"/>
              </w:rPr>
            </w:pPr>
            <w:r>
              <w:rPr>
                <w:rFonts w:cs="宋体"/>
                <w:kern w:val="2"/>
                <w:highlight w:val="none"/>
              </w:rPr>
              <w:t>3</w:t>
            </w:r>
          </w:p>
        </w:tc>
        <w:tc>
          <w:tcPr>
            <w:tcW w:w="4825" w:type="dxa"/>
            <w:tcBorders>
              <w:top w:val="single" w:color="auto" w:sz="4" w:space="0"/>
              <w:left w:val="nil"/>
              <w:bottom w:val="single" w:color="auto" w:sz="4" w:space="0"/>
              <w:right w:val="single" w:color="auto" w:sz="4" w:space="0"/>
            </w:tcBorders>
            <w:vAlign w:val="center"/>
          </w:tcPr>
          <w:p w14:paraId="5040F3B8">
            <w:pPr>
              <w:pStyle w:val="15"/>
              <w:widowControl w:val="0"/>
              <w:shd w:val="clear"/>
              <w:spacing w:beforeAutospacing="0" w:afterAutospacing="0"/>
              <w:jc w:val="both"/>
              <w:rPr>
                <w:rFonts w:cs="宋体"/>
                <w:kern w:val="2"/>
                <w:highlight w:val="none"/>
              </w:rPr>
            </w:pPr>
            <w:r>
              <w:rPr>
                <w:rFonts w:cs="宋体"/>
                <w:kern w:val="2"/>
                <w:highlight w:val="none"/>
              </w:rPr>
              <w:t>未通过明标、暗标中包含的相同内容</w:t>
            </w:r>
            <w:r>
              <w:rPr>
                <w:rFonts w:hint="eastAsia" w:cs="宋体"/>
                <w:kern w:val="2"/>
                <w:highlight w:val="none"/>
                <w:lang w:eastAsia="zh-CN"/>
              </w:rPr>
              <w:t>（</w:t>
            </w:r>
            <w:r>
              <w:rPr>
                <w:rFonts w:cs="宋体"/>
                <w:kern w:val="2"/>
                <w:highlight w:val="none"/>
              </w:rPr>
              <w:t>如报价等</w:t>
            </w:r>
            <w:r>
              <w:rPr>
                <w:rFonts w:hint="eastAsia" w:cs="宋体"/>
                <w:kern w:val="2"/>
                <w:highlight w:val="none"/>
                <w:lang w:eastAsia="zh-CN"/>
              </w:rPr>
              <w:t>）</w:t>
            </w:r>
            <w:r>
              <w:rPr>
                <w:rFonts w:cs="宋体"/>
                <w:kern w:val="2"/>
                <w:highlight w:val="none"/>
              </w:rPr>
              <w:t>互相印证、辨认投标人身份；</w:t>
            </w:r>
          </w:p>
        </w:tc>
        <w:tc>
          <w:tcPr>
            <w:tcW w:w="1877" w:type="dxa"/>
            <w:tcBorders>
              <w:top w:val="single" w:color="auto" w:sz="4" w:space="0"/>
              <w:left w:val="nil"/>
              <w:bottom w:val="single" w:color="auto" w:sz="4" w:space="0"/>
              <w:right w:val="single" w:color="auto" w:sz="4" w:space="0"/>
            </w:tcBorders>
          </w:tcPr>
          <w:p w14:paraId="43EE55C9">
            <w:pPr>
              <w:pStyle w:val="15"/>
              <w:widowControl w:val="0"/>
              <w:shd w:val="clear"/>
              <w:spacing w:beforeAutospacing="0" w:afterAutospacing="0"/>
              <w:jc w:val="center"/>
              <w:rPr>
                <w:rFonts w:cs="宋体"/>
                <w:b/>
                <w:kern w:val="2"/>
                <w:highlight w:val="none"/>
              </w:rPr>
            </w:pPr>
          </w:p>
        </w:tc>
        <w:tc>
          <w:tcPr>
            <w:tcW w:w="2393" w:type="dxa"/>
            <w:tcBorders>
              <w:top w:val="single" w:color="auto" w:sz="4" w:space="0"/>
              <w:left w:val="nil"/>
              <w:bottom w:val="single" w:color="auto" w:sz="4" w:space="0"/>
              <w:right w:val="single" w:color="auto" w:sz="4" w:space="0"/>
            </w:tcBorders>
          </w:tcPr>
          <w:p w14:paraId="5B92B146">
            <w:pPr>
              <w:pStyle w:val="15"/>
              <w:widowControl w:val="0"/>
              <w:shd w:val="clear"/>
              <w:spacing w:beforeAutospacing="0" w:afterAutospacing="0"/>
              <w:jc w:val="center"/>
              <w:rPr>
                <w:rFonts w:cs="宋体"/>
                <w:b/>
                <w:kern w:val="2"/>
                <w:highlight w:val="none"/>
              </w:rPr>
            </w:pPr>
          </w:p>
        </w:tc>
        <w:tc>
          <w:tcPr>
            <w:tcW w:w="2205" w:type="dxa"/>
            <w:tcBorders>
              <w:top w:val="single" w:color="auto" w:sz="4" w:space="0"/>
              <w:left w:val="nil"/>
              <w:bottom w:val="single" w:color="auto" w:sz="4" w:space="0"/>
              <w:right w:val="single" w:color="auto" w:sz="4" w:space="0"/>
            </w:tcBorders>
          </w:tcPr>
          <w:p w14:paraId="53A61485">
            <w:pPr>
              <w:pStyle w:val="15"/>
              <w:widowControl w:val="0"/>
              <w:shd w:val="clear"/>
              <w:spacing w:beforeAutospacing="0" w:afterAutospacing="0"/>
              <w:jc w:val="center"/>
              <w:rPr>
                <w:rFonts w:cs="宋体"/>
                <w:b/>
                <w:kern w:val="2"/>
                <w:highlight w:val="none"/>
              </w:rPr>
            </w:pPr>
          </w:p>
        </w:tc>
        <w:tc>
          <w:tcPr>
            <w:tcW w:w="2032" w:type="dxa"/>
            <w:tcBorders>
              <w:top w:val="single" w:color="auto" w:sz="4" w:space="0"/>
              <w:left w:val="nil"/>
              <w:bottom w:val="single" w:color="auto" w:sz="4" w:space="0"/>
              <w:right w:val="single" w:color="auto" w:sz="4" w:space="0"/>
            </w:tcBorders>
          </w:tcPr>
          <w:p w14:paraId="3C521552">
            <w:pPr>
              <w:pStyle w:val="15"/>
              <w:widowControl w:val="0"/>
              <w:shd w:val="clear"/>
              <w:spacing w:beforeAutospacing="0" w:afterAutospacing="0"/>
              <w:jc w:val="center"/>
              <w:rPr>
                <w:rFonts w:cs="宋体"/>
                <w:b/>
                <w:kern w:val="2"/>
                <w:highlight w:val="none"/>
              </w:rPr>
            </w:pPr>
          </w:p>
        </w:tc>
      </w:tr>
      <w:tr w14:paraId="60D7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64" w:type="dxa"/>
            <w:tcBorders>
              <w:top w:val="single" w:color="auto" w:sz="4" w:space="0"/>
              <w:left w:val="single" w:color="auto" w:sz="4" w:space="0"/>
              <w:bottom w:val="single" w:color="auto" w:sz="4" w:space="0"/>
              <w:right w:val="single" w:color="auto" w:sz="4" w:space="0"/>
            </w:tcBorders>
            <w:vAlign w:val="center"/>
          </w:tcPr>
          <w:p w14:paraId="3630E0F5">
            <w:pPr>
              <w:pStyle w:val="15"/>
              <w:widowControl w:val="0"/>
              <w:shd w:val="clear"/>
              <w:spacing w:beforeAutospacing="0" w:afterAutospacing="0"/>
              <w:jc w:val="center"/>
              <w:rPr>
                <w:rFonts w:cs="宋体"/>
                <w:kern w:val="2"/>
                <w:highlight w:val="none"/>
              </w:rPr>
            </w:pPr>
            <w:r>
              <w:rPr>
                <w:rFonts w:cs="宋体"/>
                <w:kern w:val="2"/>
                <w:highlight w:val="none"/>
              </w:rPr>
              <w:t>4</w:t>
            </w:r>
          </w:p>
        </w:tc>
        <w:tc>
          <w:tcPr>
            <w:tcW w:w="4825" w:type="dxa"/>
            <w:tcBorders>
              <w:top w:val="single" w:color="auto" w:sz="4" w:space="0"/>
              <w:left w:val="nil"/>
              <w:bottom w:val="single" w:color="auto" w:sz="4" w:space="0"/>
              <w:right w:val="single" w:color="auto" w:sz="4" w:space="0"/>
            </w:tcBorders>
            <w:vAlign w:val="center"/>
          </w:tcPr>
          <w:p w14:paraId="6882018F">
            <w:pPr>
              <w:pStyle w:val="15"/>
              <w:widowControl w:val="0"/>
              <w:shd w:val="clear"/>
              <w:spacing w:beforeAutospacing="0" w:afterAutospacing="0"/>
              <w:jc w:val="both"/>
              <w:rPr>
                <w:rFonts w:cs="宋体"/>
                <w:kern w:val="2"/>
                <w:highlight w:val="none"/>
              </w:rPr>
            </w:pPr>
            <w:r>
              <w:rPr>
                <w:rFonts w:cs="宋体"/>
                <w:kern w:val="2"/>
                <w:highlight w:val="none"/>
              </w:rPr>
              <w:t>未发现互相雷同和串通投标；</w:t>
            </w:r>
          </w:p>
        </w:tc>
        <w:tc>
          <w:tcPr>
            <w:tcW w:w="1877" w:type="dxa"/>
            <w:tcBorders>
              <w:top w:val="single" w:color="auto" w:sz="4" w:space="0"/>
              <w:left w:val="nil"/>
              <w:bottom w:val="single" w:color="auto" w:sz="4" w:space="0"/>
              <w:right w:val="single" w:color="auto" w:sz="4" w:space="0"/>
            </w:tcBorders>
          </w:tcPr>
          <w:p w14:paraId="472A35D5">
            <w:pPr>
              <w:pStyle w:val="15"/>
              <w:widowControl w:val="0"/>
              <w:shd w:val="clear"/>
              <w:spacing w:beforeAutospacing="0" w:afterAutospacing="0"/>
              <w:jc w:val="center"/>
              <w:rPr>
                <w:rFonts w:cs="宋体"/>
                <w:b/>
                <w:kern w:val="2"/>
                <w:highlight w:val="none"/>
              </w:rPr>
            </w:pPr>
          </w:p>
        </w:tc>
        <w:tc>
          <w:tcPr>
            <w:tcW w:w="2393" w:type="dxa"/>
            <w:tcBorders>
              <w:top w:val="single" w:color="auto" w:sz="4" w:space="0"/>
              <w:left w:val="nil"/>
              <w:bottom w:val="single" w:color="auto" w:sz="4" w:space="0"/>
              <w:right w:val="single" w:color="auto" w:sz="4" w:space="0"/>
            </w:tcBorders>
          </w:tcPr>
          <w:p w14:paraId="1C821E4D">
            <w:pPr>
              <w:pStyle w:val="15"/>
              <w:widowControl w:val="0"/>
              <w:shd w:val="clear"/>
              <w:spacing w:beforeAutospacing="0" w:afterAutospacing="0"/>
              <w:jc w:val="center"/>
              <w:rPr>
                <w:rFonts w:cs="宋体"/>
                <w:b/>
                <w:kern w:val="2"/>
                <w:highlight w:val="none"/>
              </w:rPr>
            </w:pPr>
          </w:p>
        </w:tc>
        <w:tc>
          <w:tcPr>
            <w:tcW w:w="2205" w:type="dxa"/>
            <w:tcBorders>
              <w:top w:val="single" w:color="auto" w:sz="4" w:space="0"/>
              <w:left w:val="nil"/>
              <w:bottom w:val="single" w:color="auto" w:sz="4" w:space="0"/>
              <w:right w:val="single" w:color="auto" w:sz="4" w:space="0"/>
            </w:tcBorders>
          </w:tcPr>
          <w:p w14:paraId="417A6F20">
            <w:pPr>
              <w:pStyle w:val="15"/>
              <w:widowControl w:val="0"/>
              <w:shd w:val="clear"/>
              <w:spacing w:beforeAutospacing="0" w:afterAutospacing="0"/>
              <w:jc w:val="center"/>
              <w:rPr>
                <w:rFonts w:cs="宋体"/>
                <w:b/>
                <w:kern w:val="2"/>
                <w:highlight w:val="none"/>
              </w:rPr>
            </w:pPr>
          </w:p>
        </w:tc>
        <w:tc>
          <w:tcPr>
            <w:tcW w:w="2032" w:type="dxa"/>
            <w:tcBorders>
              <w:top w:val="single" w:color="auto" w:sz="4" w:space="0"/>
              <w:left w:val="nil"/>
              <w:bottom w:val="single" w:color="auto" w:sz="4" w:space="0"/>
              <w:right w:val="single" w:color="auto" w:sz="4" w:space="0"/>
            </w:tcBorders>
          </w:tcPr>
          <w:p w14:paraId="697540D5">
            <w:pPr>
              <w:pStyle w:val="15"/>
              <w:widowControl w:val="0"/>
              <w:shd w:val="clear"/>
              <w:spacing w:beforeAutospacing="0" w:afterAutospacing="0"/>
              <w:jc w:val="center"/>
              <w:rPr>
                <w:rFonts w:cs="宋体"/>
                <w:b/>
                <w:kern w:val="2"/>
                <w:highlight w:val="none"/>
              </w:rPr>
            </w:pPr>
          </w:p>
        </w:tc>
      </w:tr>
      <w:tr w14:paraId="11B8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64" w:type="dxa"/>
            <w:tcBorders>
              <w:top w:val="single" w:color="auto" w:sz="4" w:space="0"/>
              <w:left w:val="single" w:color="auto" w:sz="4" w:space="0"/>
              <w:bottom w:val="single" w:color="auto" w:sz="4" w:space="0"/>
              <w:right w:val="single" w:color="auto" w:sz="4" w:space="0"/>
            </w:tcBorders>
            <w:vAlign w:val="center"/>
          </w:tcPr>
          <w:p w14:paraId="4598EB91">
            <w:pPr>
              <w:pStyle w:val="15"/>
              <w:widowControl w:val="0"/>
              <w:shd w:val="clear"/>
              <w:spacing w:beforeAutospacing="0" w:afterAutospacing="0"/>
              <w:jc w:val="center"/>
              <w:rPr>
                <w:rFonts w:cs="宋体"/>
                <w:kern w:val="2"/>
                <w:highlight w:val="none"/>
              </w:rPr>
            </w:pPr>
            <w:r>
              <w:rPr>
                <w:rFonts w:cs="宋体"/>
                <w:kern w:val="2"/>
                <w:highlight w:val="none"/>
              </w:rPr>
              <w:t>5</w:t>
            </w:r>
          </w:p>
        </w:tc>
        <w:tc>
          <w:tcPr>
            <w:tcW w:w="4825" w:type="dxa"/>
            <w:tcBorders>
              <w:top w:val="single" w:color="auto" w:sz="4" w:space="0"/>
              <w:left w:val="nil"/>
              <w:bottom w:val="single" w:color="auto" w:sz="4" w:space="0"/>
              <w:right w:val="single" w:color="auto" w:sz="4" w:space="0"/>
            </w:tcBorders>
            <w:vAlign w:val="center"/>
          </w:tcPr>
          <w:p w14:paraId="5DBFE14C">
            <w:pPr>
              <w:pStyle w:val="15"/>
              <w:widowControl w:val="0"/>
              <w:shd w:val="clear"/>
              <w:spacing w:beforeAutospacing="0" w:afterAutospacing="0"/>
              <w:jc w:val="both"/>
              <w:rPr>
                <w:rFonts w:cs="宋体"/>
                <w:kern w:val="2"/>
                <w:highlight w:val="none"/>
              </w:rPr>
            </w:pPr>
            <w:r>
              <w:rPr>
                <w:rFonts w:cs="宋体"/>
                <w:kern w:val="2"/>
                <w:highlight w:val="none"/>
              </w:rPr>
              <w:t>未发现明显抄袭行为、侵犯他人著作权和特许权；</w:t>
            </w:r>
          </w:p>
        </w:tc>
        <w:tc>
          <w:tcPr>
            <w:tcW w:w="1877" w:type="dxa"/>
            <w:tcBorders>
              <w:top w:val="single" w:color="auto" w:sz="4" w:space="0"/>
              <w:left w:val="nil"/>
              <w:bottom w:val="single" w:color="auto" w:sz="4" w:space="0"/>
              <w:right w:val="single" w:color="auto" w:sz="4" w:space="0"/>
            </w:tcBorders>
          </w:tcPr>
          <w:p w14:paraId="5E317F8B">
            <w:pPr>
              <w:pStyle w:val="15"/>
              <w:widowControl w:val="0"/>
              <w:shd w:val="clear"/>
              <w:spacing w:beforeAutospacing="0" w:afterAutospacing="0"/>
              <w:jc w:val="center"/>
              <w:rPr>
                <w:rFonts w:cs="宋体"/>
                <w:b/>
                <w:kern w:val="2"/>
                <w:highlight w:val="none"/>
              </w:rPr>
            </w:pPr>
          </w:p>
        </w:tc>
        <w:tc>
          <w:tcPr>
            <w:tcW w:w="2393" w:type="dxa"/>
            <w:tcBorders>
              <w:top w:val="single" w:color="auto" w:sz="4" w:space="0"/>
              <w:left w:val="nil"/>
              <w:bottom w:val="single" w:color="auto" w:sz="4" w:space="0"/>
              <w:right w:val="single" w:color="auto" w:sz="4" w:space="0"/>
            </w:tcBorders>
          </w:tcPr>
          <w:p w14:paraId="7E711AA7">
            <w:pPr>
              <w:pStyle w:val="15"/>
              <w:widowControl w:val="0"/>
              <w:shd w:val="clear"/>
              <w:spacing w:beforeAutospacing="0" w:afterAutospacing="0"/>
              <w:jc w:val="center"/>
              <w:rPr>
                <w:rFonts w:cs="宋体"/>
                <w:b/>
                <w:kern w:val="2"/>
                <w:highlight w:val="none"/>
              </w:rPr>
            </w:pPr>
          </w:p>
        </w:tc>
        <w:tc>
          <w:tcPr>
            <w:tcW w:w="2205" w:type="dxa"/>
            <w:tcBorders>
              <w:top w:val="single" w:color="auto" w:sz="4" w:space="0"/>
              <w:left w:val="nil"/>
              <w:bottom w:val="single" w:color="auto" w:sz="4" w:space="0"/>
              <w:right w:val="single" w:color="auto" w:sz="4" w:space="0"/>
            </w:tcBorders>
          </w:tcPr>
          <w:p w14:paraId="4C6008AC">
            <w:pPr>
              <w:pStyle w:val="15"/>
              <w:widowControl w:val="0"/>
              <w:shd w:val="clear"/>
              <w:spacing w:beforeAutospacing="0" w:afterAutospacing="0"/>
              <w:jc w:val="center"/>
              <w:rPr>
                <w:rFonts w:cs="宋体"/>
                <w:b/>
                <w:kern w:val="2"/>
                <w:highlight w:val="none"/>
              </w:rPr>
            </w:pPr>
          </w:p>
        </w:tc>
        <w:tc>
          <w:tcPr>
            <w:tcW w:w="2032" w:type="dxa"/>
            <w:tcBorders>
              <w:top w:val="single" w:color="auto" w:sz="4" w:space="0"/>
              <w:left w:val="nil"/>
              <w:bottom w:val="single" w:color="auto" w:sz="4" w:space="0"/>
              <w:right w:val="single" w:color="auto" w:sz="4" w:space="0"/>
            </w:tcBorders>
          </w:tcPr>
          <w:p w14:paraId="61B7CD15">
            <w:pPr>
              <w:pStyle w:val="15"/>
              <w:widowControl w:val="0"/>
              <w:shd w:val="clear"/>
              <w:spacing w:beforeAutospacing="0" w:afterAutospacing="0"/>
              <w:jc w:val="center"/>
              <w:rPr>
                <w:rFonts w:cs="宋体"/>
                <w:b/>
                <w:kern w:val="2"/>
                <w:highlight w:val="none"/>
              </w:rPr>
            </w:pPr>
          </w:p>
        </w:tc>
      </w:tr>
      <w:tr w14:paraId="5728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00402380">
            <w:pPr>
              <w:pStyle w:val="15"/>
              <w:widowControl w:val="0"/>
              <w:shd w:val="clear"/>
              <w:spacing w:beforeAutospacing="0" w:afterAutospacing="0"/>
              <w:jc w:val="center"/>
              <w:rPr>
                <w:rFonts w:cs="宋体"/>
                <w:kern w:val="2"/>
                <w:highlight w:val="none"/>
              </w:rPr>
            </w:pPr>
            <w:r>
              <w:rPr>
                <w:rFonts w:cs="宋体"/>
                <w:kern w:val="2"/>
                <w:highlight w:val="none"/>
              </w:rPr>
              <w:t>6</w:t>
            </w:r>
          </w:p>
        </w:tc>
        <w:tc>
          <w:tcPr>
            <w:tcW w:w="4825" w:type="dxa"/>
            <w:tcBorders>
              <w:top w:val="single" w:color="auto" w:sz="4" w:space="0"/>
              <w:left w:val="nil"/>
              <w:bottom w:val="single" w:color="auto" w:sz="4" w:space="0"/>
              <w:right w:val="single" w:color="auto" w:sz="4" w:space="0"/>
            </w:tcBorders>
            <w:vAlign w:val="center"/>
          </w:tcPr>
          <w:p w14:paraId="23CCC3FA">
            <w:pPr>
              <w:pStyle w:val="15"/>
              <w:widowControl w:val="0"/>
              <w:shd w:val="clear"/>
              <w:spacing w:beforeAutospacing="0" w:afterAutospacing="0"/>
              <w:jc w:val="both"/>
              <w:rPr>
                <w:rFonts w:cs="宋体"/>
                <w:kern w:val="2"/>
                <w:highlight w:val="none"/>
              </w:rPr>
            </w:pPr>
            <w:r>
              <w:rPr>
                <w:rFonts w:cs="宋体"/>
                <w:kern w:val="2"/>
                <w:highlight w:val="none"/>
              </w:rPr>
              <w:t>投标人之间不存在《广东省实施&lt;中华人民共和国招标投标法&gt;办法》第十六条所禁止的情形的。</w:t>
            </w:r>
          </w:p>
        </w:tc>
        <w:tc>
          <w:tcPr>
            <w:tcW w:w="1877" w:type="dxa"/>
            <w:tcBorders>
              <w:top w:val="single" w:color="auto" w:sz="4" w:space="0"/>
              <w:left w:val="nil"/>
              <w:bottom w:val="single" w:color="auto" w:sz="4" w:space="0"/>
              <w:right w:val="single" w:color="auto" w:sz="4" w:space="0"/>
            </w:tcBorders>
          </w:tcPr>
          <w:p w14:paraId="579238E1">
            <w:pPr>
              <w:pStyle w:val="15"/>
              <w:widowControl w:val="0"/>
              <w:shd w:val="clear"/>
              <w:spacing w:beforeAutospacing="0" w:afterAutospacing="0"/>
              <w:jc w:val="center"/>
              <w:rPr>
                <w:rFonts w:cs="宋体"/>
                <w:b/>
                <w:kern w:val="2"/>
                <w:highlight w:val="none"/>
              </w:rPr>
            </w:pPr>
          </w:p>
        </w:tc>
        <w:tc>
          <w:tcPr>
            <w:tcW w:w="2393" w:type="dxa"/>
            <w:tcBorders>
              <w:top w:val="single" w:color="auto" w:sz="4" w:space="0"/>
              <w:left w:val="nil"/>
              <w:bottom w:val="single" w:color="auto" w:sz="4" w:space="0"/>
              <w:right w:val="single" w:color="auto" w:sz="4" w:space="0"/>
            </w:tcBorders>
          </w:tcPr>
          <w:p w14:paraId="1B7A3962">
            <w:pPr>
              <w:pStyle w:val="15"/>
              <w:widowControl w:val="0"/>
              <w:shd w:val="clear"/>
              <w:spacing w:beforeAutospacing="0" w:afterAutospacing="0"/>
              <w:jc w:val="center"/>
              <w:rPr>
                <w:rFonts w:cs="宋体"/>
                <w:b/>
                <w:kern w:val="2"/>
                <w:highlight w:val="none"/>
              </w:rPr>
            </w:pPr>
          </w:p>
        </w:tc>
        <w:tc>
          <w:tcPr>
            <w:tcW w:w="2205" w:type="dxa"/>
            <w:tcBorders>
              <w:top w:val="single" w:color="auto" w:sz="4" w:space="0"/>
              <w:left w:val="nil"/>
              <w:bottom w:val="single" w:color="auto" w:sz="4" w:space="0"/>
              <w:right w:val="single" w:color="auto" w:sz="4" w:space="0"/>
            </w:tcBorders>
          </w:tcPr>
          <w:p w14:paraId="612D1645">
            <w:pPr>
              <w:pStyle w:val="15"/>
              <w:widowControl w:val="0"/>
              <w:shd w:val="clear"/>
              <w:spacing w:beforeAutospacing="0" w:afterAutospacing="0"/>
              <w:jc w:val="center"/>
              <w:rPr>
                <w:rFonts w:cs="宋体"/>
                <w:b/>
                <w:kern w:val="2"/>
                <w:highlight w:val="none"/>
              </w:rPr>
            </w:pPr>
          </w:p>
        </w:tc>
        <w:tc>
          <w:tcPr>
            <w:tcW w:w="2032" w:type="dxa"/>
            <w:tcBorders>
              <w:top w:val="single" w:color="auto" w:sz="4" w:space="0"/>
              <w:left w:val="nil"/>
              <w:bottom w:val="single" w:color="auto" w:sz="4" w:space="0"/>
              <w:right w:val="single" w:color="auto" w:sz="4" w:space="0"/>
            </w:tcBorders>
          </w:tcPr>
          <w:p w14:paraId="1A1A5C8A">
            <w:pPr>
              <w:pStyle w:val="15"/>
              <w:widowControl w:val="0"/>
              <w:shd w:val="clear"/>
              <w:spacing w:beforeAutospacing="0" w:afterAutospacing="0"/>
              <w:jc w:val="center"/>
              <w:rPr>
                <w:rFonts w:cs="宋体"/>
                <w:b/>
                <w:kern w:val="2"/>
                <w:highlight w:val="none"/>
              </w:rPr>
            </w:pPr>
          </w:p>
        </w:tc>
      </w:tr>
      <w:tr w14:paraId="50F7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64" w:type="dxa"/>
            <w:tcBorders>
              <w:top w:val="single" w:color="auto" w:sz="4" w:space="0"/>
              <w:left w:val="single" w:color="auto" w:sz="4" w:space="0"/>
              <w:bottom w:val="single" w:color="auto" w:sz="4" w:space="0"/>
              <w:right w:val="single" w:color="auto" w:sz="4" w:space="0"/>
            </w:tcBorders>
            <w:vAlign w:val="center"/>
          </w:tcPr>
          <w:p w14:paraId="414F7B84">
            <w:pPr>
              <w:pStyle w:val="15"/>
              <w:widowControl w:val="0"/>
              <w:shd w:val="clear"/>
              <w:spacing w:beforeAutospacing="0" w:afterAutospacing="0"/>
              <w:jc w:val="center"/>
              <w:rPr>
                <w:rFonts w:cs="宋体"/>
                <w:kern w:val="2"/>
                <w:highlight w:val="none"/>
              </w:rPr>
            </w:pPr>
            <w:r>
              <w:rPr>
                <w:rFonts w:cs="宋体"/>
                <w:kern w:val="2"/>
                <w:highlight w:val="none"/>
              </w:rPr>
              <w:t>结论</w:t>
            </w:r>
          </w:p>
        </w:tc>
        <w:tc>
          <w:tcPr>
            <w:tcW w:w="4825" w:type="dxa"/>
            <w:tcBorders>
              <w:top w:val="single" w:color="auto" w:sz="4" w:space="0"/>
              <w:left w:val="nil"/>
              <w:bottom w:val="single" w:color="auto" w:sz="4" w:space="0"/>
              <w:right w:val="single" w:color="auto" w:sz="4" w:space="0"/>
            </w:tcBorders>
            <w:vAlign w:val="center"/>
          </w:tcPr>
          <w:p w14:paraId="7BD80A46">
            <w:pPr>
              <w:pStyle w:val="15"/>
              <w:widowControl w:val="0"/>
              <w:shd w:val="clear"/>
              <w:spacing w:beforeAutospacing="0" w:afterAutospacing="0"/>
              <w:jc w:val="both"/>
              <w:rPr>
                <w:rFonts w:cs="宋体"/>
                <w:kern w:val="2"/>
                <w:highlight w:val="none"/>
              </w:rPr>
            </w:pPr>
            <w:r>
              <w:rPr>
                <w:rFonts w:cs="宋体"/>
                <w:kern w:val="2"/>
                <w:highlight w:val="none"/>
              </w:rPr>
              <w:t>是否通过并进入下一阶段评审</w:t>
            </w:r>
          </w:p>
        </w:tc>
        <w:tc>
          <w:tcPr>
            <w:tcW w:w="1877" w:type="dxa"/>
            <w:tcBorders>
              <w:top w:val="single" w:color="auto" w:sz="4" w:space="0"/>
              <w:left w:val="nil"/>
              <w:bottom w:val="single" w:color="auto" w:sz="4" w:space="0"/>
              <w:right w:val="single" w:color="auto" w:sz="4" w:space="0"/>
            </w:tcBorders>
          </w:tcPr>
          <w:p w14:paraId="70FAA1B9">
            <w:pPr>
              <w:pStyle w:val="15"/>
              <w:widowControl w:val="0"/>
              <w:shd w:val="clear"/>
              <w:spacing w:beforeAutospacing="0" w:afterAutospacing="0"/>
              <w:jc w:val="center"/>
              <w:rPr>
                <w:rFonts w:cs="宋体"/>
                <w:b/>
                <w:kern w:val="2"/>
                <w:highlight w:val="none"/>
              </w:rPr>
            </w:pPr>
          </w:p>
        </w:tc>
        <w:tc>
          <w:tcPr>
            <w:tcW w:w="2393" w:type="dxa"/>
            <w:tcBorders>
              <w:top w:val="single" w:color="auto" w:sz="4" w:space="0"/>
              <w:left w:val="nil"/>
              <w:bottom w:val="single" w:color="auto" w:sz="4" w:space="0"/>
              <w:right w:val="single" w:color="auto" w:sz="4" w:space="0"/>
            </w:tcBorders>
          </w:tcPr>
          <w:p w14:paraId="08CA75C2">
            <w:pPr>
              <w:pStyle w:val="15"/>
              <w:widowControl w:val="0"/>
              <w:shd w:val="clear"/>
              <w:spacing w:beforeAutospacing="0" w:afterAutospacing="0"/>
              <w:jc w:val="center"/>
              <w:rPr>
                <w:rFonts w:cs="宋体"/>
                <w:b/>
                <w:kern w:val="2"/>
                <w:highlight w:val="none"/>
              </w:rPr>
            </w:pPr>
          </w:p>
        </w:tc>
        <w:tc>
          <w:tcPr>
            <w:tcW w:w="2205" w:type="dxa"/>
            <w:tcBorders>
              <w:top w:val="single" w:color="auto" w:sz="4" w:space="0"/>
              <w:left w:val="nil"/>
              <w:bottom w:val="single" w:color="auto" w:sz="4" w:space="0"/>
              <w:right w:val="single" w:color="auto" w:sz="4" w:space="0"/>
            </w:tcBorders>
          </w:tcPr>
          <w:p w14:paraId="01D32B29">
            <w:pPr>
              <w:pStyle w:val="15"/>
              <w:widowControl w:val="0"/>
              <w:shd w:val="clear"/>
              <w:spacing w:beforeAutospacing="0" w:afterAutospacing="0"/>
              <w:jc w:val="center"/>
              <w:rPr>
                <w:rFonts w:cs="宋体"/>
                <w:b/>
                <w:kern w:val="2"/>
                <w:highlight w:val="none"/>
              </w:rPr>
            </w:pPr>
          </w:p>
        </w:tc>
        <w:tc>
          <w:tcPr>
            <w:tcW w:w="2032" w:type="dxa"/>
            <w:tcBorders>
              <w:top w:val="single" w:color="auto" w:sz="4" w:space="0"/>
              <w:left w:val="nil"/>
              <w:bottom w:val="single" w:color="auto" w:sz="4" w:space="0"/>
              <w:right w:val="single" w:color="auto" w:sz="4" w:space="0"/>
            </w:tcBorders>
          </w:tcPr>
          <w:p w14:paraId="6BD8AC73">
            <w:pPr>
              <w:pStyle w:val="15"/>
              <w:widowControl w:val="0"/>
              <w:shd w:val="clear"/>
              <w:spacing w:beforeAutospacing="0" w:afterAutospacing="0"/>
              <w:jc w:val="center"/>
              <w:rPr>
                <w:rFonts w:cs="宋体"/>
                <w:b/>
                <w:kern w:val="2"/>
                <w:highlight w:val="none"/>
              </w:rPr>
            </w:pPr>
          </w:p>
        </w:tc>
      </w:tr>
    </w:tbl>
    <w:p w14:paraId="616D430B">
      <w:pPr>
        <w:shd w:val="clear"/>
        <w:snapToGrid w:val="0"/>
        <w:spacing w:line="360" w:lineRule="auto"/>
        <w:rPr>
          <w:rFonts w:hint="eastAsia" w:ascii="宋体" w:hAnsi="宋体" w:cs="宋体"/>
          <w:sz w:val="24"/>
          <w:szCs w:val="24"/>
          <w:highlight w:val="none"/>
        </w:rPr>
      </w:pPr>
      <w:r>
        <w:rPr>
          <w:rFonts w:hint="eastAsia" w:ascii="宋体" w:hAnsi="宋体" w:cs="宋体"/>
          <w:sz w:val="24"/>
          <w:szCs w:val="24"/>
          <w:highlight w:val="none"/>
        </w:rPr>
        <w:t>备注：1、根据本表的审查项目，填“是”或“否”。</w:t>
      </w:r>
    </w:p>
    <w:p w14:paraId="6B8D8B26">
      <w:pPr>
        <w:shd w:val="clear"/>
        <w:snapToGrid w:val="0"/>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2、表中出现一个或以上“否”，即该投标人的评审“结论”为“否”，即该投标人不进入下一阶段评审。</w:t>
      </w:r>
    </w:p>
    <w:p w14:paraId="1F02B696">
      <w:pPr>
        <w:shd w:val="clear"/>
        <w:snapToGrid w:val="0"/>
        <w:spacing w:line="360" w:lineRule="auto"/>
        <w:ind w:firstLine="720" w:firstLineChars="300"/>
        <w:jc w:val="left"/>
        <w:rPr>
          <w:rFonts w:hint="eastAsia" w:ascii="宋体" w:hAnsi="宋体" w:cs="宋体"/>
          <w:sz w:val="24"/>
          <w:szCs w:val="24"/>
          <w:highlight w:val="none"/>
        </w:rPr>
      </w:pPr>
      <w:bookmarkStart w:id="311" w:name="_Toc15828"/>
      <w:bookmarkStart w:id="312" w:name="_Toc27202"/>
      <w:bookmarkStart w:id="313" w:name="_Toc11208"/>
      <w:r>
        <w:rPr>
          <w:rFonts w:hint="eastAsia" w:ascii="宋体" w:hAnsi="宋体" w:cs="宋体"/>
          <w:sz w:val="24"/>
          <w:szCs w:val="24"/>
          <w:highlight w:val="none"/>
        </w:rPr>
        <w:t>3、表中全部评审结果为“是”，视为同意进入下一阶段评审。</w:t>
      </w:r>
      <w:bookmarkEnd w:id="311"/>
      <w:bookmarkEnd w:id="312"/>
      <w:bookmarkEnd w:id="313"/>
    </w:p>
    <w:p w14:paraId="4F07CE24">
      <w:pPr>
        <w:shd w:val="clear"/>
        <w:snapToGrid w:val="0"/>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4、若评委意见不一致时，则按少数服从多数的原则，决定该投标人是否通过有效性审查，进入下一阶段评审。</w:t>
      </w:r>
    </w:p>
    <w:p w14:paraId="68D7DFF6">
      <w:pPr>
        <w:shd w:val="clear"/>
        <w:snapToGrid w:val="0"/>
        <w:spacing w:line="360" w:lineRule="auto"/>
        <w:rPr>
          <w:rFonts w:hint="eastAsia" w:ascii="宋体" w:hAnsi="宋体" w:cs="宋体"/>
          <w:sz w:val="24"/>
          <w:szCs w:val="24"/>
          <w:highlight w:val="none"/>
        </w:rPr>
      </w:pPr>
      <w:r>
        <w:rPr>
          <w:rFonts w:hint="eastAsia" w:ascii="宋体" w:hAnsi="宋体" w:cs="宋体"/>
          <w:sz w:val="24"/>
          <w:szCs w:val="24"/>
          <w:highlight w:val="none"/>
        </w:rPr>
        <w:t>评委签名：                                                                           日期：  年  月   日</w:t>
      </w:r>
    </w:p>
    <w:p w14:paraId="1D83F619">
      <w:pPr>
        <w:widowControl/>
        <w:shd w:val="clear"/>
        <w:spacing w:line="360" w:lineRule="auto"/>
        <w:jc w:val="left"/>
        <w:rPr>
          <w:rFonts w:hint="eastAsia" w:ascii="宋体" w:hAnsi="宋体" w:cs="宋体"/>
          <w:szCs w:val="21"/>
          <w:highlight w:val="none"/>
        </w:rPr>
      </w:pPr>
      <w:r>
        <w:rPr>
          <w:rFonts w:hint="eastAsia" w:ascii="宋体" w:hAnsi="宋体" w:cs="宋体"/>
          <w:szCs w:val="21"/>
          <w:highlight w:val="none"/>
        </w:rPr>
        <w:br w:type="page"/>
      </w:r>
    </w:p>
    <w:p w14:paraId="0BD40728">
      <w:pPr>
        <w:shd w:val="clear"/>
        <w:snapToGrid w:val="0"/>
        <w:jc w:val="center"/>
        <w:rPr>
          <w:rFonts w:hint="eastAsia" w:ascii="宋体" w:hAnsi="宋体" w:cs="宋体"/>
          <w:sz w:val="24"/>
          <w:szCs w:val="24"/>
          <w:highlight w:val="none"/>
        </w:rPr>
      </w:pPr>
      <w:r>
        <w:rPr>
          <w:rFonts w:hint="eastAsia" w:ascii="宋体" w:hAnsi="宋体" w:cs="宋体"/>
          <w:b/>
          <w:sz w:val="32"/>
          <w:szCs w:val="32"/>
          <w:highlight w:val="none"/>
        </w:rPr>
        <w:t>有效性审查表（非技术方案）</w:t>
      </w:r>
    </w:p>
    <w:p w14:paraId="43F0B020">
      <w:pPr>
        <w:pStyle w:val="15"/>
        <w:widowControl w:val="0"/>
        <w:shd w:val="clear"/>
        <w:spacing w:beforeAutospacing="0" w:afterAutospacing="0"/>
        <w:rPr>
          <w:rFonts w:cs="宋体"/>
          <w:b/>
          <w:highlight w:val="none"/>
        </w:rPr>
      </w:pPr>
      <w:r>
        <w:rPr>
          <w:rFonts w:cs="宋体"/>
          <w:highlight w:val="none"/>
        </w:rPr>
        <w:t>项目名称：方案编号：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5236"/>
        <w:gridCol w:w="1483"/>
        <w:gridCol w:w="2134"/>
        <w:gridCol w:w="2134"/>
        <w:gridCol w:w="2134"/>
      </w:tblGrid>
      <w:tr w14:paraId="3F0C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75" w:type="dxa"/>
            <w:tcBorders>
              <w:top w:val="single" w:color="auto" w:sz="4" w:space="0"/>
              <w:left w:val="single" w:color="auto" w:sz="4" w:space="0"/>
              <w:bottom w:val="single" w:color="auto" w:sz="4" w:space="0"/>
              <w:right w:val="single" w:color="auto" w:sz="4" w:space="0"/>
            </w:tcBorders>
            <w:vAlign w:val="center"/>
          </w:tcPr>
          <w:p w14:paraId="225A6E76">
            <w:pPr>
              <w:pStyle w:val="15"/>
              <w:widowControl w:val="0"/>
              <w:shd w:val="clear"/>
              <w:spacing w:beforeAutospacing="0" w:afterAutospacing="0"/>
              <w:jc w:val="center"/>
              <w:rPr>
                <w:rFonts w:cs="宋体"/>
                <w:kern w:val="2"/>
                <w:highlight w:val="none"/>
              </w:rPr>
            </w:pPr>
            <w:r>
              <w:rPr>
                <w:rFonts w:cs="宋体"/>
                <w:kern w:val="2"/>
                <w:highlight w:val="none"/>
              </w:rPr>
              <w:t>序号</w:t>
            </w:r>
          </w:p>
        </w:tc>
        <w:tc>
          <w:tcPr>
            <w:tcW w:w="5236" w:type="dxa"/>
            <w:tcBorders>
              <w:top w:val="single" w:color="auto" w:sz="4" w:space="0"/>
              <w:left w:val="nil"/>
              <w:bottom w:val="single" w:color="auto" w:sz="4" w:space="0"/>
              <w:right w:val="single" w:color="auto" w:sz="4" w:space="0"/>
            </w:tcBorders>
            <w:vAlign w:val="center"/>
          </w:tcPr>
          <w:p w14:paraId="190CF2E4">
            <w:pPr>
              <w:pStyle w:val="15"/>
              <w:widowControl w:val="0"/>
              <w:shd w:val="clear"/>
              <w:spacing w:beforeAutospacing="0" w:afterAutospacing="0"/>
              <w:jc w:val="center"/>
              <w:rPr>
                <w:rFonts w:cs="宋体"/>
                <w:b/>
                <w:kern w:val="2"/>
                <w:highlight w:val="none"/>
              </w:rPr>
            </w:pPr>
            <w:r>
              <w:rPr>
                <w:rFonts w:cs="宋体"/>
                <w:kern w:val="2"/>
                <w:highlight w:val="none"/>
              </w:rPr>
              <w:t>审查项目</w:t>
            </w:r>
          </w:p>
        </w:tc>
        <w:tc>
          <w:tcPr>
            <w:tcW w:w="1483" w:type="dxa"/>
            <w:tcBorders>
              <w:top w:val="single" w:color="auto" w:sz="4" w:space="0"/>
              <w:left w:val="nil"/>
              <w:bottom w:val="single" w:color="auto" w:sz="4" w:space="0"/>
              <w:right w:val="single" w:color="auto" w:sz="4" w:space="0"/>
            </w:tcBorders>
            <w:vAlign w:val="center"/>
          </w:tcPr>
          <w:p w14:paraId="2EA346E7">
            <w:pPr>
              <w:pStyle w:val="15"/>
              <w:widowControl w:val="0"/>
              <w:shd w:val="clear"/>
              <w:spacing w:beforeAutospacing="0" w:afterAutospacing="0"/>
              <w:jc w:val="center"/>
              <w:rPr>
                <w:rFonts w:cs="宋体"/>
                <w:b/>
                <w:kern w:val="2"/>
                <w:highlight w:val="none"/>
              </w:rPr>
            </w:pPr>
            <w:r>
              <w:rPr>
                <w:rFonts w:cs="宋体"/>
                <w:kern w:val="2"/>
                <w:highlight w:val="none"/>
              </w:rPr>
              <w:t>投标人名称</w:t>
            </w:r>
          </w:p>
        </w:tc>
        <w:tc>
          <w:tcPr>
            <w:tcW w:w="2134" w:type="dxa"/>
            <w:tcBorders>
              <w:top w:val="single" w:color="auto" w:sz="4" w:space="0"/>
              <w:left w:val="nil"/>
              <w:bottom w:val="single" w:color="auto" w:sz="4" w:space="0"/>
              <w:right w:val="single" w:color="auto" w:sz="4" w:space="0"/>
            </w:tcBorders>
            <w:vAlign w:val="center"/>
          </w:tcPr>
          <w:p w14:paraId="02D5D2E1">
            <w:pPr>
              <w:pStyle w:val="15"/>
              <w:widowControl w:val="0"/>
              <w:shd w:val="clear"/>
              <w:spacing w:beforeAutospacing="0" w:afterAutospacing="0"/>
              <w:jc w:val="center"/>
              <w:rPr>
                <w:rFonts w:cs="宋体"/>
                <w:b/>
                <w:kern w:val="2"/>
                <w:highlight w:val="none"/>
              </w:rPr>
            </w:pPr>
            <w:r>
              <w:rPr>
                <w:rFonts w:cs="宋体"/>
                <w:b/>
                <w:kern w:val="2"/>
                <w:highlight w:val="none"/>
              </w:rPr>
              <w:t>....</w:t>
            </w:r>
          </w:p>
        </w:tc>
        <w:tc>
          <w:tcPr>
            <w:tcW w:w="2134" w:type="dxa"/>
            <w:tcBorders>
              <w:top w:val="single" w:color="auto" w:sz="4" w:space="0"/>
              <w:left w:val="nil"/>
              <w:bottom w:val="single" w:color="auto" w:sz="4" w:space="0"/>
              <w:right w:val="single" w:color="auto" w:sz="4" w:space="0"/>
            </w:tcBorders>
            <w:vAlign w:val="center"/>
          </w:tcPr>
          <w:p w14:paraId="54B31592">
            <w:pPr>
              <w:pStyle w:val="15"/>
              <w:widowControl w:val="0"/>
              <w:shd w:val="clear"/>
              <w:spacing w:beforeAutospacing="0" w:afterAutospacing="0"/>
              <w:jc w:val="center"/>
              <w:rPr>
                <w:rFonts w:cs="宋体"/>
                <w:b/>
                <w:kern w:val="2"/>
                <w:highlight w:val="none"/>
              </w:rPr>
            </w:pPr>
            <w:r>
              <w:rPr>
                <w:rFonts w:cs="宋体"/>
                <w:b/>
                <w:kern w:val="2"/>
                <w:highlight w:val="none"/>
              </w:rPr>
              <w:t>....</w:t>
            </w:r>
          </w:p>
        </w:tc>
        <w:tc>
          <w:tcPr>
            <w:tcW w:w="2134" w:type="dxa"/>
            <w:tcBorders>
              <w:top w:val="single" w:color="auto" w:sz="4" w:space="0"/>
              <w:left w:val="nil"/>
              <w:bottom w:val="single" w:color="auto" w:sz="4" w:space="0"/>
              <w:right w:val="single" w:color="auto" w:sz="4" w:space="0"/>
            </w:tcBorders>
            <w:vAlign w:val="center"/>
          </w:tcPr>
          <w:p w14:paraId="072A3394">
            <w:pPr>
              <w:pStyle w:val="15"/>
              <w:widowControl w:val="0"/>
              <w:shd w:val="clear"/>
              <w:spacing w:beforeAutospacing="0" w:afterAutospacing="0"/>
              <w:jc w:val="center"/>
              <w:rPr>
                <w:rFonts w:cs="宋体"/>
                <w:b/>
                <w:kern w:val="2"/>
                <w:highlight w:val="none"/>
              </w:rPr>
            </w:pPr>
            <w:r>
              <w:rPr>
                <w:rFonts w:cs="宋体"/>
                <w:b/>
                <w:kern w:val="2"/>
                <w:highlight w:val="none"/>
              </w:rPr>
              <w:t>....</w:t>
            </w:r>
          </w:p>
        </w:tc>
      </w:tr>
      <w:tr w14:paraId="1899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75" w:type="dxa"/>
            <w:tcBorders>
              <w:top w:val="single" w:color="auto" w:sz="4" w:space="0"/>
              <w:left w:val="single" w:color="auto" w:sz="4" w:space="0"/>
              <w:bottom w:val="single" w:color="auto" w:sz="4" w:space="0"/>
              <w:right w:val="single" w:color="auto" w:sz="4" w:space="0"/>
            </w:tcBorders>
            <w:vAlign w:val="center"/>
          </w:tcPr>
          <w:p w14:paraId="1AEABD2F">
            <w:pPr>
              <w:pStyle w:val="15"/>
              <w:widowControl w:val="0"/>
              <w:shd w:val="clear"/>
              <w:spacing w:beforeAutospacing="0" w:afterAutospacing="0"/>
              <w:jc w:val="center"/>
              <w:rPr>
                <w:rFonts w:cs="宋体"/>
                <w:kern w:val="2"/>
                <w:highlight w:val="none"/>
              </w:rPr>
            </w:pPr>
            <w:r>
              <w:rPr>
                <w:rFonts w:cs="宋体"/>
                <w:kern w:val="2"/>
                <w:highlight w:val="none"/>
              </w:rPr>
              <w:t>1</w:t>
            </w:r>
          </w:p>
        </w:tc>
        <w:tc>
          <w:tcPr>
            <w:tcW w:w="5236" w:type="dxa"/>
            <w:tcBorders>
              <w:top w:val="single" w:color="auto" w:sz="4" w:space="0"/>
              <w:left w:val="nil"/>
              <w:bottom w:val="single" w:color="auto" w:sz="4" w:space="0"/>
              <w:right w:val="single" w:color="auto" w:sz="4" w:space="0"/>
            </w:tcBorders>
            <w:vAlign w:val="center"/>
          </w:tcPr>
          <w:p w14:paraId="79A1D7F0">
            <w:pPr>
              <w:pStyle w:val="15"/>
              <w:widowControl w:val="0"/>
              <w:shd w:val="clear"/>
              <w:spacing w:beforeAutospacing="0" w:afterAutospacing="0"/>
              <w:jc w:val="both"/>
              <w:rPr>
                <w:rFonts w:cs="宋体"/>
                <w:kern w:val="2"/>
                <w:highlight w:val="none"/>
              </w:rPr>
            </w:pPr>
            <w:r>
              <w:rPr>
                <w:rFonts w:cs="宋体"/>
                <w:kern w:val="2"/>
                <w:highlight w:val="none"/>
              </w:rPr>
              <w:t>投标人之间不存在《广东省实施&lt;中华人民共和国招标投标法&gt;办法》第十六条所禁止的情形的；</w:t>
            </w:r>
          </w:p>
        </w:tc>
        <w:tc>
          <w:tcPr>
            <w:tcW w:w="1483" w:type="dxa"/>
            <w:tcBorders>
              <w:top w:val="single" w:color="auto" w:sz="4" w:space="0"/>
              <w:left w:val="nil"/>
              <w:bottom w:val="single" w:color="auto" w:sz="4" w:space="0"/>
              <w:right w:val="single" w:color="auto" w:sz="4" w:space="0"/>
            </w:tcBorders>
          </w:tcPr>
          <w:p w14:paraId="3BB1C026">
            <w:pPr>
              <w:pStyle w:val="15"/>
              <w:widowControl w:val="0"/>
              <w:shd w:val="clear"/>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1106B5E4">
            <w:pPr>
              <w:pStyle w:val="15"/>
              <w:widowControl w:val="0"/>
              <w:shd w:val="clear"/>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4CB57DB2">
            <w:pPr>
              <w:pStyle w:val="15"/>
              <w:widowControl w:val="0"/>
              <w:shd w:val="clear"/>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75F123FB">
            <w:pPr>
              <w:pStyle w:val="15"/>
              <w:widowControl w:val="0"/>
              <w:shd w:val="clear"/>
              <w:spacing w:beforeAutospacing="0" w:afterAutospacing="0"/>
              <w:jc w:val="center"/>
              <w:rPr>
                <w:rFonts w:cs="宋体"/>
                <w:b/>
                <w:kern w:val="2"/>
                <w:highlight w:val="none"/>
              </w:rPr>
            </w:pPr>
          </w:p>
        </w:tc>
      </w:tr>
      <w:tr w14:paraId="0858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75" w:type="dxa"/>
            <w:tcBorders>
              <w:top w:val="single" w:color="auto" w:sz="4" w:space="0"/>
              <w:left w:val="single" w:color="auto" w:sz="4" w:space="0"/>
              <w:bottom w:val="single" w:color="auto" w:sz="4" w:space="0"/>
              <w:right w:val="single" w:color="auto" w:sz="4" w:space="0"/>
            </w:tcBorders>
            <w:vAlign w:val="center"/>
          </w:tcPr>
          <w:p w14:paraId="2BB7D8F0">
            <w:pPr>
              <w:pStyle w:val="15"/>
              <w:widowControl w:val="0"/>
              <w:shd w:val="clear"/>
              <w:spacing w:beforeAutospacing="0" w:afterAutospacing="0"/>
              <w:jc w:val="center"/>
              <w:rPr>
                <w:rFonts w:cs="宋体"/>
                <w:kern w:val="2"/>
                <w:highlight w:val="none"/>
              </w:rPr>
            </w:pPr>
            <w:r>
              <w:rPr>
                <w:rFonts w:cs="宋体"/>
                <w:kern w:val="2"/>
                <w:highlight w:val="none"/>
              </w:rPr>
              <w:t>2</w:t>
            </w:r>
          </w:p>
        </w:tc>
        <w:tc>
          <w:tcPr>
            <w:tcW w:w="5236" w:type="dxa"/>
            <w:tcBorders>
              <w:top w:val="single" w:color="auto" w:sz="4" w:space="0"/>
              <w:left w:val="nil"/>
              <w:bottom w:val="single" w:color="auto" w:sz="4" w:space="0"/>
              <w:right w:val="single" w:color="auto" w:sz="4" w:space="0"/>
            </w:tcBorders>
            <w:vAlign w:val="center"/>
          </w:tcPr>
          <w:p w14:paraId="39A1DE6B">
            <w:pPr>
              <w:pStyle w:val="15"/>
              <w:widowControl w:val="0"/>
              <w:shd w:val="clear"/>
              <w:spacing w:beforeAutospacing="0" w:afterAutospacing="0"/>
              <w:jc w:val="both"/>
              <w:rPr>
                <w:rFonts w:cs="宋体"/>
                <w:kern w:val="2"/>
                <w:highlight w:val="none"/>
              </w:rPr>
            </w:pPr>
            <w:r>
              <w:rPr>
                <w:rFonts w:cs="宋体"/>
                <w:kern w:val="2"/>
                <w:highlight w:val="none"/>
              </w:rPr>
              <w:t>投标人与招标人、评标委员会成员或者其他投标人无串通投标；</w:t>
            </w:r>
          </w:p>
        </w:tc>
        <w:tc>
          <w:tcPr>
            <w:tcW w:w="1483" w:type="dxa"/>
            <w:tcBorders>
              <w:top w:val="single" w:color="auto" w:sz="4" w:space="0"/>
              <w:left w:val="nil"/>
              <w:bottom w:val="single" w:color="auto" w:sz="4" w:space="0"/>
              <w:right w:val="single" w:color="auto" w:sz="4" w:space="0"/>
            </w:tcBorders>
          </w:tcPr>
          <w:p w14:paraId="275A2225">
            <w:pPr>
              <w:pStyle w:val="15"/>
              <w:widowControl w:val="0"/>
              <w:shd w:val="clear"/>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7482C4B2">
            <w:pPr>
              <w:pStyle w:val="15"/>
              <w:widowControl w:val="0"/>
              <w:shd w:val="clear"/>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0D175361">
            <w:pPr>
              <w:pStyle w:val="15"/>
              <w:widowControl w:val="0"/>
              <w:shd w:val="clear"/>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3372FB6A">
            <w:pPr>
              <w:pStyle w:val="15"/>
              <w:widowControl w:val="0"/>
              <w:shd w:val="clear"/>
              <w:spacing w:beforeAutospacing="0" w:afterAutospacing="0"/>
              <w:jc w:val="center"/>
              <w:rPr>
                <w:rFonts w:cs="宋体"/>
                <w:b/>
                <w:kern w:val="2"/>
                <w:highlight w:val="none"/>
              </w:rPr>
            </w:pPr>
          </w:p>
        </w:tc>
      </w:tr>
      <w:tr w14:paraId="4727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75" w:type="dxa"/>
            <w:tcBorders>
              <w:top w:val="single" w:color="auto" w:sz="4" w:space="0"/>
              <w:left w:val="single" w:color="auto" w:sz="4" w:space="0"/>
              <w:bottom w:val="single" w:color="auto" w:sz="4" w:space="0"/>
              <w:right w:val="single" w:color="auto" w:sz="4" w:space="0"/>
            </w:tcBorders>
            <w:vAlign w:val="center"/>
          </w:tcPr>
          <w:p w14:paraId="4CF0F624">
            <w:pPr>
              <w:pStyle w:val="15"/>
              <w:widowControl w:val="0"/>
              <w:shd w:val="clear"/>
              <w:spacing w:beforeAutospacing="0" w:afterAutospacing="0"/>
              <w:jc w:val="center"/>
              <w:rPr>
                <w:rFonts w:cs="宋体"/>
                <w:kern w:val="2"/>
                <w:highlight w:val="none"/>
              </w:rPr>
            </w:pPr>
            <w:r>
              <w:rPr>
                <w:rFonts w:cs="宋体"/>
                <w:kern w:val="2"/>
                <w:highlight w:val="none"/>
              </w:rPr>
              <w:t>3</w:t>
            </w:r>
          </w:p>
        </w:tc>
        <w:tc>
          <w:tcPr>
            <w:tcW w:w="5236" w:type="dxa"/>
            <w:tcBorders>
              <w:top w:val="single" w:color="auto" w:sz="4" w:space="0"/>
              <w:left w:val="nil"/>
              <w:bottom w:val="single" w:color="auto" w:sz="4" w:space="0"/>
              <w:right w:val="single" w:color="auto" w:sz="4" w:space="0"/>
            </w:tcBorders>
            <w:vAlign w:val="center"/>
          </w:tcPr>
          <w:p w14:paraId="50BB676A">
            <w:pPr>
              <w:pStyle w:val="15"/>
              <w:widowControl w:val="0"/>
              <w:shd w:val="clear"/>
              <w:spacing w:beforeAutospacing="0" w:afterAutospacing="0"/>
              <w:jc w:val="both"/>
              <w:rPr>
                <w:rFonts w:cs="宋体"/>
                <w:kern w:val="2"/>
                <w:highlight w:val="none"/>
              </w:rPr>
            </w:pPr>
            <w:r>
              <w:rPr>
                <w:rFonts w:cs="宋体"/>
                <w:kern w:val="2"/>
                <w:highlight w:val="none"/>
              </w:rPr>
              <w:t>《投标书》有加盖投标人电子印章，已经</w:t>
            </w:r>
            <w:r>
              <w:rPr>
                <w:rFonts w:cs="宋体"/>
                <w:szCs w:val="21"/>
                <w:highlight w:val="none"/>
              </w:rPr>
              <w:t>法定代表人</w:t>
            </w:r>
            <w:r>
              <w:rPr>
                <w:rFonts w:cs="宋体"/>
                <w:kern w:val="2"/>
                <w:highlight w:val="none"/>
                <w:u w:val="single"/>
              </w:rPr>
              <w:t>、委托代理人及项目负责人签字（或盖章）</w:t>
            </w:r>
            <w:r>
              <w:rPr>
                <w:rFonts w:cs="宋体"/>
                <w:kern w:val="2"/>
                <w:highlight w:val="none"/>
              </w:rPr>
              <w:t>；</w:t>
            </w:r>
          </w:p>
        </w:tc>
        <w:tc>
          <w:tcPr>
            <w:tcW w:w="1483" w:type="dxa"/>
            <w:tcBorders>
              <w:top w:val="single" w:color="auto" w:sz="4" w:space="0"/>
              <w:left w:val="nil"/>
              <w:bottom w:val="single" w:color="auto" w:sz="4" w:space="0"/>
              <w:right w:val="single" w:color="auto" w:sz="4" w:space="0"/>
            </w:tcBorders>
            <w:vAlign w:val="center"/>
          </w:tcPr>
          <w:p w14:paraId="2C05DBB0">
            <w:pPr>
              <w:pStyle w:val="15"/>
              <w:widowControl w:val="0"/>
              <w:shd w:val="clear"/>
              <w:spacing w:beforeAutospacing="0" w:afterAutospacing="0"/>
              <w:jc w:val="both"/>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5B2A23F5">
            <w:pPr>
              <w:pStyle w:val="15"/>
              <w:widowControl w:val="0"/>
              <w:shd w:val="clear"/>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736FFCC9">
            <w:pPr>
              <w:pStyle w:val="15"/>
              <w:widowControl w:val="0"/>
              <w:shd w:val="clear"/>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20ABC349">
            <w:pPr>
              <w:pStyle w:val="15"/>
              <w:widowControl w:val="0"/>
              <w:shd w:val="clear"/>
              <w:spacing w:beforeAutospacing="0" w:afterAutospacing="0"/>
              <w:jc w:val="center"/>
              <w:rPr>
                <w:rFonts w:cs="宋体"/>
                <w:b/>
                <w:kern w:val="2"/>
                <w:highlight w:val="none"/>
              </w:rPr>
            </w:pPr>
          </w:p>
        </w:tc>
      </w:tr>
      <w:tr w14:paraId="0FEE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75" w:type="dxa"/>
            <w:tcBorders>
              <w:top w:val="single" w:color="auto" w:sz="4" w:space="0"/>
              <w:left w:val="single" w:color="auto" w:sz="4" w:space="0"/>
              <w:bottom w:val="single" w:color="auto" w:sz="4" w:space="0"/>
              <w:right w:val="single" w:color="auto" w:sz="4" w:space="0"/>
            </w:tcBorders>
            <w:vAlign w:val="center"/>
          </w:tcPr>
          <w:p w14:paraId="0CB00892">
            <w:pPr>
              <w:pStyle w:val="15"/>
              <w:widowControl w:val="0"/>
              <w:shd w:val="clear"/>
              <w:spacing w:beforeAutospacing="0" w:afterAutospacing="0"/>
              <w:jc w:val="center"/>
              <w:rPr>
                <w:rFonts w:cs="宋体"/>
                <w:kern w:val="2"/>
                <w:highlight w:val="none"/>
              </w:rPr>
            </w:pPr>
            <w:r>
              <w:rPr>
                <w:rFonts w:cs="宋体"/>
                <w:kern w:val="2"/>
                <w:highlight w:val="none"/>
              </w:rPr>
              <w:t>4</w:t>
            </w:r>
          </w:p>
        </w:tc>
        <w:tc>
          <w:tcPr>
            <w:tcW w:w="5236" w:type="dxa"/>
            <w:tcBorders>
              <w:top w:val="single" w:color="auto" w:sz="4" w:space="0"/>
              <w:left w:val="nil"/>
              <w:bottom w:val="single" w:color="auto" w:sz="4" w:space="0"/>
              <w:right w:val="single" w:color="auto" w:sz="4" w:space="0"/>
            </w:tcBorders>
            <w:vAlign w:val="center"/>
          </w:tcPr>
          <w:p w14:paraId="55DCC4C9">
            <w:pPr>
              <w:pStyle w:val="15"/>
              <w:widowControl w:val="0"/>
              <w:shd w:val="clear"/>
              <w:spacing w:beforeAutospacing="0" w:afterAutospacing="0"/>
              <w:jc w:val="both"/>
              <w:rPr>
                <w:rFonts w:cs="宋体"/>
                <w:kern w:val="2"/>
                <w:highlight w:val="none"/>
              </w:rPr>
            </w:pPr>
            <w:r>
              <w:rPr>
                <w:rFonts w:cs="宋体"/>
                <w:kern w:val="2"/>
                <w:highlight w:val="none"/>
              </w:rPr>
              <w:t>《投标书》没有包含招标人不能接受的偏差，或投标人没有拒绝书面撤回偏差的情形；</w:t>
            </w:r>
          </w:p>
        </w:tc>
        <w:tc>
          <w:tcPr>
            <w:tcW w:w="1483" w:type="dxa"/>
            <w:tcBorders>
              <w:top w:val="single" w:color="auto" w:sz="4" w:space="0"/>
              <w:left w:val="nil"/>
              <w:bottom w:val="single" w:color="auto" w:sz="4" w:space="0"/>
              <w:right w:val="single" w:color="auto" w:sz="4" w:space="0"/>
            </w:tcBorders>
            <w:vAlign w:val="center"/>
          </w:tcPr>
          <w:p w14:paraId="3DFA8A17">
            <w:pPr>
              <w:pStyle w:val="15"/>
              <w:widowControl w:val="0"/>
              <w:shd w:val="clear"/>
              <w:spacing w:beforeAutospacing="0" w:afterAutospacing="0"/>
              <w:jc w:val="both"/>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338A87FB">
            <w:pPr>
              <w:pStyle w:val="15"/>
              <w:widowControl w:val="0"/>
              <w:shd w:val="clear"/>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1082AFDE">
            <w:pPr>
              <w:pStyle w:val="15"/>
              <w:widowControl w:val="0"/>
              <w:shd w:val="clear"/>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52A2DB2D">
            <w:pPr>
              <w:pStyle w:val="15"/>
              <w:widowControl w:val="0"/>
              <w:shd w:val="clear"/>
              <w:spacing w:beforeAutospacing="0" w:afterAutospacing="0"/>
              <w:jc w:val="center"/>
              <w:rPr>
                <w:rFonts w:cs="宋体"/>
                <w:b/>
                <w:kern w:val="2"/>
                <w:highlight w:val="none"/>
              </w:rPr>
            </w:pPr>
          </w:p>
        </w:tc>
      </w:tr>
      <w:tr w14:paraId="049E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75" w:type="dxa"/>
            <w:tcBorders>
              <w:top w:val="single" w:color="auto" w:sz="4" w:space="0"/>
              <w:left w:val="single" w:color="auto" w:sz="4" w:space="0"/>
              <w:bottom w:val="single" w:color="auto" w:sz="4" w:space="0"/>
              <w:right w:val="single" w:color="auto" w:sz="4" w:space="0"/>
            </w:tcBorders>
            <w:vAlign w:val="center"/>
          </w:tcPr>
          <w:p w14:paraId="2A4011AF">
            <w:pPr>
              <w:pStyle w:val="15"/>
              <w:widowControl w:val="0"/>
              <w:shd w:val="clear"/>
              <w:spacing w:beforeAutospacing="0" w:afterAutospacing="0"/>
              <w:jc w:val="center"/>
              <w:rPr>
                <w:rFonts w:cs="宋体"/>
                <w:kern w:val="2"/>
                <w:highlight w:val="none"/>
              </w:rPr>
            </w:pPr>
            <w:r>
              <w:rPr>
                <w:rFonts w:cs="宋体"/>
                <w:kern w:val="2"/>
                <w:highlight w:val="none"/>
              </w:rPr>
              <w:t>5</w:t>
            </w:r>
          </w:p>
        </w:tc>
        <w:tc>
          <w:tcPr>
            <w:tcW w:w="5236" w:type="dxa"/>
            <w:tcBorders>
              <w:top w:val="single" w:color="auto" w:sz="4" w:space="0"/>
              <w:left w:val="nil"/>
              <w:bottom w:val="single" w:color="auto" w:sz="4" w:space="0"/>
              <w:right w:val="single" w:color="auto" w:sz="4" w:space="0"/>
            </w:tcBorders>
            <w:vAlign w:val="center"/>
          </w:tcPr>
          <w:p w14:paraId="306CBC1E">
            <w:pPr>
              <w:pStyle w:val="15"/>
              <w:widowControl w:val="0"/>
              <w:shd w:val="clear"/>
              <w:spacing w:beforeAutospacing="0" w:afterAutospacing="0"/>
              <w:jc w:val="both"/>
              <w:rPr>
                <w:rFonts w:cs="宋体"/>
                <w:kern w:val="2"/>
                <w:highlight w:val="none"/>
              </w:rPr>
            </w:pPr>
            <w:r>
              <w:rPr>
                <w:rFonts w:cs="宋体"/>
                <w:kern w:val="2"/>
                <w:highlight w:val="none"/>
              </w:rPr>
              <w:t>《投标人声明》已按规定格式填写并已加盖投标人电子印章；</w:t>
            </w:r>
          </w:p>
        </w:tc>
        <w:tc>
          <w:tcPr>
            <w:tcW w:w="1483" w:type="dxa"/>
            <w:tcBorders>
              <w:top w:val="single" w:color="auto" w:sz="4" w:space="0"/>
              <w:left w:val="nil"/>
              <w:bottom w:val="single" w:color="auto" w:sz="4" w:space="0"/>
              <w:right w:val="single" w:color="auto" w:sz="4" w:space="0"/>
            </w:tcBorders>
            <w:vAlign w:val="center"/>
          </w:tcPr>
          <w:p w14:paraId="7B869BF8">
            <w:pPr>
              <w:pStyle w:val="15"/>
              <w:widowControl w:val="0"/>
              <w:shd w:val="clear"/>
              <w:spacing w:beforeAutospacing="0" w:afterAutospacing="0"/>
              <w:jc w:val="both"/>
              <w:rPr>
                <w:rFonts w:cs="宋体"/>
                <w:b/>
                <w:strike/>
                <w:kern w:val="2"/>
                <w:highlight w:val="none"/>
              </w:rPr>
            </w:pPr>
          </w:p>
        </w:tc>
        <w:tc>
          <w:tcPr>
            <w:tcW w:w="2134" w:type="dxa"/>
            <w:tcBorders>
              <w:top w:val="single" w:color="auto" w:sz="4" w:space="0"/>
              <w:left w:val="nil"/>
              <w:bottom w:val="single" w:color="auto" w:sz="4" w:space="0"/>
              <w:right w:val="single" w:color="auto" w:sz="4" w:space="0"/>
            </w:tcBorders>
          </w:tcPr>
          <w:p w14:paraId="6C0FE6A2">
            <w:pPr>
              <w:pStyle w:val="15"/>
              <w:widowControl w:val="0"/>
              <w:shd w:val="clear"/>
              <w:spacing w:beforeAutospacing="0" w:afterAutospacing="0"/>
              <w:jc w:val="center"/>
              <w:rPr>
                <w:rFonts w:cs="宋体"/>
                <w:b/>
                <w:strike/>
                <w:kern w:val="2"/>
                <w:highlight w:val="none"/>
              </w:rPr>
            </w:pPr>
          </w:p>
        </w:tc>
        <w:tc>
          <w:tcPr>
            <w:tcW w:w="2134" w:type="dxa"/>
            <w:tcBorders>
              <w:top w:val="single" w:color="auto" w:sz="4" w:space="0"/>
              <w:left w:val="nil"/>
              <w:bottom w:val="single" w:color="auto" w:sz="4" w:space="0"/>
              <w:right w:val="single" w:color="auto" w:sz="4" w:space="0"/>
            </w:tcBorders>
          </w:tcPr>
          <w:p w14:paraId="475E8D95">
            <w:pPr>
              <w:pStyle w:val="15"/>
              <w:widowControl w:val="0"/>
              <w:shd w:val="clear"/>
              <w:spacing w:beforeAutospacing="0" w:afterAutospacing="0"/>
              <w:jc w:val="center"/>
              <w:rPr>
                <w:rFonts w:cs="宋体"/>
                <w:b/>
                <w:strike/>
                <w:kern w:val="2"/>
                <w:highlight w:val="none"/>
              </w:rPr>
            </w:pPr>
          </w:p>
        </w:tc>
        <w:tc>
          <w:tcPr>
            <w:tcW w:w="2134" w:type="dxa"/>
            <w:tcBorders>
              <w:top w:val="single" w:color="auto" w:sz="4" w:space="0"/>
              <w:left w:val="nil"/>
              <w:bottom w:val="single" w:color="auto" w:sz="4" w:space="0"/>
              <w:right w:val="single" w:color="auto" w:sz="4" w:space="0"/>
            </w:tcBorders>
          </w:tcPr>
          <w:p w14:paraId="5ACEC5F9">
            <w:pPr>
              <w:pStyle w:val="15"/>
              <w:widowControl w:val="0"/>
              <w:shd w:val="clear"/>
              <w:spacing w:beforeAutospacing="0" w:afterAutospacing="0"/>
              <w:jc w:val="center"/>
              <w:rPr>
                <w:rFonts w:cs="宋体"/>
                <w:b/>
                <w:strike/>
                <w:kern w:val="2"/>
                <w:highlight w:val="none"/>
              </w:rPr>
            </w:pPr>
          </w:p>
        </w:tc>
      </w:tr>
      <w:tr w14:paraId="08B8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75" w:type="dxa"/>
            <w:tcBorders>
              <w:top w:val="single" w:color="auto" w:sz="4" w:space="0"/>
              <w:left w:val="single" w:color="auto" w:sz="4" w:space="0"/>
              <w:bottom w:val="single" w:color="auto" w:sz="4" w:space="0"/>
              <w:right w:val="single" w:color="auto" w:sz="4" w:space="0"/>
            </w:tcBorders>
            <w:vAlign w:val="center"/>
          </w:tcPr>
          <w:p w14:paraId="1EEC62EF">
            <w:pPr>
              <w:pStyle w:val="15"/>
              <w:widowControl w:val="0"/>
              <w:shd w:val="clear"/>
              <w:spacing w:beforeAutospacing="0" w:afterAutospacing="0"/>
              <w:jc w:val="center"/>
              <w:rPr>
                <w:rFonts w:cs="宋体"/>
                <w:kern w:val="2"/>
                <w:highlight w:val="none"/>
              </w:rPr>
            </w:pPr>
            <w:r>
              <w:rPr>
                <w:rFonts w:cs="宋体"/>
                <w:kern w:val="2"/>
                <w:highlight w:val="none"/>
              </w:rPr>
              <w:t>6</w:t>
            </w:r>
          </w:p>
        </w:tc>
        <w:tc>
          <w:tcPr>
            <w:tcW w:w="5236" w:type="dxa"/>
            <w:tcBorders>
              <w:top w:val="single" w:color="auto" w:sz="4" w:space="0"/>
              <w:left w:val="nil"/>
              <w:bottom w:val="single" w:color="auto" w:sz="4" w:space="0"/>
              <w:right w:val="single" w:color="auto" w:sz="4" w:space="0"/>
            </w:tcBorders>
            <w:vAlign w:val="center"/>
          </w:tcPr>
          <w:p w14:paraId="1E5EF923">
            <w:pPr>
              <w:pStyle w:val="15"/>
              <w:widowControl w:val="0"/>
              <w:shd w:val="clear"/>
              <w:spacing w:beforeAutospacing="0" w:afterAutospacing="0"/>
              <w:jc w:val="both"/>
              <w:rPr>
                <w:rFonts w:cs="宋体"/>
                <w:kern w:val="2"/>
                <w:highlight w:val="none"/>
              </w:rPr>
            </w:pPr>
            <w:r>
              <w:rPr>
                <w:rFonts w:cs="宋体"/>
                <w:kern w:val="2"/>
                <w:highlight w:val="none"/>
                <w:lang w:bidi="ar"/>
              </w:rPr>
              <w:t>投标人与</w:t>
            </w:r>
            <w:r>
              <w:rPr>
                <w:rFonts w:cs="宋体"/>
                <w:kern w:val="2"/>
                <w:highlight w:val="none"/>
                <w:u w:val="single"/>
                <w:lang w:bidi="ar"/>
              </w:rPr>
              <w:t>本项目</w:t>
            </w:r>
            <w:r>
              <w:rPr>
                <w:rFonts w:cs="宋体"/>
                <w:kern w:val="2"/>
                <w:highlight w:val="none"/>
                <w:lang w:bidi="ar"/>
              </w:rPr>
              <w:t>其他投标人加密打包投标文件电脑机器特征码未出现一致情况；</w:t>
            </w:r>
          </w:p>
        </w:tc>
        <w:tc>
          <w:tcPr>
            <w:tcW w:w="1483" w:type="dxa"/>
            <w:tcBorders>
              <w:top w:val="single" w:color="auto" w:sz="4" w:space="0"/>
              <w:left w:val="nil"/>
              <w:bottom w:val="single" w:color="auto" w:sz="4" w:space="0"/>
              <w:right w:val="single" w:color="auto" w:sz="4" w:space="0"/>
            </w:tcBorders>
            <w:vAlign w:val="center"/>
          </w:tcPr>
          <w:p w14:paraId="6A26AB86">
            <w:pPr>
              <w:pStyle w:val="15"/>
              <w:widowControl w:val="0"/>
              <w:shd w:val="clear"/>
              <w:spacing w:beforeAutospacing="0" w:afterAutospacing="0"/>
              <w:jc w:val="both"/>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54C25A88">
            <w:pPr>
              <w:pStyle w:val="15"/>
              <w:widowControl w:val="0"/>
              <w:shd w:val="clear"/>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3A6B091D">
            <w:pPr>
              <w:pStyle w:val="15"/>
              <w:widowControl w:val="0"/>
              <w:shd w:val="clear"/>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73BB62BC">
            <w:pPr>
              <w:pStyle w:val="15"/>
              <w:widowControl w:val="0"/>
              <w:shd w:val="clear"/>
              <w:spacing w:beforeAutospacing="0" w:afterAutospacing="0"/>
              <w:jc w:val="center"/>
              <w:rPr>
                <w:rFonts w:cs="宋体"/>
                <w:b/>
                <w:kern w:val="2"/>
                <w:highlight w:val="none"/>
              </w:rPr>
            </w:pPr>
          </w:p>
        </w:tc>
      </w:tr>
      <w:tr w14:paraId="6DBB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75" w:type="dxa"/>
            <w:tcBorders>
              <w:top w:val="single" w:color="auto" w:sz="4" w:space="0"/>
              <w:left w:val="single" w:color="auto" w:sz="4" w:space="0"/>
              <w:bottom w:val="single" w:color="auto" w:sz="4" w:space="0"/>
              <w:right w:val="single" w:color="auto" w:sz="4" w:space="0"/>
            </w:tcBorders>
            <w:vAlign w:val="center"/>
          </w:tcPr>
          <w:p w14:paraId="2A81C1EF">
            <w:pPr>
              <w:pStyle w:val="15"/>
              <w:widowControl w:val="0"/>
              <w:shd w:val="clear"/>
              <w:spacing w:beforeAutospacing="0" w:afterAutospacing="0"/>
              <w:jc w:val="center"/>
              <w:rPr>
                <w:rFonts w:cs="宋体"/>
                <w:kern w:val="2"/>
                <w:highlight w:val="none"/>
              </w:rPr>
            </w:pPr>
            <w:r>
              <w:rPr>
                <w:rFonts w:cs="宋体"/>
                <w:kern w:val="2"/>
                <w:highlight w:val="none"/>
              </w:rPr>
              <w:t>7</w:t>
            </w:r>
          </w:p>
        </w:tc>
        <w:tc>
          <w:tcPr>
            <w:tcW w:w="5236" w:type="dxa"/>
            <w:tcBorders>
              <w:top w:val="single" w:color="auto" w:sz="4" w:space="0"/>
              <w:left w:val="nil"/>
              <w:bottom w:val="single" w:color="auto" w:sz="4" w:space="0"/>
              <w:right w:val="single" w:color="auto" w:sz="4" w:space="0"/>
            </w:tcBorders>
            <w:vAlign w:val="center"/>
          </w:tcPr>
          <w:p w14:paraId="2F5E4B6F">
            <w:pPr>
              <w:pStyle w:val="15"/>
              <w:widowControl w:val="0"/>
              <w:shd w:val="clear"/>
              <w:spacing w:beforeAutospacing="0" w:afterAutospacing="0"/>
              <w:jc w:val="both"/>
              <w:rPr>
                <w:rFonts w:cs="宋体"/>
                <w:kern w:val="2"/>
                <w:highlight w:val="none"/>
                <w:lang w:bidi="ar"/>
              </w:rPr>
            </w:pPr>
            <w:r>
              <w:rPr>
                <w:rFonts w:cs="宋体"/>
                <w:kern w:val="2"/>
                <w:highlight w:val="none"/>
                <w:lang w:bidi="ar"/>
              </w:rPr>
              <w:t>已按要求缴纳投标保证金；</w:t>
            </w:r>
          </w:p>
        </w:tc>
        <w:tc>
          <w:tcPr>
            <w:tcW w:w="1483" w:type="dxa"/>
            <w:tcBorders>
              <w:top w:val="single" w:color="auto" w:sz="4" w:space="0"/>
              <w:left w:val="nil"/>
              <w:bottom w:val="single" w:color="auto" w:sz="4" w:space="0"/>
              <w:right w:val="single" w:color="auto" w:sz="4" w:space="0"/>
            </w:tcBorders>
            <w:vAlign w:val="center"/>
          </w:tcPr>
          <w:p w14:paraId="2CF738AA">
            <w:pPr>
              <w:pStyle w:val="15"/>
              <w:widowControl w:val="0"/>
              <w:shd w:val="clear"/>
              <w:spacing w:beforeAutospacing="0" w:afterAutospacing="0"/>
              <w:jc w:val="both"/>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5EEAB7B5">
            <w:pPr>
              <w:pStyle w:val="15"/>
              <w:widowControl w:val="0"/>
              <w:shd w:val="clear"/>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2386ADAB">
            <w:pPr>
              <w:pStyle w:val="15"/>
              <w:widowControl w:val="0"/>
              <w:shd w:val="clear"/>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5D81D441">
            <w:pPr>
              <w:pStyle w:val="15"/>
              <w:widowControl w:val="0"/>
              <w:shd w:val="clear"/>
              <w:spacing w:beforeAutospacing="0" w:afterAutospacing="0"/>
              <w:jc w:val="center"/>
              <w:rPr>
                <w:rFonts w:cs="宋体"/>
                <w:b/>
                <w:kern w:val="2"/>
                <w:highlight w:val="none"/>
              </w:rPr>
            </w:pPr>
          </w:p>
        </w:tc>
      </w:tr>
      <w:tr w14:paraId="7874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75" w:type="dxa"/>
            <w:tcBorders>
              <w:top w:val="single" w:color="auto" w:sz="4" w:space="0"/>
              <w:left w:val="single" w:color="auto" w:sz="4" w:space="0"/>
              <w:bottom w:val="single" w:color="auto" w:sz="4" w:space="0"/>
              <w:right w:val="single" w:color="auto" w:sz="4" w:space="0"/>
            </w:tcBorders>
            <w:vAlign w:val="center"/>
          </w:tcPr>
          <w:p w14:paraId="192879A8">
            <w:pPr>
              <w:pStyle w:val="15"/>
              <w:widowControl w:val="0"/>
              <w:shd w:val="clear"/>
              <w:spacing w:beforeAutospacing="0" w:afterAutospacing="0"/>
              <w:jc w:val="center"/>
              <w:rPr>
                <w:rFonts w:cs="宋体"/>
                <w:kern w:val="2"/>
                <w:highlight w:val="none"/>
              </w:rPr>
            </w:pPr>
            <w:r>
              <w:rPr>
                <w:rFonts w:cs="宋体"/>
                <w:kern w:val="2"/>
                <w:highlight w:val="none"/>
              </w:rPr>
              <w:t>8</w:t>
            </w:r>
          </w:p>
        </w:tc>
        <w:tc>
          <w:tcPr>
            <w:tcW w:w="5236" w:type="dxa"/>
            <w:tcBorders>
              <w:top w:val="single" w:color="auto" w:sz="4" w:space="0"/>
              <w:left w:val="nil"/>
              <w:bottom w:val="single" w:color="auto" w:sz="4" w:space="0"/>
              <w:right w:val="single" w:color="auto" w:sz="4" w:space="0"/>
            </w:tcBorders>
            <w:vAlign w:val="center"/>
          </w:tcPr>
          <w:p w14:paraId="0CB16676">
            <w:pPr>
              <w:pStyle w:val="15"/>
              <w:widowControl w:val="0"/>
              <w:shd w:val="clear"/>
              <w:spacing w:beforeAutospacing="0" w:afterAutospacing="0"/>
              <w:jc w:val="both"/>
              <w:rPr>
                <w:rFonts w:cs="宋体"/>
                <w:kern w:val="2"/>
                <w:highlight w:val="none"/>
                <w:u w:val="single"/>
                <w:lang w:bidi="ar"/>
              </w:rPr>
            </w:pPr>
            <w:r>
              <w:rPr>
                <w:rFonts w:cs="宋体"/>
                <w:szCs w:val="21"/>
                <w:highlight w:val="none"/>
                <w:u w:val="single"/>
              </w:rPr>
              <w:t>已按照招标文件要求进行投标报价，按招标文件附件3、附件3-1、附件3-2填报报价；</w:t>
            </w:r>
          </w:p>
        </w:tc>
        <w:tc>
          <w:tcPr>
            <w:tcW w:w="1483" w:type="dxa"/>
            <w:tcBorders>
              <w:top w:val="single" w:color="auto" w:sz="4" w:space="0"/>
              <w:left w:val="nil"/>
              <w:bottom w:val="single" w:color="auto" w:sz="4" w:space="0"/>
              <w:right w:val="single" w:color="auto" w:sz="4" w:space="0"/>
            </w:tcBorders>
            <w:vAlign w:val="center"/>
          </w:tcPr>
          <w:p w14:paraId="383512AB">
            <w:pPr>
              <w:pStyle w:val="15"/>
              <w:widowControl w:val="0"/>
              <w:shd w:val="clear"/>
              <w:spacing w:beforeAutospacing="0" w:afterAutospacing="0"/>
              <w:jc w:val="both"/>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2EB0721C">
            <w:pPr>
              <w:pStyle w:val="15"/>
              <w:widowControl w:val="0"/>
              <w:shd w:val="clear"/>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7E671AC9">
            <w:pPr>
              <w:pStyle w:val="15"/>
              <w:widowControl w:val="0"/>
              <w:shd w:val="clear"/>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1AFE038B">
            <w:pPr>
              <w:pStyle w:val="15"/>
              <w:widowControl w:val="0"/>
              <w:shd w:val="clear"/>
              <w:spacing w:beforeAutospacing="0" w:afterAutospacing="0"/>
              <w:jc w:val="center"/>
              <w:rPr>
                <w:rFonts w:cs="宋体"/>
                <w:b/>
                <w:kern w:val="2"/>
                <w:highlight w:val="none"/>
              </w:rPr>
            </w:pPr>
          </w:p>
        </w:tc>
      </w:tr>
      <w:tr w14:paraId="1FAF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75" w:type="dxa"/>
            <w:tcBorders>
              <w:top w:val="single" w:color="auto" w:sz="4" w:space="0"/>
              <w:left w:val="single" w:color="auto" w:sz="4" w:space="0"/>
              <w:bottom w:val="single" w:color="auto" w:sz="4" w:space="0"/>
              <w:right w:val="single" w:color="auto" w:sz="4" w:space="0"/>
            </w:tcBorders>
            <w:vAlign w:val="center"/>
          </w:tcPr>
          <w:p w14:paraId="7B7945CA">
            <w:pPr>
              <w:pStyle w:val="15"/>
              <w:widowControl w:val="0"/>
              <w:shd w:val="clear"/>
              <w:spacing w:beforeAutospacing="0" w:afterAutospacing="0"/>
              <w:jc w:val="center"/>
              <w:rPr>
                <w:rFonts w:cs="宋体"/>
                <w:kern w:val="2"/>
                <w:highlight w:val="none"/>
              </w:rPr>
            </w:pPr>
            <w:r>
              <w:rPr>
                <w:rFonts w:cs="宋体"/>
                <w:kern w:val="2"/>
                <w:highlight w:val="none"/>
              </w:rPr>
              <w:t>9</w:t>
            </w:r>
          </w:p>
        </w:tc>
        <w:tc>
          <w:tcPr>
            <w:tcW w:w="5236" w:type="dxa"/>
            <w:tcBorders>
              <w:top w:val="single" w:color="auto" w:sz="4" w:space="0"/>
              <w:left w:val="nil"/>
              <w:bottom w:val="single" w:color="auto" w:sz="4" w:space="0"/>
              <w:right w:val="single" w:color="auto" w:sz="4" w:space="0"/>
            </w:tcBorders>
            <w:vAlign w:val="center"/>
          </w:tcPr>
          <w:p w14:paraId="5D6C6C80">
            <w:pPr>
              <w:pStyle w:val="15"/>
              <w:widowControl w:val="0"/>
              <w:shd w:val="clear"/>
              <w:spacing w:beforeAutospacing="0" w:afterAutospacing="0"/>
              <w:jc w:val="both"/>
              <w:rPr>
                <w:rFonts w:cs="宋体"/>
                <w:kern w:val="2"/>
                <w:highlight w:val="none"/>
              </w:rPr>
            </w:pPr>
            <w:r>
              <w:rPr>
                <w:rFonts w:cs="宋体"/>
                <w:kern w:val="2"/>
                <w:highlight w:val="none"/>
                <w:u w:val="single"/>
                <w:lang w:bidi="ar"/>
              </w:rPr>
              <w:t>投标总报价不高于最高投标限价总价的及各分项投标报价不高于各分项最高投标限价的</w:t>
            </w:r>
            <w:r>
              <w:rPr>
                <w:rFonts w:cs="宋体"/>
                <w:kern w:val="2"/>
                <w:highlight w:val="none"/>
                <w:lang w:bidi="ar"/>
              </w:rPr>
              <w:t>；</w:t>
            </w:r>
          </w:p>
        </w:tc>
        <w:tc>
          <w:tcPr>
            <w:tcW w:w="1483" w:type="dxa"/>
            <w:tcBorders>
              <w:top w:val="single" w:color="auto" w:sz="4" w:space="0"/>
              <w:left w:val="nil"/>
              <w:bottom w:val="single" w:color="auto" w:sz="4" w:space="0"/>
              <w:right w:val="single" w:color="auto" w:sz="4" w:space="0"/>
            </w:tcBorders>
            <w:vAlign w:val="center"/>
          </w:tcPr>
          <w:p w14:paraId="5CA18B5F">
            <w:pPr>
              <w:pStyle w:val="15"/>
              <w:widowControl w:val="0"/>
              <w:shd w:val="clear"/>
              <w:spacing w:beforeAutospacing="0" w:afterAutospacing="0"/>
              <w:jc w:val="both"/>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34A6BC63">
            <w:pPr>
              <w:pStyle w:val="15"/>
              <w:widowControl w:val="0"/>
              <w:shd w:val="clear"/>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6F21562E">
            <w:pPr>
              <w:pStyle w:val="15"/>
              <w:widowControl w:val="0"/>
              <w:shd w:val="clear"/>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7AF260EA">
            <w:pPr>
              <w:pStyle w:val="15"/>
              <w:widowControl w:val="0"/>
              <w:shd w:val="clear"/>
              <w:spacing w:beforeAutospacing="0" w:afterAutospacing="0"/>
              <w:jc w:val="center"/>
              <w:rPr>
                <w:rFonts w:cs="宋体"/>
                <w:b/>
                <w:kern w:val="2"/>
                <w:highlight w:val="none"/>
              </w:rPr>
            </w:pPr>
          </w:p>
        </w:tc>
      </w:tr>
      <w:tr w14:paraId="6407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75" w:type="dxa"/>
            <w:tcBorders>
              <w:top w:val="single" w:color="auto" w:sz="4" w:space="0"/>
              <w:left w:val="single" w:color="auto" w:sz="4" w:space="0"/>
              <w:bottom w:val="single" w:color="auto" w:sz="4" w:space="0"/>
              <w:right w:val="single" w:color="auto" w:sz="4" w:space="0"/>
            </w:tcBorders>
            <w:vAlign w:val="center"/>
          </w:tcPr>
          <w:p w14:paraId="3210DC12">
            <w:pPr>
              <w:pStyle w:val="15"/>
              <w:widowControl w:val="0"/>
              <w:shd w:val="clear"/>
              <w:spacing w:beforeAutospacing="0" w:afterAutospacing="0"/>
              <w:jc w:val="center"/>
              <w:rPr>
                <w:rFonts w:cs="宋体"/>
                <w:kern w:val="2"/>
                <w:highlight w:val="none"/>
              </w:rPr>
            </w:pPr>
            <w:r>
              <w:rPr>
                <w:rFonts w:cs="宋体"/>
                <w:kern w:val="2"/>
                <w:highlight w:val="none"/>
              </w:rPr>
              <w:t>结论</w:t>
            </w:r>
          </w:p>
        </w:tc>
        <w:tc>
          <w:tcPr>
            <w:tcW w:w="5236" w:type="dxa"/>
            <w:tcBorders>
              <w:top w:val="single" w:color="auto" w:sz="4" w:space="0"/>
              <w:left w:val="nil"/>
              <w:bottom w:val="single" w:color="auto" w:sz="4" w:space="0"/>
              <w:right w:val="single" w:color="auto" w:sz="4" w:space="0"/>
            </w:tcBorders>
            <w:vAlign w:val="center"/>
          </w:tcPr>
          <w:p w14:paraId="298C5AD5">
            <w:pPr>
              <w:pStyle w:val="15"/>
              <w:widowControl w:val="0"/>
              <w:shd w:val="clear"/>
              <w:spacing w:beforeAutospacing="0" w:afterAutospacing="0"/>
              <w:jc w:val="both"/>
              <w:rPr>
                <w:rFonts w:cs="宋体"/>
                <w:kern w:val="2"/>
                <w:highlight w:val="none"/>
              </w:rPr>
            </w:pPr>
            <w:r>
              <w:rPr>
                <w:rFonts w:cs="宋体"/>
                <w:kern w:val="2"/>
                <w:highlight w:val="none"/>
              </w:rPr>
              <w:t>是否通过并进入下一阶段评审</w:t>
            </w:r>
          </w:p>
        </w:tc>
        <w:tc>
          <w:tcPr>
            <w:tcW w:w="1483" w:type="dxa"/>
            <w:tcBorders>
              <w:top w:val="single" w:color="auto" w:sz="4" w:space="0"/>
              <w:left w:val="nil"/>
              <w:bottom w:val="single" w:color="auto" w:sz="4" w:space="0"/>
              <w:right w:val="single" w:color="auto" w:sz="4" w:space="0"/>
            </w:tcBorders>
          </w:tcPr>
          <w:p w14:paraId="0E943C45">
            <w:pPr>
              <w:pStyle w:val="15"/>
              <w:widowControl w:val="0"/>
              <w:shd w:val="clear"/>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13DA29A8">
            <w:pPr>
              <w:pStyle w:val="15"/>
              <w:widowControl w:val="0"/>
              <w:shd w:val="clear"/>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10146F0A">
            <w:pPr>
              <w:pStyle w:val="15"/>
              <w:widowControl w:val="0"/>
              <w:shd w:val="clear"/>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7EA588FF">
            <w:pPr>
              <w:pStyle w:val="15"/>
              <w:widowControl w:val="0"/>
              <w:shd w:val="clear"/>
              <w:spacing w:beforeAutospacing="0" w:afterAutospacing="0"/>
              <w:jc w:val="center"/>
              <w:rPr>
                <w:rFonts w:cs="宋体"/>
                <w:b/>
                <w:kern w:val="2"/>
                <w:highlight w:val="none"/>
              </w:rPr>
            </w:pPr>
          </w:p>
        </w:tc>
      </w:tr>
    </w:tbl>
    <w:p w14:paraId="6F4B99AD">
      <w:pPr>
        <w:shd w:val="clear"/>
        <w:snapToGrid w:val="0"/>
        <w:spacing w:before="156" w:beforeLines="50" w:line="360" w:lineRule="auto"/>
        <w:rPr>
          <w:rFonts w:hint="eastAsia" w:ascii="宋体" w:hAnsi="宋体" w:cs="宋体"/>
          <w:sz w:val="24"/>
          <w:szCs w:val="24"/>
          <w:highlight w:val="none"/>
        </w:rPr>
      </w:pPr>
      <w:r>
        <w:rPr>
          <w:rFonts w:hint="eastAsia" w:ascii="宋体" w:hAnsi="宋体" w:cs="宋体"/>
          <w:sz w:val="24"/>
          <w:szCs w:val="24"/>
          <w:highlight w:val="none"/>
        </w:rPr>
        <w:t>备注：1、根据本表的审查项目，填“是”或“否”。</w:t>
      </w:r>
    </w:p>
    <w:p w14:paraId="5527D085">
      <w:pPr>
        <w:shd w:val="clear"/>
        <w:snapToGrid w:val="0"/>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2、表中出现一个或以上“否”，即该投标人的评审“结论”为“否”，即该投标人不进入下一阶段评审。</w:t>
      </w:r>
    </w:p>
    <w:p w14:paraId="131A372C">
      <w:pPr>
        <w:shd w:val="clear"/>
        <w:snapToGrid w:val="0"/>
        <w:spacing w:line="360" w:lineRule="auto"/>
        <w:ind w:firstLine="720" w:firstLineChars="300"/>
        <w:jc w:val="left"/>
        <w:rPr>
          <w:rFonts w:hint="eastAsia" w:ascii="宋体" w:hAnsi="宋体" w:cs="宋体"/>
          <w:sz w:val="24"/>
          <w:szCs w:val="24"/>
          <w:highlight w:val="none"/>
        </w:rPr>
      </w:pPr>
      <w:bookmarkStart w:id="314" w:name="_Toc14354"/>
      <w:bookmarkStart w:id="315" w:name="_Toc13698"/>
      <w:bookmarkStart w:id="316" w:name="_Toc15251"/>
      <w:r>
        <w:rPr>
          <w:rFonts w:hint="eastAsia" w:ascii="宋体" w:hAnsi="宋体" w:cs="宋体"/>
          <w:sz w:val="24"/>
          <w:szCs w:val="24"/>
          <w:highlight w:val="none"/>
        </w:rPr>
        <w:t>3、表中全部评审结果为“是”，视为同意进入下一阶段评审。</w:t>
      </w:r>
      <w:bookmarkEnd w:id="314"/>
      <w:bookmarkEnd w:id="315"/>
      <w:bookmarkEnd w:id="316"/>
    </w:p>
    <w:p w14:paraId="7B6FC4AB">
      <w:pPr>
        <w:shd w:val="clear"/>
        <w:snapToGrid w:val="0"/>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4、若评委意见不一致时，则按少数服从多数的原则，决定该投标人是否通过有效性审查，进入下一阶段评审。</w:t>
      </w:r>
    </w:p>
    <w:p w14:paraId="006C55E8">
      <w:pPr>
        <w:shd w:val="clear"/>
        <w:rPr>
          <w:rFonts w:hint="eastAsia" w:ascii="宋体" w:hAnsi="宋体" w:cs="宋体"/>
          <w:szCs w:val="21"/>
          <w:highlight w:val="none"/>
        </w:rPr>
      </w:pPr>
    </w:p>
    <w:p w14:paraId="1E8BC2A6">
      <w:pPr>
        <w:shd w:val="clear"/>
        <w:snapToGrid w:val="0"/>
        <w:spacing w:line="360" w:lineRule="auto"/>
        <w:rPr>
          <w:rFonts w:hint="eastAsia" w:ascii="宋体" w:hAnsi="宋体" w:cs="宋体"/>
          <w:sz w:val="24"/>
          <w:szCs w:val="24"/>
          <w:highlight w:val="none"/>
        </w:rPr>
      </w:pPr>
      <w:r>
        <w:rPr>
          <w:rFonts w:hint="eastAsia" w:ascii="宋体" w:hAnsi="宋体" w:cs="宋体"/>
          <w:sz w:val="24"/>
          <w:szCs w:val="24"/>
          <w:highlight w:val="none"/>
        </w:rPr>
        <w:t>评委签名：                                                                           日期：  年  月   日</w:t>
      </w:r>
    </w:p>
    <w:p w14:paraId="5F436D65">
      <w:pPr>
        <w:shd w:val="clear"/>
        <w:spacing w:line="360" w:lineRule="auto"/>
        <w:rPr>
          <w:rFonts w:hint="eastAsia" w:ascii="宋体" w:hAnsi="宋体" w:cs="宋体"/>
          <w:szCs w:val="21"/>
          <w:highlight w:val="none"/>
        </w:rPr>
      </w:pPr>
    </w:p>
    <w:p w14:paraId="5FCE67BA">
      <w:pPr>
        <w:shd w:val="clear"/>
        <w:rPr>
          <w:rFonts w:hint="eastAsia" w:ascii="宋体" w:hAnsi="宋体" w:cs="宋体"/>
          <w:kern w:val="0"/>
          <w:sz w:val="20"/>
          <w:szCs w:val="20"/>
          <w:highlight w:val="none"/>
        </w:rPr>
        <w:sectPr>
          <w:pgSz w:w="16838" w:h="11906" w:orient="landscape"/>
          <w:pgMar w:top="1440" w:right="1440" w:bottom="1469" w:left="1440" w:header="851" w:footer="992" w:gutter="0"/>
          <w:cols w:space="720" w:num="1"/>
          <w:docGrid w:type="lines" w:linePitch="312" w:charSpace="0"/>
        </w:sectPr>
      </w:pPr>
    </w:p>
    <w:p w14:paraId="57C22F39">
      <w:pPr>
        <w:pStyle w:val="3"/>
        <w:shd w:val="clear"/>
        <w:jc w:val="left"/>
        <w:rPr>
          <w:rFonts w:hint="eastAsia" w:ascii="宋体" w:hAnsi="宋体" w:cs="宋体"/>
          <w:sz w:val="21"/>
          <w:szCs w:val="21"/>
          <w:highlight w:val="none"/>
        </w:rPr>
      </w:pPr>
      <w:bookmarkStart w:id="317" w:name="_Toc13878"/>
      <w:bookmarkEnd w:id="317"/>
      <w:bookmarkStart w:id="318" w:name="_Toc23671"/>
      <w:bookmarkStart w:id="319" w:name="_Toc24991"/>
      <w:bookmarkStart w:id="320" w:name="_Toc14503"/>
      <w:bookmarkStart w:id="321" w:name="_Toc21646"/>
      <w:bookmarkStart w:id="322" w:name="_Toc8373"/>
      <w:bookmarkStart w:id="323" w:name="_Toc14984"/>
      <w:bookmarkStart w:id="324" w:name="_Toc27444"/>
      <w:r>
        <w:rPr>
          <w:rFonts w:hint="eastAsia" w:ascii="宋体" w:hAnsi="宋体" w:cs="宋体"/>
          <w:sz w:val="21"/>
          <w:szCs w:val="21"/>
          <w:highlight w:val="none"/>
        </w:rPr>
        <w:t>附录12-1 投标报价算术复核表</w:t>
      </w:r>
      <w:bookmarkEnd w:id="318"/>
      <w:bookmarkEnd w:id="319"/>
      <w:bookmarkEnd w:id="320"/>
      <w:bookmarkEnd w:id="321"/>
      <w:bookmarkEnd w:id="322"/>
      <w:bookmarkEnd w:id="323"/>
      <w:bookmarkEnd w:id="324"/>
    </w:p>
    <w:p w14:paraId="1752A1D0">
      <w:pPr>
        <w:shd w:val="clear"/>
        <w:jc w:val="center"/>
        <w:rPr>
          <w:rFonts w:hint="eastAsia" w:ascii="宋体" w:hAnsi="宋体" w:cs="宋体"/>
          <w:b/>
          <w:sz w:val="32"/>
          <w:szCs w:val="32"/>
          <w:highlight w:val="none"/>
        </w:rPr>
      </w:pPr>
      <w:bookmarkStart w:id="325" w:name="_Toc114493774"/>
      <w:bookmarkEnd w:id="325"/>
      <w:r>
        <w:rPr>
          <w:rFonts w:hint="eastAsia" w:ascii="宋体" w:hAnsi="宋体" w:cs="宋体"/>
          <w:b/>
          <w:sz w:val="32"/>
          <w:szCs w:val="32"/>
          <w:highlight w:val="none"/>
        </w:rPr>
        <w:t>投标报价算术复核表</w:t>
      </w:r>
    </w:p>
    <w:p w14:paraId="2ED90DFE">
      <w:pPr>
        <w:shd w:val="clear"/>
        <w:spacing w:line="360" w:lineRule="auto"/>
        <w:rPr>
          <w:rFonts w:hint="eastAsia" w:ascii="宋体" w:hAnsi="宋体" w:cs="宋体"/>
          <w:szCs w:val="21"/>
          <w:highlight w:val="none"/>
        </w:rPr>
      </w:pPr>
      <w:r>
        <w:rPr>
          <w:rFonts w:hint="eastAsia" w:ascii="宋体" w:hAnsi="宋体" w:cs="宋体"/>
          <w:szCs w:val="21"/>
          <w:highlight w:val="none"/>
        </w:rPr>
        <w:t>项目名称：</w:t>
      </w:r>
    </w:p>
    <w:tbl>
      <w:tblPr>
        <w:tblStyle w:val="19"/>
        <w:tblW w:w="9306" w:type="dxa"/>
        <w:jc w:val="center"/>
        <w:tblLayout w:type="fixed"/>
        <w:tblCellMar>
          <w:top w:w="0" w:type="dxa"/>
          <w:left w:w="108" w:type="dxa"/>
          <w:bottom w:w="0" w:type="dxa"/>
          <w:right w:w="108" w:type="dxa"/>
        </w:tblCellMar>
      </w:tblPr>
      <w:tblGrid>
        <w:gridCol w:w="360"/>
        <w:gridCol w:w="398"/>
        <w:gridCol w:w="949"/>
        <w:gridCol w:w="949"/>
        <w:gridCol w:w="949"/>
        <w:gridCol w:w="949"/>
        <w:gridCol w:w="949"/>
        <w:gridCol w:w="949"/>
        <w:gridCol w:w="949"/>
        <w:gridCol w:w="954"/>
        <w:gridCol w:w="951"/>
      </w:tblGrid>
      <w:tr w14:paraId="0991CA82">
        <w:tblPrEx>
          <w:tblCellMar>
            <w:top w:w="0" w:type="dxa"/>
            <w:left w:w="108" w:type="dxa"/>
            <w:bottom w:w="0" w:type="dxa"/>
            <w:right w:w="108" w:type="dxa"/>
          </w:tblCellMar>
        </w:tblPrEx>
        <w:trPr>
          <w:trHeight w:val="665" w:hRule="atLeast"/>
          <w:jc w:val="center"/>
        </w:trPr>
        <w:tc>
          <w:tcPr>
            <w:tcW w:w="360" w:type="dxa"/>
            <w:vMerge w:val="restart"/>
            <w:tcBorders>
              <w:top w:val="single" w:color="auto" w:sz="4" w:space="0"/>
              <w:left w:val="single" w:color="auto" w:sz="4" w:space="0"/>
              <w:bottom w:val="nil"/>
              <w:right w:val="single" w:color="auto" w:sz="4" w:space="0"/>
            </w:tcBorders>
            <w:vAlign w:val="center"/>
          </w:tcPr>
          <w:p w14:paraId="1B72FB01">
            <w:pPr>
              <w:shd w:val="clear"/>
              <w:spacing w:line="360" w:lineRule="auto"/>
              <w:jc w:val="left"/>
              <w:rPr>
                <w:rFonts w:hint="eastAsia" w:ascii="宋体" w:hAnsi="宋体" w:cs="宋体"/>
                <w:szCs w:val="21"/>
                <w:highlight w:val="none"/>
              </w:rPr>
            </w:pPr>
            <w:r>
              <w:rPr>
                <w:rFonts w:hint="eastAsia" w:ascii="宋体" w:hAnsi="宋体" w:cs="宋体"/>
                <w:szCs w:val="21"/>
                <w:highlight w:val="none"/>
              </w:rPr>
              <w:t>序号</w:t>
            </w:r>
          </w:p>
        </w:tc>
        <w:tc>
          <w:tcPr>
            <w:tcW w:w="398" w:type="dxa"/>
            <w:vMerge w:val="restart"/>
            <w:tcBorders>
              <w:top w:val="single" w:color="auto" w:sz="4" w:space="0"/>
              <w:left w:val="nil"/>
              <w:bottom w:val="nil"/>
              <w:right w:val="single" w:color="auto" w:sz="4" w:space="0"/>
            </w:tcBorders>
            <w:vAlign w:val="center"/>
          </w:tcPr>
          <w:p w14:paraId="2C360F13">
            <w:pPr>
              <w:shd w:val="clear"/>
              <w:spacing w:line="360" w:lineRule="auto"/>
              <w:jc w:val="left"/>
              <w:rPr>
                <w:rFonts w:hint="eastAsia" w:ascii="宋体" w:hAnsi="宋体" w:cs="宋体"/>
                <w:szCs w:val="21"/>
                <w:highlight w:val="none"/>
              </w:rPr>
            </w:pPr>
            <w:r>
              <w:rPr>
                <w:rFonts w:hint="eastAsia" w:ascii="宋体" w:hAnsi="宋体" w:cs="宋体"/>
                <w:szCs w:val="21"/>
                <w:highlight w:val="none"/>
              </w:rPr>
              <w:t>方案编号</w:t>
            </w:r>
          </w:p>
        </w:tc>
        <w:tc>
          <w:tcPr>
            <w:tcW w:w="3796" w:type="dxa"/>
            <w:gridSpan w:val="4"/>
            <w:tcBorders>
              <w:top w:val="single" w:color="auto" w:sz="4" w:space="0"/>
              <w:left w:val="nil"/>
              <w:bottom w:val="single" w:color="auto" w:sz="4" w:space="0"/>
              <w:right w:val="single" w:color="auto" w:sz="4" w:space="0"/>
            </w:tcBorders>
            <w:vAlign w:val="center"/>
          </w:tcPr>
          <w:p w14:paraId="071F7690">
            <w:pPr>
              <w:shd w:val="clear"/>
              <w:spacing w:line="360" w:lineRule="auto"/>
              <w:jc w:val="center"/>
              <w:rPr>
                <w:rFonts w:hint="eastAsia" w:ascii="宋体" w:hAnsi="宋体" w:cs="宋体"/>
                <w:szCs w:val="21"/>
                <w:highlight w:val="none"/>
              </w:rPr>
            </w:pPr>
            <w:r>
              <w:rPr>
                <w:rFonts w:hint="eastAsia" w:ascii="宋体" w:hAnsi="宋体" w:cs="宋体"/>
                <w:szCs w:val="21"/>
                <w:highlight w:val="none"/>
              </w:rPr>
              <w:t>投标人报价（元）</w:t>
            </w:r>
          </w:p>
        </w:tc>
        <w:tc>
          <w:tcPr>
            <w:tcW w:w="3801" w:type="dxa"/>
            <w:gridSpan w:val="4"/>
            <w:tcBorders>
              <w:top w:val="single" w:color="auto" w:sz="4" w:space="0"/>
              <w:left w:val="nil"/>
              <w:bottom w:val="single" w:color="auto" w:sz="4" w:space="0"/>
              <w:right w:val="single" w:color="auto" w:sz="4" w:space="0"/>
            </w:tcBorders>
            <w:vAlign w:val="center"/>
          </w:tcPr>
          <w:p w14:paraId="2A017062">
            <w:pPr>
              <w:shd w:val="clear"/>
              <w:spacing w:line="360" w:lineRule="auto"/>
              <w:jc w:val="center"/>
              <w:rPr>
                <w:rFonts w:hint="eastAsia" w:ascii="宋体" w:hAnsi="宋体" w:cs="宋体"/>
                <w:szCs w:val="21"/>
                <w:highlight w:val="none"/>
              </w:rPr>
            </w:pPr>
            <w:r>
              <w:rPr>
                <w:rFonts w:hint="eastAsia" w:ascii="宋体" w:hAnsi="宋体" w:cs="宋体"/>
                <w:szCs w:val="21"/>
                <w:highlight w:val="none"/>
              </w:rPr>
              <w:t>算术复核后报价（元）</w:t>
            </w:r>
          </w:p>
        </w:tc>
        <w:tc>
          <w:tcPr>
            <w:tcW w:w="951" w:type="dxa"/>
            <w:tcBorders>
              <w:top w:val="single" w:color="auto" w:sz="4" w:space="0"/>
              <w:left w:val="nil"/>
              <w:bottom w:val="single" w:color="auto" w:sz="4" w:space="0"/>
              <w:right w:val="single" w:color="auto" w:sz="4" w:space="0"/>
            </w:tcBorders>
            <w:vAlign w:val="center"/>
          </w:tcPr>
          <w:p w14:paraId="3BCC955B">
            <w:pPr>
              <w:shd w:val="clear"/>
              <w:spacing w:line="360" w:lineRule="auto"/>
              <w:jc w:val="center"/>
              <w:rPr>
                <w:rFonts w:hint="eastAsia" w:ascii="宋体" w:hAnsi="宋体" w:cs="宋体"/>
                <w:szCs w:val="21"/>
                <w:highlight w:val="none"/>
              </w:rPr>
            </w:pPr>
            <w:r>
              <w:rPr>
                <w:rFonts w:hint="eastAsia" w:ascii="宋体" w:hAnsi="宋体" w:cs="宋体"/>
                <w:szCs w:val="21"/>
                <w:highlight w:val="none"/>
              </w:rPr>
              <w:t>备注</w:t>
            </w:r>
          </w:p>
        </w:tc>
      </w:tr>
      <w:tr w14:paraId="606CA62D">
        <w:tblPrEx>
          <w:tblCellMar>
            <w:top w:w="0" w:type="dxa"/>
            <w:left w:w="108" w:type="dxa"/>
            <w:bottom w:w="0" w:type="dxa"/>
            <w:right w:w="108" w:type="dxa"/>
          </w:tblCellMar>
        </w:tblPrEx>
        <w:trPr>
          <w:trHeight w:val="3992" w:hRule="atLeast"/>
          <w:jc w:val="center"/>
        </w:trPr>
        <w:tc>
          <w:tcPr>
            <w:tcW w:w="360" w:type="dxa"/>
            <w:vMerge w:val="continue"/>
            <w:tcBorders>
              <w:top w:val="single" w:color="auto" w:sz="4" w:space="0"/>
              <w:left w:val="single" w:color="auto" w:sz="4" w:space="0"/>
              <w:bottom w:val="nil"/>
              <w:right w:val="single" w:color="auto" w:sz="4" w:space="0"/>
            </w:tcBorders>
            <w:vAlign w:val="center"/>
          </w:tcPr>
          <w:p w14:paraId="0C28DC36">
            <w:pPr>
              <w:shd w:val="clear"/>
              <w:rPr>
                <w:rFonts w:hint="eastAsia" w:ascii="宋体" w:hAnsi="宋体" w:cs="宋体"/>
                <w:sz w:val="20"/>
                <w:szCs w:val="20"/>
                <w:highlight w:val="none"/>
              </w:rPr>
            </w:pPr>
          </w:p>
        </w:tc>
        <w:tc>
          <w:tcPr>
            <w:tcW w:w="398" w:type="dxa"/>
            <w:vMerge w:val="continue"/>
            <w:tcBorders>
              <w:top w:val="single" w:color="auto" w:sz="4" w:space="0"/>
              <w:left w:val="nil"/>
              <w:bottom w:val="nil"/>
              <w:right w:val="single" w:color="auto" w:sz="4" w:space="0"/>
            </w:tcBorders>
            <w:vAlign w:val="center"/>
          </w:tcPr>
          <w:p w14:paraId="05F8C240">
            <w:pPr>
              <w:shd w:val="clear"/>
              <w:rPr>
                <w:rFonts w:hint="eastAsia" w:ascii="宋体" w:hAnsi="宋体" w:cs="宋体"/>
                <w:sz w:val="20"/>
                <w:szCs w:val="20"/>
                <w:highlight w:val="none"/>
              </w:rPr>
            </w:pPr>
          </w:p>
        </w:tc>
        <w:tc>
          <w:tcPr>
            <w:tcW w:w="949" w:type="dxa"/>
            <w:tcBorders>
              <w:top w:val="single" w:color="auto" w:sz="4" w:space="0"/>
              <w:left w:val="nil"/>
              <w:bottom w:val="single" w:color="auto" w:sz="4" w:space="0"/>
              <w:right w:val="single" w:color="auto" w:sz="4" w:space="0"/>
            </w:tcBorders>
            <w:vAlign w:val="center"/>
          </w:tcPr>
          <w:p w14:paraId="7C56CC2A">
            <w:pPr>
              <w:widowControl/>
              <w:shd w:val="clear"/>
              <w:spacing w:line="360" w:lineRule="auto"/>
              <w:jc w:val="center"/>
              <w:rPr>
                <w:rFonts w:hint="eastAsia" w:ascii="宋体" w:hAnsi="宋体" w:cs="宋体"/>
                <w:szCs w:val="21"/>
                <w:highlight w:val="none"/>
              </w:rPr>
            </w:pPr>
            <w:r>
              <w:rPr>
                <w:rFonts w:hint="eastAsia" w:ascii="宋体" w:hAnsi="宋体" w:cs="宋体"/>
                <w:szCs w:val="21"/>
                <w:highlight w:val="none"/>
              </w:rPr>
              <w:t>建筑信息模型（BIM）技术应用费投标报价</w:t>
            </w:r>
          </w:p>
        </w:tc>
        <w:tc>
          <w:tcPr>
            <w:tcW w:w="949" w:type="dxa"/>
            <w:tcBorders>
              <w:top w:val="single" w:color="auto" w:sz="4" w:space="0"/>
              <w:left w:val="nil"/>
              <w:bottom w:val="single" w:color="auto" w:sz="4" w:space="0"/>
              <w:right w:val="single" w:color="auto" w:sz="4" w:space="0"/>
            </w:tcBorders>
            <w:vAlign w:val="center"/>
          </w:tcPr>
          <w:p w14:paraId="089EAF07">
            <w:pPr>
              <w:widowControl/>
              <w:shd w:val="clear"/>
              <w:spacing w:line="360" w:lineRule="auto"/>
              <w:jc w:val="center"/>
              <w:rPr>
                <w:rFonts w:hint="eastAsia" w:ascii="宋体" w:hAnsi="宋体" w:cs="宋体"/>
                <w:szCs w:val="21"/>
                <w:highlight w:val="none"/>
              </w:rPr>
            </w:pPr>
            <w:r>
              <w:rPr>
                <w:rFonts w:hint="eastAsia" w:ascii="宋体" w:hAnsi="宋体" w:cs="宋体"/>
                <w:szCs w:val="21"/>
                <w:highlight w:val="none"/>
              </w:rPr>
              <w:t>勘察费投标报价</w:t>
            </w:r>
          </w:p>
        </w:tc>
        <w:tc>
          <w:tcPr>
            <w:tcW w:w="949" w:type="dxa"/>
            <w:tcBorders>
              <w:top w:val="single" w:color="auto" w:sz="4" w:space="0"/>
              <w:left w:val="nil"/>
              <w:bottom w:val="single" w:color="auto" w:sz="4" w:space="0"/>
              <w:right w:val="single" w:color="auto" w:sz="4" w:space="0"/>
            </w:tcBorders>
            <w:vAlign w:val="center"/>
          </w:tcPr>
          <w:p w14:paraId="7DDF7917">
            <w:pPr>
              <w:widowControl/>
              <w:shd w:val="clear"/>
              <w:spacing w:line="360" w:lineRule="auto"/>
              <w:jc w:val="center"/>
              <w:rPr>
                <w:rFonts w:hint="eastAsia" w:ascii="宋体" w:hAnsi="宋体" w:cs="宋体"/>
                <w:szCs w:val="21"/>
                <w:highlight w:val="none"/>
              </w:rPr>
            </w:pPr>
            <w:r>
              <w:rPr>
                <w:rFonts w:hint="eastAsia" w:ascii="宋体" w:hAnsi="宋体" w:cs="宋体"/>
                <w:szCs w:val="21"/>
                <w:highlight w:val="none"/>
              </w:rPr>
              <w:t>初步设计费投标报价</w:t>
            </w:r>
          </w:p>
        </w:tc>
        <w:tc>
          <w:tcPr>
            <w:tcW w:w="949" w:type="dxa"/>
            <w:tcBorders>
              <w:top w:val="single" w:color="auto" w:sz="4" w:space="0"/>
              <w:left w:val="nil"/>
              <w:bottom w:val="single" w:color="auto" w:sz="4" w:space="0"/>
              <w:right w:val="single" w:color="auto" w:sz="4" w:space="0"/>
            </w:tcBorders>
            <w:vAlign w:val="center"/>
          </w:tcPr>
          <w:p w14:paraId="5CE3413D">
            <w:pPr>
              <w:widowControl/>
              <w:shd w:val="clear"/>
              <w:spacing w:line="360" w:lineRule="auto"/>
              <w:jc w:val="center"/>
              <w:rPr>
                <w:rFonts w:hint="eastAsia" w:ascii="宋体" w:hAnsi="宋体" w:cs="宋体"/>
                <w:szCs w:val="21"/>
                <w:highlight w:val="none"/>
              </w:rPr>
            </w:pPr>
            <w:r>
              <w:rPr>
                <w:rFonts w:hint="eastAsia" w:ascii="宋体" w:hAnsi="宋体" w:cs="宋体"/>
                <w:szCs w:val="21"/>
                <w:highlight w:val="none"/>
              </w:rPr>
              <w:t>勘察初步设计费投标总报价</w:t>
            </w:r>
          </w:p>
        </w:tc>
        <w:tc>
          <w:tcPr>
            <w:tcW w:w="949" w:type="dxa"/>
            <w:tcBorders>
              <w:top w:val="single" w:color="auto" w:sz="4" w:space="0"/>
              <w:left w:val="nil"/>
              <w:bottom w:val="single" w:color="auto" w:sz="4" w:space="0"/>
              <w:right w:val="single" w:color="auto" w:sz="4" w:space="0"/>
            </w:tcBorders>
            <w:vAlign w:val="center"/>
          </w:tcPr>
          <w:p w14:paraId="23C4D0EE">
            <w:pPr>
              <w:widowControl/>
              <w:shd w:val="clear"/>
              <w:spacing w:line="360" w:lineRule="auto"/>
              <w:jc w:val="center"/>
              <w:rPr>
                <w:rFonts w:hint="eastAsia" w:ascii="宋体" w:hAnsi="宋体" w:cs="宋体"/>
                <w:szCs w:val="21"/>
                <w:highlight w:val="none"/>
              </w:rPr>
            </w:pPr>
            <w:r>
              <w:rPr>
                <w:rFonts w:hint="eastAsia" w:ascii="宋体" w:hAnsi="宋体" w:cs="宋体"/>
                <w:szCs w:val="21"/>
                <w:highlight w:val="none"/>
              </w:rPr>
              <w:t>建筑信息模型（BIM）技术应用费投标报价</w:t>
            </w:r>
          </w:p>
        </w:tc>
        <w:tc>
          <w:tcPr>
            <w:tcW w:w="949" w:type="dxa"/>
            <w:tcBorders>
              <w:top w:val="single" w:color="auto" w:sz="4" w:space="0"/>
              <w:left w:val="nil"/>
              <w:bottom w:val="single" w:color="auto" w:sz="4" w:space="0"/>
              <w:right w:val="single" w:color="auto" w:sz="4" w:space="0"/>
            </w:tcBorders>
            <w:vAlign w:val="center"/>
          </w:tcPr>
          <w:p w14:paraId="7C4EAB8F">
            <w:pPr>
              <w:widowControl/>
              <w:shd w:val="clear"/>
              <w:spacing w:line="360" w:lineRule="auto"/>
              <w:jc w:val="center"/>
              <w:rPr>
                <w:rFonts w:hint="eastAsia" w:ascii="宋体" w:hAnsi="宋体" w:cs="宋体"/>
                <w:szCs w:val="21"/>
                <w:highlight w:val="none"/>
              </w:rPr>
            </w:pPr>
            <w:r>
              <w:rPr>
                <w:rFonts w:hint="eastAsia" w:ascii="宋体" w:hAnsi="宋体" w:cs="宋体"/>
                <w:szCs w:val="21"/>
                <w:highlight w:val="none"/>
              </w:rPr>
              <w:t>勘察费投标报价</w:t>
            </w:r>
          </w:p>
        </w:tc>
        <w:tc>
          <w:tcPr>
            <w:tcW w:w="949" w:type="dxa"/>
            <w:tcBorders>
              <w:top w:val="single" w:color="auto" w:sz="4" w:space="0"/>
              <w:left w:val="nil"/>
              <w:bottom w:val="single" w:color="auto" w:sz="4" w:space="0"/>
              <w:right w:val="single" w:color="auto" w:sz="4" w:space="0"/>
            </w:tcBorders>
            <w:vAlign w:val="center"/>
          </w:tcPr>
          <w:p w14:paraId="208CE8AE">
            <w:pPr>
              <w:widowControl/>
              <w:shd w:val="clear"/>
              <w:spacing w:line="360" w:lineRule="auto"/>
              <w:jc w:val="center"/>
              <w:rPr>
                <w:rFonts w:hint="eastAsia" w:ascii="宋体" w:hAnsi="宋体" w:cs="宋体"/>
                <w:szCs w:val="21"/>
                <w:highlight w:val="none"/>
              </w:rPr>
            </w:pPr>
            <w:r>
              <w:rPr>
                <w:rFonts w:hint="eastAsia" w:ascii="宋体" w:hAnsi="宋体" w:cs="宋体"/>
                <w:szCs w:val="21"/>
                <w:highlight w:val="none"/>
              </w:rPr>
              <w:t>初步设计费投标报价</w:t>
            </w:r>
          </w:p>
        </w:tc>
        <w:tc>
          <w:tcPr>
            <w:tcW w:w="954" w:type="dxa"/>
            <w:tcBorders>
              <w:top w:val="single" w:color="auto" w:sz="4" w:space="0"/>
              <w:left w:val="nil"/>
              <w:bottom w:val="single" w:color="auto" w:sz="4" w:space="0"/>
              <w:right w:val="single" w:color="auto" w:sz="4" w:space="0"/>
            </w:tcBorders>
            <w:vAlign w:val="center"/>
          </w:tcPr>
          <w:p w14:paraId="7FCF6D17">
            <w:pPr>
              <w:widowControl/>
              <w:shd w:val="clear"/>
              <w:spacing w:line="360" w:lineRule="auto"/>
              <w:jc w:val="center"/>
              <w:rPr>
                <w:rFonts w:hint="eastAsia" w:ascii="宋体" w:hAnsi="宋体" w:cs="宋体"/>
                <w:szCs w:val="21"/>
                <w:highlight w:val="none"/>
              </w:rPr>
            </w:pPr>
            <w:r>
              <w:rPr>
                <w:rFonts w:hint="eastAsia" w:ascii="宋体" w:hAnsi="宋体" w:cs="宋体"/>
                <w:szCs w:val="21"/>
                <w:highlight w:val="none"/>
              </w:rPr>
              <w:t>勘察初步设计费投标总报价</w:t>
            </w:r>
          </w:p>
        </w:tc>
        <w:tc>
          <w:tcPr>
            <w:tcW w:w="951" w:type="dxa"/>
            <w:tcBorders>
              <w:top w:val="single" w:color="auto" w:sz="4" w:space="0"/>
              <w:left w:val="nil"/>
              <w:bottom w:val="single" w:color="auto" w:sz="4" w:space="0"/>
              <w:right w:val="single" w:color="auto" w:sz="4" w:space="0"/>
            </w:tcBorders>
          </w:tcPr>
          <w:p w14:paraId="54C693C3">
            <w:pPr>
              <w:shd w:val="clear"/>
              <w:spacing w:line="360" w:lineRule="auto"/>
              <w:jc w:val="center"/>
              <w:rPr>
                <w:rFonts w:hint="eastAsia" w:ascii="宋体" w:hAnsi="宋体" w:cs="宋体"/>
                <w:szCs w:val="21"/>
                <w:highlight w:val="none"/>
              </w:rPr>
            </w:pPr>
          </w:p>
        </w:tc>
      </w:tr>
      <w:tr w14:paraId="75BC84D9">
        <w:tblPrEx>
          <w:tblCellMar>
            <w:top w:w="0" w:type="dxa"/>
            <w:left w:w="108" w:type="dxa"/>
            <w:bottom w:w="0" w:type="dxa"/>
            <w:right w:w="108" w:type="dxa"/>
          </w:tblCellMar>
        </w:tblPrEx>
        <w:trPr>
          <w:trHeight w:val="901" w:hRule="atLeast"/>
          <w:jc w:val="center"/>
        </w:trPr>
        <w:tc>
          <w:tcPr>
            <w:tcW w:w="360" w:type="dxa"/>
            <w:tcBorders>
              <w:top w:val="single" w:color="auto" w:sz="4" w:space="0"/>
              <w:left w:val="single" w:color="auto" w:sz="4" w:space="0"/>
              <w:bottom w:val="single" w:color="auto" w:sz="4" w:space="0"/>
              <w:right w:val="single" w:color="auto" w:sz="4" w:space="0"/>
            </w:tcBorders>
            <w:vAlign w:val="center"/>
          </w:tcPr>
          <w:p w14:paraId="2BE7B17E">
            <w:pPr>
              <w:shd w:val="clear"/>
              <w:spacing w:line="360" w:lineRule="auto"/>
              <w:rPr>
                <w:rFonts w:hint="eastAsia" w:ascii="宋体" w:hAnsi="宋体" w:cs="宋体"/>
                <w:szCs w:val="21"/>
                <w:highlight w:val="none"/>
              </w:rPr>
            </w:pPr>
          </w:p>
        </w:tc>
        <w:tc>
          <w:tcPr>
            <w:tcW w:w="398" w:type="dxa"/>
            <w:tcBorders>
              <w:top w:val="single" w:color="auto" w:sz="4" w:space="0"/>
              <w:left w:val="nil"/>
              <w:bottom w:val="single" w:color="auto" w:sz="4" w:space="0"/>
              <w:right w:val="single" w:color="auto" w:sz="4" w:space="0"/>
            </w:tcBorders>
          </w:tcPr>
          <w:p w14:paraId="4C186277">
            <w:pPr>
              <w:shd w:val="clea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vAlign w:val="center"/>
          </w:tcPr>
          <w:p w14:paraId="45A12E75">
            <w:pPr>
              <w:shd w:val="clea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2493EF9B">
            <w:pPr>
              <w:shd w:val="clea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717198F8">
            <w:pPr>
              <w:shd w:val="clea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7B590107">
            <w:pPr>
              <w:shd w:val="clea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523BF1CB">
            <w:pPr>
              <w:shd w:val="clea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31F6CEB8">
            <w:pPr>
              <w:shd w:val="clea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475185DA">
            <w:pPr>
              <w:shd w:val="clear"/>
              <w:spacing w:line="360" w:lineRule="auto"/>
              <w:rPr>
                <w:rFonts w:hint="eastAsia" w:ascii="宋体" w:hAnsi="宋体" w:cs="宋体"/>
                <w:szCs w:val="21"/>
                <w:highlight w:val="none"/>
              </w:rPr>
            </w:pPr>
          </w:p>
        </w:tc>
        <w:tc>
          <w:tcPr>
            <w:tcW w:w="954" w:type="dxa"/>
            <w:tcBorders>
              <w:top w:val="single" w:color="auto" w:sz="4" w:space="0"/>
              <w:left w:val="nil"/>
              <w:bottom w:val="single" w:color="auto" w:sz="4" w:space="0"/>
              <w:right w:val="single" w:color="auto" w:sz="4" w:space="0"/>
            </w:tcBorders>
          </w:tcPr>
          <w:p w14:paraId="768C9685">
            <w:pPr>
              <w:shd w:val="clear"/>
              <w:spacing w:line="360" w:lineRule="auto"/>
              <w:rPr>
                <w:rFonts w:hint="eastAsia" w:ascii="宋体" w:hAnsi="宋体" w:cs="宋体"/>
                <w:szCs w:val="21"/>
                <w:highlight w:val="none"/>
              </w:rPr>
            </w:pPr>
          </w:p>
        </w:tc>
        <w:tc>
          <w:tcPr>
            <w:tcW w:w="951" w:type="dxa"/>
            <w:tcBorders>
              <w:top w:val="single" w:color="auto" w:sz="4" w:space="0"/>
              <w:left w:val="nil"/>
              <w:bottom w:val="single" w:color="auto" w:sz="4" w:space="0"/>
              <w:right w:val="single" w:color="auto" w:sz="4" w:space="0"/>
            </w:tcBorders>
          </w:tcPr>
          <w:p w14:paraId="200706EA">
            <w:pPr>
              <w:shd w:val="clear"/>
              <w:spacing w:line="360" w:lineRule="auto"/>
              <w:rPr>
                <w:rFonts w:hint="eastAsia" w:ascii="宋体" w:hAnsi="宋体" w:cs="宋体"/>
                <w:szCs w:val="21"/>
                <w:highlight w:val="none"/>
              </w:rPr>
            </w:pPr>
          </w:p>
        </w:tc>
      </w:tr>
      <w:tr w14:paraId="76AB40AA">
        <w:tblPrEx>
          <w:tblCellMar>
            <w:top w:w="0" w:type="dxa"/>
            <w:left w:w="108" w:type="dxa"/>
            <w:bottom w:w="0" w:type="dxa"/>
            <w:right w:w="108" w:type="dxa"/>
          </w:tblCellMar>
        </w:tblPrEx>
        <w:trPr>
          <w:trHeight w:val="901" w:hRule="atLeast"/>
          <w:jc w:val="center"/>
        </w:trPr>
        <w:tc>
          <w:tcPr>
            <w:tcW w:w="360" w:type="dxa"/>
            <w:tcBorders>
              <w:top w:val="single" w:color="auto" w:sz="4" w:space="0"/>
              <w:left w:val="single" w:color="auto" w:sz="4" w:space="0"/>
              <w:bottom w:val="single" w:color="auto" w:sz="4" w:space="0"/>
              <w:right w:val="single" w:color="auto" w:sz="4" w:space="0"/>
            </w:tcBorders>
            <w:vAlign w:val="center"/>
          </w:tcPr>
          <w:p w14:paraId="76EEE64A">
            <w:pPr>
              <w:shd w:val="clear"/>
              <w:spacing w:line="360" w:lineRule="auto"/>
              <w:rPr>
                <w:rFonts w:hint="eastAsia" w:ascii="宋体" w:hAnsi="宋体" w:cs="宋体"/>
                <w:szCs w:val="21"/>
                <w:highlight w:val="none"/>
              </w:rPr>
            </w:pPr>
          </w:p>
        </w:tc>
        <w:tc>
          <w:tcPr>
            <w:tcW w:w="398" w:type="dxa"/>
            <w:tcBorders>
              <w:top w:val="single" w:color="auto" w:sz="4" w:space="0"/>
              <w:left w:val="nil"/>
              <w:bottom w:val="single" w:color="auto" w:sz="4" w:space="0"/>
              <w:right w:val="single" w:color="auto" w:sz="4" w:space="0"/>
            </w:tcBorders>
          </w:tcPr>
          <w:p w14:paraId="2723DD27">
            <w:pPr>
              <w:shd w:val="clea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vAlign w:val="center"/>
          </w:tcPr>
          <w:p w14:paraId="67AA2CA5">
            <w:pPr>
              <w:shd w:val="clea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5935A42D">
            <w:pPr>
              <w:shd w:val="clea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3C74620D">
            <w:pPr>
              <w:shd w:val="clea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78F57B2A">
            <w:pPr>
              <w:shd w:val="clea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752E654A">
            <w:pPr>
              <w:shd w:val="clea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2CF94B29">
            <w:pPr>
              <w:shd w:val="clea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168BA3E0">
            <w:pPr>
              <w:shd w:val="clear"/>
              <w:spacing w:line="360" w:lineRule="auto"/>
              <w:rPr>
                <w:rFonts w:hint="eastAsia" w:ascii="宋体" w:hAnsi="宋体" w:cs="宋体"/>
                <w:szCs w:val="21"/>
                <w:highlight w:val="none"/>
              </w:rPr>
            </w:pPr>
          </w:p>
        </w:tc>
        <w:tc>
          <w:tcPr>
            <w:tcW w:w="954" w:type="dxa"/>
            <w:tcBorders>
              <w:top w:val="single" w:color="auto" w:sz="4" w:space="0"/>
              <w:left w:val="nil"/>
              <w:bottom w:val="single" w:color="auto" w:sz="4" w:space="0"/>
              <w:right w:val="single" w:color="auto" w:sz="4" w:space="0"/>
            </w:tcBorders>
          </w:tcPr>
          <w:p w14:paraId="46E80A2A">
            <w:pPr>
              <w:shd w:val="clear"/>
              <w:spacing w:line="360" w:lineRule="auto"/>
              <w:rPr>
                <w:rFonts w:hint="eastAsia" w:ascii="宋体" w:hAnsi="宋体" w:cs="宋体"/>
                <w:szCs w:val="21"/>
                <w:highlight w:val="none"/>
              </w:rPr>
            </w:pPr>
          </w:p>
        </w:tc>
        <w:tc>
          <w:tcPr>
            <w:tcW w:w="951" w:type="dxa"/>
            <w:tcBorders>
              <w:top w:val="single" w:color="auto" w:sz="4" w:space="0"/>
              <w:left w:val="nil"/>
              <w:bottom w:val="single" w:color="auto" w:sz="4" w:space="0"/>
              <w:right w:val="single" w:color="auto" w:sz="4" w:space="0"/>
            </w:tcBorders>
          </w:tcPr>
          <w:p w14:paraId="0FA6BD63">
            <w:pPr>
              <w:shd w:val="clear"/>
              <w:spacing w:line="360" w:lineRule="auto"/>
              <w:rPr>
                <w:rFonts w:hint="eastAsia" w:ascii="宋体" w:hAnsi="宋体" w:cs="宋体"/>
                <w:szCs w:val="21"/>
                <w:highlight w:val="none"/>
              </w:rPr>
            </w:pPr>
          </w:p>
        </w:tc>
      </w:tr>
      <w:tr w14:paraId="74D68CF8">
        <w:tblPrEx>
          <w:tblCellMar>
            <w:top w:w="0" w:type="dxa"/>
            <w:left w:w="108" w:type="dxa"/>
            <w:bottom w:w="0" w:type="dxa"/>
            <w:right w:w="108" w:type="dxa"/>
          </w:tblCellMar>
        </w:tblPrEx>
        <w:trPr>
          <w:trHeight w:val="901" w:hRule="atLeast"/>
          <w:jc w:val="center"/>
        </w:trPr>
        <w:tc>
          <w:tcPr>
            <w:tcW w:w="360" w:type="dxa"/>
            <w:tcBorders>
              <w:top w:val="single" w:color="auto" w:sz="4" w:space="0"/>
              <w:left w:val="single" w:color="auto" w:sz="4" w:space="0"/>
              <w:bottom w:val="single" w:color="auto" w:sz="4" w:space="0"/>
              <w:right w:val="single" w:color="auto" w:sz="4" w:space="0"/>
            </w:tcBorders>
            <w:vAlign w:val="center"/>
          </w:tcPr>
          <w:p w14:paraId="5C00D8E8">
            <w:pPr>
              <w:shd w:val="clear"/>
              <w:spacing w:line="360" w:lineRule="auto"/>
              <w:rPr>
                <w:rFonts w:hint="eastAsia" w:ascii="宋体" w:hAnsi="宋体" w:cs="宋体"/>
                <w:szCs w:val="21"/>
                <w:highlight w:val="none"/>
              </w:rPr>
            </w:pPr>
          </w:p>
        </w:tc>
        <w:tc>
          <w:tcPr>
            <w:tcW w:w="398" w:type="dxa"/>
            <w:tcBorders>
              <w:top w:val="single" w:color="auto" w:sz="4" w:space="0"/>
              <w:left w:val="nil"/>
              <w:bottom w:val="single" w:color="auto" w:sz="4" w:space="0"/>
              <w:right w:val="single" w:color="auto" w:sz="4" w:space="0"/>
            </w:tcBorders>
          </w:tcPr>
          <w:p w14:paraId="15322B90">
            <w:pPr>
              <w:shd w:val="clea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vAlign w:val="center"/>
          </w:tcPr>
          <w:p w14:paraId="1247CE57">
            <w:pPr>
              <w:shd w:val="clea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07F98300">
            <w:pPr>
              <w:shd w:val="clea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2E044316">
            <w:pPr>
              <w:shd w:val="clea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597DE73C">
            <w:pPr>
              <w:shd w:val="clea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74FD5A63">
            <w:pPr>
              <w:shd w:val="clea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4B0272D6">
            <w:pPr>
              <w:shd w:val="clea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0F02A219">
            <w:pPr>
              <w:shd w:val="clear"/>
              <w:spacing w:line="360" w:lineRule="auto"/>
              <w:rPr>
                <w:rFonts w:hint="eastAsia" w:ascii="宋体" w:hAnsi="宋体" w:cs="宋体"/>
                <w:szCs w:val="21"/>
                <w:highlight w:val="none"/>
              </w:rPr>
            </w:pPr>
          </w:p>
        </w:tc>
        <w:tc>
          <w:tcPr>
            <w:tcW w:w="954" w:type="dxa"/>
            <w:tcBorders>
              <w:top w:val="single" w:color="auto" w:sz="4" w:space="0"/>
              <w:left w:val="nil"/>
              <w:bottom w:val="single" w:color="auto" w:sz="4" w:space="0"/>
              <w:right w:val="single" w:color="auto" w:sz="4" w:space="0"/>
            </w:tcBorders>
          </w:tcPr>
          <w:p w14:paraId="3EC03AB4">
            <w:pPr>
              <w:shd w:val="clear"/>
              <w:spacing w:line="360" w:lineRule="auto"/>
              <w:rPr>
                <w:rFonts w:hint="eastAsia" w:ascii="宋体" w:hAnsi="宋体" w:cs="宋体"/>
                <w:szCs w:val="21"/>
                <w:highlight w:val="none"/>
              </w:rPr>
            </w:pPr>
          </w:p>
        </w:tc>
        <w:tc>
          <w:tcPr>
            <w:tcW w:w="951" w:type="dxa"/>
            <w:tcBorders>
              <w:top w:val="single" w:color="auto" w:sz="4" w:space="0"/>
              <w:left w:val="nil"/>
              <w:bottom w:val="single" w:color="auto" w:sz="4" w:space="0"/>
              <w:right w:val="single" w:color="auto" w:sz="4" w:space="0"/>
            </w:tcBorders>
          </w:tcPr>
          <w:p w14:paraId="6A697DCF">
            <w:pPr>
              <w:shd w:val="clear"/>
              <w:spacing w:line="360" w:lineRule="auto"/>
              <w:rPr>
                <w:rFonts w:hint="eastAsia" w:ascii="宋体" w:hAnsi="宋体" w:cs="宋体"/>
                <w:szCs w:val="21"/>
                <w:highlight w:val="none"/>
              </w:rPr>
            </w:pPr>
          </w:p>
        </w:tc>
      </w:tr>
      <w:tr w14:paraId="019F33F2">
        <w:tblPrEx>
          <w:tblCellMar>
            <w:top w:w="0" w:type="dxa"/>
            <w:left w:w="108" w:type="dxa"/>
            <w:bottom w:w="0" w:type="dxa"/>
            <w:right w:w="108" w:type="dxa"/>
          </w:tblCellMar>
        </w:tblPrEx>
        <w:trPr>
          <w:trHeight w:val="901" w:hRule="atLeast"/>
          <w:jc w:val="center"/>
        </w:trPr>
        <w:tc>
          <w:tcPr>
            <w:tcW w:w="360" w:type="dxa"/>
            <w:tcBorders>
              <w:top w:val="single" w:color="auto" w:sz="4" w:space="0"/>
              <w:left w:val="single" w:color="auto" w:sz="4" w:space="0"/>
              <w:bottom w:val="single" w:color="auto" w:sz="4" w:space="0"/>
              <w:right w:val="single" w:color="auto" w:sz="4" w:space="0"/>
            </w:tcBorders>
            <w:vAlign w:val="center"/>
          </w:tcPr>
          <w:p w14:paraId="4834A331">
            <w:pPr>
              <w:shd w:val="clear"/>
              <w:spacing w:line="360" w:lineRule="auto"/>
              <w:rPr>
                <w:rFonts w:hint="eastAsia" w:ascii="宋体" w:hAnsi="宋体" w:cs="宋体"/>
                <w:szCs w:val="21"/>
                <w:highlight w:val="none"/>
              </w:rPr>
            </w:pPr>
          </w:p>
        </w:tc>
        <w:tc>
          <w:tcPr>
            <w:tcW w:w="398" w:type="dxa"/>
            <w:tcBorders>
              <w:top w:val="single" w:color="auto" w:sz="4" w:space="0"/>
              <w:left w:val="nil"/>
              <w:bottom w:val="single" w:color="auto" w:sz="4" w:space="0"/>
              <w:right w:val="single" w:color="auto" w:sz="4" w:space="0"/>
            </w:tcBorders>
          </w:tcPr>
          <w:p w14:paraId="58EAFB96">
            <w:pPr>
              <w:shd w:val="clea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vAlign w:val="center"/>
          </w:tcPr>
          <w:p w14:paraId="3C251B37">
            <w:pPr>
              <w:shd w:val="clea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1BC0A8A4">
            <w:pPr>
              <w:shd w:val="clea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353A60C8">
            <w:pPr>
              <w:shd w:val="clea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001DDCDA">
            <w:pPr>
              <w:shd w:val="clea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1C0330A2">
            <w:pPr>
              <w:shd w:val="clea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50EE5A3E">
            <w:pPr>
              <w:shd w:val="clea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753050E3">
            <w:pPr>
              <w:shd w:val="clear"/>
              <w:spacing w:line="360" w:lineRule="auto"/>
              <w:rPr>
                <w:rFonts w:hint="eastAsia" w:ascii="宋体" w:hAnsi="宋体" w:cs="宋体"/>
                <w:szCs w:val="21"/>
                <w:highlight w:val="none"/>
              </w:rPr>
            </w:pPr>
          </w:p>
        </w:tc>
        <w:tc>
          <w:tcPr>
            <w:tcW w:w="954" w:type="dxa"/>
            <w:tcBorders>
              <w:top w:val="single" w:color="auto" w:sz="4" w:space="0"/>
              <w:left w:val="nil"/>
              <w:bottom w:val="single" w:color="auto" w:sz="4" w:space="0"/>
              <w:right w:val="single" w:color="auto" w:sz="4" w:space="0"/>
            </w:tcBorders>
          </w:tcPr>
          <w:p w14:paraId="4BB120E0">
            <w:pPr>
              <w:shd w:val="clear"/>
              <w:spacing w:line="360" w:lineRule="auto"/>
              <w:rPr>
                <w:rFonts w:hint="eastAsia" w:ascii="宋体" w:hAnsi="宋体" w:cs="宋体"/>
                <w:szCs w:val="21"/>
                <w:highlight w:val="none"/>
              </w:rPr>
            </w:pPr>
          </w:p>
        </w:tc>
        <w:tc>
          <w:tcPr>
            <w:tcW w:w="951" w:type="dxa"/>
            <w:tcBorders>
              <w:top w:val="single" w:color="auto" w:sz="4" w:space="0"/>
              <w:left w:val="nil"/>
              <w:bottom w:val="single" w:color="auto" w:sz="4" w:space="0"/>
              <w:right w:val="single" w:color="auto" w:sz="4" w:space="0"/>
            </w:tcBorders>
          </w:tcPr>
          <w:p w14:paraId="2E206808">
            <w:pPr>
              <w:shd w:val="clear"/>
              <w:spacing w:line="360" w:lineRule="auto"/>
              <w:rPr>
                <w:rFonts w:hint="eastAsia" w:ascii="宋体" w:hAnsi="宋体" w:cs="宋体"/>
                <w:szCs w:val="21"/>
                <w:highlight w:val="none"/>
              </w:rPr>
            </w:pPr>
          </w:p>
        </w:tc>
      </w:tr>
      <w:tr w14:paraId="610E392B">
        <w:tblPrEx>
          <w:tblCellMar>
            <w:top w:w="0" w:type="dxa"/>
            <w:left w:w="108" w:type="dxa"/>
            <w:bottom w:w="0" w:type="dxa"/>
            <w:right w:w="108" w:type="dxa"/>
          </w:tblCellMar>
        </w:tblPrEx>
        <w:trPr>
          <w:trHeight w:val="901" w:hRule="atLeast"/>
          <w:jc w:val="center"/>
        </w:trPr>
        <w:tc>
          <w:tcPr>
            <w:tcW w:w="360" w:type="dxa"/>
            <w:tcBorders>
              <w:top w:val="single" w:color="auto" w:sz="4" w:space="0"/>
              <w:left w:val="single" w:color="auto" w:sz="4" w:space="0"/>
              <w:bottom w:val="single" w:color="auto" w:sz="4" w:space="0"/>
              <w:right w:val="single" w:color="auto" w:sz="4" w:space="0"/>
            </w:tcBorders>
            <w:vAlign w:val="center"/>
          </w:tcPr>
          <w:p w14:paraId="4C287434">
            <w:pPr>
              <w:shd w:val="clear"/>
              <w:spacing w:line="360" w:lineRule="auto"/>
              <w:rPr>
                <w:rFonts w:hint="eastAsia" w:ascii="宋体" w:hAnsi="宋体" w:cs="宋体"/>
                <w:szCs w:val="21"/>
                <w:highlight w:val="none"/>
              </w:rPr>
            </w:pPr>
          </w:p>
        </w:tc>
        <w:tc>
          <w:tcPr>
            <w:tcW w:w="398" w:type="dxa"/>
            <w:tcBorders>
              <w:top w:val="single" w:color="auto" w:sz="4" w:space="0"/>
              <w:left w:val="nil"/>
              <w:bottom w:val="single" w:color="auto" w:sz="4" w:space="0"/>
              <w:right w:val="single" w:color="auto" w:sz="4" w:space="0"/>
            </w:tcBorders>
          </w:tcPr>
          <w:p w14:paraId="2F05631E">
            <w:pPr>
              <w:shd w:val="clea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vAlign w:val="center"/>
          </w:tcPr>
          <w:p w14:paraId="3B6BC87D">
            <w:pPr>
              <w:shd w:val="clea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40BDAB4D">
            <w:pPr>
              <w:shd w:val="clea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2C1972DE">
            <w:pPr>
              <w:shd w:val="clea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2E04BEDD">
            <w:pPr>
              <w:shd w:val="clea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444F368E">
            <w:pPr>
              <w:shd w:val="clea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299A5C53">
            <w:pPr>
              <w:shd w:val="clea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23FBC7D2">
            <w:pPr>
              <w:shd w:val="clear"/>
              <w:spacing w:line="360" w:lineRule="auto"/>
              <w:rPr>
                <w:rFonts w:hint="eastAsia" w:ascii="宋体" w:hAnsi="宋体" w:cs="宋体"/>
                <w:szCs w:val="21"/>
                <w:highlight w:val="none"/>
              </w:rPr>
            </w:pPr>
          </w:p>
        </w:tc>
        <w:tc>
          <w:tcPr>
            <w:tcW w:w="954" w:type="dxa"/>
            <w:tcBorders>
              <w:top w:val="single" w:color="auto" w:sz="4" w:space="0"/>
              <w:left w:val="nil"/>
              <w:bottom w:val="single" w:color="auto" w:sz="4" w:space="0"/>
              <w:right w:val="single" w:color="auto" w:sz="4" w:space="0"/>
            </w:tcBorders>
          </w:tcPr>
          <w:p w14:paraId="2B10618C">
            <w:pPr>
              <w:shd w:val="clear"/>
              <w:spacing w:line="360" w:lineRule="auto"/>
              <w:rPr>
                <w:rFonts w:hint="eastAsia" w:ascii="宋体" w:hAnsi="宋体" w:cs="宋体"/>
                <w:szCs w:val="21"/>
                <w:highlight w:val="none"/>
              </w:rPr>
            </w:pPr>
          </w:p>
        </w:tc>
        <w:tc>
          <w:tcPr>
            <w:tcW w:w="951" w:type="dxa"/>
            <w:tcBorders>
              <w:top w:val="single" w:color="auto" w:sz="4" w:space="0"/>
              <w:left w:val="nil"/>
              <w:bottom w:val="single" w:color="auto" w:sz="4" w:space="0"/>
              <w:right w:val="single" w:color="auto" w:sz="4" w:space="0"/>
            </w:tcBorders>
          </w:tcPr>
          <w:p w14:paraId="4A7D4E3A">
            <w:pPr>
              <w:shd w:val="clear"/>
              <w:spacing w:line="360" w:lineRule="auto"/>
              <w:rPr>
                <w:rFonts w:hint="eastAsia" w:ascii="宋体" w:hAnsi="宋体" w:cs="宋体"/>
                <w:szCs w:val="21"/>
                <w:highlight w:val="none"/>
              </w:rPr>
            </w:pPr>
          </w:p>
        </w:tc>
      </w:tr>
    </w:tbl>
    <w:p w14:paraId="698B36C6">
      <w:pPr>
        <w:shd w:val="clear"/>
        <w:adjustRightInd w:val="0"/>
        <w:snapToGrid w:val="0"/>
        <w:spacing w:line="360" w:lineRule="auto"/>
        <w:rPr>
          <w:rFonts w:hint="eastAsia" w:ascii="宋体" w:hAnsi="宋体" w:cs="宋体"/>
          <w:spacing w:val="4"/>
          <w:kern w:val="0"/>
          <w:szCs w:val="21"/>
          <w:highlight w:val="none"/>
        </w:rPr>
      </w:pPr>
      <w:r>
        <w:rPr>
          <w:rFonts w:hint="eastAsia" w:ascii="宋体" w:hAnsi="宋体" w:cs="宋体"/>
          <w:spacing w:val="4"/>
          <w:kern w:val="0"/>
          <w:szCs w:val="21"/>
          <w:highlight w:val="none"/>
        </w:rPr>
        <w:t>注：</w:t>
      </w:r>
    </w:p>
    <w:p w14:paraId="6A9F69AF">
      <w:pPr>
        <w:shd w:val="clea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1、经算术复核的投标人报价与其投标报价不一致时，按就低不就高原则确定其最终报价。如修正后的投标报价超出相应的最高投标限价，则由评标委</w:t>
      </w:r>
      <w:r>
        <w:rPr>
          <w:rFonts w:hint="eastAsia" w:ascii="宋体" w:hAnsi="宋体" w:cs="宋体"/>
          <w:szCs w:val="21"/>
          <w:highlight w:val="none"/>
          <w:lang w:eastAsia="zh-CN"/>
        </w:rPr>
        <w:t>员会</w:t>
      </w:r>
      <w:r>
        <w:rPr>
          <w:rFonts w:hint="eastAsia" w:ascii="宋体" w:hAnsi="宋体" w:cs="宋体"/>
          <w:szCs w:val="21"/>
          <w:highlight w:val="none"/>
        </w:rPr>
        <w:t>否决其投标。</w:t>
      </w:r>
    </w:p>
    <w:p w14:paraId="06102DA8">
      <w:pPr>
        <w:shd w:val="clear"/>
        <w:adjustRightInd w:val="0"/>
        <w:snapToGrid w:val="0"/>
        <w:spacing w:line="360" w:lineRule="auto"/>
        <w:rPr>
          <w:rFonts w:hint="eastAsia" w:ascii="宋体" w:hAnsi="宋体" w:cs="宋体"/>
          <w:spacing w:val="4"/>
          <w:kern w:val="0"/>
          <w:szCs w:val="21"/>
          <w:highlight w:val="none"/>
        </w:rPr>
      </w:pPr>
      <w:bookmarkStart w:id="326" w:name="_Toc7725"/>
      <w:bookmarkStart w:id="327" w:name="_Toc11093"/>
      <w:r>
        <w:rPr>
          <w:rFonts w:hint="eastAsia" w:ascii="宋体" w:hAnsi="宋体" w:cs="宋体"/>
          <w:spacing w:val="4"/>
          <w:kern w:val="0"/>
          <w:szCs w:val="21"/>
          <w:highlight w:val="none"/>
        </w:rPr>
        <w:t>2、该表由评标</w:t>
      </w:r>
      <w:r>
        <w:rPr>
          <w:rFonts w:hint="eastAsia" w:ascii="宋体" w:hAnsi="宋体" w:cs="宋体"/>
          <w:szCs w:val="21"/>
          <w:highlight w:val="none"/>
        </w:rPr>
        <w:t>委员会</w:t>
      </w:r>
      <w:r>
        <w:rPr>
          <w:rFonts w:hint="eastAsia" w:ascii="宋体" w:hAnsi="宋体" w:cs="宋体"/>
          <w:spacing w:val="4"/>
          <w:kern w:val="0"/>
          <w:szCs w:val="21"/>
          <w:highlight w:val="none"/>
        </w:rPr>
        <w:t>填写，投标人不需提交。</w:t>
      </w:r>
      <w:bookmarkEnd w:id="326"/>
      <w:bookmarkEnd w:id="327"/>
    </w:p>
    <w:p w14:paraId="01889176">
      <w:pPr>
        <w:shd w:val="clear"/>
        <w:spacing w:line="360" w:lineRule="auto"/>
        <w:rPr>
          <w:rFonts w:hint="eastAsia" w:ascii="宋体" w:hAnsi="宋体" w:cs="宋体"/>
          <w:szCs w:val="21"/>
          <w:highlight w:val="none"/>
        </w:rPr>
      </w:pPr>
      <w:r>
        <w:rPr>
          <w:rFonts w:hint="eastAsia" w:ascii="宋体" w:hAnsi="宋体" w:cs="宋体"/>
          <w:szCs w:val="21"/>
          <w:highlight w:val="none"/>
        </w:rPr>
        <w:t>评委签名：                                                    日期：    年    月    日</w:t>
      </w:r>
    </w:p>
    <w:p w14:paraId="57817A92">
      <w:pPr>
        <w:shd w:val="clear"/>
        <w:rPr>
          <w:rFonts w:hint="eastAsia" w:ascii="宋体" w:hAnsi="宋体" w:cs="宋体"/>
          <w:kern w:val="0"/>
          <w:sz w:val="20"/>
          <w:szCs w:val="20"/>
          <w:highlight w:val="none"/>
        </w:rPr>
        <w:sectPr>
          <w:pgSz w:w="11906" w:h="16838"/>
          <w:pgMar w:top="1440" w:right="1469" w:bottom="1440" w:left="1440" w:header="851" w:footer="992" w:gutter="0"/>
          <w:cols w:space="720" w:num="1"/>
          <w:docGrid w:type="lines" w:linePitch="312" w:charSpace="0"/>
        </w:sectPr>
      </w:pPr>
    </w:p>
    <w:p w14:paraId="070F483B">
      <w:pPr>
        <w:pStyle w:val="3"/>
        <w:shd w:val="clear"/>
        <w:rPr>
          <w:rFonts w:hint="eastAsia" w:ascii="宋体" w:hAnsi="宋体" w:cs="宋体"/>
          <w:sz w:val="21"/>
          <w:szCs w:val="21"/>
          <w:highlight w:val="none"/>
        </w:rPr>
      </w:pPr>
      <w:bookmarkStart w:id="328" w:name="_Toc20141"/>
      <w:bookmarkEnd w:id="328"/>
      <w:bookmarkStart w:id="329" w:name="_Toc5423"/>
      <w:bookmarkStart w:id="330" w:name="_Toc16046"/>
      <w:bookmarkStart w:id="331" w:name="_Toc27717"/>
      <w:bookmarkStart w:id="332" w:name="_Toc16886"/>
      <w:bookmarkStart w:id="333" w:name="_Toc32084"/>
      <w:bookmarkStart w:id="334" w:name="_Toc24420"/>
      <w:bookmarkStart w:id="335" w:name="_Toc29828"/>
      <w:bookmarkStart w:id="336" w:name="_Hlk196152004"/>
      <w:r>
        <w:rPr>
          <w:rFonts w:hint="eastAsia" w:ascii="宋体" w:hAnsi="宋体" w:cs="宋体"/>
          <w:sz w:val="21"/>
          <w:szCs w:val="21"/>
          <w:highlight w:val="none"/>
        </w:rPr>
        <w:t>附录13 勘察初步设计方案部分评分表</w:t>
      </w:r>
      <w:bookmarkEnd w:id="329"/>
      <w:bookmarkEnd w:id="330"/>
      <w:bookmarkEnd w:id="331"/>
      <w:bookmarkEnd w:id="332"/>
      <w:bookmarkEnd w:id="333"/>
      <w:bookmarkEnd w:id="334"/>
      <w:bookmarkEnd w:id="335"/>
    </w:p>
    <w:p w14:paraId="4E3F2DBE">
      <w:pPr>
        <w:pStyle w:val="16"/>
        <w:shd w:val="clear"/>
        <w:adjustRightInd w:val="0"/>
        <w:snapToGrid w:val="0"/>
        <w:ind w:firstLine="560"/>
        <w:outlineLvl w:val="9"/>
        <w:rPr>
          <w:rFonts w:hint="eastAsia" w:ascii="宋体" w:hAnsi="宋体" w:cs="宋体"/>
          <w:sz w:val="28"/>
          <w:szCs w:val="28"/>
          <w:highlight w:val="none"/>
        </w:rPr>
      </w:pPr>
      <w:bookmarkStart w:id="337" w:name="_Toc22590"/>
      <w:bookmarkStart w:id="338" w:name="_Hlk196329891"/>
      <w:bookmarkStart w:id="339" w:name="_Hlk196333894"/>
      <w:r>
        <w:rPr>
          <w:rFonts w:hint="eastAsia" w:ascii="宋体" w:hAnsi="宋体" w:cs="宋体"/>
          <w:sz w:val="28"/>
          <w:szCs w:val="28"/>
          <w:highlight w:val="none"/>
        </w:rPr>
        <w:t>勘察初步设计方案部分评分表</w:t>
      </w:r>
      <w:bookmarkEnd w:id="337"/>
    </w:p>
    <w:p w14:paraId="24DFFC9A">
      <w:pPr>
        <w:shd w:val="clear"/>
        <w:wordWrap w:val="0"/>
        <w:topLinePunct/>
        <w:spacing w:line="400" w:lineRule="exact"/>
        <w:rPr>
          <w:rFonts w:hint="eastAsia" w:ascii="宋体" w:hAnsi="宋体" w:cs="宋体"/>
          <w:b/>
          <w:szCs w:val="24"/>
          <w:highlight w:val="none"/>
        </w:rPr>
      </w:pPr>
      <w:r>
        <w:rPr>
          <w:rFonts w:hint="eastAsia" w:ascii="宋体" w:hAnsi="宋体" w:cs="宋体"/>
          <w:b/>
          <w:szCs w:val="24"/>
          <w:highlight w:val="none"/>
        </w:rPr>
        <w:t>项目名称：</w:t>
      </w:r>
    </w:p>
    <w:tbl>
      <w:tblPr>
        <w:tblStyle w:val="19"/>
        <w:tblW w:w="14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182"/>
        <w:gridCol w:w="1014"/>
        <w:gridCol w:w="8734"/>
        <w:gridCol w:w="3180"/>
      </w:tblGrid>
      <w:tr w14:paraId="2DC5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01694140">
            <w:pPr>
              <w:shd w:val="clear"/>
              <w:spacing w:line="360" w:lineRule="auto"/>
              <w:jc w:val="center"/>
              <w:rPr>
                <w:rFonts w:hint="eastAsia" w:ascii="宋体" w:hAnsi="宋体" w:cs="宋体"/>
                <w:szCs w:val="21"/>
                <w:highlight w:val="none"/>
              </w:rPr>
            </w:pPr>
            <w:r>
              <w:rPr>
                <w:rFonts w:hint="eastAsia" w:ascii="宋体" w:hAnsi="宋体" w:cs="宋体"/>
                <w:szCs w:val="21"/>
                <w:highlight w:val="none"/>
              </w:rPr>
              <w:t>序号</w:t>
            </w:r>
          </w:p>
        </w:tc>
        <w:tc>
          <w:tcPr>
            <w:tcW w:w="1182" w:type="dxa"/>
            <w:tcBorders>
              <w:top w:val="single" w:color="auto" w:sz="4" w:space="0"/>
              <w:left w:val="single" w:color="auto" w:sz="4" w:space="0"/>
              <w:bottom w:val="single" w:color="auto" w:sz="4" w:space="0"/>
              <w:right w:val="single" w:color="auto" w:sz="4" w:space="0"/>
            </w:tcBorders>
          </w:tcPr>
          <w:p w14:paraId="274C3594">
            <w:pPr>
              <w:shd w:val="clear"/>
              <w:spacing w:line="360" w:lineRule="auto"/>
              <w:jc w:val="center"/>
              <w:rPr>
                <w:rFonts w:hint="eastAsia" w:ascii="宋体" w:hAnsi="宋体" w:cs="宋体"/>
                <w:szCs w:val="21"/>
                <w:highlight w:val="none"/>
              </w:rPr>
            </w:pPr>
            <w:r>
              <w:rPr>
                <w:rFonts w:hint="eastAsia" w:ascii="宋体" w:hAnsi="宋体" w:cs="宋体"/>
                <w:szCs w:val="21"/>
                <w:highlight w:val="none"/>
              </w:rPr>
              <w:t>评审内容</w:t>
            </w:r>
          </w:p>
        </w:tc>
        <w:tc>
          <w:tcPr>
            <w:tcW w:w="1014" w:type="dxa"/>
            <w:tcBorders>
              <w:top w:val="single" w:color="auto" w:sz="4" w:space="0"/>
              <w:left w:val="single" w:color="auto" w:sz="4" w:space="0"/>
              <w:bottom w:val="single" w:color="auto" w:sz="4" w:space="0"/>
              <w:right w:val="single" w:color="auto" w:sz="4" w:space="0"/>
            </w:tcBorders>
          </w:tcPr>
          <w:p w14:paraId="6DA4853E">
            <w:pPr>
              <w:shd w:val="clear"/>
              <w:spacing w:line="360" w:lineRule="auto"/>
              <w:jc w:val="center"/>
              <w:rPr>
                <w:rFonts w:hint="eastAsia" w:ascii="宋体" w:hAnsi="宋体" w:cs="宋体"/>
                <w:szCs w:val="21"/>
                <w:highlight w:val="none"/>
              </w:rPr>
            </w:pPr>
            <w:r>
              <w:rPr>
                <w:rFonts w:hint="eastAsia" w:ascii="宋体" w:hAnsi="宋体" w:cs="宋体"/>
                <w:szCs w:val="21"/>
                <w:highlight w:val="none"/>
              </w:rPr>
              <w:t>分值</w:t>
            </w:r>
          </w:p>
        </w:tc>
        <w:tc>
          <w:tcPr>
            <w:tcW w:w="8734" w:type="dxa"/>
            <w:tcBorders>
              <w:top w:val="single" w:color="auto" w:sz="4" w:space="0"/>
              <w:left w:val="single" w:color="auto" w:sz="4" w:space="0"/>
              <w:bottom w:val="single" w:color="auto" w:sz="4" w:space="0"/>
              <w:right w:val="single" w:color="auto" w:sz="4" w:space="0"/>
            </w:tcBorders>
            <w:vAlign w:val="center"/>
          </w:tcPr>
          <w:p w14:paraId="05B30BB8">
            <w:pPr>
              <w:shd w:val="clear"/>
              <w:spacing w:line="360" w:lineRule="auto"/>
              <w:jc w:val="center"/>
              <w:rPr>
                <w:rFonts w:hint="eastAsia" w:ascii="宋体" w:hAnsi="宋体" w:cs="宋体"/>
                <w:szCs w:val="21"/>
                <w:highlight w:val="none"/>
              </w:rPr>
            </w:pPr>
            <w:r>
              <w:rPr>
                <w:rFonts w:hint="eastAsia" w:ascii="宋体" w:hAnsi="宋体" w:cs="宋体"/>
                <w:highlight w:val="none"/>
              </w:rPr>
              <w:t>评审标准</w:t>
            </w:r>
          </w:p>
        </w:tc>
        <w:tc>
          <w:tcPr>
            <w:tcW w:w="3180" w:type="dxa"/>
            <w:tcBorders>
              <w:top w:val="single" w:color="auto" w:sz="4" w:space="0"/>
              <w:left w:val="single" w:color="auto" w:sz="4" w:space="0"/>
              <w:bottom w:val="single" w:color="auto" w:sz="4" w:space="0"/>
              <w:right w:val="single" w:color="auto" w:sz="4" w:space="0"/>
            </w:tcBorders>
          </w:tcPr>
          <w:p w14:paraId="728A1F3A">
            <w:pPr>
              <w:shd w:val="clear"/>
              <w:spacing w:line="360" w:lineRule="auto"/>
              <w:jc w:val="center"/>
              <w:rPr>
                <w:rFonts w:hint="eastAsia" w:ascii="宋体" w:hAnsi="宋体" w:cs="宋体"/>
                <w:szCs w:val="21"/>
                <w:highlight w:val="none"/>
              </w:rPr>
            </w:pPr>
            <w:r>
              <w:rPr>
                <w:rFonts w:hint="eastAsia" w:ascii="宋体" w:hAnsi="宋体" w:cs="宋体"/>
                <w:szCs w:val="21"/>
                <w:highlight w:val="none"/>
              </w:rPr>
              <w:t>得分</w:t>
            </w:r>
          </w:p>
        </w:tc>
      </w:tr>
      <w:tr w14:paraId="5FBE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14DF7C4C">
            <w:pPr>
              <w:shd w:val="clear"/>
              <w:jc w:val="center"/>
              <w:rPr>
                <w:rFonts w:hint="eastAsia" w:ascii="宋体" w:hAnsi="宋体" w:cs="宋体"/>
                <w:bCs/>
                <w:szCs w:val="21"/>
                <w:highlight w:val="none"/>
              </w:rPr>
            </w:pPr>
            <w:r>
              <w:rPr>
                <w:rFonts w:hint="eastAsia" w:ascii="宋体" w:hAnsi="宋体" w:cs="宋体"/>
                <w:highlight w:val="none"/>
              </w:rPr>
              <w:t>1</w:t>
            </w:r>
          </w:p>
        </w:tc>
        <w:tc>
          <w:tcPr>
            <w:tcW w:w="1182" w:type="dxa"/>
            <w:tcBorders>
              <w:top w:val="single" w:color="auto" w:sz="4" w:space="0"/>
              <w:left w:val="single" w:color="auto" w:sz="4" w:space="0"/>
              <w:bottom w:val="single" w:color="auto" w:sz="4" w:space="0"/>
              <w:right w:val="single" w:color="auto" w:sz="4" w:space="0"/>
            </w:tcBorders>
            <w:vAlign w:val="center"/>
          </w:tcPr>
          <w:p w14:paraId="6973A9E6">
            <w:pPr>
              <w:shd w:val="clear"/>
              <w:adjustRightInd w:val="0"/>
              <w:spacing w:line="276" w:lineRule="auto"/>
              <w:jc w:val="center"/>
              <w:rPr>
                <w:rFonts w:hint="eastAsia" w:ascii="宋体" w:hAnsi="宋体" w:cs="宋体"/>
                <w:szCs w:val="21"/>
                <w:highlight w:val="none"/>
              </w:rPr>
            </w:pPr>
            <w:r>
              <w:rPr>
                <w:rFonts w:hint="eastAsia" w:ascii="宋体" w:hAnsi="宋体" w:cs="宋体"/>
                <w:highlight w:val="none"/>
              </w:rPr>
              <w:t>项目现状分析</w:t>
            </w:r>
          </w:p>
        </w:tc>
        <w:tc>
          <w:tcPr>
            <w:tcW w:w="1014" w:type="dxa"/>
            <w:tcBorders>
              <w:top w:val="single" w:color="auto" w:sz="4" w:space="0"/>
              <w:left w:val="single" w:color="auto" w:sz="4" w:space="0"/>
              <w:bottom w:val="single" w:color="auto" w:sz="4" w:space="0"/>
              <w:right w:val="single" w:color="auto" w:sz="4" w:space="0"/>
            </w:tcBorders>
            <w:vAlign w:val="center"/>
          </w:tcPr>
          <w:p w14:paraId="148D8D01">
            <w:pPr>
              <w:shd w:val="clear"/>
              <w:jc w:val="center"/>
              <w:rPr>
                <w:rFonts w:hint="eastAsia" w:ascii="宋体" w:hAnsi="宋体" w:cs="宋体"/>
                <w:szCs w:val="21"/>
                <w:highlight w:val="none"/>
              </w:rPr>
            </w:pPr>
            <w:r>
              <w:rPr>
                <w:rFonts w:hint="eastAsia" w:ascii="宋体" w:hAnsi="宋体" w:cs="宋体"/>
                <w:highlight w:val="none"/>
              </w:rPr>
              <w:t>5</w:t>
            </w:r>
          </w:p>
        </w:tc>
        <w:tc>
          <w:tcPr>
            <w:tcW w:w="8734" w:type="dxa"/>
            <w:tcBorders>
              <w:top w:val="single" w:color="auto" w:sz="4" w:space="0"/>
              <w:left w:val="single" w:color="auto" w:sz="4" w:space="0"/>
              <w:bottom w:val="single" w:color="auto" w:sz="4" w:space="0"/>
              <w:right w:val="single" w:color="auto" w:sz="4" w:space="0"/>
            </w:tcBorders>
            <w:vAlign w:val="center"/>
          </w:tcPr>
          <w:p w14:paraId="75F1EEAE">
            <w:pPr>
              <w:shd w:val="clear"/>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sz w:val="21"/>
                <w:highlight w:val="none"/>
                <w:lang w:eastAsia="zh-CN"/>
              </w:rPr>
              <w:t>了解项目背景、区位、项目资源状况，熟悉片区上层相关规划和国家相关政策。</w:t>
            </w:r>
            <w:r>
              <w:rPr>
                <w:rFonts w:hint="default" w:ascii="Times New Roman" w:hAnsi="Times New Roman" w:eastAsia="宋体" w:cs="Times New Roman"/>
                <w:color w:val="auto"/>
                <w:highlight w:val="none"/>
                <w:lang w:eastAsia="zh-CN"/>
              </w:rPr>
              <w:t>深入了解项目现状，对工程重点难点认识深刻，对现场工程复工提供科学、系统、安全、经济，可操作性强的解决方案。</w:t>
            </w:r>
          </w:p>
          <w:p w14:paraId="5CD39170">
            <w:pPr>
              <w:shd w:val="clear"/>
              <w:rPr>
                <w:rFonts w:hint="eastAsia" w:ascii="宋体" w:hAnsi="宋体" w:cs="宋体"/>
                <w:bCs/>
                <w:szCs w:val="21"/>
                <w:highlight w:val="none"/>
              </w:rPr>
            </w:pPr>
            <w:r>
              <w:rPr>
                <w:rFonts w:hint="default" w:ascii="Times New Roman" w:hAnsi="Times New Roman" w:eastAsia="宋体" w:cs="Times New Roman"/>
                <w:b/>
                <w:color w:val="auto"/>
                <w:highlight w:val="none"/>
                <w:lang w:eastAsia="zh-CN"/>
              </w:rPr>
              <w:t>优：[5,4)；良：[4,3)；中：[</w:t>
            </w:r>
            <w:r>
              <w:rPr>
                <w:rFonts w:ascii="Times New Roman" w:hAnsi="Times New Roman" w:eastAsia="宋体" w:cs="Times New Roman"/>
                <w:b/>
                <w:color w:val="auto"/>
                <w:highlight w:val="none"/>
                <w:lang w:eastAsia="zh-CN"/>
              </w:rPr>
              <w:t>3</w:t>
            </w:r>
            <w:r>
              <w:rPr>
                <w:rFonts w:hint="default" w:ascii="Times New Roman" w:hAnsi="Times New Roman" w:eastAsia="宋体" w:cs="Times New Roman"/>
                <w:b/>
                <w:color w:val="auto"/>
                <w:highlight w:val="none"/>
                <w:lang w:eastAsia="zh-CN"/>
              </w:rPr>
              <w:t>,</w:t>
            </w:r>
            <w:r>
              <w:rPr>
                <w:rFonts w:ascii="Times New Roman" w:hAnsi="Times New Roman" w:eastAsia="宋体" w:cs="Times New Roman"/>
                <w:b/>
                <w:color w:val="auto"/>
                <w:highlight w:val="none"/>
                <w:lang w:eastAsia="zh-CN"/>
              </w:rPr>
              <w:t>2</w:t>
            </w:r>
            <w:r>
              <w:rPr>
                <w:rFonts w:hint="default" w:ascii="Times New Roman" w:hAnsi="Times New Roman" w:eastAsia="宋体" w:cs="Times New Roman"/>
                <w:b/>
                <w:color w:val="auto"/>
                <w:highlight w:val="none"/>
                <w:lang w:eastAsia="zh-CN"/>
              </w:rPr>
              <w:t>)；</w:t>
            </w:r>
            <w:r>
              <w:rPr>
                <w:rFonts w:hint="default" w:ascii="Times New Roman" w:hAnsi="Times New Roman" w:eastAsia="宋体" w:cs="Times New Roman"/>
                <w:b/>
                <w:color w:val="auto"/>
                <w:szCs w:val="24"/>
                <w:highlight w:val="none"/>
                <w:lang w:eastAsia="zh-CN"/>
              </w:rPr>
              <w:t>差：[2,0)，</w:t>
            </w:r>
            <w:r>
              <w:rPr>
                <w:rFonts w:hint="default" w:ascii="Times New Roman" w:hAnsi="Times New Roman" w:eastAsia="宋体" w:cs="Times New Roman"/>
                <w:b/>
                <w:color w:val="auto"/>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tcPr>
          <w:p w14:paraId="1EF3C383">
            <w:pPr>
              <w:pStyle w:val="15"/>
              <w:shd w:val="clear"/>
              <w:adjustRightInd w:val="0"/>
              <w:snapToGrid w:val="0"/>
              <w:spacing w:before="100" w:after="100" w:line="360" w:lineRule="exact"/>
              <w:rPr>
                <w:rFonts w:cs="宋体"/>
                <w:sz w:val="21"/>
                <w:szCs w:val="21"/>
                <w:highlight w:val="none"/>
              </w:rPr>
            </w:pPr>
          </w:p>
        </w:tc>
      </w:tr>
      <w:tr w14:paraId="762A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68709F54">
            <w:pPr>
              <w:shd w:val="clear"/>
              <w:jc w:val="center"/>
              <w:rPr>
                <w:rFonts w:hint="eastAsia" w:ascii="宋体" w:hAnsi="宋体" w:cs="宋体"/>
                <w:bCs/>
                <w:szCs w:val="21"/>
                <w:highlight w:val="none"/>
              </w:rPr>
            </w:pPr>
            <w:r>
              <w:rPr>
                <w:rFonts w:hint="eastAsia" w:ascii="宋体" w:hAnsi="宋体" w:cs="宋体"/>
                <w:highlight w:val="none"/>
              </w:rPr>
              <w:t>2</w:t>
            </w:r>
          </w:p>
        </w:tc>
        <w:tc>
          <w:tcPr>
            <w:tcW w:w="1182" w:type="dxa"/>
            <w:tcBorders>
              <w:top w:val="single" w:color="auto" w:sz="4" w:space="0"/>
              <w:left w:val="single" w:color="auto" w:sz="4" w:space="0"/>
              <w:bottom w:val="single" w:color="auto" w:sz="4" w:space="0"/>
              <w:right w:val="single" w:color="auto" w:sz="4" w:space="0"/>
            </w:tcBorders>
            <w:vAlign w:val="center"/>
          </w:tcPr>
          <w:p w14:paraId="7596712E">
            <w:pPr>
              <w:shd w:val="clear"/>
              <w:adjustRightInd w:val="0"/>
              <w:spacing w:line="276" w:lineRule="auto"/>
              <w:jc w:val="center"/>
              <w:rPr>
                <w:rFonts w:hint="eastAsia" w:ascii="宋体" w:hAnsi="宋体" w:cs="宋体"/>
                <w:highlight w:val="none"/>
              </w:rPr>
            </w:pPr>
            <w:r>
              <w:rPr>
                <w:rFonts w:hint="eastAsia" w:ascii="宋体" w:hAnsi="宋体" w:cs="宋体"/>
                <w:highlight w:val="none"/>
              </w:rPr>
              <w:t>设计构思</w:t>
            </w:r>
          </w:p>
        </w:tc>
        <w:tc>
          <w:tcPr>
            <w:tcW w:w="1014" w:type="dxa"/>
            <w:tcBorders>
              <w:top w:val="single" w:color="auto" w:sz="4" w:space="0"/>
              <w:left w:val="single" w:color="auto" w:sz="4" w:space="0"/>
              <w:bottom w:val="single" w:color="auto" w:sz="4" w:space="0"/>
              <w:right w:val="single" w:color="auto" w:sz="4" w:space="0"/>
            </w:tcBorders>
            <w:vAlign w:val="center"/>
          </w:tcPr>
          <w:p w14:paraId="161896BB">
            <w:pPr>
              <w:shd w:val="clear"/>
              <w:jc w:val="center"/>
              <w:rPr>
                <w:rFonts w:hint="eastAsia" w:ascii="宋体" w:hAnsi="宋体" w:cs="宋体"/>
                <w:highlight w:val="none"/>
              </w:rPr>
            </w:pPr>
            <w:r>
              <w:rPr>
                <w:rFonts w:hint="eastAsia" w:ascii="宋体" w:hAnsi="宋体" w:cs="宋体"/>
                <w:highlight w:val="none"/>
              </w:rPr>
              <w:t>10</w:t>
            </w:r>
          </w:p>
        </w:tc>
        <w:tc>
          <w:tcPr>
            <w:tcW w:w="8734" w:type="dxa"/>
            <w:tcBorders>
              <w:top w:val="single" w:color="auto" w:sz="4" w:space="0"/>
              <w:left w:val="single" w:color="auto" w:sz="4" w:space="0"/>
              <w:bottom w:val="single" w:color="auto" w:sz="4" w:space="0"/>
              <w:right w:val="single" w:color="auto" w:sz="4" w:space="0"/>
            </w:tcBorders>
            <w:vAlign w:val="center"/>
          </w:tcPr>
          <w:p w14:paraId="0E899E01">
            <w:pPr>
              <w:shd w:val="clear"/>
              <w:adjustRightInd/>
              <w:spacing w:line="240" w:lineRule="auto"/>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根据项目地形、周边环境、市场特点，构思项目发展思路、定位和策略，定位合理，符合市场需求等。设计构思对项目的特点、定位、需求等有详细的分析与说明，同时，在整体的设计中要能体现上述的特点、定位、需求等。</w:t>
            </w:r>
          </w:p>
          <w:p w14:paraId="2075E309">
            <w:pPr>
              <w:shd w:val="clear"/>
              <w:rPr>
                <w:rFonts w:hint="eastAsia" w:ascii="宋体" w:hAnsi="宋体" w:cs="宋体"/>
                <w:highlight w:val="none"/>
              </w:rPr>
            </w:pPr>
            <w:r>
              <w:rPr>
                <w:rFonts w:hint="default" w:ascii="Times New Roman" w:hAnsi="Times New Roman" w:eastAsia="宋体" w:cs="Times New Roman"/>
                <w:b/>
                <w:color w:val="auto"/>
                <w:szCs w:val="20"/>
                <w:highlight w:val="none"/>
                <w:lang w:eastAsia="zh-CN"/>
              </w:rPr>
              <w:t>优：[10,8)；良：[8,6)；中：[6,</w:t>
            </w:r>
            <w:r>
              <w:rPr>
                <w:rFonts w:ascii="Times New Roman" w:hAnsi="Times New Roman" w:eastAsia="宋体" w:cs="Times New Roman"/>
                <w:b/>
                <w:color w:val="auto"/>
                <w:szCs w:val="20"/>
                <w:highlight w:val="none"/>
                <w:lang w:eastAsia="zh-CN"/>
              </w:rPr>
              <w:t>4</w:t>
            </w:r>
            <w:r>
              <w:rPr>
                <w:rFonts w:hint="default" w:ascii="Times New Roman" w:hAnsi="Times New Roman" w:eastAsia="宋体" w:cs="Times New Roman"/>
                <w:b/>
                <w:color w:val="auto"/>
                <w:szCs w:val="20"/>
                <w:highlight w:val="none"/>
                <w:lang w:eastAsia="zh-CN"/>
              </w:rPr>
              <w:t>)；</w:t>
            </w:r>
            <w:r>
              <w:rPr>
                <w:rFonts w:hint="default" w:ascii="Times New Roman" w:hAnsi="Times New Roman" w:eastAsia="宋体" w:cs="Times New Roman"/>
                <w:b/>
                <w:color w:val="auto"/>
                <w:szCs w:val="24"/>
                <w:highlight w:val="none"/>
                <w:lang w:eastAsia="zh-CN"/>
              </w:rPr>
              <w:t>差：[4,0)，</w:t>
            </w:r>
            <w:r>
              <w:rPr>
                <w:rFonts w:hint="default" w:ascii="Times New Roman" w:hAnsi="Times New Roman" w:eastAsia="宋体" w:cs="Times New Roman"/>
                <w:b/>
                <w:color w:val="auto"/>
                <w:szCs w:val="20"/>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tcPr>
          <w:p w14:paraId="25ABDE17">
            <w:pPr>
              <w:pStyle w:val="37"/>
              <w:shd w:val="clear"/>
              <w:adjustRightInd w:val="0"/>
              <w:snapToGrid w:val="0"/>
              <w:spacing w:before="100" w:beforeAutospacing="1" w:after="100" w:afterAutospacing="1" w:line="360" w:lineRule="exact"/>
              <w:rPr>
                <w:rFonts w:hint="eastAsia" w:ascii="宋体" w:hAnsi="宋体" w:cs="宋体"/>
                <w:highlight w:val="none"/>
              </w:rPr>
            </w:pPr>
          </w:p>
        </w:tc>
      </w:tr>
      <w:tr w14:paraId="3569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32AC5E6E">
            <w:pPr>
              <w:shd w:val="clear"/>
              <w:jc w:val="center"/>
              <w:rPr>
                <w:rFonts w:hint="eastAsia" w:ascii="宋体" w:hAnsi="宋体" w:cs="宋体"/>
                <w:bCs/>
                <w:szCs w:val="21"/>
                <w:highlight w:val="none"/>
              </w:rPr>
            </w:pPr>
            <w:r>
              <w:rPr>
                <w:rFonts w:hint="eastAsia" w:ascii="宋体" w:hAnsi="宋体" w:cs="宋体"/>
                <w:highlight w:val="none"/>
              </w:rPr>
              <w:t>3</w:t>
            </w:r>
          </w:p>
        </w:tc>
        <w:tc>
          <w:tcPr>
            <w:tcW w:w="1182" w:type="dxa"/>
            <w:tcBorders>
              <w:top w:val="single" w:color="auto" w:sz="4" w:space="0"/>
              <w:left w:val="single" w:color="auto" w:sz="4" w:space="0"/>
              <w:bottom w:val="single" w:color="auto" w:sz="4" w:space="0"/>
              <w:right w:val="single" w:color="auto" w:sz="4" w:space="0"/>
            </w:tcBorders>
            <w:vAlign w:val="center"/>
          </w:tcPr>
          <w:p w14:paraId="2C2D10D1">
            <w:pPr>
              <w:shd w:val="clear"/>
              <w:jc w:val="center"/>
              <w:rPr>
                <w:rFonts w:hint="eastAsia" w:ascii="宋体" w:hAnsi="宋体" w:cs="宋体"/>
                <w:highlight w:val="none"/>
              </w:rPr>
            </w:pPr>
            <w:r>
              <w:rPr>
                <w:rFonts w:hint="eastAsia" w:ascii="宋体" w:hAnsi="宋体" w:cs="宋体"/>
                <w:highlight w:val="none"/>
              </w:rPr>
              <w:t>总平面布局</w:t>
            </w:r>
          </w:p>
        </w:tc>
        <w:tc>
          <w:tcPr>
            <w:tcW w:w="1014" w:type="dxa"/>
            <w:tcBorders>
              <w:top w:val="single" w:color="auto" w:sz="4" w:space="0"/>
              <w:left w:val="single" w:color="auto" w:sz="4" w:space="0"/>
              <w:bottom w:val="single" w:color="auto" w:sz="4" w:space="0"/>
              <w:right w:val="single" w:color="auto" w:sz="4" w:space="0"/>
            </w:tcBorders>
            <w:vAlign w:val="center"/>
          </w:tcPr>
          <w:p w14:paraId="16455010">
            <w:pPr>
              <w:shd w:val="clear"/>
              <w:jc w:val="center"/>
              <w:rPr>
                <w:rFonts w:hint="eastAsia" w:ascii="宋体" w:hAnsi="宋体" w:cs="宋体"/>
                <w:highlight w:val="none"/>
              </w:rPr>
            </w:pPr>
            <w:r>
              <w:rPr>
                <w:rFonts w:hint="eastAsia" w:ascii="宋体" w:hAnsi="宋体" w:cs="宋体"/>
                <w:highlight w:val="none"/>
              </w:rPr>
              <w:t>15</w:t>
            </w:r>
          </w:p>
        </w:tc>
        <w:tc>
          <w:tcPr>
            <w:tcW w:w="8734" w:type="dxa"/>
            <w:tcBorders>
              <w:top w:val="single" w:color="auto" w:sz="4" w:space="0"/>
              <w:left w:val="single" w:color="auto" w:sz="4" w:space="0"/>
              <w:bottom w:val="single" w:color="auto" w:sz="4" w:space="0"/>
              <w:right w:val="single" w:color="auto" w:sz="4" w:space="0"/>
            </w:tcBorders>
            <w:vAlign w:val="center"/>
          </w:tcPr>
          <w:p w14:paraId="2133A230">
            <w:pPr>
              <w:shd w:val="clear"/>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总体规划布局合理，符合规划设计条件,呼应整体规划理念与设计构思，设计深度满足招标文件规定。建筑布局与现状用地有机结合，充分发挥用地优势，合理利用用地特征服务于设计并满足使用要求，合理考虑用地与周边地块的联系，各地块出入口位置明晰合理，充分考虑建筑与场地的和谐统一。总图功能分区清晰，住宅与配套之间既联系方便又互不干扰；交通流线合理通畅,兼顾低层与高层、住宅各类形态之间的需求。保证设计户型的均好性。</w:t>
            </w:r>
          </w:p>
          <w:p w14:paraId="27A6C591">
            <w:pPr>
              <w:shd w:val="clear"/>
              <w:rPr>
                <w:rFonts w:hint="eastAsia" w:ascii="宋体" w:hAnsi="宋体" w:cs="宋体"/>
                <w:highlight w:val="none"/>
              </w:rPr>
            </w:pPr>
            <w:r>
              <w:rPr>
                <w:rFonts w:hint="default" w:ascii="Times New Roman" w:hAnsi="Times New Roman" w:eastAsia="宋体" w:cs="Times New Roman"/>
                <w:b/>
                <w:color w:val="auto"/>
                <w:szCs w:val="20"/>
                <w:highlight w:val="none"/>
                <w:lang w:eastAsia="zh-CN"/>
              </w:rPr>
              <w:t>优：[1</w:t>
            </w:r>
            <w:r>
              <w:rPr>
                <w:rFonts w:ascii="Times New Roman" w:hAnsi="Times New Roman" w:eastAsia="宋体" w:cs="Times New Roman"/>
                <w:b/>
                <w:color w:val="auto"/>
                <w:szCs w:val="20"/>
                <w:highlight w:val="none"/>
                <w:lang w:eastAsia="zh-CN"/>
              </w:rPr>
              <w:t>5</w:t>
            </w:r>
            <w:r>
              <w:rPr>
                <w:rFonts w:hint="default" w:ascii="Times New Roman" w:hAnsi="Times New Roman" w:eastAsia="宋体" w:cs="Times New Roman"/>
                <w:b/>
                <w:color w:val="auto"/>
                <w:szCs w:val="20"/>
                <w:highlight w:val="none"/>
                <w:lang w:eastAsia="zh-CN"/>
              </w:rPr>
              <w:t>,12)；良：[</w:t>
            </w:r>
            <w:r>
              <w:rPr>
                <w:rFonts w:ascii="Times New Roman" w:hAnsi="Times New Roman" w:eastAsia="宋体" w:cs="Times New Roman"/>
                <w:b/>
                <w:color w:val="auto"/>
                <w:szCs w:val="20"/>
                <w:highlight w:val="none"/>
                <w:lang w:eastAsia="zh-CN"/>
              </w:rPr>
              <w:t>12</w:t>
            </w:r>
            <w:r>
              <w:rPr>
                <w:rFonts w:hint="default" w:ascii="Times New Roman" w:hAnsi="Times New Roman" w:eastAsia="宋体" w:cs="Times New Roman"/>
                <w:b/>
                <w:color w:val="auto"/>
                <w:szCs w:val="20"/>
                <w:highlight w:val="none"/>
                <w:lang w:eastAsia="zh-CN"/>
              </w:rPr>
              <w:t>,9)；中：[9,6)；</w:t>
            </w:r>
            <w:r>
              <w:rPr>
                <w:rFonts w:hint="default" w:ascii="Times New Roman" w:hAnsi="Times New Roman" w:eastAsia="宋体" w:cs="Times New Roman"/>
                <w:b/>
                <w:color w:val="auto"/>
                <w:szCs w:val="24"/>
                <w:highlight w:val="none"/>
                <w:lang w:eastAsia="zh-CN"/>
              </w:rPr>
              <w:t>差：[6,0)，</w:t>
            </w:r>
            <w:r>
              <w:rPr>
                <w:rFonts w:hint="default" w:ascii="Times New Roman" w:hAnsi="Times New Roman" w:eastAsia="宋体" w:cs="Times New Roman"/>
                <w:b/>
                <w:color w:val="auto"/>
                <w:szCs w:val="20"/>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tcPr>
          <w:p w14:paraId="049EE7DD">
            <w:pPr>
              <w:pStyle w:val="37"/>
              <w:shd w:val="clear"/>
              <w:adjustRightInd w:val="0"/>
              <w:snapToGrid w:val="0"/>
              <w:spacing w:before="100" w:beforeAutospacing="1" w:after="100" w:afterAutospacing="1" w:line="360" w:lineRule="exact"/>
              <w:rPr>
                <w:rFonts w:hint="eastAsia" w:ascii="宋体" w:hAnsi="宋体" w:cs="宋体"/>
                <w:highlight w:val="none"/>
              </w:rPr>
            </w:pPr>
          </w:p>
        </w:tc>
      </w:tr>
      <w:tr w14:paraId="09D9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07315C80">
            <w:pPr>
              <w:shd w:val="clear"/>
              <w:jc w:val="center"/>
              <w:rPr>
                <w:rFonts w:hint="eastAsia" w:ascii="宋体" w:hAnsi="宋体" w:cs="宋体"/>
                <w:bCs/>
                <w:szCs w:val="21"/>
                <w:highlight w:val="none"/>
              </w:rPr>
            </w:pPr>
            <w:r>
              <w:rPr>
                <w:rFonts w:hint="eastAsia" w:ascii="宋体" w:hAnsi="宋体" w:cs="宋体"/>
                <w:highlight w:val="none"/>
              </w:rPr>
              <w:t>4</w:t>
            </w:r>
          </w:p>
        </w:tc>
        <w:tc>
          <w:tcPr>
            <w:tcW w:w="1182" w:type="dxa"/>
            <w:tcBorders>
              <w:top w:val="single" w:color="auto" w:sz="4" w:space="0"/>
              <w:left w:val="single" w:color="auto" w:sz="4" w:space="0"/>
              <w:bottom w:val="single" w:color="auto" w:sz="4" w:space="0"/>
              <w:right w:val="single" w:color="auto" w:sz="4" w:space="0"/>
            </w:tcBorders>
            <w:vAlign w:val="center"/>
          </w:tcPr>
          <w:p w14:paraId="10A2F6B8">
            <w:pPr>
              <w:shd w:val="clear"/>
              <w:tabs>
                <w:tab w:val="center" w:pos="583"/>
              </w:tabs>
              <w:jc w:val="center"/>
              <w:rPr>
                <w:rFonts w:hint="eastAsia" w:ascii="宋体" w:hAnsi="宋体" w:cs="宋体"/>
                <w:highlight w:val="none"/>
              </w:rPr>
            </w:pPr>
            <w:r>
              <w:rPr>
                <w:rFonts w:hint="eastAsia" w:ascii="宋体" w:hAnsi="宋体" w:cs="宋体"/>
                <w:highlight w:val="none"/>
              </w:rPr>
              <w:t>使用功能</w:t>
            </w:r>
          </w:p>
        </w:tc>
        <w:tc>
          <w:tcPr>
            <w:tcW w:w="1014" w:type="dxa"/>
            <w:tcBorders>
              <w:top w:val="single" w:color="auto" w:sz="4" w:space="0"/>
              <w:left w:val="single" w:color="auto" w:sz="4" w:space="0"/>
              <w:bottom w:val="single" w:color="auto" w:sz="4" w:space="0"/>
              <w:right w:val="single" w:color="auto" w:sz="4" w:space="0"/>
            </w:tcBorders>
            <w:vAlign w:val="center"/>
          </w:tcPr>
          <w:p w14:paraId="1368635C">
            <w:pPr>
              <w:shd w:val="clear"/>
              <w:jc w:val="center"/>
              <w:rPr>
                <w:rFonts w:hint="eastAsia" w:ascii="宋体" w:hAnsi="宋体" w:cs="宋体"/>
                <w:highlight w:val="none"/>
              </w:rPr>
            </w:pPr>
            <w:r>
              <w:rPr>
                <w:rFonts w:hint="eastAsia" w:ascii="宋体" w:hAnsi="宋体" w:cs="宋体"/>
                <w:highlight w:val="none"/>
              </w:rPr>
              <w:t>20</w:t>
            </w:r>
          </w:p>
        </w:tc>
        <w:tc>
          <w:tcPr>
            <w:tcW w:w="8734" w:type="dxa"/>
            <w:tcBorders>
              <w:top w:val="single" w:color="auto" w:sz="4" w:space="0"/>
              <w:left w:val="single" w:color="auto" w:sz="4" w:space="0"/>
              <w:bottom w:val="single" w:color="auto" w:sz="4" w:space="0"/>
              <w:right w:val="single" w:color="auto" w:sz="4" w:space="0"/>
            </w:tcBorders>
            <w:vAlign w:val="center"/>
          </w:tcPr>
          <w:p w14:paraId="4FE77B0C">
            <w:pPr>
              <w:shd w:val="clear"/>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需考虑与周边城中村改造项目已有户型的建设标准统一，兼顾地块间的均好性；功能分区合理、集约，户型平面合理，充分体现设计构思及实现各方价值最大化。布局合理，功能分区明确，各功能区块之间有一定的联系性，又满足各阶段的相互不干扰需求。交通衔接设施及配套设施齐全。地下室满足总停车数量需求、效率，根据场地条件合理规划各类型机动车流线，考虑人防设计要求。提供地下室深化平面布置成果，深度满足初步设计概算编制要求。</w:t>
            </w:r>
          </w:p>
          <w:p w14:paraId="49B1AA06">
            <w:pPr>
              <w:shd w:val="clear"/>
              <w:rPr>
                <w:rFonts w:hint="eastAsia" w:ascii="宋体" w:hAnsi="宋体" w:cs="宋体"/>
                <w:highlight w:val="none"/>
              </w:rPr>
            </w:pPr>
            <w:r>
              <w:rPr>
                <w:rFonts w:hint="default" w:ascii="Times New Roman" w:hAnsi="Times New Roman" w:eastAsia="宋体" w:cs="Times New Roman"/>
                <w:b/>
                <w:color w:val="auto"/>
                <w:highlight w:val="none"/>
                <w:lang w:eastAsia="zh-CN"/>
              </w:rPr>
              <w:t>优：[20,15)；良：[15,10)；中：[10,5)；差：[5,0)，不提供则不得分。</w:t>
            </w:r>
          </w:p>
        </w:tc>
        <w:tc>
          <w:tcPr>
            <w:tcW w:w="3180" w:type="dxa"/>
            <w:tcBorders>
              <w:top w:val="single" w:color="auto" w:sz="4" w:space="0"/>
              <w:left w:val="single" w:color="auto" w:sz="4" w:space="0"/>
              <w:bottom w:val="single" w:color="auto" w:sz="4" w:space="0"/>
              <w:right w:val="single" w:color="auto" w:sz="4" w:space="0"/>
            </w:tcBorders>
          </w:tcPr>
          <w:p w14:paraId="2A7F9491">
            <w:pPr>
              <w:widowControl/>
              <w:shd w:val="clear"/>
              <w:adjustRightInd w:val="0"/>
              <w:snapToGrid w:val="0"/>
              <w:spacing w:before="100" w:beforeAutospacing="1" w:after="100" w:afterAutospacing="1" w:line="360" w:lineRule="exact"/>
              <w:jc w:val="left"/>
              <w:rPr>
                <w:rFonts w:hint="eastAsia" w:ascii="宋体" w:hAnsi="宋体" w:cs="宋体"/>
                <w:highlight w:val="none"/>
              </w:rPr>
            </w:pPr>
          </w:p>
        </w:tc>
      </w:tr>
      <w:tr w14:paraId="3D83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1032FE4F">
            <w:pPr>
              <w:shd w:val="clear"/>
              <w:jc w:val="center"/>
              <w:rPr>
                <w:rFonts w:hint="eastAsia" w:ascii="宋体" w:hAnsi="宋体" w:cs="宋体"/>
                <w:bCs/>
                <w:szCs w:val="21"/>
                <w:highlight w:val="none"/>
              </w:rPr>
            </w:pPr>
            <w:r>
              <w:rPr>
                <w:rFonts w:hint="eastAsia" w:ascii="宋体" w:hAnsi="宋体" w:cs="宋体"/>
                <w:highlight w:val="none"/>
              </w:rPr>
              <w:t>5</w:t>
            </w:r>
          </w:p>
        </w:tc>
        <w:tc>
          <w:tcPr>
            <w:tcW w:w="1182" w:type="dxa"/>
            <w:tcBorders>
              <w:top w:val="single" w:color="auto" w:sz="4" w:space="0"/>
              <w:left w:val="single" w:color="auto" w:sz="4" w:space="0"/>
              <w:bottom w:val="single" w:color="auto" w:sz="4" w:space="0"/>
              <w:right w:val="single" w:color="auto" w:sz="4" w:space="0"/>
            </w:tcBorders>
            <w:vAlign w:val="center"/>
          </w:tcPr>
          <w:p w14:paraId="2BD1128A">
            <w:pPr>
              <w:shd w:val="clear"/>
              <w:jc w:val="center"/>
              <w:rPr>
                <w:rFonts w:hint="eastAsia" w:ascii="宋体" w:hAnsi="宋体" w:cs="宋体"/>
                <w:highlight w:val="none"/>
              </w:rPr>
            </w:pPr>
            <w:r>
              <w:rPr>
                <w:rFonts w:hint="eastAsia" w:ascii="宋体" w:hAnsi="宋体" w:cs="宋体"/>
                <w:highlight w:val="none"/>
              </w:rPr>
              <w:t>建筑形象与设计创新</w:t>
            </w:r>
          </w:p>
        </w:tc>
        <w:tc>
          <w:tcPr>
            <w:tcW w:w="1014" w:type="dxa"/>
            <w:tcBorders>
              <w:top w:val="single" w:color="auto" w:sz="4" w:space="0"/>
              <w:left w:val="single" w:color="auto" w:sz="4" w:space="0"/>
              <w:bottom w:val="single" w:color="auto" w:sz="4" w:space="0"/>
              <w:right w:val="single" w:color="auto" w:sz="4" w:space="0"/>
            </w:tcBorders>
            <w:vAlign w:val="center"/>
          </w:tcPr>
          <w:p w14:paraId="20DD954A">
            <w:pPr>
              <w:widowControl/>
              <w:shd w:val="clear"/>
              <w:jc w:val="center"/>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zh-CN"/>
              </w:rPr>
              <w:t>0</w:t>
            </w:r>
          </w:p>
        </w:tc>
        <w:tc>
          <w:tcPr>
            <w:tcW w:w="8734" w:type="dxa"/>
            <w:tcBorders>
              <w:top w:val="single" w:color="auto" w:sz="4" w:space="0"/>
              <w:left w:val="single" w:color="auto" w:sz="4" w:space="0"/>
              <w:bottom w:val="single" w:color="auto" w:sz="4" w:space="0"/>
              <w:right w:val="single" w:color="auto" w:sz="4" w:space="0"/>
            </w:tcBorders>
            <w:vAlign w:val="center"/>
          </w:tcPr>
          <w:p w14:paraId="42E2A34B">
            <w:pPr>
              <w:shd w:val="clear"/>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沿主要城市界面应展现现代、明朗、大方的建筑风貌，设计具有标志性、符合项目的建筑形象，反映时代精神，建筑外观与周边环境整体和谐；针对项目在设计阶段应用创新设计技术，充分应用BIM技术进行设计，提供详尽和完整的BIM实施方案（包括但不限于组织机构、岗位职责、软硬件配置、BIM应用价值点等；各阶段BIM应用成果及交付计划清晰；BIM协调管理机制设计合理等），且整体方案科学合理、具体可行。</w:t>
            </w:r>
          </w:p>
          <w:p w14:paraId="74C87A0E">
            <w:pPr>
              <w:shd w:val="clear"/>
              <w:rPr>
                <w:rFonts w:hint="eastAsia" w:ascii="宋体" w:hAnsi="宋体" w:cs="宋体"/>
                <w:highlight w:val="none"/>
              </w:rPr>
            </w:pPr>
            <w:r>
              <w:rPr>
                <w:rFonts w:hint="default" w:ascii="Times New Roman" w:hAnsi="Times New Roman" w:eastAsia="宋体" w:cs="Times New Roman"/>
                <w:b/>
                <w:color w:val="auto"/>
                <w:highlight w:val="none"/>
                <w:lang w:eastAsia="zh-CN"/>
              </w:rPr>
              <w:t>优：[30,24)；良：[24,18)；中：[18,12)；差：[12,0)，不提供则不得分。</w:t>
            </w:r>
          </w:p>
        </w:tc>
        <w:tc>
          <w:tcPr>
            <w:tcW w:w="3180" w:type="dxa"/>
            <w:tcBorders>
              <w:top w:val="single" w:color="auto" w:sz="4" w:space="0"/>
              <w:left w:val="single" w:color="auto" w:sz="4" w:space="0"/>
              <w:bottom w:val="single" w:color="auto" w:sz="4" w:space="0"/>
              <w:right w:val="single" w:color="auto" w:sz="4" w:space="0"/>
            </w:tcBorders>
          </w:tcPr>
          <w:p w14:paraId="53F22E77">
            <w:pPr>
              <w:pStyle w:val="37"/>
              <w:shd w:val="clear"/>
              <w:adjustRightInd w:val="0"/>
              <w:snapToGrid w:val="0"/>
              <w:spacing w:before="100" w:beforeAutospacing="1" w:after="100" w:afterAutospacing="1" w:line="360" w:lineRule="exact"/>
              <w:rPr>
                <w:rFonts w:hint="eastAsia" w:ascii="宋体" w:hAnsi="宋体" w:cs="宋体"/>
                <w:highlight w:val="none"/>
              </w:rPr>
            </w:pPr>
          </w:p>
        </w:tc>
      </w:tr>
      <w:tr w14:paraId="17D2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79ABDC1E">
            <w:pPr>
              <w:shd w:val="clear"/>
              <w:jc w:val="center"/>
              <w:rPr>
                <w:rFonts w:hint="eastAsia" w:ascii="宋体" w:hAnsi="宋体" w:cs="宋体"/>
                <w:bCs/>
                <w:szCs w:val="21"/>
                <w:highlight w:val="none"/>
              </w:rPr>
            </w:pPr>
            <w:r>
              <w:rPr>
                <w:rFonts w:hint="eastAsia" w:ascii="宋体" w:hAnsi="宋体" w:cs="宋体"/>
                <w:highlight w:val="none"/>
              </w:rPr>
              <w:t>6</w:t>
            </w:r>
          </w:p>
        </w:tc>
        <w:tc>
          <w:tcPr>
            <w:tcW w:w="1182" w:type="dxa"/>
            <w:tcBorders>
              <w:top w:val="single" w:color="auto" w:sz="4" w:space="0"/>
              <w:left w:val="single" w:color="auto" w:sz="4" w:space="0"/>
              <w:bottom w:val="single" w:color="auto" w:sz="4" w:space="0"/>
              <w:right w:val="single" w:color="auto" w:sz="4" w:space="0"/>
            </w:tcBorders>
            <w:vAlign w:val="center"/>
          </w:tcPr>
          <w:p w14:paraId="2C265179">
            <w:pPr>
              <w:shd w:val="clear"/>
              <w:snapToGrid w:val="0"/>
              <w:jc w:val="center"/>
              <w:rPr>
                <w:rFonts w:hint="eastAsia" w:ascii="宋体" w:hAnsi="宋体" w:cs="宋体"/>
                <w:highlight w:val="none"/>
              </w:rPr>
            </w:pPr>
            <w:r>
              <w:rPr>
                <w:rFonts w:hint="eastAsia" w:ascii="宋体" w:hAnsi="宋体" w:cs="宋体"/>
                <w:highlight w:val="none"/>
                <w:lang w:val="zh-CN"/>
              </w:rPr>
              <w:t>景观设计</w:t>
            </w:r>
          </w:p>
        </w:tc>
        <w:tc>
          <w:tcPr>
            <w:tcW w:w="1014" w:type="dxa"/>
            <w:tcBorders>
              <w:top w:val="single" w:color="auto" w:sz="4" w:space="0"/>
              <w:left w:val="single" w:color="auto" w:sz="4" w:space="0"/>
              <w:bottom w:val="single" w:color="auto" w:sz="4" w:space="0"/>
              <w:right w:val="single" w:color="auto" w:sz="4" w:space="0"/>
            </w:tcBorders>
            <w:vAlign w:val="center"/>
          </w:tcPr>
          <w:p w14:paraId="1CB9849B">
            <w:pPr>
              <w:shd w:val="clear"/>
              <w:jc w:val="center"/>
              <w:rPr>
                <w:rFonts w:hint="eastAsia" w:ascii="宋体" w:hAnsi="宋体" w:cs="宋体"/>
                <w:highlight w:val="none"/>
              </w:rPr>
            </w:pPr>
            <w:r>
              <w:rPr>
                <w:rFonts w:hint="eastAsia" w:ascii="宋体" w:hAnsi="宋体" w:cs="宋体"/>
                <w:bCs/>
                <w:highlight w:val="none"/>
              </w:rPr>
              <w:t>5</w:t>
            </w:r>
          </w:p>
        </w:tc>
        <w:tc>
          <w:tcPr>
            <w:tcW w:w="8734" w:type="dxa"/>
            <w:tcBorders>
              <w:top w:val="single" w:color="auto" w:sz="4" w:space="0"/>
              <w:left w:val="single" w:color="auto" w:sz="4" w:space="0"/>
              <w:bottom w:val="single" w:color="auto" w:sz="4" w:space="0"/>
              <w:right w:val="single" w:color="auto" w:sz="4" w:space="0"/>
            </w:tcBorders>
            <w:vAlign w:val="center"/>
          </w:tcPr>
          <w:p w14:paraId="5D251C39">
            <w:pPr>
              <w:shd w:val="clear"/>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充分考虑项目整体性，建筑环境与空间造型和谐统一，考虑多层次的绿化景观设计，形成良好舒适的住区景观效果。考虑地块主要出入口、生活园林、交通等公共空间设计，详细展示主要活动空间等节点的设计。</w:t>
            </w:r>
          </w:p>
          <w:p w14:paraId="2651FAE0">
            <w:pPr>
              <w:shd w:val="clear"/>
              <w:rPr>
                <w:rFonts w:hint="eastAsia" w:ascii="宋体" w:hAnsi="宋体" w:cs="宋体"/>
                <w:highlight w:val="none"/>
              </w:rPr>
            </w:pPr>
            <w:r>
              <w:rPr>
                <w:rFonts w:hint="default" w:ascii="Times New Roman" w:hAnsi="Times New Roman" w:eastAsia="宋体" w:cs="Times New Roman"/>
                <w:b/>
                <w:color w:val="auto"/>
                <w:highlight w:val="none"/>
                <w:lang w:eastAsia="zh-CN"/>
              </w:rPr>
              <w:t>优：[5,4)；良：[4,3)；中：[</w:t>
            </w:r>
            <w:r>
              <w:rPr>
                <w:rFonts w:ascii="Times New Roman" w:hAnsi="Times New Roman" w:eastAsia="宋体" w:cs="Times New Roman"/>
                <w:b/>
                <w:color w:val="auto"/>
                <w:highlight w:val="none"/>
                <w:lang w:eastAsia="zh-CN"/>
              </w:rPr>
              <w:t>3</w:t>
            </w:r>
            <w:r>
              <w:rPr>
                <w:rFonts w:hint="default" w:ascii="Times New Roman" w:hAnsi="Times New Roman" w:eastAsia="宋体" w:cs="Times New Roman"/>
                <w:b/>
                <w:color w:val="auto"/>
                <w:highlight w:val="none"/>
                <w:lang w:eastAsia="zh-CN"/>
              </w:rPr>
              <w:t>,</w:t>
            </w:r>
            <w:r>
              <w:rPr>
                <w:rFonts w:ascii="Times New Roman" w:hAnsi="Times New Roman" w:eastAsia="宋体" w:cs="Times New Roman"/>
                <w:b/>
                <w:color w:val="auto"/>
                <w:highlight w:val="none"/>
                <w:lang w:eastAsia="zh-CN"/>
              </w:rPr>
              <w:t>2</w:t>
            </w:r>
            <w:r>
              <w:rPr>
                <w:rFonts w:hint="default" w:ascii="Times New Roman" w:hAnsi="Times New Roman" w:eastAsia="宋体" w:cs="Times New Roman"/>
                <w:b/>
                <w:color w:val="auto"/>
                <w:highlight w:val="none"/>
                <w:lang w:eastAsia="zh-CN"/>
              </w:rPr>
              <w:t>)；</w:t>
            </w:r>
            <w:r>
              <w:rPr>
                <w:rFonts w:hint="default" w:ascii="Times New Roman" w:hAnsi="Times New Roman" w:eastAsia="宋体" w:cs="Times New Roman"/>
                <w:b/>
                <w:color w:val="auto"/>
                <w:szCs w:val="24"/>
                <w:highlight w:val="none"/>
                <w:lang w:eastAsia="zh-CN"/>
              </w:rPr>
              <w:t>差：[2,0)，</w:t>
            </w:r>
            <w:r>
              <w:rPr>
                <w:rFonts w:hint="default" w:ascii="Times New Roman" w:hAnsi="Times New Roman" w:eastAsia="宋体" w:cs="Times New Roman"/>
                <w:b/>
                <w:color w:val="auto"/>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tcPr>
          <w:p w14:paraId="0A651020">
            <w:pPr>
              <w:pStyle w:val="37"/>
              <w:shd w:val="clear"/>
              <w:adjustRightInd w:val="0"/>
              <w:snapToGrid w:val="0"/>
              <w:spacing w:before="100" w:beforeAutospacing="1" w:after="100" w:afterAutospacing="1" w:line="360" w:lineRule="exact"/>
              <w:rPr>
                <w:rFonts w:hint="eastAsia" w:ascii="宋体" w:hAnsi="宋体" w:cs="宋体"/>
                <w:highlight w:val="none"/>
              </w:rPr>
            </w:pPr>
          </w:p>
        </w:tc>
      </w:tr>
      <w:tr w14:paraId="53461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21591F31">
            <w:pPr>
              <w:shd w:val="clear"/>
              <w:jc w:val="center"/>
              <w:rPr>
                <w:rFonts w:hint="eastAsia" w:ascii="宋体" w:hAnsi="宋体" w:cs="宋体"/>
                <w:bCs/>
                <w:szCs w:val="21"/>
                <w:highlight w:val="none"/>
              </w:rPr>
            </w:pPr>
            <w:r>
              <w:rPr>
                <w:rFonts w:hint="eastAsia" w:ascii="宋体" w:hAnsi="宋体" w:cs="宋体"/>
                <w:highlight w:val="none"/>
              </w:rPr>
              <w:t>7</w:t>
            </w:r>
          </w:p>
        </w:tc>
        <w:tc>
          <w:tcPr>
            <w:tcW w:w="1182" w:type="dxa"/>
            <w:tcBorders>
              <w:top w:val="single" w:color="auto" w:sz="4" w:space="0"/>
              <w:left w:val="single" w:color="auto" w:sz="4" w:space="0"/>
              <w:bottom w:val="single" w:color="auto" w:sz="4" w:space="0"/>
              <w:right w:val="single" w:color="auto" w:sz="4" w:space="0"/>
            </w:tcBorders>
            <w:vAlign w:val="center"/>
          </w:tcPr>
          <w:p w14:paraId="21A0A0A3">
            <w:pPr>
              <w:shd w:val="clear"/>
              <w:snapToGrid w:val="0"/>
              <w:jc w:val="center"/>
              <w:rPr>
                <w:rFonts w:hint="eastAsia" w:ascii="宋体" w:hAnsi="宋体" w:cs="宋体"/>
                <w:highlight w:val="none"/>
              </w:rPr>
            </w:pPr>
            <w:r>
              <w:rPr>
                <w:rFonts w:hint="eastAsia" w:ascii="宋体" w:hAnsi="宋体" w:cs="宋体"/>
                <w:highlight w:val="none"/>
                <w:lang w:val="zh-CN"/>
              </w:rPr>
              <w:t>绿色节能</w:t>
            </w:r>
          </w:p>
        </w:tc>
        <w:tc>
          <w:tcPr>
            <w:tcW w:w="1014" w:type="dxa"/>
            <w:tcBorders>
              <w:top w:val="single" w:color="auto" w:sz="4" w:space="0"/>
              <w:left w:val="single" w:color="auto" w:sz="4" w:space="0"/>
              <w:bottom w:val="single" w:color="auto" w:sz="4" w:space="0"/>
              <w:right w:val="single" w:color="auto" w:sz="4" w:space="0"/>
            </w:tcBorders>
            <w:vAlign w:val="center"/>
          </w:tcPr>
          <w:p w14:paraId="61D87DBE">
            <w:pPr>
              <w:shd w:val="clear"/>
              <w:jc w:val="center"/>
              <w:rPr>
                <w:rFonts w:hint="eastAsia" w:ascii="宋体" w:hAnsi="宋体" w:cs="宋体"/>
                <w:highlight w:val="none"/>
              </w:rPr>
            </w:pPr>
            <w:r>
              <w:rPr>
                <w:rFonts w:hint="eastAsia" w:ascii="宋体" w:hAnsi="宋体" w:cs="宋体"/>
                <w:highlight w:val="none"/>
              </w:rPr>
              <w:t>5</w:t>
            </w:r>
          </w:p>
        </w:tc>
        <w:tc>
          <w:tcPr>
            <w:tcW w:w="8734" w:type="dxa"/>
            <w:tcBorders>
              <w:top w:val="single" w:color="auto" w:sz="4" w:space="0"/>
              <w:left w:val="single" w:color="auto" w:sz="4" w:space="0"/>
              <w:bottom w:val="single" w:color="auto" w:sz="4" w:space="0"/>
              <w:right w:val="single" w:color="auto" w:sz="4" w:space="0"/>
            </w:tcBorders>
            <w:vAlign w:val="center"/>
          </w:tcPr>
          <w:p w14:paraId="6179CFDB">
            <w:pPr>
              <w:shd w:val="clear"/>
              <w:rPr>
                <w:rFonts w:hint="default" w:ascii="Times New Roman" w:hAnsi="Times New Roman" w:eastAsia="宋体" w:cs="Times New Roman"/>
                <w:b/>
                <w:color w:val="auto"/>
                <w:highlight w:val="none"/>
                <w:lang w:eastAsia="zh-CN"/>
              </w:rPr>
            </w:pPr>
            <w:r>
              <w:rPr>
                <w:rFonts w:hint="default" w:ascii="Times New Roman" w:hAnsi="Times New Roman" w:eastAsia="宋体" w:cs="Times New Roman"/>
                <w:color w:val="auto"/>
                <w:highlight w:val="none"/>
                <w:lang w:eastAsia="zh-CN"/>
              </w:rPr>
              <w:t>遵循适用、绿色和美观的原则，设计符合国家及地方规范要求，满足绿色建筑设计标准，采取的措施充分考虑本地气候特色，最大限度节约资源，保护环境、减少污染，提供健康、舒适和高效的使用空间。积极响应国家“双碳”碳中和碳达峰目标</w:t>
            </w:r>
            <w:r>
              <w:rPr>
                <w:rFonts w:hint="default" w:ascii="Times New Roman" w:hAnsi="Times New Roman" w:eastAsia="宋体" w:cs="Times New Roman"/>
                <w:b/>
                <w:color w:val="auto"/>
                <w:highlight w:val="none"/>
                <w:lang w:eastAsia="zh-CN"/>
              </w:rPr>
              <w:t>。</w:t>
            </w:r>
          </w:p>
          <w:p w14:paraId="21A10650">
            <w:pPr>
              <w:shd w:val="clear"/>
              <w:rPr>
                <w:rFonts w:hint="eastAsia" w:ascii="宋体" w:hAnsi="宋体" w:cs="宋体"/>
                <w:highlight w:val="none"/>
              </w:rPr>
            </w:pPr>
            <w:r>
              <w:rPr>
                <w:rFonts w:hint="default" w:ascii="Times New Roman" w:hAnsi="Times New Roman" w:eastAsia="宋体" w:cs="Times New Roman"/>
                <w:b/>
                <w:color w:val="auto"/>
                <w:highlight w:val="none"/>
                <w:lang w:eastAsia="zh-CN"/>
              </w:rPr>
              <w:t>优：[5,4)；良：[4,3)；中：[</w:t>
            </w:r>
            <w:r>
              <w:rPr>
                <w:rFonts w:ascii="Times New Roman" w:hAnsi="Times New Roman" w:eastAsia="宋体" w:cs="Times New Roman"/>
                <w:b/>
                <w:color w:val="auto"/>
                <w:highlight w:val="none"/>
                <w:lang w:eastAsia="zh-CN"/>
              </w:rPr>
              <w:t>3</w:t>
            </w:r>
            <w:r>
              <w:rPr>
                <w:rFonts w:hint="default" w:ascii="Times New Roman" w:hAnsi="Times New Roman" w:eastAsia="宋体" w:cs="Times New Roman"/>
                <w:b/>
                <w:color w:val="auto"/>
                <w:highlight w:val="none"/>
                <w:lang w:eastAsia="zh-CN"/>
              </w:rPr>
              <w:t>,</w:t>
            </w:r>
            <w:r>
              <w:rPr>
                <w:rFonts w:ascii="Times New Roman" w:hAnsi="Times New Roman" w:eastAsia="宋体" w:cs="Times New Roman"/>
                <w:b/>
                <w:color w:val="auto"/>
                <w:highlight w:val="none"/>
                <w:lang w:eastAsia="zh-CN"/>
              </w:rPr>
              <w:t>2</w:t>
            </w:r>
            <w:r>
              <w:rPr>
                <w:rFonts w:hint="default" w:ascii="Times New Roman" w:hAnsi="Times New Roman" w:eastAsia="宋体" w:cs="Times New Roman"/>
                <w:b/>
                <w:color w:val="auto"/>
                <w:highlight w:val="none"/>
                <w:lang w:eastAsia="zh-CN"/>
              </w:rPr>
              <w:t>)；</w:t>
            </w:r>
            <w:r>
              <w:rPr>
                <w:rFonts w:hint="default" w:ascii="Times New Roman" w:hAnsi="Times New Roman" w:eastAsia="宋体" w:cs="Times New Roman"/>
                <w:b/>
                <w:color w:val="auto"/>
                <w:szCs w:val="24"/>
                <w:highlight w:val="none"/>
                <w:lang w:eastAsia="zh-CN"/>
              </w:rPr>
              <w:t>差：[2,0)，</w:t>
            </w:r>
            <w:r>
              <w:rPr>
                <w:rFonts w:hint="default" w:ascii="Times New Roman" w:hAnsi="Times New Roman" w:eastAsia="宋体" w:cs="Times New Roman"/>
                <w:b/>
                <w:color w:val="auto"/>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tcPr>
          <w:p w14:paraId="6A383669">
            <w:pPr>
              <w:widowControl/>
              <w:shd w:val="clear"/>
              <w:adjustRightInd w:val="0"/>
              <w:snapToGrid w:val="0"/>
              <w:spacing w:before="100" w:beforeAutospacing="1" w:after="100" w:afterAutospacing="1" w:line="360" w:lineRule="exact"/>
              <w:jc w:val="left"/>
              <w:rPr>
                <w:rFonts w:hint="eastAsia" w:ascii="宋体" w:hAnsi="宋体" w:cs="宋体"/>
                <w:highlight w:val="none"/>
              </w:rPr>
            </w:pPr>
          </w:p>
        </w:tc>
      </w:tr>
      <w:tr w14:paraId="1026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6F5CCD67">
            <w:pPr>
              <w:shd w:val="clear"/>
              <w:jc w:val="center"/>
              <w:rPr>
                <w:rFonts w:hint="eastAsia" w:ascii="宋体" w:hAnsi="宋体" w:cs="宋体"/>
                <w:bCs/>
                <w:szCs w:val="21"/>
                <w:highlight w:val="none"/>
              </w:rPr>
            </w:pPr>
            <w:r>
              <w:rPr>
                <w:rFonts w:hint="eastAsia" w:ascii="宋体" w:hAnsi="宋体" w:cs="宋体"/>
                <w:highlight w:val="none"/>
              </w:rPr>
              <w:t>8</w:t>
            </w:r>
          </w:p>
        </w:tc>
        <w:tc>
          <w:tcPr>
            <w:tcW w:w="1182" w:type="dxa"/>
            <w:tcBorders>
              <w:top w:val="single" w:color="auto" w:sz="4" w:space="0"/>
              <w:left w:val="single" w:color="auto" w:sz="4" w:space="0"/>
              <w:bottom w:val="single" w:color="auto" w:sz="4" w:space="0"/>
              <w:right w:val="single" w:color="auto" w:sz="4" w:space="0"/>
            </w:tcBorders>
            <w:vAlign w:val="center"/>
          </w:tcPr>
          <w:p w14:paraId="6739142C">
            <w:pPr>
              <w:shd w:val="clear"/>
              <w:jc w:val="center"/>
              <w:rPr>
                <w:rFonts w:hint="eastAsia" w:ascii="宋体" w:hAnsi="宋体" w:cs="宋体"/>
                <w:highlight w:val="none"/>
              </w:rPr>
            </w:pPr>
            <w:r>
              <w:rPr>
                <w:rFonts w:hint="eastAsia" w:ascii="宋体" w:hAnsi="宋体" w:cs="宋体"/>
                <w:highlight w:val="none"/>
              </w:rPr>
              <w:t>项目投资控制建议</w:t>
            </w:r>
          </w:p>
        </w:tc>
        <w:tc>
          <w:tcPr>
            <w:tcW w:w="1014" w:type="dxa"/>
            <w:tcBorders>
              <w:top w:val="single" w:color="auto" w:sz="4" w:space="0"/>
              <w:left w:val="single" w:color="auto" w:sz="4" w:space="0"/>
              <w:bottom w:val="single" w:color="auto" w:sz="4" w:space="0"/>
              <w:right w:val="single" w:color="auto" w:sz="4" w:space="0"/>
            </w:tcBorders>
            <w:vAlign w:val="center"/>
          </w:tcPr>
          <w:p w14:paraId="5222439C">
            <w:pPr>
              <w:shd w:val="clear"/>
              <w:jc w:val="center"/>
              <w:rPr>
                <w:rFonts w:hint="eastAsia" w:ascii="宋体" w:hAnsi="宋体" w:cs="宋体"/>
                <w:highlight w:val="none"/>
              </w:rPr>
            </w:pPr>
            <w:r>
              <w:rPr>
                <w:rFonts w:hint="eastAsia" w:ascii="宋体" w:hAnsi="宋体" w:cs="宋体"/>
                <w:highlight w:val="none"/>
              </w:rPr>
              <w:t>5</w:t>
            </w:r>
          </w:p>
        </w:tc>
        <w:tc>
          <w:tcPr>
            <w:tcW w:w="8734" w:type="dxa"/>
            <w:tcBorders>
              <w:top w:val="single" w:color="auto" w:sz="4" w:space="0"/>
              <w:left w:val="single" w:color="auto" w:sz="4" w:space="0"/>
              <w:bottom w:val="single" w:color="auto" w:sz="4" w:space="0"/>
              <w:right w:val="single" w:color="auto" w:sz="4" w:space="0"/>
            </w:tcBorders>
            <w:vAlign w:val="center"/>
          </w:tcPr>
          <w:p w14:paraId="035BA2A2">
            <w:pPr>
              <w:shd w:val="clear"/>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提供对工程投资控制、造价控制的实施办法和措施，方案合理、切实可行；从构造到选材，从外立面优化到地下室深化，有较强的项目成本管控能力。</w:t>
            </w:r>
          </w:p>
          <w:p w14:paraId="7681F452">
            <w:pPr>
              <w:shd w:val="clear"/>
              <w:rPr>
                <w:rFonts w:hint="eastAsia" w:ascii="宋体" w:hAnsi="宋体" w:cs="宋体"/>
                <w:highlight w:val="none"/>
              </w:rPr>
            </w:pPr>
            <w:r>
              <w:rPr>
                <w:rFonts w:hint="default" w:ascii="Times New Roman" w:hAnsi="Times New Roman" w:eastAsia="宋体" w:cs="Times New Roman"/>
                <w:b/>
                <w:color w:val="auto"/>
                <w:highlight w:val="none"/>
                <w:lang w:eastAsia="zh-CN"/>
              </w:rPr>
              <w:t>优：[5,4)；良：[4,3)；中：[</w:t>
            </w:r>
            <w:r>
              <w:rPr>
                <w:rFonts w:ascii="Times New Roman" w:hAnsi="Times New Roman" w:eastAsia="宋体" w:cs="Times New Roman"/>
                <w:b/>
                <w:color w:val="auto"/>
                <w:highlight w:val="none"/>
                <w:lang w:eastAsia="zh-CN"/>
              </w:rPr>
              <w:t>3</w:t>
            </w:r>
            <w:r>
              <w:rPr>
                <w:rFonts w:hint="default" w:ascii="Times New Roman" w:hAnsi="Times New Roman" w:eastAsia="宋体" w:cs="Times New Roman"/>
                <w:b/>
                <w:color w:val="auto"/>
                <w:highlight w:val="none"/>
                <w:lang w:eastAsia="zh-CN"/>
              </w:rPr>
              <w:t>,</w:t>
            </w:r>
            <w:r>
              <w:rPr>
                <w:rFonts w:ascii="Times New Roman" w:hAnsi="Times New Roman" w:eastAsia="宋体" w:cs="Times New Roman"/>
                <w:b/>
                <w:color w:val="auto"/>
                <w:highlight w:val="none"/>
                <w:lang w:eastAsia="zh-CN"/>
              </w:rPr>
              <w:t>2</w:t>
            </w:r>
            <w:r>
              <w:rPr>
                <w:rFonts w:hint="default" w:ascii="Times New Roman" w:hAnsi="Times New Roman" w:eastAsia="宋体" w:cs="Times New Roman"/>
                <w:b/>
                <w:color w:val="auto"/>
                <w:highlight w:val="none"/>
                <w:lang w:eastAsia="zh-CN"/>
              </w:rPr>
              <w:t>)；</w:t>
            </w:r>
            <w:r>
              <w:rPr>
                <w:rFonts w:hint="default" w:ascii="Times New Roman" w:hAnsi="Times New Roman" w:eastAsia="宋体" w:cs="Times New Roman"/>
                <w:b/>
                <w:color w:val="auto"/>
                <w:szCs w:val="24"/>
                <w:highlight w:val="none"/>
                <w:lang w:eastAsia="zh-CN"/>
              </w:rPr>
              <w:t>差：[2,0)，</w:t>
            </w:r>
            <w:r>
              <w:rPr>
                <w:rFonts w:hint="default" w:ascii="Times New Roman" w:hAnsi="Times New Roman" w:eastAsia="宋体" w:cs="Times New Roman"/>
                <w:b/>
                <w:color w:val="auto"/>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tcPr>
          <w:p w14:paraId="6A374708">
            <w:pPr>
              <w:pStyle w:val="37"/>
              <w:shd w:val="clear"/>
              <w:adjustRightInd w:val="0"/>
              <w:snapToGrid w:val="0"/>
              <w:spacing w:before="100" w:beforeAutospacing="1" w:after="100" w:afterAutospacing="1" w:line="360" w:lineRule="exact"/>
              <w:rPr>
                <w:rFonts w:hint="eastAsia" w:ascii="宋体" w:hAnsi="宋体" w:cs="宋体"/>
                <w:highlight w:val="none"/>
              </w:rPr>
            </w:pPr>
          </w:p>
        </w:tc>
      </w:tr>
      <w:tr w14:paraId="5406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60F2FCBC">
            <w:pPr>
              <w:shd w:val="clear"/>
              <w:jc w:val="center"/>
              <w:rPr>
                <w:rFonts w:hint="eastAsia" w:ascii="宋体" w:hAnsi="宋体" w:cs="宋体"/>
                <w:szCs w:val="21"/>
                <w:highlight w:val="none"/>
              </w:rPr>
            </w:pPr>
            <w:r>
              <w:rPr>
                <w:rFonts w:hint="eastAsia" w:ascii="宋体" w:hAnsi="宋体" w:cs="宋体"/>
                <w:highlight w:val="none"/>
              </w:rPr>
              <w:t>9</w:t>
            </w:r>
          </w:p>
        </w:tc>
        <w:tc>
          <w:tcPr>
            <w:tcW w:w="1182" w:type="dxa"/>
            <w:tcBorders>
              <w:top w:val="single" w:color="auto" w:sz="4" w:space="0"/>
              <w:left w:val="single" w:color="auto" w:sz="4" w:space="0"/>
              <w:bottom w:val="single" w:color="auto" w:sz="4" w:space="0"/>
              <w:right w:val="single" w:color="auto" w:sz="4" w:space="0"/>
            </w:tcBorders>
            <w:vAlign w:val="center"/>
          </w:tcPr>
          <w:p w14:paraId="36E46FD8">
            <w:pPr>
              <w:shd w:val="clear"/>
              <w:jc w:val="center"/>
              <w:rPr>
                <w:rFonts w:hint="eastAsia" w:ascii="宋体" w:hAnsi="宋体" w:cs="宋体"/>
                <w:highlight w:val="none"/>
              </w:rPr>
            </w:pPr>
            <w:r>
              <w:rPr>
                <w:rFonts w:hint="eastAsia" w:ascii="宋体" w:hAnsi="宋体" w:cs="宋体"/>
                <w:highlight w:val="none"/>
              </w:rPr>
              <w:t>勘察方案</w:t>
            </w:r>
          </w:p>
        </w:tc>
        <w:tc>
          <w:tcPr>
            <w:tcW w:w="1014" w:type="dxa"/>
            <w:tcBorders>
              <w:top w:val="single" w:color="auto" w:sz="4" w:space="0"/>
              <w:left w:val="single" w:color="auto" w:sz="4" w:space="0"/>
              <w:bottom w:val="single" w:color="auto" w:sz="4" w:space="0"/>
              <w:right w:val="single" w:color="auto" w:sz="4" w:space="0"/>
            </w:tcBorders>
            <w:vAlign w:val="center"/>
          </w:tcPr>
          <w:p w14:paraId="473EFDA7">
            <w:pPr>
              <w:shd w:val="clear"/>
              <w:jc w:val="center"/>
              <w:rPr>
                <w:rFonts w:hint="eastAsia" w:ascii="宋体" w:hAnsi="宋体" w:cs="宋体"/>
                <w:highlight w:val="none"/>
              </w:rPr>
            </w:pPr>
            <w:r>
              <w:rPr>
                <w:rFonts w:hint="eastAsia" w:ascii="宋体" w:hAnsi="宋体" w:cs="宋体"/>
                <w:highlight w:val="none"/>
              </w:rPr>
              <w:t>5</w:t>
            </w:r>
          </w:p>
        </w:tc>
        <w:tc>
          <w:tcPr>
            <w:tcW w:w="8734" w:type="dxa"/>
            <w:tcBorders>
              <w:top w:val="single" w:color="auto" w:sz="4" w:space="0"/>
              <w:left w:val="single" w:color="auto" w:sz="4" w:space="0"/>
              <w:bottom w:val="single" w:color="auto" w:sz="4" w:space="0"/>
              <w:right w:val="single" w:color="auto" w:sz="4" w:space="0"/>
            </w:tcBorders>
            <w:vAlign w:val="center"/>
          </w:tcPr>
          <w:p w14:paraId="4277B9D3">
            <w:pPr>
              <w:shd w:val="clear"/>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勘察的重点、难点理解及合理性建议；勘察工作流程，工期进度计划。技术支持度、跟踪服务能力，本地化服务的计划和实施承诺。</w:t>
            </w:r>
          </w:p>
          <w:p w14:paraId="2B9E2B1A">
            <w:pPr>
              <w:shd w:val="clear"/>
              <w:rPr>
                <w:rFonts w:hint="eastAsia" w:ascii="宋体" w:hAnsi="宋体" w:cs="宋体"/>
                <w:highlight w:val="none"/>
              </w:rPr>
            </w:pPr>
            <w:r>
              <w:rPr>
                <w:rFonts w:hint="default" w:ascii="Times New Roman" w:hAnsi="Times New Roman" w:eastAsia="宋体" w:cs="Times New Roman"/>
                <w:b/>
                <w:color w:val="auto"/>
                <w:highlight w:val="none"/>
                <w:lang w:eastAsia="zh-CN"/>
              </w:rPr>
              <w:t>优：[5,4)；良：[4,3)；中：[</w:t>
            </w:r>
            <w:r>
              <w:rPr>
                <w:rFonts w:ascii="Times New Roman" w:hAnsi="Times New Roman" w:eastAsia="宋体" w:cs="Times New Roman"/>
                <w:b/>
                <w:color w:val="auto"/>
                <w:highlight w:val="none"/>
                <w:lang w:eastAsia="zh-CN"/>
              </w:rPr>
              <w:t>3</w:t>
            </w:r>
            <w:r>
              <w:rPr>
                <w:rFonts w:hint="default" w:ascii="Times New Roman" w:hAnsi="Times New Roman" w:eastAsia="宋体" w:cs="Times New Roman"/>
                <w:b/>
                <w:color w:val="auto"/>
                <w:highlight w:val="none"/>
                <w:lang w:eastAsia="zh-CN"/>
              </w:rPr>
              <w:t>,</w:t>
            </w:r>
            <w:r>
              <w:rPr>
                <w:rFonts w:ascii="Times New Roman" w:hAnsi="Times New Roman" w:eastAsia="宋体" w:cs="Times New Roman"/>
                <w:b/>
                <w:color w:val="auto"/>
                <w:highlight w:val="none"/>
                <w:lang w:eastAsia="zh-CN"/>
              </w:rPr>
              <w:t>2</w:t>
            </w:r>
            <w:r>
              <w:rPr>
                <w:rFonts w:hint="default" w:ascii="Times New Roman" w:hAnsi="Times New Roman" w:eastAsia="宋体" w:cs="Times New Roman"/>
                <w:b/>
                <w:color w:val="auto"/>
                <w:highlight w:val="none"/>
                <w:lang w:eastAsia="zh-CN"/>
              </w:rPr>
              <w:t>)；</w:t>
            </w:r>
            <w:r>
              <w:rPr>
                <w:rFonts w:hint="default" w:ascii="Times New Roman" w:hAnsi="Times New Roman" w:eastAsia="宋体" w:cs="Times New Roman"/>
                <w:b/>
                <w:color w:val="auto"/>
                <w:szCs w:val="24"/>
                <w:highlight w:val="none"/>
                <w:lang w:eastAsia="zh-CN"/>
              </w:rPr>
              <w:t>差：[2,0)，</w:t>
            </w:r>
            <w:r>
              <w:rPr>
                <w:rFonts w:hint="default" w:ascii="Times New Roman" w:hAnsi="Times New Roman" w:eastAsia="宋体" w:cs="Times New Roman"/>
                <w:b/>
                <w:color w:val="auto"/>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tcPr>
          <w:p w14:paraId="34838FB0">
            <w:pPr>
              <w:pStyle w:val="37"/>
              <w:shd w:val="clear"/>
              <w:adjustRightInd w:val="0"/>
              <w:snapToGrid w:val="0"/>
              <w:spacing w:before="100" w:beforeAutospacing="1" w:after="100" w:afterAutospacing="1" w:line="360" w:lineRule="exact"/>
              <w:rPr>
                <w:rFonts w:hint="eastAsia" w:ascii="宋体" w:hAnsi="宋体" w:cs="宋体"/>
                <w:highlight w:val="none"/>
              </w:rPr>
            </w:pPr>
          </w:p>
        </w:tc>
      </w:tr>
      <w:tr w14:paraId="2780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916" w:type="dxa"/>
            <w:gridSpan w:val="2"/>
            <w:tcBorders>
              <w:top w:val="single" w:color="auto" w:sz="4" w:space="0"/>
              <w:left w:val="single" w:color="auto" w:sz="4" w:space="0"/>
              <w:bottom w:val="single" w:color="auto" w:sz="4" w:space="0"/>
              <w:right w:val="single" w:color="auto" w:sz="4" w:space="0"/>
            </w:tcBorders>
            <w:vAlign w:val="center"/>
          </w:tcPr>
          <w:p w14:paraId="7E0F7C1E">
            <w:pPr>
              <w:pStyle w:val="37"/>
              <w:shd w:val="clear"/>
              <w:adjustRightInd w:val="0"/>
              <w:snapToGrid w:val="0"/>
              <w:spacing w:before="100" w:beforeAutospacing="1" w:after="100" w:afterAutospacing="1" w:line="360" w:lineRule="exact"/>
              <w:rPr>
                <w:rFonts w:hint="eastAsia" w:ascii="宋体" w:hAnsi="宋体" w:cs="宋体"/>
                <w:szCs w:val="21"/>
                <w:highlight w:val="none"/>
              </w:rPr>
            </w:pPr>
            <w:r>
              <w:rPr>
                <w:rFonts w:hint="eastAsia" w:ascii="宋体" w:hAnsi="宋体" w:cs="宋体"/>
                <w:szCs w:val="21"/>
                <w:highlight w:val="none"/>
              </w:rPr>
              <w:t>设计方案</w:t>
            </w:r>
          </w:p>
        </w:tc>
        <w:tc>
          <w:tcPr>
            <w:tcW w:w="1014" w:type="dxa"/>
            <w:tcBorders>
              <w:top w:val="single" w:color="auto" w:sz="4" w:space="0"/>
              <w:left w:val="single" w:color="auto" w:sz="4" w:space="0"/>
              <w:bottom w:val="single" w:color="auto" w:sz="4" w:space="0"/>
              <w:right w:val="single" w:color="auto" w:sz="4" w:space="0"/>
            </w:tcBorders>
          </w:tcPr>
          <w:p w14:paraId="5664BD07">
            <w:pPr>
              <w:shd w:val="clear"/>
              <w:adjustRightInd w:val="0"/>
              <w:snapToGrid w:val="0"/>
              <w:spacing w:before="100" w:beforeAutospacing="1" w:after="100" w:afterAutospacing="1"/>
              <w:jc w:val="center"/>
              <w:rPr>
                <w:rFonts w:hint="eastAsia" w:ascii="宋体" w:hAnsi="宋体" w:cs="宋体"/>
                <w:highlight w:val="none"/>
              </w:rPr>
            </w:pPr>
            <w:r>
              <w:rPr>
                <w:rFonts w:hint="eastAsia" w:ascii="宋体" w:hAnsi="宋体" w:cs="宋体"/>
                <w:highlight w:val="none"/>
              </w:rPr>
              <w:t>100</w:t>
            </w:r>
          </w:p>
        </w:tc>
        <w:tc>
          <w:tcPr>
            <w:tcW w:w="8734" w:type="dxa"/>
            <w:tcBorders>
              <w:top w:val="single" w:color="auto" w:sz="4" w:space="0"/>
              <w:left w:val="single" w:color="auto" w:sz="4" w:space="0"/>
              <w:bottom w:val="single" w:color="auto" w:sz="4" w:space="0"/>
              <w:right w:val="single" w:color="auto" w:sz="4" w:space="0"/>
            </w:tcBorders>
            <w:vAlign w:val="center"/>
          </w:tcPr>
          <w:p w14:paraId="79FECC12">
            <w:pPr>
              <w:pStyle w:val="37"/>
              <w:shd w:val="clear"/>
              <w:adjustRightInd w:val="0"/>
              <w:snapToGrid w:val="0"/>
              <w:spacing w:before="100" w:beforeAutospacing="1" w:after="100" w:afterAutospacing="1" w:line="360" w:lineRule="exact"/>
              <w:rPr>
                <w:rFonts w:hint="eastAsia" w:ascii="宋体" w:hAnsi="宋体" w:cs="宋体"/>
                <w:highlight w:val="none"/>
              </w:rPr>
            </w:pPr>
          </w:p>
        </w:tc>
        <w:tc>
          <w:tcPr>
            <w:tcW w:w="3180" w:type="dxa"/>
            <w:tcBorders>
              <w:top w:val="single" w:color="auto" w:sz="4" w:space="0"/>
              <w:left w:val="single" w:color="auto" w:sz="4" w:space="0"/>
              <w:bottom w:val="single" w:color="auto" w:sz="4" w:space="0"/>
              <w:right w:val="single" w:color="auto" w:sz="4" w:space="0"/>
            </w:tcBorders>
          </w:tcPr>
          <w:p w14:paraId="0DFB0843">
            <w:pPr>
              <w:pStyle w:val="37"/>
              <w:shd w:val="clear"/>
              <w:adjustRightInd w:val="0"/>
              <w:snapToGrid w:val="0"/>
              <w:spacing w:before="100" w:beforeAutospacing="1" w:after="100" w:afterAutospacing="1" w:line="360" w:lineRule="exact"/>
              <w:rPr>
                <w:rFonts w:hint="eastAsia" w:ascii="宋体" w:hAnsi="宋体" w:cs="宋体"/>
                <w:highlight w:val="none"/>
              </w:rPr>
            </w:pPr>
          </w:p>
        </w:tc>
      </w:tr>
    </w:tbl>
    <w:p w14:paraId="46E00DBD">
      <w:pPr>
        <w:pStyle w:val="15"/>
        <w:widowControl w:val="0"/>
        <w:shd w:val="clear"/>
        <w:spacing w:beforeAutospacing="0" w:afterAutospacing="0"/>
        <w:ind w:firstLine="480" w:firstLineChars="200"/>
        <w:jc w:val="both"/>
        <w:rPr>
          <w:rFonts w:cs="宋体"/>
          <w:highlight w:val="none"/>
        </w:rPr>
      </w:pPr>
    </w:p>
    <w:p w14:paraId="2C7A00BD">
      <w:pPr>
        <w:pStyle w:val="15"/>
        <w:widowControl w:val="0"/>
        <w:shd w:val="clear"/>
        <w:spacing w:beforeAutospacing="0" w:afterAutospacing="0"/>
        <w:ind w:firstLine="480" w:firstLineChars="200"/>
        <w:jc w:val="both"/>
        <w:rPr>
          <w:rFonts w:cs="宋体"/>
          <w:sz w:val="20"/>
          <w:szCs w:val="20"/>
          <w:highlight w:val="none"/>
        </w:rPr>
      </w:pPr>
      <w:r>
        <w:rPr>
          <w:rFonts w:cs="宋体"/>
          <w:highlight w:val="none"/>
        </w:rPr>
        <w:t>注：表中“[ ]”代表闭区间，如[1，0]代表该分数段范围为大于等于0且小于等于1。表中“[  )”，如[1,0)代表该分数段范围为大于0且小于等于1。表中“（  ）”代表开区间，如（2，1）代表该分数段范围为大于1且小于2。</w:t>
      </w:r>
    </w:p>
    <w:bookmarkEnd w:id="338"/>
    <w:bookmarkEnd w:id="339"/>
    <w:p w14:paraId="142ED60E">
      <w:pPr>
        <w:pStyle w:val="15"/>
        <w:widowControl w:val="0"/>
        <w:shd w:val="clear"/>
        <w:spacing w:beforeAutospacing="0" w:afterAutospacing="0"/>
        <w:ind w:firstLine="400" w:firstLineChars="200"/>
        <w:jc w:val="both"/>
        <w:rPr>
          <w:rFonts w:cs="宋体"/>
          <w:sz w:val="20"/>
          <w:szCs w:val="20"/>
          <w:highlight w:val="none"/>
        </w:rPr>
      </w:pPr>
    </w:p>
    <w:bookmarkEnd w:id="336"/>
    <w:p w14:paraId="2B362958">
      <w:pPr>
        <w:shd w:val="clear"/>
        <w:rPr>
          <w:rFonts w:hint="eastAsia" w:ascii="宋体" w:hAnsi="宋体" w:cs="宋体"/>
          <w:kern w:val="0"/>
          <w:sz w:val="20"/>
          <w:szCs w:val="20"/>
          <w:highlight w:val="none"/>
        </w:rPr>
        <w:sectPr>
          <w:pgSz w:w="16838" w:h="11906" w:orient="landscape"/>
          <w:pgMar w:top="1440" w:right="1440" w:bottom="1469" w:left="1440" w:header="851" w:footer="992" w:gutter="0"/>
          <w:cols w:space="720" w:num="1"/>
          <w:docGrid w:type="lines" w:linePitch="312" w:charSpace="0"/>
        </w:sectPr>
      </w:pPr>
    </w:p>
    <w:p w14:paraId="3EDDC3C1">
      <w:pPr>
        <w:shd w:val="clear"/>
        <w:rPr>
          <w:rFonts w:hint="eastAsia" w:ascii="宋体" w:hAnsi="宋体" w:eastAsia="宋体" w:cs="宋体"/>
          <w:b/>
          <w:bCs/>
          <w:highlight w:val="none"/>
        </w:rPr>
      </w:pPr>
      <w:bookmarkStart w:id="340" w:name="_Toc13446"/>
      <w:bookmarkStart w:id="341" w:name="_Toc4495"/>
      <w:bookmarkStart w:id="342" w:name="_Toc26092"/>
      <w:bookmarkStart w:id="343" w:name="_Toc1866"/>
      <w:bookmarkStart w:id="344" w:name="_Toc3341"/>
      <w:bookmarkStart w:id="345" w:name="_Toc7685"/>
      <w:bookmarkStart w:id="346" w:name="_Toc8128"/>
      <w:r>
        <w:rPr>
          <w:rFonts w:hint="eastAsia" w:ascii="宋体" w:hAnsi="宋体" w:eastAsia="宋体" w:cs="宋体"/>
          <w:b/>
          <w:bCs/>
          <w:sz w:val="21"/>
          <w:szCs w:val="32"/>
          <w:highlight w:val="none"/>
        </w:rPr>
        <w:t>附录13-1 勘察初步设计商务部分评分表</w:t>
      </w:r>
      <w:bookmarkEnd w:id="340"/>
      <w:bookmarkEnd w:id="341"/>
      <w:bookmarkEnd w:id="342"/>
      <w:bookmarkEnd w:id="343"/>
      <w:bookmarkEnd w:id="344"/>
      <w:bookmarkEnd w:id="345"/>
    </w:p>
    <w:p w14:paraId="032DFA43">
      <w:pPr>
        <w:shd w:val="clear"/>
        <w:spacing w:before="0" w:after="0"/>
        <w:jc w:val="center"/>
        <w:outlineLvl w:val="9"/>
        <w:rPr>
          <w:rFonts w:hint="eastAsia"/>
          <w:b/>
          <w:bCs/>
          <w:sz w:val="28"/>
          <w:szCs w:val="28"/>
          <w:highlight w:val="none"/>
        </w:rPr>
      </w:pPr>
      <w:r>
        <w:rPr>
          <w:rFonts w:hint="eastAsia"/>
          <w:b/>
          <w:bCs/>
          <w:sz w:val="28"/>
          <w:szCs w:val="28"/>
          <w:highlight w:val="none"/>
        </w:rPr>
        <w:t>商务部分评分表</w:t>
      </w:r>
    </w:p>
    <w:tbl>
      <w:tblPr>
        <w:tblStyle w:val="19"/>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013"/>
        <w:gridCol w:w="733"/>
        <w:gridCol w:w="7499"/>
      </w:tblGrid>
      <w:tr w14:paraId="53F4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0" w:type="dxa"/>
            <w:vAlign w:val="center"/>
          </w:tcPr>
          <w:p w14:paraId="65B2B1F3">
            <w:pPr>
              <w:shd w:val="clea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lang w:val="zh-CN"/>
              </w:rPr>
              <w:t>序号</w:t>
            </w:r>
          </w:p>
        </w:tc>
        <w:tc>
          <w:tcPr>
            <w:tcW w:w="1013" w:type="dxa"/>
            <w:vAlign w:val="center"/>
          </w:tcPr>
          <w:p w14:paraId="73A954EE">
            <w:pPr>
              <w:shd w:val="clea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lang w:val="zh-CN"/>
              </w:rPr>
              <w:t>项目</w:t>
            </w:r>
          </w:p>
        </w:tc>
        <w:tc>
          <w:tcPr>
            <w:tcW w:w="733" w:type="dxa"/>
            <w:vAlign w:val="center"/>
          </w:tcPr>
          <w:p w14:paraId="35B11424">
            <w:pPr>
              <w:shd w:val="clea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lang w:val="zh-CN"/>
              </w:rPr>
              <w:t>分值分配</w:t>
            </w:r>
          </w:p>
        </w:tc>
        <w:tc>
          <w:tcPr>
            <w:tcW w:w="7499" w:type="dxa"/>
            <w:vAlign w:val="center"/>
          </w:tcPr>
          <w:p w14:paraId="2198A1E6">
            <w:pPr>
              <w:shd w:val="clea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lang w:val="zh-CN"/>
              </w:rPr>
              <w:t>内容</w:t>
            </w:r>
          </w:p>
        </w:tc>
      </w:tr>
      <w:tr w14:paraId="6009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0" w:type="dxa"/>
            <w:vAlign w:val="center"/>
          </w:tcPr>
          <w:p w14:paraId="0FDAAFCB">
            <w:pPr>
              <w:shd w:val="clea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一</w:t>
            </w:r>
          </w:p>
        </w:tc>
        <w:tc>
          <w:tcPr>
            <w:tcW w:w="1013" w:type="dxa"/>
            <w:vAlign w:val="center"/>
          </w:tcPr>
          <w:p w14:paraId="3BDA790D">
            <w:pPr>
              <w:shd w:val="clea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类似业绩</w:t>
            </w:r>
          </w:p>
        </w:tc>
        <w:tc>
          <w:tcPr>
            <w:tcW w:w="733" w:type="dxa"/>
            <w:vAlign w:val="center"/>
          </w:tcPr>
          <w:p w14:paraId="7DC8731B">
            <w:pPr>
              <w:pStyle w:val="41"/>
              <w:shd w:val="clear"/>
              <w:spacing w:line="240" w:lineRule="auto"/>
              <w:ind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25</w:t>
            </w:r>
          </w:p>
        </w:tc>
        <w:tc>
          <w:tcPr>
            <w:tcW w:w="7499" w:type="dxa"/>
          </w:tcPr>
          <w:p w14:paraId="4D81E8A6">
            <w:pPr>
              <w:shd w:val="clea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投标人（如为联合体投标，指联合体设计方）设计业绩情况：</w:t>
            </w:r>
          </w:p>
          <w:p w14:paraId="7FD63B55">
            <w:pPr>
              <w:shd w:val="clea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自202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年1月1日至投标截止为止，完成过总建筑面积</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万平方米或以上的房屋建筑工程设计业绩，每提供一个业绩得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分，本项最高得</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lang w:eastAsia="zh-CN"/>
              </w:rPr>
              <w:t>分。</w:t>
            </w:r>
          </w:p>
          <w:p w14:paraId="34BBE975">
            <w:pPr>
              <w:shd w:val="clear"/>
              <w:rPr>
                <w:rFonts w:hint="eastAsia" w:ascii="宋体" w:hAnsi="宋体" w:eastAsia="宋体" w:cs="宋体"/>
                <w:szCs w:val="21"/>
                <w:highlight w:val="none"/>
              </w:rPr>
            </w:pPr>
            <w:r>
              <w:rPr>
                <w:rFonts w:hint="eastAsia" w:ascii="宋体" w:hAnsi="宋体" w:eastAsia="宋体" w:cs="宋体"/>
                <w:color w:val="auto"/>
                <w:sz w:val="21"/>
                <w:szCs w:val="21"/>
                <w:highlight w:val="none"/>
                <w:lang w:eastAsia="zh-CN"/>
              </w:rPr>
              <w:t>注：须提供合同关键页及成果证明文件（初步设计批复或初步设计复函、或工程规划许可证、或施工图审查合格证明文件、或经该项目业主盖章确认的设计履行的证明）等扫描件。（1）时间以合同文件签订时间为准。（2）总建筑面积以合同文件(或初步设计批复或初步设计复函、或工程规划许可证、或施工图审查合格证明文件)为准，如均不能证明，可提供经该项目业主盖章确认的可证明业绩总建筑面积的其他证明文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）不符合上述条件或未提供相关证明材料或提供的证明材料无法体现相关业绩情况的不得分。</w:t>
            </w:r>
          </w:p>
        </w:tc>
      </w:tr>
      <w:tr w14:paraId="732C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0" w:type="dxa"/>
            <w:vMerge w:val="restart"/>
            <w:vAlign w:val="center"/>
          </w:tcPr>
          <w:p w14:paraId="3B81B528">
            <w:pPr>
              <w:shd w:val="clear"/>
              <w:autoSpaceDE w:val="0"/>
              <w:autoSpaceDN w:val="0"/>
              <w:adjustRightInd w:val="0"/>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二</w:t>
            </w:r>
          </w:p>
        </w:tc>
        <w:tc>
          <w:tcPr>
            <w:tcW w:w="1013" w:type="dxa"/>
            <w:vMerge w:val="restart"/>
            <w:vAlign w:val="center"/>
          </w:tcPr>
          <w:p w14:paraId="7C449F9F">
            <w:pPr>
              <w:shd w:val="clear"/>
              <w:autoSpaceDE w:val="0"/>
              <w:autoSpaceDN w:val="0"/>
              <w:adjustRightInd w:val="0"/>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企业获奖及科技创新</w:t>
            </w:r>
          </w:p>
        </w:tc>
        <w:tc>
          <w:tcPr>
            <w:tcW w:w="733" w:type="dxa"/>
            <w:vAlign w:val="center"/>
          </w:tcPr>
          <w:p w14:paraId="1FCD860F">
            <w:pPr>
              <w:shd w:val="clear"/>
              <w:autoSpaceDE w:val="0"/>
              <w:autoSpaceDN w:val="0"/>
              <w:adjustRightIn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15</w:t>
            </w:r>
          </w:p>
        </w:tc>
        <w:tc>
          <w:tcPr>
            <w:tcW w:w="7499" w:type="dxa"/>
          </w:tcPr>
          <w:p w14:paraId="5787A8F4">
            <w:pPr>
              <w:shd w:val="clea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投标人（如为联合体投标，指联合体设计方）设计类获奖情况：</w:t>
            </w:r>
          </w:p>
          <w:p w14:paraId="7E0EADCA">
            <w:pPr>
              <w:shd w:val="clear"/>
              <w:jc w:val="both"/>
              <w:rPr>
                <w:rFonts w:hint="eastAsia" w:ascii="宋体" w:hAnsi="宋体" w:eastAsia="宋体" w:cs="宋体"/>
                <w:szCs w:val="21"/>
                <w:highlight w:val="none"/>
              </w:rPr>
            </w:pPr>
            <w:r>
              <w:rPr>
                <w:rFonts w:hint="eastAsia" w:ascii="宋体" w:hAnsi="宋体" w:eastAsia="宋体" w:cs="宋体"/>
                <w:color w:val="auto"/>
                <w:sz w:val="21"/>
                <w:szCs w:val="21"/>
                <w:highlight w:val="none"/>
                <w:lang w:eastAsia="zh-CN"/>
              </w:rPr>
              <w:t>自202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年1月1日至投标截止为止，承接的房屋建筑工程设计项目获得设计类奖项：获得国家级（或行业级）奖项，每项得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分；获得省级（或直辖市）奖项，每项得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分；获得市级（含副省级）奖项，每项得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分。本项累计最高得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分。</w:t>
            </w:r>
          </w:p>
          <w:p w14:paraId="5E491E5A">
            <w:pPr>
              <w:shd w:val="clear"/>
              <w:rPr>
                <w:rFonts w:hint="eastAsia" w:ascii="宋体" w:hAnsi="宋体" w:eastAsia="宋体" w:cs="宋体"/>
                <w:szCs w:val="21"/>
                <w:highlight w:val="none"/>
              </w:rPr>
            </w:pPr>
            <w:r>
              <w:rPr>
                <w:rFonts w:hint="eastAsia" w:ascii="宋体" w:hAnsi="宋体" w:eastAsia="宋体" w:cs="宋体"/>
                <w:color w:val="auto"/>
                <w:sz w:val="21"/>
                <w:szCs w:val="21"/>
                <w:highlight w:val="none"/>
                <w:lang w:eastAsia="zh-CN"/>
              </w:rPr>
              <w:t>注：须</w:t>
            </w:r>
            <w:r>
              <w:rPr>
                <w:rFonts w:hint="eastAsia" w:ascii="宋体" w:hAnsi="宋体" w:eastAsia="宋体" w:cs="宋体"/>
                <w:color w:val="auto"/>
                <w:szCs w:val="21"/>
                <w:highlight w:val="none"/>
                <w:lang w:eastAsia="zh-CN"/>
              </w:rPr>
              <w:t>提供</w:t>
            </w:r>
            <w:r>
              <w:rPr>
                <w:rFonts w:hint="eastAsia" w:ascii="宋体" w:hAnsi="宋体" w:eastAsia="宋体" w:cs="宋体"/>
                <w:color w:val="auto"/>
                <w:sz w:val="21"/>
                <w:szCs w:val="21"/>
                <w:highlight w:val="none"/>
                <w:lang w:eastAsia="zh-CN"/>
              </w:rPr>
              <w:t>获奖证书扫描件。（1）国家级（或行业级）奖项由国务院颁发的国家科学技术奖、住建部的华夏建设科学技术奖励委员会颁发的华夏建设科学技术奖、住建部颁发的全国优秀工程勘察设计奖、中国勘察设计协会颁发的“全国优秀工程勘察设计行业奖”或“工程勘察、建筑设计行业和市政公用工程优秀勘察设计奖”（简称“行业优秀勘察设计奖”）；（2）省级（或直辖市）奖项由省级（或直辖市）人民政府颁发的“省（或直辖市）科学技术奖”、省级（或直辖市）建设行政主管部门或省级（或直辖市）工程勘察设计行业协会颁发的“省（或直辖市）优秀工程勘察设计奖”；（3）市级(含副省级)奖项由市级（含副省级）人民政府颁发的“市（含副省级）科学技术奖”、市级(含副省级)建设行政主管部门或市级(含副省级)工程勘察设计行业协会颁发的“市(含副省级)优秀工程勘察设计奖”。（4）奖项等级如下：国家级的（国家科学技术奖、全国优秀工程勘察设计奖）、行业级的（华夏建设科学技术奖、全国优秀工程勘察设计行业奖）、省级（或直辖市）的（省（或直辖市）科学技术奖、省（或直辖市）优秀工程勘察设计奖）、市级(含副省级)的（市(含副省级)科学技术奖、市(含副省级)优秀工程勘察设计奖）。（5）获奖时间以获奖证书的发证日期为准，同一项目获得多个设计奖项的，按最高级别奖项只计一次得分，不重复计取。若同一项目勘察和设计均获奖，则分别按勘察和设计的最高奖项各计取1次。（6）不符合上述条件或未提供相关证明材料的不得分。</w:t>
            </w:r>
          </w:p>
        </w:tc>
      </w:tr>
      <w:tr w14:paraId="0BA5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0" w:type="dxa"/>
            <w:vMerge w:val="continue"/>
            <w:vAlign w:val="center"/>
          </w:tcPr>
          <w:p w14:paraId="60927E0D">
            <w:pPr>
              <w:shd w:val="clear"/>
              <w:rPr>
                <w:rFonts w:hint="eastAsia" w:ascii="宋体" w:hAnsi="宋体" w:eastAsia="宋体" w:cs="宋体"/>
                <w:szCs w:val="21"/>
                <w:highlight w:val="none"/>
              </w:rPr>
            </w:pPr>
          </w:p>
        </w:tc>
        <w:tc>
          <w:tcPr>
            <w:tcW w:w="1013" w:type="dxa"/>
            <w:vMerge w:val="continue"/>
            <w:vAlign w:val="center"/>
          </w:tcPr>
          <w:p w14:paraId="03D0099D">
            <w:pPr>
              <w:shd w:val="clear"/>
              <w:rPr>
                <w:rFonts w:hint="eastAsia" w:ascii="宋体" w:hAnsi="宋体" w:eastAsia="宋体" w:cs="宋体"/>
                <w:szCs w:val="21"/>
                <w:highlight w:val="none"/>
              </w:rPr>
            </w:pPr>
          </w:p>
        </w:tc>
        <w:tc>
          <w:tcPr>
            <w:tcW w:w="733" w:type="dxa"/>
            <w:vAlign w:val="center"/>
          </w:tcPr>
          <w:p w14:paraId="3FF4D26A">
            <w:pPr>
              <w:shd w:val="clea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15</w:t>
            </w:r>
          </w:p>
        </w:tc>
        <w:tc>
          <w:tcPr>
            <w:tcW w:w="7499" w:type="dxa"/>
          </w:tcPr>
          <w:p w14:paraId="7BD296FB">
            <w:pPr>
              <w:shd w:val="clea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投标人（如为联合体投标，指联合体设计方）BIM类获奖情况：</w:t>
            </w:r>
          </w:p>
          <w:p w14:paraId="324FCCC2">
            <w:pPr>
              <w:shd w:val="clea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自202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年1月1日至投标截止为止，承接的房屋建筑工程设计项目获得建筑工程类BIM应用项目奖项：获得国家级奖项，每项得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分；获得省级奖项，每项得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分；获得市级（含副省级）奖项，每项得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分。本项累计最高得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分。</w:t>
            </w:r>
          </w:p>
          <w:p w14:paraId="7CA81ED1">
            <w:pPr>
              <w:shd w:val="clear"/>
              <w:rPr>
                <w:rFonts w:hint="eastAsia" w:ascii="宋体" w:hAnsi="宋体" w:eastAsia="宋体" w:cs="宋体"/>
                <w:szCs w:val="21"/>
                <w:highlight w:val="none"/>
              </w:rPr>
            </w:pPr>
            <w:r>
              <w:rPr>
                <w:rFonts w:hint="eastAsia" w:ascii="宋体" w:hAnsi="宋体" w:eastAsia="宋体" w:cs="宋体"/>
                <w:color w:val="auto"/>
                <w:sz w:val="21"/>
                <w:szCs w:val="21"/>
                <w:highlight w:val="none"/>
                <w:lang w:eastAsia="zh-CN"/>
              </w:rPr>
              <w:t>注：须提供获奖证书扫描件。（1）国家级获奖包括但不限于由中国勘察设计协会主办的“创新杯”建筑模型（BIM）应用大赛、中国图学学会主办的“龙图杯”全国BIM（建筑信息模型）大赛、中国建筑业协会颁发的BIM项目奖项、中国建筑业协会颁发的中国建设工程BIM大赛奖、中国施工企业管理协会颁发的工程建设行业BIM大赛奖、国家工业和信息化部人才交流中心颁发的“优路杯”全国BIM技术大赛奖、中国建筑装饰协会工业和信息化分会颁发的CBDA建筑装饰BIM应用大赛奖、中国信息协会颁发的建筑信息模型赛项(BIM)技术应用大赛奖、中国建筑装饰协会绿色智慧建造分会颁发的“优智杯”智慧建造应用大赛奖等；（2）省级、市级（含副省级）奖项是指各省、市（含副省级）</w:t>
            </w:r>
            <w:r>
              <w:rPr>
                <w:rFonts w:hint="eastAsia" w:ascii="宋体" w:hAnsi="宋体" w:eastAsia="宋体" w:cs="宋体"/>
                <w:color w:val="auto"/>
                <w:sz w:val="21"/>
                <w:szCs w:val="21"/>
                <w:highlight w:val="none"/>
                <w:shd w:val="clear" w:color="auto" w:fill="FFFFFF"/>
                <w:lang w:eastAsia="zh-CN"/>
              </w:rPr>
              <w:t>建设行政主管部门或</w:t>
            </w:r>
            <w:r>
              <w:rPr>
                <w:rFonts w:hint="eastAsia" w:ascii="宋体" w:hAnsi="宋体" w:eastAsia="宋体" w:cs="宋体"/>
                <w:color w:val="auto"/>
                <w:sz w:val="21"/>
                <w:szCs w:val="21"/>
                <w:highlight w:val="none"/>
                <w:lang w:eastAsia="zh-CN"/>
              </w:rPr>
              <w:t>工程勘察设计行业类协会颁发的BIM项目奖项。（3）获奖时间以获奖证书的发证日期为准，同一项目获得多个BIM奖项的，按最高级别奖项只计一次得分，不重复计取。（4）不符合上述条件或未提供相关证明材料的不得分。</w:t>
            </w:r>
          </w:p>
        </w:tc>
      </w:tr>
      <w:tr w14:paraId="78A5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0" w:type="dxa"/>
            <w:vAlign w:val="center"/>
          </w:tcPr>
          <w:p w14:paraId="0230B570">
            <w:pPr>
              <w:shd w:val="clear"/>
              <w:autoSpaceDE w:val="0"/>
              <w:autoSpaceDN w:val="0"/>
              <w:adjustRightInd w:val="0"/>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三</w:t>
            </w:r>
          </w:p>
        </w:tc>
        <w:tc>
          <w:tcPr>
            <w:tcW w:w="1013" w:type="dxa"/>
            <w:vAlign w:val="center"/>
          </w:tcPr>
          <w:p w14:paraId="5C573EA2">
            <w:pPr>
              <w:shd w:val="clea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拟派项目负责人执业资格</w:t>
            </w:r>
          </w:p>
          <w:p w14:paraId="6DB6F83B">
            <w:pPr>
              <w:shd w:val="clea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18</w:t>
            </w:r>
            <w:r>
              <w:rPr>
                <w:rFonts w:hint="eastAsia" w:ascii="宋体" w:hAnsi="宋体" w:eastAsia="宋体" w:cs="宋体"/>
                <w:szCs w:val="21"/>
                <w:highlight w:val="none"/>
              </w:rPr>
              <w:t>分）</w:t>
            </w:r>
          </w:p>
        </w:tc>
        <w:tc>
          <w:tcPr>
            <w:tcW w:w="733" w:type="dxa"/>
            <w:vAlign w:val="center"/>
          </w:tcPr>
          <w:p w14:paraId="421E8D78">
            <w:pPr>
              <w:shd w:val="clear"/>
              <w:autoSpaceDE w:val="0"/>
              <w:autoSpaceDN w:val="0"/>
              <w:adjustRightIn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18</w:t>
            </w:r>
          </w:p>
        </w:tc>
        <w:tc>
          <w:tcPr>
            <w:tcW w:w="7499" w:type="dxa"/>
            <w:vAlign w:val="center"/>
          </w:tcPr>
          <w:p w14:paraId="3BB8C603">
            <w:pPr>
              <w:shd w:val="clea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投标人（如为联合体投标，指联合体设计方）：</w:t>
            </w:r>
          </w:p>
          <w:p w14:paraId="485C5427">
            <w:pPr>
              <w:shd w:val="clea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1.拟派项目负责人具有15年（</w:t>
            </w:r>
            <w:r>
              <w:rPr>
                <w:rFonts w:hint="eastAsia" w:ascii="宋体" w:hAnsi="宋体" w:eastAsia="宋体" w:cs="宋体"/>
                <w:color w:val="auto"/>
                <w:sz w:val="21"/>
                <w:szCs w:val="21"/>
                <w:highlight w:val="none"/>
                <w:lang w:val="en-US" w:eastAsia="zh-CN"/>
              </w:rPr>
              <w:t>含</w:t>
            </w:r>
            <w:r>
              <w:rPr>
                <w:rFonts w:hint="eastAsia" w:ascii="宋体" w:hAnsi="宋体" w:eastAsia="宋体" w:cs="宋体"/>
                <w:color w:val="auto"/>
                <w:sz w:val="21"/>
                <w:szCs w:val="21"/>
                <w:highlight w:val="none"/>
                <w:lang w:eastAsia="zh-CN"/>
              </w:rPr>
              <w:t>）或以上工作经历的，得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分；具有10（</w:t>
            </w:r>
            <w:r>
              <w:rPr>
                <w:rFonts w:hint="eastAsia" w:ascii="宋体" w:hAnsi="宋体" w:eastAsia="宋体" w:cs="宋体"/>
                <w:color w:val="auto"/>
                <w:sz w:val="21"/>
                <w:szCs w:val="21"/>
                <w:highlight w:val="none"/>
                <w:lang w:val="en-US" w:eastAsia="zh-CN"/>
              </w:rPr>
              <w:t>含</w:t>
            </w:r>
            <w:r>
              <w:rPr>
                <w:rFonts w:hint="eastAsia" w:ascii="宋体" w:hAnsi="宋体" w:eastAsia="宋体" w:cs="宋体"/>
                <w:color w:val="auto"/>
                <w:sz w:val="21"/>
                <w:szCs w:val="21"/>
                <w:highlight w:val="none"/>
                <w:lang w:eastAsia="zh-CN"/>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不含</w:t>
            </w:r>
            <w:r>
              <w:rPr>
                <w:rFonts w:hint="eastAsia" w:ascii="宋体" w:hAnsi="宋体" w:eastAsia="宋体" w:cs="宋体"/>
                <w:color w:val="auto"/>
                <w:sz w:val="21"/>
                <w:szCs w:val="21"/>
                <w:highlight w:val="none"/>
                <w:lang w:eastAsia="zh-CN"/>
              </w:rPr>
              <w:t>）年工作经历的，得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分；具有</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不含</w:t>
            </w:r>
            <w:r>
              <w:rPr>
                <w:rFonts w:hint="eastAsia" w:ascii="宋体" w:hAnsi="宋体" w:eastAsia="宋体" w:cs="宋体"/>
                <w:color w:val="auto"/>
                <w:sz w:val="21"/>
                <w:szCs w:val="21"/>
                <w:highlight w:val="none"/>
                <w:lang w:eastAsia="zh-CN"/>
              </w:rPr>
              <w:t>）年工作经历的，得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分。本小项最高得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分。（工作经历以大专或以上学历的毕业证的时间开始计算）</w:t>
            </w:r>
          </w:p>
          <w:p w14:paraId="1D6CB401">
            <w:pPr>
              <w:shd w:val="clea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2.自202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年1月1日至投标截止时间止担任项目负责人（或设计负责人）主持过总建筑面积</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万平方米或以上的房屋建筑工程设计业绩的，每项得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分，本小项最高得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w:t>
            </w:r>
          </w:p>
          <w:p w14:paraId="09451534">
            <w:pPr>
              <w:shd w:val="clea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3、拟派项目负责人具有建筑工程相关专业</w:t>
            </w:r>
            <w:r>
              <w:rPr>
                <w:rFonts w:hint="eastAsia" w:ascii="宋体" w:hAnsi="宋体" w:cs="宋体"/>
                <w:color w:val="auto"/>
                <w:sz w:val="21"/>
                <w:szCs w:val="21"/>
                <w:highlight w:val="none"/>
                <w:lang w:val="en-US" w:eastAsia="zh-CN"/>
              </w:rPr>
              <w:t>副</w:t>
            </w:r>
            <w:r>
              <w:rPr>
                <w:rFonts w:hint="eastAsia" w:ascii="宋体" w:hAnsi="宋体" w:eastAsia="宋体" w:cs="宋体"/>
                <w:color w:val="auto"/>
                <w:sz w:val="21"/>
                <w:szCs w:val="21"/>
                <w:highlight w:val="none"/>
                <w:lang w:val="en-US" w:eastAsia="zh-CN"/>
              </w:rPr>
              <w:t>高级</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或以上</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工程师</w:t>
            </w:r>
            <w:r>
              <w:rPr>
                <w:rFonts w:hint="eastAsia" w:ascii="宋体" w:hAnsi="宋体" w:cs="宋体"/>
                <w:color w:val="auto"/>
                <w:sz w:val="21"/>
                <w:szCs w:val="21"/>
                <w:highlight w:val="none"/>
                <w:lang w:val="en-US" w:eastAsia="zh-CN"/>
              </w:rPr>
              <w:t>职称的</w:t>
            </w:r>
            <w:r>
              <w:rPr>
                <w:rFonts w:hint="eastAsia" w:ascii="宋体" w:hAnsi="宋体" w:eastAsia="宋体" w:cs="宋体"/>
                <w:color w:val="auto"/>
                <w:sz w:val="21"/>
                <w:szCs w:val="21"/>
                <w:highlight w:val="none"/>
                <w:lang w:val="en-US" w:eastAsia="zh-CN"/>
              </w:rPr>
              <w:t>，得2分；具有建筑工程相关专业中级工程师</w:t>
            </w:r>
            <w:r>
              <w:rPr>
                <w:rFonts w:hint="eastAsia" w:ascii="宋体" w:hAnsi="宋体" w:cs="宋体"/>
                <w:color w:val="auto"/>
                <w:sz w:val="21"/>
                <w:szCs w:val="21"/>
                <w:highlight w:val="none"/>
                <w:lang w:val="en-US" w:eastAsia="zh-CN"/>
              </w:rPr>
              <w:t>职称的</w:t>
            </w:r>
            <w:r>
              <w:rPr>
                <w:rFonts w:hint="eastAsia" w:ascii="宋体" w:hAnsi="宋体" w:eastAsia="宋体" w:cs="宋体"/>
                <w:color w:val="auto"/>
                <w:sz w:val="21"/>
                <w:szCs w:val="21"/>
                <w:highlight w:val="none"/>
                <w:lang w:val="en-US" w:eastAsia="zh-CN"/>
              </w:rPr>
              <w:t>，得1分。</w:t>
            </w:r>
          </w:p>
          <w:p w14:paraId="1E16BF9E">
            <w:pPr>
              <w:shd w:val="clear"/>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注：须</w:t>
            </w:r>
            <w:r>
              <w:rPr>
                <w:rFonts w:hint="eastAsia" w:ascii="宋体" w:hAnsi="宋体" w:cs="宋体"/>
                <w:color w:val="auto"/>
                <w:highlight w:val="none"/>
                <w:lang w:val="en-US" w:eastAsia="zh-CN"/>
              </w:rPr>
              <w:t>对应</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Cs w:val="21"/>
                <w:highlight w:val="none"/>
                <w:lang w:val="en-US" w:eastAsia="zh-CN"/>
              </w:rPr>
              <w:t>职称证书</w:t>
            </w:r>
            <w:r>
              <w:rPr>
                <w:rFonts w:hint="eastAsia" w:ascii="宋体" w:hAnsi="宋体" w:eastAsia="宋体" w:cs="宋体"/>
                <w:color w:val="auto"/>
                <w:szCs w:val="21"/>
                <w:highlight w:val="none"/>
                <w:lang w:eastAsia="zh-CN"/>
              </w:rPr>
              <w:t>、毕业证、合同关键页及成果证明文件（初步设计批复或初步设计复函、或工程规划许可证、或施工图审查合格证明文件、或经该项目业主盖章确认的设计履行的证明）等扫描件、投标截止时间近1个月的有效社保证明等证明材料扫描件（不含投标人的子公司，含非独立法人的分公司或分支机构）购买社保的缴费记录；因改制或重组的企业或事业单位人员社保由上级主管部门缴纳的，除提供上级主管部门缴纳社保证明扫描件外，需由上级主管部门出具证明说明）。（上述人员为香港专业人士的，需提供资格备案的业务范围符合本招标项目对上述人员要求的香港专业人士的证明材料扫描件）。</w:t>
            </w:r>
          </w:p>
          <w:p w14:paraId="15F4852D">
            <w:pPr>
              <w:shd w:val="clear"/>
              <w:rPr>
                <w:rFonts w:hint="eastAsia" w:ascii="宋体" w:hAnsi="宋体" w:eastAsia="宋体" w:cs="宋体"/>
                <w:szCs w:val="21"/>
                <w:highlight w:val="none"/>
              </w:rPr>
            </w:pPr>
            <w:r>
              <w:rPr>
                <w:rFonts w:hint="eastAsia" w:ascii="宋体" w:hAnsi="宋体" w:eastAsia="宋体" w:cs="宋体"/>
                <w:color w:val="auto"/>
                <w:szCs w:val="21"/>
                <w:highlight w:val="none"/>
                <w:lang w:eastAsia="zh-CN"/>
              </w:rPr>
              <w:t>设计业绩：（1）时间以合同文件签订时间为准。（2）项目负责人的名字及任职以合同文件(或初步设计批复或初步设计复函、或工程规划许可证、或施工图审查合格证明文件)为准，如均不能证明，可提供经该项目业主盖章确认的其他证明文件。（3）总建筑面积以合同文件(或初步设计批复或初步设计复函、或工程规划许可证、或施工图审查合格证明文件)为准，如均不能证明，可提供经该项目业主盖章确认的可证明业绩总建筑面积的其他证明文件。</w:t>
            </w:r>
          </w:p>
        </w:tc>
      </w:tr>
      <w:tr w14:paraId="3B81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0" w:type="dxa"/>
            <w:vAlign w:val="center"/>
          </w:tcPr>
          <w:p w14:paraId="6F07C229">
            <w:pPr>
              <w:shd w:val="clear"/>
              <w:autoSpaceDE w:val="0"/>
              <w:autoSpaceDN w:val="0"/>
              <w:adjustRightInd w:val="0"/>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四</w:t>
            </w:r>
          </w:p>
        </w:tc>
        <w:tc>
          <w:tcPr>
            <w:tcW w:w="1013" w:type="dxa"/>
            <w:vAlign w:val="center"/>
          </w:tcPr>
          <w:p w14:paraId="3D4DADE4">
            <w:pPr>
              <w:shd w:val="clea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项目团队人员配备及技术水平</w:t>
            </w:r>
          </w:p>
        </w:tc>
        <w:tc>
          <w:tcPr>
            <w:tcW w:w="733" w:type="dxa"/>
            <w:vAlign w:val="center"/>
          </w:tcPr>
          <w:p w14:paraId="3781AFAB">
            <w:pPr>
              <w:shd w:val="clea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21</w:t>
            </w:r>
          </w:p>
        </w:tc>
        <w:tc>
          <w:tcPr>
            <w:tcW w:w="7499" w:type="dxa"/>
            <w:vAlign w:val="center"/>
          </w:tcPr>
          <w:p w14:paraId="233ED747">
            <w:pPr>
              <w:shd w:val="clea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拟派团队人员的技术水平：</w:t>
            </w:r>
          </w:p>
          <w:p w14:paraId="5544801D">
            <w:pPr>
              <w:shd w:val="clear"/>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拟派团队人员满足《勘察</w:t>
            </w:r>
            <w:r>
              <w:rPr>
                <w:rFonts w:hint="eastAsia" w:ascii="宋体" w:hAnsi="宋体" w:eastAsia="宋体" w:cs="宋体"/>
                <w:color w:val="auto"/>
                <w:sz w:val="21"/>
                <w:szCs w:val="21"/>
                <w:highlight w:val="none"/>
                <w:lang w:val="en-US" w:eastAsia="zh-CN"/>
              </w:rPr>
              <w:t>初步</w:t>
            </w:r>
            <w:r>
              <w:rPr>
                <w:rFonts w:hint="eastAsia" w:ascii="宋体" w:hAnsi="宋体" w:eastAsia="宋体" w:cs="宋体"/>
                <w:color w:val="auto"/>
                <w:sz w:val="21"/>
                <w:szCs w:val="21"/>
                <w:highlight w:val="none"/>
                <w:lang w:eastAsia="zh-CN"/>
              </w:rPr>
              <w:t>设计服务人员配备要求表》要求的，得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分，不满足要求的不得分。</w:t>
            </w:r>
          </w:p>
          <w:p w14:paraId="54447C2D">
            <w:pPr>
              <w:shd w:val="clear"/>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在</w:t>
            </w:r>
            <w:r>
              <w:rPr>
                <w:rFonts w:hint="eastAsia" w:ascii="宋体" w:hAnsi="宋体" w:eastAsia="宋体" w:cs="宋体"/>
                <w:color w:val="auto"/>
                <w:szCs w:val="21"/>
                <w:highlight w:val="none"/>
                <w:lang w:eastAsia="zh-CN"/>
              </w:rPr>
              <w:t>满足</w:t>
            </w:r>
            <w:r>
              <w:rPr>
                <w:rFonts w:hint="eastAsia" w:ascii="宋体" w:hAnsi="宋体" w:eastAsia="宋体" w:cs="宋体"/>
                <w:color w:val="auto"/>
                <w:sz w:val="21"/>
                <w:szCs w:val="21"/>
                <w:highlight w:val="none"/>
                <w:lang w:eastAsia="zh-CN"/>
              </w:rPr>
              <w:t>《勘察</w:t>
            </w:r>
            <w:r>
              <w:rPr>
                <w:rFonts w:hint="eastAsia" w:ascii="宋体" w:hAnsi="宋体" w:eastAsia="宋体" w:cs="宋体"/>
                <w:color w:val="auto"/>
                <w:sz w:val="21"/>
                <w:szCs w:val="21"/>
                <w:highlight w:val="none"/>
                <w:lang w:val="en-US" w:eastAsia="zh-CN"/>
              </w:rPr>
              <w:t>初步</w:t>
            </w:r>
            <w:r>
              <w:rPr>
                <w:rFonts w:hint="eastAsia" w:ascii="宋体" w:hAnsi="宋体" w:eastAsia="宋体" w:cs="宋体"/>
                <w:color w:val="auto"/>
                <w:sz w:val="21"/>
                <w:szCs w:val="21"/>
                <w:highlight w:val="none"/>
                <w:lang w:eastAsia="zh-CN"/>
              </w:rPr>
              <w:t>设计服务人员配备要求表》的基础上，对配备的团队人员的素质情况进行加分：</w:t>
            </w:r>
          </w:p>
          <w:p w14:paraId="0339C362">
            <w:pPr>
              <w:shd w:val="clear"/>
              <w:jc w:val="both"/>
              <w:rPr>
                <w:rFonts w:hint="eastAsia" w:ascii="宋体" w:hAnsi="宋体" w:eastAsia="宋体" w:cs="宋体"/>
                <w:strike/>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1）投标人（如为联合体投标，指联合体设计方）</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10分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p>
          <w:p w14:paraId="37BDBEB0">
            <w:pPr>
              <w:shd w:val="clea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①建筑专业负责人：具有建筑工程相关专业</w:t>
            </w:r>
            <w:r>
              <w:rPr>
                <w:rFonts w:hint="eastAsia" w:ascii="宋体" w:hAnsi="宋体" w:cs="宋体"/>
                <w:color w:val="auto"/>
                <w:sz w:val="21"/>
                <w:szCs w:val="21"/>
                <w:highlight w:val="none"/>
                <w:lang w:val="en-US" w:eastAsia="zh-CN"/>
              </w:rPr>
              <w:t>副</w:t>
            </w:r>
            <w:r>
              <w:rPr>
                <w:rFonts w:hint="eastAsia" w:ascii="宋体" w:hAnsi="宋体" w:eastAsia="宋体" w:cs="宋体"/>
                <w:color w:val="auto"/>
                <w:sz w:val="21"/>
                <w:szCs w:val="21"/>
                <w:highlight w:val="none"/>
                <w:lang w:eastAsia="zh-CN"/>
              </w:rPr>
              <w:t>高级</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或以上</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工程师职称的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得2分；具有建筑工程相关专业中级工程师职称的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得1分；</w:t>
            </w:r>
          </w:p>
          <w:p w14:paraId="27D985DC">
            <w:pPr>
              <w:shd w:val="clea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②结构专业负责人：具有结构相关专业</w:t>
            </w:r>
            <w:r>
              <w:rPr>
                <w:rFonts w:hint="eastAsia" w:ascii="宋体" w:hAnsi="宋体" w:cs="宋体"/>
                <w:color w:val="auto"/>
                <w:sz w:val="21"/>
                <w:szCs w:val="21"/>
                <w:highlight w:val="none"/>
                <w:lang w:val="en-US" w:eastAsia="zh-CN"/>
              </w:rPr>
              <w:t>副</w:t>
            </w:r>
            <w:r>
              <w:rPr>
                <w:rFonts w:hint="eastAsia" w:ascii="宋体" w:hAnsi="宋体" w:eastAsia="宋体" w:cs="宋体"/>
                <w:color w:val="auto"/>
                <w:sz w:val="21"/>
                <w:szCs w:val="21"/>
                <w:highlight w:val="none"/>
                <w:lang w:eastAsia="zh-CN"/>
              </w:rPr>
              <w:t>高级</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或以上</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工程师职称的得2分；具有结构相关专业中级工程师职称的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得1分；</w:t>
            </w:r>
          </w:p>
          <w:p w14:paraId="0AA9D53F">
            <w:pPr>
              <w:shd w:val="clea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③</w:t>
            </w:r>
            <w:r>
              <w:rPr>
                <w:rFonts w:hint="eastAsia" w:ascii="宋体" w:hAnsi="宋体" w:eastAsia="宋体" w:cs="宋体"/>
                <w:color w:val="auto"/>
                <w:szCs w:val="21"/>
                <w:highlight w:val="none"/>
                <w:lang w:eastAsia="zh-CN"/>
              </w:rPr>
              <w:t>给排水</w:t>
            </w:r>
            <w:r>
              <w:rPr>
                <w:rFonts w:hint="eastAsia" w:ascii="宋体" w:hAnsi="宋体" w:eastAsia="宋体" w:cs="宋体"/>
                <w:color w:val="auto"/>
                <w:sz w:val="21"/>
                <w:szCs w:val="21"/>
                <w:highlight w:val="none"/>
                <w:lang w:eastAsia="zh-CN"/>
              </w:rPr>
              <w:t>专业负责人：具有给排水相关专业</w:t>
            </w:r>
            <w:r>
              <w:rPr>
                <w:rFonts w:hint="eastAsia" w:ascii="宋体" w:hAnsi="宋体" w:cs="宋体"/>
                <w:color w:val="auto"/>
                <w:sz w:val="21"/>
                <w:szCs w:val="21"/>
                <w:highlight w:val="none"/>
                <w:lang w:val="en-US" w:eastAsia="zh-CN"/>
              </w:rPr>
              <w:t>副</w:t>
            </w:r>
            <w:r>
              <w:rPr>
                <w:rFonts w:hint="eastAsia" w:ascii="宋体" w:hAnsi="宋体" w:eastAsia="宋体" w:cs="宋体"/>
                <w:color w:val="auto"/>
                <w:sz w:val="21"/>
                <w:szCs w:val="21"/>
                <w:highlight w:val="none"/>
                <w:lang w:eastAsia="zh-CN"/>
              </w:rPr>
              <w:t>高级</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或以上</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工程师职称的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得2分；具有给排水相关专业中级工程师职称的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得1分；</w:t>
            </w:r>
          </w:p>
          <w:p w14:paraId="5FF387D3">
            <w:pPr>
              <w:shd w:val="clea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④电气专业负责人：具有电气相关专业</w:t>
            </w:r>
            <w:r>
              <w:rPr>
                <w:rFonts w:hint="eastAsia" w:ascii="宋体" w:hAnsi="宋体" w:cs="宋体"/>
                <w:color w:val="auto"/>
                <w:sz w:val="21"/>
                <w:szCs w:val="21"/>
                <w:highlight w:val="none"/>
                <w:lang w:val="en-US" w:eastAsia="zh-CN"/>
              </w:rPr>
              <w:t>副</w:t>
            </w:r>
            <w:r>
              <w:rPr>
                <w:rFonts w:hint="eastAsia" w:ascii="宋体" w:hAnsi="宋体" w:eastAsia="宋体" w:cs="宋体"/>
                <w:color w:val="auto"/>
                <w:sz w:val="21"/>
                <w:szCs w:val="21"/>
                <w:highlight w:val="none"/>
                <w:lang w:eastAsia="zh-CN"/>
              </w:rPr>
              <w:t>高级</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或以上</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工程师职称的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得2分；具有电气相关专业中级工程师职称的得1分；</w:t>
            </w:r>
          </w:p>
          <w:p w14:paraId="74C00B39">
            <w:pPr>
              <w:shd w:val="clea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⑤暖通空调专业负责人：具有暖通空调相关专业</w:t>
            </w:r>
            <w:r>
              <w:rPr>
                <w:rFonts w:hint="eastAsia" w:ascii="宋体" w:hAnsi="宋体" w:cs="宋体"/>
                <w:color w:val="auto"/>
                <w:sz w:val="21"/>
                <w:szCs w:val="21"/>
                <w:highlight w:val="none"/>
                <w:lang w:val="en-US" w:eastAsia="zh-CN"/>
              </w:rPr>
              <w:t>副</w:t>
            </w:r>
            <w:r>
              <w:rPr>
                <w:rFonts w:hint="eastAsia" w:ascii="宋体" w:hAnsi="宋体" w:eastAsia="宋体" w:cs="宋体"/>
                <w:color w:val="auto"/>
                <w:sz w:val="21"/>
                <w:szCs w:val="21"/>
                <w:highlight w:val="none"/>
                <w:lang w:eastAsia="zh-CN"/>
              </w:rPr>
              <w:t>高级</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或以上</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工程师职称的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得2分；具有暖通空调相关专业中级工程师职称的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得1分</w:t>
            </w:r>
            <w:r>
              <w:rPr>
                <w:rFonts w:hint="eastAsia" w:ascii="宋体" w:hAnsi="宋体" w:cs="宋体"/>
                <w:color w:val="auto"/>
                <w:sz w:val="21"/>
                <w:szCs w:val="21"/>
                <w:highlight w:val="none"/>
                <w:lang w:eastAsia="zh-CN"/>
              </w:rPr>
              <w:t>。</w:t>
            </w:r>
          </w:p>
          <w:p w14:paraId="418B2D83">
            <w:pPr>
              <w:numPr>
                <w:ilvl w:val="-1"/>
                <w:numId w:val="0"/>
              </w:numPr>
              <w:shd w:val="clear"/>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投标人（如为联合体投标，指联合体设计方）</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p>
          <w:p w14:paraId="49929059">
            <w:pPr>
              <w:shd w:val="clea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①满足《勘察</w:t>
            </w:r>
            <w:r>
              <w:rPr>
                <w:rFonts w:hint="eastAsia" w:ascii="宋体" w:hAnsi="宋体" w:eastAsia="宋体" w:cs="宋体"/>
                <w:color w:val="auto"/>
                <w:sz w:val="21"/>
                <w:szCs w:val="21"/>
                <w:highlight w:val="none"/>
                <w:lang w:val="en-US" w:eastAsia="zh-CN"/>
              </w:rPr>
              <w:t>初步</w:t>
            </w:r>
            <w:r>
              <w:rPr>
                <w:rFonts w:hint="eastAsia" w:ascii="宋体" w:hAnsi="宋体" w:eastAsia="宋体" w:cs="宋体"/>
                <w:color w:val="auto"/>
                <w:sz w:val="21"/>
                <w:szCs w:val="21"/>
                <w:highlight w:val="none"/>
                <w:lang w:eastAsia="zh-CN"/>
              </w:rPr>
              <w:t>设计服务人员配备要求表》的基础上，增加一名</w:t>
            </w: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lang w:eastAsia="zh-CN"/>
              </w:rPr>
              <w:t>专业负责人具备一级注册建筑师的得2分；本小项最高得2分。</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②满足《勘察</w:t>
            </w:r>
            <w:r>
              <w:rPr>
                <w:rFonts w:hint="eastAsia" w:ascii="宋体" w:hAnsi="宋体" w:eastAsia="宋体" w:cs="宋体"/>
                <w:color w:val="auto"/>
                <w:sz w:val="21"/>
                <w:szCs w:val="21"/>
                <w:highlight w:val="none"/>
                <w:lang w:val="en-US" w:eastAsia="zh-CN"/>
              </w:rPr>
              <w:t>初步</w:t>
            </w:r>
            <w:r>
              <w:rPr>
                <w:rFonts w:hint="eastAsia" w:ascii="宋体" w:hAnsi="宋体" w:eastAsia="宋体" w:cs="宋体"/>
                <w:color w:val="auto"/>
                <w:sz w:val="21"/>
                <w:szCs w:val="21"/>
                <w:highlight w:val="none"/>
                <w:lang w:eastAsia="zh-CN"/>
              </w:rPr>
              <w:t>设计服务人员配备要求表》的基础上，增加一名造价专业负责人具备一级注册造价工程师（或注册造价工程师）的得2分；本小项最高得2分。</w:t>
            </w:r>
          </w:p>
          <w:p w14:paraId="0AF6F1FA">
            <w:pPr>
              <w:shd w:val="clear"/>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3）投标人（如为联合体投标，指联合体勘察方）</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p w14:paraId="680AA3CE">
            <w:pPr>
              <w:shd w:val="clea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勘察专业负责人：具备建筑工程或岩土工程或勘察工程相关专业</w:t>
            </w:r>
            <w:r>
              <w:rPr>
                <w:rFonts w:hint="eastAsia" w:ascii="宋体" w:hAnsi="宋体" w:cs="宋体"/>
                <w:color w:val="auto"/>
                <w:sz w:val="21"/>
                <w:szCs w:val="21"/>
                <w:highlight w:val="none"/>
                <w:lang w:val="en-US" w:eastAsia="zh-CN"/>
              </w:rPr>
              <w:t>副</w:t>
            </w:r>
            <w:r>
              <w:rPr>
                <w:rFonts w:hint="eastAsia" w:ascii="宋体" w:hAnsi="宋体" w:eastAsia="宋体" w:cs="宋体"/>
                <w:color w:val="auto"/>
                <w:sz w:val="21"/>
                <w:szCs w:val="21"/>
                <w:highlight w:val="none"/>
                <w:lang w:eastAsia="zh-CN"/>
              </w:rPr>
              <w:t>高级（</w:t>
            </w:r>
            <w:r>
              <w:rPr>
                <w:rFonts w:hint="eastAsia" w:ascii="宋体" w:hAnsi="宋体" w:eastAsia="宋体" w:cs="宋体"/>
                <w:color w:val="auto"/>
                <w:sz w:val="21"/>
                <w:szCs w:val="21"/>
                <w:highlight w:val="none"/>
                <w:lang w:val="en-US" w:eastAsia="zh-CN"/>
              </w:rPr>
              <w:t>或以上</w:t>
            </w:r>
            <w:r>
              <w:rPr>
                <w:rFonts w:hint="eastAsia" w:ascii="宋体" w:hAnsi="宋体" w:eastAsia="宋体" w:cs="宋体"/>
                <w:color w:val="auto"/>
                <w:sz w:val="21"/>
                <w:szCs w:val="21"/>
                <w:highlight w:val="none"/>
                <w:lang w:eastAsia="zh-CN"/>
              </w:rPr>
              <w:t>）工程师职称的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得2分；具备建筑工程或岩土工程或勘察工程相关专业中级工程师职称的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得1分。本小项最高得2分。</w:t>
            </w:r>
          </w:p>
          <w:p w14:paraId="74212593">
            <w:pPr>
              <w:shd w:val="clear"/>
              <w:rPr>
                <w:rFonts w:hint="eastAsia" w:ascii="宋体" w:hAnsi="宋体" w:eastAsia="宋体" w:cs="宋体"/>
                <w:szCs w:val="21"/>
                <w:highlight w:val="none"/>
              </w:rPr>
            </w:pPr>
            <w:r>
              <w:rPr>
                <w:rFonts w:hint="eastAsia" w:ascii="宋体" w:hAnsi="宋体" w:eastAsia="宋体" w:cs="宋体"/>
                <w:color w:val="auto"/>
                <w:sz w:val="21"/>
                <w:szCs w:val="21"/>
                <w:highlight w:val="none"/>
                <w:lang w:eastAsia="zh-CN"/>
              </w:rPr>
              <w:t>注：上述各专业负责人不得兼任；须</w:t>
            </w:r>
            <w:r>
              <w:rPr>
                <w:rFonts w:hint="eastAsia" w:ascii="宋体" w:hAnsi="宋体" w:cs="宋体"/>
                <w:color w:val="auto"/>
                <w:sz w:val="21"/>
                <w:szCs w:val="21"/>
                <w:highlight w:val="none"/>
                <w:lang w:val="en-US" w:eastAsia="zh-CN"/>
              </w:rPr>
              <w:t>对应</w:t>
            </w:r>
            <w:r>
              <w:rPr>
                <w:rFonts w:hint="eastAsia" w:ascii="宋体" w:hAnsi="宋体" w:eastAsia="宋体" w:cs="宋体"/>
                <w:color w:val="auto"/>
                <w:sz w:val="21"/>
                <w:szCs w:val="21"/>
                <w:highlight w:val="none"/>
                <w:lang w:eastAsia="zh-CN"/>
              </w:rPr>
              <w:t>提供执业注册证书、职称证（拥有多个职称证书的情况下，按照最高职称计算得分）、投标截止时间近1个月的有效社保证明等证明材料扫描件（不含投标人的子公司，含非独立法人的分公司或分支机构）购买社保的缴费记录；因改制或重组的企业或事业单位人员社保由上级主管部门缴纳的，除提供上级主管部门缴纳社保证明扫描件外，需由上级主管部门出具证明说明）。（1）各专业负责人如多人投入，只计一人分值。（2）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注册造价工程师指根据原人事部、原建设部发布的《造价工程师执业资格制度暂行规定》（人发〔1996〕77号）取得的造价工程师执业资格，并经注册且在有效期内。（3）不符合上述条件或未提供相关证明材料的不得分。（上述人员为香港专业人士的，需提供资格备案的业务范围符合本招标项目对上述人员要求的香港专业人士的证明材料扫描件）。</w:t>
            </w:r>
          </w:p>
        </w:tc>
      </w:tr>
      <w:tr w14:paraId="0E73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0" w:type="dxa"/>
            <w:vAlign w:val="center"/>
          </w:tcPr>
          <w:p w14:paraId="1CFA9BD3">
            <w:pPr>
              <w:shd w:val="clear"/>
              <w:autoSpaceDE w:val="0"/>
              <w:autoSpaceDN w:val="0"/>
              <w:adjustRightInd w:val="0"/>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五</w:t>
            </w:r>
          </w:p>
        </w:tc>
        <w:tc>
          <w:tcPr>
            <w:tcW w:w="1013" w:type="dxa"/>
            <w:vAlign w:val="center"/>
          </w:tcPr>
          <w:p w14:paraId="40D465B2">
            <w:pPr>
              <w:shd w:val="clear"/>
              <w:autoSpaceDE w:val="0"/>
              <w:autoSpaceDN w:val="0"/>
              <w:adjustRightInd w:val="0"/>
              <w:jc w:val="center"/>
              <w:rPr>
                <w:rFonts w:hint="eastAsia" w:ascii="宋体" w:hAnsi="宋体" w:eastAsia="宋体" w:cs="宋体"/>
                <w:szCs w:val="21"/>
                <w:highlight w:val="none"/>
                <w:lang w:val="zh-CN"/>
              </w:rPr>
            </w:pPr>
            <w:r>
              <w:rPr>
                <w:rFonts w:hint="eastAsia" w:ascii="宋体" w:hAnsi="宋体" w:eastAsia="宋体" w:cs="宋体"/>
                <w:szCs w:val="21"/>
                <w:highlight w:val="none"/>
              </w:rPr>
              <w:t>第三方评价</w:t>
            </w:r>
          </w:p>
        </w:tc>
        <w:tc>
          <w:tcPr>
            <w:tcW w:w="733" w:type="dxa"/>
            <w:vAlign w:val="center"/>
          </w:tcPr>
          <w:p w14:paraId="5E8378E3">
            <w:pPr>
              <w:shd w:val="clear"/>
              <w:autoSpaceDE w:val="0"/>
              <w:autoSpaceDN w:val="0"/>
              <w:adjustRightInd w:val="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6</w:t>
            </w:r>
          </w:p>
        </w:tc>
        <w:tc>
          <w:tcPr>
            <w:tcW w:w="7499" w:type="dxa"/>
            <w:vAlign w:val="center"/>
          </w:tcPr>
          <w:p w14:paraId="625340EF">
            <w:pPr>
              <w:shd w:val="clea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投标人（如为联合体投标，指联合体其中一方）具有质量管理体系认证、职业健康安全管理体系认证、环境管理体系认证证书且在有效期内的，每具有一项得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分，本项最高得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w:t>
            </w:r>
          </w:p>
          <w:p w14:paraId="0F43625A">
            <w:pPr>
              <w:shd w:val="clear"/>
              <w:rPr>
                <w:rFonts w:hint="eastAsia" w:ascii="宋体" w:hAnsi="宋体" w:eastAsia="宋体" w:cs="宋体"/>
                <w:szCs w:val="21"/>
                <w:highlight w:val="none"/>
              </w:rPr>
            </w:pPr>
            <w:r>
              <w:rPr>
                <w:rFonts w:hint="eastAsia" w:ascii="宋体" w:hAnsi="宋体" w:eastAsia="宋体" w:cs="宋体"/>
                <w:color w:val="auto"/>
                <w:sz w:val="21"/>
                <w:szCs w:val="21"/>
                <w:highlight w:val="none"/>
                <w:lang w:eastAsia="zh-CN"/>
              </w:rPr>
              <w:t>注：须提供认证证书扫描件。不符合上述条件或未提供相关证明材料的不得分。</w:t>
            </w:r>
          </w:p>
        </w:tc>
      </w:tr>
      <w:tr w14:paraId="296F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683" w:type="dxa"/>
            <w:gridSpan w:val="2"/>
            <w:vAlign w:val="center"/>
          </w:tcPr>
          <w:p w14:paraId="33F78782">
            <w:pPr>
              <w:shd w:val="clear"/>
              <w:autoSpaceDE w:val="0"/>
              <w:autoSpaceDN w:val="0"/>
              <w:adjustRightInd w:val="0"/>
              <w:rPr>
                <w:rFonts w:hint="eastAsia" w:ascii="宋体" w:hAnsi="宋体" w:eastAsia="宋体" w:cs="宋体"/>
                <w:szCs w:val="21"/>
                <w:highlight w:val="none"/>
              </w:rPr>
            </w:pPr>
            <w:r>
              <w:rPr>
                <w:rFonts w:hint="eastAsia" w:ascii="宋体" w:hAnsi="宋体" w:eastAsia="宋体" w:cs="宋体"/>
                <w:szCs w:val="21"/>
                <w:highlight w:val="none"/>
                <w:lang w:val="zh-CN"/>
              </w:rPr>
              <w:t>总计</w:t>
            </w:r>
          </w:p>
        </w:tc>
        <w:tc>
          <w:tcPr>
            <w:tcW w:w="733" w:type="dxa"/>
            <w:vAlign w:val="center"/>
          </w:tcPr>
          <w:p w14:paraId="0E35F9F5">
            <w:pPr>
              <w:shd w:val="clea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100</w:t>
            </w:r>
          </w:p>
        </w:tc>
        <w:tc>
          <w:tcPr>
            <w:tcW w:w="7499" w:type="dxa"/>
            <w:vAlign w:val="center"/>
          </w:tcPr>
          <w:p w14:paraId="3A668821">
            <w:pPr>
              <w:shd w:val="clear"/>
              <w:autoSpaceDE w:val="0"/>
              <w:autoSpaceDN w:val="0"/>
              <w:adjustRightInd w:val="0"/>
              <w:rPr>
                <w:rFonts w:hint="eastAsia" w:ascii="宋体" w:hAnsi="宋体" w:eastAsia="宋体" w:cs="宋体"/>
                <w:szCs w:val="21"/>
                <w:highlight w:val="none"/>
              </w:rPr>
            </w:pPr>
          </w:p>
        </w:tc>
      </w:tr>
    </w:tbl>
    <w:p w14:paraId="1498B2E5">
      <w:pPr>
        <w:shd w:val="clear"/>
        <w:snapToGrid w:val="0"/>
        <w:jc w:val="center"/>
        <w:rPr>
          <w:rFonts w:hint="eastAsia" w:ascii="宋体" w:hAnsi="宋体" w:cs="宋体"/>
          <w:b/>
          <w:bCs/>
          <w:sz w:val="28"/>
          <w:szCs w:val="28"/>
          <w:highlight w:val="none"/>
        </w:rPr>
      </w:pPr>
    </w:p>
    <w:p w14:paraId="72C76A47">
      <w:pPr>
        <w:shd w:val="clear"/>
        <w:snapToGrid/>
        <w:jc w:val="left"/>
        <w:rPr>
          <w:rFonts w:hint="eastAsia" w:ascii="宋体" w:hAnsi="宋体" w:cs="宋体"/>
          <w:b/>
          <w:bCs/>
          <w:sz w:val="28"/>
          <w:szCs w:val="28"/>
          <w:highlight w:val="none"/>
        </w:rPr>
      </w:pPr>
      <w:r>
        <w:rPr>
          <w:rFonts w:hint="eastAsia" w:ascii="宋体" w:hAnsi="宋体" w:cs="宋体"/>
          <w:b/>
          <w:bCs/>
          <w:sz w:val="28"/>
          <w:szCs w:val="28"/>
          <w:highlight w:val="none"/>
        </w:rPr>
        <w:br w:type="page"/>
      </w:r>
    </w:p>
    <w:p w14:paraId="2CCAE34C">
      <w:pPr>
        <w:shd w:val="clear"/>
        <w:snapToGrid w:val="0"/>
        <w:jc w:val="center"/>
        <w:rPr>
          <w:rFonts w:hint="eastAsia" w:ascii="宋体" w:hAnsi="宋体" w:cs="宋体"/>
          <w:b/>
          <w:bCs/>
          <w:sz w:val="28"/>
          <w:szCs w:val="28"/>
          <w:highlight w:val="none"/>
        </w:rPr>
      </w:pPr>
      <w:r>
        <w:rPr>
          <w:rFonts w:hint="eastAsia" w:ascii="宋体" w:hAnsi="宋体" w:cs="宋体"/>
          <w:b/>
          <w:bCs/>
          <w:sz w:val="28"/>
          <w:szCs w:val="28"/>
          <w:highlight w:val="none"/>
        </w:rPr>
        <w:t>《勘察初步设计服务人员配备要求表》</w:t>
      </w:r>
    </w:p>
    <w:tbl>
      <w:tblPr>
        <w:tblStyle w:val="19"/>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695"/>
        <w:gridCol w:w="4758"/>
      </w:tblGrid>
      <w:tr w14:paraId="550F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D2E0907">
            <w:pPr>
              <w:shd w:val="clear"/>
              <w:snapToGrid w:val="0"/>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719AC0D">
            <w:pPr>
              <w:shd w:val="clear"/>
              <w:snapToGrid w:val="0"/>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最低</w:t>
            </w:r>
            <w:r>
              <w:rPr>
                <w:rFonts w:hint="eastAsia" w:ascii="宋体" w:hAnsi="宋体" w:eastAsia="宋体" w:cs="宋体"/>
                <w:bCs/>
                <w:color w:val="auto"/>
                <w:sz w:val="24"/>
                <w:szCs w:val="24"/>
                <w:highlight w:val="none"/>
                <w:lang w:val="zh-TW"/>
              </w:rPr>
              <w:t>数量（</w:t>
            </w:r>
            <w:r>
              <w:rPr>
                <w:rFonts w:hint="eastAsia" w:ascii="宋体" w:hAnsi="宋体" w:eastAsia="宋体" w:cs="宋体"/>
                <w:bCs/>
                <w:color w:val="auto"/>
                <w:sz w:val="24"/>
                <w:szCs w:val="24"/>
                <w:highlight w:val="none"/>
              </w:rPr>
              <w:t>人</w:t>
            </w:r>
            <w:r>
              <w:rPr>
                <w:rFonts w:hint="eastAsia" w:ascii="宋体" w:hAnsi="宋体" w:eastAsia="宋体" w:cs="宋体"/>
                <w:bCs/>
                <w:color w:val="auto"/>
                <w:sz w:val="24"/>
                <w:szCs w:val="24"/>
                <w:highlight w:val="none"/>
                <w:lang w:val="zh-TW"/>
              </w:rPr>
              <w:t>）</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59CE3AAA">
            <w:pPr>
              <w:shd w:val="clear"/>
              <w:snapToGrid w:val="0"/>
              <w:spacing w:line="24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最低资格要求</w:t>
            </w:r>
          </w:p>
        </w:tc>
      </w:tr>
      <w:tr w14:paraId="647E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F8C54AF">
            <w:pPr>
              <w:shd w:val="clear"/>
              <w:snapToGrid w:val="0"/>
              <w:spacing w:beforeLines="50" w:afterLines="50"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勘察人员</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C27C330">
            <w:pPr>
              <w:shd w:val="clear"/>
              <w:snapToGrid w:val="0"/>
              <w:spacing w:beforeLines="50" w:afterLines="50" w:line="240" w:lineRule="auto"/>
              <w:jc w:val="center"/>
              <w:rPr>
                <w:rFonts w:hint="eastAsia" w:ascii="宋体" w:hAnsi="宋体" w:eastAsia="宋体" w:cs="宋体"/>
                <w:b/>
                <w:bCs/>
                <w:color w:val="auto"/>
                <w:sz w:val="24"/>
                <w:szCs w:val="24"/>
                <w:highlight w:val="none"/>
              </w:rPr>
            </w:pPr>
          </w:p>
        </w:tc>
        <w:tc>
          <w:tcPr>
            <w:tcW w:w="4758" w:type="dxa"/>
            <w:tcBorders>
              <w:top w:val="single" w:color="auto" w:sz="4" w:space="0"/>
              <w:left w:val="single" w:color="auto" w:sz="4" w:space="0"/>
              <w:bottom w:val="single" w:color="auto" w:sz="4" w:space="0"/>
              <w:right w:val="single" w:color="auto" w:sz="4" w:space="0"/>
            </w:tcBorders>
            <w:noWrap w:val="0"/>
            <w:vAlign w:val="center"/>
          </w:tcPr>
          <w:p w14:paraId="220D3BE3">
            <w:pPr>
              <w:shd w:val="clear"/>
              <w:snapToGrid w:val="0"/>
              <w:spacing w:beforeLines="50" w:afterLines="50"/>
              <w:rPr>
                <w:rFonts w:hint="eastAsia" w:ascii="宋体" w:hAnsi="宋体" w:eastAsia="宋体" w:cs="宋体"/>
                <w:color w:val="auto"/>
                <w:sz w:val="24"/>
                <w:szCs w:val="24"/>
                <w:highlight w:val="none"/>
              </w:rPr>
            </w:pPr>
          </w:p>
        </w:tc>
      </w:tr>
      <w:tr w14:paraId="6D58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18112E8">
            <w:pPr>
              <w:shd w:val="clear"/>
              <w:snapToGrid w:val="0"/>
              <w:spacing w:beforeLines="50" w:afterLines="5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勘察专业负责人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27A1FAF6">
            <w:pPr>
              <w:shd w:val="clea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152074AC">
            <w:pPr>
              <w:shd w:val="clear"/>
              <w:snapToGrid w:val="0"/>
              <w:spacing w:beforeLines="50" w:afterLine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具备注册岩土工程师。</w:t>
            </w:r>
          </w:p>
        </w:tc>
      </w:tr>
      <w:tr w14:paraId="3E71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B338730">
            <w:pPr>
              <w:shd w:val="clea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设计人员</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F6706AD">
            <w:pPr>
              <w:shd w:val="clear"/>
              <w:snapToGrid w:val="0"/>
              <w:spacing w:beforeLines="50" w:afterLines="50" w:line="240" w:lineRule="auto"/>
              <w:jc w:val="center"/>
              <w:rPr>
                <w:rFonts w:hint="eastAsia" w:ascii="宋体" w:hAnsi="宋体" w:eastAsia="宋体" w:cs="宋体"/>
                <w:b/>
                <w:bCs/>
                <w:color w:val="auto"/>
                <w:sz w:val="24"/>
                <w:szCs w:val="24"/>
                <w:highlight w:val="none"/>
              </w:rPr>
            </w:pPr>
          </w:p>
        </w:tc>
        <w:tc>
          <w:tcPr>
            <w:tcW w:w="4758" w:type="dxa"/>
            <w:tcBorders>
              <w:top w:val="single" w:color="auto" w:sz="4" w:space="0"/>
              <w:left w:val="single" w:color="auto" w:sz="4" w:space="0"/>
              <w:bottom w:val="single" w:color="auto" w:sz="4" w:space="0"/>
              <w:right w:val="single" w:color="auto" w:sz="4" w:space="0"/>
            </w:tcBorders>
            <w:noWrap w:val="0"/>
            <w:vAlign w:val="center"/>
          </w:tcPr>
          <w:p w14:paraId="20701BB3">
            <w:pPr>
              <w:shd w:val="clear"/>
              <w:snapToGrid w:val="0"/>
              <w:spacing w:beforeLines="50" w:afterLines="50"/>
              <w:rPr>
                <w:rFonts w:hint="eastAsia" w:ascii="宋体" w:hAnsi="宋体" w:eastAsia="宋体" w:cs="宋体"/>
                <w:color w:val="auto"/>
                <w:sz w:val="24"/>
                <w:szCs w:val="24"/>
                <w:highlight w:val="none"/>
              </w:rPr>
            </w:pPr>
          </w:p>
        </w:tc>
      </w:tr>
      <w:tr w14:paraId="19C1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5E0812E">
            <w:pPr>
              <w:shd w:val="clea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设计负责人</w:t>
            </w:r>
          </w:p>
          <w:p w14:paraId="47AF1A01">
            <w:pPr>
              <w:shd w:val="clear"/>
              <w:snapToGrid w:val="0"/>
              <w:spacing w:beforeLines="50" w:afterLines="50"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lang w:eastAsia="zh-CN"/>
              </w:rPr>
              <w:t>）</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4587683">
            <w:pPr>
              <w:shd w:val="clea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09B3E530">
            <w:pPr>
              <w:shd w:val="clear"/>
              <w:snapToGrid w:val="0"/>
              <w:spacing w:beforeLines="50" w:afterLine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具备一级注册建筑师</w:t>
            </w:r>
            <w:r>
              <w:rPr>
                <w:rFonts w:hint="eastAsia" w:ascii="宋体" w:hAnsi="宋体" w:eastAsia="宋体" w:cs="宋体"/>
                <w:color w:val="auto"/>
                <w:sz w:val="24"/>
                <w:szCs w:val="24"/>
                <w:highlight w:val="none"/>
                <w:lang w:eastAsia="zh-CN"/>
              </w:rPr>
              <w:t>。</w:t>
            </w:r>
          </w:p>
        </w:tc>
      </w:tr>
      <w:tr w14:paraId="5B12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E052DE3">
            <w:pPr>
              <w:shd w:val="clea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项目协调人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1720472">
            <w:pPr>
              <w:shd w:val="clea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13D4BDD9">
            <w:pPr>
              <w:shd w:val="clear"/>
              <w:snapToGrid w:val="0"/>
              <w:spacing w:beforeLines="50" w:afterLines="50" w:line="24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w:t>
            </w:r>
          </w:p>
        </w:tc>
      </w:tr>
      <w:tr w14:paraId="3421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A60DFD0">
            <w:pPr>
              <w:shd w:val="clea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建筑专业负责人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8C771FA">
            <w:pPr>
              <w:shd w:val="clea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65AC1B3D">
            <w:pPr>
              <w:shd w:val="clear"/>
              <w:snapToGrid w:val="0"/>
              <w:spacing w:before="120" w:beforeLines="50" w:after="120" w:afterLines="50"/>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具备一级注册建筑师。</w:t>
            </w:r>
          </w:p>
        </w:tc>
      </w:tr>
      <w:tr w14:paraId="4DA0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171C78A">
            <w:pPr>
              <w:shd w:val="clea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建筑专业</w:t>
            </w:r>
            <w:r>
              <w:rPr>
                <w:rFonts w:hint="eastAsia" w:ascii="宋体" w:hAnsi="宋体" w:eastAsia="宋体" w:cs="宋体"/>
                <w:color w:val="auto"/>
                <w:sz w:val="24"/>
                <w:szCs w:val="24"/>
                <w:highlight w:val="none"/>
                <w:lang w:val="en-US" w:eastAsia="zh-CN"/>
              </w:rPr>
              <w:t>设计</w:t>
            </w:r>
            <w:r>
              <w:rPr>
                <w:rFonts w:hint="eastAsia" w:ascii="宋体" w:hAnsi="宋体" w:eastAsia="宋体" w:cs="宋体"/>
                <w:color w:val="auto"/>
                <w:sz w:val="24"/>
                <w:szCs w:val="24"/>
                <w:highlight w:val="none"/>
              </w:rPr>
              <w:t>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4945B5A4">
            <w:pPr>
              <w:shd w:val="clea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1E9AA7A2">
            <w:pPr>
              <w:shd w:val="clear"/>
              <w:snapToGrid w:val="0"/>
              <w:spacing w:before="120" w:beforeLines="50" w:after="120" w:afterLines="5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具备建筑工程相关专业中级工程师或以上职称。</w:t>
            </w:r>
          </w:p>
        </w:tc>
      </w:tr>
      <w:tr w14:paraId="0D67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F360A1F">
            <w:pPr>
              <w:shd w:val="clea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结构专业负责人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444AC289">
            <w:pPr>
              <w:shd w:val="clea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078432BD">
            <w:pPr>
              <w:shd w:val="clear"/>
              <w:snapToGrid w:val="0"/>
              <w:spacing w:before="120" w:beforeLines="50" w:after="120" w:afterLines="50"/>
              <w:jc w:val="left"/>
              <w:rPr>
                <w:rFonts w:hint="eastAsia" w:ascii="宋体" w:hAnsi="宋体" w:eastAsia="宋体" w:cs="宋体"/>
                <w:color w:val="auto"/>
                <w:sz w:val="24"/>
                <w:szCs w:val="24"/>
                <w:highlight w:val="none"/>
                <w:lang w:val="zh-CN"/>
              </w:rPr>
            </w:pPr>
            <w:r>
              <w:rPr>
                <w:rFonts w:hint="eastAsia" w:ascii="宋体" w:hAnsi="宋体" w:eastAsia="宋体" w:cs="宋体"/>
                <w:b w:val="0"/>
                <w:bCs w:val="0"/>
                <w:color w:val="auto"/>
                <w:sz w:val="24"/>
                <w:szCs w:val="24"/>
                <w:highlight w:val="none"/>
                <w:lang w:eastAsia="zh-CN"/>
              </w:rPr>
              <w:t>具备一级注册结构工程师。</w:t>
            </w:r>
          </w:p>
        </w:tc>
      </w:tr>
      <w:tr w14:paraId="04EC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03442D2">
            <w:pPr>
              <w:shd w:val="clea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结构专业</w:t>
            </w:r>
            <w:r>
              <w:rPr>
                <w:rFonts w:hint="eastAsia" w:ascii="宋体" w:hAnsi="宋体" w:eastAsia="宋体" w:cs="宋体"/>
                <w:color w:val="auto"/>
                <w:sz w:val="24"/>
                <w:szCs w:val="24"/>
                <w:highlight w:val="none"/>
                <w:lang w:val="en-US" w:eastAsia="zh-CN"/>
              </w:rPr>
              <w:t>设计</w:t>
            </w:r>
            <w:r>
              <w:rPr>
                <w:rFonts w:hint="eastAsia" w:ascii="宋体" w:hAnsi="宋体" w:eastAsia="宋体" w:cs="宋体"/>
                <w:color w:val="auto"/>
                <w:sz w:val="24"/>
                <w:szCs w:val="24"/>
                <w:highlight w:val="none"/>
              </w:rPr>
              <w:t>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5E39056">
            <w:pPr>
              <w:shd w:val="clea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4313D1D7">
            <w:pPr>
              <w:shd w:val="clear"/>
              <w:snapToGrid w:val="0"/>
              <w:spacing w:before="120" w:beforeLines="50" w:after="120" w:afterLine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具备结构相关专业中级工程师或以上职称。</w:t>
            </w:r>
          </w:p>
        </w:tc>
      </w:tr>
      <w:tr w14:paraId="44D6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F032C41">
            <w:pPr>
              <w:shd w:val="clea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给排水专业负责人</w:t>
            </w:r>
          </w:p>
        </w:tc>
        <w:tc>
          <w:tcPr>
            <w:tcW w:w="1695" w:type="dxa"/>
            <w:tcBorders>
              <w:left w:val="single" w:color="auto" w:sz="4" w:space="0"/>
              <w:right w:val="single" w:color="auto" w:sz="4" w:space="0"/>
            </w:tcBorders>
            <w:noWrap w:val="0"/>
            <w:vAlign w:val="center"/>
          </w:tcPr>
          <w:p w14:paraId="740565B6">
            <w:pPr>
              <w:shd w:val="clea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1AD2DF6F">
            <w:pPr>
              <w:shd w:val="clear"/>
              <w:snapToGrid w:val="0"/>
              <w:spacing w:before="120" w:beforeLines="50" w:after="120" w:afterLines="50"/>
              <w:jc w:val="left"/>
              <w:rPr>
                <w:rFonts w:hint="eastAsia" w:ascii="宋体" w:hAnsi="宋体" w:eastAsia="宋体" w:cs="宋体"/>
                <w:color w:val="auto"/>
                <w:sz w:val="24"/>
                <w:szCs w:val="24"/>
                <w:highlight w:val="none"/>
                <w:lang w:val="zh-CN"/>
              </w:rPr>
            </w:pPr>
            <w:r>
              <w:rPr>
                <w:rFonts w:hint="eastAsia" w:ascii="宋体" w:hAnsi="宋体" w:eastAsia="宋体" w:cs="宋体"/>
                <w:b w:val="0"/>
                <w:bCs w:val="0"/>
                <w:color w:val="auto"/>
                <w:sz w:val="24"/>
                <w:szCs w:val="24"/>
                <w:highlight w:val="none"/>
                <w:lang w:eastAsia="zh-CN"/>
              </w:rPr>
              <w:t>具备注册公用设备工程师（给排水）。</w:t>
            </w:r>
          </w:p>
        </w:tc>
      </w:tr>
      <w:tr w14:paraId="241F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26C272F">
            <w:pPr>
              <w:shd w:val="clea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给排水专业</w:t>
            </w:r>
            <w:r>
              <w:rPr>
                <w:rFonts w:hint="eastAsia" w:ascii="宋体" w:hAnsi="宋体" w:eastAsia="宋体" w:cs="宋体"/>
                <w:color w:val="auto"/>
                <w:sz w:val="24"/>
                <w:szCs w:val="24"/>
                <w:highlight w:val="none"/>
                <w:lang w:val="en-US" w:eastAsia="zh-CN"/>
              </w:rPr>
              <w:t>设计</w:t>
            </w:r>
            <w:r>
              <w:rPr>
                <w:rFonts w:hint="eastAsia" w:ascii="宋体" w:hAnsi="宋体" w:eastAsia="宋体" w:cs="宋体"/>
                <w:color w:val="auto"/>
                <w:sz w:val="24"/>
                <w:szCs w:val="24"/>
                <w:highlight w:val="none"/>
              </w:rPr>
              <w:t>人</w:t>
            </w:r>
          </w:p>
        </w:tc>
        <w:tc>
          <w:tcPr>
            <w:tcW w:w="1695" w:type="dxa"/>
            <w:tcBorders>
              <w:left w:val="single" w:color="auto" w:sz="4" w:space="0"/>
              <w:right w:val="single" w:color="auto" w:sz="4" w:space="0"/>
            </w:tcBorders>
            <w:noWrap w:val="0"/>
            <w:vAlign w:val="center"/>
          </w:tcPr>
          <w:p w14:paraId="509FF076">
            <w:pPr>
              <w:shd w:val="clea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60FB1AC4">
            <w:pPr>
              <w:shd w:val="clear"/>
              <w:snapToGrid w:val="0"/>
              <w:spacing w:before="120" w:beforeLines="50" w:after="120" w:afterLines="5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具备给排水相关专业中级工程师或以上职称。</w:t>
            </w:r>
          </w:p>
        </w:tc>
      </w:tr>
      <w:tr w14:paraId="2F58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861F199">
            <w:pPr>
              <w:shd w:val="clear"/>
              <w:snapToGrid w:val="0"/>
              <w:spacing w:beforeLines="50" w:afterLines="50" w:line="240" w:lineRule="auto"/>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电气专业</w:t>
            </w:r>
            <w:r>
              <w:rPr>
                <w:rFonts w:hint="eastAsia" w:ascii="宋体" w:hAnsi="宋体" w:eastAsia="宋体" w:cs="宋体"/>
                <w:color w:val="auto"/>
                <w:sz w:val="24"/>
                <w:szCs w:val="24"/>
                <w:highlight w:val="none"/>
              </w:rPr>
              <w:t>负责人</w:t>
            </w:r>
          </w:p>
        </w:tc>
        <w:tc>
          <w:tcPr>
            <w:tcW w:w="1695" w:type="dxa"/>
            <w:tcBorders>
              <w:left w:val="single" w:color="auto" w:sz="4" w:space="0"/>
              <w:right w:val="single" w:color="auto" w:sz="4" w:space="0"/>
            </w:tcBorders>
            <w:noWrap w:val="0"/>
            <w:vAlign w:val="center"/>
          </w:tcPr>
          <w:p w14:paraId="4A976957">
            <w:pPr>
              <w:shd w:val="clea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54742B68">
            <w:pPr>
              <w:shd w:val="clear"/>
              <w:snapToGrid w:val="0"/>
              <w:spacing w:before="120" w:beforeLines="50" w:after="120" w:afterLines="50"/>
              <w:jc w:val="left"/>
              <w:rPr>
                <w:rFonts w:hint="eastAsia" w:ascii="宋体" w:hAnsi="宋体" w:eastAsia="宋体" w:cs="宋体"/>
                <w:color w:val="auto"/>
                <w:sz w:val="24"/>
                <w:szCs w:val="24"/>
                <w:highlight w:val="none"/>
                <w:lang w:val="zh-CN"/>
              </w:rPr>
            </w:pPr>
            <w:r>
              <w:rPr>
                <w:rFonts w:hint="eastAsia" w:ascii="宋体" w:hAnsi="宋体" w:eastAsia="宋体" w:cs="宋体"/>
                <w:b w:val="0"/>
                <w:bCs w:val="0"/>
                <w:color w:val="auto"/>
                <w:sz w:val="24"/>
                <w:szCs w:val="24"/>
                <w:highlight w:val="none"/>
                <w:lang w:eastAsia="zh-CN"/>
              </w:rPr>
              <w:t>具备注册电气工程师。</w:t>
            </w:r>
          </w:p>
        </w:tc>
      </w:tr>
      <w:tr w14:paraId="508C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D3ECD3B">
            <w:pPr>
              <w:shd w:val="clea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电气</w:t>
            </w:r>
            <w:r>
              <w:rPr>
                <w:rFonts w:hint="eastAsia" w:ascii="宋体" w:hAnsi="宋体" w:eastAsia="宋体" w:cs="宋体"/>
                <w:color w:val="auto"/>
                <w:sz w:val="24"/>
                <w:szCs w:val="24"/>
                <w:highlight w:val="none"/>
              </w:rPr>
              <w:t>专业</w:t>
            </w:r>
            <w:r>
              <w:rPr>
                <w:rFonts w:hint="eastAsia" w:ascii="宋体" w:hAnsi="宋体" w:eastAsia="宋体" w:cs="宋体"/>
                <w:color w:val="auto"/>
                <w:sz w:val="24"/>
                <w:szCs w:val="24"/>
                <w:highlight w:val="none"/>
                <w:lang w:val="en-US" w:eastAsia="zh-CN"/>
              </w:rPr>
              <w:t>设计</w:t>
            </w:r>
            <w:r>
              <w:rPr>
                <w:rFonts w:hint="eastAsia" w:ascii="宋体" w:hAnsi="宋体" w:eastAsia="宋体" w:cs="宋体"/>
                <w:color w:val="auto"/>
                <w:sz w:val="24"/>
                <w:szCs w:val="24"/>
                <w:highlight w:val="none"/>
              </w:rPr>
              <w:t>人</w:t>
            </w:r>
          </w:p>
        </w:tc>
        <w:tc>
          <w:tcPr>
            <w:tcW w:w="1695" w:type="dxa"/>
            <w:tcBorders>
              <w:left w:val="single" w:color="auto" w:sz="4" w:space="0"/>
              <w:right w:val="single" w:color="auto" w:sz="4" w:space="0"/>
            </w:tcBorders>
            <w:noWrap w:val="0"/>
            <w:vAlign w:val="center"/>
          </w:tcPr>
          <w:p w14:paraId="4441ADA8">
            <w:pPr>
              <w:shd w:val="clea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34CA7049">
            <w:pPr>
              <w:shd w:val="clear"/>
              <w:snapToGrid w:val="0"/>
              <w:spacing w:before="120" w:beforeLines="50" w:after="120" w:afterLines="5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具备电气相关专业中级工程师或以上职称。</w:t>
            </w:r>
          </w:p>
        </w:tc>
      </w:tr>
      <w:tr w14:paraId="2976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3747D9B">
            <w:pPr>
              <w:shd w:val="clea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暖通空调专业负责人</w:t>
            </w:r>
          </w:p>
        </w:tc>
        <w:tc>
          <w:tcPr>
            <w:tcW w:w="1695" w:type="dxa"/>
            <w:tcBorders>
              <w:left w:val="single" w:color="auto" w:sz="4" w:space="0"/>
              <w:right w:val="single" w:color="auto" w:sz="4" w:space="0"/>
            </w:tcBorders>
            <w:noWrap w:val="0"/>
            <w:vAlign w:val="center"/>
          </w:tcPr>
          <w:p w14:paraId="61FAAECE">
            <w:pPr>
              <w:shd w:val="clea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0B1E97B1">
            <w:pPr>
              <w:shd w:val="clear"/>
              <w:snapToGrid w:val="0"/>
              <w:spacing w:before="120" w:beforeLines="50" w:after="120" w:afterLines="50"/>
              <w:jc w:val="left"/>
              <w:rPr>
                <w:rFonts w:hint="eastAsia" w:ascii="宋体" w:hAnsi="宋体" w:eastAsia="宋体" w:cs="宋体"/>
                <w:color w:val="auto"/>
                <w:sz w:val="24"/>
                <w:szCs w:val="24"/>
                <w:highlight w:val="none"/>
                <w:lang w:val="zh-CN"/>
              </w:rPr>
            </w:pPr>
            <w:r>
              <w:rPr>
                <w:rFonts w:hint="eastAsia" w:ascii="宋体" w:hAnsi="宋体" w:eastAsia="宋体" w:cs="宋体"/>
                <w:b w:val="0"/>
                <w:bCs w:val="0"/>
                <w:color w:val="auto"/>
                <w:sz w:val="24"/>
                <w:szCs w:val="24"/>
                <w:highlight w:val="none"/>
                <w:lang w:eastAsia="zh-CN"/>
              </w:rPr>
              <w:t>具备注册公用设备工程师（暖通）。</w:t>
            </w:r>
          </w:p>
        </w:tc>
      </w:tr>
      <w:tr w14:paraId="6CA3E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4ED9501">
            <w:pPr>
              <w:shd w:val="clea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暖通空调专业</w:t>
            </w:r>
            <w:r>
              <w:rPr>
                <w:rFonts w:hint="eastAsia" w:ascii="宋体" w:hAnsi="宋体" w:eastAsia="宋体" w:cs="宋体"/>
                <w:color w:val="auto"/>
                <w:sz w:val="24"/>
                <w:szCs w:val="24"/>
                <w:highlight w:val="none"/>
                <w:lang w:val="en-US" w:eastAsia="zh-CN"/>
              </w:rPr>
              <w:t>设计</w:t>
            </w:r>
            <w:r>
              <w:rPr>
                <w:rFonts w:hint="eastAsia" w:ascii="宋体" w:hAnsi="宋体" w:eastAsia="宋体" w:cs="宋体"/>
                <w:color w:val="auto"/>
                <w:sz w:val="24"/>
                <w:szCs w:val="24"/>
                <w:highlight w:val="none"/>
              </w:rPr>
              <w:t>人</w:t>
            </w:r>
          </w:p>
        </w:tc>
        <w:tc>
          <w:tcPr>
            <w:tcW w:w="1695" w:type="dxa"/>
            <w:tcBorders>
              <w:left w:val="single" w:color="auto" w:sz="4" w:space="0"/>
              <w:right w:val="single" w:color="auto" w:sz="4" w:space="0"/>
            </w:tcBorders>
            <w:noWrap w:val="0"/>
            <w:vAlign w:val="center"/>
          </w:tcPr>
          <w:p w14:paraId="2AAFDA09">
            <w:pPr>
              <w:shd w:val="clea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52AC50BC">
            <w:pPr>
              <w:shd w:val="clear"/>
              <w:snapToGrid w:val="0"/>
              <w:spacing w:before="120" w:beforeLines="50" w:after="120" w:afterLines="5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具备暖通空调相关专业中级工程师或以上职称。</w:t>
            </w:r>
          </w:p>
        </w:tc>
      </w:tr>
    </w:tbl>
    <w:p w14:paraId="6DA7E786">
      <w:pPr>
        <w:shd w:val="clear"/>
        <w:rPr>
          <w:rFonts w:hint="eastAsia" w:ascii="宋体" w:hAnsi="宋体" w:cs="宋体"/>
          <w:b/>
          <w:bCs/>
          <w:szCs w:val="21"/>
          <w:highlight w:val="none"/>
        </w:rPr>
      </w:pPr>
      <w:bookmarkStart w:id="347" w:name="_Toc27186"/>
      <w:r>
        <w:rPr>
          <w:rFonts w:hint="eastAsia" w:ascii="宋体" w:hAnsi="宋体" w:cs="宋体"/>
          <w:b/>
          <w:bCs/>
          <w:szCs w:val="21"/>
          <w:highlight w:val="none"/>
        </w:rPr>
        <w:t>注：以上投入人员不得兼任。资格审查只审核项目负责人资格，其他投入人员由投标人自行提供。</w:t>
      </w:r>
    </w:p>
    <w:p w14:paraId="21B99EC4">
      <w:pPr>
        <w:shd w:val="clear"/>
        <w:spacing w:line="360" w:lineRule="auto"/>
        <w:outlineLvl w:val="1"/>
        <w:rPr>
          <w:rFonts w:hint="eastAsia" w:ascii="宋体" w:hAnsi="宋体" w:cs="宋体"/>
          <w:b/>
          <w:bCs/>
          <w:szCs w:val="21"/>
          <w:highlight w:val="none"/>
        </w:rPr>
      </w:pPr>
      <w:r>
        <w:rPr>
          <w:rFonts w:hint="eastAsia" w:ascii="宋体" w:hAnsi="宋体" w:cs="宋体"/>
          <w:b/>
          <w:bCs/>
          <w:szCs w:val="21"/>
          <w:highlight w:val="none"/>
        </w:rPr>
        <w:br w:type="page"/>
      </w:r>
      <w:bookmarkStart w:id="348" w:name="_Toc28606"/>
      <w:bookmarkStart w:id="349" w:name="_Toc17182"/>
      <w:r>
        <w:rPr>
          <w:rFonts w:hint="eastAsia" w:ascii="宋体" w:hAnsi="宋体" w:cs="宋体"/>
          <w:b/>
          <w:bCs/>
          <w:szCs w:val="21"/>
          <w:highlight w:val="none"/>
        </w:rPr>
        <w:t>附录14 基础资料和勘察初步设计任务书</w:t>
      </w:r>
      <w:bookmarkEnd w:id="346"/>
      <w:bookmarkEnd w:id="347"/>
      <w:bookmarkEnd w:id="348"/>
      <w:bookmarkEnd w:id="349"/>
    </w:p>
    <w:p w14:paraId="70B283AD">
      <w:pPr>
        <w:shd w:val="clear"/>
        <w:spacing w:line="360" w:lineRule="auto"/>
        <w:jc w:val="center"/>
        <w:rPr>
          <w:rFonts w:hint="eastAsia" w:ascii="宋体" w:hAnsi="宋体" w:cs="宋体"/>
          <w:b/>
          <w:bCs/>
          <w:szCs w:val="21"/>
          <w:highlight w:val="none"/>
        </w:rPr>
      </w:pPr>
      <w:bookmarkStart w:id="350" w:name="_Toc20231"/>
      <w:bookmarkStart w:id="351" w:name="_Toc6116"/>
      <w:bookmarkStart w:id="352" w:name="_Toc16213"/>
      <w:bookmarkStart w:id="353" w:name="_Toc16888"/>
      <w:bookmarkStart w:id="354" w:name="_Toc2218"/>
      <w:r>
        <w:rPr>
          <w:rFonts w:hint="eastAsia" w:ascii="宋体" w:hAnsi="宋体" w:cs="宋体"/>
          <w:b/>
          <w:bCs/>
          <w:szCs w:val="21"/>
          <w:highlight w:val="none"/>
        </w:rPr>
        <w:t>（另册）</w:t>
      </w:r>
    </w:p>
    <w:p w14:paraId="283B6448">
      <w:pPr>
        <w:shd w:val="clear"/>
        <w:spacing w:line="360" w:lineRule="auto"/>
        <w:outlineLvl w:val="1"/>
        <w:rPr>
          <w:rFonts w:hint="eastAsia" w:ascii="宋体" w:hAnsi="宋体" w:cs="宋体"/>
          <w:b/>
          <w:bCs/>
          <w:szCs w:val="21"/>
          <w:highlight w:val="none"/>
        </w:rPr>
      </w:pPr>
      <w:r>
        <w:rPr>
          <w:rFonts w:hint="eastAsia" w:ascii="宋体" w:hAnsi="宋体" w:cs="宋体"/>
          <w:b/>
          <w:bCs/>
          <w:szCs w:val="21"/>
          <w:highlight w:val="none"/>
        </w:rPr>
        <w:br w:type="page"/>
      </w:r>
      <w:bookmarkStart w:id="355" w:name="_Toc17454"/>
      <w:bookmarkStart w:id="356" w:name="_Toc17368"/>
      <w:r>
        <w:rPr>
          <w:rFonts w:hint="eastAsia" w:ascii="宋体" w:hAnsi="宋体" w:cs="宋体"/>
          <w:b/>
          <w:bCs/>
          <w:szCs w:val="21"/>
          <w:highlight w:val="none"/>
        </w:rPr>
        <w:t>附录15 定标委员会的组成</w:t>
      </w:r>
      <w:bookmarkEnd w:id="350"/>
      <w:bookmarkEnd w:id="351"/>
      <w:bookmarkEnd w:id="352"/>
      <w:bookmarkEnd w:id="353"/>
      <w:bookmarkEnd w:id="354"/>
      <w:bookmarkEnd w:id="355"/>
      <w:bookmarkEnd w:id="356"/>
    </w:p>
    <w:p w14:paraId="6C99CCEF">
      <w:pPr>
        <w:shd w:val="clear"/>
        <w:spacing w:line="560" w:lineRule="exact"/>
        <w:jc w:val="center"/>
        <w:rPr>
          <w:rFonts w:hint="eastAsia" w:ascii="宋体" w:hAnsi="宋体" w:cs="宋体"/>
          <w:sz w:val="32"/>
          <w:szCs w:val="32"/>
          <w:highlight w:val="none"/>
        </w:rPr>
      </w:pPr>
      <w:r>
        <w:rPr>
          <w:rFonts w:hint="eastAsia" w:ascii="宋体" w:hAnsi="宋体" w:cs="宋体"/>
          <w:b/>
          <w:sz w:val="32"/>
          <w:szCs w:val="32"/>
          <w:highlight w:val="none"/>
        </w:rPr>
        <w:t>定标委员会的组成</w:t>
      </w:r>
    </w:p>
    <w:p w14:paraId="2B65C01E">
      <w:pPr>
        <w:pStyle w:val="15"/>
        <w:shd w:val="clear"/>
        <w:snapToGrid w:val="0"/>
        <w:spacing w:beforeAutospacing="0" w:afterAutospacing="0" w:line="360" w:lineRule="auto"/>
        <w:ind w:firstLine="424" w:firstLineChars="202"/>
        <w:rPr>
          <w:rFonts w:cs="宋体"/>
          <w:sz w:val="21"/>
          <w:szCs w:val="21"/>
          <w:highlight w:val="none"/>
          <w:shd w:val="clear" w:color="auto" w:fill="FFFFFF"/>
        </w:rPr>
      </w:pPr>
    </w:p>
    <w:p w14:paraId="71FEC140">
      <w:pPr>
        <w:pStyle w:val="15"/>
        <w:shd w:val="clear"/>
        <w:snapToGrid w:val="0"/>
        <w:spacing w:beforeAutospacing="0" w:afterAutospacing="0" w:line="360" w:lineRule="auto"/>
        <w:ind w:firstLine="480" w:firstLineChars="200"/>
        <w:rPr>
          <w:rFonts w:cs="宋体"/>
          <w:highlight w:val="none"/>
          <w:u w:val="single"/>
          <w:shd w:val="clear" w:color="auto" w:fill="FFFFFF"/>
        </w:rPr>
      </w:pPr>
      <w:bookmarkStart w:id="357" w:name="_Toc12459"/>
      <w:bookmarkStart w:id="358" w:name="_Toc28238"/>
      <w:bookmarkStart w:id="359" w:name="_Toc1860"/>
      <w:r>
        <w:rPr>
          <w:rFonts w:cs="宋体"/>
          <w:highlight w:val="none"/>
          <w:u w:val="single"/>
          <w:shd w:val="clear" w:color="auto" w:fill="FFFFFF"/>
        </w:rPr>
        <w:t>1、定标委员会</w:t>
      </w:r>
      <w:bookmarkEnd w:id="357"/>
      <w:bookmarkEnd w:id="358"/>
      <w:bookmarkEnd w:id="359"/>
    </w:p>
    <w:p w14:paraId="07C176BB">
      <w:pPr>
        <w:pStyle w:val="15"/>
        <w:shd w:val="clear"/>
        <w:snapToGrid w:val="0"/>
        <w:spacing w:beforeAutospacing="0" w:afterAutospacing="0" w:line="360" w:lineRule="auto"/>
        <w:ind w:firstLine="480" w:firstLineChars="200"/>
        <w:rPr>
          <w:rFonts w:cs="宋体"/>
          <w:highlight w:val="none"/>
          <w:u w:val="single"/>
          <w:shd w:val="clear" w:color="auto" w:fill="FFFFFF"/>
        </w:rPr>
      </w:pPr>
      <w:r>
        <w:rPr>
          <w:rFonts w:cs="宋体"/>
          <w:highlight w:val="none"/>
          <w:u w:val="single"/>
          <w:shd w:val="clear" w:color="auto" w:fill="FFFFFF"/>
        </w:rPr>
        <w:t>定标委员会由招标人依法组建。定标活动开始前，招标人应组建定标监督小组，监督小组成员原则上不少于2人，可为招标人或上级单位具有监督检查职能的部门工作人员、工程建设领域相关专业技术人员或职工代表。监督小组对定标活动全过程进行监督，有权对定标委员会的组建、定标过程等进行全程监督，有权对定标委员会违反定标规则的行为进行质询，确保定标过程公平、公正。监督小组对发现的异常情况应及时提醒并纠正，但不得就评标、定标涉及的实质内容发表意见或者参与定标讨论。</w:t>
      </w:r>
    </w:p>
    <w:p w14:paraId="0A66E66E">
      <w:pPr>
        <w:pStyle w:val="15"/>
        <w:shd w:val="clear"/>
        <w:snapToGrid w:val="0"/>
        <w:spacing w:beforeAutospacing="0" w:afterAutospacing="0" w:line="360" w:lineRule="auto"/>
        <w:ind w:firstLine="484" w:firstLineChars="202"/>
        <w:rPr>
          <w:rFonts w:cs="宋体"/>
          <w:highlight w:val="none"/>
          <w:u w:val="single"/>
          <w:shd w:val="clear" w:color="auto" w:fill="FFFFFF"/>
        </w:rPr>
      </w:pPr>
      <w:bookmarkStart w:id="360" w:name="_Toc20976"/>
      <w:bookmarkStart w:id="361" w:name="_Toc15480"/>
      <w:bookmarkStart w:id="362" w:name="_Toc24562"/>
      <w:r>
        <w:rPr>
          <w:rFonts w:cs="宋体"/>
          <w:highlight w:val="none"/>
          <w:u w:val="single"/>
          <w:shd w:val="clear" w:color="auto" w:fill="FFFFFF"/>
        </w:rPr>
        <w:t>2、定标会召开的时间地点：</w:t>
      </w:r>
      <w:bookmarkEnd w:id="360"/>
      <w:bookmarkEnd w:id="361"/>
      <w:bookmarkEnd w:id="362"/>
    </w:p>
    <w:p w14:paraId="279E64CC">
      <w:pPr>
        <w:pStyle w:val="15"/>
        <w:shd w:val="clear"/>
        <w:snapToGrid w:val="0"/>
        <w:spacing w:beforeAutospacing="0" w:afterAutospacing="0" w:line="360" w:lineRule="auto"/>
        <w:ind w:firstLine="484" w:firstLineChars="202"/>
        <w:rPr>
          <w:rFonts w:cs="宋体"/>
          <w:highlight w:val="none"/>
          <w:u w:val="single"/>
          <w:shd w:val="clear" w:color="auto" w:fill="FFFFFF"/>
        </w:rPr>
      </w:pPr>
      <w:r>
        <w:rPr>
          <w:rFonts w:cs="宋体"/>
          <w:highlight w:val="none"/>
          <w:u w:val="single"/>
          <w:shd w:val="clear" w:color="auto" w:fill="FFFFFF"/>
        </w:rPr>
        <w:t>定标会召开时间在合格的中标候选人公示完成后5个工作日内在广州交易集团有限公司（广州公共资源交易中心）举行，定标会全程在广州交易集团有限公司（广州公共资源交易中心）见证人员见证下进行。</w:t>
      </w:r>
    </w:p>
    <w:p w14:paraId="613932F7">
      <w:pPr>
        <w:shd w:val="clear"/>
        <w:rPr>
          <w:rFonts w:hint="eastAsia" w:ascii="宋体" w:hAnsi="宋体" w:cs="宋体"/>
          <w:szCs w:val="21"/>
          <w:highlight w:val="none"/>
        </w:rPr>
      </w:pPr>
    </w:p>
    <w:p w14:paraId="08D1A47B">
      <w:pPr>
        <w:shd w:val="clear"/>
        <w:rPr>
          <w:rFonts w:hint="eastAsia" w:ascii="宋体" w:hAnsi="宋体" w:cs="宋体"/>
          <w:szCs w:val="21"/>
          <w:highlight w:val="none"/>
        </w:rPr>
        <w:sectPr>
          <w:pgSz w:w="11906" w:h="16838"/>
          <w:pgMar w:top="1440" w:right="1466" w:bottom="1440" w:left="1440" w:header="851" w:footer="992" w:gutter="0"/>
          <w:cols w:space="720" w:num="1"/>
          <w:docGrid w:type="lines" w:linePitch="312" w:charSpace="0"/>
        </w:sectPr>
      </w:pPr>
    </w:p>
    <w:p w14:paraId="73CF0A89">
      <w:pPr>
        <w:pStyle w:val="3"/>
        <w:shd w:val="clear"/>
        <w:rPr>
          <w:rFonts w:hint="eastAsia" w:ascii="宋体" w:hAnsi="宋体" w:cs="宋体"/>
          <w:sz w:val="21"/>
          <w:szCs w:val="21"/>
          <w:highlight w:val="none"/>
        </w:rPr>
      </w:pPr>
      <w:bookmarkStart w:id="363" w:name="_Toc7620"/>
      <w:bookmarkStart w:id="364" w:name="_Toc15046"/>
      <w:bookmarkStart w:id="365" w:name="_Toc8803"/>
      <w:bookmarkStart w:id="366" w:name="_Toc3273"/>
      <w:bookmarkStart w:id="367" w:name="_Toc21522"/>
      <w:bookmarkStart w:id="368" w:name="_Toc4182"/>
      <w:bookmarkStart w:id="369" w:name="_Toc20846"/>
      <w:r>
        <w:rPr>
          <w:rFonts w:hint="eastAsia" w:ascii="宋体" w:hAnsi="宋体" w:cs="宋体"/>
          <w:sz w:val="21"/>
          <w:szCs w:val="21"/>
          <w:highlight w:val="none"/>
        </w:rPr>
        <w:t>附录16 定标原则</w:t>
      </w:r>
      <w:bookmarkEnd w:id="363"/>
      <w:bookmarkEnd w:id="364"/>
      <w:bookmarkEnd w:id="365"/>
      <w:bookmarkEnd w:id="366"/>
      <w:bookmarkEnd w:id="367"/>
      <w:bookmarkEnd w:id="368"/>
      <w:bookmarkEnd w:id="369"/>
    </w:p>
    <w:p w14:paraId="020F3508">
      <w:pPr>
        <w:shd w:val="clear"/>
        <w:adjustRightInd w:val="0"/>
        <w:snapToGrid w:val="0"/>
        <w:jc w:val="center"/>
        <w:rPr>
          <w:rFonts w:hint="eastAsia" w:ascii="宋体" w:hAnsi="宋体" w:cs="宋体"/>
          <w:b/>
          <w:sz w:val="32"/>
          <w:szCs w:val="32"/>
          <w:highlight w:val="none"/>
        </w:rPr>
      </w:pPr>
      <w:r>
        <w:rPr>
          <w:rFonts w:hint="eastAsia" w:ascii="宋体" w:hAnsi="宋体" w:cs="宋体"/>
          <w:b/>
          <w:sz w:val="32"/>
          <w:szCs w:val="32"/>
          <w:highlight w:val="none"/>
        </w:rPr>
        <w:t>定标原则</w:t>
      </w:r>
    </w:p>
    <w:p w14:paraId="5C638871">
      <w:pPr>
        <w:pStyle w:val="15"/>
        <w:widowControl w:val="0"/>
        <w:shd w:val="clear"/>
        <w:spacing w:beforeAutospacing="0" w:afterAutospacing="0" w:line="360" w:lineRule="auto"/>
        <w:ind w:firstLine="480" w:firstLineChars="200"/>
        <w:jc w:val="both"/>
        <w:rPr>
          <w:rFonts w:cs="宋体"/>
          <w:highlight w:val="none"/>
          <w:u w:val="single"/>
          <w:shd w:val="clear" w:color="auto" w:fill="FFFFFF"/>
        </w:rPr>
      </w:pPr>
      <w:r>
        <w:rPr>
          <w:rFonts w:cs="宋体"/>
          <w:highlight w:val="none"/>
          <w:u w:val="single"/>
          <w:shd w:val="clear" w:color="auto" w:fill="FFFFFF"/>
        </w:rPr>
        <w:t>1、本项目定标办法采用“</w:t>
      </w:r>
      <w:r>
        <w:rPr>
          <w:rFonts w:cs="宋体"/>
          <w:szCs w:val="21"/>
          <w:highlight w:val="none"/>
          <w:u w:val="single"/>
        </w:rPr>
        <w:t>答辩因素得分+方案因素得分</w:t>
      </w:r>
      <w:r>
        <w:rPr>
          <w:rFonts w:cs="宋体"/>
          <w:highlight w:val="none"/>
          <w:u w:val="single"/>
          <w:shd w:val="clear" w:color="auto" w:fill="FFFFFF"/>
        </w:rPr>
        <w:t>”</w:t>
      </w:r>
      <w:r>
        <w:rPr>
          <w:rFonts w:cs="宋体"/>
          <w:szCs w:val="21"/>
          <w:highlight w:val="none"/>
          <w:u w:val="single"/>
        </w:rPr>
        <w:t>的定标法</w:t>
      </w:r>
      <w:r>
        <w:rPr>
          <w:rFonts w:cs="宋体"/>
          <w:highlight w:val="none"/>
          <w:u w:val="single"/>
          <w:shd w:val="clear" w:color="auto" w:fill="FFFFFF"/>
        </w:rPr>
        <w:t>。</w:t>
      </w:r>
      <w:r>
        <w:rPr>
          <w:rFonts w:cs="宋体"/>
          <w:kern w:val="1"/>
          <w:szCs w:val="21"/>
          <w:highlight w:val="none"/>
          <w:u w:val="single"/>
        </w:rPr>
        <w:t>定标委员会按得分由高到低顺序，确定中标候选人的名次，若定标综合得分相同时，以定标阶段方案因素部分得分高的排前；如仍存在相同情况，由定标委员会成员记名投票决定排序。招标人确定排名第一的投标人为中标人。</w:t>
      </w:r>
    </w:p>
    <w:p w14:paraId="7AF5FA61">
      <w:pPr>
        <w:pStyle w:val="15"/>
        <w:widowControl w:val="0"/>
        <w:shd w:val="clear"/>
        <w:spacing w:beforeAutospacing="0" w:afterAutospacing="0" w:line="360" w:lineRule="auto"/>
        <w:ind w:firstLine="480" w:firstLineChars="200"/>
        <w:jc w:val="both"/>
        <w:rPr>
          <w:rFonts w:cs="宋体"/>
          <w:highlight w:val="none"/>
          <w:u w:val="single"/>
          <w:shd w:val="clear" w:color="auto" w:fill="FFFFFF"/>
        </w:rPr>
      </w:pPr>
      <w:bookmarkStart w:id="370" w:name="_Toc3707"/>
      <w:r>
        <w:rPr>
          <w:rFonts w:cs="宋体"/>
          <w:highlight w:val="none"/>
          <w:u w:val="single"/>
          <w:shd w:val="clear" w:color="auto" w:fill="FFFFFF"/>
        </w:rPr>
        <w:t>2、定标细则</w:t>
      </w:r>
      <w:bookmarkEnd w:id="370"/>
    </w:p>
    <w:p w14:paraId="3FABECA8">
      <w:pPr>
        <w:pStyle w:val="15"/>
        <w:widowControl w:val="0"/>
        <w:shd w:val="clear"/>
        <w:spacing w:beforeAutospacing="0" w:afterAutospacing="0" w:line="360" w:lineRule="auto"/>
        <w:ind w:firstLine="480" w:firstLineChars="200"/>
        <w:jc w:val="both"/>
        <w:rPr>
          <w:rFonts w:cs="宋体"/>
          <w:highlight w:val="none"/>
          <w:u w:val="single"/>
          <w:shd w:val="clear" w:color="auto" w:fill="FFFFFF"/>
        </w:rPr>
      </w:pPr>
      <w:r>
        <w:rPr>
          <w:rFonts w:cs="宋体"/>
          <w:highlight w:val="none"/>
          <w:u w:val="single"/>
          <w:shd w:val="clear" w:color="auto" w:fill="FFFFFF"/>
        </w:rPr>
        <w:t>（1）定标工作开始后，定标委员</w:t>
      </w:r>
      <w:r>
        <w:rPr>
          <w:rFonts w:hint="eastAsia" w:cs="宋体"/>
          <w:highlight w:val="none"/>
          <w:u w:val="single"/>
          <w:shd w:val="clear" w:color="auto" w:fill="FFFFFF"/>
          <w:lang w:eastAsia="zh-CN"/>
        </w:rPr>
        <w:t>会对</w:t>
      </w:r>
      <w:r>
        <w:rPr>
          <w:rFonts w:cs="宋体"/>
          <w:highlight w:val="none"/>
          <w:u w:val="single"/>
          <w:shd w:val="clear" w:color="auto" w:fill="FFFFFF"/>
        </w:rPr>
        <w:t>评标报告上的</w:t>
      </w:r>
      <w:r>
        <w:rPr>
          <w:rFonts w:hint="eastAsia" w:ascii="宋体" w:hAnsi="宋体" w:cs="宋体"/>
          <w:sz w:val="24"/>
          <w:szCs w:val="24"/>
          <w:highlight w:val="none"/>
          <w:u w:val="single"/>
        </w:rPr>
        <w:t>合格</w:t>
      </w:r>
      <w:r>
        <w:rPr>
          <w:rFonts w:hint="eastAsia" w:cs="宋体"/>
          <w:highlight w:val="none"/>
          <w:u w:val="single"/>
          <w:shd w:val="clear" w:color="auto" w:fill="FFFFFF"/>
          <w:lang w:val="en-US" w:eastAsia="zh-CN"/>
        </w:rPr>
        <w:t>中标候选人</w:t>
      </w:r>
      <w:r>
        <w:rPr>
          <w:rFonts w:cs="宋体"/>
          <w:highlight w:val="none"/>
          <w:u w:val="single"/>
          <w:shd w:val="clear" w:color="auto" w:fill="FFFFFF"/>
        </w:rPr>
        <w:t>进行评审。同时，</w:t>
      </w:r>
      <w:r>
        <w:rPr>
          <w:rFonts w:hint="eastAsia" w:cs="宋体"/>
          <w:highlight w:val="none"/>
          <w:u w:val="single"/>
          <w:shd w:val="clear" w:color="auto" w:fill="FFFFFF"/>
        </w:rPr>
        <w:t>招标人应根据要求确定</w:t>
      </w:r>
      <w:r>
        <w:rPr>
          <w:rFonts w:cs="宋体"/>
          <w:highlight w:val="none"/>
          <w:u w:val="single"/>
          <w:shd w:val="clear" w:color="auto" w:fill="FFFFFF"/>
        </w:rPr>
        <w:t>一人为定标委员会组长，主持当次定标会议。</w:t>
      </w:r>
    </w:p>
    <w:p w14:paraId="69B20251">
      <w:pPr>
        <w:pStyle w:val="15"/>
        <w:widowControl w:val="0"/>
        <w:shd w:val="clear"/>
        <w:spacing w:beforeAutospacing="0" w:afterAutospacing="0" w:line="360" w:lineRule="auto"/>
        <w:ind w:firstLine="480" w:firstLineChars="200"/>
        <w:jc w:val="both"/>
        <w:rPr>
          <w:rFonts w:cs="宋体"/>
          <w:highlight w:val="none"/>
          <w:u w:val="single"/>
          <w:shd w:val="clear" w:color="auto" w:fill="FFFFFF"/>
        </w:rPr>
      </w:pPr>
      <w:r>
        <w:rPr>
          <w:rFonts w:cs="宋体"/>
          <w:highlight w:val="none"/>
          <w:u w:val="single"/>
          <w:shd w:val="clear" w:color="auto" w:fill="FFFFFF"/>
        </w:rPr>
        <w:t>（2）定标委员会阅读评标委员会提交的评标报告。</w:t>
      </w:r>
    </w:p>
    <w:p w14:paraId="132D6107">
      <w:pPr>
        <w:pStyle w:val="15"/>
        <w:widowControl w:val="0"/>
        <w:shd w:val="clear"/>
        <w:spacing w:beforeAutospacing="0" w:afterAutospacing="0" w:line="360" w:lineRule="auto"/>
        <w:ind w:firstLine="480" w:firstLineChars="200"/>
        <w:jc w:val="both"/>
        <w:rPr>
          <w:rFonts w:cs="宋体"/>
          <w:highlight w:val="none"/>
          <w:u w:val="single"/>
          <w:shd w:val="clear" w:color="auto" w:fill="FFFFFF"/>
        </w:rPr>
      </w:pPr>
      <w:r>
        <w:rPr>
          <w:rFonts w:cs="宋体"/>
          <w:highlight w:val="none"/>
          <w:u w:val="single"/>
          <w:shd w:val="clear" w:color="auto" w:fill="FFFFFF"/>
        </w:rPr>
        <w:t>（3）定标委员会根据定标因素对各合格的中标候选人进行综合评审。本项目按以下因素进行定标：</w:t>
      </w:r>
    </w:p>
    <w:tbl>
      <w:tblPr>
        <w:tblStyle w:val="19"/>
        <w:tblW w:w="8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813"/>
        <w:gridCol w:w="6161"/>
      </w:tblGrid>
      <w:tr w14:paraId="5B45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1012" w:type="dxa"/>
            <w:tcBorders>
              <w:top w:val="single" w:color="auto" w:sz="4" w:space="0"/>
              <w:left w:val="single" w:color="auto" w:sz="4" w:space="0"/>
              <w:bottom w:val="single" w:color="auto" w:sz="4" w:space="0"/>
              <w:right w:val="single" w:color="auto" w:sz="4" w:space="0"/>
            </w:tcBorders>
            <w:vAlign w:val="center"/>
          </w:tcPr>
          <w:p w14:paraId="102131E2">
            <w:pPr>
              <w:pStyle w:val="15"/>
              <w:widowControl w:val="0"/>
              <w:shd w:val="clear"/>
              <w:spacing w:beforeAutospacing="0" w:afterAutospacing="0" w:line="360" w:lineRule="auto"/>
              <w:jc w:val="center"/>
              <w:rPr>
                <w:rFonts w:cs="宋体"/>
                <w:highlight w:val="none"/>
                <w:u w:val="single"/>
                <w:shd w:val="clear" w:color="auto" w:fill="FFFFFF"/>
              </w:rPr>
            </w:pPr>
            <w:r>
              <w:rPr>
                <w:rFonts w:cs="宋体"/>
                <w:highlight w:val="none"/>
                <w:u w:val="single"/>
                <w:shd w:val="clear" w:color="auto" w:fill="FFFFFF"/>
              </w:rPr>
              <w:t>序号</w:t>
            </w:r>
          </w:p>
        </w:tc>
        <w:tc>
          <w:tcPr>
            <w:tcW w:w="1813" w:type="dxa"/>
            <w:tcBorders>
              <w:top w:val="single" w:color="auto" w:sz="4" w:space="0"/>
              <w:left w:val="single" w:color="auto" w:sz="4" w:space="0"/>
              <w:bottom w:val="single" w:color="auto" w:sz="4" w:space="0"/>
              <w:right w:val="single" w:color="auto" w:sz="4" w:space="0"/>
            </w:tcBorders>
            <w:vAlign w:val="center"/>
          </w:tcPr>
          <w:p w14:paraId="4A136EB7">
            <w:pPr>
              <w:pStyle w:val="15"/>
              <w:widowControl w:val="0"/>
              <w:shd w:val="clear"/>
              <w:spacing w:beforeAutospacing="0" w:afterAutospacing="0" w:line="360" w:lineRule="auto"/>
              <w:ind w:firstLine="480" w:firstLineChars="200"/>
              <w:jc w:val="both"/>
              <w:rPr>
                <w:rFonts w:cs="宋体"/>
                <w:highlight w:val="none"/>
                <w:u w:val="single"/>
                <w:shd w:val="clear" w:color="auto" w:fill="FFFFFF"/>
              </w:rPr>
            </w:pPr>
            <w:r>
              <w:rPr>
                <w:rFonts w:cs="宋体"/>
                <w:highlight w:val="none"/>
                <w:u w:val="single"/>
                <w:shd w:val="clear" w:color="auto" w:fill="FFFFFF"/>
              </w:rPr>
              <w:t>评审因素</w:t>
            </w:r>
          </w:p>
        </w:tc>
        <w:tc>
          <w:tcPr>
            <w:tcW w:w="6161" w:type="dxa"/>
            <w:tcBorders>
              <w:top w:val="single" w:color="auto" w:sz="4" w:space="0"/>
              <w:left w:val="single" w:color="auto" w:sz="4" w:space="0"/>
              <w:bottom w:val="single" w:color="auto" w:sz="4" w:space="0"/>
              <w:right w:val="single" w:color="auto" w:sz="4" w:space="0"/>
            </w:tcBorders>
            <w:vAlign w:val="center"/>
          </w:tcPr>
          <w:p w14:paraId="358B1F5F">
            <w:pPr>
              <w:pStyle w:val="15"/>
              <w:widowControl w:val="0"/>
              <w:shd w:val="clear"/>
              <w:spacing w:beforeAutospacing="0" w:afterAutospacing="0" w:line="360" w:lineRule="auto"/>
              <w:ind w:firstLine="480" w:firstLineChars="200"/>
              <w:jc w:val="center"/>
              <w:rPr>
                <w:rFonts w:cs="宋体"/>
                <w:highlight w:val="none"/>
                <w:u w:val="single"/>
                <w:shd w:val="clear" w:color="auto" w:fill="FFFFFF"/>
              </w:rPr>
            </w:pPr>
            <w:r>
              <w:rPr>
                <w:rFonts w:cs="宋体"/>
                <w:highlight w:val="none"/>
                <w:u w:val="single"/>
                <w:shd w:val="clear" w:color="auto" w:fill="FFFFFF"/>
              </w:rPr>
              <w:t>具体内容</w:t>
            </w:r>
          </w:p>
        </w:tc>
      </w:tr>
      <w:tr w14:paraId="2643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1012" w:type="dxa"/>
            <w:tcBorders>
              <w:top w:val="single" w:color="auto" w:sz="4" w:space="0"/>
              <w:left w:val="single" w:color="auto" w:sz="4" w:space="0"/>
              <w:bottom w:val="single" w:color="auto" w:sz="4" w:space="0"/>
              <w:right w:val="single" w:color="auto" w:sz="4" w:space="0"/>
            </w:tcBorders>
            <w:vAlign w:val="center"/>
          </w:tcPr>
          <w:p w14:paraId="6984E749">
            <w:pPr>
              <w:pStyle w:val="15"/>
              <w:widowControl w:val="0"/>
              <w:shd w:val="clear"/>
              <w:spacing w:beforeAutospacing="0" w:afterAutospacing="0" w:line="360" w:lineRule="auto"/>
              <w:ind w:firstLine="480" w:firstLineChars="200"/>
              <w:jc w:val="both"/>
              <w:rPr>
                <w:rFonts w:cs="宋体"/>
                <w:highlight w:val="none"/>
                <w:u w:val="single"/>
                <w:shd w:val="clear" w:color="auto" w:fill="FFFFFF"/>
              </w:rPr>
            </w:pPr>
            <w:r>
              <w:rPr>
                <w:rFonts w:cs="宋体"/>
                <w:highlight w:val="none"/>
                <w:u w:val="single"/>
                <w:shd w:val="clear" w:color="auto" w:fill="FFFFFF"/>
              </w:rPr>
              <w:t>1</w:t>
            </w:r>
          </w:p>
        </w:tc>
        <w:tc>
          <w:tcPr>
            <w:tcW w:w="1813" w:type="dxa"/>
            <w:tcBorders>
              <w:top w:val="single" w:color="auto" w:sz="4" w:space="0"/>
              <w:left w:val="single" w:color="auto" w:sz="4" w:space="0"/>
              <w:bottom w:val="single" w:color="auto" w:sz="4" w:space="0"/>
              <w:right w:val="single" w:color="auto" w:sz="4" w:space="0"/>
            </w:tcBorders>
            <w:vAlign w:val="center"/>
          </w:tcPr>
          <w:p w14:paraId="7A33D8F3">
            <w:pPr>
              <w:pStyle w:val="15"/>
              <w:widowControl w:val="0"/>
              <w:shd w:val="clear"/>
              <w:spacing w:beforeAutospacing="0" w:afterAutospacing="0" w:line="360" w:lineRule="auto"/>
              <w:ind w:firstLine="480" w:firstLineChars="200"/>
              <w:jc w:val="both"/>
              <w:rPr>
                <w:rFonts w:cs="宋体"/>
                <w:highlight w:val="none"/>
                <w:u w:val="single"/>
                <w:shd w:val="clear" w:color="auto" w:fill="FFFFFF"/>
              </w:rPr>
            </w:pPr>
            <w:r>
              <w:rPr>
                <w:rFonts w:cs="宋体"/>
                <w:highlight w:val="none"/>
                <w:u w:val="single"/>
                <w:shd w:val="clear" w:color="auto" w:fill="FFFFFF"/>
              </w:rPr>
              <w:t>方案因素</w:t>
            </w:r>
          </w:p>
        </w:tc>
        <w:tc>
          <w:tcPr>
            <w:tcW w:w="6161" w:type="dxa"/>
            <w:tcBorders>
              <w:top w:val="single" w:color="auto" w:sz="4" w:space="0"/>
              <w:left w:val="single" w:color="auto" w:sz="4" w:space="0"/>
              <w:bottom w:val="single" w:color="auto" w:sz="4" w:space="0"/>
              <w:right w:val="single" w:color="auto" w:sz="4" w:space="0"/>
            </w:tcBorders>
            <w:vAlign w:val="center"/>
          </w:tcPr>
          <w:p w14:paraId="2FD4B011">
            <w:pPr>
              <w:shd w:val="clear"/>
              <w:spacing w:line="360" w:lineRule="atLeast"/>
              <w:rPr>
                <w:rFonts w:hint="eastAsia" w:ascii="宋体" w:hAnsi="宋体" w:cs="宋体"/>
                <w:sz w:val="24"/>
                <w:szCs w:val="24"/>
                <w:highlight w:val="none"/>
              </w:rPr>
            </w:pPr>
            <w:r>
              <w:rPr>
                <w:rFonts w:hint="eastAsia" w:ascii="宋体" w:hAnsi="宋体" w:cs="宋体"/>
                <w:sz w:val="24"/>
                <w:szCs w:val="24"/>
                <w:highlight w:val="none"/>
              </w:rPr>
              <w:t>详见附录16-1</w:t>
            </w:r>
            <w:r>
              <w:rPr>
                <w:rFonts w:hint="eastAsia" w:ascii="宋体" w:hAnsi="宋体" w:cs="宋体"/>
                <w:b/>
                <w:kern w:val="44"/>
                <w:sz w:val="24"/>
                <w:szCs w:val="24"/>
                <w:highlight w:val="none"/>
              </w:rPr>
              <w:t>定标因素表（定标阶段用表）</w:t>
            </w:r>
          </w:p>
        </w:tc>
      </w:tr>
      <w:tr w14:paraId="45D7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12" w:type="dxa"/>
            <w:tcBorders>
              <w:top w:val="single" w:color="auto" w:sz="4" w:space="0"/>
              <w:left w:val="single" w:color="auto" w:sz="4" w:space="0"/>
              <w:bottom w:val="single" w:color="auto" w:sz="4" w:space="0"/>
              <w:right w:val="single" w:color="auto" w:sz="4" w:space="0"/>
            </w:tcBorders>
            <w:vAlign w:val="center"/>
          </w:tcPr>
          <w:p w14:paraId="3575591C">
            <w:pPr>
              <w:pStyle w:val="15"/>
              <w:widowControl w:val="0"/>
              <w:shd w:val="clear"/>
              <w:spacing w:beforeAutospacing="0" w:afterAutospacing="0" w:line="360" w:lineRule="auto"/>
              <w:ind w:firstLine="480" w:firstLineChars="200"/>
              <w:jc w:val="both"/>
              <w:rPr>
                <w:rFonts w:cs="宋体"/>
                <w:highlight w:val="none"/>
                <w:u w:val="single"/>
                <w:shd w:val="clear" w:color="auto" w:fill="FFFFFF"/>
              </w:rPr>
            </w:pPr>
            <w:r>
              <w:rPr>
                <w:rFonts w:cs="宋体"/>
                <w:highlight w:val="none"/>
                <w:u w:val="single"/>
                <w:shd w:val="clear" w:color="auto" w:fill="FFFFFF"/>
              </w:rPr>
              <w:t>2</w:t>
            </w:r>
          </w:p>
        </w:tc>
        <w:tc>
          <w:tcPr>
            <w:tcW w:w="1813" w:type="dxa"/>
            <w:tcBorders>
              <w:top w:val="single" w:color="auto" w:sz="4" w:space="0"/>
              <w:left w:val="single" w:color="auto" w:sz="4" w:space="0"/>
              <w:bottom w:val="single" w:color="auto" w:sz="4" w:space="0"/>
              <w:right w:val="single" w:color="auto" w:sz="4" w:space="0"/>
            </w:tcBorders>
            <w:vAlign w:val="center"/>
          </w:tcPr>
          <w:p w14:paraId="49F91CDE">
            <w:pPr>
              <w:pStyle w:val="15"/>
              <w:widowControl w:val="0"/>
              <w:shd w:val="clear"/>
              <w:spacing w:beforeAutospacing="0" w:afterAutospacing="0" w:line="360" w:lineRule="auto"/>
              <w:ind w:firstLine="480" w:firstLineChars="200"/>
              <w:jc w:val="both"/>
              <w:rPr>
                <w:rFonts w:cs="宋体"/>
                <w:highlight w:val="none"/>
                <w:u w:val="single"/>
                <w:shd w:val="clear" w:color="auto" w:fill="FFFFFF"/>
              </w:rPr>
            </w:pPr>
            <w:r>
              <w:rPr>
                <w:rFonts w:cs="宋体"/>
                <w:highlight w:val="none"/>
                <w:u w:val="single"/>
                <w:shd w:val="clear" w:color="auto" w:fill="FFFFFF"/>
              </w:rPr>
              <w:t>答辩因素</w:t>
            </w:r>
          </w:p>
        </w:tc>
        <w:tc>
          <w:tcPr>
            <w:tcW w:w="6161" w:type="dxa"/>
            <w:tcBorders>
              <w:top w:val="single" w:color="auto" w:sz="4" w:space="0"/>
              <w:left w:val="single" w:color="auto" w:sz="4" w:space="0"/>
              <w:bottom w:val="single" w:color="auto" w:sz="4" w:space="0"/>
              <w:right w:val="single" w:color="auto" w:sz="4" w:space="0"/>
            </w:tcBorders>
            <w:vAlign w:val="center"/>
          </w:tcPr>
          <w:p w14:paraId="7DB889CF">
            <w:pPr>
              <w:shd w:val="clear"/>
              <w:spacing w:line="360" w:lineRule="atLeast"/>
              <w:rPr>
                <w:rFonts w:hint="eastAsia" w:ascii="宋体" w:hAnsi="宋体" w:cs="宋体"/>
                <w:sz w:val="24"/>
                <w:szCs w:val="24"/>
                <w:highlight w:val="none"/>
                <w:u w:val="single"/>
                <w:shd w:val="clear" w:color="auto" w:fill="FFFFFF"/>
              </w:rPr>
            </w:pPr>
            <w:r>
              <w:rPr>
                <w:rFonts w:hint="eastAsia" w:ascii="宋体" w:hAnsi="宋体" w:cs="宋体"/>
                <w:sz w:val="24"/>
                <w:szCs w:val="24"/>
                <w:highlight w:val="none"/>
              </w:rPr>
              <w:t>合格中标候选人拟派的答辩小组对拟派团队履约能力与履约水平的介绍，介绍时间不得超过10分钟，定标委员会根据定标候选人代表介绍对其进行提问；介绍内容包括但不限于：项目管理班子人员、项目设计构思、使用功能、建筑形象与设计创新等，并对定标委员会提出的问题进行答辩。</w:t>
            </w:r>
          </w:p>
        </w:tc>
      </w:tr>
    </w:tbl>
    <w:p w14:paraId="3A98679A">
      <w:pPr>
        <w:shd w:val="clea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（4）答辩程序：</w:t>
      </w:r>
    </w:p>
    <w:p w14:paraId="50B0D7DF">
      <w:pPr>
        <w:shd w:val="clea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1）答辩签到：招标人或招标代理将《定标会议通知》以邮件送达各合格中标候选人，各合格中标候选人收到邮件后需在《定标会议通知》上盖章（联合体投标的，由联合体主办方盖章</w:t>
      </w:r>
      <w:r>
        <w:rPr>
          <w:rFonts w:hint="eastAsia" w:ascii="宋体" w:hAnsi="宋体" w:cs="宋体"/>
          <w:sz w:val="24"/>
          <w:szCs w:val="24"/>
          <w:highlight w:val="none"/>
          <w:lang w:eastAsia="zh-CN"/>
        </w:rPr>
        <w:t>）</w:t>
      </w:r>
      <w:r>
        <w:rPr>
          <w:rFonts w:hint="eastAsia" w:ascii="宋体" w:hAnsi="宋体" w:cs="宋体"/>
          <w:sz w:val="24"/>
          <w:szCs w:val="24"/>
          <w:highlight w:val="none"/>
        </w:rPr>
        <w:t>后回复邮件。各中标候选人拟派项目负责人或各专业负责人组成1</w:t>
      </w:r>
      <w:r>
        <w:rPr>
          <w:rFonts w:hint="eastAsia" w:ascii="宋体" w:hAnsi="宋体" w:cs="宋体"/>
          <w:sz w:val="24"/>
          <w:szCs w:val="24"/>
          <w:highlight w:val="none"/>
          <w:lang w:eastAsia="zh-CN"/>
        </w:rPr>
        <w:t>～</w:t>
      </w:r>
      <w:r>
        <w:rPr>
          <w:rFonts w:hint="eastAsia" w:ascii="宋体" w:hAnsi="宋体" w:cs="宋体"/>
          <w:sz w:val="24"/>
          <w:szCs w:val="24"/>
          <w:highlight w:val="none"/>
        </w:rPr>
        <w:t>2人的答辩小组；答辩小组须携带本单位法定代表人证明书原件、法定代表人授权委托证明书原件、本人身份证原件及身份证正反面复印件（加盖公章，联合体投标的，由联合体主办方盖章）、缴纳社保【提供扣除招标公告发布当月前一个月（即扣除招标公告发布当月前一个月）】复印件资料（加盖公章，联合体投标的，由联合体主办方盖章）到达《定标会议通知》通知的开标室进行签到并递交以U盘为载体的PPT演示文件（如有），签到具体时间以《定标会议通知》为准。签到完成后，拟派答辩小组需签署《答辩纪律》《答辩人员承诺书》等文件</w:t>
      </w:r>
      <w:r>
        <w:rPr>
          <w:rFonts w:hint="eastAsia" w:ascii="宋体" w:hAnsi="宋体" w:cs="宋体"/>
          <w:sz w:val="24"/>
          <w:szCs w:val="24"/>
          <w:highlight w:val="none"/>
          <w:lang w:eastAsia="zh-CN"/>
        </w:rPr>
        <w:t>（</w:t>
      </w:r>
      <w:r>
        <w:rPr>
          <w:rFonts w:hint="eastAsia" w:ascii="宋体" w:hAnsi="宋体" w:cs="宋体"/>
          <w:sz w:val="24"/>
          <w:szCs w:val="24"/>
          <w:highlight w:val="none"/>
        </w:rPr>
        <w:t>签署的文件以实际下发的为准)。合格中标候选人拟派答辩小组签到时未能提供上述携带证明资料的，或未能在规定的</w:t>
      </w:r>
      <w:r>
        <w:rPr>
          <w:rFonts w:hint="eastAsia" w:ascii="宋体" w:hAnsi="宋体" w:cs="宋体"/>
          <w:sz w:val="24"/>
          <w:szCs w:val="24"/>
          <w:highlight w:val="none"/>
          <w:lang w:eastAsia="zh-CN"/>
        </w:rPr>
        <w:t>时间</w:t>
      </w:r>
      <w:r>
        <w:rPr>
          <w:rFonts w:hint="eastAsia" w:ascii="宋体" w:hAnsi="宋体" w:cs="宋体"/>
          <w:sz w:val="24"/>
          <w:szCs w:val="24"/>
          <w:highlight w:val="none"/>
        </w:rPr>
        <w:t>内进行签到的，视为放弃答辩，定标委员会将其答辩得分评为零分。签到时，拟派答辩小组需将其所有通讯设备调成关机或静音状态交招标代理保管，待其答辩完成后退还。</w:t>
      </w:r>
    </w:p>
    <w:p w14:paraId="7E3ABCC4">
      <w:pPr>
        <w:shd w:val="clea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答辩进场顺序：采用现场答辩形式，按拟派答辩小组签到顺序各自抽取答辩顺序号，按答辩顺序号从小到大依次进场答辩。在规定的签到时间内，如所有合格中标候选人均完成签到后，招标代理即可组织抽取答辩顺序号；在规定的签到时间内如存在合格中标候选人未完成签到的，视为放弃答辩。在签到时间截止后，招标代理组织已完成签到的合格中标候选人抽取答辩顺序。</w:t>
      </w:r>
    </w:p>
    <w:p w14:paraId="7FB9D406">
      <w:pPr>
        <w:shd w:val="clea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3）答辩人员的要求：</w:t>
      </w:r>
      <w:r>
        <w:rPr>
          <w:rFonts w:hint="eastAsia" w:ascii="宋体" w:hAnsi="宋体" w:cs="宋体"/>
          <w:sz w:val="24"/>
          <w:szCs w:val="24"/>
          <w:highlight w:val="none"/>
          <w:lang w:eastAsia="zh-CN"/>
        </w:rPr>
        <w:t>答辩</w:t>
      </w:r>
      <w:r>
        <w:rPr>
          <w:rFonts w:hint="eastAsia" w:ascii="宋体" w:hAnsi="宋体" w:cs="宋体"/>
          <w:sz w:val="24"/>
          <w:szCs w:val="24"/>
          <w:highlight w:val="none"/>
        </w:rPr>
        <w:t>人员在参加答辩时，应向招标人（招标代理）出示身份证原件</w:t>
      </w:r>
      <w:r>
        <w:rPr>
          <w:rFonts w:hint="eastAsia" w:ascii="宋体" w:hAnsi="宋体" w:cs="宋体"/>
          <w:sz w:val="24"/>
          <w:szCs w:val="24"/>
          <w:highlight w:val="none"/>
          <w:lang w:eastAsia="zh-CN"/>
        </w:rPr>
        <w:t>，经</w:t>
      </w:r>
      <w:r>
        <w:rPr>
          <w:rFonts w:hint="eastAsia" w:ascii="宋体" w:hAnsi="宋体" w:cs="宋体"/>
          <w:sz w:val="24"/>
          <w:szCs w:val="24"/>
          <w:highlight w:val="none"/>
        </w:rPr>
        <w:t>招标人（招标代理）核对确认身份无误后再进行答辩。答辩人员未能出示前述证明文件的不予参加答辩环节。</w:t>
      </w:r>
    </w:p>
    <w:p w14:paraId="23B00959">
      <w:pPr>
        <w:shd w:val="clea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4）答辩的要点与时限：答辩的要点与时限详见《定标因素表》。中标候选人拟派项目答辩小组对拟派团队履约能力与履约水平、对项目的重视程度和设计能</w:t>
      </w:r>
      <w:r>
        <w:rPr>
          <w:rFonts w:hint="eastAsia" w:ascii="宋体" w:hAnsi="宋体" w:cs="宋体"/>
          <w:sz w:val="24"/>
          <w:szCs w:val="24"/>
          <w:highlight w:val="none"/>
          <w:lang w:eastAsia="zh-CN"/>
        </w:rPr>
        <w:t>力和</w:t>
      </w:r>
      <w:r>
        <w:rPr>
          <w:rFonts w:hint="eastAsia" w:ascii="宋体" w:hAnsi="宋体" w:cs="宋体"/>
          <w:sz w:val="24"/>
          <w:szCs w:val="24"/>
          <w:highlight w:val="none"/>
        </w:rPr>
        <w:t>服务保障能力进行介绍时，可借助广州交易集团有限公司（广州公共资源交易中心）开标室电脑播放事先准备的PPT（如有），并同步至定标室进行介绍。</w:t>
      </w:r>
    </w:p>
    <w:p w14:paraId="0CDB8483">
      <w:pPr>
        <w:shd w:val="clear"/>
        <w:adjustRightInd w:val="0"/>
        <w:snapToGrid w:val="0"/>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注：合格中标候选人的拟派答辩小组对拟派团队履约能力与履约水平的介绍，介绍时间不得超过10分钟，定标委员会根据定标候选人代表介绍对其进行提问，回答时间不超过10分钟，总计不超过20分钟；介绍内容包括但不限于：项目管理班子人员、项目设计构思、使用功能、建筑形象与设计创新等，并对定标委员会提出的问题进行答辩。</w:t>
      </w:r>
    </w:p>
    <w:p w14:paraId="4EA00404">
      <w:pPr>
        <w:pStyle w:val="15"/>
        <w:widowControl w:val="0"/>
        <w:shd w:val="clear"/>
        <w:spacing w:beforeAutospacing="0" w:afterAutospacing="0" w:line="360" w:lineRule="auto"/>
        <w:ind w:firstLine="480" w:firstLineChars="200"/>
        <w:jc w:val="both"/>
        <w:rPr>
          <w:rFonts w:cs="宋体"/>
          <w:szCs w:val="21"/>
          <w:highlight w:val="none"/>
        </w:rPr>
      </w:pPr>
      <w:r>
        <w:rPr>
          <w:rFonts w:cs="宋体"/>
          <w:szCs w:val="21"/>
          <w:highlight w:val="none"/>
        </w:rPr>
        <w:t>（5）</w:t>
      </w:r>
      <w:r>
        <w:rPr>
          <w:rFonts w:cs="宋体"/>
          <w:kern w:val="1"/>
          <w:szCs w:val="21"/>
          <w:highlight w:val="none"/>
        </w:rPr>
        <w:t>定标委员会对合格中标候选人进行评审打分并计算综合得分，定标委员会按得分由高到低顺序，确定中标候选人的名次，若定标综合得分相同时，以定标阶段方案因素部分得分高的排前；如仍存在相同情况，由定标委员会成员记名投票决定排序。</w:t>
      </w:r>
    </w:p>
    <w:p w14:paraId="283D0539">
      <w:pPr>
        <w:pStyle w:val="15"/>
        <w:widowControl w:val="0"/>
        <w:shd w:val="clear"/>
        <w:spacing w:beforeAutospacing="0" w:afterAutospacing="0" w:line="360" w:lineRule="auto"/>
        <w:ind w:firstLine="480" w:firstLineChars="200"/>
        <w:jc w:val="both"/>
        <w:rPr>
          <w:rFonts w:cs="宋体"/>
          <w:highlight w:val="none"/>
          <w:shd w:val="clear" w:color="auto" w:fill="FFFFFF"/>
        </w:rPr>
      </w:pPr>
      <w:r>
        <w:rPr>
          <w:rFonts w:cs="宋体"/>
          <w:highlight w:val="none"/>
          <w:shd w:val="clear" w:color="auto" w:fill="FFFFFF"/>
        </w:rPr>
        <w:t>（6）定标委员会根据综合评分结果推荐中标候选人后，撰写、签署定标报告。定标报告由定标委员会全体成员签字，对定标结论持有异议的成员应以书面方式阐述其不同意见和理由。</w:t>
      </w:r>
    </w:p>
    <w:p w14:paraId="388B1829">
      <w:pPr>
        <w:pStyle w:val="15"/>
        <w:widowControl w:val="0"/>
        <w:shd w:val="clear"/>
        <w:spacing w:beforeAutospacing="0" w:afterAutospacing="0" w:line="360" w:lineRule="auto"/>
        <w:ind w:firstLine="480" w:firstLineChars="200"/>
        <w:jc w:val="both"/>
        <w:rPr>
          <w:rFonts w:cs="宋体"/>
          <w:highlight w:val="none"/>
          <w:shd w:val="clear" w:color="auto" w:fill="FFFFFF"/>
        </w:rPr>
      </w:pPr>
      <w:r>
        <w:rPr>
          <w:rFonts w:cs="宋体"/>
          <w:highlight w:val="none"/>
          <w:shd w:val="clear" w:color="auto" w:fill="FFFFFF"/>
        </w:rPr>
        <w:t>（7）定标委员会向招标人提交书面定标报告后即解散，定标过程中使用的文件、表格以及其他资料不得私自带离。</w:t>
      </w:r>
    </w:p>
    <w:p w14:paraId="5819ED50">
      <w:pPr>
        <w:pStyle w:val="15"/>
        <w:widowControl w:val="0"/>
        <w:shd w:val="clear"/>
        <w:spacing w:beforeAutospacing="0" w:afterAutospacing="0" w:line="360" w:lineRule="auto"/>
        <w:ind w:firstLine="480" w:firstLineChars="200"/>
        <w:jc w:val="both"/>
        <w:rPr>
          <w:rFonts w:cs="宋体"/>
          <w:highlight w:val="none"/>
          <w:shd w:val="clear" w:color="auto" w:fill="FFFFFF"/>
        </w:rPr>
      </w:pPr>
      <w:r>
        <w:rPr>
          <w:rFonts w:cs="宋体"/>
          <w:highlight w:val="none"/>
          <w:shd w:val="clear" w:color="auto" w:fill="FFFFFF"/>
        </w:rPr>
        <w:t>（8）定标后出现中标人不符合法定情形的，招标人可按定标委员会确定的定标综合排序依序确定中标人，也可以重新招标。</w:t>
      </w:r>
    </w:p>
    <w:p w14:paraId="624C26AC">
      <w:pPr>
        <w:pStyle w:val="15"/>
        <w:widowControl w:val="0"/>
        <w:shd w:val="clear"/>
        <w:spacing w:beforeAutospacing="0" w:afterAutospacing="0" w:line="360" w:lineRule="auto"/>
        <w:ind w:firstLine="480" w:firstLineChars="200"/>
        <w:jc w:val="both"/>
        <w:rPr>
          <w:rFonts w:cs="宋体"/>
          <w:highlight w:val="none"/>
          <w:shd w:val="clear" w:color="auto" w:fill="FFFFFF"/>
        </w:rPr>
      </w:pPr>
      <w:r>
        <w:rPr>
          <w:rFonts w:cs="宋体"/>
          <w:highlight w:val="none"/>
          <w:shd w:val="clear" w:color="auto" w:fill="FFFFFF"/>
        </w:rPr>
        <w:t>（9）因质疑或投诉生效，需要重新评标或定标的，评标（含业绩、奖项等）、定标信息仍以投标截止时投标人的信息为准。因特殊原因需要延长投标有效期，投标人拒绝延长投标有效期的，仍参与评标、定标，但不被推荐为中标人。</w:t>
      </w:r>
    </w:p>
    <w:p w14:paraId="2B5B5455">
      <w:pPr>
        <w:pStyle w:val="15"/>
        <w:widowControl w:val="0"/>
        <w:shd w:val="clear"/>
        <w:spacing w:beforeAutospacing="0" w:afterAutospacing="0" w:line="360" w:lineRule="auto"/>
        <w:ind w:firstLine="480" w:firstLineChars="200"/>
        <w:jc w:val="both"/>
        <w:rPr>
          <w:rFonts w:cs="宋体"/>
          <w:highlight w:val="none"/>
          <w:shd w:val="clear" w:color="auto" w:fill="FFFFFF"/>
        </w:rPr>
      </w:pPr>
      <w:r>
        <w:rPr>
          <w:rFonts w:cs="宋体"/>
          <w:highlight w:val="none"/>
          <w:shd w:val="clear" w:color="auto" w:fill="FFFFFF"/>
        </w:rPr>
        <w:t>（10）投标人如在本项目中存在串通投标、弄虚作假、行贿情形且在评标过程中未被发现的，其投标不改变本项目评标结果。招标人按照《中华人民共和国招标投标法实施条例》第五十五条的规定确定中标人或重新招标。</w:t>
      </w:r>
    </w:p>
    <w:p w14:paraId="07DD1E53">
      <w:pPr>
        <w:widowControl/>
        <w:shd w:val="clear"/>
        <w:jc w:val="left"/>
        <w:rPr>
          <w:rFonts w:hint="eastAsia" w:ascii="宋体" w:hAnsi="宋体" w:cs="宋体"/>
          <w:b/>
          <w:szCs w:val="21"/>
          <w:highlight w:val="none"/>
          <w:shd w:val="clear" w:color="auto" w:fill="FFFFFF"/>
        </w:rPr>
        <w:sectPr>
          <w:pgSz w:w="11905" w:h="16838"/>
          <w:pgMar w:top="1440" w:right="1440" w:bottom="1440" w:left="1440" w:header="851" w:footer="992" w:gutter="0"/>
          <w:cols w:space="720" w:num="1"/>
          <w:docGrid w:type="lines" w:linePitch="319" w:charSpace="0"/>
        </w:sectPr>
      </w:pPr>
    </w:p>
    <w:p w14:paraId="6BDD0A83">
      <w:pPr>
        <w:widowControl/>
        <w:shd w:val="clear"/>
        <w:jc w:val="left"/>
        <w:rPr>
          <w:rFonts w:hint="eastAsia" w:ascii="宋体" w:hAnsi="宋体" w:cs="宋体"/>
          <w:b/>
          <w:kern w:val="0"/>
          <w:szCs w:val="21"/>
          <w:highlight w:val="none"/>
          <w:shd w:val="clear" w:color="auto" w:fill="FFFFFF"/>
        </w:rPr>
      </w:pPr>
    </w:p>
    <w:p w14:paraId="38668E1A">
      <w:pPr>
        <w:pStyle w:val="3"/>
        <w:shd w:val="clear"/>
        <w:rPr>
          <w:rFonts w:hint="eastAsia" w:ascii="宋体" w:hAnsi="宋体" w:cs="宋体"/>
          <w:sz w:val="21"/>
          <w:szCs w:val="21"/>
          <w:highlight w:val="none"/>
        </w:rPr>
      </w:pPr>
      <w:bookmarkStart w:id="371" w:name="_Toc25417"/>
      <w:bookmarkStart w:id="372" w:name="_Toc30922"/>
      <w:bookmarkStart w:id="373" w:name="_Toc27590"/>
      <w:bookmarkStart w:id="374" w:name="_Toc25720"/>
      <w:bookmarkStart w:id="375" w:name="_Toc13555"/>
      <w:bookmarkStart w:id="376" w:name="_Toc10788"/>
      <w:bookmarkStart w:id="377" w:name="_Toc10688"/>
      <w:r>
        <w:rPr>
          <w:rFonts w:hint="eastAsia" w:ascii="宋体" w:hAnsi="宋体" w:cs="宋体"/>
          <w:sz w:val="21"/>
          <w:szCs w:val="21"/>
          <w:highlight w:val="none"/>
        </w:rPr>
        <w:t xml:space="preserve">附录16-1 </w:t>
      </w:r>
      <w:r>
        <w:rPr>
          <w:rFonts w:hint="eastAsia" w:ascii="宋体" w:hAnsi="宋体" w:cs="宋体"/>
          <w:kern w:val="44"/>
          <w:sz w:val="21"/>
          <w:szCs w:val="21"/>
          <w:highlight w:val="none"/>
        </w:rPr>
        <w:t>定标因素表（定标阶段用表）</w:t>
      </w:r>
      <w:bookmarkEnd w:id="371"/>
      <w:bookmarkEnd w:id="372"/>
      <w:bookmarkEnd w:id="373"/>
      <w:bookmarkEnd w:id="374"/>
      <w:bookmarkEnd w:id="375"/>
      <w:bookmarkEnd w:id="376"/>
      <w:bookmarkEnd w:id="377"/>
    </w:p>
    <w:p w14:paraId="25FC11B1">
      <w:pPr>
        <w:shd w:val="clear"/>
        <w:jc w:val="center"/>
        <w:rPr>
          <w:rFonts w:hint="eastAsia" w:ascii="宋体" w:hAnsi="宋体" w:cs="宋体"/>
          <w:b/>
          <w:bCs/>
          <w:kern w:val="1"/>
          <w:sz w:val="28"/>
          <w:szCs w:val="28"/>
          <w:highlight w:val="none"/>
        </w:rPr>
      </w:pPr>
      <w:bookmarkStart w:id="378" w:name="_Toc19170"/>
      <w:r>
        <w:rPr>
          <w:rFonts w:hint="eastAsia" w:ascii="宋体" w:hAnsi="宋体" w:cs="宋体"/>
          <w:b/>
          <w:bCs/>
          <w:kern w:val="1"/>
          <w:sz w:val="28"/>
          <w:szCs w:val="28"/>
          <w:highlight w:val="none"/>
        </w:rPr>
        <w:t>定标因素表（定标阶段用表）</w:t>
      </w:r>
      <w:bookmarkEnd w:id="378"/>
    </w:p>
    <w:p w14:paraId="184427CD">
      <w:pPr>
        <w:shd w:val="clear"/>
        <w:jc w:val="left"/>
        <w:rPr>
          <w:rFonts w:hint="eastAsia" w:ascii="宋体" w:hAnsi="宋体" w:cs="宋体"/>
          <w:b/>
          <w:highlight w:val="none"/>
        </w:rPr>
      </w:pPr>
      <w:r>
        <w:rPr>
          <w:rFonts w:hint="eastAsia" w:ascii="宋体" w:hAnsi="宋体" w:cs="宋体"/>
          <w:b/>
          <w:highlight w:val="none"/>
        </w:rPr>
        <w:t>项目名称：</w:t>
      </w:r>
    </w:p>
    <w:tbl>
      <w:tblPr>
        <w:tblStyle w:val="19"/>
        <w:tblW w:w="14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832"/>
        <w:gridCol w:w="2222"/>
        <w:gridCol w:w="10580"/>
      </w:tblGrid>
      <w:tr w14:paraId="6D6C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blHeader/>
          <w:jc w:val="center"/>
        </w:trPr>
        <w:tc>
          <w:tcPr>
            <w:tcW w:w="538" w:type="dxa"/>
            <w:tcBorders>
              <w:top w:val="single" w:color="auto" w:sz="4" w:space="0"/>
              <w:left w:val="single" w:color="auto" w:sz="4" w:space="0"/>
              <w:bottom w:val="single" w:color="auto" w:sz="4" w:space="0"/>
              <w:right w:val="single" w:color="auto" w:sz="4" w:space="0"/>
            </w:tcBorders>
            <w:vAlign w:val="center"/>
          </w:tcPr>
          <w:p w14:paraId="53B02E6C">
            <w:pPr>
              <w:shd w:val="clear"/>
              <w:jc w:val="center"/>
              <w:rPr>
                <w:rFonts w:hint="eastAsia" w:ascii="宋体" w:hAnsi="宋体" w:cs="宋体"/>
                <w:b/>
                <w:bCs/>
                <w:szCs w:val="21"/>
                <w:highlight w:val="none"/>
              </w:rPr>
            </w:pPr>
            <w:r>
              <w:rPr>
                <w:rFonts w:hint="eastAsia" w:ascii="宋体" w:hAnsi="宋体" w:cs="宋体"/>
                <w:b/>
                <w:bCs/>
                <w:szCs w:val="21"/>
                <w:highlight w:val="none"/>
              </w:rPr>
              <w:t>序号</w:t>
            </w:r>
          </w:p>
        </w:tc>
        <w:tc>
          <w:tcPr>
            <w:tcW w:w="3054" w:type="dxa"/>
            <w:gridSpan w:val="2"/>
            <w:tcBorders>
              <w:top w:val="single" w:color="auto" w:sz="4" w:space="0"/>
              <w:left w:val="single" w:color="auto" w:sz="4" w:space="0"/>
              <w:bottom w:val="single" w:color="auto" w:sz="4" w:space="0"/>
              <w:right w:val="single" w:color="auto" w:sz="4" w:space="0"/>
            </w:tcBorders>
            <w:vAlign w:val="center"/>
          </w:tcPr>
          <w:p w14:paraId="52D36BC3">
            <w:pPr>
              <w:shd w:val="clear"/>
              <w:jc w:val="center"/>
              <w:rPr>
                <w:rFonts w:hint="eastAsia" w:ascii="宋体" w:hAnsi="宋体" w:cs="宋体"/>
                <w:b/>
                <w:bCs/>
                <w:szCs w:val="21"/>
                <w:highlight w:val="none"/>
              </w:rPr>
            </w:pPr>
            <w:r>
              <w:rPr>
                <w:rFonts w:hint="eastAsia" w:ascii="宋体" w:hAnsi="宋体" w:cs="宋体"/>
                <w:b/>
                <w:bCs/>
                <w:szCs w:val="21"/>
                <w:highlight w:val="none"/>
              </w:rPr>
              <w:t>评价项目</w:t>
            </w:r>
          </w:p>
        </w:tc>
        <w:tc>
          <w:tcPr>
            <w:tcW w:w="10580" w:type="dxa"/>
            <w:tcBorders>
              <w:top w:val="single" w:color="auto" w:sz="4" w:space="0"/>
              <w:left w:val="single" w:color="auto" w:sz="4" w:space="0"/>
              <w:bottom w:val="single" w:color="auto" w:sz="4" w:space="0"/>
              <w:right w:val="single" w:color="auto" w:sz="4" w:space="0"/>
            </w:tcBorders>
            <w:vAlign w:val="center"/>
          </w:tcPr>
          <w:p w14:paraId="762F5E0A">
            <w:pPr>
              <w:shd w:val="clear"/>
              <w:jc w:val="center"/>
              <w:rPr>
                <w:rFonts w:hint="eastAsia" w:ascii="宋体" w:hAnsi="宋体" w:cs="宋体"/>
                <w:b/>
                <w:bCs/>
                <w:szCs w:val="21"/>
                <w:highlight w:val="none"/>
              </w:rPr>
            </w:pPr>
            <w:r>
              <w:rPr>
                <w:rFonts w:hint="eastAsia" w:ascii="宋体" w:hAnsi="宋体" w:cs="宋体"/>
                <w:b/>
                <w:bCs/>
                <w:szCs w:val="21"/>
                <w:highlight w:val="none"/>
              </w:rPr>
              <w:t>定标评价的内容</w:t>
            </w:r>
          </w:p>
        </w:tc>
      </w:tr>
      <w:tr w14:paraId="4930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jc w:val="center"/>
        </w:trPr>
        <w:tc>
          <w:tcPr>
            <w:tcW w:w="538" w:type="dxa"/>
            <w:vMerge w:val="restart"/>
            <w:tcBorders>
              <w:top w:val="single" w:color="auto" w:sz="4" w:space="0"/>
              <w:left w:val="single" w:color="auto" w:sz="4" w:space="0"/>
              <w:right w:val="single" w:color="auto" w:sz="4" w:space="0"/>
            </w:tcBorders>
            <w:vAlign w:val="center"/>
          </w:tcPr>
          <w:p w14:paraId="7B9DB439">
            <w:pPr>
              <w:shd w:val="clear"/>
              <w:jc w:val="center"/>
              <w:rPr>
                <w:rFonts w:hint="eastAsia" w:ascii="宋体" w:hAnsi="宋体" w:cs="宋体"/>
                <w:szCs w:val="21"/>
                <w:highlight w:val="none"/>
              </w:rPr>
            </w:pPr>
            <w:r>
              <w:rPr>
                <w:rFonts w:hint="eastAsia" w:ascii="宋体" w:hAnsi="宋体" w:cs="宋体"/>
                <w:szCs w:val="21"/>
                <w:highlight w:val="none"/>
              </w:rPr>
              <w:t>1</w:t>
            </w:r>
          </w:p>
        </w:tc>
        <w:tc>
          <w:tcPr>
            <w:tcW w:w="832" w:type="dxa"/>
            <w:vMerge w:val="restart"/>
            <w:tcBorders>
              <w:top w:val="single" w:color="auto" w:sz="4" w:space="0"/>
              <w:left w:val="single" w:color="auto" w:sz="4" w:space="0"/>
              <w:right w:val="single" w:color="auto" w:sz="4" w:space="0"/>
            </w:tcBorders>
            <w:vAlign w:val="center"/>
          </w:tcPr>
          <w:p w14:paraId="3DD98FFD">
            <w:pPr>
              <w:shd w:val="clear"/>
              <w:jc w:val="center"/>
              <w:rPr>
                <w:rFonts w:hint="eastAsia" w:ascii="宋体" w:hAnsi="宋体" w:cs="宋体"/>
                <w:szCs w:val="21"/>
                <w:highlight w:val="none"/>
              </w:rPr>
            </w:pPr>
            <w:r>
              <w:rPr>
                <w:rFonts w:hint="eastAsia" w:ascii="宋体" w:hAnsi="宋体" w:cs="宋体"/>
                <w:szCs w:val="21"/>
                <w:highlight w:val="none"/>
              </w:rPr>
              <w:t>方案因素</w:t>
            </w:r>
          </w:p>
          <w:p w14:paraId="70DFCAB3">
            <w:pPr>
              <w:shd w:val="clear"/>
              <w:jc w:val="center"/>
              <w:rPr>
                <w:rFonts w:hint="eastAsia" w:ascii="宋体" w:hAnsi="宋体" w:cs="宋体"/>
                <w:szCs w:val="21"/>
                <w:highlight w:val="none"/>
              </w:rPr>
            </w:pPr>
            <w:r>
              <w:rPr>
                <w:rFonts w:hint="eastAsia" w:ascii="宋体" w:hAnsi="宋体" w:cs="宋体"/>
                <w:szCs w:val="21"/>
                <w:highlight w:val="none"/>
              </w:rPr>
              <w:t>（70分）</w:t>
            </w:r>
          </w:p>
        </w:tc>
        <w:tc>
          <w:tcPr>
            <w:tcW w:w="2222" w:type="dxa"/>
            <w:tcBorders>
              <w:top w:val="single" w:color="auto" w:sz="4" w:space="0"/>
              <w:left w:val="single" w:color="auto" w:sz="4" w:space="0"/>
              <w:right w:val="single" w:color="auto" w:sz="4" w:space="0"/>
            </w:tcBorders>
            <w:vAlign w:val="center"/>
          </w:tcPr>
          <w:p w14:paraId="21F3BB84">
            <w:pPr>
              <w:shd w:val="clear"/>
              <w:jc w:val="center"/>
              <w:rPr>
                <w:rFonts w:hint="eastAsia" w:ascii="宋体" w:hAnsi="宋体" w:cs="宋体"/>
                <w:szCs w:val="21"/>
                <w:highlight w:val="none"/>
              </w:rPr>
            </w:pPr>
            <w:r>
              <w:rPr>
                <w:rFonts w:hint="eastAsia" w:ascii="宋体" w:hAnsi="宋体" w:cs="宋体"/>
                <w:highlight w:val="none"/>
              </w:rPr>
              <w:t>勘察设计重难点分析及应对措施（25分）</w:t>
            </w:r>
          </w:p>
        </w:tc>
        <w:tc>
          <w:tcPr>
            <w:tcW w:w="10580" w:type="dxa"/>
            <w:tcBorders>
              <w:top w:val="single" w:color="auto" w:sz="4" w:space="0"/>
              <w:left w:val="single" w:color="auto" w:sz="4" w:space="0"/>
              <w:right w:val="single" w:color="auto" w:sz="4" w:space="0"/>
            </w:tcBorders>
            <w:vAlign w:val="center"/>
          </w:tcPr>
          <w:p w14:paraId="2C24D664">
            <w:pPr>
              <w:shd w:val="clear"/>
              <w:rPr>
                <w:rFonts w:hint="eastAsia" w:ascii="宋体" w:hAnsi="宋体" w:cs="宋体"/>
                <w:highlight w:val="none"/>
              </w:rPr>
            </w:pPr>
            <w:r>
              <w:rPr>
                <w:rFonts w:hint="eastAsia" w:ascii="宋体" w:hAnsi="宋体" w:cs="宋体"/>
                <w:highlight w:val="none"/>
              </w:rPr>
              <w:t>对本项目的勘察设计工作的重难点及应对措施的有效性、针对性、可行性进行评审：</w:t>
            </w:r>
          </w:p>
          <w:p w14:paraId="47D49037">
            <w:pPr>
              <w:shd w:val="clear"/>
              <w:rPr>
                <w:rFonts w:hint="eastAsia" w:ascii="宋体" w:hAnsi="宋体" w:cs="宋体"/>
                <w:highlight w:val="none"/>
              </w:rPr>
            </w:pPr>
            <w:r>
              <w:rPr>
                <w:rFonts w:hint="eastAsia" w:ascii="宋体" w:hAnsi="宋体" w:cs="宋体"/>
                <w:highlight w:val="none"/>
              </w:rPr>
              <w:t>优</w:t>
            </w:r>
            <w:r>
              <w:rPr>
                <w:rFonts w:hint="eastAsia" w:ascii="宋体" w:hAnsi="宋体" w:cs="宋体"/>
                <w:highlight w:val="none"/>
                <w:lang w:eastAsia="zh-CN"/>
              </w:rPr>
              <w:t>：</w:t>
            </w:r>
            <w:r>
              <w:rPr>
                <w:rFonts w:hint="eastAsia" w:ascii="宋体" w:hAnsi="宋体" w:cs="宋体"/>
                <w:highlight w:val="none"/>
              </w:rPr>
              <w:t>对本项目的勘察设计工作的重难点分析准确，应对措施针对性、合理可行性强，得[25,</w:t>
            </w:r>
            <w:r>
              <w:rPr>
                <w:rFonts w:hint="eastAsia" w:ascii="宋体" w:hAnsi="宋体" w:cs="宋体"/>
                <w:highlight w:val="none"/>
                <w:lang w:val="en-US" w:eastAsia="zh-CN"/>
              </w:rPr>
              <w:t>20</w:t>
            </w:r>
            <w:r>
              <w:rPr>
                <w:rFonts w:hint="eastAsia" w:ascii="宋体" w:hAnsi="宋体" w:cs="宋体"/>
                <w:highlight w:val="none"/>
              </w:rPr>
              <w:t>)分。</w:t>
            </w:r>
          </w:p>
          <w:p w14:paraId="54ADCC38">
            <w:pPr>
              <w:shd w:val="clear"/>
              <w:rPr>
                <w:rFonts w:hint="eastAsia" w:ascii="宋体" w:hAnsi="宋体" w:cs="宋体"/>
                <w:highlight w:val="none"/>
              </w:rPr>
            </w:pPr>
            <w:r>
              <w:rPr>
                <w:rFonts w:hint="eastAsia" w:ascii="宋体" w:hAnsi="宋体" w:cs="宋体"/>
                <w:highlight w:val="none"/>
              </w:rPr>
              <w:t>良</w:t>
            </w:r>
            <w:r>
              <w:rPr>
                <w:rFonts w:hint="eastAsia" w:ascii="宋体" w:hAnsi="宋体" w:cs="宋体"/>
                <w:highlight w:val="none"/>
                <w:lang w:eastAsia="zh-CN"/>
              </w:rPr>
              <w:t>：</w:t>
            </w:r>
            <w:r>
              <w:rPr>
                <w:rFonts w:hint="eastAsia" w:ascii="宋体" w:hAnsi="宋体" w:cs="宋体"/>
                <w:highlight w:val="none"/>
              </w:rPr>
              <w:t>对本项目的勘察设计工作的重难点分析较准确，应对措施针对性、合理可行性较强，得[</w:t>
            </w:r>
            <w:r>
              <w:rPr>
                <w:rFonts w:hint="eastAsia" w:ascii="宋体" w:hAnsi="宋体" w:cs="宋体"/>
                <w:highlight w:val="none"/>
                <w:lang w:val="en-US" w:eastAsia="zh-CN"/>
              </w:rPr>
              <w:t>20</w:t>
            </w:r>
            <w:r>
              <w:rPr>
                <w:rFonts w:hint="eastAsia" w:ascii="宋体" w:hAnsi="宋体" w:cs="宋体"/>
                <w:highlight w:val="none"/>
              </w:rPr>
              <w:t>,</w:t>
            </w:r>
            <w:r>
              <w:rPr>
                <w:rFonts w:hint="eastAsia" w:ascii="宋体" w:hAnsi="宋体" w:cs="宋体"/>
                <w:highlight w:val="none"/>
                <w:lang w:val="en-US" w:eastAsia="zh-CN"/>
              </w:rPr>
              <w:t>15</w:t>
            </w:r>
            <w:r>
              <w:rPr>
                <w:rFonts w:hint="eastAsia" w:ascii="宋体" w:hAnsi="宋体" w:cs="宋体"/>
                <w:highlight w:val="none"/>
              </w:rPr>
              <w:t>)分。</w:t>
            </w:r>
          </w:p>
          <w:p w14:paraId="3F347B40">
            <w:pPr>
              <w:shd w:val="clear"/>
              <w:rPr>
                <w:rFonts w:hint="eastAsia" w:ascii="宋体" w:hAnsi="宋体" w:cs="宋体"/>
                <w:highlight w:val="none"/>
              </w:rPr>
            </w:pPr>
            <w:r>
              <w:rPr>
                <w:rFonts w:hint="eastAsia" w:ascii="宋体" w:hAnsi="宋体" w:cs="宋体"/>
                <w:highlight w:val="none"/>
              </w:rPr>
              <w:t>中</w:t>
            </w:r>
            <w:r>
              <w:rPr>
                <w:rFonts w:hint="eastAsia" w:ascii="宋体" w:hAnsi="宋体" w:cs="宋体"/>
                <w:highlight w:val="none"/>
                <w:lang w:eastAsia="zh-CN"/>
              </w:rPr>
              <w:t>：</w:t>
            </w:r>
            <w:r>
              <w:rPr>
                <w:rFonts w:hint="eastAsia" w:ascii="宋体" w:hAnsi="宋体" w:cs="宋体"/>
                <w:highlight w:val="none"/>
              </w:rPr>
              <w:t>对本项目的勘察设计工作的重难点分析一般，应对措施针对性、合理可行性一般，得[</w:t>
            </w:r>
            <w:r>
              <w:rPr>
                <w:rFonts w:hint="eastAsia" w:ascii="宋体" w:hAnsi="宋体" w:cs="宋体"/>
                <w:highlight w:val="none"/>
                <w:lang w:val="en-US" w:eastAsia="zh-CN"/>
              </w:rPr>
              <w:t>15</w:t>
            </w:r>
            <w:r>
              <w:rPr>
                <w:rFonts w:hint="eastAsia" w:ascii="宋体" w:hAnsi="宋体" w:cs="宋体"/>
                <w:highlight w:val="none"/>
              </w:rPr>
              <w:t>,</w:t>
            </w:r>
            <w:r>
              <w:rPr>
                <w:rFonts w:hint="eastAsia" w:ascii="宋体" w:hAnsi="宋体" w:cs="宋体"/>
                <w:highlight w:val="none"/>
                <w:lang w:val="en-US" w:eastAsia="zh-CN"/>
              </w:rPr>
              <w:t>7</w:t>
            </w:r>
            <w:r>
              <w:rPr>
                <w:rFonts w:hint="eastAsia" w:ascii="宋体" w:hAnsi="宋体" w:cs="宋体"/>
                <w:highlight w:val="none"/>
              </w:rPr>
              <w:t>)分。</w:t>
            </w:r>
          </w:p>
          <w:p w14:paraId="7B679E91">
            <w:pPr>
              <w:shd w:val="clear"/>
              <w:rPr>
                <w:rFonts w:hint="eastAsia" w:ascii="宋体" w:hAnsi="宋体" w:cs="宋体"/>
                <w:highlight w:val="none"/>
              </w:rPr>
            </w:pPr>
            <w:r>
              <w:rPr>
                <w:rFonts w:hint="eastAsia" w:ascii="宋体" w:hAnsi="宋体" w:cs="宋体"/>
                <w:highlight w:val="none"/>
              </w:rPr>
              <w:t>差</w:t>
            </w:r>
            <w:r>
              <w:rPr>
                <w:rFonts w:hint="eastAsia" w:ascii="宋体" w:hAnsi="宋体" w:cs="宋体"/>
                <w:highlight w:val="none"/>
                <w:lang w:eastAsia="zh-CN"/>
              </w:rPr>
              <w:t>：</w:t>
            </w:r>
            <w:r>
              <w:rPr>
                <w:rFonts w:hint="eastAsia" w:ascii="宋体" w:hAnsi="宋体" w:cs="宋体"/>
                <w:highlight w:val="none"/>
              </w:rPr>
              <w:t>对本项目的勘察设计工作的重难点分析较差，应对措施针对性、合理可行性较差，得[</w:t>
            </w:r>
            <w:r>
              <w:rPr>
                <w:rFonts w:hint="eastAsia" w:ascii="宋体" w:hAnsi="宋体" w:cs="宋体"/>
                <w:highlight w:val="none"/>
                <w:lang w:val="en-US" w:eastAsia="zh-CN"/>
              </w:rPr>
              <w:t>7</w:t>
            </w:r>
            <w:r>
              <w:rPr>
                <w:rFonts w:hint="eastAsia" w:ascii="宋体" w:hAnsi="宋体" w:cs="宋体"/>
                <w:highlight w:val="none"/>
              </w:rPr>
              <w:t>,0)分。</w:t>
            </w:r>
          </w:p>
          <w:p w14:paraId="610419C7">
            <w:pPr>
              <w:shd w:val="clear"/>
              <w:rPr>
                <w:rFonts w:hint="eastAsia" w:ascii="宋体" w:hAnsi="宋体" w:cs="宋体"/>
                <w:szCs w:val="21"/>
                <w:highlight w:val="none"/>
              </w:rPr>
            </w:pPr>
            <w:r>
              <w:rPr>
                <w:rFonts w:hint="eastAsia" w:ascii="宋体" w:hAnsi="宋体" w:cs="宋体"/>
                <w:highlight w:val="none"/>
              </w:rPr>
              <w:t>未提供的不得分。</w:t>
            </w:r>
          </w:p>
        </w:tc>
      </w:tr>
      <w:tr w14:paraId="05D7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jc w:val="center"/>
        </w:trPr>
        <w:tc>
          <w:tcPr>
            <w:tcW w:w="538" w:type="dxa"/>
            <w:vMerge w:val="continue"/>
            <w:tcBorders>
              <w:left w:val="single" w:color="auto" w:sz="4" w:space="0"/>
              <w:right w:val="single" w:color="auto" w:sz="4" w:space="0"/>
            </w:tcBorders>
            <w:vAlign w:val="center"/>
          </w:tcPr>
          <w:p w14:paraId="49231D39">
            <w:pPr>
              <w:shd w:val="clear"/>
              <w:jc w:val="center"/>
              <w:rPr>
                <w:rFonts w:hint="eastAsia" w:ascii="宋体" w:hAnsi="宋体" w:cs="宋体"/>
                <w:szCs w:val="21"/>
                <w:highlight w:val="none"/>
              </w:rPr>
            </w:pPr>
          </w:p>
        </w:tc>
        <w:tc>
          <w:tcPr>
            <w:tcW w:w="832" w:type="dxa"/>
            <w:vMerge w:val="continue"/>
            <w:tcBorders>
              <w:left w:val="single" w:color="auto" w:sz="4" w:space="0"/>
              <w:right w:val="single" w:color="auto" w:sz="4" w:space="0"/>
            </w:tcBorders>
            <w:vAlign w:val="center"/>
          </w:tcPr>
          <w:p w14:paraId="6E32E356">
            <w:pPr>
              <w:shd w:val="clear"/>
              <w:jc w:val="center"/>
              <w:rPr>
                <w:rFonts w:hint="eastAsia" w:ascii="宋体" w:hAnsi="宋体" w:cs="宋体"/>
                <w:szCs w:val="21"/>
                <w:highlight w:val="none"/>
              </w:rPr>
            </w:pPr>
          </w:p>
        </w:tc>
        <w:tc>
          <w:tcPr>
            <w:tcW w:w="2222" w:type="dxa"/>
            <w:tcBorders>
              <w:top w:val="single" w:color="auto" w:sz="4" w:space="0"/>
              <w:left w:val="single" w:color="auto" w:sz="4" w:space="0"/>
              <w:right w:val="single" w:color="auto" w:sz="4" w:space="0"/>
            </w:tcBorders>
            <w:vAlign w:val="center"/>
          </w:tcPr>
          <w:p w14:paraId="28E3425E">
            <w:pPr>
              <w:shd w:val="clear"/>
              <w:jc w:val="center"/>
              <w:rPr>
                <w:rFonts w:hint="eastAsia" w:ascii="宋体" w:hAnsi="宋体" w:cs="宋体"/>
                <w:szCs w:val="21"/>
                <w:highlight w:val="none"/>
              </w:rPr>
            </w:pPr>
            <w:r>
              <w:rPr>
                <w:rFonts w:hint="eastAsia" w:ascii="宋体" w:hAnsi="宋体" w:cs="宋体"/>
                <w:highlight w:val="none"/>
              </w:rPr>
              <w:t>方案创新措施（20分）</w:t>
            </w:r>
          </w:p>
        </w:tc>
        <w:tc>
          <w:tcPr>
            <w:tcW w:w="10580" w:type="dxa"/>
            <w:tcBorders>
              <w:top w:val="single" w:color="auto" w:sz="4" w:space="0"/>
              <w:left w:val="single" w:color="auto" w:sz="4" w:space="0"/>
              <w:bottom w:val="single" w:color="auto" w:sz="4" w:space="0"/>
              <w:right w:val="single" w:color="auto" w:sz="4" w:space="0"/>
            </w:tcBorders>
            <w:vAlign w:val="center"/>
          </w:tcPr>
          <w:p w14:paraId="53A6B7EA">
            <w:pPr>
              <w:shd w:val="clear"/>
              <w:rPr>
                <w:rFonts w:hint="eastAsia" w:ascii="宋体" w:hAnsi="宋体" w:cs="宋体"/>
                <w:highlight w:val="none"/>
              </w:rPr>
            </w:pPr>
            <w:r>
              <w:rPr>
                <w:rFonts w:hint="eastAsia" w:ascii="宋体" w:hAnsi="宋体" w:cs="宋体"/>
                <w:highlight w:val="none"/>
              </w:rPr>
              <w:t>结合规划、景观、建筑外观、使用功能、交通、配套设施、经济、绿色节能等因素进行评审。</w:t>
            </w:r>
          </w:p>
          <w:p w14:paraId="7DCB1478">
            <w:pPr>
              <w:shd w:val="clear"/>
              <w:rPr>
                <w:rFonts w:hint="eastAsia" w:ascii="宋体" w:hAnsi="宋体" w:cs="宋体"/>
                <w:highlight w:val="none"/>
              </w:rPr>
            </w:pPr>
            <w:r>
              <w:rPr>
                <w:rFonts w:hint="eastAsia" w:ascii="宋体" w:hAnsi="宋体" w:cs="宋体"/>
                <w:highlight w:val="none"/>
              </w:rPr>
              <w:t>优：总体方案充分反映了招标人设计要求（详见本项目的设计任务书及相关附件）、符合设计的标准及要求（详见本项目的设计任务书及相关附件），项目实施方案完整，且方案合理可行的，得[20,15)分。</w:t>
            </w:r>
          </w:p>
          <w:p w14:paraId="65B8613F">
            <w:pPr>
              <w:shd w:val="clear"/>
              <w:rPr>
                <w:rFonts w:hint="eastAsia" w:ascii="宋体" w:hAnsi="宋体" w:cs="宋体"/>
                <w:highlight w:val="none"/>
              </w:rPr>
            </w:pPr>
            <w:r>
              <w:rPr>
                <w:rFonts w:hint="eastAsia" w:ascii="宋体" w:hAnsi="宋体" w:cs="宋体"/>
                <w:highlight w:val="none"/>
              </w:rPr>
              <w:t>良：总体方案基本满足招标人设计要求（详见本项目的设计任务书及相关附件）、符合设计的标准及要求（详见本项目的设计任务书及相关附件），项目实施方案内容完整，但缺乏针对性的，得[15,9)分。</w:t>
            </w:r>
          </w:p>
          <w:p w14:paraId="5126820A">
            <w:pPr>
              <w:shd w:val="clear"/>
              <w:rPr>
                <w:rFonts w:hint="eastAsia" w:ascii="宋体" w:hAnsi="宋体" w:cs="宋体"/>
                <w:highlight w:val="none"/>
              </w:rPr>
            </w:pPr>
            <w:r>
              <w:rPr>
                <w:rFonts w:hint="eastAsia" w:ascii="宋体" w:hAnsi="宋体" w:cs="宋体"/>
                <w:highlight w:val="none"/>
              </w:rPr>
              <w:t>中：总体方案部分符合招标人设计要求（详见本项目的设计任务书及相关附件）、部分符合设计的标准及要求（详见本项目的设计任务书及相关附件）；项目实施方案内容不完整，且缺乏可行性或针对性的，得[9,6)分。</w:t>
            </w:r>
          </w:p>
          <w:p w14:paraId="6F35A22E">
            <w:pPr>
              <w:shd w:val="clear"/>
              <w:rPr>
                <w:rFonts w:hint="eastAsia" w:ascii="宋体" w:hAnsi="宋体" w:cs="宋体"/>
                <w:highlight w:val="none"/>
              </w:rPr>
            </w:pPr>
            <w:r>
              <w:rPr>
                <w:rFonts w:hint="eastAsia" w:ascii="宋体" w:hAnsi="宋体" w:cs="宋体"/>
                <w:highlight w:val="none"/>
              </w:rPr>
              <w:t>差：总体方案不符合招标人设计要求（详见本项目的设计任务书及相关附件）、不符合设计的标准及要求（详见本项目的设计任务书及相关附件）；项目实施方案内容缺失，且缺乏可行性或针对性的，得[6,0)分。</w:t>
            </w:r>
          </w:p>
          <w:p w14:paraId="4BDF56C7">
            <w:pPr>
              <w:shd w:val="clear"/>
              <w:rPr>
                <w:rFonts w:hint="eastAsia" w:ascii="宋体" w:hAnsi="宋体" w:cs="宋体"/>
                <w:szCs w:val="21"/>
                <w:highlight w:val="none"/>
              </w:rPr>
            </w:pPr>
            <w:r>
              <w:rPr>
                <w:rFonts w:hint="eastAsia" w:ascii="宋体" w:hAnsi="宋体" w:cs="宋体"/>
                <w:highlight w:val="none"/>
              </w:rPr>
              <w:t>未提供的不得分。</w:t>
            </w:r>
          </w:p>
        </w:tc>
      </w:tr>
      <w:tr w14:paraId="62A7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dxa"/>
            <w:vMerge w:val="continue"/>
            <w:tcBorders>
              <w:left w:val="single" w:color="auto" w:sz="4" w:space="0"/>
              <w:right w:val="single" w:color="auto" w:sz="4" w:space="0"/>
            </w:tcBorders>
            <w:vAlign w:val="center"/>
          </w:tcPr>
          <w:p w14:paraId="0F73A8EF">
            <w:pPr>
              <w:shd w:val="clear"/>
              <w:jc w:val="center"/>
              <w:rPr>
                <w:rFonts w:hint="eastAsia" w:ascii="宋体" w:hAnsi="宋体" w:cs="宋体"/>
                <w:szCs w:val="21"/>
                <w:highlight w:val="none"/>
              </w:rPr>
            </w:pPr>
          </w:p>
        </w:tc>
        <w:tc>
          <w:tcPr>
            <w:tcW w:w="832" w:type="dxa"/>
            <w:vMerge w:val="continue"/>
            <w:tcBorders>
              <w:top w:val="single" w:color="auto" w:sz="4" w:space="0"/>
              <w:left w:val="single" w:color="auto" w:sz="4" w:space="0"/>
              <w:right w:val="single" w:color="auto" w:sz="4" w:space="0"/>
            </w:tcBorders>
            <w:vAlign w:val="center"/>
          </w:tcPr>
          <w:p w14:paraId="5949784F">
            <w:pPr>
              <w:shd w:val="clear"/>
              <w:jc w:val="center"/>
              <w:rPr>
                <w:rFonts w:hint="eastAsia" w:ascii="宋体" w:hAnsi="宋体" w:cs="宋体"/>
                <w:szCs w:val="21"/>
                <w:highlight w:val="none"/>
              </w:rPr>
            </w:pPr>
          </w:p>
        </w:tc>
        <w:tc>
          <w:tcPr>
            <w:tcW w:w="2222" w:type="dxa"/>
            <w:tcBorders>
              <w:top w:val="single" w:color="auto" w:sz="4" w:space="0"/>
              <w:left w:val="single" w:color="auto" w:sz="4" w:space="0"/>
              <w:right w:val="single" w:color="auto" w:sz="4" w:space="0"/>
            </w:tcBorders>
            <w:vAlign w:val="center"/>
          </w:tcPr>
          <w:p w14:paraId="6AF5D9A9">
            <w:pPr>
              <w:shd w:val="clear"/>
              <w:jc w:val="center"/>
              <w:rPr>
                <w:rFonts w:hint="eastAsia" w:ascii="宋体" w:hAnsi="宋体" w:cs="宋体"/>
                <w:highlight w:val="none"/>
              </w:rPr>
            </w:pPr>
            <w:r>
              <w:rPr>
                <w:rFonts w:hint="eastAsia" w:ascii="宋体" w:hAnsi="宋体" w:cs="宋体"/>
                <w:szCs w:val="21"/>
                <w:highlight w:val="none"/>
              </w:rPr>
              <w:t>BIM信息化技术应用方案（15分）</w:t>
            </w:r>
          </w:p>
        </w:tc>
        <w:tc>
          <w:tcPr>
            <w:tcW w:w="10580" w:type="dxa"/>
            <w:tcBorders>
              <w:top w:val="single" w:color="auto" w:sz="4" w:space="0"/>
              <w:left w:val="single" w:color="auto" w:sz="4" w:space="0"/>
              <w:bottom w:val="single" w:color="auto" w:sz="4" w:space="0"/>
              <w:right w:val="single" w:color="auto" w:sz="4" w:space="0"/>
            </w:tcBorders>
            <w:vAlign w:val="center"/>
          </w:tcPr>
          <w:p w14:paraId="250C0FAE">
            <w:pPr>
              <w:shd w:val="clear"/>
              <w:ind w:left="420" w:hanging="420" w:hangingChars="200"/>
              <w:rPr>
                <w:rFonts w:hint="eastAsia" w:ascii="宋体" w:hAnsi="宋体" w:cs="宋体"/>
                <w:highlight w:val="none"/>
              </w:rPr>
            </w:pPr>
            <w:r>
              <w:rPr>
                <w:rFonts w:hint="eastAsia" w:ascii="宋体" w:hAnsi="宋体" w:cs="宋体"/>
                <w:highlight w:val="none"/>
              </w:rPr>
              <w:t>针对本项目BIM信息化技术应用方案进行评审：</w:t>
            </w:r>
          </w:p>
          <w:p w14:paraId="37E938A2">
            <w:pPr>
              <w:shd w:val="clear"/>
              <w:ind w:left="420" w:hanging="420" w:hangingChars="200"/>
              <w:rPr>
                <w:rFonts w:hint="eastAsia" w:ascii="宋体" w:hAnsi="宋体" w:cs="宋体"/>
                <w:highlight w:val="none"/>
              </w:rPr>
            </w:pPr>
            <w:r>
              <w:rPr>
                <w:rFonts w:hint="eastAsia" w:ascii="宋体" w:hAnsi="宋体" w:cs="宋体"/>
                <w:highlight w:val="none"/>
              </w:rPr>
              <w:t>优：根据项目特点，论述BIM服务内容与措施清晰准确，可以辅助业主实现设计的项目精细化管理，得[15,12)分。</w:t>
            </w:r>
          </w:p>
          <w:p w14:paraId="5FEF588A">
            <w:pPr>
              <w:shd w:val="clear"/>
              <w:ind w:left="420" w:hanging="420" w:hangingChars="200"/>
              <w:rPr>
                <w:rFonts w:hint="eastAsia" w:ascii="宋体" w:hAnsi="宋体" w:cs="宋体"/>
                <w:highlight w:val="none"/>
              </w:rPr>
            </w:pPr>
            <w:r>
              <w:rPr>
                <w:rFonts w:hint="eastAsia" w:ascii="宋体" w:hAnsi="宋体" w:cs="宋体"/>
                <w:highlight w:val="none"/>
              </w:rPr>
              <w:t>良：根据项目特点，论述BIM服务内容与措施较为清晰，可以辅助业主实现设计的项目精细化管理，得[12,</w:t>
            </w:r>
            <w:r>
              <w:rPr>
                <w:rFonts w:hint="eastAsia" w:ascii="宋体" w:hAnsi="宋体" w:cs="宋体"/>
                <w:highlight w:val="none"/>
                <w:lang w:val="en-US" w:eastAsia="zh-CN"/>
              </w:rPr>
              <w:t>8</w:t>
            </w:r>
            <w:r>
              <w:rPr>
                <w:rFonts w:hint="eastAsia" w:ascii="宋体" w:hAnsi="宋体" w:cs="宋体"/>
                <w:highlight w:val="none"/>
              </w:rPr>
              <w:t>)分。</w:t>
            </w:r>
          </w:p>
          <w:p w14:paraId="09A562AB">
            <w:pPr>
              <w:shd w:val="clear"/>
              <w:ind w:left="420" w:hanging="420" w:hangingChars="200"/>
              <w:rPr>
                <w:rFonts w:hint="eastAsia" w:ascii="宋体" w:hAnsi="宋体" w:cs="宋体"/>
                <w:highlight w:val="none"/>
              </w:rPr>
            </w:pPr>
            <w:r>
              <w:rPr>
                <w:rFonts w:hint="eastAsia" w:ascii="宋体" w:hAnsi="宋体" w:cs="宋体"/>
                <w:highlight w:val="none"/>
              </w:rPr>
              <w:t>中：根据项目特点，论述BIM服务内容与措施一般，可以辅助业主实现设计的项目精细化管理，得[</w:t>
            </w:r>
            <w:r>
              <w:rPr>
                <w:rFonts w:hint="eastAsia" w:ascii="宋体" w:hAnsi="宋体" w:cs="宋体"/>
                <w:highlight w:val="none"/>
                <w:lang w:val="en-US" w:eastAsia="zh-CN"/>
              </w:rPr>
              <w:t>8</w:t>
            </w:r>
            <w:r>
              <w:rPr>
                <w:rFonts w:hint="eastAsia" w:ascii="宋体" w:hAnsi="宋体" w:cs="宋体"/>
                <w:highlight w:val="none"/>
              </w:rPr>
              <w:t>,</w:t>
            </w:r>
            <w:r>
              <w:rPr>
                <w:rFonts w:hint="eastAsia" w:ascii="宋体" w:hAnsi="宋体" w:cs="宋体"/>
                <w:highlight w:val="none"/>
                <w:lang w:val="en-US" w:eastAsia="zh-CN"/>
              </w:rPr>
              <w:t>5</w:t>
            </w:r>
            <w:r>
              <w:rPr>
                <w:rFonts w:hint="eastAsia" w:ascii="宋体" w:hAnsi="宋体" w:cs="宋体"/>
                <w:highlight w:val="none"/>
              </w:rPr>
              <w:t>)分。</w:t>
            </w:r>
          </w:p>
          <w:p w14:paraId="00DF8326">
            <w:pPr>
              <w:shd w:val="clear"/>
              <w:ind w:left="420" w:hanging="420" w:hangingChars="200"/>
              <w:rPr>
                <w:rFonts w:hint="eastAsia" w:ascii="宋体" w:hAnsi="宋体" w:cs="宋体"/>
                <w:highlight w:val="none"/>
              </w:rPr>
            </w:pPr>
            <w:r>
              <w:rPr>
                <w:rFonts w:hint="eastAsia" w:ascii="宋体" w:hAnsi="宋体" w:cs="宋体"/>
                <w:highlight w:val="none"/>
              </w:rPr>
              <w:t>差：根据项目特点，论述BIM服务内容与措施较差，无法辅助业主实现设计的项目精细化管理，得[</w:t>
            </w:r>
            <w:r>
              <w:rPr>
                <w:rFonts w:hint="eastAsia" w:ascii="宋体" w:hAnsi="宋体" w:cs="宋体"/>
                <w:highlight w:val="none"/>
                <w:lang w:val="en-US" w:eastAsia="zh-CN"/>
              </w:rPr>
              <w:t>5</w:t>
            </w:r>
            <w:r>
              <w:rPr>
                <w:rFonts w:hint="eastAsia" w:ascii="宋体" w:hAnsi="宋体" w:cs="宋体"/>
                <w:highlight w:val="none"/>
              </w:rPr>
              <w:t>,0)分。</w:t>
            </w:r>
          </w:p>
          <w:p w14:paraId="5BD2B25E">
            <w:pPr>
              <w:shd w:val="clear"/>
              <w:jc w:val="left"/>
              <w:rPr>
                <w:rFonts w:hint="eastAsia" w:ascii="宋体" w:hAnsi="宋体" w:cs="宋体"/>
                <w:szCs w:val="21"/>
                <w:highlight w:val="none"/>
              </w:rPr>
            </w:pPr>
            <w:r>
              <w:rPr>
                <w:rFonts w:hint="eastAsia" w:ascii="宋体" w:hAnsi="宋体" w:cs="宋体"/>
                <w:szCs w:val="21"/>
                <w:highlight w:val="none"/>
              </w:rPr>
              <w:t>未提供的不得分。</w:t>
            </w:r>
          </w:p>
        </w:tc>
      </w:tr>
      <w:tr w14:paraId="4588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538" w:type="dxa"/>
            <w:vMerge w:val="continue"/>
            <w:tcBorders>
              <w:left w:val="single" w:color="auto" w:sz="4" w:space="0"/>
              <w:right w:val="single" w:color="auto" w:sz="4" w:space="0"/>
            </w:tcBorders>
            <w:vAlign w:val="center"/>
          </w:tcPr>
          <w:p w14:paraId="633F9439">
            <w:pPr>
              <w:shd w:val="clear"/>
              <w:jc w:val="center"/>
              <w:rPr>
                <w:rFonts w:hint="eastAsia" w:ascii="宋体" w:hAnsi="宋体" w:cs="宋体"/>
                <w:szCs w:val="21"/>
                <w:highlight w:val="none"/>
              </w:rPr>
            </w:pPr>
          </w:p>
        </w:tc>
        <w:tc>
          <w:tcPr>
            <w:tcW w:w="832" w:type="dxa"/>
            <w:vMerge w:val="continue"/>
            <w:tcBorders>
              <w:top w:val="single" w:color="auto" w:sz="4" w:space="0"/>
              <w:left w:val="single" w:color="auto" w:sz="4" w:space="0"/>
              <w:right w:val="single" w:color="auto" w:sz="4" w:space="0"/>
            </w:tcBorders>
            <w:vAlign w:val="center"/>
          </w:tcPr>
          <w:p w14:paraId="0594A192">
            <w:pPr>
              <w:shd w:val="clear"/>
              <w:jc w:val="center"/>
              <w:rPr>
                <w:rFonts w:hint="eastAsia" w:ascii="宋体" w:hAnsi="宋体" w:cs="宋体"/>
                <w:szCs w:val="21"/>
                <w:highlight w:val="none"/>
              </w:rPr>
            </w:pPr>
          </w:p>
        </w:tc>
        <w:tc>
          <w:tcPr>
            <w:tcW w:w="2222" w:type="dxa"/>
            <w:tcBorders>
              <w:top w:val="single" w:color="auto" w:sz="4" w:space="0"/>
              <w:left w:val="single" w:color="auto" w:sz="4" w:space="0"/>
              <w:right w:val="single" w:color="auto" w:sz="4" w:space="0"/>
            </w:tcBorders>
            <w:vAlign w:val="center"/>
          </w:tcPr>
          <w:p w14:paraId="796666FC">
            <w:pPr>
              <w:shd w:val="clear"/>
              <w:jc w:val="center"/>
              <w:rPr>
                <w:rFonts w:hint="eastAsia" w:ascii="宋体" w:hAnsi="宋体" w:cs="宋体"/>
                <w:szCs w:val="21"/>
                <w:highlight w:val="none"/>
              </w:rPr>
            </w:pPr>
            <w:r>
              <w:rPr>
                <w:rFonts w:hint="eastAsia" w:ascii="宋体" w:hAnsi="宋体" w:cs="宋体"/>
                <w:szCs w:val="21"/>
                <w:highlight w:val="none"/>
              </w:rPr>
              <w:t>质量控制措施（10分）</w:t>
            </w:r>
          </w:p>
        </w:tc>
        <w:tc>
          <w:tcPr>
            <w:tcW w:w="10580" w:type="dxa"/>
            <w:tcBorders>
              <w:top w:val="single" w:color="auto" w:sz="4" w:space="0"/>
              <w:left w:val="single" w:color="auto" w:sz="4" w:space="0"/>
              <w:bottom w:val="single" w:color="auto" w:sz="4" w:space="0"/>
              <w:right w:val="single" w:color="auto" w:sz="4" w:space="0"/>
            </w:tcBorders>
            <w:vAlign w:val="center"/>
          </w:tcPr>
          <w:p w14:paraId="15B79F67">
            <w:pPr>
              <w:shd w:val="clear"/>
              <w:ind w:left="420" w:hanging="420" w:hangingChars="200"/>
              <w:rPr>
                <w:rFonts w:hint="eastAsia" w:ascii="宋体" w:hAnsi="宋体" w:cs="宋体"/>
                <w:highlight w:val="none"/>
              </w:rPr>
            </w:pPr>
            <w:r>
              <w:rPr>
                <w:rFonts w:hint="eastAsia" w:ascii="宋体" w:hAnsi="宋体" w:cs="宋体"/>
                <w:highlight w:val="none"/>
              </w:rPr>
              <w:t>针对本项目编制质量管理目标、质量管理体系、质量保证措施进行评审：</w:t>
            </w:r>
          </w:p>
          <w:p w14:paraId="07E2BDA1">
            <w:pPr>
              <w:shd w:val="clear"/>
              <w:ind w:left="420" w:hanging="420" w:hangingChars="200"/>
              <w:rPr>
                <w:rFonts w:hint="eastAsia" w:ascii="宋体" w:hAnsi="宋体" w:cs="宋体"/>
                <w:highlight w:val="none"/>
              </w:rPr>
            </w:pPr>
            <w:r>
              <w:rPr>
                <w:rFonts w:hint="eastAsia" w:ascii="宋体" w:hAnsi="宋体" w:cs="宋体"/>
                <w:highlight w:val="none"/>
              </w:rPr>
              <w:t>优：目标、体系结合措施效果显著、合理性相对较强、可操作性相对较强，得[10,7)分。</w:t>
            </w:r>
          </w:p>
          <w:p w14:paraId="1BE990D6">
            <w:pPr>
              <w:shd w:val="clear"/>
              <w:ind w:left="420" w:hanging="420" w:hangingChars="200"/>
              <w:rPr>
                <w:rFonts w:hint="eastAsia" w:ascii="宋体" w:hAnsi="宋体" w:cs="宋体"/>
                <w:highlight w:val="none"/>
              </w:rPr>
            </w:pPr>
            <w:r>
              <w:rPr>
                <w:rFonts w:hint="eastAsia" w:ascii="宋体" w:hAnsi="宋体" w:cs="宋体"/>
                <w:highlight w:val="none"/>
              </w:rPr>
              <w:t>良：目标、体系结合措施相对有效、合理、可操作性相对良好，得[7,5)分。</w:t>
            </w:r>
          </w:p>
          <w:p w14:paraId="55622E28">
            <w:pPr>
              <w:shd w:val="clear"/>
              <w:ind w:left="420" w:hanging="420" w:hangingChars="200"/>
              <w:rPr>
                <w:rFonts w:hint="eastAsia" w:ascii="宋体" w:hAnsi="宋体" w:cs="宋体"/>
                <w:highlight w:val="none"/>
              </w:rPr>
            </w:pPr>
            <w:r>
              <w:rPr>
                <w:rFonts w:hint="eastAsia" w:ascii="宋体" w:hAnsi="宋体" w:cs="宋体"/>
                <w:highlight w:val="none"/>
              </w:rPr>
              <w:t>中：目标、体系结合措施相对效果一般，现场可操作性相对一般，得[5,2)分。</w:t>
            </w:r>
          </w:p>
          <w:p w14:paraId="299C08CD">
            <w:pPr>
              <w:shd w:val="clear"/>
              <w:ind w:left="420" w:hanging="420" w:hangingChars="200"/>
              <w:rPr>
                <w:rFonts w:hint="eastAsia" w:ascii="宋体" w:hAnsi="宋体" w:cs="宋体"/>
                <w:highlight w:val="none"/>
              </w:rPr>
            </w:pPr>
            <w:r>
              <w:rPr>
                <w:rFonts w:hint="eastAsia" w:ascii="宋体" w:hAnsi="宋体" w:cs="宋体"/>
                <w:highlight w:val="none"/>
              </w:rPr>
              <w:t>差：目标、体系结合措施相对效果较差，现场可操作性相对不高，得[2,0)分。</w:t>
            </w:r>
          </w:p>
          <w:p w14:paraId="4F7DD2F4">
            <w:pPr>
              <w:shd w:val="clear"/>
              <w:ind w:left="420" w:hanging="420" w:hangingChars="200"/>
              <w:rPr>
                <w:rFonts w:hint="eastAsia" w:ascii="宋体" w:hAnsi="宋体" w:cs="宋体"/>
                <w:szCs w:val="21"/>
                <w:highlight w:val="none"/>
              </w:rPr>
            </w:pPr>
            <w:r>
              <w:rPr>
                <w:rFonts w:hint="eastAsia" w:ascii="宋体" w:hAnsi="宋体" w:cs="宋体"/>
                <w:highlight w:val="none"/>
              </w:rPr>
              <w:t>未提供的不得分。</w:t>
            </w:r>
          </w:p>
        </w:tc>
      </w:tr>
      <w:tr w14:paraId="4371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14:paraId="7E19FA7E">
            <w:pPr>
              <w:shd w:val="clear"/>
              <w:jc w:val="center"/>
              <w:rPr>
                <w:rFonts w:hint="eastAsia" w:ascii="宋体" w:hAnsi="宋体" w:cs="宋体"/>
                <w:szCs w:val="21"/>
                <w:highlight w:val="none"/>
              </w:rPr>
            </w:pPr>
            <w:r>
              <w:rPr>
                <w:rFonts w:hint="eastAsia" w:ascii="宋体" w:hAnsi="宋体" w:cs="宋体"/>
                <w:szCs w:val="21"/>
                <w:highlight w:val="none"/>
              </w:rPr>
              <w:t>2</w:t>
            </w:r>
          </w:p>
        </w:tc>
        <w:tc>
          <w:tcPr>
            <w:tcW w:w="3054" w:type="dxa"/>
            <w:gridSpan w:val="2"/>
            <w:tcBorders>
              <w:top w:val="single" w:color="auto" w:sz="4" w:space="0"/>
              <w:left w:val="single" w:color="auto" w:sz="4" w:space="0"/>
              <w:bottom w:val="single" w:color="auto" w:sz="4" w:space="0"/>
              <w:right w:val="single" w:color="auto" w:sz="4" w:space="0"/>
            </w:tcBorders>
            <w:vAlign w:val="center"/>
          </w:tcPr>
          <w:p w14:paraId="14D3AB2D">
            <w:pPr>
              <w:shd w:val="clear"/>
              <w:jc w:val="center"/>
              <w:rPr>
                <w:rFonts w:hint="eastAsia" w:ascii="宋体" w:hAnsi="宋体" w:cs="宋体"/>
                <w:szCs w:val="21"/>
                <w:highlight w:val="none"/>
              </w:rPr>
            </w:pPr>
            <w:r>
              <w:rPr>
                <w:rFonts w:hint="eastAsia" w:ascii="宋体" w:hAnsi="宋体" w:cs="宋体"/>
                <w:szCs w:val="21"/>
                <w:highlight w:val="none"/>
              </w:rPr>
              <w:t>答辩因素</w:t>
            </w:r>
          </w:p>
          <w:p w14:paraId="66B5989A">
            <w:pPr>
              <w:shd w:val="clear"/>
              <w:jc w:val="center"/>
              <w:rPr>
                <w:rFonts w:hint="eastAsia" w:ascii="宋体" w:hAnsi="宋体" w:cs="宋体"/>
                <w:szCs w:val="21"/>
                <w:highlight w:val="none"/>
              </w:rPr>
            </w:pPr>
            <w:r>
              <w:rPr>
                <w:rFonts w:hint="eastAsia" w:ascii="宋体" w:hAnsi="宋体" w:cs="宋体"/>
                <w:szCs w:val="21"/>
                <w:highlight w:val="none"/>
              </w:rPr>
              <w:t>（30分）</w:t>
            </w:r>
          </w:p>
        </w:tc>
        <w:tc>
          <w:tcPr>
            <w:tcW w:w="10580" w:type="dxa"/>
            <w:tcBorders>
              <w:top w:val="single" w:color="auto" w:sz="4" w:space="0"/>
              <w:left w:val="single" w:color="auto" w:sz="4" w:space="0"/>
              <w:bottom w:val="single" w:color="auto" w:sz="4" w:space="0"/>
              <w:right w:val="single" w:color="auto" w:sz="4" w:space="0"/>
            </w:tcBorders>
            <w:vAlign w:val="center"/>
          </w:tcPr>
          <w:p w14:paraId="409487BF">
            <w:pPr>
              <w:shd w:val="clear"/>
              <w:jc w:val="left"/>
              <w:rPr>
                <w:rFonts w:hint="eastAsia" w:ascii="宋体" w:hAnsi="宋体" w:cs="宋体"/>
                <w:szCs w:val="21"/>
                <w:highlight w:val="none"/>
              </w:rPr>
            </w:pPr>
            <w:r>
              <w:rPr>
                <w:rFonts w:hint="eastAsia" w:ascii="宋体" w:hAnsi="宋体" w:cs="宋体"/>
                <w:szCs w:val="21"/>
                <w:highlight w:val="none"/>
              </w:rPr>
              <w:t>投标人派本项目拟投入项目负责人或各专业负责人组成1</w:t>
            </w:r>
            <w:r>
              <w:rPr>
                <w:rFonts w:hint="eastAsia" w:ascii="宋体" w:hAnsi="宋体" w:cs="宋体"/>
                <w:szCs w:val="21"/>
                <w:highlight w:val="none"/>
                <w:lang w:eastAsia="zh-CN"/>
              </w:rPr>
              <w:t>～</w:t>
            </w:r>
            <w:r>
              <w:rPr>
                <w:rFonts w:hint="eastAsia" w:ascii="宋体" w:hAnsi="宋体" w:cs="宋体"/>
                <w:szCs w:val="21"/>
                <w:highlight w:val="none"/>
              </w:rPr>
              <w:t>2人的答辩小组进行现场答辩：</w:t>
            </w:r>
          </w:p>
          <w:p w14:paraId="4BF05F2C">
            <w:pPr>
              <w:shd w:val="clear"/>
              <w:jc w:val="left"/>
              <w:rPr>
                <w:rFonts w:hint="eastAsia" w:ascii="宋体" w:hAnsi="宋体" w:cs="宋体"/>
                <w:szCs w:val="21"/>
                <w:highlight w:val="none"/>
              </w:rPr>
            </w:pPr>
            <w:r>
              <w:rPr>
                <w:rFonts w:hint="eastAsia" w:ascii="宋体" w:hAnsi="宋体" w:cs="宋体"/>
                <w:szCs w:val="21"/>
                <w:highlight w:val="none"/>
              </w:rPr>
              <w:t>1.合格中标候选人拟派的答辩小组对拟派团队履约能力与履约水平的介绍，介绍时间不得超过10分钟，定标委员会根据定标候选人代表介绍对其进行提问；介绍内容包括但不限于：项目管理班子人员、项目设计构思、使用功能、建筑形象与设计创新等。</w:t>
            </w:r>
          </w:p>
          <w:p w14:paraId="34F6CC78">
            <w:pPr>
              <w:shd w:val="clear"/>
              <w:jc w:val="left"/>
              <w:rPr>
                <w:rFonts w:hint="eastAsia" w:ascii="宋体" w:hAnsi="宋体" w:cs="宋体"/>
                <w:szCs w:val="21"/>
                <w:highlight w:val="none"/>
              </w:rPr>
            </w:pPr>
            <w:r>
              <w:rPr>
                <w:rFonts w:hint="eastAsia" w:ascii="宋体" w:hAnsi="宋体" w:cs="宋体"/>
                <w:szCs w:val="21"/>
                <w:highlight w:val="none"/>
              </w:rPr>
              <w:t>表现优秀得[20,15)分，良好得[15,10)分，一般得[10,5)分，差得[5,0</w:t>
            </w:r>
            <w:r>
              <w:rPr>
                <w:rFonts w:hint="eastAsia" w:ascii="宋体" w:hAnsi="宋体" w:cs="宋体"/>
                <w:szCs w:val="21"/>
                <w:highlight w:val="none"/>
                <w:lang w:val="en-US" w:eastAsia="zh-CN"/>
              </w:rPr>
              <w:t>）</w:t>
            </w:r>
            <w:r>
              <w:rPr>
                <w:rFonts w:hint="eastAsia" w:ascii="宋体" w:hAnsi="宋体" w:cs="宋体"/>
                <w:szCs w:val="21"/>
                <w:highlight w:val="none"/>
              </w:rPr>
              <w:t>分。本小项最高得20分。</w:t>
            </w:r>
          </w:p>
          <w:p w14:paraId="34F0A26B">
            <w:pPr>
              <w:shd w:val="clear"/>
              <w:jc w:val="left"/>
              <w:rPr>
                <w:rFonts w:hint="eastAsia" w:ascii="宋体" w:hAnsi="宋体" w:cs="宋体"/>
                <w:szCs w:val="21"/>
                <w:highlight w:val="none"/>
              </w:rPr>
            </w:pPr>
            <w:r>
              <w:rPr>
                <w:rFonts w:hint="eastAsia" w:ascii="宋体" w:hAnsi="宋体" w:cs="宋体"/>
                <w:szCs w:val="21"/>
                <w:highlight w:val="none"/>
              </w:rPr>
              <w:t>2.答辩人员就本项目接受定标委员会提问并进行问答：表现优秀得[10,7)分，良好得[7,5)分，一般得[5,2)分，差得[2,0</w:t>
            </w:r>
            <w:r>
              <w:rPr>
                <w:rFonts w:hint="eastAsia" w:ascii="宋体" w:hAnsi="宋体" w:cs="宋体"/>
                <w:szCs w:val="21"/>
                <w:highlight w:val="none"/>
                <w:lang w:val="en-US" w:eastAsia="zh-CN"/>
              </w:rPr>
              <w:t>）</w:t>
            </w:r>
            <w:r>
              <w:rPr>
                <w:rFonts w:hint="eastAsia" w:ascii="宋体" w:hAnsi="宋体" w:cs="宋体"/>
                <w:szCs w:val="21"/>
                <w:highlight w:val="none"/>
              </w:rPr>
              <w:t>分。本小项最高得10分。</w:t>
            </w:r>
          </w:p>
          <w:p w14:paraId="4AF66E84">
            <w:pPr>
              <w:widowControl/>
              <w:shd w:val="clear"/>
              <w:jc w:val="left"/>
              <w:rPr>
                <w:rFonts w:hint="eastAsia" w:ascii="宋体" w:hAnsi="宋体" w:cs="宋体"/>
                <w:szCs w:val="21"/>
                <w:highlight w:val="none"/>
              </w:rPr>
            </w:pPr>
            <w:r>
              <w:rPr>
                <w:rFonts w:hint="eastAsia" w:ascii="宋体" w:hAnsi="宋体" w:cs="宋体"/>
                <w:szCs w:val="21"/>
                <w:highlight w:val="none"/>
              </w:rPr>
              <w:t>3.投标人未按要求参加现场答辩，以上两项均为0分。</w:t>
            </w:r>
          </w:p>
        </w:tc>
      </w:tr>
    </w:tbl>
    <w:p w14:paraId="14C67819">
      <w:pPr>
        <w:shd w:val="clear"/>
        <w:rPr>
          <w:rFonts w:hint="eastAsia" w:ascii="宋体" w:hAnsi="宋体" w:cs="宋体"/>
          <w:szCs w:val="21"/>
          <w:highlight w:val="none"/>
        </w:rPr>
      </w:pPr>
    </w:p>
    <w:p w14:paraId="228D2060">
      <w:pPr>
        <w:shd w:val="clear"/>
        <w:rPr>
          <w:rFonts w:hint="eastAsia" w:ascii="宋体" w:hAnsi="宋体" w:cs="宋体"/>
          <w:szCs w:val="21"/>
          <w:highlight w:val="none"/>
        </w:rPr>
      </w:pPr>
      <w:r>
        <w:rPr>
          <w:rFonts w:hint="eastAsia" w:ascii="宋体" w:hAnsi="宋体" w:cs="宋体"/>
          <w:szCs w:val="21"/>
          <w:highlight w:val="none"/>
        </w:rPr>
        <w:t>注：</w:t>
      </w:r>
      <w:r>
        <w:rPr>
          <w:rFonts w:hint="eastAsia" w:ascii="宋体" w:hAnsi="宋体" w:cs="宋体"/>
          <w:szCs w:val="21"/>
          <w:highlight w:val="none"/>
          <w:u w:val="single"/>
        </w:rPr>
        <w:t>方案因素得分和答辩因素得分为各定标委员会评分的算术平均分，得出每个投标人方案因素部分和答辩因素部分的得分。</w:t>
      </w:r>
    </w:p>
    <w:p w14:paraId="3FCD4AC9">
      <w:pPr>
        <w:shd w:val="clear"/>
        <w:rPr>
          <w:rFonts w:hint="eastAsia" w:ascii="宋体" w:hAnsi="宋体" w:cs="宋体"/>
          <w:szCs w:val="21"/>
          <w:highlight w:val="none"/>
        </w:rPr>
      </w:pPr>
    </w:p>
    <w:p w14:paraId="58480398">
      <w:pPr>
        <w:shd w:val="clear"/>
        <w:rPr>
          <w:rFonts w:hint="eastAsia" w:ascii="宋体" w:hAnsi="宋体" w:cs="宋体"/>
          <w:szCs w:val="21"/>
          <w:highlight w:val="none"/>
        </w:rPr>
        <w:sectPr>
          <w:pgSz w:w="16838" w:h="11905" w:orient="landscape"/>
          <w:pgMar w:top="1440" w:right="1440" w:bottom="1440" w:left="1440" w:header="851" w:footer="992" w:gutter="0"/>
          <w:cols w:space="720" w:num="1"/>
          <w:docGrid w:type="lines" w:linePitch="319" w:charSpace="0"/>
        </w:sectPr>
      </w:pPr>
      <w:r>
        <w:rPr>
          <w:rFonts w:hint="eastAsia" w:ascii="宋体" w:hAnsi="宋体" w:cs="宋体"/>
          <w:szCs w:val="21"/>
          <w:highlight w:val="none"/>
        </w:rPr>
        <w:t>评委签名：                                                                               日期</w:t>
      </w:r>
    </w:p>
    <w:p w14:paraId="75D59BD4">
      <w:pPr>
        <w:shd w:val="clear"/>
        <w:spacing w:line="440" w:lineRule="exact"/>
        <w:outlineLvl w:val="1"/>
        <w:rPr>
          <w:rFonts w:hint="eastAsia" w:ascii="宋体" w:hAnsi="宋体" w:cs="宋体"/>
          <w:b/>
          <w:bCs/>
          <w:sz w:val="28"/>
          <w:szCs w:val="28"/>
          <w:highlight w:val="none"/>
        </w:rPr>
      </w:pPr>
      <w:bookmarkStart w:id="379" w:name="_Toc6264"/>
      <w:bookmarkStart w:id="380" w:name="_Toc2821"/>
      <w:bookmarkStart w:id="381" w:name="_Toc2339"/>
      <w:bookmarkStart w:id="382" w:name="_Toc17249"/>
      <w:bookmarkStart w:id="383" w:name="_Toc7374"/>
      <w:bookmarkStart w:id="384" w:name="_Toc22616"/>
      <w:r>
        <w:rPr>
          <w:rFonts w:hint="eastAsia" w:ascii="宋体" w:hAnsi="宋体" w:cs="宋体"/>
          <w:b/>
          <w:bCs/>
          <w:szCs w:val="21"/>
          <w:highlight w:val="none"/>
        </w:rPr>
        <w:t>附录17评标委员会成员声明</w:t>
      </w:r>
      <w:bookmarkEnd w:id="379"/>
      <w:bookmarkEnd w:id="380"/>
      <w:bookmarkEnd w:id="381"/>
      <w:bookmarkEnd w:id="382"/>
      <w:bookmarkEnd w:id="383"/>
    </w:p>
    <w:p w14:paraId="1B4F8814">
      <w:pPr>
        <w:shd w:val="clear"/>
        <w:spacing w:line="440" w:lineRule="exact"/>
        <w:jc w:val="center"/>
        <w:rPr>
          <w:rFonts w:hint="eastAsia" w:ascii="宋体" w:hAnsi="宋体" w:cs="宋体"/>
          <w:sz w:val="40"/>
          <w:szCs w:val="36"/>
          <w:highlight w:val="none"/>
        </w:rPr>
      </w:pPr>
      <w:r>
        <w:rPr>
          <w:rFonts w:hint="eastAsia" w:ascii="宋体" w:hAnsi="宋体" w:cs="宋体"/>
          <w:b/>
          <w:bCs/>
          <w:sz w:val="32"/>
          <w:szCs w:val="32"/>
          <w:highlight w:val="none"/>
        </w:rPr>
        <w:t>评标委员会成员声明</w:t>
      </w:r>
    </w:p>
    <w:p w14:paraId="509D2EBE">
      <w:pPr>
        <w:shd w:val="clear"/>
        <w:spacing w:line="440" w:lineRule="exact"/>
        <w:rPr>
          <w:rFonts w:hint="eastAsia" w:ascii="宋体" w:hAnsi="宋体" w:cs="宋体"/>
          <w:sz w:val="24"/>
          <w:highlight w:val="none"/>
        </w:rPr>
      </w:pPr>
      <w:r>
        <w:rPr>
          <w:rFonts w:hint="eastAsia" w:ascii="宋体" w:hAnsi="宋体" w:cs="宋体"/>
          <w:sz w:val="24"/>
          <w:szCs w:val="24"/>
          <w:highlight w:val="none"/>
          <w:u w:val="single"/>
        </w:rPr>
        <w:t>广州开城新晟城市开发投资有限公司</w:t>
      </w:r>
      <w:r>
        <w:rPr>
          <w:rFonts w:hint="eastAsia" w:ascii="宋体" w:hAnsi="宋体" w:cs="宋体"/>
          <w:sz w:val="24"/>
          <w:highlight w:val="none"/>
        </w:rPr>
        <w:t>：</w:t>
      </w:r>
    </w:p>
    <w:p w14:paraId="5765FC5C">
      <w:pPr>
        <w:shd w:val="clea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本人就参与</w:t>
      </w:r>
      <w:r>
        <w:rPr>
          <w:rFonts w:hint="eastAsia" w:ascii="宋体" w:hAnsi="宋体" w:cs="宋体"/>
          <w:sz w:val="24"/>
          <w:szCs w:val="24"/>
          <w:highlight w:val="none"/>
          <w:u w:val="single"/>
          <w:lang w:eastAsia="zh-CN"/>
        </w:rPr>
        <w:t>广州市黄埔区新龙镇镇龙村（西片区）城中村改造项目（洋田片区）复建AZ-02地块工程勘察初步设计</w:t>
      </w:r>
      <w:r>
        <w:rPr>
          <w:rFonts w:hint="eastAsia" w:ascii="宋体" w:hAnsi="宋体" w:cs="宋体"/>
          <w:sz w:val="24"/>
          <w:highlight w:val="none"/>
        </w:rPr>
        <w:t>项目的评标工作，作出郑重声明：</w:t>
      </w:r>
    </w:p>
    <w:p w14:paraId="14C463C3">
      <w:pPr>
        <w:shd w:val="clea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5ED052DE">
      <w:pPr>
        <w:shd w:val="clea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165F07F0">
      <w:pPr>
        <w:shd w:val="clea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0A18BFE0">
      <w:pPr>
        <w:shd w:val="clea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1B4849D5">
      <w:pPr>
        <w:shd w:val="clea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1983C517">
      <w:pPr>
        <w:shd w:val="clea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如果本人违反上述声明内容，造成的后果由本人自行承担。</w:t>
      </w:r>
    </w:p>
    <w:p w14:paraId="1E534FF3">
      <w:pPr>
        <w:shd w:val="clear"/>
        <w:spacing w:line="440" w:lineRule="exact"/>
        <w:ind w:firstLine="5280" w:firstLineChars="2200"/>
        <w:rPr>
          <w:rFonts w:hint="eastAsia" w:ascii="宋体" w:hAnsi="宋体" w:cs="宋体"/>
          <w:sz w:val="24"/>
          <w:highlight w:val="none"/>
        </w:rPr>
      </w:pPr>
    </w:p>
    <w:p w14:paraId="7BCC661B">
      <w:pPr>
        <w:shd w:val="clear"/>
        <w:spacing w:line="440" w:lineRule="exact"/>
        <w:ind w:firstLine="5280" w:firstLineChars="2200"/>
        <w:rPr>
          <w:rFonts w:hint="eastAsia" w:ascii="宋体" w:hAnsi="宋体" w:cs="宋体"/>
          <w:sz w:val="24"/>
          <w:highlight w:val="none"/>
        </w:rPr>
      </w:pPr>
      <w:r>
        <w:rPr>
          <w:rFonts w:hint="eastAsia" w:ascii="宋体" w:hAnsi="宋体" w:cs="宋体"/>
          <w:sz w:val="24"/>
          <w:highlight w:val="none"/>
        </w:rPr>
        <w:t>声明人：（签名）</w:t>
      </w:r>
    </w:p>
    <w:p w14:paraId="3C55611A">
      <w:pPr>
        <w:widowControl/>
        <w:shd w:val="clear"/>
        <w:jc w:val="left"/>
        <w:rPr>
          <w:rFonts w:hint="eastAsia" w:ascii="宋体" w:hAnsi="宋体" w:cs="宋体"/>
          <w:highlight w:val="none"/>
        </w:rPr>
      </w:pPr>
    </w:p>
    <w:bookmarkEnd w:id="384"/>
    <w:p w14:paraId="4788B529">
      <w:pPr>
        <w:pStyle w:val="3"/>
        <w:shd w:val="clear"/>
        <w:rPr>
          <w:rFonts w:hint="eastAsia" w:ascii="宋体" w:hAnsi="宋体" w:cs="宋体"/>
          <w:sz w:val="24"/>
          <w:szCs w:val="24"/>
          <w:highlight w:val="none"/>
        </w:rPr>
      </w:pPr>
      <w:bookmarkStart w:id="385" w:name="_Toc15449"/>
      <w:bookmarkStart w:id="386" w:name="_Toc10182"/>
      <w:bookmarkStart w:id="387" w:name="_Toc1219"/>
      <w:r>
        <w:rPr>
          <w:rFonts w:hint="eastAsia" w:ascii="宋体" w:hAnsi="宋体" w:cs="宋体"/>
          <w:sz w:val="24"/>
          <w:szCs w:val="24"/>
          <w:highlight w:val="none"/>
        </w:rPr>
        <w:t>附录18 本项目拟投入的人员基本情况表</w:t>
      </w:r>
      <w:bookmarkEnd w:id="385"/>
      <w:bookmarkEnd w:id="386"/>
      <w:bookmarkEnd w:id="387"/>
    </w:p>
    <w:p w14:paraId="17C9C7A3">
      <w:pPr>
        <w:shd w:val="clear"/>
        <w:jc w:val="center"/>
        <w:rPr>
          <w:rFonts w:hint="eastAsia" w:ascii="宋体" w:hAnsi="宋体" w:cs="宋体"/>
          <w:b/>
          <w:sz w:val="32"/>
          <w:szCs w:val="32"/>
          <w:highlight w:val="none"/>
        </w:rPr>
      </w:pPr>
      <w:bookmarkStart w:id="388" w:name="_Toc19370"/>
      <w:bookmarkStart w:id="389" w:name="_Toc44943466"/>
      <w:r>
        <w:rPr>
          <w:rFonts w:hint="eastAsia" w:ascii="宋体" w:hAnsi="宋体" w:cs="宋体"/>
          <w:b/>
          <w:sz w:val="32"/>
          <w:szCs w:val="32"/>
          <w:highlight w:val="none"/>
        </w:rPr>
        <w:t>本项目拟投入的人员基本情况表</w:t>
      </w:r>
      <w:bookmarkEnd w:id="388"/>
      <w:bookmarkEnd w:id="389"/>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204"/>
        <w:gridCol w:w="1166"/>
        <w:gridCol w:w="1203"/>
        <w:gridCol w:w="2278"/>
      </w:tblGrid>
      <w:tr w14:paraId="42EA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870" w:type="dxa"/>
            <w:vAlign w:val="center"/>
          </w:tcPr>
          <w:p w14:paraId="51A8F11C">
            <w:pPr>
              <w:shd w:val="clear"/>
              <w:jc w:val="center"/>
              <w:rPr>
                <w:rFonts w:hint="eastAsia" w:ascii="宋体" w:hAnsi="宋体" w:cs="宋体"/>
                <w:highlight w:val="none"/>
              </w:rPr>
            </w:pPr>
            <w:r>
              <w:rPr>
                <w:rFonts w:hint="eastAsia" w:ascii="宋体" w:hAnsi="宋体" w:cs="宋体"/>
                <w:highlight w:val="none"/>
              </w:rPr>
              <w:t>人员安排</w:t>
            </w:r>
          </w:p>
        </w:tc>
        <w:tc>
          <w:tcPr>
            <w:tcW w:w="1204" w:type="dxa"/>
            <w:vAlign w:val="center"/>
          </w:tcPr>
          <w:p w14:paraId="46FD9DB3">
            <w:pPr>
              <w:shd w:val="clear"/>
              <w:jc w:val="center"/>
              <w:rPr>
                <w:rFonts w:hint="eastAsia" w:ascii="宋体" w:hAnsi="宋体" w:cs="宋体"/>
                <w:highlight w:val="none"/>
              </w:rPr>
            </w:pPr>
            <w:r>
              <w:rPr>
                <w:rFonts w:hint="eastAsia" w:ascii="宋体" w:hAnsi="宋体" w:cs="宋体"/>
                <w:highlight w:val="none"/>
              </w:rPr>
              <w:t>姓 名</w:t>
            </w:r>
          </w:p>
        </w:tc>
        <w:tc>
          <w:tcPr>
            <w:tcW w:w="1166" w:type="dxa"/>
            <w:vAlign w:val="center"/>
          </w:tcPr>
          <w:p w14:paraId="5B5747B5">
            <w:pPr>
              <w:shd w:val="clear"/>
              <w:jc w:val="center"/>
              <w:rPr>
                <w:rFonts w:hint="eastAsia" w:ascii="宋体" w:hAnsi="宋体" w:cs="宋体"/>
                <w:highlight w:val="none"/>
              </w:rPr>
            </w:pPr>
            <w:r>
              <w:rPr>
                <w:rFonts w:hint="eastAsia" w:ascii="宋体" w:hAnsi="宋体" w:cs="宋体"/>
                <w:highlight w:val="none"/>
              </w:rPr>
              <w:t>年龄</w:t>
            </w:r>
          </w:p>
        </w:tc>
        <w:tc>
          <w:tcPr>
            <w:tcW w:w="1203" w:type="dxa"/>
            <w:vAlign w:val="center"/>
          </w:tcPr>
          <w:p w14:paraId="4101D7A1">
            <w:pPr>
              <w:shd w:val="clear"/>
              <w:jc w:val="center"/>
              <w:rPr>
                <w:rFonts w:hint="eastAsia" w:ascii="宋体" w:hAnsi="宋体" w:cs="宋体"/>
                <w:highlight w:val="none"/>
              </w:rPr>
            </w:pPr>
            <w:r>
              <w:rPr>
                <w:rFonts w:hint="eastAsia" w:ascii="宋体" w:hAnsi="宋体" w:cs="宋体"/>
                <w:highlight w:val="none"/>
              </w:rPr>
              <w:t>职称专业</w:t>
            </w:r>
          </w:p>
        </w:tc>
        <w:tc>
          <w:tcPr>
            <w:tcW w:w="2278" w:type="dxa"/>
            <w:vAlign w:val="center"/>
          </w:tcPr>
          <w:p w14:paraId="76612779">
            <w:pPr>
              <w:shd w:val="clear"/>
              <w:jc w:val="center"/>
              <w:rPr>
                <w:rFonts w:hint="eastAsia" w:ascii="宋体" w:hAnsi="宋体" w:cs="宋体"/>
                <w:highlight w:val="none"/>
              </w:rPr>
            </w:pPr>
            <w:r>
              <w:rPr>
                <w:rFonts w:hint="eastAsia" w:ascii="宋体" w:hAnsi="宋体" w:cs="宋体"/>
                <w:highlight w:val="none"/>
              </w:rPr>
              <w:t>已完成类似</w:t>
            </w:r>
            <w:r>
              <w:rPr>
                <w:rFonts w:hint="eastAsia" w:ascii="宋体" w:hAnsi="宋体" w:cs="宋体"/>
                <w:szCs w:val="21"/>
                <w:highlight w:val="none"/>
              </w:rPr>
              <w:t>勘察设计（含勘察初步设计）</w:t>
            </w:r>
            <w:r>
              <w:rPr>
                <w:rFonts w:hint="eastAsia" w:ascii="宋体" w:hAnsi="宋体" w:cs="宋体"/>
                <w:highlight w:val="none"/>
              </w:rPr>
              <w:t>业绩</w:t>
            </w:r>
          </w:p>
        </w:tc>
      </w:tr>
      <w:tr w14:paraId="0B32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1870" w:type="dxa"/>
            <w:vAlign w:val="center"/>
          </w:tcPr>
          <w:p w14:paraId="0C47E6C3">
            <w:pPr>
              <w:shd w:val="clear"/>
              <w:rPr>
                <w:rFonts w:hint="eastAsia" w:ascii="宋体" w:hAnsi="宋体" w:cs="宋体"/>
                <w:highlight w:val="none"/>
              </w:rPr>
            </w:pPr>
            <w:r>
              <w:rPr>
                <w:rFonts w:hint="eastAsia" w:ascii="宋体" w:hAnsi="宋体" w:cs="宋体"/>
                <w:highlight w:val="none"/>
              </w:rPr>
              <w:t>项目负责人</w:t>
            </w:r>
          </w:p>
        </w:tc>
        <w:tc>
          <w:tcPr>
            <w:tcW w:w="1204" w:type="dxa"/>
            <w:vAlign w:val="center"/>
          </w:tcPr>
          <w:p w14:paraId="17FABA35">
            <w:pPr>
              <w:shd w:val="clear"/>
              <w:rPr>
                <w:rFonts w:hint="eastAsia" w:ascii="宋体" w:hAnsi="宋体" w:cs="宋体"/>
                <w:highlight w:val="none"/>
              </w:rPr>
            </w:pPr>
          </w:p>
        </w:tc>
        <w:tc>
          <w:tcPr>
            <w:tcW w:w="1166" w:type="dxa"/>
            <w:vAlign w:val="center"/>
          </w:tcPr>
          <w:p w14:paraId="1B25AF16">
            <w:pPr>
              <w:shd w:val="clear"/>
              <w:rPr>
                <w:rFonts w:hint="eastAsia" w:ascii="宋体" w:hAnsi="宋体" w:cs="宋体"/>
                <w:highlight w:val="none"/>
              </w:rPr>
            </w:pPr>
          </w:p>
        </w:tc>
        <w:tc>
          <w:tcPr>
            <w:tcW w:w="1203" w:type="dxa"/>
            <w:vAlign w:val="center"/>
          </w:tcPr>
          <w:p w14:paraId="7912251B">
            <w:pPr>
              <w:shd w:val="clear"/>
              <w:rPr>
                <w:rFonts w:hint="eastAsia" w:ascii="宋体" w:hAnsi="宋体" w:cs="宋体"/>
                <w:highlight w:val="none"/>
              </w:rPr>
            </w:pPr>
          </w:p>
        </w:tc>
        <w:tc>
          <w:tcPr>
            <w:tcW w:w="2278" w:type="dxa"/>
            <w:vAlign w:val="center"/>
          </w:tcPr>
          <w:p w14:paraId="60C53AA2">
            <w:pPr>
              <w:shd w:val="clear"/>
              <w:rPr>
                <w:rFonts w:hint="eastAsia" w:ascii="宋体" w:hAnsi="宋体" w:cs="宋体"/>
                <w:highlight w:val="none"/>
              </w:rPr>
            </w:pPr>
          </w:p>
        </w:tc>
      </w:tr>
      <w:tr w14:paraId="7D93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1870" w:type="dxa"/>
            <w:vAlign w:val="center"/>
          </w:tcPr>
          <w:p w14:paraId="5C873EE9">
            <w:pPr>
              <w:shd w:val="clear"/>
              <w:rPr>
                <w:rFonts w:hint="eastAsia" w:ascii="宋体" w:hAnsi="宋体" w:cs="宋体"/>
                <w:highlight w:val="none"/>
              </w:rPr>
            </w:pPr>
            <w:r>
              <w:rPr>
                <w:rFonts w:hint="eastAsia" w:ascii="宋体" w:hAnsi="宋体" w:cs="宋体"/>
                <w:b/>
                <w:highlight w:val="none"/>
              </w:rPr>
              <w:t>…</w:t>
            </w:r>
          </w:p>
        </w:tc>
        <w:tc>
          <w:tcPr>
            <w:tcW w:w="1204" w:type="dxa"/>
            <w:vAlign w:val="center"/>
          </w:tcPr>
          <w:p w14:paraId="4DE75EFF">
            <w:pPr>
              <w:shd w:val="clear"/>
              <w:rPr>
                <w:rFonts w:hint="eastAsia" w:ascii="宋体" w:hAnsi="宋体" w:cs="宋体"/>
                <w:highlight w:val="none"/>
              </w:rPr>
            </w:pPr>
          </w:p>
        </w:tc>
        <w:tc>
          <w:tcPr>
            <w:tcW w:w="1166" w:type="dxa"/>
            <w:vAlign w:val="center"/>
          </w:tcPr>
          <w:p w14:paraId="5C795223">
            <w:pPr>
              <w:shd w:val="clear"/>
              <w:rPr>
                <w:rFonts w:hint="eastAsia" w:ascii="宋体" w:hAnsi="宋体" w:cs="宋体"/>
                <w:highlight w:val="none"/>
              </w:rPr>
            </w:pPr>
          </w:p>
        </w:tc>
        <w:tc>
          <w:tcPr>
            <w:tcW w:w="1203" w:type="dxa"/>
            <w:vAlign w:val="center"/>
          </w:tcPr>
          <w:p w14:paraId="6DB83E05">
            <w:pPr>
              <w:shd w:val="clear"/>
              <w:rPr>
                <w:rFonts w:hint="eastAsia" w:ascii="宋体" w:hAnsi="宋体" w:cs="宋体"/>
                <w:highlight w:val="none"/>
              </w:rPr>
            </w:pPr>
          </w:p>
        </w:tc>
        <w:tc>
          <w:tcPr>
            <w:tcW w:w="2278" w:type="dxa"/>
            <w:vAlign w:val="center"/>
          </w:tcPr>
          <w:p w14:paraId="33CEE3E0">
            <w:pPr>
              <w:shd w:val="clear"/>
              <w:rPr>
                <w:rFonts w:hint="eastAsia" w:ascii="宋体" w:hAnsi="宋体" w:cs="宋体"/>
                <w:highlight w:val="none"/>
              </w:rPr>
            </w:pPr>
          </w:p>
        </w:tc>
      </w:tr>
      <w:tr w14:paraId="549C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1870" w:type="dxa"/>
            <w:vAlign w:val="center"/>
          </w:tcPr>
          <w:p w14:paraId="4743CFE5">
            <w:pPr>
              <w:shd w:val="clear"/>
              <w:rPr>
                <w:rFonts w:hint="eastAsia" w:ascii="宋体" w:hAnsi="宋体" w:cs="宋体"/>
                <w:highlight w:val="none"/>
              </w:rPr>
            </w:pPr>
            <w:r>
              <w:rPr>
                <w:rFonts w:hint="eastAsia" w:ascii="宋体" w:hAnsi="宋体" w:cs="宋体"/>
                <w:b/>
                <w:highlight w:val="none"/>
              </w:rPr>
              <w:t>…</w:t>
            </w:r>
          </w:p>
        </w:tc>
        <w:tc>
          <w:tcPr>
            <w:tcW w:w="1204" w:type="dxa"/>
            <w:vAlign w:val="center"/>
          </w:tcPr>
          <w:p w14:paraId="5A96BFBB">
            <w:pPr>
              <w:shd w:val="clear"/>
              <w:rPr>
                <w:rFonts w:hint="eastAsia" w:ascii="宋体" w:hAnsi="宋体" w:cs="宋体"/>
                <w:highlight w:val="none"/>
              </w:rPr>
            </w:pPr>
          </w:p>
        </w:tc>
        <w:tc>
          <w:tcPr>
            <w:tcW w:w="1166" w:type="dxa"/>
            <w:vAlign w:val="center"/>
          </w:tcPr>
          <w:p w14:paraId="0AC54FC0">
            <w:pPr>
              <w:shd w:val="clear"/>
              <w:rPr>
                <w:rFonts w:hint="eastAsia" w:ascii="宋体" w:hAnsi="宋体" w:cs="宋体"/>
                <w:highlight w:val="none"/>
              </w:rPr>
            </w:pPr>
          </w:p>
        </w:tc>
        <w:tc>
          <w:tcPr>
            <w:tcW w:w="1203" w:type="dxa"/>
            <w:vAlign w:val="center"/>
          </w:tcPr>
          <w:p w14:paraId="1E71A8BF">
            <w:pPr>
              <w:shd w:val="clear"/>
              <w:rPr>
                <w:rFonts w:hint="eastAsia" w:ascii="宋体" w:hAnsi="宋体" w:cs="宋体"/>
                <w:highlight w:val="none"/>
              </w:rPr>
            </w:pPr>
          </w:p>
        </w:tc>
        <w:tc>
          <w:tcPr>
            <w:tcW w:w="2278" w:type="dxa"/>
            <w:vAlign w:val="center"/>
          </w:tcPr>
          <w:p w14:paraId="66B1BB22">
            <w:pPr>
              <w:shd w:val="clear"/>
              <w:rPr>
                <w:rFonts w:hint="eastAsia" w:ascii="宋体" w:hAnsi="宋体" w:cs="宋体"/>
                <w:highlight w:val="none"/>
              </w:rPr>
            </w:pPr>
          </w:p>
        </w:tc>
      </w:tr>
      <w:tr w14:paraId="7DB5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1870" w:type="dxa"/>
            <w:vAlign w:val="center"/>
          </w:tcPr>
          <w:p w14:paraId="70978A2C">
            <w:pPr>
              <w:shd w:val="clear"/>
              <w:rPr>
                <w:rFonts w:hint="eastAsia" w:ascii="宋体" w:hAnsi="宋体" w:cs="宋体"/>
                <w:highlight w:val="none"/>
              </w:rPr>
            </w:pPr>
            <w:r>
              <w:rPr>
                <w:rFonts w:hint="eastAsia" w:ascii="宋体" w:hAnsi="宋体" w:cs="宋体"/>
                <w:b/>
                <w:highlight w:val="none"/>
              </w:rPr>
              <w:t>…</w:t>
            </w:r>
          </w:p>
        </w:tc>
        <w:tc>
          <w:tcPr>
            <w:tcW w:w="1204" w:type="dxa"/>
            <w:vAlign w:val="center"/>
          </w:tcPr>
          <w:p w14:paraId="0B94BFDA">
            <w:pPr>
              <w:shd w:val="clear"/>
              <w:rPr>
                <w:rFonts w:hint="eastAsia" w:ascii="宋体" w:hAnsi="宋体" w:cs="宋体"/>
                <w:highlight w:val="none"/>
              </w:rPr>
            </w:pPr>
          </w:p>
        </w:tc>
        <w:tc>
          <w:tcPr>
            <w:tcW w:w="1166" w:type="dxa"/>
            <w:vAlign w:val="center"/>
          </w:tcPr>
          <w:p w14:paraId="2F69118C">
            <w:pPr>
              <w:shd w:val="clear"/>
              <w:rPr>
                <w:rFonts w:hint="eastAsia" w:ascii="宋体" w:hAnsi="宋体" w:cs="宋体"/>
                <w:highlight w:val="none"/>
              </w:rPr>
            </w:pPr>
          </w:p>
        </w:tc>
        <w:tc>
          <w:tcPr>
            <w:tcW w:w="1203" w:type="dxa"/>
            <w:vAlign w:val="center"/>
          </w:tcPr>
          <w:p w14:paraId="532350E5">
            <w:pPr>
              <w:shd w:val="clear"/>
              <w:rPr>
                <w:rFonts w:hint="eastAsia" w:ascii="宋体" w:hAnsi="宋体" w:cs="宋体"/>
                <w:highlight w:val="none"/>
              </w:rPr>
            </w:pPr>
          </w:p>
        </w:tc>
        <w:tc>
          <w:tcPr>
            <w:tcW w:w="2278" w:type="dxa"/>
            <w:vAlign w:val="center"/>
          </w:tcPr>
          <w:p w14:paraId="70FC51B9">
            <w:pPr>
              <w:shd w:val="clear"/>
              <w:rPr>
                <w:rFonts w:hint="eastAsia" w:ascii="宋体" w:hAnsi="宋体" w:cs="宋体"/>
                <w:highlight w:val="none"/>
              </w:rPr>
            </w:pPr>
          </w:p>
        </w:tc>
      </w:tr>
      <w:tr w14:paraId="1557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1870" w:type="dxa"/>
            <w:vAlign w:val="center"/>
          </w:tcPr>
          <w:p w14:paraId="5A734EBD">
            <w:pPr>
              <w:shd w:val="clear"/>
              <w:rPr>
                <w:rFonts w:hint="eastAsia" w:ascii="宋体" w:hAnsi="宋体" w:cs="宋体"/>
                <w:highlight w:val="none"/>
              </w:rPr>
            </w:pPr>
            <w:r>
              <w:rPr>
                <w:rFonts w:hint="eastAsia" w:ascii="宋体" w:hAnsi="宋体" w:cs="宋体"/>
                <w:b/>
                <w:highlight w:val="none"/>
              </w:rPr>
              <w:t>…</w:t>
            </w:r>
          </w:p>
        </w:tc>
        <w:tc>
          <w:tcPr>
            <w:tcW w:w="1204" w:type="dxa"/>
            <w:vAlign w:val="center"/>
          </w:tcPr>
          <w:p w14:paraId="38EEF7D9">
            <w:pPr>
              <w:shd w:val="clear"/>
              <w:rPr>
                <w:rFonts w:hint="eastAsia" w:ascii="宋体" w:hAnsi="宋体" w:cs="宋体"/>
                <w:highlight w:val="none"/>
              </w:rPr>
            </w:pPr>
          </w:p>
        </w:tc>
        <w:tc>
          <w:tcPr>
            <w:tcW w:w="1166" w:type="dxa"/>
            <w:vAlign w:val="center"/>
          </w:tcPr>
          <w:p w14:paraId="24C90FC1">
            <w:pPr>
              <w:shd w:val="clear"/>
              <w:rPr>
                <w:rFonts w:hint="eastAsia" w:ascii="宋体" w:hAnsi="宋体" w:cs="宋体"/>
                <w:highlight w:val="none"/>
              </w:rPr>
            </w:pPr>
          </w:p>
        </w:tc>
        <w:tc>
          <w:tcPr>
            <w:tcW w:w="1203" w:type="dxa"/>
            <w:vAlign w:val="center"/>
          </w:tcPr>
          <w:p w14:paraId="4197393C">
            <w:pPr>
              <w:shd w:val="clear"/>
              <w:rPr>
                <w:rFonts w:hint="eastAsia" w:ascii="宋体" w:hAnsi="宋体" w:cs="宋体"/>
                <w:highlight w:val="none"/>
              </w:rPr>
            </w:pPr>
          </w:p>
        </w:tc>
        <w:tc>
          <w:tcPr>
            <w:tcW w:w="2278" w:type="dxa"/>
            <w:vAlign w:val="center"/>
          </w:tcPr>
          <w:p w14:paraId="07052E21">
            <w:pPr>
              <w:shd w:val="clear"/>
              <w:rPr>
                <w:rFonts w:hint="eastAsia" w:ascii="宋体" w:hAnsi="宋体" w:cs="宋体"/>
                <w:highlight w:val="none"/>
              </w:rPr>
            </w:pPr>
          </w:p>
        </w:tc>
      </w:tr>
      <w:tr w14:paraId="60A4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1870" w:type="dxa"/>
            <w:vAlign w:val="center"/>
          </w:tcPr>
          <w:p w14:paraId="7B48AE21">
            <w:pPr>
              <w:shd w:val="clear"/>
              <w:rPr>
                <w:rFonts w:hint="eastAsia" w:ascii="宋体" w:hAnsi="宋体" w:cs="宋体"/>
                <w:highlight w:val="none"/>
              </w:rPr>
            </w:pPr>
            <w:r>
              <w:rPr>
                <w:rFonts w:hint="eastAsia" w:ascii="宋体" w:hAnsi="宋体" w:cs="宋体"/>
                <w:b/>
                <w:highlight w:val="none"/>
              </w:rPr>
              <w:t>…</w:t>
            </w:r>
          </w:p>
        </w:tc>
        <w:tc>
          <w:tcPr>
            <w:tcW w:w="1204" w:type="dxa"/>
            <w:vAlign w:val="center"/>
          </w:tcPr>
          <w:p w14:paraId="541D46C7">
            <w:pPr>
              <w:shd w:val="clear"/>
              <w:rPr>
                <w:rFonts w:hint="eastAsia" w:ascii="宋体" w:hAnsi="宋体" w:cs="宋体"/>
                <w:highlight w:val="none"/>
              </w:rPr>
            </w:pPr>
          </w:p>
        </w:tc>
        <w:tc>
          <w:tcPr>
            <w:tcW w:w="1166" w:type="dxa"/>
            <w:vAlign w:val="center"/>
          </w:tcPr>
          <w:p w14:paraId="5F5E7812">
            <w:pPr>
              <w:shd w:val="clear"/>
              <w:rPr>
                <w:rFonts w:hint="eastAsia" w:ascii="宋体" w:hAnsi="宋体" w:cs="宋体"/>
                <w:highlight w:val="none"/>
              </w:rPr>
            </w:pPr>
          </w:p>
        </w:tc>
        <w:tc>
          <w:tcPr>
            <w:tcW w:w="1203" w:type="dxa"/>
            <w:vAlign w:val="center"/>
          </w:tcPr>
          <w:p w14:paraId="7EC25B61">
            <w:pPr>
              <w:shd w:val="clear"/>
              <w:rPr>
                <w:rFonts w:hint="eastAsia" w:ascii="宋体" w:hAnsi="宋体" w:cs="宋体"/>
                <w:highlight w:val="none"/>
              </w:rPr>
            </w:pPr>
          </w:p>
        </w:tc>
        <w:tc>
          <w:tcPr>
            <w:tcW w:w="2278" w:type="dxa"/>
            <w:vAlign w:val="center"/>
          </w:tcPr>
          <w:p w14:paraId="23360874">
            <w:pPr>
              <w:shd w:val="clear"/>
              <w:rPr>
                <w:rFonts w:hint="eastAsia" w:ascii="宋体" w:hAnsi="宋体" w:cs="宋体"/>
                <w:highlight w:val="none"/>
              </w:rPr>
            </w:pPr>
          </w:p>
        </w:tc>
      </w:tr>
      <w:tr w14:paraId="3E4C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1870" w:type="dxa"/>
            <w:vAlign w:val="center"/>
          </w:tcPr>
          <w:p w14:paraId="507E413E">
            <w:pPr>
              <w:shd w:val="clear"/>
              <w:rPr>
                <w:rFonts w:hint="eastAsia" w:ascii="宋体" w:hAnsi="宋体" w:cs="宋体"/>
                <w:highlight w:val="none"/>
              </w:rPr>
            </w:pPr>
            <w:r>
              <w:rPr>
                <w:rFonts w:hint="eastAsia" w:ascii="宋体" w:hAnsi="宋体" w:cs="宋体"/>
                <w:b/>
                <w:highlight w:val="none"/>
              </w:rPr>
              <w:t>…</w:t>
            </w:r>
          </w:p>
        </w:tc>
        <w:tc>
          <w:tcPr>
            <w:tcW w:w="1204" w:type="dxa"/>
            <w:vAlign w:val="center"/>
          </w:tcPr>
          <w:p w14:paraId="1A27EBD2">
            <w:pPr>
              <w:shd w:val="clear"/>
              <w:rPr>
                <w:rFonts w:hint="eastAsia" w:ascii="宋体" w:hAnsi="宋体" w:cs="宋体"/>
                <w:highlight w:val="none"/>
              </w:rPr>
            </w:pPr>
          </w:p>
        </w:tc>
        <w:tc>
          <w:tcPr>
            <w:tcW w:w="1166" w:type="dxa"/>
            <w:vAlign w:val="center"/>
          </w:tcPr>
          <w:p w14:paraId="57406A40">
            <w:pPr>
              <w:shd w:val="clear"/>
              <w:rPr>
                <w:rFonts w:hint="eastAsia" w:ascii="宋体" w:hAnsi="宋体" w:cs="宋体"/>
                <w:highlight w:val="none"/>
              </w:rPr>
            </w:pPr>
          </w:p>
        </w:tc>
        <w:tc>
          <w:tcPr>
            <w:tcW w:w="1203" w:type="dxa"/>
            <w:vAlign w:val="center"/>
          </w:tcPr>
          <w:p w14:paraId="2C53B2D0">
            <w:pPr>
              <w:shd w:val="clear"/>
              <w:rPr>
                <w:rFonts w:hint="eastAsia" w:ascii="宋体" w:hAnsi="宋体" w:cs="宋体"/>
                <w:highlight w:val="none"/>
              </w:rPr>
            </w:pPr>
          </w:p>
        </w:tc>
        <w:tc>
          <w:tcPr>
            <w:tcW w:w="2278" w:type="dxa"/>
            <w:vAlign w:val="center"/>
          </w:tcPr>
          <w:p w14:paraId="6F5A7E26">
            <w:pPr>
              <w:shd w:val="clear"/>
              <w:rPr>
                <w:rFonts w:hint="eastAsia" w:ascii="宋体" w:hAnsi="宋体" w:cs="宋体"/>
                <w:highlight w:val="none"/>
              </w:rPr>
            </w:pPr>
          </w:p>
        </w:tc>
      </w:tr>
      <w:tr w14:paraId="1B25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870" w:type="dxa"/>
            <w:vAlign w:val="center"/>
          </w:tcPr>
          <w:p w14:paraId="5DE0E4C0">
            <w:pPr>
              <w:shd w:val="clear"/>
              <w:rPr>
                <w:rFonts w:hint="eastAsia" w:ascii="宋体" w:hAnsi="宋体" w:cs="宋体"/>
                <w:b/>
                <w:highlight w:val="none"/>
              </w:rPr>
            </w:pPr>
            <w:r>
              <w:rPr>
                <w:rFonts w:hint="eastAsia" w:ascii="宋体" w:hAnsi="宋体" w:cs="宋体"/>
                <w:b/>
                <w:highlight w:val="none"/>
              </w:rPr>
              <w:t>…</w:t>
            </w:r>
          </w:p>
        </w:tc>
        <w:tc>
          <w:tcPr>
            <w:tcW w:w="1204" w:type="dxa"/>
            <w:vAlign w:val="center"/>
          </w:tcPr>
          <w:p w14:paraId="0C504674">
            <w:pPr>
              <w:shd w:val="clear"/>
              <w:rPr>
                <w:rFonts w:hint="eastAsia" w:ascii="宋体" w:hAnsi="宋体" w:cs="宋体"/>
                <w:highlight w:val="none"/>
              </w:rPr>
            </w:pPr>
          </w:p>
        </w:tc>
        <w:tc>
          <w:tcPr>
            <w:tcW w:w="1166" w:type="dxa"/>
            <w:vAlign w:val="center"/>
          </w:tcPr>
          <w:p w14:paraId="18F5EB28">
            <w:pPr>
              <w:shd w:val="clear"/>
              <w:rPr>
                <w:rFonts w:hint="eastAsia" w:ascii="宋体" w:hAnsi="宋体" w:cs="宋体"/>
                <w:highlight w:val="none"/>
              </w:rPr>
            </w:pPr>
          </w:p>
        </w:tc>
        <w:tc>
          <w:tcPr>
            <w:tcW w:w="1203" w:type="dxa"/>
            <w:vAlign w:val="center"/>
          </w:tcPr>
          <w:p w14:paraId="1FA534C1">
            <w:pPr>
              <w:shd w:val="clear"/>
              <w:rPr>
                <w:rFonts w:hint="eastAsia" w:ascii="宋体" w:hAnsi="宋体" w:cs="宋体"/>
                <w:highlight w:val="none"/>
              </w:rPr>
            </w:pPr>
          </w:p>
        </w:tc>
        <w:tc>
          <w:tcPr>
            <w:tcW w:w="2278" w:type="dxa"/>
            <w:vAlign w:val="center"/>
          </w:tcPr>
          <w:p w14:paraId="6DBF6EBA">
            <w:pPr>
              <w:shd w:val="clear"/>
              <w:rPr>
                <w:rFonts w:hint="eastAsia" w:ascii="宋体" w:hAnsi="宋体" w:cs="宋体"/>
                <w:highlight w:val="none"/>
              </w:rPr>
            </w:pPr>
          </w:p>
        </w:tc>
      </w:tr>
    </w:tbl>
    <w:p w14:paraId="77128AD3">
      <w:pPr>
        <w:shd w:val="clear"/>
        <w:rPr>
          <w:rFonts w:hint="eastAsia" w:ascii="宋体" w:hAnsi="宋体" w:cs="宋体"/>
          <w:szCs w:val="21"/>
          <w:highlight w:val="none"/>
        </w:rPr>
      </w:pPr>
    </w:p>
    <w:p w14:paraId="442669E8">
      <w:pPr>
        <w:shd w:val="clear"/>
        <w:spacing w:line="360" w:lineRule="exact"/>
        <w:rPr>
          <w:rFonts w:hint="eastAsia" w:ascii="宋体" w:hAnsi="宋体" w:cs="宋体"/>
          <w:highlight w:val="none"/>
        </w:rPr>
      </w:pPr>
      <w:r>
        <w:rPr>
          <w:rFonts w:hint="eastAsia" w:ascii="宋体" w:hAnsi="宋体" w:cs="宋体"/>
          <w:highlight w:val="none"/>
        </w:rPr>
        <w:t>备注：①投标人应根据招标文件要求和招标项目的实际需要，列出项目负责人</w:t>
      </w:r>
      <w:r>
        <w:rPr>
          <w:rFonts w:hint="eastAsia" w:ascii="宋体" w:hAnsi="宋体" w:cs="宋体"/>
          <w:szCs w:val="21"/>
          <w:highlight w:val="none"/>
        </w:rPr>
        <w:t>及</w:t>
      </w:r>
      <w:r>
        <w:rPr>
          <w:rFonts w:hint="eastAsia" w:ascii="宋体" w:hAnsi="宋体" w:cs="宋体"/>
          <w:highlight w:val="none"/>
        </w:rPr>
        <w:t>各专业负责人。</w:t>
      </w:r>
    </w:p>
    <w:p w14:paraId="2739EA25">
      <w:pPr>
        <w:shd w:val="clear"/>
        <w:spacing w:line="360" w:lineRule="exact"/>
        <w:ind w:firstLine="420" w:firstLineChars="200"/>
        <w:rPr>
          <w:rFonts w:hint="eastAsia" w:ascii="宋体" w:hAnsi="宋体" w:cs="宋体"/>
          <w:highlight w:val="none"/>
        </w:rPr>
      </w:pPr>
      <w:r>
        <w:rPr>
          <w:rFonts w:hint="eastAsia" w:ascii="宋体" w:hAnsi="宋体" w:cs="宋体"/>
          <w:highlight w:val="none"/>
        </w:rPr>
        <w:t>②投标人应按本表所列的项目负责人及各专业负责人填写资历表。</w:t>
      </w:r>
    </w:p>
    <w:p w14:paraId="1D0FC43A">
      <w:pPr>
        <w:shd w:val="clear"/>
        <w:spacing w:line="360" w:lineRule="exact"/>
        <w:ind w:firstLine="420" w:firstLineChars="200"/>
        <w:rPr>
          <w:rFonts w:hint="eastAsia" w:ascii="宋体" w:hAnsi="宋体" w:cs="宋体"/>
          <w:highlight w:val="none"/>
        </w:rPr>
      </w:pPr>
      <w:r>
        <w:rPr>
          <w:rFonts w:hint="eastAsia" w:ascii="宋体" w:hAnsi="宋体" w:cs="宋体"/>
          <w:highlight w:val="none"/>
        </w:rPr>
        <w:t>③以上投入本项目的人员（包含项目负责人及各专业负责人）需提供相关证明资料，包括：执业注册证书、职称证、毕业证等相关资料扫描件。须提供扣除招标公告发布当月前一个月（即扣除招标公告发布当月前一个月）在本单位（不含投标人的子公司，含非独立法人的分公司或分支机构）购买社保的缴费记录；因改制或重组的企业或事业单位人员社保由上级主管部门缴纳的，除提供上级主管部门缴纳社保证明扫描件外，需由上级主管部门出具证明说明）。</w:t>
      </w:r>
    </w:p>
    <w:p w14:paraId="23F347E5">
      <w:pPr>
        <w:shd w:val="clear"/>
        <w:jc w:val="center"/>
        <w:rPr>
          <w:rFonts w:hint="eastAsia" w:ascii="宋体" w:hAnsi="宋体" w:cs="宋体"/>
          <w:b/>
          <w:sz w:val="32"/>
          <w:szCs w:val="36"/>
          <w:highlight w:val="none"/>
        </w:rPr>
      </w:pPr>
      <w:r>
        <w:rPr>
          <w:rFonts w:hint="eastAsia" w:ascii="宋体" w:hAnsi="宋体" w:cs="宋体"/>
          <w:sz w:val="24"/>
          <w:szCs w:val="24"/>
          <w:highlight w:val="none"/>
        </w:rPr>
        <w:br w:type="page"/>
      </w:r>
      <w:r>
        <w:rPr>
          <w:rFonts w:hint="eastAsia" w:ascii="宋体" w:hAnsi="宋体" w:cs="宋体"/>
          <w:b/>
          <w:sz w:val="32"/>
          <w:szCs w:val="36"/>
          <w:highlight w:val="none"/>
        </w:rPr>
        <w:t>主要人员简历表</w:t>
      </w:r>
    </w:p>
    <w:p w14:paraId="2A837CD8">
      <w:pPr>
        <w:shd w:val="clear"/>
        <w:rPr>
          <w:rFonts w:hint="eastAsia" w:ascii="宋体" w:hAnsi="宋体" w:cs="宋体"/>
          <w:highlight w:val="none"/>
        </w:rPr>
      </w:pPr>
    </w:p>
    <w:p w14:paraId="3B8A942C">
      <w:pPr>
        <w:shd w:val="clear"/>
        <w:autoSpaceDE w:val="0"/>
        <w:autoSpaceDN w:val="0"/>
        <w:adjustRightInd w:val="0"/>
        <w:spacing w:line="200" w:lineRule="exact"/>
        <w:rPr>
          <w:rFonts w:hint="eastAsia" w:ascii="宋体" w:hAnsi="宋体" w:cs="宋体"/>
          <w:sz w:val="20"/>
          <w:szCs w:val="20"/>
          <w:highlight w:val="none"/>
        </w:rPr>
      </w:pPr>
    </w:p>
    <w:tbl>
      <w:tblPr>
        <w:tblStyle w:val="19"/>
        <w:tblW w:w="0" w:type="auto"/>
        <w:tblInd w:w="248" w:type="dxa"/>
        <w:tblLayout w:type="fixed"/>
        <w:tblCellMar>
          <w:top w:w="0" w:type="dxa"/>
          <w:left w:w="0" w:type="dxa"/>
          <w:bottom w:w="0" w:type="dxa"/>
          <w:right w:w="0" w:type="dxa"/>
        </w:tblCellMar>
      </w:tblPr>
      <w:tblGrid>
        <w:gridCol w:w="1185"/>
        <w:gridCol w:w="358"/>
        <w:gridCol w:w="692"/>
        <w:gridCol w:w="957"/>
        <w:gridCol w:w="1066"/>
        <w:gridCol w:w="706"/>
        <w:gridCol w:w="1260"/>
        <w:gridCol w:w="401"/>
        <w:gridCol w:w="1896"/>
      </w:tblGrid>
      <w:tr w14:paraId="5B3467C8">
        <w:tblPrEx>
          <w:tblCellMar>
            <w:top w:w="0" w:type="dxa"/>
            <w:left w:w="0" w:type="dxa"/>
            <w:bottom w:w="0" w:type="dxa"/>
            <w:right w:w="0" w:type="dxa"/>
          </w:tblCellMar>
        </w:tblPrEx>
        <w:trPr>
          <w:trHeight w:val="890" w:hRule="atLeast"/>
        </w:trPr>
        <w:tc>
          <w:tcPr>
            <w:tcW w:w="1185" w:type="dxa"/>
            <w:tcBorders>
              <w:top w:val="single" w:color="000000" w:sz="4" w:space="0"/>
              <w:left w:val="single" w:color="000000" w:sz="4" w:space="0"/>
              <w:bottom w:val="single" w:color="000000" w:sz="4" w:space="0"/>
              <w:right w:val="single" w:color="000000" w:sz="4" w:space="0"/>
            </w:tcBorders>
            <w:noWrap/>
          </w:tcPr>
          <w:p w14:paraId="75FE4189">
            <w:pPr>
              <w:shd w:val="clear"/>
              <w:autoSpaceDE w:val="0"/>
              <w:autoSpaceDN w:val="0"/>
              <w:adjustRightInd w:val="0"/>
              <w:spacing w:before="9" w:line="260" w:lineRule="exact"/>
              <w:rPr>
                <w:rFonts w:hint="eastAsia" w:ascii="宋体" w:hAnsi="宋体" w:cs="宋体"/>
                <w:sz w:val="26"/>
                <w:szCs w:val="26"/>
                <w:highlight w:val="none"/>
              </w:rPr>
            </w:pPr>
          </w:p>
          <w:p w14:paraId="2A3F8CC7">
            <w:pPr>
              <w:shd w:val="clear"/>
              <w:autoSpaceDE w:val="0"/>
              <w:autoSpaceDN w:val="0"/>
              <w:adjustRightInd w:val="0"/>
              <w:ind w:left="273" w:right="-20"/>
              <w:rPr>
                <w:rFonts w:hint="eastAsia" w:ascii="宋体" w:hAnsi="宋体" w:cs="宋体"/>
                <w:sz w:val="24"/>
                <w:highlight w:val="none"/>
              </w:rPr>
            </w:pPr>
            <w:r>
              <w:rPr>
                <w:rFonts w:hint="eastAsia" w:ascii="宋体" w:hAnsi="宋体" w:cs="宋体"/>
                <w:highlight w:val="none"/>
              </w:rPr>
              <w:t>姓</w:t>
            </w:r>
            <w:r>
              <w:rPr>
                <w:rFonts w:hint="eastAsia" w:ascii="宋体" w:hAnsi="宋体" w:cs="宋体"/>
                <w:highlight w:val="none"/>
              </w:rPr>
              <w:tab/>
            </w:r>
            <w:r>
              <w:rPr>
                <w:rFonts w:hint="eastAsia" w:ascii="宋体" w:hAnsi="宋体" w:cs="宋体"/>
                <w:highlight w:val="none"/>
              </w:rPr>
              <w:t>名</w:t>
            </w:r>
          </w:p>
        </w:tc>
        <w:tc>
          <w:tcPr>
            <w:tcW w:w="1050" w:type="dxa"/>
            <w:gridSpan w:val="2"/>
            <w:tcBorders>
              <w:top w:val="single" w:color="000000" w:sz="4" w:space="0"/>
              <w:left w:val="nil"/>
              <w:bottom w:val="single" w:color="000000" w:sz="4" w:space="0"/>
              <w:right w:val="single" w:color="000000" w:sz="4" w:space="0"/>
            </w:tcBorders>
            <w:noWrap/>
          </w:tcPr>
          <w:p w14:paraId="72A52772">
            <w:pPr>
              <w:shd w:val="clear"/>
              <w:autoSpaceDE w:val="0"/>
              <w:autoSpaceDN w:val="0"/>
              <w:adjustRightInd w:val="0"/>
              <w:rPr>
                <w:rFonts w:hint="eastAsia" w:ascii="宋体" w:hAnsi="宋体" w:cs="宋体"/>
                <w:sz w:val="24"/>
                <w:highlight w:val="none"/>
              </w:rPr>
            </w:pPr>
          </w:p>
        </w:tc>
        <w:tc>
          <w:tcPr>
            <w:tcW w:w="957" w:type="dxa"/>
            <w:tcBorders>
              <w:top w:val="single" w:color="000000" w:sz="4" w:space="0"/>
              <w:left w:val="nil"/>
              <w:bottom w:val="single" w:color="000000" w:sz="4" w:space="0"/>
              <w:right w:val="single" w:color="000000" w:sz="4" w:space="0"/>
            </w:tcBorders>
            <w:noWrap/>
          </w:tcPr>
          <w:p w14:paraId="37EDE3BF">
            <w:pPr>
              <w:shd w:val="clear"/>
              <w:autoSpaceDE w:val="0"/>
              <w:autoSpaceDN w:val="0"/>
              <w:adjustRightInd w:val="0"/>
              <w:spacing w:before="9" w:line="260" w:lineRule="exact"/>
              <w:rPr>
                <w:rFonts w:hint="eastAsia" w:ascii="宋体" w:hAnsi="宋体" w:cs="宋体"/>
                <w:sz w:val="26"/>
                <w:szCs w:val="26"/>
                <w:highlight w:val="none"/>
              </w:rPr>
            </w:pPr>
          </w:p>
          <w:p w14:paraId="50367912">
            <w:pPr>
              <w:shd w:val="clear"/>
              <w:autoSpaceDE w:val="0"/>
              <w:autoSpaceDN w:val="0"/>
              <w:adjustRightInd w:val="0"/>
              <w:ind w:left="263" w:right="-20"/>
              <w:rPr>
                <w:rFonts w:hint="eastAsia" w:ascii="宋体" w:hAnsi="宋体" w:cs="宋体"/>
                <w:sz w:val="24"/>
                <w:highlight w:val="none"/>
              </w:rPr>
            </w:pPr>
            <w:r>
              <w:rPr>
                <w:rFonts w:hint="eastAsia" w:ascii="宋体" w:hAnsi="宋体" w:cs="宋体"/>
                <w:highlight w:val="none"/>
              </w:rPr>
              <w:t>年龄</w:t>
            </w:r>
          </w:p>
        </w:tc>
        <w:tc>
          <w:tcPr>
            <w:tcW w:w="1066" w:type="dxa"/>
            <w:tcBorders>
              <w:top w:val="single" w:color="000000" w:sz="4" w:space="0"/>
              <w:left w:val="nil"/>
              <w:bottom w:val="single" w:color="000000" w:sz="4" w:space="0"/>
              <w:right w:val="single" w:color="000000" w:sz="4" w:space="0"/>
            </w:tcBorders>
            <w:noWrap/>
          </w:tcPr>
          <w:p w14:paraId="4FCA6CD7">
            <w:pPr>
              <w:shd w:val="clear"/>
              <w:autoSpaceDE w:val="0"/>
              <w:autoSpaceDN w:val="0"/>
              <w:adjustRightInd w:val="0"/>
              <w:rPr>
                <w:rFonts w:hint="eastAsia" w:ascii="宋体" w:hAnsi="宋体" w:cs="宋体"/>
                <w:sz w:val="24"/>
                <w:highlight w:val="none"/>
              </w:rPr>
            </w:pPr>
          </w:p>
        </w:tc>
        <w:tc>
          <w:tcPr>
            <w:tcW w:w="2367" w:type="dxa"/>
            <w:gridSpan w:val="3"/>
            <w:tcBorders>
              <w:top w:val="single" w:color="000000" w:sz="4" w:space="0"/>
              <w:left w:val="nil"/>
              <w:bottom w:val="single" w:color="000000" w:sz="4" w:space="0"/>
              <w:right w:val="single" w:color="000000" w:sz="4" w:space="0"/>
            </w:tcBorders>
            <w:noWrap/>
          </w:tcPr>
          <w:p w14:paraId="2F9CA1DB">
            <w:pPr>
              <w:shd w:val="clear"/>
              <w:autoSpaceDE w:val="0"/>
              <w:autoSpaceDN w:val="0"/>
              <w:adjustRightInd w:val="0"/>
              <w:spacing w:before="2" w:line="440" w:lineRule="exact"/>
              <w:ind w:left="652" w:right="50" w:hanging="523"/>
              <w:rPr>
                <w:rFonts w:hint="eastAsia" w:ascii="宋体" w:hAnsi="宋体" w:cs="宋体"/>
                <w:sz w:val="24"/>
                <w:highlight w:val="none"/>
              </w:rPr>
            </w:pPr>
            <w:r>
              <w:rPr>
                <w:rFonts w:hint="eastAsia" w:ascii="宋体" w:hAnsi="宋体" w:cs="宋体"/>
                <w:highlight w:val="none"/>
              </w:rPr>
              <w:t>执业注册</w:t>
            </w:r>
            <w:r>
              <w:rPr>
                <w:rFonts w:hint="eastAsia" w:ascii="宋体" w:hAnsi="宋体" w:cs="宋体"/>
                <w:spacing w:val="-2"/>
                <w:highlight w:val="none"/>
              </w:rPr>
              <w:t>证</w:t>
            </w:r>
            <w:r>
              <w:rPr>
                <w:rFonts w:hint="eastAsia" w:ascii="宋体" w:hAnsi="宋体" w:cs="宋体"/>
                <w:highlight w:val="none"/>
              </w:rPr>
              <w:t>书</w:t>
            </w:r>
            <w:r>
              <w:rPr>
                <w:rFonts w:hint="eastAsia" w:ascii="宋体" w:hAnsi="宋体" w:cs="宋体"/>
                <w:spacing w:val="-2"/>
                <w:highlight w:val="none"/>
              </w:rPr>
              <w:t>（</w:t>
            </w:r>
            <w:r>
              <w:rPr>
                <w:rFonts w:hint="eastAsia" w:ascii="宋体" w:hAnsi="宋体" w:cs="宋体"/>
                <w:highlight w:val="none"/>
              </w:rPr>
              <w:t>或</w:t>
            </w:r>
            <w:r>
              <w:rPr>
                <w:rFonts w:hint="eastAsia" w:ascii="宋体" w:hAnsi="宋体" w:cs="宋体"/>
                <w:spacing w:val="-2"/>
                <w:highlight w:val="none"/>
              </w:rPr>
              <w:t>上</w:t>
            </w:r>
            <w:r>
              <w:rPr>
                <w:rFonts w:hint="eastAsia" w:ascii="宋体" w:hAnsi="宋体" w:cs="宋体"/>
                <w:highlight w:val="none"/>
              </w:rPr>
              <w:t>岗 证书</w:t>
            </w:r>
            <w:r>
              <w:rPr>
                <w:rFonts w:hint="eastAsia" w:ascii="宋体" w:hAnsi="宋体" w:cs="宋体"/>
                <w:spacing w:val="-2"/>
                <w:highlight w:val="none"/>
              </w:rPr>
              <w:t>）</w:t>
            </w:r>
            <w:r>
              <w:rPr>
                <w:rFonts w:hint="eastAsia" w:ascii="宋体" w:hAnsi="宋体" w:cs="宋体"/>
                <w:highlight w:val="none"/>
              </w:rPr>
              <w:t>名称</w:t>
            </w:r>
          </w:p>
        </w:tc>
        <w:tc>
          <w:tcPr>
            <w:tcW w:w="1896" w:type="dxa"/>
            <w:tcBorders>
              <w:top w:val="single" w:color="000000" w:sz="4" w:space="0"/>
              <w:left w:val="nil"/>
              <w:bottom w:val="single" w:color="000000" w:sz="4" w:space="0"/>
              <w:right w:val="single" w:color="000000" w:sz="4" w:space="0"/>
            </w:tcBorders>
            <w:noWrap/>
          </w:tcPr>
          <w:p w14:paraId="72BCF581">
            <w:pPr>
              <w:shd w:val="clear"/>
              <w:autoSpaceDE w:val="0"/>
              <w:autoSpaceDN w:val="0"/>
              <w:adjustRightInd w:val="0"/>
              <w:rPr>
                <w:rFonts w:hint="eastAsia" w:ascii="宋体" w:hAnsi="宋体" w:cs="宋体"/>
                <w:sz w:val="24"/>
                <w:highlight w:val="none"/>
              </w:rPr>
            </w:pPr>
          </w:p>
        </w:tc>
      </w:tr>
      <w:tr w14:paraId="04CB6007">
        <w:tblPrEx>
          <w:tblCellMar>
            <w:top w:w="0" w:type="dxa"/>
            <w:left w:w="0" w:type="dxa"/>
            <w:bottom w:w="0" w:type="dxa"/>
            <w:right w:w="0" w:type="dxa"/>
          </w:tblCellMar>
        </w:tblPrEx>
        <w:trPr>
          <w:trHeight w:val="698" w:hRule="atLeast"/>
        </w:trPr>
        <w:tc>
          <w:tcPr>
            <w:tcW w:w="1185" w:type="dxa"/>
            <w:tcBorders>
              <w:top w:val="single" w:color="000000" w:sz="4" w:space="0"/>
              <w:left w:val="single" w:color="000000" w:sz="4" w:space="0"/>
              <w:bottom w:val="single" w:color="000000" w:sz="4" w:space="0"/>
              <w:right w:val="single" w:color="000000" w:sz="4" w:space="0"/>
            </w:tcBorders>
            <w:noWrap/>
          </w:tcPr>
          <w:p w14:paraId="126C34CE">
            <w:pPr>
              <w:shd w:val="clear"/>
              <w:autoSpaceDE w:val="0"/>
              <w:autoSpaceDN w:val="0"/>
              <w:adjustRightInd w:val="0"/>
              <w:spacing w:before="3" w:line="170" w:lineRule="exact"/>
              <w:rPr>
                <w:rFonts w:hint="eastAsia" w:ascii="宋体" w:hAnsi="宋体" w:cs="宋体"/>
                <w:sz w:val="17"/>
                <w:szCs w:val="17"/>
                <w:highlight w:val="none"/>
              </w:rPr>
            </w:pPr>
          </w:p>
          <w:p w14:paraId="77D1346C">
            <w:pPr>
              <w:shd w:val="clear"/>
              <w:autoSpaceDE w:val="0"/>
              <w:autoSpaceDN w:val="0"/>
              <w:adjustRightInd w:val="0"/>
              <w:ind w:left="273" w:right="-20"/>
              <w:rPr>
                <w:rFonts w:hint="eastAsia" w:ascii="宋体" w:hAnsi="宋体" w:cs="宋体"/>
                <w:sz w:val="24"/>
                <w:highlight w:val="none"/>
              </w:rPr>
            </w:pPr>
            <w:r>
              <w:rPr>
                <w:rFonts w:hint="eastAsia" w:ascii="宋体" w:hAnsi="宋体" w:cs="宋体"/>
                <w:highlight w:val="none"/>
              </w:rPr>
              <w:t>职</w:t>
            </w:r>
            <w:r>
              <w:rPr>
                <w:rFonts w:hint="eastAsia" w:ascii="宋体" w:hAnsi="宋体" w:cs="宋体"/>
                <w:highlight w:val="none"/>
              </w:rPr>
              <w:tab/>
            </w:r>
            <w:r>
              <w:rPr>
                <w:rFonts w:hint="eastAsia" w:ascii="宋体" w:hAnsi="宋体" w:cs="宋体"/>
                <w:highlight w:val="none"/>
              </w:rPr>
              <w:t>称</w:t>
            </w:r>
          </w:p>
        </w:tc>
        <w:tc>
          <w:tcPr>
            <w:tcW w:w="1050" w:type="dxa"/>
            <w:gridSpan w:val="2"/>
            <w:tcBorders>
              <w:top w:val="single" w:color="000000" w:sz="4" w:space="0"/>
              <w:left w:val="nil"/>
              <w:bottom w:val="single" w:color="000000" w:sz="4" w:space="0"/>
              <w:right w:val="single" w:color="000000" w:sz="4" w:space="0"/>
            </w:tcBorders>
            <w:noWrap/>
          </w:tcPr>
          <w:p w14:paraId="51D879E1">
            <w:pPr>
              <w:shd w:val="clear"/>
              <w:autoSpaceDE w:val="0"/>
              <w:autoSpaceDN w:val="0"/>
              <w:adjustRightInd w:val="0"/>
              <w:rPr>
                <w:rFonts w:hint="eastAsia" w:ascii="宋体" w:hAnsi="宋体" w:cs="宋体"/>
                <w:sz w:val="24"/>
                <w:highlight w:val="none"/>
              </w:rPr>
            </w:pPr>
          </w:p>
        </w:tc>
        <w:tc>
          <w:tcPr>
            <w:tcW w:w="957" w:type="dxa"/>
            <w:tcBorders>
              <w:top w:val="single" w:color="000000" w:sz="4" w:space="0"/>
              <w:left w:val="nil"/>
              <w:bottom w:val="single" w:color="000000" w:sz="4" w:space="0"/>
              <w:right w:val="single" w:color="000000" w:sz="4" w:space="0"/>
            </w:tcBorders>
            <w:noWrap/>
          </w:tcPr>
          <w:p w14:paraId="7DFBF77D">
            <w:pPr>
              <w:shd w:val="clear"/>
              <w:autoSpaceDE w:val="0"/>
              <w:autoSpaceDN w:val="0"/>
              <w:adjustRightInd w:val="0"/>
              <w:spacing w:before="3" w:line="170" w:lineRule="exact"/>
              <w:rPr>
                <w:rFonts w:hint="eastAsia" w:ascii="宋体" w:hAnsi="宋体" w:cs="宋体"/>
                <w:sz w:val="17"/>
                <w:szCs w:val="17"/>
                <w:highlight w:val="none"/>
              </w:rPr>
            </w:pPr>
          </w:p>
          <w:p w14:paraId="63DF98E3">
            <w:pPr>
              <w:shd w:val="clear"/>
              <w:autoSpaceDE w:val="0"/>
              <w:autoSpaceDN w:val="0"/>
              <w:adjustRightInd w:val="0"/>
              <w:ind w:left="263" w:right="-20"/>
              <w:rPr>
                <w:rFonts w:hint="eastAsia" w:ascii="宋体" w:hAnsi="宋体" w:cs="宋体"/>
                <w:sz w:val="24"/>
                <w:highlight w:val="none"/>
              </w:rPr>
            </w:pPr>
            <w:r>
              <w:rPr>
                <w:rFonts w:hint="eastAsia" w:ascii="宋体" w:hAnsi="宋体" w:cs="宋体"/>
                <w:highlight w:val="none"/>
              </w:rPr>
              <w:t>学历</w:t>
            </w:r>
          </w:p>
        </w:tc>
        <w:tc>
          <w:tcPr>
            <w:tcW w:w="1066" w:type="dxa"/>
            <w:tcBorders>
              <w:top w:val="single" w:color="000000" w:sz="4" w:space="0"/>
              <w:left w:val="nil"/>
              <w:bottom w:val="single" w:color="000000" w:sz="4" w:space="0"/>
              <w:right w:val="single" w:color="000000" w:sz="4" w:space="0"/>
            </w:tcBorders>
            <w:noWrap/>
          </w:tcPr>
          <w:p w14:paraId="55E9ACBF">
            <w:pPr>
              <w:shd w:val="clear"/>
              <w:autoSpaceDE w:val="0"/>
              <w:autoSpaceDN w:val="0"/>
              <w:adjustRightInd w:val="0"/>
              <w:rPr>
                <w:rFonts w:hint="eastAsia" w:ascii="宋体" w:hAnsi="宋体" w:cs="宋体"/>
                <w:sz w:val="24"/>
                <w:highlight w:val="none"/>
              </w:rPr>
            </w:pPr>
          </w:p>
        </w:tc>
        <w:tc>
          <w:tcPr>
            <w:tcW w:w="2367" w:type="dxa"/>
            <w:gridSpan w:val="3"/>
            <w:tcBorders>
              <w:top w:val="single" w:color="000000" w:sz="4" w:space="0"/>
              <w:left w:val="nil"/>
              <w:bottom w:val="single" w:color="000000" w:sz="4" w:space="0"/>
              <w:right w:val="single" w:color="000000" w:sz="4" w:space="0"/>
            </w:tcBorders>
            <w:noWrap/>
          </w:tcPr>
          <w:p w14:paraId="676C0B53">
            <w:pPr>
              <w:shd w:val="clear"/>
              <w:autoSpaceDE w:val="0"/>
              <w:autoSpaceDN w:val="0"/>
              <w:adjustRightInd w:val="0"/>
              <w:spacing w:before="3" w:line="170" w:lineRule="exact"/>
              <w:rPr>
                <w:rFonts w:hint="eastAsia" w:ascii="宋体" w:hAnsi="宋体" w:cs="宋体"/>
                <w:sz w:val="17"/>
                <w:szCs w:val="17"/>
                <w:highlight w:val="none"/>
              </w:rPr>
            </w:pPr>
          </w:p>
          <w:p w14:paraId="2FF73BAE">
            <w:pPr>
              <w:shd w:val="clear"/>
              <w:autoSpaceDE w:val="0"/>
              <w:autoSpaceDN w:val="0"/>
              <w:adjustRightInd w:val="0"/>
              <w:ind w:left="443" w:right="-20"/>
              <w:rPr>
                <w:rFonts w:hint="eastAsia" w:ascii="宋体" w:hAnsi="宋体" w:cs="宋体"/>
                <w:sz w:val="24"/>
                <w:highlight w:val="none"/>
              </w:rPr>
            </w:pPr>
            <w:r>
              <w:rPr>
                <w:rFonts w:hint="eastAsia" w:ascii="宋体" w:hAnsi="宋体" w:cs="宋体"/>
                <w:highlight w:val="none"/>
              </w:rPr>
              <w:t>拟在</w:t>
            </w:r>
            <w:r>
              <w:rPr>
                <w:rFonts w:hint="eastAsia" w:ascii="宋体" w:hAnsi="宋体" w:cs="宋体"/>
                <w:spacing w:val="-2"/>
                <w:highlight w:val="none"/>
              </w:rPr>
              <w:t>本</w:t>
            </w:r>
            <w:r>
              <w:rPr>
                <w:rFonts w:hint="eastAsia" w:ascii="宋体" w:hAnsi="宋体" w:cs="宋体"/>
                <w:highlight w:val="none"/>
              </w:rPr>
              <w:t>项</w:t>
            </w:r>
            <w:r>
              <w:rPr>
                <w:rFonts w:hint="eastAsia" w:ascii="宋体" w:hAnsi="宋体" w:cs="宋体"/>
                <w:spacing w:val="-2"/>
                <w:highlight w:val="none"/>
              </w:rPr>
              <w:t>目</w:t>
            </w:r>
            <w:r>
              <w:rPr>
                <w:rFonts w:hint="eastAsia" w:ascii="宋体" w:hAnsi="宋体" w:cs="宋体"/>
                <w:highlight w:val="none"/>
              </w:rPr>
              <w:t>任职</w:t>
            </w:r>
          </w:p>
        </w:tc>
        <w:tc>
          <w:tcPr>
            <w:tcW w:w="1896" w:type="dxa"/>
            <w:tcBorders>
              <w:top w:val="single" w:color="000000" w:sz="4" w:space="0"/>
              <w:left w:val="nil"/>
              <w:bottom w:val="single" w:color="000000" w:sz="4" w:space="0"/>
              <w:right w:val="single" w:color="000000" w:sz="4" w:space="0"/>
            </w:tcBorders>
            <w:noWrap/>
          </w:tcPr>
          <w:p w14:paraId="435B58E9">
            <w:pPr>
              <w:shd w:val="clear"/>
              <w:autoSpaceDE w:val="0"/>
              <w:autoSpaceDN w:val="0"/>
              <w:adjustRightInd w:val="0"/>
              <w:rPr>
                <w:rFonts w:hint="eastAsia" w:ascii="宋体" w:hAnsi="宋体" w:cs="宋体"/>
                <w:sz w:val="24"/>
                <w:highlight w:val="none"/>
              </w:rPr>
            </w:pPr>
          </w:p>
        </w:tc>
      </w:tr>
      <w:tr w14:paraId="3AB21BFE">
        <w:tblPrEx>
          <w:tblCellMar>
            <w:top w:w="0" w:type="dxa"/>
            <w:left w:w="0" w:type="dxa"/>
            <w:bottom w:w="0" w:type="dxa"/>
            <w:right w:w="0" w:type="dxa"/>
          </w:tblCellMar>
        </w:tblPrEx>
        <w:trPr>
          <w:trHeight w:val="701" w:hRule="atLeast"/>
        </w:trPr>
        <w:tc>
          <w:tcPr>
            <w:tcW w:w="1185" w:type="dxa"/>
            <w:tcBorders>
              <w:top w:val="single" w:color="000000" w:sz="4" w:space="0"/>
              <w:left w:val="single" w:color="000000" w:sz="4" w:space="0"/>
              <w:bottom w:val="single" w:color="000000" w:sz="4" w:space="0"/>
              <w:right w:val="single" w:color="000000" w:sz="4" w:space="0"/>
            </w:tcBorders>
            <w:noWrap/>
          </w:tcPr>
          <w:p w14:paraId="305141EC">
            <w:pPr>
              <w:shd w:val="clear"/>
              <w:autoSpaceDE w:val="0"/>
              <w:autoSpaceDN w:val="0"/>
              <w:adjustRightInd w:val="0"/>
              <w:spacing w:before="6" w:line="170" w:lineRule="exact"/>
              <w:rPr>
                <w:rFonts w:hint="eastAsia" w:ascii="宋体" w:hAnsi="宋体" w:cs="宋体"/>
                <w:sz w:val="17"/>
                <w:szCs w:val="17"/>
                <w:highlight w:val="none"/>
              </w:rPr>
            </w:pPr>
          </w:p>
          <w:p w14:paraId="77258077">
            <w:pPr>
              <w:shd w:val="clear"/>
              <w:autoSpaceDE w:val="0"/>
              <w:autoSpaceDN w:val="0"/>
              <w:adjustRightInd w:val="0"/>
              <w:ind w:left="167" w:right="-20"/>
              <w:rPr>
                <w:rFonts w:hint="eastAsia" w:ascii="宋体" w:hAnsi="宋体" w:cs="宋体"/>
                <w:sz w:val="24"/>
                <w:highlight w:val="none"/>
              </w:rPr>
            </w:pPr>
            <w:r>
              <w:rPr>
                <w:rFonts w:hint="eastAsia" w:ascii="宋体" w:hAnsi="宋体" w:cs="宋体"/>
                <w:highlight w:val="none"/>
              </w:rPr>
              <w:t>工作</w:t>
            </w:r>
            <w:r>
              <w:rPr>
                <w:rFonts w:hint="eastAsia" w:ascii="宋体" w:hAnsi="宋体" w:cs="宋体"/>
                <w:spacing w:val="-2"/>
                <w:highlight w:val="none"/>
              </w:rPr>
              <w:t>年</w:t>
            </w:r>
            <w:r>
              <w:rPr>
                <w:rFonts w:hint="eastAsia" w:ascii="宋体" w:hAnsi="宋体" w:cs="宋体"/>
                <w:highlight w:val="none"/>
              </w:rPr>
              <w:t>限</w:t>
            </w:r>
          </w:p>
        </w:tc>
        <w:tc>
          <w:tcPr>
            <w:tcW w:w="3073" w:type="dxa"/>
            <w:gridSpan w:val="4"/>
            <w:tcBorders>
              <w:top w:val="single" w:color="000000" w:sz="4" w:space="0"/>
              <w:left w:val="nil"/>
              <w:bottom w:val="single" w:color="000000" w:sz="4" w:space="0"/>
              <w:right w:val="single" w:color="000000" w:sz="4" w:space="0"/>
            </w:tcBorders>
            <w:noWrap/>
          </w:tcPr>
          <w:p w14:paraId="0B9555D2">
            <w:pPr>
              <w:shd w:val="clear"/>
              <w:autoSpaceDE w:val="0"/>
              <w:autoSpaceDN w:val="0"/>
              <w:adjustRightInd w:val="0"/>
              <w:rPr>
                <w:rFonts w:hint="eastAsia" w:ascii="宋体" w:hAnsi="宋体" w:cs="宋体"/>
                <w:sz w:val="24"/>
                <w:highlight w:val="none"/>
              </w:rPr>
            </w:pPr>
          </w:p>
        </w:tc>
        <w:tc>
          <w:tcPr>
            <w:tcW w:w="2367" w:type="dxa"/>
            <w:gridSpan w:val="3"/>
            <w:tcBorders>
              <w:top w:val="single" w:color="000000" w:sz="4" w:space="0"/>
              <w:left w:val="nil"/>
              <w:bottom w:val="single" w:color="000000" w:sz="4" w:space="0"/>
              <w:right w:val="single" w:color="000000" w:sz="4" w:space="0"/>
            </w:tcBorders>
            <w:noWrap/>
          </w:tcPr>
          <w:p w14:paraId="6A8E8C1D">
            <w:pPr>
              <w:shd w:val="clear"/>
              <w:autoSpaceDE w:val="0"/>
              <w:autoSpaceDN w:val="0"/>
              <w:adjustRightInd w:val="0"/>
              <w:spacing w:before="6" w:line="170" w:lineRule="exact"/>
              <w:rPr>
                <w:rFonts w:hint="eastAsia" w:ascii="宋体" w:hAnsi="宋体" w:cs="宋体"/>
                <w:sz w:val="17"/>
                <w:szCs w:val="17"/>
                <w:highlight w:val="none"/>
              </w:rPr>
            </w:pPr>
          </w:p>
          <w:p w14:paraId="3C8D4077">
            <w:pPr>
              <w:shd w:val="clear"/>
              <w:autoSpaceDE w:val="0"/>
              <w:autoSpaceDN w:val="0"/>
              <w:adjustRightInd w:val="0"/>
              <w:ind w:right="-20"/>
              <w:rPr>
                <w:rFonts w:hint="eastAsia" w:ascii="宋体" w:hAnsi="宋体" w:cs="宋体"/>
                <w:sz w:val="24"/>
                <w:highlight w:val="none"/>
              </w:rPr>
            </w:pPr>
            <w:r>
              <w:rPr>
                <w:rFonts w:hint="eastAsia" w:ascii="宋体" w:hAnsi="宋体" w:cs="宋体"/>
                <w:highlight w:val="none"/>
              </w:rPr>
              <w:t>从事</w:t>
            </w:r>
            <w:r>
              <w:rPr>
                <w:rFonts w:hint="eastAsia" w:ascii="宋体" w:hAnsi="宋体" w:cs="宋体"/>
                <w:szCs w:val="21"/>
                <w:highlight w:val="none"/>
              </w:rPr>
              <w:t>勘察/</w:t>
            </w:r>
            <w:r>
              <w:rPr>
                <w:rFonts w:hint="eastAsia" w:ascii="宋体" w:hAnsi="宋体" w:cs="宋体"/>
                <w:spacing w:val="-2"/>
                <w:highlight w:val="none"/>
              </w:rPr>
              <w:t>设</w:t>
            </w:r>
            <w:r>
              <w:rPr>
                <w:rFonts w:hint="eastAsia" w:ascii="宋体" w:hAnsi="宋体" w:cs="宋体"/>
                <w:highlight w:val="none"/>
              </w:rPr>
              <w:t>计</w:t>
            </w:r>
            <w:r>
              <w:rPr>
                <w:rFonts w:hint="eastAsia" w:ascii="宋体" w:hAnsi="宋体" w:cs="宋体"/>
                <w:spacing w:val="-2"/>
                <w:highlight w:val="none"/>
              </w:rPr>
              <w:t>工</w:t>
            </w:r>
            <w:r>
              <w:rPr>
                <w:rFonts w:hint="eastAsia" w:ascii="宋体" w:hAnsi="宋体" w:cs="宋体"/>
                <w:highlight w:val="none"/>
              </w:rPr>
              <w:t>作</w:t>
            </w:r>
            <w:r>
              <w:rPr>
                <w:rFonts w:hint="eastAsia" w:ascii="宋体" w:hAnsi="宋体" w:cs="宋体"/>
                <w:spacing w:val="-2"/>
                <w:highlight w:val="none"/>
              </w:rPr>
              <w:t>年</w:t>
            </w:r>
            <w:r>
              <w:rPr>
                <w:rFonts w:hint="eastAsia" w:ascii="宋体" w:hAnsi="宋体" w:cs="宋体"/>
                <w:highlight w:val="none"/>
              </w:rPr>
              <w:t>限</w:t>
            </w:r>
          </w:p>
        </w:tc>
        <w:tc>
          <w:tcPr>
            <w:tcW w:w="1896" w:type="dxa"/>
            <w:tcBorders>
              <w:top w:val="single" w:color="000000" w:sz="4" w:space="0"/>
              <w:left w:val="nil"/>
              <w:bottom w:val="single" w:color="000000" w:sz="4" w:space="0"/>
              <w:right w:val="single" w:color="000000" w:sz="4" w:space="0"/>
            </w:tcBorders>
            <w:noWrap/>
          </w:tcPr>
          <w:p w14:paraId="4C7CA0C1">
            <w:pPr>
              <w:shd w:val="clear"/>
              <w:autoSpaceDE w:val="0"/>
              <w:autoSpaceDN w:val="0"/>
              <w:adjustRightInd w:val="0"/>
              <w:rPr>
                <w:rFonts w:hint="eastAsia" w:ascii="宋体" w:hAnsi="宋体" w:cs="宋体"/>
                <w:sz w:val="24"/>
                <w:highlight w:val="none"/>
              </w:rPr>
            </w:pPr>
          </w:p>
        </w:tc>
      </w:tr>
      <w:tr w14:paraId="20AF91A8">
        <w:tblPrEx>
          <w:tblCellMar>
            <w:top w:w="0" w:type="dxa"/>
            <w:left w:w="0" w:type="dxa"/>
            <w:bottom w:w="0" w:type="dxa"/>
            <w:right w:w="0" w:type="dxa"/>
          </w:tblCellMar>
        </w:tblPrEx>
        <w:trPr>
          <w:trHeight w:val="710" w:hRule="atLeast"/>
        </w:trPr>
        <w:tc>
          <w:tcPr>
            <w:tcW w:w="1185" w:type="dxa"/>
            <w:tcBorders>
              <w:top w:val="single" w:color="000000" w:sz="4" w:space="0"/>
              <w:left w:val="single" w:color="000000" w:sz="4" w:space="0"/>
              <w:bottom w:val="single" w:color="000000" w:sz="4" w:space="0"/>
              <w:right w:val="single" w:color="000000" w:sz="4" w:space="0"/>
            </w:tcBorders>
            <w:noWrap/>
          </w:tcPr>
          <w:p w14:paraId="7CB26F74">
            <w:pPr>
              <w:shd w:val="clear"/>
              <w:autoSpaceDE w:val="0"/>
              <w:autoSpaceDN w:val="0"/>
              <w:adjustRightInd w:val="0"/>
              <w:spacing w:before="8" w:line="170" w:lineRule="exact"/>
              <w:rPr>
                <w:rFonts w:hint="eastAsia" w:ascii="宋体" w:hAnsi="宋体" w:cs="宋体"/>
                <w:sz w:val="17"/>
                <w:szCs w:val="17"/>
                <w:highlight w:val="none"/>
              </w:rPr>
            </w:pPr>
          </w:p>
          <w:p w14:paraId="4ACEBC89">
            <w:pPr>
              <w:shd w:val="clear"/>
              <w:autoSpaceDE w:val="0"/>
              <w:autoSpaceDN w:val="0"/>
              <w:adjustRightInd w:val="0"/>
              <w:ind w:left="167" w:right="-20"/>
              <w:rPr>
                <w:rFonts w:hint="eastAsia" w:ascii="宋体" w:hAnsi="宋体" w:cs="宋体"/>
                <w:sz w:val="24"/>
                <w:highlight w:val="none"/>
              </w:rPr>
            </w:pPr>
            <w:r>
              <w:rPr>
                <w:rFonts w:hint="eastAsia" w:ascii="宋体" w:hAnsi="宋体" w:cs="宋体"/>
                <w:highlight w:val="none"/>
              </w:rPr>
              <w:t>毕业</w:t>
            </w:r>
            <w:r>
              <w:rPr>
                <w:rFonts w:hint="eastAsia" w:ascii="宋体" w:hAnsi="宋体" w:cs="宋体"/>
                <w:spacing w:val="-2"/>
                <w:highlight w:val="none"/>
              </w:rPr>
              <w:t>学</w:t>
            </w:r>
            <w:r>
              <w:rPr>
                <w:rFonts w:hint="eastAsia" w:ascii="宋体" w:hAnsi="宋体" w:cs="宋体"/>
                <w:highlight w:val="none"/>
              </w:rPr>
              <w:t>校</w:t>
            </w:r>
          </w:p>
        </w:tc>
        <w:tc>
          <w:tcPr>
            <w:tcW w:w="7336" w:type="dxa"/>
            <w:gridSpan w:val="8"/>
            <w:tcBorders>
              <w:top w:val="single" w:color="000000" w:sz="4" w:space="0"/>
              <w:left w:val="nil"/>
              <w:bottom w:val="single" w:color="000000" w:sz="4" w:space="0"/>
              <w:right w:val="single" w:color="000000" w:sz="4" w:space="0"/>
            </w:tcBorders>
            <w:noWrap/>
          </w:tcPr>
          <w:p w14:paraId="40AC5C56">
            <w:pPr>
              <w:shd w:val="clear"/>
              <w:autoSpaceDE w:val="0"/>
              <w:autoSpaceDN w:val="0"/>
              <w:adjustRightInd w:val="0"/>
              <w:spacing w:before="8" w:line="170" w:lineRule="exact"/>
              <w:rPr>
                <w:rFonts w:hint="eastAsia" w:ascii="宋体" w:hAnsi="宋体" w:cs="宋体"/>
                <w:sz w:val="17"/>
                <w:szCs w:val="17"/>
                <w:highlight w:val="none"/>
              </w:rPr>
            </w:pPr>
          </w:p>
          <w:p w14:paraId="352827B1">
            <w:pPr>
              <w:shd w:val="clear"/>
              <w:autoSpaceDE w:val="0"/>
              <w:autoSpaceDN w:val="0"/>
              <w:adjustRightInd w:val="0"/>
              <w:ind w:left="1257" w:right="-20"/>
              <w:rPr>
                <w:rFonts w:hint="eastAsia" w:ascii="宋体" w:hAnsi="宋体" w:cs="宋体"/>
                <w:sz w:val="24"/>
                <w:highlight w:val="none"/>
              </w:rPr>
            </w:pPr>
            <w:r>
              <w:rPr>
                <w:rFonts w:hint="eastAsia" w:ascii="宋体" w:hAnsi="宋体" w:cs="宋体"/>
                <w:highlight w:val="none"/>
              </w:rPr>
              <w:t>年毕</w:t>
            </w:r>
            <w:r>
              <w:rPr>
                <w:rFonts w:hint="eastAsia" w:ascii="宋体" w:hAnsi="宋体" w:cs="宋体"/>
                <w:spacing w:val="-2"/>
                <w:highlight w:val="none"/>
              </w:rPr>
              <w:t>业</w:t>
            </w:r>
            <w:r>
              <w:rPr>
                <w:rFonts w:hint="eastAsia" w:ascii="宋体" w:hAnsi="宋体" w:cs="宋体"/>
                <w:highlight w:val="none"/>
              </w:rPr>
              <w:t>于</w:t>
            </w:r>
            <w:r>
              <w:rPr>
                <w:rFonts w:hint="eastAsia" w:ascii="宋体" w:hAnsi="宋体" w:cs="宋体"/>
                <w:highlight w:val="none"/>
              </w:rPr>
              <w:tab/>
            </w:r>
            <w:r>
              <w:rPr>
                <w:rFonts w:hint="eastAsia" w:ascii="宋体" w:hAnsi="宋体" w:cs="宋体"/>
                <w:highlight w:val="none"/>
              </w:rPr>
              <w:t xml:space="preserve">   </w:t>
            </w:r>
            <w:r>
              <w:rPr>
                <w:rFonts w:hint="eastAsia" w:ascii="宋体" w:hAnsi="宋体" w:cs="宋体"/>
                <w:spacing w:val="-2"/>
                <w:highlight w:val="none"/>
              </w:rPr>
              <w:t>学</w:t>
            </w:r>
            <w:r>
              <w:rPr>
                <w:rFonts w:hint="eastAsia" w:ascii="宋体" w:hAnsi="宋体" w:cs="宋体"/>
                <w:highlight w:val="none"/>
              </w:rPr>
              <w:t xml:space="preserve">校 </w:t>
            </w:r>
            <w:r>
              <w:rPr>
                <w:rFonts w:hint="eastAsia" w:ascii="宋体" w:hAnsi="宋体" w:cs="宋体"/>
                <w:highlight w:val="none"/>
              </w:rPr>
              <w:tab/>
            </w:r>
            <w:r>
              <w:rPr>
                <w:rFonts w:hint="eastAsia" w:ascii="宋体" w:hAnsi="宋体" w:cs="宋体"/>
                <w:highlight w:val="none"/>
              </w:rPr>
              <w:t>专业</w:t>
            </w:r>
          </w:p>
        </w:tc>
      </w:tr>
      <w:tr w14:paraId="277850E4">
        <w:tblPrEx>
          <w:tblCellMar>
            <w:top w:w="0" w:type="dxa"/>
            <w:left w:w="0" w:type="dxa"/>
            <w:bottom w:w="0" w:type="dxa"/>
            <w:right w:w="0" w:type="dxa"/>
          </w:tblCellMar>
        </w:tblPrEx>
        <w:trPr>
          <w:trHeight w:val="694" w:hRule="atLeast"/>
        </w:trPr>
        <w:tc>
          <w:tcPr>
            <w:tcW w:w="8521" w:type="dxa"/>
            <w:gridSpan w:val="9"/>
            <w:tcBorders>
              <w:top w:val="single" w:color="000000" w:sz="4" w:space="0"/>
              <w:left w:val="single" w:color="000000" w:sz="4" w:space="0"/>
              <w:bottom w:val="single" w:color="000000" w:sz="4" w:space="0"/>
              <w:right w:val="single" w:color="000000" w:sz="4" w:space="0"/>
            </w:tcBorders>
            <w:noWrap/>
          </w:tcPr>
          <w:p w14:paraId="009BCFFC">
            <w:pPr>
              <w:shd w:val="clear"/>
              <w:autoSpaceDE w:val="0"/>
              <w:autoSpaceDN w:val="0"/>
              <w:adjustRightInd w:val="0"/>
              <w:spacing w:before="1" w:line="170" w:lineRule="exact"/>
              <w:rPr>
                <w:rFonts w:hint="eastAsia" w:ascii="宋体" w:hAnsi="宋体" w:cs="宋体"/>
                <w:sz w:val="17"/>
                <w:szCs w:val="17"/>
                <w:highlight w:val="none"/>
              </w:rPr>
            </w:pPr>
          </w:p>
          <w:p w14:paraId="65122F56">
            <w:pPr>
              <w:shd w:val="clear"/>
              <w:autoSpaceDE w:val="0"/>
              <w:autoSpaceDN w:val="0"/>
              <w:adjustRightInd w:val="0"/>
              <w:ind w:left="102" w:right="-20"/>
              <w:rPr>
                <w:rFonts w:hint="eastAsia" w:ascii="宋体" w:hAnsi="宋体" w:cs="宋体"/>
                <w:sz w:val="24"/>
                <w:highlight w:val="none"/>
              </w:rPr>
            </w:pPr>
            <w:r>
              <w:rPr>
                <w:rFonts w:hint="eastAsia" w:ascii="宋体" w:hAnsi="宋体" w:cs="宋体"/>
                <w:highlight w:val="none"/>
              </w:rPr>
              <w:t>主要</w:t>
            </w:r>
            <w:r>
              <w:rPr>
                <w:rFonts w:hint="eastAsia" w:ascii="宋体" w:hAnsi="宋体" w:cs="宋体"/>
                <w:spacing w:val="-2"/>
                <w:highlight w:val="none"/>
              </w:rPr>
              <w:t>工</w:t>
            </w:r>
            <w:r>
              <w:rPr>
                <w:rFonts w:hint="eastAsia" w:ascii="宋体" w:hAnsi="宋体" w:cs="宋体"/>
                <w:highlight w:val="none"/>
              </w:rPr>
              <w:t>作</w:t>
            </w:r>
            <w:r>
              <w:rPr>
                <w:rFonts w:hint="eastAsia" w:ascii="宋体" w:hAnsi="宋体" w:cs="宋体"/>
                <w:spacing w:val="-2"/>
                <w:highlight w:val="none"/>
              </w:rPr>
              <w:t>经</w:t>
            </w:r>
            <w:r>
              <w:rPr>
                <w:rFonts w:hint="eastAsia" w:ascii="宋体" w:hAnsi="宋体" w:cs="宋体"/>
                <w:highlight w:val="none"/>
              </w:rPr>
              <w:t>历</w:t>
            </w:r>
          </w:p>
        </w:tc>
      </w:tr>
      <w:tr w14:paraId="3F9CC8E1">
        <w:tblPrEx>
          <w:tblCellMar>
            <w:top w:w="0" w:type="dxa"/>
            <w:left w:w="0" w:type="dxa"/>
            <w:bottom w:w="0" w:type="dxa"/>
            <w:right w:w="0" w:type="dxa"/>
          </w:tblCellMar>
        </w:tblPrEx>
        <w:trPr>
          <w:trHeight w:val="718"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4EA8004E">
            <w:pPr>
              <w:shd w:val="clear"/>
              <w:autoSpaceDE w:val="0"/>
              <w:autoSpaceDN w:val="0"/>
              <w:adjustRightInd w:val="0"/>
              <w:spacing w:before="3" w:line="180" w:lineRule="exact"/>
              <w:rPr>
                <w:rFonts w:hint="eastAsia" w:ascii="宋体" w:hAnsi="宋体" w:cs="宋体"/>
                <w:sz w:val="18"/>
                <w:szCs w:val="18"/>
                <w:highlight w:val="none"/>
              </w:rPr>
            </w:pPr>
          </w:p>
          <w:p w14:paraId="63F48F12">
            <w:pPr>
              <w:shd w:val="clear"/>
              <w:autoSpaceDE w:val="0"/>
              <w:autoSpaceDN w:val="0"/>
              <w:adjustRightInd w:val="0"/>
              <w:ind w:left="450" w:right="-20"/>
              <w:rPr>
                <w:rFonts w:hint="eastAsia" w:ascii="宋体" w:hAnsi="宋体" w:cs="宋体"/>
                <w:sz w:val="24"/>
                <w:highlight w:val="none"/>
              </w:rPr>
            </w:pPr>
            <w:r>
              <w:rPr>
                <w:rFonts w:hint="eastAsia" w:ascii="宋体" w:hAnsi="宋体" w:cs="宋体"/>
                <w:highlight w:val="none"/>
              </w:rPr>
              <w:t>时</w:t>
            </w:r>
            <w:r>
              <w:rPr>
                <w:rFonts w:hint="eastAsia" w:ascii="宋体" w:hAnsi="宋体" w:cs="宋体"/>
                <w:highlight w:val="none"/>
              </w:rPr>
              <w:tab/>
            </w:r>
            <w:r>
              <w:rPr>
                <w:rFonts w:hint="eastAsia" w:ascii="宋体" w:hAnsi="宋体" w:cs="宋体"/>
                <w:highlight w:val="none"/>
              </w:rPr>
              <w:t>间</w:t>
            </w:r>
          </w:p>
        </w:tc>
        <w:tc>
          <w:tcPr>
            <w:tcW w:w="3421" w:type="dxa"/>
            <w:gridSpan w:val="4"/>
            <w:tcBorders>
              <w:top w:val="single" w:color="000000" w:sz="4" w:space="0"/>
              <w:left w:val="nil"/>
              <w:bottom w:val="single" w:color="000000" w:sz="4" w:space="0"/>
              <w:right w:val="single" w:color="000000" w:sz="4" w:space="0"/>
            </w:tcBorders>
            <w:noWrap/>
          </w:tcPr>
          <w:p w14:paraId="2F1C2432">
            <w:pPr>
              <w:shd w:val="clear"/>
              <w:autoSpaceDE w:val="0"/>
              <w:autoSpaceDN w:val="0"/>
              <w:adjustRightInd w:val="0"/>
              <w:spacing w:before="3" w:line="180" w:lineRule="exact"/>
              <w:rPr>
                <w:rFonts w:hint="eastAsia" w:ascii="宋体" w:hAnsi="宋体" w:cs="宋体"/>
                <w:sz w:val="18"/>
                <w:szCs w:val="18"/>
                <w:highlight w:val="none"/>
              </w:rPr>
            </w:pPr>
          </w:p>
          <w:p w14:paraId="7864A8D2">
            <w:pPr>
              <w:shd w:val="clear"/>
              <w:autoSpaceDE w:val="0"/>
              <w:autoSpaceDN w:val="0"/>
              <w:adjustRightInd w:val="0"/>
              <w:ind w:left="864" w:right="-20"/>
              <w:rPr>
                <w:rFonts w:hint="eastAsia" w:ascii="宋体" w:hAnsi="宋体" w:cs="宋体"/>
                <w:sz w:val="24"/>
                <w:highlight w:val="none"/>
              </w:rPr>
            </w:pPr>
            <w:r>
              <w:rPr>
                <w:rFonts w:hint="eastAsia" w:ascii="宋体" w:hAnsi="宋体" w:cs="宋体"/>
                <w:highlight w:val="none"/>
              </w:rPr>
              <w:t>参加</w:t>
            </w:r>
            <w:r>
              <w:rPr>
                <w:rFonts w:hint="eastAsia" w:ascii="宋体" w:hAnsi="宋体" w:cs="宋体"/>
                <w:spacing w:val="-2"/>
                <w:highlight w:val="none"/>
              </w:rPr>
              <w:t>过</w:t>
            </w:r>
            <w:r>
              <w:rPr>
                <w:rFonts w:hint="eastAsia" w:ascii="宋体" w:hAnsi="宋体" w:cs="宋体"/>
                <w:highlight w:val="none"/>
              </w:rPr>
              <w:t>的</w:t>
            </w:r>
            <w:r>
              <w:rPr>
                <w:rFonts w:hint="eastAsia" w:ascii="宋体" w:hAnsi="宋体" w:cs="宋体"/>
                <w:spacing w:val="-2"/>
                <w:highlight w:val="none"/>
              </w:rPr>
              <w:t>类</w:t>
            </w:r>
            <w:r>
              <w:rPr>
                <w:rFonts w:hint="eastAsia" w:ascii="宋体" w:hAnsi="宋体" w:cs="宋体"/>
                <w:highlight w:val="none"/>
              </w:rPr>
              <w:t>似</w:t>
            </w:r>
            <w:r>
              <w:rPr>
                <w:rFonts w:hint="eastAsia" w:ascii="宋体" w:hAnsi="宋体" w:cs="宋体"/>
                <w:spacing w:val="-2"/>
                <w:highlight w:val="none"/>
              </w:rPr>
              <w:t>项</w:t>
            </w:r>
            <w:r>
              <w:rPr>
                <w:rFonts w:hint="eastAsia" w:ascii="宋体" w:hAnsi="宋体" w:cs="宋体"/>
                <w:highlight w:val="none"/>
              </w:rPr>
              <w:t>目</w:t>
            </w:r>
          </w:p>
        </w:tc>
        <w:tc>
          <w:tcPr>
            <w:tcW w:w="1260" w:type="dxa"/>
            <w:tcBorders>
              <w:top w:val="single" w:color="000000" w:sz="4" w:space="0"/>
              <w:left w:val="nil"/>
              <w:bottom w:val="single" w:color="000000" w:sz="4" w:space="0"/>
              <w:right w:val="single" w:color="000000" w:sz="4" w:space="0"/>
            </w:tcBorders>
            <w:noWrap/>
          </w:tcPr>
          <w:p w14:paraId="25037BD1">
            <w:pPr>
              <w:shd w:val="clear"/>
              <w:autoSpaceDE w:val="0"/>
              <w:autoSpaceDN w:val="0"/>
              <w:adjustRightInd w:val="0"/>
              <w:spacing w:before="3" w:line="180" w:lineRule="exact"/>
              <w:rPr>
                <w:rFonts w:hint="eastAsia" w:ascii="宋体" w:hAnsi="宋体" w:cs="宋体"/>
                <w:sz w:val="18"/>
                <w:szCs w:val="18"/>
                <w:highlight w:val="none"/>
              </w:rPr>
            </w:pPr>
          </w:p>
          <w:p w14:paraId="20E7FF99">
            <w:pPr>
              <w:shd w:val="clear"/>
              <w:autoSpaceDE w:val="0"/>
              <w:autoSpaceDN w:val="0"/>
              <w:adjustRightInd w:val="0"/>
              <w:ind w:left="203" w:right="-20"/>
              <w:rPr>
                <w:rFonts w:hint="eastAsia" w:ascii="宋体" w:hAnsi="宋体" w:cs="宋体"/>
                <w:sz w:val="24"/>
                <w:highlight w:val="none"/>
              </w:rPr>
            </w:pPr>
            <w:r>
              <w:rPr>
                <w:rFonts w:hint="eastAsia" w:ascii="宋体" w:hAnsi="宋体" w:cs="宋体"/>
                <w:highlight w:val="none"/>
              </w:rPr>
              <w:t>担任</w:t>
            </w:r>
            <w:r>
              <w:rPr>
                <w:rFonts w:hint="eastAsia" w:ascii="宋体" w:hAnsi="宋体" w:cs="宋体"/>
                <w:spacing w:val="-2"/>
                <w:highlight w:val="none"/>
              </w:rPr>
              <w:t>职</w:t>
            </w:r>
            <w:r>
              <w:rPr>
                <w:rFonts w:hint="eastAsia" w:ascii="宋体" w:hAnsi="宋体" w:cs="宋体"/>
                <w:highlight w:val="none"/>
              </w:rPr>
              <w:t>务</w:t>
            </w:r>
          </w:p>
        </w:tc>
        <w:tc>
          <w:tcPr>
            <w:tcW w:w="2297" w:type="dxa"/>
            <w:gridSpan w:val="2"/>
            <w:tcBorders>
              <w:top w:val="single" w:color="000000" w:sz="4" w:space="0"/>
              <w:left w:val="nil"/>
              <w:bottom w:val="single" w:color="000000" w:sz="4" w:space="0"/>
              <w:right w:val="single" w:color="000000" w:sz="4" w:space="0"/>
            </w:tcBorders>
            <w:noWrap/>
          </w:tcPr>
          <w:p w14:paraId="2D902964">
            <w:pPr>
              <w:shd w:val="clear"/>
              <w:autoSpaceDE w:val="0"/>
              <w:autoSpaceDN w:val="0"/>
              <w:adjustRightInd w:val="0"/>
              <w:spacing w:before="3" w:line="180" w:lineRule="exact"/>
              <w:rPr>
                <w:rFonts w:hint="eastAsia" w:ascii="宋体" w:hAnsi="宋体" w:cs="宋体"/>
                <w:sz w:val="18"/>
                <w:szCs w:val="18"/>
                <w:highlight w:val="none"/>
              </w:rPr>
            </w:pPr>
          </w:p>
          <w:p w14:paraId="77A3C935">
            <w:pPr>
              <w:shd w:val="clear"/>
              <w:autoSpaceDE w:val="0"/>
              <w:autoSpaceDN w:val="0"/>
              <w:adjustRightInd w:val="0"/>
              <w:ind w:left="301" w:right="-20"/>
              <w:rPr>
                <w:rFonts w:hint="eastAsia" w:ascii="宋体" w:hAnsi="宋体" w:cs="宋体"/>
                <w:sz w:val="24"/>
                <w:highlight w:val="none"/>
              </w:rPr>
            </w:pPr>
            <w:r>
              <w:rPr>
                <w:rFonts w:hint="eastAsia" w:ascii="宋体" w:hAnsi="宋体" w:cs="宋体"/>
                <w:highlight w:val="none"/>
              </w:rPr>
              <w:t>发包</w:t>
            </w:r>
            <w:r>
              <w:rPr>
                <w:rFonts w:hint="eastAsia" w:ascii="宋体" w:hAnsi="宋体" w:cs="宋体"/>
                <w:spacing w:val="-2"/>
                <w:highlight w:val="none"/>
              </w:rPr>
              <w:t>人</w:t>
            </w:r>
            <w:r>
              <w:rPr>
                <w:rFonts w:hint="eastAsia" w:ascii="宋体" w:hAnsi="宋体" w:cs="宋体"/>
                <w:highlight w:val="none"/>
              </w:rPr>
              <w:t>及</w:t>
            </w:r>
            <w:r>
              <w:rPr>
                <w:rFonts w:hint="eastAsia" w:ascii="宋体" w:hAnsi="宋体" w:cs="宋体"/>
                <w:spacing w:val="-2"/>
                <w:highlight w:val="none"/>
              </w:rPr>
              <w:t>联</w:t>
            </w:r>
            <w:r>
              <w:rPr>
                <w:rFonts w:hint="eastAsia" w:ascii="宋体" w:hAnsi="宋体" w:cs="宋体"/>
                <w:highlight w:val="none"/>
              </w:rPr>
              <w:t>系</w:t>
            </w:r>
            <w:r>
              <w:rPr>
                <w:rFonts w:hint="eastAsia" w:ascii="宋体" w:hAnsi="宋体" w:cs="宋体"/>
                <w:spacing w:val="-2"/>
                <w:highlight w:val="none"/>
              </w:rPr>
              <w:t>电</w:t>
            </w:r>
            <w:r>
              <w:rPr>
                <w:rFonts w:hint="eastAsia" w:ascii="宋体" w:hAnsi="宋体" w:cs="宋体"/>
                <w:highlight w:val="none"/>
              </w:rPr>
              <w:t>话</w:t>
            </w:r>
          </w:p>
        </w:tc>
      </w:tr>
      <w:tr w14:paraId="5CAA4CE9">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2811653D">
            <w:pPr>
              <w:shd w:val="clear"/>
              <w:autoSpaceDE w:val="0"/>
              <w:autoSpaceDN w:val="0"/>
              <w:adjustRightInd w:val="0"/>
              <w:rPr>
                <w:rFonts w:hint="eastAsia" w:ascii="宋体" w:hAnsi="宋体" w:cs="宋体"/>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06E057D0">
            <w:pPr>
              <w:shd w:val="clear"/>
              <w:autoSpaceDE w:val="0"/>
              <w:autoSpaceDN w:val="0"/>
              <w:adjustRightInd w:val="0"/>
              <w:rPr>
                <w:rFonts w:hint="eastAsia" w:ascii="宋体" w:hAnsi="宋体" w:cs="宋体"/>
                <w:sz w:val="24"/>
                <w:highlight w:val="none"/>
              </w:rPr>
            </w:pPr>
          </w:p>
        </w:tc>
        <w:tc>
          <w:tcPr>
            <w:tcW w:w="1260" w:type="dxa"/>
            <w:tcBorders>
              <w:top w:val="single" w:color="000000" w:sz="4" w:space="0"/>
              <w:left w:val="nil"/>
              <w:bottom w:val="single" w:color="000000" w:sz="4" w:space="0"/>
              <w:right w:val="single" w:color="000000" w:sz="4" w:space="0"/>
            </w:tcBorders>
            <w:noWrap/>
          </w:tcPr>
          <w:p w14:paraId="2D7F48C3">
            <w:pPr>
              <w:shd w:val="clear"/>
              <w:autoSpaceDE w:val="0"/>
              <w:autoSpaceDN w:val="0"/>
              <w:adjustRightInd w:val="0"/>
              <w:rPr>
                <w:rFonts w:hint="eastAsia" w:ascii="宋体" w:hAnsi="宋体" w:cs="宋体"/>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2CF8548F">
            <w:pPr>
              <w:shd w:val="clear"/>
              <w:autoSpaceDE w:val="0"/>
              <w:autoSpaceDN w:val="0"/>
              <w:adjustRightInd w:val="0"/>
              <w:rPr>
                <w:rFonts w:hint="eastAsia" w:ascii="宋体" w:hAnsi="宋体" w:cs="宋体"/>
                <w:sz w:val="24"/>
                <w:highlight w:val="none"/>
              </w:rPr>
            </w:pPr>
          </w:p>
        </w:tc>
      </w:tr>
      <w:tr w14:paraId="296E7440">
        <w:tblPrEx>
          <w:tblCellMar>
            <w:top w:w="0" w:type="dxa"/>
            <w:left w:w="0" w:type="dxa"/>
            <w:bottom w:w="0" w:type="dxa"/>
            <w:right w:w="0" w:type="dxa"/>
          </w:tblCellMar>
        </w:tblPrEx>
        <w:trPr>
          <w:trHeight w:val="698"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01532CFF">
            <w:pPr>
              <w:shd w:val="clear"/>
              <w:autoSpaceDE w:val="0"/>
              <w:autoSpaceDN w:val="0"/>
              <w:adjustRightInd w:val="0"/>
              <w:rPr>
                <w:rFonts w:hint="eastAsia" w:ascii="宋体" w:hAnsi="宋体" w:cs="宋体"/>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1D61B9BD">
            <w:pPr>
              <w:shd w:val="clear"/>
              <w:autoSpaceDE w:val="0"/>
              <w:autoSpaceDN w:val="0"/>
              <w:adjustRightInd w:val="0"/>
              <w:rPr>
                <w:rFonts w:hint="eastAsia" w:ascii="宋体" w:hAnsi="宋体" w:cs="宋体"/>
                <w:sz w:val="24"/>
                <w:highlight w:val="none"/>
              </w:rPr>
            </w:pPr>
          </w:p>
        </w:tc>
        <w:tc>
          <w:tcPr>
            <w:tcW w:w="1260" w:type="dxa"/>
            <w:tcBorders>
              <w:top w:val="single" w:color="000000" w:sz="4" w:space="0"/>
              <w:left w:val="nil"/>
              <w:bottom w:val="single" w:color="000000" w:sz="4" w:space="0"/>
              <w:right w:val="single" w:color="000000" w:sz="4" w:space="0"/>
            </w:tcBorders>
            <w:noWrap/>
          </w:tcPr>
          <w:p w14:paraId="5C837E77">
            <w:pPr>
              <w:shd w:val="clear"/>
              <w:autoSpaceDE w:val="0"/>
              <w:autoSpaceDN w:val="0"/>
              <w:adjustRightInd w:val="0"/>
              <w:rPr>
                <w:rFonts w:hint="eastAsia" w:ascii="宋体" w:hAnsi="宋体" w:cs="宋体"/>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6C07CF72">
            <w:pPr>
              <w:shd w:val="clear"/>
              <w:autoSpaceDE w:val="0"/>
              <w:autoSpaceDN w:val="0"/>
              <w:adjustRightInd w:val="0"/>
              <w:rPr>
                <w:rFonts w:hint="eastAsia" w:ascii="宋体" w:hAnsi="宋体" w:cs="宋体"/>
                <w:sz w:val="24"/>
                <w:highlight w:val="none"/>
              </w:rPr>
            </w:pPr>
          </w:p>
        </w:tc>
      </w:tr>
      <w:tr w14:paraId="4DAD2327">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5FAFD8EE">
            <w:pPr>
              <w:shd w:val="clear"/>
              <w:autoSpaceDE w:val="0"/>
              <w:autoSpaceDN w:val="0"/>
              <w:adjustRightInd w:val="0"/>
              <w:rPr>
                <w:rFonts w:hint="eastAsia" w:ascii="宋体" w:hAnsi="宋体" w:cs="宋体"/>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426D0204">
            <w:pPr>
              <w:shd w:val="clear"/>
              <w:autoSpaceDE w:val="0"/>
              <w:autoSpaceDN w:val="0"/>
              <w:adjustRightInd w:val="0"/>
              <w:rPr>
                <w:rFonts w:hint="eastAsia" w:ascii="宋体" w:hAnsi="宋体" w:cs="宋体"/>
                <w:sz w:val="24"/>
                <w:highlight w:val="none"/>
              </w:rPr>
            </w:pPr>
          </w:p>
        </w:tc>
        <w:tc>
          <w:tcPr>
            <w:tcW w:w="1260" w:type="dxa"/>
            <w:tcBorders>
              <w:top w:val="single" w:color="000000" w:sz="4" w:space="0"/>
              <w:left w:val="nil"/>
              <w:bottom w:val="single" w:color="000000" w:sz="4" w:space="0"/>
              <w:right w:val="single" w:color="000000" w:sz="4" w:space="0"/>
            </w:tcBorders>
            <w:noWrap/>
          </w:tcPr>
          <w:p w14:paraId="12F19EC9">
            <w:pPr>
              <w:shd w:val="clear"/>
              <w:autoSpaceDE w:val="0"/>
              <w:autoSpaceDN w:val="0"/>
              <w:adjustRightInd w:val="0"/>
              <w:rPr>
                <w:rFonts w:hint="eastAsia" w:ascii="宋体" w:hAnsi="宋体" w:cs="宋体"/>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4CCD69B9">
            <w:pPr>
              <w:shd w:val="clear"/>
              <w:autoSpaceDE w:val="0"/>
              <w:autoSpaceDN w:val="0"/>
              <w:adjustRightInd w:val="0"/>
              <w:rPr>
                <w:rFonts w:hint="eastAsia" w:ascii="宋体" w:hAnsi="宋体" w:cs="宋体"/>
                <w:sz w:val="24"/>
                <w:highlight w:val="none"/>
              </w:rPr>
            </w:pPr>
          </w:p>
        </w:tc>
      </w:tr>
      <w:tr w14:paraId="28C54A8F">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06F8AE6B">
            <w:pPr>
              <w:shd w:val="clear"/>
              <w:autoSpaceDE w:val="0"/>
              <w:autoSpaceDN w:val="0"/>
              <w:adjustRightInd w:val="0"/>
              <w:rPr>
                <w:rFonts w:hint="eastAsia" w:ascii="宋体" w:hAnsi="宋体" w:cs="宋体"/>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7DE344E1">
            <w:pPr>
              <w:shd w:val="clear"/>
              <w:autoSpaceDE w:val="0"/>
              <w:autoSpaceDN w:val="0"/>
              <w:adjustRightInd w:val="0"/>
              <w:rPr>
                <w:rFonts w:hint="eastAsia" w:ascii="宋体" w:hAnsi="宋体" w:cs="宋体"/>
                <w:sz w:val="24"/>
                <w:highlight w:val="none"/>
              </w:rPr>
            </w:pPr>
          </w:p>
        </w:tc>
        <w:tc>
          <w:tcPr>
            <w:tcW w:w="1260" w:type="dxa"/>
            <w:tcBorders>
              <w:top w:val="single" w:color="000000" w:sz="4" w:space="0"/>
              <w:left w:val="nil"/>
              <w:bottom w:val="single" w:color="000000" w:sz="4" w:space="0"/>
              <w:right w:val="single" w:color="000000" w:sz="4" w:space="0"/>
            </w:tcBorders>
            <w:noWrap/>
          </w:tcPr>
          <w:p w14:paraId="340DC1A9">
            <w:pPr>
              <w:shd w:val="clear"/>
              <w:autoSpaceDE w:val="0"/>
              <w:autoSpaceDN w:val="0"/>
              <w:adjustRightInd w:val="0"/>
              <w:rPr>
                <w:rFonts w:hint="eastAsia" w:ascii="宋体" w:hAnsi="宋体" w:cs="宋体"/>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14A0A597">
            <w:pPr>
              <w:shd w:val="clear"/>
              <w:autoSpaceDE w:val="0"/>
              <w:autoSpaceDN w:val="0"/>
              <w:adjustRightInd w:val="0"/>
              <w:rPr>
                <w:rFonts w:hint="eastAsia" w:ascii="宋体" w:hAnsi="宋体" w:cs="宋体"/>
                <w:sz w:val="24"/>
                <w:highlight w:val="none"/>
              </w:rPr>
            </w:pPr>
          </w:p>
        </w:tc>
      </w:tr>
      <w:tr w14:paraId="0FE9F45C">
        <w:tblPrEx>
          <w:tblCellMar>
            <w:top w:w="0" w:type="dxa"/>
            <w:left w:w="0" w:type="dxa"/>
            <w:bottom w:w="0" w:type="dxa"/>
            <w:right w:w="0" w:type="dxa"/>
          </w:tblCellMar>
        </w:tblPrEx>
        <w:trPr>
          <w:trHeight w:val="699"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2C4B6A27">
            <w:pPr>
              <w:shd w:val="clear"/>
              <w:autoSpaceDE w:val="0"/>
              <w:autoSpaceDN w:val="0"/>
              <w:adjustRightInd w:val="0"/>
              <w:rPr>
                <w:rFonts w:hint="eastAsia" w:ascii="宋体" w:hAnsi="宋体" w:cs="宋体"/>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0522B5D7">
            <w:pPr>
              <w:shd w:val="clear"/>
              <w:autoSpaceDE w:val="0"/>
              <w:autoSpaceDN w:val="0"/>
              <w:adjustRightInd w:val="0"/>
              <w:rPr>
                <w:rFonts w:hint="eastAsia" w:ascii="宋体" w:hAnsi="宋体" w:cs="宋体"/>
                <w:sz w:val="24"/>
                <w:highlight w:val="none"/>
              </w:rPr>
            </w:pPr>
          </w:p>
        </w:tc>
        <w:tc>
          <w:tcPr>
            <w:tcW w:w="1260" w:type="dxa"/>
            <w:tcBorders>
              <w:top w:val="single" w:color="000000" w:sz="4" w:space="0"/>
              <w:left w:val="nil"/>
              <w:bottom w:val="single" w:color="000000" w:sz="4" w:space="0"/>
              <w:right w:val="single" w:color="000000" w:sz="4" w:space="0"/>
            </w:tcBorders>
            <w:noWrap/>
          </w:tcPr>
          <w:p w14:paraId="2DB28554">
            <w:pPr>
              <w:shd w:val="clear"/>
              <w:autoSpaceDE w:val="0"/>
              <w:autoSpaceDN w:val="0"/>
              <w:adjustRightInd w:val="0"/>
              <w:rPr>
                <w:rFonts w:hint="eastAsia" w:ascii="宋体" w:hAnsi="宋体" w:cs="宋体"/>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78E3A576">
            <w:pPr>
              <w:shd w:val="clear"/>
              <w:autoSpaceDE w:val="0"/>
              <w:autoSpaceDN w:val="0"/>
              <w:adjustRightInd w:val="0"/>
              <w:rPr>
                <w:rFonts w:hint="eastAsia" w:ascii="宋体" w:hAnsi="宋体" w:cs="宋体"/>
                <w:sz w:val="24"/>
                <w:highlight w:val="none"/>
              </w:rPr>
            </w:pPr>
          </w:p>
        </w:tc>
      </w:tr>
      <w:tr w14:paraId="626A4D19">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623EA8AF">
            <w:pPr>
              <w:shd w:val="clear"/>
              <w:autoSpaceDE w:val="0"/>
              <w:autoSpaceDN w:val="0"/>
              <w:adjustRightInd w:val="0"/>
              <w:rPr>
                <w:rFonts w:hint="eastAsia" w:ascii="宋体" w:hAnsi="宋体" w:cs="宋体"/>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4F31189A">
            <w:pPr>
              <w:shd w:val="clear"/>
              <w:autoSpaceDE w:val="0"/>
              <w:autoSpaceDN w:val="0"/>
              <w:adjustRightInd w:val="0"/>
              <w:rPr>
                <w:rFonts w:hint="eastAsia" w:ascii="宋体" w:hAnsi="宋体" w:cs="宋体"/>
                <w:sz w:val="24"/>
                <w:highlight w:val="none"/>
              </w:rPr>
            </w:pPr>
          </w:p>
        </w:tc>
        <w:tc>
          <w:tcPr>
            <w:tcW w:w="1260" w:type="dxa"/>
            <w:tcBorders>
              <w:top w:val="single" w:color="000000" w:sz="4" w:space="0"/>
              <w:left w:val="nil"/>
              <w:bottom w:val="single" w:color="000000" w:sz="4" w:space="0"/>
              <w:right w:val="single" w:color="000000" w:sz="4" w:space="0"/>
            </w:tcBorders>
            <w:noWrap/>
          </w:tcPr>
          <w:p w14:paraId="5AC1069D">
            <w:pPr>
              <w:shd w:val="clear"/>
              <w:autoSpaceDE w:val="0"/>
              <w:autoSpaceDN w:val="0"/>
              <w:adjustRightInd w:val="0"/>
              <w:rPr>
                <w:rFonts w:hint="eastAsia" w:ascii="宋体" w:hAnsi="宋体" w:cs="宋体"/>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6C2A3EDA">
            <w:pPr>
              <w:shd w:val="clear"/>
              <w:autoSpaceDE w:val="0"/>
              <w:autoSpaceDN w:val="0"/>
              <w:adjustRightInd w:val="0"/>
              <w:rPr>
                <w:rFonts w:hint="eastAsia" w:ascii="宋体" w:hAnsi="宋体" w:cs="宋体"/>
                <w:sz w:val="24"/>
                <w:highlight w:val="none"/>
              </w:rPr>
            </w:pPr>
          </w:p>
        </w:tc>
      </w:tr>
      <w:tr w14:paraId="491E0D4C">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2377D093">
            <w:pPr>
              <w:shd w:val="clear"/>
              <w:autoSpaceDE w:val="0"/>
              <w:autoSpaceDN w:val="0"/>
              <w:adjustRightInd w:val="0"/>
              <w:rPr>
                <w:rFonts w:hint="eastAsia" w:ascii="宋体" w:hAnsi="宋体" w:cs="宋体"/>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1B315888">
            <w:pPr>
              <w:shd w:val="clear"/>
              <w:autoSpaceDE w:val="0"/>
              <w:autoSpaceDN w:val="0"/>
              <w:adjustRightInd w:val="0"/>
              <w:rPr>
                <w:rFonts w:hint="eastAsia" w:ascii="宋体" w:hAnsi="宋体" w:cs="宋体"/>
                <w:sz w:val="24"/>
                <w:highlight w:val="none"/>
              </w:rPr>
            </w:pPr>
          </w:p>
        </w:tc>
        <w:tc>
          <w:tcPr>
            <w:tcW w:w="1260" w:type="dxa"/>
            <w:tcBorders>
              <w:top w:val="single" w:color="000000" w:sz="4" w:space="0"/>
              <w:left w:val="nil"/>
              <w:bottom w:val="single" w:color="000000" w:sz="4" w:space="0"/>
              <w:right w:val="single" w:color="000000" w:sz="4" w:space="0"/>
            </w:tcBorders>
            <w:noWrap/>
          </w:tcPr>
          <w:p w14:paraId="0F4C6554">
            <w:pPr>
              <w:shd w:val="clear"/>
              <w:autoSpaceDE w:val="0"/>
              <w:autoSpaceDN w:val="0"/>
              <w:adjustRightInd w:val="0"/>
              <w:rPr>
                <w:rFonts w:hint="eastAsia" w:ascii="宋体" w:hAnsi="宋体" w:cs="宋体"/>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0697E3A1">
            <w:pPr>
              <w:shd w:val="clear"/>
              <w:autoSpaceDE w:val="0"/>
              <w:autoSpaceDN w:val="0"/>
              <w:adjustRightInd w:val="0"/>
              <w:rPr>
                <w:rFonts w:hint="eastAsia" w:ascii="宋体" w:hAnsi="宋体" w:cs="宋体"/>
                <w:sz w:val="24"/>
                <w:highlight w:val="none"/>
              </w:rPr>
            </w:pPr>
          </w:p>
        </w:tc>
      </w:tr>
    </w:tbl>
    <w:p w14:paraId="60A91B2D">
      <w:pPr>
        <w:shd w:val="clear"/>
        <w:autoSpaceDE w:val="0"/>
        <w:autoSpaceDN w:val="0"/>
        <w:adjustRightInd w:val="0"/>
        <w:spacing w:line="110" w:lineRule="exact"/>
        <w:rPr>
          <w:rFonts w:hint="eastAsia" w:ascii="宋体" w:hAnsi="宋体" w:cs="宋体"/>
          <w:sz w:val="11"/>
          <w:szCs w:val="11"/>
          <w:highlight w:val="none"/>
        </w:rPr>
      </w:pPr>
    </w:p>
    <w:p w14:paraId="6400E732">
      <w:pPr>
        <w:shd w:val="clear"/>
        <w:autoSpaceDE w:val="0"/>
        <w:autoSpaceDN w:val="0"/>
        <w:adjustRightInd w:val="0"/>
        <w:spacing w:line="400" w:lineRule="exact"/>
        <w:ind w:left="102" w:right="-23"/>
        <w:rPr>
          <w:rFonts w:hint="eastAsia" w:ascii="宋体" w:hAnsi="宋体" w:cs="宋体"/>
          <w:highlight w:val="none"/>
          <w:u w:val="single"/>
        </w:rPr>
      </w:pPr>
      <w:r>
        <w:rPr>
          <w:rFonts w:hint="eastAsia" w:ascii="宋体" w:hAnsi="宋体" w:cs="宋体"/>
          <w:highlight w:val="none"/>
        </w:rPr>
        <w:t>注：</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人</w:t>
      </w:r>
      <w:r>
        <w:rPr>
          <w:rFonts w:hint="eastAsia" w:ascii="宋体" w:hAnsi="宋体" w:cs="宋体"/>
          <w:highlight w:val="none"/>
        </w:rPr>
        <w:t>按招标文件要求</w:t>
      </w:r>
      <w:r>
        <w:rPr>
          <w:rFonts w:hint="eastAsia" w:ascii="宋体" w:hAnsi="宋体" w:cs="宋体"/>
          <w:spacing w:val="-2"/>
          <w:highlight w:val="none"/>
        </w:rPr>
        <w:t>附</w:t>
      </w:r>
      <w:r>
        <w:rPr>
          <w:rFonts w:hint="eastAsia" w:ascii="宋体" w:hAnsi="宋体" w:cs="宋体"/>
          <w:highlight w:val="none"/>
        </w:rPr>
        <w:t>相关证明材料。</w:t>
      </w:r>
    </w:p>
    <w:p w14:paraId="4271B092">
      <w:pPr>
        <w:shd w:val="clear"/>
        <w:rPr>
          <w:rFonts w:hint="eastAsia" w:ascii="宋体" w:hAnsi="宋体" w:cs="宋体"/>
          <w:sz w:val="24"/>
          <w:szCs w:val="24"/>
          <w:highlight w:val="none"/>
        </w:rPr>
      </w:pPr>
    </w:p>
    <w:p w14:paraId="2D7A4A60">
      <w:pPr>
        <w:shd w:val="clear"/>
        <w:spacing w:line="360" w:lineRule="auto"/>
        <w:jc w:val="left"/>
        <w:rPr>
          <w:rFonts w:hint="eastAsia" w:ascii="宋体" w:hAnsi="宋体" w:cs="宋体"/>
          <w:sz w:val="18"/>
          <w:szCs w:val="18"/>
          <w:highlight w:val="none"/>
        </w:rPr>
      </w:pPr>
    </w:p>
    <w:p w14:paraId="5ACB16A4">
      <w:pPr>
        <w:pStyle w:val="3"/>
        <w:shd w:val="clear"/>
        <w:rPr>
          <w:rFonts w:hint="eastAsia" w:ascii="宋体" w:hAnsi="宋体" w:cs="宋体"/>
          <w:sz w:val="24"/>
          <w:szCs w:val="24"/>
          <w:highlight w:val="none"/>
        </w:rPr>
      </w:pPr>
      <w:r>
        <w:rPr>
          <w:rFonts w:hint="eastAsia" w:ascii="宋体" w:hAnsi="宋体" w:cs="宋体"/>
          <w:highlight w:val="none"/>
        </w:rPr>
        <w:br w:type="page"/>
      </w:r>
      <w:bookmarkStart w:id="390" w:name="_Toc29701"/>
      <w:bookmarkStart w:id="391" w:name="_Toc29686"/>
      <w:bookmarkStart w:id="392" w:name="_Toc21319"/>
      <w:r>
        <w:rPr>
          <w:rFonts w:hint="eastAsia" w:ascii="宋体" w:hAnsi="宋体" w:cs="宋体"/>
          <w:sz w:val="24"/>
          <w:szCs w:val="24"/>
          <w:highlight w:val="none"/>
        </w:rPr>
        <w:t>附录19企业类似工程业绩</w:t>
      </w:r>
      <w:bookmarkEnd w:id="390"/>
      <w:bookmarkEnd w:id="391"/>
      <w:bookmarkEnd w:id="392"/>
      <w:r>
        <w:rPr>
          <w:rFonts w:hint="eastAsia" w:ascii="宋体" w:hAnsi="宋体" w:cs="宋体"/>
          <w:sz w:val="24"/>
          <w:szCs w:val="24"/>
          <w:highlight w:val="none"/>
        </w:rPr>
        <w:t xml:space="preserve"> </w:t>
      </w:r>
    </w:p>
    <w:p w14:paraId="1DC27B99">
      <w:pPr>
        <w:shd w:val="clear"/>
        <w:rPr>
          <w:rFonts w:hint="eastAsia" w:ascii="宋体" w:hAnsi="宋体" w:cs="宋体"/>
          <w:highlight w:val="none"/>
        </w:rPr>
      </w:pPr>
    </w:p>
    <w:p w14:paraId="6F88D6FC">
      <w:pPr>
        <w:shd w:val="clear"/>
        <w:jc w:val="center"/>
        <w:rPr>
          <w:rFonts w:hint="eastAsia" w:ascii="宋体" w:hAnsi="宋体" w:cs="宋体"/>
          <w:b/>
          <w:spacing w:val="2"/>
          <w:position w:val="-1"/>
          <w:sz w:val="32"/>
          <w:szCs w:val="32"/>
          <w:highlight w:val="none"/>
        </w:rPr>
      </w:pPr>
      <w:r>
        <w:rPr>
          <w:rFonts w:hint="eastAsia" w:ascii="宋体" w:hAnsi="宋体" w:cs="宋体"/>
          <w:b/>
          <w:spacing w:val="2"/>
          <w:position w:val="-1"/>
          <w:sz w:val="32"/>
          <w:szCs w:val="32"/>
          <w:highlight w:val="none"/>
        </w:rPr>
        <w:t>企业类似工程业绩</w:t>
      </w:r>
    </w:p>
    <w:p w14:paraId="22674398">
      <w:pPr>
        <w:shd w:val="clear"/>
        <w:jc w:val="center"/>
        <w:rPr>
          <w:rFonts w:hint="eastAsia" w:ascii="宋体" w:hAnsi="宋体" w:cs="宋体"/>
          <w:spacing w:val="2"/>
          <w:position w:val="-1"/>
          <w:sz w:val="32"/>
          <w:szCs w:val="32"/>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601"/>
        <w:gridCol w:w="1603"/>
        <w:gridCol w:w="1603"/>
        <w:gridCol w:w="1603"/>
        <w:gridCol w:w="1603"/>
      </w:tblGrid>
      <w:tr w14:paraId="356F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0CF6ECB5">
            <w:pPr>
              <w:shd w:val="clear"/>
              <w:jc w:val="center"/>
              <w:rPr>
                <w:rFonts w:hint="eastAsia" w:ascii="宋体" w:hAnsi="宋体" w:cs="宋体"/>
                <w:highlight w:val="none"/>
              </w:rPr>
            </w:pPr>
            <w:r>
              <w:rPr>
                <w:rFonts w:hint="eastAsia" w:ascii="宋体" w:hAnsi="宋体" w:cs="宋体"/>
                <w:highlight w:val="none"/>
              </w:rPr>
              <w:t>项目名称</w:t>
            </w:r>
          </w:p>
        </w:tc>
        <w:tc>
          <w:tcPr>
            <w:tcW w:w="1601" w:type="dxa"/>
            <w:tcBorders>
              <w:top w:val="single" w:color="auto" w:sz="4" w:space="0"/>
              <w:left w:val="single" w:color="auto" w:sz="4" w:space="0"/>
              <w:bottom w:val="single" w:color="auto" w:sz="4" w:space="0"/>
              <w:right w:val="single" w:color="auto" w:sz="4" w:space="0"/>
            </w:tcBorders>
            <w:noWrap/>
            <w:vAlign w:val="center"/>
          </w:tcPr>
          <w:p w14:paraId="6F53C7E4">
            <w:pPr>
              <w:shd w:val="clear"/>
              <w:jc w:val="center"/>
              <w:rPr>
                <w:rFonts w:hint="eastAsia" w:ascii="宋体" w:hAnsi="宋体" w:cs="宋体"/>
                <w:szCs w:val="21"/>
                <w:highlight w:val="none"/>
              </w:rPr>
            </w:pPr>
            <w:r>
              <w:rPr>
                <w:rFonts w:hint="eastAsia" w:ascii="宋体" w:hAnsi="宋体" w:cs="宋体"/>
                <w:highlight w:val="none"/>
              </w:rPr>
              <w:t>合同签订时间</w:t>
            </w:r>
          </w:p>
        </w:tc>
        <w:tc>
          <w:tcPr>
            <w:tcW w:w="1603" w:type="dxa"/>
            <w:tcBorders>
              <w:top w:val="single" w:color="auto" w:sz="4" w:space="0"/>
              <w:left w:val="nil"/>
              <w:bottom w:val="single" w:color="auto" w:sz="4" w:space="0"/>
              <w:right w:val="single" w:color="auto" w:sz="4" w:space="0"/>
            </w:tcBorders>
            <w:noWrap/>
            <w:vAlign w:val="center"/>
          </w:tcPr>
          <w:p w14:paraId="5EA5637E">
            <w:pPr>
              <w:shd w:val="clear"/>
              <w:jc w:val="center"/>
              <w:rPr>
                <w:rFonts w:hint="eastAsia" w:ascii="宋体" w:hAnsi="宋体" w:cs="宋体"/>
                <w:szCs w:val="21"/>
                <w:highlight w:val="none"/>
              </w:rPr>
            </w:pPr>
            <w:r>
              <w:rPr>
                <w:rFonts w:hint="eastAsia" w:ascii="宋体" w:hAnsi="宋体" w:cs="宋体"/>
                <w:highlight w:val="none"/>
              </w:rPr>
              <w:t>项目概况</w:t>
            </w:r>
          </w:p>
        </w:tc>
        <w:tc>
          <w:tcPr>
            <w:tcW w:w="1603" w:type="dxa"/>
            <w:tcBorders>
              <w:top w:val="single" w:color="auto" w:sz="4" w:space="0"/>
              <w:left w:val="nil"/>
              <w:bottom w:val="single" w:color="auto" w:sz="4" w:space="0"/>
              <w:right w:val="single" w:color="auto" w:sz="4" w:space="0"/>
            </w:tcBorders>
            <w:noWrap/>
            <w:vAlign w:val="center"/>
          </w:tcPr>
          <w:p w14:paraId="361907B9">
            <w:pPr>
              <w:shd w:val="clear"/>
              <w:jc w:val="center"/>
              <w:rPr>
                <w:rFonts w:hint="eastAsia" w:ascii="宋体" w:hAnsi="宋体" w:cs="宋体"/>
                <w:szCs w:val="21"/>
                <w:highlight w:val="none"/>
              </w:rPr>
            </w:pPr>
            <w:r>
              <w:rPr>
                <w:rFonts w:hint="eastAsia" w:ascii="宋体" w:hAnsi="宋体" w:cs="宋体"/>
                <w:highlight w:val="none"/>
              </w:rPr>
              <w:t>业主单位</w:t>
            </w:r>
          </w:p>
        </w:tc>
        <w:tc>
          <w:tcPr>
            <w:tcW w:w="1603" w:type="dxa"/>
            <w:tcBorders>
              <w:top w:val="single" w:color="auto" w:sz="4" w:space="0"/>
              <w:left w:val="nil"/>
              <w:bottom w:val="single" w:color="auto" w:sz="4" w:space="0"/>
              <w:right w:val="single" w:color="auto" w:sz="4" w:space="0"/>
            </w:tcBorders>
            <w:noWrap/>
            <w:vAlign w:val="center"/>
          </w:tcPr>
          <w:p w14:paraId="68D474DA">
            <w:pPr>
              <w:shd w:val="clear"/>
              <w:jc w:val="center"/>
              <w:rPr>
                <w:rFonts w:hint="eastAsia" w:ascii="宋体" w:hAnsi="宋体" w:cs="宋体"/>
                <w:szCs w:val="21"/>
                <w:highlight w:val="none"/>
              </w:rPr>
            </w:pPr>
            <w:r>
              <w:rPr>
                <w:rFonts w:hint="eastAsia" w:ascii="宋体" w:hAnsi="宋体" w:cs="宋体"/>
                <w:highlight w:val="none"/>
              </w:rPr>
              <w:t>完成情况</w:t>
            </w:r>
          </w:p>
        </w:tc>
        <w:tc>
          <w:tcPr>
            <w:tcW w:w="1603" w:type="dxa"/>
            <w:tcBorders>
              <w:top w:val="single" w:color="auto" w:sz="4" w:space="0"/>
              <w:left w:val="nil"/>
              <w:bottom w:val="single" w:color="auto" w:sz="4" w:space="0"/>
              <w:right w:val="single" w:color="auto" w:sz="4" w:space="0"/>
            </w:tcBorders>
            <w:noWrap/>
            <w:vAlign w:val="center"/>
          </w:tcPr>
          <w:p w14:paraId="09114C09">
            <w:pPr>
              <w:shd w:val="clear"/>
              <w:jc w:val="center"/>
              <w:rPr>
                <w:rFonts w:hint="eastAsia" w:ascii="宋体" w:hAnsi="宋体" w:cs="宋体"/>
                <w:szCs w:val="21"/>
                <w:highlight w:val="none"/>
              </w:rPr>
            </w:pPr>
            <w:r>
              <w:rPr>
                <w:rFonts w:hint="eastAsia" w:ascii="宋体" w:hAnsi="宋体" w:cs="宋体"/>
                <w:highlight w:val="none"/>
              </w:rPr>
              <w:t>备注</w:t>
            </w:r>
          </w:p>
        </w:tc>
      </w:tr>
      <w:tr w14:paraId="219A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48539D3D">
            <w:pPr>
              <w:shd w:val="clear"/>
              <w:jc w:val="center"/>
              <w:rPr>
                <w:rFonts w:hint="eastAsia" w:ascii="宋体" w:hAnsi="宋体" w:cs="宋体"/>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4A060A03">
            <w:pPr>
              <w:shd w:val="clea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DEBB586">
            <w:pPr>
              <w:shd w:val="clea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4EDA589">
            <w:pPr>
              <w:shd w:val="clea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1588ADBA">
            <w:pPr>
              <w:shd w:val="clea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1F54AD50">
            <w:pPr>
              <w:shd w:val="clear"/>
              <w:jc w:val="center"/>
              <w:rPr>
                <w:rFonts w:hint="eastAsia" w:ascii="宋体" w:hAnsi="宋体" w:cs="宋体"/>
                <w:szCs w:val="21"/>
                <w:highlight w:val="none"/>
              </w:rPr>
            </w:pPr>
          </w:p>
        </w:tc>
      </w:tr>
      <w:tr w14:paraId="4720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0AECB0A3">
            <w:pPr>
              <w:shd w:val="clear"/>
              <w:jc w:val="center"/>
              <w:rPr>
                <w:rFonts w:hint="eastAsia" w:ascii="宋体" w:hAnsi="宋体" w:cs="宋体"/>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3E19CDC4">
            <w:pPr>
              <w:shd w:val="clea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58ED08CB">
            <w:pPr>
              <w:shd w:val="clea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0C8E85C">
            <w:pPr>
              <w:shd w:val="clea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C077BA2">
            <w:pPr>
              <w:shd w:val="clea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0C5F2119">
            <w:pPr>
              <w:shd w:val="clear"/>
              <w:jc w:val="center"/>
              <w:rPr>
                <w:rFonts w:hint="eastAsia" w:ascii="宋体" w:hAnsi="宋体" w:cs="宋体"/>
                <w:szCs w:val="21"/>
                <w:highlight w:val="none"/>
              </w:rPr>
            </w:pPr>
          </w:p>
        </w:tc>
      </w:tr>
      <w:tr w14:paraId="52E3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27E3A68C">
            <w:pPr>
              <w:shd w:val="clear"/>
              <w:jc w:val="center"/>
              <w:rPr>
                <w:rFonts w:hint="eastAsia" w:ascii="宋体" w:hAnsi="宋体" w:cs="宋体"/>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64F48896">
            <w:pPr>
              <w:shd w:val="clea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527945D2">
            <w:pPr>
              <w:shd w:val="clea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6291217E">
            <w:pPr>
              <w:shd w:val="clea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79BB39E1">
            <w:pPr>
              <w:shd w:val="clea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3B960293">
            <w:pPr>
              <w:shd w:val="clear"/>
              <w:jc w:val="center"/>
              <w:rPr>
                <w:rFonts w:hint="eastAsia" w:ascii="宋体" w:hAnsi="宋体" w:cs="宋体"/>
                <w:szCs w:val="21"/>
                <w:highlight w:val="none"/>
              </w:rPr>
            </w:pPr>
          </w:p>
        </w:tc>
      </w:tr>
      <w:tr w14:paraId="2269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32EC1C82">
            <w:pPr>
              <w:shd w:val="clear"/>
              <w:jc w:val="center"/>
              <w:rPr>
                <w:rFonts w:hint="eastAsia" w:ascii="宋体" w:hAnsi="宋体" w:cs="宋体"/>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74A27B56">
            <w:pPr>
              <w:shd w:val="clea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008AB6F">
            <w:pPr>
              <w:shd w:val="clea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024C2C98">
            <w:pPr>
              <w:shd w:val="clea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38E6F945">
            <w:pPr>
              <w:shd w:val="clea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E6F4E26">
            <w:pPr>
              <w:shd w:val="clear"/>
              <w:jc w:val="center"/>
              <w:rPr>
                <w:rFonts w:hint="eastAsia" w:ascii="宋体" w:hAnsi="宋体" w:cs="宋体"/>
                <w:szCs w:val="21"/>
                <w:highlight w:val="none"/>
              </w:rPr>
            </w:pPr>
          </w:p>
        </w:tc>
      </w:tr>
      <w:tr w14:paraId="06E2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77B7B799">
            <w:pPr>
              <w:shd w:val="clear"/>
              <w:jc w:val="center"/>
              <w:rPr>
                <w:rFonts w:hint="eastAsia" w:ascii="宋体" w:hAnsi="宋体" w:cs="宋体"/>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6226FF49">
            <w:pPr>
              <w:shd w:val="clea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D641A80">
            <w:pPr>
              <w:shd w:val="clea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8B46634">
            <w:pPr>
              <w:shd w:val="clea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68DB1A22">
            <w:pPr>
              <w:shd w:val="clea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38E6F98">
            <w:pPr>
              <w:shd w:val="clear"/>
              <w:jc w:val="center"/>
              <w:rPr>
                <w:rFonts w:hint="eastAsia" w:ascii="宋体" w:hAnsi="宋体" w:cs="宋体"/>
                <w:szCs w:val="21"/>
                <w:highlight w:val="none"/>
              </w:rPr>
            </w:pPr>
          </w:p>
        </w:tc>
      </w:tr>
    </w:tbl>
    <w:p w14:paraId="1DD063CE">
      <w:pPr>
        <w:pStyle w:val="42"/>
        <w:shd w:val="clear"/>
        <w:ind w:left="1480" w:hanging="1480"/>
        <w:jc w:val="both"/>
        <w:rPr>
          <w:rFonts w:hint="eastAsia" w:ascii="宋体" w:hAnsi="宋体" w:eastAsia="宋体" w:cs="宋体"/>
          <w:b w:val="0"/>
          <w:snapToGrid/>
          <w:spacing w:val="0"/>
          <w:sz w:val="21"/>
          <w:szCs w:val="24"/>
          <w:highlight w:val="none"/>
        </w:rPr>
      </w:pPr>
    </w:p>
    <w:p w14:paraId="3BF2675B">
      <w:pPr>
        <w:shd w:val="clear"/>
        <w:autoSpaceDE w:val="0"/>
        <w:autoSpaceDN w:val="0"/>
        <w:adjustRightInd w:val="0"/>
        <w:spacing w:line="400" w:lineRule="exact"/>
        <w:ind w:left="102" w:right="-23"/>
        <w:rPr>
          <w:rFonts w:hint="eastAsia" w:ascii="宋体" w:hAnsi="宋体" w:cs="宋体"/>
          <w:highlight w:val="none"/>
          <w:u w:val="single"/>
        </w:rPr>
      </w:pPr>
      <w:r>
        <w:rPr>
          <w:rFonts w:hint="eastAsia" w:ascii="宋体" w:hAnsi="宋体" w:cs="宋体"/>
          <w:highlight w:val="none"/>
        </w:rPr>
        <w:t>注：</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人</w:t>
      </w:r>
      <w:r>
        <w:rPr>
          <w:rFonts w:hint="eastAsia" w:ascii="宋体" w:hAnsi="宋体" w:cs="宋体"/>
          <w:highlight w:val="none"/>
        </w:rPr>
        <w:t>按招标文件要求</w:t>
      </w:r>
      <w:r>
        <w:rPr>
          <w:rFonts w:hint="eastAsia" w:ascii="宋体" w:hAnsi="宋体" w:cs="宋体"/>
          <w:spacing w:val="-2"/>
          <w:highlight w:val="none"/>
        </w:rPr>
        <w:t>附</w:t>
      </w:r>
      <w:r>
        <w:rPr>
          <w:rFonts w:hint="eastAsia" w:ascii="宋体" w:hAnsi="宋体" w:cs="宋体"/>
          <w:highlight w:val="none"/>
        </w:rPr>
        <w:t>相关证明材料。</w:t>
      </w:r>
    </w:p>
    <w:p w14:paraId="6CC2F7C3">
      <w:pPr>
        <w:pStyle w:val="5"/>
        <w:shd w:val="clear"/>
        <w:rPr>
          <w:rFonts w:hint="eastAsia" w:ascii="宋体" w:hAnsi="宋体" w:cs="宋体"/>
          <w:highlight w:val="none"/>
        </w:rPr>
      </w:pPr>
    </w:p>
    <w:p w14:paraId="0FC04DA0">
      <w:pPr>
        <w:shd w:val="clear"/>
        <w:spacing w:line="440" w:lineRule="exact"/>
        <w:rPr>
          <w:rFonts w:hint="eastAsia" w:ascii="宋体" w:hAnsi="宋体" w:cs="宋体"/>
          <w:highlight w:val="none"/>
        </w:rPr>
      </w:pPr>
    </w:p>
    <w:sectPr>
      <w:pgSz w:w="11906" w:h="16838"/>
      <w:pgMar w:top="1440" w:right="1463" w:bottom="1440" w:left="14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使用中文字体)">
    <w:altName w:val="宋体"/>
    <w:panose1 w:val="00000000000000000000"/>
    <w:charset w:val="86"/>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B53AC">
    <w:pPr>
      <w:pStyle w:val="11"/>
      <w:jc w:val="center"/>
    </w:pPr>
    <w:r>
      <w:fldChar w:fldCharType="begin"/>
    </w:r>
    <w:r>
      <w:instrText xml:space="preserve"> PAGE   \* MERGEFORMAT </w:instrText>
    </w:r>
    <w:r>
      <w:fldChar w:fldCharType="separate"/>
    </w:r>
    <w:r>
      <w:rPr>
        <w:lang w:val="zh-CN"/>
      </w:rPr>
      <w:t>1</w:t>
    </w:r>
    <w:r>
      <w:fldChar w:fldCharType="end"/>
    </w:r>
  </w:p>
  <w:p w14:paraId="50324F39">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F493C"/>
    <w:multiLevelType w:val="multilevel"/>
    <w:tmpl w:val="D7EF493C"/>
    <w:lvl w:ilvl="0" w:tentative="0">
      <w:start w:val="13"/>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9258DEB"/>
    <w:multiLevelType w:val="singleLevel"/>
    <w:tmpl w:val="19258DEB"/>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iZWQyMGVlMzdlN2EwMTliY2QyNzY0NWVlNjRkNTAifQ=="/>
    <w:docVar w:name="KSO_WPS_MARK_KEY" w:val="1e0f0617-282c-48d6-b8e6-b57e8ed8c8c3"/>
  </w:docVars>
  <w:rsids>
    <w:rsidRoot w:val="009E1976"/>
    <w:rsid w:val="00013A59"/>
    <w:rsid w:val="000337E1"/>
    <w:rsid w:val="00043972"/>
    <w:rsid w:val="00044329"/>
    <w:rsid w:val="00044AA5"/>
    <w:rsid w:val="000571A5"/>
    <w:rsid w:val="00061339"/>
    <w:rsid w:val="00064E2A"/>
    <w:rsid w:val="0007551B"/>
    <w:rsid w:val="00075D70"/>
    <w:rsid w:val="000861CD"/>
    <w:rsid w:val="000951D4"/>
    <w:rsid w:val="000A66D1"/>
    <w:rsid w:val="000B66A2"/>
    <w:rsid w:val="000D17B1"/>
    <w:rsid w:val="000E6E54"/>
    <w:rsid w:val="000F406D"/>
    <w:rsid w:val="0010288C"/>
    <w:rsid w:val="00125EE4"/>
    <w:rsid w:val="00126E64"/>
    <w:rsid w:val="001274CF"/>
    <w:rsid w:val="00130CA3"/>
    <w:rsid w:val="00132E6B"/>
    <w:rsid w:val="00141C99"/>
    <w:rsid w:val="00156158"/>
    <w:rsid w:val="0016113A"/>
    <w:rsid w:val="001629B8"/>
    <w:rsid w:val="00164A52"/>
    <w:rsid w:val="001867F3"/>
    <w:rsid w:val="001A1B79"/>
    <w:rsid w:val="001A25FF"/>
    <w:rsid w:val="001A615A"/>
    <w:rsid w:val="001C0058"/>
    <w:rsid w:val="001C0A1C"/>
    <w:rsid w:val="001C4E15"/>
    <w:rsid w:val="001C5999"/>
    <w:rsid w:val="001D1D1F"/>
    <w:rsid w:val="001D2262"/>
    <w:rsid w:val="001F05D3"/>
    <w:rsid w:val="002004F8"/>
    <w:rsid w:val="00216ABD"/>
    <w:rsid w:val="00216D87"/>
    <w:rsid w:val="0022587A"/>
    <w:rsid w:val="00242AB5"/>
    <w:rsid w:val="00246981"/>
    <w:rsid w:val="00247EF6"/>
    <w:rsid w:val="00256940"/>
    <w:rsid w:val="0026361D"/>
    <w:rsid w:val="00264586"/>
    <w:rsid w:val="0028293D"/>
    <w:rsid w:val="00284768"/>
    <w:rsid w:val="002858EF"/>
    <w:rsid w:val="0029016F"/>
    <w:rsid w:val="002C4A22"/>
    <w:rsid w:val="002D02A9"/>
    <w:rsid w:val="002D14DE"/>
    <w:rsid w:val="002F63BE"/>
    <w:rsid w:val="003229F4"/>
    <w:rsid w:val="003300B7"/>
    <w:rsid w:val="00340EB0"/>
    <w:rsid w:val="00344201"/>
    <w:rsid w:val="003573D2"/>
    <w:rsid w:val="003644AF"/>
    <w:rsid w:val="00370C15"/>
    <w:rsid w:val="003A32B4"/>
    <w:rsid w:val="003A7FE5"/>
    <w:rsid w:val="003B5A1C"/>
    <w:rsid w:val="003E7746"/>
    <w:rsid w:val="00405FC1"/>
    <w:rsid w:val="004208BA"/>
    <w:rsid w:val="00421467"/>
    <w:rsid w:val="00425FD4"/>
    <w:rsid w:val="00434AD2"/>
    <w:rsid w:val="00435953"/>
    <w:rsid w:val="004366E7"/>
    <w:rsid w:val="00455B39"/>
    <w:rsid w:val="0045697C"/>
    <w:rsid w:val="004723D0"/>
    <w:rsid w:val="00494122"/>
    <w:rsid w:val="004B4744"/>
    <w:rsid w:val="004C65A1"/>
    <w:rsid w:val="004D2BA6"/>
    <w:rsid w:val="004E484E"/>
    <w:rsid w:val="00502683"/>
    <w:rsid w:val="00502FCC"/>
    <w:rsid w:val="005161A9"/>
    <w:rsid w:val="00516A06"/>
    <w:rsid w:val="00543234"/>
    <w:rsid w:val="00545412"/>
    <w:rsid w:val="00545A53"/>
    <w:rsid w:val="00557B48"/>
    <w:rsid w:val="00566E5F"/>
    <w:rsid w:val="00571FA6"/>
    <w:rsid w:val="00574BA7"/>
    <w:rsid w:val="00592206"/>
    <w:rsid w:val="005A430C"/>
    <w:rsid w:val="005A5E0A"/>
    <w:rsid w:val="005B249E"/>
    <w:rsid w:val="005B50C9"/>
    <w:rsid w:val="005B6417"/>
    <w:rsid w:val="005B6B1A"/>
    <w:rsid w:val="005C0305"/>
    <w:rsid w:val="005D68DB"/>
    <w:rsid w:val="005D7306"/>
    <w:rsid w:val="006019B1"/>
    <w:rsid w:val="0061485A"/>
    <w:rsid w:val="006276E2"/>
    <w:rsid w:val="00635267"/>
    <w:rsid w:val="00644799"/>
    <w:rsid w:val="00651889"/>
    <w:rsid w:val="00655393"/>
    <w:rsid w:val="00663AEB"/>
    <w:rsid w:val="00666FBD"/>
    <w:rsid w:val="00676F2F"/>
    <w:rsid w:val="00686310"/>
    <w:rsid w:val="006A7D54"/>
    <w:rsid w:val="006C61D9"/>
    <w:rsid w:val="006D1E10"/>
    <w:rsid w:val="006D68B1"/>
    <w:rsid w:val="006E4EC0"/>
    <w:rsid w:val="006E5C52"/>
    <w:rsid w:val="006F0804"/>
    <w:rsid w:val="006F0B5D"/>
    <w:rsid w:val="006F58FB"/>
    <w:rsid w:val="0070172D"/>
    <w:rsid w:val="0072766F"/>
    <w:rsid w:val="00731B8E"/>
    <w:rsid w:val="00746458"/>
    <w:rsid w:val="007517DF"/>
    <w:rsid w:val="0076160D"/>
    <w:rsid w:val="007619F5"/>
    <w:rsid w:val="00774F83"/>
    <w:rsid w:val="0077562F"/>
    <w:rsid w:val="00787DF2"/>
    <w:rsid w:val="00791E33"/>
    <w:rsid w:val="00793FDD"/>
    <w:rsid w:val="007B15B3"/>
    <w:rsid w:val="007B41C3"/>
    <w:rsid w:val="007B42DB"/>
    <w:rsid w:val="007B485C"/>
    <w:rsid w:val="007C20AF"/>
    <w:rsid w:val="007C3D4D"/>
    <w:rsid w:val="007C5EB2"/>
    <w:rsid w:val="007C7FBC"/>
    <w:rsid w:val="007D14C5"/>
    <w:rsid w:val="007D2645"/>
    <w:rsid w:val="008065F7"/>
    <w:rsid w:val="008169D5"/>
    <w:rsid w:val="00817B34"/>
    <w:rsid w:val="00830097"/>
    <w:rsid w:val="0084289A"/>
    <w:rsid w:val="00850BC8"/>
    <w:rsid w:val="00852544"/>
    <w:rsid w:val="008557A0"/>
    <w:rsid w:val="008608A4"/>
    <w:rsid w:val="00866B5A"/>
    <w:rsid w:val="008805DF"/>
    <w:rsid w:val="0088097D"/>
    <w:rsid w:val="00885DCB"/>
    <w:rsid w:val="00892C00"/>
    <w:rsid w:val="00895F5A"/>
    <w:rsid w:val="008A4206"/>
    <w:rsid w:val="008A43D6"/>
    <w:rsid w:val="008B1A7A"/>
    <w:rsid w:val="008B627B"/>
    <w:rsid w:val="008B6A76"/>
    <w:rsid w:val="008C358E"/>
    <w:rsid w:val="008C5B03"/>
    <w:rsid w:val="008D7BED"/>
    <w:rsid w:val="008E2ECE"/>
    <w:rsid w:val="008F0A68"/>
    <w:rsid w:val="008F78B7"/>
    <w:rsid w:val="00907999"/>
    <w:rsid w:val="009108D5"/>
    <w:rsid w:val="0093331A"/>
    <w:rsid w:val="00933965"/>
    <w:rsid w:val="00934926"/>
    <w:rsid w:val="0094775F"/>
    <w:rsid w:val="00957F1C"/>
    <w:rsid w:val="00967528"/>
    <w:rsid w:val="00981D96"/>
    <w:rsid w:val="009843D9"/>
    <w:rsid w:val="00984879"/>
    <w:rsid w:val="0099052C"/>
    <w:rsid w:val="009B13CE"/>
    <w:rsid w:val="009D1D23"/>
    <w:rsid w:val="009D7CD1"/>
    <w:rsid w:val="009E1976"/>
    <w:rsid w:val="009E22DB"/>
    <w:rsid w:val="009E3627"/>
    <w:rsid w:val="009F395B"/>
    <w:rsid w:val="00A0460A"/>
    <w:rsid w:val="00A07601"/>
    <w:rsid w:val="00A11F50"/>
    <w:rsid w:val="00A15862"/>
    <w:rsid w:val="00A23E13"/>
    <w:rsid w:val="00A246B8"/>
    <w:rsid w:val="00A36CDF"/>
    <w:rsid w:val="00A37085"/>
    <w:rsid w:val="00A408A4"/>
    <w:rsid w:val="00A422E6"/>
    <w:rsid w:val="00A50982"/>
    <w:rsid w:val="00A53A76"/>
    <w:rsid w:val="00A93D49"/>
    <w:rsid w:val="00A9403B"/>
    <w:rsid w:val="00A9522C"/>
    <w:rsid w:val="00AC36DA"/>
    <w:rsid w:val="00AD1435"/>
    <w:rsid w:val="00AD3CDB"/>
    <w:rsid w:val="00AF226F"/>
    <w:rsid w:val="00AF307F"/>
    <w:rsid w:val="00B07E77"/>
    <w:rsid w:val="00B27FB6"/>
    <w:rsid w:val="00B41BA5"/>
    <w:rsid w:val="00B50165"/>
    <w:rsid w:val="00B671CA"/>
    <w:rsid w:val="00B75CF8"/>
    <w:rsid w:val="00B8025D"/>
    <w:rsid w:val="00B8098E"/>
    <w:rsid w:val="00B80D55"/>
    <w:rsid w:val="00B956DA"/>
    <w:rsid w:val="00BA2690"/>
    <w:rsid w:val="00BB26BC"/>
    <w:rsid w:val="00BB5DF9"/>
    <w:rsid w:val="00BD3FC2"/>
    <w:rsid w:val="00BE72F5"/>
    <w:rsid w:val="00BF6B0E"/>
    <w:rsid w:val="00C04960"/>
    <w:rsid w:val="00C060DB"/>
    <w:rsid w:val="00C13228"/>
    <w:rsid w:val="00C337D5"/>
    <w:rsid w:val="00C41698"/>
    <w:rsid w:val="00C4418F"/>
    <w:rsid w:val="00C50F07"/>
    <w:rsid w:val="00C65B48"/>
    <w:rsid w:val="00C71D8C"/>
    <w:rsid w:val="00C726CA"/>
    <w:rsid w:val="00C76BE7"/>
    <w:rsid w:val="00C83DB9"/>
    <w:rsid w:val="00C8441F"/>
    <w:rsid w:val="00C97AEC"/>
    <w:rsid w:val="00CA13AC"/>
    <w:rsid w:val="00CA34BF"/>
    <w:rsid w:val="00CB39DC"/>
    <w:rsid w:val="00CC72D8"/>
    <w:rsid w:val="00CD63AD"/>
    <w:rsid w:val="00CD6586"/>
    <w:rsid w:val="00CE0DCF"/>
    <w:rsid w:val="00CE47E8"/>
    <w:rsid w:val="00CE7541"/>
    <w:rsid w:val="00CF17E5"/>
    <w:rsid w:val="00D0403D"/>
    <w:rsid w:val="00D04A87"/>
    <w:rsid w:val="00D058B1"/>
    <w:rsid w:val="00D062DE"/>
    <w:rsid w:val="00D17499"/>
    <w:rsid w:val="00D24B08"/>
    <w:rsid w:val="00D327BF"/>
    <w:rsid w:val="00D36C16"/>
    <w:rsid w:val="00D53154"/>
    <w:rsid w:val="00D542E2"/>
    <w:rsid w:val="00D60129"/>
    <w:rsid w:val="00D61980"/>
    <w:rsid w:val="00D63E99"/>
    <w:rsid w:val="00D669F5"/>
    <w:rsid w:val="00D67C57"/>
    <w:rsid w:val="00D70535"/>
    <w:rsid w:val="00D7624C"/>
    <w:rsid w:val="00D82657"/>
    <w:rsid w:val="00D84958"/>
    <w:rsid w:val="00D87673"/>
    <w:rsid w:val="00DA06C8"/>
    <w:rsid w:val="00DB7745"/>
    <w:rsid w:val="00DC7BE6"/>
    <w:rsid w:val="00DF3EEF"/>
    <w:rsid w:val="00E13074"/>
    <w:rsid w:val="00E25486"/>
    <w:rsid w:val="00E26F91"/>
    <w:rsid w:val="00E308EE"/>
    <w:rsid w:val="00E36525"/>
    <w:rsid w:val="00E42733"/>
    <w:rsid w:val="00E42F37"/>
    <w:rsid w:val="00E56BCE"/>
    <w:rsid w:val="00E66B60"/>
    <w:rsid w:val="00E719DD"/>
    <w:rsid w:val="00E82A6D"/>
    <w:rsid w:val="00E90C38"/>
    <w:rsid w:val="00E970F2"/>
    <w:rsid w:val="00EA4EC2"/>
    <w:rsid w:val="00EA6F42"/>
    <w:rsid w:val="00EB01DB"/>
    <w:rsid w:val="00EB0894"/>
    <w:rsid w:val="00EB3D89"/>
    <w:rsid w:val="00EB529A"/>
    <w:rsid w:val="00EB647C"/>
    <w:rsid w:val="00EB67AE"/>
    <w:rsid w:val="00EC57BC"/>
    <w:rsid w:val="00EC6ECF"/>
    <w:rsid w:val="00ED6605"/>
    <w:rsid w:val="00ED7A2B"/>
    <w:rsid w:val="00F003C4"/>
    <w:rsid w:val="00F1595E"/>
    <w:rsid w:val="00F16538"/>
    <w:rsid w:val="00F31832"/>
    <w:rsid w:val="00F46399"/>
    <w:rsid w:val="00F50554"/>
    <w:rsid w:val="00F510FA"/>
    <w:rsid w:val="00F53713"/>
    <w:rsid w:val="00F845B5"/>
    <w:rsid w:val="00F868EB"/>
    <w:rsid w:val="00FA48B7"/>
    <w:rsid w:val="00FA665C"/>
    <w:rsid w:val="00FB4EEA"/>
    <w:rsid w:val="00FC45C0"/>
    <w:rsid w:val="00FD0DF4"/>
    <w:rsid w:val="00FD2ED5"/>
    <w:rsid w:val="00FD6A49"/>
    <w:rsid w:val="00FE77AD"/>
    <w:rsid w:val="00FF79B9"/>
    <w:rsid w:val="01796505"/>
    <w:rsid w:val="01F062A0"/>
    <w:rsid w:val="02E439C5"/>
    <w:rsid w:val="034E3B00"/>
    <w:rsid w:val="037473F9"/>
    <w:rsid w:val="03B1713F"/>
    <w:rsid w:val="05B44CC5"/>
    <w:rsid w:val="05E05ABA"/>
    <w:rsid w:val="05E22F6E"/>
    <w:rsid w:val="06846D8D"/>
    <w:rsid w:val="06A74829"/>
    <w:rsid w:val="072145DC"/>
    <w:rsid w:val="075306D3"/>
    <w:rsid w:val="075A2B1B"/>
    <w:rsid w:val="0874698D"/>
    <w:rsid w:val="089D0323"/>
    <w:rsid w:val="08BC414F"/>
    <w:rsid w:val="0908779C"/>
    <w:rsid w:val="090A12E5"/>
    <w:rsid w:val="0AC161B4"/>
    <w:rsid w:val="0BCA279B"/>
    <w:rsid w:val="0BCB2EB5"/>
    <w:rsid w:val="0C211B34"/>
    <w:rsid w:val="0CEE31B2"/>
    <w:rsid w:val="0D0227BA"/>
    <w:rsid w:val="0D324F55"/>
    <w:rsid w:val="0D330895"/>
    <w:rsid w:val="0D8D11A1"/>
    <w:rsid w:val="0DCD01BE"/>
    <w:rsid w:val="0DF01340"/>
    <w:rsid w:val="0E407A3D"/>
    <w:rsid w:val="0EB80B43"/>
    <w:rsid w:val="0EC37D85"/>
    <w:rsid w:val="0F44530B"/>
    <w:rsid w:val="0F8C280E"/>
    <w:rsid w:val="0FD74963"/>
    <w:rsid w:val="0FD9494D"/>
    <w:rsid w:val="11281150"/>
    <w:rsid w:val="11827913"/>
    <w:rsid w:val="123B3FE9"/>
    <w:rsid w:val="130A12FE"/>
    <w:rsid w:val="149B71DD"/>
    <w:rsid w:val="151B105B"/>
    <w:rsid w:val="15B31601"/>
    <w:rsid w:val="162808E4"/>
    <w:rsid w:val="17A728DB"/>
    <w:rsid w:val="17C34362"/>
    <w:rsid w:val="17FE4468"/>
    <w:rsid w:val="18040CDB"/>
    <w:rsid w:val="18385765"/>
    <w:rsid w:val="19460C23"/>
    <w:rsid w:val="19A54BF8"/>
    <w:rsid w:val="19C21748"/>
    <w:rsid w:val="1ACC4407"/>
    <w:rsid w:val="1AD55FDC"/>
    <w:rsid w:val="1B9F308F"/>
    <w:rsid w:val="1BA01AB8"/>
    <w:rsid w:val="1BA2004B"/>
    <w:rsid w:val="1BE11932"/>
    <w:rsid w:val="1BF9784E"/>
    <w:rsid w:val="1C392E7F"/>
    <w:rsid w:val="1C8D0666"/>
    <w:rsid w:val="1CD81789"/>
    <w:rsid w:val="1CDC3027"/>
    <w:rsid w:val="1D3B2B65"/>
    <w:rsid w:val="1D5D57EA"/>
    <w:rsid w:val="1D7D4F25"/>
    <w:rsid w:val="1E733517"/>
    <w:rsid w:val="1F9F3887"/>
    <w:rsid w:val="1FD06D62"/>
    <w:rsid w:val="20064213"/>
    <w:rsid w:val="20362BE4"/>
    <w:rsid w:val="217C61BE"/>
    <w:rsid w:val="223631D9"/>
    <w:rsid w:val="223B434C"/>
    <w:rsid w:val="228D0920"/>
    <w:rsid w:val="22A26D6B"/>
    <w:rsid w:val="22BE5AA5"/>
    <w:rsid w:val="22DA74AD"/>
    <w:rsid w:val="237D4CD9"/>
    <w:rsid w:val="23B13D75"/>
    <w:rsid w:val="23E2270E"/>
    <w:rsid w:val="24950BFD"/>
    <w:rsid w:val="24DC5439"/>
    <w:rsid w:val="24FF105C"/>
    <w:rsid w:val="2536529E"/>
    <w:rsid w:val="26085AF6"/>
    <w:rsid w:val="26CA0394"/>
    <w:rsid w:val="27710810"/>
    <w:rsid w:val="27D52B4D"/>
    <w:rsid w:val="28217B1C"/>
    <w:rsid w:val="29887CED"/>
    <w:rsid w:val="29947F83"/>
    <w:rsid w:val="2A084BFF"/>
    <w:rsid w:val="2B475A44"/>
    <w:rsid w:val="2BB720FB"/>
    <w:rsid w:val="2BEC2AEE"/>
    <w:rsid w:val="2D2307FE"/>
    <w:rsid w:val="2D27476B"/>
    <w:rsid w:val="2DA37F4F"/>
    <w:rsid w:val="2DCA2A28"/>
    <w:rsid w:val="2DF00CF5"/>
    <w:rsid w:val="2E426A62"/>
    <w:rsid w:val="2E7E638B"/>
    <w:rsid w:val="2F0355FE"/>
    <w:rsid w:val="2F095030"/>
    <w:rsid w:val="2F45067D"/>
    <w:rsid w:val="308275EA"/>
    <w:rsid w:val="312608BD"/>
    <w:rsid w:val="314B6311"/>
    <w:rsid w:val="31952F11"/>
    <w:rsid w:val="31B3427C"/>
    <w:rsid w:val="330C1043"/>
    <w:rsid w:val="33291F9F"/>
    <w:rsid w:val="333C43C8"/>
    <w:rsid w:val="333F3B4E"/>
    <w:rsid w:val="33580324"/>
    <w:rsid w:val="348A1EF0"/>
    <w:rsid w:val="348B5C73"/>
    <w:rsid w:val="3569521C"/>
    <w:rsid w:val="35764C90"/>
    <w:rsid w:val="359077B7"/>
    <w:rsid w:val="364827E6"/>
    <w:rsid w:val="36925FE7"/>
    <w:rsid w:val="3704289E"/>
    <w:rsid w:val="37841E99"/>
    <w:rsid w:val="37976071"/>
    <w:rsid w:val="37FE2480"/>
    <w:rsid w:val="3810372D"/>
    <w:rsid w:val="384339BF"/>
    <w:rsid w:val="38CC0B75"/>
    <w:rsid w:val="39557F91"/>
    <w:rsid w:val="39A22E64"/>
    <w:rsid w:val="3A0713A0"/>
    <w:rsid w:val="3B0A5D0C"/>
    <w:rsid w:val="3B0A6B5A"/>
    <w:rsid w:val="3B9F373E"/>
    <w:rsid w:val="3C9E156E"/>
    <w:rsid w:val="3D2A729E"/>
    <w:rsid w:val="3DAC6D7B"/>
    <w:rsid w:val="3E327009"/>
    <w:rsid w:val="3E420D1E"/>
    <w:rsid w:val="3E9D0A1A"/>
    <w:rsid w:val="3F605AA5"/>
    <w:rsid w:val="400E49F6"/>
    <w:rsid w:val="40343FC8"/>
    <w:rsid w:val="40AD74B0"/>
    <w:rsid w:val="410A340F"/>
    <w:rsid w:val="411C3143"/>
    <w:rsid w:val="413B6248"/>
    <w:rsid w:val="414E7948"/>
    <w:rsid w:val="416A5942"/>
    <w:rsid w:val="4170543C"/>
    <w:rsid w:val="42B10150"/>
    <w:rsid w:val="43831080"/>
    <w:rsid w:val="43C73BDB"/>
    <w:rsid w:val="4461570D"/>
    <w:rsid w:val="446472DA"/>
    <w:rsid w:val="451C236E"/>
    <w:rsid w:val="45357930"/>
    <w:rsid w:val="454E2F73"/>
    <w:rsid w:val="45C73E0C"/>
    <w:rsid w:val="45DE1FED"/>
    <w:rsid w:val="46213156"/>
    <w:rsid w:val="46BE6B28"/>
    <w:rsid w:val="4710743B"/>
    <w:rsid w:val="47353A03"/>
    <w:rsid w:val="47466840"/>
    <w:rsid w:val="47573D37"/>
    <w:rsid w:val="47AA512C"/>
    <w:rsid w:val="47B642F1"/>
    <w:rsid w:val="4899540A"/>
    <w:rsid w:val="48DC1609"/>
    <w:rsid w:val="4A031344"/>
    <w:rsid w:val="4A58343D"/>
    <w:rsid w:val="4A6F0787"/>
    <w:rsid w:val="4AD30AF6"/>
    <w:rsid w:val="4B615BF4"/>
    <w:rsid w:val="4BD42F98"/>
    <w:rsid w:val="4C83325D"/>
    <w:rsid w:val="4D632C04"/>
    <w:rsid w:val="4DB12E65"/>
    <w:rsid w:val="4DE374C2"/>
    <w:rsid w:val="4E042207"/>
    <w:rsid w:val="4E230DD5"/>
    <w:rsid w:val="4F437141"/>
    <w:rsid w:val="4F8649EB"/>
    <w:rsid w:val="502E0428"/>
    <w:rsid w:val="5044406C"/>
    <w:rsid w:val="51BC0559"/>
    <w:rsid w:val="52081BED"/>
    <w:rsid w:val="520D0164"/>
    <w:rsid w:val="53A54A39"/>
    <w:rsid w:val="53BE4506"/>
    <w:rsid w:val="53E62F65"/>
    <w:rsid w:val="54302D35"/>
    <w:rsid w:val="552C30CC"/>
    <w:rsid w:val="55944BB7"/>
    <w:rsid w:val="55B94C14"/>
    <w:rsid w:val="56033986"/>
    <w:rsid w:val="57256D9D"/>
    <w:rsid w:val="572C5C37"/>
    <w:rsid w:val="57F30C49"/>
    <w:rsid w:val="58030761"/>
    <w:rsid w:val="585F2D49"/>
    <w:rsid w:val="58990935"/>
    <w:rsid w:val="59B241EC"/>
    <w:rsid w:val="5C7F276B"/>
    <w:rsid w:val="5D1859F9"/>
    <w:rsid w:val="5DC4760A"/>
    <w:rsid w:val="5DEC79E2"/>
    <w:rsid w:val="5EB30DEE"/>
    <w:rsid w:val="5EEE213C"/>
    <w:rsid w:val="5F3C75E9"/>
    <w:rsid w:val="5F5521EA"/>
    <w:rsid w:val="5F9F3570"/>
    <w:rsid w:val="6008124A"/>
    <w:rsid w:val="603E67DA"/>
    <w:rsid w:val="606C4AC2"/>
    <w:rsid w:val="610D4EFC"/>
    <w:rsid w:val="61581B1D"/>
    <w:rsid w:val="61783F6D"/>
    <w:rsid w:val="61EF77DE"/>
    <w:rsid w:val="62424CCE"/>
    <w:rsid w:val="6329542F"/>
    <w:rsid w:val="63377F9B"/>
    <w:rsid w:val="63780255"/>
    <w:rsid w:val="63A728E8"/>
    <w:rsid w:val="64104931"/>
    <w:rsid w:val="643E65DF"/>
    <w:rsid w:val="64610811"/>
    <w:rsid w:val="64B13D89"/>
    <w:rsid w:val="654671F6"/>
    <w:rsid w:val="656142FE"/>
    <w:rsid w:val="679E512F"/>
    <w:rsid w:val="67C73559"/>
    <w:rsid w:val="67FB35BC"/>
    <w:rsid w:val="69592EED"/>
    <w:rsid w:val="69892350"/>
    <w:rsid w:val="699E5E58"/>
    <w:rsid w:val="69F3341D"/>
    <w:rsid w:val="6A7A48B2"/>
    <w:rsid w:val="6AC23015"/>
    <w:rsid w:val="6ACC03FB"/>
    <w:rsid w:val="6AFD4215"/>
    <w:rsid w:val="6BCE017D"/>
    <w:rsid w:val="6C1467D2"/>
    <w:rsid w:val="6C3A0AAD"/>
    <w:rsid w:val="6C85415D"/>
    <w:rsid w:val="6CE86891"/>
    <w:rsid w:val="6D6455EA"/>
    <w:rsid w:val="6D987B52"/>
    <w:rsid w:val="6DFB5D0A"/>
    <w:rsid w:val="6DFF3A4C"/>
    <w:rsid w:val="6EBA6A7F"/>
    <w:rsid w:val="6F3D15DC"/>
    <w:rsid w:val="6FB5461F"/>
    <w:rsid w:val="70474E83"/>
    <w:rsid w:val="721A08F9"/>
    <w:rsid w:val="7238752D"/>
    <w:rsid w:val="72607F50"/>
    <w:rsid w:val="73167922"/>
    <w:rsid w:val="73196D06"/>
    <w:rsid w:val="73857B20"/>
    <w:rsid w:val="73CC079E"/>
    <w:rsid w:val="73E27B7E"/>
    <w:rsid w:val="77C81353"/>
    <w:rsid w:val="782E0D0C"/>
    <w:rsid w:val="78FD6DDA"/>
    <w:rsid w:val="79D63CA4"/>
    <w:rsid w:val="7A16385A"/>
    <w:rsid w:val="7A167330"/>
    <w:rsid w:val="7A380A38"/>
    <w:rsid w:val="7AFC17EA"/>
    <w:rsid w:val="7B2B7CE0"/>
    <w:rsid w:val="7BFC781D"/>
    <w:rsid w:val="7C066A04"/>
    <w:rsid w:val="7C156228"/>
    <w:rsid w:val="7C560EBC"/>
    <w:rsid w:val="7C5D0B13"/>
    <w:rsid w:val="7CA0592E"/>
    <w:rsid w:val="7D221A47"/>
    <w:rsid w:val="7DE51D7E"/>
    <w:rsid w:val="7E307C52"/>
    <w:rsid w:val="7E687545"/>
    <w:rsid w:val="7E971AA1"/>
    <w:rsid w:val="7F7B6CAB"/>
    <w:rsid w:val="7FAB6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1"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5"/>
    <w:qFormat/>
    <w:uiPriority w:val="9"/>
    <w:pPr>
      <w:keepNext/>
      <w:keepLines/>
      <w:spacing w:before="340" w:after="330" w:line="576" w:lineRule="auto"/>
      <w:outlineLvl w:val="0"/>
    </w:pPr>
    <w:rPr>
      <w:rFonts w:ascii="Times New Roman" w:hAnsi="Times New Roman"/>
      <w:b/>
      <w:kern w:val="44"/>
      <w:sz w:val="44"/>
      <w:szCs w:val="44"/>
    </w:rPr>
  </w:style>
  <w:style w:type="paragraph" w:styleId="3">
    <w:name w:val="heading 2"/>
    <w:basedOn w:val="1"/>
    <w:next w:val="1"/>
    <w:link w:val="26"/>
    <w:qFormat/>
    <w:uiPriority w:val="9"/>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27"/>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firstLineChars="200"/>
    </w:pPr>
  </w:style>
  <w:style w:type="paragraph" w:styleId="6">
    <w:name w:val="annotation text"/>
    <w:basedOn w:val="1"/>
    <w:next w:val="1"/>
    <w:link w:val="28"/>
    <w:unhideWhenUsed/>
    <w:qFormat/>
    <w:uiPriority w:val="99"/>
    <w:pPr>
      <w:jc w:val="left"/>
    </w:pPr>
  </w:style>
  <w:style w:type="paragraph" w:styleId="7">
    <w:name w:val="Body Text"/>
    <w:basedOn w:val="1"/>
    <w:next w:val="1"/>
    <w:link w:val="29"/>
    <w:unhideWhenUsed/>
    <w:qFormat/>
    <w:uiPriority w:val="99"/>
    <w:pPr>
      <w:spacing w:after="120"/>
    </w:pPr>
  </w:style>
  <w:style w:type="paragraph" w:styleId="8">
    <w:name w:val="Body Text Indent"/>
    <w:basedOn w:val="1"/>
    <w:qFormat/>
    <w:uiPriority w:val="0"/>
    <w:pPr>
      <w:ind w:firstLine="600" w:firstLineChars="200"/>
    </w:pPr>
    <w:rPr>
      <w:rFonts w:ascii="(使用中文字体)" w:hAnsi="Times New Roman"/>
      <w:sz w:val="30"/>
      <w:szCs w:val="20"/>
    </w:rPr>
  </w:style>
  <w:style w:type="paragraph" w:styleId="9">
    <w:name w:val="Plain Text"/>
    <w:basedOn w:val="1"/>
    <w:next w:val="1"/>
    <w:link w:val="30"/>
    <w:unhideWhenUsed/>
    <w:qFormat/>
    <w:uiPriority w:val="99"/>
    <w:rPr>
      <w:rFonts w:ascii="宋体" w:hAnsi="Courier New" w:cs="Courier New"/>
      <w:szCs w:val="21"/>
    </w:rPr>
  </w:style>
  <w:style w:type="paragraph" w:styleId="10">
    <w:name w:val="Balloon Text"/>
    <w:basedOn w:val="1"/>
    <w:link w:val="31"/>
    <w:qFormat/>
    <w:uiPriority w:val="0"/>
    <w:rPr>
      <w:sz w:val="18"/>
      <w:szCs w:val="18"/>
    </w:rPr>
  </w:style>
  <w:style w:type="paragraph" w:styleId="11">
    <w:name w:val="footer"/>
    <w:basedOn w:val="1"/>
    <w:link w:val="32"/>
    <w:qFormat/>
    <w:uiPriority w:val="99"/>
    <w:pPr>
      <w:tabs>
        <w:tab w:val="center" w:pos="4153"/>
        <w:tab w:val="right" w:pos="8306"/>
      </w:tabs>
      <w:snapToGrid w:val="0"/>
      <w:jc w:val="left"/>
    </w:pPr>
    <w:rPr>
      <w:sz w:val="18"/>
      <w:szCs w:val="18"/>
    </w:rPr>
  </w:style>
  <w:style w:type="paragraph" w:styleId="12">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1"/>
    <w:pPr>
      <w:spacing w:line="272" w:lineRule="exact"/>
      <w:ind w:left="520"/>
    </w:pPr>
    <w:rPr>
      <w:rFonts w:ascii="宋体" w:hAnsi="宋体" w:cs="宋体"/>
      <w:szCs w:val="21"/>
    </w:rPr>
  </w:style>
  <w:style w:type="paragraph" w:styleId="15">
    <w:name w:val="Normal (Web)"/>
    <w:basedOn w:val="1"/>
    <w:unhideWhenUsed/>
    <w:qFormat/>
    <w:uiPriority w:val="99"/>
    <w:pPr>
      <w:widowControl/>
      <w:spacing w:beforeAutospacing="1" w:afterAutospacing="1"/>
      <w:jc w:val="left"/>
    </w:pPr>
    <w:rPr>
      <w:rFonts w:hint="eastAsia" w:ascii="宋体" w:hAnsi="宋体"/>
      <w:kern w:val="0"/>
      <w:sz w:val="24"/>
      <w:szCs w:val="24"/>
    </w:rPr>
  </w:style>
  <w:style w:type="paragraph" w:styleId="16">
    <w:name w:val="Title"/>
    <w:basedOn w:val="1"/>
    <w:next w:val="1"/>
    <w:link w:val="34"/>
    <w:qFormat/>
    <w:uiPriority w:val="0"/>
    <w:pPr>
      <w:spacing w:before="240" w:after="60"/>
      <w:jc w:val="center"/>
      <w:outlineLvl w:val="0"/>
    </w:pPr>
    <w:rPr>
      <w:rFonts w:ascii="Cambria" w:hAnsi="Cambria"/>
      <w:b/>
      <w:bCs/>
      <w:sz w:val="32"/>
      <w:szCs w:val="32"/>
    </w:rPr>
  </w:style>
  <w:style w:type="paragraph" w:styleId="17">
    <w:name w:val="annotation subject"/>
    <w:basedOn w:val="6"/>
    <w:next w:val="6"/>
    <w:link w:val="35"/>
    <w:unhideWhenUsed/>
    <w:qFormat/>
    <w:uiPriority w:val="99"/>
    <w:rPr>
      <w:b/>
      <w:bCs/>
    </w:rPr>
  </w:style>
  <w:style w:type="paragraph" w:styleId="18">
    <w:name w:val="Body Text First Indent 2"/>
    <w:basedOn w:val="8"/>
    <w:qFormat/>
    <w:uiPriority w:val="0"/>
    <w:pPr>
      <w:spacing w:after="120"/>
      <w:ind w:left="420" w:leftChars="200" w:firstLine="420"/>
    </w:pPr>
    <w:rPr>
      <w:rFonts w:hAnsi="(使用中文字体)"/>
      <w:sz w:val="20"/>
      <w:szCs w:val="24"/>
    </w:rPr>
  </w:style>
  <w:style w:type="character" w:styleId="21">
    <w:name w:val="Strong"/>
    <w:qFormat/>
    <w:uiPriority w:val="22"/>
    <w:rPr>
      <w:b/>
    </w:rPr>
  </w:style>
  <w:style w:type="character" w:styleId="22">
    <w:name w:val="FollowedHyperlink"/>
    <w:unhideWhenUsed/>
    <w:qFormat/>
    <w:uiPriority w:val="99"/>
    <w:rPr>
      <w:color w:val="800080"/>
      <w:u w:val="single"/>
    </w:rPr>
  </w:style>
  <w:style w:type="character" w:styleId="23">
    <w:name w:val="Hyperlink"/>
    <w:unhideWhenUsed/>
    <w:qFormat/>
    <w:uiPriority w:val="99"/>
    <w:rPr>
      <w:color w:val="0000FF"/>
      <w:u w:val="single"/>
    </w:rPr>
  </w:style>
  <w:style w:type="character" w:styleId="24">
    <w:name w:val="annotation reference"/>
    <w:unhideWhenUsed/>
    <w:qFormat/>
    <w:uiPriority w:val="99"/>
    <w:rPr>
      <w:sz w:val="21"/>
      <w:szCs w:val="21"/>
    </w:rPr>
  </w:style>
  <w:style w:type="character" w:customStyle="1" w:styleId="25">
    <w:name w:val="标题 1 字符"/>
    <w:link w:val="2"/>
    <w:qFormat/>
    <w:uiPriority w:val="9"/>
    <w:rPr>
      <w:rFonts w:ascii="Times New Roman" w:hAnsi="Times New Roman" w:eastAsia="宋体" w:cs="Times New Roman"/>
      <w:b/>
      <w:kern w:val="44"/>
      <w:sz w:val="44"/>
      <w:szCs w:val="44"/>
    </w:rPr>
  </w:style>
  <w:style w:type="character" w:customStyle="1" w:styleId="26">
    <w:name w:val="标题 2 字符"/>
    <w:link w:val="3"/>
    <w:qFormat/>
    <w:uiPriority w:val="9"/>
    <w:rPr>
      <w:rFonts w:ascii="Calibri Light" w:hAnsi="Calibri Light" w:eastAsia="宋体" w:cs="Times New Roman"/>
      <w:b/>
      <w:bCs/>
      <w:sz w:val="32"/>
      <w:szCs w:val="32"/>
    </w:rPr>
  </w:style>
  <w:style w:type="character" w:customStyle="1" w:styleId="27">
    <w:name w:val="标题 3 字符"/>
    <w:link w:val="4"/>
    <w:semiHidden/>
    <w:qFormat/>
    <w:uiPriority w:val="9"/>
    <w:rPr>
      <w:rFonts w:ascii="Calibri" w:hAnsi="Calibri" w:eastAsia="宋体"/>
      <w:b/>
      <w:bCs/>
      <w:kern w:val="2"/>
      <w:sz w:val="32"/>
      <w:szCs w:val="32"/>
    </w:rPr>
  </w:style>
  <w:style w:type="character" w:customStyle="1" w:styleId="28">
    <w:name w:val="批注文字 字符"/>
    <w:link w:val="6"/>
    <w:qFormat/>
    <w:uiPriority w:val="99"/>
    <w:rPr>
      <w:rFonts w:ascii="Calibri" w:hAnsi="Calibri" w:eastAsia="宋体"/>
      <w:kern w:val="2"/>
      <w:sz w:val="21"/>
      <w:szCs w:val="22"/>
    </w:rPr>
  </w:style>
  <w:style w:type="character" w:customStyle="1" w:styleId="29">
    <w:name w:val="正文文本 字符"/>
    <w:link w:val="7"/>
    <w:semiHidden/>
    <w:qFormat/>
    <w:uiPriority w:val="99"/>
    <w:rPr>
      <w:rFonts w:ascii="Calibri" w:hAnsi="Calibri" w:eastAsia="宋体"/>
      <w:kern w:val="2"/>
      <w:sz w:val="21"/>
      <w:szCs w:val="22"/>
    </w:rPr>
  </w:style>
  <w:style w:type="character" w:customStyle="1" w:styleId="30">
    <w:name w:val="纯文本 字符"/>
    <w:link w:val="9"/>
    <w:qFormat/>
    <w:uiPriority w:val="99"/>
    <w:rPr>
      <w:rFonts w:ascii="宋体" w:hAnsi="Courier New" w:eastAsia="宋体" w:cs="Courier New"/>
      <w:szCs w:val="21"/>
    </w:rPr>
  </w:style>
  <w:style w:type="character" w:customStyle="1" w:styleId="31">
    <w:name w:val="批注框文本 字符"/>
    <w:link w:val="10"/>
    <w:qFormat/>
    <w:uiPriority w:val="0"/>
    <w:rPr>
      <w:rFonts w:ascii="Calibri" w:hAnsi="Calibri" w:eastAsia="宋体" w:cs="Times New Roman"/>
      <w:sz w:val="18"/>
      <w:szCs w:val="18"/>
    </w:rPr>
  </w:style>
  <w:style w:type="character" w:customStyle="1" w:styleId="32">
    <w:name w:val="页脚 字符"/>
    <w:link w:val="11"/>
    <w:qFormat/>
    <w:uiPriority w:val="99"/>
    <w:rPr>
      <w:rFonts w:ascii="Calibri" w:hAnsi="Calibri" w:eastAsia="宋体" w:cs="Times New Roman"/>
      <w:sz w:val="18"/>
      <w:szCs w:val="18"/>
    </w:rPr>
  </w:style>
  <w:style w:type="character" w:customStyle="1" w:styleId="33">
    <w:name w:val="页眉 字符"/>
    <w:link w:val="12"/>
    <w:qFormat/>
    <w:uiPriority w:val="99"/>
    <w:rPr>
      <w:rFonts w:ascii="Calibri" w:hAnsi="Calibri" w:eastAsia="宋体" w:cs="Times New Roman"/>
      <w:sz w:val="18"/>
      <w:szCs w:val="18"/>
    </w:rPr>
  </w:style>
  <w:style w:type="character" w:customStyle="1" w:styleId="34">
    <w:name w:val="标题 字符"/>
    <w:link w:val="16"/>
    <w:qFormat/>
    <w:uiPriority w:val="0"/>
    <w:rPr>
      <w:rFonts w:ascii="Cambria" w:hAnsi="Cambria" w:eastAsia="宋体"/>
      <w:b/>
      <w:bCs/>
      <w:kern w:val="2"/>
      <w:sz w:val="32"/>
      <w:szCs w:val="32"/>
    </w:rPr>
  </w:style>
  <w:style w:type="character" w:customStyle="1" w:styleId="35">
    <w:name w:val="批注主题 字符"/>
    <w:link w:val="17"/>
    <w:semiHidden/>
    <w:qFormat/>
    <w:uiPriority w:val="99"/>
    <w:rPr>
      <w:rFonts w:ascii="Calibri" w:hAnsi="Calibri" w:eastAsia="宋体"/>
      <w:b/>
      <w:bCs/>
      <w:kern w:val="2"/>
      <w:sz w:val="21"/>
      <w:szCs w:val="22"/>
    </w:rPr>
  </w:style>
  <w:style w:type="paragraph" w:customStyle="1" w:styleId="36">
    <w:name w:val="样式 宋体 行距: 1.5 倍行距"/>
    <w:basedOn w:val="1"/>
    <w:qFormat/>
    <w:uiPriority w:val="99"/>
    <w:pPr>
      <w:jc w:val="center"/>
    </w:pPr>
    <w:rPr>
      <w:b/>
      <w:bCs/>
    </w:rPr>
  </w:style>
  <w:style w:type="paragraph" w:styleId="37">
    <w:name w:val="No Spacing"/>
    <w:basedOn w:val="1"/>
    <w:qFormat/>
    <w:uiPriority w:val="99"/>
  </w:style>
  <w:style w:type="paragraph" w:customStyle="1" w:styleId="38">
    <w:name w:val="WPSOffice手动目录 1"/>
    <w:qFormat/>
    <w:uiPriority w:val="0"/>
    <w:rPr>
      <w:rFonts w:ascii="等线" w:hAnsi="等线" w:eastAsia="等线" w:cs="Times New Roman"/>
      <w:lang w:val="en-US" w:eastAsia="zh-CN" w:bidi="ar-SA"/>
    </w:rPr>
  </w:style>
  <w:style w:type="paragraph" w:customStyle="1" w:styleId="39">
    <w:name w:val="WPSOffice手动目录 2"/>
    <w:qFormat/>
    <w:uiPriority w:val="0"/>
    <w:pPr>
      <w:ind w:left="200" w:leftChars="200"/>
    </w:pPr>
    <w:rPr>
      <w:rFonts w:ascii="等线" w:hAnsi="等线" w:eastAsia="等线" w:cs="Times New Roman"/>
      <w:lang w:val="en-US" w:eastAsia="zh-CN" w:bidi="ar-SA"/>
    </w:rPr>
  </w:style>
  <w:style w:type="paragraph" w:customStyle="1" w:styleId="40">
    <w:name w:val="_Style 39"/>
    <w:unhideWhenUsed/>
    <w:qFormat/>
    <w:uiPriority w:val="99"/>
    <w:rPr>
      <w:rFonts w:ascii="Calibri" w:hAnsi="Calibri" w:eastAsia="宋体" w:cs="Times New Roman"/>
      <w:kern w:val="2"/>
      <w:sz w:val="21"/>
      <w:szCs w:val="22"/>
      <w:lang w:val="en-US" w:eastAsia="zh-CN" w:bidi="ar-SA"/>
    </w:rPr>
  </w:style>
  <w:style w:type="paragraph" w:customStyle="1" w:styleId="41">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42">
    <w:name w:val="正题"/>
    <w:basedOn w:val="1"/>
    <w:next w:val="1"/>
    <w:qFormat/>
    <w:uiPriority w:val="0"/>
    <w:pPr>
      <w:topLinePunct/>
      <w:adjustRightInd w:val="0"/>
      <w:snapToGrid w:val="0"/>
      <w:spacing w:line="360" w:lineRule="auto"/>
      <w:jc w:val="center"/>
    </w:pPr>
    <w:rPr>
      <w:rFonts w:ascii="等线" w:hAnsi="等线" w:eastAsia="黑体"/>
      <w:b/>
      <w:snapToGrid w:val="0"/>
      <w:spacing w:val="4"/>
      <w:sz w:val="36"/>
      <w:szCs w:val="36"/>
    </w:rPr>
  </w:style>
  <w:style w:type="paragraph" w:customStyle="1" w:styleId="4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4">
    <w:name w:val="发文落款"/>
    <w:basedOn w:val="43"/>
    <w:qFormat/>
    <w:uiPriority w:val="0"/>
    <w:pPr>
      <w:ind w:left="4094" w:right="607" w:firstLine="0"/>
      <w:jc w:val="center"/>
    </w:pPr>
  </w:style>
  <w:style w:type="character" w:customStyle="1" w:styleId="45">
    <w:name w:val="NormalCharacter"/>
    <w:qFormat/>
    <w:uiPriority w:val="0"/>
    <w:rPr>
      <w:rFonts w:ascii="等线" w:hAnsi="等线" w:eastAsia="等线"/>
      <w:kern w:val="2"/>
      <w:sz w:val="21"/>
      <w:szCs w:val="24"/>
      <w:lang w:val="en-US" w:eastAsia="zh-CN" w:bidi="ar-SA"/>
    </w:rPr>
  </w:style>
  <w:style w:type="paragraph" w:customStyle="1" w:styleId="46">
    <w:name w:val="Table Paragraph"/>
    <w:basedOn w:val="1"/>
    <w:qFormat/>
    <w:uiPriority w:val="0"/>
  </w:style>
  <w:style w:type="paragraph" w:customStyle="1" w:styleId="47">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84</Pages>
  <Words>385</Words>
  <Characters>539</Characters>
  <Lines>2157</Lines>
  <Paragraphs>1659</Paragraphs>
  <TotalTime>55</TotalTime>
  <ScaleCrop>false</ScaleCrop>
  <LinksUpToDate>false</LinksUpToDate>
  <CharactersWithSpaces>609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2025-04-30T03:52:00Z</dcterms:created>
  <dc:creator>未定义</dc:creator>
  <cp:lastModifiedBy>@</cp:lastModifiedBy>
  <cp:lastPrinted>2025-08-25T06:26:00Z</cp:lastPrinted>
  <dcterms:modified xsi:type="dcterms:W3CDTF">2025-11-28T10:52:02Z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77A3967121CE4A9EB5191BC5F66886F2_13</vt:lpwstr>
  </property>
  <property fmtid="{D5CDD505-2E9C-101B-9397-08002B2CF9AE}" pid="4" name="KSOTemplateDocerSaveRecord">
    <vt:lpwstr>eyJoZGlkIjoiMWNjOThmNGU5ZDljY2YzNGJiYWZmZWQwODVkNjA0NDUiLCJ1c2VySWQiOiIxMjAwMzczODQwIn0=</vt:lpwstr>
  </property>
</Properties>
</file>