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99DD0">
      <w:pPr>
        <w:autoSpaceDE w:val="0"/>
        <w:autoSpaceDN w:val="0"/>
        <w:spacing w:before="11" w:line="264" w:lineRule="auto"/>
        <w:ind w:left="222" w:right="228"/>
        <w:jc w:val="center"/>
        <w:rPr>
          <w:rFonts w:hint="eastAsia" w:ascii="宋体" w:hAnsi="宋体" w:eastAsia="宋体" w:cs="宋体"/>
          <w:b/>
          <w:color w:val="000000" w:themeColor="text1"/>
          <w:spacing w:val="-3"/>
          <w:sz w:val="30"/>
          <w:szCs w:val="30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-3"/>
          <w:sz w:val="30"/>
          <w:szCs w:val="30"/>
          <w:highlight w:val="none"/>
          <w:lang w:bidi="ar"/>
          <w14:textFill>
            <w14:solidFill>
              <w14:schemeClr w14:val="tx1"/>
            </w14:solidFill>
          </w14:textFill>
        </w:rPr>
        <w:t>广汽自主电池项目二期电气外网及厂区配电设备安装工程项目</w:t>
      </w:r>
    </w:p>
    <w:p w14:paraId="148B502C">
      <w:pPr>
        <w:autoSpaceDE w:val="0"/>
        <w:autoSpaceDN w:val="0"/>
        <w:spacing w:before="11" w:line="264" w:lineRule="auto"/>
        <w:ind w:left="222" w:right="228"/>
        <w:jc w:val="center"/>
        <w:rPr>
          <w:rFonts w:ascii="Calibri" w:hAnsi="Calibri" w:eastAsia="宋体" w:cs="Times New Roman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-4"/>
          <w:kern w:val="0"/>
          <w:sz w:val="30"/>
          <w:szCs w:val="30"/>
          <w:highlight w:val="none"/>
          <w:lang w:bidi="ar"/>
          <w14:textFill>
            <w14:solidFill>
              <w14:schemeClr w14:val="tx1"/>
            </w14:solidFill>
          </w14:textFill>
        </w:rPr>
        <w:t>补充公告</w:t>
      </w:r>
    </w:p>
    <w:p w14:paraId="24F5AC17">
      <w:pPr>
        <w:pStyle w:val="3"/>
        <w:widowControl/>
        <w:spacing w:before="0" w:line="360" w:lineRule="auto"/>
        <w:ind w:left="0" w:right="232"/>
        <w:jc w:val="both"/>
        <w:rPr>
          <w:rFonts w:hint="default" w:cs="宋体"/>
          <w:b w:val="0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宋体"/>
          <w:b w:val="0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1EF241E6">
      <w:pPr>
        <w:pStyle w:val="3"/>
        <w:widowControl/>
        <w:spacing w:before="0" w:line="360" w:lineRule="auto"/>
        <w:ind w:left="0" w:right="232"/>
        <w:jc w:val="both"/>
        <w:rPr>
          <w:rFonts w:hint="default" w:cs="宋体"/>
          <w:b w:val="0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宋体"/>
          <w:b w:val="0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各相关单位：</w:t>
      </w:r>
    </w:p>
    <w:p w14:paraId="7EC900D8">
      <w:pPr>
        <w:pStyle w:val="3"/>
        <w:widowControl/>
        <w:spacing w:before="0" w:line="360" w:lineRule="auto"/>
        <w:ind w:left="0" w:right="232" w:firstLine="480" w:firstLineChars="200"/>
        <w:jc w:val="both"/>
        <w:rPr>
          <w:rFonts w:hint="default" w:cs="宋体"/>
          <w:b w:val="0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广汽自主电池项目二期电气外网及厂区配电设备安装工程项目</w:t>
      </w:r>
      <w:r>
        <w:rPr>
          <w:rFonts w:ascii="宋体" w:hAnsi="宋体" w:eastAsia="宋体" w:cs="宋体"/>
          <w:b w:val="0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（项目编号：</w:t>
      </w:r>
      <w:r>
        <w:rPr>
          <w:rFonts w:hint="eastAsia" w:ascii="宋体" w:hAnsi="宋体" w:eastAsia="宋体" w:cs="宋体"/>
          <w:b w:val="0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JG2025-5338</w:t>
      </w:r>
      <w:r>
        <w:rPr>
          <w:rFonts w:ascii="宋体" w:hAnsi="宋体" w:eastAsia="宋体" w:cs="宋体"/>
          <w:b w:val="0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）于2025年11月</w:t>
      </w:r>
      <w:r>
        <w:rPr>
          <w:rFonts w:hint="eastAsia" w:ascii="宋体" w:hAnsi="宋体" w:eastAsia="宋体" w:cs="宋体"/>
          <w:b w:val="0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宋体" w:hAnsi="宋体" w:eastAsia="宋体" w:cs="宋体"/>
          <w:b w:val="0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日在广州公共资源交易中心网、广东省招标投标监管网、中国招标投标公共服务平台、</w:t>
      </w:r>
      <w:r>
        <w:rPr>
          <w:rFonts w:hint="eastAsia" w:ascii="宋体" w:hAnsi="宋体" w:eastAsia="宋体" w:cs="宋体"/>
          <w:b w:val="0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广州国企阳光采购信息发布平台</w:t>
      </w:r>
      <w:r>
        <w:rPr>
          <w:rFonts w:ascii="宋体" w:hAnsi="宋体" w:eastAsia="宋体" w:cs="宋体"/>
          <w:b w:val="0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网上发布</w:t>
      </w:r>
      <w:r>
        <w:rPr>
          <w:rFonts w:cs="宋体"/>
          <w:b w:val="0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招标公告，现对原招标文件相关内容调整如下：</w:t>
      </w:r>
    </w:p>
    <w:p w14:paraId="660F0B6C">
      <w:pPr>
        <w:pStyle w:val="3"/>
        <w:widowControl/>
        <w:numPr>
          <w:ilvl w:val="0"/>
          <w:numId w:val="0"/>
        </w:numPr>
        <w:spacing w:before="0" w:line="360" w:lineRule="auto"/>
        <w:ind w:leftChars="200" w:right="232" w:rightChars="0"/>
        <w:jc w:val="both"/>
        <w:rPr>
          <w:rFonts w:hint="eastAsia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修改</w:t>
      </w:r>
      <w:r>
        <w:rPr>
          <w:rFonts w:hint="eastAsia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F842A34">
      <w:pPr>
        <w:widowControl w:val="0"/>
        <w:numPr>
          <w:ilvl w:val="0"/>
          <w:numId w:val="0"/>
        </w:numPr>
        <w:jc w:val="both"/>
        <w:rPr>
          <w:rFonts w:hint="default"/>
        </w:rPr>
      </w:pPr>
    </w:p>
    <w:tbl>
      <w:tblPr>
        <w:tblStyle w:val="13"/>
        <w:tblW w:w="13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759"/>
        <w:gridCol w:w="5463"/>
        <w:gridCol w:w="5574"/>
      </w:tblGrid>
      <w:tr w14:paraId="6F21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3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85D4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DB09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修改条款</w:t>
            </w:r>
          </w:p>
        </w:tc>
        <w:tc>
          <w:tcPr>
            <w:tcW w:w="5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94891">
            <w:pPr>
              <w:pStyle w:val="11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原文</w:t>
            </w:r>
          </w:p>
        </w:tc>
        <w:tc>
          <w:tcPr>
            <w:tcW w:w="5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10905">
            <w:pPr>
              <w:pStyle w:val="11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ind w:firstLine="105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现文</w:t>
            </w:r>
          </w:p>
        </w:tc>
      </w:tr>
      <w:tr w14:paraId="10EE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74C1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3EC0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招标公告第三条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建设地址</w:t>
            </w:r>
          </w:p>
        </w:tc>
        <w:tc>
          <w:tcPr>
            <w:tcW w:w="5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146F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广州市番禺区化龙镇东龙大道168号广汽集团番禺总部东门及周边区域。</w:t>
            </w:r>
          </w:p>
        </w:tc>
        <w:tc>
          <w:tcPr>
            <w:tcW w:w="5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DC48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 w:eastAsiaTheme="minorEastAsia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  <w:szCs w:val="24"/>
              </w:rPr>
              <w:t>广州市番禺区龙泽路239号因湃电池科技有限公司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676A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DDE7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36F7A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招标公告第四条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项目概况</w:t>
            </w:r>
          </w:p>
        </w:tc>
        <w:tc>
          <w:tcPr>
            <w:tcW w:w="5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4462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  <w:szCs w:val="24"/>
                <w:highlight w:val="none"/>
              </w:rPr>
              <w:t>广州市</w:t>
            </w:r>
            <w:r>
              <w:rPr>
                <w:rFonts w:ascii="ˎ̥" w:hAnsi="ˎ̥" w:cs="宋体"/>
                <w:color w:val="000000"/>
                <w:kern w:val="0"/>
                <w:sz w:val="24"/>
                <w:szCs w:val="24"/>
                <w:highlight w:val="none"/>
              </w:rPr>
              <w:t>番禺区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  <w:szCs w:val="24"/>
                <w:highlight w:val="none"/>
              </w:rPr>
              <w:t>龙</w:t>
            </w:r>
            <w:r>
              <w:rPr>
                <w:rFonts w:ascii="ˎ̥" w:hAnsi="ˎ̥" w:cs="宋体"/>
                <w:color w:val="000000"/>
                <w:kern w:val="0"/>
                <w:sz w:val="24"/>
                <w:szCs w:val="24"/>
                <w:highlight w:val="none"/>
              </w:rPr>
              <w:t>瀛路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  <w:szCs w:val="24"/>
                <w:highlight w:val="none"/>
              </w:rPr>
              <w:t>因湃电池科技有限公司工厂各电房</w:t>
            </w:r>
            <w:r>
              <w:rPr>
                <w:rFonts w:ascii="ˎ̥" w:hAnsi="ˎ̥" w:cs="宋体"/>
                <w:color w:val="000000"/>
                <w:kern w:val="0"/>
                <w:sz w:val="24"/>
                <w:szCs w:val="24"/>
                <w:highlight w:val="none"/>
              </w:rPr>
              <w:t>内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  <w:szCs w:val="24"/>
                <w:highlight w:val="none"/>
              </w:rPr>
              <w:t>（指定位置含卸货，电房位置在二层平台，需综合考虑吊装费用）。</w:t>
            </w:r>
          </w:p>
        </w:tc>
        <w:tc>
          <w:tcPr>
            <w:tcW w:w="5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8BBA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  <w:szCs w:val="24"/>
              </w:rPr>
              <w:t>C4-1产线对应电芯2车间电房及综合站房电房设备及其配套。</w:t>
            </w:r>
          </w:p>
        </w:tc>
      </w:tr>
      <w:tr w14:paraId="4693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8654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3E768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招标公告第五条第2点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招标内容</w:t>
            </w:r>
          </w:p>
        </w:tc>
        <w:tc>
          <w:tcPr>
            <w:tcW w:w="5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543B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ˎ̥" w:hAnsi="ˎ̥" w:cs="宋体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ˎ̥" w:hAnsi="ˎ̥" w:eastAsia="宋体" w:cs="宋体"/>
                <w:color w:val="000000"/>
                <w:kern w:val="0"/>
                <w:sz w:val="24"/>
                <w:szCs w:val="24"/>
                <w:highlight w:val="none"/>
                <w:u w:val="none"/>
              </w:rPr>
              <w:t>建设内容包含电房高低压电柜、变压器采购安装试验、调试，高压电缆采购、敷设、安装调试，电力后台系统搭建等，对应供电局相关流程、手续申请办理等</w:t>
            </w:r>
            <w:r>
              <w:rPr>
                <w:rFonts w:hint="eastAsia" w:ascii="ˎ̥" w:hAnsi="ˎ̥" w:eastAsia="宋体" w:cs="宋体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u w:val="none"/>
              </w:rPr>
              <w:t>按发包人提供的招标文件、工程量清单、招标答疑文件、全套施工图纸、设计说明及补充说明，承包本项目所有施工内容（具体详见施工图纸和工程量清单）。</w:t>
            </w:r>
          </w:p>
        </w:tc>
        <w:tc>
          <w:tcPr>
            <w:tcW w:w="5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839C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ˎ̥" w:hAnsi="ˎ̥" w:cs="宋体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ˎ̥" w:hAnsi="ˎ̥" w:eastAsia="宋体" w:cs="宋体"/>
                <w:color w:val="000000"/>
                <w:kern w:val="0"/>
                <w:sz w:val="24"/>
                <w:szCs w:val="24"/>
                <w:highlight w:val="none"/>
                <w:u w:val="none"/>
              </w:rPr>
              <w:t>建设内容包含</w:t>
            </w:r>
            <w:r>
              <w:rPr>
                <w:rFonts w:hint="eastAsia" w:ascii="ˎ̥" w:hAnsi="ˎ̥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电压等级为 10kV的</w:t>
            </w:r>
            <w:r>
              <w:rPr>
                <w:rFonts w:hint="eastAsia" w:ascii="ˎ̥" w:hAnsi="ˎ̥" w:eastAsia="宋体" w:cs="宋体"/>
                <w:color w:val="000000"/>
                <w:kern w:val="0"/>
                <w:sz w:val="24"/>
                <w:szCs w:val="24"/>
                <w:highlight w:val="none"/>
                <w:u w:val="none"/>
              </w:rPr>
              <w:t>电房高低压电柜、变压器采购安装试验、调试，高压电缆采购、敷设、安装调试，电力后台系统搭建等，对应供电局相关流程、手续申请办理等</w:t>
            </w:r>
            <w:r>
              <w:rPr>
                <w:rFonts w:hint="eastAsia" w:ascii="ˎ̥" w:hAnsi="ˎ̥" w:eastAsia="宋体" w:cs="宋体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u w:val="none"/>
              </w:rPr>
              <w:t>按发包人提供的招标文件、工程量清单、招标答疑文件、全套施工图纸、设计说明及补充说明，承包本项目所有施工内容（具体详见施工图纸和工程量清单）。</w:t>
            </w:r>
          </w:p>
        </w:tc>
      </w:tr>
      <w:tr w14:paraId="78E8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EA02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F92D940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招标公告第九条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投标人合格条件第8点</w:t>
            </w:r>
          </w:p>
        </w:tc>
        <w:tc>
          <w:tcPr>
            <w:tcW w:w="5463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12C53D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投标人自2021年1月1日至今完成过质量合格的类似工程业绩（类似工程业绩是指完成的质量合格且电压等级为10kV（或以上）的单项合同金额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highlight w:val="none"/>
                <w:lang w:val="en-US" w:eastAsia="zh-CN"/>
              </w:rPr>
              <w:t>1500万元（或以上）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电力施工工程业绩）。</w:t>
            </w:r>
          </w:p>
        </w:tc>
        <w:tc>
          <w:tcPr>
            <w:tcW w:w="5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860B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ˎ̥" w:hAnsi="ˎ̥" w:eastAsia="宋体" w:cs="宋体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投标人自2021年1月1日至今完成过质量合格的类似工程业绩（类似工程业绩是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指完成的质量合格且单项合同金额 1500万元（或以上）电力施工工程业绩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）。</w:t>
            </w:r>
          </w:p>
        </w:tc>
      </w:tr>
    </w:tbl>
    <w:p w14:paraId="25A72EE0">
      <w:pPr>
        <w:widowControl w:val="0"/>
        <w:numPr>
          <w:ilvl w:val="0"/>
          <w:numId w:val="0"/>
        </w:numPr>
        <w:jc w:val="both"/>
        <w:rPr>
          <w:rFonts w:hint="default"/>
        </w:rPr>
      </w:pPr>
    </w:p>
    <w:p w14:paraId="6E18871E">
      <w:pPr>
        <w:pStyle w:val="3"/>
        <w:widowControl/>
        <w:numPr>
          <w:ilvl w:val="0"/>
          <w:numId w:val="0"/>
        </w:numPr>
        <w:spacing w:before="0" w:line="360" w:lineRule="auto"/>
        <w:ind w:leftChars="200" w:right="232" w:rightChars="0"/>
        <w:jc w:val="both"/>
        <w:rPr>
          <w:rFonts w:hint="eastAsia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修改</w:t>
      </w:r>
      <w:r>
        <w:rPr>
          <w:rFonts w:hint="eastAsia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13"/>
        <w:tblW w:w="13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680"/>
        <w:gridCol w:w="5592"/>
        <w:gridCol w:w="5592"/>
      </w:tblGrid>
      <w:tr w14:paraId="34A2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8879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BDF2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修改条款</w:t>
            </w:r>
          </w:p>
        </w:tc>
        <w:tc>
          <w:tcPr>
            <w:tcW w:w="5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7A98D">
            <w:pPr>
              <w:pStyle w:val="11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原文</w:t>
            </w:r>
          </w:p>
        </w:tc>
        <w:tc>
          <w:tcPr>
            <w:tcW w:w="5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83ED2">
            <w:pPr>
              <w:pStyle w:val="11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ind w:firstLine="105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现文</w:t>
            </w:r>
          </w:p>
        </w:tc>
      </w:tr>
      <w:tr w14:paraId="5D136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A109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9F86D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招标文件《投标须知前附表》条款号第16.1关于投标保证金的说明与要求第7点</w:t>
            </w:r>
          </w:p>
        </w:tc>
        <w:tc>
          <w:tcPr>
            <w:tcW w:w="5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04466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若投标人存在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16.4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条款所列情形，该投标人应在发现存在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16.4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条款所列情形之日起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个工作日内补交人民币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0万元投标保证金；若未按要求补交投标保证金的将暂停其参与招标人后续工程投标，直至完成补交手续为止。</w:t>
            </w:r>
          </w:p>
        </w:tc>
        <w:tc>
          <w:tcPr>
            <w:tcW w:w="5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0CDCA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若投标人存在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16.4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条款所列情形，该投标人应在发现存在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16.4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条款所列情形之日起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个工作日内补交人民币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</w:rPr>
              <w:t>0万元投标保证金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；若未按要求补交投标保证金的将暂停其参与招标人后续工程投标，直至完成补交手续为止。</w:t>
            </w:r>
          </w:p>
        </w:tc>
      </w:tr>
      <w:tr w14:paraId="7E88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110D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8E9B9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招标文件《开标、评标及定标办法修改表》第45.</w:t>
            </w:r>
            <w:r>
              <w:rPr>
                <w:rFonts w:hint="eastAsia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63D64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计算通过技术标有效性审查的投标人总得分。投标人总得分=技术得分×技术得分权重（20%）＋经济得分×经济得分权重（80%）。技术、经济得分权重按投标须知前附表的规定执行。总得分四舍五入保留两位小数。总得分相同的，以技术得分高的排前；总得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与技术标得分均相同的投标文件，以报价较低的排前；如仍存在相同情况，则对具有相同情况的投标人，按中标候选人数量规定，由评标委员会采用随机抽取方式，确定中标候选人的排序。</w:t>
            </w:r>
          </w:p>
        </w:tc>
        <w:tc>
          <w:tcPr>
            <w:tcW w:w="5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8B733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计算通过技术标有效性审查的投标人总得分。投标人总得分=技术得分×技术得分权重（20%）＋经济得分×经济得分权重（80%）。技术、经济得分权重按投标须知前附表的规定执行。总得分四舍五入保留两位小数。总得分相同的，以技术得分高的排前；总得分与技术标得分均相同的投标文件，以报价较低的排前；如仍存在相同情况，则对具有相同情况的投标人，按中标候选人数量规定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由评标专家记名投票方式确定中标候选人排序。</w:t>
            </w:r>
          </w:p>
        </w:tc>
      </w:tr>
      <w:tr w14:paraId="5A70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92D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BD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招标文件《技术标详细审查评分表》（一）企业资信关于“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第三方评价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”的评分标准</w:t>
            </w:r>
          </w:p>
        </w:tc>
        <w:tc>
          <w:tcPr>
            <w:tcW w:w="5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84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投标人至今（含2024年）被评为纳税信用A级纳税人称号的：</w:t>
            </w:r>
          </w:p>
          <w:p w14:paraId="05E57A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（1）连续5个年度被评为纳税信用A级纳税人称号的得6分；</w:t>
            </w:r>
          </w:p>
          <w:p w14:paraId="35FB4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（2）连续3-4个年度被评为纳税信用A级纳税人称号的得4分；</w:t>
            </w:r>
          </w:p>
          <w:p w14:paraId="66381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（3）只有1-2个年度被评为纳税信用A级纳税人称号的得2分；</w:t>
            </w:r>
          </w:p>
          <w:p w14:paraId="23AD0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其他情况不得分。</w:t>
            </w:r>
          </w:p>
          <w:p w14:paraId="7D885F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注：提供国家税务总局纳税信用A级查询截图或纳税信用A级荣誉证书原件复印件/扫描件。</w:t>
            </w:r>
          </w:p>
        </w:tc>
        <w:tc>
          <w:tcPr>
            <w:tcW w:w="5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4F9D5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投标人至今（含2024年）被评为纳税信用A级纳税人称号的：</w:t>
            </w:r>
          </w:p>
          <w:p w14:paraId="6ADA7B1D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1)、连续 5个年度被评为纳税信用 A 级纳税人称号的，得6分；</w:t>
            </w:r>
          </w:p>
          <w:p w14:paraId="7C77F5E2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2)、连续 4个年度被评为纳税信用 A 级纳税人称号的，得5分；</w:t>
            </w:r>
          </w:p>
          <w:p w14:paraId="67C964A6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3)、连续 3个年度被评为纳税信用 A 级纳税人称号的，得4分；</w:t>
            </w:r>
          </w:p>
          <w:p w14:paraId="49A4A2A5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4)、连续 2个年度被评为纳税信用 A 级纳税人称号的，得3分；</w:t>
            </w:r>
          </w:p>
          <w:p w14:paraId="45B7E7EE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5)、1个年度被评为纳税信用 A 级纳税人称号的，得2分；</w:t>
            </w:r>
          </w:p>
          <w:p w14:paraId="14EA79EE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其他情况不得分。</w:t>
            </w:r>
          </w:p>
          <w:p w14:paraId="07E777E7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注：提供国家税务总局纳税信用A级查询截图或纳税信用A级荣誉证书原件复印件/扫描件。</w:t>
            </w:r>
          </w:p>
        </w:tc>
      </w:tr>
      <w:tr w14:paraId="7ED8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BAA7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C56E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招标文件《技术标详细审查评分表》（三）施工组织设计关于“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进度控制措施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”的评分标准</w:t>
            </w:r>
          </w:p>
        </w:tc>
        <w:tc>
          <w:tcPr>
            <w:tcW w:w="5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603AA">
            <w:pPr>
              <w:pStyle w:val="21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对投标人进度控制措施进行评审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,投标人之间横向对比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：</w:t>
            </w:r>
          </w:p>
          <w:p w14:paraId="133A44FA">
            <w:pPr>
              <w:pStyle w:val="22"/>
              <w:tabs>
                <w:tab w:val="left" w:pos="5650"/>
              </w:tabs>
              <w:spacing w:line="288" w:lineRule="auto"/>
              <w:jc w:val="left"/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【优】制定了施工进度计划并有进度计划保证措施，</w:t>
            </w: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内容有施工目标、横道图、网络图、关键工程节点分析、进度计划保障措施，配备足够自有工程车辆【必须包含货车和吊车】不少于20辆，</w:t>
            </w: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以上全部</w:t>
            </w: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六</w:t>
            </w: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项的，</w:t>
            </w: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得</w:t>
            </w: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4分</w:t>
            </w: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。</w:t>
            </w:r>
          </w:p>
          <w:p w14:paraId="5AED75AC">
            <w:pPr>
              <w:pStyle w:val="22"/>
              <w:tabs>
                <w:tab w:val="left" w:pos="5650"/>
              </w:tabs>
              <w:spacing w:line="288" w:lineRule="auto"/>
              <w:jc w:val="left"/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【良】制定了施工进度计划并有进度计划保证措施，</w:t>
            </w: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内容有施工目标、横道图、网络图、关键工程节点分析、进度计划保障措施，配备足够自有工程车辆【必须包含货车和吊车】不少于20辆，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其中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五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项的，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得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3分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。</w:t>
            </w:r>
          </w:p>
          <w:p w14:paraId="3620D747">
            <w:pPr>
              <w:pStyle w:val="22"/>
              <w:tabs>
                <w:tab w:val="left" w:pos="5650"/>
              </w:tabs>
              <w:spacing w:line="288" w:lineRule="auto"/>
              <w:jc w:val="left"/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【中】制定了施工进度计划并有进度计划保证措施，</w:t>
            </w: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内容有施工目标、横道图、网络图、关键工程节点分析、进度计划保障措施，配备足够自有工程车辆【必须包含货车和吊车】不少于20辆，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其中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四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项的，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得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2分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。</w:t>
            </w:r>
          </w:p>
          <w:p w14:paraId="6D7947CB">
            <w:pPr>
              <w:pStyle w:val="22"/>
              <w:tabs>
                <w:tab w:val="left" w:pos="5650"/>
              </w:tabs>
              <w:spacing w:line="288" w:lineRule="auto"/>
              <w:jc w:val="left"/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【差】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其他情况或不提供的，得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分。</w:t>
            </w:r>
          </w:p>
          <w:p w14:paraId="541EB0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注：提供投入自有工程车辆的购买发票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及行驶证复印件并加盖公章。</w:t>
            </w:r>
          </w:p>
        </w:tc>
        <w:tc>
          <w:tcPr>
            <w:tcW w:w="5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8444F">
            <w:pPr>
              <w:pStyle w:val="21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对投标人进度控制措施进行评审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,投标人之间横向对比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：</w:t>
            </w:r>
          </w:p>
          <w:p w14:paraId="3C896103">
            <w:pPr>
              <w:pStyle w:val="22"/>
              <w:tabs>
                <w:tab w:val="left" w:pos="5650"/>
              </w:tabs>
              <w:spacing w:line="288" w:lineRule="auto"/>
              <w:jc w:val="left"/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【优】制定了施工进度计划并有进度计划保证措施，</w:t>
            </w: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内容有施工目标、横道图、网络图、关键工程节点分析、进度计划保障措施，配备足够自有工程车辆【必须包含货车和吊车】不少于</w:t>
            </w:r>
            <w:r>
              <w:rPr>
                <w:rFonts w:hint="eastAsia" w:eastAsia="宋体" w:cs="仿宋"/>
                <w:b/>
                <w:bCs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仿宋"/>
                <w:b/>
                <w:bCs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辆，</w:t>
            </w: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以上全部</w:t>
            </w: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六</w:t>
            </w: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项的，</w:t>
            </w: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得</w:t>
            </w: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4分</w:t>
            </w: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。</w:t>
            </w:r>
          </w:p>
          <w:p w14:paraId="46970291">
            <w:pPr>
              <w:pStyle w:val="22"/>
              <w:tabs>
                <w:tab w:val="left" w:pos="5650"/>
              </w:tabs>
              <w:spacing w:line="288" w:lineRule="auto"/>
              <w:jc w:val="left"/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【良】制定了施工进度计划并有进度计划保证措施，</w:t>
            </w: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内容有施工目标、横道图、网络图、关键工程节点分析、进度计划保障措施，配备足够自有工程车辆【必须包含货车和吊车】不少于</w:t>
            </w:r>
            <w:r>
              <w:rPr>
                <w:rFonts w:hint="eastAsia" w:eastAsia="宋体" w:cs="仿宋"/>
                <w:b/>
                <w:bCs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仿宋"/>
                <w:b/>
                <w:bCs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辆，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其中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五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项的，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得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3分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。</w:t>
            </w:r>
          </w:p>
          <w:p w14:paraId="1A74FA2C">
            <w:pPr>
              <w:pStyle w:val="22"/>
              <w:tabs>
                <w:tab w:val="left" w:pos="5650"/>
              </w:tabs>
              <w:spacing w:line="288" w:lineRule="auto"/>
              <w:jc w:val="left"/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【中】制定了施工进度计划并有进度计划保证措施，</w:t>
            </w: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内容有施工目标、横道图、网络图、关键工程节点分析、进度计划保障措施，配备足够自有工程车辆【必须包含货车和吊车】不少于</w:t>
            </w:r>
            <w:r>
              <w:rPr>
                <w:rFonts w:hint="eastAsia" w:eastAsia="宋体" w:cs="仿宋"/>
                <w:b/>
                <w:bCs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仿宋"/>
                <w:b/>
                <w:bCs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0辆，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其中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四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项的，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得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2分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。</w:t>
            </w:r>
          </w:p>
          <w:p w14:paraId="554F17D4">
            <w:pPr>
              <w:pStyle w:val="22"/>
              <w:tabs>
                <w:tab w:val="left" w:pos="5650"/>
              </w:tabs>
              <w:spacing w:line="288" w:lineRule="auto"/>
              <w:jc w:val="left"/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【差】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其他情况或不提供的，得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分。</w:t>
            </w:r>
          </w:p>
          <w:p w14:paraId="3161BB17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注：提供投入自有工程车辆的购买发票及行驶证复印件并加盖公章。</w:t>
            </w:r>
          </w:p>
        </w:tc>
      </w:tr>
      <w:tr w14:paraId="1D71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973F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7C1B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招标文件《技术标详细审查评分表》（三）施工组织设计关于“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售后服务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”的评分标准</w:t>
            </w:r>
          </w:p>
        </w:tc>
        <w:tc>
          <w:tcPr>
            <w:tcW w:w="5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B332E">
            <w:pPr>
              <w:pStyle w:val="21"/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对投标人售后服务进行评审,投标人之间横向对比：</w:t>
            </w:r>
          </w:p>
          <w:p w14:paraId="4ECB77BC">
            <w:pPr>
              <w:pStyle w:val="22"/>
              <w:tabs>
                <w:tab w:val="left" w:pos="5650"/>
              </w:tabs>
              <w:spacing w:line="288" w:lineRule="auto"/>
              <w:jc w:val="left"/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【优】制定了售后服务方案，内容有服务响应承诺、固定服务地点、服务响应保障措施、运行管理保障施工方案，配备备品备件数量，配备足够的维护保障团队【必须包含高压电工作业、低压电工作业、电力电缆作业、继电保护作业、电气试验作业、熔化焊接与热切割作业】不少于20人，以上全部六项的，得4分。</w:t>
            </w:r>
          </w:p>
          <w:p w14:paraId="04714A21">
            <w:pPr>
              <w:pStyle w:val="22"/>
              <w:tabs>
                <w:tab w:val="left" w:pos="5650"/>
              </w:tabs>
              <w:spacing w:line="288" w:lineRule="auto"/>
              <w:jc w:val="left"/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  <w:p w14:paraId="0B21F8E3">
            <w:pPr>
              <w:pStyle w:val="22"/>
              <w:tabs>
                <w:tab w:val="left" w:pos="5650"/>
              </w:tabs>
              <w:spacing w:line="288" w:lineRule="auto"/>
              <w:jc w:val="left"/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【良】制定了售后服务方案，内容有服务响应承诺、固定服务地点、服务响应保障措施、运行管理保障施工方案，配备备品备件数量，配备足够的维护保障团队【必须包含高压电工作业、低压电工作业、电力电缆作业、继电保护作业、电气试验作业、熔化焊接与热切割作业】不少于20人，其中五项的，得3分。</w:t>
            </w:r>
          </w:p>
          <w:p w14:paraId="67B75D00">
            <w:pPr>
              <w:pStyle w:val="22"/>
              <w:tabs>
                <w:tab w:val="left" w:pos="5650"/>
              </w:tabs>
              <w:spacing w:line="288" w:lineRule="auto"/>
              <w:jc w:val="left"/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  <w:p w14:paraId="2A507403">
            <w:pPr>
              <w:pStyle w:val="22"/>
              <w:tabs>
                <w:tab w:val="left" w:pos="5650"/>
              </w:tabs>
              <w:spacing w:line="288" w:lineRule="auto"/>
              <w:jc w:val="left"/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【中】制定了售后服务方案，内容有服务响应承诺、固定服务地点、服务响应保障措施、运行管理保障施工方案，配备备品备件数量，配备足够的维护保障团队【必须包含高压电工作业、低压电工作业、电力电缆作业、继电保护作业、电气试验作业、熔化焊接与热切割作业】不少于20人，其中四项的，得2分。</w:t>
            </w:r>
          </w:p>
          <w:p w14:paraId="2C5EBEF5">
            <w:pPr>
              <w:pStyle w:val="22"/>
              <w:tabs>
                <w:tab w:val="left" w:pos="5650"/>
              </w:tabs>
              <w:spacing w:line="288" w:lineRule="auto"/>
              <w:jc w:val="left"/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  <w:p w14:paraId="2ADE7B97">
            <w:pPr>
              <w:pStyle w:val="22"/>
              <w:tabs>
                <w:tab w:val="left" w:pos="5650"/>
              </w:tabs>
              <w:spacing w:line="288" w:lineRule="auto"/>
              <w:jc w:val="left"/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【差】其他情况或不提供的，得0分。</w:t>
            </w:r>
          </w:p>
          <w:p w14:paraId="01CE14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注：提供相关证件复印件加盖公章及投标截止前连续近3个月社保证明。</w:t>
            </w:r>
          </w:p>
        </w:tc>
        <w:tc>
          <w:tcPr>
            <w:tcW w:w="5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6BA6D">
            <w:pPr>
              <w:pStyle w:val="21"/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对投标人售后服务进行评审,投标人之间横向对比：</w:t>
            </w:r>
          </w:p>
          <w:p w14:paraId="2FE85044">
            <w:pPr>
              <w:pStyle w:val="22"/>
              <w:tabs>
                <w:tab w:val="left" w:pos="5650"/>
              </w:tabs>
              <w:spacing w:line="288" w:lineRule="auto"/>
              <w:jc w:val="left"/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【优】制定了售后服务方案，内容有服务响应承诺、固定服务地点、服务响应保障措施、运行管理保障施工方案，配备备品备件数量，配备足够的维护保障团队【必须包含高压电工作业、低压电工作业、电力电缆作业、继电保护作业、电气试验作业、熔化焊接与热切割作业】不少于20人，以上全部六项的，得4分。</w:t>
            </w:r>
          </w:p>
          <w:p w14:paraId="14D4A5DB">
            <w:pPr>
              <w:pStyle w:val="22"/>
              <w:tabs>
                <w:tab w:val="left" w:pos="5650"/>
              </w:tabs>
              <w:spacing w:line="288" w:lineRule="auto"/>
              <w:jc w:val="left"/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  <w:p w14:paraId="02583653">
            <w:pPr>
              <w:pStyle w:val="22"/>
              <w:tabs>
                <w:tab w:val="left" w:pos="5650"/>
              </w:tabs>
              <w:spacing w:line="288" w:lineRule="auto"/>
              <w:jc w:val="left"/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【良】制定了售后服务方案，内容有服务响应承诺、固定服务地点、服务响应保障措施、运行管理保障施工方案，配备备品备件数量，配备足够的维护保障团队【必须包含高压电工作业、低压电工作业、电力电缆作业、继电保护作业、电气试验作业、熔化焊接与热切割作业】不少于20人，其中五项的，得3分。</w:t>
            </w:r>
          </w:p>
          <w:p w14:paraId="07CB8CD8">
            <w:pPr>
              <w:pStyle w:val="22"/>
              <w:tabs>
                <w:tab w:val="left" w:pos="5650"/>
              </w:tabs>
              <w:spacing w:line="288" w:lineRule="auto"/>
              <w:jc w:val="left"/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  <w:p w14:paraId="2C7ADB01">
            <w:pPr>
              <w:pStyle w:val="22"/>
              <w:tabs>
                <w:tab w:val="left" w:pos="5650"/>
              </w:tabs>
              <w:spacing w:line="288" w:lineRule="auto"/>
              <w:jc w:val="left"/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【中】制定了售后服务方案，内容有服务响应承诺、固定服务地点、服务响应保障措施、运行管理保障施工方案，配备备品备件数量，配备足够的维护保障团队【必须包含高压电工作业、低压电工作业、电力电缆作业、继电保护作业、电气试验作业、熔化焊接与热切割作业】不少于20人，其中四项的，得2分。</w:t>
            </w:r>
          </w:p>
          <w:p w14:paraId="15C70D44">
            <w:pPr>
              <w:pStyle w:val="22"/>
              <w:tabs>
                <w:tab w:val="left" w:pos="5650"/>
              </w:tabs>
              <w:spacing w:line="288" w:lineRule="auto"/>
              <w:jc w:val="left"/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  <w:p w14:paraId="5AE53F8E">
            <w:pPr>
              <w:pStyle w:val="22"/>
              <w:tabs>
                <w:tab w:val="left" w:pos="5650"/>
              </w:tabs>
              <w:spacing w:line="288" w:lineRule="auto"/>
              <w:jc w:val="left"/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【差】其他情况或不提供的，得0分。</w:t>
            </w:r>
          </w:p>
          <w:p w14:paraId="67DC65E4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注：提供相关证件复印件加盖公章及</w:t>
            </w:r>
            <w:r>
              <w:rPr>
                <w:rFonts w:hint="eastAsia" w:ascii="宋体" w:hAnsi="宋体" w:eastAsia="宋体" w:cs="仿宋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投标截止前连续近1个月社保证明。</w:t>
            </w:r>
          </w:p>
        </w:tc>
      </w:tr>
      <w:tr w14:paraId="53B67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49C0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058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招标文件《技术标详细审查评分表》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备注第三条关于企业资信的注释</w:t>
            </w:r>
          </w:p>
        </w:tc>
        <w:tc>
          <w:tcPr>
            <w:tcW w:w="5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75D4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类似工程业绩：指2021年1月1日至投标截止时间止，完成的质量合格且电压等级为10kV（或以上）的单项合同金额1500万元（或以上）电力施工工程业绩。</w:t>
            </w:r>
          </w:p>
          <w:p w14:paraId="4BD5CE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EF92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类似工程业绩：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指202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月1日至投标截止时间止，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完成的质量合格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且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单项合同金额1500 万元（或以上）电力施工工程业绩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 w14:paraId="5886CA62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1DDA4D9F">
      <w:pPr>
        <w:widowControl w:val="0"/>
        <w:numPr>
          <w:ilvl w:val="0"/>
          <w:numId w:val="0"/>
        </w:numPr>
        <w:jc w:val="both"/>
        <w:rPr>
          <w:rFonts w:hint="default"/>
        </w:rPr>
      </w:pPr>
    </w:p>
    <w:p w14:paraId="6C51C90D">
      <w:pPr>
        <w:autoSpaceDE w:val="0"/>
        <w:autoSpaceDN w:val="0"/>
        <w:spacing w:before="81" w:line="360" w:lineRule="auto"/>
        <w:ind w:left="215" w:right="232" w:firstLine="480"/>
        <w:rPr>
          <w:rFonts w:ascii="Calibri" w:hAnsi="Calibri" w:eastAsia="宋体" w:cs="Times New Roman"/>
          <w:b/>
          <w:color w:val="000000" w:themeColor="text1"/>
          <w:spacing w:val="-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-1"/>
          <w:kern w:val="0"/>
          <w:sz w:val="24"/>
          <w:szCs w:val="24"/>
          <w:highlight w:val="none"/>
          <w:u w:val="single"/>
          <w:lang w:bidi="ar"/>
          <w14:textFill>
            <w14:solidFill>
              <w14:schemeClr w14:val="tx1"/>
            </w14:solidFill>
          </w14:textFill>
        </w:rPr>
        <w:t>二、本项目原定的投标登记时间、递交投标文件截止时间、投标文件解密时间、开标时间、递交投标文件备用光盘时间及场地安排现进行调整，具体交易活动日程、场地安排详见广州公共资源交易中心网站“建设工程→项目查询（日程安排、答疑纪要）”栏目，输入项目编号或项目名称查询最新信息。</w:t>
      </w:r>
    </w:p>
    <w:p w14:paraId="3AC477B7">
      <w:pPr>
        <w:autoSpaceDE w:val="0"/>
        <w:autoSpaceDN w:val="0"/>
        <w:spacing w:before="81" w:line="360" w:lineRule="auto"/>
        <w:ind w:left="215" w:right="232" w:firstLine="480"/>
        <w:rPr>
          <w:rFonts w:ascii="Calibri" w:hAnsi="Calibri" w:eastAsia="宋体" w:cs="Times New Roman"/>
          <w:b/>
          <w:color w:val="000000" w:themeColor="text1"/>
          <w:spacing w:val="-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-1"/>
          <w:kern w:val="0"/>
          <w:sz w:val="24"/>
          <w:szCs w:val="24"/>
          <w:highlight w:val="none"/>
          <w:u w:val="single"/>
          <w:lang w:bidi="ar"/>
          <w14:textFill>
            <w14:solidFill>
              <w14:schemeClr w14:val="tx1"/>
            </w14:solidFill>
          </w14:textFill>
        </w:rPr>
        <w:t>三、原招标文件内容与本补充公告内容不一致之处，以本补充公告为准，其他内容不变。</w:t>
      </w:r>
    </w:p>
    <w:p w14:paraId="3A13B4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right"/>
        <w:textAlignment w:val="auto"/>
        <w:rPr>
          <w:rFonts w:cs="宋体"/>
          <w:color w:val="000000" w:themeColor="text1"/>
          <w:spacing w:val="-1"/>
          <w:highlight w:val="none"/>
          <w:lang w:bidi="ar"/>
          <w14:textFill>
            <w14:solidFill>
              <w14:schemeClr w14:val="tx1"/>
            </w14:solidFill>
          </w14:textFill>
        </w:rPr>
      </w:pPr>
    </w:p>
    <w:p w14:paraId="302054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招  标 单 位：因湃电池科技有限公司</w:t>
      </w:r>
    </w:p>
    <w:p w14:paraId="1D1B2D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招标代理单位：广州市南悦工程顾问有限公司</w:t>
      </w:r>
    </w:p>
    <w:p w14:paraId="46EF81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日        期：2025年11月28日</w:t>
      </w:r>
    </w:p>
    <w:p w14:paraId="6BF94E9D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5840" w:h="12240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7EC2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82ED4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mY2M4OTc1ZDg3Nzc3ZGZiNzQ2OGU1M2MyMDMxNjMifQ=="/>
  </w:docVars>
  <w:rsids>
    <w:rsidRoot w:val="006E26ED"/>
    <w:rsid w:val="000E3242"/>
    <w:rsid w:val="000F03B9"/>
    <w:rsid w:val="0013590A"/>
    <w:rsid w:val="001446CE"/>
    <w:rsid w:val="001754D1"/>
    <w:rsid w:val="001F60FD"/>
    <w:rsid w:val="00273BF6"/>
    <w:rsid w:val="00295693"/>
    <w:rsid w:val="00296707"/>
    <w:rsid w:val="00313F3B"/>
    <w:rsid w:val="00337FF6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533EFE"/>
    <w:rsid w:val="00673A94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CA2FE8"/>
    <w:rsid w:val="00DF3232"/>
    <w:rsid w:val="00EE3A9F"/>
    <w:rsid w:val="00F53AA0"/>
    <w:rsid w:val="00FA1396"/>
    <w:rsid w:val="00FB6774"/>
    <w:rsid w:val="027F1C9E"/>
    <w:rsid w:val="03557B4E"/>
    <w:rsid w:val="03657407"/>
    <w:rsid w:val="047B7C68"/>
    <w:rsid w:val="0482661E"/>
    <w:rsid w:val="05FF33E3"/>
    <w:rsid w:val="063F18A3"/>
    <w:rsid w:val="081418D2"/>
    <w:rsid w:val="08C76FC4"/>
    <w:rsid w:val="09D23572"/>
    <w:rsid w:val="0AD97031"/>
    <w:rsid w:val="0B7B0A6D"/>
    <w:rsid w:val="0BB35770"/>
    <w:rsid w:val="0BB5073B"/>
    <w:rsid w:val="0E4E3824"/>
    <w:rsid w:val="0EB71C1D"/>
    <w:rsid w:val="12785857"/>
    <w:rsid w:val="14056D2E"/>
    <w:rsid w:val="1559533D"/>
    <w:rsid w:val="15F54E00"/>
    <w:rsid w:val="16521EF3"/>
    <w:rsid w:val="16FF9C72"/>
    <w:rsid w:val="17555BDC"/>
    <w:rsid w:val="1C007223"/>
    <w:rsid w:val="1DEF27E3"/>
    <w:rsid w:val="219A280D"/>
    <w:rsid w:val="22E90E98"/>
    <w:rsid w:val="230E45B8"/>
    <w:rsid w:val="2438497E"/>
    <w:rsid w:val="251B3144"/>
    <w:rsid w:val="2BF84603"/>
    <w:rsid w:val="2C0025A9"/>
    <w:rsid w:val="2D1C7F52"/>
    <w:rsid w:val="2DC312AE"/>
    <w:rsid w:val="307F7AFA"/>
    <w:rsid w:val="30CF6B49"/>
    <w:rsid w:val="33205E2B"/>
    <w:rsid w:val="34087D7A"/>
    <w:rsid w:val="36221B34"/>
    <w:rsid w:val="38F31552"/>
    <w:rsid w:val="3C975BCF"/>
    <w:rsid w:val="3CBC20D5"/>
    <w:rsid w:val="3ECF3C71"/>
    <w:rsid w:val="3FBA7511"/>
    <w:rsid w:val="3FE557D3"/>
    <w:rsid w:val="40856914"/>
    <w:rsid w:val="4115073F"/>
    <w:rsid w:val="41EA6F47"/>
    <w:rsid w:val="42054AA9"/>
    <w:rsid w:val="429E50AD"/>
    <w:rsid w:val="42AF3048"/>
    <w:rsid w:val="454710AE"/>
    <w:rsid w:val="45CD0EAF"/>
    <w:rsid w:val="48510856"/>
    <w:rsid w:val="49005FB7"/>
    <w:rsid w:val="49F25388"/>
    <w:rsid w:val="4C155A1A"/>
    <w:rsid w:val="4D1060F9"/>
    <w:rsid w:val="4DC935E1"/>
    <w:rsid w:val="500312AC"/>
    <w:rsid w:val="51B76978"/>
    <w:rsid w:val="54072E06"/>
    <w:rsid w:val="55A0640F"/>
    <w:rsid w:val="575D5796"/>
    <w:rsid w:val="58131835"/>
    <w:rsid w:val="5B3C15DA"/>
    <w:rsid w:val="5BA04553"/>
    <w:rsid w:val="5BB478E2"/>
    <w:rsid w:val="5C550E60"/>
    <w:rsid w:val="5C594FF6"/>
    <w:rsid w:val="5D8D0C62"/>
    <w:rsid w:val="5D962BBC"/>
    <w:rsid w:val="5EBD5B0D"/>
    <w:rsid w:val="607602AB"/>
    <w:rsid w:val="66267776"/>
    <w:rsid w:val="6860298C"/>
    <w:rsid w:val="69091C39"/>
    <w:rsid w:val="6BE41902"/>
    <w:rsid w:val="6CB86F86"/>
    <w:rsid w:val="6EFD26D4"/>
    <w:rsid w:val="6F3D4625"/>
    <w:rsid w:val="714B68C0"/>
    <w:rsid w:val="76BF6E56"/>
    <w:rsid w:val="77D44DFB"/>
    <w:rsid w:val="78B440AA"/>
    <w:rsid w:val="78D24D05"/>
    <w:rsid w:val="79751B03"/>
    <w:rsid w:val="79A64922"/>
    <w:rsid w:val="7A7830D7"/>
    <w:rsid w:val="7CA71700"/>
    <w:rsid w:val="7F140AA3"/>
    <w:rsid w:val="7F961D37"/>
    <w:rsid w:val="7FBF9F90"/>
    <w:rsid w:val="7FEF5048"/>
    <w:rsid w:val="91F94B40"/>
    <w:rsid w:val="EFFD4356"/>
    <w:rsid w:val="FD9904DA"/>
    <w:rsid w:val="FF2D8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autoSpaceDE w:val="0"/>
      <w:autoSpaceDN w:val="0"/>
      <w:spacing w:before="2"/>
      <w:ind w:left="215"/>
      <w:jc w:val="left"/>
      <w:outlineLvl w:val="0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目录 21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4">
    <w:name w:val="Normal Indent"/>
    <w:basedOn w:val="1"/>
    <w:autoRedefine/>
    <w:semiHidden/>
    <w:unhideWhenUsed/>
    <w:qFormat/>
    <w:uiPriority w:val="99"/>
    <w:pPr>
      <w:ind w:firstLine="42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5">
    <w:name w:val="annotation text"/>
    <w:basedOn w:val="1"/>
    <w:qFormat/>
    <w:uiPriority w:val="0"/>
    <w:pPr>
      <w:jc w:val="left"/>
    </w:pPr>
    <w:rPr>
      <w:kern w:val="0"/>
      <w:sz w:val="20"/>
    </w:rPr>
  </w:style>
  <w:style w:type="paragraph" w:styleId="6">
    <w:name w:val="Body Text"/>
    <w:basedOn w:val="1"/>
    <w:autoRedefine/>
    <w:semiHidden/>
    <w:unhideWhenUsed/>
    <w:qFormat/>
    <w:uiPriority w:val="99"/>
    <w:pPr>
      <w:autoSpaceDE w:val="0"/>
      <w:autoSpaceDN w:val="0"/>
      <w:jc w:val="left"/>
    </w:pPr>
    <w:rPr>
      <w:rFonts w:hint="eastAsia" w:ascii="宋体" w:hAnsi="宋体" w:eastAsia="宋体" w:cs="Times New Roman"/>
      <w:kern w:val="0"/>
      <w:szCs w:val="21"/>
    </w:rPr>
  </w:style>
  <w:style w:type="paragraph" w:styleId="7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autoRedefine/>
    <w:qFormat/>
    <w:uiPriority w:val="0"/>
    <w:pPr>
      <w:ind w:left="200" w:leftChars="200"/>
    </w:pPr>
  </w:style>
  <w:style w:type="paragraph" w:styleId="11">
    <w:name w:val="Normal (Web)"/>
    <w:basedOn w:val="1"/>
    <w:autoRedefine/>
    <w:semiHidden/>
    <w:unhideWhenUsed/>
    <w:qFormat/>
    <w:uiPriority w:val="99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2">
    <w:name w:val="Body Text First Indent"/>
    <w:basedOn w:val="6"/>
    <w:qFormat/>
    <w:uiPriority w:val="0"/>
    <w:pPr>
      <w:ind w:firstLine="420"/>
    </w:pPr>
  </w:style>
  <w:style w:type="character" w:styleId="15">
    <w:name w:val="Hyperlink"/>
    <w:basedOn w:val="14"/>
    <w:autoRedefine/>
    <w:semiHidden/>
    <w:unhideWhenUsed/>
    <w:qFormat/>
    <w:uiPriority w:val="99"/>
    <w:rPr>
      <w:color w:val="0000FF"/>
      <w:u w:val="single"/>
    </w:rPr>
  </w:style>
  <w:style w:type="paragraph" w:customStyle="1" w:styleId="16">
    <w:name w:val="样式 宋体 行距: 1.5 倍行距"/>
    <w:basedOn w:val="1"/>
    <w:autoRedefine/>
    <w:qFormat/>
    <w:uiPriority w:val="0"/>
    <w:pPr>
      <w:spacing w:line="360" w:lineRule="auto"/>
      <w:ind w:firstLine="200" w:firstLineChars="200"/>
    </w:pPr>
    <w:rPr>
      <w:rFonts w:ascii="宋体" w:cs="宋体"/>
      <w:sz w:val="28"/>
      <w:szCs w:val="20"/>
    </w:rPr>
  </w:style>
  <w:style w:type="character" w:customStyle="1" w:styleId="17">
    <w:name w:val="15"/>
    <w:basedOn w:val="14"/>
    <w:autoRedefine/>
    <w:qFormat/>
    <w:uiPriority w:val="0"/>
    <w:rPr>
      <w:rFonts w:hint="default" w:ascii="Calibri" w:hAnsi="Calibri" w:eastAsia="宋体" w:cs="Times New Roman"/>
      <w:color w:val="0000FF"/>
      <w:u w:val="single"/>
    </w:rPr>
  </w:style>
  <w:style w:type="paragraph" w:customStyle="1" w:styleId="18">
    <w:name w:val="正文 New New"/>
    <w:autoRedefine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1"/>
      <w:lang w:val="en-US" w:eastAsia="zh-CN" w:bidi="ar-SA"/>
    </w:rPr>
  </w:style>
  <w:style w:type="paragraph" w:customStyle="1" w:styleId="19">
    <w:name w:val="Plain Text1"/>
    <w:basedOn w:val="1"/>
    <w:autoRedefine/>
    <w:qFormat/>
    <w:uiPriority w:val="0"/>
    <w:pPr>
      <w:autoSpaceDE w:val="0"/>
      <w:autoSpaceDN w:val="0"/>
      <w:adjustRightInd w:val="0"/>
      <w:spacing w:line="312" w:lineRule="atLeast"/>
      <w:ind w:firstLine="200" w:firstLineChars="200"/>
      <w:textAlignment w:val="baseline"/>
    </w:pPr>
    <w:rPr>
      <w:rFonts w:ascii="宋体"/>
      <w:kern w:val="0"/>
      <w:szCs w:val="20"/>
    </w:rPr>
  </w:style>
  <w:style w:type="paragraph" w:customStyle="1" w:styleId="20">
    <w:name w:val="Table Paragraph"/>
    <w:basedOn w:val="1"/>
    <w:unhideWhenUsed/>
    <w:qFormat/>
    <w:uiPriority w:val="1"/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Other|1"/>
    <w:basedOn w:val="1"/>
    <w:qFormat/>
    <w:uiPriority w:val="0"/>
    <w:pPr>
      <w:spacing w:line="228" w:lineRule="exact"/>
    </w:pPr>
    <w:rPr>
      <w:rFonts w:ascii="宋体" w:hAnsi="宋体" w:cs="宋体"/>
      <w:sz w:val="17"/>
      <w:szCs w:val="17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3989</Words>
  <Characters>4106</Characters>
  <Lines>23</Lines>
  <Paragraphs>6</Paragraphs>
  <TotalTime>77</TotalTime>
  <ScaleCrop>false</ScaleCrop>
  <LinksUpToDate>false</LinksUpToDate>
  <CharactersWithSpaces>4137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2025-11-10T06:25:00Z</dcterms:created>
  <dc:creator>测试2</dc:creator>
  <cp:lastModifiedBy>Loubin_lblb</cp:lastModifiedBy>
  <dcterms:modified xsi:type="dcterms:W3CDTF">2025-11-28T08:45:38Z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61EA7D31519D406697AA7D72767839DC_12</vt:lpwstr>
  </property>
  <property fmtid="{D5CDD505-2E9C-101B-9397-08002B2CF9AE}" pid="4" name="KSOTemplateDocerSaveRecord">
    <vt:lpwstr>eyJoZGlkIjoiNzBjM2Q5Nzg5ZjM3NDYzN2ViMmZlYjRmOWZlYTU1YTIiLCJ1c2VySWQiOiIyMzQxMDE5MjAifQ==</vt:lpwstr>
  </property>
</Properties>
</file>