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0"/>
        </w:tabs>
        <w:adjustRightInd w:val="0"/>
        <w:snapToGrid w:val="0"/>
        <w:ind w:firstLine="0" w:firstLineChars="0"/>
        <w:jc w:val="center"/>
        <w:rPr>
          <w:rFonts w:hAnsi="宋体"/>
          <w:b/>
          <w:bCs/>
          <w:color w:val="000000" w:themeColor="text1"/>
          <w:sz w:val="52"/>
          <w:szCs w:val="48"/>
          <w:highlight w:val="none"/>
          <w14:textFill>
            <w14:solidFill>
              <w14:schemeClr w14:val="tx1"/>
            </w14:solidFill>
          </w14:textFill>
        </w:rPr>
      </w:pPr>
    </w:p>
    <w:p>
      <w:pPr>
        <w:shd w:val="clear"/>
        <w:ind w:firstLine="0" w:firstLineChars="0"/>
        <w:jc w:val="center"/>
        <w:rPr>
          <w:rFonts w:hint="eastAsia" w:hAnsi="宋体"/>
          <w:b/>
          <w:bCs/>
          <w:color w:val="000000" w:themeColor="text1"/>
          <w:sz w:val="52"/>
          <w:szCs w:val="48"/>
          <w:highlight w:val="none"/>
          <w:lang w:eastAsia="zh-CN"/>
          <w14:textFill>
            <w14:solidFill>
              <w14:schemeClr w14:val="tx1"/>
            </w14:solidFill>
          </w14:textFill>
        </w:rPr>
      </w:pPr>
      <w:r>
        <w:rPr>
          <w:rFonts w:hint="eastAsia" w:hAnsi="宋体"/>
          <w:b/>
          <w:bCs/>
          <w:color w:val="000000" w:themeColor="text1"/>
          <w:sz w:val="52"/>
          <w:szCs w:val="48"/>
          <w:highlight w:val="none"/>
          <w:lang w:eastAsia="zh-CN"/>
          <w14:textFill>
            <w14:solidFill>
              <w14:schemeClr w14:val="tx1"/>
            </w14:solidFill>
          </w14:textFill>
        </w:rPr>
        <w:t>广州设计之都嘉禾片区项目三期</w:t>
      </w:r>
    </w:p>
    <w:p>
      <w:pPr>
        <w:shd w:val="clear"/>
        <w:ind w:firstLine="0" w:firstLineChars="0"/>
        <w:jc w:val="center"/>
        <w:rPr>
          <w:rFonts w:hint="eastAsia" w:hAnsi="宋体" w:eastAsia="宋体"/>
          <w:color w:val="000000" w:themeColor="text1"/>
          <w:szCs w:val="24"/>
          <w:highlight w:val="none"/>
          <w:lang w:eastAsia="zh-CN"/>
          <w14:textFill>
            <w14:solidFill>
              <w14:schemeClr w14:val="tx1"/>
            </w14:solidFill>
          </w14:textFill>
        </w:rPr>
      </w:pPr>
      <w:r>
        <w:rPr>
          <w:rFonts w:hint="eastAsia" w:hAnsi="宋体"/>
          <w:b/>
          <w:bCs/>
          <w:color w:val="000000" w:themeColor="text1"/>
          <w:sz w:val="52"/>
          <w:szCs w:val="48"/>
          <w:highlight w:val="none"/>
          <w:lang w:eastAsia="zh-CN"/>
          <w14:textFill>
            <w14:solidFill>
              <w14:schemeClr w14:val="tx1"/>
            </w14:solidFill>
          </w14:textFill>
        </w:rPr>
        <w:t>全过程造价咨询服务</w:t>
      </w:r>
    </w:p>
    <w:p>
      <w:pPr>
        <w:pStyle w:val="7"/>
        <w:shd w:val="clear"/>
        <w:ind w:firstLine="680"/>
        <w:rPr>
          <w:color w:val="000000" w:themeColor="text1"/>
          <w:highlight w:val="none"/>
          <w14:textFill>
            <w14:solidFill>
              <w14:schemeClr w14:val="tx1"/>
            </w14:solidFill>
          </w14:textFill>
        </w:rPr>
      </w:pPr>
    </w:p>
    <w:p>
      <w:pPr>
        <w:shd w:val="clear"/>
        <w:spacing w:line="2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 xml:space="preserve"> </w:t>
      </w: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pStyle w:val="14"/>
        <w:shd w:val="clear"/>
        <w:ind w:firstLine="400"/>
        <w:rPr>
          <w:color w:val="000000" w:themeColor="text1"/>
          <w:highlight w:val="none"/>
          <w14:textFill>
            <w14:solidFill>
              <w14:schemeClr w14:val="tx1"/>
            </w14:solidFill>
          </w14:textFill>
        </w:rPr>
      </w:pPr>
    </w:p>
    <w:p>
      <w:pPr>
        <w:pStyle w:val="14"/>
        <w:shd w:val="clear"/>
        <w:ind w:firstLine="400"/>
        <w:rPr>
          <w:rFonts w:hint="eastAsia"/>
          <w:color w:val="000000" w:themeColor="text1"/>
          <w:highlight w:val="none"/>
          <w14:textFill>
            <w14:solidFill>
              <w14:schemeClr w14:val="tx1"/>
            </w14:solidFill>
          </w14:textFill>
        </w:rPr>
      </w:pPr>
    </w:p>
    <w:p>
      <w:pPr>
        <w:shd w:val="clear"/>
        <w:spacing w:line="269" w:lineRule="exact"/>
        <w:ind w:firstLine="480"/>
        <w:rPr>
          <w:rFonts w:hAnsi="宋体"/>
          <w:color w:val="000000" w:themeColor="text1"/>
          <w:highlight w:val="none"/>
          <w14:textFill>
            <w14:solidFill>
              <w14:schemeClr w14:val="tx1"/>
            </w14:solidFill>
          </w14:textFill>
        </w:rPr>
      </w:pPr>
    </w:p>
    <w:p>
      <w:pPr>
        <w:shd w:val="clear"/>
        <w:ind w:firstLine="0" w:firstLineChars="0"/>
        <w:jc w:val="center"/>
        <w:rPr>
          <w:rFonts w:hint="eastAsia" w:hAnsi="宋体"/>
          <w:b/>
          <w:bCs/>
          <w:color w:val="000000" w:themeColor="text1"/>
          <w:sz w:val="72"/>
          <w:szCs w:val="72"/>
          <w:highlight w:val="none"/>
          <w14:textFill>
            <w14:solidFill>
              <w14:schemeClr w14:val="tx1"/>
            </w14:solidFill>
          </w14:textFill>
        </w:rPr>
      </w:pPr>
      <w:r>
        <w:rPr>
          <w:rFonts w:hAnsi="宋体"/>
          <w:b/>
          <w:bCs/>
          <w:color w:val="000000" w:themeColor="text1"/>
          <w:sz w:val="72"/>
          <w:szCs w:val="72"/>
          <w:highlight w:val="none"/>
          <w14:textFill>
            <w14:solidFill>
              <w14:schemeClr w14:val="tx1"/>
            </w14:solidFill>
          </w14:textFill>
        </w:rPr>
        <w:t>招标文件</w:t>
      </w:r>
    </w:p>
    <w:p>
      <w:pPr>
        <w:shd w:val="clear"/>
        <w:ind w:firstLine="602"/>
        <w:jc w:val="center"/>
        <w:rPr>
          <w:rFonts w:hAnsi="宋体"/>
          <w:b/>
          <w:bCs/>
          <w:color w:val="000000" w:themeColor="text1"/>
          <w:sz w:val="30"/>
          <w:szCs w:val="30"/>
          <w:highlight w:val="none"/>
          <w14:textFill>
            <w14:solidFill>
              <w14:schemeClr w14:val="tx1"/>
            </w14:solidFill>
          </w14:textFill>
        </w:rPr>
      </w:pPr>
    </w:p>
    <w:p>
      <w:pPr>
        <w:pStyle w:val="7"/>
        <w:shd w:val="clear"/>
        <w:ind w:firstLine="602"/>
        <w:rPr>
          <w:rFonts w:hAnsi="宋体"/>
          <w:b/>
          <w:bCs/>
          <w:color w:val="000000" w:themeColor="text1"/>
          <w:sz w:val="30"/>
          <w:szCs w:val="30"/>
          <w:highlight w:val="none"/>
          <w14:textFill>
            <w14:solidFill>
              <w14:schemeClr w14:val="tx1"/>
            </w14:solidFill>
          </w14:textFill>
        </w:rPr>
      </w:pPr>
    </w:p>
    <w:p>
      <w:pPr>
        <w:pStyle w:val="7"/>
        <w:shd w:val="clear"/>
        <w:ind w:firstLine="0" w:firstLineChars="0"/>
        <w:rPr>
          <w:rFonts w:hAnsi="宋体"/>
          <w:b/>
          <w:bCs/>
          <w:color w:val="000000" w:themeColor="text1"/>
          <w:sz w:val="30"/>
          <w:szCs w:val="30"/>
          <w:highlight w:val="none"/>
          <w14:textFill>
            <w14:solidFill>
              <w14:schemeClr w14:val="tx1"/>
            </w14:solidFill>
          </w14:textFill>
        </w:rPr>
      </w:pPr>
    </w:p>
    <w:p>
      <w:pPr>
        <w:shd w:val="clear"/>
        <w:ind w:firstLine="0" w:firstLineChars="0"/>
        <w:rPr>
          <w:rFonts w:hAnsi="宋体"/>
          <w:color w:val="000000" w:themeColor="text1"/>
          <w:sz w:val="30"/>
          <w:szCs w:val="30"/>
          <w:highlight w:val="none"/>
          <w14:textFill>
            <w14:solidFill>
              <w14:schemeClr w14:val="tx1"/>
            </w14:solidFill>
          </w14:textFill>
        </w:rPr>
      </w:pPr>
    </w:p>
    <w:p>
      <w:pPr>
        <w:pStyle w:val="14"/>
        <w:shd w:val="clear"/>
        <w:ind w:firstLine="400"/>
        <w:rPr>
          <w:rFonts w:hint="eastAsia"/>
          <w:color w:val="000000" w:themeColor="text1"/>
          <w:highlight w:val="none"/>
          <w14:textFill>
            <w14:solidFill>
              <w14:schemeClr w14:val="tx1"/>
            </w14:solidFill>
          </w14:textFill>
        </w:rPr>
      </w:pPr>
    </w:p>
    <w:p>
      <w:pPr>
        <w:shd w:val="clear"/>
        <w:ind w:firstLine="1518" w:firstLineChars="504"/>
        <w:rPr>
          <w:rFonts w:hint="eastAsia" w:hAnsi="宋体" w:cs="宋体"/>
          <w:b/>
          <w:color w:val="000000" w:themeColor="text1"/>
          <w:sz w:val="30"/>
          <w:szCs w:val="30"/>
          <w:highlight w:val="none"/>
          <w:u w:val="single"/>
          <w:lang w:val="zh-CN"/>
          <w14:textFill>
            <w14:solidFill>
              <w14:schemeClr w14:val="tx1"/>
            </w14:solidFill>
          </w14:textFill>
        </w:rPr>
      </w:pPr>
      <w:bookmarkStart w:id="0" w:name="_Hlk51161991"/>
      <w:r>
        <w:rPr>
          <w:rFonts w:hint="eastAsia" w:hAnsi="宋体" w:cs="宋体"/>
          <w:b/>
          <w:color w:val="000000" w:themeColor="text1"/>
          <w:sz w:val="30"/>
          <w:szCs w:val="30"/>
          <w:highlight w:val="none"/>
          <w14:textFill>
            <w14:solidFill>
              <w14:schemeClr w14:val="tx1"/>
            </w14:solidFill>
          </w14:textFill>
        </w:rPr>
        <w:t>招   标   人：</w:t>
      </w:r>
      <w:r>
        <w:rPr>
          <w:rFonts w:hint="eastAsia" w:hAnsi="宋体" w:cs="宋体"/>
          <w:b/>
          <w:color w:val="000000" w:themeColor="text1"/>
          <w:sz w:val="30"/>
          <w:szCs w:val="30"/>
          <w:highlight w:val="none"/>
          <w:lang w:val="zh-CN"/>
          <w14:textFill>
            <w14:solidFill>
              <w14:schemeClr w14:val="tx1"/>
            </w14:solidFill>
          </w14:textFill>
        </w:rPr>
        <w:t>广州市白云城市建设投资有限公司</w:t>
      </w:r>
    </w:p>
    <w:p>
      <w:pPr>
        <w:shd w:val="clear"/>
        <w:ind w:firstLine="1518" w:firstLineChars="504"/>
        <w:rPr>
          <w:rFonts w:hint="eastAsia"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lang w:val="zh-CN"/>
          <w14:textFill>
            <w14:solidFill>
              <w14:schemeClr w14:val="tx1"/>
            </w14:solidFill>
          </w14:textFill>
        </w:rPr>
        <w:t>招标代理机构：广州市白云工程咨询管理有限公司</w:t>
      </w:r>
    </w:p>
    <w:p>
      <w:pPr>
        <w:shd w:val="clear"/>
        <w:ind w:left="1200" w:leftChars="500" w:firstLine="301" w:firstLineChars="100"/>
        <w:rPr>
          <w:rFonts w:hAnsi="宋体"/>
          <w:color w:val="000000" w:themeColor="text1"/>
          <w:sz w:val="30"/>
          <w:szCs w:val="30"/>
          <w:highlight w:val="none"/>
          <w:shd w:val="clear" w:color="auto" w:fill="FFFFFF"/>
          <w14:textFill>
            <w14:solidFill>
              <w14:schemeClr w14:val="tx1"/>
            </w14:solidFill>
          </w14:textFill>
        </w:rPr>
      </w:pPr>
      <w:bookmarkStart w:id="1" w:name="_Hlk116892724"/>
      <w:r>
        <w:rPr>
          <w:rFonts w:hint="eastAsia" w:hAnsi="宋体" w:cs="宋体"/>
          <w:b/>
          <w:color w:val="000000" w:themeColor="text1"/>
          <w:sz w:val="30"/>
          <w:szCs w:val="30"/>
          <w:highlight w:val="none"/>
          <w14:textFill>
            <w14:solidFill>
              <w14:schemeClr w14:val="tx1"/>
            </w14:solidFill>
          </w14:textFill>
        </w:rPr>
        <w:t xml:space="preserve">日 </w:t>
      </w:r>
      <w:r>
        <w:rPr>
          <w:rFonts w:hAnsi="宋体" w:cs="宋体"/>
          <w:b/>
          <w:color w:val="000000" w:themeColor="text1"/>
          <w:sz w:val="30"/>
          <w:szCs w:val="30"/>
          <w:highlight w:val="none"/>
          <w14:textFill>
            <w14:solidFill>
              <w14:schemeClr w14:val="tx1"/>
            </w14:solidFill>
          </w14:textFill>
        </w:rPr>
        <w:t xml:space="preserve">       </w:t>
      </w:r>
      <w:r>
        <w:rPr>
          <w:rFonts w:hint="eastAsia" w:hAnsi="宋体" w:cs="宋体"/>
          <w:b/>
          <w:color w:val="000000" w:themeColor="text1"/>
          <w:sz w:val="30"/>
          <w:szCs w:val="30"/>
          <w:highlight w:val="none"/>
          <w14:textFill>
            <w14:solidFill>
              <w14:schemeClr w14:val="tx1"/>
            </w14:solidFill>
          </w14:textFill>
        </w:rPr>
        <w:t>期：</w:t>
      </w:r>
      <w:bookmarkEnd w:id="1"/>
      <w:r>
        <w:rPr>
          <w:rFonts w:hint="eastAsia" w:hAnsi="宋体" w:cs="宋体"/>
          <w:b/>
          <w:color w:val="000000" w:themeColor="text1"/>
          <w:sz w:val="30"/>
          <w:szCs w:val="30"/>
          <w:highlight w:val="none"/>
          <w14:textFill>
            <w14:solidFill>
              <w14:schemeClr w14:val="tx1"/>
            </w14:solidFill>
          </w14:textFill>
        </w:rPr>
        <w:t xml:space="preserve">2025年 </w:t>
      </w:r>
      <w:r>
        <w:rPr>
          <w:rFonts w:hint="eastAsia" w:hAnsi="宋体" w:cs="宋体"/>
          <w:b/>
          <w:color w:val="000000" w:themeColor="text1"/>
          <w:sz w:val="30"/>
          <w:szCs w:val="30"/>
          <w:highlight w:val="none"/>
          <w:lang w:val="en-US" w:eastAsia="zh-CN"/>
          <w14:textFill>
            <w14:solidFill>
              <w14:schemeClr w14:val="tx1"/>
            </w14:solidFill>
          </w14:textFill>
        </w:rPr>
        <w:t>11</w:t>
      </w:r>
      <w:r>
        <w:rPr>
          <w:rFonts w:hint="eastAsia" w:hAnsi="宋体" w:cs="宋体"/>
          <w:b/>
          <w:color w:val="000000" w:themeColor="text1"/>
          <w:sz w:val="30"/>
          <w:szCs w:val="30"/>
          <w:highlight w:val="none"/>
          <w14:textFill>
            <w14:solidFill>
              <w14:schemeClr w14:val="tx1"/>
            </w14:solidFill>
          </w14:textFill>
        </w:rPr>
        <w:t>月</w:t>
      </w:r>
      <w:bookmarkEnd w:id="0"/>
    </w:p>
    <w:p>
      <w:pPr>
        <w:pStyle w:val="3"/>
        <w:shd w:val="clear"/>
        <w:ind w:firstLine="883"/>
        <w:jc w:val="center"/>
        <w:rPr>
          <w:rFonts w:hint="eastAsia"/>
          <w:color w:val="000000" w:themeColor="text1"/>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2240" w:h="15840"/>
          <w:pgMar w:top="1440" w:right="1797" w:bottom="1440" w:left="1797" w:header="567" w:footer="567" w:gutter="0"/>
          <w:pgNumType w:start="0"/>
          <w:cols w:space="720" w:num="1"/>
          <w:docGrid w:linePitch="360" w:charSpace="0"/>
        </w:sectPr>
      </w:pPr>
      <w:bookmarkStart w:id="2" w:name="page4"/>
      <w:bookmarkEnd w:id="2"/>
      <w:bookmarkStart w:id="3" w:name="page3"/>
      <w:bookmarkEnd w:id="3"/>
      <w:bookmarkStart w:id="4" w:name="_Toc35513422"/>
      <w:bookmarkStart w:id="5" w:name="_Toc152234207"/>
      <w:bookmarkStart w:id="6" w:name="_Toc20214"/>
      <w:bookmarkStart w:id="7" w:name="_Toc17035"/>
      <w:bookmarkStart w:id="8" w:name="_Toc263"/>
      <w:bookmarkStart w:id="9" w:name="_Toc15058"/>
      <w:bookmarkStart w:id="10" w:name="_Toc16363"/>
      <w:r>
        <w:rPr>
          <w:rFonts w:hint="eastAsia"/>
          <w:color w:val="000000" w:themeColor="text1"/>
          <w:highlight w:val="none"/>
          <w14:textFill>
            <w14:solidFill>
              <w14:schemeClr w14:val="tx1"/>
            </w14:solidFill>
          </w14:textFill>
        </w:rPr>
        <w:br w:type="page"/>
      </w:r>
    </w:p>
    <w:p>
      <w:pPr>
        <w:pStyle w:val="3"/>
        <w:shd w:val="clear"/>
        <w:ind w:firstLine="883"/>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重要提示</w:t>
      </w:r>
      <w:bookmarkEnd w:id="4"/>
      <w:bookmarkEnd w:id="5"/>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本项目实施电子招投标，投标人应先认真阅读《建设工程全流程电子化项目操作指南》。</w:t>
      </w:r>
    </w:p>
    <w:p>
      <w:pPr>
        <w:pStyle w:val="3"/>
        <w:shd w:val="clear"/>
        <w:ind w:firstLine="88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1" w:name="_Toc35513423"/>
      <w:bookmarkStart w:id="12" w:name="_Toc152234208"/>
      <w:r>
        <w:rPr>
          <w:color w:val="000000" w:themeColor="text1"/>
          <w:highlight w:val="none"/>
          <w:lang w:val="zh-CN"/>
          <w14:textFill>
            <w14:solidFill>
              <w14:schemeClr w14:val="tx1"/>
            </w14:solidFill>
          </w14:textFill>
        </w:rPr>
        <w:t>目录</w:t>
      </w:r>
      <w:bookmarkEnd w:id="6"/>
      <w:bookmarkEnd w:id="7"/>
      <w:bookmarkEnd w:id="8"/>
      <w:bookmarkEnd w:id="9"/>
      <w:bookmarkEnd w:id="10"/>
      <w:bookmarkEnd w:id="11"/>
      <w:bookmarkEnd w:id="12"/>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rStyle w:val="33"/>
          <w:color w:val="000000" w:themeColor="text1"/>
          <w:szCs w:val="24"/>
          <w:highlight w:val="none"/>
          <w:lang w:val="en-US" w:eastAsia="zh-CN"/>
          <w14:textFill>
            <w14:solidFill>
              <w14:schemeClr w14:val="tx1"/>
            </w14:solidFill>
          </w14:textFill>
        </w:rPr>
        <w:fldChar w:fldCharType="begin"/>
      </w:r>
      <w:r>
        <w:rPr>
          <w:rStyle w:val="33"/>
          <w:color w:val="000000" w:themeColor="text1"/>
          <w:szCs w:val="24"/>
          <w:highlight w:val="none"/>
          <w:lang w:val="en-US" w:eastAsia="zh-CN"/>
          <w14:textFill>
            <w14:solidFill>
              <w14:schemeClr w14:val="tx1"/>
            </w14:solidFill>
          </w14:textFill>
        </w:rPr>
        <w:instrText xml:space="preserve"> TOC \o "1-3" \h \z \u </w:instrText>
      </w:r>
      <w:r>
        <w:rPr>
          <w:rStyle w:val="33"/>
          <w:color w:val="000000" w:themeColor="text1"/>
          <w:szCs w:val="24"/>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"_Toc152234209" </w:instrText>
      </w:r>
      <w:r>
        <w:rPr>
          <w:color w:val="000000" w:themeColor="text1"/>
          <w:highlight w:val="none"/>
          <w14:textFill>
            <w14:solidFill>
              <w14:schemeClr w14:val="tx1"/>
            </w14:solidFill>
          </w14:textFill>
        </w:rPr>
        <w:fldChar w:fldCharType="separate"/>
      </w:r>
      <w:r>
        <w:rPr>
          <w:rStyle w:val="33"/>
          <w:color w:val="000000" w:themeColor="text1"/>
          <w:szCs w:val="24"/>
          <w:highlight w:val="none"/>
          <w:lang w:val="en-US" w:eastAsia="zh-CN"/>
          <w14:textFill>
            <w14:solidFill>
              <w14:schemeClr w14:val="tx1"/>
            </w14:solidFill>
          </w14:textFill>
        </w:rPr>
        <w:t>第一卷</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_Toc152234209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3</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"_Toc152234210" </w:instrText>
      </w:r>
      <w:r>
        <w:rPr>
          <w:color w:val="000000" w:themeColor="text1"/>
          <w:highlight w:val="none"/>
          <w14:textFill>
            <w14:solidFill>
              <w14:schemeClr w14:val="tx1"/>
            </w14:solidFill>
          </w14:textFill>
        </w:rPr>
        <w:fldChar w:fldCharType="separate"/>
      </w:r>
      <w:r>
        <w:rPr>
          <w:rStyle w:val="33"/>
          <w:color w:val="000000" w:themeColor="text1"/>
          <w:szCs w:val="24"/>
          <w:highlight w:val="none"/>
          <w:lang w:val="en-US" w:eastAsia="zh-CN"/>
          <w14:textFill>
            <w14:solidFill>
              <w14:schemeClr w14:val="tx1"/>
            </w14:solidFill>
          </w14:textFill>
        </w:rPr>
        <w:t>第一章 招标公告</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_Toc152234210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4</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"_Toc152234211" </w:instrText>
      </w:r>
      <w:r>
        <w:rPr>
          <w:color w:val="000000" w:themeColor="text1"/>
          <w:highlight w:val="none"/>
          <w14:textFill>
            <w14:solidFill>
              <w14:schemeClr w14:val="tx1"/>
            </w14:solidFill>
          </w14:textFill>
        </w:rPr>
        <w:fldChar w:fldCharType="separate"/>
      </w:r>
      <w:r>
        <w:rPr>
          <w:rStyle w:val="33"/>
          <w:color w:val="000000" w:themeColor="text1"/>
          <w:szCs w:val="24"/>
          <w:highlight w:val="none"/>
          <w:lang w:val="en-US" w:eastAsia="zh-CN"/>
          <w14:textFill>
            <w14:solidFill>
              <w14:schemeClr w14:val="tx1"/>
            </w14:solidFill>
          </w14:textFill>
        </w:rPr>
        <w:t>第二章 投标人须知</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_Toc152234211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5</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"_Toc152234273" </w:instrText>
      </w:r>
      <w:r>
        <w:rPr>
          <w:color w:val="000000" w:themeColor="text1"/>
          <w:highlight w:val="none"/>
          <w14:textFill>
            <w14:solidFill>
              <w14:schemeClr w14:val="tx1"/>
            </w14:solidFill>
          </w14:textFill>
        </w:rPr>
        <w:fldChar w:fldCharType="separate"/>
      </w:r>
      <w:r>
        <w:rPr>
          <w:rStyle w:val="33"/>
          <w:rFonts w:hAnsi="宋体"/>
          <w:color w:val="000000" w:themeColor="text1"/>
          <w:szCs w:val="24"/>
          <w:highlight w:val="none"/>
          <w:lang w:val="en-US" w:eastAsia="zh-CN"/>
          <w14:textFill>
            <w14:solidFill>
              <w14:schemeClr w14:val="tx1"/>
            </w14:solidFill>
          </w14:textFill>
        </w:rPr>
        <w:t>第三章 评标办法（综合评估法）</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_Toc152234273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34</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"_Toc152234276" </w:instrText>
      </w:r>
      <w:r>
        <w:rPr>
          <w:color w:val="000000" w:themeColor="text1"/>
          <w:highlight w:val="none"/>
          <w14:textFill>
            <w14:solidFill>
              <w14:schemeClr w14:val="tx1"/>
            </w14:solidFill>
          </w14:textFill>
        </w:rPr>
        <w:fldChar w:fldCharType="separate"/>
      </w:r>
      <w:r>
        <w:rPr>
          <w:rStyle w:val="33"/>
          <w:rFonts w:hAnsi="宋体"/>
          <w:color w:val="000000" w:themeColor="text1"/>
          <w:szCs w:val="24"/>
          <w:highlight w:val="none"/>
          <w:lang w:val="en-US" w:eastAsia="zh-CN"/>
          <w14:textFill>
            <w14:solidFill>
              <w14:schemeClr w14:val="tx1"/>
            </w14:solidFill>
          </w14:textFill>
        </w:rPr>
        <w:t>第四章 合同条款及格式</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_Toc152234276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44</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"_Toc152234277" </w:instrText>
      </w:r>
      <w:r>
        <w:rPr>
          <w:color w:val="000000" w:themeColor="text1"/>
          <w:highlight w:val="none"/>
          <w14:textFill>
            <w14:solidFill>
              <w14:schemeClr w14:val="tx1"/>
            </w14:solidFill>
          </w14:textFill>
        </w:rPr>
        <w:fldChar w:fldCharType="separate"/>
      </w:r>
      <w:r>
        <w:rPr>
          <w:rStyle w:val="33"/>
          <w:color w:val="000000" w:themeColor="text1"/>
          <w:szCs w:val="24"/>
          <w:highlight w:val="none"/>
          <w:lang w:val="en-US" w:eastAsia="zh-CN"/>
          <w14:textFill>
            <w14:solidFill>
              <w14:schemeClr w14:val="tx1"/>
            </w14:solidFill>
          </w14:textFill>
        </w:rPr>
        <w:t>第二卷</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_Toc152234277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45</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"_Toc152234278" </w:instrText>
      </w:r>
      <w:r>
        <w:rPr>
          <w:color w:val="000000" w:themeColor="text1"/>
          <w:highlight w:val="none"/>
          <w14:textFill>
            <w14:solidFill>
              <w14:schemeClr w14:val="tx1"/>
            </w14:solidFill>
          </w14:textFill>
        </w:rPr>
        <w:fldChar w:fldCharType="separate"/>
      </w:r>
      <w:r>
        <w:rPr>
          <w:rStyle w:val="33"/>
          <w:rFonts w:hAnsi="宋体"/>
          <w:color w:val="000000" w:themeColor="text1"/>
          <w:szCs w:val="24"/>
          <w:highlight w:val="none"/>
          <w:lang w:val="en-US" w:eastAsia="zh-CN"/>
          <w14:textFill>
            <w14:solidFill>
              <w14:schemeClr w14:val="tx1"/>
            </w14:solidFill>
          </w14:textFill>
        </w:rPr>
        <w:t>第五章 委托人要求</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_Toc152234278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46</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"_Toc152234283" </w:instrText>
      </w:r>
      <w:r>
        <w:rPr>
          <w:color w:val="000000" w:themeColor="text1"/>
          <w:highlight w:val="none"/>
          <w14:textFill>
            <w14:solidFill>
              <w14:schemeClr w14:val="tx1"/>
            </w14:solidFill>
          </w14:textFill>
        </w:rPr>
        <w:fldChar w:fldCharType="separate"/>
      </w:r>
      <w:r>
        <w:rPr>
          <w:rStyle w:val="33"/>
          <w:color w:val="000000" w:themeColor="text1"/>
          <w:szCs w:val="24"/>
          <w:highlight w:val="none"/>
          <w:lang w:val="en-US" w:eastAsia="zh-CN"/>
          <w14:textFill>
            <w14:solidFill>
              <w14:schemeClr w14:val="tx1"/>
            </w14:solidFill>
          </w14:textFill>
        </w:rPr>
        <w:t>第三卷</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_Toc152234283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46</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pStyle w:val="20"/>
        <w:shd w:val="clear"/>
        <w:tabs>
          <w:tab w:val="right" w:leader="dot" w:pos="8636"/>
        </w:tabs>
        <w:ind w:firstLine="480"/>
        <w:rPr>
          <w:rFonts w:ascii="等线" w:hAnsi="等线" w:eastAsia="等线"/>
          <w:color w:val="000000" w:themeColor="text1"/>
          <w:kern w:val="2"/>
          <w:szCs w:val="24"/>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"_Toc152234284" </w:instrText>
      </w:r>
      <w:r>
        <w:rPr>
          <w:color w:val="000000" w:themeColor="text1"/>
          <w:highlight w:val="none"/>
          <w14:textFill>
            <w14:solidFill>
              <w14:schemeClr w14:val="tx1"/>
            </w14:solidFill>
          </w14:textFill>
        </w:rPr>
        <w:fldChar w:fldCharType="separate"/>
      </w:r>
      <w:r>
        <w:rPr>
          <w:rStyle w:val="33"/>
          <w:rFonts w:hAnsi="宋体"/>
          <w:bCs/>
          <w:color w:val="000000" w:themeColor="text1"/>
          <w:szCs w:val="24"/>
          <w:highlight w:val="none"/>
          <w:lang w:val="en-US" w:eastAsia="zh-CN"/>
          <w14:textFill>
            <w14:solidFill>
              <w14:schemeClr w14:val="tx1"/>
            </w14:solidFill>
          </w14:textFill>
        </w:rPr>
        <w:t>第六章 投标文件格式</w:t>
      </w:r>
      <w:r>
        <w:rPr>
          <w:color w:val="000000" w:themeColor="text1"/>
          <w:szCs w:val="24"/>
          <w:highlight w:val="none"/>
          <w:lang w:val="en-US" w:eastAsia="zh-CN"/>
          <w14:textFill>
            <w14:solidFill>
              <w14:schemeClr w14:val="tx1"/>
            </w14:solidFill>
          </w14:textFill>
        </w:rPr>
        <w:tab/>
      </w:r>
      <w:r>
        <w:rPr>
          <w:color w:val="000000" w:themeColor="text1"/>
          <w:szCs w:val="24"/>
          <w:highlight w:val="none"/>
          <w:lang w:val="en-US" w:eastAsia="zh-CN"/>
          <w14:textFill>
            <w14:solidFill>
              <w14:schemeClr w14:val="tx1"/>
            </w14:solidFill>
          </w14:textFill>
        </w:rPr>
        <w:fldChar w:fldCharType="begin"/>
      </w:r>
      <w:r>
        <w:rPr>
          <w:color w:val="000000" w:themeColor="text1"/>
          <w:szCs w:val="24"/>
          <w:highlight w:val="none"/>
          <w:lang w:val="en-US" w:eastAsia="zh-CN"/>
          <w14:textFill>
            <w14:solidFill>
              <w14:schemeClr w14:val="tx1"/>
            </w14:solidFill>
          </w14:textFill>
        </w:rPr>
        <w:instrText xml:space="preserve"> PAGEREF _Toc152234284 \h </w:instrText>
      </w:r>
      <w:r>
        <w:rPr>
          <w:color w:val="000000" w:themeColor="text1"/>
          <w:szCs w:val="24"/>
          <w:highlight w:val="none"/>
          <w:lang w:val="en-US" w:eastAsia="zh-CN"/>
          <w14:textFill>
            <w14:solidFill>
              <w14:schemeClr w14:val="tx1"/>
            </w14:solidFill>
          </w14:textFill>
        </w:rPr>
        <w:fldChar w:fldCharType="separate"/>
      </w:r>
      <w:r>
        <w:rPr>
          <w:color w:val="000000" w:themeColor="text1"/>
          <w:szCs w:val="24"/>
          <w:highlight w:val="none"/>
          <w:lang w:val="en-US" w:eastAsia="zh-CN"/>
          <w14:textFill>
            <w14:solidFill>
              <w14:schemeClr w14:val="tx1"/>
            </w14:solidFill>
          </w14:textFill>
        </w:rPr>
        <w:t>48</w:t>
      </w:r>
      <w:r>
        <w:rPr>
          <w:color w:val="000000" w:themeColor="text1"/>
          <w:szCs w:val="24"/>
          <w:highlight w:val="none"/>
          <w:lang w:val="en-US" w:eastAsia="zh-CN"/>
          <w14:textFill>
            <w14:solidFill>
              <w14:schemeClr w14:val="tx1"/>
            </w14:solidFill>
          </w14:textFill>
        </w:rPr>
        <w:fldChar w:fldCharType="end"/>
      </w:r>
      <w:r>
        <w:rPr>
          <w:color w:val="000000" w:themeColor="text1"/>
          <w:szCs w:val="24"/>
          <w:highlight w:val="none"/>
          <w:lang w:val="en-US" w:eastAsia="zh-CN"/>
          <w14:textFill>
            <w14:solidFill>
              <w14:schemeClr w14:val="tx1"/>
            </w14:solidFill>
          </w14:textFill>
        </w:rPr>
        <w:fldChar w:fldCharType="end"/>
      </w:r>
    </w:p>
    <w:p>
      <w:pPr>
        <w:shd w:val="clear"/>
        <w:ind w:firstLine="480"/>
        <w:rPr>
          <w:rFonts w:hAnsi="宋体"/>
          <w:color w:val="000000" w:themeColor="text1"/>
          <w:sz w:val="28"/>
          <w:szCs w:val="28"/>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fldChar w:fldCharType="end"/>
      </w:r>
    </w:p>
    <w:p>
      <w:pPr>
        <w:pStyle w:val="20"/>
        <w:shd w:val="clear"/>
        <w:tabs>
          <w:tab w:val="left" w:pos="5244"/>
          <w:tab w:val="right" w:leader="dot" w:pos="8630"/>
        </w:tabs>
        <w:spacing w:line="480" w:lineRule="auto"/>
        <w:ind w:firstLine="480"/>
        <w:jc w:val="left"/>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ab/>
      </w:r>
    </w:p>
    <w:p>
      <w:pPr>
        <w:shd w:val="clear"/>
        <w:tabs>
          <w:tab w:val="left" w:leader="dot" w:pos="8760"/>
        </w:tabs>
        <w:ind w:left="780" w:firstLine="420"/>
        <w:rPr>
          <w:rFonts w:hAnsi="宋体"/>
          <w:color w:val="000000" w:themeColor="text1"/>
          <w:sz w:val="21"/>
          <w:highlight w:val="none"/>
          <w14:textFill>
            <w14:solidFill>
              <w14:schemeClr w14:val="tx1"/>
            </w14:solidFill>
          </w14:textFill>
        </w:rPr>
        <w:sectPr>
          <w:footerReference r:id="rId9" w:type="default"/>
          <w:pgSz w:w="12240" w:h="15840"/>
          <w:pgMar w:top="1440" w:right="1797" w:bottom="1440" w:left="1797" w:header="567" w:footer="567" w:gutter="0"/>
          <w:pgNumType w:start="1"/>
          <w:cols w:space="720" w:num="1"/>
          <w:docGrid w:linePitch="360" w:charSpace="0"/>
        </w:sectPr>
      </w:pPr>
    </w:p>
    <w:p>
      <w:pPr>
        <w:pStyle w:val="3"/>
        <w:shd w:val="clear"/>
        <w:ind w:firstLine="883"/>
        <w:jc w:val="center"/>
        <w:rPr>
          <w:rFonts w:hint="eastAsia"/>
          <w:color w:val="000000" w:themeColor="text1"/>
          <w:highlight w:val="none"/>
          <w14:textFill>
            <w14:solidFill>
              <w14:schemeClr w14:val="tx1"/>
            </w14:solidFill>
          </w14:textFill>
        </w:rPr>
      </w:pPr>
      <w:bookmarkStart w:id="13" w:name="page9"/>
      <w:bookmarkEnd w:id="13"/>
      <w:bookmarkStart w:id="14" w:name="_Toc21465"/>
      <w:bookmarkStart w:id="15" w:name="_Toc30415"/>
      <w:bookmarkStart w:id="16" w:name="_Toc14709203"/>
      <w:bookmarkStart w:id="17" w:name="_Toc152234209"/>
      <w:bookmarkStart w:id="18" w:name="_Toc11333"/>
      <w:bookmarkStart w:id="19" w:name="_Toc11715"/>
      <w:r>
        <w:rPr>
          <w:color w:val="000000" w:themeColor="text1"/>
          <w:highlight w:val="none"/>
          <w14:textFill>
            <w14:solidFill>
              <w14:schemeClr w14:val="tx1"/>
            </w14:solidFill>
          </w14:textFill>
        </w:rPr>
        <w:t>第一卷</w:t>
      </w:r>
      <w:bookmarkEnd w:id="14"/>
      <w:bookmarkEnd w:id="15"/>
      <w:bookmarkEnd w:id="16"/>
      <w:bookmarkEnd w:id="17"/>
      <w:bookmarkEnd w:id="18"/>
      <w:bookmarkEnd w:id="19"/>
    </w:p>
    <w:p>
      <w:pPr>
        <w:shd w:val="clear"/>
        <w:ind w:firstLine="480"/>
        <w:rPr>
          <w:rFonts w:hint="eastAsia" w:hAnsi="宋体"/>
          <w:color w:val="000000" w:themeColor="text1"/>
          <w:highlight w:val="none"/>
          <w14:textFill>
            <w14:solidFill>
              <w14:schemeClr w14:val="tx1"/>
            </w14:solidFill>
          </w14:textFill>
        </w:rPr>
      </w:pPr>
    </w:p>
    <w:p>
      <w:pPr>
        <w:shd w:val="clear"/>
        <w:spacing w:line="491" w:lineRule="exact"/>
        <w:ind w:firstLine="863"/>
        <w:jc w:val="center"/>
        <w:rPr>
          <w:rFonts w:hAnsi="宋体"/>
          <w:b/>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jc w:val="center"/>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pPr>
    </w:p>
    <w:p>
      <w:pPr>
        <w:shd w:val="clear"/>
        <w:ind w:firstLine="860"/>
        <w:rPr>
          <w:rFonts w:hAnsi="宋体"/>
          <w:color w:val="000000" w:themeColor="text1"/>
          <w:sz w:val="43"/>
          <w:highlight w:val="none"/>
          <w14:textFill>
            <w14:solidFill>
              <w14:schemeClr w14:val="tx1"/>
            </w14:solidFill>
          </w14:textFill>
        </w:rPr>
        <w:sectPr>
          <w:pgSz w:w="12240" w:h="15840"/>
          <w:pgMar w:top="1440" w:right="1440" w:bottom="378" w:left="1440" w:header="0" w:footer="567" w:gutter="0"/>
          <w:cols w:space="720" w:num="1"/>
          <w:rtlGutter w:val="1"/>
          <w:docGrid w:linePitch="360" w:charSpace="0"/>
        </w:sectPr>
      </w:pPr>
    </w:p>
    <w:p>
      <w:pPr>
        <w:shd w:val="clear"/>
        <w:spacing w:line="10" w:lineRule="exact"/>
        <w:ind w:firstLine="480"/>
        <w:rPr>
          <w:rFonts w:hAnsi="宋体"/>
          <w:color w:val="000000" w:themeColor="text1"/>
          <w:highlight w:val="none"/>
          <w14:textFill>
            <w14:solidFill>
              <w14:schemeClr w14:val="tx1"/>
            </w14:solidFill>
          </w14:textFill>
        </w:rPr>
      </w:pPr>
      <w:bookmarkStart w:id="20" w:name="page10"/>
      <w:bookmarkEnd w:id="20"/>
    </w:p>
    <w:p>
      <w:pPr>
        <w:pStyle w:val="3"/>
        <w:shd w:val="clear"/>
        <w:ind w:firstLine="883"/>
        <w:jc w:val="center"/>
        <w:rPr>
          <w:color w:val="000000" w:themeColor="text1"/>
          <w:highlight w:val="none"/>
          <w14:textFill>
            <w14:solidFill>
              <w14:schemeClr w14:val="tx1"/>
            </w14:solidFill>
          </w14:textFill>
        </w:rPr>
      </w:pPr>
      <w:bookmarkStart w:id="21" w:name="_Toc152234210"/>
      <w:bookmarkStart w:id="22" w:name="_Toc27412"/>
      <w:bookmarkStart w:id="23" w:name="_Toc14709204"/>
      <w:bookmarkStart w:id="24" w:name="_Toc27917"/>
      <w:bookmarkStart w:id="25" w:name="_Toc28184"/>
      <w:bookmarkStart w:id="26" w:name="_Toc2705"/>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招标公告</w:t>
      </w:r>
      <w:bookmarkEnd w:id="21"/>
      <w:bookmarkEnd w:id="22"/>
      <w:bookmarkEnd w:id="23"/>
      <w:bookmarkEnd w:id="24"/>
      <w:bookmarkEnd w:id="25"/>
      <w:bookmarkEnd w:id="26"/>
    </w:p>
    <w:p>
      <w:pPr>
        <w:shd w:val="clear"/>
        <w:ind w:firstLine="480"/>
        <w:rPr>
          <w:rFonts w:hAnsi="宋体"/>
          <w:color w:val="000000" w:themeColor="text1"/>
          <w:highlight w:val="none"/>
          <w14:textFill>
            <w14:solidFill>
              <w14:schemeClr w14:val="tx1"/>
            </w14:solidFill>
          </w14:textFill>
        </w:rPr>
      </w:pPr>
    </w:p>
    <w:p>
      <w:pPr>
        <w:shd w:val="clear"/>
        <w:ind w:firstLine="563"/>
        <w:jc w:val="center"/>
        <w:rPr>
          <w:rFonts w:hint="eastAsia" w:hAnsi="宋体"/>
          <w:b/>
          <w:color w:val="000000" w:themeColor="text1"/>
          <w:spacing w:val="-20"/>
          <w:sz w:val="32"/>
          <w:szCs w:val="32"/>
          <w:highlight w:val="none"/>
          <w:u w:val="single"/>
          <w14:textFill>
            <w14:solidFill>
              <w14:schemeClr w14:val="tx1"/>
            </w14:solidFill>
          </w14:textFill>
        </w:rPr>
      </w:pPr>
      <w:r>
        <w:rPr>
          <w:rFonts w:hint="eastAsia" w:hAnsi="宋体"/>
          <w:b/>
          <w:color w:val="000000" w:themeColor="text1"/>
          <w:spacing w:val="-20"/>
          <w:sz w:val="32"/>
          <w:szCs w:val="32"/>
          <w:highlight w:val="none"/>
          <w:u w:val="single"/>
          <w14:textFill>
            <w14:solidFill>
              <w14:schemeClr w14:val="tx1"/>
            </w14:solidFill>
          </w14:textFill>
        </w:rPr>
        <w:t>（另册）</w:t>
      </w:r>
    </w:p>
    <w:p>
      <w:pPr>
        <w:pStyle w:val="3"/>
        <w:shd w:val="clear"/>
        <w:ind w:firstLine="883"/>
        <w:jc w:val="center"/>
        <w:rPr>
          <w:color w:val="000000" w:themeColor="text1"/>
          <w:highlight w:val="none"/>
          <w14:textFill>
            <w14:solidFill>
              <w14:schemeClr w14:val="tx1"/>
            </w14:solidFill>
          </w14:textFill>
        </w:rPr>
      </w:pPr>
      <w:bookmarkStart w:id="27" w:name="page16"/>
      <w:bookmarkEnd w:id="27"/>
      <w:bookmarkStart w:id="28" w:name="page15"/>
      <w:bookmarkEnd w:id="28"/>
      <w:bookmarkStart w:id="29" w:name="page14"/>
      <w:bookmarkEnd w:id="29"/>
      <w:bookmarkStart w:id="30" w:name="page12"/>
      <w:bookmarkEnd w:id="30"/>
      <w:bookmarkStart w:id="31" w:name="_Toc14709205"/>
      <w:bookmarkStart w:id="32" w:name="_Toc290"/>
      <w:bookmarkStart w:id="33" w:name="_Toc12707"/>
      <w:bookmarkStart w:id="34" w:name="_Toc10310"/>
      <w:bookmarkStart w:id="35" w:name="_Toc7855"/>
      <w:r>
        <w:rPr>
          <w:color w:val="000000" w:themeColor="text1"/>
          <w:highlight w:val="none"/>
          <w14:textFill>
            <w14:solidFill>
              <w14:schemeClr w14:val="tx1"/>
            </w14:solidFill>
          </w14:textFill>
        </w:rPr>
        <w:br w:type="page"/>
      </w:r>
      <w:bookmarkStart w:id="36" w:name="_Toc152234211"/>
      <w:r>
        <w:rPr>
          <w:color w:val="000000" w:themeColor="text1"/>
          <w:highlight w:val="none"/>
          <w14:textFill>
            <w14:solidFill>
              <w14:schemeClr w14:val="tx1"/>
            </w14:solidFill>
          </w14:textFill>
        </w:rPr>
        <w:t>第二章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投标人须知</w:t>
      </w:r>
      <w:bookmarkEnd w:id="31"/>
      <w:bookmarkEnd w:id="32"/>
      <w:bookmarkEnd w:id="33"/>
      <w:bookmarkEnd w:id="34"/>
      <w:bookmarkEnd w:id="35"/>
      <w:bookmarkEnd w:id="36"/>
    </w:p>
    <w:p>
      <w:pPr>
        <w:pStyle w:val="3"/>
        <w:shd w:val="clear"/>
        <w:ind w:firstLine="883"/>
        <w:jc w:val="center"/>
        <w:rPr>
          <w:color w:val="000000" w:themeColor="text1"/>
          <w:highlight w:val="none"/>
          <w14:textFill>
            <w14:solidFill>
              <w14:schemeClr w14:val="tx1"/>
            </w14:solidFill>
          </w14:textFill>
        </w:rPr>
      </w:pPr>
      <w:bookmarkStart w:id="37" w:name="_Toc152234212"/>
      <w:bookmarkStart w:id="38" w:name="_Toc35513427"/>
      <w:r>
        <w:rPr>
          <w:color w:val="000000" w:themeColor="text1"/>
          <w:highlight w:val="none"/>
          <w14:textFill>
            <w14:solidFill>
              <w14:schemeClr w14:val="tx1"/>
            </w14:solidFill>
          </w14:textFill>
        </w:rPr>
        <w:t>投标人须知前附表</w:t>
      </w:r>
      <w:bookmarkEnd w:id="37"/>
      <w:bookmarkEnd w:id="38"/>
    </w:p>
    <w:tbl>
      <w:tblPr>
        <w:tblStyle w:val="29"/>
        <w:tblW w:w="939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5"/>
        <w:gridCol w:w="2593"/>
        <w:gridCol w:w="5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center"/>
              <w:rPr>
                <w:rFonts w:hint="default" w:hAnsi="宋体"/>
                <w:b/>
                <w:color w:val="000000" w:themeColor="text1"/>
                <w:szCs w:val="24"/>
                <w:highlight w:val="none"/>
                <w14:textFill>
                  <w14:solidFill>
                    <w14:schemeClr w14:val="tx1"/>
                  </w14:solidFill>
                </w14:textFill>
              </w:rPr>
            </w:pPr>
            <w:r>
              <w:rPr>
                <w:rFonts w:hint="default" w:hAnsi="宋体"/>
                <w:b/>
                <w:color w:val="000000" w:themeColor="text1"/>
                <w:szCs w:val="24"/>
                <w:highlight w:val="none"/>
                <w14:textFill>
                  <w14:solidFill>
                    <w14:schemeClr w14:val="tx1"/>
                  </w14:solidFill>
                </w14:textFill>
              </w:rPr>
              <w:t>条款号</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center"/>
              <w:rPr>
                <w:rFonts w:hint="default" w:hAnsi="宋体"/>
                <w:b/>
                <w:color w:val="000000" w:themeColor="text1"/>
                <w:szCs w:val="24"/>
                <w:highlight w:val="none"/>
                <w14:textFill>
                  <w14:solidFill>
                    <w14:schemeClr w14:val="tx1"/>
                  </w14:solidFill>
                </w14:textFill>
              </w:rPr>
            </w:pPr>
            <w:r>
              <w:rPr>
                <w:rFonts w:hint="default" w:hAnsi="宋体"/>
                <w:b/>
                <w:color w:val="000000" w:themeColor="text1"/>
                <w:szCs w:val="24"/>
                <w:highlight w:val="none"/>
                <w14:textFill>
                  <w14:solidFill>
                    <w14:schemeClr w14:val="tx1"/>
                  </w14:solidFill>
                </w14:textFill>
              </w:rPr>
              <w:t>条款名称</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center"/>
              <w:rPr>
                <w:rFonts w:hint="default" w:hAnsi="宋体"/>
                <w:b/>
                <w:color w:val="000000" w:themeColor="text1"/>
                <w:szCs w:val="24"/>
                <w:highlight w:val="none"/>
                <w14:textFill>
                  <w14:solidFill>
                    <w14:schemeClr w14:val="tx1"/>
                  </w14:solidFill>
                </w14:textFill>
              </w:rPr>
            </w:pPr>
            <w:r>
              <w:rPr>
                <w:rFonts w:hint="default" w:hAnsi="宋体"/>
                <w:b/>
                <w:color w:val="000000" w:themeColor="text1"/>
                <w:szCs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招标人</w:t>
            </w:r>
          </w:p>
        </w:tc>
        <w:tc>
          <w:tcPr>
            <w:tcW w:w="5569" w:type="dxa"/>
            <w:vAlign w:val="center"/>
          </w:tcPr>
          <w:p>
            <w:pPr>
              <w:keepNext w:val="0"/>
              <w:keepLines w:val="0"/>
              <w:widowControl/>
              <w:suppressLineNumbers w:val="0"/>
              <w:shd w:val="clear"/>
              <w:adjustRightInd w:val="0"/>
              <w:snapToGrid w:val="0"/>
              <w:spacing w:before="0" w:beforeAutospacing="0" w:after="0" w:afterAutospacing="0"/>
              <w:ind w:left="0" w:right="0" w:firstLine="0" w:firstLineChars="0"/>
              <w:jc w:val="left"/>
              <w:rPr>
                <w:rFonts w:hint="eastAsia" w:hAnsi="宋体" w:eastAsia="宋体"/>
                <w:color w:val="000000" w:themeColor="text1"/>
                <w:szCs w:val="24"/>
                <w:highlight w:val="none"/>
                <w:u w:val="single"/>
                <w:lang w:eastAsia="zh-CN"/>
                <w14:textFill>
                  <w14:solidFill>
                    <w14:schemeClr w14:val="tx1"/>
                  </w14:solidFill>
                </w14:textFill>
              </w:rPr>
            </w:pPr>
            <w:r>
              <w:rPr>
                <w:rFonts w:hint="default" w:hAnsi="宋体"/>
                <w:color w:val="000000" w:themeColor="text1"/>
                <w:szCs w:val="24"/>
                <w:highlight w:val="none"/>
                <w14:textFill>
                  <w14:solidFill>
                    <w14:schemeClr w14:val="tx1"/>
                  </w14:solidFill>
                </w14:textFill>
              </w:rPr>
              <w:t>名称：</w:t>
            </w:r>
            <w:r>
              <w:rPr>
                <w:rFonts w:hint="eastAsia"/>
                <w:color w:val="000000" w:themeColor="text1"/>
                <w:szCs w:val="20"/>
                <w:highlight w:val="none"/>
                <w:u w:val="single"/>
                <w:lang w:eastAsia="zh-CN"/>
                <w14:textFill>
                  <w14:solidFill>
                    <w14:schemeClr w14:val="tx1"/>
                  </w14:solidFill>
                </w14:textFill>
              </w:rPr>
              <w:t>广州市白云城市建设投资有限公司</w:t>
            </w:r>
          </w:p>
          <w:p>
            <w:pPr>
              <w:keepNext w:val="0"/>
              <w:keepLines w:val="0"/>
              <w:widowControl/>
              <w:suppressLineNumbers w:val="0"/>
              <w:shd w:val="clear"/>
              <w:adjustRightInd w:val="0"/>
              <w:snapToGrid w:val="0"/>
              <w:spacing w:before="0" w:beforeAutospacing="0" w:after="0" w:afterAutospacing="0"/>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地址：</w:t>
            </w:r>
            <w:r>
              <w:rPr>
                <w:rFonts w:hint="eastAsia" w:ascii="宋体" w:hAnsi="宋体" w:cs="宋体"/>
                <w:color w:val="000000" w:themeColor="text1"/>
                <w:sz w:val="24"/>
                <w:szCs w:val="20"/>
                <w:highlight w:val="none"/>
                <w:u w:val="single"/>
                <w14:textFill>
                  <w14:solidFill>
                    <w14:schemeClr w14:val="tx1"/>
                  </w14:solidFill>
                </w14:textFill>
              </w:rPr>
              <w:t>广州市白云区齐富路88号C座八楼</w:t>
            </w:r>
          </w:p>
          <w:p>
            <w:pPr>
              <w:keepNext w:val="0"/>
              <w:keepLines w:val="0"/>
              <w:widowControl/>
              <w:suppressLineNumbers w:val="0"/>
              <w:shd w:val="clear"/>
              <w:adjustRightInd w:val="0"/>
              <w:snapToGrid w:val="0"/>
              <w:spacing w:before="0" w:beforeAutospacing="0" w:after="0" w:afterAutospacing="0"/>
              <w:ind w:left="0" w:right="0" w:firstLine="0" w:firstLineChars="0"/>
              <w:jc w:val="left"/>
              <w:rPr>
                <w:rFonts w:hint="eastAsia"/>
                <w:color w:val="000000" w:themeColor="text1"/>
                <w:szCs w:val="20"/>
                <w:highlight w:val="none"/>
                <w:u w:val="single"/>
                <w14:textFill>
                  <w14:solidFill>
                    <w14:schemeClr w14:val="tx1"/>
                  </w14:solidFill>
                </w14:textFill>
              </w:rPr>
            </w:pPr>
            <w:r>
              <w:rPr>
                <w:rFonts w:hint="default" w:hAnsi="宋体"/>
                <w:color w:val="000000" w:themeColor="text1"/>
                <w:szCs w:val="24"/>
                <w:highlight w:val="none"/>
                <w14:textFill>
                  <w14:solidFill>
                    <w14:schemeClr w14:val="tx1"/>
                  </w14:solidFill>
                </w14:textFill>
              </w:rPr>
              <w:t>联系人：</w:t>
            </w:r>
            <w:r>
              <w:rPr>
                <w:rFonts w:hint="eastAsia" w:ascii="宋体" w:hAnsi="宋体" w:cs="宋体"/>
                <w:color w:val="000000" w:themeColor="text1"/>
                <w:sz w:val="24"/>
                <w:szCs w:val="20"/>
                <w:highlight w:val="none"/>
                <w:u w:val="single"/>
                <w14:textFill>
                  <w14:solidFill>
                    <w14:schemeClr w14:val="tx1"/>
                  </w14:solidFill>
                </w14:textFill>
              </w:rPr>
              <w:t>邓工</w:t>
            </w:r>
            <w:r>
              <w:rPr>
                <w:rFonts w:hint="default" w:ascii="宋体" w:hAnsi="宋体" w:cs="宋体"/>
                <w:color w:val="000000" w:themeColor="text1"/>
                <w:sz w:val="24"/>
                <w:szCs w:val="20"/>
                <w:highlight w:val="none"/>
                <w14:textFill>
                  <w14:solidFill>
                    <w14:schemeClr w14:val="tx1"/>
                  </w14:solidFill>
                </w14:textFill>
              </w:rPr>
              <w:t xml:space="preserve">  </w:t>
            </w:r>
          </w:p>
          <w:p>
            <w:pPr>
              <w:keepNext w:val="0"/>
              <w:keepLines w:val="0"/>
              <w:widowControl/>
              <w:suppressLineNumbers w:val="0"/>
              <w:shd w:val="clear"/>
              <w:adjustRightInd w:val="0"/>
              <w:snapToGrid w:val="0"/>
              <w:spacing w:before="0" w:beforeAutospacing="0" w:after="0" w:afterAutospacing="0"/>
              <w:ind w:left="0" w:right="0" w:firstLine="0" w:firstLineChars="0"/>
              <w:jc w:val="left"/>
              <w:rPr>
                <w:rFonts w:hint="eastAsia" w:hAnsi="宋体"/>
                <w:color w:val="000000" w:themeColor="text1"/>
                <w:szCs w:val="24"/>
                <w:highlight w:val="none"/>
                <w:u w:val="single"/>
                <w14:textFill>
                  <w14:solidFill>
                    <w14:schemeClr w14:val="tx1"/>
                  </w14:solidFill>
                </w14:textFill>
              </w:rPr>
            </w:pPr>
            <w:r>
              <w:rPr>
                <w:rFonts w:hint="default" w:hAnsi="宋体"/>
                <w:color w:val="000000" w:themeColor="text1"/>
                <w:szCs w:val="24"/>
                <w:highlight w:val="none"/>
                <w14:textFill>
                  <w14:solidFill>
                    <w14:schemeClr w14:val="tx1"/>
                  </w14:solidFill>
                </w14:textFill>
              </w:rPr>
              <w:t>电话：</w:t>
            </w:r>
            <w:r>
              <w:rPr>
                <w:rFonts w:hint="default" w:ascii="宋体" w:hAnsi="宋体" w:cs="宋体"/>
                <w:color w:val="000000" w:themeColor="text1"/>
                <w:sz w:val="24"/>
                <w:szCs w:val="20"/>
                <w:highlight w:val="none"/>
                <w:u w:val="single"/>
                <w14:textFill>
                  <w14:solidFill>
                    <w14:schemeClr w14:val="tx1"/>
                  </w14:solidFill>
                </w14:textFill>
              </w:rPr>
              <w:t>020-86350995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招标代理机构</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名称：</w:t>
            </w:r>
            <w:r>
              <w:rPr>
                <w:rFonts w:hint="eastAsia" w:hAnsi="宋体"/>
                <w:color w:val="000000" w:themeColor="text1"/>
                <w:szCs w:val="24"/>
                <w:highlight w:val="none"/>
                <w:u w:val="single"/>
                <w14:textFill>
                  <w14:solidFill>
                    <w14:schemeClr w14:val="tx1"/>
                  </w14:solidFill>
                </w14:textFill>
              </w:rPr>
              <w:t>广州市白云工程咨询管理有限公司</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地址：</w:t>
            </w:r>
            <w:r>
              <w:rPr>
                <w:rFonts w:hint="eastAsia" w:hAnsi="宋体"/>
                <w:color w:val="000000" w:themeColor="text1"/>
                <w:szCs w:val="24"/>
                <w:highlight w:val="none"/>
                <w:u w:val="single"/>
                <w14:textFill>
                  <w14:solidFill>
                    <w14:schemeClr w14:val="tx1"/>
                  </w14:solidFill>
                </w14:textFill>
              </w:rPr>
              <w:t>广州市白云区齐富路88号C座</w:t>
            </w:r>
            <w:r>
              <w:rPr>
                <w:rFonts w:hint="eastAsia" w:hAnsi="宋体" w:cs="宋体"/>
                <w:color w:val="000000" w:themeColor="text1"/>
                <w:szCs w:val="20"/>
                <w:highlight w:val="none"/>
                <w:u w:val="single"/>
                <w14:textFill>
                  <w14:solidFill>
                    <w14:schemeClr w14:val="tx1"/>
                  </w14:solidFill>
                </w14:textFill>
              </w:rPr>
              <w:t>5-6楼</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联系人：</w:t>
            </w:r>
            <w:r>
              <w:rPr>
                <w:rFonts w:hint="eastAsia" w:hAnsi="宋体" w:cs="宋体"/>
                <w:color w:val="000000" w:themeColor="text1"/>
                <w:szCs w:val="24"/>
                <w:highlight w:val="none"/>
                <w:u w:val="single"/>
                <w:shd w:val="clear" w:color="auto" w:fill="FFFFFF"/>
                <w:lang w:val="en-US" w:eastAsia="zh-CN"/>
                <w14:textFill>
                  <w14:solidFill>
                    <w14:schemeClr w14:val="tx1"/>
                  </w14:solidFill>
                </w14:textFill>
              </w:rPr>
              <w:t>张</w:t>
            </w:r>
            <w:r>
              <w:rPr>
                <w:rFonts w:hint="eastAsia" w:hAnsi="宋体" w:cs="宋体"/>
                <w:color w:val="000000" w:themeColor="text1"/>
                <w:szCs w:val="24"/>
                <w:highlight w:val="none"/>
                <w:u w:val="single"/>
                <w:shd w:val="clear" w:color="auto" w:fill="FFFFFF"/>
                <w14:textFill>
                  <w14:solidFill>
                    <w14:schemeClr w14:val="tx1"/>
                  </w14:solidFill>
                </w14:textFill>
              </w:rPr>
              <w:t>工、</w:t>
            </w:r>
            <w:r>
              <w:rPr>
                <w:rFonts w:hint="eastAsia" w:hAnsi="宋体" w:cs="宋体"/>
                <w:color w:val="000000" w:themeColor="text1"/>
                <w:szCs w:val="20"/>
                <w:highlight w:val="none"/>
                <w:u w:val="single"/>
                <w14:textFill>
                  <w14:solidFill>
                    <w14:schemeClr w14:val="tx1"/>
                  </w14:solidFill>
                </w14:textFill>
              </w:rPr>
              <w:t>肖</w:t>
            </w:r>
            <w:r>
              <w:rPr>
                <w:rFonts w:hint="eastAsia" w:hAnsi="宋体" w:cs="宋体"/>
                <w:color w:val="000000" w:themeColor="text1"/>
                <w:szCs w:val="24"/>
                <w:highlight w:val="none"/>
                <w:u w:val="single"/>
                <w:shd w:val="clear" w:color="auto" w:fill="FFFFFF"/>
                <w14:textFill>
                  <w14:solidFill>
                    <w14:schemeClr w14:val="tx1"/>
                  </w14:solidFill>
                </w14:textFill>
              </w:rPr>
              <w:t>工</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14:textFill>
                  <w14:solidFill>
                    <w14:schemeClr w14:val="tx1"/>
                  </w14:solidFill>
                </w14:textFill>
              </w:rPr>
              <w:t>电话：</w:t>
            </w:r>
            <w:r>
              <w:rPr>
                <w:rFonts w:hint="default" w:hAnsi="宋体"/>
                <w:color w:val="000000" w:themeColor="text1"/>
                <w:szCs w:val="24"/>
                <w:highlight w:val="none"/>
                <w:u w:val="single"/>
                <w14:textFill>
                  <w14:solidFill>
                    <w14:schemeClr w14:val="tx1"/>
                  </w14:solidFill>
                </w14:textFill>
              </w:rPr>
              <w:t>020-35622940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1.1.4</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招标项目名称</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eastAsia="宋体"/>
                <w:color w:val="000000" w:themeColor="text1"/>
                <w:szCs w:val="24"/>
                <w:highlight w:val="none"/>
                <w:lang w:eastAsia="zh-CN"/>
                <w14:textFill>
                  <w14:solidFill>
                    <w14:schemeClr w14:val="tx1"/>
                  </w14:solidFill>
                </w14:textFill>
              </w:rPr>
            </w:pPr>
            <w:r>
              <w:rPr>
                <w:rFonts w:hint="eastAsia"/>
                <w:color w:val="000000" w:themeColor="text1"/>
                <w:szCs w:val="21"/>
                <w:highlight w:val="none"/>
                <w:u w:val="single"/>
                <w:lang w:eastAsia="zh-CN"/>
                <w14:textFill>
                  <w14:solidFill>
                    <w14:schemeClr w14:val="tx1"/>
                  </w14:solidFill>
                </w14:textFill>
              </w:rPr>
              <w:t>广州设计之都嘉禾片区项目三期全过程造价咨询服务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1.1.5</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项目建设地点</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1.1.6</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项目建设规模</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1.1.7</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工程项目施工预计开工日期和建设周期</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1.1.8</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建筑安装工程费/工程概算</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1.2.1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资金来源及比例</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1.2.2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资金落实情况</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1.3.1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招标范围</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1.3.2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服务期限</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质量标准</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满足“委托人要求”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1.4.1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投标人资质条件、能力、信誉</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1</w:t>
            </w:r>
            <w:r>
              <w:rPr>
                <w:rFonts w:hint="default" w:hAnsi="宋体"/>
                <w:color w:val="000000" w:themeColor="text1"/>
                <w:szCs w:val="24"/>
                <w:highlight w:val="none"/>
                <w14:textFill>
                  <w14:solidFill>
                    <w14:schemeClr w14:val="tx1"/>
                  </w14:solidFill>
                </w14:textFill>
              </w:rPr>
              <w:t>）资质要求：</w:t>
            </w:r>
            <w:r>
              <w:rPr>
                <w:rFonts w:hint="eastAsia" w:hAnsi="宋体"/>
                <w:color w:val="000000" w:themeColor="text1"/>
                <w:szCs w:val="24"/>
                <w:highlight w:val="none"/>
                <w:u w:val="single"/>
                <w14:textFill>
                  <w14:solidFill>
                    <w14:schemeClr w14:val="tx1"/>
                  </w14:solidFill>
                </w14:textFill>
              </w:rPr>
              <w:t>见招标公告投标人资格要求。</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2</w:t>
            </w:r>
            <w:r>
              <w:rPr>
                <w:rFonts w:hint="default" w:hAnsi="宋体"/>
                <w:color w:val="000000" w:themeColor="text1"/>
                <w:szCs w:val="24"/>
                <w:highlight w:val="none"/>
                <w14:textFill>
                  <w14:solidFill>
                    <w14:schemeClr w14:val="tx1"/>
                  </w14:solidFill>
                </w14:textFill>
              </w:rPr>
              <w:t>）财务要求：</w:t>
            </w:r>
            <w:r>
              <w:rPr>
                <w:rFonts w:hint="default" w:hAnsi="宋体" w:cs="宋体"/>
                <w:color w:val="000000" w:themeColor="text1"/>
                <w:szCs w:val="24"/>
                <w:highlight w:val="non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3</w:t>
            </w:r>
            <w:r>
              <w:rPr>
                <w:rFonts w:hint="default" w:hAnsi="宋体"/>
                <w:color w:val="000000" w:themeColor="text1"/>
                <w:szCs w:val="24"/>
                <w:highlight w:val="none"/>
                <w14:textFill>
                  <w14:solidFill>
                    <w14:schemeClr w14:val="tx1"/>
                  </w14:solidFill>
                </w14:textFill>
              </w:rPr>
              <w:t>）业绩要求：</w:t>
            </w:r>
            <w:r>
              <w:rPr>
                <w:rFonts w:hint="eastAsia" w:hAnsi="宋体"/>
                <w:color w:val="000000" w:themeColor="text1"/>
                <w:szCs w:val="24"/>
                <w:highlight w:val="none"/>
                <w:u w:val="singl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4</w:t>
            </w:r>
            <w:r>
              <w:rPr>
                <w:rFonts w:hint="default" w:hAnsi="宋体"/>
                <w:color w:val="000000" w:themeColor="text1"/>
                <w:szCs w:val="24"/>
                <w:highlight w:val="none"/>
                <w14:textFill>
                  <w14:solidFill>
                    <w14:schemeClr w14:val="tx1"/>
                  </w14:solidFill>
                </w14:textFill>
              </w:rPr>
              <w:t>）信誉要求：</w:t>
            </w:r>
            <w:r>
              <w:rPr>
                <w:rFonts w:hint="default" w:hAnsi="宋体" w:cs="宋体"/>
                <w:color w:val="000000" w:themeColor="text1"/>
                <w:szCs w:val="24"/>
                <w:highlight w:val="non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5</w:t>
            </w: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项目负责人</w:t>
            </w:r>
            <w:r>
              <w:rPr>
                <w:rFonts w:hint="default" w:hAnsi="宋体"/>
                <w:color w:val="000000" w:themeColor="text1"/>
                <w:szCs w:val="24"/>
                <w:highlight w:val="none"/>
                <w14:textFill>
                  <w14:solidFill>
                    <w14:schemeClr w14:val="tx1"/>
                  </w14:solidFill>
                </w14:textFill>
              </w:rPr>
              <w:t>要求：</w:t>
            </w:r>
            <w:r>
              <w:rPr>
                <w:rFonts w:hint="eastAsia" w:hAnsi="宋体"/>
                <w:color w:val="000000" w:themeColor="text1"/>
                <w:szCs w:val="24"/>
                <w:highlight w:val="none"/>
                <w:u w:val="single"/>
                <w14:textFill>
                  <w14:solidFill>
                    <w14:schemeClr w14:val="tx1"/>
                  </w14:solidFill>
                </w14:textFill>
              </w:rPr>
              <w:t>见招标公告投标人资格要求。</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（6）其他主要人员要求：</w:t>
            </w:r>
            <w:r>
              <w:rPr>
                <w:rFonts w:hint="eastAsia" w:hAnsi="宋体"/>
                <w:color w:val="000000" w:themeColor="text1"/>
                <w:szCs w:val="24"/>
                <w:highlight w:val="none"/>
                <w:u w:val="singl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（7）仪器设备要求：</w:t>
            </w:r>
            <w:r>
              <w:rPr>
                <w:rFonts w:hint="default" w:hAnsi="宋体" w:cs="宋体"/>
                <w:color w:val="000000" w:themeColor="text1"/>
                <w:szCs w:val="24"/>
                <w:highlight w:val="none"/>
                <w:u w:val="single"/>
                <w14:textFill>
                  <w14:solidFill>
                    <w14:schemeClr w14:val="tx1"/>
                  </w14:solidFill>
                </w14:textFill>
              </w:rPr>
              <w:t>/</w:t>
            </w:r>
            <w:r>
              <w:rPr>
                <w:rFonts w:hint="eastAsia" w:hAnsi="宋体" w:cs="宋体"/>
                <w:color w:val="000000" w:themeColor="text1"/>
                <w:szCs w:val="24"/>
                <w:highlight w:val="none"/>
                <w:u w:val="singl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8</w:t>
            </w:r>
            <w:r>
              <w:rPr>
                <w:rFonts w:hint="default" w:hAnsi="宋体"/>
                <w:color w:val="000000" w:themeColor="text1"/>
                <w:szCs w:val="24"/>
                <w:highlight w:val="none"/>
                <w14:textFill>
                  <w14:solidFill>
                    <w14:schemeClr w14:val="tx1"/>
                  </w14:solidFill>
                </w14:textFill>
              </w:rPr>
              <w:t>）其他要求：</w:t>
            </w:r>
            <w:r>
              <w:rPr>
                <w:rFonts w:hint="eastAsia" w:hAnsi="宋体"/>
                <w:color w:val="000000" w:themeColor="text1"/>
                <w:szCs w:val="24"/>
                <w:highlight w:val="none"/>
                <w:u w:val="single"/>
                <w14:textFill>
                  <w14:solidFill>
                    <w14:schemeClr w14:val="tx1"/>
                  </w14:solidFill>
                </w14:textFill>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1.4.2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是否接受联合体投标</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eastAsia" w:hAnsi="宋体" w:cs="宋体"/>
                <w:color w:val="000000" w:themeColor="text1"/>
                <w:szCs w:val="24"/>
                <w:highlight w:val="none"/>
                <w:lang w:bidi="ar"/>
                <w14:textFill>
                  <w14:solidFill>
                    <w14:schemeClr w14:val="tx1"/>
                  </w14:solidFill>
                </w14:textFill>
              </w:rPr>
              <w:t>不接受</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eastAsia="zh-CN" w:bidi="ar"/>
                <w14:textFill>
                  <w14:solidFill>
                    <w14:schemeClr w14:val="tx1"/>
                  </w14:solidFill>
                </w14:textFill>
              </w:rPr>
              <w:t>□</w:t>
            </w:r>
            <w:r>
              <w:rPr>
                <w:rFonts w:hint="eastAsia" w:hAnsi="宋体" w:cs="宋体"/>
                <w:color w:val="000000" w:themeColor="text1"/>
                <w:szCs w:val="24"/>
                <w:highlight w:val="none"/>
                <w:lang w:bidi="ar"/>
                <w14:textFill>
                  <w14:solidFill>
                    <w14:schemeClr w14:val="tx1"/>
                  </w14:solidFill>
                </w14:textFill>
              </w:rPr>
              <w:t>接受，应满足下列要求：见本项目招标公告要求。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1.4.3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投标人不得存在的其他情形</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lang w:bidi="ar"/>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1.9.1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踏勘现场</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u w:val="single"/>
                <w:lang w:bidi="ar"/>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eastAsia" w:hAnsi="宋体" w:cs="宋体"/>
                <w:color w:val="000000" w:themeColor="text1"/>
                <w:szCs w:val="24"/>
                <w:highlight w:val="none"/>
                <w:lang w:bidi="ar"/>
                <w14:textFill>
                  <w14:solidFill>
                    <w14:schemeClr w14:val="tx1"/>
                  </w14:solidFill>
                </w14:textFill>
              </w:rPr>
              <w:t>不组织</w:t>
            </w:r>
            <w:r>
              <w:rPr>
                <w:rFonts w:hint="eastAsia" w:hAnsi="宋体" w:cs="宋体"/>
                <w:color w:val="000000" w:themeColor="text1"/>
                <w:szCs w:val="24"/>
                <w:highlight w:val="none"/>
                <w:u w:val="single"/>
                <w:lang w:bidi="ar"/>
                <w14:textFill>
                  <w14:solidFill>
                    <w14:schemeClr w14:val="tx1"/>
                  </w14:solidFill>
                </w14:textFill>
              </w:rPr>
              <w:t>，由投标人自行踏勘。</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w:t>
            </w:r>
            <w:r>
              <w:rPr>
                <w:rFonts w:hint="eastAsia" w:hAnsi="宋体" w:cs="宋体"/>
                <w:color w:val="000000" w:themeColor="text1"/>
                <w:szCs w:val="24"/>
                <w:highlight w:val="none"/>
                <w:lang w:bidi="ar"/>
                <w14:textFill>
                  <w14:solidFill>
                    <w14:schemeClr w14:val="tx1"/>
                  </w14:solidFill>
                </w14:textFill>
              </w:rPr>
              <w:t>组织，踏勘时间：</w:t>
            </w:r>
            <w:r>
              <w:rPr>
                <w:rFonts w:hint="eastAsia" w:hAnsi="宋体" w:cs="宋体"/>
                <w:color w:val="000000" w:themeColor="text1"/>
                <w:szCs w:val="24"/>
                <w:highlight w:val="none"/>
                <w14:textFill>
                  <w14:solidFill>
                    <w14:schemeClr w14:val="tx1"/>
                  </w14:solidFill>
                </w14:textFill>
              </w:rPr>
              <w:t xml:space="preserve">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踏勘集中地点：</w:t>
            </w:r>
            <w:r>
              <w:rPr>
                <w:rFonts w:hint="eastAsia" w:hAnsi="宋体" w:cs="宋体"/>
                <w:color w:val="000000" w:themeColor="text1"/>
                <w:szCs w:val="24"/>
                <w:highlight w:val="none"/>
                <w:lang w:bidi="ar"/>
                <w14:textFill>
                  <w14:solidFill>
                    <w14:schemeClr w14:val="tx1"/>
                  </w14:solidFill>
                </w14:textFill>
              </w:rPr>
              <w:t xml:space="preserve">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u w:val="single"/>
                <w:lang w:bidi="ar"/>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eastAsia" w:hAnsi="宋体" w:cs="宋体"/>
                <w:b/>
                <w:bCs/>
                <w:color w:val="000000" w:themeColor="text1"/>
                <w:szCs w:val="24"/>
                <w:highlight w:val="none"/>
                <w:u w:val="single"/>
                <w:lang w:bidi="ar"/>
                <w14:textFill>
                  <w14:solidFill>
                    <w14:schemeClr w14:val="tx1"/>
                  </w14:solidFill>
                </w14:textFill>
              </w:rPr>
              <w:t>补充说明如下：</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u w:val="single"/>
                <w:lang w:bidi="ar"/>
                <w14:textFill>
                  <w14:solidFill>
                    <w14:schemeClr w14:val="tx1"/>
                  </w14:solidFill>
                </w14:textFill>
              </w:rPr>
            </w:pPr>
            <w:r>
              <w:rPr>
                <w:rFonts w:hint="eastAsia" w:hAnsi="宋体" w:cs="宋体"/>
                <w:color w:val="000000" w:themeColor="text1"/>
                <w:szCs w:val="24"/>
                <w:highlight w:val="none"/>
                <w:u w:val="single"/>
                <w:lang w:bidi="ar"/>
                <w14:textFill>
                  <w14:solidFill>
                    <w14:schemeClr w14:val="tx1"/>
                  </w14:solidFill>
                </w14:textFill>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u w:val="single"/>
                <w:lang w:bidi="ar"/>
                <w14:textFill>
                  <w14:solidFill>
                    <w14:schemeClr w14:val="tx1"/>
                  </w14:solidFill>
                </w14:textFill>
              </w:rPr>
            </w:pPr>
            <w:r>
              <w:rPr>
                <w:rFonts w:hint="eastAsia" w:hAnsi="宋体" w:cs="宋体"/>
                <w:color w:val="000000" w:themeColor="text1"/>
                <w:szCs w:val="24"/>
                <w:highlight w:val="none"/>
                <w:u w:val="single"/>
                <w:lang w:bidi="ar"/>
                <w14:textFill>
                  <w14:solidFill>
                    <w14:schemeClr w14:val="tx1"/>
                  </w14:solidFill>
                </w14:textFill>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u w:val="single"/>
                <w:lang w:bidi="ar"/>
                <w14:textFill>
                  <w14:solidFill>
                    <w14:schemeClr w14:val="tx1"/>
                  </w14:solidFill>
                </w14:textFill>
              </w:rPr>
            </w:pPr>
            <w:r>
              <w:rPr>
                <w:rFonts w:hint="eastAsia" w:hAnsi="宋体" w:cs="宋体"/>
                <w:color w:val="000000" w:themeColor="text1"/>
                <w:szCs w:val="24"/>
                <w:highlight w:val="none"/>
                <w:u w:val="single"/>
                <w:lang w:bidi="ar"/>
                <w14:textFill>
                  <w14:solidFill>
                    <w14:schemeClr w14:val="tx1"/>
                  </w14:solidFill>
                </w14:textFill>
              </w:rPr>
              <w:t>（3）在现场考察中由招标人提供的资料和数据，只是为了使投标人能够利用招标人现有的资料。招标人对投标人由此而作出的推论、解释和结论概不负责。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lang w:bidi="ar"/>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1.10.1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投标预备会</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eastAsia" w:hAnsi="宋体" w:cs="宋体"/>
                <w:color w:val="000000" w:themeColor="text1"/>
                <w:szCs w:val="24"/>
                <w:highlight w:val="none"/>
                <w:lang w:bidi="ar"/>
                <w14:textFill>
                  <w14:solidFill>
                    <w14:schemeClr w14:val="tx1"/>
                  </w14:solidFill>
                </w14:textFill>
              </w:rPr>
              <w:t>不召开</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w:t>
            </w:r>
            <w:r>
              <w:rPr>
                <w:rFonts w:hint="eastAsia" w:hAnsi="宋体" w:cs="宋体"/>
                <w:color w:val="000000" w:themeColor="text1"/>
                <w:szCs w:val="24"/>
                <w:highlight w:val="none"/>
                <w:lang w:bidi="ar"/>
                <w14:textFill>
                  <w14:solidFill>
                    <w14:schemeClr w14:val="tx1"/>
                  </w14:solidFill>
                </w14:textFill>
              </w:rPr>
              <w:t>召开，召开时间：</w:t>
            </w:r>
            <w:r>
              <w:rPr>
                <w:rFonts w:hint="eastAsia" w:hAnsi="宋体" w:cs="宋体"/>
                <w:color w:val="000000" w:themeColor="text1"/>
                <w:szCs w:val="24"/>
                <w:highlight w:val="none"/>
                <w14:textFill>
                  <w14:solidFill>
                    <w14:schemeClr w14:val="tx1"/>
                  </w14:solidFill>
                </w14:textFill>
              </w:rPr>
              <w:t xml:space="preserve">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召开地点：</w:t>
            </w:r>
            <w:r>
              <w:rPr>
                <w:rFonts w:hint="default" w:hAnsi="宋体"/>
                <w:color w:val="000000" w:themeColor="text1"/>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lang w:bidi="ar"/>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1.10.</w:t>
            </w:r>
            <w:r>
              <w:rPr>
                <w:rFonts w:hint="eastAsia" w:hAnsi="宋体"/>
                <w:color w:val="000000" w:themeColor="text1"/>
                <w:szCs w:val="24"/>
                <w:highlight w:val="none"/>
                <w:lang w:bidi="ar"/>
                <w14:textFill>
                  <w14:solidFill>
                    <w14:schemeClr w14:val="tx1"/>
                  </w14:solidFill>
                </w14:textFill>
              </w:rPr>
              <w:t>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投标人在投标预备会前提出问题</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本项目不召开投标预备会</w:t>
            </w:r>
            <w:r>
              <w:rPr>
                <w:rFonts w:hint="eastAsia" w:hAnsi="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lang w:bidi="ar"/>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1.10.3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招标文件澄清发出的形式</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 xml:space="preserve"> （此为投标预备会的答疑澄清）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lang w:bidi="ar"/>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1.12.1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实质性要求和条件</w:t>
            </w:r>
          </w:p>
        </w:tc>
        <w:tc>
          <w:tcPr>
            <w:tcW w:w="5569" w:type="dxa"/>
            <w:vAlign w:val="center"/>
          </w:tcPr>
          <w:p>
            <w:pPr>
              <w:pStyle w:val="66"/>
              <w:keepNext w:val="0"/>
              <w:keepLines w:val="0"/>
              <w:suppressLineNumbers w:val="0"/>
              <w:shd w:val="clear"/>
              <w:adjustRightInd w:val="0"/>
              <w:snapToGrid w:val="0"/>
              <w:spacing w:before="0" w:beforeAutospacing="0" w:after="0" w:afterAutospacing="0" w:line="300" w:lineRule="auto"/>
              <w:ind w:left="0" w:right="0" w:firstLine="0" w:firstLineChars="0"/>
              <w:jc w:val="left"/>
              <w:rPr>
                <w:rFonts w:hint="eastAsia"/>
                <w:color w:val="000000" w:themeColor="text1"/>
                <w:sz w:val="24"/>
                <w:szCs w:val="24"/>
                <w:highlight w:val="none"/>
                <w:lang w:eastAsia="zh-CN" w:bidi="ar"/>
                <w14:textFill>
                  <w14:solidFill>
                    <w14:schemeClr w14:val="tx1"/>
                  </w14:solidFill>
                </w14:textFill>
              </w:rPr>
            </w:pPr>
            <w:r>
              <w:rPr>
                <w:rFonts w:hint="eastAsia"/>
                <w:color w:val="000000" w:themeColor="text1"/>
                <w:sz w:val="24"/>
                <w:szCs w:val="24"/>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1.12.3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偏差</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不允许</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□允许，偏差范围：</w:t>
            </w:r>
            <w:r>
              <w:rPr>
                <w:rFonts w:hint="eastAsia" w:hAnsi="宋体"/>
                <w:color w:val="000000" w:themeColor="text1"/>
                <w:szCs w:val="24"/>
                <w:highlight w:val="non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偏差幅度：</w:t>
            </w:r>
            <w:r>
              <w:rPr>
                <w:rFonts w:hint="eastAsia" w:hAnsi="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2.1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构成招标文件的其他资料</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7" w:hRule="atLeast"/>
        </w:trPr>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2.2.1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投标人要求澄清招标文件</w:t>
            </w:r>
          </w:p>
        </w:tc>
        <w:tc>
          <w:tcPr>
            <w:tcW w:w="5569" w:type="dxa"/>
            <w:vAlign w:val="center"/>
          </w:tcPr>
          <w:p>
            <w:pPr>
              <w:keepNext w:val="0"/>
              <w:keepLines w:val="0"/>
              <w:widowControl w:val="0"/>
              <w:suppressLineNumbers w:val="0"/>
              <w:shd w:val="clear"/>
              <w:adjustRightInd w:val="0"/>
              <w:snapToGrid w:val="0"/>
              <w:spacing w:before="0" w:beforeAutospacing="0" w:after="0" w:afterAutospacing="0" w:line="276" w:lineRule="auto"/>
              <w:ind w:left="0" w:right="0" w:firstLine="0" w:firstLineChars="0"/>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w:t>
            </w:r>
            <w:r>
              <w:rPr>
                <w:rFonts w:hint="default" w:hAnsi="宋体"/>
                <w:color w:val="000000" w:themeColor="text1"/>
                <w:szCs w:val="24"/>
                <w:highlight w:val="none"/>
                <w14:textFill>
                  <w14:solidFill>
                    <w14:schemeClr w14:val="tx1"/>
                  </w14:solidFill>
                </w14:textFill>
              </w:rPr>
              <w:t>时间：</w:t>
            </w:r>
            <w:r>
              <w:rPr>
                <w:rFonts w:hint="eastAsia" w:hAnsi="宋体"/>
                <w:color w:val="000000" w:themeColor="text1"/>
                <w:szCs w:val="24"/>
                <w:highlight w:val="none"/>
                <w14:textFill>
                  <w14:solidFill>
                    <w14:schemeClr w14:val="tx1"/>
                  </w14:solidFill>
                </w14:textFill>
              </w:rPr>
              <w:t>递交投标文件截止日期前18日提出</w:t>
            </w:r>
          </w:p>
          <w:p>
            <w:pPr>
              <w:keepNext w:val="0"/>
              <w:keepLines w:val="0"/>
              <w:widowControl w:val="0"/>
              <w:suppressLineNumbers w:val="0"/>
              <w:shd w:val="clear"/>
              <w:adjustRightInd w:val="0"/>
              <w:snapToGrid w:val="0"/>
              <w:spacing w:before="0" w:beforeAutospacing="0" w:after="0" w:afterAutospacing="0" w:line="276" w:lineRule="auto"/>
              <w:ind w:left="0" w:right="0" w:firstLine="0" w:firstLineChars="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w:t>
            </w:r>
            <w:r>
              <w:rPr>
                <w:rFonts w:hint="default" w:hAnsi="宋体"/>
                <w:color w:val="000000" w:themeColor="text1"/>
                <w:szCs w:val="24"/>
                <w:highlight w:val="none"/>
                <w14:textFill>
                  <w14:solidFill>
                    <w14:schemeClr w14:val="tx1"/>
                  </w14:solidFill>
                </w14:textFill>
              </w:rPr>
              <w:t>形式：</w:t>
            </w:r>
            <w:r>
              <w:rPr>
                <w:rFonts w:hint="eastAsia" w:hAnsi="宋体"/>
                <w:color w:val="000000" w:themeColor="text1"/>
                <w:kern w:val="2"/>
                <w:szCs w:val="24"/>
                <w:highlight w:val="none"/>
                <w14:textFill>
                  <w14:solidFill>
                    <w14:schemeClr w14:val="tx1"/>
                  </w14:solidFill>
                </w14:textFill>
              </w:rPr>
              <w:t>投标</w:t>
            </w:r>
            <w:r>
              <w:rPr>
                <w:rFonts w:hint="eastAsia" w:hAnsi="宋体"/>
                <w:color w:val="000000" w:themeColor="text1"/>
                <w:szCs w:val="24"/>
                <w:highlight w:val="none"/>
                <w14:textFill>
                  <w14:solidFill>
                    <w14:schemeClr w14:val="tx1"/>
                  </w14:solidFill>
                </w14:textFill>
              </w:rPr>
              <w:t>人疑问通过广州交易集团有限公司（广州公共资源交易中心）网站进入提问区域将问题提交给招标人或招标代理人，提交问题时一律不得署名。</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网上答疑的操作指南为：</w:t>
            </w:r>
            <w:r>
              <w:rPr>
                <w:rFonts w:hint="eastAsia" w:hAnsi="宋体"/>
                <w:color w:val="000000" w:themeColor="text1"/>
                <w:szCs w:val="24"/>
                <w:highlight w:val="none"/>
                <w:u w:val="single"/>
                <w14:textFill>
                  <w14:solidFill>
                    <w14:schemeClr w14:val="tx1"/>
                  </w14:solidFill>
                </w14:textFill>
              </w:rPr>
              <w:t>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相关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6" w:hRule="atLeast"/>
        </w:trPr>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lang w:bidi="ar"/>
                <w14:textFill>
                  <w14:solidFill>
                    <w14:schemeClr w14:val="tx1"/>
                  </w14:solidFill>
                </w14:textFill>
              </w:rPr>
              <w:t>2.2.2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招标文件澄清发出的形式</w:t>
            </w:r>
          </w:p>
        </w:tc>
        <w:tc>
          <w:tcPr>
            <w:tcW w:w="5569" w:type="dxa"/>
            <w:vAlign w:val="center"/>
          </w:tcPr>
          <w:p>
            <w:pPr>
              <w:keepNext w:val="0"/>
              <w:keepLines w:val="0"/>
              <w:widowControl/>
              <w:suppressLineNumbers w:val="0"/>
              <w:shd w:val="clear"/>
              <w:adjustRightInd w:val="0"/>
              <w:snapToGrid w:val="0"/>
              <w:spacing w:before="0" w:beforeAutospacing="0" w:after="0" w:afterAutospacing="0" w:line="276" w:lineRule="auto"/>
              <w:ind w:left="0" w:right="0" w:firstLine="0" w:firstLineChars="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时间：在投标截止时间15日前。</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形式：通过广州交易集团有限公司（广州公共资源交易中心）网站</w:t>
            </w:r>
            <w:r>
              <w:rPr>
                <w:rFonts w:hint="eastAsia" w:hAnsi="宋体"/>
                <w:color w:val="000000" w:themeColor="text1"/>
                <w:szCs w:val="24"/>
                <w:highlight w:val="none"/>
                <w:u w:val="single"/>
                <w14:textFill>
                  <w14:solidFill>
                    <w14:schemeClr w14:val="tx1"/>
                  </w14:solidFill>
                </w14:textFill>
              </w:rPr>
              <w:t xml:space="preserve"> “</w:t>
            </w:r>
            <w:r>
              <w:rPr>
                <w:rFonts w:hint="default"/>
                <w:color w:val="000000" w:themeColor="text1"/>
                <w:szCs w:val="20"/>
                <w:highlight w:val="none"/>
                <w14:textFill>
                  <w14:solidFill>
                    <w14:schemeClr w14:val="tx1"/>
                  </w14:solidFill>
                </w14:textFill>
              </w:rPr>
              <w:fldChar w:fldCharType="begin"/>
            </w:r>
            <w:r>
              <w:rPr>
                <w:rFonts w:hint="default"/>
                <w:color w:val="000000" w:themeColor="text1"/>
                <w:szCs w:val="20"/>
                <w:highlight w:val="none"/>
                <w14:textFill>
                  <w14:solidFill>
                    <w14:schemeClr w14:val="tx1"/>
                  </w14:solidFill>
                </w14:textFill>
              </w:rPr>
              <w:instrText xml:space="preserve"> HYPERLINK "http://ggzy.gz.gov.cn/xmcxjsgc/index.jhtml" </w:instrText>
            </w:r>
            <w:r>
              <w:rPr>
                <w:rFonts w:hint="default"/>
                <w:color w:val="000000" w:themeColor="text1"/>
                <w:szCs w:val="20"/>
                <w:highlight w:val="none"/>
                <w14:textFill>
                  <w14:solidFill>
                    <w14:schemeClr w14:val="tx1"/>
                  </w14:solidFill>
                </w14:textFill>
              </w:rPr>
              <w:fldChar w:fldCharType="separate"/>
            </w:r>
            <w:r>
              <w:rPr>
                <w:rStyle w:val="33"/>
                <w:rFonts w:hint="eastAsia" w:hAnsi="宋体"/>
                <w:color w:val="000000" w:themeColor="text1"/>
                <w:szCs w:val="24"/>
                <w:highlight w:val="none"/>
                <w:u w:val="single"/>
                <w14:textFill>
                  <w14:solidFill>
                    <w14:schemeClr w14:val="tx1"/>
                  </w14:solidFill>
                </w14:textFill>
              </w:rPr>
              <w:t>项目查询(日程安排、答疑纪要)</w:t>
            </w:r>
            <w:r>
              <w:rPr>
                <w:rStyle w:val="33"/>
                <w:rFonts w:hint="eastAsia" w:hAnsi="宋体"/>
                <w:color w:val="000000" w:themeColor="text1"/>
                <w:szCs w:val="24"/>
                <w:highlight w:val="none"/>
                <w:u w:val="single"/>
                <w14:textFill>
                  <w14:solidFill>
                    <w14:schemeClr w14:val="tx1"/>
                  </w14:solidFill>
                </w14:textFill>
              </w:rPr>
              <w:fldChar w:fldCharType="end"/>
            </w:r>
            <w:r>
              <w:rPr>
                <w:rFonts w:hint="eastAsia" w:hAnsi="宋体"/>
                <w:color w:val="000000" w:themeColor="text1"/>
                <w:szCs w:val="24"/>
                <w:highlight w:val="none"/>
                <w:u w:val="single"/>
                <w14:textFill>
                  <w14:solidFill>
                    <w14:schemeClr w14:val="tx1"/>
                  </w14:solidFill>
                </w14:textFill>
              </w:rPr>
              <w:t>”</w:t>
            </w:r>
            <w:r>
              <w:rPr>
                <w:rFonts w:hint="eastAsia" w:hAnsi="宋体"/>
                <w:color w:val="000000" w:themeColor="text1"/>
                <w:szCs w:val="24"/>
                <w:highlight w:val="none"/>
                <w14:textFill>
                  <w14:solidFill>
                    <w14:schemeClr w14:val="tx1"/>
                  </w14:solidFill>
                </w14:textFill>
              </w:rPr>
              <w:t>专区和广东省招标投标监管网</w:t>
            </w:r>
            <w:r>
              <w:rPr>
                <w:rFonts w:hint="eastAsia" w:hAnsi="宋体"/>
                <w:color w:val="000000" w:themeColor="text1"/>
                <w:szCs w:val="24"/>
                <w:highlight w:val="none"/>
                <w:u w:val="single"/>
                <w14:textFill>
                  <w14:solidFill>
                    <w14:schemeClr w14:val="tx1"/>
                  </w14:solidFill>
                </w14:textFill>
              </w:rPr>
              <w:t>“更正公告”</w:t>
            </w:r>
            <w:r>
              <w:rPr>
                <w:rFonts w:hint="eastAsia" w:hAnsi="宋体"/>
                <w:color w:val="000000" w:themeColor="text1"/>
                <w:szCs w:val="24"/>
                <w:highlight w:val="none"/>
                <w14:textFill>
                  <w14:solidFill>
                    <w14:schemeClr w14:val="tx1"/>
                  </w14:solidFill>
                </w14:textFill>
              </w:rPr>
              <w:t>进行网上公开发布。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Merge w:val="restart"/>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2.2.3</w:t>
            </w:r>
          </w:p>
        </w:tc>
        <w:tc>
          <w:tcPr>
            <w:tcW w:w="2593" w:type="dxa"/>
            <w:vMerge w:val="restart"/>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投标人确认收到招标文件澄清</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时间：</w:t>
            </w:r>
            <w:r>
              <w:rPr>
                <w:rFonts w:hint="eastAsia" w:hAnsi="宋体"/>
                <w:color w:val="000000" w:themeColor="text1"/>
                <w:szCs w:val="24"/>
                <w:highlight w:val="none"/>
                <w14:textFill>
                  <w14:solidFill>
                    <w14:schemeClr w14:val="tx1"/>
                  </w14:solidFill>
                </w14:textFill>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1235"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2593"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形式：</w:t>
            </w:r>
            <w:r>
              <w:rPr>
                <w:rFonts w:hint="eastAsia" w:hAnsi="宋体"/>
                <w:color w:val="000000" w:themeColor="text1"/>
                <w:szCs w:val="24"/>
                <w:highlight w:val="none"/>
                <w14:textFill>
                  <w14:solidFill>
                    <w14:schemeClr w14:val="tx1"/>
                  </w14:solidFill>
                </w14:textFill>
              </w:rPr>
              <w:t>招标文件澄清（招标答疑纪要）一经在广州交易集团有限公司（广州公共资源交易中心）网站和广东省招标投标监管网发布，视作已发放给所有投标人。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lang w:bidi="ar"/>
                <w14:textFill>
                  <w14:solidFill>
                    <w14:schemeClr w14:val="tx1"/>
                  </w14:solidFill>
                </w14:textFill>
              </w:rPr>
              <w:t>招标文件修改发出的形式</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以补充公告或项目答疑澄清的方式在广州交易集团有限公司（广州公共资源交易中心）网站和广东省招标投标监管网发布。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Merge w:val="restart"/>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2.3.2</w:t>
            </w:r>
          </w:p>
        </w:tc>
        <w:tc>
          <w:tcPr>
            <w:tcW w:w="2593" w:type="dxa"/>
            <w:vMerge w:val="restart"/>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投标人确认收到招标文件修改</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时间：</w:t>
            </w:r>
            <w:r>
              <w:rPr>
                <w:rFonts w:hint="eastAsia" w:hAnsi="宋体"/>
                <w:color w:val="000000" w:themeColor="text1"/>
                <w:szCs w:val="24"/>
                <w:highlight w:val="none"/>
                <w14:textFill>
                  <w14:solidFill>
                    <w14:schemeClr w14:val="tx1"/>
                  </w14:solidFill>
                </w14:textFill>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2593"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lang w:bidi="ar"/>
                <w14:textFill>
                  <w14:solidFill>
                    <w14:schemeClr w14:val="tx1"/>
                  </w14:solidFill>
                </w14:textFill>
              </w:rPr>
            </w:pP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形式：</w:t>
            </w:r>
            <w:r>
              <w:rPr>
                <w:rFonts w:hint="eastAsia" w:hAnsi="宋体"/>
                <w:color w:val="000000" w:themeColor="text1"/>
                <w:szCs w:val="24"/>
                <w:highlight w:val="none"/>
                <w14:textFill>
                  <w14:solidFill>
                    <w14:schemeClr w14:val="tx1"/>
                  </w14:solidFill>
                </w14:textFill>
              </w:rPr>
              <w:t>招标文件修改一经在广州交易集团有限公司（广州公共资源交易中心）网站和广东省招标投标监管网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3.1.1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构成投标文件的其他资料</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满足项目评审需要。具体内容要求按投标文件格式填写，如无提供格式则由投标人自拟。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3.2.1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增值税税金的计算方法</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3.2.3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报价方式</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本次招标采用填报</w:t>
            </w:r>
            <w:r>
              <w:rPr>
                <w:rFonts w:hint="eastAsia" w:hAnsi="宋体"/>
                <w:b/>
                <w:bCs/>
                <w:color w:val="000000" w:themeColor="text1"/>
                <w:szCs w:val="24"/>
                <w:highlight w:val="none"/>
                <w14:textFill>
                  <w14:solidFill>
                    <w14:schemeClr w14:val="tx1"/>
                  </w14:solidFill>
                </w14:textFill>
              </w:rPr>
              <w:t>投标报价总价（以</w:t>
            </w:r>
            <w:r>
              <w:rPr>
                <w:rFonts w:hint="eastAsia" w:hAnsi="宋体"/>
                <w:b/>
                <w:bCs/>
                <w:color w:val="000000" w:themeColor="text1"/>
                <w:szCs w:val="24"/>
                <w:highlight w:val="none"/>
                <w:lang w:val="en-US" w:eastAsia="zh-CN"/>
                <w14:textFill>
                  <w14:solidFill>
                    <w14:schemeClr w14:val="tx1"/>
                  </w14:solidFill>
                </w14:textFill>
              </w:rPr>
              <w:t>万</w:t>
            </w:r>
            <w:r>
              <w:rPr>
                <w:rFonts w:hint="eastAsia" w:hAnsi="宋体"/>
                <w:b/>
                <w:bCs/>
                <w:color w:val="000000" w:themeColor="text1"/>
                <w:szCs w:val="24"/>
                <w:highlight w:val="none"/>
                <w14:textFill>
                  <w14:solidFill>
                    <w14:schemeClr w14:val="tx1"/>
                  </w14:solidFill>
                </w14:textFill>
              </w:rPr>
              <w:t>元为单位</w:t>
            </w:r>
            <w:r>
              <w:rPr>
                <w:rFonts w:hint="eastAsia" w:hAnsi="宋体"/>
                <w:color w:val="000000" w:themeColor="text1"/>
                <w:szCs w:val="24"/>
                <w:highlight w:val="none"/>
                <w14:textFill>
                  <w14:solidFill>
                    <w14:schemeClr w14:val="tx1"/>
                  </w14:solidFill>
                </w14:textFill>
              </w:rPr>
              <w:t>，保留两位小数，第三位小数四舍五入）和</w:t>
            </w:r>
            <w:r>
              <w:rPr>
                <w:rFonts w:hint="eastAsia" w:hAnsi="宋体"/>
                <w:b/>
                <w:bCs/>
                <w:color w:val="000000" w:themeColor="text1"/>
                <w:szCs w:val="24"/>
                <w:highlight w:val="none"/>
                <w14:textFill>
                  <w14:solidFill>
                    <w14:schemeClr w14:val="tx1"/>
                  </w14:solidFill>
                </w14:textFill>
              </w:rPr>
              <w:t>含税综合包干单价投标报价（以</w:t>
            </w:r>
            <w:r>
              <w:rPr>
                <w:rFonts w:hint="eastAsia" w:hAnsi="宋体" w:cs="宋体"/>
                <w:b/>
                <w:bCs/>
                <w:color w:val="000000" w:themeColor="text1"/>
                <w:szCs w:val="21"/>
                <w:highlight w:val="none"/>
                <w14:textFill>
                  <w14:solidFill>
                    <w14:schemeClr w14:val="tx1"/>
                  </w14:solidFill>
                </w14:textFill>
              </w:rPr>
              <w:t>元/m</w:t>
            </w:r>
            <w:r>
              <w:rPr>
                <w:rFonts w:hint="eastAsia" w:hAnsi="宋体" w:cs="宋体"/>
                <w:b/>
                <w:bCs/>
                <w:color w:val="000000" w:themeColor="text1"/>
                <w:szCs w:val="21"/>
                <w:highlight w:val="none"/>
                <w:vertAlign w:val="superscript"/>
                <w14:textFill>
                  <w14:solidFill>
                    <w14:schemeClr w14:val="tx1"/>
                  </w14:solidFill>
                </w14:textFill>
              </w:rPr>
              <w:t>2</w:t>
            </w:r>
            <w:r>
              <w:rPr>
                <w:rFonts w:hint="eastAsia" w:hAnsi="宋体"/>
                <w:b/>
                <w:bCs/>
                <w:color w:val="000000" w:themeColor="text1"/>
                <w:szCs w:val="24"/>
                <w:highlight w:val="none"/>
                <w14:textFill>
                  <w14:solidFill>
                    <w14:schemeClr w14:val="tx1"/>
                  </w14:solidFill>
                </w14:textFill>
              </w:rPr>
              <w:t>为单位</w:t>
            </w:r>
            <w:r>
              <w:rPr>
                <w:rFonts w:hint="eastAsia" w:hAnsi="宋体"/>
                <w:color w:val="000000" w:themeColor="text1"/>
                <w:szCs w:val="24"/>
                <w:highlight w:val="none"/>
                <w14:textFill>
                  <w14:solidFill>
                    <w14:schemeClr w14:val="tx1"/>
                  </w14:solidFill>
                </w14:textFill>
              </w:rPr>
              <w:t>，保留两位小数，第三位小数四舍五入），含税综合包干单价报价不得高于</w:t>
            </w:r>
            <w:r>
              <w:rPr>
                <w:rFonts w:hint="eastAsia" w:hAnsi="宋体"/>
                <w:color w:val="000000" w:themeColor="text1"/>
                <w:szCs w:val="24"/>
                <w:highlight w:val="none"/>
                <w:lang w:eastAsia="zh-CN"/>
                <w14:textFill>
                  <w14:solidFill>
                    <w14:schemeClr w14:val="tx1"/>
                  </w14:solidFill>
                </w14:textFill>
              </w:rPr>
              <w:t>27</w:t>
            </w:r>
            <w:r>
              <w:rPr>
                <w:rFonts w:hint="eastAsia" w:hAnsi="宋体"/>
                <w:color w:val="000000" w:themeColor="text1"/>
                <w:szCs w:val="24"/>
                <w:highlight w:val="none"/>
                <w14:textFill>
                  <w14:solidFill>
                    <w14:schemeClr w14:val="tx1"/>
                  </w14:solidFill>
                </w14:textFill>
              </w:rPr>
              <w:t>元/m2。最终结算以财政部门或有权审核部门审定结果为准。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3.2.4</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最高投标限价</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□无</w:t>
            </w:r>
          </w:p>
          <w:p>
            <w:pPr>
              <w:keepNext w:val="0"/>
              <w:keepLines w:val="0"/>
              <w:widowControl/>
              <w:suppressLineNumbers w:val="0"/>
              <w:shd w:val="clear"/>
              <w:spacing w:before="0" w:beforeAutospacing="0" w:after="0" w:afterAutospacing="0"/>
              <w:ind w:left="0" w:right="0" w:firstLine="0" w:firstLineChars="0"/>
              <w:jc w:val="left"/>
              <w:rPr>
                <w:rFonts w:hint="eastAsia"/>
                <w:color w:val="000000" w:themeColor="text1"/>
                <w:szCs w:val="20"/>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有，</w:t>
            </w:r>
            <w:r>
              <w:rPr>
                <w:rFonts w:hint="eastAsia" w:hAnsi="宋体" w:cs="宋体"/>
                <w:color w:val="000000" w:themeColor="text1"/>
                <w:szCs w:val="21"/>
                <w:highlight w:val="none"/>
                <w14:textFill>
                  <w14:solidFill>
                    <w14:schemeClr w14:val="tx1"/>
                  </w14:solidFill>
                </w14:textFill>
              </w:rPr>
              <w:t>最高投标限价总价：</w:t>
            </w:r>
            <w:r>
              <w:rPr>
                <w:rFonts w:hint="eastAsia" w:hAnsi="宋体" w:cs="宋体"/>
                <w:color w:val="000000" w:themeColor="text1"/>
                <w:szCs w:val="24"/>
                <w:highlight w:val="none"/>
                <w:u w:val="single"/>
                <w:lang w:val="en-US" w:eastAsia="zh-CN"/>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 xml:space="preserve">222.38 </w:t>
            </w:r>
            <w:r>
              <w:rPr>
                <w:rFonts w:hint="eastAsia" w:hAnsi="宋体" w:cs="宋体"/>
                <w:color w:val="000000" w:themeColor="text1"/>
                <w:szCs w:val="24"/>
                <w:highlight w:val="none"/>
                <w14:textFill>
                  <w14:solidFill>
                    <w14:schemeClr w14:val="tx1"/>
                  </w14:solidFill>
                </w14:textFill>
              </w:rPr>
              <w:t>万元</w:t>
            </w:r>
            <w:r>
              <w:rPr>
                <w:rFonts w:hint="eastAsia" w:hAnsi="宋体" w:cs="宋体"/>
                <w:color w:val="000000" w:themeColor="text1"/>
                <w:szCs w:val="21"/>
                <w:highlight w:val="none"/>
                <w14:textFill>
                  <w14:solidFill>
                    <w14:schemeClr w14:val="tx1"/>
                  </w14:solidFill>
                </w14:textFill>
              </w:rPr>
              <w:t>，含税综合包干单价最高投标限价：</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eastAsia="zh-CN"/>
                <w14:textFill>
                  <w14:solidFill>
                    <w14:schemeClr w14:val="tx1"/>
                  </w14:solidFill>
                </w14:textFill>
              </w:rPr>
              <w:t>27</w:t>
            </w:r>
            <w:r>
              <w:rPr>
                <w:rFonts w:hint="eastAsia" w:hAnsi="宋体" w:cs="宋体"/>
                <w:color w:val="000000" w:themeColor="text1"/>
                <w:szCs w:val="21"/>
                <w:highlight w:val="none"/>
                <w14:textFill>
                  <w14:solidFill>
                    <w14:schemeClr w14:val="tx1"/>
                  </w14:solidFill>
                </w14:textFill>
              </w:rPr>
              <w:t>元/m</w:t>
            </w:r>
            <w:r>
              <w:rPr>
                <w:rFonts w:hint="eastAsia" w:hAnsi="宋体" w:cs="宋体"/>
                <w:color w:val="000000" w:themeColor="text1"/>
                <w:szCs w:val="21"/>
                <w:highlight w:val="none"/>
                <w:vertAlign w:val="superscript"/>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。投标文件中投标报价总价超过最高投标限价或含税综合包干单价投标报价超过含税综合包干单价最高投标限价的报价均为无效标。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3.2.5</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投标报价的其他要求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投标人必须详细审阅全部招标文件及招标相关资料</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充分考虑职责和义务</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全面地理解招标文件对投标报价的要求</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并按招标人提出的条件及内容进行报价。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3.3.1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投标有效期</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90</w:t>
            </w:r>
            <w:r>
              <w:rPr>
                <w:rFonts w:hint="eastAsia" w:hAnsi="宋体"/>
                <w:color w:val="000000" w:themeColor="text1"/>
                <w:szCs w:val="24"/>
                <w:highlight w:val="none"/>
                <w14:textFill>
                  <w14:solidFill>
                    <w14:schemeClr w14:val="tx1"/>
                  </w14:solidFill>
                </w14:textFill>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w w:val="99"/>
                <w:szCs w:val="24"/>
                <w:highlight w:val="none"/>
                <w14:textFill>
                  <w14:solidFill>
                    <w14:schemeClr w14:val="tx1"/>
                  </w14:solidFill>
                </w14:textFill>
              </w:rPr>
              <w:t>3.4.1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投标保证金</w:t>
            </w:r>
          </w:p>
        </w:tc>
        <w:tc>
          <w:tcPr>
            <w:tcW w:w="5569" w:type="dxa"/>
            <w:vAlign w:val="center"/>
          </w:tcPr>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是否要求投标人递交投标保证金：</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eastAsia" w:hAnsi="宋体"/>
                <w:color w:val="000000" w:themeColor="text1"/>
                <w:szCs w:val="24"/>
                <w:highlight w:val="none"/>
                <w14:textFill>
                  <w14:solidFill>
                    <w14:schemeClr w14:val="tx1"/>
                  </w14:solidFill>
                </w14:textFill>
              </w:rPr>
              <w:t>不要求递交投标保证金。</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sym w:font="Wingdings 2" w:char="00A3"/>
            </w:r>
            <w:r>
              <w:rPr>
                <w:rFonts w:hint="eastAsia" w:hAnsi="宋体"/>
                <w:color w:val="000000" w:themeColor="text1"/>
                <w:szCs w:val="24"/>
                <w:highlight w:val="none"/>
                <w14:textFill>
                  <w14:solidFill>
                    <w14:schemeClr w14:val="tx1"/>
                  </w14:solidFill>
                </w14:textFill>
              </w:rPr>
              <w:t>要求递交投标保证金。</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投标保证金的金额：</w:t>
            </w:r>
            <w:r>
              <w:rPr>
                <w:rFonts w:hint="eastAsia" w:hAnsi="宋体"/>
                <w:color w:val="000000" w:themeColor="text1"/>
                <w:szCs w:val="24"/>
                <w:highlight w:val="none"/>
                <w:u w:val="single"/>
                <w:lang w:val="en-US" w:eastAsia="zh-CN"/>
                <w14:textFill>
                  <w14:solidFill>
                    <w14:schemeClr w14:val="tx1"/>
                  </w14:solidFill>
                </w14:textFill>
              </w:rPr>
              <w:t xml:space="preserve">   /  </w:t>
            </w:r>
            <w:r>
              <w:rPr>
                <w:rFonts w:hint="eastAsia" w:hAnsi="宋体"/>
                <w:color w:val="000000" w:themeColor="text1"/>
                <w:szCs w:val="24"/>
                <w:highlight w:val="none"/>
                <w14:textFill>
                  <w14:solidFill>
                    <w14:schemeClr w14:val="tx1"/>
                  </w14:solidFill>
                </w14:textFill>
              </w:rPr>
              <w:t xml:space="preserve">万元 </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投标保证金有效期：与投标有效期一致。</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具体要求：</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1、收取方式：</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（1）如采用现金、支票或者汇票形式提交的，由广州公共资源交易中心代收，投标保证金须由投标人按广州公共资源交易中心要求进行递交；</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收款单位：广州交易集团有限公司</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银行账号：44001583404059333333</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开户银行：中国建设银行天润路支行</w:t>
            </w:r>
          </w:p>
          <w:p>
            <w:pPr>
              <w:pStyle w:val="10"/>
              <w:keepNext w:val="0"/>
              <w:keepLines w:val="0"/>
              <w:widowControl/>
              <w:suppressLineNumbers w:val="0"/>
              <w:shd w:val="clear"/>
              <w:topLinePunct/>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如采用信用证、保函或保险等非电子形式提交的，在开标前不强制要求提交纸质原件，由中标候选人在中标候选人公示前提交并在网上公示，但投标人应在投标文件中提交信用证、保函或保险等的扫描件并加盖投标单位</w:t>
            </w:r>
            <w:r>
              <w:rPr>
                <w:rFonts w:hint="eastAsia" w:hAnsi="宋体" w:cs="宋体"/>
                <w:color w:val="000000" w:themeColor="text1"/>
                <w:szCs w:val="24"/>
                <w:highlight w:val="none"/>
                <w14:textFill>
                  <w14:solidFill>
                    <w14:schemeClr w14:val="tx1"/>
                  </w14:solidFill>
                </w14:textFill>
              </w:rPr>
              <w:t>电子印章。</w:t>
            </w:r>
            <w:r>
              <w:rPr>
                <w:rFonts w:hint="eastAsia" w:hAnsi="宋体"/>
                <w:color w:val="000000" w:themeColor="text1"/>
                <w:szCs w:val="24"/>
                <w:highlight w:val="none"/>
                <w14:textFill>
                  <w14:solidFill>
                    <w14:schemeClr w14:val="tx1"/>
                  </w14:solidFill>
                </w14:textFill>
              </w:rPr>
              <w:t>电子印章。如投标人选择在开标前提交纸质原件的，可在投标截止时间前单独密封递交至开标室（时间及地点同递交备用投标文件电子光盘（或U盘）的时间及地点）。[其中采用广州公共资源交易中心电子投标保函的，以广州公共资源交易中心的相关操作指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w w:val="99"/>
                <w:szCs w:val="24"/>
                <w:highlight w:val="none"/>
                <w14:textFill>
                  <w14:solidFill>
                    <w14:schemeClr w14:val="tx1"/>
                  </w14:solidFill>
                </w14:textFill>
              </w:rPr>
              <w:t>3.4.4</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其他可以不予退还投标保证金的情形</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eastAsia="宋体"/>
                <w:color w:val="000000" w:themeColor="text1"/>
                <w:szCs w:val="24"/>
                <w:highlight w:val="none"/>
                <w:u w:val="single"/>
                <w:lang w:eastAsia="zh-CN"/>
                <w14:textFill>
                  <w14:solidFill>
                    <w14:schemeClr w14:val="tx1"/>
                  </w14:solidFill>
                </w14:textFill>
              </w:rPr>
            </w:pPr>
            <w:r>
              <w:rPr>
                <w:rFonts w:hint="eastAsia" w:hAnsi="宋体"/>
                <w:color w:val="000000" w:themeColor="text1"/>
                <w:szCs w:val="24"/>
                <w:highlight w:val="none"/>
                <w:u w:val="singl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3.5</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资格审查资料的特殊要求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无</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3.5.2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近年财务状况的年份要求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w w:val="99"/>
                <w:szCs w:val="24"/>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3.5.3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近年完成的类似项目情况的时间要求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w w:val="99"/>
                <w:szCs w:val="24"/>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3.6.1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是否允许递交备选投标方案</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不允许</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3.7.3（B）</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投标文件所附证书证件要求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投标文件所附</w:t>
            </w:r>
            <w:r>
              <w:rPr>
                <w:rFonts w:hint="default" w:hAnsi="宋体"/>
                <w:color w:val="000000" w:themeColor="text1"/>
                <w:szCs w:val="24"/>
                <w:highlight w:val="none"/>
                <w14:textFill>
                  <w14:solidFill>
                    <w14:schemeClr w14:val="tx1"/>
                  </w14:solidFill>
                </w14:textFill>
              </w:rPr>
              <w:t>证书证件需为原件</w:t>
            </w:r>
            <w:r>
              <w:rPr>
                <w:rFonts w:hint="eastAsia" w:hAnsi="宋体"/>
                <w:color w:val="000000" w:themeColor="text1"/>
                <w:szCs w:val="24"/>
                <w:highlight w:val="none"/>
                <w14:textFill>
                  <w14:solidFill>
                    <w14:schemeClr w14:val="tx1"/>
                  </w14:solidFill>
                </w14:textFill>
              </w:rPr>
              <w:t>彩色</w:t>
            </w:r>
            <w:r>
              <w:rPr>
                <w:rFonts w:hint="default" w:hAnsi="宋体"/>
                <w:color w:val="000000" w:themeColor="text1"/>
                <w:szCs w:val="24"/>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3.7.3（B）</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投标文件签字或盖章要求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取消在招标文件中采用个人数字证书和加盖个人电子印章要求，投标文件中需法定代表人、代理人签字的，应加盖个人电子印章或在线下完成后扫描上传。投标文件按招标文件要求加盖单位电子印章。相关操作详见附件《建设工程全流程电子化项目操作指南》。</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4.1.1（B）</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投标文件加密要求</w:t>
            </w:r>
          </w:p>
        </w:tc>
        <w:tc>
          <w:tcPr>
            <w:tcW w:w="5569" w:type="dxa"/>
            <w:vAlign w:val="center"/>
          </w:tcPr>
          <w:p>
            <w:pPr>
              <w:keepNext w:val="0"/>
              <w:keepLines w:val="0"/>
              <w:widowControl/>
              <w:suppressLineNumbers w:val="0"/>
              <w:shd w:val="clear"/>
              <w:adjustRightInd w:val="0"/>
              <w:snapToGrid w:val="0"/>
              <w:spacing w:before="0" w:beforeAutospacing="0" w:after="0" w:afterAutospacing="0" w:line="276" w:lineRule="auto"/>
              <w:ind w:left="0" w:right="0" w:firstLine="0" w:firstLineChars="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1、网上递交的电子投标文件须进行加密。具体操作详见广州交易集团有限公司（广州公共资源交易中心）网站最新发布的建设工程全流程电子化项目操作指南。</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2、如有提交备用投标文件电子光盘</w:t>
            </w:r>
            <w:r>
              <w:rPr>
                <w:rFonts w:hint="eastAsia" w:hAnsi="宋体"/>
                <w:color w:val="000000" w:themeColor="text1"/>
                <w:szCs w:val="24"/>
                <w:highlight w:val="none"/>
                <w14:textFill>
                  <w14:solidFill>
                    <w14:schemeClr w14:val="tx1"/>
                  </w14:solidFill>
                </w14:textFill>
              </w:rPr>
              <w:t>（或U盘）</w:t>
            </w:r>
            <w:r>
              <w:rPr>
                <w:rFonts w:hint="eastAsia" w:hAnsi="宋体" w:cs="宋体"/>
                <w:color w:val="000000" w:themeColor="text1"/>
                <w:szCs w:val="24"/>
                <w:highlight w:val="none"/>
                <w14:textFill>
                  <w14:solidFill>
                    <w14:schemeClr w14:val="tx1"/>
                  </w14:solidFill>
                </w14:textFill>
              </w:rPr>
              <w:t>，备用投标文件电子光盘</w:t>
            </w:r>
            <w:r>
              <w:rPr>
                <w:rFonts w:hint="eastAsia" w:hAnsi="宋体"/>
                <w:color w:val="000000" w:themeColor="text1"/>
                <w:szCs w:val="24"/>
                <w:highlight w:val="none"/>
                <w14:textFill>
                  <w14:solidFill>
                    <w14:schemeClr w14:val="tx1"/>
                  </w14:solidFill>
                </w14:textFill>
              </w:rPr>
              <w:t>（或U盘）</w:t>
            </w:r>
            <w:r>
              <w:rPr>
                <w:rFonts w:hint="eastAsia" w:hAnsi="宋体" w:cs="宋体"/>
                <w:color w:val="000000" w:themeColor="text1"/>
                <w:szCs w:val="24"/>
                <w:highlight w:val="none"/>
                <w14:textFill>
                  <w14:solidFill>
                    <w14:schemeClr w14:val="tx1"/>
                  </w14:solidFill>
                </w14:textFill>
              </w:rPr>
              <w:t>应密封包装，并在封套的封口处加盖投标人单位公章。未按要求密封的投标文件，招标人将予以拒收。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4.1.2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封套上应载明的信息</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如有提交投标文件电子光盘（或U盘）备用，封套上应注明如下信息：</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招标人名称：</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（项目名称）招标项目投标文件</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14:textFill>
                  <w14:solidFill>
                    <w14:schemeClr w14:val="tx1"/>
                  </w14:solidFill>
                </w14:textFill>
              </w:rPr>
              <w:t>招标项目编号：</w:t>
            </w:r>
            <w:r>
              <w:rPr>
                <w:rFonts w:hint="eastAsia" w:hAnsi="宋体"/>
                <w:color w:val="000000" w:themeColor="text1"/>
                <w:szCs w:val="24"/>
                <w:highlight w:val="none"/>
                <w:u w:val="single"/>
                <w14:textFill>
                  <w14:solidFill>
                    <w14:schemeClr w14:val="tx1"/>
                  </w14:solidFill>
                </w14:textFill>
              </w:rPr>
              <w:t xml:space="preserve">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在</w:t>
            </w:r>
            <w:r>
              <w:rPr>
                <w:rFonts w:hint="default"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年</w:t>
            </w:r>
            <w:r>
              <w:rPr>
                <w:rFonts w:hint="default"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月</w:t>
            </w:r>
            <w:r>
              <w:rPr>
                <w:rFonts w:hint="default"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日</w:t>
            </w:r>
            <w:r>
              <w:rPr>
                <w:rFonts w:hint="default"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时前不得开启（按投标截止时间）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4.2.1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投标截止时间</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年</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月</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日</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时</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分（北京时间）</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（详见广州交易集团有限公司（广州公共资源交易中心）网站信息）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4.2.2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递交</w:t>
            </w:r>
            <w:r>
              <w:rPr>
                <w:rFonts w:hint="eastAsia" w:hAnsi="宋体"/>
                <w:color w:val="000000" w:themeColor="text1"/>
                <w:szCs w:val="24"/>
                <w:highlight w:val="none"/>
                <w14:textFill>
                  <w14:solidFill>
                    <w14:schemeClr w14:val="tx1"/>
                  </w14:solidFill>
                </w14:textFill>
              </w:rPr>
              <w:t>电子</w:t>
            </w:r>
            <w:r>
              <w:rPr>
                <w:rFonts w:hint="default" w:hAnsi="宋体"/>
                <w:color w:val="000000" w:themeColor="text1"/>
                <w:szCs w:val="24"/>
                <w:highlight w:val="none"/>
                <w14:textFill>
                  <w14:solidFill>
                    <w14:schemeClr w14:val="tx1"/>
                  </w14:solidFill>
                </w14:textFill>
              </w:rPr>
              <w:t>投标文件</w:t>
            </w:r>
            <w:r>
              <w:rPr>
                <w:rFonts w:hint="eastAsia" w:hAnsi="宋体"/>
                <w:color w:val="000000" w:themeColor="text1"/>
                <w:szCs w:val="24"/>
                <w:highlight w:val="none"/>
                <w14:textFill>
                  <w14:solidFill>
                    <w14:schemeClr w14:val="tx1"/>
                  </w14:solidFill>
                </w14:textFill>
              </w:rPr>
              <w:t>交易平台</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 xml:space="preserve">1.递交方式：网上递交投标文件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2.交易平台：广州交易集团有限公司（广州公共资源交易中心）网站。</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3.上述时间是否有改变，请密切留意招标答疑纪要的相关信息。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4.2.3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投标文件是否退还</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否</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4.3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center"/>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投标文件的修改与撤回</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b/>
                <w:color w:val="000000" w:themeColor="text1"/>
                <w:szCs w:val="24"/>
                <w:highlight w:val="none"/>
                <w14:textFill>
                  <w14:solidFill>
                    <w14:schemeClr w14:val="tx1"/>
                  </w14:solidFill>
                </w14:textFill>
              </w:rPr>
            </w:pPr>
            <w:r>
              <w:rPr>
                <w:rFonts w:hint="default" w:hAnsi="宋体"/>
                <w:color w:val="000000" w:themeColor="text1"/>
                <w:szCs w:val="24"/>
                <w:highlight w:val="none"/>
                <w:u w:val="single"/>
                <w14:textFill>
                  <w14:solidFill>
                    <w14:schemeClr w14:val="tx1"/>
                  </w14:solidFill>
                </w14:textFill>
              </w:rPr>
              <w:t>1.投标人修改或撤回已递交的投标文件，需在交易平台发出撤回通知，并按要求加盖电子印章。电子招标投标交易平台收到通知后，即时向投标人发出确认回执通知。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5.1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开标时间和地点</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具体开标时间、开标地点详见广州交易集团有限公司（广州公共资源交易中心）网站（http://www.gzggzy.cn）的项目查询(日程安排、答疑纪要)中输入本项目编号或项目名称进行查询。</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在广州交易集团有限公司（广州公共资源交易中心）公开开标，并邀请所有投标人的法定代表人（单位负责人）或其委托代理人准时参加。开标时，投标人代表有权出席开标会，也可以自主决定不参加开标会。也可选择参加在线开标，在线开标具体按照交易平台相关指南进行操作。</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b/>
                <w:bCs/>
                <w:color w:val="000000" w:themeColor="text1"/>
                <w:szCs w:val="24"/>
                <w:highlight w:val="none"/>
                <w:u w:val="single"/>
                <w14:textFill>
                  <w14:solidFill>
                    <w14:schemeClr w14:val="tx1"/>
                  </w14:solidFill>
                </w14:textFill>
              </w:rPr>
              <w:t>上述时间及地点是否有改变，请密切留意补充公告（如有）和招标答疑纪要（如有）的相关信息。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Merge w:val="restart"/>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5.2（4）</w:t>
            </w:r>
          </w:p>
        </w:tc>
        <w:tc>
          <w:tcPr>
            <w:tcW w:w="2593" w:type="dxa"/>
            <w:vMerge w:val="restart"/>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开标程序</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5.2.1主持人按下列程序进行开标：</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（1）宣布开标纪律；</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（2）投标人通过电子招标投标交易平台对已递交的电子投标文件进行解密，公布招标项目名称、投标人名称、</w:t>
            </w:r>
            <w:r>
              <w:rPr>
                <w:rFonts w:hint="eastAsia" w:hAnsi="宋体"/>
                <w:strike/>
                <w:color w:val="000000" w:themeColor="text1"/>
                <w:szCs w:val="24"/>
                <w:highlight w:val="none"/>
                <w14:textFill>
                  <w14:solidFill>
                    <w14:schemeClr w14:val="tx1"/>
                  </w14:solidFill>
                </w14:textFill>
              </w:rPr>
              <w:t>投标保证金的递交情况、</w:t>
            </w:r>
            <w:r>
              <w:rPr>
                <w:rFonts w:hint="eastAsia" w:hAnsi="宋体"/>
                <w:color w:val="000000" w:themeColor="text1"/>
                <w:szCs w:val="24"/>
                <w:highlight w:val="none"/>
                <w14:textFill>
                  <w14:solidFill>
                    <w14:schemeClr w14:val="tx1"/>
                  </w14:solidFill>
                </w14:textFill>
              </w:rPr>
              <w:t xml:space="preserve">投标报价、服务期限及其他内容，并记录在案；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（3）宣布开标人、唱标人、记录人、监标人等有关人员姓名；</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（4）公布在投标截止时间前递交投标文件的投标人名称；</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（5）投标人代表、招标人代表、监标人、记录人等有关人员在开标记录上签字确认；若有关人员不签字的，不影响开标程序；</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（6）开标结束。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2593"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2593" w:type="dxa"/>
            <w:vMerge w:val="continue"/>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开标异议</w:t>
            </w:r>
          </w:p>
        </w:tc>
        <w:tc>
          <w:tcPr>
            <w:tcW w:w="5569" w:type="dxa"/>
            <w:vAlign w:val="center"/>
          </w:tcPr>
          <w:p>
            <w:pPr>
              <w:keepNext w:val="0"/>
              <w:keepLines w:val="0"/>
              <w:widowControl/>
              <w:suppressLineNumbers w:val="0"/>
              <w:shd w:val="clear"/>
              <w:spacing w:before="0" w:beforeAutospacing="0" w:after="0" w:afterAutospacing="0" w:line="400" w:lineRule="exact"/>
              <w:ind w:left="0" w:right="0" w:firstLine="0" w:firstLineChars="0"/>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5.3.1开标时，投标人代表有权出席开标会，也可以自主决定不参加开标会。</w:t>
            </w:r>
          </w:p>
          <w:p>
            <w:pPr>
              <w:keepNext w:val="0"/>
              <w:keepLines w:val="0"/>
              <w:widowControl/>
              <w:suppressLineNumbers w:val="0"/>
              <w:shd w:val="clear"/>
              <w:spacing w:before="0" w:beforeAutospacing="0" w:after="0" w:afterAutospacing="0" w:line="400" w:lineRule="exact"/>
              <w:ind w:left="0" w:right="0" w:firstLine="0" w:firstLineChars="0"/>
              <w:rPr>
                <w:rFonts w:hint="eastAsia" w:hAnsi="宋体"/>
                <w:color w:val="000000" w:themeColor="text1"/>
                <w:szCs w:val="24"/>
                <w:highlight w:val="none"/>
                <w:u w:val="single"/>
                <w14:textFill>
                  <w14:solidFill>
                    <w14:schemeClr w14:val="tx1"/>
                  </w14:solidFill>
                </w14:textFill>
              </w:rPr>
            </w:pPr>
            <w:r>
              <w:rPr>
                <w:rFonts w:hint="eastAsia" w:hAnsi="宋体"/>
                <w:color w:val="000000" w:themeColor="text1"/>
                <w:szCs w:val="24"/>
                <w:highlight w:val="none"/>
                <w:u w:val="single"/>
                <w14:textFill>
                  <w14:solidFill>
                    <w14:schemeClr w14:val="tx1"/>
                  </w14:solidFill>
                </w14:textFill>
              </w:rPr>
              <w:t>5.3.2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未答复的，开标程序不得结束。</w:t>
            </w:r>
          </w:p>
          <w:p>
            <w:pPr>
              <w:pStyle w:val="7"/>
              <w:keepNext w:val="0"/>
              <w:keepLines w:val="0"/>
              <w:suppressLineNumbers w:val="0"/>
              <w:shd w:val="clear"/>
              <w:adjustRightInd w:val="0"/>
              <w:snapToGrid w:val="0"/>
              <w:spacing w:before="0" w:beforeAutospacing="0" w:after="0" w:afterAutospacing="0" w:line="300" w:lineRule="auto"/>
              <w:ind w:left="0" w:right="0" w:firstLine="0" w:firstLineChars="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u w:val="single"/>
                <w14:textFill>
                  <w14:solidFill>
                    <w14:schemeClr w14:val="tx1"/>
                  </w14:solidFill>
                </w14:textFill>
              </w:rPr>
              <w:t>5.3.3投标人</w:t>
            </w:r>
            <w:r>
              <w:rPr>
                <w:rFonts w:hint="default" w:hAnsi="宋体"/>
                <w:color w:val="000000" w:themeColor="text1"/>
                <w:sz w:val="24"/>
                <w:szCs w:val="24"/>
                <w:highlight w:val="none"/>
                <w:u w:val="single"/>
                <w14:textFill>
                  <w14:solidFill>
                    <w14:schemeClr w14:val="tx1"/>
                  </w14:solidFill>
                </w14:textFill>
              </w:rPr>
              <w:t>未参加开标或在规定的时间内未提出异议的，视为对开标无异议。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6.1.1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评标委员会的组建</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6.3.2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评标委员会推荐中标候选人的人数</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推荐中标候选人</w:t>
            </w:r>
            <w:r>
              <w:rPr>
                <w:rFonts w:hint="eastAsia" w:hAnsi="宋体"/>
                <w:color w:val="000000" w:themeColor="text1"/>
                <w:szCs w:val="24"/>
                <w:highlight w:val="none"/>
                <w:u w:val="single"/>
                <w14:textFill>
                  <w14:solidFill>
                    <w14:schemeClr w14:val="tx1"/>
                  </w14:solidFill>
                </w14:textFill>
              </w:rPr>
              <w:t xml:space="preserve"> 3 </w:t>
            </w:r>
            <w:r>
              <w:rPr>
                <w:rFonts w:hint="eastAsia" w:hAnsi="宋体"/>
                <w:color w:val="000000" w:themeColor="text1"/>
                <w:szCs w:val="24"/>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7.1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中标候选人公示媒介及期限</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公示媒介：</w:t>
            </w:r>
            <w:r>
              <w:rPr>
                <w:rFonts w:hint="eastAsia" w:hAnsi="宋体"/>
                <w:color w:val="000000" w:themeColor="text1"/>
                <w:szCs w:val="24"/>
                <w:highlight w:val="none"/>
                <w:u w:val="single"/>
                <w14:textFill>
                  <w14:solidFill>
                    <w14:schemeClr w14:val="tx1"/>
                  </w14:solidFill>
                </w14:textFill>
              </w:rPr>
              <w:t>中国招标投标公共服务平台、广东省招标投标监管网、广州交易集团有限公司（广州公共资源交易中心）网站</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公示期限：</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w w:val="98"/>
                <w:szCs w:val="24"/>
                <w:highlight w:val="none"/>
                <w:u w:val="single"/>
                <w14:textFill>
                  <w14:solidFill>
                    <w14:schemeClr w14:val="tx1"/>
                  </w14:solidFill>
                </w14:textFill>
              </w:rPr>
              <w:t xml:space="preserve">3  </w:t>
            </w:r>
            <w:r>
              <w:rPr>
                <w:rFonts w:hint="default" w:hAnsi="宋体"/>
                <w:color w:val="000000" w:themeColor="text1"/>
                <w:szCs w:val="24"/>
                <w:highlight w:val="none"/>
                <w14:textFill>
                  <w14:solidFill>
                    <w14:schemeClr w14:val="tx1"/>
                  </w14:solidFill>
                </w14:textFill>
              </w:rPr>
              <w:t>日</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color w:val="000000" w:themeColor="text1"/>
                <w:szCs w:val="20"/>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注：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7.4</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是否授权评标委员会确定中标人</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□是</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否</w:t>
            </w:r>
            <w:r>
              <w:rPr>
                <w:rFonts w:hint="eastAsia" w:hAnsi="宋体"/>
                <w:color w:val="000000" w:themeColor="text1"/>
                <w:szCs w:val="24"/>
                <w:highlight w:val="none"/>
                <w14:textFill>
                  <w14:solidFill>
                    <w14:schemeClr w14:val="tx1"/>
                  </w14:solidFill>
                </w14:textFill>
              </w:rPr>
              <w:t>，评标委员会推荐前3名中标候选人。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7.6.1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履约保证金</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是否要求中标人提交履约保证金：</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eastAsia" w:hAnsi="宋体"/>
                <w:color w:val="000000" w:themeColor="text1"/>
                <w:szCs w:val="24"/>
                <w:highlight w:val="none"/>
                <w14:textFill>
                  <w14:solidFill>
                    <w14:schemeClr w14:val="tx1"/>
                  </w14:solidFill>
                </w14:textFill>
              </w:rPr>
              <w:t>要求，履约保证金的形式：</w:t>
            </w:r>
            <w:r>
              <w:rPr>
                <w:rFonts w:hint="eastAsia" w:hAnsi="宋体"/>
                <w:color w:val="000000" w:themeColor="text1"/>
                <w:szCs w:val="24"/>
                <w:highlight w:val="none"/>
                <w:u w:val="single"/>
                <w14:textFill>
                  <w14:solidFill>
                    <w14:schemeClr w14:val="tx1"/>
                  </w14:solidFill>
                </w14:textFill>
              </w:rPr>
              <w:t>以合同约定为准。</w:t>
            </w:r>
            <w:r>
              <w:rPr>
                <w:rFonts w:hint="eastAsia" w:hAnsi="宋体"/>
                <w:color w:val="000000" w:themeColor="text1"/>
                <w:szCs w:val="24"/>
                <w:highlight w:val="none"/>
                <w14:textFill>
                  <w14:solidFill>
                    <w14:schemeClr w14:val="tx1"/>
                  </w14:solidFill>
                </w14:textFill>
              </w:rPr>
              <w:t xml:space="preserve">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履约保证金的金额：</w:t>
            </w:r>
            <w:r>
              <w:rPr>
                <w:rFonts w:hint="eastAsia" w:hAnsi="宋体"/>
                <w:color w:val="000000" w:themeColor="text1"/>
                <w:szCs w:val="24"/>
                <w:highlight w:val="none"/>
                <w:u w:val="single"/>
                <w14:textFill>
                  <w14:solidFill>
                    <w14:schemeClr w14:val="tx1"/>
                  </w14:solidFill>
                </w14:textFill>
              </w:rPr>
              <w:t>中标价款的10%。</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9</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是否采用电子招标投标</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□否</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sym w:font="Wingdings 2" w:char="0052"/>
            </w:r>
            <w:r>
              <w:rPr>
                <w:rFonts w:hint="default" w:hAnsi="宋体"/>
                <w:color w:val="000000" w:themeColor="text1"/>
                <w:szCs w:val="24"/>
                <w:highlight w:val="none"/>
                <w14:textFill>
                  <w14:solidFill>
                    <w14:schemeClr w14:val="tx1"/>
                  </w14:solidFill>
                </w14:textFill>
              </w:rPr>
              <w:t>是，具体要求：</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1、具体操作详见附件</w:t>
            </w:r>
            <w:r>
              <w:rPr>
                <w:rFonts w:hint="eastAsia" w:hAnsi="宋体"/>
                <w:bCs/>
                <w:color w:val="000000" w:themeColor="text1"/>
                <w:szCs w:val="24"/>
                <w:highlight w:val="none"/>
                <w14:textFill>
                  <w14:solidFill>
                    <w14:schemeClr w14:val="tx1"/>
                  </w14:solidFill>
                </w14:textFill>
              </w:rPr>
              <w:t>《建设工程全流程电子化项目操作指南》</w:t>
            </w:r>
            <w:r>
              <w:rPr>
                <w:rFonts w:hint="eastAsia" w:hAnsi="宋体"/>
                <w:color w:val="000000" w:themeColor="text1"/>
                <w:szCs w:val="24"/>
                <w:highlight w:val="none"/>
                <w14:textFill>
                  <w14:solidFill>
                    <w14:schemeClr w14:val="tx1"/>
                  </w14:solidFill>
                </w14:textFill>
              </w:rPr>
              <w:t>。</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s="Courier New"/>
                <w:color w:val="000000" w:themeColor="text1"/>
                <w:szCs w:val="24"/>
                <w:highlight w:val="none"/>
                <w14:textFill>
                  <w14:solidFill>
                    <w14:schemeClr w14:val="tx1"/>
                  </w14:solidFill>
                </w14:textFill>
              </w:rPr>
            </w:pPr>
            <w:r>
              <w:rPr>
                <w:rFonts w:hint="eastAsia" w:hAnsi="宋体" w:cs="Courier New"/>
                <w:color w:val="000000" w:themeColor="text1"/>
                <w:szCs w:val="24"/>
                <w:highlight w:val="none"/>
                <w14:textFill>
                  <w14:solidFill>
                    <w14:schemeClr w14:val="tx1"/>
                  </w14:solidFill>
                </w14:textFill>
              </w:rPr>
              <w:t>2.提交投标文件光盘</w:t>
            </w:r>
            <w:r>
              <w:rPr>
                <w:rFonts w:hint="eastAsia" w:hAnsi="宋体"/>
                <w:color w:val="000000" w:themeColor="text1"/>
                <w:szCs w:val="24"/>
                <w:highlight w:val="none"/>
                <w14:textFill>
                  <w14:solidFill>
                    <w14:schemeClr w14:val="tx1"/>
                  </w14:solidFill>
                </w14:textFill>
              </w:rPr>
              <w:t>（或U盘）</w:t>
            </w:r>
            <w:r>
              <w:rPr>
                <w:rFonts w:hint="eastAsia" w:hAnsi="宋体" w:cs="Courier New"/>
                <w:color w:val="000000" w:themeColor="text1"/>
                <w:szCs w:val="24"/>
                <w:highlight w:val="none"/>
                <w14:textFill>
                  <w14:solidFill>
                    <w14:schemeClr w14:val="tx1"/>
                  </w14:solidFill>
                </w14:textFill>
              </w:rPr>
              <w:t>备用</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投标人可按《建设工程全流程电子化项目操作指南》的操作方法制作的非加密的电子投标文件刻入光盘（或U盘）（1份），在规定</w:t>
            </w:r>
            <w:r>
              <w:rPr>
                <w:rFonts w:hint="default" w:hAnsi="宋体"/>
                <w:color w:val="000000" w:themeColor="text1"/>
                <w:szCs w:val="24"/>
                <w:highlight w:val="none"/>
                <w14:textFill>
                  <w14:solidFill>
                    <w14:schemeClr w14:val="tx1"/>
                  </w14:solidFill>
                </w14:textFill>
              </w:rPr>
              <w:t>的时间、地点</w:t>
            </w:r>
            <w:r>
              <w:rPr>
                <w:rFonts w:hint="eastAsia" w:hAnsi="宋体"/>
                <w:color w:val="000000" w:themeColor="text1"/>
                <w:szCs w:val="24"/>
                <w:highlight w:val="none"/>
                <w14:textFill>
                  <w14:solidFill>
                    <w14:schemeClr w14:val="tx1"/>
                  </w14:solidFill>
                </w14:textFill>
              </w:rPr>
              <w:t>提交备用。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或U盘。如果投标人没有按规定通过交易平台网上递交电子投标文件的，不再读取提交的光盘或U盘。</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3.补救方案</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（1）投标文件解密失败的补救方案：</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在规定时间内，因投标人之外原因（指</w:t>
            </w:r>
            <w:r>
              <w:rPr>
                <w:rFonts w:hint="default" w:hAnsi="宋体"/>
                <w:color w:val="000000" w:themeColor="text1"/>
                <w:szCs w:val="24"/>
                <w:highlight w:val="none"/>
                <w14:textFill>
                  <w14:solidFill>
                    <w14:schemeClr w14:val="tx1"/>
                  </w14:solidFill>
                </w14:textFill>
              </w:rPr>
              <w:t>网络瘫痪</w:t>
            </w:r>
            <w:r>
              <w:rPr>
                <w:rFonts w:hint="eastAsia" w:hAnsi="宋体"/>
                <w:color w:val="000000" w:themeColor="text1"/>
                <w:szCs w:val="24"/>
                <w:highlight w:val="none"/>
                <w14:textFill>
                  <w14:solidFill>
                    <w14:schemeClr w14:val="tx1"/>
                  </w14:solidFill>
                </w14:textFill>
              </w:rPr>
              <w:t>、服务器损坏、交易系统故障短期无法恢复等因素）导致的电子投标文件解密失败，在开标现场读取光盘或U盘内容，继续开标程序。评标委员会对其投标文件的评审以光盘内容为准。因</w:t>
            </w:r>
            <w:r>
              <w:rPr>
                <w:rFonts w:hint="default" w:hAnsi="宋体"/>
                <w:color w:val="000000" w:themeColor="text1"/>
                <w:szCs w:val="24"/>
                <w:highlight w:val="none"/>
                <w14:textFill>
                  <w14:solidFill>
                    <w14:schemeClr w14:val="tx1"/>
                  </w14:solidFill>
                </w14:textFill>
              </w:rPr>
              <w:t>投标人原因</w:t>
            </w:r>
            <w:r>
              <w:rPr>
                <w:rFonts w:hint="eastAsia" w:hAnsi="宋体"/>
                <w:color w:val="000000" w:themeColor="text1"/>
                <w:szCs w:val="24"/>
                <w:highlight w:val="none"/>
                <w14:textFill>
                  <w14:solidFill>
                    <w14:schemeClr w14:val="tx1"/>
                  </w14:solidFill>
                </w14:textFill>
              </w:rPr>
              <w:t>解密失败</w:t>
            </w:r>
            <w:r>
              <w:rPr>
                <w:rFonts w:hint="default" w:hAnsi="宋体"/>
                <w:color w:val="000000" w:themeColor="text1"/>
                <w:szCs w:val="24"/>
                <w:highlight w:val="none"/>
                <w14:textFill>
                  <w14:solidFill>
                    <w14:schemeClr w14:val="tx1"/>
                  </w14:solidFill>
                </w14:textFill>
              </w:rPr>
              <w:t>且</w:t>
            </w:r>
            <w:r>
              <w:rPr>
                <w:rFonts w:hint="eastAsia" w:hAnsi="宋体"/>
                <w:color w:val="000000" w:themeColor="text1"/>
                <w:szCs w:val="24"/>
                <w:highlight w:val="none"/>
                <w14:textFill>
                  <w14:solidFill>
                    <w14:schemeClr w14:val="tx1"/>
                  </w14:solidFill>
                </w14:textFill>
              </w:rPr>
              <w:t>未</w:t>
            </w:r>
            <w:r>
              <w:rPr>
                <w:rFonts w:hint="default" w:hAnsi="宋体"/>
                <w:color w:val="000000" w:themeColor="text1"/>
                <w:szCs w:val="24"/>
                <w:highlight w:val="none"/>
                <w14:textFill>
                  <w14:solidFill>
                    <w14:schemeClr w14:val="tx1"/>
                  </w14:solidFill>
                </w14:textFill>
              </w:rPr>
              <w:t>递交电子光盘</w:t>
            </w:r>
            <w:r>
              <w:rPr>
                <w:rFonts w:hint="eastAsia" w:hAnsi="宋体"/>
                <w:color w:val="000000" w:themeColor="text1"/>
                <w:szCs w:val="24"/>
                <w:highlight w:val="none"/>
                <w14:textFill>
                  <w14:solidFill>
                    <w14:schemeClr w14:val="tx1"/>
                  </w14:solidFill>
                </w14:textFill>
              </w:rPr>
              <w:t>或递交</w:t>
            </w:r>
            <w:r>
              <w:rPr>
                <w:rFonts w:hint="default" w:hAnsi="宋体"/>
                <w:color w:val="000000" w:themeColor="text1"/>
                <w:szCs w:val="24"/>
                <w:highlight w:val="none"/>
                <w14:textFill>
                  <w14:solidFill>
                    <w14:schemeClr w14:val="tx1"/>
                  </w14:solidFill>
                </w14:textFill>
              </w:rPr>
              <w:t>的电子光盘</w:t>
            </w:r>
            <w:r>
              <w:rPr>
                <w:rFonts w:hint="eastAsia" w:hAnsi="宋体"/>
                <w:color w:val="000000" w:themeColor="text1"/>
                <w:szCs w:val="24"/>
                <w:highlight w:val="none"/>
                <w14:textFill>
                  <w14:solidFill>
                    <w14:schemeClr w14:val="tx1"/>
                  </w14:solidFill>
                </w14:textFill>
              </w:rPr>
              <w:t>或U盘不能</w:t>
            </w:r>
            <w:r>
              <w:rPr>
                <w:rFonts w:hint="default" w:hAnsi="宋体"/>
                <w:color w:val="000000" w:themeColor="text1"/>
                <w:szCs w:val="24"/>
                <w:highlight w:val="none"/>
                <w14:textFill>
                  <w14:solidFill>
                    <w14:schemeClr w14:val="tx1"/>
                  </w14:solidFill>
                </w14:textFill>
              </w:rPr>
              <w:t>读取的，视为撤回投标文件。</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（2）评标时突发情况的补救方案</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若遇不可抗力发生（如：网络瘫痪、服务器损坏、交易系统故障短期无法恢复等因素），由评标委员会开启递交的全部投标文件光盘或U盘，并按光盘或U盘内容进行评审。</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需要补充的其他内容</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10</w:t>
            </w:r>
            <w:r>
              <w:rPr>
                <w:rFonts w:hint="eastAsia" w:hAnsi="宋体"/>
                <w:color w:val="000000" w:themeColor="text1"/>
                <w:szCs w:val="24"/>
                <w:highlight w:val="none"/>
                <w14:textFill>
                  <w14:solidFill>
                    <w14:schemeClr w14:val="tx1"/>
                  </w14:solidFill>
                </w14:textFill>
              </w:rPr>
              <w:t>.1</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特别提示</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投标人在本项目招标人的工程项目中存在下列行为的，将被拒绝一定时期内参与我单位后续工程投标。（注：拒绝投标时限由招标人视严重程度确定，最低十二个月起，自招标人发出通知之日起计）：</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（1）将中标工程转包或者违法分包的；</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（2）在中标工程中不执行质量、安全生产相关规定的，造成质量或安全事故的；</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（3）出让投标资格的；</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（4）存在围标或串标情形的；</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（5）在投标文件中提供虚假材料的；</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（6）存在少放、不放业绩、奖项等客观评审资料，减少自身竞争力情形的；</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（7）存在行贿情形的; </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（8）拖欠农民工工资的。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default" w:hAnsi="宋体"/>
                <w:color w:val="000000" w:themeColor="text1"/>
                <w:szCs w:val="24"/>
                <w:highlight w:val="none"/>
                <w14:textFill>
                  <w14:solidFill>
                    <w14:schemeClr w14:val="tx1"/>
                  </w14:solidFill>
                </w14:textFill>
              </w:rPr>
              <w:t>10.</w:t>
            </w:r>
            <w:r>
              <w:rPr>
                <w:rFonts w:hint="eastAsia" w:hAnsi="宋体"/>
                <w:color w:val="000000" w:themeColor="text1"/>
                <w:szCs w:val="24"/>
                <w:highlight w:val="none"/>
                <w14:textFill>
                  <w14:solidFill>
                    <w14:schemeClr w14:val="tx1"/>
                  </w14:solidFill>
                </w14:textFill>
              </w:rPr>
              <w:t>2</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招标失败的情形</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本项目采用资格后审方式，满足资格审查合格条件或通过初步评审的投标人不足</w:t>
            </w:r>
            <w:r>
              <w:rPr>
                <w:rFonts w:hint="default" w:hAnsi="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10.3</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第一中标候选人放弃中标资格情形</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10.4</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投标文件公开</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在产生中标候选人后，招标人将中标候选人的投标文件商务部分的电子版（报价清单、方案等涉及商业秘密的内容除外）在广州交易集团有限公司（广州公共资源交易中心）网站、广东省招标投标监管网公开。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35"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10.5</w:t>
            </w:r>
          </w:p>
        </w:tc>
        <w:tc>
          <w:tcPr>
            <w:tcW w:w="2593"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其他</w:t>
            </w:r>
          </w:p>
        </w:tc>
        <w:tc>
          <w:tcPr>
            <w:tcW w:w="5569" w:type="dxa"/>
            <w:vAlign w:val="center"/>
          </w:tcPr>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1、招标公告、招标文件、答疑纪要等招标资料全部发布在广州交易集团有限公司（广州公共资源交易中心）网站，由投标人自行下载查阅。</w:t>
            </w:r>
          </w:p>
          <w:p>
            <w:pPr>
              <w:keepNext w:val="0"/>
              <w:keepLines w:val="0"/>
              <w:widowControl/>
              <w:suppressLineNumbers w:val="0"/>
              <w:shd w:val="clear"/>
              <w:adjustRightInd w:val="0"/>
              <w:snapToGrid w:val="0"/>
              <w:spacing w:before="0" w:beforeAutospacing="0" w:after="0" w:afterAutospacing="0" w:line="300" w:lineRule="auto"/>
              <w:ind w:left="0" w:right="0" w:firstLine="0" w:firstLineChars="0"/>
              <w:jc w:val="left"/>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2、投标截止时间、开标时间和地点：发布在广州交易集团有限公司（广州公共资源交易中心）网站（具体在网站主页“服务指南”中“交易活动安排”栏目上以“项目名称”或“项目编号”进行查询）。</w:t>
            </w:r>
          </w:p>
        </w:tc>
      </w:tr>
    </w:tbl>
    <w:p>
      <w:pPr>
        <w:pStyle w:val="2"/>
        <w:shd w:val="clear"/>
        <w:rPr>
          <w:color w:val="000000" w:themeColor="text1"/>
          <w:highlight w:val="none"/>
          <w14:textFill>
            <w14:solidFill>
              <w14:schemeClr w14:val="tx1"/>
            </w14:solidFill>
          </w14:textFill>
        </w:rPr>
      </w:pPr>
      <w:bookmarkStart w:id="39" w:name="page21"/>
      <w:bookmarkEnd w:id="39"/>
      <w:r>
        <w:rPr>
          <w:color w:val="000000" w:themeColor="text1"/>
          <w:highlight w:val="none"/>
          <w14:textFill>
            <w14:solidFill>
              <w14:schemeClr w14:val="tx1"/>
            </w14:solidFill>
          </w14:textFill>
        </w:rPr>
        <w:br w:type="page"/>
      </w:r>
      <w:bookmarkStart w:id="40" w:name="_Toc35513428"/>
      <w:bookmarkStart w:id="41" w:name="_Toc152234213"/>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总则</w:t>
      </w:r>
      <w:bookmarkEnd w:id="40"/>
      <w:bookmarkEnd w:id="41"/>
    </w:p>
    <w:p>
      <w:pPr>
        <w:pStyle w:val="4"/>
        <w:shd w:val="clear"/>
        <w:ind w:firstLine="482"/>
        <w:rPr>
          <w:color w:val="000000" w:themeColor="text1"/>
          <w:highlight w:val="none"/>
          <w14:textFill>
            <w14:solidFill>
              <w14:schemeClr w14:val="tx1"/>
            </w14:solidFill>
          </w14:textFill>
        </w:rPr>
      </w:pPr>
      <w:bookmarkStart w:id="42" w:name="_Toc152234214"/>
      <w:bookmarkStart w:id="43" w:name="_Toc35513429"/>
      <w:r>
        <w:rPr>
          <w:color w:val="000000" w:themeColor="text1"/>
          <w:highlight w:val="none"/>
          <w14:textFill>
            <w14:solidFill>
              <w14:schemeClr w14:val="tx1"/>
            </w14:solidFill>
          </w14:textFill>
        </w:rPr>
        <w:t>1.1 招标项目概况</w:t>
      </w:r>
      <w:bookmarkEnd w:id="42"/>
      <w:bookmarkEnd w:id="43"/>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 根据《中华人民共和国招标投标法》、《中华人民共和国招标投标法实施条例》等有关法律、法规和规章的规定，本招标项目已具备招标条件，现对</w:t>
      </w:r>
      <w:r>
        <w:rPr>
          <w:rFonts w:hint="eastAsia"/>
          <w:color w:val="000000" w:themeColor="text1"/>
          <w:highlight w:val="none"/>
          <w14:textFill>
            <w14:solidFill>
              <w14:schemeClr w14:val="tx1"/>
            </w14:solidFill>
          </w14:textFill>
        </w:rPr>
        <w:t>该项目</w:t>
      </w:r>
      <w:r>
        <w:rPr>
          <w:color w:val="000000" w:themeColor="text1"/>
          <w:highlight w:val="none"/>
          <w14:textFill>
            <w14:solidFill>
              <w14:schemeClr w14:val="tx1"/>
            </w14:solidFill>
          </w14:textFill>
        </w:rPr>
        <w:t>进行招标。</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1.1.2 招标人：见投标人须知前附表。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1.1.3 招标代理机构：见投标人须知前附表。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1.1.4 招标项目名称：见投标人须知前附表。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1.1.5 项目建设地点：见投标人须知前附表。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1.1.6 项目建设规模：见投标人须知前附表。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1.1.7 工程项目施工预计开工日期和建设周期：见投标人须知前附表。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1.1.8 建筑安装工程费/工程概算：见投标人须知前附表。</w:t>
      </w:r>
    </w:p>
    <w:p>
      <w:pPr>
        <w:pStyle w:val="4"/>
        <w:shd w:val="clear"/>
        <w:ind w:firstLine="482"/>
        <w:rPr>
          <w:color w:val="000000" w:themeColor="text1"/>
          <w:highlight w:val="none"/>
          <w14:textFill>
            <w14:solidFill>
              <w14:schemeClr w14:val="tx1"/>
            </w14:solidFill>
          </w14:textFill>
        </w:rPr>
      </w:pPr>
      <w:bookmarkStart w:id="44" w:name="_Toc35513430"/>
      <w:bookmarkStart w:id="45" w:name="_Toc152234215"/>
      <w:r>
        <w:rPr>
          <w:color w:val="000000" w:themeColor="text1"/>
          <w:highlight w:val="none"/>
          <w14:textFill>
            <w14:solidFill>
              <w14:schemeClr w14:val="tx1"/>
            </w14:solidFill>
          </w14:textFill>
        </w:rPr>
        <w:t>1.2 招标项目的资金来源和落实情况</w:t>
      </w:r>
      <w:bookmarkEnd w:id="44"/>
      <w:bookmarkEnd w:id="45"/>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1.2.1 资金来源及比例：见投标人须知前附表。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1.2.2 资金落实情况：见投标人须知前附表。</w:t>
      </w:r>
    </w:p>
    <w:p>
      <w:pPr>
        <w:pStyle w:val="4"/>
        <w:shd w:val="clear"/>
        <w:ind w:firstLine="482"/>
        <w:rPr>
          <w:color w:val="000000" w:themeColor="text1"/>
          <w:highlight w:val="none"/>
          <w14:textFill>
            <w14:solidFill>
              <w14:schemeClr w14:val="tx1"/>
            </w14:solidFill>
          </w14:textFill>
        </w:rPr>
      </w:pPr>
      <w:bookmarkStart w:id="46" w:name="_Toc35513431"/>
      <w:bookmarkStart w:id="47" w:name="_Toc152234216"/>
      <w:r>
        <w:rPr>
          <w:color w:val="000000" w:themeColor="text1"/>
          <w:highlight w:val="none"/>
          <w14:textFill>
            <w14:solidFill>
              <w14:schemeClr w14:val="tx1"/>
            </w14:solidFill>
          </w14:textFill>
        </w:rPr>
        <w:t>1.3 招标范围、服务期限和质量标准</w:t>
      </w:r>
      <w:bookmarkEnd w:id="46"/>
      <w:bookmarkEnd w:id="47"/>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1.3.1 招标范围：见投标人须知前附表。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1.3.2服务期限：见投标人须知前附表。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1.3.3 质量标准：见投标人须知前附表。</w:t>
      </w:r>
    </w:p>
    <w:p>
      <w:pPr>
        <w:pStyle w:val="4"/>
        <w:shd w:val="clear"/>
        <w:ind w:firstLine="482"/>
        <w:rPr>
          <w:color w:val="000000" w:themeColor="text1"/>
          <w:highlight w:val="none"/>
          <w14:textFill>
            <w14:solidFill>
              <w14:schemeClr w14:val="tx1"/>
            </w14:solidFill>
          </w14:textFill>
        </w:rPr>
      </w:pPr>
      <w:bookmarkStart w:id="48" w:name="_Toc152234217"/>
      <w:bookmarkStart w:id="49" w:name="_Toc35513432"/>
      <w:r>
        <w:rPr>
          <w:color w:val="000000" w:themeColor="text1"/>
          <w:highlight w:val="none"/>
          <w14:textFill>
            <w14:solidFill>
              <w14:schemeClr w14:val="tx1"/>
            </w14:solidFill>
          </w14:textFill>
        </w:rPr>
        <w:t>1.4 投标人资格要求</w:t>
      </w:r>
      <w:bookmarkEnd w:id="48"/>
      <w:bookmarkEnd w:id="49"/>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1.4.1 投标人应具备承担本招标项目资质条件、能力和信誉：</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（1）资质要求：见投标人须知前附表；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（2）财务要求：见投标人须知前附表；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（3）业绩要求：见投标人须知前附表；</w:t>
      </w:r>
    </w:p>
    <w:p>
      <w:pPr>
        <w:shd w:val="clea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信誉要求：见投标人须知前附表；</w:t>
      </w:r>
    </w:p>
    <w:p>
      <w:pPr>
        <w:shd w:val="clea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项目负责人要求：见投标人须知前</w:t>
      </w:r>
      <w:bookmarkStart w:id="50" w:name="page22"/>
      <w:bookmarkEnd w:id="50"/>
      <w:r>
        <w:rPr>
          <w:color w:val="000000" w:themeColor="text1"/>
          <w:highlight w:val="none"/>
          <w14:textFill>
            <w14:solidFill>
              <w14:schemeClr w14:val="tx1"/>
            </w14:solidFill>
          </w14:textFill>
        </w:rPr>
        <w:t>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（6）其他主要人员要求：见投标人须知前附表。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（7）试验检测仪器设备要求：见投标人须知前附表。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（8）其他要求：见投标人须知前附表。</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需要提交的相关证明材料见本章第 3.5 款的规定。</w:t>
      </w:r>
    </w:p>
    <w:p>
      <w:pPr>
        <w:shd w:val="clear"/>
        <w:ind w:firstLine="480"/>
        <w:rPr>
          <w:strike/>
          <w:color w:val="000000" w:themeColor="text1"/>
          <w:highlight w:val="none"/>
          <w14:textFill>
            <w14:solidFill>
              <w14:schemeClr w14:val="tx1"/>
            </w14:solidFill>
          </w14:textFill>
        </w:rPr>
      </w:pPr>
      <w:r>
        <w:rPr>
          <w:strike/>
          <w:color w:val="000000" w:themeColor="text1"/>
          <w:highlight w:val="none"/>
          <w14:textFill>
            <w14:solidFill>
              <w14:schemeClr w14:val="tx1"/>
            </w14:solidFill>
          </w14:textFill>
        </w:rPr>
        <w:t>1.4.2 投标人须知前附表规定接受联合体投标的，联合体除应符合本章第 1.4.1 项和投标人须知前附表的要求外，还应遵守以下规定：</w:t>
      </w:r>
    </w:p>
    <w:p>
      <w:pPr>
        <w:shd w:val="clear"/>
        <w:ind w:firstLine="480"/>
        <w:rPr>
          <w:strike/>
          <w:color w:val="000000" w:themeColor="text1"/>
          <w:highlight w:val="none"/>
          <w14:textFill>
            <w14:solidFill>
              <w14:schemeClr w14:val="tx1"/>
            </w14:solidFill>
          </w14:textFill>
        </w:rPr>
      </w:pPr>
      <w:r>
        <w:rPr>
          <w:strike/>
          <w:color w:val="000000" w:themeColor="text1"/>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pPr>
        <w:shd w:val="clear"/>
        <w:ind w:firstLine="480"/>
        <w:rPr>
          <w:strike/>
          <w:color w:val="000000" w:themeColor="text1"/>
          <w:highlight w:val="none"/>
          <w14:textFill>
            <w14:solidFill>
              <w14:schemeClr w14:val="tx1"/>
            </w14:solidFill>
          </w14:textFill>
        </w:rPr>
      </w:pPr>
      <w:r>
        <w:rPr>
          <w:strike/>
          <w:color w:val="000000" w:themeColor="text1"/>
          <w:highlight w:val="none"/>
          <w14:textFill>
            <w14:solidFill>
              <w14:schemeClr w14:val="tx1"/>
            </w14:solidFill>
          </w14:textFill>
        </w:rPr>
        <w:t>（2）由同一专业的单位组成的联合体，按照资质等级较低的单位确定资质等级；</w:t>
      </w:r>
    </w:p>
    <w:p>
      <w:pPr>
        <w:shd w:val="clear"/>
        <w:ind w:firstLine="480"/>
        <w:rPr>
          <w:strike/>
          <w:color w:val="000000" w:themeColor="text1"/>
          <w:highlight w:val="none"/>
          <w14:textFill>
            <w14:solidFill>
              <w14:schemeClr w14:val="tx1"/>
            </w14:solidFill>
          </w14:textFill>
        </w:rPr>
      </w:pPr>
      <w:r>
        <w:rPr>
          <w:strike/>
          <w:color w:val="000000" w:themeColor="text1"/>
          <w:highlight w:val="none"/>
          <w14:textFill>
            <w14:solidFill>
              <w14:schemeClr w14:val="tx1"/>
            </w14:solidFill>
          </w14:textFill>
        </w:rPr>
        <w:t>（3）联合体各方不得再以自己名义单独或参加其他联合体在本招标项目中投标，否则各相关投标均无效。</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1.4.3 投标人不得存在下列情形之一：</w:t>
      </w:r>
    </w:p>
    <w:p>
      <w:pPr>
        <w:shd w:val="clear"/>
        <w:ind w:firstLine="480"/>
        <w:rPr>
          <w:rFonts w:hint="eastAsia"/>
          <w:color w:val="000000" w:themeColor="text1"/>
          <w:highlight w:val="none"/>
          <w14:textFill>
            <w14:solidFill>
              <w14:schemeClr w14:val="tx1"/>
            </w14:solidFill>
          </w14:textFill>
        </w:rPr>
      </w:pPr>
      <w:bookmarkStart w:id="51" w:name="_Toc35513433"/>
      <w:bookmarkStart w:id="52" w:name="_Toc152234218"/>
      <w:r>
        <w:rPr>
          <w:rFonts w:hint="eastAsia"/>
          <w:color w:val="000000" w:themeColor="text1"/>
          <w:highlight w:val="none"/>
          <w14:textFill>
            <w14:solidFill>
              <w14:schemeClr w14:val="tx1"/>
            </w14:solidFill>
          </w14:textFill>
        </w:rPr>
        <w:t>（1）为招标人不具有独立法人资格的附属机构（单位）；</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（2）与招标人存在利害关系且可能影响招标公正性；</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（3）与本标段的其他投标人为同一个单位负责人；</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（4）与本标段的其他投标人存在控股、管理关系；</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（5）为本标段的代建人；</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（6）为本标段的招标代理机构；</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（7）与本标段的代建人或招标代理机构同为一个法定代表人；</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（8）与本标段的代建人或招标代理机构存在控股或参股关系；</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（9）与本标段的招标人、设计单位、招标代理、施工单位、监理单位以及建筑材料、建筑构配件和设备供应商有隶属关系或者其他利害关系；</w:t>
      </w:r>
    </w:p>
    <w:p>
      <w:pPr>
        <w:shd w:val="clear"/>
        <w:ind w:firstLine="480"/>
        <w:rPr>
          <w:color w:val="000000" w:themeColor="text1"/>
          <w:highlight w:val="none"/>
          <w:lang w:bidi="ar"/>
          <w14:textFill>
            <w14:solidFill>
              <w14:schemeClr w14:val="tx1"/>
            </w14:solidFill>
          </w14:textFill>
        </w:rPr>
      </w:pPr>
      <w:r>
        <w:rPr>
          <w:rFonts w:hint="eastAsia"/>
          <w:color w:val="000000" w:themeColor="text1"/>
          <w:highlight w:val="none"/>
          <w14:textFill>
            <w14:solidFill>
              <w14:schemeClr w14:val="tx1"/>
            </w14:solidFill>
          </w14:textFill>
        </w:rPr>
        <w:t>（10）被依法暂停或者取消投标资格；</w:t>
      </w:r>
      <w:r>
        <w:rPr>
          <w:rFonts w:hint="eastAsia"/>
          <w:color w:val="000000" w:themeColor="text1"/>
          <w:highlight w:val="none"/>
          <w:lang w:bidi="ar"/>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26"/>
        <w:widowControl w:val="0"/>
        <w:shd w:val="clear"/>
        <w:kinsoku w:val="0"/>
        <w:overflowPunct w:val="0"/>
        <w:ind w:firstLine="480"/>
        <w:jc w:val="both"/>
        <w:rPr>
          <w:color w:val="000000" w:themeColor="text1"/>
          <w:kern w:val="2"/>
          <w:szCs w:val="24"/>
          <w:highlight w:val="none"/>
          <w:lang w:bidi="ar"/>
          <w14:textFill>
            <w14:solidFill>
              <w14:schemeClr w14:val="tx1"/>
            </w14:solidFill>
          </w14:textFill>
        </w:rPr>
      </w:pPr>
      <w:r>
        <w:rPr>
          <w:rFonts w:hint="eastAsia"/>
          <w:color w:val="000000" w:themeColor="text1"/>
          <w:highlight w:val="none"/>
          <w14:textFill>
            <w14:solidFill>
              <w14:schemeClr w14:val="tx1"/>
            </w14:solidFill>
          </w14:textFill>
        </w:rPr>
        <w:t>（11）被责令停产停业、暂扣或者吊销许可证、暂扣或者吊销执照；</w:t>
      </w:r>
      <w:r>
        <w:rPr>
          <w:rFonts w:hint="eastAsia"/>
          <w:color w:val="000000" w:themeColor="text1"/>
          <w:kern w:val="2"/>
          <w:szCs w:val="24"/>
          <w:highlight w:val="none"/>
          <w:lang w:bidi="ar"/>
          <w14:textFill>
            <w14:solidFill>
              <w14:schemeClr w14:val="tx1"/>
            </w14:solidFill>
          </w14:textFill>
        </w:rPr>
        <w:t>（本项事实应当以根据《中华人民共和国行政处罚法》依法作出并已经生效的行政处罚决定为认定依据）</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（12）进入清算程序，或被宣告破产，或其他丧失履约能力的情形；</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在最近三年内有严重违约或重大质量问题的；（“严重违约”事实应当以司法机关、仲裁机构出具的认定文件为准。“重大质量问题”应当以相关行业主管部门的行政处罚决定或司法机关出具的有关法律文书为准。“最近三年”是指从投标截止时间之日起逆推三年，以相关行业主管部门、司法机关、仲裁机构出具的生效文件落款时间起计算）</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（14）法律法规或投标人须知前附表规定的其他情形。</w:t>
      </w:r>
    </w:p>
    <w:p>
      <w:pPr>
        <w:pStyle w:val="4"/>
        <w:shd w:val="clear"/>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黑体"/>
          <w:color w:val="000000" w:themeColor="text1"/>
          <w:highlight w:val="none"/>
          <w14:textFill>
            <w14:solidFill>
              <w14:schemeClr w14:val="tx1"/>
            </w14:solidFill>
          </w14:textFill>
        </w:rPr>
        <w:t>费用承担</w:t>
      </w:r>
      <w:bookmarkEnd w:id="51"/>
      <w:bookmarkEnd w:id="52"/>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投标人准备和参加投标活动发生的费用自理。</w:t>
      </w:r>
    </w:p>
    <w:p>
      <w:pPr>
        <w:pStyle w:val="4"/>
        <w:shd w:val="clear"/>
        <w:ind w:firstLine="482"/>
        <w:rPr>
          <w:color w:val="000000" w:themeColor="text1"/>
          <w:highlight w:val="none"/>
          <w14:textFill>
            <w14:solidFill>
              <w14:schemeClr w14:val="tx1"/>
            </w14:solidFill>
          </w14:textFill>
        </w:rPr>
      </w:pPr>
      <w:bookmarkStart w:id="53" w:name="_Toc35513434"/>
      <w:bookmarkStart w:id="54" w:name="_Toc152234219"/>
      <w:r>
        <w:rPr>
          <w:color w:val="000000" w:themeColor="text1"/>
          <w:highlight w:val="none"/>
          <w14:textFill>
            <w14:solidFill>
              <w14:schemeClr w14:val="tx1"/>
            </w14:solidFill>
          </w14:textFill>
        </w:rPr>
        <w:t xml:space="preserve">1.6 </w:t>
      </w:r>
      <w:r>
        <w:rPr>
          <w:rFonts w:hint="eastAsia" w:cs="黑体"/>
          <w:color w:val="000000" w:themeColor="text1"/>
          <w:highlight w:val="none"/>
          <w14:textFill>
            <w14:solidFill>
              <w14:schemeClr w14:val="tx1"/>
            </w14:solidFill>
          </w14:textFill>
        </w:rPr>
        <w:t>保密</w:t>
      </w:r>
      <w:bookmarkEnd w:id="53"/>
      <w:bookmarkEnd w:id="54"/>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参与招标投标活动的各方应对招标文件和投标文件中的商业和技术等秘密保密，否则应承担相应的法律责任。</w:t>
      </w:r>
    </w:p>
    <w:p>
      <w:pPr>
        <w:pStyle w:val="4"/>
        <w:shd w:val="clear"/>
        <w:ind w:firstLine="482"/>
        <w:rPr>
          <w:color w:val="000000" w:themeColor="text1"/>
          <w:highlight w:val="none"/>
          <w14:textFill>
            <w14:solidFill>
              <w14:schemeClr w14:val="tx1"/>
            </w14:solidFill>
          </w14:textFill>
        </w:rPr>
      </w:pPr>
      <w:bookmarkStart w:id="55" w:name="_Toc35513435"/>
      <w:bookmarkStart w:id="56" w:name="_Toc152234220"/>
      <w:r>
        <w:rPr>
          <w:color w:val="000000" w:themeColor="text1"/>
          <w:highlight w:val="none"/>
          <w14:textFill>
            <w14:solidFill>
              <w14:schemeClr w14:val="tx1"/>
            </w14:solidFill>
          </w14:textFill>
        </w:rPr>
        <w:t>1.7 语言文字</w:t>
      </w:r>
      <w:bookmarkEnd w:id="55"/>
      <w:bookmarkEnd w:id="56"/>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招标投标文件使用的语言文字为中文。专用术语使用外文的，应附有中文注释。</w:t>
      </w:r>
    </w:p>
    <w:p>
      <w:pPr>
        <w:pStyle w:val="4"/>
        <w:shd w:val="clear"/>
        <w:ind w:firstLine="482"/>
        <w:rPr>
          <w:color w:val="000000" w:themeColor="text1"/>
          <w:highlight w:val="none"/>
          <w14:textFill>
            <w14:solidFill>
              <w14:schemeClr w14:val="tx1"/>
            </w14:solidFill>
          </w14:textFill>
        </w:rPr>
      </w:pPr>
      <w:bookmarkStart w:id="57" w:name="_Toc152234221"/>
      <w:bookmarkStart w:id="58" w:name="_Toc35513436"/>
      <w:r>
        <w:rPr>
          <w:color w:val="000000" w:themeColor="text1"/>
          <w:highlight w:val="none"/>
          <w14:textFill>
            <w14:solidFill>
              <w14:schemeClr w14:val="tx1"/>
            </w14:solidFill>
          </w14:textFill>
        </w:rPr>
        <w:t>1.8 计量单位</w:t>
      </w:r>
      <w:bookmarkEnd w:id="57"/>
      <w:bookmarkEnd w:id="58"/>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所有计量均采用中华人民共和国法定计量单位。</w:t>
      </w:r>
    </w:p>
    <w:p>
      <w:pPr>
        <w:pStyle w:val="4"/>
        <w:shd w:val="clear"/>
        <w:ind w:firstLine="482"/>
        <w:rPr>
          <w:color w:val="000000" w:themeColor="text1"/>
          <w:highlight w:val="none"/>
          <w14:textFill>
            <w14:solidFill>
              <w14:schemeClr w14:val="tx1"/>
            </w14:solidFill>
          </w14:textFill>
        </w:rPr>
      </w:pPr>
      <w:bookmarkStart w:id="59" w:name="_Toc152234222"/>
      <w:bookmarkStart w:id="60" w:name="_Toc35513437"/>
      <w:r>
        <w:rPr>
          <w:color w:val="000000" w:themeColor="text1"/>
          <w:highlight w:val="none"/>
          <w14:textFill>
            <w14:solidFill>
              <w14:schemeClr w14:val="tx1"/>
            </w14:solidFill>
          </w14:textFill>
        </w:rPr>
        <w:t>1.9 踏勘现场</w:t>
      </w:r>
      <w:bookmarkEnd w:id="59"/>
      <w:bookmarkEnd w:id="60"/>
    </w:p>
    <w:p>
      <w:pPr>
        <w:shd w:val="clear"/>
        <w:ind w:firstLine="480"/>
        <w:rPr>
          <w:strike/>
          <w:color w:val="000000" w:themeColor="text1"/>
          <w:highlight w:val="none"/>
          <w14:textFill>
            <w14:solidFill>
              <w14:schemeClr w14:val="tx1"/>
            </w14:solidFill>
          </w14:textFill>
        </w:rPr>
      </w:pPr>
      <w:r>
        <w:rPr>
          <w:strike/>
          <w:color w:val="000000" w:themeColor="text1"/>
          <w:highlight w:val="none"/>
          <w14:textFill>
            <w14:solidFill>
              <w14:schemeClr w14:val="tx1"/>
            </w14:solidFill>
          </w14:textFill>
        </w:rPr>
        <w:t>1.9.1 投标人须知前附表规定组织踏勘现场的，招标人按投标人须知前附表规定的时间、地点组织投标人踏勘项目现场。部分投标人未按时参加踏勘现场的，不影响踏勘现场的正常进行。</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1.9.2 投标人踏勘现场发生的费用自理。</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1.9.3 除招标人的原因外，投标人自行负责在踏勘现场中所发生的人员伤亡和财产损失。</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pPr>
        <w:pStyle w:val="4"/>
        <w:shd w:val="clear"/>
        <w:ind w:firstLine="482"/>
        <w:rPr>
          <w:color w:val="000000" w:themeColor="text1"/>
          <w:highlight w:val="none"/>
          <w14:textFill>
            <w14:solidFill>
              <w14:schemeClr w14:val="tx1"/>
            </w14:solidFill>
          </w14:textFill>
        </w:rPr>
      </w:pPr>
      <w:bookmarkStart w:id="61" w:name="_Toc152234223"/>
      <w:bookmarkStart w:id="62" w:name="_Toc35513438"/>
      <w:r>
        <w:rPr>
          <w:color w:val="000000" w:themeColor="text1"/>
          <w:highlight w:val="none"/>
          <w14:textFill>
            <w14:solidFill>
              <w14:schemeClr w14:val="tx1"/>
            </w14:solidFill>
          </w14:textFill>
        </w:rPr>
        <w:t>1.10 投标预备会</w:t>
      </w:r>
      <w:bookmarkEnd w:id="61"/>
      <w:bookmarkEnd w:id="62"/>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1.10.2 投标人应按投标人须知前附表规定的时间和形式将提出的问题送达招标人，以便招标人在会议期间澄清。</w:t>
      </w:r>
    </w:p>
    <w:p>
      <w:pPr>
        <w:shd w:val="clear"/>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1.10.3 投标预备会后，招标人将对投标人所提问题的澄清，以投标人须知前附表规定的形式通知所有购买招标文件的投标人。该澄清内容为招标文件的组成</w:t>
      </w:r>
      <w:bookmarkStart w:id="63" w:name="page24"/>
      <w:bookmarkEnd w:id="63"/>
      <w:r>
        <w:rPr>
          <w:color w:val="000000" w:themeColor="text1"/>
          <w:highlight w:val="none"/>
          <w14:textFill>
            <w14:solidFill>
              <w14:schemeClr w14:val="tx1"/>
            </w14:solidFill>
          </w14:textFill>
        </w:rPr>
        <w:t>部分。</w:t>
      </w:r>
    </w:p>
    <w:p>
      <w:pPr>
        <w:keepNext/>
        <w:keepLines/>
        <w:shd w:val="clear"/>
        <w:spacing w:before="48" w:beforeLines="20" w:after="48" w:afterLines="20"/>
        <w:ind w:firstLine="562"/>
        <w:outlineLvl w:val="2"/>
        <w:rPr>
          <w:rFonts w:hint="eastAsia" w:hAnsi="宋体"/>
          <w:b/>
          <w:bCs/>
          <w:color w:val="000000" w:themeColor="text1"/>
          <w:sz w:val="28"/>
          <w:szCs w:val="32"/>
          <w:highlight w:val="none"/>
          <w14:textFill>
            <w14:solidFill>
              <w14:schemeClr w14:val="tx1"/>
            </w14:solidFill>
          </w14:textFill>
        </w:rPr>
      </w:pPr>
      <w:bookmarkStart w:id="64" w:name="_Toc152234224"/>
      <w:r>
        <w:rPr>
          <w:rFonts w:hint="eastAsia" w:hAnsi="宋体"/>
          <w:b/>
          <w:bCs/>
          <w:color w:val="000000" w:themeColor="text1"/>
          <w:sz w:val="28"/>
          <w:szCs w:val="32"/>
          <w:highlight w:val="none"/>
          <w14:textFill>
            <w14:solidFill>
              <w14:schemeClr w14:val="tx1"/>
            </w14:solidFill>
          </w14:textFill>
        </w:rPr>
        <w:t>1.11 分包</w:t>
      </w:r>
      <w:bookmarkEnd w:id="64"/>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本项目严禁分包。</w:t>
      </w:r>
    </w:p>
    <w:p>
      <w:pPr>
        <w:keepNext/>
        <w:keepLines/>
        <w:shd w:val="clear"/>
        <w:spacing w:before="48" w:beforeLines="20" w:after="48" w:afterLines="20"/>
        <w:ind w:firstLine="562"/>
        <w:outlineLvl w:val="2"/>
        <w:rPr>
          <w:rFonts w:hint="eastAsia" w:hAnsi="宋体"/>
          <w:b/>
          <w:bCs/>
          <w:color w:val="000000" w:themeColor="text1"/>
          <w:sz w:val="28"/>
          <w:szCs w:val="32"/>
          <w:highlight w:val="none"/>
          <w14:textFill>
            <w14:solidFill>
              <w14:schemeClr w14:val="tx1"/>
            </w14:solidFill>
          </w14:textFill>
        </w:rPr>
      </w:pPr>
      <w:bookmarkStart w:id="65" w:name="_Toc152234225"/>
      <w:r>
        <w:rPr>
          <w:rFonts w:hint="eastAsia" w:hAnsi="宋体"/>
          <w:b/>
          <w:bCs/>
          <w:color w:val="000000" w:themeColor="text1"/>
          <w:sz w:val="28"/>
          <w:szCs w:val="32"/>
          <w:highlight w:val="none"/>
          <w14:textFill>
            <w14:solidFill>
              <w14:schemeClr w14:val="tx1"/>
            </w14:solidFill>
          </w14:textFill>
        </w:rPr>
        <w:t>1.12 响应和偏差</w:t>
      </w:r>
      <w:bookmarkEnd w:id="65"/>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1.12.1 投标文件应当对招标文件的实质性要求和条件作出满足性或更有利于招标人的响应，否则，投标人的投标将被否决。实质性要求和条件见投标人须知前附表。</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1.12.2 投标人应根据招标文件的要求提供投标</w:t>
      </w:r>
      <w:r>
        <w:rPr>
          <w:rFonts w:hint="eastAsia" w:hAnsi="宋体"/>
          <w:color w:val="000000" w:themeColor="text1"/>
          <w:highlight w:val="none"/>
          <w:u w:val="single"/>
          <w14:textFill>
            <w14:solidFill>
              <w14:schemeClr w14:val="tx1"/>
            </w14:solidFill>
          </w14:textFill>
        </w:rPr>
        <w:t>服务方案</w:t>
      </w:r>
      <w:r>
        <w:rPr>
          <w:rFonts w:hint="eastAsia" w:hAnsi="宋体"/>
          <w:color w:val="000000" w:themeColor="text1"/>
          <w:highlight w:val="none"/>
          <w14:textFill>
            <w14:solidFill>
              <w14:schemeClr w14:val="tx1"/>
            </w14:solidFill>
          </w14:textFill>
        </w:rPr>
        <w:t>等内容以对招标文件作出响应。</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1.12.3 投标人须知前附表允许投标文件偏离招标文件某些要求的，偏差应当符合招标文件规定的偏差范围和幅度。</w:t>
      </w:r>
    </w:p>
    <w:p>
      <w:pPr>
        <w:shd w:val="clear"/>
        <w:ind w:firstLine="480"/>
        <w:rPr>
          <w:rFonts w:hAnsi="宋体"/>
          <w:color w:val="000000" w:themeColor="text1"/>
          <w:szCs w:val="24"/>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bookmarkStart w:id="66" w:name="_Toc152234226"/>
      <w:bookmarkStart w:id="67" w:name="_Toc35513441"/>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招标文件</w:t>
      </w:r>
      <w:bookmarkEnd w:id="66"/>
      <w:bookmarkEnd w:id="67"/>
    </w:p>
    <w:p>
      <w:pPr>
        <w:pStyle w:val="4"/>
        <w:shd w:val="clear"/>
        <w:ind w:firstLine="482"/>
        <w:rPr>
          <w:color w:val="000000" w:themeColor="text1"/>
          <w:highlight w:val="none"/>
          <w14:textFill>
            <w14:solidFill>
              <w14:schemeClr w14:val="tx1"/>
            </w14:solidFill>
          </w14:textFill>
        </w:rPr>
      </w:pPr>
      <w:bookmarkStart w:id="68" w:name="_Toc35513442"/>
      <w:bookmarkStart w:id="69" w:name="_Toc152234227"/>
      <w:r>
        <w:rPr>
          <w:color w:val="000000" w:themeColor="text1"/>
          <w:highlight w:val="none"/>
          <w14:textFill>
            <w14:solidFill>
              <w14:schemeClr w14:val="tx1"/>
            </w14:solidFill>
          </w14:textFill>
        </w:rPr>
        <w:t>2.1 招标文件的组成</w:t>
      </w:r>
      <w:bookmarkEnd w:id="68"/>
      <w:bookmarkEnd w:id="69"/>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本招标文件包括：</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（1）招标公告</w:t>
      </w:r>
      <w:r>
        <w:rPr>
          <w:strike/>
          <w:color w:val="000000" w:themeColor="text1"/>
          <w:highlight w:val="none"/>
          <w14:textFill>
            <w14:solidFill>
              <w14:schemeClr w14:val="tx1"/>
            </w14:solidFill>
          </w14:textFill>
        </w:rPr>
        <w:t>（或投标邀请书）</w:t>
      </w:r>
      <w:r>
        <w:rPr>
          <w:color w:val="000000" w:themeColor="text1"/>
          <w:highlight w:val="none"/>
          <w14:textFill>
            <w14:solidFill>
              <w14:schemeClr w14:val="tx1"/>
            </w14:solidFill>
          </w14:textFill>
        </w:rPr>
        <w:t>；</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（2）投标人须知；</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（3）评标办法；</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（4）合同条款及格式；</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（5）委托人要求；</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（6）投标文件格式；</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（7）投标人须知前附表规定的其他资料。</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根据本章第 1.10 款、第 2.2 款和第 2.3 款对招标文件所作的澄清、修改，构成招标文件的组成部分。</w:t>
      </w:r>
    </w:p>
    <w:p>
      <w:pPr>
        <w:pStyle w:val="4"/>
        <w:shd w:val="clear"/>
        <w:ind w:firstLine="482"/>
        <w:rPr>
          <w:color w:val="000000" w:themeColor="text1"/>
          <w:highlight w:val="none"/>
          <w14:textFill>
            <w14:solidFill>
              <w14:schemeClr w14:val="tx1"/>
            </w14:solidFill>
          </w14:textFill>
        </w:rPr>
      </w:pPr>
      <w:bookmarkStart w:id="70" w:name="_Toc35513443"/>
      <w:bookmarkStart w:id="71" w:name="_Toc152234228"/>
      <w:r>
        <w:rPr>
          <w:color w:val="000000" w:themeColor="text1"/>
          <w:highlight w:val="none"/>
          <w14:textFill>
            <w14:solidFill>
              <w14:schemeClr w14:val="tx1"/>
            </w14:solidFill>
          </w14:textFill>
        </w:rPr>
        <w:t>2.2 招标文件的澄清</w:t>
      </w:r>
      <w:bookmarkEnd w:id="70"/>
      <w:bookmarkEnd w:id="71"/>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2.2.2 招标文件的澄清以投标人须知前附表规定的形式发给所有投标人，但不指明澄清问题的来源。澄清发出的时间距本章第 4.2.1 项规定的投标</w:t>
      </w:r>
      <w:bookmarkStart w:id="72" w:name="page25"/>
      <w:bookmarkEnd w:id="72"/>
      <w:r>
        <w:rPr>
          <w:color w:val="000000" w:themeColor="text1"/>
          <w:highlight w:val="none"/>
          <w14:textFill>
            <w14:solidFill>
              <w14:schemeClr w14:val="tx1"/>
            </w14:solidFill>
          </w14:textFill>
        </w:rPr>
        <w:t>截止时间不足 15 日的，并且澄清内容可能影响投标文件编制的，将相应延长投标截止时间。</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2.2.3 投标人在收到澄清后，应按投标人须知前附表规定的时间和形式通知招标人，确认已收到该澄清。</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2.2.4 除非招标人认为确有必要答复，否则，招标人有权拒绝回复投标人在本章第 2.2.1 项规定的时间后的任何澄清要求。</w:t>
      </w:r>
    </w:p>
    <w:p>
      <w:pPr>
        <w:pStyle w:val="4"/>
        <w:shd w:val="clear"/>
        <w:ind w:firstLine="482"/>
        <w:rPr>
          <w:color w:val="000000" w:themeColor="text1"/>
          <w:highlight w:val="none"/>
          <w14:textFill>
            <w14:solidFill>
              <w14:schemeClr w14:val="tx1"/>
            </w14:solidFill>
          </w14:textFill>
        </w:rPr>
      </w:pPr>
      <w:bookmarkStart w:id="73" w:name="_Toc152234229"/>
      <w:bookmarkStart w:id="74" w:name="_Toc35513444"/>
      <w:r>
        <w:rPr>
          <w:color w:val="000000" w:themeColor="text1"/>
          <w:highlight w:val="none"/>
          <w14:textFill>
            <w14:solidFill>
              <w14:schemeClr w14:val="tx1"/>
            </w14:solidFill>
          </w14:textFill>
        </w:rPr>
        <w:t>2.3 招标文件的修改</w:t>
      </w:r>
      <w:bookmarkEnd w:id="73"/>
      <w:bookmarkEnd w:id="74"/>
    </w:p>
    <w:p>
      <w:pPr>
        <w:shd w:val="clea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2.3.1 招标人以投标人须知前附表规定的形式修改招标文件，并通知所有已购买招标文件的投标人。修改招标文件的时间距本章第 4.2.1 项规定的投标截止时间不足15</w:t>
      </w:r>
      <w:r>
        <w:rPr>
          <w:rFonts w:hint="eastAsia"/>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的，并且修改内容可能影响投标文件编制的，将相应延长投标截止时间。</w:t>
      </w:r>
    </w:p>
    <w:p>
      <w:pPr>
        <w:shd w:val="clea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2.3.2 </w:t>
      </w:r>
      <w:r>
        <w:rPr>
          <w:rFonts w:hint="eastAsia"/>
          <w:color w:val="000000" w:themeColor="text1"/>
          <w:highlight w:val="none"/>
          <w:u w:val="single"/>
          <w14:textFill>
            <w14:solidFill>
              <w14:schemeClr w14:val="tx1"/>
            </w14:solidFill>
          </w14:textFill>
        </w:rPr>
        <w:t>招标文件的澄清或修改在广州交易集团有限公司（广州公共资源交易中心）网站发布。招标文件的澄清或修改一经在广州交易集团有限公司（广州公共资源交易中心）网站发布，视作已发放给所有投标人。</w:t>
      </w:r>
    </w:p>
    <w:p>
      <w:pPr>
        <w:pStyle w:val="4"/>
        <w:shd w:val="clear"/>
        <w:ind w:firstLine="482"/>
        <w:rPr>
          <w:color w:val="000000" w:themeColor="text1"/>
          <w:highlight w:val="none"/>
          <w14:textFill>
            <w14:solidFill>
              <w14:schemeClr w14:val="tx1"/>
            </w14:solidFill>
          </w14:textFill>
        </w:rPr>
      </w:pPr>
      <w:bookmarkStart w:id="75" w:name="_Toc152234230"/>
      <w:bookmarkStart w:id="76" w:name="_Toc35513445"/>
      <w:r>
        <w:rPr>
          <w:color w:val="000000" w:themeColor="text1"/>
          <w:highlight w:val="none"/>
          <w14:textFill>
            <w14:solidFill>
              <w14:schemeClr w14:val="tx1"/>
            </w14:solidFill>
          </w14:textFill>
        </w:rPr>
        <w:t>2.4 招标文件的异议</w:t>
      </w:r>
      <w:bookmarkEnd w:id="75"/>
      <w:bookmarkEnd w:id="76"/>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投标人或者其他利害关系人对招标文件有异议的，应当在投标截止时间 10 日前以书面形式提出。招标人将在收到异议之日起 3 日内作出答复；作出答复前，将暂停招标投标活动。</w:t>
      </w:r>
    </w:p>
    <w:p>
      <w:pPr>
        <w:shd w:val="clear"/>
        <w:ind w:firstLine="480"/>
        <w:rPr>
          <w:rFonts w:hAnsi="宋体"/>
          <w:color w:val="000000" w:themeColor="text1"/>
          <w:szCs w:val="24"/>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bookmarkStart w:id="77" w:name="_Toc35513446"/>
      <w:bookmarkStart w:id="78" w:name="_Toc152234231"/>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投标文件</w:t>
      </w:r>
      <w:bookmarkEnd w:id="77"/>
      <w:bookmarkEnd w:id="78"/>
    </w:p>
    <w:p>
      <w:pPr>
        <w:pStyle w:val="4"/>
        <w:shd w:val="clear"/>
        <w:ind w:firstLine="482"/>
        <w:rPr>
          <w:color w:val="000000" w:themeColor="text1"/>
          <w:highlight w:val="none"/>
          <w14:textFill>
            <w14:solidFill>
              <w14:schemeClr w14:val="tx1"/>
            </w14:solidFill>
          </w14:textFill>
        </w:rPr>
      </w:pPr>
      <w:bookmarkStart w:id="79" w:name="_Toc35513447"/>
      <w:bookmarkStart w:id="80" w:name="_Toc152234232"/>
      <w:r>
        <w:rPr>
          <w:color w:val="000000" w:themeColor="text1"/>
          <w:highlight w:val="none"/>
          <w14:textFill>
            <w14:solidFill>
              <w14:schemeClr w14:val="tx1"/>
            </w14:solidFill>
          </w14:textFill>
        </w:rPr>
        <w:t>3.1 投标文件的组成</w:t>
      </w:r>
      <w:bookmarkEnd w:id="79"/>
      <w:bookmarkEnd w:id="80"/>
      <w:r>
        <w:rPr>
          <w:rFonts w:hint="eastAsia"/>
          <w:color w:val="000000" w:themeColor="text1"/>
          <w:highlight w:val="none"/>
          <w14:textFill>
            <w14:solidFill>
              <w14:schemeClr w14:val="tx1"/>
            </w14:solidFill>
          </w14:textFill>
        </w:rPr>
        <w:t xml:space="preserve"> </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3.1.1 投标文件应包括下列内容：</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（1）投标函及附录（见招标文件第六章投标文件格式）；</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（2）法定代表人证明书及授权委托书（见招标文件第六章投标文件格式）；</w:t>
      </w:r>
    </w:p>
    <w:p>
      <w:pPr>
        <w:shd w:val="clear"/>
        <w:ind w:firstLine="480"/>
        <w:rPr>
          <w:rFonts w:hint="eastAsia" w:hAnsi="宋体"/>
          <w:strike/>
          <w:color w:val="000000" w:themeColor="text1"/>
          <w:highlight w:val="none"/>
          <w14:textFill>
            <w14:solidFill>
              <w14:schemeClr w14:val="tx1"/>
            </w14:solidFill>
          </w14:textFill>
        </w:rPr>
      </w:pPr>
      <w:r>
        <w:rPr>
          <w:rFonts w:hint="eastAsia" w:hAnsi="宋体"/>
          <w:strike/>
          <w:color w:val="000000" w:themeColor="text1"/>
          <w:highlight w:val="none"/>
          <w14:textFill>
            <w14:solidFill>
              <w14:schemeClr w14:val="tx1"/>
            </w14:solidFill>
          </w14:textFill>
        </w:rPr>
        <w:t>（3）投标保证金；</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（4）资格审查资料；</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（5）企业工程造价咨询业绩一览表（见招标文件第六章投标文件格式）；</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w:t>
      </w:r>
      <w:bookmarkStart w:id="81" w:name="_Hlk64992243"/>
      <w:r>
        <w:rPr>
          <w:rFonts w:hint="eastAsia" w:hAnsi="宋体"/>
          <w:color w:val="000000" w:themeColor="text1"/>
          <w:highlight w:val="none"/>
          <w14:textFill>
            <w14:solidFill>
              <w14:schemeClr w14:val="tx1"/>
            </w14:solidFill>
          </w14:textFill>
        </w:rPr>
        <w:t>拟投入本项目人员架构</w:t>
      </w:r>
      <w:bookmarkEnd w:id="81"/>
      <w:r>
        <w:rPr>
          <w:rFonts w:hint="eastAsia" w:hAnsi="宋体"/>
          <w:color w:val="000000" w:themeColor="text1"/>
          <w:highlight w:val="none"/>
          <w14:textFill>
            <w14:solidFill>
              <w14:schemeClr w14:val="tx1"/>
            </w14:solidFill>
          </w14:textFill>
        </w:rPr>
        <w:t>（见招标文件第六章投标文件格式）；</w:t>
      </w: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（7）服务方案：根据招标人提供的技术要求及资料，编制有针对性的造价咨询服务方案；</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bookmarkStart w:id="82" w:name="_Hlk64992356"/>
      <w:r>
        <w:rPr>
          <w:rFonts w:hint="eastAsia" w:hAnsi="宋体"/>
          <w:color w:val="000000" w:themeColor="text1"/>
          <w:highlight w:val="none"/>
          <w14:textFill>
            <w14:solidFill>
              <w14:schemeClr w14:val="tx1"/>
            </w14:solidFill>
          </w14:textFill>
        </w:rPr>
        <w:t>其他资料</w:t>
      </w:r>
      <w:bookmarkEnd w:id="82"/>
      <w:r>
        <w:rPr>
          <w:rFonts w:hint="eastAsia" w:hAnsi="宋体"/>
          <w:color w:val="000000" w:themeColor="text1"/>
          <w:highlight w:val="none"/>
          <w14:textFill>
            <w14:solidFill>
              <w14:schemeClr w14:val="tx1"/>
            </w14:solidFill>
          </w14:textFill>
        </w:rPr>
        <w:t>；</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9</w:t>
      </w:r>
      <w:r>
        <w:rPr>
          <w:rFonts w:hint="eastAsia" w:hAnsi="宋体"/>
          <w:color w:val="000000" w:themeColor="text1"/>
          <w:highlight w:val="none"/>
          <w14:textFill>
            <w14:solidFill>
              <w14:schemeClr w14:val="tx1"/>
            </w14:solidFill>
          </w14:textFill>
        </w:rPr>
        <w:t>）投标人在评标过程中作出的符合法律法规和招标文件规定的澄清确认，构成投标文件的组成部分。</w:t>
      </w:r>
    </w:p>
    <w:p>
      <w:pPr>
        <w:shd w:val="clear"/>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3.1.2若招标文件中有提供格式的，投标文件相应内容按格式填报；没有格式提供的资料，格式自拟。</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3.1.3投标人须知前附表未要求提交投标保证金的，投标文件不包括本章第3.1.1（3）所指的投标保证金。</w:t>
      </w:r>
    </w:p>
    <w:p>
      <w:pPr>
        <w:pStyle w:val="4"/>
        <w:shd w:val="clear"/>
        <w:ind w:firstLine="482"/>
        <w:rPr>
          <w:color w:val="000000" w:themeColor="text1"/>
          <w:highlight w:val="none"/>
          <w14:textFill>
            <w14:solidFill>
              <w14:schemeClr w14:val="tx1"/>
            </w14:solidFill>
          </w14:textFill>
        </w:rPr>
      </w:pPr>
      <w:bookmarkStart w:id="83" w:name="_Toc152234233"/>
      <w:bookmarkStart w:id="84" w:name="_Toc35513448"/>
      <w:r>
        <w:rPr>
          <w:color w:val="000000" w:themeColor="text1"/>
          <w:highlight w:val="none"/>
          <w14:textFill>
            <w14:solidFill>
              <w14:schemeClr w14:val="tx1"/>
            </w14:solidFill>
          </w14:textFill>
        </w:rPr>
        <w:t>3.2 投标报价</w:t>
      </w:r>
      <w:bookmarkEnd w:id="83"/>
      <w:bookmarkEnd w:id="84"/>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3.2.1 投标报价应包括国家规定的增值税税金，除投标人须知前</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表另有规定外，增值税税金按一般计税方法计算。投标人应按第六章</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投标文件格式</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的要求在投标函中</w:t>
      </w:r>
      <w:r>
        <w:rPr>
          <w:rFonts w:hint="eastAsia"/>
          <w:color w:val="000000" w:themeColor="text1"/>
          <w:highlight w:val="none"/>
          <w14:textFill>
            <w14:solidFill>
              <w14:schemeClr w14:val="tx1"/>
            </w14:solidFill>
          </w14:textFill>
        </w:rPr>
        <w:t>在投标报价表中进行报价。</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3.2.2 投标人应充分了解该项目的总体情况以及影响投标报价的其他要素。</w:t>
      </w:r>
    </w:p>
    <w:p>
      <w:pPr>
        <w:shd w:val="clea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3.2.3 本项目的报价方式见投标人须知前附表。投标人在投标截止时间前修改投标函中的投标报价总额</w:t>
      </w:r>
      <w:r>
        <w:rPr>
          <w:rFonts w:hint="eastAsia"/>
          <w:color w:val="000000" w:themeColor="text1"/>
          <w:highlight w:val="none"/>
          <w14:textFill>
            <w14:solidFill>
              <w14:schemeClr w14:val="tx1"/>
            </w14:solidFill>
          </w14:textFill>
        </w:rPr>
        <w:t>，同时修改投标文件“投标报价表”中的相应报价</w:t>
      </w:r>
      <w:r>
        <w:rPr>
          <w:color w:val="000000" w:themeColor="text1"/>
          <w:highlight w:val="none"/>
          <w14:textFill>
            <w14:solidFill>
              <w14:schemeClr w14:val="tx1"/>
            </w14:solidFill>
          </w14:textFill>
        </w:rPr>
        <w:t>。此修改须符合本章第 4.3 款的有关要求。</w:t>
      </w:r>
      <w:r>
        <w:rPr>
          <w:rFonts w:hint="eastAsia"/>
          <w:color w:val="000000" w:themeColor="text1"/>
          <w:highlight w:val="none"/>
          <w14:textFill>
            <w14:solidFill>
              <w14:schemeClr w14:val="tx1"/>
            </w14:solidFill>
          </w14:textFill>
        </w:rPr>
        <w:t xml:space="preserve"> </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3.2.4 招标人设有最高投标限价的，投标人的投标报价不得超过最高投标限价，最高投标限价在投标人须知前附表中载明。</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3.2.5 投标报价的其他要求见投标人须知前附表。</w:t>
      </w:r>
    </w:p>
    <w:p>
      <w:pPr>
        <w:pStyle w:val="4"/>
        <w:shd w:val="clear"/>
        <w:ind w:firstLine="482"/>
        <w:rPr>
          <w:color w:val="000000" w:themeColor="text1"/>
          <w:highlight w:val="none"/>
          <w14:textFill>
            <w14:solidFill>
              <w14:schemeClr w14:val="tx1"/>
            </w14:solidFill>
          </w14:textFill>
        </w:rPr>
      </w:pPr>
      <w:bookmarkStart w:id="85" w:name="_Toc35513449"/>
      <w:bookmarkStart w:id="86" w:name="_Toc152234234"/>
      <w:r>
        <w:rPr>
          <w:color w:val="000000" w:themeColor="text1"/>
          <w:highlight w:val="none"/>
          <w14:textFill>
            <w14:solidFill>
              <w14:schemeClr w14:val="tx1"/>
            </w14:solidFill>
          </w14:textFill>
        </w:rPr>
        <w:t>3.3 投标有效期</w:t>
      </w:r>
      <w:bookmarkEnd w:id="85"/>
      <w:bookmarkEnd w:id="86"/>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3.3.1 除投标人须知前附表另有规定外，投标有效期为 90 天。</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3.3.2 在投标有效期内，投标人撤销投标文件的，应承担招标文件和法律规定的责任。</w:t>
      </w:r>
    </w:p>
    <w:p>
      <w:pPr>
        <w:shd w:val="clear"/>
        <w:ind w:firstLine="480"/>
        <w:rPr>
          <w:rFonts w:hint="eastAsia"/>
          <w:strike/>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3.3.3出现特殊情况需要延长投标有效期的，招标人以书面形式通知所有投标人延长投标有效期。投标人应予以书面答复，同意延长的，应相应延长其投标</w:t>
      </w:r>
      <w:r>
        <w:rPr>
          <w:rFonts w:hint="eastAsia"/>
          <w:strike/>
          <w:color w:val="000000" w:themeColor="text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的有效期，但不得要求或被允许修改其投标文件；投标人拒绝延长的，其投标失效</w:t>
      </w:r>
      <w:r>
        <w:rPr>
          <w:rFonts w:hint="eastAsia"/>
          <w:strike/>
          <w:color w:val="000000" w:themeColor="text1"/>
          <w:highlight w:val="none"/>
          <w14:textFill>
            <w14:solidFill>
              <w14:schemeClr w14:val="tx1"/>
            </w14:solidFill>
          </w14:textFill>
        </w:rPr>
        <w:t>，但投标人有权收回其投标保证金及以现金或者支票形式递交的投标保证金的银行同期存款利息</w:t>
      </w:r>
      <w:r>
        <w:rPr>
          <w:rFonts w:hint="eastAsia"/>
          <w:strike w:val="0"/>
          <w:color w:val="000000" w:themeColor="text1"/>
          <w:highlight w:val="none"/>
          <w14:textFill>
            <w14:solidFill>
              <w14:schemeClr w14:val="tx1"/>
            </w14:solidFill>
          </w14:textFill>
        </w:rPr>
        <w:t>。</w:t>
      </w:r>
    </w:p>
    <w:p>
      <w:pPr>
        <w:pStyle w:val="4"/>
        <w:shd w:val="clear"/>
        <w:ind w:firstLine="482"/>
        <w:rPr>
          <w:rFonts w:hint="eastAsia"/>
          <w:strike/>
          <w:color w:val="000000" w:themeColor="text1"/>
          <w:highlight w:val="none"/>
          <w14:textFill>
            <w14:solidFill>
              <w14:schemeClr w14:val="tx1"/>
            </w14:solidFill>
          </w14:textFill>
        </w:rPr>
      </w:pPr>
      <w:bookmarkStart w:id="87" w:name="_Toc152234235"/>
      <w:r>
        <w:rPr>
          <w:rFonts w:hint="eastAsia"/>
          <w:strike/>
          <w:color w:val="000000" w:themeColor="text1"/>
          <w:highlight w:val="none"/>
          <w14:textFill>
            <w14:solidFill>
              <w14:schemeClr w14:val="tx1"/>
            </w14:solidFill>
          </w14:textFill>
        </w:rPr>
        <w:t>3.4 投标保证金</w:t>
      </w:r>
      <w:bookmarkEnd w:id="87"/>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3.4.1 投标人在递交投标文件的同时，应按投标人须知前附表规定的金额、形式递交投标保证金，并作为其投标文件的组成部分。联合体投标的，其投标保证金可以由牵头人递交，并应符合投标人须知前附表的规定。</w:t>
      </w:r>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3.4.2 投标人不按本章第 3.4.1 项要求提交投标保证金的，评标委员会将否决其投标。</w:t>
      </w:r>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3.4.3招标人最迟将在与中标人签订合同后5日内，向未中标的投标人和中标人退还投标保证金。投标保证金以现金或者支票形式递交的，还应退还银行同期存款利息。</w:t>
      </w:r>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3.4.4 如有下列情况之一的，将不予退还投标担保：</w:t>
      </w:r>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（1）投标人在投标有效期内撤销投标文件；</w:t>
      </w:r>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（2）中标人未能在规定期限内按要求提交履约担保；</w:t>
      </w:r>
    </w:p>
    <w:p>
      <w:pPr>
        <w:pStyle w:val="14"/>
        <w:shd w:val="clear"/>
        <w:ind w:firstLine="480"/>
        <w:rPr>
          <w:rFonts w:hint="eastAsia" w:hAnsi="宋体" w:eastAsia="宋体"/>
          <w:strike/>
          <w:color w:val="000000" w:themeColor="text1"/>
          <w:sz w:val="24"/>
          <w:szCs w:val="24"/>
          <w:highlight w:val="none"/>
          <w14:textFill>
            <w14:solidFill>
              <w14:schemeClr w14:val="tx1"/>
            </w14:solidFill>
          </w14:textFill>
        </w:rPr>
      </w:pPr>
      <w:r>
        <w:rPr>
          <w:rFonts w:hint="eastAsia" w:hAnsi="宋体" w:eastAsia="宋体"/>
          <w:strike/>
          <w:color w:val="000000" w:themeColor="text1"/>
          <w:sz w:val="24"/>
          <w:szCs w:val="24"/>
          <w:highlight w:val="none"/>
          <w14:textFill>
            <w14:solidFill>
              <w14:schemeClr w14:val="tx1"/>
            </w14:solidFill>
          </w14:textFill>
        </w:rPr>
        <w:t>（3）中标人未能在规定期限内签署合同协议；</w:t>
      </w:r>
    </w:p>
    <w:p>
      <w:pPr>
        <w:pStyle w:val="4"/>
        <w:shd w:val="clear"/>
        <w:ind w:firstLine="480"/>
        <w:rPr>
          <w:rFonts w:hAnsi="宋体"/>
          <w:b w:val="0"/>
          <w:bCs w:val="0"/>
          <w:strike/>
          <w:color w:val="000000" w:themeColor="text1"/>
          <w:szCs w:val="24"/>
          <w:highlight w:val="none"/>
          <w14:textFill>
            <w14:solidFill>
              <w14:schemeClr w14:val="tx1"/>
            </w14:solidFill>
          </w14:textFill>
        </w:rPr>
      </w:pPr>
      <w:bookmarkStart w:id="88" w:name="_Toc152234236"/>
      <w:r>
        <w:rPr>
          <w:rFonts w:hint="eastAsia" w:hAnsi="宋体"/>
          <w:b w:val="0"/>
          <w:bCs w:val="0"/>
          <w:strike/>
          <w:color w:val="000000" w:themeColor="text1"/>
          <w:szCs w:val="24"/>
          <w:highlight w:val="none"/>
          <w14:textFill>
            <w14:solidFill>
              <w14:schemeClr w14:val="tx1"/>
            </w14:solidFill>
          </w14:textFill>
        </w:rPr>
        <w:t>（4）发生投标人须知前附表规定的其他可以不予退还投标保证金的情形。</w:t>
      </w:r>
      <w:bookmarkEnd w:id="88"/>
    </w:p>
    <w:p>
      <w:pPr>
        <w:pStyle w:val="4"/>
        <w:shd w:val="clear"/>
        <w:ind w:firstLine="482"/>
        <w:rPr>
          <w:color w:val="000000" w:themeColor="text1"/>
          <w:highlight w:val="none"/>
          <w14:textFill>
            <w14:solidFill>
              <w14:schemeClr w14:val="tx1"/>
            </w14:solidFill>
          </w14:textFill>
        </w:rPr>
      </w:pPr>
      <w:bookmarkStart w:id="89" w:name="_Toc35513450"/>
      <w:bookmarkStart w:id="90" w:name="_Toc152234237"/>
      <w:r>
        <w:rPr>
          <w:color w:val="000000" w:themeColor="text1"/>
          <w:highlight w:val="none"/>
          <w14:textFill>
            <w14:solidFill>
              <w14:schemeClr w14:val="tx1"/>
            </w14:solidFill>
          </w14:textFill>
        </w:rPr>
        <w:t>3.5 资格审查资料（适用于未进行资格预审的）</w:t>
      </w:r>
      <w:bookmarkEnd w:id="89"/>
      <w:bookmarkEnd w:id="90"/>
    </w:p>
    <w:p>
      <w:pPr>
        <w:pStyle w:val="14"/>
        <w:shd w:val="clear"/>
        <w:ind w:firstLine="480"/>
        <w:rPr>
          <w:rFonts w:hAnsi="宋体" w:eastAsia="宋体"/>
          <w:color w:val="000000" w:themeColor="text1"/>
          <w:sz w:val="24"/>
          <w:szCs w:val="24"/>
          <w:highlight w:val="none"/>
          <w:u w:val="single"/>
          <w14:textFill>
            <w14:solidFill>
              <w14:schemeClr w14:val="tx1"/>
            </w14:solidFill>
          </w14:textFill>
        </w:rPr>
      </w:pPr>
      <w:bookmarkStart w:id="91" w:name="_Toc35513451"/>
      <w:r>
        <w:rPr>
          <w:rFonts w:hint="eastAsia" w:hAnsi="宋体" w:eastAsia="宋体"/>
          <w:color w:val="000000" w:themeColor="text1"/>
          <w:sz w:val="24"/>
          <w:szCs w:val="24"/>
          <w:highlight w:val="none"/>
          <w:u w:val="single"/>
          <w14:textFill>
            <w14:solidFill>
              <w14:schemeClr w14:val="tx1"/>
            </w14:solidFill>
          </w14:textFill>
        </w:rPr>
        <w:t>详见招标文件第六章投标文件格式。</w:t>
      </w:r>
    </w:p>
    <w:p>
      <w:pPr>
        <w:pStyle w:val="4"/>
        <w:shd w:val="clear"/>
        <w:ind w:firstLine="482"/>
        <w:rPr>
          <w:color w:val="000000" w:themeColor="text1"/>
          <w:highlight w:val="none"/>
          <w14:textFill>
            <w14:solidFill>
              <w14:schemeClr w14:val="tx1"/>
            </w14:solidFill>
          </w14:textFill>
        </w:rPr>
      </w:pPr>
      <w:bookmarkStart w:id="92" w:name="_Toc152234238"/>
      <w:r>
        <w:rPr>
          <w:color w:val="000000" w:themeColor="text1"/>
          <w:highlight w:val="none"/>
          <w14:textFill>
            <w14:solidFill>
              <w14:schemeClr w14:val="tx1"/>
            </w14:solidFill>
          </w14:textFill>
        </w:rPr>
        <w:t>3.6 备选投标方案</w:t>
      </w:r>
      <w:bookmarkEnd w:id="91"/>
      <w:bookmarkEnd w:id="92"/>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3.6.1 除投标人须知前附表规定允许外，投标人不得递交备选投标方案，否则其投标将被否决。</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3.6.3 投标人提供两个或两个以上投标报价，或者在投标文件中提供一个报价，但同时提供两个或两个以上</w:t>
      </w:r>
      <w:r>
        <w:rPr>
          <w:rFonts w:hint="eastAsia"/>
          <w:color w:val="000000" w:themeColor="text1"/>
          <w:highlight w:val="none"/>
          <w14:textFill>
            <w14:solidFill>
              <w14:schemeClr w14:val="tx1"/>
            </w14:solidFill>
          </w14:textFill>
        </w:rPr>
        <w:t>服务</w:t>
      </w:r>
      <w:r>
        <w:rPr>
          <w:color w:val="000000" w:themeColor="text1"/>
          <w:highlight w:val="none"/>
          <w14:textFill>
            <w14:solidFill>
              <w14:schemeClr w14:val="tx1"/>
            </w14:solidFill>
          </w14:textFill>
        </w:rPr>
        <w:t>方案的，视为提供备选方案。</w:t>
      </w:r>
    </w:p>
    <w:p>
      <w:pPr>
        <w:pStyle w:val="4"/>
        <w:shd w:val="clear"/>
        <w:ind w:firstLine="482"/>
        <w:rPr>
          <w:color w:val="000000" w:themeColor="text1"/>
          <w:highlight w:val="none"/>
          <w14:textFill>
            <w14:solidFill>
              <w14:schemeClr w14:val="tx1"/>
            </w14:solidFill>
          </w14:textFill>
        </w:rPr>
      </w:pPr>
      <w:bookmarkStart w:id="93" w:name="_Toc152234239"/>
      <w:bookmarkStart w:id="94" w:name="_Toc35513452"/>
      <w:r>
        <w:rPr>
          <w:color w:val="000000" w:themeColor="text1"/>
          <w:highlight w:val="none"/>
          <w14:textFill>
            <w14:solidFill>
              <w14:schemeClr w14:val="tx1"/>
            </w14:solidFill>
          </w14:textFill>
        </w:rPr>
        <w:t>3.7 投标文件的编制</w:t>
      </w:r>
      <w:bookmarkEnd w:id="93"/>
      <w:bookmarkEnd w:id="94"/>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3.7.1 投标文件应按第六章</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投标文件格式</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进行编写，如有必要，可以增加附页，作为投标文件的组成部分。其中，投标函附录在满足招标文件实质性要求的基础上，可以提出比招标文件要求更有利于招标人的承诺。</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3.7.2 投标文件应当对招标文件有关</w:t>
      </w:r>
      <w:r>
        <w:rPr>
          <w:rFonts w:hint="eastAsia"/>
          <w:color w:val="000000" w:themeColor="text1"/>
          <w:highlight w:val="none"/>
          <w14:textFill>
            <w14:solidFill>
              <w14:schemeClr w14:val="tx1"/>
            </w14:solidFill>
          </w14:textFill>
        </w:rPr>
        <w:t>该项目</w:t>
      </w:r>
      <w:r>
        <w:rPr>
          <w:color w:val="000000" w:themeColor="text1"/>
          <w:highlight w:val="none"/>
          <w14:textFill>
            <w14:solidFill>
              <w14:schemeClr w14:val="tx1"/>
            </w14:solidFill>
          </w14:textFill>
        </w:rPr>
        <w:t>服务期限、投标有效期、委托人要求、招标范围等实质性内容作出响应。</w:t>
      </w:r>
    </w:p>
    <w:p>
      <w:pPr>
        <w:shd w:val="clea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3.7.3投标文件全部采用电子文档，除投标人须知前附表另有规定外，投标文件所附证书证件均为原件</w:t>
      </w:r>
      <w:r>
        <w:rPr>
          <w:rFonts w:hint="eastAsia"/>
          <w:color w:val="000000" w:themeColor="text1"/>
          <w:highlight w:val="none"/>
          <w14:textFill>
            <w14:solidFill>
              <w14:schemeClr w14:val="tx1"/>
            </w14:solidFill>
          </w14:textFill>
        </w:rPr>
        <w:t>彩色</w:t>
      </w:r>
      <w:r>
        <w:rPr>
          <w:color w:val="000000" w:themeColor="text1"/>
          <w:highlight w:val="none"/>
          <w14:textFill>
            <w14:solidFill>
              <w14:schemeClr w14:val="tx1"/>
            </w14:solidFill>
          </w14:textFill>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hd w:val="clear"/>
        <w:ind w:firstLine="480"/>
        <w:rPr>
          <w:rFonts w:hAnsi="宋体"/>
          <w:color w:val="000000" w:themeColor="text1"/>
          <w:szCs w:val="24"/>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bookmarkStart w:id="95" w:name="_Toc152234240"/>
      <w:bookmarkStart w:id="96" w:name="_Toc35513453"/>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投标</w:t>
      </w:r>
      <w:bookmarkEnd w:id="95"/>
      <w:bookmarkEnd w:id="96"/>
    </w:p>
    <w:p>
      <w:pPr>
        <w:pStyle w:val="4"/>
        <w:shd w:val="clear"/>
        <w:ind w:firstLine="482"/>
        <w:rPr>
          <w:color w:val="000000" w:themeColor="text1"/>
          <w:highlight w:val="none"/>
          <w14:textFill>
            <w14:solidFill>
              <w14:schemeClr w14:val="tx1"/>
            </w14:solidFill>
          </w14:textFill>
        </w:rPr>
      </w:pPr>
      <w:bookmarkStart w:id="97" w:name="_Toc35513454"/>
      <w:bookmarkStart w:id="98" w:name="_Toc152234241"/>
      <w:r>
        <w:rPr>
          <w:color w:val="000000" w:themeColor="text1"/>
          <w:highlight w:val="none"/>
          <w14:textFill>
            <w14:solidFill>
              <w14:schemeClr w14:val="tx1"/>
            </w14:solidFill>
          </w14:textFill>
        </w:rPr>
        <w:t>4.1 投标文件的密封和标记</w:t>
      </w:r>
      <w:bookmarkEnd w:id="97"/>
      <w:bookmarkEnd w:id="98"/>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4.1.1投标人应当按照招标文件和电子招标投标交易平台的要求加密投标文件，具体要求见投标人须知前附表。</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4.1.2如有提交投标文件光盘备用，封套上应写明的内容见投标人须知前附表。</w:t>
      </w:r>
    </w:p>
    <w:p>
      <w:pPr>
        <w:pStyle w:val="4"/>
        <w:shd w:val="clear"/>
        <w:ind w:firstLine="480"/>
        <w:jc w:val="both"/>
        <w:rPr>
          <w:b w:val="0"/>
          <w:color w:val="000000" w:themeColor="text1"/>
          <w:highlight w:val="none"/>
          <w14:textFill>
            <w14:solidFill>
              <w14:schemeClr w14:val="tx1"/>
            </w14:solidFill>
          </w14:textFill>
        </w:rPr>
      </w:pPr>
      <w:bookmarkStart w:id="99" w:name="_Toc152234242"/>
      <w:r>
        <w:rPr>
          <w:rFonts w:hint="eastAsia"/>
          <w:b w:val="0"/>
          <w:color w:val="000000" w:themeColor="text1"/>
          <w:highlight w:val="none"/>
          <w14:textFill>
            <w14:solidFill>
              <w14:schemeClr w14:val="tx1"/>
            </w14:solidFill>
          </w14:textFill>
        </w:rPr>
        <w:t>4.1.3</w:t>
      </w:r>
      <w:r>
        <w:rPr>
          <w:rFonts w:hint="eastAsia"/>
          <w:b w:val="0"/>
          <w:color w:val="000000" w:themeColor="text1"/>
          <w:highlight w:val="none"/>
          <w:u w:val="single"/>
          <w14:textFill>
            <w14:solidFill>
              <w14:schemeClr w14:val="tx1"/>
            </w14:solidFill>
          </w14:textFill>
        </w:rPr>
        <w:t>投标人在投标截止期后逾期或未在指定地点递交备用投标文件电子光盘的，或投标人递交的备用投标文件电子光盘未按招标文件要求密封或未在密封处盖章或签字的，或投标人代表未凭法定代表人证明书原件、授权委托书原件（仅限于非法定代表人）、本人身份证原件按要求递交备用投标文件电子光盘的，招标人将予以拒收。</w:t>
      </w:r>
      <w:bookmarkEnd w:id="99"/>
    </w:p>
    <w:p>
      <w:pPr>
        <w:pStyle w:val="4"/>
        <w:shd w:val="clear"/>
        <w:ind w:firstLine="482"/>
        <w:rPr>
          <w:color w:val="000000" w:themeColor="text1"/>
          <w:highlight w:val="none"/>
          <w14:textFill>
            <w14:solidFill>
              <w14:schemeClr w14:val="tx1"/>
            </w14:solidFill>
          </w14:textFill>
        </w:rPr>
      </w:pPr>
      <w:bookmarkStart w:id="100" w:name="_Toc152234243"/>
      <w:bookmarkStart w:id="101" w:name="_Toc35513455"/>
      <w:r>
        <w:rPr>
          <w:color w:val="000000" w:themeColor="text1"/>
          <w:highlight w:val="none"/>
          <w14:textFill>
            <w14:solidFill>
              <w14:schemeClr w14:val="tx1"/>
            </w14:solidFill>
          </w14:textFill>
        </w:rPr>
        <w:t>4.2 投标文件的递交</w:t>
      </w:r>
      <w:bookmarkEnd w:id="100"/>
      <w:bookmarkEnd w:id="101"/>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4.2.1 投标人应在投标人须知前附表规定的投标截止时间前递交投标文件。</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4.2.2 投标人通过下载招标文件的电子招标投标交易平台递交电子投标文件。</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4.2.3 除投标人须知前附表另有规定外，投标人所递交的投标文件不予退还。</w:t>
      </w:r>
    </w:p>
    <w:p>
      <w:pPr>
        <w:shd w:val="clea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4.2.4</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投标人完成电子投标文件上传后，电子招标投标交易平台即时向投标人发出递交回执通知。递交时间以递交回执通知载明的传输完成时间为准。</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4.2.5</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逾期送达的投标</w:t>
      </w:r>
      <w:bookmarkStart w:id="102" w:name="page30"/>
      <w:bookmarkEnd w:id="102"/>
      <w:r>
        <w:rPr>
          <w:color w:val="000000" w:themeColor="text1"/>
          <w:highlight w:val="none"/>
          <w14:textFill>
            <w14:solidFill>
              <w14:schemeClr w14:val="tx1"/>
            </w14:solidFill>
          </w14:textFill>
        </w:rPr>
        <w:t>文件，电子招标投标交易平台将予以拒收。</w:t>
      </w:r>
    </w:p>
    <w:p>
      <w:pPr>
        <w:pStyle w:val="4"/>
        <w:shd w:val="clear"/>
        <w:ind w:firstLine="482"/>
        <w:rPr>
          <w:color w:val="000000" w:themeColor="text1"/>
          <w:highlight w:val="none"/>
          <w14:textFill>
            <w14:solidFill>
              <w14:schemeClr w14:val="tx1"/>
            </w14:solidFill>
          </w14:textFill>
        </w:rPr>
      </w:pPr>
      <w:bookmarkStart w:id="103" w:name="_Toc152234244"/>
      <w:bookmarkStart w:id="104" w:name="_Toc35513456"/>
      <w:r>
        <w:rPr>
          <w:color w:val="000000" w:themeColor="text1"/>
          <w:highlight w:val="none"/>
          <w14:textFill>
            <w14:solidFill>
              <w14:schemeClr w14:val="tx1"/>
            </w14:solidFill>
          </w14:textFill>
        </w:rPr>
        <w:t>4.3 投标文件的修改与撤回</w:t>
      </w:r>
      <w:bookmarkEnd w:id="103"/>
      <w:bookmarkEnd w:id="104"/>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4.3.1 在本章第 4.2.1 项规定的投标截止时间前，投标人可以修改或撤回已递交的投标文件，但应以书面形式通知招标人。</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4.3.2投标人修改或撤回已递交投标文件的通知，应按照本章第 3.7.3项的要求加盖电子印章。电子招标投标交易平台收到通知后，即时向投标人发出确认回执通知。</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4.3.3投标人撤回投标文件的，招标人自收到投标人书面撤回通知之日起5日内退还已收取的投标保证金。</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4.3.4 修改的内容为投标文件的组成部分。修改的投标文件应按照本章第 3 条、第 4 条的规定进行编制、密封、标记和递交，并标明</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修改</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字样。</w:t>
      </w:r>
    </w:p>
    <w:p>
      <w:pPr>
        <w:shd w:val="clear"/>
        <w:ind w:firstLine="480"/>
        <w:rPr>
          <w:rFonts w:hAnsi="宋体"/>
          <w:color w:val="000000" w:themeColor="text1"/>
          <w:szCs w:val="24"/>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bookmarkStart w:id="105" w:name="_Toc152234245"/>
      <w:bookmarkStart w:id="106" w:name="_Toc35513457"/>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开标</w:t>
      </w:r>
      <w:bookmarkEnd w:id="105"/>
      <w:bookmarkEnd w:id="106"/>
    </w:p>
    <w:p>
      <w:pPr>
        <w:pStyle w:val="4"/>
        <w:shd w:val="clear"/>
        <w:ind w:firstLine="482"/>
        <w:rPr>
          <w:color w:val="000000" w:themeColor="text1"/>
          <w:highlight w:val="none"/>
          <w14:textFill>
            <w14:solidFill>
              <w14:schemeClr w14:val="tx1"/>
            </w14:solidFill>
          </w14:textFill>
        </w:rPr>
      </w:pPr>
      <w:bookmarkStart w:id="107" w:name="_Toc35513458"/>
      <w:bookmarkStart w:id="108" w:name="_Toc152234246"/>
      <w:r>
        <w:rPr>
          <w:color w:val="000000" w:themeColor="text1"/>
          <w:highlight w:val="none"/>
          <w14:textFill>
            <w14:solidFill>
              <w14:schemeClr w14:val="tx1"/>
            </w14:solidFill>
          </w14:textFill>
        </w:rPr>
        <w:t>5.1 开标时间和地点</w:t>
      </w:r>
      <w:bookmarkEnd w:id="107"/>
      <w:bookmarkEnd w:id="108"/>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招标人在本章第 4.2.1 项规定的投标截止时间（开标时间）</w:t>
      </w:r>
      <w:r>
        <w:rPr>
          <w:color w:val="000000" w:themeColor="text1"/>
          <w:highlight w:val="none"/>
          <w:u w:val="single"/>
          <w14:textFill>
            <w14:solidFill>
              <w14:schemeClr w14:val="tx1"/>
            </w14:solidFill>
          </w14:textFill>
        </w:rPr>
        <w:t>,通过电子招标投标交易平台公开开标，</w:t>
      </w:r>
      <w:r>
        <w:rPr>
          <w:rFonts w:hint="eastAsia"/>
          <w:color w:val="000000" w:themeColor="text1"/>
          <w:highlight w:val="none"/>
          <w:u w:val="single"/>
          <w14:textFill>
            <w14:solidFill>
              <w14:schemeClr w14:val="tx1"/>
            </w14:solidFill>
          </w14:textFill>
        </w:rPr>
        <w:t>开标时，投标人代表有权出席开标会，也可以自主决定不参加开标会。</w:t>
      </w:r>
    </w:p>
    <w:p>
      <w:pPr>
        <w:pStyle w:val="4"/>
        <w:shd w:val="clear"/>
        <w:ind w:firstLine="482"/>
        <w:rPr>
          <w:color w:val="000000" w:themeColor="text1"/>
          <w:highlight w:val="none"/>
          <w14:textFill>
            <w14:solidFill>
              <w14:schemeClr w14:val="tx1"/>
            </w14:solidFill>
          </w14:textFill>
        </w:rPr>
      </w:pPr>
      <w:bookmarkStart w:id="109" w:name="_Toc152234247"/>
      <w:bookmarkStart w:id="110" w:name="_Toc35513459"/>
      <w:r>
        <w:rPr>
          <w:color w:val="000000" w:themeColor="text1"/>
          <w:highlight w:val="none"/>
          <w14:textFill>
            <w14:solidFill>
              <w14:schemeClr w14:val="tx1"/>
            </w14:solidFill>
          </w14:textFill>
        </w:rPr>
        <w:t>5.2 开标程序</w:t>
      </w:r>
      <w:bookmarkEnd w:id="109"/>
      <w:bookmarkEnd w:id="110"/>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5.2.1主持人按下列程序进行开标：</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（1）宣布开标纪律；</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（2）公布在投标截止时间前递交投标文件的投标人名称；</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（3）宣布开标人、唱标人、记录人、监标人等有关人员姓名；</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（4）投标人通过电子招标投标交易平台对已递交的电子投标文件进行解密，公布招标项目名称、投标人名称、</w:t>
      </w:r>
      <w:r>
        <w:rPr>
          <w:rFonts w:hint="eastAsia"/>
          <w:strike/>
          <w:color w:val="000000" w:themeColor="text1"/>
          <w:highlight w:val="none"/>
          <w14:textFill>
            <w14:solidFill>
              <w14:schemeClr w14:val="tx1"/>
            </w14:solidFill>
          </w14:textFill>
        </w:rPr>
        <w:t>投标保证金的递交情况、</w:t>
      </w:r>
      <w:r>
        <w:rPr>
          <w:rFonts w:hint="eastAsia"/>
          <w:color w:val="000000" w:themeColor="text1"/>
          <w:highlight w:val="none"/>
          <w14:textFill>
            <w14:solidFill>
              <w14:schemeClr w14:val="tx1"/>
            </w14:solidFill>
          </w14:textFill>
        </w:rPr>
        <w:t>投标报价、服务期及其他内容，并记录在案；</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（5）投标人代表、招标人代表、监标人、记录人等有关人员在开标记录上签字确认；若有关人员不签字的，不影响开标程序；</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（6）开标结束。</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5.2.2投标截止时间前未完成投标文件传输的或因投标人之外的原因造成投标文件未解密且未递交备用投标文件备用电子光盘的，视为投标人撤回其投标文件。因投标人原因造成投标文件未解密的，或未在投标截止时间后半小时内解密的且未提交光盘用的，视为撤销其投标文件。</w:t>
      </w:r>
    </w:p>
    <w:p>
      <w:pPr>
        <w:shd w:val="clea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5.2.3开标时，两个（含两个）以上的投标人加密打包投标文件的电脑机器特征码一致的，不参与下一程序，并由评标委员会否决其投标。</w:t>
      </w:r>
    </w:p>
    <w:p>
      <w:pPr>
        <w:pStyle w:val="4"/>
        <w:shd w:val="clear"/>
        <w:ind w:firstLine="482"/>
        <w:rPr>
          <w:color w:val="000000" w:themeColor="text1"/>
          <w:highlight w:val="none"/>
          <w14:textFill>
            <w14:solidFill>
              <w14:schemeClr w14:val="tx1"/>
            </w14:solidFill>
          </w14:textFill>
        </w:rPr>
      </w:pPr>
      <w:bookmarkStart w:id="111" w:name="_Toc35513460"/>
      <w:bookmarkStart w:id="112" w:name="_Toc152234248"/>
      <w:r>
        <w:rPr>
          <w:color w:val="000000" w:themeColor="text1"/>
          <w:highlight w:val="none"/>
          <w14:textFill>
            <w14:solidFill>
              <w14:schemeClr w14:val="tx1"/>
            </w14:solidFill>
          </w14:textFill>
        </w:rPr>
        <w:t>5.3 开标异议</w:t>
      </w:r>
      <w:bookmarkEnd w:id="111"/>
      <w:bookmarkEnd w:id="112"/>
    </w:p>
    <w:p>
      <w:pPr>
        <w:shd w:val="clear"/>
        <w:ind w:firstLine="480"/>
        <w:rPr>
          <w:b/>
          <w:bCs/>
          <w:color w:val="000000" w:themeColor="text1"/>
          <w:highlight w:val="none"/>
          <w:u w:val="single"/>
          <w14:textFill>
            <w14:solidFill>
              <w14:schemeClr w14:val="tx1"/>
            </w14:solidFill>
          </w14:textFill>
        </w:rPr>
      </w:pPr>
      <w:bookmarkStart w:id="113" w:name="_Toc35513461"/>
      <w:bookmarkStart w:id="114" w:name="_Toc152234249"/>
      <w:r>
        <w:rPr>
          <w:rFonts w:hint="eastAsia"/>
          <w:color w:val="000000" w:themeColor="text1"/>
          <w:highlight w:val="none"/>
          <w:u w:val="single"/>
          <w14:textFill>
            <w14:solidFill>
              <w14:schemeClr w14:val="tx1"/>
            </w14:solidFill>
          </w14:textFill>
        </w:rPr>
        <w:t>开标时，投标人代表有权出席开标会，也可以自主决定不参加开标会，若投标人代表对开标过程提出异议，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r>
        <w:rPr>
          <w:rFonts w:hint="eastAsia" w:hAnsi="宋体"/>
          <w:color w:val="000000" w:themeColor="text1"/>
          <w:szCs w:val="21"/>
          <w:highlight w:val="none"/>
          <w:u w:val="single"/>
          <w14:textFill>
            <w14:solidFill>
              <w14:schemeClr w14:val="tx1"/>
            </w14:solidFill>
          </w14:textFill>
        </w:rPr>
        <w:t>投标人</w:t>
      </w:r>
      <w:r>
        <w:rPr>
          <w:rFonts w:hAnsi="宋体"/>
          <w:color w:val="000000" w:themeColor="text1"/>
          <w:szCs w:val="21"/>
          <w:highlight w:val="none"/>
          <w:u w:val="single"/>
          <w14:textFill>
            <w14:solidFill>
              <w14:schemeClr w14:val="tx1"/>
            </w14:solidFill>
          </w14:textFill>
        </w:rPr>
        <w:t>未参加开标或在规定的时间内未提出异议的，视为对开标无异议。</w:t>
      </w:r>
    </w:p>
    <w:p>
      <w:pPr>
        <w:pStyle w:val="2"/>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评标</w:t>
      </w:r>
      <w:bookmarkEnd w:id="113"/>
      <w:bookmarkEnd w:id="114"/>
    </w:p>
    <w:p>
      <w:pPr>
        <w:pStyle w:val="4"/>
        <w:shd w:val="clear"/>
        <w:ind w:firstLine="482"/>
        <w:rPr>
          <w:color w:val="000000" w:themeColor="text1"/>
          <w:highlight w:val="none"/>
          <w14:textFill>
            <w14:solidFill>
              <w14:schemeClr w14:val="tx1"/>
            </w14:solidFill>
          </w14:textFill>
        </w:rPr>
      </w:pPr>
      <w:bookmarkStart w:id="115" w:name="_Toc35513462"/>
      <w:bookmarkStart w:id="116" w:name="_Toc152234250"/>
      <w:r>
        <w:rPr>
          <w:color w:val="000000" w:themeColor="text1"/>
          <w:highlight w:val="none"/>
          <w14:textFill>
            <w14:solidFill>
              <w14:schemeClr w14:val="tx1"/>
            </w14:solidFill>
          </w14:textFill>
        </w:rPr>
        <w:t>6.1 评标委员会</w:t>
      </w:r>
      <w:bookmarkEnd w:id="115"/>
      <w:bookmarkEnd w:id="116"/>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6.1.1</w:t>
      </w:r>
      <w:r>
        <w:rPr>
          <w:rFonts w:hint="eastAsia" w:hAnsi="宋体"/>
          <w:color w:val="000000" w:themeColor="text1"/>
          <w:highlight w:val="none"/>
          <w:u w:val="single"/>
          <w14:textFill>
            <w14:solidFill>
              <w14:schemeClr w14:val="tx1"/>
            </w14:solidFill>
          </w14:textFill>
        </w:rPr>
        <w:t>评标由招标人依法组建的评标委员会负责。</w:t>
      </w:r>
    </w:p>
    <w:p>
      <w:pPr>
        <w:shd w:val="clea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6.1.2评标委员会在开始评标前，应了解评标专家的职责及守则，认真阅读本章附件二《评标委员会成员声明》的内容并签名，签字后方可进行评标；</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评标委员会成员有下列情形之一的，应当回避：</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（1）投标人或投标人主要负责人的近亲属；</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（2）项目主管部门或者行政监督部门的人员；</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（3）与投标人有经济利益关系，可能影响对投标公正评审的；</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（4）曾因在招标、评标以及其他与招标投标有关活动中从事违法行为而受过行政处罚或刑事处罚的；</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（5）与投标人有其他利害关系。</w:t>
      </w:r>
    </w:p>
    <w:p>
      <w:pPr>
        <w:shd w:val="clea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6.1.</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hd w:val="clea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6.1.5</w:t>
      </w:r>
      <w:r>
        <w:rPr>
          <w:color w:val="000000" w:themeColor="text1"/>
          <w:highlight w:val="none"/>
          <w14:textFill>
            <w14:solidFill>
              <w14:schemeClr w14:val="tx1"/>
            </w14:solidFill>
          </w14:textFill>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4"/>
        <w:shd w:val="clear"/>
        <w:ind w:firstLine="482"/>
        <w:rPr>
          <w:color w:val="000000" w:themeColor="text1"/>
          <w:highlight w:val="none"/>
          <w14:textFill>
            <w14:solidFill>
              <w14:schemeClr w14:val="tx1"/>
            </w14:solidFill>
          </w14:textFill>
        </w:rPr>
      </w:pPr>
      <w:bookmarkStart w:id="117" w:name="_Toc35513463"/>
      <w:bookmarkStart w:id="118" w:name="_Toc152234251"/>
      <w:r>
        <w:rPr>
          <w:color w:val="000000" w:themeColor="text1"/>
          <w:highlight w:val="none"/>
          <w14:textFill>
            <w14:solidFill>
              <w14:schemeClr w14:val="tx1"/>
            </w14:solidFill>
          </w14:textFill>
        </w:rPr>
        <w:t>6.2 评标原则</w:t>
      </w:r>
      <w:bookmarkEnd w:id="117"/>
      <w:bookmarkEnd w:id="118"/>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bookmarkStart w:id="119" w:name="page32"/>
      <w:bookmarkEnd w:id="119"/>
      <w:r>
        <w:rPr>
          <w:color w:val="000000" w:themeColor="text1"/>
          <w:highlight w:val="none"/>
          <w14:textFill>
            <w14:solidFill>
              <w14:schemeClr w14:val="tx1"/>
            </w14:solidFill>
          </w14:textFill>
        </w:rPr>
        <w:t>标活动遵循公平、公正、科学和择优的原则。</w:t>
      </w:r>
    </w:p>
    <w:p>
      <w:pPr>
        <w:pStyle w:val="4"/>
        <w:shd w:val="clear"/>
        <w:ind w:firstLine="482"/>
        <w:rPr>
          <w:color w:val="000000" w:themeColor="text1"/>
          <w:highlight w:val="none"/>
          <w14:textFill>
            <w14:solidFill>
              <w14:schemeClr w14:val="tx1"/>
            </w14:solidFill>
          </w14:textFill>
        </w:rPr>
      </w:pPr>
      <w:bookmarkStart w:id="120" w:name="_Toc152234252"/>
      <w:bookmarkStart w:id="121" w:name="_Toc35513464"/>
      <w:r>
        <w:rPr>
          <w:color w:val="000000" w:themeColor="text1"/>
          <w:highlight w:val="none"/>
          <w14:textFill>
            <w14:solidFill>
              <w14:schemeClr w14:val="tx1"/>
            </w14:solidFill>
          </w14:textFill>
        </w:rPr>
        <w:t>6.3 评标</w:t>
      </w:r>
      <w:bookmarkEnd w:id="120"/>
      <w:bookmarkEnd w:id="121"/>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6.3.1 评标委员会按照第三章</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评标办法</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规定的方法、评审因素、标准和程序对投标文件进行评审。第三章“评标办法”没有规定的方法、评审因素和标准，不作为评标依据。</w:t>
      </w:r>
    </w:p>
    <w:p>
      <w:pPr>
        <w:shd w:val="clea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6.3.2 评标完成后，评标委员会应当向招标人提交书面评标报告和中标候选人名单。评标委员会推荐中标候选人的人数见投标人须知前附表。</w:t>
      </w:r>
    </w:p>
    <w:p>
      <w:pPr>
        <w:shd w:val="clear"/>
        <w:ind w:firstLine="364" w:firstLineChars="152"/>
        <w:rPr>
          <w:rFonts w:hAnsi="宋体"/>
          <w:color w:val="000000" w:themeColor="text1"/>
          <w:szCs w:val="24"/>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bookmarkStart w:id="122" w:name="_Toc152234253"/>
      <w:bookmarkStart w:id="123" w:name="_Toc35513465"/>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合同授予</w:t>
      </w:r>
      <w:bookmarkEnd w:id="122"/>
      <w:bookmarkEnd w:id="123"/>
    </w:p>
    <w:p>
      <w:pPr>
        <w:pStyle w:val="4"/>
        <w:shd w:val="clear"/>
        <w:ind w:firstLine="482"/>
        <w:rPr>
          <w:color w:val="000000" w:themeColor="text1"/>
          <w:highlight w:val="none"/>
          <w14:textFill>
            <w14:solidFill>
              <w14:schemeClr w14:val="tx1"/>
            </w14:solidFill>
          </w14:textFill>
        </w:rPr>
      </w:pPr>
      <w:bookmarkStart w:id="124" w:name="_Toc152234254"/>
      <w:bookmarkStart w:id="125" w:name="_Toc35513466"/>
      <w:r>
        <w:rPr>
          <w:color w:val="000000" w:themeColor="text1"/>
          <w:highlight w:val="none"/>
          <w14:textFill>
            <w14:solidFill>
              <w14:schemeClr w14:val="tx1"/>
            </w14:solidFill>
          </w14:textFill>
        </w:rPr>
        <w:t>7.1 中标候选人公示</w:t>
      </w:r>
      <w:bookmarkEnd w:id="124"/>
      <w:bookmarkEnd w:id="125"/>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招标人在收到评标报告之日起</w:t>
      </w:r>
      <w:r>
        <w:rPr>
          <w:bCs/>
          <w:color w:val="000000" w:themeColor="text1"/>
          <w:highlight w:val="none"/>
          <w14:textFill>
            <w14:solidFill>
              <w14:schemeClr w14:val="tx1"/>
            </w14:solidFill>
          </w14:textFill>
        </w:rPr>
        <w:t>3日内</w:t>
      </w:r>
      <w:r>
        <w:rPr>
          <w:color w:val="000000" w:themeColor="text1"/>
          <w:highlight w:val="none"/>
          <w14:textFill>
            <w14:solidFill>
              <w14:schemeClr w14:val="tx1"/>
            </w14:solidFill>
          </w14:textFill>
        </w:rPr>
        <w:t>，按照投标人须知前附表规定的公示媒介和期限公示中标候选人，公示期</w:t>
      </w:r>
      <w:r>
        <w:rPr>
          <w:bCs/>
          <w:color w:val="000000" w:themeColor="text1"/>
          <w:highlight w:val="none"/>
          <w14:textFill>
            <w14:solidFill>
              <w14:schemeClr w14:val="tx1"/>
            </w14:solidFill>
          </w14:textFill>
        </w:rPr>
        <w:t>不得少于3</w:t>
      </w:r>
      <w:r>
        <w:rPr>
          <w:rFonts w:hint="eastAsia"/>
          <w:bCs/>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w:t>
      </w:r>
    </w:p>
    <w:p>
      <w:pPr>
        <w:pStyle w:val="4"/>
        <w:shd w:val="clear"/>
        <w:ind w:firstLine="482"/>
        <w:rPr>
          <w:color w:val="000000" w:themeColor="text1"/>
          <w:highlight w:val="none"/>
          <w14:textFill>
            <w14:solidFill>
              <w14:schemeClr w14:val="tx1"/>
            </w14:solidFill>
          </w14:textFill>
        </w:rPr>
      </w:pPr>
      <w:bookmarkStart w:id="126" w:name="_Toc152234255"/>
      <w:bookmarkStart w:id="127" w:name="_Toc35513467"/>
      <w:r>
        <w:rPr>
          <w:color w:val="000000" w:themeColor="text1"/>
          <w:highlight w:val="none"/>
          <w14:textFill>
            <w14:solidFill>
              <w14:schemeClr w14:val="tx1"/>
            </w14:solidFill>
          </w14:textFill>
        </w:rPr>
        <w:t>7.2 评标结果异议</w:t>
      </w:r>
      <w:bookmarkEnd w:id="126"/>
      <w:bookmarkEnd w:id="127"/>
    </w:p>
    <w:p>
      <w:pPr>
        <w:shd w:val="clea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投标人或者其他利害关系人对评标结果有异议的，应当在中标候选人公示期间提出。招标人将在收到异议之日起 3 日内作出答复；作出答复前，将暂停招标投标活动。</w:t>
      </w:r>
    </w:p>
    <w:p>
      <w:pPr>
        <w:pStyle w:val="4"/>
        <w:shd w:val="clear"/>
        <w:ind w:firstLine="482"/>
        <w:rPr>
          <w:color w:val="000000" w:themeColor="text1"/>
          <w:highlight w:val="none"/>
          <w14:textFill>
            <w14:solidFill>
              <w14:schemeClr w14:val="tx1"/>
            </w14:solidFill>
          </w14:textFill>
        </w:rPr>
      </w:pPr>
      <w:bookmarkStart w:id="128" w:name="_Toc35513468"/>
      <w:bookmarkStart w:id="129" w:name="_Toc152234256"/>
      <w:r>
        <w:rPr>
          <w:color w:val="000000" w:themeColor="text1"/>
          <w:highlight w:val="none"/>
          <w14:textFill>
            <w14:solidFill>
              <w14:schemeClr w14:val="tx1"/>
            </w14:solidFill>
          </w14:textFill>
        </w:rPr>
        <w:t>7.3 中标候选人履约能力审查</w:t>
      </w:r>
      <w:bookmarkEnd w:id="128"/>
      <w:bookmarkEnd w:id="129"/>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pStyle w:val="4"/>
        <w:shd w:val="clear"/>
        <w:ind w:firstLine="482"/>
        <w:rPr>
          <w:color w:val="000000" w:themeColor="text1"/>
          <w:highlight w:val="none"/>
          <w14:textFill>
            <w14:solidFill>
              <w14:schemeClr w14:val="tx1"/>
            </w14:solidFill>
          </w14:textFill>
        </w:rPr>
      </w:pPr>
      <w:bookmarkStart w:id="130" w:name="_Toc35513469"/>
      <w:bookmarkStart w:id="131" w:name="_Toc152234257"/>
      <w:r>
        <w:rPr>
          <w:color w:val="000000" w:themeColor="text1"/>
          <w:highlight w:val="none"/>
          <w14:textFill>
            <w14:solidFill>
              <w14:schemeClr w14:val="tx1"/>
            </w14:solidFill>
          </w14:textFill>
        </w:rPr>
        <w:t>7.4 定标</w:t>
      </w:r>
      <w:bookmarkEnd w:id="130"/>
      <w:bookmarkEnd w:id="131"/>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按照投标人须知前附表的规定，招标人或招标人授权的评标委员会依法确定中标人。</w:t>
      </w:r>
    </w:p>
    <w:p>
      <w:pPr>
        <w:pStyle w:val="4"/>
        <w:shd w:val="clear"/>
        <w:ind w:firstLine="482"/>
        <w:rPr>
          <w:color w:val="000000" w:themeColor="text1"/>
          <w:highlight w:val="none"/>
          <w14:textFill>
            <w14:solidFill>
              <w14:schemeClr w14:val="tx1"/>
            </w14:solidFill>
          </w14:textFill>
        </w:rPr>
      </w:pPr>
      <w:bookmarkStart w:id="132" w:name="_Toc35513470"/>
      <w:bookmarkStart w:id="133" w:name="_Toc152234258"/>
      <w:r>
        <w:rPr>
          <w:color w:val="000000" w:themeColor="text1"/>
          <w:highlight w:val="none"/>
          <w14:textFill>
            <w14:solidFill>
              <w14:schemeClr w14:val="tx1"/>
            </w14:solidFill>
          </w14:textFill>
        </w:rPr>
        <w:t>7.5 中标通知</w:t>
      </w:r>
      <w:bookmarkEnd w:id="132"/>
      <w:bookmarkEnd w:id="133"/>
    </w:p>
    <w:p>
      <w:pPr>
        <w:shd w:val="clear"/>
        <w:ind w:firstLine="480"/>
        <w:rPr>
          <w:bCs/>
          <w:color w:val="000000" w:themeColor="text1"/>
          <w:highlight w:val="none"/>
          <w:u w:val="single"/>
          <w14:textFill>
            <w14:solidFill>
              <w14:schemeClr w14:val="tx1"/>
            </w14:solidFill>
          </w14:textFill>
        </w:rPr>
      </w:pPr>
      <w:bookmarkStart w:id="134" w:name="_Toc152234259"/>
      <w:r>
        <w:rPr>
          <w:rFonts w:hint="eastAsia"/>
          <w:bCs/>
          <w:color w:val="000000" w:themeColor="text1"/>
          <w:highlight w:val="none"/>
          <w:u w:val="single"/>
          <w14:textFill>
            <w14:solidFill>
              <w14:schemeClr w14:val="tx1"/>
            </w14:solidFill>
          </w14:textFill>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w:t>
      </w:r>
      <w:bookmarkEnd w:id="134"/>
    </w:p>
    <w:p>
      <w:pPr>
        <w:pStyle w:val="4"/>
        <w:shd w:val="clear"/>
        <w:ind w:firstLine="482"/>
        <w:rPr>
          <w:color w:val="000000" w:themeColor="text1"/>
          <w:highlight w:val="none"/>
          <w14:textFill>
            <w14:solidFill>
              <w14:schemeClr w14:val="tx1"/>
            </w14:solidFill>
          </w14:textFill>
        </w:rPr>
      </w:pPr>
      <w:bookmarkStart w:id="135" w:name="_Toc35513471"/>
      <w:bookmarkStart w:id="136" w:name="_Toc152234260"/>
      <w:r>
        <w:rPr>
          <w:color w:val="000000" w:themeColor="text1"/>
          <w:highlight w:val="none"/>
          <w14:textFill>
            <w14:solidFill>
              <w14:schemeClr w14:val="tx1"/>
            </w14:solidFill>
          </w14:textFill>
        </w:rPr>
        <w:t>7.6 履约保证金</w:t>
      </w:r>
      <w:bookmarkEnd w:id="135"/>
      <w:bookmarkEnd w:id="136"/>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7.6.1中标人应按投标人须知</w:t>
      </w:r>
      <w:bookmarkStart w:id="137" w:name="page33"/>
      <w:bookmarkEnd w:id="137"/>
      <w:r>
        <w:rPr>
          <w:color w:val="000000" w:themeColor="text1"/>
          <w:highlight w:val="none"/>
          <w14:textFill>
            <w14:solidFill>
              <w14:schemeClr w14:val="tx1"/>
            </w14:solidFill>
          </w14:textFill>
        </w:rPr>
        <w:t>前附表规定的形式、金额和招标文件第四章</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合同条款及格式</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规定的或者事先经过招标人书面认可的履约保证金格式向招标人提交履约保证金。除投标人须知前附表另有规定外，履约保证金为中标合同金额的</w:t>
      </w:r>
      <w:r>
        <w:rPr>
          <w:color w:val="000000" w:themeColor="text1"/>
          <w:highlight w:val="none"/>
          <w:u w:val="single"/>
          <w14:textFill>
            <w14:solidFill>
              <w14:schemeClr w14:val="tx1"/>
            </w14:solidFill>
          </w14:textFill>
        </w:rPr>
        <w:t>10</w:t>
      </w:r>
      <w:r>
        <w:rPr>
          <w:color w:val="000000" w:themeColor="text1"/>
          <w:highlight w:val="none"/>
          <w14:textFill>
            <w14:solidFill>
              <w14:schemeClr w14:val="tx1"/>
            </w14:solidFill>
          </w14:textFill>
        </w:rPr>
        <w:t>%。</w:t>
      </w:r>
    </w:p>
    <w:p>
      <w:pPr>
        <w:pStyle w:val="14"/>
        <w:shd w:val="clear"/>
        <w:ind w:firstLine="480"/>
        <w:rPr>
          <w:rFonts w:hint="eastAsia" w:hAnsi="Times New Roman" w:eastAsia="宋体"/>
          <w:color w:val="000000" w:themeColor="text1"/>
          <w:sz w:val="24"/>
          <w:highlight w:val="none"/>
          <w14:textFill>
            <w14:solidFill>
              <w14:schemeClr w14:val="tx1"/>
            </w14:solidFill>
          </w14:textFill>
        </w:rPr>
      </w:pPr>
      <w:r>
        <w:rPr>
          <w:rFonts w:hint="eastAsia" w:hAnsi="Times New Roman" w:eastAsia="宋体"/>
          <w:color w:val="000000" w:themeColor="text1"/>
          <w:sz w:val="24"/>
          <w:highlight w:val="none"/>
          <w14:textFill>
            <w14:solidFill>
              <w14:schemeClr w14:val="tx1"/>
            </w14:solidFill>
          </w14:textFill>
        </w:rPr>
        <w:t>7.6.2中标人不能按本章第7.6.1项要求提交履约保证金的，视为放弃中标，其投标保证金不予退还，给招标人造成的损失超过投标保证金数额的，中标人还应当对超过部分予以赔偿。</w:t>
      </w:r>
    </w:p>
    <w:p>
      <w:pPr>
        <w:pStyle w:val="4"/>
        <w:shd w:val="clear"/>
        <w:ind w:firstLine="482"/>
        <w:rPr>
          <w:rFonts w:hint="eastAsia"/>
          <w:color w:val="000000" w:themeColor="text1"/>
          <w:highlight w:val="none"/>
          <w14:textFill>
            <w14:solidFill>
              <w14:schemeClr w14:val="tx1"/>
            </w14:solidFill>
          </w14:textFill>
        </w:rPr>
      </w:pPr>
      <w:bookmarkStart w:id="138" w:name="_Toc35513472"/>
      <w:bookmarkStart w:id="139" w:name="_Toc152234261"/>
      <w:r>
        <w:rPr>
          <w:color w:val="000000" w:themeColor="text1"/>
          <w:highlight w:val="none"/>
          <w14:textFill>
            <w14:solidFill>
              <w14:schemeClr w14:val="tx1"/>
            </w14:solidFill>
          </w14:textFill>
        </w:rPr>
        <w:t>7.7 签订合同</w:t>
      </w:r>
      <w:bookmarkEnd w:id="138"/>
      <w:bookmarkEnd w:id="139"/>
    </w:p>
    <w:p>
      <w:pPr>
        <w:pStyle w:val="14"/>
        <w:shd w:val="clear"/>
        <w:ind w:firstLine="480"/>
        <w:rPr>
          <w:rFonts w:hint="eastAsia" w:hAnsi="Times New Roman" w:eastAsia="宋体"/>
          <w:color w:val="000000" w:themeColor="text1"/>
          <w:sz w:val="24"/>
          <w:highlight w:val="none"/>
          <w14:textFill>
            <w14:solidFill>
              <w14:schemeClr w14:val="tx1"/>
            </w14:solidFill>
          </w14:textFill>
        </w:rPr>
      </w:pPr>
      <w:r>
        <w:rPr>
          <w:rFonts w:hint="eastAsia" w:hAnsi="Times New Roman" w:eastAsia="宋体"/>
          <w:color w:val="000000" w:themeColor="text1"/>
          <w:sz w:val="24"/>
          <w:highlight w:val="none"/>
          <w14:textFill>
            <w14:solidFill>
              <w14:schemeClr w14:val="tx1"/>
            </w14:solidFill>
          </w14:textFill>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4"/>
        <w:shd w:val="clear"/>
        <w:ind w:firstLine="480"/>
        <w:rPr>
          <w:rFonts w:hint="eastAsia" w:hAnsi="Times New Roman" w:eastAsia="宋体"/>
          <w:color w:val="000000" w:themeColor="text1"/>
          <w:sz w:val="24"/>
          <w:highlight w:val="none"/>
          <w14:textFill>
            <w14:solidFill>
              <w14:schemeClr w14:val="tx1"/>
            </w14:solidFill>
          </w14:textFill>
        </w:rPr>
      </w:pPr>
      <w:r>
        <w:rPr>
          <w:rFonts w:hint="eastAsia" w:hAnsi="Times New Roman" w:eastAsia="宋体"/>
          <w:color w:val="000000" w:themeColor="text1"/>
          <w:sz w:val="24"/>
          <w:highlight w:val="none"/>
          <w14:textFill>
            <w14:solidFill>
              <w14:schemeClr w14:val="tx1"/>
            </w14:solidFill>
          </w14:textFill>
        </w:rPr>
        <w:t>7.7.2发出中标通知书后，招标人无正当理由拒签合同，或者在签订合同时向中标人提出附加条件的，</w:t>
      </w:r>
      <w:r>
        <w:rPr>
          <w:rFonts w:hint="eastAsia" w:hAnsi="Times New Roman" w:eastAsia="宋体"/>
          <w:strike/>
          <w:color w:val="000000" w:themeColor="text1"/>
          <w:sz w:val="24"/>
          <w:highlight w:val="none"/>
          <w14:textFill>
            <w14:solidFill>
              <w14:schemeClr w14:val="tx1"/>
            </w14:solidFill>
          </w14:textFill>
        </w:rPr>
        <w:t>招标人向中标人退还投标保证金；</w:t>
      </w:r>
      <w:r>
        <w:rPr>
          <w:rFonts w:hint="eastAsia" w:hAnsi="Times New Roman" w:eastAsia="宋体"/>
          <w:color w:val="000000" w:themeColor="text1"/>
          <w:sz w:val="24"/>
          <w:highlight w:val="none"/>
          <w14:textFill>
            <w14:solidFill>
              <w14:schemeClr w14:val="tx1"/>
            </w14:solidFill>
          </w14:textFill>
        </w:rPr>
        <w:t>给中标人造成损失的，还应当赔偿损失。</w:t>
      </w:r>
    </w:p>
    <w:p>
      <w:pPr>
        <w:shd w:val="clear"/>
        <w:ind w:firstLine="364" w:firstLineChars="152"/>
        <w:rPr>
          <w:rFonts w:hAnsi="宋体"/>
          <w:strike/>
          <w:color w:val="000000" w:themeColor="text1"/>
          <w:szCs w:val="24"/>
          <w:highlight w:val="none"/>
          <w14:textFill>
            <w14:solidFill>
              <w14:schemeClr w14:val="tx1"/>
            </w14:solidFill>
          </w14:textFill>
        </w:rPr>
      </w:pPr>
      <w:r>
        <w:rPr>
          <w:rFonts w:hint="eastAsia"/>
          <w:strike/>
          <w:color w:val="000000" w:themeColor="text1"/>
          <w:highlight w:val="none"/>
          <w14:textFill>
            <w14:solidFill>
              <w14:schemeClr w14:val="tx1"/>
            </w14:solidFill>
          </w14:textFill>
        </w:rPr>
        <w:t>7.7.3联合体中标的，联合体各方应当共同与招标人签订合同，就中标项目向招标人承担连带责任。</w:t>
      </w:r>
    </w:p>
    <w:p>
      <w:pPr>
        <w:pStyle w:val="2"/>
        <w:shd w:val="clear"/>
        <w:rPr>
          <w:color w:val="000000" w:themeColor="text1"/>
          <w:highlight w:val="none"/>
          <w14:textFill>
            <w14:solidFill>
              <w14:schemeClr w14:val="tx1"/>
            </w14:solidFill>
          </w14:textFill>
        </w:rPr>
      </w:pPr>
      <w:bookmarkStart w:id="140" w:name="_Toc152234262"/>
      <w:bookmarkStart w:id="141" w:name="_Toc35513473"/>
      <w:r>
        <w:rPr>
          <w:color w:val="000000" w:themeColor="text1"/>
          <w:highlight w:val="none"/>
          <w14:textFill>
            <w14:solidFill>
              <w14:schemeClr w14:val="tx1"/>
            </w14:solidFill>
          </w14:textFill>
        </w:rPr>
        <w:t>8.纪律和监督</w:t>
      </w:r>
      <w:bookmarkEnd w:id="140"/>
      <w:bookmarkEnd w:id="141"/>
    </w:p>
    <w:p>
      <w:pPr>
        <w:pStyle w:val="4"/>
        <w:shd w:val="clear"/>
        <w:ind w:firstLine="482"/>
        <w:rPr>
          <w:color w:val="000000" w:themeColor="text1"/>
          <w:highlight w:val="none"/>
          <w14:textFill>
            <w14:solidFill>
              <w14:schemeClr w14:val="tx1"/>
            </w14:solidFill>
          </w14:textFill>
        </w:rPr>
      </w:pPr>
      <w:bookmarkStart w:id="142" w:name="_Toc35513474"/>
      <w:bookmarkStart w:id="143" w:name="_Toc152234263"/>
      <w:r>
        <w:rPr>
          <w:color w:val="000000" w:themeColor="text1"/>
          <w:highlight w:val="none"/>
          <w14:textFill>
            <w14:solidFill>
              <w14:schemeClr w14:val="tx1"/>
            </w14:solidFill>
          </w14:textFill>
        </w:rPr>
        <w:t>8.1 对招标人的纪律要求</w:t>
      </w:r>
      <w:bookmarkEnd w:id="142"/>
      <w:bookmarkEnd w:id="143"/>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招标人不得泄露招标投标活动中应当保密的情况和资料，不得与投标人串通损害国家利益、社会公共利益或者他人合法权益。</w:t>
      </w:r>
    </w:p>
    <w:p>
      <w:pPr>
        <w:pStyle w:val="4"/>
        <w:shd w:val="clear"/>
        <w:ind w:firstLine="482"/>
        <w:rPr>
          <w:color w:val="000000" w:themeColor="text1"/>
          <w:highlight w:val="none"/>
          <w14:textFill>
            <w14:solidFill>
              <w14:schemeClr w14:val="tx1"/>
            </w14:solidFill>
          </w14:textFill>
        </w:rPr>
      </w:pPr>
      <w:bookmarkStart w:id="144" w:name="_Toc152234264"/>
      <w:bookmarkStart w:id="145" w:name="_Toc35513475"/>
      <w:r>
        <w:rPr>
          <w:color w:val="000000" w:themeColor="text1"/>
          <w:highlight w:val="none"/>
          <w14:textFill>
            <w14:solidFill>
              <w14:schemeClr w14:val="tx1"/>
            </w14:solidFill>
          </w14:textFill>
        </w:rPr>
        <w:t>8.2 对投标人的纪律要求</w:t>
      </w:r>
      <w:bookmarkEnd w:id="144"/>
      <w:bookmarkEnd w:id="145"/>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hd w:val="clear"/>
        <w:ind w:firstLine="482"/>
        <w:rPr>
          <w:color w:val="000000" w:themeColor="text1"/>
          <w:highlight w:val="none"/>
          <w14:textFill>
            <w14:solidFill>
              <w14:schemeClr w14:val="tx1"/>
            </w14:solidFill>
          </w14:textFill>
        </w:rPr>
      </w:pPr>
      <w:bookmarkStart w:id="146" w:name="_Toc35513476"/>
      <w:bookmarkStart w:id="147" w:name="_Toc152234265"/>
      <w:r>
        <w:rPr>
          <w:color w:val="000000" w:themeColor="text1"/>
          <w:highlight w:val="none"/>
          <w14:textFill>
            <w14:solidFill>
              <w14:schemeClr w14:val="tx1"/>
            </w14:solidFill>
          </w14:textFill>
        </w:rPr>
        <w:t>8.3 对评标委员会成员的纪律要求</w:t>
      </w:r>
      <w:bookmarkEnd w:id="146"/>
      <w:bookmarkEnd w:id="147"/>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w:t>
      </w:r>
      <w:bookmarkStart w:id="148" w:name="page34"/>
      <w:bookmarkEnd w:id="148"/>
      <w:r>
        <w:rPr>
          <w:color w:val="000000" w:themeColor="text1"/>
          <w:highlight w:val="none"/>
          <w14:textFill>
            <w14:solidFill>
              <w14:schemeClr w14:val="tx1"/>
            </w14:solidFill>
          </w14:textFill>
        </w:rPr>
        <w:t>擅离职守，影响评标程序正常进行，不得使用第三章</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评标办法</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没有规定的评审因素和标准进行评标。</w:t>
      </w:r>
    </w:p>
    <w:p>
      <w:pPr>
        <w:pStyle w:val="4"/>
        <w:shd w:val="clear"/>
        <w:ind w:firstLine="482"/>
        <w:rPr>
          <w:color w:val="000000" w:themeColor="text1"/>
          <w:highlight w:val="none"/>
          <w14:textFill>
            <w14:solidFill>
              <w14:schemeClr w14:val="tx1"/>
            </w14:solidFill>
          </w14:textFill>
        </w:rPr>
      </w:pPr>
      <w:bookmarkStart w:id="149" w:name="_Toc35513477"/>
      <w:bookmarkStart w:id="150" w:name="_Toc152234266"/>
      <w:r>
        <w:rPr>
          <w:color w:val="000000" w:themeColor="text1"/>
          <w:highlight w:val="none"/>
          <w14:textFill>
            <w14:solidFill>
              <w14:schemeClr w14:val="tx1"/>
            </w14:solidFill>
          </w14:textFill>
        </w:rPr>
        <w:t>8.4 对与评标活动有关的工作人员的纪律要求</w:t>
      </w:r>
      <w:bookmarkEnd w:id="149"/>
      <w:bookmarkEnd w:id="150"/>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shd w:val="clear"/>
        <w:ind w:firstLine="482"/>
        <w:rPr>
          <w:color w:val="000000" w:themeColor="text1"/>
          <w:highlight w:val="none"/>
          <w14:textFill>
            <w14:solidFill>
              <w14:schemeClr w14:val="tx1"/>
            </w14:solidFill>
          </w14:textFill>
        </w:rPr>
      </w:pPr>
      <w:bookmarkStart w:id="151" w:name="_Toc152234267"/>
      <w:bookmarkStart w:id="152" w:name="_Toc35513478"/>
      <w:r>
        <w:rPr>
          <w:color w:val="000000" w:themeColor="text1"/>
          <w:highlight w:val="none"/>
          <w14:textFill>
            <w14:solidFill>
              <w14:schemeClr w14:val="tx1"/>
            </w14:solidFill>
          </w14:textFill>
        </w:rPr>
        <w:t>8.5 投诉</w:t>
      </w:r>
      <w:bookmarkEnd w:id="151"/>
      <w:bookmarkEnd w:id="152"/>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8.5.1 投标人或者其他利害关系人认为招标投标活动不符合法律、行政法规规定的，可以自知道或者应当知道之日起 10 日内向有关监督部门投诉。投诉应当有明确的请求和必要的证明材料。</w:t>
      </w: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8.5.2 投标人或者其他利害关系人对招标文件、开标和评标结果提出投诉的，应当按照投标人须知第 2.4 款、第 5.3 款和第 7.2 款的规定先向招标人提出异议。异议答复期间不计算在第8.5.1项规定的期限内。</w:t>
      </w:r>
    </w:p>
    <w:p>
      <w:pPr>
        <w:pStyle w:val="2"/>
        <w:shd w:val="clear"/>
        <w:rPr>
          <w:color w:val="000000" w:themeColor="text1"/>
          <w:highlight w:val="none"/>
          <w14:textFill>
            <w14:solidFill>
              <w14:schemeClr w14:val="tx1"/>
            </w14:solidFill>
          </w14:textFill>
        </w:rPr>
      </w:pPr>
      <w:bookmarkStart w:id="153" w:name="_Toc152234268"/>
      <w:bookmarkStart w:id="154" w:name="_Toc35513479"/>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是否采用电子招标投标</w:t>
      </w:r>
      <w:bookmarkEnd w:id="153"/>
      <w:bookmarkEnd w:id="154"/>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本招标项目是否采用电子招标投标方式，见投标人须知前附表。</w:t>
      </w:r>
    </w:p>
    <w:p>
      <w:pPr>
        <w:pStyle w:val="2"/>
        <w:shd w:val="clear"/>
        <w:rPr>
          <w:rFonts w:hint="eastAsia"/>
          <w:color w:val="000000" w:themeColor="text1"/>
          <w:highlight w:val="none"/>
          <w14:textFill>
            <w14:solidFill>
              <w14:schemeClr w14:val="tx1"/>
            </w14:solidFill>
          </w14:textFill>
        </w:rPr>
      </w:pPr>
      <w:bookmarkStart w:id="155" w:name="_Toc35513480"/>
      <w:bookmarkStart w:id="156" w:name="_Toc152234269"/>
      <w:r>
        <w:rPr>
          <w:rFonts w:hint="eastAsia"/>
          <w:color w:val="000000" w:themeColor="text1"/>
          <w:highlight w:val="none"/>
          <w14:textFill>
            <w14:solidFill>
              <w14:schemeClr w14:val="tx1"/>
            </w14:solidFill>
          </w14:textFill>
        </w:rPr>
        <w:t xml:space="preserve">10. </w:t>
      </w:r>
      <w:r>
        <w:rPr>
          <w:color w:val="000000" w:themeColor="text1"/>
          <w:highlight w:val="none"/>
          <w14:textFill>
            <w14:solidFill>
              <w14:schemeClr w14:val="tx1"/>
            </w14:solidFill>
          </w14:textFill>
        </w:rPr>
        <w:t>需要补充的其他内容</w:t>
      </w:r>
      <w:bookmarkEnd w:id="155"/>
      <w:bookmarkEnd w:id="156"/>
    </w:p>
    <w:p>
      <w:pPr>
        <w:shd w:val="clear"/>
        <w:ind w:firstLine="480"/>
        <w:rPr>
          <w:color w:val="000000" w:themeColor="text1"/>
          <w:highlight w:val="none"/>
          <w14:textFill>
            <w14:solidFill>
              <w14:schemeClr w14:val="tx1"/>
            </w14:solidFill>
          </w14:textFill>
        </w:rPr>
      </w:pPr>
      <w:bookmarkStart w:id="157" w:name="page35"/>
      <w:bookmarkEnd w:id="157"/>
      <w:r>
        <w:rPr>
          <w:color w:val="000000" w:themeColor="text1"/>
          <w:highlight w:val="none"/>
          <w14:textFill>
            <w14:solidFill>
              <w14:schemeClr w14:val="tx1"/>
            </w14:solidFill>
          </w14:textFill>
        </w:rPr>
        <w:t>要补充的其他内容：见投标人须知前附表。</w:t>
      </w:r>
    </w:p>
    <w:p>
      <w:pPr>
        <w:pStyle w:val="2"/>
        <w:shd w:val="clear"/>
        <w:rPr>
          <w:color w:val="000000" w:themeColor="text1"/>
          <w:highlight w:val="none"/>
          <w14:textFill>
            <w14:solidFill>
              <w14:schemeClr w14:val="tx1"/>
            </w14:solidFill>
          </w14:textFill>
        </w:rPr>
      </w:pPr>
      <w:bookmarkStart w:id="158" w:name="_Toc19884"/>
      <w:bookmarkStart w:id="159" w:name="_Toc35513481"/>
      <w:bookmarkStart w:id="160" w:name="_Toc152234270"/>
      <w:bookmarkStart w:id="161" w:name="_Toc21827"/>
      <w:bookmarkStart w:id="162" w:name="_Toc534882199"/>
      <w:bookmarkStart w:id="163" w:name="_Toc26773"/>
      <w:r>
        <w:rPr>
          <w:rFonts w:hint="eastAsia"/>
          <w:color w:val="000000" w:themeColor="text1"/>
          <w:highlight w:val="none"/>
          <w14:textFill>
            <w14:solidFill>
              <w14:schemeClr w14:val="tx1"/>
            </w14:solidFill>
          </w14:textFill>
        </w:rPr>
        <w:t>附件一：开标记录表</w:t>
      </w:r>
      <w:bookmarkEnd w:id="158"/>
      <w:bookmarkEnd w:id="159"/>
      <w:bookmarkEnd w:id="160"/>
      <w:bookmarkEnd w:id="161"/>
      <w:bookmarkEnd w:id="162"/>
      <w:bookmarkEnd w:id="163"/>
    </w:p>
    <w:p>
      <w:pPr>
        <w:shd w:val="clear"/>
        <w:ind w:firstLine="643"/>
        <w:jc w:val="center"/>
        <w:rPr>
          <w:rFonts w:hint="eastAsia"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 xml:space="preserve">开标记录表（以交易中心系统最终导出的为准） </w:t>
      </w:r>
    </w:p>
    <w:p>
      <w:pPr>
        <w:shd w:val="clear"/>
        <w:ind w:right="480" w:firstLine="199" w:firstLineChars="83"/>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开标时间：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时</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分</w:t>
      </w:r>
    </w:p>
    <w:tbl>
      <w:tblPr>
        <w:tblStyle w:val="29"/>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881"/>
        <w:gridCol w:w="952"/>
        <w:gridCol w:w="1084"/>
        <w:gridCol w:w="1024"/>
        <w:gridCol w:w="821"/>
        <w:gridCol w:w="821"/>
        <w:gridCol w:w="1088"/>
        <w:gridCol w:w="576"/>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w:t>
            </w: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投标文件递交</w:t>
            </w: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解密情况</w:t>
            </w: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投标报价（</w:t>
            </w:r>
            <w:r>
              <w:rPr>
                <w:rFonts w:hint="eastAsia" w:hAnsi="宋体" w:cs="宋体"/>
                <w:color w:val="000000" w:themeColor="text1"/>
                <w:sz w:val="21"/>
                <w:szCs w:val="21"/>
                <w:highlight w:val="none"/>
                <w:lang w:val="en-US" w:eastAsia="zh-CN"/>
                <w14:textFill>
                  <w14:solidFill>
                    <w14:schemeClr w14:val="tx1"/>
                  </w14:solidFill>
                </w14:textFill>
              </w:rPr>
              <w:t>万</w:t>
            </w:r>
            <w:r>
              <w:rPr>
                <w:rFonts w:hint="eastAsia" w:hAnsi="宋体" w:cs="宋体"/>
                <w:color w:val="000000" w:themeColor="text1"/>
                <w:sz w:val="21"/>
                <w:szCs w:val="21"/>
                <w:highlight w:val="none"/>
                <w14:textFill>
                  <w14:solidFill>
                    <w14:schemeClr w14:val="tx1"/>
                  </w14:solidFill>
                </w14:textFill>
              </w:rPr>
              <w:t>元）</w:t>
            </w: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含税综合包干单价投标报价（</w:t>
            </w:r>
            <w:r>
              <w:rPr>
                <w:rFonts w:hint="eastAsia" w:ascii="宋体" w:hAnsi="宋体" w:eastAsia="宋体" w:cs="宋体"/>
                <w:b/>
                <w:color w:val="000000" w:themeColor="text1"/>
                <w:sz w:val="22"/>
                <w:szCs w:val="20"/>
                <w:highlight w:val="none"/>
                <w:lang w:val="en-US" w:eastAsia="zh-CN" w:bidi="ar"/>
                <w14:textFill>
                  <w14:solidFill>
                    <w14:schemeClr w14:val="tx1"/>
                  </w14:solidFill>
                </w14:textFill>
              </w:rPr>
              <w:t>元/m</w:t>
            </w:r>
            <w:r>
              <w:rPr>
                <w:rFonts w:hint="eastAsia" w:ascii="宋体" w:hAnsi="宋体" w:eastAsia="宋体" w:cs="宋体"/>
                <w:b/>
                <w:color w:val="000000" w:themeColor="text1"/>
                <w:sz w:val="22"/>
                <w:szCs w:val="20"/>
                <w:highlight w:val="none"/>
                <w:vertAlign w:val="superscript"/>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项目负责人</w:t>
            </w: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服务期限</w:t>
            </w: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备注</w:t>
            </w: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8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952"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2394" w:type="dxa"/>
            <w:gridSpan w:val="3"/>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最高投标限价：</w:t>
            </w:r>
          </w:p>
        </w:tc>
        <w:tc>
          <w:tcPr>
            <w:tcW w:w="108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24"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821"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88"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576"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c>
          <w:tcPr>
            <w:tcW w:w="1019" w:type="dxa"/>
            <w:vAlign w:val="center"/>
          </w:tcPr>
          <w:p>
            <w:pPr>
              <w:keepNext w:val="0"/>
              <w:keepLines w:val="0"/>
              <w:widowControl/>
              <w:suppressLineNumbers w:val="0"/>
              <w:shd w:val="clear"/>
              <w:adjustRightInd w:val="0"/>
              <w:snapToGrid w:val="0"/>
              <w:spacing w:before="0" w:beforeAutospacing="0" w:after="0" w:afterAutospacing="0" w:line="240" w:lineRule="auto"/>
              <w:ind w:left="0" w:right="0" w:firstLine="420"/>
              <w:rPr>
                <w:rFonts w:hint="eastAsia" w:hAnsi="宋体" w:cs="宋体"/>
                <w:color w:val="000000" w:themeColor="text1"/>
                <w:sz w:val="21"/>
                <w:szCs w:val="21"/>
                <w:highlight w:val="none"/>
                <w14:textFill>
                  <w14:solidFill>
                    <w14:schemeClr w14:val="tx1"/>
                  </w14:solidFill>
                </w14:textFill>
              </w:rPr>
            </w:pPr>
          </w:p>
        </w:tc>
      </w:tr>
    </w:tbl>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招标人代表：</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 xml:space="preserve">         记录人：</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 xml:space="preserve">         监标人：</w:t>
      </w:r>
      <w:r>
        <w:rPr>
          <w:rFonts w:hint="eastAsia" w:hAnsi="宋体"/>
          <w:color w:val="000000" w:themeColor="text1"/>
          <w:highlight w:val="none"/>
          <w:u w:val="single"/>
          <w14:textFill>
            <w14:solidFill>
              <w14:schemeClr w14:val="tx1"/>
            </w14:solidFill>
          </w14:textFill>
        </w:rPr>
        <w:t xml:space="preserve">          </w:t>
      </w:r>
    </w:p>
    <w:p>
      <w:pPr>
        <w:shd w:val="clear"/>
        <w:ind w:firstLine="480"/>
        <w:jc w:val="right"/>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pPr>
        <w:shd w:val="clear"/>
        <w:ind w:left="480" w:firstLine="0" w:firstLineChars="0"/>
        <w:rPr>
          <w:color w:val="000000" w:themeColor="text1"/>
          <w:highlight w:val="none"/>
          <w14:textFill>
            <w14:solidFill>
              <w14:schemeClr w14:val="tx1"/>
            </w14:solidFill>
          </w14:textFill>
        </w:rPr>
      </w:pPr>
      <w:bookmarkStart w:id="164" w:name="_Toc19316"/>
      <w:bookmarkStart w:id="165" w:name="_Toc534882200"/>
      <w:bookmarkStart w:id="166" w:name="_Toc14184"/>
      <w:bookmarkStart w:id="167" w:name="_Toc17155"/>
    </w:p>
    <w:p>
      <w:pPr>
        <w:shd w:val="clear"/>
        <w:ind w:left="480"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本表仅供参考，具体以开标时的开标记录表为准。</w:t>
      </w:r>
    </w:p>
    <w:p>
      <w:pPr>
        <w:shd w:val="clear"/>
        <w:spacing w:line="240" w:lineRule="auto"/>
        <w:ind w:right="-20" w:firstLine="0" w:firstLineChars="0"/>
        <w:jc w:val="left"/>
        <w:rPr>
          <w:rFonts w:hint="eastAsia" w:hAnsi="宋体" w:cs="宋体"/>
          <w:color w:val="000000" w:themeColor="text1"/>
          <w:szCs w:val="24"/>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bookmarkStart w:id="168" w:name="_Toc35513482"/>
      <w:r>
        <w:rPr>
          <w:rFonts w:hint="eastAsia" w:hAnsi="Cambria"/>
          <w:b/>
          <w:bCs/>
          <w:color w:val="000000" w:themeColor="text1"/>
          <w:szCs w:val="32"/>
          <w:highlight w:val="none"/>
          <w14:textFill>
            <w14:solidFill>
              <w14:schemeClr w14:val="tx1"/>
            </w14:solidFill>
          </w14:textFill>
        </w:rPr>
        <w:t>附件二：评标委员会成员声明</w:t>
      </w:r>
    </w:p>
    <w:p>
      <w:pPr>
        <w:pStyle w:val="26"/>
        <w:widowControl w:val="0"/>
        <w:shd w:val="clear"/>
        <w:spacing w:line="240" w:lineRule="auto"/>
        <w:ind w:firstLine="643"/>
        <w:jc w:val="center"/>
        <w:rPr>
          <w:rFonts w:hint="eastAsia" w:hAnsi="宋体" w:cs="宋体"/>
          <w:b/>
          <w:bCs/>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评标委员会成员声明</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 xml:space="preserve">   本项目招标人  </w:t>
      </w:r>
      <w:r>
        <w:rPr>
          <w:rFonts w:hint="eastAsia" w:hAnsi="宋体" w:cs="宋体"/>
          <w:color w:val="000000" w:themeColor="text1"/>
          <w:szCs w:val="24"/>
          <w:highlight w:val="none"/>
          <w14:textFill>
            <w14:solidFill>
              <w14:schemeClr w14:val="tx1"/>
            </w14:solidFill>
          </w14:textFill>
        </w:rPr>
        <w:t>：</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本人就参与</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项目的评标工作，作出郑重声明：</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pStyle w:val="26"/>
        <w:widowControl w:val="0"/>
        <w:shd w:val="clear"/>
        <w:ind w:firstLine="48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如果本人违反上述声明内容，造成的后果由本人自行承担。</w:t>
      </w:r>
    </w:p>
    <w:p>
      <w:pPr>
        <w:pStyle w:val="26"/>
        <w:widowControl w:val="0"/>
        <w:shd w:val="clear"/>
        <w:ind w:firstLine="480"/>
        <w:jc w:val="both"/>
        <w:rPr>
          <w:rFonts w:hint="eastAsia" w:hAnsi="宋体" w:cs="宋体"/>
          <w:color w:val="000000" w:themeColor="text1"/>
          <w:szCs w:val="24"/>
          <w:highlight w:val="none"/>
          <w:u w:val="singl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声明人：</w:t>
      </w:r>
      <w:r>
        <w:rPr>
          <w:rFonts w:hint="eastAsia" w:hAnsi="宋体" w:cs="宋体"/>
          <w:color w:val="000000" w:themeColor="text1"/>
          <w:szCs w:val="24"/>
          <w:highlight w:val="none"/>
          <w:u w:val="single"/>
          <w14:textFill>
            <w14:solidFill>
              <w14:schemeClr w14:val="tx1"/>
            </w14:solidFill>
          </w14:textFill>
        </w:rPr>
        <w:t xml:space="preserve">（签名）  </w:t>
      </w:r>
    </w:p>
    <w:p>
      <w:pPr>
        <w:shd w:val="clear"/>
        <w:ind w:left="480" w:firstLine="0" w:firstLineChars="0"/>
        <w:rPr>
          <w:color w:val="000000" w:themeColor="text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r>
        <w:rPr>
          <w:rFonts w:hint="eastAsia" w:hAnsi="Cambria"/>
          <w:b/>
          <w:bCs/>
          <w:color w:val="000000" w:themeColor="text1"/>
          <w:szCs w:val="32"/>
          <w:highlight w:val="none"/>
          <w14:textFill>
            <w14:solidFill>
              <w14:schemeClr w14:val="tx1"/>
            </w14:solidFill>
          </w14:textFill>
        </w:rPr>
        <w:t>附件三：问题澄清通知</w:t>
      </w:r>
      <w:bookmarkEnd w:id="164"/>
      <w:bookmarkEnd w:id="165"/>
      <w:bookmarkEnd w:id="166"/>
      <w:bookmarkEnd w:id="167"/>
      <w:bookmarkEnd w:id="168"/>
    </w:p>
    <w:p>
      <w:pPr>
        <w:shd w:val="clear"/>
        <w:ind w:firstLine="643"/>
        <w:jc w:val="center"/>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问题澄清通知</w:t>
      </w:r>
    </w:p>
    <w:p>
      <w:pPr>
        <w:shd w:val="clear"/>
        <w:ind w:firstLine="48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（编号：</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（投标人名称）：</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评标委员会对你方的投标文件进行了仔细的审查，现需你方对下列问题以书面形式予以澄清、说明或补正：</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请将上述问题的澄清、说明或补正于</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时前递交至</w:t>
      </w: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（详细地址）或传真至</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（传真号码）或通过下载招标文件的电子招标交易平台上传。采用传真方式的，应在</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时前将原件递交至</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（详细地址）。</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1680" w:firstLineChars="7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评标委员会授权的招标人或招标代理机构：</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（签字或盖章）</w:t>
      </w:r>
    </w:p>
    <w:p>
      <w:pPr>
        <w:shd w:val="clear"/>
        <w:ind w:firstLine="5400" w:firstLineChars="2250"/>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pPr>
        <w:shd w:val="clear"/>
        <w:spacing w:line="320" w:lineRule="exact"/>
        <w:ind w:left="499" w:firstLine="420"/>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（注：或按广州交易集团有限公司（广州公共资源交易中心）格式）</w:t>
      </w:r>
    </w:p>
    <w:p>
      <w:pPr>
        <w:shd w:val="clear"/>
        <w:spacing w:line="320" w:lineRule="exact"/>
        <w:ind w:left="499" w:firstLine="562"/>
        <w:rPr>
          <w:rFonts w:hint="eastAsia" w:hAnsi="宋体"/>
          <w:b/>
          <w:color w:val="000000" w:themeColor="text1"/>
          <w:sz w:val="28"/>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bookmarkStart w:id="169" w:name="_Toc534882201"/>
      <w:bookmarkStart w:id="170" w:name="_Toc31127"/>
      <w:bookmarkStart w:id="171" w:name="_Toc15674"/>
      <w:bookmarkStart w:id="172" w:name="_Toc14969"/>
      <w:r>
        <w:rPr>
          <w:color w:val="000000" w:themeColor="text1"/>
          <w:highlight w:val="none"/>
          <w14:textFill>
            <w14:solidFill>
              <w14:schemeClr w14:val="tx1"/>
            </w14:solidFill>
          </w14:textFill>
        </w:rPr>
        <w:br w:type="page"/>
      </w:r>
      <w:bookmarkStart w:id="173" w:name="_Toc152234271"/>
      <w:bookmarkStart w:id="174" w:name="_Toc35513483"/>
      <w:r>
        <w:rPr>
          <w:rFonts w:hint="eastAsia"/>
          <w:color w:val="000000" w:themeColor="text1"/>
          <w:highlight w:val="none"/>
          <w14:textFill>
            <w14:solidFill>
              <w14:schemeClr w14:val="tx1"/>
            </w14:solidFill>
          </w14:textFill>
        </w:rPr>
        <w:t>附件四：问题的澄清</w:t>
      </w:r>
      <w:bookmarkEnd w:id="169"/>
      <w:bookmarkEnd w:id="170"/>
      <w:bookmarkEnd w:id="171"/>
      <w:bookmarkEnd w:id="172"/>
      <w:bookmarkEnd w:id="173"/>
      <w:bookmarkEnd w:id="174"/>
    </w:p>
    <w:p>
      <w:pPr>
        <w:shd w:val="clear"/>
        <w:ind w:firstLine="643"/>
        <w:jc w:val="center"/>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问题的澄清</w:t>
      </w:r>
    </w:p>
    <w:p>
      <w:pPr>
        <w:shd w:val="clear"/>
        <w:ind w:firstLine="48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（编号：</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评标委员会：</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问题澄清通知（编号：</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）已收悉，现澄清、说明或补正如下：</w:t>
      </w:r>
    </w:p>
    <w:p>
      <w:pPr>
        <w:shd w:val="clear"/>
        <w:ind w:firstLine="960" w:firstLineChars="4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p>
    <w:p>
      <w:pPr>
        <w:shd w:val="clear"/>
        <w:ind w:firstLine="960" w:firstLineChars="4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p>
    <w:p>
      <w:pPr>
        <w:shd w:val="clear"/>
        <w:ind w:firstLine="960" w:firstLineChars="4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上述问题澄清、说明或补正，不改变我方投标文件的实质性内容，构成我方投标文件的组成部分。</w:t>
      </w: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left="3" w:firstLine="3120" w:firstLineChars="13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投标人：</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（盖单位章）</w:t>
      </w:r>
    </w:p>
    <w:p>
      <w:pPr>
        <w:shd w:val="clear"/>
        <w:ind w:left="3" w:firstLine="3120" w:firstLineChars="13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法定代表人或其委托代理人：</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（签字）</w:t>
      </w:r>
    </w:p>
    <w:p>
      <w:pPr>
        <w:shd w:val="clear"/>
        <w:ind w:firstLine="5400" w:firstLineChars="2250"/>
        <w:rPr>
          <w:rFonts w:hint="eastAsia"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pPr>
        <w:shd w:val="clear"/>
        <w:ind w:firstLine="0" w:firstLineChars="0"/>
        <w:jc w:val="left"/>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（注：按广州交易集团有限公司（广州公共资源交易中心）格式）</w:t>
      </w:r>
    </w:p>
    <w:p>
      <w:pPr>
        <w:pStyle w:val="2"/>
        <w:shd w:val="clea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75" w:name="_Toc152234272"/>
      <w:bookmarkStart w:id="176" w:name="_Toc35513484"/>
      <w:r>
        <w:rPr>
          <w:color w:val="000000" w:themeColor="text1"/>
          <w:highlight w:val="none"/>
          <w14:textFill>
            <w14:solidFill>
              <w14:schemeClr w14:val="tx1"/>
            </w14:solidFill>
          </w14:textFill>
        </w:rPr>
        <w:t>附件</w:t>
      </w: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：中标通知书</w:t>
      </w:r>
      <w:bookmarkEnd w:id="175"/>
      <w:bookmarkEnd w:id="176"/>
    </w:p>
    <w:p>
      <w:pPr>
        <w:shd w:val="clear"/>
        <w:spacing w:line="320" w:lineRule="exact"/>
        <w:ind w:left="499" w:firstLine="560"/>
        <w:rPr>
          <w:rFonts w:hint="eastAsia" w:hAnsi="宋体"/>
          <w:color w:val="000000" w:themeColor="text1"/>
          <w:sz w:val="28"/>
          <w:highlight w:val="none"/>
          <w14:textFill>
            <w14:solidFill>
              <w14:schemeClr w14:val="tx1"/>
            </w14:solidFill>
          </w14:textFill>
        </w:rPr>
      </w:pPr>
    </w:p>
    <w:p>
      <w:pPr>
        <w:shd w:val="clear"/>
        <w:spacing w:line="320" w:lineRule="exact"/>
        <w:ind w:left="499" w:firstLine="560"/>
        <w:rPr>
          <w:rFonts w:hint="eastAsia" w:hAnsi="宋体"/>
          <w:color w:val="000000" w:themeColor="text1"/>
          <w:sz w:val="28"/>
          <w:highlight w:val="none"/>
          <w14:textFill>
            <w14:solidFill>
              <w14:schemeClr w14:val="tx1"/>
            </w14:solidFill>
          </w14:textFill>
        </w:rPr>
      </w:pPr>
    </w:p>
    <w:p>
      <w:pPr>
        <w:shd w:val="clear"/>
        <w:spacing w:line="320" w:lineRule="exact"/>
        <w:ind w:firstLine="0" w:firstLineChars="0"/>
        <w:rPr>
          <w:rFonts w:hAnsi="宋体"/>
          <w:color w:val="000000" w:themeColor="text1"/>
          <w:sz w:val="28"/>
          <w:highlight w:val="none"/>
          <w14:textFill>
            <w14:solidFill>
              <w14:schemeClr w14:val="tx1"/>
            </w14:solidFill>
          </w14:textFill>
        </w:rPr>
      </w:pPr>
      <w:r>
        <w:rPr>
          <w:rFonts w:hint="eastAsia" w:hAnsi="宋体"/>
          <w:color w:val="000000" w:themeColor="text1"/>
          <w:sz w:val="28"/>
          <w:highlight w:val="none"/>
          <w14:textFill>
            <w14:solidFill>
              <w14:schemeClr w14:val="tx1"/>
            </w14:solidFill>
          </w14:textFill>
        </w:rPr>
        <w:t>（按广州交易集团有限公司（广州公共资源交易中心）中标通知书格式）</w:t>
      </w:r>
    </w:p>
    <w:p>
      <w:pPr>
        <w:shd w:val="clear"/>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bookmarkStart w:id="177" w:name="page39"/>
      <w:bookmarkEnd w:id="177"/>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1" w:lineRule="exact"/>
        <w:ind w:firstLine="480"/>
        <w:rPr>
          <w:rFonts w:hAnsi="宋体"/>
          <w:color w:val="000000" w:themeColor="text1"/>
          <w:highlight w:val="none"/>
          <w14:textFill>
            <w14:solidFill>
              <w14:schemeClr w14:val="tx1"/>
            </w14:solidFill>
          </w14:textFill>
        </w:rPr>
      </w:pPr>
    </w:p>
    <w:p>
      <w:pPr>
        <w:shd w:val="clear"/>
        <w:spacing w:line="502" w:lineRule="exact"/>
        <w:ind w:firstLine="0" w:firstLineChars="0"/>
        <w:jc w:val="center"/>
        <w:outlineLvl w:val="0"/>
        <w:rPr>
          <w:rFonts w:hAnsi="宋体"/>
          <w:b/>
          <w:color w:val="000000" w:themeColor="text1"/>
          <w:sz w:val="44"/>
          <w:highlight w:val="none"/>
          <w14:textFill>
            <w14:solidFill>
              <w14:schemeClr w14:val="tx1"/>
            </w14:solidFill>
          </w14:textFill>
        </w:rPr>
      </w:pPr>
      <w:bookmarkStart w:id="178" w:name="page40"/>
      <w:bookmarkEnd w:id="178"/>
      <w:bookmarkStart w:id="179" w:name="page41"/>
      <w:bookmarkEnd w:id="179"/>
      <w:r>
        <w:rPr>
          <w:rFonts w:hAnsi="宋体"/>
          <w:b/>
          <w:color w:val="000000" w:themeColor="text1"/>
          <w:sz w:val="44"/>
          <w:highlight w:val="none"/>
          <w14:textFill>
            <w14:solidFill>
              <w14:schemeClr w14:val="tx1"/>
            </w14:solidFill>
          </w14:textFill>
        </w:rPr>
        <w:br w:type="page"/>
      </w:r>
      <w:bookmarkStart w:id="180" w:name="_Toc152234273"/>
      <w:r>
        <w:rPr>
          <w:rFonts w:hAnsi="宋体"/>
          <w:b/>
          <w:color w:val="000000" w:themeColor="text1"/>
          <w:sz w:val="44"/>
          <w:highlight w:val="none"/>
          <w14:textFill>
            <w14:solidFill>
              <w14:schemeClr w14:val="tx1"/>
            </w14:solidFill>
          </w14:textFill>
        </w:rPr>
        <w:t>第三章</w:t>
      </w:r>
      <w:r>
        <w:rPr>
          <w:rFonts w:hint="eastAsia" w:hAnsi="宋体"/>
          <w:b/>
          <w:color w:val="000000" w:themeColor="text1"/>
          <w:sz w:val="44"/>
          <w:highlight w:val="none"/>
          <w14:textFill>
            <w14:solidFill>
              <w14:schemeClr w14:val="tx1"/>
            </w14:solidFill>
          </w14:textFill>
        </w:rPr>
        <w:t xml:space="preserve"> </w:t>
      </w:r>
      <w:r>
        <w:rPr>
          <w:rFonts w:hAnsi="宋体"/>
          <w:b/>
          <w:color w:val="000000" w:themeColor="text1"/>
          <w:sz w:val="44"/>
          <w:highlight w:val="none"/>
          <w14:textFill>
            <w14:solidFill>
              <w14:schemeClr w14:val="tx1"/>
            </w14:solidFill>
          </w14:textFill>
        </w:rPr>
        <w:t>评标办法（综合评估法）</w:t>
      </w:r>
      <w:bookmarkEnd w:id="180"/>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366" w:lineRule="exact"/>
        <w:ind w:firstLine="0" w:firstLineChars="0"/>
        <w:jc w:val="center"/>
        <w:outlineLvl w:val="1"/>
        <w:rPr>
          <w:rFonts w:hAnsi="宋体"/>
          <w:b/>
          <w:color w:val="000000" w:themeColor="text1"/>
          <w:sz w:val="32"/>
          <w:highlight w:val="none"/>
          <w14:textFill>
            <w14:solidFill>
              <w14:schemeClr w14:val="tx1"/>
            </w14:solidFill>
          </w14:textFill>
        </w:rPr>
      </w:pPr>
      <w:bookmarkStart w:id="181" w:name="_Toc152234274"/>
      <w:r>
        <w:rPr>
          <w:rFonts w:hAnsi="宋体"/>
          <w:b/>
          <w:color w:val="000000" w:themeColor="text1"/>
          <w:sz w:val="32"/>
          <w:highlight w:val="none"/>
          <w14:textFill>
            <w14:solidFill>
              <w14:schemeClr w14:val="tx1"/>
            </w14:solidFill>
          </w14:textFill>
        </w:rPr>
        <w:t>评标办法前附表</w:t>
      </w:r>
      <w:bookmarkEnd w:id="181"/>
    </w:p>
    <w:p>
      <w:pPr>
        <w:pStyle w:val="14"/>
        <w:shd w:val="clear"/>
        <w:ind w:firstLine="400"/>
        <w:rPr>
          <w:color w:val="000000" w:themeColor="text1"/>
          <w:highlight w:val="none"/>
          <w14:textFill>
            <w14:solidFill>
              <w14:schemeClr w14:val="tx1"/>
            </w14:solidFill>
          </w14:textFill>
        </w:rPr>
      </w:pPr>
    </w:p>
    <w:tbl>
      <w:tblPr>
        <w:tblStyle w:val="29"/>
        <w:tblW w:w="93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38"/>
        <w:gridCol w:w="1140"/>
        <w:gridCol w:w="1661"/>
        <w:gridCol w:w="56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2078" w:type="dxa"/>
            <w:gridSpan w:val="2"/>
            <w:tcBorders>
              <w:top w:val="single" w:color="auto" w:sz="8" w:space="0"/>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条款号</w:t>
            </w:r>
          </w:p>
        </w:tc>
        <w:tc>
          <w:tcPr>
            <w:tcW w:w="1661" w:type="dxa"/>
            <w:tcBorders>
              <w:top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评审因素</w:t>
            </w:r>
          </w:p>
        </w:tc>
        <w:tc>
          <w:tcPr>
            <w:tcW w:w="5637" w:type="dxa"/>
            <w:tcBorders>
              <w:top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7" w:hRule="atLeast"/>
          <w:jc w:val="center"/>
        </w:trPr>
        <w:tc>
          <w:tcPr>
            <w:tcW w:w="938" w:type="dxa"/>
            <w:tcBorders>
              <w:left w:val="single" w:color="auto" w:sz="8"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4"/>
                <w:szCs w:val="24"/>
                <w:highlight w:val="none"/>
                <w14:textFill>
                  <w14:solidFill>
                    <w14:schemeClr w14:val="tx1"/>
                  </w14:solidFill>
                </w14:textFill>
              </w:rPr>
            </w:pPr>
            <w:r>
              <w:rPr>
                <w:rFonts w:hint="eastAsia" w:hAnsi="宋体" w:cs="宋体"/>
                <w:color w:val="000000" w:themeColor="text1"/>
                <w:w w:val="94"/>
                <w:szCs w:val="24"/>
                <w:highlight w:val="none"/>
                <w14:textFill>
                  <w14:solidFill>
                    <w14:schemeClr w14:val="tx1"/>
                  </w14:solidFill>
                </w14:textFill>
              </w:rPr>
              <w:t>1</w:t>
            </w:r>
          </w:p>
        </w:tc>
        <w:tc>
          <w:tcPr>
            <w:tcW w:w="1140"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评标方法</w:t>
            </w: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中标候选人排序方法</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0" w:right="48" w:rightChars="2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排序的前一～三名分别为第一中标候选人、第二中标候选人和第三中标候选人。总分相等时，以投标总报价低的优先；投标总报价也相等的,以资信业绩得分高优先；资信业绩得分仍相等的，由评标委员会采用记名投票方式，以得票多的优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3" w:hRule="atLeast"/>
          <w:jc w:val="center"/>
        </w:trPr>
        <w:tc>
          <w:tcPr>
            <w:tcW w:w="938" w:type="dxa"/>
            <w:vMerge w:val="restart"/>
            <w:tcBorders>
              <w:left w:val="single" w:color="auto" w:sz="8"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w w:val="99"/>
                <w:szCs w:val="24"/>
                <w:highlight w:val="none"/>
                <w14:textFill>
                  <w14:solidFill>
                    <w14:schemeClr w14:val="tx1"/>
                  </w14:solidFill>
                </w14:textFill>
              </w:rPr>
              <w:t>2.1.1</w:t>
            </w:r>
          </w:p>
        </w:tc>
        <w:tc>
          <w:tcPr>
            <w:tcW w:w="1140" w:type="dxa"/>
            <w:vMerge w:val="restart"/>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形式评审</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标准</w:t>
            </w: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投标人名称</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与营业执照或事业单位法人证书一致。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5"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投标函及投标函附录签字盖章</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有法定代表人或其委托代理人签字(或盖章</w:t>
            </w:r>
            <w:r>
              <w:rPr>
                <w:rFonts w:hint="default"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并加盖单位章。由法定代表人签字(或盖章</w:t>
            </w:r>
            <w:r>
              <w:rPr>
                <w:rFonts w:hint="default"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的，应附法定代表人身份证明，由代理人签字(或盖章</w:t>
            </w:r>
            <w:r>
              <w:rPr>
                <w:rFonts w:hint="default"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的，应附授权委托书，身份证明或授权委托书应符合第六章“投标文件格式”的规定。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投标文件格式</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符合第六章“投标文件格式”的规定。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联合体投标人</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default"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备选投标方案</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938" w:type="dxa"/>
            <w:vMerge w:val="continue"/>
            <w:tcBorders>
              <w:top w:val="single" w:color="000000" w:sz="4" w:space="0"/>
              <w:left w:val="single" w:color="000000" w:sz="4" w:space="0"/>
              <w:bottom w:val="single" w:color="000000" w:sz="4"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left w:val="single" w:color="000000" w:sz="4" w:space="0"/>
              <w:bottom w:val="single" w:color="auto" w:sz="4"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投标人机器码</w:t>
            </w:r>
          </w:p>
        </w:tc>
        <w:tc>
          <w:tcPr>
            <w:tcW w:w="5637" w:type="dxa"/>
            <w:tcBorders>
              <w:bottom w:val="single" w:color="auto" w:sz="4" w:space="0"/>
              <w:right w:val="single" w:color="auto"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投标人与其他投标人加密打包投标文件电脑特征码一致的（以广州交易集团有限公司（广州公共资源交易中心）评标系统的检索信息为准）将被否决。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938" w:type="dxa"/>
            <w:vMerge w:val="restart"/>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w w:val="99"/>
                <w:szCs w:val="24"/>
                <w:highlight w:val="none"/>
                <w14:textFill>
                  <w14:solidFill>
                    <w14:schemeClr w14:val="tx1"/>
                  </w14:solidFill>
                </w14:textFill>
              </w:rPr>
              <w:t>2.1.2</w:t>
            </w:r>
          </w:p>
        </w:tc>
        <w:tc>
          <w:tcPr>
            <w:tcW w:w="1140" w:type="dxa"/>
            <w:vMerge w:val="restart"/>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资格评审</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标准</w:t>
            </w:r>
          </w:p>
        </w:tc>
        <w:tc>
          <w:tcPr>
            <w:tcW w:w="1661" w:type="dxa"/>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营业执照或事业单位法人证书</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投标人均具有独立法人资格，持有工商行政管理部门核发的法人营业执照或事业单位登记管理部门核发的事业单位法人证书，按国家法律经营。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资质要求</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财务要求</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业绩要求</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6"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信誉要求</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项目负责人</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1.4.1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938" w:type="dxa"/>
            <w:vMerge w:val="continue"/>
            <w:tcBorders>
              <w:left w:val="single" w:color="auto" w:sz="8" w:space="0"/>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right w:val="single" w:color="auto" w:sz="8"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仪器设备</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6" w:hRule="atLeast"/>
          <w:jc w:val="center"/>
        </w:trPr>
        <w:tc>
          <w:tcPr>
            <w:tcW w:w="938" w:type="dxa"/>
            <w:vMerge w:val="continue"/>
            <w:tcBorders>
              <w:left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left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auto" w:sz="4" w:space="0"/>
              <w:left w:val="single" w:color="000000" w:sz="4" w:space="0"/>
              <w:bottom w:val="single" w:color="auto" w:sz="4"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其他要求</w:t>
            </w:r>
          </w:p>
        </w:tc>
        <w:tc>
          <w:tcPr>
            <w:tcW w:w="5637" w:type="dxa"/>
            <w:tcBorders>
              <w:top w:val="single" w:color="auto" w:sz="4" w:space="0"/>
              <w:bottom w:val="single" w:color="auto" w:sz="4" w:space="0"/>
              <w:right w:val="single" w:color="auto"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1.4.1 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3" w:hRule="atLeast"/>
          <w:jc w:val="center"/>
        </w:trPr>
        <w:tc>
          <w:tcPr>
            <w:tcW w:w="938" w:type="dxa"/>
            <w:vMerge w:val="continue"/>
            <w:tcBorders>
              <w:left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left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auto" w:sz="4" w:space="0"/>
              <w:left w:val="single" w:color="000000" w:sz="4" w:space="0"/>
              <w:bottom w:val="single" w:color="auto" w:sz="4"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联合体投标人</w:t>
            </w:r>
          </w:p>
        </w:tc>
        <w:tc>
          <w:tcPr>
            <w:tcW w:w="5637" w:type="dxa"/>
            <w:tcBorders>
              <w:top w:val="single" w:color="auto" w:sz="4" w:space="0"/>
              <w:bottom w:val="single" w:color="auto" w:sz="4" w:space="0"/>
              <w:right w:val="single" w:color="auto"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3" w:hRule="atLeast"/>
          <w:jc w:val="center"/>
        </w:trPr>
        <w:tc>
          <w:tcPr>
            <w:tcW w:w="938" w:type="dxa"/>
            <w:vMerge w:val="continue"/>
            <w:tcBorders>
              <w:left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left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auto" w:sz="4" w:space="0"/>
              <w:left w:val="single" w:color="000000" w:sz="4" w:space="0"/>
              <w:bottom w:val="single" w:color="auto" w:sz="4"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不存在禁止投标的情形</w:t>
            </w:r>
          </w:p>
        </w:tc>
        <w:tc>
          <w:tcPr>
            <w:tcW w:w="5637" w:type="dxa"/>
            <w:tcBorders>
              <w:top w:val="single" w:color="auto" w:sz="4" w:space="0"/>
              <w:bottom w:val="single" w:color="auto" w:sz="4" w:space="0"/>
              <w:right w:val="single" w:color="auto"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不存在第二章“投标人须知”第1.4.3项规定的任何一种情形（以投标人声明为评审依据）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响应性评</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审标准</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投标报价</w:t>
            </w:r>
          </w:p>
        </w:tc>
        <w:tc>
          <w:tcPr>
            <w:tcW w:w="5637" w:type="dxa"/>
            <w:tcBorders>
              <w:top w:val="single" w:color="auto" w:sz="4" w:space="0"/>
              <w:left w:val="single" w:color="000000" w:sz="4" w:space="0"/>
              <w:bottom w:val="single" w:color="000000" w:sz="4" w:space="0"/>
              <w:right w:val="single" w:color="auto"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3.2 款规定</w:t>
            </w:r>
            <w:r>
              <w:rPr>
                <w:rFonts w:hint="eastAsia" w:hAnsi="宋体" w:cs="宋体"/>
                <w:color w:val="000000" w:themeColor="text1"/>
                <w:szCs w:val="24"/>
                <w:highlight w:val="none"/>
                <w:u w:val="single"/>
                <w14:textFill>
                  <w14:solidFill>
                    <w14:schemeClr w14:val="tx1"/>
                  </w14:solidFill>
                </w14:textFill>
              </w:rPr>
              <w:t>，对同一招标项目没有出现两个或以上的投标报价，且修正无依据。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投标内容</w:t>
            </w:r>
          </w:p>
        </w:tc>
        <w:tc>
          <w:tcPr>
            <w:tcW w:w="5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1.3.1 项规定</w:t>
            </w:r>
            <w:r>
              <w:rPr>
                <w:rFonts w:hint="eastAsia" w:hAnsi="宋体" w:cs="宋体"/>
                <w:color w:val="000000" w:themeColor="text1"/>
                <w:szCs w:val="24"/>
                <w:highlight w:val="none"/>
                <w:u w:val="single"/>
                <w14:textFill>
                  <w14:solidFill>
                    <w14:schemeClr w14:val="tx1"/>
                  </w14:solidFill>
                </w14:textFill>
              </w:rPr>
              <w:t>，投标文件按规定的格式填写，内容齐全或关键字迹清晰、容易辩认。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服务期限</w:t>
            </w:r>
          </w:p>
        </w:tc>
        <w:tc>
          <w:tcPr>
            <w:tcW w:w="5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1.3.2 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质量标准</w:t>
            </w:r>
          </w:p>
        </w:tc>
        <w:tc>
          <w:tcPr>
            <w:tcW w:w="563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1.3.3 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w w:val="99"/>
                <w:szCs w:val="24"/>
                <w:highlight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投标有效期</w:t>
            </w:r>
          </w:p>
        </w:tc>
        <w:tc>
          <w:tcPr>
            <w:tcW w:w="563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符合第二章“投标人须知”第 3.3.1 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w w:val="99"/>
                <w:szCs w:val="24"/>
                <w:highlight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default" w:hAnsi="宋体" w:cs="宋体"/>
                <w:color w:val="000000" w:themeColor="text1"/>
                <w:szCs w:val="24"/>
                <w:highlight w:val="none"/>
                <w14:textFill>
                  <w14:solidFill>
                    <w14:schemeClr w14:val="tx1"/>
                  </w14:solidFill>
                </w14:textFill>
              </w:rPr>
              <w:t>投标保证金</w:t>
            </w:r>
          </w:p>
        </w:tc>
        <w:tc>
          <w:tcPr>
            <w:tcW w:w="5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default" w:hAnsi="宋体" w:cs="宋体"/>
                <w:color w:val="000000" w:themeColor="text1"/>
                <w:szCs w:val="24"/>
                <w:highlight w:val="none"/>
                <w14:textFill>
                  <w14:solidFill>
                    <w14:schemeClr w14:val="tx1"/>
                  </w14:solidFill>
                </w14:textFill>
              </w:rPr>
              <w:t>符合第二章“投标人须知”第 3.4.1 项规定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6"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串通投标情形</w:t>
            </w:r>
          </w:p>
        </w:tc>
        <w:tc>
          <w:tcPr>
            <w:tcW w:w="5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不存在串通投标情形（串通投标情形以《中华人民共和国招标投标法实施条例》的规定为准）。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2078"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b/>
                <w:color w:val="000000" w:themeColor="text1"/>
                <w:w w:val="98"/>
                <w:szCs w:val="24"/>
                <w:highlight w:val="none"/>
                <w14:textFill>
                  <w14:solidFill>
                    <w14:schemeClr w14:val="tx1"/>
                  </w14:solidFill>
                </w14:textFill>
              </w:rPr>
            </w:pPr>
            <w:r>
              <w:rPr>
                <w:rFonts w:hint="eastAsia" w:hAnsi="宋体" w:cs="宋体"/>
                <w:b/>
                <w:color w:val="000000" w:themeColor="text1"/>
                <w:w w:val="98"/>
                <w:szCs w:val="24"/>
                <w:highlight w:val="none"/>
                <w14:textFill>
                  <w14:solidFill>
                    <w14:schemeClr w14:val="tx1"/>
                  </w14:solidFill>
                </w14:textFill>
              </w:rPr>
              <w:t>条款号</w:t>
            </w:r>
          </w:p>
        </w:tc>
        <w:tc>
          <w:tcPr>
            <w:tcW w:w="166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b/>
                <w:color w:val="000000" w:themeColor="text1"/>
                <w:w w:val="99"/>
                <w:szCs w:val="24"/>
                <w:highlight w:val="none"/>
                <w14:textFill>
                  <w14:solidFill>
                    <w14:schemeClr w14:val="tx1"/>
                  </w14:solidFill>
                </w14:textFill>
              </w:rPr>
            </w:pPr>
            <w:r>
              <w:rPr>
                <w:rFonts w:hint="eastAsia" w:hAnsi="宋体" w:cs="宋体"/>
                <w:b/>
                <w:color w:val="000000" w:themeColor="text1"/>
                <w:w w:val="99"/>
                <w:szCs w:val="24"/>
                <w:highlight w:val="none"/>
                <w14:textFill>
                  <w14:solidFill>
                    <w14:schemeClr w14:val="tx1"/>
                  </w14:solidFill>
                </w14:textFill>
              </w:rPr>
              <w:t>条款内容</w:t>
            </w:r>
          </w:p>
        </w:tc>
        <w:tc>
          <w:tcPr>
            <w:tcW w:w="563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b/>
                <w:color w:val="000000" w:themeColor="text1"/>
                <w:w w:val="99"/>
                <w:szCs w:val="24"/>
                <w:highlight w:val="none"/>
                <w14:textFill>
                  <w14:solidFill>
                    <w14:schemeClr w14:val="tx1"/>
                  </w14:solidFill>
                </w14:textFill>
              </w:rPr>
            </w:pPr>
            <w:r>
              <w:rPr>
                <w:rFonts w:hint="eastAsia" w:hAnsi="宋体" w:cs="宋体"/>
                <w:b/>
                <w:color w:val="000000" w:themeColor="text1"/>
                <w:w w:val="99"/>
                <w:szCs w:val="24"/>
                <w:highlight w:val="none"/>
                <w14:textFill>
                  <w14:solidFill>
                    <w14:schemeClr w14:val="tx1"/>
                  </w14:solidFill>
                </w14:textFill>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jc w:val="center"/>
        </w:trPr>
        <w:tc>
          <w:tcPr>
            <w:tcW w:w="2078" w:type="dxa"/>
            <w:gridSpan w:val="2"/>
            <w:tcBorders>
              <w:left w:val="single" w:color="auto" w:sz="8" w:space="0"/>
              <w:bottom w:val="single" w:color="000000" w:sz="4" w:space="0"/>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w w:val="99"/>
                <w:szCs w:val="24"/>
                <w:highlight w:val="none"/>
                <w14:textFill>
                  <w14:solidFill>
                    <w14:schemeClr w14:val="tx1"/>
                  </w14:solidFill>
                </w14:textFill>
              </w:rPr>
              <w:t>2.2.1</w:t>
            </w:r>
          </w:p>
        </w:tc>
        <w:tc>
          <w:tcPr>
            <w:tcW w:w="1661" w:type="dxa"/>
            <w:tcBorders>
              <w:right w:val="single" w:color="auto" w:sz="8"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分值构成</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(总分100分)</w:t>
            </w:r>
          </w:p>
        </w:tc>
        <w:tc>
          <w:tcPr>
            <w:tcW w:w="5637" w:type="dxa"/>
            <w:tcBorders>
              <w:right w:val="single" w:color="auto" w:sz="8" w:space="0"/>
            </w:tcBorders>
            <w:vAlign w:val="center"/>
          </w:tcPr>
          <w:p>
            <w:pPr>
              <w:keepNext w:val="0"/>
              <w:keepLines w:val="0"/>
              <w:widowControl/>
              <w:suppressLineNumbers w:val="0"/>
              <w:shd w:val="clear"/>
              <w:adjustRightInd w:val="0"/>
              <w:snapToGrid w:val="0"/>
              <w:spacing w:before="36" w:beforeLines="15" w:beforeAutospacing="0" w:after="36" w:afterLines="15" w:afterAutospacing="0" w:line="276" w:lineRule="auto"/>
              <w:ind w:left="0" w:right="48" w:rightChars="20" w:firstLine="0" w:firstLineChars="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资信业绩部分：55分</w:t>
            </w:r>
          </w:p>
          <w:p>
            <w:pPr>
              <w:keepNext w:val="0"/>
              <w:keepLines w:val="0"/>
              <w:widowControl/>
              <w:suppressLineNumbers w:val="0"/>
              <w:shd w:val="clear"/>
              <w:adjustRightInd w:val="0"/>
              <w:snapToGrid w:val="0"/>
              <w:spacing w:before="36" w:beforeLines="15" w:beforeAutospacing="0" w:after="36" w:afterLines="15" w:afterAutospacing="0" w:line="276" w:lineRule="auto"/>
              <w:ind w:left="0" w:right="48" w:rightChars="20" w:firstLine="0" w:firstLineChars="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服务方案部分：35分</w:t>
            </w:r>
          </w:p>
          <w:p>
            <w:pPr>
              <w:keepNext w:val="0"/>
              <w:keepLines w:val="0"/>
              <w:widowControl/>
              <w:suppressLineNumbers w:val="0"/>
              <w:shd w:val="clear"/>
              <w:adjustRightInd w:val="0"/>
              <w:snapToGrid w:val="0"/>
              <w:spacing w:before="36" w:beforeLines="15" w:beforeAutospacing="0" w:after="36" w:afterLines="15" w:afterAutospacing="0" w:line="276" w:lineRule="auto"/>
              <w:ind w:left="0" w:right="48" w:rightChars="20" w:firstLine="0" w:firstLineChars="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投标报价部分：10分</w:t>
            </w:r>
          </w:p>
          <w:p>
            <w:pPr>
              <w:keepNext w:val="0"/>
              <w:keepLines w:val="0"/>
              <w:widowControl/>
              <w:suppressLineNumbers w:val="0"/>
              <w:shd w:val="clear"/>
              <w:adjustRightInd w:val="0"/>
              <w:snapToGrid w:val="0"/>
              <w:spacing w:before="36" w:beforeLines="15" w:beforeAutospacing="0" w:after="36" w:afterLines="15" w:afterAutospacing="0" w:line="276" w:lineRule="auto"/>
              <w:ind w:left="0" w:right="48" w:rightChars="20" w:firstLine="0" w:firstLineChars="0"/>
              <w:rPr>
                <w:rFonts w:hint="eastAsia"/>
                <w:color w:val="000000" w:themeColor="text1"/>
                <w:szCs w:val="20"/>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投标人总得分（满分100分）=资信业绩部分得分+服务方案部分得分+投标报价部分得分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20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w w:val="99"/>
                <w:szCs w:val="24"/>
                <w:highlight w:val="none"/>
                <w14:textFill>
                  <w14:solidFill>
                    <w14:schemeClr w14:val="tx1"/>
                  </w14:solidFill>
                </w14:textFill>
              </w:rPr>
              <w:t>2.2.2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评标基准价计算方法</w:t>
            </w:r>
          </w:p>
        </w:tc>
        <w:tc>
          <w:tcPr>
            <w:tcW w:w="563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36" w:beforeLines="15" w:beforeAutospacing="0" w:after="36" w:afterLines="15" w:afterAutospacing="0" w:line="276" w:lineRule="auto"/>
              <w:ind w:left="48" w:leftChars="20" w:right="48" w:rightChars="20" w:firstLine="482"/>
              <w:jc w:val="left"/>
              <w:rPr>
                <w:rFonts w:hint="default"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参与评标基准价计算范围为[最高投标限价×90%，最高投标限价]，超过此范围的报价不参与评标基准价的计算</w:t>
            </w:r>
          </w:p>
          <w:p>
            <w:pPr>
              <w:keepNext w:val="0"/>
              <w:keepLines w:val="0"/>
              <w:widowControl/>
              <w:suppressLineNumbers w:val="0"/>
              <w:shd w:val="clear"/>
              <w:adjustRightInd w:val="0"/>
              <w:snapToGrid w:val="0"/>
              <w:spacing w:before="36" w:beforeLines="15" w:beforeAutospacing="0" w:after="36" w:afterLines="15" w:afterAutospacing="0" w:line="276" w:lineRule="auto"/>
              <w:ind w:left="0" w:right="48" w:rightChars="20" w:firstLine="480"/>
              <w:jc w:val="left"/>
              <w:rPr>
                <w:rFonts w:hint="default"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当投标报价总价在参与评标基准价计算范围内且通过形式评审、资格评审、响应性评审的有效投标人大于5名或等于5名时，所有入围的有效投标价中去掉一个最高价和一个最低价，取余下有效投标价的算术平均值作为评标基准价。</w:t>
            </w:r>
          </w:p>
          <w:p>
            <w:pPr>
              <w:keepNext w:val="0"/>
              <w:keepLines w:val="0"/>
              <w:widowControl/>
              <w:suppressLineNumbers w:val="0"/>
              <w:shd w:val="clear"/>
              <w:adjustRightInd w:val="0"/>
              <w:snapToGrid w:val="0"/>
              <w:spacing w:before="36" w:beforeLines="15" w:beforeAutospacing="0" w:after="36" w:afterLines="15" w:afterAutospacing="0" w:line="276" w:lineRule="auto"/>
              <w:ind w:left="0" w:right="48" w:rightChars="20" w:firstLine="480"/>
              <w:jc w:val="left"/>
              <w:rPr>
                <w:rFonts w:hint="default"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2.当投标报价总价在参与评标基准价计算范围内且通过形式评审、资格评审、响应性评审的有效投标人小于5名时（不含0名），取所有入围的有效投标价的算术平均值作为评标基准价。</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480"/>
              <w:rPr>
                <w:rFonts w:hint="eastAsia" w:hAnsi="宋体" w:cs="宋体"/>
                <w:color w:val="000000" w:themeColor="text1"/>
                <w:szCs w:val="24"/>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3.当通过形式评审、资格评审和响应性评审的有效投标人的投标报价总价均没有位于[最高投标限价×90%，最高投标限价]区间，则所有投标人的报价得分为0分。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20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w w:val="99"/>
                <w:szCs w:val="24"/>
                <w:highlight w:val="none"/>
                <w14:textFill>
                  <w14:solidFill>
                    <w14:schemeClr w14:val="tx1"/>
                  </w14:solidFill>
                </w14:textFill>
              </w:rPr>
            </w:pPr>
            <w:r>
              <w:rPr>
                <w:rFonts w:hint="eastAsia" w:hAnsi="宋体" w:cs="宋体"/>
                <w:color w:val="000000" w:themeColor="text1"/>
                <w:w w:val="99"/>
                <w:szCs w:val="24"/>
                <w:highlight w:val="none"/>
                <w14:textFill>
                  <w14:solidFill>
                    <w14:schemeClr w14:val="tx1"/>
                  </w14:solidFill>
                </w14:textFill>
              </w:rPr>
              <w:t>2.2.3</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投标报价的偏差率计算公式</w:t>
            </w:r>
          </w:p>
        </w:tc>
        <w:tc>
          <w:tcPr>
            <w:tcW w:w="563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偏差率=100% ×︱（有效投标报价 -评标基准价）︱/评标基准价</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（偏差率四舍五入保留2位小数，报价偏差率不足1%的，按直线内插法计算投标报价得分）</w:t>
            </w:r>
          </w:p>
          <w:p>
            <w:pPr>
              <w:keepNext w:val="0"/>
              <w:keepLines w:val="0"/>
              <w:widowControl/>
              <w:suppressLineNumbers w:val="0"/>
              <w:shd w:val="clear"/>
              <w:adjustRightInd w:val="0"/>
              <w:snapToGrid w:val="0"/>
              <w:spacing w:before="0" w:beforeAutospacing="0" w:after="0" w:afterAutospacing="0" w:line="276" w:lineRule="auto"/>
              <w:ind w:left="48" w:leftChars="20" w:right="48" w:rightChars="2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注：有效投标报价为通过初步评审经算术错误修正后的核准报价（投标总报价）。</w:t>
            </w:r>
          </w:p>
        </w:tc>
      </w:tr>
    </w:tbl>
    <w:p>
      <w:pPr>
        <w:shd w:val="clear"/>
        <w:spacing w:line="240" w:lineRule="auto"/>
        <w:ind w:firstLine="480"/>
        <w:jc w:val="center"/>
        <w:outlineLvl w:val="1"/>
        <w:rPr>
          <w:rFonts w:hAnsi="宋体"/>
          <w:color w:val="000000" w:themeColor="text1"/>
          <w:sz w:val="32"/>
          <w:szCs w:val="2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bookmarkStart w:id="182" w:name="_Toc152234275"/>
      <w:bookmarkStart w:id="183" w:name="_Toc69983671"/>
      <w:r>
        <w:rPr>
          <w:rFonts w:hint="eastAsia" w:hAnsi="宋体"/>
          <w:b/>
          <w:color w:val="000000" w:themeColor="text1"/>
          <w:sz w:val="32"/>
          <w:szCs w:val="21"/>
          <w:highlight w:val="none"/>
          <w14:textFill>
            <w14:solidFill>
              <w14:schemeClr w14:val="tx1"/>
            </w14:solidFill>
          </w14:textFill>
        </w:rPr>
        <w:t>综合评分表</w:t>
      </w:r>
      <w:bookmarkEnd w:id="182"/>
      <w:bookmarkEnd w:id="183"/>
    </w:p>
    <w:tbl>
      <w:tblPr>
        <w:tblStyle w:val="29"/>
        <w:tblW w:w="10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1038"/>
        <w:gridCol w:w="1292"/>
        <w:gridCol w:w="6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blHeader/>
          <w:jc w:val="center"/>
        </w:trPr>
        <w:tc>
          <w:tcPr>
            <w:tcW w:w="2125" w:type="dxa"/>
            <w:gridSpan w:val="2"/>
            <w:vAlign w:val="center"/>
          </w:tcPr>
          <w:p>
            <w:pPr>
              <w:pStyle w:val="66"/>
              <w:keepNext w:val="0"/>
              <w:keepLines w:val="0"/>
              <w:suppressLineNumbers w:val="0"/>
              <w:shd w:val="clear"/>
              <w:kinsoku w:val="0"/>
              <w:overflowPunct w:val="0"/>
              <w:adjustRightInd w:val="0"/>
              <w:snapToGrid w:val="0"/>
              <w:spacing w:before="0" w:beforeAutospacing="0" w:after="0" w:afterAutospacing="0" w:line="240" w:lineRule="auto"/>
              <w:ind w:left="0" w:right="0" w:firstLine="0" w:firstLineChars="0"/>
              <w:jc w:val="center"/>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条款号</w:t>
            </w:r>
          </w:p>
        </w:tc>
        <w:tc>
          <w:tcPr>
            <w:tcW w:w="1292" w:type="dxa"/>
            <w:vAlign w:val="center"/>
          </w:tcPr>
          <w:p>
            <w:pPr>
              <w:pStyle w:val="66"/>
              <w:keepNext w:val="0"/>
              <w:keepLines w:val="0"/>
              <w:suppressLineNumbers w:val="0"/>
              <w:shd w:val="clear"/>
              <w:kinsoku w:val="0"/>
              <w:overflowPunct w:val="0"/>
              <w:adjustRightInd w:val="0"/>
              <w:snapToGrid w:val="0"/>
              <w:spacing w:before="0" w:beforeAutospacing="0" w:after="0" w:afterAutospacing="0" w:line="240" w:lineRule="auto"/>
              <w:ind w:left="0" w:right="0" w:firstLine="0" w:firstLineChars="0"/>
              <w:jc w:val="center"/>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评分因素</w:t>
            </w:r>
          </w:p>
        </w:tc>
        <w:tc>
          <w:tcPr>
            <w:tcW w:w="6814" w:type="dxa"/>
            <w:vAlign w:val="center"/>
          </w:tcPr>
          <w:p>
            <w:pPr>
              <w:pStyle w:val="66"/>
              <w:keepNext w:val="0"/>
              <w:keepLines w:val="0"/>
              <w:suppressLineNumbers w:val="0"/>
              <w:shd w:val="clear"/>
              <w:kinsoku w:val="0"/>
              <w:overflowPunct w:val="0"/>
              <w:adjustRightInd w:val="0"/>
              <w:snapToGrid w:val="0"/>
              <w:spacing w:before="0" w:beforeAutospacing="0" w:after="0" w:afterAutospacing="0" w:line="240" w:lineRule="auto"/>
              <w:ind w:left="0" w:right="0" w:firstLine="0" w:firstLineChars="0"/>
              <w:jc w:val="center"/>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jc w:val="center"/>
        </w:trPr>
        <w:tc>
          <w:tcPr>
            <w:tcW w:w="1087" w:type="dxa"/>
            <w:vMerge w:val="restart"/>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2.2.4（1）</w:t>
            </w:r>
          </w:p>
          <w:p>
            <w:pPr>
              <w:keepNext w:val="0"/>
              <w:keepLines w:val="0"/>
              <w:widowControl/>
              <w:suppressLineNumbers w:val="0"/>
              <w:shd w:val="clear"/>
              <w:kinsoku w:val="0"/>
              <w:overflowPunct w:val="0"/>
              <w:adjustRightInd w:val="0"/>
              <w:snapToGrid w:val="0"/>
              <w:spacing w:before="0" w:beforeAutospacing="0" w:after="0" w:afterAutospacing="0" w:line="240" w:lineRule="auto"/>
              <w:ind w:left="0" w:right="0" w:firstLineChars="0"/>
              <w:rPr>
                <w:rFonts w:hint="eastAsia" w:hAnsi="宋体" w:cs="宋体"/>
                <w:color w:val="000000" w:themeColor="text1"/>
                <w:sz w:val="21"/>
                <w:szCs w:val="21"/>
                <w:highlight w:val="none"/>
                <w14:textFill>
                  <w14:solidFill>
                    <w14:schemeClr w14:val="tx1"/>
                  </w14:solidFill>
                </w14:textFill>
              </w:rPr>
            </w:pPr>
          </w:p>
        </w:tc>
        <w:tc>
          <w:tcPr>
            <w:tcW w:w="1038" w:type="dxa"/>
            <w:vMerge w:val="restart"/>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资信业绩部分 （55分）</w:t>
            </w:r>
          </w:p>
        </w:tc>
        <w:tc>
          <w:tcPr>
            <w:tcW w:w="1292" w:type="dxa"/>
            <w:vAlign w:val="center"/>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造价咨询业绩（</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hAnsi="宋体" w:cs="宋体"/>
                <w:color w:val="000000" w:themeColor="text1"/>
                <w:sz w:val="21"/>
                <w:szCs w:val="21"/>
                <w:highlight w:val="none"/>
                <w14:textFill>
                  <w14:solidFill>
                    <w14:schemeClr w14:val="tx1"/>
                  </w14:solidFill>
                </w14:textFill>
              </w:rPr>
              <w:t>分）</w:t>
            </w:r>
          </w:p>
        </w:tc>
        <w:tc>
          <w:tcPr>
            <w:tcW w:w="6814" w:type="dxa"/>
            <w:vAlign w:val="center"/>
          </w:tcPr>
          <w:p>
            <w:pPr>
              <w:pStyle w:val="26"/>
              <w:keepNext w:val="0"/>
              <w:keepLines w:val="0"/>
              <w:widowControl w:val="0"/>
              <w:suppressLineNumbers w:val="0"/>
              <w:shd w:val="clear"/>
              <w:adjustRightInd w:val="0"/>
              <w:snapToGrid w:val="0"/>
              <w:spacing w:before="0" w:beforeAutospacing="0" w:after="0" w:afterAutospacing="0" w:line="300" w:lineRule="exact"/>
              <w:ind w:left="122" w:leftChars="51" w:right="24" w:rightChars="10"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kern w:val="2"/>
                <w:sz w:val="21"/>
                <w:szCs w:val="21"/>
                <w:highlight w:val="none"/>
                <w:lang w:bidi="ar"/>
                <w14:textFill>
                  <w14:solidFill>
                    <w14:schemeClr w14:val="tx1"/>
                  </w14:solidFill>
                </w14:textFill>
              </w:rPr>
              <w:t>自2021年1月1日至今，投标人承接过</w:t>
            </w:r>
            <w:r>
              <w:rPr>
                <w:rFonts w:hint="default" w:hAnsi="宋体" w:cs="宋体"/>
                <w:color w:val="000000" w:themeColor="text1"/>
                <w:kern w:val="2"/>
                <w:sz w:val="21"/>
                <w:szCs w:val="21"/>
                <w:highlight w:val="none"/>
                <w:lang w:bidi="ar"/>
                <w14:textFill>
                  <w14:solidFill>
                    <w14:schemeClr w14:val="tx1"/>
                  </w14:solidFill>
                </w14:textFill>
              </w:rPr>
              <w:t>总投资</w:t>
            </w:r>
            <w:r>
              <w:rPr>
                <w:rFonts w:hint="eastAsia" w:hAnsi="宋体" w:cs="宋体"/>
                <w:color w:val="000000" w:themeColor="text1"/>
                <w:kern w:val="2"/>
                <w:sz w:val="21"/>
                <w:szCs w:val="21"/>
                <w:highlight w:val="none"/>
                <w:lang w:val="en-US" w:eastAsia="zh-CN" w:bidi="ar"/>
                <w14:textFill>
                  <w14:solidFill>
                    <w14:schemeClr w14:val="tx1"/>
                  </w14:solidFill>
                </w14:textFill>
              </w:rPr>
              <w:t>2.5</w:t>
            </w:r>
            <w:r>
              <w:rPr>
                <w:rFonts w:hint="default" w:hAnsi="宋体" w:cs="宋体"/>
                <w:color w:val="000000" w:themeColor="text1"/>
                <w:kern w:val="2"/>
                <w:sz w:val="21"/>
                <w:szCs w:val="21"/>
                <w:highlight w:val="none"/>
                <w:lang w:bidi="ar"/>
                <w14:textFill>
                  <w14:solidFill>
                    <w14:schemeClr w14:val="tx1"/>
                  </w14:solidFill>
                </w14:textFill>
              </w:rPr>
              <w:t>亿元</w:t>
            </w:r>
            <w:r>
              <w:rPr>
                <w:rFonts w:hint="eastAsia" w:hAnsi="宋体" w:cs="宋体"/>
                <w:color w:val="000000" w:themeColor="text1"/>
                <w:kern w:val="2"/>
                <w:sz w:val="21"/>
                <w:szCs w:val="21"/>
                <w:highlight w:val="none"/>
                <w:lang w:bidi="ar"/>
                <w14:textFill>
                  <w14:solidFill>
                    <w14:schemeClr w14:val="tx1"/>
                  </w14:solidFill>
                </w14:textFill>
              </w:rPr>
              <w:t>（含）以上房屋建筑工程造价咨询服务项目的，每项得1分，本项最高得</w:t>
            </w:r>
            <w:r>
              <w:rPr>
                <w:rFonts w:hint="eastAsia" w:hAnsi="宋体" w:cs="宋体"/>
                <w:color w:val="000000" w:themeColor="text1"/>
                <w:kern w:val="2"/>
                <w:sz w:val="21"/>
                <w:szCs w:val="21"/>
                <w:highlight w:val="none"/>
                <w:lang w:val="en-US" w:eastAsia="zh-CN" w:bidi="ar"/>
                <w14:textFill>
                  <w14:solidFill>
                    <w14:schemeClr w14:val="tx1"/>
                  </w14:solidFill>
                </w14:textFill>
              </w:rPr>
              <w:t>6</w:t>
            </w:r>
            <w:r>
              <w:rPr>
                <w:rFonts w:hint="eastAsia" w:hAnsi="宋体" w:cs="宋体"/>
                <w:color w:val="000000" w:themeColor="text1"/>
                <w:kern w:val="2"/>
                <w:sz w:val="21"/>
                <w:szCs w:val="21"/>
                <w:highlight w:val="none"/>
                <w:lang w:bidi="ar"/>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087" w:type="dxa"/>
            <w:vMerge w:val="continue"/>
            <w:vAlign w:val="center"/>
          </w:tcPr>
          <w:p>
            <w:pPr>
              <w:keepNext w:val="0"/>
              <w:keepLines w:val="0"/>
              <w:widowControl/>
              <w:suppressLineNumbers w:val="0"/>
              <w:shd w:val="clear"/>
              <w:kinsoku w:val="0"/>
              <w:overflowPunct w:val="0"/>
              <w:adjustRightInd w:val="0"/>
              <w:snapToGrid w:val="0"/>
              <w:spacing w:before="0" w:beforeAutospacing="0" w:after="0" w:afterAutospacing="0" w:line="240" w:lineRule="auto"/>
              <w:ind w:left="0" w:right="0" w:firstLineChars="0"/>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pStyle w:val="26"/>
              <w:keepNext w:val="0"/>
              <w:keepLines w:val="0"/>
              <w:widowControl w:val="0"/>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kern w:val="2"/>
                <w:sz w:val="21"/>
                <w:szCs w:val="21"/>
                <w:highlight w:val="none"/>
                <w:lang w:bidi="ar"/>
                <w14:textFill>
                  <w14:solidFill>
                    <w14:schemeClr w14:val="tx1"/>
                  </w14:solidFill>
                </w14:textFill>
              </w:rPr>
              <w:t>企业业绩获奖（10分）</w:t>
            </w:r>
          </w:p>
        </w:tc>
        <w:tc>
          <w:tcPr>
            <w:tcW w:w="6814" w:type="dxa"/>
            <w:vAlign w:val="center"/>
          </w:tcPr>
          <w:p>
            <w:pPr>
              <w:pStyle w:val="26"/>
              <w:keepNext w:val="0"/>
              <w:keepLines w:val="0"/>
              <w:widowControl w:val="0"/>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kern w:val="2"/>
                <w:sz w:val="21"/>
                <w:szCs w:val="21"/>
                <w:highlight w:val="none"/>
                <w:lang w:bidi="ar"/>
                <w14:textFill>
                  <w14:solidFill>
                    <w14:schemeClr w14:val="tx1"/>
                  </w14:solidFill>
                </w14:textFill>
              </w:rPr>
              <w:t>自</w:t>
            </w:r>
            <w:r>
              <w:rPr>
                <w:rFonts w:hint="default" w:hAnsi="宋体" w:cs="宋体"/>
                <w:color w:val="000000" w:themeColor="text1"/>
                <w:kern w:val="2"/>
                <w:sz w:val="21"/>
                <w:szCs w:val="21"/>
                <w:highlight w:val="none"/>
                <w:lang w:bidi="ar"/>
                <w14:textFill>
                  <w14:solidFill>
                    <w14:schemeClr w14:val="tx1"/>
                  </w14:solidFill>
                </w14:textFill>
              </w:rPr>
              <w:t xml:space="preserve">2021 </w:t>
            </w:r>
            <w:r>
              <w:rPr>
                <w:rFonts w:hint="eastAsia" w:hAnsi="宋体" w:cs="宋体"/>
                <w:color w:val="000000" w:themeColor="text1"/>
                <w:kern w:val="2"/>
                <w:sz w:val="21"/>
                <w:szCs w:val="21"/>
                <w:highlight w:val="none"/>
                <w:lang w:bidi="ar"/>
                <w14:textFill>
                  <w14:solidFill>
                    <w14:schemeClr w14:val="tx1"/>
                  </w14:solidFill>
                </w14:textFill>
              </w:rPr>
              <w:t>年</w:t>
            </w:r>
            <w:r>
              <w:rPr>
                <w:rFonts w:hint="default" w:hAnsi="宋体" w:cs="宋体"/>
                <w:color w:val="000000" w:themeColor="text1"/>
                <w:kern w:val="2"/>
                <w:sz w:val="21"/>
                <w:szCs w:val="21"/>
                <w:highlight w:val="none"/>
                <w:lang w:bidi="ar"/>
                <w14:textFill>
                  <w14:solidFill>
                    <w14:schemeClr w14:val="tx1"/>
                  </w14:solidFill>
                </w14:textFill>
              </w:rPr>
              <w:t xml:space="preserve">1 </w:t>
            </w:r>
            <w:r>
              <w:rPr>
                <w:rFonts w:hint="eastAsia" w:hAnsi="宋体" w:cs="宋体"/>
                <w:color w:val="000000" w:themeColor="text1"/>
                <w:kern w:val="2"/>
                <w:sz w:val="21"/>
                <w:szCs w:val="21"/>
                <w:highlight w:val="none"/>
                <w:lang w:bidi="ar"/>
                <w14:textFill>
                  <w14:solidFill>
                    <w14:schemeClr w14:val="tx1"/>
                  </w14:solidFill>
                </w14:textFill>
              </w:rPr>
              <w:t>月</w:t>
            </w:r>
            <w:r>
              <w:rPr>
                <w:rFonts w:hint="default" w:hAnsi="宋体" w:cs="宋体"/>
                <w:color w:val="000000" w:themeColor="text1"/>
                <w:kern w:val="2"/>
                <w:sz w:val="21"/>
                <w:szCs w:val="21"/>
                <w:highlight w:val="none"/>
                <w:lang w:bidi="ar"/>
                <w14:textFill>
                  <w14:solidFill>
                    <w14:schemeClr w14:val="tx1"/>
                  </w14:solidFill>
                </w14:textFill>
              </w:rPr>
              <w:t xml:space="preserve">1 </w:t>
            </w:r>
            <w:r>
              <w:rPr>
                <w:rFonts w:hint="eastAsia" w:hAnsi="宋体" w:cs="宋体"/>
                <w:color w:val="000000" w:themeColor="text1"/>
                <w:kern w:val="2"/>
                <w:sz w:val="21"/>
                <w:szCs w:val="21"/>
                <w:highlight w:val="none"/>
                <w:lang w:bidi="ar"/>
                <w14:textFill>
                  <w14:solidFill>
                    <w14:schemeClr w14:val="tx1"/>
                  </w14:solidFill>
                </w14:textFill>
              </w:rPr>
              <w:t>日至今，投标人获得过</w:t>
            </w:r>
            <w:r>
              <w:rPr>
                <w:rFonts w:hint="eastAsia" w:hAnsi="宋体" w:cs="宋体"/>
                <w:color w:val="000000" w:themeColor="text1"/>
                <w:kern w:val="2"/>
                <w:sz w:val="21"/>
                <w:szCs w:val="21"/>
                <w:highlight w:val="none"/>
                <w:lang w:val="en-US" w:eastAsia="zh-CN" w:bidi="ar"/>
                <w14:textFill>
                  <w14:solidFill>
                    <w14:schemeClr w14:val="tx1"/>
                  </w14:solidFill>
                </w14:textFill>
              </w:rPr>
              <w:t>市</w:t>
            </w:r>
            <w:r>
              <w:rPr>
                <w:rFonts w:hint="eastAsia" w:hAnsi="宋体" w:cs="宋体"/>
                <w:color w:val="000000" w:themeColor="text1"/>
                <w:kern w:val="2"/>
                <w:sz w:val="21"/>
                <w:szCs w:val="21"/>
                <w:highlight w:val="none"/>
                <w:lang w:bidi="ar"/>
                <w14:textFill>
                  <w14:solidFill>
                    <w14:schemeClr w14:val="tx1"/>
                  </w14:solidFill>
                </w14:textFill>
              </w:rPr>
              <w:t>级（或以上）部门颁发的造价类优秀工程造价成果奖，每个得1</w:t>
            </w:r>
            <w:r>
              <w:rPr>
                <w:rFonts w:hint="default" w:hAnsi="宋体" w:cs="宋体"/>
                <w:color w:val="000000" w:themeColor="text1"/>
                <w:kern w:val="2"/>
                <w:sz w:val="21"/>
                <w:szCs w:val="21"/>
                <w:highlight w:val="none"/>
                <w:lang w:bidi="ar"/>
                <w14:textFill>
                  <w14:solidFill>
                    <w14:schemeClr w14:val="tx1"/>
                  </w14:solidFill>
                </w14:textFill>
              </w:rPr>
              <w:t xml:space="preserve"> </w:t>
            </w:r>
            <w:r>
              <w:rPr>
                <w:rFonts w:hint="eastAsia" w:hAnsi="宋体" w:cs="宋体"/>
                <w:color w:val="000000" w:themeColor="text1"/>
                <w:kern w:val="2"/>
                <w:sz w:val="21"/>
                <w:szCs w:val="21"/>
                <w:highlight w:val="none"/>
                <w:lang w:bidi="ar"/>
                <w14:textFill>
                  <w14:solidFill>
                    <w14:schemeClr w14:val="tx1"/>
                  </w14:solidFill>
                </w14:textFill>
              </w:rPr>
              <w:t>分，本项最多得10分。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atLeast"/>
          <w:jc w:val="center"/>
        </w:trPr>
        <w:tc>
          <w:tcPr>
            <w:tcW w:w="1087" w:type="dxa"/>
            <w:vMerge w:val="continue"/>
            <w:vAlign w:val="center"/>
          </w:tcPr>
          <w:p>
            <w:pPr>
              <w:keepNext w:val="0"/>
              <w:keepLines w:val="0"/>
              <w:widowControl/>
              <w:suppressLineNumbers w:val="0"/>
              <w:shd w:val="clear"/>
              <w:kinsoku w:val="0"/>
              <w:overflowPunct w:val="0"/>
              <w:adjustRightInd w:val="0"/>
              <w:snapToGrid w:val="0"/>
              <w:spacing w:before="0" w:beforeAutospacing="0" w:after="0" w:afterAutospacing="0" w:line="240" w:lineRule="auto"/>
              <w:ind w:left="0" w:right="0" w:firstLineChars="0"/>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企业综合实力（10分）</w:t>
            </w:r>
          </w:p>
        </w:tc>
        <w:tc>
          <w:tcPr>
            <w:tcW w:w="6814" w:type="dxa"/>
            <w:vAlign w:val="center"/>
          </w:tcPr>
          <w:p>
            <w:pPr>
              <w:pStyle w:val="26"/>
              <w:keepNext w:val="0"/>
              <w:keepLines w:val="0"/>
              <w:widowControl w:val="0"/>
              <w:numPr>
                <w:ilvl w:val="-1"/>
                <w:numId w:val="0"/>
              </w:numPr>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投标人参与过造价定额编制或指标标准等修编的，并经相关主管部门发布执行：</w:t>
            </w:r>
          </w:p>
          <w:p>
            <w:pPr>
              <w:pStyle w:val="26"/>
              <w:keepNext w:val="0"/>
              <w:keepLines w:val="0"/>
              <w:widowControl w:val="0"/>
              <w:numPr>
                <w:ilvl w:val="-1"/>
                <w:numId w:val="0"/>
              </w:numPr>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14:textFill>
                  <w14:solidFill>
                    <w14:schemeClr w14:val="tx1"/>
                  </w14:solidFill>
                </w14:textFill>
              </w:rPr>
              <w:t>国家级得10分；</w:t>
            </w:r>
          </w:p>
          <w:p>
            <w:pPr>
              <w:pStyle w:val="26"/>
              <w:keepNext w:val="0"/>
              <w:keepLines w:val="0"/>
              <w:widowControl w:val="0"/>
              <w:numPr>
                <w:ilvl w:val="-1"/>
                <w:numId w:val="0"/>
              </w:numPr>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14:textFill>
                  <w14:solidFill>
                    <w14:schemeClr w14:val="tx1"/>
                  </w14:solidFill>
                </w14:textFill>
              </w:rPr>
              <w:t>省级得5分；</w:t>
            </w:r>
          </w:p>
          <w:p>
            <w:pPr>
              <w:pStyle w:val="26"/>
              <w:keepNext w:val="0"/>
              <w:keepLines w:val="0"/>
              <w:widowControl w:val="0"/>
              <w:numPr>
                <w:ilvl w:val="-1"/>
                <w:numId w:val="0"/>
              </w:numPr>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hAnsi="宋体" w:cs="宋体"/>
                <w:color w:val="000000" w:themeColor="text1"/>
                <w:sz w:val="21"/>
                <w:szCs w:val="21"/>
                <w:highlight w:val="none"/>
                <w14:textFill>
                  <w14:solidFill>
                    <w14:schemeClr w14:val="tx1"/>
                  </w14:solidFill>
                </w14:textFill>
              </w:rPr>
              <w:t>市级得1分</w:t>
            </w:r>
            <w:r>
              <w:rPr>
                <w:rFonts w:hint="eastAsia" w:hAnsi="宋体" w:cs="宋体"/>
                <w:color w:val="000000" w:themeColor="text1"/>
                <w:sz w:val="21"/>
                <w:szCs w:val="21"/>
                <w:highlight w:val="none"/>
                <w:lang w:eastAsia="zh-CN"/>
                <w14:textFill>
                  <w14:solidFill>
                    <w14:schemeClr w14:val="tx1"/>
                  </w14:solidFill>
                </w14:textFill>
              </w:rPr>
              <w:t>；</w:t>
            </w:r>
          </w:p>
          <w:p>
            <w:pPr>
              <w:pStyle w:val="26"/>
              <w:keepNext w:val="0"/>
              <w:keepLines w:val="0"/>
              <w:widowControl w:val="0"/>
              <w:numPr>
                <w:ilvl w:val="-1"/>
                <w:numId w:val="0"/>
              </w:numPr>
              <w:suppressLineNumbers w:val="0"/>
              <w:shd w:val="clear"/>
              <w:adjustRightInd w:val="0"/>
              <w:snapToGrid w:val="0"/>
              <w:spacing w:before="0" w:beforeAutospacing="0" w:after="0" w:afterAutospacing="0" w:line="300" w:lineRule="exact"/>
              <w:ind w:left="118" w:leftChars="49" w:right="26" w:rightChars="11"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本项最高得10分。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87" w:type="dxa"/>
            <w:vMerge w:val="continue"/>
            <w:vAlign w:val="center"/>
          </w:tcPr>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keepNext w:val="0"/>
              <w:keepLines w:val="0"/>
              <w:widowControl/>
              <w:suppressLineNumbers w:val="0"/>
              <w:shd w:val="clear"/>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企业认证（3分）</w:t>
            </w:r>
          </w:p>
        </w:tc>
        <w:tc>
          <w:tcPr>
            <w:tcW w:w="6814"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投标人具有有效的质量管理体系认证、环境管理体系认证、职业健康安全管理体系认证，每提供1项得1分，本项最高得3分。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087" w:type="dxa"/>
            <w:vMerge w:val="continue"/>
            <w:vAlign w:val="center"/>
          </w:tcPr>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项目负责人水平（</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hAnsi="宋体" w:cs="宋体"/>
                <w:color w:val="000000" w:themeColor="text1"/>
                <w:sz w:val="21"/>
                <w:szCs w:val="21"/>
                <w:highlight w:val="none"/>
                <w14:textFill>
                  <w14:solidFill>
                    <w14:schemeClr w14:val="tx1"/>
                  </w14:solidFill>
                </w14:textFill>
              </w:rPr>
              <w:t>分）</w:t>
            </w:r>
          </w:p>
        </w:tc>
        <w:tc>
          <w:tcPr>
            <w:tcW w:w="6814"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lang w:val="en-US" w:eastAsia="zh-CN"/>
                <w14:textFill>
                  <w14:solidFill>
                    <w14:schemeClr w14:val="tx1"/>
                  </w14:solidFill>
                </w14:textFill>
              </w:rPr>
              <w:t>1.</w:t>
            </w:r>
            <w:r>
              <w:rPr>
                <w:rFonts w:hint="eastAsia" w:hAnsi="宋体" w:cs="宋体"/>
                <w:color w:val="000000" w:themeColor="text1"/>
                <w:kern w:val="2"/>
                <w:sz w:val="21"/>
                <w:szCs w:val="21"/>
                <w:highlight w:val="none"/>
                <w14:textFill>
                  <w14:solidFill>
                    <w14:schemeClr w14:val="tx1"/>
                  </w14:solidFill>
                </w14:textFill>
              </w:rPr>
              <w:t>项目负责人具有工程造价相关专业高级（或以上）工程师职称的，得</w:t>
            </w:r>
            <w:r>
              <w:rPr>
                <w:rFonts w:hint="eastAsia" w:hAnsi="宋体" w:cs="宋体"/>
                <w:color w:val="000000" w:themeColor="text1"/>
                <w:kern w:val="2"/>
                <w:sz w:val="21"/>
                <w:szCs w:val="21"/>
                <w:highlight w:val="none"/>
                <w:lang w:val="en-US" w:eastAsia="zh-CN"/>
                <w14:textFill>
                  <w14:solidFill>
                    <w14:schemeClr w14:val="tx1"/>
                  </w14:solidFill>
                </w14:textFill>
              </w:rPr>
              <w:t>3</w:t>
            </w:r>
            <w:r>
              <w:rPr>
                <w:rFonts w:hint="eastAsia" w:hAnsi="宋体" w:cs="宋体"/>
                <w:color w:val="000000" w:themeColor="text1"/>
                <w:kern w:val="2"/>
                <w:sz w:val="21"/>
                <w:szCs w:val="21"/>
                <w:highlight w:val="none"/>
                <w14:textFill>
                  <w14:solidFill>
                    <w14:schemeClr w14:val="tx1"/>
                  </w14:solidFill>
                </w14:textFill>
              </w:rPr>
              <w:t>分，本小项最高得</w:t>
            </w:r>
            <w:r>
              <w:rPr>
                <w:rFonts w:hint="eastAsia" w:hAnsi="宋体" w:cs="宋体"/>
                <w:color w:val="000000" w:themeColor="text1"/>
                <w:kern w:val="2"/>
                <w:sz w:val="21"/>
                <w:szCs w:val="21"/>
                <w:highlight w:val="none"/>
                <w:lang w:val="en-US" w:eastAsia="zh-CN"/>
                <w14:textFill>
                  <w14:solidFill>
                    <w14:schemeClr w14:val="tx1"/>
                  </w14:solidFill>
                </w14:textFill>
              </w:rPr>
              <w:t>3</w:t>
            </w:r>
            <w:r>
              <w:rPr>
                <w:rFonts w:hint="eastAsia" w:hAnsi="宋体" w:cs="宋体"/>
                <w:color w:val="000000" w:themeColor="text1"/>
                <w:kern w:val="2"/>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rPr>
                <w:rFonts w:hint="eastAsia"/>
                <w:color w:val="000000" w:themeColor="text1"/>
                <w:sz w:val="21"/>
                <w:szCs w:val="21"/>
                <w:highlight w:val="none"/>
                <w14:textFill>
                  <w14:solidFill>
                    <w14:schemeClr w14:val="tx1"/>
                  </w14:solidFill>
                </w14:textFill>
              </w:rPr>
            </w:pPr>
            <w:r>
              <w:rPr>
                <w:rFonts w:hint="eastAsia"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2"/>
                <w:sz w:val="21"/>
                <w:szCs w:val="21"/>
                <w:highlight w:val="none"/>
                <w14:textFill>
                  <w14:solidFill>
                    <w14:schemeClr w14:val="tx1"/>
                  </w14:solidFill>
                </w14:textFill>
              </w:rPr>
              <w:t>2021年1月1日至投标截止时间止，项目负责人参与的造价咨询项目获得过</w:t>
            </w:r>
            <w:r>
              <w:rPr>
                <w:rFonts w:hint="eastAsia" w:hAnsi="宋体" w:cs="宋体"/>
                <w:color w:val="000000" w:themeColor="text1"/>
                <w:kern w:val="2"/>
                <w:sz w:val="21"/>
                <w:szCs w:val="21"/>
                <w:highlight w:val="none"/>
                <w:lang w:val="en-US" w:eastAsia="zh-CN" w:bidi="ar"/>
                <w14:textFill>
                  <w14:solidFill>
                    <w14:schemeClr w14:val="tx1"/>
                  </w14:solidFill>
                </w14:textFill>
              </w:rPr>
              <w:t>市</w:t>
            </w:r>
            <w:r>
              <w:rPr>
                <w:rFonts w:hint="eastAsia" w:hAnsi="宋体" w:cs="宋体"/>
                <w:color w:val="000000" w:themeColor="text1"/>
                <w:kern w:val="2"/>
                <w:sz w:val="21"/>
                <w:szCs w:val="21"/>
                <w:highlight w:val="none"/>
                <w:lang w:bidi="ar"/>
                <w14:textFill>
                  <w14:solidFill>
                    <w14:schemeClr w14:val="tx1"/>
                  </w14:solidFill>
                </w14:textFill>
              </w:rPr>
              <w:t>级（或以上）部门</w:t>
            </w:r>
            <w:r>
              <w:rPr>
                <w:rFonts w:hint="eastAsia" w:ascii="宋体" w:hAnsi="宋体" w:eastAsia="宋体" w:cs="宋体"/>
                <w:b w:val="0"/>
                <w:bCs w:val="0"/>
                <w:color w:val="000000" w:themeColor="text1"/>
                <w:kern w:val="2"/>
                <w:sz w:val="21"/>
                <w:szCs w:val="21"/>
                <w:highlight w:val="none"/>
                <w14:textFill>
                  <w14:solidFill>
                    <w14:schemeClr w14:val="tx1"/>
                  </w14:solidFill>
                </w14:textFill>
              </w:rPr>
              <w:t>颁发的优秀成果奖项的得</w:t>
            </w:r>
            <w:r>
              <w:rPr>
                <w:rFonts w:hint="eastAsia" w:hAnsi="宋体" w:cs="宋体"/>
                <w:b w:val="0"/>
                <w:bCs w:val="0"/>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1087" w:type="dxa"/>
            <w:vMerge w:val="continue"/>
            <w:vAlign w:val="center"/>
          </w:tcPr>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p>
        </w:tc>
        <w:tc>
          <w:tcPr>
            <w:tcW w:w="1292" w:type="dxa"/>
            <w:vMerge w:val="restart"/>
            <w:vAlign w:val="center"/>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其他服务本项目人员（项目负责人除外）（2</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hAnsi="宋体" w:cs="宋体"/>
                <w:color w:val="000000" w:themeColor="text1"/>
                <w:sz w:val="21"/>
                <w:szCs w:val="21"/>
                <w:highlight w:val="none"/>
                <w14:textFill>
                  <w14:solidFill>
                    <w14:schemeClr w14:val="tx1"/>
                  </w14:solidFill>
                </w14:textFill>
              </w:rPr>
              <w:t>分）</w:t>
            </w:r>
          </w:p>
        </w:tc>
        <w:tc>
          <w:tcPr>
            <w:tcW w:w="6814" w:type="dxa"/>
            <w:vAlign w:val="center"/>
          </w:tcPr>
          <w:p>
            <w:pPr>
              <w:keepNext w:val="0"/>
              <w:keepLines w:val="0"/>
              <w:widowControl/>
              <w:suppressLineNumbers w:val="0"/>
              <w:shd w:val="clear"/>
              <w:adjustRightInd w:val="0"/>
              <w:snapToGrid w:val="0"/>
              <w:spacing w:before="0" w:beforeAutospacing="0" w:after="0" w:afterAutospacing="0" w:line="300" w:lineRule="exact"/>
              <w:ind w:left="122" w:leftChars="51" w:right="24" w:rightChars="10" w:firstLine="0" w:firstLineChars="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1、投标人满足以下要求：</w:t>
            </w:r>
          </w:p>
          <w:p>
            <w:pPr>
              <w:keepNext w:val="0"/>
              <w:keepLines w:val="0"/>
              <w:widowControl/>
              <w:suppressLineNumbers w:val="0"/>
              <w:shd w:val="clear"/>
              <w:adjustRightInd w:val="0"/>
              <w:snapToGrid w:val="0"/>
              <w:spacing w:before="0" w:beforeAutospacing="0" w:after="0" w:afterAutospacing="0" w:line="300" w:lineRule="exact"/>
              <w:ind w:left="122" w:leftChars="51" w:right="24" w:rightChars="10" w:firstLine="0" w:firstLineChars="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（1）其他服务本项目人员中，具有一级注册造价工程师的，每人得1分；本小项最高得</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hAnsi="宋体" w:cs="宋体"/>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122" w:leftChars="51" w:right="24" w:rightChars="10" w:firstLine="0" w:firstLineChars="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（2）其他服务本项目人员中，具有工程相关专业高级（或以上）工程师职称的，每人得1分；具有工程相关专业中级（或以上）工程师职称的，每人得0.5分；本小项最高得</w:t>
            </w: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hAnsi="宋体" w:cs="宋体"/>
                <w:color w:val="000000" w:themeColor="text1"/>
                <w:sz w:val="21"/>
                <w:szCs w:val="2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087" w:type="dxa"/>
            <w:vMerge w:val="continue"/>
            <w:vAlign w:val="center"/>
          </w:tcPr>
          <w:p>
            <w:pPr>
              <w:keepNext w:val="0"/>
              <w:keepLines w:val="0"/>
              <w:widowControl/>
              <w:suppressLineNumbers w:val="0"/>
              <w:shd w:val="clear"/>
              <w:adjustRightInd w:val="0"/>
              <w:snapToGrid w:val="0"/>
              <w:spacing w:before="0" w:beforeAutospacing="0" w:after="0" w:afterAutospacing="0" w:line="300" w:lineRule="exact"/>
              <w:ind w:left="122" w:leftChars="51" w:right="24" w:rightChars="10" w:firstLine="0" w:firstLineChars="0"/>
              <w:rPr>
                <w:rFonts w:hint="default"/>
                <w:color w:val="000000" w:themeColor="text1"/>
                <w:szCs w:val="20"/>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300" w:lineRule="exact"/>
              <w:ind w:left="122" w:leftChars="51" w:right="24" w:rightChars="10" w:firstLine="0" w:firstLineChars="0"/>
              <w:rPr>
                <w:rFonts w:hint="default"/>
                <w:color w:val="000000" w:themeColor="text1"/>
                <w:szCs w:val="20"/>
                <w:highlight w:val="none"/>
                <w14:textFill>
                  <w14:solidFill>
                    <w14:schemeClr w14:val="tx1"/>
                  </w14:solidFill>
                </w14:textFill>
              </w:rPr>
            </w:pPr>
          </w:p>
        </w:tc>
        <w:tc>
          <w:tcPr>
            <w:tcW w:w="1292" w:type="dxa"/>
            <w:vMerge w:val="continue"/>
            <w:vAlign w:val="center"/>
          </w:tcPr>
          <w:p>
            <w:pPr>
              <w:keepNext w:val="0"/>
              <w:keepLines w:val="0"/>
              <w:widowControl/>
              <w:suppressLineNumbers w:val="0"/>
              <w:shd w:val="clear"/>
              <w:adjustRightInd w:val="0"/>
              <w:snapToGrid w:val="0"/>
              <w:spacing w:before="0" w:beforeAutospacing="0" w:after="0" w:afterAutospacing="0" w:line="300" w:lineRule="exact"/>
              <w:ind w:left="122" w:leftChars="51" w:right="24" w:rightChars="10" w:firstLine="0" w:firstLineChars="0"/>
              <w:rPr>
                <w:rFonts w:hint="default"/>
                <w:color w:val="000000" w:themeColor="text1"/>
                <w:sz w:val="21"/>
                <w:szCs w:val="21"/>
                <w:highlight w:val="none"/>
                <w14:textFill>
                  <w14:solidFill>
                    <w14:schemeClr w14:val="tx1"/>
                  </w14:solidFill>
                </w14:textFill>
              </w:rPr>
            </w:pPr>
          </w:p>
        </w:tc>
        <w:tc>
          <w:tcPr>
            <w:tcW w:w="6814" w:type="dxa"/>
            <w:vAlign w:val="center"/>
          </w:tcPr>
          <w:p>
            <w:pPr>
              <w:keepNext w:val="0"/>
              <w:keepLines w:val="0"/>
              <w:widowControl/>
              <w:numPr>
                <w:ilvl w:val="-1"/>
                <w:numId w:val="0"/>
              </w:numPr>
              <w:suppressLineNumbers w:val="0"/>
              <w:shd w:val="clear"/>
              <w:adjustRightInd w:val="0"/>
              <w:snapToGrid w:val="0"/>
              <w:spacing w:before="0" w:beforeAutospacing="0" w:after="0" w:afterAutospacing="0" w:line="300" w:lineRule="exact"/>
              <w:ind w:left="122" w:leftChars="51" w:right="24" w:rightChars="10" w:firstLine="0" w:firstLineChars="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2、2021年1月1日至投标截止时间止，其他服务本项目人员参与的造价咨询项目获得过</w:t>
            </w:r>
            <w:r>
              <w:rPr>
                <w:rFonts w:hint="eastAsia" w:hAnsi="宋体" w:cs="宋体"/>
                <w:color w:val="000000" w:themeColor="text1"/>
                <w:kern w:val="2"/>
                <w:sz w:val="21"/>
                <w:szCs w:val="21"/>
                <w:highlight w:val="none"/>
                <w:lang w:val="en-US" w:eastAsia="zh-CN" w:bidi="ar"/>
                <w14:textFill>
                  <w14:solidFill>
                    <w14:schemeClr w14:val="tx1"/>
                  </w14:solidFill>
                </w14:textFill>
              </w:rPr>
              <w:t>市</w:t>
            </w:r>
            <w:r>
              <w:rPr>
                <w:rFonts w:hint="eastAsia" w:hAnsi="宋体" w:cs="宋体"/>
                <w:color w:val="000000" w:themeColor="text1"/>
                <w:kern w:val="2"/>
                <w:sz w:val="21"/>
                <w:szCs w:val="21"/>
                <w:highlight w:val="none"/>
                <w:lang w:bidi="ar"/>
                <w14:textFill>
                  <w14:solidFill>
                    <w14:schemeClr w14:val="tx1"/>
                  </w14:solidFill>
                </w14:textFill>
              </w:rPr>
              <w:t>级（或以上）部门</w:t>
            </w:r>
            <w:r>
              <w:rPr>
                <w:rFonts w:hint="eastAsia" w:hAnsi="宋体" w:cs="宋体"/>
                <w:color w:val="000000" w:themeColor="text1"/>
                <w:sz w:val="21"/>
                <w:szCs w:val="21"/>
                <w:highlight w:val="none"/>
                <w14:textFill>
                  <w14:solidFill>
                    <w14:schemeClr w14:val="tx1"/>
                  </w14:solidFill>
                </w14:textFill>
              </w:rPr>
              <w:t>颁发的优秀成果奖项的，每人得1分，本小项最高得</w:t>
            </w: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hAnsi="宋体" w:cs="宋体"/>
                <w:color w:val="000000" w:themeColor="text1"/>
                <w:sz w:val="21"/>
                <w:szCs w:val="2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7" w:type="dxa"/>
            <w:vMerge w:val="restart"/>
            <w:tcBorders>
              <w:top w:val="single" w:color="auto" w:sz="4" w:space="0"/>
            </w:tcBorders>
            <w:vAlign w:val="center"/>
          </w:tcPr>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48" w:leftChars="20" w:right="48" w:rightChars="20" w:firstLine="420"/>
              <w:jc w:val="left"/>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spacing w:before="0" w:beforeAutospacing="0" w:after="0" w:afterAutospacing="0" w:line="240" w:lineRule="auto"/>
              <w:ind w:left="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2.2.4（2）</w:t>
            </w: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tc>
        <w:tc>
          <w:tcPr>
            <w:tcW w:w="1038" w:type="dxa"/>
            <w:vMerge w:val="restart"/>
            <w:tcBorders>
              <w:top w:val="single" w:color="auto" w:sz="4" w:space="0"/>
            </w:tcBorders>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服务方案部分</w:t>
            </w: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（35分）</w:t>
            </w:r>
          </w:p>
        </w:tc>
        <w:tc>
          <w:tcPr>
            <w:tcW w:w="1292" w:type="dxa"/>
            <w:vAlign w:val="center"/>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管理团队（5分）</w:t>
            </w:r>
          </w:p>
        </w:tc>
        <w:tc>
          <w:tcPr>
            <w:tcW w:w="6814" w:type="dxa"/>
            <w:vAlign w:val="top"/>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1.优：造价管理团队组建合理，各专业人员齐全，职责分工明确的，得</w:t>
            </w: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2.良：造价管理团队组建较合理，各专业人员基本齐全，职责分工基本明确的，得 </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 xml:space="preserve">分； </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3.差：造价管理团队组建不合理，各专业人员不齐全，职责分</w:t>
            </w:r>
            <w:r>
              <w:rPr>
                <w:rFonts w:hint="eastAsia" w:ascii="宋体" w:hAnsi="Times New Roman" w:eastAsia="宋体" w:cs="Times New Roman"/>
                <w:color w:val="000000" w:themeColor="text1"/>
                <w:sz w:val="21"/>
                <w:szCs w:val="21"/>
                <w:highlight w:val="none"/>
                <w14:textFill>
                  <w14:solidFill>
                    <w14:schemeClr w14:val="tx1"/>
                  </w14:solidFill>
                </w14:textFill>
              </w:rPr>
              <w:t>工不明确的，得</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宋体" w:hAnsi="Times New Roman" w:eastAsia="宋体" w:cs="Times New Roman"/>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0" w:leftChars="0" w:right="48" w:rightChars="20" w:firstLine="0" w:firstLineChars="0"/>
              <w:rPr>
                <w:rFonts w:hint="default" w:eastAsia="宋体"/>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4.无：没有的，不得分。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1087" w:type="dxa"/>
            <w:vMerge w:val="continue"/>
            <w:vAlign w:val="center"/>
          </w:tcPr>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服务质量、方法及措施（10分）</w:t>
            </w:r>
          </w:p>
        </w:tc>
        <w:tc>
          <w:tcPr>
            <w:tcW w:w="6814" w:type="dxa"/>
            <w:vAlign w:val="top"/>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 xml:space="preserve">1.优：服务的质量、方法及措施完善，组织协调能力强，工作方案思路清晰，操作性强，有严格承诺严格遵守本次委托人对工程造价咨询的各项要求和规定的，得 </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宋体" w:hAnsi="Times New Roman" w:eastAsia="宋体" w:cs="Times New Roman"/>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default"/>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2.良：服务的质量、方法及措施较完善，组织协调能力较强，工作方案思路比较清晰，操作性较强评为良，有一般承诺严格遵守本次委托人对工程造价咨询的各项要求和规定的，得</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3.差：服务的质量、方法及措施一般，组织协调能力一般，工作方案思路清晰度及操作性一般，有承诺但不明确的或无承诺的定的，得 </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0" w:leftChars="0" w:right="48" w:rightChars="20" w:firstLine="0" w:firstLineChars="0"/>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4.无：没有的，不得分。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jc w:val="center"/>
        </w:trPr>
        <w:tc>
          <w:tcPr>
            <w:tcW w:w="1087" w:type="dxa"/>
            <w:vMerge w:val="continue"/>
            <w:vAlign w:val="center"/>
          </w:tcPr>
          <w:p>
            <w:pPr>
              <w:keepNext w:val="0"/>
              <w:keepLines w:val="0"/>
              <w:widowControl/>
              <w:suppressLineNumbers w:val="0"/>
              <w:shd w:val="clear"/>
              <w:spacing w:before="0" w:beforeAutospacing="0" w:after="0" w:afterAutospacing="0" w:line="240" w:lineRule="auto"/>
              <w:ind w:left="48" w:leftChars="20" w:right="48" w:rightChars="20" w:firstLine="420"/>
              <w:jc w:val="center"/>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重点难点分析（10分）</w:t>
            </w:r>
          </w:p>
        </w:tc>
        <w:tc>
          <w:tcPr>
            <w:tcW w:w="6814" w:type="dxa"/>
            <w:vAlign w:val="top"/>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1.优：针对本项目的特点,清楚专业工程和工序，本项目造价咨询服务各阶段的造价控制的重点难点剖析到位；造价控制技术性合理化切实可行的，得 </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2.良：基本针对本项目工程的特点，比较清楚专业工程和工序，对本项目的造价咨询服务管理重点难点分析一般，合理化建议有一定的可行性的，得</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left"/>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3.差：未针对本项目特点，专业工程和工序描述不清楚，对本项目的造价咨询服务管理重点难点有基本认识，无合理化建议或建议不可行的，得</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0" w:leftChars="0" w:right="48" w:rightChars="20" w:firstLine="0" w:firstLineChars="0"/>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4.无：没有的，不得分。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9" w:hRule="exact"/>
          <w:jc w:val="center"/>
        </w:trPr>
        <w:tc>
          <w:tcPr>
            <w:tcW w:w="1087"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p>
        </w:tc>
        <w:tc>
          <w:tcPr>
            <w:tcW w:w="1038" w:type="dxa"/>
            <w:vMerge w:val="continue"/>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p>
        </w:tc>
        <w:tc>
          <w:tcPr>
            <w:tcW w:w="1292" w:type="dxa"/>
            <w:vAlign w:val="center"/>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企业规章制度及承诺（10分）</w:t>
            </w:r>
          </w:p>
        </w:tc>
        <w:tc>
          <w:tcPr>
            <w:tcW w:w="6814" w:type="dxa"/>
            <w:vAlign w:val="top"/>
          </w:tcPr>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1.优：企业规章制度完善并承诺在本项目造价咨询中贯彻执行，对本项目造价控制的服务质量保证和承诺充分合理，有人力、物力资源保证承诺，质量保证承诺，公正诚信服务承诺，造价咨询工作质量保证措施承诺，工作进度保证措施承诺，服务响应承诺，违约责任、经济赔偿大小的承诺，保密承诺的，得 </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1</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rPr>
                <w:rFonts w:hint="default"/>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2.良：企业规章制度较完善，对本项目造价控制的服务质量保证和承诺较充分，有关于保证明按时按质按量完成委托的咨询业务，对咨询服务的真实性、准确性负责，违约责任，经济赔偿大小的承诺书的，得 </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left"/>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3.差：企业规章制度不完善，没有对本项目造价控制的服务质量保证和承诺书或承诺书的阐述不明确、不符合招标文件要求的，得</w:t>
            </w:r>
            <w:r>
              <w:rPr>
                <w:rFonts w:hint="eastAsia" w:ascii="宋体" w:hAnsi="Times New Roman" w:eastAsia="宋体" w:cs="Times New Roman"/>
                <w:color w:val="000000" w:themeColor="text1"/>
                <w:sz w:val="21"/>
                <w:szCs w:val="21"/>
                <w:highlight w:val="none"/>
                <w:lang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分。</w:t>
            </w:r>
          </w:p>
          <w:p>
            <w:pPr>
              <w:keepNext w:val="0"/>
              <w:keepLines w:val="0"/>
              <w:widowControl/>
              <w:suppressLineNumbers w:val="0"/>
              <w:shd w:val="clear"/>
              <w:adjustRightInd w:val="0"/>
              <w:snapToGrid w:val="0"/>
              <w:spacing w:before="0" w:beforeAutospacing="0" w:after="0" w:afterAutospacing="0" w:line="300" w:lineRule="exact"/>
              <w:ind w:left="48" w:leftChars="20" w:right="48" w:rightChars="20" w:firstLine="0" w:firstLineChars="0"/>
              <w:jc w:val="left"/>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4.无：没有的，不得分。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exact"/>
          <w:jc w:val="center"/>
        </w:trPr>
        <w:tc>
          <w:tcPr>
            <w:tcW w:w="1087"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2.2.4</w:t>
            </w:r>
          </w:p>
          <w:p>
            <w:pPr>
              <w:keepNext w:val="0"/>
              <w:keepLines w:val="0"/>
              <w:widowControl/>
              <w:suppressLineNumbers w:val="0"/>
              <w:shd w:val="clear"/>
              <w:spacing w:before="0" w:beforeAutospacing="0" w:after="0" w:afterAutospacing="0" w:line="240" w:lineRule="auto"/>
              <w:ind w:left="0" w:right="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038"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lef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价格部分（10分）</w:t>
            </w:r>
          </w:p>
        </w:tc>
        <w:tc>
          <w:tcPr>
            <w:tcW w:w="1292"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报价得分</w:t>
            </w:r>
          </w:p>
        </w:tc>
        <w:tc>
          <w:tcPr>
            <w:tcW w:w="6814" w:type="dxa"/>
            <w:vAlign w:val="center"/>
          </w:tcPr>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1.以评标基准价作为计算各有效投标价得分的基础，当有效投标报价等于评标基准价时计算得分100分；投标有效报价与评标基准价之差，每上偏1%扣1.5分，每下偏1%扣1.0分，最多扣至0分。</w:t>
            </w:r>
          </w:p>
          <w:p>
            <w:pPr>
              <w:keepNext w:val="0"/>
              <w:keepLines w:val="0"/>
              <w:widowControl/>
              <w:suppressLineNumbers w:val="0"/>
              <w:shd w:val="clear"/>
              <w:adjustRightInd w:val="0"/>
              <w:snapToGrid w:val="0"/>
              <w:spacing w:before="0" w:beforeAutospacing="0" w:after="0" w:afterAutospacing="0" w:line="240" w:lineRule="auto"/>
              <w:ind w:left="48" w:leftChars="20" w:right="48" w:rightChars="20" w:firstLine="0" w:firstLineChars="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2.投标人报价得分=报价计算得分×10%，得出投标报价得分，精确到小数点后两位。</w:t>
            </w:r>
          </w:p>
        </w:tc>
      </w:tr>
    </w:tbl>
    <w:p>
      <w:pPr>
        <w:shd w:val="clear"/>
        <w:spacing w:line="264" w:lineRule="auto"/>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1.造价咨询业绩：提供中标通知书（或免招标的相关证明）、合同原件</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关键页</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扫描件，时间以合同签订时间为准，中标金额以签订合同上载明金额为准。</w:t>
      </w:r>
    </w:p>
    <w:p>
      <w:pPr>
        <w:shd w:val="clear"/>
        <w:spacing w:line="264" w:lineRule="auto"/>
        <w:ind w:firstLine="480"/>
        <w:rPr>
          <w:rFonts w:hint="eastAsia" w:hAnsi="宋体"/>
          <w:color w:val="000000" w:themeColor="text1"/>
          <w:highlight w:val="none"/>
          <w:lang w:bidi="ar"/>
          <w14:textFill>
            <w14:solidFill>
              <w14:schemeClr w14:val="tx1"/>
            </w14:solidFill>
          </w14:textFill>
        </w:rPr>
      </w:pPr>
      <w:r>
        <w:rPr>
          <w:rFonts w:hint="eastAsia" w:hAnsi="宋体"/>
          <w:color w:val="000000" w:themeColor="text1"/>
          <w:highlight w:val="none"/>
          <w14:textFill>
            <w14:solidFill>
              <w14:schemeClr w14:val="tx1"/>
            </w14:solidFill>
          </w14:textFill>
        </w:rPr>
        <w:t>2.企业业绩获奖：时间以发证时间为准，需提供获奖证书（或获奖正式文件）扫描件</w:t>
      </w:r>
      <w:r>
        <w:rPr>
          <w:rFonts w:hint="eastAsia" w:hAnsi="宋体"/>
          <w:color w:val="000000" w:themeColor="text1"/>
          <w:highlight w:val="none"/>
          <w:lang w:bidi="ar"/>
          <w14:textFill>
            <w14:solidFill>
              <w14:schemeClr w14:val="tx1"/>
            </w14:solidFill>
          </w14:textFill>
        </w:rPr>
        <w:t>。</w:t>
      </w:r>
      <w:r>
        <w:rPr>
          <w:rFonts w:hint="eastAsia" w:hAnsi="宋体"/>
          <w:color w:val="000000" w:themeColor="text1"/>
          <w:highlight w:val="none"/>
          <w14:textFill>
            <w14:solidFill>
              <w14:schemeClr w14:val="tx1"/>
            </w14:solidFill>
          </w14:textFill>
        </w:rPr>
        <w:t>奖项分别以国家、省、市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打印件并加盖投标单位电子印章，否则不予计分。</w:t>
      </w:r>
      <w:r>
        <w:rPr>
          <w:rFonts w:hint="eastAsia" w:ascii="宋体" w:hAnsi="宋体" w:eastAsia="宋体" w:cs="Times New Roman"/>
          <w:color w:val="000000" w:themeColor="text1"/>
          <w:sz w:val="24"/>
          <w:szCs w:val="24"/>
          <w:highlight w:val="none"/>
          <w:lang w:val="en-US" w:eastAsia="zh-CN" w:bidi="ar"/>
          <w14:textFill>
            <w14:solidFill>
              <w14:schemeClr w14:val="tx1"/>
            </w14:solidFill>
          </w14:textFill>
        </w:rPr>
        <w:t>因各地区“优秀成果奖”表述存在细微差别，奖项名称与上文不完全一致但奖项评审内容相同的，也应属于获得对应奖项。</w:t>
      </w:r>
      <w:r>
        <w:rPr>
          <w:rFonts w:hint="eastAsia" w:hAnsi="宋体"/>
          <w:color w:val="000000" w:themeColor="text1"/>
          <w:highlight w:val="none"/>
          <w14:textFill>
            <w14:solidFill>
              <w14:schemeClr w14:val="tx1"/>
            </w14:solidFill>
          </w14:textFill>
        </w:rPr>
        <w:t>同一个项目只计取1次得分。</w:t>
      </w:r>
    </w:p>
    <w:p>
      <w:pPr>
        <w:pStyle w:val="14"/>
        <w:shd w:val="clear"/>
        <w:spacing w:line="264" w:lineRule="auto"/>
        <w:ind w:firstLine="480"/>
        <w:rPr>
          <w:rFonts w:eastAsia="宋体"/>
          <w:color w:val="000000" w:themeColor="text1"/>
          <w:highlight w:val="none"/>
          <w14:textFill>
            <w14:solidFill>
              <w14:schemeClr w14:val="tx1"/>
            </w14:solidFill>
          </w14:textFill>
        </w:rPr>
      </w:pPr>
      <w:r>
        <w:rPr>
          <w:rFonts w:hint="eastAsia" w:hAnsi="宋体" w:eastAsia="宋体"/>
          <w:color w:val="000000" w:themeColor="text1"/>
          <w:sz w:val="24"/>
          <w:highlight w:val="none"/>
          <w:lang w:bidi="ar"/>
          <w14:textFill>
            <w14:solidFill>
              <w14:schemeClr w14:val="tx1"/>
            </w14:solidFill>
          </w14:textFill>
        </w:rPr>
        <w:t>3.企业综合实力：需提供定额书目或指标标准关键页，包含书目名称、出版或发布时间、显示编制单位等页的扫描件加盖公章；没有提供或提供资料不齐全不得分。</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4</w:t>
      </w:r>
      <w:r>
        <w:rPr>
          <w:rFonts w:hint="eastAsia" w:hAnsi="宋体"/>
          <w:color w:val="000000" w:themeColor="text1"/>
          <w:highlight w:val="none"/>
          <w14:textFill>
            <w14:solidFill>
              <w14:schemeClr w14:val="tx1"/>
            </w14:solidFill>
          </w14:textFill>
        </w:rPr>
        <w:t>.企业认证：提供有效期内的认证证书扫描件。</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5</w:t>
      </w:r>
      <w:r>
        <w:rPr>
          <w:rFonts w:hint="eastAsia" w:hAnsi="宋体"/>
          <w:color w:val="000000" w:themeColor="text1"/>
          <w:highlight w:val="none"/>
          <w14:textFill>
            <w14:solidFill>
              <w14:schemeClr w14:val="tx1"/>
            </w14:solidFill>
          </w14:textFill>
        </w:rPr>
        <w:t>.项目负责人水平：</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t>5</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提供项目负责人的</w:t>
      </w:r>
      <w:r>
        <w:rPr>
          <w:rFonts w:hint="eastAsia" w:hAnsi="宋体"/>
          <w:color w:val="000000" w:themeColor="text1"/>
          <w:highlight w:val="none"/>
          <w:lang w:val="en-US" w:eastAsia="zh-CN"/>
          <w14:textFill>
            <w14:solidFill>
              <w14:schemeClr w14:val="tx1"/>
            </w14:solidFill>
          </w14:textFill>
        </w:rPr>
        <w:t>身份证</w:t>
      </w:r>
      <w:r>
        <w:rPr>
          <w:rFonts w:hint="eastAsia" w:hAnsi="宋体"/>
          <w:color w:val="000000" w:themeColor="text1"/>
          <w:highlight w:val="none"/>
          <w14:textFill>
            <w14:solidFill>
              <w14:schemeClr w14:val="tx1"/>
            </w14:solidFill>
          </w14:textFill>
        </w:rPr>
        <w:t>、职称证书。</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t>5</w:t>
      </w: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项目负责人获奖：时间以发证时间为准，需提供获奖证书（或获奖正式文件）扫描件，且获奖证书（或获奖正式文件）上需体现相关人员姓名。奖项分别以国家、省、市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打印件并加盖投标单位电子印章，否则不予计分。</w:t>
      </w:r>
      <w:r>
        <w:rPr>
          <w:rFonts w:hint="eastAsia" w:ascii="宋体" w:hAnsi="宋体" w:eastAsia="宋体" w:cs="Times New Roman"/>
          <w:color w:val="000000" w:themeColor="text1"/>
          <w:sz w:val="24"/>
          <w:szCs w:val="24"/>
          <w:highlight w:val="none"/>
          <w:lang w:val="en-US" w:eastAsia="zh-CN" w:bidi="ar"/>
          <w14:textFill>
            <w14:solidFill>
              <w14:schemeClr w14:val="tx1"/>
            </w14:solidFill>
          </w14:textFill>
        </w:rPr>
        <w:t>因各地区“优秀成果奖”表述存在细微差别，奖项名称与上文不完全一致但奖项评审内容相同的，也应属于获得对应奖项。</w:t>
      </w:r>
      <w:r>
        <w:rPr>
          <w:rFonts w:hint="eastAsia" w:hAnsi="宋体"/>
          <w:color w:val="000000" w:themeColor="text1"/>
          <w:highlight w:val="none"/>
          <w14:textFill>
            <w14:solidFill>
              <w14:schemeClr w14:val="tx1"/>
            </w14:solidFill>
          </w14:textFill>
        </w:rPr>
        <w:t>同一个项目只计取1次得分。</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6</w:t>
      </w:r>
      <w:r>
        <w:rPr>
          <w:rFonts w:hint="eastAsia" w:hAnsi="宋体"/>
          <w:color w:val="000000" w:themeColor="text1"/>
          <w:highlight w:val="none"/>
          <w14:textFill>
            <w14:solidFill>
              <w14:schemeClr w14:val="tx1"/>
            </w14:solidFill>
          </w14:textFill>
        </w:rPr>
        <w:t>.其他服务本项目人员（项目负责人除外）：</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6</w:t>
      </w:r>
      <w:r>
        <w:rPr>
          <w:rFonts w:hint="eastAsia" w:hAnsi="宋体"/>
          <w:color w:val="000000" w:themeColor="text1"/>
          <w:highlight w:val="none"/>
          <w14:textFill>
            <w14:solidFill>
              <w14:schemeClr w14:val="tx1"/>
            </w14:solidFill>
          </w14:textFill>
        </w:rPr>
        <w:t>.1人员仅指注册在本公司人员，含分公司或分支机构，不含子公司人员。如投标申请人为集团公司，则不含其集团下属的子公司人员。各人员不能兼任，不重复计算得分。</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6</w:t>
      </w:r>
      <w:r>
        <w:rPr>
          <w:rFonts w:hint="eastAsia" w:hAnsi="宋体"/>
          <w:color w:val="000000" w:themeColor="text1"/>
          <w:highlight w:val="none"/>
          <w14:textFill>
            <w14:solidFill>
              <w14:schemeClr w14:val="tx1"/>
            </w14:solidFill>
          </w14:textFill>
        </w:rPr>
        <w:t>.2拟投入的所有人员需相对应按要求提供各评分细项的相关职称证书、注册证书，注册类的还需提供注册证书，证书须注册在投标人单位。原注册造价工程师自动划分为一级注册造价工程师，详见住房和城乡建设部关于修改《工程造价咨询企业管理办法》《注册造价工程师管理办法》的决定（中华人民共和国住房和城乡建设部令第50号）。部分年份注册造价师执业资格证书中未注明专业的，以全国注册造价工程师管理系统网页“基本信息”中的“报考专业”或全国建筑市场监管公共服务平台查询的人员数据中的执业注册信息“注册专业”为准，需提供网页截图并加盖单位公章。</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6</w:t>
      </w:r>
      <w:r>
        <w:rPr>
          <w:rFonts w:hint="eastAsia" w:hAnsi="宋体"/>
          <w:color w:val="000000" w:themeColor="text1"/>
          <w:highlight w:val="none"/>
          <w14:textFill>
            <w14:solidFill>
              <w14:schemeClr w14:val="tx1"/>
            </w14:solidFill>
          </w14:textFill>
        </w:rPr>
        <w:t xml:space="preserve">.3关于职称证书认定的相关说明:投标人应提供由人社部门核发的职称证书，职称证书不是由人社部门核发，则应提供核发机构(或该机构职称评审委员会)获得人社部门授权或核准备案证明其具有职称评审权的证明文件复印件，或该人员在人社部门职称管理系统登记的获得该职称的信息记录网页或截图打印件。 </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6</w:t>
      </w:r>
      <w:r>
        <w:rPr>
          <w:rFonts w:hint="eastAsia" w:hAnsi="宋体"/>
          <w:color w:val="000000" w:themeColor="text1"/>
          <w:highlight w:val="none"/>
          <w14:textFill>
            <w14:solidFill>
              <w14:schemeClr w14:val="tx1"/>
            </w14:solidFill>
          </w14:textFill>
        </w:rPr>
        <w:t>.4所有人员应提供近一月在投标单位（即2025年</w:t>
      </w:r>
      <w:r>
        <w:rPr>
          <w:rFonts w:hint="eastAsia" w:hAnsi="宋体"/>
          <w:color w:val="000000" w:themeColor="text1"/>
          <w:highlight w:val="none"/>
          <w:lang w:val="en-US" w:eastAsia="zh-CN"/>
          <w14:textFill>
            <w14:solidFill>
              <w14:schemeClr w14:val="tx1"/>
            </w14:solidFill>
          </w14:textFill>
        </w:rPr>
        <w:t>10</w:t>
      </w:r>
      <w:r>
        <w:rPr>
          <w:rFonts w:hint="eastAsia" w:hAnsi="宋体"/>
          <w:color w:val="000000" w:themeColor="text1"/>
          <w:highlight w:val="none"/>
          <w14:textFill>
            <w14:solidFill>
              <w14:schemeClr w14:val="tx1"/>
            </w14:solidFill>
          </w14:textFill>
        </w:rPr>
        <w:t>月，含分公司或分支机构）的社保缴纳证明资料扫描件。</w:t>
      </w:r>
    </w:p>
    <w:p>
      <w:pPr>
        <w:shd w:val="clear"/>
        <w:spacing w:line="264" w:lineRule="auto"/>
        <w:ind w:firstLine="480"/>
        <w:rPr>
          <w:rFonts w:hint="eastAsia" w:eastAsia="楷体_GB2312"/>
          <w:color w:val="000000" w:themeColor="text1"/>
          <w:highlight w:val="none"/>
          <w14:textFill>
            <w14:solidFill>
              <w14:schemeClr w14:val="tx1"/>
            </w14:solidFill>
          </w14:textFill>
        </w:rPr>
      </w:pPr>
      <w:r>
        <w:rPr>
          <w:rFonts w:hint="default" w:hAnsi="宋体"/>
          <w:color w:val="000000" w:themeColor="text1"/>
          <w:highlight w:val="none"/>
          <w:lang w:val="en-US"/>
          <w14:textFill>
            <w14:solidFill>
              <w14:schemeClr w14:val="tx1"/>
            </w14:solidFill>
          </w14:textFill>
        </w:rPr>
        <w:t>6</w:t>
      </w:r>
      <w:r>
        <w:rPr>
          <w:rFonts w:hint="eastAsia" w:hAnsi="宋体"/>
          <w:color w:val="000000" w:themeColor="text1"/>
          <w:highlight w:val="none"/>
          <w14:textFill>
            <w14:solidFill>
              <w14:schemeClr w14:val="tx1"/>
            </w14:solidFill>
          </w14:textFill>
        </w:rPr>
        <w:t>.5其他服务本项目人员获奖：时间以发证时间为准，需提供获奖证书（或获奖正式文件）扫描件，且获奖证书（或获奖正式文件）上需体现相关人员姓名。奖项分别以国家、省、市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并加盖投标单位电子印章，否则不予计分。</w:t>
      </w:r>
      <w:r>
        <w:rPr>
          <w:rFonts w:hint="eastAsia" w:ascii="宋体" w:hAnsi="宋体" w:eastAsia="宋体" w:cs="Times New Roman"/>
          <w:color w:val="000000" w:themeColor="text1"/>
          <w:sz w:val="24"/>
          <w:szCs w:val="24"/>
          <w:highlight w:val="none"/>
          <w:lang w:val="en-US" w:eastAsia="zh-CN" w:bidi="ar"/>
          <w14:textFill>
            <w14:solidFill>
              <w14:schemeClr w14:val="tx1"/>
            </w14:solidFill>
          </w14:textFill>
        </w:rPr>
        <w:t>因各地区“优秀成果奖”表述存在细微差别，奖项名称与上文不完全一致但奖项评审内容相同的，也应属于获得对应奖项。</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t>7</w:t>
      </w:r>
      <w:r>
        <w:rPr>
          <w:rFonts w:hint="eastAsia" w:hAnsi="宋体"/>
          <w:color w:val="000000" w:themeColor="text1"/>
          <w:highlight w:val="none"/>
          <w14:textFill>
            <w14:solidFill>
              <w14:schemeClr w14:val="tx1"/>
            </w14:solidFill>
          </w14:textFill>
        </w:rPr>
        <w:t>.以上所附证书证明文件均须提供原件扫描件，投标人提供的网页截图或原件扫描件，必须加盖投标人公章且内容清晰可辨，如因网页截图或原件扫描件内容模糊导致评标时无法判断的，后果由投标人自负。上述资料不提供或提供不完整或提供不符合要求的不得分。</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.所有评委分数汇总后的算术平均值为投标人的最终得分。评分分数出现小数点，保留小数点后二位小数，第三位小数四舍五入。</w:t>
      </w:r>
    </w:p>
    <w:p>
      <w:pPr>
        <w:shd w:val="clear"/>
        <w:spacing w:line="264" w:lineRule="auto"/>
        <w:ind w:firstLine="480"/>
        <w:rPr>
          <w:rFonts w:hint="eastAsia" w:hAnsi="宋体"/>
          <w:color w:val="000000" w:themeColor="text1"/>
          <w:highlight w:val="none"/>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t>9</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中标单位需准备投标文件涉及的所有原件待查，如原件不齐或与原件不符的，招标人有权取消其中标人资格，并上报建设行政主管部门。</w:t>
      </w:r>
    </w:p>
    <w:p>
      <w:pPr>
        <w:shd w:val="clear"/>
        <w:ind w:firstLine="480"/>
        <w:jc w:val="left"/>
        <w:rPr>
          <w:rFonts w:hint="eastAsia"/>
          <w:color w:val="000000" w:themeColor="text1"/>
          <w:szCs w:val="24"/>
          <w:highlight w:val="none"/>
          <w14:textFill>
            <w14:solidFill>
              <w14:schemeClr w14:val="tx1"/>
            </w14:solidFill>
          </w14:textFill>
        </w:rPr>
      </w:pPr>
      <w:r>
        <w:rPr>
          <w:rFonts w:hint="eastAsia" w:hAnsi="宋体"/>
          <w:b/>
          <w:bCs/>
          <w:color w:val="000000" w:themeColor="text1"/>
          <w:sz w:val="32"/>
          <w:szCs w:val="22"/>
          <w:highlight w:val="none"/>
          <w14:textFill>
            <w14:solidFill>
              <w14:schemeClr w14:val="tx1"/>
            </w14:solidFill>
          </w14:textFill>
        </w:rPr>
        <w:br w:type="page"/>
      </w:r>
      <w:bookmarkStart w:id="184" w:name="_Toc492300628"/>
      <w:bookmarkStart w:id="185" w:name="_Toc533104489"/>
      <w:r>
        <w:rPr>
          <w:rFonts w:hint="eastAsia"/>
          <w:b/>
          <w:color w:val="000000" w:themeColor="text1"/>
          <w:szCs w:val="24"/>
          <w:highlight w:val="none"/>
          <w14:textFill>
            <w14:solidFill>
              <w14:schemeClr w14:val="tx1"/>
            </w14:solidFill>
          </w14:textFill>
        </w:rPr>
        <w:t>1. 评标方法</w:t>
      </w:r>
      <w:bookmarkEnd w:id="184"/>
      <w:bookmarkEnd w:id="185"/>
      <w:r>
        <w:rPr>
          <w:b/>
          <w:color w:val="000000" w:themeColor="text1"/>
          <w:szCs w:val="24"/>
          <w:highlight w:val="none"/>
          <w14:textFill>
            <w14:solidFill>
              <w14:schemeClr w14:val="tx1"/>
            </w14:solidFill>
          </w14:textFill>
        </w:rPr>
        <w:tab/>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本次评标采用综合评估法。评标委员会对满足招标文件实质性要求的投标文件，按照本章第</w:t>
      </w:r>
      <w:r>
        <w:rPr>
          <w:rFonts w:hAnsi="宋体"/>
          <w:color w:val="000000" w:themeColor="text1"/>
          <w:szCs w:val="24"/>
          <w:highlight w:val="none"/>
          <w14:textFill>
            <w14:solidFill>
              <w14:schemeClr w14:val="tx1"/>
            </w14:solidFill>
          </w14:textFill>
        </w:rPr>
        <w:t xml:space="preserve"> 2.2 </w:t>
      </w:r>
      <w:r>
        <w:rPr>
          <w:rFonts w:hint="eastAsia" w:hAnsi="宋体"/>
          <w:color w:val="000000" w:themeColor="text1"/>
          <w:szCs w:val="24"/>
          <w:highlight w:val="none"/>
          <w14:textFill>
            <w14:solidFill>
              <w14:schemeClr w14:val="tx1"/>
            </w14:solidFill>
          </w14:textFill>
        </w:rPr>
        <w:t>款规定的评分标准进行打分，并按得分由高到低顺序推荐中标候选人，排序的前一～三名分别为第一中标候选人、第二中标候选人和第三中标候选人。总分相等时，以投标报价总价低的优先；投标报价总价也相等的,以资信业绩得分高优先；资信业绩得分仍相等的，由评标委员会采用记名投票方式，以得票多的优先。</w:t>
      </w:r>
    </w:p>
    <w:p>
      <w:pPr>
        <w:shd w:val="clear"/>
        <w:ind w:firstLine="482"/>
        <w:rPr>
          <w:rFonts w:hint="eastAsia"/>
          <w:b/>
          <w:color w:val="000000" w:themeColor="text1"/>
          <w:szCs w:val="24"/>
          <w:highlight w:val="none"/>
          <w14:textFill>
            <w14:solidFill>
              <w14:schemeClr w14:val="tx1"/>
            </w14:solidFill>
          </w14:textFill>
        </w:rPr>
      </w:pPr>
      <w:bookmarkStart w:id="186" w:name="_Toc492300629"/>
      <w:bookmarkStart w:id="187" w:name="_Toc533104490"/>
      <w:r>
        <w:rPr>
          <w:rFonts w:hint="eastAsia"/>
          <w:b/>
          <w:color w:val="000000" w:themeColor="text1"/>
          <w:szCs w:val="24"/>
          <w:highlight w:val="none"/>
          <w14:textFill>
            <w14:solidFill>
              <w14:schemeClr w14:val="tx1"/>
            </w14:solidFill>
          </w14:textFill>
        </w:rPr>
        <w:t>2. 评审标准</w:t>
      </w:r>
      <w:bookmarkEnd w:id="186"/>
      <w:bookmarkEnd w:id="187"/>
    </w:p>
    <w:p>
      <w:pPr>
        <w:shd w:val="clear"/>
        <w:ind w:firstLine="482"/>
        <w:rPr>
          <w:rFonts w:hint="eastAsia"/>
          <w:b/>
          <w:color w:val="000000" w:themeColor="text1"/>
          <w:szCs w:val="24"/>
          <w:highlight w:val="none"/>
          <w14:textFill>
            <w14:solidFill>
              <w14:schemeClr w14:val="tx1"/>
            </w14:solidFill>
          </w14:textFill>
        </w:rPr>
      </w:pPr>
      <w:bookmarkStart w:id="188" w:name="_Toc533104491"/>
      <w:bookmarkStart w:id="189" w:name="_Toc492300630"/>
      <w:r>
        <w:rPr>
          <w:rFonts w:hint="eastAsia"/>
          <w:b/>
          <w:color w:val="000000" w:themeColor="text1"/>
          <w:szCs w:val="24"/>
          <w:highlight w:val="none"/>
          <w14:textFill>
            <w14:solidFill>
              <w14:schemeClr w14:val="tx1"/>
            </w14:solidFill>
          </w14:textFill>
        </w:rPr>
        <w:t>2.1 初步评审标准</w:t>
      </w:r>
      <w:bookmarkEnd w:id="188"/>
      <w:bookmarkEnd w:id="189"/>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2.1.1 形式评审标准：见评标办法前附表。</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2.1.2 资格评审标准：见评标办法前附表。</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2.1.3 响应性评审标准：见评标办法前附表。</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pPr>
        <w:shd w:val="clear"/>
        <w:ind w:firstLine="482"/>
        <w:rPr>
          <w:rFonts w:hint="eastAsia"/>
          <w:b/>
          <w:color w:val="000000" w:themeColor="text1"/>
          <w:szCs w:val="24"/>
          <w:highlight w:val="none"/>
          <w14:textFill>
            <w14:solidFill>
              <w14:schemeClr w14:val="tx1"/>
            </w14:solidFill>
          </w14:textFill>
        </w:rPr>
      </w:pPr>
      <w:bookmarkStart w:id="190" w:name="_Toc533104492"/>
      <w:bookmarkStart w:id="191" w:name="_Toc492300631"/>
      <w:r>
        <w:rPr>
          <w:rFonts w:hint="eastAsia"/>
          <w:b/>
          <w:color w:val="000000" w:themeColor="text1"/>
          <w:szCs w:val="24"/>
          <w:highlight w:val="none"/>
          <w14:textFill>
            <w14:solidFill>
              <w14:schemeClr w14:val="tx1"/>
            </w14:solidFill>
          </w14:textFill>
        </w:rPr>
        <w:t>2.2 分值构成与评分标准</w:t>
      </w:r>
      <w:bookmarkEnd w:id="190"/>
      <w:bookmarkEnd w:id="191"/>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2.2.1 分值构成</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（1）资信业绩</w:t>
      </w:r>
      <w:r>
        <w:rPr>
          <w:rFonts w:hint="eastAsia" w:hAnsi="宋体" w:cs="宋体"/>
          <w:color w:val="000000" w:themeColor="text1"/>
          <w:szCs w:val="24"/>
          <w:highlight w:val="none"/>
          <w14:textFill>
            <w14:solidFill>
              <w14:schemeClr w14:val="tx1"/>
            </w14:solidFill>
          </w14:textFill>
        </w:rPr>
        <w:t>评分</w:t>
      </w:r>
      <w:r>
        <w:rPr>
          <w:rFonts w:hint="eastAsia" w:hAnsi="宋体"/>
          <w:color w:val="000000" w:themeColor="text1"/>
          <w:szCs w:val="24"/>
          <w:highlight w:val="none"/>
          <w14:textFill>
            <w14:solidFill>
              <w14:schemeClr w14:val="tx1"/>
            </w14:solidFill>
          </w14:textFill>
        </w:rPr>
        <w:t>；</w:t>
      </w:r>
    </w:p>
    <w:p>
      <w:pPr>
        <w:shd w:val="clear"/>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服务方案评分</w:t>
      </w:r>
      <w:r>
        <w:rPr>
          <w:rFonts w:hint="eastAsia" w:hAnsi="宋体"/>
          <w:color w:val="000000" w:themeColor="text1"/>
          <w:szCs w:val="24"/>
          <w:highlight w:val="none"/>
          <w14:textFill>
            <w14:solidFill>
              <w14:schemeClr w14:val="tx1"/>
            </w14:solidFill>
          </w14:textFill>
        </w:rPr>
        <w:t>；</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投标报价评分</w:t>
      </w:r>
      <w:r>
        <w:rPr>
          <w:rFonts w:hint="eastAsia" w:hAnsi="宋体"/>
          <w:color w:val="000000" w:themeColor="text1"/>
          <w:szCs w:val="24"/>
          <w:highlight w:val="none"/>
          <w14:textFill>
            <w14:solidFill>
              <w14:schemeClr w14:val="tx1"/>
            </w14:solidFill>
          </w14:textFill>
        </w:rPr>
        <w:t>；</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2.2.2 评标基准价计算</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评标基准价计算方法：见评标办法前附表。</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2.2.3 投标报价的偏差率计算</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投标报价的偏差率计算公式：见评标办法前附表。</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2.2.4 评分标准</w:t>
      </w:r>
    </w:p>
    <w:p>
      <w:pPr>
        <w:shd w:val="clear"/>
        <w:ind w:firstLine="480"/>
        <w:rPr>
          <w:rFonts w:hint="eastAsia" w:hAnsi="宋体"/>
          <w:color w:val="000000" w:themeColor="text1"/>
          <w:szCs w:val="24"/>
          <w:highlight w:val="none"/>
          <w14:textFill>
            <w14:solidFill>
              <w14:schemeClr w14:val="tx1"/>
            </w14:solidFill>
          </w14:textFill>
        </w:rPr>
      </w:pPr>
      <w:bookmarkStart w:id="192" w:name="_Toc533104493"/>
      <w:bookmarkStart w:id="193" w:name="_Toc492300632"/>
      <w:r>
        <w:rPr>
          <w:rFonts w:hint="eastAsia" w:hAnsi="宋体"/>
          <w:color w:val="000000" w:themeColor="text1"/>
          <w:szCs w:val="24"/>
          <w:highlight w:val="none"/>
          <w14:textFill>
            <w14:solidFill>
              <w14:schemeClr w14:val="tx1"/>
            </w14:solidFill>
          </w14:textFill>
        </w:rPr>
        <w:t>（1）资信业绩</w:t>
      </w:r>
      <w:r>
        <w:rPr>
          <w:rFonts w:hint="eastAsia" w:hAnsi="宋体" w:cs="宋体"/>
          <w:color w:val="000000" w:themeColor="text1"/>
          <w:szCs w:val="24"/>
          <w:highlight w:val="none"/>
          <w14:textFill>
            <w14:solidFill>
              <w14:schemeClr w14:val="tx1"/>
            </w14:solidFill>
          </w14:textFill>
        </w:rPr>
        <w:t>评分</w:t>
      </w:r>
      <w:r>
        <w:rPr>
          <w:rFonts w:hint="eastAsia" w:hAnsi="宋体"/>
          <w:color w:val="000000" w:themeColor="text1"/>
          <w:szCs w:val="24"/>
          <w:highlight w:val="none"/>
          <w14:textFill>
            <w14:solidFill>
              <w14:schemeClr w14:val="tx1"/>
            </w14:solidFill>
          </w14:textFill>
        </w:rPr>
        <w:t>：见评标办法前附表；</w:t>
      </w:r>
    </w:p>
    <w:p>
      <w:pPr>
        <w:shd w:val="clear"/>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服务方案评分</w:t>
      </w:r>
      <w:r>
        <w:rPr>
          <w:rFonts w:hint="eastAsia" w:hAnsi="宋体"/>
          <w:color w:val="000000" w:themeColor="text1"/>
          <w:szCs w:val="24"/>
          <w:highlight w:val="none"/>
          <w14:textFill>
            <w14:solidFill>
              <w14:schemeClr w14:val="tx1"/>
            </w14:solidFill>
          </w14:textFill>
        </w:rPr>
        <w:t>：见评标办法前附表；</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投标报价评分</w:t>
      </w:r>
      <w:r>
        <w:rPr>
          <w:rFonts w:hint="eastAsia" w:hAnsi="宋体"/>
          <w:color w:val="000000" w:themeColor="text1"/>
          <w:szCs w:val="24"/>
          <w:highlight w:val="none"/>
          <w14:textFill>
            <w14:solidFill>
              <w14:schemeClr w14:val="tx1"/>
            </w14:solidFill>
          </w14:textFill>
        </w:rPr>
        <w:t>：见评标办法前附表；</w:t>
      </w:r>
    </w:p>
    <w:p>
      <w:pPr>
        <w:shd w:val="clear"/>
        <w:ind w:firstLine="482"/>
        <w:rPr>
          <w:rFonts w:hint="eastAsia"/>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3. 评标程序</w:t>
      </w:r>
      <w:bookmarkEnd w:id="192"/>
      <w:bookmarkEnd w:id="193"/>
    </w:p>
    <w:p>
      <w:pPr>
        <w:shd w:val="clear"/>
        <w:ind w:firstLine="482"/>
        <w:rPr>
          <w:rFonts w:hint="eastAsia"/>
          <w:b/>
          <w:color w:val="000000" w:themeColor="text1"/>
          <w:szCs w:val="24"/>
          <w:highlight w:val="none"/>
          <w14:textFill>
            <w14:solidFill>
              <w14:schemeClr w14:val="tx1"/>
            </w14:solidFill>
          </w14:textFill>
        </w:rPr>
      </w:pPr>
      <w:bookmarkStart w:id="194" w:name="_Toc533104494"/>
      <w:bookmarkStart w:id="195" w:name="_Toc492300633"/>
      <w:r>
        <w:rPr>
          <w:rFonts w:hint="eastAsia"/>
          <w:b/>
          <w:color w:val="000000" w:themeColor="text1"/>
          <w:szCs w:val="24"/>
          <w:highlight w:val="none"/>
          <w14:textFill>
            <w14:solidFill>
              <w14:schemeClr w14:val="tx1"/>
            </w14:solidFill>
          </w14:textFill>
        </w:rPr>
        <w:t>3.1 初步评审</w:t>
      </w:r>
      <w:bookmarkEnd w:id="194"/>
      <w:bookmarkEnd w:id="195"/>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3.1.2 投标人有以下情形之一的，评标委员会应当否决其投标：</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（1）投标文件没有对招标文件的实质性要求和条件作出响应，或者对招标文件的偏差超出招标文件规定的偏差范围或最高项数；</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（2）有串通投标、提供虚假材料、行贿等违法行为。</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3.1.3 投标报价有算术错误及其他错误的，评标委员会按以下原则要求投标人对投标报价进</w:t>
      </w:r>
      <w:bookmarkStart w:id="196" w:name="_Toc361508651"/>
      <w:bookmarkStart w:id="197" w:name="_Toc384308277"/>
      <w:bookmarkStart w:id="198" w:name="_Toc144974570"/>
      <w:bookmarkStart w:id="199" w:name="_Toc369531582"/>
      <w:bookmarkStart w:id="200" w:name="_Toc247527628"/>
      <w:bookmarkStart w:id="201" w:name="_Toc247514027"/>
      <w:bookmarkStart w:id="202" w:name="_Toc352691538"/>
      <w:bookmarkStart w:id="203" w:name="_Toc152045603"/>
      <w:bookmarkStart w:id="204" w:name="_Toc300835013"/>
      <w:bookmarkStart w:id="205" w:name="_Toc152042380"/>
      <w:bookmarkStart w:id="206" w:name="_Toc2907"/>
      <w:r>
        <w:rPr>
          <w:rFonts w:hint="eastAsia" w:hAnsi="宋体"/>
          <w:color w:val="000000" w:themeColor="text1"/>
          <w:szCs w:val="24"/>
          <w:highlight w:val="none"/>
          <w14:textFill>
            <w14:solidFill>
              <w14:schemeClr w14:val="tx1"/>
            </w14:solidFill>
          </w14:textFill>
        </w:rPr>
        <w:t>行修正，并要求投标人书面澄清确认。</w:t>
      </w:r>
      <w:bookmarkEnd w:id="196"/>
      <w:bookmarkEnd w:id="197"/>
      <w:bookmarkEnd w:id="198"/>
      <w:bookmarkEnd w:id="199"/>
      <w:bookmarkEnd w:id="200"/>
      <w:bookmarkEnd w:id="201"/>
      <w:bookmarkEnd w:id="202"/>
      <w:bookmarkEnd w:id="203"/>
      <w:bookmarkEnd w:id="204"/>
      <w:bookmarkEnd w:id="205"/>
      <w:bookmarkEnd w:id="206"/>
      <w:r>
        <w:rPr>
          <w:rFonts w:hint="eastAsia" w:hAnsi="宋体"/>
          <w:color w:val="000000" w:themeColor="text1"/>
          <w:szCs w:val="24"/>
          <w:highlight w:val="none"/>
          <w14:textFill>
            <w14:solidFill>
              <w14:schemeClr w14:val="tx1"/>
            </w14:solidFill>
          </w14:textFill>
        </w:rPr>
        <w:t>投标人拒不澄清确认的，评标委员会应当否决其投标：</w:t>
      </w:r>
    </w:p>
    <w:p>
      <w:pPr>
        <w:shd w:val="clear"/>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（1）投标文件中的大写金额与小写金额不一致的，以大写金额为准；</w:t>
      </w:r>
    </w:p>
    <w:p>
      <w:pPr>
        <w:shd w:val="clear"/>
        <w:ind w:firstLine="480"/>
        <w:rPr>
          <w:rFonts w:hint="eastAsia"/>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（2）总价金额与单价金额不一致的，以单价金额为准，但单价金额小数点有明显错误的除外。</w:t>
      </w:r>
    </w:p>
    <w:p>
      <w:pPr>
        <w:shd w:val="clear"/>
        <w:ind w:firstLine="482"/>
        <w:rPr>
          <w:rFonts w:hint="eastAsia"/>
          <w:b/>
          <w:color w:val="000000" w:themeColor="text1"/>
          <w:szCs w:val="24"/>
          <w:highlight w:val="none"/>
          <w14:textFill>
            <w14:solidFill>
              <w14:schemeClr w14:val="tx1"/>
            </w14:solidFill>
          </w14:textFill>
        </w:rPr>
      </w:pPr>
      <w:bookmarkStart w:id="207" w:name="_Toc533104495"/>
      <w:bookmarkStart w:id="208" w:name="_Toc492300634"/>
      <w:r>
        <w:rPr>
          <w:rFonts w:hint="eastAsia"/>
          <w:b/>
          <w:color w:val="000000" w:themeColor="text1"/>
          <w:szCs w:val="24"/>
          <w:highlight w:val="none"/>
          <w14:textFill>
            <w14:solidFill>
              <w14:schemeClr w14:val="tx1"/>
            </w14:solidFill>
          </w14:textFill>
        </w:rPr>
        <w:t>3.2 详细评审</w:t>
      </w:r>
      <w:bookmarkEnd w:id="207"/>
      <w:bookmarkEnd w:id="208"/>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3.2.1 评标委员会按本章第2.2款规定的量化因素和分值进行打分，并计算出综合评估得分。</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（1）按本章第2.2.4（1）目规定的评审因素和分值对资信业绩计算出得分A；</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（2）按本章第2.2.4（2）目规定的评审因素和分值对</w:t>
      </w:r>
      <w:r>
        <w:rPr>
          <w:rFonts w:hint="eastAsia" w:hAnsi="宋体" w:cs="宋体"/>
          <w:color w:val="000000" w:themeColor="text1"/>
          <w:szCs w:val="24"/>
          <w:highlight w:val="none"/>
          <w14:textFill>
            <w14:solidFill>
              <w14:schemeClr w14:val="tx1"/>
            </w14:solidFill>
          </w14:textFill>
        </w:rPr>
        <w:t>服务方案</w:t>
      </w:r>
      <w:r>
        <w:rPr>
          <w:rFonts w:hint="eastAsia" w:hAnsi="宋体"/>
          <w:color w:val="000000" w:themeColor="text1"/>
          <w:szCs w:val="24"/>
          <w:highlight w:val="none"/>
          <w14:textFill>
            <w14:solidFill>
              <w14:schemeClr w14:val="tx1"/>
            </w14:solidFill>
          </w14:textFill>
        </w:rPr>
        <w:t>计算出得分B；</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（3）按本章第2.2.4（3）目规定的评审因素和分值对</w:t>
      </w:r>
      <w:r>
        <w:rPr>
          <w:rFonts w:hint="eastAsia" w:hAnsi="宋体" w:cs="宋体"/>
          <w:color w:val="000000" w:themeColor="text1"/>
          <w:szCs w:val="24"/>
          <w:highlight w:val="none"/>
          <w14:textFill>
            <w14:solidFill>
              <w14:schemeClr w14:val="tx1"/>
            </w14:solidFill>
          </w14:textFill>
        </w:rPr>
        <w:t>投标报价</w:t>
      </w:r>
      <w:r>
        <w:rPr>
          <w:rFonts w:hint="eastAsia" w:hAnsi="宋体"/>
          <w:color w:val="000000" w:themeColor="text1"/>
          <w:szCs w:val="24"/>
          <w:highlight w:val="none"/>
          <w14:textFill>
            <w14:solidFill>
              <w14:schemeClr w14:val="tx1"/>
            </w14:solidFill>
          </w14:textFill>
        </w:rPr>
        <w:t>计算出得分C；</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3.2.2评分分值计算保留小数点后两位，小数点后第三位</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四舍五入</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。投标人的综合得分为各评委的评分计取的算术平均分。</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3.2.3投标人得分</w:t>
      </w:r>
      <w:r>
        <w:rPr>
          <w:rFonts w:hAnsi="宋体"/>
          <w:color w:val="000000" w:themeColor="text1"/>
          <w:szCs w:val="24"/>
          <w:highlight w:val="none"/>
          <w14:textFill>
            <w14:solidFill>
              <w14:schemeClr w14:val="tx1"/>
            </w14:solidFill>
          </w14:textFill>
        </w:rPr>
        <w:t>=A+B+C</w:t>
      </w:r>
      <w:r>
        <w:rPr>
          <w:rFonts w:hint="eastAsia" w:hAnsi="宋体"/>
          <w:color w:val="000000" w:themeColor="text1"/>
          <w:szCs w:val="24"/>
          <w:highlight w:val="none"/>
          <w14:textFill>
            <w14:solidFill>
              <w14:schemeClr w14:val="tx1"/>
            </w14:solidFill>
          </w14:textFill>
        </w:rPr>
        <w:t>。</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hd w:val="clear"/>
        <w:ind w:firstLine="482"/>
        <w:rPr>
          <w:rFonts w:hint="eastAsia"/>
          <w:b/>
          <w:color w:val="000000" w:themeColor="text1"/>
          <w:szCs w:val="24"/>
          <w:highlight w:val="none"/>
          <w14:textFill>
            <w14:solidFill>
              <w14:schemeClr w14:val="tx1"/>
            </w14:solidFill>
          </w14:textFill>
        </w:rPr>
      </w:pPr>
      <w:bookmarkStart w:id="209" w:name="_Toc533104496"/>
      <w:bookmarkStart w:id="210" w:name="_Toc492300635"/>
      <w:r>
        <w:rPr>
          <w:rFonts w:hint="eastAsia"/>
          <w:b/>
          <w:color w:val="000000" w:themeColor="text1"/>
          <w:szCs w:val="24"/>
          <w:highlight w:val="none"/>
          <w14:textFill>
            <w14:solidFill>
              <w14:schemeClr w14:val="tx1"/>
            </w14:solidFill>
          </w14:textFill>
        </w:rPr>
        <w:t>3.3 投标文件的澄清</w:t>
      </w:r>
      <w:bookmarkEnd w:id="209"/>
      <w:bookmarkEnd w:id="210"/>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3.3.2 澄清、说明或补正不得超出投标文件的范围且不得改变投标文件的实质性内容，并构成投标文件的组成部分。</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3.3.3 评标委员会对投标人提交的澄清、说明或补正有疑问的，可以要求投标人进一步澄清、说明或补正，直至满足评标委员会的要求。</w:t>
      </w:r>
    </w:p>
    <w:p>
      <w:pPr>
        <w:shd w:val="clear"/>
        <w:ind w:firstLine="482"/>
        <w:rPr>
          <w:rFonts w:hint="eastAsia"/>
          <w:b/>
          <w:color w:val="000000" w:themeColor="text1"/>
          <w:szCs w:val="24"/>
          <w:highlight w:val="none"/>
          <w14:textFill>
            <w14:solidFill>
              <w14:schemeClr w14:val="tx1"/>
            </w14:solidFill>
          </w14:textFill>
        </w:rPr>
      </w:pPr>
      <w:bookmarkStart w:id="211" w:name="_Toc533104497"/>
      <w:bookmarkStart w:id="212" w:name="_Toc492300636"/>
      <w:r>
        <w:rPr>
          <w:rFonts w:hint="eastAsia"/>
          <w:b/>
          <w:color w:val="000000" w:themeColor="text1"/>
          <w:szCs w:val="24"/>
          <w:highlight w:val="none"/>
          <w14:textFill>
            <w14:solidFill>
              <w14:schemeClr w14:val="tx1"/>
            </w14:solidFill>
          </w14:textFill>
        </w:rPr>
        <w:t>3.4 评标结果</w:t>
      </w:r>
      <w:bookmarkEnd w:id="211"/>
      <w:bookmarkEnd w:id="212"/>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3.4.1 除第二章“投标人须知”前附表授权直接确定中标人外，评标委员会按照得分由高到低的顺序推荐中标候选人，并标明排序。</w:t>
      </w:r>
    </w:p>
    <w:p>
      <w:pPr>
        <w:shd w:val="clear"/>
        <w:ind w:firstLine="480"/>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3.4.2 评标委员会完成评标后，应当向招标人提交书面评标报告和中标候选人名单。</w:t>
      </w:r>
    </w:p>
    <w:p>
      <w:pPr>
        <w:shd w:val="clear"/>
        <w:ind w:firstLine="600"/>
        <w:rPr>
          <w:rFonts w:hAnsi="宋体"/>
          <w:color w:val="000000" w:themeColor="text1"/>
          <w:sz w:val="30"/>
          <w:szCs w:val="30"/>
          <w:highlight w:val="none"/>
          <w14:textFill>
            <w14:solidFill>
              <w14:schemeClr w14:val="tx1"/>
            </w14:solidFill>
          </w14:textFill>
        </w:rPr>
      </w:pPr>
    </w:p>
    <w:p>
      <w:pPr>
        <w:shd w:val="clear"/>
        <w:ind w:firstLine="600"/>
        <w:rPr>
          <w:rFonts w:hAnsi="宋体"/>
          <w:color w:val="000000" w:themeColor="text1"/>
          <w:sz w:val="30"/>
          <w:szCs w:val="30"/>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ind w:firstLine="480"/>
        <w:rPr>
          <w:color w:val="000000" w:themeColor="text1"/>
          <w:highlight w:val="none"/>
          <w14:textFill>
            <w14:solidFill>
              <w14:schemeClr w14:val="tx1"/>
            </w14:solidFill>
          </w14:textFill>
        </w:rPr>
      </w:pPr>
      <w:bookmarkStart w:id="213" w:name="_Toc152234276"/>
    </w:p>
    <w:p>
      <w:pPr>
        <w:pStyle w:val="14"/>
        <w:shd w:val="clear"/>
        <w:ind w:firstLine="400"/>
        <w:rPr>
          <w:color w:val="000000" w:themeColor="text1"/>
          <w:highlight w:val="none"/>
          <w14:textFill>
            <w14:solidFill>
              <w14:schemeClr w14:val="tx1"/>
            </w14:solidFill>
          </w14:textFill>
        </w:rPr>
      </w:pPr>
    </w:p>
    <w:p>
      <w:pPr>
        <w:shd w:val="clear"/>
        <w:ind w:firstLine="480"/>
        <w:rPr>
          <w:color w:val="000000" w:themeColor="text1"/>
          <w:highlight w:val="none"/>
          <w14:textFill>
            <w14:solidFill>
              <w14:schemeClr w14:val="tx1"/>
            </w14:solidFill>
          </w14:textFill>
        </w:rPr>
      </w:pPr>
    </w:p>
    <w:p>
      <w:pPr>
        <w:pStyle w:val="14"/>
        <w:shd w:val="clear"/>
        <w:ind w:firstLine="400"/>
        <w:rPr>
          <w:color w:val="000000" w:themeColor="text1"/>
          <w:highlight w:val="none"/>
          <w14:textFill>
            <w14:solidFill>
              <w14:schemeClr w14:val="tx1"/>
            </w14:solidFill>
          </w14:textFill>
        </w:rPr>
      </w:pPr>
    </w:p>
    <w:p>
      <w:pPr>
        <w:shd w:val="clear"/>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spacing w:line="502" w:lineRule="exact"/>
        <w:ind w:firstLine="0" w:firstLineChars="0"/>
        <w:jc w:val="center"/>
        <w:outlineLvl w:val="0"/>
        <w:rPr>
          <w:rFonts w:hint="eastAsia" w:hAnsi="宋体"/>
          <w:b/>
          <w:color w:val="000000" w:themeColor="text1"/>
          <w:sz w:val="44"/>
          <w:highlight w:val="none"/>
          <w14:textFill>
            <w14:solidFill>
              <w14:schemeClr w14:val="tx1"/>
            </w14:solidFill>
          </w14:textFill>
        </w:rPr>
      </w:pPr>
      <w:r>
        <w:rPr>
          <w:rFonts w:hAnsi="宋体"/>
          <w:b/>
          <w:color w:val="000000" w:themeColor="text1"/>
          <w:sz w:val="44"/>
          <w:highlight w:val="none"/>
          <w14:textFill>
            <w14:solidFill>
              <w14:schemeClr w14:val="tx1"/>
            </w14:solidFill>
          </w14:textFill>
        </w:rPr>
        <w:t>第四章</w:t>
      </w:r>
      <w:bookmarkStart w:id="214" w:name="_Toc25584"/>
      <w:r>
        <w:rPr>
          <w:rFonts w:hint="eastAsia" w:hAnsi="宋体"/>
          <w:b/>
          <w:color w:val="000000" w:themeColor="text1"/>
          <w:sz w:val="44"/>
          <w:highlight w:val="none"/>
          <w14:textFill>
            <w14:solidFill>
              <w14:schemeClr w14:val="tx1"/>
            </w14:solidFill>
          </w14:textFill>
        </w:rPr>
        <w:t xml:space="preserve"> </w:t>
      </w:r>
      <w:r>
        <w:rPr>
          <w:rFonts w:hAnsi="宋体"/>
          <w:b/>
          <w:color w:val="000000" w:themeColor="text1"/>
          <w:sz w:val="44"/>
          <w:highlight w:val="none"/>
          <w14:textFill>
            <w14:solidFill>
              <w14:schemeClr w14:val="tx1"/>
            </w14:solidFill>
          </w14:textFill>
        </w:rPr>
        <w:t>合</w:t>
      </w:r>
      <w:bookmarkEnd w:id="214"/>
      <w:bookmarkStart w:id="215" w:name="_Toc31019"/>
      <w:r>
        <w:rPr>
          <w:rFonts w:hAnsi="宋体"/>
          <w:b/>
          <w:color w:val="000000" w:themeColor="text1"/>
          <w:sz w:val="44"/>
          <w:highlight w:val="none"/>
          <w14:textFill>
            <w14:solidFill>
              <w14:schemeClr w14:val="tx1"/>
            </w14:solidFill>
          </w14:textFill>
        </w:rPr>
        <w:t>同条款及格式</w:t>
      </w:r>
      <w:bookmarkEnd w:id="213"/>
    </w:p>
    <w:p>
      <w:pPr>
        <w:shd w:val="clear"/>
        <w:spacing w:line="502" w:lineRule="exact"/>
        <w:ind w:firstLine="0" w:firstLineChars="0"/>
        <w:jc w:val="center"/>
        <w:rPr>
          <w:rFonts w:hAnsi="宋体"/>
          <w:b/>
          <w:color w:val="000000" w:themeColor="text1"/>
          <w:sz w:val="44"/>
          <w:highlight w:val="none"/>
          <w14:textFill>
            <w14:solidFill>
              <w14:schemeClr w14:val="tx1"/>
            </w14:solidFill>
          </w14:textFill>
        </w:rPr>
      </w:pPr>
      <w:r>
        <w:rPr>
          <w:rFonts w:hint="eastAsia" w:hAnsi="宋体"/>
          <w:b/>
          <w:color w:val="000000" w:themeColor="text1"/>
          <w:sz w:val="44"/>
          <w:highlight w:val="none"/>
          <w14:textFill>
            <w14:solidFill>
              <w14:schemeClr w14:val="tx1"/>
            </w14:solidFill>
          </w14:textFill>
        </w:rPr>
        <w:t>（另册）</w:t>
      </w: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200" w:lineRule="exact"/>
        <w:ind w:firstLine="480"/>
        <w:rPr>
          <w:rFonts w:hAnsi="宋体"/>
          <w:color w:val="000000" w:themeColor="text1"/>
          <w:highlight w:val="none"/>
          <w14:textFill>
            <w14:solidFill>
              <w14:schemeClr w14:val="tx1"/>
            </w14:solidFill>
          </w14:textFill>
        </w:rPr>
      </w:pPr>
    </w:p>
    <w:p>
      <w:pPr>
        <w:shd w:val="clear"/>
        <w:spacing w:line="364" w:lineRule="exact"/>
        <w:ind w:firstLine="480"/>
        <w:rPr>
          <w:rFonts w:hAnsi="宋体"/>
          <w:color w:val="000000" w:themeColor="text1"/>
          <w:highlight w:val="none"/>
          <w14:textFill>
            <w14:solidFill>
              <w14:schemeClr w14:val="tx1"/>
            </w14:solidFill>
          </w14:textFill>
        </w:rPr>
      </w:pPr>
    </w:p>
    <w:p>
      <w:pPr>
        <w:pStyle w:val="3"/>
        <w:shd w:val="clear"/>
        <w:ind w:firstLine="0" w:firstLineChars="0"/>
        <w:jc w:val="center"/>
        <w:rPr>
          <w:rFonts w:hAnsi="宋体"/>
          <w:color w:val="000000" w:themeColor="text1"/>
          <w:highlight w:val="none"/>
          <w14:textFill>
            <w14:solidFill>
              <w14:schemeClr w14:val="tx1"/>
            </w14:solidFill>
          </w14:textFill>
        </w:rPr>
      </w:pPr>
      <w:r>
        <w:rPr>
          <w:rFonts w:hAnsi="宋体"/>
          <w:b w:val="0"/>
          <w:color w:val="000000" w:themeColor="text1"/>
          <w:sz w:val="43"/>
          <w:highlight w:val="none"/>
          <w14:textFill>
            <w14:solidFill>
              <w14:schemeClr w14:val="tx1"/>
            </w14:solidFill>
          </w14:textFill>
        </w:rPr>
        <w:br w:type="page"/>
      </w:r>
      <w:bookmarkStart w:id="216" w:name="_Toc152234277"/>
      <w:r>
        <w:rPr>
          <w:color w:val="000000" w:themeColor="text1"/>
          <w:highlight w:val="none"/>
          <w14:textFill>
            <w14:solidFill>
              <w14:schemeClr w14:val="tx1"/>
            </w14:solidFill>
          </w14:textFill>
        </w:rPr>
        <w:t>第二卷</w:t>
      </w:r>
      <w:bookmarkEnd w:id="216"/>
    </w:p>
    <w:p>
      <w:pPr>
        <w:shd w:val="clear"/>
        <w:spacing w:line="491" w:lineRule="exact"/>
        <w:ind w:firstLine="0" w:firstLineChars="0"/>
        <w:jc w:val="center"/>
        <w:outlineLvl w:val="0"/>
        <w:rPr>
          <w:rFonts w:hAnsi="宋体"/>
          <w:b/>
          <w:color w:val="000000" w:themeColor="text1"/>
          <w:sz w:val="43"/>
          <w:highlight w:val="none"/>
          <w14:textFill>
            <w14:solidFill>
              <w14:schemeClr w14:val="tx1"/>
            </w14:solidFill>
          </w14:textFill>
        </w:rPr>
      </w:pPr>
      <w:r>
        <w:rPr>
          <w:rFonts w:hAnsi="宋体"/>
          <w:b/>
          <w:color w:val="000000" w:themeColor="text1"/>
          <w:sz w:val="43"/>
          <w:highlight w:val="none"/>
          <w14:textFill>
            <w14:solidFill>
              <w14:schemeClr w14:val="tx1"/>
            </w14:solidFill>
          </w14:textFill>
        </w:rPr>
        <w:br w:type="page"/>
      </w:r>
      <w:bookmarkStart w:id="217" w:name="_Toc152234278"/>
      <w:r>
        <w:rPr>
          <w:rFonts w:hAnsi="宋体"/>
          <w:b/>
          <w:color w:val="000000" w:themeColor="text1"/>
          <w:sz w:val="43"/>
          <w:highlight w:val="none"/>
          <w14:textFill>
            <w14:solidFill>
              <w14:schemeClr w14:val="tx1"/>
            </w14:solidFill>
          </w14:textFill>
        </w:rPr>
        <w:t>第五章</w:t>
      </w:r>
      <w:r>
        <w:rPr>
          <w:rFonts w:hint="eastAsia" w:hAnsi="宋体"/>
          <w:b/>
          <w:color w:val="000000" w:themeColor="text1"/>
          <w:sz w:val="43"/>
          <w:highlight w:val="none"/>
          <w14:textFill>
            <w14:solidFill>
              <w14:schemeClr w14:val="tx1"/>
            </w14:solidFill>
          </w14:textFill>
        </w:rPr>
        <w:t xml:space="preserve"> </w:t>
      </w:r>
      <w:r>
        <w:rPr>
          <w:rFonts w:hAnsi="宋体"/>
          <w:b/>
          <w:color w:val="000000" w:themeColor="text1"/>
          <w:sz w:val="43"/>
          <w:highlight w:val="none"/>
          <w14:textFill>
            <w14:solidFill>
              <w14:schemeClr w14:val="tx1"/>
            </w14:solidFill>
          </w14:textFill>
        </w:rPr>
        <w:t>委托人要求</w:t>
      </w:r>
      <w:bookmarkEnd w:id="217"/>
    </w:p>
    <w:p>
      <w:pPr>
        <w:pStyle w:val="7"/>
        <w:shd w:val="clear"/>
        <w:rPr>
          <w:rFonts w:hAnsi="宋体"/>
          <w:color w:val="000000" w:themeColor="text1"/>
          <w:sz w:val="21"/>
          <w:szCs w:val="21"/>
          <w:highlight w:val="none"/>
          <w14:textFill>
            <w14:solidFill>
              <w14:schemeClr w14:val="tx1"/>
            </w14:solidFill>
          </w14:textFill>
        </w:rPr>
      </w:pPr>
    </w:p>
    <w:bookmarkEnd w:id="215"/>
    <w:p>
      <w:pPr>
        <w:shd w:val="clear"/>
        <w:ind w:firstLine="480"/>
        <w:rPr>
          <w:rFonts w:hint="eastAsia" w:hAnsi="宋体" w:cs="宋体"/>
          <w:color w:val="000000" w:themeColor="text1"/>
          <w:szCs w:val="21"/>
          <w:highlight w:val="none"/>
          <w14:textFill>
            <w14:solidFill>
              <w14:schemeClr w14:val="tx1"/>
            </w14:solidFill>
          </w14:textFill>
        </w:rPr>
      </w:pPr>
      <w:bookmarkStart w:id="218" w:name="_Toc35513535"/>
      <w:bookmarkStart w:id="219" w:name="_Toc152234283"/>
      <w:r>
        <w:rPr>
          <w:rFonts w:hint="eastAsia"/>
          <w:color w:val="000000" w:themeColor="text1"/>
          <w:highlight w:val="none"/>
          <w14:textFill>
            <w14:solidFill>
              <w14:schemeClr w14:val="tx1"/>
            </w14:solidFill>
          </w14:textFill>
        </w:rPr>
        <w:t>具体委托人要求内容以合同约定为准</w:t>
      </w:r>
      <w:r>
        <w:rPr>
          <w:rFonts w:hint="eastAsia" w:hAnsi="宋体" w:cs="宋体"/>
          <w:color w:val="000000" w:themeColor="text1"/>
          <w:szCs w:val="21"/>
          <w:highlight w:val="none"/>
          <w14:textFill>
            <w14:solidFill>
              <w14:schemeClr w14:val="tx1"/>
            </w14:solidFill>
          </w14:textFill>
        </w:rPr>
        <w:t>。</w:t>
      </w:r>
    </w:p>
    <w:p>
      <w:pPr>
        <w:shd w:val="clear"/>
        <w:ind w:firstLine="480"/>
        <w:rPr>
          <w:rFonts w:hint="eastAsia" w:hAnsi="宋体" w:cs="宋体"/>
          <w:color w:val="000000" w:themeColor="text1"/>
          <w:highlight w:val="none"/>
          <w14:textFill>
            <w14:solidFill>
              <w14:schemeClr w14:val="tx1"/>
            </w14:solidFill>
          </w14:textFill>
        </w:rPr>
      </w:pPr>
    </w:p>
    <w:p>
      <w:pPr>
        <w:pStyle w:val="3"/>
        <w:shd w:val="clear"/>
        <w:ind w:firstLine="0" w:firstLineChars="0"/>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color w:val="000000" w:themeColor="text1"/>
          <w:highlight w:val="none"/>
          <w14:textFill>
            <w14:solidFill>
              <w14:schemeClr w14:val="tx1"/>
            </w14:solidFill>
          </w14:textFill>
        </w:rPr>
        <w:t>第三卷</w:t>
      </w:r>
      <w:bookmarkEnd w:id="218"/>
      <w:bookmarkEnd w:id="219"/>
    </w:p>
    <w:p>
      <w:pPr>
        <w:shd w:val="clear"/>
        <w:spacing w:line="491" w:lineRule="exact"/>
        <w:ind w:firstLine="863"/>
        <w:jc w:val="center"/>
        <w:rPr>
          <w:rFonts w:hAnsi="宋体"/>
          <w:b/>
          <w:color w:val="000000" w:themeColor="text1"/>
          <w:sz w:val="43"/>
          <w:highlight w:val="none"/>
          <w14:textFill>
            <w14:solidFill>
              <w14:schemeClr w14:val="tx1"/>
            </w14:solidFill>
          </w14:textFill>
        </w:rPr>
      </w:pPr>
    </w:p>
    <w:p>
      <w:pPr>
        <w:shd w:val="clear"/>
        <w:spacing w:line="9" w:lineRule="exact"/>
        <w:ind w:firstLine="480"/>
        <w:rPr>
          <w:rFonts w:hAnsi="宋体"/>
          <w:color w:val="000000" w:themeColor="text1"/>
          <w:highlight w:val="none"/>
          <w14:textFill>
            <w14:solidFill>
              <w14:schemeClr w14:val="tx1"/>
            </w14:solidFill>
          </w14:textFill>
        </w:rPr>
      </w:pPr>
    </w:p>
    <w:p>
      <w:pPr>
        <w:pStyle w:val="3"/>
        <w:shd w:val="clear"/>
        <w:ind w:firstLine="0" w:firstLineChars="0"/>
        <w:jc w:val="center"/>
        <w:rPr>
          <w:rFonts w:hint="eastAsia" w:hAnsi="宋体"/>
          <w:b w:val="0"/>
          <w:color w:val="000000" w:themeColor="text1"/>
          <w:highlight w:val="none"/>
          <w14:textFill>
            <w14:solidFill>
              <w14:schemeClr w14:val="tx1"/>
            </w14:solidFill>
          </w14:textFill>
        </w:rPr>
      </w:pPr>
      <w:r>
        <w:rPr>
          <w:rFonts w:hAnsi="宋体"/>
          <w:b w:val="0"/>
          <w:color w:val="000000" w:themeColor="text1"/>
          <w:sz w:val="43"/>
          <w:highlight w:val="none"/>
          <w14:textFill>
            <w14:solidFill>
              <w14:schemeClr w14:val="tx1"/>
            </w14:solidFill>
          </w14:textFill>
        </w:rPr>
        <w:br w:type="page"/>
      </w:r>
      <w:bookmarkStart w:id="220" w:name="_Toc645"/>
      <w:bookmarkStart w:id="221" w:name="_Toc533104500"/>
      <w:bookmarkStart w:id="222" w:name="_Toc514099719"/>
      <w:bookmarkStart w:id="223" w:name="_Toc152234284"/>
      <w:r>
        <w:rPr>
          <w:rFonts w:hint="eastAsia" w:hAnsi="宋体"/>
          <w:bCs/>
          <w:color w:val="000000" w:themeColor="text1"/>
          <w:highlight w:val="none"/>
          <w14:textFill>
            <w14:solidFill>
              <w14:schemeClr w14:val="tx1"/>
            </w14:solidFill>
          </w14:textFill>
        </w:rPr>
        <w:t>第六章 投标文件格式</w:t>
      </w:r>
      <w:bookmarkEnd w:id="220"/>
      <w:bookmarkEnd w:id="221"/>
      <w:bookmarkEnd w:id="222"/>
      <w:bookmarkEnd w:id="223"/>
    </w:p>
    <w:p>
      <w:pPr>
        <w:shd w:val="clear"/>
        <w:spacing w:line="400" w:lineRule="exact"/>
        <w:ind w:firstLine="480"/>
        <w:rPr>
          <w:rFonts w:hint="eastAsia" w:hAnsi="宋体" w:cs="宋体"/>
          <w:color w:val="000000" w:themeColor="text1"/>
          <w:highlight w:val="none"/>
          <w14:textFill>
            <w14:solidFill>
              <w14:schemeClr w14:val="tx1"/>
            </w14:solidFill>
          </w14:textFill>
        </w:rPr>
      </w:pPr>
    </w:p>
    <w:p>
      <w:pPr>
        <w:shd w:val="clear"/>
        <w:spacing w:line="400" w:lineRule="exact"/>
        <w:ind w:firstLine="480"/>
        <w:rPr>
          <w:rFonts w:hint="eastAsia" w:hAnsi="宋体" w:cs="宋体"/>
          <w:color w:val="000000" w:themeColor="text1"/>
          <w:highlight w:val="none"/>
          <w14:textFill>
            <w14:solidFill>
              <w14:schemeClr w14:val="tx1"/>
            </w14:solidFill>
          </w14:textFill>
        </w:rPr>
      </w:pPr>
    </w:p>
    <w:p>
      <w:pPr>
        <w:shd w:val="clear"/>
        <w:spacing w:line="400" w:lineRule="exact"/>
        <w:ind w:firstLine="480"/>
        <w:rPr>
          <w:rFonts w:hint="eastAsia" w:hAnsi="宋体" w:cs="宋体"/>
          <w:color w:val="000000" w:themeColor="text1"/>
          <w:highlight w:val="none"/>
          <w14:textFill>
            <w14:solidFill>
              <w14:schemeClr w14:val="tx1"/>
            </w14:solidFill>
          </w14:textFill>
        </w:rPr>
      </w:pPr>
    </w:p>
    <w:p>
      <w:pPr>
        <w:shd w:val="clear"/>
        <w:spacing w:line="400" w:lineRule="exact"/>
        <w:ind w:firstLine="480"/>
        <w:rPr>
          <w:rFonts w:hint="eastAsia" w:hAnsi="宋体" w:cs="宋体"/>
          <w:color w:val="000000" w:themeColor="text1"/>
          <w:highlight w:val="none"/>
          <w14:textFill>
            <w14:solidFill>
              <w14:schemeClr w14:val="tx1"/>
            </w14:solidFill>
          </w14:textFill>
        </w:rPr>
      </w:pPr>
    </w:p>
    <w:p>
      <w:pPr>
        <w:shd w:val="clear"/>
        <w:ind w:firstLine="0" w:firstLineChars="0"/>
        <w:jc w:val="center"/>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（项目名称）</w:t>
      </w: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400"/>
        <w:rPr>
          <w:rFonts w:hint="eastAsia" w:hAnsi="宋体" w:cs="宋体"/>
          <w:color w:val="000000" w:themeColor="text1"/>
          <w:sz w:val="20"/>
          <w:highlight w:val="none"/>
          <w14:textFill>
            <w14:solidFill>
              <w14:schemeClr w14:val="tx1"/>
            </w14:solidFill>
          </w14:textFill>
        </w:rPr>
      </w:pPr>
    </w:p>
    <w:p>
      <w:pPr>
        <w:shd w:val="clear"/>
        <w:ind w:firstLine="0" w:firstLineChars="0"/>
        <w:jc w:val="center"/>
        <w:rPr>
          <w:rFonts w:hint="eastAsia" w:hAnsi="宋体" w:cs="宋体"/>
          <w:color w:val="000000" w:themeColor="text1"/>
          <w:sz w:val="44"/>
          <w:highlight w:val="none"/>
          <w14:textFill>
            <w14:solidFill>
              <w14:schemeClr w14:val="tx1"/>
            </w14:solidFill>
          </w14:textFill>
        </w:rPr>
      </w:pPr>
      <w:r>
        <w:rPr>
          <w:rFonts w:hint="eastAsia" w:hAnsi="宋体" w:cs="宋体"/>
          <w:color w:val="000000" w:themeColor="text1"/>
          <w:sz w:val="44"/>
          <w:highlight w:val="none"/>
          <w14:textFill>
            <w14:solidFill>
              <w14:schemeClr w14:val="tx1"/>
            </w14:solidFill>
          </w14:textFill>
        </w:rPr>
        <w:t>投 标 文 件</w:t>
      </w:r>
    </w:p>
    <w:p>
      <w:pPr>
        <w:shd w:val="clear"/>
        <w:ind w:firstLine="560"/>
        <w:rPr>
          <w:rFonts w:hint="eastAsia" w:hAnsi="宋体" w:cs="宋体"/>
          <w:color w:val="000000" w:themeColor="text1"/>
          <w:sz w:val="28"/>
          <w:highlight w:val="none"/>
          <w14:textFill>
            <w14:solidFill>
              <w14:schemeClr w14:val="tx1"/>
            </w14:solidFill>
          </w14:textFill>
        </w:rPr>
      </w:pPr>
    </w:p>
    <w:p>
      <w:pPr>
        <w:shd w:val="clear"/>
        <w:ind w:firstLine="560"/>
        <w:rPr>
          <w:rFonts w:hint="eastAsia" w:hAnsi="宋体" w:cs="宋体"/>
          <w:color w:val="000000" w:themeColor="text1"/>
          <w:sz w:val="28"/>
          <w:highlight w:val="none"/>
          <w14:textFill>
            <w14:solidFill>
              <w14:schemeClr w14:val="tx1"/>
            </w14:solidFill>
          </w14:textFill>
        </w:rPr>
      </w:pPr>
    </w:p>
    <w:p>
      <w:pPr>
        <w:shd w:val="clear"/>
        <w:ind w:firstLine="560"/>
        <w:rPr>
          <w:rFonts w:hint="eastAsia" w:hAnsi="宋体" w:cs="宋体"/>
          <w:color w:val="000000" w:themeColor="text1"/>
          <w:sz w:val="28"/>
          <w:highlight w:val="none"/>
          <w14:textFill>
            <w14:solidFill>
              <w14:schemeClr w14:val="tx1"/>
            </w14:solidFill>
          </w14:textFill>
        </w:rPr>
      </w:pPr>
    </w:p>
    <w:p>
      <w:pPr>
        <w:shd w:val="clear"/>
        <w:ind w:firstLine="560"/>
        <w:rPr>
          <w:rFonts w:hint="eastAsia" w:hAnsi="宋体" w:cs="宋体"/>
          <w:color w:val="000000" w:themeColor="text1"/>
          <w:sz w:val="28"/>
          <w:highlight w:val="none"/>
          <w14:textFill>
            <w14:solidFill>
              <w14:schemeClr w14:val="tx1"/>
            </w14:solidFill>
          </w14:textFill>
        </w:rPr>
      </w:pPr>
    </w:p>
    <w:p>
      <w:pPr>
        <w:shd w:val="clear"/>
        <w:ind w:firstLine="560"/>
        <w:jc w:val="center"/>
        <w:rPr>
          <w:rFonts w:hint="eastAsia" w:hAnsi="宋体" w:cs="宋体"/>
          <w:color w:val="000000" w:themeColor="text1"/>
          <w:sz w:val="28"/>
          <w:highlight w:val="none"/>
          <w14:textFill>
            <w14:solidFill>
              <w14:schemeClr w14:val="tx1"/>
            </w14:solidFill>
          </w14:textFill>
        </w:rPr>
      </w:pPr>
    </w:p>
    <w:p>
      <w:pPr>
        <w:shd w:val="clear"/>
        <w:ind w:firstLine="0" w:firstLineChars="0"/>
        <w:jc w:val="center"/>
        <w:rPr>
          <w:rFonts w:hint="eastAsia" w:hAnsi="宋体" w:cs="宋体"/>
          <w:color w:val="000000" w:themeColor="text1"/>
          <w:sz w:val="28"/>
          <w:highlight w:val="none"/>
          <w:u w:val="single"/>
          <w14:textFill>
            <w14:solidFill>
              <w14:schemeClr w14:val="tx1"/>
            </w14:solidFill>
          </w14:textFill>
        </w:rPr>
      </w:pPr>
      <w:r>
        <w:rPr>
          <w:rFonts w:hint="eastAsia" w:hAnsi="宋体" w:cs="宋体"/>
          <w:color w:val="000000" w:themeColor="text1"/>
          <w:sz w:val="28"/>
          <w:highlight w:val="none"/>
          <w14:textFill>
            <w14:solidFill>
              <w14:schemeClr w14:val="tx1"/>
            </w14:solidFill>
          </w14:textFill>
        </w:rPr>
        <w:t>投标人：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sz w:val="28"/>
          <w:highlight w:val="none"/>
          <w14:textFill>
            <w14:solidFill>
              <w14:schemeClr w14:val="tx1"/>
            </w14:solidFill>
          </w14:textFill>
        </w:rPr>
        <w:t>（盖单位章）</w:t>
      </w:r>
    </w:p>
    <w:p>
      <w:pPr>
        <w:shd w:val="clear"/>
        <w:ind w:firstLine="0" w:firstLineChars="0"/>
        <w:jc w:val="center"/>
        <w:rPr>
          <w:rFonts w:hint="eastAsia" w:hAnsi="宋体" w:cs="宋体"/>
          <w:color w:val="000000" w:themeColor="text1"/>
          <w:sz w:val="28"/>
          <w:highlight w:val="none"/>
          <w14:textFill>
            <w14:solidFill>
              <w14:schemeClr w14:val="tx1"/>
            </w14:solidFill>
          </w14:textFill>
        </w:rPr>
      </w:pPr>
      <w:r>
        <w:rPr>
          <w:rFonts w:hint="eastAsia" w:hAnsi="宋体" w:cs="宋体"/>
          <w:color w:val="000000" w:themeColor="text1"/>
          <w:sz w:val="28"/>
          <w:highlight w:val="none"/>
          <w14:textFill>
            <w14:solidFill>
              <w14:schemeClr w14:val="tx1"/>
            </w14:solidFill>
          </w14:textFill>
        </w:rPr>
        <w:t>法定代表人或其委托代理人：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sz w:val="28"/>
          <w:highlight w:val="none"/>
          <w14:textFill>
            <w14:solidFill>
              <w14:schemeClr w14:val="tx1"/>
            </w14:solidFill>
          </w14:textFill>
        </w:rPr>
        <w:t>（签字或盖章）</w:t>
      </w:r>
    </w:p>
    <w:p>
      <w:pPr>
        <w:shd w:val="clear"/>
        <w:ind w:firstLine="560"/>
        <w:jc w:val="center"/>
        <w:rPr>
          <w:rFonts w:hint="eastAsia" w:hAnsi="宋体" w:cs="宋体"/>
          <w:color w:val="000000" w:themeColor="text1"/>
          <w:sz w:val="28"/>
          <w:highlight w:val="none"/>
          <w14:textFill>
            <w14:solidFill>
              <w14:schemeClr w14:val="tx1"/>
            </w14:solidFill>
          </w14:textFill>
        </w:rPr>
      </w:pPr>
    </w:p>
    <w:p>
      <w:pPr>
        <w:shd w:val="clear"/>
        <w:spacing w:line="400" w:lineRule="exact"/>
        <w:ind w:firstLine="0" w:firstLineChars="0"/>
        <w:jc w:val="center"/>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sz w:val="28"/>
          <w:highlight w:val="none"/>
          <w14:textFill>
            <w14:solidFill>
              <w14:schemeClr w14:val="tx1"/>
            </w14:solidFill>
          </w14:textFill>
        </w:rPr>
        <w:t>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sz w:val="28"/>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sz w:val="28"/>
          <w:highlight w:val="none"/>
          <w14:textFill>
            <w14:solidFill>
              <w14:schemeClr w14:val="tx1"/>
            </w14:solidFill>
          </w14:textFill>
        </w:rPr>
        <w:t>日</w:t>
      </w:r>
    </w:p>
    <w:p>
      <w:pPr>
        <w:shd w:val="clear"/>
        <w:ind w:firstLine="480"/>
        <w:rPr>
          <w:rFonts w:hint="eastAsia" w:hAnsi="宋体" w:cs="宋体"/>
          <w:color w:val="000000" w:themeColor="text1"/>
          <w:highlight w:val="none"/>
          <w14:textFill>
            <w14:solidFill>
              <w14:schemeClr w14:val="tx1"/>
            </w14:solidFill>
          </w14:textFill>
        </w:rPr>
      </w:pPr>
    </w:p>
    <w:p>
      <w:pPr>
        <w:shd w:val="clear"/>
        <w:ind w:firstLine="480"/>
        <w:rPr>
          <w:rFonts w:hint="eastAsia" w:hAnsi="宋体" w:cs="宋体"/>
          <w:color w:val="000000" w:themeColor="text1"/>
          <w:highlight w:val="none"/>
          <w14:textFill>
            <w14:solidFill>
              <w14:schemeClr w14:val="tx1"/>
            </w14:solidFill>
          </w14:textFill>
        </w:rPr>
      </w:pPr>
    </w:p>
    <w:p>
      <w:pPr>
        <w:shd w:val="clear"/>
        <w:spacing w:before="260" w:after="260" w:line="412" w:lineRule="auto"/>
        <w:ind w:firstLine="643"/>
        <w:jc w:val="center"/>
        <w:outlineLvl w:val="1"/>
        <w:rPr>
          <w:rFonts w:hint="eastAsia" w:hAnsi="宋体" w:cs="宋体"/>
          <w:b/>
          <w:color w:val="000000" w:themeColor="text1"/>
          <w:sz w:val="32"/>
          <w:highlight w:val="none"/>
          <w14:textFill>
            <w14:solidFill>
              <w14:schemeClr w14:val="tx1"/>
            </w14:solidFill>
          </w14:textFill>
        </w:rPr>
        <w:sectPr>
          <w:pgSz w:w="12240" w:h="15840"/>
          <w:pgMar w:top="1440" w:right="1425" w:bottom="1440" w:left="1800" w:header="720" w:footer="720" w:gutter="0"/>
          <w:cols w:space="720" w:num="1"/>
          <w:docGrid w:linePitch="286" w:charSpace="0"/>
        </w:sectPr>
      </w:pPr>
    </w:p>
    <w:p>
      <w:pPr>
        <w:pageBreakBefore/>
        <w:shd w:val="clear"/>
        <w:spacing w:before="260" w:after="260" w:line="413" w:lineRule="auto"/>
        <w:ind w:firstLine="0" w:firstLineChars="0"/>
        <w:jc w:val="center"/>
        <w:outlineLvl w:val="1"/>
        <w:rPr>
          <w:rFonts w:hint="eastAsia" w:hAnsi="宋体" w:cs="宋体"/>
          <w:b/>
          <w:color w:val="000000" w:themeColor="text1"/>
          <w:sz w:val="36"/>
          <w:szCs w:val="36"/>
          <w:highlight w:val="none"/>
          <w14:textFill>
            <w14:solidFill>
              <w14:schemeClr w14:val="tx1"/>
            </w14:solidFill>
          </w14:textFill>
        </w:rPr>
      </w:pPr>
      <w:bookmarkStart w:id="224" w:name="_Toc533104501"/>
      <w:bookmarkStart w:id="225" w:name="_Toc152234285"/>
      <w:r>
        <w:rPr>
          <w:rFonts w:hint="eastAsia" w:hAnsi="宋体" w:cs="宋体"/>
          <w:b/>
          <w:color w:val="000000" w:themeColor="text1"/>
          <w:sz w:val="36"/>
          <w:szCs w:val="36"/>
          <w:highlight w:val="none"/>
          <w14:textFill>
            <w14:solidFill>
              <w14:schemeClr w14:val="tx1"/>
            </w14:solidFill>
          </w14:textFill>
        </w:rPr>
        <w:t>目  录</w:t>
      </w:r>
      <w:bookmarkEnd w:id="224"/>
      <w:bookmarkEnd w:id="225"/>
    </w:p>
    <w:p>
      <w:pPr>
        <w:shd w:val="clear"/>
        <w:spacing w:line="540" w:lineRule="exact"/>
        <w:ind w:left="960" w:leftChars="400" w:firstLine="480"/>
        <w:rPr>
          <w:rFonts w:hint="eastAsia" w:hAnsi="宋体" w:cs="宋体"/>
          <w:color w:val="000000" w:themeColor="text1"/>
          <w:highlight w:val="none"/>
          <w14:textFill>
            <w14:solidFill>
              <w14:schemeClr w14:val="tx1"/>
            </w14:solidFill>
          </w14:textFill>
        </w:rPr>
      </w:pPr>
      <w:bookmarkStart w:id="226" w:name="_Toc369531691"/>
      <w:bookmarkStart w:id="227" w:name="_Toc7039"/>
      <w:bookmarkStart w:id="228" w:name="_Toc352691655"/>
      <w:r>
        <w:rPr>
          <w:rFonts w:hint="eastAsia" w:hAnsi="宋体" w:cs="宋体"/>
          <w:color w:val="000000" w:themeColor="text1"/>
          <w:highlight w:val="none"/>
          <w14:textFill>
            <w14:solidFill>
              <w14:schemeClr w14:val="tx1"/>
            </w14:solidFill>
          </w14:textFill>
        </w:rPr>
        <w:t>一、投标函及投标函附录</w:t>
      </w:r>
    </w:p>
    <w:p>
      <w:pPr>
        <w:shd w:val="clear"/>
        <w:spacing w:line="540" w:lineRule="exact"/>
        <w:ind w:left="960" w:leftChars="400"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二、法定代表人证明书及授权委托书</w:t>
      </w:r>
    </w:p>
    <w:p>
      <w:pPr>
        <w:shd w:val="clear"/>
        <w:spacing w:line="540" w:lineRule="exact"/>
        <w:ind w:left="960" w:leftChars="400" w:firstLine="480"/>
        <w:rPr>
          <w:rFonts w:hint="eastAsia"/>
          <w:strike/>
          <w:color w:val="000000" w:themeColor="text1"/>
          <w:highlight w:val="none"/>
          <w14:textFill>
            <w14:solidFill>
              <w14:schemeClr w14:val="tx1"/>
            </w14:solidFill>
          </w14:textFill>
        </w:rPr>
      </w:pPr>
      <w:r>
        <w:rPr>
          <w:rFonts w:hint="eastAsia" w:hAnsi="宋体" w:cs="宋体"/>
          <w:strike/>
          <w:color w:val="000000" w:themeColor="text1"/>
          <w:highlight w:val="none"/>
          <w14:textFill>
            <w14:solidFill>
              <w14:schemeClr w14:val="tx1"/>
            </w14:solidFill>
          </w14:textFill>
        </w:rPr>
        <w:t>三、投标保证金</w:t>
      </w:r>
    </w:p>
    <w:p>
      <w:pPr>
        <w:shd w:val="clear"/>
        <w:spacing w:line="540" w:lineRule="exact"/>
        <w:ind w:left="960" w:leftChars="400"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四、资格审查资料</w:t>
      </w:r>
    </w:p>
    <w:p>
      <w:pPr>
        <w:shd w:val="clear"/>
        <w:spacing w:line="540" w:lineRule="exact"/>
        <w:ind w:left="960" w:leftChars="400"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五、企业工程造价咨询业绩一览表</w:t>
      </w:r>
    </w:p>
    <w:p>
      <w:pPr>
        <w:shd w:val="clear"/>
        <w:spacing w:line="540" w:lineRule="exact"/>
        <w:ind w:left="960" w:leftChars="400"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六、拟投入本项目人员架构</w:t>
      </w:r>
    </w:p>
    <w:p>
      <w:pPr>
        <w:shd w:val="clear"/>
        <w:spacing w:line="540" w:lineRule="exact"/>
        <w:ind w:left="960" w:leftChars="400"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七、服务方案</w:t>
      </w:r>
    </w:p>
    <w:p>
      <w:pPr>
        <w:shd w:val="clear"/>
        <w:spacing w:line="540" w:lineRule="exact"/>
        <w:ind w:left="960" w:leftChars="400" w:firstLine="480"/>
        <w:rPr>
          <w:rFonts w:hint="eastAsia" w:hAnsi="宋体" w:cs="宋体"/>
          <w:color w:val="000000" w:themeColor="text1"/>
          <w:sz w:val="2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八、其他材料</w:t>
      </w:r>
    </w:p>
    <w:bookmarkEnd w:id="226"/>
    <w:bookmarkEnd w:id="227"/>
    <w:bookmarkEnd w:id="228"/>
    <w:p>
      <w:pPr>
        <w:pageBreakBefore/>
        <w:shd w:val="clear"/>
        <w:spacing w:before="120" w:after="120"/>
        <w:ind w:firstLine="643"/>
        <w:jc w:val="left"/>
        <w:outlineLvl w:val="1"/>
        <w:rPr>
          <w:rFonts w:hint="eastAsia" w:hAnsi="宋体" w:cs="宋体"/>
          <w:b/>
          <w:color w:val="000000" w:themeColor="text1"/>
          <w:sz w:val="32"/>
          <w:highlight w:val="none"/>
          <w14:textFill>
            <w14:solidFill>
              <w14:schemeClr w14:val="tx1"/>
            </w14:solidFill>
          </w14:textFill>
        </w:rPr>
      </w:pPr>
      <w:bookmarkStart w:id="229" w:name="_Toc533104502"/>
      <w:bookmarkStart w:id="230" w:name="_Toc152234286"/>
      <w:r>
        <w:rPr>
          <w:rFonts w:hint="eastAsia" w:hAnsi="宋体" w:cs="宋体"/>
          <w:b/>
          <w:color w:val="000000" w:themeColor="text1"/>
          <w:sz w:val="32"/>
          <w:highlight w:val="none"/>
          <w14:textFill>
            <w14:solidFill>
              <w14:schemeClr w14:val="tx1"/>
            </w14:solidFill>
          </w14:textFill>
        </w:rPr>
        <w:t>格式1  投标</w:t>
      </w:r>
      <w:bookmarkStart w:id="231" w:name="_Toc369531692"/>
      <w:bookmarkStart w:id="232" w:name="_Toc6931"/>
      <w:bookmarkStart w:id="233" w:name="_Toc352691656"/>
      <w:r>
        <w:rPr>
          <w:rFonts w:hint="eastAsia" w:hAnsi="宋体" w:cs="宋体"/>
          <w:b/>
          <w:color w:val="000000" w:themeColor="text1"/>
          <w:sz w:val="32"/>
          <w:highlight w:val="none"/>
          <w14:textFill>
            <w14:solidFill>
              <w14:schemeClr w14:val="tx1"/>
            </w14:solidFill>
          </w14:textFill>
        </w:rPr>
        <w:t>函及投标函附录</w:t>
      </w:r>
      <w:bookmarkEnd w:id="229"/>
      <w:bookmarkEnd w:id="230"/>
    </w:p>
    <w:bookmarkEnd w:id="231"/>
    <w:bookmarkEnd w:id="232"/>
    <w:bookmarkEnd w:id="233"/>
    <w:p>
      <w:pPr>
        <w:shd w:val="clear"/>
        <w:spacing w:before="120" w:after="120"/>
        <w:ind w:firstLine="562"/>
        <w:jc w:val="center"/>
        <w:outlineLvl w:val="2"/>
        <w:rPr>
          <w:rFonts w:hint="eastAsia" w:hAnsi="宋体" w:cs="宋体"/>
          <w:b/>
          <w:color w:val="000000" w:themeColor="text1"/>
          <w:sz w:val="28"/>
          <w:highlight w:val="none"/>
          <w14:textFill>
            <w14:solidFill>
              <w14:schemeClr w14:val="tx1"/>
            </w14:solidFill>
          </w14:textFill>
        </w:rPr>
      </w:pPr>
      <w:bookmarkStart w:id="234" w:name="_Toc152234287"/>
      <w:bookmarkStart w:id="235" w:name="_Toc533104503"/>
      <w:bookmarkStart w:id="236" w:name="_Toc359594235"/>
      <w:bookmarkStart w:id="237" w:name="_Toc385943065"/>
      <w:bookmarkStart w:id="238" w:name="_Toc391394111"/>
      <w:bookmarkStart w:id="239" w:name="_Toc370676426"/>
      <w:bookmarkStart w:id="240" w:name="_Toc482188651"/>
      <w:r>
        <w:rPr>
          <w:rFonts w:hint="eastAsia" w:hAnsi="宋体" w:cs="宋体"/>
          <w:b/>
          <w:color w:val="000000" w:themeColor="text1"/>
          <w:sz w:val="28"/>
          <w:highlight w:val="none"/>
          <w14:textFill>
            <w14:solidFill>
              <w14:schemeClr w14:val="tx1"/>
            </w14:solidFill>
          </w14:textFill>
        </w:rPr>
        <w:t>（一）投标函</w:t>
      </w:r>
      <w:bookmarkEnd w:id="234"/>
      <w:bookmarkEnd w:id="235"/>
      <w:bookmarkEnd w:id="236"/>
      <w:bookmarkEnd w:id="237"/>
      <w:bookmarkEnd w:id="238"/>
      <w:bookmarkEnd w:id="239"/>
      <w:bookmarkEnd w:id="240"/>
    </w:p>
    <w:p>
      <w:pPr>
        <w:shd w:val="clear"/>
        <w:ind w:firstLine="199" w:firstLineChars="83"/>
        <w:rPr>
          <w:rFonts w:hAnsi="宋体"/>
          <w:b/>
          <w:bCs/>
          <w:color w:val="000000" w:themeColor="text1"/>
          <w:kern w:val="28"/>
          <w:highlight w:val="none"/>
          <w14:textFill>
            <w14:solidFill>
              <w14:schemeClr w14:val="tx1"/>
            </w14:solidFill>
          </w14:textFill>
        </w:rPr>
      </w:pPr>
      <w:r>
        <w:rPr>
          <w:rFonts w:hint="eastAsia" w:hAnsi="宋体" w:cs="宋体"/>
          <w:color w:val="000000" w:themeColor="text1"/>
          <w:highlight w:val="none"/>
          <w:u w:val="single"/>
          <w:lang w:eastAsia="zh-CN"/>
          <w14:textFill>
            <w14:solidFill>
              <w14:schemeClr w14:val="tx1"/>
            </w14:solidFill>
          </w14:textFill>
        </w:rPr>
        <w:t>广州市白云城市建设投资有限公司</w:t>
      </w:r>
      <w:r>
        <w:rPr>
          <w:rFonts w:hint="eastAsia" w:hAnsi="宋体"/>
          <w:b/>
          <w:bCs/>
          <w:color w:val="000000" w:themeColor="text1"/>
          <w:kern w:val="28"/>
          <w:highlight w:val="none"/>
          <w14:textFill>
            <w14:solidFill>
              <w14:schemeClr w14:val="tx1"/>
            </w14:solidFill>
          </w14:textFill>
        </w:rPr>
        <w:t>：</w:t>
      </w:r>
    </w:p>
    <w:p>
      <w:pPr>
        <w:shd w:val="clear"/>
        <w:ind w:firstLine="480"/>
        <w:jc w:val="left"/>
        <w:rPr>
          <w:rFonts w:hint="eastAsia"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．我方已仔细研究了</w:t>
      </w:r>
      <w:r>
        <w:rPr>
          <w:rFonts w:hint="eastAsia" w:hAnsi="宋体"/>
          <w:color w:val="000000" w:themeColor="text1"/>
          <w:szCs w:val="24"/>
          <w:highlight w:val="none"/>
          <w:u w:val="single"/>
          <w14:textFill>
            <w14:solidFill>
              <w14:schemeClr w14:val="tx1"/>
            </w14:solidFill>
          </w14:textFill>
        </w:rPr>
        <w:t xml:space="preserve"> </w:t>
      </w:r>
      <w:r>
        <w:rPr>
          <w:rFonts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u w:val="single"/>
          <w14:textFill>
            <w14:solidFill>
              <w14:schemeClr w14:val="tx1"/>
            </w14:solidFill>
          </w14:textFill>
        </w:rPr>
        <w:t>（项目名称）</w:t>
      </w:r>
      <w:r>
        <w:rPr>
          <w:rFonts w:hint="eastAsia" w:hAnsi="宋体"/>
          <w:color w:val="000000" w:themeColor="text1"/>
          <w:highlight w:val="none"/>
          <w14:textFill>
            <w14:solidFill>
              <w14:schemeClr w14:val="tx1"/>
            </w14:solidFill>
          </w14:textFill>
        </w:rPr>
        <w:t>招标文件的全部内容，愿意参与投标。</w:t>
      </w:r>
    </w:p>
    <w:p>
      <w:pPr>
        <w:shd w:val="clear"/>
        <w:ind w:firstLine="480"/>
        <w:jc w:val="left"/>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．我方承诺在投标有效期内不修改、不撤销投标文件。</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3</w:t>
      </w:r>
      <w:r>
        <w:rPr>
          <w:rFonts w:hint="eastAsia" w:hAnsi="宋体"/>
          <w:color w:val="000000" w:themeColor="text1"/>
          <w:highlight w:val="none"/>
          <w14:textFill>
            <w14:solidFill>
              <w14:schemeClr w14:val="tx1"/>
            </w14:solidFill>
          </w14:textFill>
        </w:rPr>
        <w:t>．如我方中标：</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1</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我方承诺在收到中标通知书后，在本招标文件规定的期限内与贵公司签订合同。</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2</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我方承诺在合同约定的期限内完成全部合同项目。</w:t>
      </w:r>
    </w:p>
    <w:p>
      <w:pPr>
        <w:shd w:val="clear"/>
        <w:ind w:firstLine="48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我方在此声明，所递交的投标文件及有关资料内容完整、真实和准确。</w:t>
      </w: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(4)在未正式签订合同前，本招标项目的招标文件、中标通知书和本投标文件将构成约束我们双方的法律文书。</w:t>
      </w: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(5)我方理解，贵公司不一定接受最低标价的投标文件或可能接受任何的投标文件。同时也理解，不论结果如何，贵公司不承担我方的任何投标费用。</w:t>
      </w:r>
    </w:p>
    <w:p>
      <w:pPr>
        <w:shd w:val="clear"/>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如果我方在投标有效期内撤回投标文件，或收到中标通知书后未能按招标文件规定的期限签署或拒绝签署合同，或未能或拒绝提交履约担保，贵公司有权视为我方自动放弃中标资格并没收我方提交的投标保证金。</w:t>
      </w:r>
    </w:p>
    <w:p>
      <w:pPr>
        <w:shd w:val="clear"/>
        <w:spacing w:line="440" w:lineRule="exact"/>
        <w:ind w:firstLine="2880" w:firstLineChars="1200"/>
        <w:jc w:val="left"/>
        <w:rPr>
          <w:rFonts w:hint="eastAsia" w:hAnsi="宋体" w:cs="宋体"/>
          <w:color w:val="000000" w:themeColor="text1"/>
          <w:szCs w:val="24"/>
          <w:highlight w:val="none"/>
          <w14:textFill>
            <w14:solidFill>
              <w14:schemeClr w14:val="tx1"/>
            </w14:solidFill>
          </w14:textFill>
        </w:rPr>
      </w:pPr>
    </w:p>
    <w:p>
      <w:pPr>
        <w:shd w:val="clear"/>
        <w:spacing w:line="480" w:lineRule="auto"/>
        <w:ind w:firstLine="480"/>
        <w:rPr>
          <w:rFonts w:hAnsi="宋体"/>
          <w:color w:val="000000" w:themeColor="text1"/>
          <w:highlight w:val="none"/>
          <w14:textFill>
            <w14:solidFill>
              <w14:schemeClr w14:val="tx1"/>
            </w14:solidFill>
          </w14:textFill>
        </w:rPr>
      </w:pPr>
      <w:bookmarkStart w:id="241" w:name="_Toc359594236"/>
      <w:bookmarkStart w:id="242" w:name="_Toc391394112"/>
      <w:bookmarkStart w:id="243" w:name="_Toc370676427"/>
      <w:bookmarkStart w:id="244" w:name="_Toc385943066"/>
      <w:bookmarkStart w:id="245" w:name="_Toc482188652"/>
      <w:bookmarkStart w:id="246" w:name="_Toc533104504"/>
      <w:bookmarkStart w:id="247" w:name="_Toc300835209"/>
      <w:bookmarkStart w:id="248" w:name="_Toc152042576"/>
      <w:bookmarkStart w:id="249" w:name="_Toc17960"/>
      <w:bookmarkStart w:id="250" w:name="_Toc247527827"/>
      <w:bookmarkStart w:id="251" w:name="_Toc247514246"/>
      <w:bookmarkStart w:id="252" w:name="_Toc384308375"/>
      <w:bookmarkStart w:id="253" w:name="_Toc369531697"/>
      <w:bookmarkStart w:id="254" w:name="_Toc352691661"/>
      <w:bookmarkStart w:id="255" w:name="_Toc361508752"/>
      <w:bookmarkStart w:id="256" w:name="_Toc152045787"/>
      <w:bookmarkStart w:id="257" w:name="_Toc144974856"/>
      <w:r>
        <w:rPr>
          <w:rFonts w:hint="eastAsia" w:hAnsi="宋体"/>
          <w:color w:val="000000" w:themeColor="text1"/>
          <w:highlight w:val="none"/>
          <w14:textFill>
            <w14:solidFill>
              <w14:schemeClr w14:val="tx1"/>
            </w14:solidFill>
          </w14:textFill>
        </w:rPr>
        <w:t>投标人（盖章）：　</w:t>
      </w:r>
      <w:r>
        <w:rPr>
          <w:rFonts w:hint="eastAsia" w:hAnsi="宋体"/>
          <w:color w:val="000000" w:themeColor="text1"/>
          <w:highlight w:val="none"/>
          <w:u w:val="single"/>
          <w14:textFill>
            <w14:solidFill>
              <w14:schemeClr w14:val="tx1"/>
            </w14:solidFill>
          </w14:textFill>
        </w:rPr>
        <w:t>　　　　　　　　　　　　　　　</w:t>
      </w:r>
    </w:p>
    <w:p>
      <w:pPr>
        <w:shd w:val="clear"/>
        <w:spacing w:line="480" w:lineRule="auto"/>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法定代表人或其委托代理人（签字或盖章）：</w:t>
      </w:r>
      <w:r>
        <w:rPr>
          <w:rFonts w:hint="eastAsia" w:hAnsi="宋体"/>
          <w:color w:val="000000" w:themeColor="text1"/>
          <w:highlight w:val="none"/>
          <w:u w:val="single"/>
          <w14:textFill>
            <w14:solidFill>
              <w14:schemeClr w14:val="tx1"/>
            </w14:solidFill>
          </w14:textFill>
        </w:rPr>
        <w:t xml:space="preserve">　　　　　　　　　  </w:t>
      </w:r>
    </w:p>
    <w:p>
      <w:pPr>
        <w:shd w:val="clear"/>
        <w:spacing w:line="480" w:lineRule="auto"/>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地址：</w:t>
      </w:r>
      <w:r>
        <w:rPr>
          <w:rFonts w:hint="eastAsia" w:hAnsi="宋体"/>
          <w:color w:val="000000" w:themeColor="text1"/>
          <w:highlight w:val="none"/>
          <w:u w:val="single"/>
          <w14:textFill>
            <w14:solidFill>
              <w14:schemeClr w14:val="tx1"/>
            </w14:solidFill>
          </w14:textFill>
        </w:rPr>
        <w:t>　　　　　　　　　</w:t>
      </w:r>
      <w:r>
        <w:rPr>
          <w:rFonts w:hint="eastAsia" w:hAnsi="宋体"/>
          <w:color w:val="000000" w:themeColor="text1"/>
          <w:highlight w:val="none"/>
          <w14:textFill>
            <w14:solidFill>
              <w14:schemeClr w14:val="tx1"/>
            </w14:solidFill>
          </w14:textFill>
        </w:rPr>
        <w:t>　邮编：</w:t>
      </w:r>
      <w:r>
        <w:rPr>
          <w:rFonts w:hint="eastAsia" w:hAnsi="宋体"/>
          <w:color w:val="000000" w:themeColor="text1"/>
          <w:highlight w:val="none"/>
          <w:u w:val="single"/>
          <w14:textFill>
            <w14:solidFill>
              <w14:schemeClr w14:val="tx1"/>
            </w14:solidFill>
          </w14:textFill>
        </w:rPr>
        <w:t>　　　　　　　　　　　　　　</w:t>
      </w:r>
    </w:p>
    <w:p>
      <w:pPr>
        <w:shd w:val="clear"/>
        <w:spacing w:line="480" w:lineRule="auto"/>
        <w:ind w:firstLine="48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电子邮箱：</w:t>
      </w:r>
      <w:r>
        <w:rPr>
          <w:rFonts w:hint="eastAsia" w:hAnsi="宋体"/>
          <w:color w:val="000000" w:themeColor="text1"/>
          <w:highlight w:val="none"/>
          <w:u w:val="single"/>
          <w14:textFill>
            <w14:solidFill>
              <w14:schemeClr w14:val="tx1"/>
            </w14:solidFill>
          </w14:textFill>
        </w:rPr>
        <w:t>　　　　　　　　　　　　</w:t>
      </w:r>
    </w:p>
    <w:p>
      <w:pPr>
        <w:shd w:val="clear"/>
        <w:spacing w:line="480" w:lineRule="auto"/>
        <w:ind w:firstLine="480"/>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电话：</w:t>
      </w:r>
      <w:r>
        <w:rPr>
          <w:rFonts w:hint="eastAsia" w:hAnsi="宋体"/>
          <w:color w:val="000000" w:themeColor="text1"/>
          <w:highlight w:val="none"/>
          <w:u w:val="single"/>
          <w14:textFill>
            <w14:solidFill>
              <w14:schemeClr w14:val="tx1"/>
            </w14:solidFill>
          </w14:textFill>
        </w:rPr>
        <w:t>　　　　　　　　　　　　</w:t>
      </w:r>
      <w:r>
        <w:rPr>
          <w:rFonts w:hint="eastAsia" w:hAnsi="宋体"/>
          <w:color w:val="000000" w:themeColor="text1"/>
          <w:highlight w:val="none"/>
          <w14:textFill>
            <w14:solidFill>
              <w14:schemeClr w14:val="tx1"/>
            </w14:solidFill>
          </w14:textFill>
        </w:rPr>
        <w:t>　传真：</w:t>
      </w:r>
      <w:r>
        <w:rPr>
          <w:rFonts w:hint="eastAsia" w:hAnsi="宋体"/>
          <w:color w:val="000000" w:themeColor="text1"/>
          <w:highlight w:val="none"/>
          <w:u w:val="single"/>
          <w14:textFill>
            <w14:solidFill>
              <w14:schemeClr w14:val="tx1"/>
            </w14:solidFill>
          </w14:textFill>
        </w:rPr>
        <w:t>　　　　　　　　　　　　</w:t>
      </w:r>
    </w:p>
    <w:p>
      <w:pPr>
        <w:shd w:val="clear"/>
        <w:spacing w:line="480" w:lineRule="auto"/>
        <w:ind w:firstLine="480"/>
        <w:rPr>
          <w:rFonts w:hint="eastAsia" w:cs="宋体"/>
          <w:color w:val="000000" w:themeColor="text1"/>
          <w:highlight w:val="none"/>
          <w14:textFill>
            <w14:solidFill>
              <w14:schemeClr w14:val="tx1"/>
            </w14:solidFill>
          </w14:textFill>
        </w:rPr>
        <w:sectPr>
          <w:pgSz w:w="12240" w:h="15840"/>
          <w:pgMar w:top="1418" w:right="1418" w:bottom="1418" w:left="1701" w:header="851" w:footer="680" w:gutter="0"/>
          <w:cols w:space="720" w:num="1"/>
          <w:docGrid w:linePitch="286" w:charSpace="0"/>
        </w:sectPr>
      </w:pPr>
      <w:r>
        <w:rPr>
          <w:rFonts w:hint="eastAsia"/>
          <w:color w:val="000000" w:themeColor="text1"/>
          <w:highlight w:val="none"/>
          <w14:textFill>
            <w14:solidFill>
              <w14:schemeClr w14:val="tx1"/>
            </w14:solidFill>
          </w14:textFill>
        </w:rPr>
        <w:t>　　　　　　　　　</w:t>
      </w:r>
      <w:r>
        <w:rPr>
          <w:rFonts w:hint="eastAsia" w:hAnsi="宋体"/>
          <w:color w:val="000000" w:themeColor="text1"/>
          <w:highlight w:val="none"/>
          <w14:textFill>
            <w14:solidFill>
              <w14:schemeClr w14:val="tx1"/>
            </w14:solidFill>
          </w14:textFill>
        </w:rPr>
        <w:t>年　　月　　日</w:t>
      </w:r>
    </w:p>
    <w:p>
      <w:pPr>
        <w:shd w:val="clear"/>
        <w:spacing w:before="120" w:after="120"/>
        <w:ind w:firstLine="562"/>
        <w:jc w:val="center"/>
        <w:outlineLvl w:val="2"/>
        <w:rPr>
          <w:rFonts w:hint="eastAsia" w:hAnsi="宋体" w:cs="宋体"/>
          <w:b/>
          <w:color w:val="000000" w:themeColor="text1"/>
          <w:sz w:val="28"/>
          <w:highlight w:val="none"/>
          <w14:textFill>
            <w14:solidFill>
              <w14:schemeClr w14:val="tx1"/>
            </w14:solidFill>
          </w14:textFill>
        </w:rPr>
      </w:pPr>
      <w:bookmarkStart w:id="258" w:name="_Toc152234288"/>
      <w:r>
        <w:rPr>
          <w:rFonts w:hint="eastAsia" w:hAnsi="宋体" w:cs="宋体"/>
          <w:b/>
          <w:color w:val="000000" w:themeColor="text1"/>
          <w:sz w:val="28"/>
          <w:highlight w:val="none"/>
          <w14:textFill>
            <w14:solidFill>
              <w14:schemeClr w14:val="tx1"/>
            </w14:solidFill>
          </w14:textFill>
        </w:rPr>
        <w:t>（二）投标函附录</w:t>
      </w:r>
      <w:bookmarkEnd w:id="241"/>
      <w:bookmarkEnd w:id="242"/>
      <w:bookmarkEnd w:id="243"/>
      <w:bookmarkEnd w:id="244"/>
      <w:bookmarkEnd w:id="245"/>
      <w:bookmarkEnd w:id="246"/>
      <w:bookmarkEnd w:id="25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32"/>
        <w:gridCol w:w="4230"/>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条款名称</w:t>
            </w:r>
          </w:p>
        </w:tc>
        <w:tc>
          <w:tcPr>
            <w:tcW w:w="4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约定内容</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项目负责人</w:t>
            </w:r>
          </w:p>
        </w:tc>
        <w:tc>
          <w:tcPr>
            <w:tcW w:w="4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spacing w:before="0" w:beforeAutospacing="0" w:after="0" w:afterAutospacing="0" w:line="400" w:lineRule="exact"/>
              <w:ind w:left="0" w:right="0" w:firstLine="480"/>
              <w:jc w:val="left"/>
              <w:rPr>
                <w:rFonts w:hint="eastAsia" w:hAnsi="宋体" w:cs="宋体"/>
                <w:color w:val="000000" w:themeColor="text1"/>
                <w:szCs w:val="24"/>
                <w:highlight w:val="none"/>
                <w14:textFill>
                  <w14:solidFill>
                    <w14:schemeClr w14:val="tx1"/>
                  </w14:solidFill>
                </w14:textFill>
              </w:rPr>
            </w:pPr>
            <w:r>
              <w:rPr>
                <w:rFonts w:hint="default"/>
                <w:color w:val="000000" w:themeColor="text1"/>
                <w:szCs w:val="20"/>
                <w:highlight w:val="none"/>
                <w14:textFill>
                  <w14:solidFill>
                    <w14:schemeClr w14:val="tx1"/>
                  </w14:solidFill>
                </w14:textFill>
              </w:rPr>
              <w:t>姓名： </w:t>
            </w:r>
            <w:r>
              <w:rPr>
                <w:rFonts w:hint="default"/>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u w:val="single"/>
                <w14:textFill>
                  <w14:solidFill>
                    <w14:schemeClr w14:val="tx1"/>
                  </w14:solidFill>
                </w14:textFill>
              </w:rPr>
              <w:t xml:space="preserve">     </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服务期限</w:t>
            </w:r>
          </w:p>
        </w:tc>
        <w:tc>
          <w:tcPr>
            <w:tcW w:w="4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spacing w:before="0" w:beforeAutospacing="0" w:after="0" w:afterAutospacing="0" w:line="400" w:lineRule="exact"/>
              <w:ind w:left="0" w:right="0" w:firstLine="48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按招标文件要求</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100" w:beforeAutospacing="1" w:after="100" w:afterAutospacing="1"/>
              <w:ind w:left="0" w:right="0" w:firstLine="199" w:firstLineChars="83"/>
              <w:rPr>
                <w:rFonts w:hint="default"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质量标准</w:t>
            </w:r>
          </w:p>
        </w:tc>
        <w:tc>
          <w:tcPr>
            <w:tcW w:w="4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left"/>
              <w:rPr>
                <w:rFonts w:hint="default" w:hAnsi="宋体"/>
                <w:color w:val="000000" w:themeColor="text1"/>
                <w:szCs w:val="24"/>
                <w:highlight w:val="none"/>
                <w:u w:val="singl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按招标文件要求</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投标报价总价</w:t>
            </w:r>
          </w:p>
        </w:tc>
        <w:tc>
          <w:tcPr>
            <w:tcW w:w="4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spacing w:before="0" w:beforeAutospacing="0" w:after="0" w:afterAutospacing="0" w:line="400" w:lineRule="exact"/>
              <w:ind w:left="0" w:right="0" w:firstLine="480"/>
              <w:jc w:val="left"/>
              <w:rPr>
                <w:rFonts w:hint="default"/>
                <w:color w:val="000000" w:themeColor="text1"/>
                <w:szCs w:val="20"/>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小写：</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lang w:val="en-US" w:eastAsia="zh-CN"/>
                <w14:textFill>
                  <w14:solidFill>
                    <w14:schemeClr w14:val="tx1"/>
                  </w14:solidFill>
                </w14:textFill>
              </w:rPr>
              <w:t>万</w:t>
            </w:r>
            <w:r>
              <w:rPr>
                <w:rFonts w:hint="eastAsia" w:hAnsi="宋体"/>
                <w:color w:val="000000" w:themeColor="text1"/>
                <w:szCs w:val="24"/>
                <w:highlight w:val="none"/>
                <w14:textFill>
                  <w14:solidFill>
                    <w14:schemeClr w14:val="tx1"/>
                  </w14:solidFill>
                </w14:textFill>
              </w:rPr>
              <w:t>元）</w:t>
            </w:r>
          </w:p>
          <w:p>
            <w:pPr>
              <w:pStyle w:val="47"/>
              <w:keepNext w:val="0"/>
              <w:keepLines w:val="0"/>
              <w:widowControl/>
              <w:suppressLineNumbers w:val="0"/>
              <w:shd w:val="clear"/>
              <w:spacing w:before="0" w:beforeAutospacing="0" w:after="0" w:afterAutospacing="0"/>
              <w:ind w:left="0" w:right="0" w:firstLine="480"/>
              <w:rPr>
                <w:rFonts w:hint="default"/>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大写：</w:t>
            </w:r>
            <w:r>
              <w:rPr>
                <w:rFonts w:hint="eastAsia"/>
                <w:color w:val="000000" w:themeColor="text1"/>
                <w:szCs w:val="20"/>
                <w:highlight w:val="none"/>
                <w:u w:val="single"/>
                <w14:textFill>
                  <w14:solidFill>
                    <w14:schemeClr w14:val="tx1"/>
                  </w14:solidFill>
                </w14:textFill>
              </w:rPr>
              <w:t xml:space="preserve">                </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5</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 w:val="22"/>
                <w:szCs w:val="20"/>
                <w:highlight w:val="none"/>
                <w:lang w:val="en-US" w:eastAsia="zh-CN" w:bidi="ar"/>
                <w14:textFill>
                  <w14:solidFill>
                    <w14:schemeClr w14:val="tx1"/>
                  </w14:solidFill>
                </w14:textFill>
              </w:rPr>
              <w:t>含税综合包干单价投标报价</w:t>
            </w:r>
          </w:p>
        </w:tc>
        <w:tc>
          <w:tcPr>
            <w:tcW w:w="423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widowControl/>
              <w:suppressLineNumbers w:val="0"/>
              <w:shd w:val="clear"/>
              <w:spacing w:before="0" w:beforeAutospacing="0" w:after="0" w:afterAutospacing="0"/>
              <w:ind w:left="0" w:right="0" w:firstLine="480"/>
              <w:rPr>
                <w:rFonts w:hint="eastAsia"/>
                <w:color w:val="000000" w:themeColor="text1"/>
                <w:szCs w:val="20"/>
                <w:highlight w:val="none"/>
                <w14:textFill>
                  <w14:solidFill>
                    <w14:schemeClr w14:val="tx1"/>
                  </w14:solidFill>
                </w14:textFill>
              </w:rPr>
            </w:pPr>
            <w:r>
              <w:rPr>
                <w:rFonts w:hint="eastAsia"/>
                <w:color w:val="000000" w:themeColor="text1"/>
                <w:szCs w:val="20"/>
                <w:highlight w:val="none"/>
                <w:u w:val="single"/>
                <w14:textFill>
                  <w14:solidFill>
                    <w14:schemeClr w14:val="tx1"/>
                  </w14:solidFill>
                </w14:textFill>
              </w:rPr>
              <w:t xml:space="preserve">                </w:t>
            </w:r>
            <w:r>
              <w:rPr>
                <w:rFonts w:hint="eastAsia" w:ascii="宋体" w:hAnsi="宋体" w:eastAsia="宋体" w:cs="宋体"/>
                <w:b/>
                <w:color w:val="000000" w:themeColor="text1"/>
                <w:sz w:val="22"/>
                <w:szCs w:val="20"/>
                <w:highlight w:val="none"/>
                <w:lang w:val="en-US" w:eastAsia="zh-CN" w:bidi="ar"/>
                <w14:textFill>
                  <w14:solidFill>
                    <w14:schemeClr w14:val="tx1"/>
                  </w14:solidFill>
                </w14:textFill>
              </w:rPr>
              <w:t>元/m</w:t>
            </w:r>
            <w:r>
              <w:rPr>
                <w:rFonts w:hint="eastAsia" w:ascii="宋体" w:hAnsi="宋体" w:eastAsia="宋体" w:cs="宋体"/>
                <w:b/>
                <w:color w:val="000000" w:themeColor="text1"/>
                <w:sz w:val="22"/>
                <w:szCs w:val="20"/>
                <w:highlight w:val="none"/>
                <w:vertAlign w:val="superscript"/>
                <w:lang w:val="en-US" w:eastAsia="zh-CN" w:bidi="ar"/>
                <w14:textFill>
                  <w14:solidFill>
                    <w14:schemeClr w14:val="tx1"/>
                  </w14:solidFill>
                </w14:textFill>
              </w:rPr>
              <w:t>2</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暂定建筑面积82361.70</w:t>
            </w:r>
            <w:r>
              <w:rPr>
                <w:rFonts w:hint="eastAsia"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m</w:t>
            </w:r>
            <w:r>
              <w:rPr>
                <w:rFonts w:hint="eastAsia" w:ascii="宋体" w:hAnsi="宋体" w:eastAsia="宋体" w:cs="宋体"/>
                <w:bCs/>
                <w:color w:val="000000" w:themeColor="text1"/>
                <w:kern w:val="2"/>
                <w:sz w:val="24"/>
                <w:szCs w:val="21"/>
                <w:highlight w:val="none"/>
                <w:vertAlign w:val="superscript"/>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6</w:t>
            </w:r>
          </w:p>
        </w:tc>
        <w:tc>
          <w:tcPr>
            <w:tcW w:w="18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4"/>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投标有效期</w:t>
            </w:r>
          </w:p>
        </w:tc>
        <w:tc>
          <w:tcPr>
            <w:tcW w:w="42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left"/>
              <w:rPr>
                <w:rFonts w:hint="eastAsia" w:hAnsi="宋体"/>
                <w:color w:val="000000" w:themeColor="text1"/>
                <w:szCs w:val="24"/>
                <w:highlight w:val="none"/>
                <w:u w:val="single"/>
                <w14:textFill>
                  <w14:solidFill>
                    <w14:schemeClr w14:val="tx1"/>
                  </w14:solidFill>
                </w14:textFill>
              </w:rPr>
            </w:pPr>
            <w:r>
              <w:rPr>
                <w:rFonts w:hint="eastAsia" w:hAnsi="宋体" w:cs="宋体"/>
                <w:color w:val="000000" w:themeColor="text1"/>
                <w:szCs w:val="24"/>
                <w:highlight w:val="none"/>
                <w:u w:val="single"/>
                <w14:textFill>
                  <w14:solidFill>
                    <w14:schemeClr w14:val="tx1"/>
                  </w14:solidFill>
                </w14:textFill>
              </w:rPr>
              <w:t>按招标文件要求</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ind w:left="0" w:right="0" w:firstLine="480"/>
              <w:jc w:val="center"/>
              <w:rPr>
                <w:rFonts w:hint="eastAsia" w:hAnsi="宋体" w:cs="宋体"/>
                <w:color w:val="000000" w:themeColor="text1"/>
                <w:szCs w:val="24"/>
                <w:highlight w:val="none"/>
                <w14:textFill>
                  <w14:solidFill>
                    <w14:schemeClr w14:val="tx1"/>
                  </w14:solidFill>
                </w14:textFill>
              </w:rPr>
            </w:pPr>
          </w:p>
        </w:tc>
      </w:tr>
    </w:tbl>
    <w:p>
      <w:pPr>
        <w:shd w:val="clear"/>
        <w:adjustRightInd w:val="0"/>
        <w:snapToGrid w:val="0"/>
        <w:ind w:firstLine="482"/>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注：</w:t>
      </w:r>
    </w:p>
    <w:p>
      <w:pPr>
        <w:numPr>
          <w:ilvl w:val="0"/>
          <w:numId w:val="1"/>
        </w:numPr>
        <w:shd w:val="clear"/>
        <w:adjustRightInd w:val="0"/>
        <w:snapToGrid w:val="0"/>
        <w:ind w:firstLine="482"/>
        <w:jc w:val="left"/>
        <w:rPr>
          <w:rFonts w:hint="eastAsia" w:hAnsi="宋体"/>
          <w:b/>
          <w:color w:val="000000" w:themeColor="text1"/>
          <w:szCs w:val="21"/>
          <w:highlight w:val="none"/>
          <w:u w:val="single"/>
          <w14:textFill>
            <w14:solidFill>
              <w14:schemeClr w14:val="tx1"/>
            </w14:solidFill>
          </w14:textFill>
        </w:rPr>
      </w:pPr>
      <w:r>
        <w:rPr>
          <w:rFonts w:hint="eastAsia" w:hAnsi="宋体"/>
          <w:b/>
          <w:color w:val="000000" w:themeColor="text1"/>
          <w:szCs w:val="21"/>
          <w:highlight w:val="none"/>
          <w:u w:val="single"/>
          <w14:textFill>
            <w14:solidFill>
              <w14:schemeClr w14:val="tx1"/>
            </w14:solidFill>
          </w14:textFill>
        </w:rPr>
        <w:t>投标报价总价（以万元为单位，保留两位小数，第三位小数四舍五入）和含税综合包干单价投标报价（以</w:t>
      </w:r>
      <w:r>
        <w:rPr>
          <w:rFonts w:hint="eastAsia" w:hAnsi="宋体" w:cs="宋体"/>
          <w:b/>
          <w:bCs/>
          <w:color w:val="000000" w:themeColor="text1"/>
          <w:szCs w:val="21"/>
          <w:highlight w:val="none"/>
          <w:u w:val="single"/>
          <w14:textFill>
            <w14:solidFill>
              <w14:schemeClr w14:val="tx1"/>
            </w14:solidFill>
          </w14:textFill>
        </w:rPr>
        <w:t>元/m</w:t>
      </w:r>
      <w:r>
        <w:rPr>
          <w:rFonts w:hint="eastAsia" w:hAnsi="宋体" w:cs="宋体"/>
          <w:b/>
          <w:bCs/>
          <w:color w:val="000000" w:themeColor="text1"/>
          <w:szCs w:val="21"/>
          <w:highlight w:val="none"/>
          <w:u w:val="single"/>
          <w:vertAlign w:val="superscript"/>
          <w14:textFill>
            <w14:solidFill>
              <w14:schemeClr w14:val="tx1"/>
            </w14:solidFill>
          </w14:textFill>
        </w:rPr>
        <w:t>2</w:t>
      </w:r>
      <w:r>
        <w:rPr>
          <w:rFonts w:hint="eastAsia" w:hAnsi="宋体"/>
          <w:b/>
          <w:color w:val="000000" w:themeColor="text1"/>
          <w:szCs w:val="21"/>
          <w:highlight w:val="none"/>
          <w:u w:val="single"/>
          <w14:textFill>
            <w14:solidFill>
              <w14:schemeClr w14:val="tx1"/>
            </w14:solidFill>
          </w14:textFill>
        </w:rPr>
        <w:t>为单位，保留两位小数，第三位小数四舍五入）</w:t>
      </w:r>
      <w:r>
        <w:rPr>
          <w:rFonts w:hint="eastAsia" w:hAnsi="宋体"/>
          <w:b/>
          <w:color w:val="000000" w:themeColor="text1"/>
          <w:szCs w:val="21"/>
          <w:highlight w:val="none"/>
          <w:u w:val="single"/>
          <w:lang w:eastAsia="zh-CN"/>
          <w14:textFill>
            <w14:solidFill>
              <w14:schemeClr w14:val="tx1"/>
            </w14:solidFill>
          </w14:textFill>
        </w:rPr>
        <w:t>。</w:t>
      </w:r>
      <w:r>
        <w:rPr>
          <w:rFonts w:hint="eastAsia" w:hAnsi="宋体"/>
          <w:b/>
          <w:color w:val="000000" w:themeColor="text1"/>
          <w:szCs w:val="21"/>
          <w:highlight w:val="none"/>
          <w:u w:val="single"/>
          <w14:textFill>
            <w14:solidFill>
              <w14:schemeClr w14:val="tx1"/>
            </w14:solidFill>
          </w14:textFill>
        </w:rPr>
        <w:t>投标报价形式不符合本点要求的，不作为否决投标条件，由评标委员会进行修正；修正后的投标报价若超过对应的最高投标限价，则由评标委员会作无效投标处理。</w:t>
      </w:r>
    </w:p>
    <w:p>
      <w:pPr>
        <w:keepNext w:val="0"/>
        <w:keepLines w:val="0"/>
        <w:widowControl/>
        <w:suppressLineNumbers w:val="0"/>
        <w:shd w:val="clear"/>
        <w:adjustRightInd w:val="0"/>
        <w:snapToGrid w:val="0"/>
        <w:spacing w:before="0" w:beforeAutospacing="0" w:after="0" w:afterAutospacing="0" w:line="360" w:lineRule="auto"/>
        <w:ind w:left="0" w:right="-58" w:rightChars="-24" w:firstLine="480" w:firstLineChars="200"/>
        <w:jc w:val="left"/>
        <w:rPr>
          <w:rFonts w:hAnsi="宋体" w:cs="宋体"/>
          <w:b/>
          <w:bCs/>
          <w:color w:val="000000" w:themeColor="text1"/>
          <w:kern w:val="2"/>
          <w:szCs w:val="21"/>
          <w:highlight w:val="none"/>
          <w:lang w:val="en-US"/>
          <w14:textFill>
            <w14:solidFill>
              <w14:schemeClr w14:val="tx1"/>
            </w14:solidFill>
          </w14:textFill>
        </w:rPr>
      </w:pPr>
      <w:r>
        <w:rPr>
          <w:rFonts w:hint="eastAsia" w:hAnsi="宋体" w:cs="宋体"/>
          <w:bCs/>
          <w:color w:val="000000" w:themeColor="text1"/>
          <w:kern w:val="2"/>
          <w:sz w:val="24"/>
          <w:szCs w:val="21"/>
          <w:highlight w:val="none"/>
          <w:lang w:val="en-US" w:eastAsia="zh-CN" w:bidi="ar"/>
          <w14:textFill>
            <w14:solidFill>
              <w14:schemeClr w14:val="tx1"/>
            </w14:solidFill>
          </w14:textFill>
        </w:rPr>
        <w:t>2.</w:t>
      </w:r>
      <w:r>
        <w:rPr>
          <w:rFonts w:hint="eastAsia" w:ascii="宋体" w:hAnsi="宋体" w:eastAsia="宋体" w:cs="宋体"/>
          <w:b/>
          <w:bCs w:val="0"/>
          <w:color w:val="000000" w:themeColor="text1"/>
          <w:kern w:val="2"/>
          <w:sz w:val="24"/>
          <w:szCs w:val="21"/>
          <w:highlight w:val="none"/>
          <w:lang w:val="en-US" w:eastAsia="zh-CN" w:bidi="ar"/>
          <w14:textFill>
            <w14:solidFill>
              <w14:schemeClr w14:val="tx1"/>
            </w14:solidFill>
          </w14:textFill>
        </w:rPr>
        <w:t>投标报价总价的最高投标限价为</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 xml:space="preserve"> </w:t>
      </w:r>
      <w:r>
        <w:rPr>
          <w:rFonts w:hint="eastAsia" w:hAnsi="宋体" w:cs="宋体"/>
          <w:color w:val="000000" w:themeColor="text1"/>
          <w:szCs w:val="24"/>
          <w:highlight w:val="none"/>
          <w:u w:val="single"/>
          <w:shd w:val="clear" w:fill="FFFFFF"/>
          <w:lang w:bidi="ar"/>
          <w14:textFill>
            <w14:solidFill>
              <w14:schemeClr w14:val="tx1"/>
            </w14:solidFill>
          </w14:textFill>
        </w:rPr>
        <w:t xml:space="preserve">222.38 </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万</w:t>
      </w:r>
      <w:r>
        <w:rPr>
          <w:rFonts w:hint="eastAsia" w:ascii="宋体" w:hAnsi="宋体" w:eastAsia="宋体" w:cs="宋体"/>
          <w:b/>
          <w:bCs w:val="0"/>
          <w:color w:val="000000" w:themeColor="text1"/>
          <w:kern w:val="2"/>
          <w:sz w:val="24"/>
          <w:szCs w:val="21"/>
          <w:highlight w:val="none"/>
          <w:lang w:val="en-US" w:eastAsia="zh-CN" w:bidi="ar"/>
          <w14:textFill>
            <w14:solidFill>
              <w14:schemeClr w14:val="tx1"/>
            </w14:solidFill>
          </w14:textFill>
        </w:rPr>
        <w:t>元（其中，含税综合包干单价投标报价应不高于</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 xml:space="preserve"> </w:t>
      </w:r>
      <w:r>
        <w:rPr>
          <w:rFonts w:hint="eastAsia" w:hAnsi="宋体" w:cs="宋体"/>
          <w:color w:val="000000" w:themeColor="text1"/>
          <w:kern w:val="0"/>
          <w:sz w:val="24"/>
          <w:szCs w:val="24"/>
          <w:highlight w:val="none"/>
          <w:u w:val="single"/>
          <w:shd w:val="clear" w:fill="FFFFFF"/>
          <w:lang w:val="en-US" w:eastAsia="zh-CN" w:bidi="ar"/>
          <w14:textFill>
            <w14:solidFill>
              <w14:schemeClr w14:val="tx1"/>
            </w14:solidFill>
          </w14:textFill>
        </w:rPr>
        <w:t>27</w:t>
      </w:r>
      <w:r>
        <w:rPr>
          <w:rFonts w:hint="eastAsia" w:ascii="宋体" w:hAnsi="宋体" w:eastAsia="宋体" w:cs="宋体"/>
          <w:b/>
          <w:bCs w:val="0"/>
          <w:color w:val="000000" w:themeColor="text1"/>
          <w:kern w:val="2"/>
          <w:sz w:val="24"/>
          <w:szCs w:val="21"/>
          <w:highlight w:val="none"/>
          <w:lang w:val="en-US" w:eastAsia="zh-CN" w:bidi="ar"/>
          <w14:textFill>
            <w14:solidFill>
              <w14:schemeClr w14:val="tx1"/>
            </w14:solidFill>
          </w14:textFill>
        </w:rPr>
        <w:t>元/</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m</w:t>
      </w:r>
      <w:r>
        <w:rPr>
          <w:rFonts w:hint="eastAsia" w:ascii="宋体" w:hAnsi="Times New Roman" w:eastAsia="宋体" w:cs="Times New Roman"/>
          <w:b/>
          <w:color w:val="000000" w:themeColor="text1"/>
          <w:kern w:val="0"/>
          <w:sz w:val="24"/>
          <w:szCs w:val="24"/>
          <w:highlight w:val="none"/>
          <w:vertAlign w:val="superscript"/>
          <w:lang w:val="en-US" w:eastAsia="zh-CN" w:bidi="ar"/>
          <w14:textFill>
            <w14:solidFill>
              <w14:schemeClr w14:val="tx1"/>
            </w14:solidFill>
          </w14:textFill>
        </w:rPr>
        <w:t>2</w:t>
      </w:r>
      <w:r>
        <w:rPr>
          <w:rFonts w:hint="eastAsia" w:ascii="宋体" w:hAnsi="宋体" w:eastAsia="宋体" w:cs="宋体"/>
          <w:b/>
          <w:bCs w:val="0"/>
          <w:color w:val="000000" w:themeColor="text1"/>
          <w:kern w:val="2"/>
          <w:sz w:val="24"/>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2"/>
          <w:sz w:val="24"/>
          <w:szCs w:val="21"/>
          <w:highlight w:val="none"/>
          <w:lang w:val="en-US" w:eastAsia="zh-CN" w:bidi="ar"/>
          <w14:textFill>
            <w14:solidFill>
              <w14:schemeClr w14:val="tx1"/>
            </w14:solidFill>
          </w14:textFill>
        </w:rPr>
        <w:t>。投标人须按招标文件要求进行投标报价，否则由评标委员按否决其投标处理。</w:t>
      </w:r>
    </w:p>
    <w:p>
      <w:pPr>
        <w:keepNext w:val="0"/>
        <w:keepLines w:val="0"/>
        <w:widowControl/>
        <w:suppressLineNumbers w:val="0"/>
        <w:shd w:val="clear"/>
        <w:adjustRightInd w:val="0"/>
        <w:snapToGrid w:val="0"/>
        <w:spacing w:before="0" w:beforeAutospacing="0" w:after="0" w:afterAutospacing="0" w:line="360" w:lineRule="auto"/>
        <w:ind w:left="0" w:right="0" w:firstLine="480" w:firstLineChars="200"/>
        <w:jc w:val="left"/>
        <w:rPr>
          <w:rFonts w:hAnsi="宋体" w:cs="宋体"/>
          <w:bCs/>
          <w:color w:val="000000" w:themeColor="text1"/>
          <w:kern w:val="2"/>
          <w:szCs w:val="21"/>
          <w:highlight w:val="none"/>
          <w:lang w:val="en-US"/>
          <w14:textFill>
            <w14:solidFill>
              <w14:schemeClr w14:val="tx1"/>
            </w14:solidFill>
          </w14:textFill>
        </w:rPr>
      </w:pPr>
      <w:r>
        <w:rPr>
          <w:rFonts w:hint="eastAsia" w:hAnsi="宋体" w:cs="宋体"/>
          <w:bCs/>
          <w:color w:val="000000" w:themeColor="text1"/>
          <w:kern w:val="2"/>
          <w:sz w:val="24"/>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投标报价总价计算公式：投标报价总价（</w:t>
      </w:r>
      <w:r>
        <w:rPr>
          <w:rFonts w:hint="eastAsia" w:hAnsi="宋体" w:cs="宋体"/>
          <w:bCs/>
          <w:color w:val="000000" w:themeColor="text1"/>
          <w:kern w:val="2"/>
          <w:sz w:val="24"/>
          <w:szCs w:val="21"/>
          <w:highlight w:val="none"/>
          <w:lang w:val="en-US" w:eastAsia="zh-CN" w:bidi="ar"/>
          <w14:textFill>
            <w14:solidFill>
              <w14:schemeClr w14:val="tx1"/>
            </w14:solidFill>
          </w14:textFill>
        </w:rPr>
        <w:t>万</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元）=暂定建筑面积（m</w:t>
      </w:r>
      <w:r>
        <w:rPr>
          <w:rFonts w:hint="eastAsia" w:ascii="宋体" w:hAnsi="宋体" w:eastAsia="宋体" w:cs="宋体"/>
          <w:bCs/>
          <w:color w:val="000000" w:themeColor="text1"/>
          <w:kern w:val="2"/>
          <w:sz w:val="24"/>
          <w:szCs w:val="21"/>
          <w:highlight w:val="none"/>
          <w:vertAlign w:val="superscript"/>
          <w:lang w:val="en-US" w:eastAsia="zh-CN" w:bidi="ar"/>
          <w14:textFill>
            <w14:solidFill>
              <w14:schemeClr w14:val="tx1"/>
            </w14:solidFill>
          </w14:textFill>
        </w:rPr>
        <w:t>2</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w:t>
      </w:r>
      <w:r>
        <w:rPr>
          <w:rFonts w:hint="eastAsia" w:hAnsi="宋体" w:cs="宋体"/>
          <w:bCs/>
          <w:color w:val="000000" w:themeColor="text1"/>
          <w:kern w:val="2"/>
          <w:szCs w:val="21"/>
          <w:highlight w:val="none"/>
          <w:lang w:bidi="ar"/>
          <w14:textFill>
            <w14:solidFill>
              <w14:schemeClr w14:val="tx1"/>
            </w14:solidFill>
          </w14:textFill>
        </w:rPr>
        <w:t>含税综合包干单价投标报价</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sz w:val="22"/>
          <w:szCs w:val="20"/>
          <w:highlight w:val="none"/>
          <w:lang w:val="en-US" w:eastAsia="zh-CN" w:bidi="ar"/>
          <w14:textFill>
            <w14:solidFill>
              <w14:schemeClr w14:val="tx1"/>
            </w14:solidFill>
          </w14:textFill>
        </w:rPr>
        <w:t>元/m</w:t>
      </w:r>
      <w:r>
        <w:rPr>
          <w:rFonts w:hint="eastAsia" w:ascii="宋体" w:hAnsi="宋体" w:eastAsia="宋体" w:cs="宋体"/>
          <w:b w:val="0"/>
          <w:bCs/>
          <w:color w:val="000000" w:themeColor="text1"/>
          <w:sz w:val="22"/>
          <w:szCs w:val="20"/>
          <w:highlight w:val="none"/>
          <w:vertAlign w:val="superscript"/>
          <w:lang w:val="en-US" w:eastAsia="zh-CN" w:bidi="ar"/>
          <w14:textFill>
            <w14:solidFill>
              <w14:schemeClr w14:val="tx1"/>
            </w14:solidFill>
          </w14:textFill>
        </w:rPr>
        <w:t>2</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w:t>
      </w:r>
      <w:r>
        <w:rPr>
          <w:rFonts w:hint="default" w:ascii="Arial" w:hAnsi="Arial" w:eastAsia="宋体" w:cs="Arial"/>
          <w:bCs/>
          <w:color w:val="000000" w:themeColor="text1"/>
          <w:kern w:val="2"/>
          <w:sz w:val="24"/>
          <w:szCs w:val="21"/>
          <w:highlight w:val="none"/>
          <w:lang w:val="en-US" w:eastAsia="zh-CN" w:bidi="ar"/>
          <w14:textFill>
            <w14:solidFill>
              <w14:schemeClr w14:val="tx1"/>
            </w14:solidFill>
          </w14:textFill>
        </w:rPr>
        <w:t>÷</w:t>
      </w:r>
      <w:r>
        <w:rPr>
          <w:rFonts w:hint="eastAsia" w:hAnsi="宋体" w:cs="宋体"/>
          <w:bCs/>
          <w:color w:val="000000" w:themeColor="text1"/>
          <w:kern w:val="2"/>
          <w:sz w:val="24"/>
          <w:szCs w:val="21"/>
          <w:highlight w:val="none"/>
          <w:lang w:val="en-US" w:eastAsia="zh-CN" w:bidi="ar"/>
          <w14:textFill>
            <w14:solidFill>
              <w14:schemeClr w14:val="tx1"/>
            </w14:solidFill>
          </w14:textFill>
        </w:rPr>
        <w:t>10000</w:t>
      </w:r>
      <w:r>
        <w:rPr>
          <w:rFonts w:hint="eastAsia" w:ascii="宋体" w:hAnsi="宋体" w:eastAsia="宋体" w:cs="宋体"/>
          <w:bCs/>
          <w:color w:val="000000" w:themeColor="text1"/>
          <w:kern w:val="2"/>
          <w:sz w:val="24"/>
          <w:szCs w:val="21"/>
          <w:highlight w:val="none"/>
          <w:lang w:val="en-US" w:eastAsia="zh-CN" w:bidi="ar"/>
          <w14:textFill>
            <w14:solidFill>
              <w14:schemeClr w14:val="tx1"/>
            </w14:solidFill>
          </w14:textFill>
        </w:rPr>
        <w:t>；</w:t>
      </w:r>
    </w:p>
    <w:p>
      <w:pPr>
        <w:numPr>
          <w:ilvl w:val="-1"/>
          <w:numId w:val="0"/>
        </w:numPr>
        <w:shd w:val="clear"/>
        <w:adjustRightInd w:val="0"/>
        <w:snapToGrid w:val="0"/>
        <w:ind w:firstLine="482"/>
        <w:jc w:val="left"/>
        <w:rPr>
          <w:rFonts w:hint="eastAsia" w:hAnsi="宋体"/>
          <w:b/>
          <w:color w:val="000000" w:themeColor="text1"/>
          <w:szCs w:val="21"/>
          <w:highlight w:val="none"/>
          <w:u w:val="single"/>
          <w14:textFill>
            <w14:solidFill>
              <w14:schemeClr w14:val="tx1"/>
            </w14:solidFill>
          </w14:textFill>
        </w:rPr>
      </w:pPr>
    </w:p>
    <w:p>
      <w:pPr>
        <w:shd w:val="clear"/>
        <w:spacing w:line="480" w:lineRule="auto"/>
        <w:ind w:firstLine="2880" w:firstLineChars="1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 标 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（盖单位章）</w:t>
      </w:r>
    </w:p>
    <w:p>
      <w:pPr>
        <w:shd w:val="clear"/>
        <w:spacing w:line="480" w:lineRule="auto"/>
        <w:ind w:firstLine="48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法定代表人或其委托代理人：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签字</w:t>
      </w:r>
      <w:r>
        <w:rPr>
          <w:rFonts w:hint="eastAsia"/>
          <w:color w:val="000000" w:themeColor="text1"/>
          <w:szCs w:val="24"/>
          <w:highlight w:val="none"/>
          <w14:textFill>
            <w14:solidFill>
              <w14:schemeClr w14:val="tx1"/>
            </w14:solidFill>
          </w14:textFill>
        </w:rPr>
        <w:t>或盖章</w:t>
      </w:r>
      <w:r>
        <w:rPr>
          <w:rFonts w:hint="eastAsia" w:hAnsi="宋体" w:cs="宋体"/>
          <w:color w:val="000000" w:themeColor="text1"/>
          <w:szCs w:val="24"/>
          <w:highlight w:val="none"/>
          <w14:textFill>
            <w14:solidFill>
              <w14:schemeClr w14:val="tx1"/>
            </w14:solidFill>
          </w14:textFill>
        </w:rPr>
        <w:t>）</w:t>
      </w:r>
    </w:p>
    <w:p>
      <w:pPr>
        <w:shd w:val="clear"/>
        <w:spacing w:line="440" w:lineRule="exact"/>
        <w:ind w:firstLine="5280" w:firstLineChars="2200"/>
        <w:rPr>
          <w:rFonts w:hint="eastAsia"/>
          <w:color w:val="000000" w:themeColor="text1"/>
          <w:szCs w:val="24"/>
          <w:highlight w:val="none"/>
          <w14:textFill>
            <w14:solidFill>
              <w14:schemeClr w14:val="tx1"/>
            </w14:solidFill>
          </w14:textFill>
        </w:rPr>
      </w:pP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年</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月</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日</w:t>
      </w:r>
    </w:p>
    <w:p>
      <w:pPr>
        <w:shd w:val="clear"/>
        <w:spacing w:line="240" w:lineRule="auto"/>
        <w:ind w:firstLine="0"/>
        <w:jc w:val="left"/>
        <w:rPr>
          <w:rFonts w:hint="eastAsia" w:hAnsi="宋体" w:cs="宋体"/>
          <w:color w:val="000000" w:themeColor="text1"/>
          <w:szCs w:val="24"/>
          <w:highlight w:val="none"/>
          <w14:textFill>
            <w14:solidFill>
              <w14:schemeClr w14:val="tx1"/>
            </w14:solidFill>
          </w14:textFill>
        </w:rPr>
      </w:pPr>
    </w:p>
    <w:p>
      <w:pPr>
        <w:pStyle w:val="2"/>
        <w:shd w:val="clear"/>
        <w:rPr>
          <w:rFonts w:hint="eastAsia"/>
          <w:color w:val="000000" w:themeColor="text1"/>
          <w:highlight w:val="none"/>
          <w14:textFill>
            <w14:solidFill>
              <w14:schemeClr w14:val="tx1"/>
            </w14:solidFill>
          </w14:textFill>
        </w:rPr>
      </w:pPr>
    </w:p>
    <w:p>
      <w:pPr>
        <w:shd w:val="clear"/>
        <w:ind w:firstLine="643"/>
        <w:jc w:val="left"/>
        <w:rPr>
          <w:rFonts w:hint="eastAsia" w:hAnsi="宋体" w:cs="宋体"/>
          <w:b/>
          <w:color w:val="000000" w:themeColor="text1"/>
          <w:sz w:val="32"/>
          <w:highlight w:val="none"/>
          <w14:textFill>
            <w14:solidFill>
              <w14:schemeClr w14:val="tx1"/>
            </w14:solidFill>
          </w14:textFill>
        </w:rPr>
      </w:pPr>
      <w:bookmarkStart w:id="259" w:name="_Toc533088220"/>
      <w:bookmarkStart w:id="260" w:name="_Toc533104505"/>
      <w:bookmarkStart w:id="261" w:name="_Toc533101225"/>
      <w:bookmarkStart w:id="262" w:name="_Toc152234289"/>
      <w:bookmarkStart w:id="263" w:name="_Toc533092079"/>
      <w:r>
        <w:rPr>
          <w:rFonts w:hint="eastAsia" w:hAnsi="宋体" w:cs="宋体"/>
          <w:b/>
          <w:color w:val="000000" w:themeColor="text1"/>
          <w:sz w:val="32"/>
          <w:highlight w:val="none"/>
          <w14:textFill>
            <w14:solidFill>
              <w14:schemeClr w14:val="tx1"/>
            </w14:solidFill>
          </w14:textFill>
        </w:rPr>
        <w:t>格式2    法定代表人证明书及授权委托书</w:t>
      </w:r>
      <w:bookmarkEnd w:id="259"/>
      <w:bookmarkEnd w:id="260"/>
      <w:bookmarkEnd w:id="261"/>
      <w:bookmarkEnd w:id="262"/>
      <w:bookmarkEnd w:id="263"/>
    </w:p>
    <w:p>
      <w:pPr>
        <w:shd w:val="clear"/>
        <w:ind w:firstLine="643"/>
        <w:jc w:val="center"/>
        <w:rPr>
          <w:rFonts w:hAnsi="宋体"/>
          <w:b/>
          <w:color w:val="000000" w:themeColor="text1"/>
          <w:szCs w:val="24"/>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法定代表人证明书</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投标人名称：</w:t>
      </w:r>
      <w:r>
        <w:rPr>
          <w:color w:val="000000" w:themeColor="text1"/>
          <w:szCs w:val="24"/>
          <w:highlight w:val="none"/>
          <w:u w:val="single"/>
          <w14:textFill>
            <w14:solidFill>
              <w14:schemeClr w14:val="tx1"/>
            </w14:solidFill>
          </w14:textFill>
        </w:rPr>
        <w:t xml:space="preserve">                        </w:t>
      </w: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姓名：</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性别：</w:t>
      </w:r>
      <w:bookmarkStart w:id="264" w:name="_Toc369531698"/>
      <w:bookmarkStart w:id="265" w:name="_Toc352691662"/>
      <w:bookmarkStart w:id="266" w:name="_Toc27897"/>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年</w:t>
      </w:r>
      <w:bookmarkEnd w:id="264"/>
      <w:bookmarkEnd w:id="265"/>
      <w:bookmarkEnd w:id="266"/>
      <w:r>
        <w:rPr>
          <w:color w:val="000000" w:themeColor="text1"/>
          <w:szCs w:val="24"/>
          <w:highlight w:val="none"/>
          <w14:textFill>
            <w14:solidFill>
              <w14:schemeClr w14:val="tx1"/>
            </w14:solidFill>
          </w14:textFill>
        </w:rPr>
        <w:t>龄</w:t>
      </w:r>
      <w:bookmarkStart w:id="267" w:name="_Toc144974858"/>
      <w:bookmarkStart w:id="268" w:name="_Toc384308377"/>
      <w:bookmarkStart w:id="269" w:name="_Toc300835211"/>
      <w:bookmarkStart w:id="270" w:name="_Toc15573"/>
      <w:bookmarkStart w:id="271" w:name="_Toc369531699"/>
      <w:bookmarkStart w:id="272" w:name="_Toc361508754"/>
      <w:bookmarkStart w:id="273" w:name="_Toc247527829"/>
      <w:bookmarkStart w:id="274" w:name="_Toc247514248"/>
      <w:bookmarkStart w:id="275" w:name="_Toc152045789"/>
      <w:bookmarkStart w:id="276" w:name="_Toc352691663"/>
      <w:bookmarkStart w:id="277" w:name="_Toc152042578"/>
      <w:r>
        <w:rPr>
          <w:color w:val="000000" w:themeColor="text1"/>
          <w:szCs w:val="24"/>
          <w:highlight w:val="none"/>
          <w14:textFill>
            <w14:solidFill>
              <w14:schemeClr w14:val="tx1"/>
            </w14:solidFill>
          </w14:textFill>
        </w:rPr>
        <w:t>：</w:t>
      </w:r>
      <w:bookmarkEnd w:id="267"/>
      <w:bookmarkEnd w:id="268"/>
      <w:bookmarkEnd w:id="269"/>
      <w:bookmarkEnd w:id="270"/>
      <w:bookmarkEnd w:id="271"/>
      <w:bookmarkEnd w:id="272"/>
      <w:bookmarkEnd w:id="273"/>
      <w:bookmarkEnd w:id="274"/>
      <w:bookmarkEnd w:id="275"/>
      <w:bookmarkEnd w:id="276"/>
      <w:bookmarkEnd w:id="277"/>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职务：</w:t>
      </w:r>
      <w:r>
        <w:rPr>
          <w:color w:val="000000" w:themeColor="text1"/>
          <w:szCs w:val="24"/>
          <w:highlight w:val="none"/>
          <w:u w:val="single"/>
          <w14:textFill>
            <w14:solidFill>
              <w14:schemeClr w14:val="tx1"/>
            </w14:solidFill>
          </w14:textFill>
        </w:rPr>
        <w:t xml:space="preserve">        </w:t>
      </w: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系</w:t>
      </w:r>
      <w:r>
        <w:rPr>
          <w:color w:val="000000" w:themeColor="text1"/>
          <w:szCs w:val="24"/>
          <w:highlight w:val="none"/>
          <w:u w:val="single"/>
          <w14:textFill>
            <w14:solidFill>
              <w14:schemeClr w14:val="tx1"/>
            </w14:solidFill>
          </w14:textFill>
        </w:rPr>
        <w:t xml:space="preserve">       </w:t>
      </w:r>
      <w:r>
        <w:rPr>
          <w:rFonts w:hint="eastAsia"/>
          <w:color w:val="000000" w:themeColor="text1"/>
          <w:szCs w:val="24"/>
          <w:highlight w:val="none"/>
          <w:u w:val="single"/>
          <w14:textFill>
            <w14:solidFill>
              <w14:schemeClr w14:val="tx1"/>
            </w14:solidFill>
          </w14:textFill>
        </w:rPr>
        <w:t>（投标人名称）</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的法定代表人。</w:t>
      </w: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特此证明。</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附：法定代表人身份证</w:t>
      </w:r>
      <w:r>
        <w:rPr>
          <w:rFonts w:hint="eastAsia"/>
          <w:color w:val="000000" w:themeColor="text1"/>
          <w:szCs w:val="24"/>
          <w:highlight w:val="none"/>
          <w14:textFill>
            <w14:solidFill>
              <w14:schemeClr w14:val="tx1"/>
            </w14:solidFill>
          </w14:textFill>
        </w:rPr>
        <w:t>扫描件</w:t>
      </w:r>
      <w:r>
        <w:rPr>
          <w:color w:val="000000" w:themeColor="text1"/>
          <w:szCs w:val="24"/>
          <w:highlight w:val="none"/>
          <w14:textFill>
            <w14:solidFill>
              <w14:schemeClr w14:val="tx1"/>
            </w14:solidFill>
          </w14:textFill>
        </w:rPr>
        <w:t>。</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注：本身份证明需由投标人加盖单位公章。</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投标人：</w:t>
      </w:r>
      <w:r>
        <w:rPr>
          <w:color w:val="000000" w:themeColor="text1"/>
          <w:szCs w:val="24"/>
          <w:highlight w:val="none"/>
          <w:u w:val="single"/>
          <w14:textFill>
            <w14:solidFill>
              <w14:schemeClr w14:val="tx1"/>
            </w14:solidFill>
          </w14:textFill>
        </w:rPr>
        <w:t xml:space="preserve">          </w:t>
      </w:r>
      <w:r>
        <w:rPr>
          <w:color w:val="000000" w:themeColor="text1"/>
          <w:szCs w:val="24"/>
          <w:highlight w:val="none"/>
          <w:u w:val="single"/>
          <w14:textFill>
            <w14:solidFill>
              <w14:schemeClr w14:val="tx1"/>
            </w14:solidFill>
          </w14:textFill>
        </w:rPr>
        <w:tab/>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盖</w:t>
      </w:r>
      <w:r>
        <w:rPr>
          <w:color w:val="000000" w:themeColor="text1"/>
          <w:szCs w:val="24"/>
          <w:highlight w:val="none"/>
          <w14:textFill>
            <w14:solidFill>
              <w14:schemeClr w14:val="tx1"/>
            </w14:solidFill>
          </w14:textFill>
        </w:rPr>
        <w:t>单位</w:t>
      </w:r>
      <w:r>
        <w:rPr>
          <w:rFonts w:hint="eastAsia"/>
          <w:color w:val="000000" w:themeColor="text1"/>
          <w:szCs w:val="24"/>
          <w:highlight w:val="none"/>
          <w14:textFill>
            <w14:solidFill>
              <w14:schemeClr w14:val="tx1"/>
            </w14:solidFill>
          </w14:textFill>
        </w:rPr>
        <w:t>章</w:t>
      </w:r>
      <w:r>
        <w:rPr>
          <w:color w:val="000000" w:themeColor="text1"/>
          <w:szCs w:val="24"/>
          <w:highlight w:val="none"/>
          <w14:textFill>
            <w14:solidFill>
              <w14:schemeClr w14:val="tx1"/>
            </w14:solidFill>
          </w14:textFill>
        </w:rPr>
        <w:t>）</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5280" w:firstLineChars="2200"/>
        <w:rPr>
          <w:rFonts w:hint="eastAsia"/>
          <w:color w:val="000000" w:themeColor="text1"/>
          <w:szCs w:val="24"/>
          <w:highlight w:val="none"/>
          <w14:textFill>
            <w14:solidFill>
              <w14:schemeClr w14:val="tx1"/>
            </w14:solidFill>
          </w14:textFill>
        </w:rPr>
      </w:pP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年</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月</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日</w:t>
      </w:r>
    </w:p>
    <w:p>
      <w:pPr>
        <w:shd w:val="clear"/>
        <w:spacing w:line="440" w:lineRule="exact"/>
        <w:ind w:firstLine="480"/>
        <w:rPr>
          <w:color w:val="000000" w:themeColor="text1"/>
          <w:szCs w:val="24"/>
          <w:highlight w:val="none"/>
          <w14:textFill>
            <w14:solidFill>
              <w14:schemeClr w14:val="tx1"/>
            </w14:solidFill>
          </w14:textFill>
        </w:rPr>
      </w:pPr>
    </w:p>
    <w:p>
      <w:pPr>
        <w:shd w:val="clear"/>
        <w:ind w:firstLine="402"/>
        <w:jc w:val="center"/>
        <w:rPr>
          <w:rFonts w:hint="eastAsia"/>
          <w:b/>
          <w:bCs/>
          <w:color w:val="000000" w:themeColor="text1"/>
          <w:sz w:val="20"/>
          <w:highlight w:val="none"/>
          <w14:textFill>
            <w14:solidFill>
              <w14:schemeClr w14:val="tx1"/>
            </w14:solidFill>
          </w14:textFill>
        </w:rPr>
      </w:pPr>
      <w:bookmarkStart w:id="278" w:name="_Toc530470647"/>
      <w:bookmarkStart w:id="279" w:name="_Toc529196604"/>
    </w:p>
    <w:p>
      <w:pPr>
        <w:shd w:val="clear"/>
        <w:ind w:firstLine="402"/>
        <w:jc w:val="center"/>
        <w:rPr>
          <w:rFonts w:hint="eastAsia"/>
          <w:b/>
          <w:bCs/>
          <w:color w:val="000000" w:themeColor="text1"/>
          <w:sz w:val="20"/>
          <w:highlight w:val="none"/>
          <w14:textFill>
            <w14:solidFill>
              <w14:schemeClr w14:val="tx1"/>
            </w14:solidFill>
          </w14:textFill>
        </w:rPr>
      </w:pPr>
    </w:p>
    <w:p>
      <w:pPr>
        <w:shd w:val="clear"/>
        <w:ind w:firstLine="402"/>
        <w:jc w:val="center"/>
        <w:rPr>
          <w:rFonts w:hAnsi="宋体"/>
          <w:b/>
          <w:color w:val="000000" w:themeColor="text1"/>
          <w:sz w:val="32"/>
          <w:szCs w:val="32"/>
          <w:highlight w:val="none"/>
          <w14:textFill>
            <w14:solidFill>
              <w14:schemeClr w14:val="tx1"/>
            </w14:solidFill>
          </w14:textFill>
        </w:rPr>
      </w:pPr>
      <w:r>
        <w:rPr>
          <w:b/>
          <w:bCs/>
          <w:color w:val="000000" w:themeColor="text1"/>
          <w:sz w:val="20"/>
          <w:highlight w:val="none"/>
          <w14:textFill>
            <w14:solidFill>
              <w14:schemeClr w14:val="tx1"/>
            </w14:solidFill>
          </w14:textFill>
        </w:rPr>
        <w:br w:type="page"/>
      </w:r>
      <w:bookmarkStart w:id="280" w:name="_Toc535938755"/>
      <w:r>
        <w:rPr>
          <w:rFonts w:hAnsi="宋体"/>
          <w:color w:val="000000" w:themeColor="text1"/>
          <w:highlight w:val="none"/>
          <w14:textFill>
            <w14:solidFill>
              <w14:schemeClr w14:val="tx1"/>
            </w14:solidFill>
          </w14:textFill>
        </w:rPr>
        <w:t xml:space="preserve"> </w:t>
      </w:r>
      <w:bookmarkEnd w:id="278"/>
      <w:bookmarkEnd w:id="279"/>
      <w:bookmarkEnd w:id="280"/>
      <w:r>
        <w:rPr>
          <w:rFonts w:hint="eastAsia" w:hAnsi="宋体"/>
          <w:b/>
          <w:color w:val="000000" w:themeColor="text1"/>
          <w:sz w:val="32"/>
          <w:szCs w:val="32"/>
          <w:highlight w:val="none"/>
          <w14:textFill>
            <w14:solidFill>
              <w14:schemeClr w14:val="tx1"/>
            </w14:solidFill>
          </w14:textFill>
        </w:rPr>
        <w:t>授权委托书</w:t>
      </w:r>
    </w:p>
    <w:p>
      <w:pPr>
        <w:shd w:val="clear"/>
        <w:topLinePunct/>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本人</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（姓名）系</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（投标人名称）的法定代表人，现委托</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（姓名）为我方代理人。代理人根据授权，以我方名义签署、澄清确认、递交、撤回、修改</w:t>
      </w:r>
      <w:r>
        <w:rPr>
          <w:rFonts w:hint="eastAsia"/>
          <w:color w:val="000000" w:themeColor="text1"/>
          <w:szCs w:val="24"/>
          <w:highlight w:val="none"/>
          <w:u w:val="single"/>
          <w14:textFill>
            <w14:solidFill>
              <w14:schemeClr w14:val="tx1"/>
            </w14:solidFill>
          </w14:textFill>
        </w:rPr>
        <w:t xml:space="preserve"> </w:t>
      </w:r>
      <w:r>
        <w:rPr>
          <w:color w:val="000000" w:themeColor="text1"/>
          <w:szCs w:val="24"/>
          <w:highlight w:val="none"/>
          <w:u w:val="single"/>
          <w14:textFill>
            <w14:solidFill>
              <w14:schemeClr w14:val="tx1"/>
            </w14:solidFill>
          </w14:textFill>
        </w:rPr>
        <w:t xml:space="preserve">  </w:t>
      </w:r>
      <w:r>
        <w:rPr>
          <w:rFonts w:hint="eastAsia"/>
          <w:color w:val="000000" w:themeColor="text1"/>
          <w:szCs w:val="24"/>
          <w:highlight w:val="none"/>
          <w:u w:val="single"/>
          <w14:textFill>
            <w14:solidFill>
              <w14:schemeClr w14:val="tx1"/>
            </w14:solidFill>
          </w14:textFill>
        </w:rPr>
        <w:t xml:space="preserve">（项目名称） </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 xml:space="preserve"> 招标项目投标文件、签订合同和处理有关事宜，其法律后果由我方承担。</w:t>
      </w: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委托期限：</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w:t>
      </w: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代理人无转委托权。</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rPr>
          <w:rFonts w:hint="eastAsia"/>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附：法定代表人身份证</w:t>
      </w:r>
      <w:r>
        <w:rPr>
          <w:rFonts w:hint="eastAsia"/>
          <w:color w:val="000000" w:themeColor="text1"/>
          <w:szCs w:val="24"/>
          <w:highlight w:val="none"/>
          <w14:textFill>
            <w14:solidFill>
              <w14:schemeClr w14:val="tx1"/>
            </w14:solidFill>
          </w14:textFill>
        </w:rPr>
        <w:t>扫描件</w:t>
      </w:r>
      <w:r>
        <w:rPr>
          <w:color w:val="000000" w:themeColor="text1"/>
          <w:szCs w:val="24"/>
          <w:highlight w:val="none"/>
          <w14:textFill>
            <w14:solidFill>
              <w14:schemeClr w14:val="tx1"/>
            </w14:solidFill>
          </w14:textFill>
        </w:rPr>
        <w:t>及委托代理人身份证</w:t>
      </w:r>
      <w:r>
        <w:rPr>
          <w:rFonts w:hint="eastAsia"/>
          <w:color w:val="000000" w:themeColor="text1"/>
          <w:szCs w:val="24"/>
          <w:highlight w:val="none"/>
          <w14:textFill>
            <w14:solidFill>
              <w14:schemeClr w14:val="tx1"/>
            </w14:solidFill>
          </w14:textFill>
        </w:rPr>
        <w:t>扫描件</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注：本授权委托书需由投标人加盖单位公章并由其法定代表人和委托代理人签字</w:t>
      </w:r>
      <w:r>
        <w:rPr>
          <w:rFonts w:hint="eastAsia"/>
          <w:color w:val="000000" w:themeColor="text1"/>
          <w:szCs w:val="24"/>
          <w:highlight w:val="none"/>
          <w14:textFill>
            <w14:solidFill>
              <w14:schemeClr w14:val="tx1"/>
            </w14:solidFill>
          </w14:textFill>
        </w:rPr>
        <w:t>或盖章</w:t>
      </w:r>
      <w:r>
        <w:rPr>
          <w:color w:val="000000" w:themeColor="text1"/>
          <w:szCs w:val="24"/>
          <w:highlight w:val="none"/>
          <w14:textFill>
            <w14:solidFill>
              <w14:schemeClr w14:val="tx1"/>
            </w14:solidFill>
          </w14:textFill>
        </w:rPr>
        <w:t>。</w:t>
      </w:r>
    </w:p>
    <w:p>
      <w:pPr>
        <w:shd w:val="clear"/>
        <w:spacing w:line="440" w:lineRule="exact"/>
        <w:ind w:firstLine="480"/>
        <w:rPr>
          <w:color w:val="000000" w:themeColor="text1"/>
          <w:szCs w:val="24"/>
          <w:highlight w:val="none"/>
          <w14:textFill>
            <w14:solidFill>
              <w14:schemeClr w14:val="tx1"/>
            </w14:solidFill>
          </w14:textFill>
        </w:rPr>
      </w:pPr>
    </w:p>
    <w:p>
      <w:pPr>
        <w:shd w:val="clear"/>
        <w:spacing w:line="440" w:lineRule="exact"/>
        <w:ind w:firstLine="3076" w:firstLineChars="1282"/>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投  标  人：</w:t>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 xml:space="preserve">                 </w:t>
      </w:r>
      <w:r>
        <w:rPr>
          <w:color w:val="000000" w:themeColor="text1"/>
          <w:szCs w:val="24"/>
          <w:highlight w:val="none"/>
          <w:u w:val="single"/>
          <w14:textFill>
            <w14:solidFill>
              <w14:schemeClr w14:val="tx1"/>
            </w14:solidFill>
          </w14:textFill>
        </w:rPr>
        <w:tab/>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盖</w:t>
      </w:r>
      <w:r>
        <w:rPr>
          <w:color w:val="000000" w:themeColor="text1"/>
          <w:szCs w:val="24"/>
          <w:highlight w:val="none"/>
          <w14:textFill>
            <w14:solidFill>
              <w14:schemeClr w14:val="tx1"/>
            </w14:solidFill>
          </w14:textFill>
        </w:rPr>
        <w:t>单位</w:t>
      </w:r>
      <w:r>
        <w:rPr>
          <w:rFonts w:hint="eastAsia"/>
          <w:color w:val="000000" w:themeColor="text1"/>
          <w:szCs w:val="24"/>
          <w:highlight w:val="none"/>
          <w14:textFill>
            <w14:solidFill>
              <w14:schemeClr w14:val="tx1"/>
            </w14:solidFill>
          </w14:textFill>
        </w:rPr>
        <w:t>章</w:t>
      </w:r>
      <w:r>
        <w:rPr>
          <w:color w:val="000000" w:themeColor="text1"/>
          <w:szCs w:val="24"/>
          <w:highlight w:val="none"/>
          <w14:textFill>
            <w14:solidFill>
              <w14:schemeClr w14:val="tx1"/>
            </w14:solidFill>
          </w14:textFill>
        </w:rPr>
        <w:t>）</w:t>
      </w:r>
    </w:p>
    <w:p>
      <w:pPr>
        <w:shd w:val="clear"/>
        <w:spacing w:line="440" w:lineRule="exact"/>
        <w:ind w:firstLine="3076" w:firstLineChars="1282"/>
        <w:rPr>
          <w:color w:val="000000" w:themeColor="text1"/>
          <w:szCs w:val="24"/>
          <w:highlight w:val="none"/>
          <w14:textFill>
            <w14:solidFill>
              <w14:schemeClr w14:val="tx1"/>
            </w14:solidFill>
          </w14:textFill>
        </w:rPr>
      </w:pPr>
    </w:p>
    <w:p>
      <w:pPr>
        <w:shd w:val="clear"/>
        <w:spacing w:line="440" w:lineRule="exact"/>
        <w:ind w:firstLine="3074" w:firstLineChars="1281"/>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法定代表人：</w:t>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 xml:space="preserve">        </w:t>
      </w:r>
      <w:r>
        <w:rPr>
          <w:color w:val="000000" w:themeColor="text1"/>
          <w:szCs w:val="24"/>
          <w:highlight w:val="none"/>
          <w:u w:val="single"/>
          <w14:textFill>
            <w14:solidFill>
              <w14:schemeClr w14:val="tx1"/>
            </w14:solidFill>
          </w14:textFill>
        </w:rPr>
        <w:tab/>
      </w:r>
      <w:r>
        <w:rPr>
          <w:color w:val="000000" w:themeColor="text1"/>
          <w:szCs w:val="24"/>
          <w:highlight w:val="none"/>
          <w14:textFill>
            <w14:solidFill>
              <w14:schemeClr w14:val="tx1"/>
            </w14:solidFill>
          </w14:textFill>
        </w:rPr>
        <w:t>（签字</w:t>
      </w:r>
      <w:r>
        <w:rPr>
          <w:rFonts w:hint="eastAsia"/>
          <w:color w:val="000000" w:themeColor="text1"/>
          <w:szCs w:val="24"/>
          <w:highlight w:val="none"/>
          <w14:textFill>
            <w14:solidFill>
              <w14:schemeClr w14:val="tx1"/>
            </w14:solidFill>
          </w14:textFill>
        </w:rPr>
        <w:t>或盖章</w:t>
      </w:r>
      <w:r>
        <w:rPr>
          <w:color w:val="000000" w:themeColor="text1"/>
          <w:szCs w:val="24"/>
          <w:highlight w:val="none"/>
          <w14:textFill>
            <w14:solidFill>
              <w14:schemeClr w14:val="tx1"/>
            </w14:solidFill>
          </w14:textFill>
        </w:rPr>
        <w:t>）</w:t>
      </w:r>
    </w:p>
    <w:p>
      <w:pPr>
        <w:shd w:val="clear"/>
        <w:spacing w:line="440" w:lineRule="exact"/>
        <w:ind w:firstLine="3076" w:firstLineChars="1282"/>
        <w:rPr>
          <w:color w:val="000000" w:themeColor="text1"/>
          <w:szCs w:val="24"/>
          <w:highlight w:val="none"/>
          <w14:textFill>
            <w14:solidFill>
              <w14:schemeClr w14:val="tx1"/>
            </w14:solidFill>
          </w14:textFill>
        </w:rPr>
      </w:pPr>
    </w:p>
    <w:p>
      <w:pPr>
        <w:shd w:val="clear"/>
        <w:spacing w:line="440" w:lineRule="exact"/>
        <w:ind w:firstLine="3076" w:firstLineChars="1282"/>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身份证号码：</w:t>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 xml:space="preserve">                         </w:t>
      </w:r>
      <w:r>
        <w:rPr>
          <w:color w:val="000000" w:themeColor="text1"/>
          <w:szCs w:val="24"/>
          <w:highlight w:val="none"/>
          <w:u w:val="single"/>
          <w14:textFill>
            <w14:solidFill>
              <w14:schemeClr w14:val="tx1"/>
            </w14:solidFill>
          </w14:textFill>
        </w:rPr>
        <w:tab/>
      </w:r>
    </w:p>
    <w:p>
      <w:pPr>
        <w:shd w:val="clear"/>
        <w:spacing w:line="440" w:lineRule="exact"/>
        <w:ind w:firstLine="3076" w:firstLineChars="1282"/>
        <w:rPr>
          <w:color w:val="000000" w:themeColor="text1"/>
          <w:szCs w:val="24"/>
          <w:highlight w:val="none"/>
          <w14:textFill>
            <w14:solidFill>
              <w14:schemeClr w14:val="tx1"/>
            </w14:solidFill>
          </w14:textFill>
        </w:rPr>
      </w:pPr>
    </w:p>
    <w:p>
      <w:pPr>
        <w:shd w:val="clear"/>
        <w:spacing w:line="440" w:lineRule="exact"/>
        <w:ind w:firstLine="3076" w:firstLineChars="1282"/>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委托代理人：</w:t>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（签字</w:t>
      </w:r>
      <w:r>
        <w:rPr>
          <w:rFonts w:hint="eastAsia"/>
          <w:color w:val="000000" w:themeColor="text1"/>
          <w:szCs w:val="24"/>
          <w:highlight w:val="none"/>
          <w14:textFill>
            <w14:solidFill>
              <w14:schemeClr w14:val="tx1"/>
            </w14:solidFill>
          </w14:textFill>
        </w:rPr>
        <w:t>或盖章</w:t>
      </w:r>
      <w:r>
        <w:rPr>
          <w:color w:val="000000" w:themeColor="text1"/>
          <w:szCs w:val="24"/>
          <w:highlight w:val="none"/>
          <w14:textFill>
            <w14:solidFill>
              <w14:schemeClr w14:val="tx1"/>
            </w14:solidFill>
          </w14:textFill>
        </w:rPr>
        <w:t>）</w:t>
      </w:r>
    </w:p>
    <w:p>
      <w:pPr>
        <w:shd w:val="clear"/>
        <w:spacing w:line="440" w:lineRule="exact"/>
        <w:ind w:firstLine="3076" w:firstLineChars="1282"/>
        <w:rPr>
          <w:color w:val="000000" w:themeColor="text1"/>
          <w:szCs w:val="24"/>
          <w:highlight w:val="none"/>
          <w14:textFill>
            <w14:solidFill>
              <w14:schemeClr w14:val="tx1"/>
            </w14:solidFill>
          </w14:textFill>
        </w:rPr>
      </w:pPr>
    </w:p>
    <w:p>
      <w:pPr>
        <w:shd w:val="clear"/>
        <w:spacing w:line="440" w:lineRule="exact"/>
        <w:ind w:firstLine="3076" w:firstLineChars="1282"/>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身份证号码：</w:t>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ab/>
      </w:r>
      <w:r>
        <w:rPr>
          <w:color w:val="000000" w:themeColor="text1"/>
          <w:szCs w:val="24"/>
          <w:highlight w:val="none"/>
          <w:u w:val="single"/>
          <w14:textFill>
            <w14:solidFill>
              <w14:schemeClr w14:val="tx1"/>
            </w14:solidFill>
          </w14:textFill>
        </w:rPr>
        <w:t xml:space="preserve">                           </w:t>
      </w:r>
      <w:r>
        <w:rPr>
          <w:color w:val="000000" w:themeColor="text1"/>
          <w:szCs w:val="24"/>
          <w:highlight w:val="none"/>
          <w:u w:val="single"/>
          <w14:textFill>
            <w14:solidFill>
              <w14:schemeClr w14:val="tx1"/>
            </w14:solidFill>
          </w14:textFill>
        </w:rPr>
        <w:tab/>
      </w:r>
    </w:p>
    <w:p>
      <w:pPr>
        <w:shd w:val="clear"/>
        <w:spacing w:line="440" w:lineRule="exact"/>
        <w:ind w:firstLine="3076" w:firstLineChars="1282"/>
        <w:rPr>
          <w:color w:val="000000" w:themeColor="text1"/>
          <w:szCs w:val="24"/>
          <w:highlight w:val="none"/>
          <w14:textFill>
            <w14:solidFill>
              <w14:schemeClr w14:val="tx1"/>
            </w14:solidFill>
          </w14:textFill>
        </w:rPr>
      </w:pPr>
    </w:p>
    <w:p>
      <w:pPr>
        <w:shd w:val="clear"/>
        <w:spacing w:line="440" w:lineRule="exact"/>
        <w:ind w:firstLine="4636" w:firstLineChars="1932"/>
        <w:jc w:val="right"/>
        <w:rPr>
          <w:color w:val="000000" w:themeColor="text1"/>
          <w:szCs w:val="24"/>
          <w:highlight w:val="none"/>
          <w14:textFill>
            <w14:solidFill>
              <w14:schemeClr w14:val="tx1"/>
            </w14:solidFill>
          </w14:textFill>
        </w:rPr>
      </w:pP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年</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月</w:t>
      </w:r>
      <w:r>
        <w:rPr>
          <w:color w:val="000000" w:themeColor="text1"/>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日</w:t>
      </w:r>
    </w:p>
    <w:p>
      <w:pPr>
        <w:shd w:val="clear"/>
        <w:spacing w:line="440" w:lineRule="exact"/>
        <w:ind w:firstLine="4636" w:firstLineChars="1932"/>
        <w:jc w:val="right"/>
        <w:rPr>
          <w:color w:val="000000" w:themeColor="text1"/>
          <w:szCs w:val="24"/>
          <w:highlight w:val="none"/>
          <w14:textFill>
            <w14:solidFill>
              <w14:schemeClr w14:val="tx1"/>
            </w14:solidFill>
          </w14:textFill>
        </w:rPr>
      </w:pPr>
    </w:p>
    <w:p>
      <w:pPr>
        <w:shd w:val="clear"/>
        <w:ind w:firstLine="480"/>
        <w:rPr>
          <w:rFonts w:hint="eastAsia" w:hAnsi="宋体" w:cs="宋体"/>
          <w:color w:val="000000" w:themeColor="text1"/>
          <w:highlight w:val="none"/>
          <w14:textFill>
            <w14:solidFill>
              <w14:schemeClr w14:val="tx1"/>
            </w14:solidFill>
          </w14:textFill>
        </w:rPr>
      </w:pPr>
    </w:p>
    <w:bookmarkEnd w:id="247"/>
    <w:bookmarkEnd w:id="248"/>
    <w:bookmarkEnd w:id="249"/>
    <w:bookmarkEnd w:id="250"/>
    <w:bookmarkEnd w:id="251"/>
    <w:bookmarkEnd w:id="252"/>
    <w:bookmarkEnd w:id="253"/>
    <w:bookmarkEnd w:id="254"/>
    <w:bookmarkEnd w:id="255"/>
    <w:bookmarkEnd w:id="256"/>
    <w:bookmarkEnd w:id="257"/>
    <w:p>
      <w:pPr>
        <w:pageBreakBefore/>
        <w:shd w:val="clear"/>
        <w:spacing w:before="120" w:after="120"/>
        <w:ind w:firstLine="643"/>
        <w:jc w:val="left"/>
        <w:outlineLvl w:val="1"/>
        <w:rPr>
          <w:rFonts w:hAnsi="宋体" w:cs="宋体"/>
          <w:b/>
          <w:strike/>
          <w:color w:val="000000" w:themeColor="text1"/>
          <w:sz w:val="32"/>
          <w:highlight w:val="none"/>
          <w14:textFill>
            <w14:solidFill>
              <w14:schemeClr w14:val="tx1"/>
            </w14:solidFill>
          </w14:textFill>
        </w:rPr>
      </w:pPr>
      <w:bookmarkStart w:id="281" w:name="_Toc533101227"/>
      <w:bookmarkStart w:id="282" w:name="_Toc152234291"/>
      <w:bookmarkStart w:id="283" w:name="_Toc533104507"/>
      <w:bookmarkStart w:id="284" w:name="_Toc361508760"/>
      <w:r>
        <w:rPr>
          <w:rFonts w:hint="eastAsia" w:hAnsi="宋体" w:cs="宋体"/>
          <w:b/>
          <w:strike/>
          <w:color w:val="000000" w:themeColor="text1"/>
          <w:sz w:val="32"/>
          <w:highlight w:val="none"/>
          <w14:textFill>
            <w14:solidFill>
              <w14:schemeClr w14:val="tx1"/>
            </w14:solidFill>
          </w14:textFill>
        </w:rPr>
        <w:t>格式3  投标保证金</w:t>
      </w:r>
    </w:p>
    <w:p>
      <w:pPr>
        <w:shd w:val="clear"/>
        <w:ind w:firstLine="480"/>
        <w:rPr>
          <w:rFonts w:hint="eastAsia" w:hAnsi="宋体" w:cs="宋体"/>
          <w:strike/>
          <w:color w:val="000000" w:themeColor="text1"/>
          <w:highlight w:val="none"/>
          <w14:textFill>
            <w14:solidFill>
              <w14:schemeClr w14:val="tx1"/>
            </w14:solidFill>
          </w14:textFill>
        </w:rPr>
      </w:pPr>
    </w:p>
    <w:p>
      <w:pPr>
        <w:shd w:val="clear"/>
        <w:ind w:firstLine="480"/>
        <w:jc w:val="left"/>
        <w:rPr>
          <w:rFonts w:hint="eastAsia" w:hAnsi="宋体"/>
          <w:bCs/>
          <w:strike/>
          <w:color w:val="000000" w:themeColor="text1"/>
          <w:szCs w:val="24"/>
          <w:highlight w:val="none"/>
          <w14:textFill>
            <w14:solidFill>
              <w14:schemeClr w14:val="tx1"/>
            </w14:solidFill>
          </w14:textFill>
        </w:rPr>
      </w:pPr>
      <w:r>
        <w:rPr>
          <w:rFonts w:hint="eastAsia" w:hAnsi="宋体"/>
          <w:bCs/>
          <w:strike/>
          <w:color w:val="000000" w:themeColor="text1"/>
          <w:szCs w:val="24"/>
          <w:highlight w:val="none"/>
          <w14:textFill>
            <w14:solidFill>
              <w14:schemeClr w14:val="tx1"/>
            </w14:solidFill>
          </w14:textFill>
        </w:rPr>
        <w:t>注：如采用现金、支票或汇票形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pPr>
        <w:shd w:val="clear"/>
        <w:ind w:firstLine="480"/>
        <w:jc w:val="left"/>
        <w:rPr>
          <w:rFonts w:hint="eastAsia" w:hAnsi="宋体"/>
          <w:bCs/>
          <w:strike/>
          <w:color w:val="000000" w:themeColor="text1"/>
          <w:szCs w:val="24"/>
          <w:highlight w:val="none"/>
          <w14:textFill>
            <w14:solidFill>
              <w14:schemeClr w14:val="tx1"/>
            </w14:solidFill>
          </w14:textFill>
        </w:rPr>
        <w:sectPr>
          <w:pgSz w:w="12240" w:h="15840"/>
          <w:pgMar w:top="1440" w:right="1440" w:bottom="1418" w:left="1440" w:header="0" w:footer="567" w:gutter="0"/>
          <w:cols w:space="720" w:num="1"/>
          <w:rtlGutter w:val="1"/>
          <w:docGrid w:linePitch="360" w:charSpace="0"/>
        </w:sectPr>
      </w:pPr>
      <w:r>
        <w:rPr>
          <w:rFonts w:hint="eastAsia" w:hAnsi="宋体"/>
          <w:bCs/>
          <w:strike/>
          <w:color w:val="000000" w:themeColor="text1"/>
          <w:szCs w:val="24"/>
          <w:highlight w:val="none"/>
          <w14:textFill>
            <w14:solidFill>
              <w14:schemeClr w14:val="tx1"/>
            </w14:solidFill>
          </w14:textFill>
        </w:rPr>
        <w:t>如采用信用证、保函或保险等形式提交的，投标人应在此处提供信用证、保函或保险等的扫描件并加盖投标人单位电子印章。</w:t>
      </w:r>
    </w:p>
    <w:p>
      <w:pPr>
        <w:shd w:val="clear"/>
        <w:spacing w:line="240" w:lineRule="auto"/>
        <w:ind w:firstLine="0" w:firstLineChars="0"/>
        <w:jc w:val="left"/>
        <w:rPr>
          <w:rFonts w:hint="eastAsia"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格式4 资格审查资料</w:t>
      </w:r>
      <w:bookmarkEnd w:id="281"/>
      <w:bookmarkEnd w:id="282"/>
      <w:bookmarkEnd w:id="283"/>
    </w:p>
    <w:p>
      <w:pPr>
        <w:shd w:val="clear"/>
        <w:spacing w:line="240" w:lineRule="auto"/>
        <w:ind w:firstLine="0" w:firstLineChars="0"/>
        <w:jc w:val="center"/>
        <w:rPr>
          <w:rFonts w:hint="eastAsia" w:hAnsi="宋体" w:cs="宋体"/>
          <w:bCs/>
          <w:color w:val="000000" w:themeColor="text1"/>
          <w:sz w:val="28"/>
          <w:szCs w:val="28"/>
          <w:highlight w:val="none"/>
          <w14:textFill>
            <w14:solidFill>
              <w14:schemeClr w14:val="tx1"/>
            </w14:solidFill>
          </w14:textFill>
        </w:rPr>
      </w:pPr>
      <w:bookmarkStart w:id="285" w:name="_Toc533104508"/>
      <w:bookmarkStart w:id="286" w:name="_Toc533101228"/>
      <w:r>
        <w:rPr>
          <w:rFonts w:hint="eastAsia" w:hAnsi="宋体" w:cs="宋体"/>
          <w:bCs/>
          <w:color w:val="000000" w:themeColor="text1"/>
          <w:sz w:val="28"/>
          <w:szCs w:val="28"/>
          <w:highlight w:val="none"/>
          <w14:textFill>
            <w14:solidFill>
              <w14:schemeClr w14:val="tx1"/>
            </w14:solidFill>
          </w14:textFill>
        </w:rPr>
        <w:t>基本情况表</w:t>
      </w:r>
      <w:bookmarkEnd w:id="285"/>
      <w:bookmarkEnd w:id="286"/>
    </w:p>
    <w:tbl>
      <w:tblPr>
        <w:tblStyle w:val="29"/>
        <w:tblW w:w="102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71"/>
        <w:gridCol w:w="1031"/>
        <w:gridCol w:w="672"/>
        <w:gridCol w:w="1492"/>
        <w:gridCol w:w="467"/>
        <w:gridCol w:w="716"/>
        <w:gridCol w:w="1067"/>
        <w:gridCol w:w="88"/>
        <w:gridCol w:w="16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投标人名称</w:t>
            </w:r>
          </w:p>
        </w:tc>
        <w:tc>
          <w:tcPr>
            <w:tcW w:w="713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注册地址</w:t>
            </w:r>
          </w:p>
        </w:tc>
        <w:tc>
          <w:tcPr>
            <w:tcW w:w="3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邮政编码</w:t>
            </w:r>
          </w:p>
        </w:tc>
        <w:tc>
          <w:tcPr>
            <w:tcW w:w="27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联系方式</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联系人</w:t>
            </w:r>
          </w:p>
        </w:tc>
        <w:tc>
          <w:tcPr>
            <w:tcW w:w="2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电 话</w:t>
            </w:r>
          </w:p>
        </w:tc>
        <w:tc>
          <w:tcPr>
            <w:tcW w:w="27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传  真</w:t>
            </w:r>
          </w:p>
        </w:tc>
        <w:tc>
          <w:tcPr>
            <w:tcW w:w="2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网 址</w:t>
            </w:r>
          </w:p>
        </w:tc>
        <w:tc>
          <w:tcPr>
            <w:tcW w:w="27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法定代表人</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姓名</w:t>
            </w:r>
          </w:p>
        </w:tc>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技术职称</w:t>
            </w:r>
          </w:p>
        </w:tc>
        <w:tc>
          <w:tcPr>
            <w:tcW w:w="1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电话</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技术负责人</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姓名</w:t>
            </w:r>
          </w:p>
        </w:tc>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技术职称</w:t>
            </w:r>
          </w:p>
        </w:tc>
        <w:tc>
          <w:tcPr>
            <w:tcW w:w="11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电话</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质量管理体系证书</w:t>
            </w:r>
          </w:p>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（如有）</w:t>
            </w:r>
          </w:p>
        </w:tc>
        <w:tc>
          <w:tcPr>
            <w:tcW w:w="713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营业执照（或事业单位法人证书）号</w:t>
            </w:r>
          </w:p>
        </w:tc>
        <w:tc>
          <w:tcPr>
            <w:tcW w:w="3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393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注册资本</w:t>
            </w:r>
          </w:p>
        </w:tc>
        <w:tc>
          <w:tcPr>
            <w:tcW w:w="3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46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其中</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高级职称人员</w:t>
            </w:r>
          </w:p>
        </w:tc>
        <w:tc>
          <w:tcPr>
            <w:tcW w:w="16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成立日期</w:t>
            </w:r>
          </w:p>
        </w:tc>
        <w:tc>
          <w:tcPr>
            <w:tcW w:w="3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467" w:type="dxa"/>
            <w:vMerge w:val="continue"/>
            <w:tcBorders>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中级职称人员</w:t>
            </w:r>
          </w:p>
        </w:tc>
        <w:tc>
          <w:tcPr>
            <w:tcW w:w="16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基本账户开户银行</w:t>
            </w:r>
          </w:p>
        </w:tc>
        <w:tc>
          <w:tcPr>
            <w:tcW w:w="3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467" w:type="dxa"/>
            <w:vMerge w:val="continue"/>
            <w:tcBorders>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技术人员数量</w:t>
            </w:r>
          </w:p>
        </w:tc>
        <w:tc>
          <w:tcPr>
            <w:tcW w:w="16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基本账户银行账号</w:t>
            </w:r>
          </w:p>
        </w:tc>
        <w:tc>
          <w:tcPr>
            <w:tcW w:w="31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467" w:type="dxa"/>
            <w:vMerge w:val="continue"/>
            <w:tcBorders>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各类注册人员</w:t>
            </w:r>
          </w:p>
        </w:tc>
        <w:tc>
          <w:tcPr>
            <w:tcW w:w="16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经营范围</w:t>
            </w:r>
          </w:p>
        </w:tc>
        <w:tc>
          <w:tcPr>
            <w:tcW w:w="7134" w:type="dxa"/>
            <w:gridSpan w:val="8"/>
            <w:tcBorders>
              <w:top w:val="single" w:color="auto" w:sz="4" w:space="0"/>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投标人关联企业情况（包括但不限于与投标人法定代表人为同一人或者存在控股、管理关系的不同单位）</w:t>
            </w:r>
          </w:p>
        </w:tc>
        <w:tc>
          <w:tcPr>
            <w:tcW w:w="7134" w:type="dxa"/>
            <w:gridSpan w:val="8"/>
            <w:tcBorders>
              <w:top w:val="single" w:color="auto" w:sz="4" w:space="0"/>
              <w:left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备注</w:t>
            </w:r>
          </w:p>
        </w:tc>
        <w:tc>
          <w:tcPr>
            <w:tcW w:w="7134"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topLinePunct/>
              <w:autoSpaceDE w:val="0"/>
              <w:spacing w:before="0" w:beforeAutospacing="0" w:after="0" w:afterAutospacing="0" w:line="240" w:lineRule="auto"/>
              <w:ind w:left="0" w:right="0" w:firstLine="0" w:firstLineChars="0"/>
              <w:jc w:val="center"/>
              <w:rPr>
                <w:rFonts w:hint="eastAsia" w:hAnsi="宋体" w:cs="宋体"/>
                <w:color w:val="000000" w:themeColor="text1"/>
                <w:szCs w:val="24"/>
                <w:highlight w:val="none"/>
                <w14:textFill>
                  <w14:solidFill>
                    <w14:schemeClr w14:val="tx1"/>
                  </w14:solidFill>
                </w14:textFill>
              </w:rPr>
            </w:pPr>
          </w:p>
        </w:tc>
      </w:tr>
    </w:tbl>
    <w:p>
      <w:pPr>
        <w:shd w:val="clear"/>
        <w:spacing w:line="240" w:lineRule="auto"/>
        <w:ind w:firstLine="0" w:firstLineChars="0"/>
        <w:rPr>
          <w:rFonts w:hAnsi="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注：</w:t>
      </w:r>
      <w:r>
        <w:rPr>
          <w:rFonts w:hAnsi="宋体"/>
          <w:bCs/>
          <w:color w:val="000000" w:themeColor="text1"/>
          <w:szCs w:val="21"/>
          <w:highlight w:val="none"/>
          <w14:textFill>
            <w14:solidFill>
              <w14:schemeClr w14:val="tx1"/>
            </w14:solidFill>
          </w14:textFill>
        </w:rPr>
        <w:t>投标人应</w:t>
      </w:r>
      <w:bookmarkStart w:id="287" w:name="_Toc520184751"/>
      <w:r>
        <w:rPr>
          <w:rFonts w:hAnsi="宋体"/>
          <w:bCs/>
          <w:color w:val="000000" w:themeColor="text1"/>
          <w:szCs w:val="21"/>
          <w:highlight w:val="none"/>
          <w14:textFill>
            <w14:solidFill>
              <w14:schemeClr w14:val="tx1"/>
            </w14:solidFill>
          </w14:textFill>
        </w:rPr>
        <w:t>根据</w:t>
      </w:r>
      <w:bookmarkEnd w:id="287"/>
      <w:r>
        <w:rPr>
          <w:rFonts w:hint="eastAsia" w:hAnsi="宋体"/>
          <w:bCs/>
          <w:color w:val="000000" w:themeColor="text1"/>
          <w:szCs w:val="21"/>
          <w:highlight w:val="none"/>
          <w14:textFill>
            <w14:solidFill>
              <w14:schemeClr w14:val="tx1"/>
            </w14:solidFill>
          </w14:textFill>
        </w:rPr>
        <w:t>资格评审标准</w:t>
      </w:r>
      <w:r>
        <w:rPr>
          <w:rFonts w:hAnsi="宋体"/>
          <w:bCs/>
          <w:color w:val="000000" w:themeColor="text1"/>
          <w:szCs w:val="21"/>
          <w:highlight w:val="none"/>
          <w14:textFill>
            <w14:solidFill>
              <w14:schemeClr w14:val="tx1"/>
            </w14:solidFill>
          </w14:textFill>
        </w:rPr>
        <w:t>的要求在本表后附</w:t>
      </w:r>
      <w:r>
        <w:rPr>
          <w:rFonts w:hint="eastAsia" w:hAnsi="宋体"/>
          <w:bCs/>
          <w:color w:val="000000" w:themeColor="text1"/>
          <w:szCs w:val="21"/>
          <w:highlight w:val="none"/>
          <w14:textFill>
            <w14:solidFill>
              <w14:schemeClr w14:val="tx1"/>
            </w14:solidFill>
          </w14:textFill>
        </w:rPr>
        <w:t>以下</w:t>
      </w:r>
      <w:r>
        <w:rPr>
          <w:rFonts w:hAnsi="宋体"/>
          <w:bCs/>
          <w:color w:val="000000" w:themeColor="text1"/>
          <w:szCs w:val="21"/>
          <w:highlight w:val="none"/>
          <w14:textFill>
            <w14:solidFill>
              <w14:schemeClr w14:val="tx1"/>
            </w14:solidFill>
          </w14:textFill>
        </w:rPr>
        <w:t>证明材料</w:t>
      </w:r>
      <w:r>
        <w:rPr>
          <w:rFonts w:hint="eastAsia" w:hAnsi="宋体"/>
          <w:bCs/>
          <w:color w:val="000000" w:themeColor="text1"/>
          <w:szCs w:val="21"/>
          <w:highlight w:val="none"/>
          <w14:textFill>
            <w14:solidFill>
              <w14:schemeClr w14:val="tx1"/>
            </w14:solidFill>
          </w14:textFill>
        </w:rPr>
        <w:t>：</w:t>
      </w:r>
    </w:p>
    <w:p>
      <w:pPr>
        <w:shd w:val="clear"/>
        <w:spacing w:line="240" w:lineRule="auto"/>
        <w:ind w:firstLine="0" w:firstLineChars="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①投标人营业执照或事业单位法人证书的原件清晰扫描件（按照“三证合一” 或“五证合一”登记制度进行登记的，可仅提供营业执照原件清晰扫描件）；</w:t>
      </w:r>
    </w:p>
    <w:p>
      <w:pPr>
        <w:shd w:val="clear"/>
        <w:spacing w:line="240" w:lineRule="auto"/>
        <w:ind w:firstLine="0" w:firstLineChars="0"/>
        <w:rPr>
          <w:rFonts w:hint="eastAsia"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②拟派项目负责人的一级注册造价工程师的注册证和执业资格证原件清晰扫描件；</w:t>
      </w:r>
    </w:p>
    <w:p>
      <w:pPr>
        <w:pStyle w:val="14"/>
        <w:shd w:val="clear"/>
        <w:spacing w:line="240" w:lineRule="auto"/>
        <w:ind w:firstLine="0" w:firstLineChars="0"/>
        <w:rPr>
          <w:rFonts w:hAnsi="宋体"/>
          <w:bCs/>
          <w:color w:val="000000" w:themeColor="text1"/>
          <w:szCs w:val="21"/>
          <w:highlight w:val="none"/>
          <w14:textFill>
            <w14:solidFill>
              <w14:schemeClr w14:val="tx1"/>
            </w14:solidFill>
          </w14:textFill>
        </w:rPr>
      </w:pPr>
      <w:r>
        <w:rPr>
          <w:rFonts w:hint="eastAsia" w:hAnsi="宋体" w:eastAsia="宋体"/>
          <w:bCs/>
          <w:color w:val="000000" w:themeColor="text1"/>
          <w:sz w:val="24"/>
          <w:szCs w:val="21"/>
          <w:highlight w:val="none"/>
          <w14:textFill>
            <w14:solidFill>
              <w14:schemeClr w14:val="tx1"/>
            </w14:solidFill>
          </w14:textFill>
        </w:rPr>
        <w:t>③投标人已按规定格式签名盖章的《投标人声明》原件清晰扫描件；</w:t>
      </w:r>
    </w:p>
    <w:p>
      <w:pPr>
        <w:shd w:val="clear"/>
        <w:spacing w:line="240" w:lineRule="auto"/>
        <w:ind w:firstLine="0" w:firstLineChars="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④投标人在广州市住建行业信用管理平台建立企业信用档案的网页截图。</w:t>
      </w:r>
    </w:p>
    <w:p>
      <w:pPr>
        <w:shd w:val="clear"/>
        <w:spacing w:line="240" w:lineRule="auto"/>
        <w:ind w:firstLine="0" w:firstLineChars="0"/>
        <w:rPr>
          <w:rFonts w:hint="eastAsia"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⑤资格评审要求的其他材料。</w:t>
      </w:r>
    </w:p>
    <w:p>
      <w:pPr>
        <w:pStyle w:val="14"/>
        <w:shd w:val="clear"/>
        <w:ind w:firstLine="400"/>
        <w:rPr>
          <w:rFonts w:hint="eastAsia"/>
          <w:color w:val="000000" w:themeColor="text1"/>
          <w:highlight w:val="none"/>
          <w14:textFill>
            <w14:solidFill>
              <w14:schemeClr w14:val="tx1"/>
            </w14:solidFill>
          </w14:textFill>
        </w:rPr>
      </w:pPr>
    </w:p>
    <w:p>
      <w:pPr>
        <w:pageBreakBefore/>
        <w:shd w:val="clear"/>
        <w:spacing w:before="120" w:after="120"/>
        <w:ind w:firstLine="643"/>
        <w:jc w:val="left"/>
        <w:outlineLvl w:val="1"/>
        <w:rPr>
          <w:rFonts w:hint="eastAsia" w:hAnsi="宋体" w:cs="宋体"/>
          <w:b/>
          <w:color w:val="000000" w:themeColor="text1"/>
          <w:sz w:val="32"/>
          <w:highlight w:val="none"/>
          <w14:textFill>
            <w14:solidFill>
              <w14:schemeClr w14:val="tx1"/>
            </w14:solidFill>
          </w14:textFill>
        </w:rPr>
      </w:pPr>
      <w:bookmarkStart w:id="288" w:name="_Toc152234292"/>
      <w:bookmarkStart w:id="289" w:name="_Toc242005124"/>
      <w:bookmarkStart w:id="290" w:name="_Toc533104509"/>
      <w:bookmarkStart w:id="291" w:name="_Toc346806124"/>
      <w:r>
        <w:rPr>
          <w:rFonts w:hint="eastAsia" w:hAnsi="宋体" w:cs="宋体"/>
          <w:b/>
          <w:color w:val="000000" w:themeColor="text1"/>
          <w:sz w:val="32"/>
          <w:highlight w:val="none"/>
          <w14:textFill>
            <w14:solidFill>
              <w14:schemeClr w14:val="tx1"/>
            </w14:solidFill>
          </w14:textFill>
        </w:rPr>
        <w:t xml:space="preserve">格式5  </w:t>
      </w:r>
      <w:bookmarkStart w:id="292" w:name="_Hlk65834935"/>
      <w:bookmarkStart w:id="293" w:name="_Hlk65834961"/>
      <w:r>
        <w:rPr>
          <w:rFonts w:hint="eastAsia" w:hAnsi="宋体" w:cs="宋体"/>
          <w:b/>
          <w:color w:val="000000" w:themeColor="text1"/>
          <w:sz w:val="32"/>
          <w:highlight w:val="none"/>
          <w14:textFill>
            <w14:solidFill>
              <w14:schemeClr w14:val="tx1"/>
            </w14:solidFill>
          </w14:textFill>
        </w:rPr>
        <w:t>企业工程造价咨询业绩</w:t>
      </w:r>
      <w:bookmarkEnd w:id="292"/>
      <w:r>
        <w:rPr>
          <w:rFonts w:hint="eastAsia" w:hAnsi="宋体" w:cs="宋体"/>
          <w:b/>
          <w:color w:val="000000" w:themeColor="text1"/>
          <w:sz w:val="32"/>
          <w:highlight w:val="none"/>
          <w14:textFill>
            <w14:solidFill>
              <w14:schemeClr w14:val="tx1"/>
            </w14:solidFill>
          </w14:textFill>
        </w:rPr>
        <w:t>一览表</w:t>
      </w:r>
      <w:bookmarkEnd w:id="288"/>
      <w:bookmarkEnd w:id="289"/>
      <w:bookmarkEnd w:id="290"/>
      <w:bookmarkEnd w:id="291"/>
      <w:bookmarkEnd w:id="293"/>
    </w:p>
    <w:p>
      <w:pPr>
        <w:shd w:val="clear"/>
        <w:spacing w:line="400" w:lineRule="exact"/>
        <w:ind w:firstLine="0" w:firstLineChars="0"/>
        <w:jc w:val="center"/>
        <w:rPr>
          <w:rFonts w:hint="eastAsia"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企业工程造价咨询业绩一览表</w:t>
      </w:r>
    </w:p>
    <w:tbl>
      <w:tblPr>
        <w:tblStyle w:val="2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620"/>
        <w:gridCol w:w="1080"/>
        <w:gridCol w:w="1440"/>
        <w:gridCol w:w="1440"/>
        <w:gridCol w:w="1866"/>
        <w:gridCol w:w="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6"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spacing w:before="0" w:beforeAutospacing="0" w:after="0" w:afterAutospacing="0"/>
              <w:ind w:left="0" w:right="0" w:firstLine="0" w:firstLineChars="0"/>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spacing w:before="0" w:beforeAutospacing="0" w:after="0" w:afterAutospacing="0"/>
              <w:ind w:left="0" w:right="0" w:firstLine="0" w:firstLineChars="0"/>
              <w:jc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spacing w:before="0" w:beforeAutospacing="0" w:after="0" w:afterAutospacing="0"/>
              <w:ind w:left="0" w:right="0" w:firstLine="0" w:firstLineChars="0"/>
              <w:jc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spacing w:before="0" w:beforeAutospacing="0" w:after="0" w:afterAutospacing="0"/>
              <w:ind w:left="0" w:right="0" w:firstLine="0" w:firstLineChars="0"/>
              <w:jc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委托单位联系人电话</w:t>
            </w:r>
          </w:p>
        </w:tc>
        <w:tc>
          <w:tcPr>
            <w:tcW w:w="144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adjustRightInd w:val="0"/>
              <w:snapToGrid w:val="0"/>
              <w:spacing w:before="0" w:beforeAutospacing="0" w:after="0" w:afterAutospacing="0"/>
              <w:ind w:left="0" w:right="0" w:firstLine="0" w:firstLineChars="0"/>
              <w:jc w:val="center"/>
              <w:rPr>
                <w:rFonts w:hint="default" w:hAnsi="宋体"/>
                <w:b/>
                <w:color w:val="000000" w:themeColor="text1"/>
                <w:szCs w:val="20"/>
                <w:highlight w:val="none"/>
                <w14:textFill>
                  <w14:solidFill>
                    <w14:schemeClr w14:val="tx1"/>
                  </w14:solidFill>
                </w14:textFill>
              </w:rPr>
            </w:pPr>
            <w:r>
              <w:rPr>
                <w:rFonts w:hint="eastAsia" w:hAnsi="宋体"/>
                <w:b/>
                <w:color w:val="000000" w:themeColor="text1"/>
                <w:szCs w:val="20"/>
                <w:highlight w:val="none"/>
                <w14:textFill>
                  <w14:solidFill>
                    <w14:schemeClr w14:val="tx1"/>
                  </w14:solidFill>
                </w14:textFill>
              </w:rPr>
              <w:t>项目类型</w:t>
            </w:r>
          </w:p>
        </w:tc>
        <w:tc>
          <w:tcPr>
            <w:tcW w:w="1866"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adjustRightInd w:val="0"/>
              <w:snapToGrid w:val="0"/>
              <w:spacing w:before="0" w:beforeAutospacing="0" w:after="0" w:afterAutospacing="0"/>
              <w:ind w:left="0" w:right="0" w:firstLine="0" w:firstLineChars="0"/>
              <w:jc w:val="center"/>
              <w:rPr>
                <w:rFonts w:hint="eastAsia" w:hAnsi="宋体"/>
                <w:b/>
                <w:color w:val="000000" w:themeColor="text1"/>
                <w:szCs w:val="20"/>
                <w:highlight w:val="none"/>
                <w14:textFill>
                  <w14:solidFill>
                    <w14:schemeClr w14:val="tx1"/>
                  </w14:solidFill>
                </w14:textFill>
              </w:rPr>
            </w:pPr>
            <w:r>
              <w:rPr>
                <w:rFonts w:hint="eastAsia" w:hAnsi="宋体"/>
                <w:b/>
                <w:color w:val="000000" w:themeColor="text1"/>
                <w:szCs w:val="20"/>
                <w:highlight w:val="none"/>
                <w14:textFill>
                  <w14:solidFill>
                    <w14:schemeClr w14:val="tx1"/>
                  </w14:solidFill>
                </w14:textFill>
              </w:rPr>
              <w:t>工程投资额</w:t>
            </w:r>
          </w:p>
          <w:p>
            <w:pPr>
              <w:keepNext w:val="0"/>
              <w:keepLines w:val="0"/>
              <w:widowControl/>
              <w:suppressLineNumbers w:val="0"/>
              <w:shd w:val="clear"/>
              <w:adjustRightInd w:val="0"/>
              <w:snapToGrid w:val="0"/>
              <w:spacing w:before="0" w:beforeAutospacing="0" w:after="0" w:afterAutospacing="0"/>
              <w:ind w:left="0" w:right="0" w:firstLine="198" w:firstLineChars="82"/>
              <w:jc w:val="center"/>
              <w:rPr>
                <w:rFonts w:hint="default" w:hAnsi="宋体"/>
                <w:b/>
                <w:color w:val="000000" w:themeColor="text1"/>
                <w:szCs w:val="20"/>
                <w:highlight w:val="none"/>
                <w14:textFill>
                  <w14:solidFill>
                    <w14:schemeClr w14:val="tx1"/>
                  </w14:solidFill>
                </w14:textFill>
              </w:rPr>
            </w:pPr>
            <w:r>
              <w:rPr>
                <w:rFonts w:hint="eastAsia" w:hAnsi="宋体"/>
                <w:b/>
                <w:color w:val="000000" w:themeColor="text1"/>
                <w:szCs w:val="20"/>
                <w:highlight w:val="none"/>
                <w14:textFill>
                  <w14:solidFill>
                    <w14:schemeClr w14:val="tx1"/>
                  </w14:solidFill>
                </w14:textFill>
              </w:rPr>
              <w:t>（万元）</w:t>
            </w: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hd w:val="clear"/>
              <w:spacing w:before="0" w:beforeAutospacing="0" w:after="0" w:afterAutospacing="0"/>
              <w:ind w:left="0" w:right="0" w:firstLine="0" w:firstLineChars="0"/>
              <w:jc w:val="center"/>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7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p>
        </w:tc>
        <w:tc>
          <w:tcPr>
            <w:tcW w:w="162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86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7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p>
        </w:tc>
        <w:tc>
          <w:tcPr>
            <w:tcW w:w="162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86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7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p>
        </w:tc>
        <w:tc>
          <w:tcPr>
            <w:tcW w:w="162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86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199" w:firstLineChars="83"/>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p>
        </w:tc>
        <w:tc>
          <w:tcPr>
            <w:tcW w:w="162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1866"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keepNext w:val="0"/>
              <w:keepLines w:val="0"/>
              <w:widowControl/>
              <w:suppressLineNumbers w:val="0"/>
              <w:shd w:val="clear"/>
              <w:spacing w:before="0" w:beforeAutospacing="0" w:after="0" w:afterAutospacing="0"/>
              <w:ind w:left="0" w:right="0" w:firstLine="480"/>
              <w:rPr>
                <w:rFonts w:hint="eastAsia" w:hAnsi="宋体" w:cs="宋体"/>
                <w:color w:val="000000" w:themeColor="text1"/>
                <w:szCs w:val="21"/>
                <w:highlight w:val="none"/>
                <w14:textFill>
                  <w14:solidFill>
                    <w14:schemeClr w14:val="tx1"/>
                  </w14:solidFill>
                </w14:textFill>
              </w:rPr>
            </w:pPr>
          </w:p>
        </w:tc>
      </w:tr>
    </w:tbl>
    <w:p>
      <w:pPr>
        <w:shd w:val="clear"/>
        <w:spacing w:line="400" w:lineRule="exact"/>
        <w:ind w:firstLine="198" w:firstLineChars="82"/>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注：投标人应根据招标文件要求在本表后附相关证明材料</w:t>
      </w:r>
    </w:p>
    <w:p>
      <w:pPr>
        <w:shd w:val="clear"/>
        <w:ind w:left="3840" w:leftChars="1600" w:firstLine="960" w:firstLineChars="400"/>
        <w:rPr>
          <w:rFonts w:hint="eastAsia" w:hAnsi="宋体" w:cs="宋体"/>
          <w:color w:val="000000" w:themeColor="text1"/>
          <w:highlight w:val="none"/>
          <w14:textFill>
            <w14:solidFill>
              <w14:schemeClr w14:val="tx1"/>
            </w14:solidFill>
          </w14:textFill>
        </w:rPr>
      </w:pPr>
    </w:p>
    <w:p>
      <w:pPr>
        <w:shd w:val="clear"/>
        <w:ind w:left="3840" w:leftChars="1600" w:firstLine="960" w:firstLineChars="400"/>
        <w:rPr>
          <w:rFonts w:hint="eastAsia" w:hAnsi="宋体" w:cs="宋体"/>
          <w:color w:val="000000" w:themeColor="text1"/>
          <w:highlight w:val="none"/>
          <w14:textFill>
            <w14:solidFill>
              <w14:schemeClr w14:val="tx1"/>
            </w14:solidFill>
          </w14:textFill>
        </w:rPr>
      </w:pPr>
    </w:p>
    <w:p>
      <w:pPr>
        <w:shd w:val="clear"/>
        <w:ind w:left="3840" w:leftChars="1600" w:firstLine="960" w:firstLineChars="4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  标  人（单位公章）：</w:t>
      </w:r>
    </w:p>
    <w:p>
      <w:pPr>
        <w:shd w:val="clear"/>
        <w:ind w:left="3840" w:leftChars="1600" w:firstLine="960" w:firstLineChars="400"/>
        <w:rPr>
          <w:rFonts w:hint="eastAsia" w:hAnsi="宋体" w:cs="宋体"/>
          <w:color w:val="000000" w:themeColor="text1"/>
          <w:highlight w:val="none"/>
          <w14:textFill>
            <w14:solidFill>
              <w14:schemeClr w14:val="tx1"/>
            </w14:solidFill>
          </w14:textFill>
        </w:rPr>
      </w:pPr>
    </w:p>
    <w:p>
      <w:pPr>
        <w:shd w:val="clear"/>
        <w:ind w:left="3840" w:leftChars="1600" w:firstLine="960" w:firstLineChars="4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olor w:val="000000" w:themeColor="text1"/>
          <w:highlight w:val="none"/>
          <w14:textFill>
            <w14:solidFill>
              <w14:schemeClr w14:val="tx1"/>
            </w14:solidFill>
          </w14:textFill>
        </w:rPr>
        <w:t>（签字或盖章）</w:t>
      </w:r>
      <w:r>
        <w:rPr>
          <w:rFonts w:hint="eastAsia" w:hAnsi="宋体" w:cs="宋体"/>
          <w:color w:val="000000" w:themeColor="text1"/>
          <w:highlight w:val="none"/>
          <w14:textFill>
            <w14:solidFill>
              <w14:schemeClr w14:val="tx1"/>
            </w14:solidFill>
          </w14:textFill>
        </w:rPr>
        <w:t>：</w:t>
      </w:r>
    </w:p>
    <w:p>
      <w:pPr>
        <w:shd w:val="clear"/>
        <w:ind w:left="3840" w:leftChars="1600" w:firstLine="960" w:firstLineChars="400"/>
        <w:rPr>
          <w:rFonts w:hint="eastAsia" w:hAnsi="宋体" w:cs="宋体"/>
          <w:color w:val="000000" w:themeColor="text1"/>
          <w:highlight w:val="none"/>
          <w14:textFill>
            <w14:solidFill>
              <w14:schemeClr w14:val="tx1"/>
            </w14:solidFill>
          </w14:textFill>
        </w:rPr>
      </w:pPr>
    </w:p>
    <w:p>
      <w:pPr>
        <w:shd w:val="clear"/>
        <w:ind w:left="550" w:leftChars="229" w:right="480" w:firstLine="3540" w:firstLineChars="1475"/>
        <w:rPr>
          <w:rFonts w:hint="eastAsia" w:hAnsi="宋体" w:cs="宋体"/>
          <w:b/>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日    期：    年   月   日</w:t>
      </w:r>
    </w:p>
    <w:bookmarkEnd w:id="284"/>
    <w:p>
      <w:pPr>
        <w:shd w:val="clear"/>
        <w:ind w:firstLine="482"/>
        <w:rPr>
          <w:rFonts w:hint="eastAsia" w:hAnsi="宋体" w:cs="宋体"/>
          <w:b/>
          <w:color w:val="000000" w:themeColor="text1"/>
          <w:sz w:val="32"/>
          <w:highlight w:val="none"/>
          <w14:textFill>
            <w14:solidFill>
              <w14:schemeClr w14:val="tx1"/>
            </w14:solidFill>
          </w14:textFill>
        </w:rPr>
      </w:pPr>
      <w:r>
        <w:rPr>
          <w:rFonts w:hAnsi="宋体" w:cs="宋体"/>
          <w:b/>
          <w:color w:val="000000" w:themeColor="text1"/>
          <w:szCs w:val="24"/>
          <w:highlight w:val="none"/>
          <w14:textFill>
            <w14:solidFill>
              <w14:schemeClr w14:val="tx1"/>
            </w14:solidFill>
          </w14:textFill>
        </w:rPr>
        <w:br w:type="page"/>
      </w:r>
      <w:bookmarkStart w:id="294" w:name="_Toc152234293"/>
      <w:bookmarkStart w:id="295" w:name="_Toc482188667"/>
      <w:bookmarkStart w:id="296" w:name="_Toc533104510"/>
      <w:r>
        <w:rPr>
          <w:rFonts w:hint="eastAsia" w:hAnsi="宋体" w:cs="宋体"/>
          <w:b/>
          <w:color w:val="000000" w:themeColor="text1"/>
          <w:sz w:val="32"/>
          <w:highlight w:val="none"/>
          <w14:textFill>
            <w14:solidFill>
              <w14:schemeClr w14:val="tx1"/>
            </w14:solidFill>
          </w14:textFill>
        </w:rPr>
        <w:t>格式6  拟投入本项目人员架构</w:t>
      </w:r>
      <w:bookmarkEnd w:id="294"/>
    </w:p>
    <w:p>
      <w:pPr>
        <w:shd w:val="clear"/>
        <w:adjustRightInd w:val="0"/>
        <w:snapToGrid w:val="0"/>
        <w:spacing w:line="480" w:lineRule="auto"/>
        <w:ind w:firstLine="0" w:firstLineChars="0"/>
        <w:jc w:val="center"/>
        <w:rPr>
          <w:rFonts w:hAnsi="宋体"/>
          <w:color w:val="000000" w:themeColor="text1"/>
          <w:szCs w:val="21"/>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项目负责人简历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882"/>
        <w:gridCol w:w="284"/>
        <w:gridCol w:w="992"/>
        <w:gridCol w:w="988"/>
        <w:gridCol w:w="288"/>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pPr>
              <w:keepNext w:val="0"/>
              <w:keepLines w:val="0"/>
              <w:widowControl/>
              <w:suppressLineNumbers w:val="0"/>
              <w:shd w:val="clear"/>
              <w:spacing w:before="0" w:beforeAutospacing="0" w:after="0" w:afterAutospacing="0"/>
              <w:ind w:left="0" w:right="0" w:firstLine="199" w:firstLineChars="83"/>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姓名</w:t>
            </w:r>
          </w:p>
        </w:tc>
        <w:tc>
          <w:tcPr>
            <w:tcW w:w="1095"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33" w:type="dxa"/>
            <w:gridSpan w:val="2"/>
            <w:vAlign w:val="center"/>
          </w:tcPr>
          <w:p>
            <w:pPr>
              <w:keepNext w:val="0"/>
              <w:keepLines w:val="0"/>
              <w:widowControl/>
              <w:suppressLineNumbers w:val="0"/>
              <w:shd w:val="clear"/>
              <w:spacing w:before="0" w:beforeAutospacing="0" w:after="0" w:afterAutospacing="0"/>
              <w:ind w:left="0" w:right="0" w:firstLine="199" w:firstLineChars="83"/>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年龄</w:t>
            </w:r>
          </w:p>
        </w:tc>
        <w:tc>
          <w:tcPr>
            <w:tcW w:w="116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980" w:type="dxa"/>
            <w:gridSpan w:val="2"/>
            <w:vAlign w:val="center"/>
          </w:tcPr>
          <w:p>
            <w:pPr>
              <w:keepNext w:val="0"/>
              <w:keepLines w:val="0"/>
              <w:widowControl/>
              <w:suppressLineNumbers w:val="0"/>
              <w:shd w:val="clear"/>
              <w:spacing w:before="0" w:beforeAutospacing="0" w:after="0" w:afterAutospacing="0"/>
              <w:ind w:left="0" w:right="0" w:firstLine="199" w:firstLineChars="83"/>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学历</w:t>
            </w:r>
          </w:p>
        </w:tc>
        <w:tc>
          <w:tcPr>
            <w:tcW w:w="1917"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pPr>
              <w:keepNext w:val="0"/>
              <w:keepLines w:val="0"/>
              <w:widowControl/>
              <w:suppressLineNumbers w:val="0"/>
              <w:shd w:val="clear"/>
              <w:spacing w:before="0" w:beforeAutospacing="0" w:after="0" w:afterAutospacing="0"/>
              <w:ind w:left="0" w:right="0" w:firstLine="199" w:firstLineChars="83"/>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职称</w:t>
            </w:r>
          </w:p>
        </w:tc>
        <w:tc>
          <w:tcPr>
            <w:tcW w:w="1095"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33" w:type="dxa"/>
            <w:gridSpan w:val="2"/>
            <w:vAlign w:val="center"/>
          </w:tcPr>
          <w:p>
            <w:pPr>
              <w:keepNext w:val="0"/>
              <w:keepLines w:val="0"/>
              <w:widowControl/>
              <w:suppressLineNumbers w:val="0"/>
              <w:shd w:val="clear"/>
              <w:spacing w:before="0" w:beforeAutospacing="0" w:after="0" w:afterAutospacing="0"/>
              <w:ind w:left="0" w:right="0" w:firstLine="199" w:firstLineChars="83"/>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专业</w:t>
            </w:r>
          </w:p>
        </w:tc>
        <w:tc>
          <w:tcPr>
            <w:tcW w:w="116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980" w:type="dxa"/>
            <w:gridSpan w:val="2"/>
            <w:vAlign w:val="center"/>
          </w:tcPr>
          <w:p>
            <w:pPr>
              <w:keepNext w:val="0"/>
              <w:keepLines w:val="0"/>
              <w:widowControl/>
              <w:suppressLineNumbers w:val="0"/>
              <w:shd w:val="clear"/>
              <w:spacing w:before="0" w:beforeAutospacing="0" w:after="0" w:afterAutospacing="0"/>
              <w:ind w:left="0" w:right="0" w:firstLine="0" w:firstLineChars="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执业工作年限</w:t>
            </w:r>
          </w:p>
        </w:tc>
        <w:tc>
          <w:tcPr>
            <w:tcW w:w="1917"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pPr>
              <w:keepNext w:val="0"/>
              <w:keepLines w:val="0"/>
              <w:widowControl/>
              <w:suppressLineNumbers w:val="0"/>
              <w:shd w:val="clear"/>
              <w:spacing w:before="0" w:beforeAutospacing="0" w:after="0" w:afterAutospacing="0"/>
              <w:ind w:left="0" w:right="0" w:firstLine="199" w:firstLineChars="83"/>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执业资格</w:t>
            </w:r>
          </w:p>
        </w:tc>
        <w:tc>
          <w:tcPr>
            <w:tcW w:w="2399" w:type="dxa"/>
            <w:gridSpan w:val="4"/>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980" w:type="dxa"/>
            <w:gridSpan w:val="2"/>
            <w:vAlign w:val="center"/>
          </w:tcPr>
          <w:p>
            <w:pPr>
              <w:keepNext w:val="0"/>
              <w:keepLines w:val="0"/>
              <w:widowControl/>
              <w:suppressLineNumbers w:val="0"/>
              <w:shd w:val="clear"/>
              <w:spacing w:before="0" w:beforeAutospacing="0" w:after="0" w:afterAutospacing="0"/>
              <w:ind w:left="0" w:right="0" w:firstLine="0" w:firstLineChars="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资格证书编号</w:t>
            </w:r>
          </w:p>
        </w:tc>
        <w:tc>
          <w:tcPr>
            <w:tcW w:w="1917"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pPr>
              <w:keepNext w:val="0"/>
              <w:keepLines w:val="0"/>
              <w:widowControl/>
              <w:suppressLineNumbers w:val="0"/>
              <w:shd w:val="clear"/>
              <w:spacing w:before="0" w:beforeAutospacing="0" w:after="0" w:afterAutospacing="0"/>
              <w:ind w:left="0" w:right="0" w:firstLine="0" w:firstLineChars="0"/>
              <w:rPr>
                <w:rFonts w:hint="eastAsia"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执业资格批准日期</w:t>
            </w:r>
          </w:p>
        </w:tc>
        <w:tc>
          <w:tcPr>
            <w:tcW w:w="2399" w:type="dxa"/>
            <w:gridSpan w:val="4"/>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980" w:type="dxa"/>
            <w:gridSpan w:val="2"/>
            <w:vAlign w:val="center"/>
          </w:tcPr>
          <w:p>
            <w:pPr>
              <w:keepNext w:val="0"/>
              <w:keepLines w:val="0"/>
              <w:widowControl/>
              <w:suppressLineNumbers w:val="0"/>
              <w:shd w:val="clear"/>
              <w:spacing w:before="0" w:beforeAutospacing="0" w:after="0" w:afterAutospacing="0"/>
              <w:ind w:left="0" w:right="0" w:firstLine="199" w:firstLineChars="83"/>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联系电话</w:t>
            </w:r>
          </w:p>
        </w:tc>
        <w:tc>
          <w:tcPr>
            <w:tcW w:w="1917"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648" w:type="dxa"/>
            <w:gridSpan w:val="11"/>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9" w:type="dxa"/>
            <w:vAlign w:val="center"/>
          </w:tcPr>
          <w:p>
            <w:pPr>
              <w:keepNext w:val="0"/>
              <w:keepLines w:val="0"/>
              <w:widowControl/>
              <w:suppressLineNumbers w:val="0"/>
              <w:shd w:val="clear"/>
              <w:spacing w:before="0" w:beforeAutospacing="0" w:after="0" w:afterAutospacing="0"/>
              <w:ind w:left="0" w:right="0" w:firstLine="0" w:firstLineChars="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序号</w:t>
            </w:r>
          </w:p>
        </w:tc>
        <w:tc>
          <w:tcPr>
            <w:tcW w:w="2145" w:type="dxa"/>
            <w:gridSpan w:val="3"/>
            <w:vAlign w:val="center"/>
          </w:tcPr>
          <w:p>
            <w:pPr>
              <w:keepNext w:val="0"/>
              <w:keepLines w:val="0"/>
              <w:widowControl/>
              <w:suppressLineNumbers w:val="0"/>
              <w:shd w:val="clear"/>
              <w:adjustRightInd w:val="0"/>
              <w:snapToGrid w:val="0"/>
              <w:spacing w:before="0" w:beforeAutospacing="0" w:after="0" w:afterAutospacing="0"/>
              <w:ind w:left="0" w:right="0" w:firstLine="199" w:firstLineChars="83"/>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项目名称</w:t>
            </w:r>
          </w:p>
        </w:tc>
        <w:tc>
          <w:tcPr>
            <w:tcW w:w="1743" w:type="dxa"/>
            <w:gridSpan w:val="2"/>
            <w:vAlign w:val="center"/>
          </w:tcPr>
          <w:p>
            <w:pPr>
              <w:keepNext w:val="0"/>
              <w:keepLines w:val="0"/>
              <w:widowControl/>
              <w:suppressLineNumbers w:val="0"/>
              <w:shd w:val="clear"/>
              <w:adjustRightInd w:val="0"/>
              <w:snapToGrid w:val="0"/>
              <w:spacing w:before="0" w:beforeAutospacing="0" w:after="0" w:afterAutospacing="0"/>
              <w:ind w:left="0" w:right="0" w:firstLine="199" w:firstLineChars="83"/>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委托单位</w:t>
            </w:r>
          </w:p>
        </w:tc>
        <w:tc>
          <w:tcPr>
            <w:tcW w:w="1276" w:type="dxa"/>
            <w:gridSpan w:val="2"/>
            <w:vAlign w:val="center"/>
          </w:tcPr>
          <w:p>
            <w:pPr>
              <w:keepNext w:val="0"/>
              <w:keepLines w:val="0"/>
              <w:widowControl/>
              <w:suppressLineNumbers w:val="0"/>
              <w:shd w:val="clear"/>
              <w:adjustRightInd w:val="0"/>
              <w:snapToGrid w:val="0"/>
              <w:spacing w:before="0" w:beforeAutospacing="0" w:after="0" w:afterAutospacing="0"/>
              <w:ind w:left="0" w:right="0" w:firstLine="0" w:firstLineChars="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颁发单位</w:t>
            </w:r>
          </w:p>
        </w:tc>
        <w:tc>
          <w:tcPr>
            <w:tcW w:w="1276" w:type="dxa"/>
            <w:gridSpan w:val="2"/>
            <w:vAlign w:val="center"/>
          </w:tcPr>
          <w:p>
            <w:pPr>
              <w:keepNext w:val="0"/>
              <w:keepLines w:val="0"/>
              <w:widowControl/>
              <w:suppressLineNumbers w:val="0"/>
              <w:shd w:val="clear"/>
              <w:adjustRightInd w:val="0"/>
              <w:snapToGrid w:val="0"/>
              <w:spacing w:before="0" w:beforeAutospacing="0" w:after="0" w:afterAutospacing="0"/>
              <w:ind w:left="0" w:right="0" w:firstLine="0" w:firstLineChars="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担任职务</w:t>
            </w:r>
          </w:p>
        </w:tc>
        <w:tc>
          <w:tcPr>
            <w:tcW w:w="1629" w:type="dxa"/>
            <w:vAlign w:val="center"/>
          </w:tcPr>
          <w:p>
            <w:pPr>
              <w:keepNext w:val="0"/>
              <w:keepLines w:val="0"/>
              <w:widowControl/>
              <w:suppressLineNumbers w:val="0"/>
              <w:shd w:val="clear"/>
              <w:adjustRightInd w:val="0"/>
              <w:snapToGrid w:val="0"/>
              <w:spacing w:before="0" w:beforeAutospacing="0" w:after="0" w:afterAutospacing="0"/>
              <w:ind w:left="0" w:right="0" w:firstLine="0" w:firstLineChars="0"/>
              <w:jc w:val="center"/>
              <w:rPr>
                <w:rFonts w:hint="default"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2145" w:type="dxa"/>
            <w:gridSpan w:val="3"/>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743"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62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2145" w:type="dxa"/>
            <w:gridSpan w:val="3"/>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743"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62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2145" w:type="dxa"/>
            <w:gridSpan w:val="3"/>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743"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62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2145" w:type="dxa"/>
            <w:gridSpan w:val="3"/>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743"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62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2145" w:type="dxa"/>
            <w:gridSpan w:val="3"/>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743"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276" w:type="dxa"/>
            <w:gridSpan w:val="2"/>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c>
          <w:tcPr>
            <w:tcW w:w="1629" w:type="dxa"/>
            <w:vAlign w:val="center"/>
          </w:tcPr>
          <w:p>
            <w:pPr>
              <w:keepNext w:val="0"/>
              <w:keepLines w:val="0"/>
              <w:widowControl/>
              <w:suppressLineNumbers w:val="0"/>
              <w:shd w:val="clear"/>
              <w:spacing w:before="0" w:beforeAutospacing="0" w:after="0" w:afterAutospacing="0"/>
              <w:ind w:left="0" w:right="0" w:firstLine="480"/>
              <w:jc w:val="center"/>
              <w:rPr>
                <w:rFonts w:hint="default" w:hAnsi="宋体"/>
                <w:color w:val="000000" w:themeColor="text1"/>
                <w:szCs w:val="20"/>
                <w:highlight w:val="none"/>
                <w14:textFill>
                  <w14:solidFill>
                    <w14:schemeClr w14:val="tx1"/>
                  </w14:solidFill>
                </w14:textFill>
              </w:rPr>
            </w:pPr>
          </w:p>
        </w:tc>
      </w:tr>
    </w:tbl>
    <w:p>
      <w:pPr>
        <w:shd w:val="clear"/>
        <w:spacing w:line="400" w:lineRule="exact"/>
        <w:ind w:firstLine="482"/>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注：投标人应根据招标文件要求在本表后附相关证明材料</w:t>
      </w:r>
    </w:p>
    <w:p>
      <w:pPr>
        <w:pageBreakBefore/>
        <w:shd w:val="clear"/>
        <w:spacing w:before="120" w:after="120"/>
        <w:ind w:firstLine="199" w:firstLineChars="62"/>
        <w:jc w:val="center"/>
        <w:outlineLvl w:val="1"/>
        <w:rPr>
          <w:rFonts w:hint="eastAsia" w:hAnsi="宋体" w:cs="宋体"/>
          <w:b/>
          <w:color w:val="000000" w:themeColor="text1"/>
          <w:sz w:val="32"/>
          <w:highlight w:val="none"/>
          <w14:textFill>
            <w14:solidFill>
              <w14:schemeClr w14:val="tx1"/>
            </w14:solidFill>
          </w14:textFill>
        </w:rPr>
      </w:pPr>
      <w:bookmarkStart w:id="297" w:name="_Toc152234294"/>
      <w:r>
        <w:rPr>
          <w:rFonts w:hint="eastAsia" w:hAnsi="宋体" w:cs="宋体"/>
          <w:b/>
          <w:color w:val="000000" w:themeColor="text1"/>
          <w:sz w:val="32"/>
          <w:highlight w:val="none"/>
          <w14:textFill>
            <w14:solidFill>
              <w14:schemeClr w14:val="tx1"/>
            </w14:solidFill>
          </w14:textFill>
        </w:rPr>
        <w:t>拟投入本项目人员一览表</w:t>
      </w:r>
      <w:bookmarkEnd w:id="295"/>
      <w:bookmarkEnd w:id="296"/>
      <w:bookmarkEnd w:id="297"/>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0" w:firstLineChars="0"/>
              <w:rPr>
                <w:rFonts w:hint="eastAsia" w:hAnsi="宋体" w:cs="宋体"/>
                <w:color w:val="000000" w:themeColor="text1"/>
                <w:szCs w:val="20"/>
                <w:highlight w:val="none"/>
                <w14:textFill>
                  <w14:solidFill>
                    <w14:schemeClr w14:val="tx1"/>
                  </w14:solidFill>
                </w14:textFill>
              </w:rPr>
            </w:pPr>
            <w:bookmarkStart w:id="298" w:name="_Toc152042594"/>
            <w:bookmarkStart w:id="299" w:name="_Toc144974873"/>
            <w:bookmarkStart w:id="300" w:name="_Toc179632825"/>
            <w:bookmarkStart w:id="301" w:name="_Toc152045805"/>
            <w:r>
              <w:rPr>
                <w:rFonts w:hint="eastAsia" w:hAnsi="宋体" w:cs="宋体"/>
                <w:color w:val="000000" w:themeColor="text1"/>
                <w:szCs w:val="20"/>
                <w:highlight w:val="none"/>
                <w14:textFill>
                  <w14:solidFill>
                    <w14:schemeClr w14:val="tx1"/>
                  </w14:solidFill>
                </w14:textFill>
              </w:rPr>
              <w:t>序号</w:t>
            </w:r>
          </w:p>
        </w:tc>
        <w:tc>
          <w:tcPr>
            <w:tcW w:w="1336" w:type="dxa"/>
            <w:vAlign w:val="center"/>
          </w:tcPr>
          <w:p>
            <w:pPr>
              <w:keepNext w:val="0"/>
              <w:keepLines w:val="0"/>
              <w:widowControl/>
              <w:suppressLineNumbers w:val="0"/>
              <w:shd w:val="clear"/>
              <w:snapToGrid w:val="0"/>
              <w:spacing w:before="0" w:beforeAutospacing="0" w:after="0" w:afterAutospacing="0"/>
              <w:ind w:left="0" w:right="0" w:firstLine="199" w:firstLineChars="83"/>
              <w:rPr>
                <w:rFonts w:hint="eastAsia" w:hAnsi="宋体" w:cs="宋体"/>
                <w:color w:val="000000" w:themeColor="text1"/>
                <w:szCs w:val="20"/>
                <w:highlight w:val="none"/>
                <w14:textFill>
                  <w14:solidFill>
                    <w14:schemeClr w14:val="tx1"/>
                  </w14:solidFill>
                </w14:textFill>
              </w:rPr>
            </w:pPr>
            <w:r>
              <w:rPr>
                <w:rFonts w:hint="eastAsia" w:hAnsi="宋体" w:cs="宋体"/>
                <w:color w:val="000000" w:themeColor="text1"/>
                <w:szCs w:val="20"/>
                <w:highlight w:val="none"/>
                <w14:textFill>
                  <w14:solidFill>
                    <w14:schemeClr w14:val="tx1"/>
                  </w14:solidFill>
                </w14:textFill>
              </w:rPr>
              <w:t>姓名</w:t>
            </w:r>
          </w:p>
        </w:tc>
        <w:tc>
          <w:tcPr>
            <w:tcW w:w="1187" w:type="dxa"/>
            <w:vAlign w:val="center"/>
          </w:tcPr>
          <w:p>
            <w:pPr>
              <w:keepNext w:val="0"/>
              <w:keepLines w:val="0"/>
              <w:widowControl/>
              <w:suppressLineNumbers w:val="0"/>
              <w:shd w:val="clear"/>
              <w:snapToGrid w:val="0"/>
              <w:spacing w:before="0" w:beforeAutospacing="0" w:after="0" w:afterAutospacing="0"/>
              <w:ind w:left="0" w:right="0" w:firstLine="199" w:firstLineChars="83"/>
              <w:rPr>
                <w:rFonts w:hint="eastAsia" w:hAnsi="宋体" w:cs="宋体"/>
                <w:color w:val="000000" w:themeColor="text1"/>
                <w:szCs w:val="20"/>
                <w:highlight w:val="none"/>
                <w14:textFill>
                  <w14:solidFill>
                    <w14:schemeClr w14:val="tx1"/>
                  </w14:solidFill>
                </w14:textFill>
              </w:rPr>
            </w:pPr>
            <w:r>
              <w:rPr>
                <w:rFonts w:hint="eastAsia" w:hAnsi="宋体" w:cs="宋体"/>
                <w:color w:val="000000" w:themeColor="text1"/>
                <w:szCs w:val="20"/>
                <w:highlight w:val="none"/>
                <w14:textFill>
                  <w14:solidFill>
                    <w14:schemeClr w14:val="tx1"/>
                  </w14:solidFill>
                </w14:textFill>
              </w:rPr>
              <w:t>职称</w:t>
            </w:r>
          </w:p>
        </w:tc>
        <w:tc>
          <w:tcPr>
            <w:tcW w:w="1485" w:type="dxa"/>
            <w:vAlign w:val="center"/>
          </w:tcPr>
          <w:p>
            <w:pPr>
              <w:keepNext w:val="0"/>
              <w:keepLines w:val="0"/>
              <w:widowControl/>
              <w:suppressLineNumbers w:val="0"/>
              <w:shd w:val="clear"/>
              <w:snapToGrid w:val="0"/>
              <w:spacing w:before="0" w:beforeAutospacing="0" w:after="0" w:afterAutospacing="0"/>
              <w:ind w:left="0" w:right="0" w:firstLine="199" w:firstLineChars="83"/>
              <w:rPr>
                <w:rFonts w:hint="eastAsia" w:hAnsi="宋体" w:cs="宋体"/>
                <w:color w:val="000000" w:themeColor="text1"/>
                <w:szCs w:val="20"/>
                <w:highlight w:val="none"/>
                <w14:textFill>
                  <w14:solidFill>
                    <w14:schemeClr w14:val="tx1"/>
                  </w14:solidFill>
                </w14:textFill>
              </w:rPr>
            </w:pPr>
            <w:r>
              <w:rPr>
                <w:rFonts w:hint="eastAsia" w:hAnsi="宋体" w:cs="宋体"/>
                <w:color w:val="000000" w:themeColor="text1"/>
                <w:szCs w:val="20"/>
                <w:highlight w:val="none"/>
                <w14:textFill>
                  <w14:solidFill>
                    <w14:schemeClr w14:val="tx1"/>
                  </w14:solidFill>
                </w14:textFill>
              </w:rPr>
              <w:t>专业</w:t>
            </w:r>
          </w:p>
        </w:tc>
        <w:tc>
          <w:tcPr>
            <w:tcW w:w="1187" w:type="dxa"/>
            <w:vAlign w:val="center"/>
          </w:tcPr>
          <w:p>
            <w:pPr>
              <w:keepNext w:val="0"/>
              <w:keepLines w:val="0"/>
              <w:widowControl/>
              <w:suppressLineNumbers w:val="0"/>
              <w:shd w:val="clear"/>
              <w:snapToGrid w:val="0"/>
              <w:spacing w:before="0" w:beforeAutospacing="0" w:after="0" w:afterAutospacing="0"/>
              <w:ind w:left="0" w:right="0" w:firstLine="0" w:firstLineChars="0"/>
              <w:rPr>
                <w:rFonts w:hint="eastAsia" w:hAnsi="宋体" w:cs="宋体"/>
                <w:color w:val="000000" w:themeColor="text1"/>
                <w:szCs w:val="20"/>
                <w:highlight w:val="none"/>
                <w14:textFill>
                  <w14:solidFill>
                    <w14:schemeClr w14:val="tx1"/>
                  </w14:solidFill>
                </w14:textFill>
              </w:rPr>
            </w:pPr>
            <w:r>
              <w:rPr>
                <w:rFonts w:hint="eastAsia" w:hAnsi="宋体" w:cs="宋体"/>
                <w:color w:val="000000" w:themeColor="text1"/>
                <w:szCs w:val="20"/>
                <w:highlight w:val="none"/>
                <w14:textFill>
                  <w14:solidFill>
                    <w14:schemeClr w14:val="tx1"/>
                  </w14:solidFill>
                </w14:textFill>
              </w:rPr>
              <w:t>执业资格</w:t>
            </w:r>
          </w:p>
        </w:tc>
        <w:tc>
          <w:tcPr>
            <w:tcW w:w="1781" w:type="dxa"/>
            <w:vAlign w:val="center"/>
          </w:tcPr>
          <w:p>
            <w:pPr>
              <w:keepNext w:val="0"/>
              <w:keepLines w:val="0"/>
              <w:widowControl/>
              <w:suppressLineNumbers w:val="0"/>
              <w:shd w:val="clear"/>
              <w:snapToGrid w:val="0"/>
              <w:spacing w:before="0" w:beforeAutospacing="0" w:after="0" w:afterAutospacing="0"/>
              <w:ind w:left="0" w:right="0" w:firstLine="0" w:firstLineChars="0"/>
              <w:rPr>
                <w:rFonts w:hint="eastAsia" w:hAnsi="宋体" w:cs="宋体"/>
                <w:color w:val="000000" w:themeColor="text1"/>
                <w:szCs w:val="20"/>
                <w:highlight w:val="none"/>
                <w14:textFill>
                  <w14:solidFill>
                    <w14:schemeClr w14:val="tx1"/>
                  </w14:solidFill>
                </w14:textFill>
              </w:rPr>
            </w:pPr>
            <w:r>
              <w:rPr>
                <w:rFonts w:hint="eastAsia" w:hAnsi="宋体" w:cs="宋体"/>
                <w:color w:val="000000" w:themeColor="text1"/>
                <w:spacing w:val="-6"/>
                <w:szCs w:val="20"/>
                <w:highlight w:val="none"/>
                <w14:textFill>
                  <w14:solidFill>
                    <w14:schemeClr w14:val="tx1"/>
                  </w14:solidFill>
                </w14:textFill>
              </w:rPr>
              <w:t>拟在本项目担任的职务</w:t>
            </w:r>
          </w:p>
        </w:tc>
        <w:tc>
          <w:tcPr>
            <w:tcW w:w="1484" w:type="dxa"/>
            <w:vAlign w:val="center"/>
          </w:tcPr>
          <w:p>
            <w:pPr>
              <w:keepNext w:val="0"/>
              <w:keepLines w:val="0"/>
              <w:widowControl/>
              <w:suppressLineNumbers w:val="0"/>
              <w:shd w:val="clear"/>
              <w:snapToGrid w:val="0"/>
              <w:spacing w:before="0" w:beforeAutospacing="0" w:after="0" w:afterAutospacing="0"/>
              <w:ind w:left="0" w:right="0" w:firstLine="0" w:firstLineChars="0"/>
              <w:rPr>
                <w:rFonts w:hint="eastAsia" w:hAnsi="宋体" w:cs="宋体"/>
                <w:color w:val="000000" w:themeColor="text1"/>
                <w:szCs w:val="20"/>
                <w:highlight w:val="none"/>
                <w14:textFill>
                  <w14:solidFill>
                    <w14:schemeClr w14:val="tx1"/>
                  </w14:solidFill>
                </w14:textFill>
              </w:rPr>
            </w:pPr>
            <w:r>
              <w:rPr>
                <w:rFonts w:hint="eastAsia" w:hAnsi="宋体" w:cs="宋体"/>
                <w:color w:val="000000" w:themeColor="text1"/>
                <w:szCs w:val="20"/>
                <w:highlight w:val="none"/>
                <w14:textFill>
                  <w14:solidFill>
                    <w14:schemeClr w14:val="tx1"/>
                  </w14:solidFill>
                </w14:textFill>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56"/>
              <w:jc w:val="center"/>
              <w:rPr>
                <w:rFonts w:hint="eastAsia" w:hAnsi="宋体" w:cs="宋体"/>
                <w:color w:val="000000" w:themeColor="text1"/>
                <w:spacing w:val="-6"/>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9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336"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5"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187"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781"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c>
          <w:tcPr>
            <w:tcW w:w="1484" w:type="dxa"/>
            <w:vAlign w:val="center"/>
          </w:tcPr>
          <w:p>
            <w:pPr>
              <w:keepNext w:val="0"/>
              <w:keepLines w:val="0"/>
              <w:widowControl/>
              <w:suppressLineNumbers w:val="0"/>
              <w:shd w:val="clear"/>
              <w:snapToGrid w:val="0"/>
              <w:spacing w:before="0" w:beforeAutospacing="0" w:after="0" w:afterAutospacing="0"/>
              <w:ind w:left="0" w:right="0" w:firstLine="480"/>
              <w:jc w:val="center"/>
              <w:rPr>
                <w:rFonts w:hint="eastAsia" w:hAnsi="宋体" w:cs="宋体"/>
                <w:color w:val="000000" w:themeColor="text1"/>
                <w:szCs w:val="20"/>
                <w:highlight w:val="none"/>
                <w14:textFill>
                  <w14:solidFill>
                    <w14:schemeClr w14:val="tx1"/>
                  </w14:solidFill>
                </w14:textFill>
              </w:rPr>
            </w:pPr>
          </w:p>
        </w:tc>
      </w:tr>
      <w:bookmarkEnd w:id="298"/>
      <w:bookmarkEnd w:id="299"/>
      <w:bookmarkEnd w:id="300"/>
      <w:bookmarkEnd w:id="301"/>
    </w:tbl>
    <w:p>
      <w:pPr>
        <w:shd w:val="clear"/>
        <w:spacing w:line="400" w:lineRule="exact"/>
        <w:ind w:firstLine="0" w:firstLineChars="0"/>
        <w:rPr>
          <w:rFonts w:hint="eastAsia" w:hAnsi="宋体" w:cs="宋体"/>
          <w:b/>
          <w:color w:val="000000" w:themeColor="text1"/>
          <w:szCs w:val="21"/>
          <w:highlight w:val="none"/>
          <w14:textFill>
            <w14:solidFill>
              <w14:schemeClr w14:val="tx1"/>
            </w14:solidFill>
          </w14:textFill>
        </w:rPr>
      </w:pPr>
      <w:bookmarkStart w:id="302" w:name="_Toc533104511"/>
      <w:r>
        <w:rPr>
          <w:rFonts w:hint="eastAsia" w:hAnsi="宋体" w:cs="宋体"/>
          <w:b/>
          <w:color w:val="000000" w:themeColor="text1"/>
          <w:szCs w:val="21"/>
          <w:highlight w:val="none"/>
          <w14:textFill>
            <w14:solidFill>
              <w14:schemeClr w14:val="tx1"/>
            </w14:solidFill>
          </w14:textFill>
        </w:rPr>
        <w:t>注：投标人应根据招标文件要求在本表后附相关证明材料</w:t>
      </w:r>
    </w:p>
    <w:p>
      <w:pPr>
        <w:pageBreakBefore/>
        <w:shd w:val="clear"/>
        <w:spacing w:before="120" w:after="120"/>
        <w:ind w:firstLine="643"/>
        <w:jc w:val="left"/>
        <w:outlineLvl w:val="1"/>
        <w:rPr>
          <w:rFonts w:hint="eastAsia" w:hAnsi="宋体" w:cs="宋体"/>
          <w:b/>
          <w:color w:val="000000" w:themeColor="text1"/>
          <w:sz w:val="32"/>
          <w:highlight w:val="none"/>
          <w14:textFill>
            <w14:solidFill>
              <w14:schemeClr w14:val="tx1"/>
            </w14:solidFill>
          </w14:textFill>
        </w:rPr>
      </w:pPr>
      <w:bookmarkStart w:id="303" w:name="_Toc152234295"/>
      <w:r>
        <w:rPr>
          <w:rFonts w:hint="eastAsia" w:hAnsi="宋体" w:cs="宋体"/>
          <w:b/>
          <w:color w:val="000000" w:themeColor="text1"/>
          <w:sz w:val="32"/>
          <w:highlight w:val="none"/>
          <w14:textFill>
            <w14:solidFill>
              <w14:schemeClr w14:val="tx1"/>
            </w14:solidFill>
          </w14:textFill>
        </w:rPr>
        <w:t>格式7  服务方案</w:t>
      </w:r>
      <w:bookmarkEnd w:id="302"/>
      <w:r>
        <w:rPr>
          <w:rFonts w:hint="eastAsia" w:hAnsi="宋体" w:cs="宋体"/>
          <w:b/>
          <w:color w:val="000000" w:themeColor="text1"/>
          <w:sz w:val="32"/>
          <w:highlight w:val="none"/>
          <w14:textFill>
            <w14:solidFill>
              <w14:schemeClr w14:val="tx1"/>
            </w14:solidFill>
          </w14:textFill>
        </w:rPr>
        <w:t>（格式自定）</w:t>
      </w:r>
      <w:bookmarkEnd w:id="303"/>
    </w:p>
    <w:p>
      <w:pPr>
        <w:shd w:val="clear"/>
        <w:ind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根据招标人提供的资料，编制有针对性的造价咨询服务方案</w:t>
      </w:r>
      <w:r>
        <w:rPr>
          <w:rFonts w:hint="eastAsia" w:hAnsi="宋体" w:cs="宋体"/>
          <w:color w:val="000000" w:themeColor="text1"/>
          <w:szCs w:val="21"/>
          <w:highlight w:val="none"/>
          <w14:textFill>
            <w14:solidFill>
              <w14:schemeClr w14:val="tx1"/>
            </w14:solidFill>
          </w14:textFill>
        </w:rPr>
        <w:t>。</w:t>
      </w:r>
    </w:p>
    <w:p>
      <w:pPr>
        <w:shd w:val="clear"/>
        <w:ind w:firstLine="480"/>
        <w:contextualSpacing/>
        <w:rPr>
          <w:rFonts w:hAnsi="宋体" w:cs="宋体"/>
          <w:color w:val="000000" w:themeColor="text1"/>
          <w:highlight w:val="none"/>
          <w14:textFill>
            <w14:solidFill>
              <w14:schemeClr w14:val="tx1"/>
            </w14:solidFill>
          </w14:textFill>
        </w:rPr>
      </w:pPr>
    </w:p>
    <w:p>
      <w:pPr>
        <w:pageBreakBefore/>
        <w:shd w:val="clear"/>
        <w:spacing w:before="120" w:after="120"/>
        <w:ind w:firstLine="643"/>
        <w:jc w:val="left"/>
        <w:outlineLvl w:val="1"/>
        <w:rPr>
          <w:rFonts w:hint="eastAsia" w:hAnsi="宋体" w:cs="宋体"/>
          <w:b/>
          <w:color w:val="000000" w:themeColor="text1"/>
          <w:sz w:val="32"/>
          <w:highlight w:val="none"/>
          <w14:textFill>
            <w14:solidFill>
              <w14:schemeClr w14:val="tx1"/>
            </w14:solidFill>
          </w14:textFill>
        </w:rPr>
      </w:pPr>
      <w:bookmarkStart w:id="304" w:name="_Toc152234296"/>
      <w:r>
        <w:rPr>
          <w:rFonts w:hint="eastAsia" w:hAnsi="宋体" w:cs="宋体"/>
          <w:b/>
          <w:color w:val="000000" w:themeColor="text1"/>
          <w:sz w:val="32"/>
          <w:highlight w:val="none"/>
          <w14:textFill>
            <w14:solidFill>
              <w14:schemeClr w14:val="tx1"/>
            </w14:solidFill>
          </w14:textFill>
        </w:rPr>
        <w:t>格式8  投标人认为应提供的其他资料</w:t>
      </w:r>
      <w:bookmarkEnd w:id="304"/>
    </w:p>
    <w:p>
      <w:pPr>
        <w:shd w:val="clear"/>
        <w:ind w:firstLine="480"/>
        <w:contextualSpacing/>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包括招标文件评审或评分要求需要提供的相关资料。</w:t>
      </w:r>
    </w:p>
    <w:p>
      <w:pPr>
        <w:pStyle w:val="2"/>
        <w:shd w:val="clear"/>
        <w:jc w:val="center"/>
        <w:rPr>
          <w:rFonts w:hAnsi="宋体"/>
          <w:color w:val="000000" w:themeColor="text1"/>
          <w:sz w:val="18"/>
          <w:highlight w:val="none"/>
          <w14:textFill>
            <w14:solidFill>
              <w14:schemeClr w14:val="tx1"/>
            </w14:solidFill>
          </w14:textFill>
        </w:rPr>
      </w:pPr>
    </w:p>
    <w:sectPr>
      <w:pgSz w:w="12240" w:h="15840"/>
      <w:pgMar w:top="1440" w:right="1440" w:bottom="1418" w:left="1440" w:header="0" w:footer="567" w:gutter="0"/>
      <w:cols w:space="720" w:num="1"/>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p>
  <w:p>
    <w:pPr>
      <w:spacing w:line="2" w:lineRule="exact"/>
      <w:ind w:firstLine="480"/>
      <w:rPr>
        <w:rFonts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8"/>
                            <w:ind w:firstLine="360"/>
                          </w:pPr>
                          <w:r>
                            <w:fldChar w:fldCharType="begin"/>
                          </w:r>
                          <w:r>
                            <w:instrText xml:space="preserve"> PAGE  \* MERGEFORMAT </w:instrText>
                          </w:r>
                          <w:r>
                            <w:fldChar w:fldCharType="separate"/>
                          </w:r>
                          <w:r>
                            <w:t>0</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Ph8RW3pAQAA&#10;tgMAAA4AAAAAAAAAAQAgAAAAHgEAAGRycy9lMm9Eb2MueG1sUEsFBgAAAAAGAAYAWQEAAHkFAAAA&#10;AA==&#10;">
              <v:fill on="f" focussize="0,0"/>
              <v:stroke on="f"/>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pPr>
                            <w:pStyle w:val="18"/>
                            <w:ind w:firstLine="360"/>
                            <w:jc w:val="center"/>
                          </w:pPr>
                          <w:r>
                            <w:fldChar w:fldCharType="begin"/>
                          </w:r>
                          <w:r>
                            <w:instrText xml:space="preserve"> PAGE   \* MERGEFORMAT </w:instrText>
                          </w:r>
                          <w:r>
                            <w:fldChar w:fldCharType="separate"/>
                          </w:r>
                          <w:r>
                            <w:rPr>
                              <w:lang w:val="zh-CN"/>
                            </w:rPr>
                            <w:t>19</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5.5pt;width:27.05pt;mso-position-horizontal:center;mso-position-horizontal-relative:margin;mso-wrap-style:none;z-index:25166028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qOul&#10;0QAAAAMBAAAPAAAAAAAAAAEAIAAAACIAAABkcnMvZG93bnJldi54bWxQSwECFAAUAAAACACHTuJA&#10;xbOd9e8BAAC0AwAADgAAAAAAAAABACAAAAAgAQAAZHJzL2Uyb0RvYy54bWxQSwUGAAAAAAYABgBZ&#10;AQAAgQUAAAAA&#10;">
              <v:fill on="f" focussize="0,0"/>
              <v:stroke on="f"/>
              <v:imagedata o:title=""/>
              <o:lock v:ext="edit" aspectratio="f"/>
              <v:textbox inset="0mm,0mm,0mm,0mm" style="mso-fit-shape-to-text:t;">
                <w:txbxContent>
                  <w:p>
                    <w:pPr>
                      <w:pStyle w:val="18"/>
                      <w:ind w:firstLine="360"/>
                      <w:jc w:val="center"/>
                    </w:pPr>
                    <w:r>
                      <w:fldChar w:fldCharType="begin"/>
                    </w:r>
                    <w:r>
                      <w:instrText xml:space="preserve"> PAGE   \* MERGEFORMAT </w:instrText>
                    </w:r>
                    <w:r>
                      <w:fldChar w:fldCharType="separate"/>
                    </w:r>
                    <w:r>
                      <w:rPr>
                        <w:lang w:val="zh-CN"/>
                      </w:rPr>
                      <w:t>19</w:t>
                    </w:r>
                    <w:r>
                      <w:fldChar w:fldCharType="end"/>
                    </w:r>
                  </w:p>
                </w:txbxContent>
              </v:textbox>
            </v:shape>
          </w:pict>
        </mc:Fallback>
      </mc:AlternateContent>
    </w:r>
  </w:p>
  <w:p>
    <w:pPr>
      <w:spacing w:line="2" w:lineRule="exact"/>
      <w:ind w:firstLine="480"/>
      <w:rPr>
        <w:rFonts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FFFC"/>
    <w:multiLevelType w:val="singleLevel"/>
    <w:tmpl w:val="1DCBFF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isplayHorizontalDrawingGridEvery w:val="0"/>
  <w:displayVerticalDrawingGridEvery w:val="2"/>
  <w:characterSpacingControl w:val="doNotCompress"/>
  <w:compat>
    <w:balanceSingleByteDoubleByteWidth/>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YjJiMWU5MTQyNGIwNWQyMWEzMjg4NmE0YzA0ZWYifQ=="/>
  </w:docVars>
  <w:rsids>
    <w:rsidRoot w:val="00172A27"/>
    <w:rsid w:val="00000C6D"/>
    <w:rsid w:val="00002D33"/>
    <w:rsid w:val="00003426"/>
    <w:rsid w:val="000047AD"/>
    <w:rsid w:val="000077F6"/>
    <w:rsid w:val="000079C4"/>
    <w:rsid w:val="000116D4"/>
    <w:rsid w:val="00012C19"/>
    <w:rsid w:val="00014FAB"/>
    <w:rsid w:val="000171FB"/>
    <w:rsid w:val="00021949"/>
    <w:rsid w:val="00022F47"/>
    <w:rsid w:val="000230C1"/>
    <w:rsid w:val="000245F5"/>
    <w:rsid w:val="0002532F"/>
    <w:rsid w:val="00026D3F"/>
    <w:rsid w:val="00027A5E"/>
    <w:rsid w:val="00030C41"/>
    <w:rsid w:val="000315B0"/>
    <w:rsid w:val="00033336"/>
    <w:rsid w:val="000338E6"/>
    <w:rsid w:val="00034E80"/>
    <w:rsid w:val="0003562B"/>
    <w:rsid w:val="00036798"/>
    <w:rsid w:val="00036F65"/>
    <w:rsid w:val="0003739D"/>
    <w:rsid w:val="00037A81"/>
    <w:rsid w:val="00037C9E"/>
    <w:rsid w:val="00040435"/>
    <w:rsid w:val="000416FE"/>
    <w:rsid w:val="00041E98"/>
    <w:rsid w:val="00042972"/>
    <w:rsid w:val="00043B07"/>
    <w:rsid w:val="00044471"/>
    <w:rsid w:val="000464F5"/>
    <w:rsid w:val="00047A40"/>
    <w:rsid w:val="00050AF2"/>
    <w:rsid w:val="00051D9F"/>
    <w:rsid w:val="000521D7"/>
    <w:rsid w:val="000522C5"/>
    <w:rsid w:val="00052988"/>
    <w:rsid w:val="000529AE"/>
    <w:rsid w:val="00053079"/>
    <w:rsid w:val="000536B8"/>
    <w:rsid w:val="00054E8C"/>
    <w:rsid w:val="0005524E"/>
    <w:rsid w:val="000552D1"/>
    <w:rsid w:val="00055E0F"/>
    <w:rsid w:val="000619DE"/>
    <w:rsid w:val="00063553"/>
    <w:rsid w:val="000650AD"/>
    <w:rsid w:val="00065716"/>
    <w:rsid w:val="00066412"/>
    <w:rsid w:val="00071D52"/>
    <w:rsid w:val="00072339"/>
    <w:rsid w:val="0007464F"/>
    <w:rsid w:val="000750B7"/>
    <w:rsid w:val="00077AC9"/>
    <w:rsid w:val="00077CAA"/>
    <w:rsid w:val="00080445"/>
    <w:rsid w:val="00080ACC"/>
    <w:rsid w:val="00080C53"/>
    <w:rsid w:val="000845FE"/>
    <w:rsid w:val="000861DB"/>
    <w:rsid w:val="000878C4"/>
    <w:rsid w:val="0009086C"/>
    <w:rsid w:val="00090CD2"/>
    <w:rsid w:val="00090FA3"/>
    <w:rsid w:val="000914B1"/>
    <w:rsid w:val="00092687"/>
    <w:rsid w:val="00092F48"/>
    <w:rsid w:val="00093B28"/>
    <w:rsid w:val="00094B3F"/>
    <w:rsid w:val="00096AC0"/>
    <w:rsid w:val="00096C3F"/>
    <w:rsid w:val="000A002F"/>
    <w:rsid w:val="000A0628"/>
    <w:rsid w:val="000A1A6F"/>
    <w:rsid w:val="000A24B0"/>
    <w:rsid w:val="000A2602"/>
    <w:rsid w:val="000A2D62"/>
    <w:rsid w:val="000A4026"/>
    <w:rsid w:val="000A449B"/>
    <w:rsid w:val="000A752F"/>
    <w:rsid w:val="000B02B9"/>
    <w:rsid w:val="000B1E86"/>
    <w:rsid w:val="000B2DF1"/>
    <w:rsid w:val="000B3670"/>
    <w:rsid w:val="000B38E7"/>
    <w:rsid w:val="000B4499"/>
    <w:rsid w:val="000B4CE8"/>
    <w:rsid w:val="000B5941"/>
    <w:rsid w:val="000B604D"/>
    <w:rsid w:val="000B673B"/>
    <w:rsid w:val="000B79E2"/>
    <w:rsid w:val="000B7D24"/>
    <w:rsid w:val="000C13E9"/>
    <w:rsid w:val="000C15DE"/>
    <w:rsid w:val="000C4426"/>
    <w:rsid w:val="000C5C53"/>
    <w:rsid w:val="000C7639"/>
    <w:rsid w:val="000C78DB"/>
    <w:rsid w:val="000D02C0"/>
    <w:rsid w:val="000D06CE"/>
    <w:rsid w:val="000D1444"/>
    <w:rsid w:val="000D1D64"/>
    <w:rsid w:val="000D3806"/>
    <w:rsid w:val="000D3AA9"/>
    <w:rsid w:val="000D40EE"/>
    <w:rsid w:val="000D6730"/>
    <w:rsid w:val="000D67D8"/>
    <w:rsid w:val="000D692F"/>
    <w:rsid w:val="000D79BA"/>
    <w:rsid w:val="000E03E2"/>
    <w:rsid w:val="000E0E71"/>
    <w:rsid w:val="000E358A"/>
    <w:rsid w:val="000E4594"/>
    <w:rsid w:val="000E4873"/>
    <w:rsid w:val="000E565C"/>
    <w:rsid w:val="000E5685"/>
    <w:rsid w:val="000E6260"/>
    <w:rsid w:val="000E6F44"/>
    <w:rsid w:val="000E7388"/>
    <w:rsid w:val="000E746A"/>
    <w:rsid w:val="000E7F09"/>
    <w:rsid w:val="000F1505"/>
    <w:rsid w:val="000F151D"/>
    <w:rsid w:val="000F2969"/>
    <w:rsid w:val="000F2EBA"/>
    <w:rsid w:val="000F37DD"/>
    <w:rsid w:val="000F3DC0"/>
    <w:rsid w:val="00103024"/>
    <w:rsid w:val="00104356"/>
    <w:rsid w:val="0010752E"/>
    <w:rsid w:val="0011017E"/>
    <w:rsid w:val="001113A9"/>
    <w:rsid w:val="00111EAC"/>
    <w:rsid w:val="0011279C"/>
    <w:rsid w:val="0011317E"/>
    <w:rsid w:val="00115DA3"/>
    <w:rsid w:val="00115DD6"/>
    <w:rsid w:val="00116DE0"/>
    <w:rsid w:val="00117771"/>
    <w:rsid w:val="00120E30"/>
    <w:rsid w:val="00121C85"/>
    <w:rsid w:val="001234F4"/>
    <w:rsid w:val="00125700"/>
    <w:rsid w:val="00126D90"/>
    <w:rsid w:val="00127289"/>
    <w:rsid w:val="001273B2"/>
    <w:rsid w:val="00127555"/>
    <w:rsid w:val="00127B77"/>
    <w:rsid w:val="00127F8A"/>
    <w:rsid w:val="00130007"/>
    <w:rsid w:val="00131C43"/>
    <w:rsid w:val="00133C5D"/>
    <w:rsid w:val="00134923"/>
    <w:rsid w:val="00135B23"/>
    <w:rsid w:val="0013601F"/>
    <w:rsid w:val="00140988"/>
    <w:rsid w:val="0014110A"/>
    <w:rsid w:val="001416A9"/>
    <w:rsid w:val="001450C6"/>
    <w:rsid w:val="0014576E"/>
    <w:rsid w:val="00146DE2"/>
    <w:rsid w:val="001501AB"/>
    <w:rsid w:val="00150EEC"/>
    <w:rsid w:val="0015103F"/>
    <w:rsid w:val="001516C8"/>
    <w:rsid w:val="00152225"/>
    <w:rsid w:val="00152890"/>
    <w:rsid w:val="00153C6F"/>
    <w:rsid w:val="00153CDB"/>
    <w:rsid w:val="00153FB7"/>
    <w:rsid w:val="001549DC"/>
    <w:rsid w:val="00155221"/>
    <w:rsid w:val="00155E66"/>
    <w:rsid w:val="00155E93"/>
    <w:rsid w:val="00156AC9"/>
    <w:rsid w:val="001576E9"/>
    <w:rsid w:val="00157A9E"/>
    <w:rsid w:val="00157E34"/>
    <w:rsid w:val="00160CFE"/>
    <w:rsid w:val="00161D5F"/>
    <w:rsid w:val="00161FF7"/>
    <w:rsid w:val="001623AA"/>
    <w:rsid w:val="001642C8"/>
    <w:rsid w:val="00165028"/>
    <w:rsid w:val="00170124"/>
    <w:rsid w:val="00171F5A"/>
    <w:rsid w:val="001726A8"/>
    <w:rsid w:val="00172DDD"/>
    <w:rsid w:val="00174AC6"/>
    <w:rsid w:val="00175059"/>
    <w:rsid w:val="0017582F"/>
    <w:rsid w:val="00175AA8"/>
    <w:rsid w:val="00175CB4"/>
    <w:rsid w:val="0017602B"/>
    <w:rsid w:val="00176494"/>
    <w:rsid w:val="00180DF9"/>
    <w:rsid w:val="00181287"/>
    <w:rsid w:val="00181613"/>
    <w:rsid w:val="00181764"/>
    <w:rsid w:val="00182EDC"/>
    <w:rsid w:val="00184617"/>
    <w:rsid w:val="00184E0E"/>
    <w:rsid w:val="001857F4"/>
    <w:rsid w:val="001859FF"/>
    <w:rsid w:val="0018672D"/>
    <w:rsid w:val="001877B6"/>
    <w:rsid w:val="0018785C"/>
    <w:rsid w:val="00187C00"/>
    <w:rsid w:val="00187C90"/>
    <w:rsid w:val="00187DF2"/>
    <w:rsid w:val="001902D3"/>
    <w:rsid w:val="00191DDB"/>
    <w:rsid w:val="001923FF"/>
    <w:rsid w:val="00192F55"/>
    <w:rsid w:val="00194365"/>
    <w:rsid w:val="00194A13"/>
    <w:rsid w:val="00194D6F"/>
    <w:rsid w:val="00196D0E"/>
    <w:rsid w:val="00197A52"/>
    <w:rsid w:val="00197C5C"/>
    <w:rsid w:val="00197F9C"/>
    <w:rsid w:val="001A141A"/>
    <w:rsid w:val="001A1A0C"/>
    <w:rsid w:val="001A1A4D"/>
    <w:rsid w:val="001A1ECC"/>
    <w:rsid w:val="001A1FD7"/>
    <w:rsid w:val="001A2880"/>
    <w:rsid w:val="001A310B"/>
    <w:rsid w:val="001A44DA"/>
    <w:rsid w:val="001A58B6"/>
    <w:rsid w:val="001A6333"/>
    <w:rsid w:val="001A6841"/>
    <w:rsid w:val="001A6E35"/>
    <w:rsid w:val="001A7D25"/>
    <w:rsid w:val="001B3A2E"/>
    <w:rsid w:val="001B3C15"/>
    <w:rsid w:val="001B3F3F"/>
    <w:rsid w:val="001B41D0"/>
    <w:rsid w:val="001B53B0"/>
    <w:rsid w:val="001B629D"/>
    <w:rsid w:val="001B7F46"/>
    <w:rsid w:val="001C0980"/>
    <w:rsid w:val="001C09AA"/>
    <w:rsid w:val="001C18F4"/>
    <w:rsid w:val="001C1B89"/>
    <w:rsid w:val="001C3DC8"/>
    <w:rsid w:val="001C4462"/>
    <w:rsid w:val="001C4961"/>
    <w:rsid w:val="001C53A0"/>
    <w:rsid w:val="001C7056"/>
    <w:rsid w:val="001C7C0F"/>
    <w:rsid w:val="001D1131"/>
    <w:rsid w:val="001D1EE7"/>
    <w:rsid w:val="001D372B"/>
    <w:rsid w:val="001D4720"/>
    <w:rsid w:val="001D606E"/>
    <w:rsid w:val="001D6E82"/>
    <w:rsid w:val="001D72F7"/>
    <w:rsid w:val="001D7EEB"/>
    <w:rsid w:val="001E0472"/>
    <w:rsid w:val="001E0701"/>
    <w:rsid w:val="001E09B4"/>
    <w:rsid w:val="001E0DF9"/>
    <w:rsid w:val="001E0F3A"/>
    <w:rsid w:val="001E19CC"/>
    <w:rsid w:val="001E2D49"/>
    <w:rsid w:val="001E3E72"/>
    <w:rsid w:val="001E6FB2"/>
    <w:rsid w:val="001E7B97"/>
    <w:rsid w:val="001E7C50"/>
    <w:rsid w:val="001F064A"/>
    <w:rsid w:val="001F0ADB"/>
    <w:rsid w:val="001F0C60"/>
    <w:rsid w:val="001F1006"/>
    <w:rsid w:val="001F3427"/>
    <w:rsid w:val="001F4973"/>
    <w:rsid w:val="002003AE"/>
    <w:rsid w:val="0020066C"/>
    <w:rsid w:val="0020164B"/>
    <w:rsid w:val="002017C6"/>
    <w:rsid w:val="00202AB1"/>
    <w:rsid w:val="002050F4"/>
    <w:rsid w:val="0020522B"/>
    <w:rsid w:val="00206273"/>
    <w:rsid w:val="00206D05"/>
    <w:rsid w:val="00206DFA"/>
    <w:rsid w:val="00207F7C"/>
    <w:rsid w:val="00210776"/>
    <w:rsid w:val="00211C81"/>
    <w:rsid w:val="00212187"/>
    <w:rsid w:val="002122FB"/>
    <w:rsid w:val="002125F9"/>
    <w:rsid w:val="002129B4"/>
    <w:rsid w:val="00213AFA"/>
    <w:rsid w:val="00213B9C"/>
    <w:rsid w:val="00213FF2"/>
    <w:rsid w:val="002144B5"/>
    <w:rsid w:val="00214C09"/>
    <w:rsid w:val="00214D2A"/>
    <w:rsid w:val="00216139"/>
    <w:rsid w:val="00216204"/>
    <w:rsid w:val="00217089"/>
    <w:rsid w:val="002170F0"/>
    <w:rsid w:val="00217F12"/>
    <w:rsid w:val="00221497"/>
    <w:rsid w:val="002217F2"/>
    <w:rsid w:val="0022193C"/>
    <w:rsid w:val="00221C1F"/>
    <w:rsid w:val="00226D0A"/>
    <w:rsid w:val="00227C7E"/>
    <w:rsid w:val="00230825"/>
    <w:rsid w:val="00230977"/>
    <w:rsid w:val="00230C66"/>
    <w:rsid w:val="00232BB8"/>
    <w:rsid w:val="00233A68"/>
    <w:rsid w:val="00234C8F"/>
    <w:rsid w:val="00235BAA"/>
    <w:rsid w:val="00236AF2"/>
    <w:rsid w:val="0023787B"/>
    <w:rsid w:val="00237E74"/>
    <w:rsid w:val="00240042"/>
    <w:rsid w:val="002416FD"/>
    <w:rsid w:val="0024280A"/>
    <w:rsid w:val="00244151"/>
    <w:rsid w:val="0024423E"/>
    <w:rsid w:val="00244A4D"/>
    <w:rsid w:val="002461C2"/>
    <w:rsid w:val="002461DA"/>
    <w:rsid w:val="0024746E"/>
    <w:rsid w:val="00251924"/>
    <w:rsid w:val="0025212E"/>
    <w:rsid w:val="002535DB"/>
    <w:rsid w:val="002537CE"/>
    <w:rsid w:val="00253DA4"/>
    <w:rsid w:val="002544C3"/>
    <w:rsid w:val="00255032"/>
    <w:rsid w:val="0025569D"/>
    <w:rsid w:val="002561EA"/>
    <w:rsid w:val="0026018C"/>
    <w:rsid w:val="00260CDD"/>
    <w:rsid w:val="00262956"/>
    <w:rsid w:val="00263DFD"/>
    <w:rsid w:val="00264B32"/>
    <w:rsid w:val="00265133"/>
    <w:rsid w:val="00265313"/>
    <w:rsid w:val="00270817"/>
    <w:rsid w:val="0027204C"/>
    <w:rsid w:val="0027210B"/>
    <w:rsid w:val="002728FE"/>
    <w:rsid w:val="00272DAF"/>
    <w:rsid w:val="0027391B"/>
    <w:rsid w:val="0027487E"/>
    <w:rsid w:val="002751DC"/>
    <w:rsid w:val="00280806"/>
    <w:rsid w:val="00280ACC"/>
    <w:rsid w:val="00281359"/>
    <w:rsid w:val="0028164F"/>
    <w:rsid w:val="00282228"/>
    <w:rsid w:val="0028247E"/>
    <w:rsid w:val="0028393E"/>
    <w:rsid w:val="00283E3C"/>
    <w:rsid w:val="0028490A"/>
    <w:rsid w:val="0028534A"/>
    <w:rsid w:val="00285833"/>
    <w:rsid w:val="00285B47"/>
    <w:rsid w:val="0028651E"/>
    <w:rsid w:val="00286DA9"/>
    <w:rsid w:val="00290118"/>
    <w:rsid w:val="002910B4"/>
    <w:rsid w:val="00291279"/>
    <w:rsid w:val="00291C39"/>
    <w:rsid w:val="0029276D"/>
    <w:rsid w:val="002935A7"/>
    <w:rsid w:val="00294DB6"/>
    <w:rsid w:val="002952CF"/>
    <w:rsid w:val="002952E7"/>
    <w:rsid w:val="002964AC"/>
    <w:rsid w:val="00296CC5"/>
    <w:rsid w:val="0029708E"/>
    <w:rsid w:val="0029724E"/>
    <w:rsid w:val="002A074C"/>
    <w:rsid w:val="002A2AA8"/>
    <w:rsid w:val="002A3425"/>
    <w:rsid w:val="002A360E"/>
    <w:rsid w:val="002A3A33"/>
    <w:rsid w:val="002A3C7D"/>
    <w:rsid w:val="002A51A5"/>
    <w:rsid w:val="002A52ED"/>
    <w:rsid w:val="002A7237"/>
    <w:rsid w:val="002B072F"/>
    <w:rsid w:val="002B1B04"/>
    <w:rsid w:val="002B1F51"/>
    <w:rsid w:val="002B2553"/>
    <w:rsid w:val="002B4C8B"/>
    <w:rsid w:val="002B6366"/>
    <w:rsid w:val="002B6765"/>
    <w:rsid w:val="002B6FD2"/>
    <w:rsid w:val="002B7C1E"/>
    <w:rsid w:val="002B7F5D"/>
    <w:rsid w:val="002C059D"/>
    <w:rsid w:val="002C1BD2"/>
    <w:rsid w:val="002C2B73"/>
    <w:rsid w:val="002C2DB6"/>
    <w:rsid w:val="002C3AEC"/>
    <w:rsid w:val="002C49DB"/>
    <w:rsid w:val="002C5883"/>
    <w:rsid w:val="002C5E0C"/>
    <w:rsid w:val="002C5F57"/>
    <w:rsid w:val="002C6E16"/>
    <w:rsid w:val="002C71DB"/>
    <w:rsid w:val="002C7AB5"/>
    <w:rsid w:val="002C7CD3"/>
    <w:rsid w:val="002D02AD"/>
    <w:rsid w:val="002D26AB"/>
    <w:rsid w:val="002D2767"/>
    <w:rsid w:val="002D439A"/>
    <w:rsid w:val="002D4E07"/>
    <w:rsid w:val="002D5969"/>
    <w:rsid w:val="002D737B"/>
    <w:rsid w:val="002D7672"/>
    <w:rsid w:val="002E1638"/>
    <w:rsid w:val="002E4118"/>
    <w:rsid w:val="002E5C8C"/>
    <w:rsid w:val="002E743B"/>
    <w:rsid w:val="002E7862"/>
    <w:rsid w:val="002F077F"/>
    <w:rsid w:val="002F1481"/>
    <w:rsid w:val="002F17B6"/>
    <w:rsid w:val="002F37CF"/>
    <w:rsid w:val="002F463A"/>
    <w:rsid w:val="002F5910"/>
    <w:rsid w:val="00301602"/>
    <w:rsid w:val="003020FF"/>
    <w:rsid w:val="0030424D"/>
    <w:rsid w:val="003052C5"/>
    <w:rsid w:val="003059D4"/>
    <w:rsid w:val="00306314"/>
    <w:rsid w:val="003067F3"/>
    <w:rsid w:val="003070C5"/>
    <w:rsid w:val="00307A95"/>
    <w:rsid w:val="00312DCA"/>
    <w:rsid w:val="003130A7"/>
    <w:rsid w:val="003137A3"/>
    <w:rsid w:val="00313F6C"/>
    <w:rsid w:val="00314AC6"/>
    <w:rsid w:val="00314C01"/>
    <w:rsid w:val="00315453"/>
    <w:rsid w:val="00320C80"/>
    <w:rsid w:val="00324175"/>
    <w:rsid w:val="003241C5"/>
    <w:rsid w:val="003246F8"/>
    <w:rsid w:val="00325D98"/>
    <w:rsid w:val="00326854"/>
    <w:rsid w:val="00326ABB"/>
    <w:rsid w:val="00326CDD"/>
    <w:rsid w:val="00330AE8"/>
    <w:rsid w:val="00330C86"/>
    <w:rsid w:val="00332C73"/>
    <w:rsid w:val="00332E8F"/>
    <w:rsid w:val="00333B29"/>
    <w:rsid w:val="00333D84"/>
    <w:rsid w:val="003368C4"/>
    <w:rsid w:val="003370BB"/>
    <w:rsid w:val="00337662"/>
    <w:rsid w:val="00337D71"/>
    <w:rsid w:val="00337E87"/>
    <w:rsid w:val="00340B6C"/>
    <w:rsid w:val="00342E75"/>
    <w:rsid w:val="00343A01"/>
    <w:rsid w:val="0034432B"/>
    <w:rsid w:val="003452C4"/>
    <w:rsid w:val="003457B8"/>
    <w:rsid w:val="00346587"/>
    <w:rsid w:val="00346D36"/>
    <w:rsid w:val="0034796E"/>
    <w:rsid w:val="00347BCD"/>
    <w:rsid w:val="003519FC"/>
    <w:rsid w:val="00351D98"/>
    <w:rsid w:val="00353449"/>
    <w:rsid w:val="00357736"/>
    <w:rsid w:val="0036051F"/>
    <w:rsid w:val="00360588"/>
    <w:rsid w:val="0036070F"/>
    <w:rsid w:val="0036358A"/>
    <w:rsid w:val="00365A7C"/>
    <w:rsid w:val="00365EF5"/>
    <w:rsid w:val="0036679A"/>
    <w:rsid w:val="00367D2C"/>
    <w:rsid w:val="0037391B"/>
    <w:rsid w:val="00374CC1"/>
    <w:rsid w:val="0037545B"/>
    <w:rsid w:val="003771E0"/>
    <w:rsid w:val="00377697"/>
    <w:rsid w:val="003805E4"/>
    <w:rsid w:val="00380EC0"/>
    <w:rsid w:val="003815E5"/>
    <w:rsid w:val="003821CE"/>
    <w:rsid w:val="00382728"/>
    <w:rsid w:val="00382F16"/>
    <w:rsid w:val="003833FC"/>
    <w:rsid w:val="0038428B"/>
    <w:rsid w:val="0038462C"/>
    <w:rsid w:val="00385651"/>
    <w:rsid w:val="00385AFE"/>
    <w:rsid w:val="00385D3D"/>
    <w:rsid w:val="00385EED"/>
    <w:rsid w:val="00390FAA"/>
    <w:rsid w:val="00391641"/>
    <w:rsid w:val="003929A5"/>
    <w:rsid w:val="003930A1"/>
    <w:rsid w:val="00394259"/>
    <w:rsid w:val="003962B8"/>
    <w:rsid w:val="00396533"/>
    <w:rsid w:val="003967CA"/>
    <w:rsid w:val="003A01EC"/>
    <w:rsid w:val="003A0A67"/>
    <w:rsid w:val="003A19BA"/>
    <w:rsid w:val="003A1C8A"/>
    <w:rsid w:val="003A2372"/>
    <w:rsid w:val="003A48B1"/>
    <w:rsid w:val="003A5B38"/>
    <w:rsid w:val="003A64A6"/>
    <w:rsid w:val="003A6FB0"/>
    <w:rsid w:val="003A771C"/>
    <w:rsid w:val="003B0B3E"/>
    <w:rsid w:val="003B10E4"/>
    <w:rsid w:val="003B1379"/>
    <w:rsid w:val="003B19F0"/>
    <w:rsid w:val="003B1B70"/>
    <w:rsid w:val="003B1CBF"/>
    <w:rsid w:val="003B1E03"/>
    <w:rsid w:val="003B2AD8"/>
    <w:rsid w:val="003B2C9F"/>
    <w:rsid w:val="003B3642"/>
    <w:rsid w:val="003B364B"/>
    <w:rsid w:val="003B4EC0"/>
    <w:rsid w:val="003B68AE"/>
    <w:rsid w:val="003B7675"/>
    <w:rsid w:val="003B76F6"/>
    <w:rsid w:val="003B7C22"/>
    <w:rsid w:val="003B7C77"/>
    <w:rsid w:val="003C1BB9"/>
    <w:rsid w:val="003C2842"/>
    <w:rsid w:val="003C2EFE"/>
    <w:rsid w:val="003C466C"/>
    <w:rsid w:val="003C4C62"/>
    <w:rsid w:val="003C764A"/>
    <w:rsid w:val="003D0087"/>
    <w:rsid w:val="003D381B"/>
    <w:rsid w:val="003D41B0"/>
    <w:rsid w:val="003D4826"/>
    <w:rsid w:val="003D5A1D"/>
    <w:rsid w:val="003D6F4E"/>
    <w:rsid w:val="003D718A"/>
    <w:rsid w:val="003D7ECC"/>
    <w:rsid w:val="003E0009"/>
    <w:rsid w:val="003E01A6"/>
    <w:rsid w:val="003E0D1B"/>
    <w:rsid w:val="003E1916"/>
    <w:rsid w:val="003E191A"/>
    <w:rsid w:val="003E1DEE"/>
    <w:rsid w:val="003E2257"/>
    <w:rsid w:val="003E2A58"/>
    <w:rsid w:val="003E41D6"/>
    <w:rsid w:val="003E472D"/>
    <w:rsid w:val="003E48D2"/>
    <w:rsid w:val="003E4B70"/>
    <w:rsid w:val="003E6353"/>
    <w:rsid w:val="003E6BA8"/>
    <w:rsid w:val="003E6CB1"/>
    <w:rsid w:val="003E7006"/>
    <w:rsid w:val="003E7960"/>
    <w:rsid w:val="003F143D"/>
    <w:rsid w:val="003F1E23"/>
    <w:rsid w:val="003F2C0C"/>
    <w:rsid w:val="003F310E"/>
    <w:rsid w:val="003F3C7D"/>
    <w:rsid w:val="003F43F5"/>
    <w:rsid w:val="003F4914"/>
    <w:rsid w:val="003F50AF"/>
    <w:rsid w:val="003F5FCA"/>
    <w:rsid w:val="003F782B"/>
    <w:rsid w:val="00400EAB"/>
    <w:rsid w:val="00401E75"/>
    <w:rsid w:val="004026F5"/>
    <w:rsid w:val="00402E14"/>
    <w:rsid w:val="00403DA0"/>
    <w:rsid w:val="00404354"/>
    <w:rsid w:val="004052B7"/>
    <w:rsid w:val="0040563F"/>
    <w:rsid w:val="004073CA"/>
    <w:rsid w:val="004078EB"/>
    <w:rsid w:val="00410608"/>
    <w:rsid w:val="00412299"/>
    <w:rsid w:val="00413ADA"/>
    <w:rsid w:val="00413B21"/>
    <w:rsid w:val="004158C7"/>
    <w:rsid w:val="00416AF6"/>
    <w:rsid w:val="00416F1F"/>
    <w:rsid w:val="004178C0"/>
    <w:rsid w:val="004179CE"/>
    <w:rsid w:val="00417DAD"/>
    <w:rsid w:val="00420095"/>
    <w:rsid w:val="004203D1"/>
    <w:rsid w:val="00423746"/>
    <w:rsid w:val="00423AB2"/>
    <w:rsid w:val="00423E85"/>
    <w:rsid w:val="00423EC6"/>
    <w:rsid w:val="004253D8"/>
    <w:rsid w:val="00426036"/>
    <w:rsid w:val="00427270"/>
    <w:rsid w:val="00431747"/>
    <w:rsid w:val="00436982"/>
    <w:rsid w:val="00436E7C"/>
    <w:rsid w:val="00437330"/>
    <w:rsid w:val="004374CD"/>
    <w:rsid w:val="004408F0"/>
    <w:rsid w:val="00440A06"/>
    <w:rsid w:val="00443694"/>
    <w:rsid w:val="00443760"/>
    <w:rsid w:val="00443BBD"/>
    <w:rsid w:val="00444037"/>
    <w:rsid w:val="00444DF5"/>
    <w:rsid w:val="00445B89"/>
    <w:rsid w:val="00445D12"/>
    <w:rsid w:val="00445E62"/>
    <w:rsid w:val="004460E6"/>
    <w:rsid w:val="00451CE8"/>
    <w:rsid w:val="00452D15"/>
    <w:rsid w:val="00453BB4"/>
    <w:rsid w:val="004543ED"/>
    <w:rsid w:val="00454AC0"/>
    <w:rsid w:val="00454C5A"/>
    <w:rsid w:val="0045557D"/>
    <w:rsid w:val="00455629"/>
    <w:rsid w:val="00457DA3"/>
    <w:rsid w:val="00460348"/>
    <w:rsid w:val="004609F1"/>
    <w:rsid w:val="004611FA"/>
    <w:rsid w:val="0046153A"/>
    <w:rsid w:val="0046200B"/>
    <w:rsid w:val="004621FA"/>
    <w:rsid w:val="0046310D"/>
    <w:rsid w:val="00463394"/>
    <w:rsid w:val="00463A1A"/>
    <w:rsid w:val="00464D2E"/>
    <w:rsid w:val="00464F54"/>
    <w:rsid w:val="00465DB8"/>
    <w:rsid w:val="00466EA6"/>
    <w:rsid w:val="00474556"/>
    <w:rsid w:val="00475A3A"/>
    <w:rsid w:val="004763BF"/>
    <w:rsid w:val="00476FC9"/>
    <w:rsid w:val="004772D9"/>
    <w:rsid w:val="004815C3"/>
    <w:rsid w:val="00482EA1"/>
    <w:rsid w:val="00483770"/>
    <w:rsid w:val="00483F9E"/>
    <w:rsid w:val="00484943"/>
    <w:rsid w:val="00487709"/>
    <w:rsid w:val="0049001A"/>
    <w:rsid w:val="0049294A"/>
    <w:rsid w:val="00492FAE"/>
    <w:rsid w:val="00493197"/>
    <w:rsid w:val="0049762D"/>
    <w:rsid w:val="004978C3"/>
    <w:rsid w:val="004A2C1E"/>
    <w:rsid w:val="004A4091"/>
    <w:rsid w:val="004A48BD"/>
    <w:rsid w:val="004A544D"/>
    <w:rsid w:val="004A5BEE"/>
    <w:rsid w:val="004A6C3A"/>
    <w:rsid w:val="004A7F21"/>
    <w:rsid w:val="004B19C8"/>
    <w:rsid w:val="004B360B"/>
    <w:rsid w:val="004B375C"/>
    <w:rsid w:val="004B5408"/>
    <w:rsid w:val="004B6261"/>
    <w:rsid w:val="004B62D5"/>
    <w:rsid w:val="004B64C0"/>
    <w:rsid w:val="004C0794"/>
    <w:rsid w:val="004C133B"/>
    <w:rsid w:val="004C1BF3"/>
    <w:rsid w:val="004C3ABF"/>
    <w:rsid w:val="004C746A"/>
    <w:rsid w:val="004D0487"/>
    <w:rsid w:val="004D16AC"/>
    <w:rsid w:val="004D1DB1"/>
    <w:rsid w:val="004D26D8"/>
    <w:rsid w:val="004D2852"/>
    <w:rsid w:val="004D30D7"/>
    <w:rsid w:val="004D3270"/>
    <w:rsid w:val="004D4032"/>
    <w:rsid w:val="004D5343"/>
    <w:rsid w:val="004D68E2"/>
    <w:rsid w:val="004E1290"/>
    <w:rsid w:val="004E13F6"/>
    <w:rsid w:val="004E2B3E"/>
    <w:rsid w:val="004E52BA"/>
    <w:rsid w:val="004E5E9D"/>
    <w:rsid w:val="004E6512"/>
    <w:rsid w:val="004E6759"/>
    <w:rsid w:val="004E6D2F"/>
    <w:rsid w:val="004E70A2"/>
    <w:rsid w:val="004E71F7"/>
    <w:rsid w:val="004E76FF"/>
    <w:rsid w:val="004F09F2"/>
    <w:rsid w:val="004F0AF7"/>
    <w:rsid w:val="004F0CC9"/>
    <w:rsid w:val="004F11D5"/>
    <w:rsid w:val="004F16B8"/>
    <w:rsid w:val="004F1A4F"/>
    <w:rsid w:val="004F4355"/>
    <w:rsid w:val="004F4500"/>
    <w:rsid w:val="004F4C05"/>
    <w:rsid w:val="004F4EF9"/>
    <w:rsid w:val="004F5058"/>
    <w:rsid w:val="004F5A85"/>
    <w:rsid w:val="004F5DD1"/>
    <w:rsid w:val="004F6153"/>
    <w:rsid w:val="004F6663"/>
    <w:rsid w:val="004F7F74"/>
    <w:rsid w:val="00501641"/>
    <w:rsid w:val="00501D01"/>
    <w:rsid w:val="00501ED2"/>
    <w:rsid w:val="00503914"/>
    <w:rsid w:val="00503E31"/>
    <w:rsid w:val="005042C6"/>
    <w:rsid w:val="0050456B"/>
    <w:rsid w:val="0050487C"/>
    <w:rsid w:val="005049FE"/>
    <w:rsid w:val="00504A10"/>
    <w:rsid w:val="00505591"/>
    <w:rsid w:val="0050598B"/>
    <w:rsid w:val="00506D37"/>
    <w:rsid w:val="00507B86"/>
    <w:rsid w:val="00511169"/>
    <w:rsid w:val="0051127E"/>
    <w:rsid w:val="005153B4"/>
    <w:rsid w:val="005153F2"/>
    <w:rsid w:val="00515682"/>
    <w:rsid w:val="0052084F"/>
    <w:rsid w:val="005219D3"/>
    <w:rsid w:val="00523615"/>
    <w:rsid w:val="005239C3"/>
    <w:rsid w:val="00526B48"/>
    <w:rsid w:val="00527080"/>
    <w:rsid w:val="00531BDC"/>
    <w:rsid w:val="005322B1"/>
    <w:rsid w:val="0053236F"/>
    <w:rsid w:val="00533516"/>
    <w:rsid w:val="005339A4"/>
    <w:rsid w:val="005339BA"/>
    <w:rsid w:val="0053418C"/>
    <w:rsid w:val="005352FE"/>
    <w:rsid w:val="00535A9D"/>
    <w:rsid w:val="00537094"/>
    <w:rsid w:val="00537B30"/>
    <w:rsid w:val="00537CC5"/>
    <w:rsid w:val="005403B8"/>
    <w:rsid w:val="00540CC5"/>
    <w:rsid w:val="00541DD2"/>
    <w:rsid w:val="00542361"/>
    <w:rsid w:val="00542F11"/>
    <w:rsid w:val="00544279"/>
    <w:rsid w:val="00550079"/>
    <w:rsid w:val="00550286"/>
    <w:rsid w:val="00550DAB"/>
    <w:rsid w:val="00550FCD"/>
    <w:rsid w:val="005539EE"/>
    <w:rsid w:val="00554332"/>
    <w:rsid w:val="00554AA6"/>
    <w:rsid w:val="00555267"/>
    <w:rsid w:val="00556584"/>
    <w:rsid w:val="005568F5"/>
    <w:rsid w:val="00556FB9"/>
    <w:rsid w:val="00557ADF"/>
    <w:rsid w:val="005606F2"/>
    <w:rsid w:val="005609FF"/>
    <w:rsid w:val="0056171C"/>
    <w:rsid w:val="00562087"/>
    <w:rsid w:val="005629D0"/>
    <w:rsid w:val="005630E6"/>
    <w:rsid w:val="00563FEE"/>
    <w:rsid w:val="0056576F"/>
    <w:rsid w:val="005662C2"/>
    <w:rsid w:val="00566B14"/>
    <w:rsid w:val="00570BC8"/>
    <w:rsid w:val="00572353"/>
    <w:rsid w:val="00574030"/>
    <w:rsid w:val="00574302"/>
    <w:rsid w:val="00574E25"/>
    <w:rsid w:val="00575A19"/>
    <w:rsid w:val="00575F9E"/>
    <w:rsid w:val="005768AD"/>
    <w:rsid w:val="005772CA"/>
    <w:rsid w:val="00580C99"/>
    <w:rsid w:val="00582EC7"/>
    <w:rsid w:val="005832ED"/>
    <w:rsid w:val="0058388A"/>
    <w:rsid w:val="00584E14"/>
    <w:rsid w:val="00585AE9"/>
    <w:rsid w:val="00586689"/>
    <w:rsid w:val="00586FD5"/>
    <w:rsid w:val="00587852"/>
    <w:rsid w:val="005902FA"/>
    <w:rsid w:val="00590EE8"/>
    <w:rsid w:val="00590F60"/>
    <w:rsid w:val="00590FF7"/>
    <w:rsid w:val="005917F1"/>
    <w:rsid w:val="00591948"/>
    <w:rsid w:val="005926F9"/>
    <w:rsid w:val="00593CB8"/>
    <w:rsid w:val="0059521C"/>
    <w:rsid w:val="0059563D"/>
    <w:rsid w:val="00595D72"/>
    <w:rsid w:val="00595EDF"/>
    <w:rsid w:val="0059771A"/>
    <w:rsid w:val="00597908"/>
    <w:rsid w:val="005A3237"/>
    <w:rsid w:val="005A3F6F"/>
    <w:rsid w:val="005A4BD5"/>
    <w:rsid w:val="005A6079"/>
    <w:rsid w:val="005A7CAC"/>
    <w:rsid w:val="005B3CF9"/>
    <w:rsid w:val="005B43C6"/>
    <w:rsid w:val="005B5832"/>
    <w:rsid w:val="005C0B97"/>
    <w:rsid w:val="005C1047"/>
    <w:rsid w:val="005C1335"/>
    <w:rsid w:val="005C327C"/>
    <w:rsid w:val="005C3812"/>
    <w:rsid w:val="005C40AD"/>
    <w:rsid w:val="005C6D14"/>
    <w:rsid w:val="005C70FE"/>
    <w:rsid w:val="005C7667"/>
    <w:rsid w:val="005D31EE"/>
    <w:rsid w:val="005D503C"/>
    <w:rsid w:val="005D5103"/>
    <w:rsid w:val="005D5DDC"/>
    <w:rsid w:val="005D6225"/>
    <w:rsid w:val="005D69C1"/>
    <w:rsid w:val="005D6C86"/>
    <w:rsid w:val="005D7317"/>
    <w:rsid w:val="005E0518"/>
    <w:rsid w:val="005E1393"/>
    <w:rsid w:val="005E2B66"/>
    <w:rsid w:val="005E46B3"/>
    <w:rsid w:val="005E558C"/>
    <w:rsid w:val="005E5EAA"/>
    <w:rsid w:val="005E644E"/>
    <w:rsid w:val="005E6A23"/>
    <w:rsid w:val="005E6BD8"/>
    <w:rsid w:val="005E7A5B"/>
    <w:rsid w:val="005F2557"/>
    <w:rsid w:val="005F3333"/>
    <w:rsid w:val="005F3A2E"/>
    <w:rsid w:val="005F3A83"/>
    <w:rsid w:val="005F4737"/>
    <w:rsid w:val="005F58BD"/>
    <w:rsid w:val="006002B5"/>
    <w:rsid w:val="0060034B"/>
    <w:rsid w:val="00600EAE"/>
    <w:rsid w:val="00602BCC"/>
    <w:rsid w:val="0060593D"/>
    <w:rsid w:val="006060C3"/>
    <w:rsid w:val="00606CA6"/>
    <w:rsid w:val="006114AA"/>
    <w:rsid w:val="00611785"/>
    <w:rsid w:val="00612C42"/>
    <w:rsid w:val="0061303D"/>
    <w:rsid w:val="00613B8A"/>
    <w:rsid w:val="0061461E"/>
    <w:rsid w:val="00614AB0"/>
    <w:rsid w:val="00614B40"/>
    <w:rsid w:val="0061515D"/>
    <w:rsid w:val="00616707"/>
    <w:rsid w:val="00617410"/>
    <w:rsid w:val="00617AE7"/>
    <w:rsid w:val="00617DAC"/>
    <w:rsid w:val="0062144D"/>
    <w:rsid w:val="00622123"/>
    <w:rsid w:val="00622BB9"/>
    <w:rsid w:val="00624403"/>
    <w:rsid w:val="006248EE"/>
    <w:rsid w:val="0062533C"/>
    <w:rsid w:val="0062693D"/>
    <w:rsid w:val="00626A9F"/>
    <w:rsid w:val="0062757D"/>
    <w:rsid w:val="00627A56"/>
    <w:rsid w:val="00627ABE"/>
    <w:rsid w:val="00627E37"/>
    <w:rsid w:val="0063022F"/>
    <w:rsid w:val="00630349"/>
    <w:rsid w:val="006305CF"/>
    <w:rsid w:val="0063137A"/>
    <w:rsid w:val="00632721"/>
    <w:rsid w:val="00632DB7"/>
    <w:rsid w:val="00632FA3"/>
    <w:rsid w:val="0063352D"/>
    <w:rsid w:val="0063398E"/>
    <w:rsid w:val="00634237"/>
    <w:rsid w:val="006352D4"/>
    <w:rsid w:val="006378E0"/>
    <w:rsid w:val="006408C8"/>
    <w:rsid w:val="006414EC"/>
    <w:rsid w:val="006436EA"/>
    <w:rsid w:val="00643838"/>
    <w:rsid w:val="006440C5"/>
    <w:rsid w:val="00644171"/>
    <w:rsid w:val="0064748F"/>
    <w:rsid w:val="00650966"/>
    <w:rsid w:val="0065280A"/>
    <w:rsid w:val="00652F0F"/>
    <w:rsid w:val="00654262"/>
    <w:rsid w:val="0065476B"/>
    <w:rsid w:val="006572BE"/>
    <w:rsid w:val="006576CC"/>
    <w:rsid w:val="0066020A"/>
    <w:rsid w:val="00660694"/>
    <w:rsid w:val="00660785"/>
    <w:rsid w:val="006618FE"/>
    <w:rsid w:val="006653DC"/>
    <w:rsid w:val="00667889"/>
    <w:rsid w:val="006718AA"/>
    <w:rsid w:val="00672400"/>
    <w:rsid w:val="00672959"/>
    <w:rsid w:val="00672F30"/>
    <w:rsid w:val="00674613"/>
    <w:rsid w:val="00675E75"/>
    <w:rsid w:val="0067780E"/>
    <w:rsid w:val="00677D63"/>
    <w:rsid w:val="00680181"/>
    <w:rsid w:val="00680B87"/>
    <w:rsid w:val="00681133"/>
    <w:rsid w:val="0068143C"/>
    <w:rsid w:val="0068151B"/>
    <w:rsid w:val="00684F63"/>
    <w:rsid w:val="00686208"/>
    <w:rsid w:val="006876B6"/>
    <w:rsid w:val="0069374E"/>
    <w:rsid w:val="00693F27"/>
    <w:rsid w:val="00694166"/>
    <w:rsid w:val="00694F99"/>
    <w:rsid w:val="00697130"/>
    <w:rsid w:val="00697C1F"/>
    <w:rsid w:val="006A1B1D"/>
    <w:rsid w:val="006A3094"/>
    <w:rsid w:val="006A36D6"/>
    <w:rsid w:val="006A383C"/>
    <w:rsid w:val="006A4309"/>
    <w:rsid w:val="006A4704"/>
    <w:rsid w:val="006A53F8"/>
    <w:rsid w:val="006A5B23"/>
    <w:rsid w:val="006A5C04"/>
    <w:rsid w:val="006A6008"/>
    <w:rsid w:val="006A61D1"/>
    <w:rsid w:val="006A6C16"/>
    <w:rsid w:val="006A710A"/>
    <w:rsid w:val="006A784C"/>
    <w:rsid w:val="006B06BA"/>
    <w:rsid w:val="006B286C"/>
    <w:rsid w:val="006B2A65"/>
    <w:rsid w:val="006B49EE"/>
    <w:rsid w:val="006B4BE5"/>
    <w:rsid w:val="006B5E74"/>
    <w:rsid w:val="006B624F"/>
    <w:rsid w:val="006B79CF"/>
    <w:rsid w:val="006B7D54"/>
    <w:rsid w:val="006C048F"/>
    <w:rsid w:val="006C08B2"/>
    <w:rsid w:val="006C0A09"/>
    <w:rsid w:val="006C0E4A"/>
    <w:rsid w:val="006C2321"/>
    <w:rsid w:val="006C2369"/>
    <w:rsid w:val="006C2424"/>
    <w:rsid w:val="006C3217"/>
    <w:rsid w:val="006C4052"/>
    <w:rsid w:val="006C4F64"/>
    <w:rsid w:val="006C6467"/>
    <w:rsid w:val="006C6788"/>
    <w:rsid w:val="006C688D"/>
    <w:rsid w:val="006C6B72"/>
    <w:rsid w:val="006D0F3E"/>
    <w:rsid w:val="006D11D9"/>
    <w:rsid w:val="006D1B96"/>
    <w:rsid w:val="006D308E"/>
    <w:rsid w:val="006D339D"/>
    <w:rsid w:val="006D3CB2"/>
    <w:rsid w:val="006D3DCF"/>
    <w:rsid w:val="006D412E"/>
    <w:rsid w:val="006D4485"/>
    <w:rsid w:val="006D4917"/>
    <w:rsid w:val="006E1454"/>
    <w:rsid w:val="006E14AD"/>
    <w:rsid w:val="006E152C"/>
    <w:rsid w:val="006E24BA"/>
    <w:rsid w:val="006E366C"/>
    <w:rsid w:val="006E4B91"/>
    <w:rsid w:val="006E6101"/>
    <w:rsid w:val="006F13F4"/>
    <w:rsid w:val="006F1FED"/>
    <w:rsid w:val="006F2D72"/>
    <w:rsid w:val="006F2E5E"/>
    <w:rsid w:val="006F3443"/>
    <w:rsid w:val="006F41C1"/>
    <w:rsid w:val="006F4A67"/>
    <w:rsid w:val="006F5036"/>
    <w:rsid w:val="006F6501"/>
    <w:rsid w:val="006F69FA"/>
    <w:rsid w:val="00701A4B"/>
    <w:rsid w:val="00701CCF"/>
    <w:rsid w:val="00701D2C"/>
    <w:rsid w:val="00702395"/>
    <w:rsid w:val="00702783"/>
    <w:rsid w:val="00702962"/>
    <w:rsid w:val="00704FE5"/>
    <w:rsid w:val="007050A5"/>
    <w:rsid w:val="00705983"/>
    <w:rsid w:val="00705BD4"/>
    <w:rsid w:val="00706006"/>
    <w:rsid w:val="007065A6"/>
    <w:rsid w:val="00706987"/>
    <w:rsid w:val="00706B1A"/>
    <w:rsid w:val="007105FA"/>
    <w:rsid w:val="00711F45"/>
    <w:rsid w:val="007122B8"/>
    <w:rsid w:val="0071386C"/>
    <w:rsid w:val="00714476"/>
    <w:rsid w:val="00714E29"/>
    <w:rsid w:val="00715ABC"/>
    <w:rsid w:val="007178A0"/>
    <w:rsid w:val="007202F5"/>
    <w:rsid w:val="00720F70"/>
    <w:rsid w:val="007218A5"/>
    <w:rsid w:val="00721B21"/>
    <w:rsid w:val="0072212C"/>
    <w:rsid w:val="007221DA"/>
    <w:rsid w:val="007247E6"/>
    <w:rsid w:val="00724A0E"/>
    <w:rsid w:val="007252C6"/>
    <w:rsid w:val="00725EB6"/>
    <w:rsid w:val="00725F1A"/>
    <w:rsid w:val="007266BC"/>
    <w:rsid w:val="00726965"/>
    <w:rsid w:val="0073220E"/>
    <w:rsid w:val="0073342E"/>
    <w:rsid w:val="0073491F"/>
    <w:rsid w:val="00736046"/>
    <w:rsid w:val="00736279"/>
    <w:rsid w:val="00736965"/>
    <w:rsid w:val="00741A11"/>
    <w:rsid w:val="007426FE"/>
    <w:rsid w:val="00744A24"/>
    <w:rsid w:val="007464C5"/>
    <w:rsid w:val="007471DA"/>
    <w:rsid w:val="00750279"/>
    <w:rsid w:val="0075199C"/>
    <w:rsid w:val="00752A4D"/>
    <w:rsid w:val="00754007"/>
    <w:rsid w:val="00755A11"/>
    <w:rsid w:val="0075601C"/>
    <w:rsid w:val="0075640A"/>
    <w:rsid w:val="00756712"/>
    <w:rsid w:val="00757B39"/>
    <w:rsid w:val="00757F20"/>
    <w:rsid w:val="0076318D"/>
    <w:rsid w:val="007639A5"/>
    <w:rsid w:val="00764217"/>
    <w:rsid w:val="0076464C"/>
    <w:rsid w:val="007668EE"/>
    <w:rsid w:val="00770202"/>
    <w:rsid w:val="007720C5"/>
    <w:rsid w:val="00773759"/>
    <w:rsid w:val="00773D1D"/>
    <w:rsid w:val="00774400"/>
    <w:rsid w:val="007754F8"/>
    <w:rsid w:val="007763C4"/>
    <w:rsid w:val="00777336"/>
    <w:rsid w:val="00780078"/>
    <w:rsid w:val="00780713"/>
    <w:rsid w:val="00780F7E"/>
    <w:rsid w:val="007826A5"/>
    <w:rsid w:val="007836BD"/>
    <w:rsid w:val="007838A2"/>
    <w:rsid w:val="007838AE"/>
    <w:rsid w:val="00783D1B"/>
    <w:rsid w:val="0078406C"/>
    <w:rsid w:val="007854B5"/>
    <w:rsid w:val="0078706E"/>
    <w:rsid w:val="007875D0"/>
    <w:rsid w:val="00787CD0"/>
    <w:rsid w:val="00790357"/>
    <w:rsid w:val="0079118D"/>
    <w:rsid w:val="007926A1"/>
    <w:rsid w:val="007927F1"/>
    <w:rsid w:val="00793F7B"/>
    <w:rsid w:val="007949B6"/>
    <w:rsid w:val="00795DA6"/>
    <w:rsid w:val="00795DD5"/>
    <w:rsid w:val="007A0CCF"/>
    <w:rsid w:val="007A31BB"/>
    <w:rsid w:val="007A41F9"/>
    <w:rsid w:val="007A481B"/>
    <w:rsid w:val="007A4A71"/>
    <w:rsid w:val="007A4F9B"/>
    <w:rsid w:val="007A530D"/>
    <w:rsid w:val="007A685F"/>
    <w:rsid w:val="007A6AAD"/>
    <w:rsid w:val="007A7605"/>
    <w:rsid w:val="007B2413"/>
    <w:rsid w:val="007B3D8E"/>
    <w:rsid w:val="007B5743"/>
    <w:rsid w:val="007B6C18"/>
    <w:rsid w:val="007B76F7"/>
    <w:rsid w:val="007B7BD8"/>
    <w:rsid w:val="007C1A8F"/>
    <w:rsid w:val="007C3072"/>
    <w:rsid w:val="007C3358"/>
    <w:rsid w:val="007C3985"/>
    <w:rsid w:val="007C666C"/>
    <w:rsid w:val="007D0A2B"/>
    <w:rsid w:val="007D28B5"/>
    <w:rsid w:val="007D2AB3"/>
    <w:rsid w:val="007D3393"/>
    <w:rsid w:val="007D51B7"/>
    <w:rsid w:val="007D6570"/>
    <w:rsid w:val="007D716C"/>
    <w:rsid w:val="007D7318"/>
    <w:rsid w:val="007D7D34"/>
    <w:rsid w:val="007E02EE"/>
    <w:rsid w:val="007E0722"/>
    <w:rsid w:val="007E0C42"/>
    <w:rsid w:val="007E1296"/>
    <w:rsid w:val="007E146A"/>
    <w:rsid w:val="007E167B"/>
    <w:rsid w:val="007E3751"/>
    <w:rsid w:val="007E3B80"/>
    <w:rsid w:val="007E3F58"/>
    <w:rsid w:val="007E46E4"/>
    <w:rsid w:val="007E6819"/>
    <w:rsid w:val="007E6CEA"/>
    <w:rsid w:val="007E7705"/>
    <w:rsid w:val="007F01C6"/>
    <w:rsid w:val="007F21FE"/>
    <w:rsid w:val="007F3256"/>
    <w:rsid w:val="007F38E7"/>
    <w:rsid w:val="007F4359"/>
    <w:rsid w:val="007F5024"/>
    <w:rsid w:val="007F7284"/>
    <w:rsid w:val="00800852"/>
    <w:rsid w:val="00800D1D"/>
    <w:rsid w:val="00802B82"/>
    <w:rsid w:val="00802DA4"/>
    <w:rsid w:val="00803885"/>
    <w:rsid w:val="00804094"/>
    <w:rsid w:val="00804BE7"/>
    <w:rsid w:val="0080649C"/>
    <w:rsid w:val="008075D5"/>
    <w:rsid w:val="00810939"/>
    <w:rsid w:val="008131D1"/>
    <w:rsid w:val="00813DF9"/>
    <w:rsid w:val="00816DC8"/>
    <w:rsid w:val="0081794E"/>
    <w:rsid w:val="00817C77"/>
    <w:rsid w:val="00817FDE"/>
    <w:rsid w:val="00821AAE"/>
    <w:rsid w:val="00823883"/>
    <w:rsid w:val="00824370"/>
    <w:rsid w:val="00824C03"/>
    <w:rsid w:val="008259D7"/>
    <w:rsid w:val="00826527"/>
    <w:rsid w:val="00826903"/>
    <w:rsid w:val="0082704D"/>
    <w:rsid w:val="00830F71"/>
    <w:rsid w:val="008312D3"/>
    <w:rsid w:val="00832C20"/>
    <w:rsid w:val="008358E3"/>
    <w:rsid w:val="00836CFB"/>
    <w:rsid w:val="00837288"/>
    <w:rsid w:val="0083783E"/>
    <w:rsid w:val="00842AD8"/>
    <w:rsid w:val="00843584"/>
    <w:rsid w:val="0084398C"/>
    <w:rsid w:val="00843B94"/>
    <w:rsid w:val="008440BF"/>
    <w:rsid w:val="008446EE"/>
    <w:rsid w:val="00846065"/>
    <w:rsid w:val="008470B4"/>
    <w:rsid w:val="0084789E"/>
    <w:rsid w:val="00847DA8"/>
    <w:rsid w:val="008523A0"/>
    <w:rsid w:val="008524B6"/>
    <w:rsid w:val="00852608"/>
    <w:rsid w:val="008538C6"/>
    <w:rsid w:val="00854352"/>
    <w:rsid w:val="00855252"/>
    <w:rsid w:val="008556CE"/>
    <w:rsid w:val="0085618C"/>
    <w:rsid w:val="00857371"/>
    <w:rsid w:val="00857D82"/>
    <w:rsid w:val="0086044D"/>
    <w:rsid w:val="008604B5"/>
    <w:rsid w:val="008608DD"/>
    <w:rsid w:val="00860CCB"/>
    <w:rsid w:val="0086262A"/>
    <w:rsid w:val="00864794"/>
    <w:rsid w:val="00864F05"/>
    <w:rsid w:val="00865BF2"/>
    <w:rsid w:val="00867B92"/>
    <w:rsid w:val="00870FBA"/>
    <w:rsid w:val="0087198A"/>
    <w:rsid w:val="00872854"/>
    <w:rsid w:val="00873130"/>
    <w:rsid w:val="00873B8E"/>
    <w:rsid w:val="008741CA"/>
    <w:rsid w:val="00875754"/>
    <w:rsid w:val="0087669D"/>
    <w:rsid w:val="00876DB6"/>
    <w:rsid w:val="0088089D"/>
    <w:rsid w:val="00880D5F"/>
    <w:rsid w:val="00881030"/>
    <w:rsid w:val="00881080"/>
    <w:rsid w:val="0088394E"/>
    <w:rsid w:val="00884B92"/>
    <w:rsid w:val="00886DF0"/>
    <w:rsid w:val="0088721F"/>
    <w:rsid w:val="00887C75"/>
    <w:rsid w:val="008916CF"/>
    <w:rsid w:val="00891734"/>
    <w:rsid w:val="00892B26"/>
    <w:rsid w:val="00892BE7"/>
    <w:rsid w:val="008947C3"/>
    <w:rsid w:val="008963B8"/>
    <w:rsid w:val="00896734"/>
    <w:rsid w:val="008979D1"/>
    <w:rsid w:val="008A1BFC"/>
    <w:rsid w:val="008A21EE"/>
    <w:rsid w:val="008A3427"/>
    <w:rsid w:val="008A4473"/>
    <w:rsid w:val="008A462E"/>
    <w:rsid w:val="008A5D57"/>
    <w:rsid w:val="008A700D"/>
    <w:rsid w:val="008A74C9"/>
    <w:rsid w:val="008A78C2"/>
    <w:rsid w:val="008B0AC5"/>
    <w:rsid w:val="008B3117"/>
    <w:rsid w:val="008B359F"/>
    <w:rsid w:val="008B4AC4"/>
    <w:rsid w:val="008B6A3A"/>
    <w:rsid w:val="008B775D"/>
    <w:rsid w:val="008C2A02"/>
    <w:rsid w:val="008C3772"/>
    <w:rsid w:val="008C4292"/>
    <w:rsid w:val="008C53E8"/>
    <w:rsid w:val="008C5CB6"/>
    <w:rsid w:val="008D17D8"/>
    <w:rsid w:val="008D1812"/>
    <w:rsid w:val="008D3BD8"/>
    <w:rsid w:val="008D40C4"/>
    <w:rsid w:val="008D42B9"/>
    <w:rsid w:val="008D587F"/>
    <w:rsid w:val="008D6BFC"/>
    <w:rsid w:val="008D7AAE"/>
    <w:rsid w:val="008E0121"/>
    <w:rsid w:val="008E2AA1"/>
    <w:rsid w:val="008E3450"/>
    <w:rsid w:val="008E66D1"/>
    <w:rsid w:val="008E6B69"/>
    <w:rsid w:val="008E6D95"/>
    <w:rsid w:val="008E7DA3"/>
    <w:rsid w:val="008F2C5D"/>
    <w:rsid w:val="008F3487"/>
    <w:rsid w:val="008F39A1"/>
    <w:rsid w:val="008F3A3E"/>
    <w:rsid w:val="008F4F15"/>
    <w:rsid w:val="008F57D4"/>
    <w:rsid w:val="008F6011"/>
    <w:rsid w:val="008F6231"/>
    <w:rsid w:val="008F639B"/>
    <w:rsid w:val="0090178E"/>
    <w:rsid w:val="009020A6"/>
    <w:rsid w:val="009028D8"/>
    <w:rsid w:val="009033A7"/>
    <w:rsid w:val="009055A1"/>
    <w:rsid w:val="00906AD4"/>
    <w:rsid w:val="00906CFB"/>
    <w:rsid w:val="00906D1B"/>
    <w:rsid w:val="00906F8F"/>
    <w:rsid w:val="00907417"/>
    <w:rsid w:val="0091174C"/>
    <w:rsid w:val="00911911"/>
    <w:rsid w:val="00912C98"/>
    <w:rsid w:val="009137B5"/>
    <w:rsid w:val="00914ECA"/>
    <w:rsid w:val="00916E4A"/>
    <w:rsid w:val="00916F49"/>
    <w:rsid w:val="009171D8"/>
    <w:rsid w:val="009173A5"/>
    <w:rsid w:val="009201E3"/>
    <w:rsid w:val="0092146F"/>
    <w:rsid w:val="0092200B"/>
    <w:rsid w:val="00923140"/>
    <w:rsid w:val="009236F4"/>
    <w:rsid w:val="0092707B"/>
    <w:rsid w:val="009307C1"/>
    <w:rsid w:val="00931533"/>
    <w:rsid w:val="0093336F"/>
    <w:rsid w:val="00933637"/>
    <w:rsid w:val="00933EB7"/>
    <w:rsid w:val="009341D8"/>
    <w:rsid w:val="009345F9"/>
    <w:rsid w:val="0093552D"/>
    <w:rsid w:val="009360F3"/>
    <w:rsid w:val="009362B1"/>
    <w:rsid w:val="00936CD6"/>
    <w:rsid w:val="009404F2"/>
    <w:rsid w:val="00940950"/>
    <w:rsid w:val="0094173D"/>
    <w:rsid w:val="009419CB"/>
    <w:rsid w:val="00942535"/>
    <w:rsid w:val="00943353"/>
    <w:rsid w:val="009445E1"/>
    <w:rsid w:val="0094471F"/>
    <w:rsid w:val="00944841"/>
    <w:rsid w:val="00944C60"/>
    <w:rsid w:val="00944CD2"/>
    <w:rsid w:val="00944E5C"/>
    <w:rsid w:val="00944EC3"/>
    <w:rsid w:val="009456BA"/>
    <w:rsid w:val="00946566"/>
    <w:rsid w:val="0094798A"/>
    <w:rsid w:val="00947DFE"/>
    <w:rsid w:val="0095049C"/>
    <w:rsid w:val="00951C51"/>
    <w:rsid w:val="00954FB7"/>
    <w:rsid w:val="00956615"/>
    <w:rsid w:val="009568B7"/>
    <w:rsid w:val="00957E24"/>
    <w:rsid w:val="00960FBC"/>
    <w:rsid w:val="00961E04"/>
    <w:rsid w:val="00962D67"/>
    <w:rsid w:val="0096347F"/>
    <w:rsid w:val="00964939"/>
    <w:rsid w:val="00965183"/>
    <w:rsid w:val="009653B3"/>
    <w:rsid w:val="00967D45"/>
    <w:rsid w:val="00970844"/>
    <w:rsid w:val="00970F52"/>
    <w:rsid w:val="009718B3"/>
    <w:rsid w:val="00974D83"/>
    <w:rsid w:val="0097584F"/>
    <w:rsid w:val="00975928"/>
    <w:rsid w:val="009768FB"/>
    <w:rsid w:val="00976B89"/>
    <w:rsid w:val="00976FA1"/>
    <w:rsid w:val="00980862"/>
    <w:rsid w:val="00981507"/>
    <w:rsid w:val="009817F8"/>
    <w:rsid w:val="009819DB"/>
    <w:rsid w:val="00981FFC"/>
    <w:rsid w:val="00982312"/>
    <w:rsid w:val="00987001"/>
    <w:rsid w:val="00987EA9"/>
    <w:rsid w:val="00990FC8"/>
    <w:rsid w:val="009912F7"/>
    <w:rsid w:val="00991C53"/>
    <w:rsid w:val="00995E05"/>
    <w:rsid w:val="009A3989"/>
    <w:rsid w:val="009A61C2"/>
    <w:rsid w:val="009A6F8E"/>
    <w:rsid w:val="009A7644"/>
    <w:rsid w:val="009A7B41"/>
    <w:rsid w:val="009B008E"/>
    <w:rsid w:val="009B1245"/>
    <w:rsid w:val="009B1331"/>
    <w:rsid w:val="009B1E8B"/>
    <w:rsid w:val="009B271C"/>
    <w:rsid w:val="009B6653"/>
    <w:rsid w:val="009B736C"/>
    <w:rsid w:val="009C0738"/>
    <w:rsid w:val="009C15CF"/>
    <w:rsid w:val="009C1A6E"/>
    <w:rsid w:val="009C1BD6"/>
    <w:rsid w:val="009C2BF8"/>
    <w:rsid w:val="009C47C6"/>
    <w:rsid w:val="009D02A2"/>
    <w:rsid w:val="009D0F44"/>
    <w:rsid w:val="009D344D"/>
    <w:rsid w:val="009D490F"/>
    <w:rsid w:val="009D7B1F"/>
    <w:rsid w:val="009E070D"/>
    <w:rsid w:val="009E0887"/>
    <w:rsid w:val="009E0DD3"/>
    <w:rsid w:val="009E254E"/>
    <w:rsid w:val="009E3C6B"/>
    <w:rsid w:val="009E4593"/>
    <w:rsid w:val="009E4AF8"/>
    <w:rsid w:val="009E5AC7"/>
    <w:rsid w:val="009E6358"/>
    <w:rsid w:val="009E64FE"/>
    <w:rsid w:val="009E7009"/>
    <w:rsid w:val="009E71AB"/>
    <w:rsid w:val="009E7F59"/>
    <w:rsid w:val="009F02DC"/>
    <w:rsid w:val="009F0B7B"/>
    <w:rsid w:val="009F0ED7"/>
    <w:rsid w:val="009F5A53"/>
    <w:rsid w:val="009F60DE"/>
    <w:rsid w:val="009F620F"/>
    <w:rsid w:val="009F6ABF"/>
    <w:rsid w:val="009F7185"/>
    <w:rsid w:val="00A0033A"/>
    <w:rsid w:val="00A0037F"/>
    <w:rsid w:val="00A00CCC"/>
    <w:rsid w:val="00A01401"/>
    <w:rsid w:val="00A043CB"/>
    <w:rsid w:val="00A0532B"/>
    <w:rsid w:val="00A058F6"/>
    <w:rsid w:val="00A05990"/>
    <w:rsid w:val="00A05A7B"/>
    <w:rsid w:val="00A05B6B"/>
    <w:rsid w:val="00A05BDB"/>
    <w:rsid w:val="00A068DC"/>
    <w:rsid w:val="00A06D4F"/>
    <w:rsid w:val="00A07444"/>
    <w:rsid w:val="00A07FFC"/>
    <w:rsid w:val="00A10581"/>
    <w:rsid w:val="00A10ACC"/>
    <w:rsid w:val="00A13146"/>
    <w:rsid w:val="00A14090"/>
    <w:rsid w:val="00A14619"/>
    <w:rsid w:val="00A147F8"/>
    <w:rsid w:val="00A14B4F"/>
    <w:rsid w:val="00A14BBC"/>
    <w:rsid w:val="00A15831"/>
    <w:rsid w:val="00A1751E"/>
    <w:rsid w:val="00A17BCC"/>
    <w:rsid w:val="00A21064"/>
    <w:rsid w:val="00A217B4"/>
    <w:rsid w:val="00A21B60"/>
    <w:rsid w:val="00A22EE9"/>
    <w:rsid w:val="00A2312D"/>
    <w:rsid w:val="00A23343"/>
    <w:rsid w:val="00A25768"/>
    <w:rsid w:val="00A259E0"/>
    <w:rsid w:val="00A26320"/>
    <w:rsid w:val="00A31D32"/>
    <w:rsid w:val="00A3280E"/>
    <w:rsid w:val="00A33452"/>
    <w:rsid w:val="00A3461C"/>
    <w:rsid w:val="00A34D70"/>
    <w:rsid w:val="00A3675B"/>
    <w:rsid w:val="00A36894"/>
    <w:rsid w:val="00A36CC8"/>
    <w:rsid w:val="00A40688"/>
    <w:rsid w:val="00A40964"/>
    <w:rsid w:val="00A40CC7"/>
    <w:rsid w:val="00A41703"/>
    <w:rsid w:val="00A41975"/>
    <w:rsid w:val="00A41B19"/>
    <w:rsid w:val="00A41FAC"/>
    <w:rsid w:val="00A43F30"/>
    <w:rsid w:val="00A43FF1"/>
    <w:rsid w:val="00A447F4"/>
    <w:rsid w:val="00A458BA"/>
    <w:rsid w:val="00A479A3"/>
    <w:rsid w:val="00A5034F"/>
    <w:rsid w:val="00A50AB5"/>
    <w:rsid w:val="00A516FD"/>
    <w:rsid w:val="00A52EC5"/>
    <w:rsid w:val="00A53B7D"/>
    <w:rsid w:val="00A54825"/>
    <w:rsid w:val="00A54C34"/>
    <w:rsid w:val="00A54E12"/>
    <w:rsid w:val="00A55CEE"/>
    <w:rsid w:val="00A57130"/>
    <w:rsid w:val="00A57293"/>
    <w:rsid w:val="00A62E4B"/>
    <w:rsid w:val="00A64003"/>
    <w:rsid w:val="00A6409D"/>
    <w:rsid w:val="00A64170"/>
    <w:rsid w:val="00A673CE"/>
    <w:rsid w:val="00A70E3F"/>
    <w:rsid w:val="00A71D88"/>
    <w:rsid w:val="00A71FD4"/>
    <w:rsid w:val="00A7204D"/>
    <w:rsid w:val="00A72467"/>
    <w:rsid w:val="00A724AF"/>
    <w:rsid w:val="00A72A9F"/>
    <w:rsid w:val="00A731D4"/>
    <w:rsid w:val="00A74DA1"/>
    <w:rsid w:val="00A75843"/>
    <w:rsid w:val="00A765AD"/>
    <w:rsid w:val="00A77FDD"/>
    <w:rsid w:val="00A80870"/>
    <w:rsid w:val="00A80ACE"/>
    <w:rsid w:val="00A812DA"/>
    <w:rsid w:val="00A82C5E"/>
    <w:rsid w:val="00A82E83"/>
    <w:rsid w:val="00A8370E"/>
    <w:rsid w:val="00A83ADB"/>
    <w:rsid w:val="00A84BD1"/>
    <w:rsid w:val="00A856E3"/>
    <w:rsid w:val="00A869A6"/>
    <w:rsid w:val="00A86B13"/>
    <w:rsid w:val="00A86D24"/>
    <w:rsid w:val="00A87F5F"/>
    <w:rsid w:val="00A90C2B"/>
    <w:rsid w:val="00A90DBF"/>
    <w:rsid w:val="00A92C84"/>
    <w:rsid w:val="00A93520"/>
    <w:rsid w:val="00AA11A0"/>
    <w:rsid w:val="00AA1DA9"/>
    <w:rsid w:val="00AA1E43"/>
    <w:rsid w:val="00AA1EE9"/>
    <w:rsid w:val="00AA2653"/>
    <w:rsid w:val="00AA2762"/>
    <w:rsid w:val="00AA2CDD"/>
    <w:rsid w:val="00AA3DED"/>
    <w:rsid w:val="00AA465A"/>
    <w:rsid w:val="00AA51C7"/>
    <w:rsid w:val="00AA56EB"/>
    <w:rsid w:val="00AA651A"/>
    <w:rsid w:val="00AA6C92"/>
    <w:rsid w:val="00AA6CB0"/>
    <w:rsid w:val="00AA714E"/>
    <w:rsid w:val="00AA7294"/>
    <w:rsid w:val="00AA7C35"/>
    <w:rsid w:val="00AB0A99"/>
    <w:rsid w:val="00AB13B2"/>
    <w:rsid w:val="00AB2577"/>
    <w:rsid w:val="00AB2E86"/>
    <w:rsid w:val="00AB6037"/>
    <w:rsid w:val="00AC0E16"/>
    <w:rsid w:val="00AC136B"/>
    <w:rsid w:val="00AC285A"/>
    <w:rsid w:val="00AC3308"/>
    <w:rsid w:val="00AC42A4"/>
    <w:rsid w:val="00AC4359"/>
    <w:rsid w:val="00AC661F"/>
    <w:rsid w:val="00AC6CAD"/>
    <w:rsid w:val="00AC760F"/>
    <w:rsid w:val="00AD1961"/>
    <w:rsid w:val="00AD27D7"/>
    <w:rsid w:val="00AD2C13"/>
    <w:rsid w:val="00AD2CA1"/>
    <w:rsid w:val="00AD3236"/>
    <w:rsid w:val="00AD4291"/>
    <w:rsid w:val="00AD50C9"/>
    <w:rsid w:val="00AD6299"/>
    <w:rsid w:val="00AD76AE"/>
    <w:rsid w:val="00AE051E"/>
    <w:rsid w:val="00AE0BF3"/>
    <w:rsid w:val="00AE1858"/>
    <w:rsid w:val="00AE2915"/>
    <w:rsid w:val="00AE3CF3"/>
    <w:rsid w:val="00AE435A"/>
    <w:rsid w:val="00AE47D1"/>
    <w:rsid w:val="00AE5A3D"/>
    <w:rsid w:val="00AE5CDF"/>
    <w:rsid w:val="00AE6DAE"/>
    <w:rsid w:val="00AE7329"/>
    <w:rsid w:val="00AF14F1"/>
    <w:rsid w:val="00AF1F91"/>
    <w:rsid w:val="00AF2DF0"/>
    <w:rsid w:val="00AF30CC"/>
    <w:rsid w:val="00AF3AA8"/>
    <w:rsid w:val="00AF76A4"/>
    <w:rsid w:val="00B005E5"/>
    <w:rsid w:val="00B00777"/>
    <w:rsid w:val="00B011B4"/>
    <w:rsid w:val="00B02A93"/>
    <w:rsid w:val="00B0382E"/>
    <w:rsid w:val="00B04347"/>
    <w:rsid w:val="00B04540"/>
    <w:rsid w:val="00B050E7"/>
    <w:rsid w:val="00B11602"/>
    <w:rsid w:val="00B129EE"/>
    <w:rsid w:val="00B132B7"/>
    <w:rsid w:val="00B153F3"/>
    <w:rsid w:val="00B15802"/>
    <w:rsid w:val="00B160D2"/>
    <w:rsid w:val="00B17878"/>
    <w:rsid w:val="00B20C02"/>
    <w:rsid w:val="00B2133A"/>
    <w:rsid w:val="00B22B28"/>
    <w:rsid w:val="00B23597"/>
    <w:rsid w:val="00B23C2B"/>
    <w:rsid w:val="00B24051"/>
    <w:rsid w:val="00B2514A"/>
    <w:rsid w:val="00B25AFF"/>
    <w:rsid w:val="00B26543"/>
    <w:rsid w:val="00B27724"/>
    <w:rsid w:val="00B30350"/>
    <w:rsid w:val="00B30962"/>
    <w:rsid w:val="00B30A7A"/>
    <w:rsid w:val="00B313BE"/>
    <w:rsid w:val="00B3326B"/>
    <w:rsid w:val="00B33594"/>
    <w:rsid w:val="00B33E09"/>
    <w:rsid w:val="00B35080"/>
    <w:rsid w:val="00B350BE"/>
    <w:rsid w:val="00B35211"/>
    <w:rsid w:val="00B36028"/>
    <w:rsid w:val="00B3625F"/>
    <w:rsid w:val="00B37616"/>
    <w:rsid w:val="00B37667"/>
    <w:rsid w:val="00B4014C"/>
    <w:rsid w:val="00B405E2"/>
    <w:rsid w:val="00B44019"/>
    <w:rsid w:val="00B4645B"/>
    <w:rsid w:val="00B47950"/>
    <w:rsid w:val="00B5084D"/>
    <w:rsid w:val="00B51426"/>
    <w:rsid w:val="00B52454"/>
    <w:rsid w:val="00B52FA3"/>
    <w:rsid w:val="00B53539"/>
    <w:rsid w:val="00B5372B"/>
    <w:rsid w:val="00B54499"/>
    <w:rsid w:val="00B5470A"/>
    <w:rsid w:val="00B5483E"/>
    <w:rsid w:val="00B55CE5"/>
    <w:rsid w:val="00B56ABD"/>
    <w:rsid w:val="00B618E4"/>
    <w:rsid w:val="00B6446E"/>
    <w:rsid w:val="00B65E32"/>
    <w:rsid w:val="00B67036"/>
    <w:rsid w:val="00B6730D"/>
    <w:rsid w:val="00B676A7"/>
    <w:rsid w:val="00B67FAE"/>
    <w:rsid w:val="00B709BD"/>
    <w:rsid w:val="00B71E45"/>
    <w:rsid w:val="00B72B8F"/>
    <w:rsid w:val="00B73441"/>
    <w:rsid w:val="00B7585B"/>
    <w:rsid w:val="00B763EC"/>
    <w:rsid w:val="00B76FEE"/>
    <w:rsid w:val="00B77C19"/>
    <w:rsid w:val="00B77EAB"/>
    <w:rsid w:val="00B804AC"/>
    <w:rsid w:val="00B8085F"/>
    <w:rsid w:val="00B82E21"/>
    <w:rsid w:val="00B8332A"/>
    <w:rsid w:val="00B83599"/>
    <w:rsid w:val="00B83D4C"/>
    <w:rsid w:val="00B86584"/>
    <w:rsid w:val="00B879C6"/>
    <w:rsid w:val="00B90CE9"/>
    <w:rsid w:val="00B90F21"/>
    <w:rsid w:val="00B910D6"/>
    <w:rsid w:val="00B917E7"/>
    <w:rsid w:val="00B92EBD"/>
    <w:rsid w:val="00B93906"/>
    <w:rsid w:val="00B94620"/>
    <w:rsid w:val="00B95098"/>
    <w:rsid w:val="00B95642"/>
    <w:rsid w:val="00B97002"/>
    <w:rsid w:val="00BA2F06"/>
    <w:rsid w:val="00BA30F3"/>
    <w:rsid w:val="00BA3496"/>
    <w:rsid w:val="00BA3774"/>
    <w:rsid w:val="00BA4214"/>
    <w:rsid w:val="00BA5C4B"/>
    <w:rsid w:val="00BA6642"/>
    <w:rsid w:val="00BB1238"/>
    <w:rsid w:val="00BB3057"/>
    <w:rsid w:val="00BB357D"/>
    <w:rsid w:val="00BB4FF1"/>
    <w:rsid w:val="00BB638C"/>
    <w:rsid w:val="00BB708F"/>
    <w:rsid w:val="00BB75E1"/>
    <w:rsid w:val="00BB7AD7"/>
    <w:rsid w:val="00BC07E3"/>
    <w:rsid w:val="00BC131E"/>
    <w:rsid w:val="00BC19CA"/>
    <w:rsid w:val="00BC392D"/>
    <w:rsid w:val="00BC5AA0"/>
    <w:rsid w:val="00BC61CE"/>
    <w:rsid w:val="00BD1F30"/>
    <w:rsid w:val="00BD3C10"/>
    <w:rsid w:val="00BD3D7F"/>
    <w:rsid w:val="00BD462B"/>
    <w:rsid w:val="00BD4E3F"/>
    <w:rsid w:val="00BD7647"/>
    <w:rsid w:val="00BD7D8C"/>
    <w:rsid w:val="00BE0BC2"/>
    <w:rsid w:val="00BE1C45"/>
    <w:rsid w:val="00BE32D1"/>
    <w:rsid w:val="00BE40E9"/>
    <w:rsid w:val="00BE46E5"/>
    <w:rsid w:val="00BE4B3E"/>
    <w:rsid w:val="00BE4BDA"/>
    <w:rsid w:val="00BE4F51"/>
    <w:rsid w:val="00BE61F1"/>
    <w:rsid w:val="00BE6E46"/>
    <w:rsid w:val="00BE7F37"/>
    <w:rsid w:val="00BF1246"/>
    <w:rsid w:val="00BF4699"/>
    <w:rsid w:val="00BF4A1A"/>
    <w:rsid w:val="00BF5984"/>
    <w:rsid w:val="00BF5C42"/>
    <w:rsid w:val="00BF70F7"/>
    <w:rsid w:val="00BF742E"/>
    <w:rsid w:val="00BF7CF6"/>
    <w:rsid w:val="00C0004E"/>
    <w:rsid w:val="00C01DC8"/>
    <w:rsid w:val="00C01E79"/>
    <w:rsid w:val="00C02A75"/>
    <w:rsid w:val="00C03B9D"/>
    <w:rsid w:val="00C0451E"/>
    <w:rsid w:val="00C067B2"/>
    <w:rsid w:val="00C06E05"/>
    <w:rsid w:val="00C0707A"/>
    <w:rsid w:val="00C07821"/>
    <w:rsid w:val="00C07B90"/>
    <w:rsid w:val="00C12311"/>
    <w:rsid w:val="00C143AC"/>
    <w:rsid w:val="00C15F5A"/>
    <w:rsid w:val="00C1643C"/>
    <w:rsid w:val="00C165EB"/>
    <w:rsid w:val="00C16B4E"/>
    <w:rsid w:val="00C20AFE"/>
    <w:rsid w:val="00C2151C"/>
    <w:rsid w:val="00C22B3C"/>
    <w:rsid w:val="00C243D7"/>
    <w:rsid w:val="00C24560"/>
    <w:rsid w:val="00C24719"/>
    <w:rsid w:val="00C24E51"/>
    <w:rsid w:val="00C27683"/>
    <w:rsid w:val="00C27FF4"/>
    <w:rsid w:val="00C30805"/>
    <w:rsid w:val="00C32DFA"/>
    <w:rsid w:val="00C34A86"/>
    <w:rsid w:val="00C36FAF"/>
    <w:rsid w:val="00C375F0"/>
    <w:rsid w:val="00C40669"/>
    <w:rsid w:val="00C41997"/>
    <w:rsid w:val="00C41C94"/>
    <w:rsid w:val="00C4261A"/>
    <w:rsid w:val="00C4271B"/>
    <w:rsid w:val="00C42A1D"/>
    <w:rsid w:val="00C42FD2"/>
    <w:rsid w:val="00C432BA"/>
    <w:rsid w:val="00C438D5"/>
    <w:rsid w:val="00C454AE"/>
    <w:rsid w:val="00C45F00"/>
    <w:rsid w:val="00C46057"/>
    <w:rsid w:val="00C46117"/>
    <w:rsid w:val="00C46594"/>
    <w:rsid w:val="00C46CE7"/>
    <w:rsid w:val="00C47275"/>
    <w:rsid w:val="00C4756C"/>
    <w:rsid w:val="00C53E3F"/>
    <w:rsid w:val="00C559F6"/>
    <w:rsid w:val="00C55C9E"/>
    <w:rsid w:val="00C573D9"/>
    <w:rsid w:val="00C578AC"/>
    <w:rsid w:val="00C57E8A"/>
    <w:rsid w:val="00C6044C"/>
    <w:rsid w:val="00C60D30"/>
    <w:rsid w:val="00C6108A"/>
    <w:rsid w:val="00C618C9"/>
    <w:rsid w:val="00C619BD"/>
    <w:rsid w:val="00C6230F"/>
    <w:rsid w:val="00C6345E"/>
    <w:rsid w:val="00C6359A"/>
    <w:rsid w:val="00C64FA4"/>
    <w:rsid w:val="00C65FCF"/>
    <w:rsid w:val="00C660A0"/>
    <w:rsid w:val="00C66576"/>
    <w:rsid w:val="00C6693E"/>
    <w:rsid w:val="00C6715D"/>
    <w:rsid w:val="00C67AB2"/>
    <w:rsid w:val="00C70D41"/>
    <w:rsid w:val="00C71E50"/>
    <w:rsid w:val="00C72009"/>
    <w:rsid w:val="00C73166"/>
    <w:rsid w:val="00C733E7"/>
    <w:rsid w:val="00C73B45"/>
    <w:rsid w:val="00C74EA0"/>
    <w:rsid w:val="00C75E63"/>
    <w:rsid w:val="00C768AC"/>
    <w:rsid w:val="00C77028"/>
    <w:rsid w:val="00C77151"/>
    <w:rsid w:val="00C771F3"/>
    <w:rsid w:val="00C775F9"/>
    <w:rsid w:val="00C77B02"/>
    <w:rsid w:val="00C77E7E"/>
    <w:rsid w:val="00C80344"/>
    <w:rsid w:val="00C8047B"/>
    <w:rsid w:val="00C80D25"/>
    <w:rsid w:val="00C80DD8"/>
    <w:rsid w:val="00C81C53"/>
    <w:rsid w:val="00C81E95"/>
    <w:rsid w:val="00C826F8"/>
    <w:rsid w:val="00C836AC"/>
    <w:rsid w:val="00C841F6"/>
    <w:rsid w:val="00C85C4B"/>
    <w:rsid w:val="00C85C70"/>
    <w:rsid w:val="00C862F9"/>
    <w:rsid w:val="00C87047"/>
    <w:rsid w:val="00C8763D"/>
    <w:rsid w:val="00C90415"/>
    <w:rsid w:val="00C923C7"/>
    <w:rsid w:val="00C93742"/>
    <w:rsid w:val="00C937F6"/>
    <w:rsid w:val="00C94D15"/>
    <w:rsid w:val="00C9567C"/>
    <w:rsid w:val="00C95B13"/>
    <w:rsid w:val="00C97D28"/>
    <w:rsid w:val="00CA1C01"/>
    <w:rsid w:val="00CA21F1"/>
    <w:rsid w:val="00CA2D07"/>
    <w:rsid w:val="00CA3365"/>
    <w:rsid w:val="00CA3CA3"/>
    <w:rsid w:val="00CA4911"/>
    <w:rsid w:val="00CA4D66"/>
    <w:rsid w:val="00CA50F2"/>
    <w:rsid w:val="00CA5A4C"/>
    <w:rsid w:val="00CA5E3A"/>
    <w:rsid w:val="00CA6392"/>
    <w:rsid w:val="00CA70D3"/>
    <w:rsid w:val="00CA7674"/>
    <w:rsid w:val="00CB078F"/>
    <w:rsid w:val="00CB150C"/>
    <w:rsid w:val="00CB15BB"/>
    <w:rsid w:val="00CB1926"/>
    <w:rsid w:val="00CB1BEE"/>
    <w:rsid w:val="00CB617D"/>
    <w:rsid w:val="00CB6E91"/>
    <w:rsid w:val="00CB7EA7"/>
    <w:rsid w:val="00CC1639"/>
    <w:rsid w:val="00CC2DD8"/>
    <w:rsid w:val="00CC3610"/>
    <w:rsid w:val="00CC3908"/>
    <w:rsid w:val="00CC480D"/>
    <w:rsid w:val="00CC5843"/>
    <w:rsid w:val="00CD17FF"/>
    <w:rsid w:val="00CD24ED"/>
    <w:rsid w:val="00CD551A"/>
    <w:rsid w:val="00CD7C16"/>
    <w:rsid w:val="00CE0FDC"/>
    <w:rsid w:val="00CE35D4"/>
    <w:rsid w:val="00CE3979"/>
    <w:rsid w:val="00CE47D2"/>
    <w:rsid w:val="00CE51A4"/>
    <w:rsid w:val="00CE5754"/>
    <w:rsid w:val="00CE6A77"/>
    <w:rsid w:val="00CE6D11"/>
    <w:rsid w:val="00CE6E7E"/>
    <w:rsid w:val="00CF0535"/>
    <w:rsid w:val="00CF0654"/>
    <w:rsid w:val="00CF0A98"/>
    <w:rsid w:val="00CF2438"/>
    <w:rsid w:val="00CF31B1"/>
    <w:rsid w:val="00CF33D7"/>
    <w:rsid w:val="00CF3DAE"/>
    <w:rsid w:val="00CF41C5"/>
    <w:rsid w:val="00CF43C5"/>
    <w:rsid w:val="00CF70DF"/>
    <w:rsid w:val="00CF7216"/>
    <w:rsid w:val="00CF73CA"/>
    <w:rsid w:val="00CF7642"/>
    <w:rsid w:val="00D00392"/>
    <w:rsid w:val="00D01441"/>
    <w:rsid w:val="00D01519"/>
    <w:rsid w:val="00D02C13"/>
    <w:rsid w:val="00D0394E"/>
    <w:rsid w:val="00D03D3A"/>
    <w:rsid w:val="00D03DE5"/>
    <w:rsid w:val="00D05C69"/>
    <w:rsid w:val="00D05E48"/>
    <w:rsid w:val="00D06A25"/>
    <w:rsid w:val="00D06D54"/>
    <w:rsid w:val="00D071C0"/>
    <w:rsid w:val="00D072FA"/>
    <w:rsid w:val="00D10BC5"/>
    <w:rsid w:val="00D11C77"/>
    <w:rsid w:val="00D13BF3"/>
    <w:rsid w:val="00D14CAD"/>
    <w:rsid w:val="00D15FB0"/>
    <w:rsid w:val="00D16265"/>
    <w:rsid w:val="00D16A27"/>
    <w:rsid w:val="00D179A8"/>
    <w:rsid w:val="00D179B2"/>
    <w:rsid w:val="00D225D6"/>
    <w:rsid w:val="00D23FC8"/>
    <w:rsid w:val="00D24138"/>
    <w:rsid w:val="00D24212"/>
    <w:rsid w:val="00D26863"/>
    <w:rsid w:val="00D26BE0"/>
    <w:rsid w:val="00D26F21"/>
    <w:rsid w:val="00D27339"/>
    <w:rsid w:val="00D27BA8"/>
    <w:rsid w:val="00D30177"/>
    <w:rsid w:val="00D301C2"/>
    <w:rsid w:val="00D30250"/>
    <w:rsid w:val="00D3121D"/>
    <w:rsid w:val="00D319A3"/>
    <w:rsid w:val="00D32E75"/>
    <w:rsid w:val="00D34209"/>
    <w:rsid w:val="00D343BE"/>
    <w:rsid w:val="00D35539"/>
    <w:rsid w:val="00D359B0"/>
    <w:rsid w:val="00D35F7D"/>
    <w:rsid w:val="00D36AFE"/>
    <w:rsid w:val="00D3716D"/>
    <w:rsid w:val="00D37CF4"/>
    <w:rsid w:val="00D4198B"/>
    <w:rsid w:val="00D42180"/>
    <w:rsid w:val="00D42476"/>
    <w:rsid w:val="00D425CE"/>
    <w:rsid w:val="00D42C29"/>
    <w:rsid w:val="00D44470"/>
    <w:rsid w:val="00D444EC"/>
    <w:rsid w:val="00D44521"/>
    <w:rsid w:val="00D44FFE"/>
    <w:rsid w:val="00D45581"/>
    <w:rsid w:val="00D470DF"/>
    <w:rsid w:val="00D50FA5"/>
    <w:rsid w:val="00D51337"/>
    <w:rsid w:val="00D523DD"/>
    <w:rsid w:val="00D52E65"/>
    <w:rsid w:val="00D53D3C"/>
    <w:rsid w:val="00D54AA2"/>
    <w:rsid w:val="00D54E27"/>
    <w:rsid w:val="00D56272"/>
    <w:rsid w:val="00D566AD"/>
    <w:rsid w:val="00D56D88"/>
    <w:rsid w:val="00D57940"/>
    <w:rsid w:val="00D600D4"/>
    <w:rsid w:val="00D60ABB"/>
    <w:rsid w:val="00D6101F"/>
    <w:rsid w:val="00D625FB"/>
    <w:rsid w:val="00D62951"/>
    <w:rsid w:val="00D64295"/>
    <w:rsid w:val="00D64681"/>
    <w:rsid w:val="00D654D5"/>
    <w:rsid w:val="00D667FA"/>
    <w:rsid w:val="00D67E52"/>
    <w:rsid w:val="00D7004C"/>
    <w:rsid w:val="00D70A04"/>
    <w:rsid w:val="00D70E23"/>
    <w:rsid w:val="00D71B59"/>
    <w:rsid w:val="00D72022"/>
    <w:rsid w:val="00D74869"/>
    <w:rsid w:val="00D76635"/>
    <w:rsid w:val="00D7686E"/>
    <w:rsid w:val="00D77081"/>
    <w:rsid w:val="00D8083D"/>
    <w:rsid w:val="00D80CAC"/>
    <w:rsid w:val="00D81297"/>
    <w:rsid w:val="00D81589"/>
    <w:rsid w:val="00D83810"/>
    <w:rsid w:val="00D84F50"/>
    <w:rsid w:val="00D85677"/>
    <w:rsid w:val="00D858B6"/>
    <w:rsid w:val="00D86882"/>
    <w:rsid w:val="00D86D18"/>
    <w:rsid w:val="00D9046E"/>
    <w:rsid w:val="00D90720"/>
    <w:rsid w:val="00D92ECA"/>
    <w:rsid w:val="00D934D8"/>
    <w:rsid w:val="00D94139"/>
    <w:rsid w:val="00D97637"/>
    <w:rsid w:val="00DA07A4"/>
    <w:rsid w:val="00DA4271"/>
    <w:rsid w:val="00DA5230"/>
    <w:rsid w:val="00DA5D12"/>
    <w:rsid w:val="00DB24B7"/>
    <w:rsid w:val="00DB297A"/>
    <w:rsid w:val="00DB2CA7"/>
    <w:rsid w:val="00DB3DBE"/>
    <w:rsid w:val="00DB48DB"/>
    <w:rsid w:val="00DB511E"/>
    <w:rsid w:val="00DB6478"/>
    <w:rsid w:val="00DB69B9"/>
    <w:rsid w:val="00DB7518"/>
    <w:rsid w:val="00DB785C"/>
    <w:rsid w:val="00DB7973"/>
    <w:rsid w:val="00DC077F"/>
    <w:rsid w:val="00DC0AE5"/>
    <w:rsid w:val="00DC1120"/>
    <w:rsid w:val="00DC17F6"/>
    <w:rsid w:val="00DC236A"/>
    <w:rsid w:val="00DC3F50"/>
    <w:rsid w:val="00DC42B2"/>
    <w:rsid w:val="00DC4DC4"/>
    <w:rsid w:val="00DC5E9E"/>
    <w:rsid w:val="00DC6178"/>
    <w:rsid w:val="00DC643E"/>
    <w:rsid w:val="00DC6707"/>
    <w:rsid w:val="00DC7E9B"/>
    <w:rsid w:val="00DD0750"/>
    <w:rsid w:val="00DD0D06"/>
    <w:rsid w:val="00DD174E"/>
    <w:rsid w:val="00DD2377"/>
    <w:rsid w:val="00DD2E04"/>
    <w:rsid w:val="00DD2F2F"/>
    <w:rsid w:val="00DD37F4"/>
    <w:rsid w:val="00DD3C5C"/>
    <w:rsid w:val="00DD4D89"/>
    <w:rsid w:val="00DD5F82"/>
    <w:rsid w:val="00DD7347"/>
    <w:rsid w:val="00DD7807"/>
    <w:rsid w:val="00DD7885"/>
    <w:rsid w:val="00DD78F2"/>
    <w:rsid w:val="00DD7CB1"/>
    <w:rsid w:val="00DE1879"/>
    <w:rsid w:val="00DE302A"/>
    <w:rsid w:val="00DE332B"/>
    <w:rsid w:val="00DE35D6"/>
    <w:rsid w:val="00DE5B2E"/>
    <w:rsid w:val="00DE78BD"/>
    <w:rsid w:val="00DE7EE7"/>
    <w:rsid w:val="00DF181B"/>
    <w:rsid w:val="00DF1E57"/>
    <w:rsid w:val="00DF50E3"/>
    <w:rsid w:val="00DF5863"/>
    <w:rsid w:val="00DF6713"/>
    <w:rsid w:val="00DF6A4E"/>
    <w:rsid w:val="00DF78C0"/>
    <w:rsid w:val="00E002BB"/>
    <w:rsid w:val="00E01979"/>
    <w:rsid w:val="00E02BF1"/>
    <w:rsid w:val="00E031EE"/>
    <w:rsid w:val="00E03D80"/>
    <w:rsid w:val="00E04394"/>
    <w:rsid w:val="00E0507B"/>
    <w:rsid w:val="00E0530C"/>
    <w:rsid w:val="00E058D8"/>
    <w:rsid w:val="00E063E7"/>
    <w:rsid w:val="00E06AF3"/>
    <w:rsid w:val="00E07FA9"/>
    <w:rsid w:val="00E111EB"/>
    <w:rsid w:val="00E115E6"/>
    <w:rsid w:val="00E14527"/>
    <w:rsid w:val="00E164C7"/>
    <w:rsid w:val="00E16869"/>
    <w:rsid w:val="00E20FAC"/>
    <w:rsid w:val="00E21657"/>
    <w:rsid w:val="00E2169A"/>
    <w:rsid w:val="00E21FAF"/>
    <w:rsid w:val="00E220AA"/>
    <w:rsid w:val="00E23CD9"/>
    <w:rsid w:val="00E23D82"/>
    <w:rsid w:val="00E240AF"/>
    <w:rsid w:val="00E24622"/>
    <w:rsid w:val="00E25691"/>
    <w:rsid w:val="00E27B35"/>
    <w:rsid w:val="00E3103F"/>
    <w:rsid w:val="00E31605"/>
    <w:rsid w:val="00E3177B"/>
    <w:rsid w:val="00E31CA1"/>
    <w:rsid w:val="00E333B2"/>
    <w:rsid w:val="00E33867"/>
    <w:rsid w:val="00E342A5"/>
    <w:rsid w:val="00E369D2"/>
    <w:rsid w:val="00E41092"/>
    <w:rsid w:val="00E41908"/>
    <w:rsid w:val="00E41DEA"/>
    <w:rsid w:val="00E42373"/>
    <w:rsid w:val="00E4249B"/>
    <w:rsid w:val="00E42942"/>
    <w:rsid w:val="00E4297A"/>
    <w:rsid w:val="00E434CF"/>
    <w:rsid w:val="00E44017"/>
    <w:rsid w:val="00E444DA"/>
    <w:rsid w:val="00E4480B"/>
    <w:rsid w:val="00E453A5"/>
    <w:rsid w:val="00E475AC"/>
    <w:rsid w:val="00E4788E"/>
    <w:rsid w:val="00E505B6"/>
    <w:rsid w:val="00E50D7B"/>
    <w:rsid w:val="00E54B84"/>
    <w:rsid w:val="00E551E8"/>
    <w:rsid w:val="00E571DC"/>
    <w:rsid w:val="00E57936"/>
    <w:rsid w:val="00E57AE2"/>
    <w:rsid w:val="00E60E34"/>
    <w:rsid w:val="00E6256E"/>
    <w:rsid w:val="00E627FA"/>
    <w:rsid w:val="00E62FE7"/>
    <w:rsid w:val="00E63572"/>
    <w:rsid w:val="00E65B42"/>
    <w:rsid w:val="00E665A1"/>
    <w:rsid w:val="00E66C0F"/>
    <w:rsid w:val="00E677A5"/>
    <w:rsid w:val="00E67B17"/>
    <w:rsid w:val="00E71814"/>
    <w:rsid w:val="00E71F82"/>
    <w:rsid w:val="00E73FA4"/>
    <w:rsid w:val="00E748DF"/>
    <w:rsid w:val="00E74909"/>
    <w:rsid w:val="00E749F8"/>
    <w:rsid w:val="00E7509C"/>
    <w:rsid w:val="00E759B2"/>
    <w:rsid w:val="00E75FF9"/>
    <w:rsid w:val="00E7736D"/>
    <w:rsid w:val="00E77F61"/>
    <w:rsid w:val="00E808FF"/>
    <w:rsid w:val="00E80D10"/>
    <w:rsid w:val="00E80ED1"/>
    <w:rsid w:val="00E81321"/>
    <w:rsid w:val="00E81C92"/>
    <w:rsid w:val="00E82704"/>
    <w:rsid w:val="00E837DC"/>
    <w:rsid w:val="00E84A5E"/>
    <w:rsid w:val="00E87E9F"/>
    <w:rsid w:val="00E91A50"/>
    <w:rsid w:val="00E925A2"/>
    <w:rsid w:val="00E95E88"/>
    <w:rsid w:val="00E976FC"/>
    <w:rsid w:val="00E97FE1"/>
    <w:rsid w:val="00EA0105"/>
    <w:rsid w:val="00EA040C"/>
    <w:rsid w:val="00EA0AE2"/>
    <w:rsid w:val="00EA15CD"/>
    <w:rsid w:val="00EA185F"/>
    <w:rsid w:val="00EA1EC5"/>
    <w:rsid w:val="00EA30B3"/>
    <w:rsid w:val="00EA631A"/>
    <w:rsid w:val="00EA7318"/>
    <w:rsid w:val="00EA7DA1"/>
    <w:rsid w:val="00EB000B"/>
    <w:rsid w:val="00EB0BA9"/>
    <w:rsid w:val="00EB0C2D"/>
    <w:rsid w:val="00EB22DA"/>
    <w:rsid w:val="00EB242C"/>
    <w:rsid w:val="00EB3FFA"/>
    <w:rsid w:val="00EB6238"/>
    <w:rsid w:val="00EB7214"/>
    <w:rsid w:val="00EB787B"/>
    <w:rsid w:val="00EC02D8"/>
    <w:rsid w:val="00EC2343"/>
    <w:rsid w:val="00EC335C"/>
    <w:rsid w:val="00EC3446"/>
    <w:rsid w:val="00EC48D0"/>
    <w:rsid w:val="00EC52C0"/>
    <w:rsid w:val="00EC56C8"/>
    <w:rsid w:val="00EC5B21"/>
    <w:rsid w:val="00EC6708"/>
    <w:rsid w:val="00EC6C64"/>
    <w:rsid w:val="00EC70E5"/>
    <w:rsid w:val="00EC7538"/>
    <w:rsid w:val="00ED00E4"/>
    <w:rsid w:val="00ED08A3"/>
    <w:rsid w:val="00ED0CFA"/>
    <w:rsid w:val="00ED19F4"/>
    <w:rsid w:val="00ED3FF0"/>
    <w:rsid w:val="00ED4AE1"/>
    <w:rsid w:val="00ED4BFC"/>
    <w:rsid w:val="00ED6F04"/>
    <w:rsid w:val="00EE2BE7"/>
    <w:rsid w:val="00EE3E8C"/>
    <w:rsid w:val="00EE44B8"/>
    <w:rsid w:val="00EE49F5"/>
    <w:rsid w:val="00EE5458"/>
    <w:rsid w:val="00EE6127"/>
    <w:rsid w:val="00EE650A"/>
    <w:rsid w:val="00EE679D"/>
    <w:rsid w:val="00EF073E"/>
    <w:rsid w:val="00EF08F4"/>
    <w:rsid w:val="00EF26B9"/>
    <w:rsid w:val="00EF2725"/>
    <w:rsid w:val="00EF2B3A"/>
    <w:rsid w:val="00EF2C14"/>
    <w:rsid w:val="00EF3474"/>
    <w:rsid w:val="00EF3992"/>
    <w:rsid w:val="00EF3E42"/>
    <w:rsid w:val="00EF61F6"/>
    <w:rsid w:val="00EF713C"/>
    <w:rsid w:val="00F0044B"/>
    <w:rsid w:val="00F00F02"/>
    <w:rsid w:val="00F0237C"/>
    <w:rsid w:val="00F02EED"/>
    <w:rsid w:val="00F058C8"/>
    <w:rsid w:val="00F0654C"/>
    <w:rsid w:val="00F06881"/>
    <w:rsid w:val="00F106BD"/>
    <w:rsid w:val="00F10832"/>
    <w:rsid w:val="00F124F5"/>
    <w:rsid w:val="00F13259"/>
    <w:rsid w:val="00F1364E"/>
    <w:rsid w:val="00F13BCD"/>
    <w:rsid w:val="00F1489F"/>
    <w:rsid w:val="00F15981"/>
    <w:rsid w:val="00F1610E"/>
    <w:rsid w:val="00F16580"/>
    <w:rsid w:val="00F173E1"/>
    <w:rsid w:val="00F2134E"/>
    <w:rsid w:val="00F22388"/>
    <w:rsid w:val="00F23C39"/>
    <w:rsid w:val="00F24215"/>
    <w:rsid w:val="00F2449B"/>
    <w:rsid w:val="00F27610"/>
    <w:rsid w:val="00F309DD"/>
    <w:rsid w:val="00F31C2D"/>
    <w:rsid w:val="00F3350D"/>
    <w:rsid w:val="00F33A8F"/>
    <w:rsid w:val="00F33BAA"/>
    <w:rsid w:val="00F34262"/>
    <w:rsid w:val="00F3467A"/>
    <w:rsid w:val="00F34FF2"/>
    <w:rsid w:val="00F36F91"/>
    <w:rsid w:val="00F372C4"/>
    <w:rsid w:val="00F37EFF"/>
    <w:rsid w:val="00F40C28"/>
    <w:rsid w:val="00F413FC"/>
    <w:rsid w:val="00F418A6"/>
    <w:rsid w:val="00F419A3"/>
    <w:rsid w:val="00F44B43"/>
    <w:rsid w:val="00F47250"/>
    <w:rsid w:val="00F477F6"/>
    <w:rsid w:val="00F4790D"/>
    <w:rsid w:val="00F501DD"/>
    <w:rsid w:val="00F50C1A"/>
    <w:rsid w:val="00F51431"/>
    <w:rsid w:val="00F51C02"/>
    <w:rsid w:val="00F522B4"/>
    <w:rsid w:val="00F52F16"/>
    <w:rsid w:val="00F532FF"/>
    <w:rsid w:val="00F53E15"/>
    <w:rsid w:val="00F541AB"/>
    <w:rsid w:val="00F5457B"/>
    <w:rsid w:val="00F55075"/>
    <w:rsid w:val="00F55287"/>
    <w:rsid w:val="00F55548"/>
    <w:rsid w:val="00F55849"/>
    <w:rsid w:val="00F5645C"/>
    <w:rsid w:val="00F5738B"/>
    <w:rsid w:val="00F57FDE"/>
    <w:rsid w:val="00F6006E"/>
    <w:rsid w:val="00F62F6F"/>
    <w:rsid w:val="00F6385B"/>
    <w:rsid w:val="00F64834"/>
    <w:rsid w:val="00F65019"/>
    <w:rsid w:val="00F65B85"/>
    <w:rsid w:val="00F663CC"/>
    <w:rsid w:val="00F66943"/>
    <w:rsid w:val="00F66CCF"/>
    <w:rsid w:val="00F67468"/>
    <w:rsid w:val="00F6794D"/>
    <w:rsid w:val="00F709B9"/>
    <w:rsid w:val="00F71366"/>
    <w:rsid w:val="00F7280A"/>
    <w:rsid w:val="00F741A8"/>
    <w:rsid w:val="00F75D15"/>
    <w:rsid w:val="00F75DBC"/>
    <w:rsid w:val="00F7722F"/>
    <w:rsid w:val="00F77420"/>
    <w:rsid w:val="00F803AF"/>
    <w:rsid w:val="00F81FD7"/>
    <w:rsid w:val="00F8479D"/>
    <w:rsid w:val="00F849D0"/>
    <w:rsid w:val="00F84B17"/>
    <w:rsid w:val="00F85473"/>
    <w:rsid w:val="00F85888"/>
    <w:rsid w:val="00F85A88"/>
    <w:rsid w:val="00F85E3D"/>
    <w:rsid w:val="00F90C96"/>
    <w:rsid w:val="00F910A6"/>
    <w:rsid w:val="00F9118B"/>
    <w:rsid w:val="00F92464"/>
    <w:rsid w:val="00F9257D"/>
    <w:rsid w:val="00F93FA9"/>
    <w:rsid w:val="00F947D9"/>
    <w:rsid w:val="00F9498C"/>
    <w:rsid w:val="00F94F52"/>
    <w:rsid w:val="00F95310"/>
    <w:rsid w:val="00F96EA0"/>
    <w:rsid w:val="00F97D0E"/>
    <w:rsid w:val="00FA0A09"/>
    <w:rsid w:val="00FA222A"/>
    <w:rsid w:val="00FA2DFA"/>
    <w:rsid w:val="00FA39CE"/>
    <w:rsid w:val="00FA4DF5"/>
    <w:rsid w:val="00FA57EB"/>
    <w:rsid w:val="00FA6981"/>
    <w:rsid w:val="00FA6A22"/>
    <w:rsid w:val="00FB09E0"/>
    <w:rsid w:val="00FB0B5D"/>
    <w:rsid w:val="00FB0BE5"/>
    <w:rsid w:val="00FB0E4E"/>
    <w:rsid w:val="00FB2C20"/>
    <w:rsid w:val="00FB2EC9"/>
    <w:rsid w:val="00FB37F3"/>
    <w:rsid w:val="00FB4E88"/>
    <w:rsid w:val="00FB55AB"/>
    <w:rsid w:val="00FB5BAC"/>
    <w:rsid w:val="00FB6B95"/>
    <w:rsid w:val="00FC23A2"/>
    <w:rsid w:val="00FC429C"/>
    <w:rsid w:val="00FC43CE"/>
    <w:rsid w:val="00FC455F"/>
    <w:rsid w:val="00FC4698"/>
    <w:rsid w:val="00FC4BB3"/>
    <w:rsid w:val="00FD0D69"/>
    <w:rsid w:val="00FD0F3B"/>
    <w:rsid w:val="00FD14FC"/>
    <w:rsid w:val="00FD1A57"/>
    <w:rsid w:val="00FD24D5"/>
    <w:rsid w:val="00FD319C"/>
    <w:rsid w:val="00FD411A"/>
    <w:rsid w:val="00FD4BB0"/>
    <w:rsid w:val="00FD573F"/>
    <w:rsid w:val="00FD669D"/>
    <w:rsid w:val="00FD7165"/>
    <w:rsid w:val="00FD7339"/>
    <w:rsid w:val="00FD762C"/>
    <w:rsid w:val="00FE0081"/>
    <w:rsid w:val="00FE2079"/>
    <w:rsid w:val="00FE302E"/>
    <w:rsid w:val="00FE320C"/>
    <w:rsid w:val="00FE3714"/>
    <w:rsid w:val="00FE37B3"/>
    <w:rsid w:val="00FE3E50"/>
    <w:rsid w:val="00FE6E16"/>
    <w:rsid w:val="00FF0F83"/>
    <w:rsid w:val="00FF137D"/>
    <w:rsid w:val="00FF1EE5"/>
    <w:rsid w:val="00FF2230"/>
    <w:rsid w:val="00FF3673"/>
    <w:rsid w:val="00FF55DD"/>
    <w:rsid w:val="00FF623A"/>
    <w:rsid w:val="00FF63FC"/>
    <w:rsid w:val="00FF6BDF"/>
    <w:rsid w:val="00FF6FF3"/>
    <w:rsid w:val="00FF71E6"/>
    <w:rsid w:val="00FF71F4"/>
    <w:rsid w:val="00FF7A19"/>
    <w:rsid w:val="010B22B0"/>
    <w:rsid w:val="013D73EB"/>
    <w:rsid w:val="01421AD5"/>
    <w:rsid w:val="0149498D"/>
    <w:rsid w:val="014A1AA0"/>
    <w:rsid w:val="01521C8D"/>
    <w:rsid w:val="01586F89"/>
    <w:rsid w:val="0167611C"/>
    <w:rsid w:val="01681B15"/>
    <w:rsid w:val="01706F4E"/>
    <w:rsid w:val="0176477C"/>
    <w:rsid w:val="017F092B"/>
    <w:rsid w:val="01883509"/>
    <w:rsid w:val="01A324E9"/>
    <w:rsid w:val="01A8509F"/>
    <w:rsid w:val="01C25065"/>
    <w:rsid w:val="01C917F3"/>
    <w:rsid w:val="02055EE7"/>
    <w:rsid w:val="02327DC6"/>
    <w:rsid w:val="024810CF"/>
    <w:rsid w:val="02574BB2"/>
    <w:rsid w:val="026C7C28"/>
    <w:rsid w:val="027369F6"/>
    <w:rsid w:val="02901801"/>
    <w:rsid w:val="02A85F60"/>
    <w:rsid w:val="02B77668"/>
    <w:rsid w:val="02EC0838"/>
    <w:rsid w:val="02F01F87"/>
    <w:rsid w:val="0328539C"/>
    <w:rsid w:val="034F000F"/>
    <w:rsid w:val="0354599C"/>
    <w:rsid w:val="03631BBD"/>
    <w:rsid w:val="036F4CBD"/>
    <w:rsid w:val="03A94D28"/>
    <w:rsid w:val="03C2134C"/>
    <w:rsid w:val="04075DD6"/>
    <w:rsid w:val="042F4508"/>
    <w:rsid w:val="043D14AE"/>
    <w:rsid w:val="04684C7E"/>
    <w:rsid w:val="047E3EFE"/>
    <w:rsid w:val="04806B11"/>
    <w:rsid w:val="0487528E"/>
    <w:rsid w:val="04C904B8"/>
    <w:rsid w:val="04CC1B70"/>
    <w:rsid w:val="04D94C05"/>
    <w:rsid w:val="04DA0918"/>
    <w:rsid w:val="04E1293F"/>
    <w:rsid w:val="050140F6"/>
    <w:rsid w:val="05373674"/>
    <w:rsid w:val="053871E8"/>
    <w:rsid w:val="054F4F24"/>
    <w:rsid w:val="0564169D"/>
    <w:rsid w:val="057A18C8"/>
    <w:rsid w:val="058C2F2D"/>
    <w:rsid w:val="059535F7"/>
    <w:rsid w:val="060A2F13"/>
    <w:rsid w:val="061E4834"/>
    <w:rsid w:val="06287461"/>
    <w:rsid w:val="063921D8"/>
    <w:rsid w:val="0640681D"/>
    <w:rsid w:val="065D535C"/>
    <w:rsid w:val="06622973"/>
    <w:rsid w:val="069A1775"/>
    <w:rsid w:val="069B5E85"/>
    <w:rsid w:val="06B80B17"/>
    <w:rsid w:val="06F6018B"/>
    <w:rsid w:val="070B125C"/>
    <w:rsid w:val="072144FB"/>
    <w:rsid w:val="07377639"/>
    <w:rsid w:val="07393214"/>
    <w:rsid w:val="07575D5F"/>
    <w:rsid w:val="076D5696"/>
    <w:rsid w:val="07876191"/>
    <w:rsid w:val="079052BE"/>
    <w:rsid w:val="07921036"/>
    <w:rsid w:val="07EA6BC1"/>
    <w:rsid w:val="08081149"/>
    <w:rsid w:val="081D2B96"/>
    <w:rsid w:val="082434C9"/>
    <w:rsid w:val="082A01E7"/>
    <w:rsid w:val="082E5EEC"/>
    <w:rsid w:val="08390E80"/>
    <w:rsid w:val="084B599D"/>
    <w:rsid w:val="084C5688"/>
    <w:rsid w:val="08744BDF"/>
    <w:rsid w:val="08892802"/>
    <w:rsid w:val="08900349"/>
    <w:rsid w:val="0898366B"/>
    <w:rsid w:val="08A72093"/>
    <w:rsid w:val="08D54A57"/>
    <w:rsid w:val="091A0D36"/>
    <w:rsid w:val="0926237D"/>
    <w:rsid w:val="09272BDD"/>
    <w:rsid w:val="094662E6"/>
    <w:rsid w:val="0950306B"/>
    <w:rsid w:val="09DF1ACD"/>
    <w:rsid w:val="09FB1114"/>
    <w:rsid w:val="0A027D58"/>
    <w:rsid w:val="0A071383"/>
    <w:rsid w:val="0A2615C2"/>
    <w:rsid w:val="0A2C5771"/>
    <w:rsid w:val="0A416FA7"/>
    <w:rsid w:val="0A5C592B"/>
    <w:rsid w:val="0A7075D0"/>
    <w:rsid w:val="0A786C09"/>
    <w:rsid w:val="0A7D70F5"/>
    <w:rsid w:val="0AA7351F"/>
    <w:rsid w:val="0AAC68B2"/>
    <w:rsid w:val="0AB94B2B"/>
    <w:rsid w:val="0AFB186D"/>
    <w:rsid w:val="0B0C6D8A"/>
    <w:rsid w:val="0B1A5F0B"/>
    <w:rsid w:val="0B28374C"/>
    <w:rsid w:val="0B3124AE"/>
    <w:rsid w:val="0B5C2CF7"/>
    <w:rsid w:val="0B6563DC"/>
    <w:rsid w:val="0B6B2B9D"/>
    <w:rsid w:val="0B780A87"/>
    <w:rsid w:val="0B7D7AB6"/>
    <w:rsid w:val="0B95272D"/>
    <w:rsid w:val="0BB862DF"/>
    <w:rsid w:val="0BB92570"/>
    <w:rsid w:val="0BB9545A"/>
    <w:rsid w:val="0BD22349"/>
    <w:rsid w:val="0C0B585A"/>
    <w:rsid w:val="0C3C5C85"/>
    <w:rsid w:val="0C4046B8"/>
    <w:rsid w:val="0C7A0FE0"/>
    <w:rsid w:val="0C8353F1"/>
    <w:rsid w:val="0CB273DB"/>
    <w:rsid w:val="0CC47EE3"/>
    <w:rsid w:val="0CCB4880"/>
    <w:rsid w:val="0CDB667B"/>
    <w:rsid w:val="0CEF39C1"/>
    <w:rsid w:val="0D3A7549"/>
    <w:rsid w:val="0D3D30EB"/>
    <w:rsid w:val="0D400BA7"/>
    <w:rsid w:val="0D420BE6"/>
    <w:rsid w:val="0D4B23B2"/>
    <w:rsid w:val="0D531267"/>
    <w:rsid w:val="0D661F5C"/>
    <w:rsid w:val="0D6748D4"/>
    <w:rsid w:val="0D7F02AE"/>
    <w:rsid w:val="0D805BB2"/>
    <w:rsid w:val="0D822D9A"/>
    <w:rsid w:val="0DBD6233"/>
    <w:rsid w:val="0DCA0D53"/>
    <w:rsid w:val="0E325663"/>
    <w:rsid w:val="0E516B12"/>
    <w:rsid w:val="0E5C0377"/>
    <w:rsid w:val="0E8715CC"/>
    <w:rsid w:val="0E87741A"/>
    <w:rsid w:val="0EE1756D"/>
    <w:rsid w:val="0F1C0454"/>
    <w:rsid w:val="0F23447F"/>
    <w:rsid w:val="0F297AC2"/>
    <w:rsid w:val="0F307F31"/>
    <w:rsid w:val="0F506025"/>
    <w:rsid w:val="0F8947B9"/>
    <w:rsid w:val="0F9811B3"/>
    <w:rsid w:val="0FB12275"/>
    <w:rsid w:val="0FCD3553"/>
    <w:rsid w:val="0FCE2E27"/>
    <w:rsid w:val="0FED38B1"/>
    <w:rsid w:val="104355C3"/>
    <w:rsid w:val="10533F2F"/>
    <w:rsid w:val="105E3139"/>
    <w:rsid w:val="106C1C39"/>
    <w:rsid w:val="10940030"/>
    <w:rsid w:val="109B7F20"/>
    <w:rsid w:val="10AC760C"/>
    <w:rsid w:val="10B91D3E"/>
    <w:rsid w:val="10D95F27"/>
    <w:rsid w:val="10E111A2"/>
    <w:rsid w:val="11241C6E"/>
    <w:rsid w:val="113305E4"/>
    <w:rsid w:val="1153779E"/>
    <w:rsid w:val="11540A7F"/>
    <w:rsid w:val="116002EC"/>
    <w:rsid w:val="1181267C"/>
    <w:rsid w:val="118539B9"/>
    <w:rsid w:val="118934A9"/>
    <w:rsid w:val="118E0AC0"/>
    <w:rsid w:val="11AF3F8B"/>
    <w:rsid w:val="11BC0264"/>
    <w:rsid w:val="11BF511D"/>
    <w:rsid w:val="11CA4176"/>
    <w:rsid w:val="11DA6F57"/>
    <w:rsid w:val="11DE2DF5"/>
    <w:rsid w:val="11F34DC7"/>
    <w:rsid w:val="127127C4"/>
    <w:rsid w:val="12904334"/>
    <w:rsid w:val="129D6A2C"/>
    <w:rsid w:val="12F86B39"/>
    <w:rsid w:val="12F8790B"/>
    <w:rsid w:val="13343633"/>
    <w:rsid w:val="134E296B"/>
    <w:rsid w:val="135D2E40"/>
    <w:rsid w:val="138618E6"/>
    <w:rsid w:val="13AB3C92"/>
    <w:rsid w:val="13C42D7D"/>
    <w:rsid w:val="13D05F2D"/>
    <w:rsid w:val="13E470BD"/>
    <w:rsid w:val="13EE5859"/>
    <w:rsid w:val="13F6294C"/>
    <w:rsid w:val="13F7165C"/>
    <w:rsid w:val="140D6614"/>
    <w:rsid w:val="141A36F8"/>
    <w:rsid w:val="14276FAA"/>
    <w:rsid w:val="14511761"/>
    <w:rsid w:val="14671F28"/>
    <w:rsid w:val="149F0592"/>
    <w:rsid w:val="14A51393"/>
    <w:rsid w:val="14AD36C6"/>
    <w:rsid w:val="14B5622A"/>
    <w:rsid w:val="14CF0772"/>
    <w:rsid w:val="14D42C8D"/>
    <w:rsid w:val="14EC2739"/>
    <w:rsid w:val="14F60A06"/>
    <w:rsid w:val="14F965FA"/>
    <w:rsid w:val="1512710C"/>
    <w:rsid w:val="15256F10"/>
    <w:rsid w:val="15295D85"/>
    <w:rsid w:val="153964B2"/>
    <w:rsid w:val="154A2F37"/>
    <w:rsid w:val="15724254"/>
    <w:rsid w:val="159266A5"/>
    <w:rsid w:val="15BA665C"/>
    <w:rsid w:val="15D038D4"/>
    <w:rsid w:val="15E625AF"/>
    <w:rsid w:val="161447D3"/>
    <w:rsid w:val="16287735"/>
    <w:rsid w:val="163544EE"/>
    <w:rsid w:val="16461969"/>
    <w:rsid w:val="165A3666"/>
    <w:rsid w:val="166167A3"/>
    <w:rsid w:val="166319AB"/>
    <w:rsid w:val="16B95123"/>
    <w:rsid w:val="16CE1985"/>
    <w:rsid w:val="16D41873"/>
    <w:rsid w:val="16D51901"/>
    <w:rsid w:val="171741DC"/>
    <w:rsid w:val="17254D7D"/>
    <w:rsid w:val="173C7DFA"/>
    <w:rsid w:val="1757718B"/>
    <w:rsid w:val="17722E52"/>
    <w:rsid w:val="17B50B24"/>
    <w:rsid w:val="17C04389"/>
    <w:rsid w:val="18016734"/>
    <w:rsid w:val="180A2E6A"/>
    <w:rsid w:val="183E085C"/>
    <w:rsid w:val="183F27EC"/>
    <w:rsid w:val="185F6D12"/>
    <w:rsid w:val="18732BB0"/>
    <w:rsid w:val="18CD2802"/>
    <w:rsid w:val="18E157B2"/>
    <w:rsid w:val="18F04513"/>
    <w:rsid w:val="18F451F8"/>
    <w:rsid w:val="190772B1"/>
    <w:rsid w:val="191A4A7A"/>
    <w:rsid w:val="191C163C"/>
    <w:rsid w:val="19373301"/>
    <w:rsid w:val="19934CE1"/>
    <w:rsid w:val="19995A4E"/>
    <w:rsid w:val="19AA66B3"/>
    <w:rsid w:val="19BE201B"/>
    <w:rsid w:val="19C07C84"/>
    <w:rsid w:val="19C07E33"/>
    <w:rsid w:val="19E22955"/>
    <w:rsid w:val="19F4556A"/>
    <w:rsid w:val="1A2226ED"/>
    <w:rsid w:val="1A222D4C"/>
    <w:rsid w:val="1A8E2134"/>
    <w:rsid w:val="1AAF289D"/>
    <w:rsid w:val="1ADE7787"/>
    <w:rsid w:val="1B171B26"/>
    <w:rsid w:val="1B416A01"/>
    <w:rsid w:val="1B6A60FA"/>
    <w:rsid w:val="1B6E4546"/>
    <w:rsid w:val="1B7F55F5"/>
    <w:rsid w:val="1B9969DF"/>
    <w:rsid w:val="1BAA3BF7"/>
    <w:rsid w:val="1BC31CAE"/>
    <w:rsid w:val="1BF3672D"/>
    <w:rsid w:val="1C227D69"/>
    <w:rsid w:val="1C331236"/>
    <w:rsid w:val="1C337D8B"/>
    <w:rsid w:val="1C4A1FE8"/>
    <w:rsid w:val="1C626FE7"/>
    <w:rsid w:val="1C654B13"/>
    <w:rsid w:val="1C895534"/>
    <w:rsid w:val="1CAF732F"/>
    <w:rsid w:val="1CBD667A"/>
    <w:rsid w:val="1CD001DE"/>
    <w:rsid w:val="1CD057BE"/>
    <w:rsid w:val="1CF0262F"/>
    <w:rsid w:val="1D1116E1"/>
    <w:rsid w:val="1D5B28D0"/>
    <w:rsid w:val="1D6A14B0"/>
    <w:rsid w:val="1D802AE4"/>
    <w:rsid w:val="1D8237EB"/>
    <w:rsid w:val="1D954468"/>
    <w:rsid w:val="1D9A07EC"/>
    <w:rsid w:val="1DA01529"/>
    <w:rsid w:val="1DAF4CFD"/>
    <w:rsid w:val="1DB63878"/>
    <w:rsid w:val="1DD261D8"/>
    <w:rsid w:val="1DF62603"/>
    <w:rsid w:val="1E3D057A"/>
    <w:rsid w:val="1E4176F3"/>
    <w:rsid w:val="1E48649A"/>
    <w:rsid w:val="1E8709DD"/>
    <w:rsid w:val="1E887F91"/>
    <w:rsid w:val="1E894AE9"/>
    <w:rsid w:val="1E90231B"/>
    <w:rsid w:val="1EBC3B88"/>
    <w:rsid w:val="1EFB3E0E"/>
    <w:rsid w:val="1F2D3AE7"/>
    <w:rsid w:val="1F5952A1"/>
    <w:rsid w:val="1F5F64C4"/>
    <w:rsid w:val="1F61315B"/>
    <w:rsid w:val="1F7532BF"/>
    <w:rsid w:val="1F760C3E"/>
    <w:rsid w:val="1F8C48D9"/>
    <w:rsid w:val="1F950A5B"/>
    <w:rsid w:val="1FA12C44"/>
    <w:rsid w:val="1FA1347F"/>
    <w:rsid w:val="1FCA29FB"/>
    <w:rsid w:val="1FE27A49"/>
    <w:rsid w:val="20152464"/>
    <w:rsid w:val="201B0446"/>
    <w:rsid w:val="202F7AC8"/>
    <w:rsid w:val="205351BC"/>
    <w:rsid w:val="20565FBD"/>
    <w:rsid w:val="20621659"/>
    <w:rsid w:val="2076109D"/>
    <w:rsid w:val="20783067"/>
    <w:rsid w:val="208375BF"/>
    <w:rsid w:val="209F436D"/>
    <w:rsid w:val="20A36F9B"/>
    <w:rsid w:val="20B2654F"/>
    <w:rsid w:val="20B31228"/>
    <w:rsid w:val="20BC32B1"/>
    <w:rsid w:val="20C20786"/>
    <w:rsid w:val="20D12777"/>
    <w:rsid w:val="20E4629D"/>
    <w:rsid w:val="20F1099E"/>
    <w:rsid w:val="21061118"/>
    <w:rsid w:val="210617F6"/>
    <w:rsid w:val="210A3B3F"/>
    <w:rsid w:val="213D7573"/>
    <w:rsid w:val="21615F5B"/>
    <w:rsid w:val="21637E1A"/>
    <w:rsid w:val="21673B38"/>
    <w:rsid w:val="21A85BED"/>
    <w:rsid w:val="21AD478D"/>
    <w:rsid w:val="21C21CD7"/>
    <w:rsid w:val="21C44A8C"/>
    <w:rsid w:val="21CB656E"/>
    <w:rsid w:val="21FF5741"/>
    <w:rsid w:val="22097CEF"/>
    <w:rsid w:val="22114E6D"/>
    <w:rsid w:val="22494CA2"/>
    <w:rsid w:val="22704248"/>
    <w:rsid w:val="22A939AB"/>
    <w:rsid w:val="22D51EF2"/>
    <w:rsid w:val="22D64075"/>
    <w:rsid w:val="22D84302"/>
    <w:rsid w:val="22DD3D55"/>
    <w:rsid w:val="22ED6055"/>
    <w:rsid w:val="22FA4207"/>
    <w:rsid w:val="22FA59AF"/>
    <w:rsid w:val="23383F4A"/>
    <w:rsid w:val="233C0255"/>
    <w:rsid w:val="233D40F4"/>
    <w:rsid w:val="234731C4"/>
    <w:rsid w:val="235651B5"/>
    <w:rsid w:val="23C14D25"/>
    <w:rsid w:val="240771A2"/>
    <w:rsid w:val="240834CF"/>
    <w:rsid w:val="24106374"/>
    <w:rsid w:val="24111A9A"/>
    <w:rsid w:val="241308E2"/>
    <w:rsid w:val="24277523"/>
    <w:rsid w:val="243D305C"/>
    <w:rsid w:val="245A3710"/>
    <w:rsid w:val="249C309C"/>
    <w:rsid w:val="24BF6C72"/>
    <w:rsid w:val="250019AA"/>
    <w:rsid w:val="250C0222"/>
    <w:rsid w:val="2524556B"/>
    <w:rsid w:val="252771A6"/>
    <w:rsid w:val="252B7456"/>
    <w:rsid w:val="254F7F40"/>
    <w:rsid w:val="255C0FE1"/>
    <w:rsid w:val="258F76C9"/>
    <w:rsid w:val="259B5CC1"/>
    <w:rsid w:val="25BA6534"/>
    <w:rsid w:val="25C36F49"/>
    <w:rsid w:val="25D10BBD"/>
    <w:rsid w:val="25F349B4"/>
    <w:rsid w:val="26357304"/>
    <w:rsid w:val="26383155"/>
    <w:rsid w:val="263E10E0"/>
    <w:rsid w:val="269C5DE6"/>
    <w:rsid w:val="269E134D"/>
    <w:rsid w:val="26B5532D"/>
    <w:rsid w:val="26D238DD"/>
    <w:rsid w:val="27910406"/>
    <w:rsid w:val="27B10100"/>
    <w:rsid w:val="27BA4B5E"/>
    <w:rsid w:val="27BD1565"/>
    <w:rsid w:val="27C45666"/>
    <w:rsid w:val="27DA39CF"/>
    <w:rsid w:val="27DB1304"/>
    <w:rsid w:val="27DF1C1D"/>
    <w:rsid w:val="27EC55E4"/>
    <w:rsid w:val="27ED5660"/>
    <w:rsid w:val="27F53506"/>
    <w:rsid w:val="280B2944"/>
    <w:rsid w:val="283E4339"/>
    <w:rsid w:val="28632CD8"/>
    <w:rsid w:val="28924EE2"/>
    <w:rsid w:val="28991DCC"/>
    <w:rsid w:val="28A95BFB"/>
    <w:rsid w:val="28D64DCE"/>
    <w:rsid w:val="28D71C03"/>
    <w:rsid w:val="28E57B3D"/>
    <w:rsid w:val="290109FB"/>
    <w:rsid w:val="29096D87"/>
    <w:rsid w:val="291C5438"/>
    <w:rsid w:val="293146FB"/>
    <w:rsid w:val="294A1318"/>
    <w:rsid w:val="29632562"/>
    <w:rsid w:val="29AB1DDA"/>
    <w:rsid w:val="29D55DA7"/>
    <w:rsid w:val="2A0130DA"/>
    <w:rsid w:val="2A0A7906"/>
    <w:rsid w:val="2A720B27"/>
    <w:rsid w:val="2A7B7776"/>
    <w:rsid w:val="2A7C622E"/>
    <w:rsid w:val="2A844963"/>
    <w:rsid w:val="2AA35184"/>
    <w:rsid w:val="2AA64C74"/>
    <w:rsid w:val="2AA96E4D"/>
    <w:rsid w:val="2AB01296"/>
    <w:rsid w:val="2AC24BA5"/>
    <w:rsid w:val="2AE5579D"/>
    <w:rsid w:val="2AF878CB"/>
    <w:rsid w:val="2B205C57"/>
    <w:rsid w:val="2B2565AF"/>
    <w:rsid w:val="2B824D9A"/>
    <w:rsid w:val="2B861AE3"/>
    <w:rsid w:val="2B864776"/>
    <w:rsid w:val="2B894E2A"/>
    <w:rsid w:val="2B9056B8"/>
    <w:rsid w:val="2BB56C71"/>
    <w:rsid w:val="2BB804EE"/>
    <w:rsid w:val="2BB9121B"/>
    <w:rsid w:val="2BEE0681"/>
    <w:rsid w:val="2BF37873"/>
    <w:rsid w:val="2C145E84"/>
    <w:rsid w:val="2C183C2F"/>
    <w:rsid w:val="2C503500"/>
    <w:rsid w:val="2C9103E2"/>
    <w:rsid w:val="2C9F3919"/>
    <w:rsid w:val="2CB1626E"/>
    <w:rsid w:val="2CB27900"/>
    <w:rsid w:val="2CB34A44"/>
    <w:rsid w:val="2CC44CFE"/>
    <w:rsid w:val="2CEF3EF0"/>
    <w:rsid w:val="2CF217B1"/>
    <w:rsid w:val="2D12769A"/>
    <w:rsid w:val="2D506314"/>
    <w:rsid w:val="2D572256"/>
    <w:rsid w:val="2D776454"/>
    <w:rsid w:val="2D8A09EB"/>
    <w:rsid w:val="2DB30329"/>
    <w:rsid w:val="2DB94B82"/>
    <w:rsid w:val="2DBB27E5"/>
    <w:rsid w:val="2DBD47AF"/>
    <w:rsid w:val="2DE009F0"/>
    <w:rsid w:val="2DF14458"/>
    <w:rsid w:val="2DF74D6F"/>
    <w:rsid w:val="2E0E0B66"/>
    <w:rsid w:val="2E1E50F4"/>
    <w:rsid w:val="2E1F5F88"/>
    <w:rsid w:val="2E6241B4"/>
    <w:rsid w:val="2E7F20E4"/>
    <w:rsid w:val="2EA54A3D"/>
    <w:rsid w:val="2EAC540B"/>
    <w:rsid w:val="2EB975F5"/>
    <w:rsid w:val="2EBA6EE4"/>
    <w:rsid w:val="2EBC37B7"/>
    <w:rsid w:val="2EC5227F"/>
    <w:rsid w:val="2ECB4238"/>
    <w:rsid w:val="2EF23756"/>
    <w:rsid w:val="2EFD3838"/>
    <w:rsid w:val="2F176141"/>
    <w:rsid w:val="2F9135BB"/>
    <w:rsid w:val="2F94153F"/>
    <w:rsid w:val="2FB861FC"/>
    <w:rsid w:val="2FEA25EF"/>
    <w:rsid w:val="2FF32FA3"/>
    <w:rsid w:val="2FFB336C"/>
    <w:rsid w:val="30144287"/>
    <w:rsid w:val="302C1778"/>
    <w:rsid w:val="304E7528"/>
    <w:rsid w:val="307227D3"/>
    <w:rsid w:val="30AC287F"/>
    <w:rsid w:val="30BA33D2"/>
    <w:rsid w:val="30E01EE5"/>
    <w:rsid w:val="30F14239"/>
    <w:rsid w:val="30FE7546"/>
    <w:rsid w:val="310B75DF"/>
    <w:rsid w:val="31137C45"/>
    <w:rsid w:val="313763C3"/>
    <w:rsid w:val="31457F70"/>
    <w:rsid w:val="315018DF"/>
    <w:rsid w:val="31797FF5"/>
    <w:rsid w:val="31910ACA"/>
    <w:rsid w:val="319A0BBD"/>
    <w:rsid w:val="31A91164"/>
    <w:rsid w:val="31AD4B3A"/>
    <w:rsid w:val="31B74871"/>
    <w:rsid w:val="31B802A5"/>
    <w:rsid w:val="31DB7E81"/>
    <w:rsid w:val="32452FC5"/>
    <w:rsid w:val="324A25AB"/>
    <w:rsid w:val="324C0A51"/>
    <w:rsid w:val="32CF09CB"/>
    <w:rsid w:val="32D61E6F"/>
    <w:rsid w:val="32E122F5"/>
    <w:rsid w:val="32F3704C"/>
    <w:rsid w:val="33170742"/>
    <w:rsid w:val="332F3270"/>
    <w:rsid w:val="333948D8"/>
    <w:rsid w:val="33683C0A"/>
    <w:rsid w:val="339733AC"/>
    <w:rsid w:val="33AF0973"/>
    <w:rsid w:val="33BD46C4"/>
    <w:rsid w:val="33C00502"/>
    <w:rsid w:val="33CD6DCE"/>
    <w:rsid w:val="343B467F"/>
    <w:rsid w:val="345D5F94"/>
    <w:rsid w:val="348E0C53"/>
    <w:rsid w:val="34A44703"/>
    <w:rsid w:val="34CA0060"/>
    <w:rsid w:val="34E92AEC"/>
    <w:rsid w:val="35050C97"/>
    <w:rsid w:val="35124480"/>
    <w:rsid w:val="352A6335"/>
    <w:rsid w:val="35325715"/>
    <w:rsid w:val="35776F65"/>
    <w:rsid w:val="35895C12"/>
    <w:rsid w:val="35BE7316"/>
    <w:rsid w:val="35C81B9C"/>
    <w:rsid w:val="35DD15FC"/>
    <w:rsid w:val="360F1920"/>
    <w:rsid w:val="36315D3A"/>
    <w:rsid w:val="36431D50"/>
    <w:rsid w:val="36687282"/>
    <w:rsid w:val="367B027D"/>
    <w:rsid w:val="36927024"/>
    <w:rsid w:val="369A4628"/>
    <w:rsid w:val="36B47930"/>
    <w:rsid w:val="36E36056"/>
    <w:rsid w:val="36FE0EC2"/>
    <w:rsid w:val="371E4495"/>
    <w:rsid w:val="37364772"/>
    <w:rsid w:val="37626EB4"/>
    <w:rsid w:val="376A52CE"/>
    <w:rsid w:val="3783265A"/>
    <w:rsid w:val="378934A0"/>
    <w:rsid w:val="3792328E"/>
    <w:rsid w:val="37957E64"/>
    <w:rsid w:val="37B53F5A"/>
    <w:rsid w:val="37BA3B0D"/>
    <w:rsid w:val="37C16925"/>
    <w:rsid w:val="37DE29C6"/>
    <w:rsid w:val="37F306BF"/>
    <w:rsid w:val="38453A41"/>
    <w:rsid w:val="38642D8F"/>
    <w:rsid w:val="387B0C73"/>
    <w:rsid w:val="38966328"/>
    <w:rsid w:val="38AA1DD4"/>
    <w:rsid w:val="38CF5396"/>
    <w:rsid w:val="38EE7F12"/>
    <w:rsid w:val="38F21AC9"/>
    <w:rsid w:val="38F31085"/>
    <w:rsid w:val="39527019"/>
    <w:rsid w:val="39912A60"/>
    <w:rsid w:val="39DF0878"/>
    <w:rsid w:val="39E35370"/>
    <w:rsid w:val="3A024312"/>
    <w:rsid w:val="3A1E4827"/>
    <w:rsid w:val="3A6E1D9C"/>
    <w:rsid w:val="3A8A558F"/>
    <w:rsid w:val="3A9A62CF"/>
    <w:rsid w:val="3AB114F3"/>
    <w:rsid w:val="3AD13648"/>
    <w:rsid w:val="3AE06E55"/>
    <w:rsid w:val="3AEB64D0"/>
    <w:rsid w:val="3B181A0D"/>
    <w:rsid w:val="3B4128EB"/>
    <w:rsid w:val="3B4E7CB6"/>
    <w:rsid w:val="3B5F48D5"/>
    <w:rsid w:val="3B620744"/>
    <w:rsid w:val="3B770DA7"/>
    <w:rsid w:val="3B873008"/>
    <w:rsid w:val="3BBC42F8"/>
    <w:rsid w:val="3BBE7541"/>
    <w:rsid w:val="3BC96A50"/>
    <w:rsid w:val="3BE330C7"/>
    <w:rsid w:val="3C09250F"/>
    <w:rsid w:val="3C1857CC"/>
    <w:rsid w:val="3C236B80"/>
    <w:rsid w:val="3C261771"/>
    <w:rsid w:val="3C31356B"/>
    <w:rsid w:val="3C3D6ABB"/>
    <w:rsid w:val="3CA20B6B"/>
    <w:rsid w:val="3CC408D9"/>
    <w:rsid w:val="3D0013AF"/>
    <w:rsid w:val="3D0F0457"/>
    <w:rsid w:val="3D742FBD"/>
    <w:rsid w:val="3D7B789B"/>
    <w:rsid w:val="3DB87C84"/>
    <w:rsid w:val="3DE975DB"/>
    <w:rsid w:val="3E1635D4"/>
    <w:rsid w:val="3E1E11C6"/>
    <w:rsid w:val="3E3318C3"/>
    <w:rsid w:val="3E3A4E87"/>
    <w:rsid w:val="3E614C79"/>
    <w:rsid w:val="3E8827BE"/>
    <w:rsid w:val="3E882B60"/>
    <w:rsid w:val="3E976956"/>
    <w:rsid w:val="3EA469BF"/>
    <w:rsid w:val="3EA80026"/>
    <w:rsid w:val="3EB20BB5"/>
    <w:rsid w:val="3EB31CE3"/>
    <w:rsid w:val="3EC11C25"/>
    <w:rsid w:val="3ED5421D"/>
    <w:rsid w:val="3EF54430"/>
    <w:rsid w:val="3F375FF5"/>
    <w:rsid w:val="3F653A30"/>
    <w:rsid w:val="3F707167"/>
    <w:rsid w:val="3F824E8C"/>
    <w:rsid w:val="3FAA1B9E"/>
    <w:rsid w:val="3FB86B84"/>
    <w:rsid w:val="3FCD2BEA"/>
    <w:rsid w:val="3FE07E89"/>
    <w:rsid w:val="3FF57DD8"/>
    <w:rsid w:val="3FFA3837"/>
    <w:rsid w:val="400C3790"/>
    <w:rsid w:val="40271FB7"/>
    <w:rsid w:val="402E5098"/>
    <w:rsid w:val="40442B0E"/>
    <w:rsid w:val="40493C80"/>
    <w:rsid w:val="4057639D"/>
    <w:rsid w:val="405A7C3B"/>
    <w:rsid w:val="40A51701"/>
    <w:rsid w:val="40BC4452"/>
    <w:rsid w:val="40D31462"/>
    <w:rsid w:val="413E7616"/>
    <w:rsid w:val="414C12B2"/>
    <w:rsid w:val="417B0177"/>
    <w:rsid w:val="41CC2A37"/>
    <w:rsid w:val="41D4164A"/>
    <w:rsid w:val="41E73D28"/>
    <w:rsid w:val="4264097F"/>
    <w:rsid w:val="42795923"/>
    <w:rsid w:val="428E6C45"/>
    <w:rsid w:val="428F4B8E"/>
    <w:rsid w:val="42A665C3"/>
    <w:rsid w:val="42B60D1B"/>
    <w:rsid w:val="42CA382E"/>
    <w:rsid w:val="42CD143D"/>
    <w:rsid w:val="42CF6AAA"/>
    <w:rsid w:val="42F35C5E"/>
    <w:rsid w:val="42F55468"/>
    <w:rsid w:val="42FF4ACA"/>
    <w:rsid w:val="43040332"/>
    <w:rsid w:val="43041D8C"/>
    <w:rsid w:val="431112C3"/>
    <w:rsid w:val="43142CFA"/>
    <w:rsid w:val="43747266"/>
    <w:rsid w:val="43800031"/>
    <w:rsid w:val="43853344"/>
    <w:rsid w:val="43DF0701"/>
    <w:rsid w:val="44006D4C"/>
    <w:rsid w:val="44093D0A"/>
    <w:rsid w:val="441879DC"/>
    <w:rsid w:val="441F73E6"/>
    <w:rsid w:val="442946D2"/>
    <w:rsid w:val="442D69E5"/>
    <w:rsid w:val="4440539A"/>
    <w:rsid w:val="444C2687"/>
    <w:rsid w:val="444F665A"/>
    <w:rsid w:val="445E3397"/>
    <w:rsid w:val="44753296"/>
    <w:rsid w:val="44D24046"/>
    <w:rsid w:val="44DF2C9A"/>
    <w:rsid w:val="44E6150B"/>
    <w:rsid w:val="44F81CC7"/>
    <w:rsid w:val="450B43E9"/>
    <w:rsid w:val="45585B47"/>
    <w:rsid w:val="455A248C"/>
    <w:rsid w:val="45671C11"/>
    <w:rsid w:val="45786E49"/>
    <w:rsid w:val="457B2B2E"/>
    <w:rsid w:val="45A17B83"/>
    <w:rsid w:val="45C30C36"/>
    <w:rsid w:val="45E44D31"/>
    <w:rsid w:val="460D2370"/>
    <w:rsid w:val="46476537"/>
    <w:rsid w:val="465B470D"/>
    <w:rsid w:val="46812515"/>
    <w:rsid w:val="46AE6F33"/>
    <w:rsid w:val="46DD4BAB"/>
    <w:rsid w:val="470667BA"/>
    <w:rsid w:val="472A37D9"/>
    <w:rsid w:val="472B39D5"/>
    <w:rsid w:val="473A2575"/>
    <w:rsid w:val="47451895"/>
    <w:rsid w:val="474D04FA"/>
    <w:rsid w:val="47504671"/>
    <w:rsid w:val="475771AB"/>
    <w:rsid w:val="4767041D"/>
    <w:rsid w:val="476C180E"/>
    <w:rsid w:val="47A049D2"/>
    <w:rsid w:val="47F844C1"/>
    <w:rsid w:val="4812529F"/>
    <w:rsid w:val="48255B9E"/>
    <w:rsid w:val="48501030"/>
    <w:rsid w:val="48652583"/>
    <w:rsid w:val="486F7E36"/>
    <w:rsid w:val="487115CE"/>
    <w:rsid w:val="48952158"/>
    <w:rsid w:val="48C01C72"/>
    <w:rsid w:val="48E64762"/>
    <w:rsid w:val="48EB3DA3"/>
    <w:rsid w:val="4909290D"/>
    <w:rsid w:val="490D6A3A"/>
    <w:rsid w:val="4916491B"/>
    <w:rsid w:val="49180694"/>
    <w:rsid w:val="491E20F9"/>
    <w:rsid w:val="493703C9"/>
    <w:rsid w:val="49731D6E"/>
    <w:rsid w:val="498724AA"/>
    <w:rsid w:val="49924714"/>
    <w:rsid w:val="49C5556E"/>
    <w:rsid w:val="49CD5922"/>
    <w:rsid w:val="49DD7471"/>
    <w:rsid w:val="49E4366B"/>
    <w:rsid w:val="4A0A7E7D"/>
    <w:rsid w:val="4A3F748D"/>
    <w:rsid w:val="4A496D4D"/>
    <w:rsid w:val="4A581B94"/>
    <w:rsid w:val="4A5F138C"/>
    <w:rsid w:val="4A663C7D"/>
    <w:rsid w:val="4AD827D0"/>
    <w:rsid w:val="4AE937D0"/>
    <w:rsid w:val="4B06733D"/>
    <w:rsid w:val="4B947930"/>
    <w:rsid w:val="4BA10E14"/>
    <w:rsid w:val="4BA25631"/>
    <w:rsid w:val="4BA71647"/>
    <w:rsid w:val="4BD034A7"/>
    <w:rsid w:val="4BE4192E"/>
    <w:rsid w:val="4BE92DC9"/>
    <w:rsid w:val="4C0F59E0"/>
    <w:rsid w:val="4C3C612D"/>
    <w:rsid w:val="4C4F261E"/>
    <w:rsid w:val="4C8C73CE"/>
    <w:rsid w:val="4CA07649"/>
    <w:rsid w:val="4CD11A03"/>
    <w:rsid w:val="4D2337C0"/>
    <w:rsid w:val="4D2B0365"/>
    <w:rsid w:val="4D336867"/>
    <w:rsid w:val="4D341DEA"/>
    <w:rsid w:val="4DEE7533"/>
    <w:rsid w:val="4DF416CF"/>
    <w:rsid w:val="4DF84276"/>
    <w:rsid w:val="4E1458CD"/>
    <w:rsid w:val="4E497F1B"/>
    <w:rsid w:val="4E6D2EFF"/>
    <w:rsid w:val="4E7426C2"/>
    <w:rsid w:val="4E824F2D"/>
    <w:rsid w:val="4EAD5D39"/>
    <w:rsid w:val="4ECD0FFC"/>
    <w:rsid w:val="4ED700F3"/>
    <w:rsid w:val="4F132029"/>
    <w:rsid w:val="4F172DAD"/>
    <w:rsid w:val="4F1D4C56"/>
    <w:rsid w:val="4F6E54B1"/>
    <w:rsid w:val="4F87124A"/>
    <w:rsid w:val="4F9938BF"/>
    <w:rsid w:val="4F9A2358"/>
    <w:rsid w:val="4F9D3F7B"/>
    <w:rsid w:val="4FBB5F11"/>
    <w:rsid w:val="4FC6709B"/>
    <w:rsid w:val="502940EF"/>
    <w:rsid w:val="503079BB"/>
    <w:rsid w:val="505521CD"/>
    <w:rsid w:val="50600B4F"/>
    <w:rsid w:val="50861C2B"/>
    <w:rsid w:val="50A624B4"/>
    <w:rsid w:val="50E00577"/>
    <w:rsid w:val="50E8793A"/>
    <w:rsid w:val="5106201A"/>
    <w:rsid w:val="51084972"/>
    <w:rsid w:val="51191F35"/>
    <w:rsid w:val="516C6703"/>
    <w:rsid w:val="517B1BA2"/>
    <w:rsid w:val="51826FF2"/>
    <w:rsid w:val="51953546"/>
    <w:rsid w:val="51A178B3"/>
    <w:rsid w:val="51AD394D"/>
    <w:rsid w:val="51C13FBE"/>
    <w:rsid w:val="51D87CE5"/>
    <w:rsid w:val="51DB640B"/>
    <w:rsid w:val="51E170E2"/>
    <w:rsid w:val="51E47CAD"/>
    <w:rsid w:val="5212481A"/>
    <w:rsid w:val="525953CC"/>
    <w:rsid w:val="52A42F98"/>
    <w:rsid w:val="52CE1E1F"/>
    <w:rsid w:val="52D974C5"/>
    <w:rsid w:val="532B175A"/>
    <w:rsid w:val="532E6A44"/>
    <w:rsid w:val="53365AC0"/>
    <w:rsid w:val="53522144"/>
    <w:rsid w:val="536F1ED9"/>
    <w:rsid w:val="53B13D90"/>
    <w:rsid w:val="53CF1177"/>
    <w:rsid w:val="53EF7EA2"/>
    <w:rsid w:val="53F641CF"/>
    <w:rsid w:val="54020CC5"/>
    <w:rsid w:val="54297CA2"/>
    <w:rsid w:val="542F35C2"/>
    <w:rsid w:val="54393285"/>
    <w:rsid w:val="544F3B03"/>
    <w:rsid w:val="547F7360"/>
    <w:rsid w:val="54840CDB"/>
    <w:rsid w:val="54A24918"/>
    <w:rsid w:val="54C40282"/>
    <w:rsid w:val="54F66653"/>
    <w:rsid w:val="55195971"/>
    <w:rsid w:val="5545457F"/>
    <w:rsid w:val="554967A4"/>
    <w:rsid w:val="556C5FEF"/>
    <w:rsid w:val="558860E1"/>
    <w:rsid w:val="5597610D"/>
    <w:rsid w:val="559B4B26"/>
    <w:rsid w:val="55A0213D"/>
    <w:rsid w:val="55A42A3E"/>
    <w:rsid w:val="55BD6AFE"/>
    <w:rsid w:val="55E15937"/>
    <w:rsid w:val="55FA6A14"/>
    <w:rsid w:val="56061A78"/>
    <w:rsid w:val="56097CE2"/>
    <w:rsid w:val="56195A0B"/>
    <w:rsid w:val="561F7505"/>
    <w:rsid w:val="5693264F"/>
    <w:rsid w:val="56A66BBF"/>
    <w:rsid w:val="56D279DA"/>
    <w:rsid w:val="56DB78D0"/>
    <w:rsid w:val="572C7C4E"/>
    <w:rsid w:val="573516D7"/>
    <w:rsid w:val="574E71C0"/>
    <w:rsid w:val="57526648"/>
    <w:rsid w:val="578D3AEA"/>
    <w:rsid w:val="578F06CC"/>
    <w:rsid w:val="579A5E62"/>
    <w:rsid w:val="57C77E54"/>
    <w:rsid w:val="57E66A96"/>
    <w:rsid w:val="57FB5D50"/>
    <w:rsid w:val="58272FE8"/>
    <w:rsid w:val="58BF19BD"/>
    <w:rsid w:val="58C223CA"/>
    <w:rsid w:val="58CB5722"/>
    <w:rsid w:val="59052625"/>
    <w:rsid w:val="590B20CA"/>
    <w:rsid w:val="5916227A"/>
    <w:rsid w:val="591774FD"/>
    <w:rsid w:val="59253085"/>
    <w:rsid w:val="59367C16"/>
    <w:rsid w:val="59433972"/>
    <w:rsid w:val="594E6604"/>
    <w:rsid w:val="59575208"/>
    <w:rsid w:val="59605E6B"/>
    <w:rsid w:val="598456E5"/>
    <w:rsid w:val="599E4BCA"/>
    <w:rsid w:val="59A84BE0"/>
    <w:rsid w:val="59A94BF3"/>
    <w:rsid w:val="59BA6CC4"/>
    <w:rsid w:val="59DB4514"/>
    <w:rsid w:val="5A022F5D"/>
    <w:rsid w:val="5A174AF7"/>
    <w:rsid w:val="5A904F9C"/>
    <w:rsid w:val="5A9E1CBA"/>
    <w:rsid w:val="5ABF4E13"/>
    <w:rsid w:val="5AD35E38"/>
    <w:rsid w:val="5AD461F7"/>
    <w:rsid w:val="5ADF33B1"/>
    <w:rsid w:val="5ADF54B5"/>
    <w:rsid w:val="5AE4562C"/>
    <w:rsid w:val="5B0A2163"/>
    <w:rsid w:val="5B21042A"/>
    <w:rsid w:val="5B2F1F99"/>
    <w:rsid w:val="5B334C03"/>
    <w:rsid w:val="5B7934F9"/>
    <w:rsid w:val="5B7E5245"/>
    <w:rsid w:val="5BB45AC8"/>
    <w:rsid w:val="5BD37744"/>
    <w:rsid w:val="5BEA4111"/>
    <w:rsid w:val="5C050B76"/>
    <w:rsid w:val="5C0D6C89"/>
    <w:rsid w:val="5C237623"/>
    <w:rsid w:val="5C2B2FD1"/>
    <w:rsid w:val="5C545A2F"/>
    <w:rsid w:val="5C5C3292"/>
    <w:rsid w:val="5C6B7CE8"/>
    <w:rsid w:val="5C6F7C33"/>
    <w:rsid w:val="5CBC70CA"/>
    <w:rsid w:val="5CE03E68"/>
    <w:rsid w:val="5D131D45"/>
    <w:rsid w:val="5D2E22B3"/>
    <w:rsid w:val="5D366052"/>
    <w:rsid w:val="5D4444D3"/>
    <w:rsid w:val="5D810AA5"/>
    <w:rsid w:val="5D816C36"/>
    <w:rsid w:val="5D9F7A3B"/>
    <w:rsid w:val="5DA57A6A"/>
    <w:rsid w:val="5DA77719"/>
    <w:rsid w:val="5DBD1131"/>
    <w:rsid w:val="5DC948F1"/>
    <w:rsid w:val="5DCB7EE9"/>
    <w:rsid w:val="5E0800F7"/>
    <w:rsid w:val="5E086AD1"/>
    <w:rsid w:val="5E20206C"/>
    <w:rsid w:val="5E3478C6"/>
    <w:rsid w:val="5EA54292"/>
    <w:rsid w:val="5EE10E46"/>
    <w:rsid w:val="5EE4753E"/>
    <w:rsid w:val="5EEC63AA"/>
    <w:rsid w:val="5EF2369C"/>
    <w:rsid w:val="5EF325CC"/>
    <w:rsid w:val="5EF37781"/>
    <w:rsid w:val="5F055294"/>
    <w:rsid w:val="5F1B31B9"/>
    <w:rsid w:val="5F2D2C93"/>
    <w:rsid w:val="5F58344B"/>
    <w:rsid w:val="5F750196"/>
    <w:rsid w:val="5FA1329D"/>
    <w:rsid w:val="5FB82CB8"/>
    <w:rsid w:val="5FBA11DC"/>
    <w:rsid w:val="5FD146B7"/>
    <w:rsid w:val="5FD87D5A"/>
    <w:rsid w:val="600B28A8"/>
    <w:rsid w:val="60866BD6"/>
    <w:rsid w:val="60C40F0C"/>
    <w:rsid w:val="60EA5239"/>
    <w:rsid w:val="611E54F4"/>
    <w:rsid w:val="61291238"/>
    <w:rsid w:val="612956DC"/>
    <w:rsid w:val="61533208"/>
    <w:rsid w:val="616E1D62"/>
    <w:rsid w:val="617C5039"/>
    <w:rsid w:val="61840B64"/>
    <w:rsid w:val="619F22CC"/>
    <w:rsid w:val="619F5167"/>
    <w:rsid w:val="61BF3FDC"/>
    <w:rsid w:val="61C060CD"/>
    <w:rsid w:val="62237435"/>
    <w:rsid w:val="62274D59"/>
    <w:rsid w:val="62351E24"/>
    <w:rsid w:val="628B3841"/>
    <w:rsid w:val="62B334AF"/>
    <w:rsid w:val="62BE1E54"/>
    <w:rsid w:val="62CB2C61"/>
    <w:rsid w:val="62CF2A5C"/>
    <w:rsid w:val="62F154D7"/>
    <w:rsid w:val="62FE04A2"/>
    <w:rsid w:val="63271913"/>
    <w:rsid w:val="63323263"/>
    <w:rsid w:val="63584057"/>
    <w:rsid w:val="635D415C"/>
    <w:rsid w:val="639A7B74"/>
    <w:rsid w:val="63AB50B9"/>
    <w:rsid w:val="63B65E18"/>
    <w:rsid w:val="63BC45E5"/>
    <w:rsid w:val="63DA17F4"/>
    <w:rsid w:val="63DE2472"/>
    <w:rsid w:val="64015000"/>
    <w:rsid w:val="64047BC5"/>
    <w:rsid w:val="6423378D"/>
    <w:rsid w:val="642E2F7D"/>
    <w:rsid w:val="64356146"/>
    <w:rsid w:val="64560399"/>
    <w:rsid w:val="64564AEC"/>
    <w:rsid w:val="649615B8"/>
    <w:rsid w:val="649E018F"/>
    <w:rsid w:val="64A1456B"/>
    <w:rsid w:val="64A81E94"/>
    <w:rsid w:val="64AC5D92"/>
    <w:rsid w:val="64B6570F"/>
    <w:rsid w:val="64BB4B0C"/>
    <w:rsid w:val="64C64FF0"/>
    <w:rsid w:val="64EF6A60"/>
    <w:rsid w:val="64F4459D"/>
    <w:rsid w:val="64FB4240"/>
    <w:rsid w:val="65036AD0"/>
    <w:rsid w:val="65186248"/>
    <w:rsid w:val="65297628"/>
    <w:rsid w:val="653B3120"/>
    <w:rsid w:val="65644F35"/>
    <w:rsid w:val="65A672FB"/>
    <w:rsid w:val="65AE076C"/>
    <w:rsid w:val="65B21D8B"/>
    <w:rsid w:val="65B662D0"/>
    <w:rsid w:val="65E825DA"/>
    <w:rsid w:val="65F43FEF"/>
    <w:rsid w:val="6604104A"/>
    <w:rsid w:val="6622386A"/>
    <w:rsid w:val="662446C4"/>
    <w:rsid w:val="6659611C"/>
    <w:rsid w:val="66717BB2"/>
    <w:rsid w:val="669337E2"/>
    <w:rsid w:val="669F0930"/>
    <w:rsid w:val="66C00CDD"/>
    <w:rsid w:val="66CA7270"/>
    <w:rsid w:val="66D103A8"/>
    <w:rsid w:val="66D97E2E"/>
    <w:rsid w:val="66F15384"/>
    <w:rsid w:val="66FB3536"/>
    <w:rsid w:val="671D539B"/>
    <w:rsid w:val="672700C8"/>
    <w:rsid w:val="673169CB"/>
    <w:rsid w:val="67917B37"/>
    <w:rsid w:val="679B05D3"/>
    <w:rsid w:val="67A92E73"/>
    <w:rsid w:val="67D8074E"/>
    <w:rsid w:val="67DE3651"/>
    <w:rsid w:val="67E20393"/>
    <w:rsid w:val="67ED41D4"/>
    <w:rsid w:val="67FB0696"/>
    <w:rsid w:val="68476448"/>
    <w:rsid w:val="684A0649"/>
    <w:rsid w:val="68685A3C"/>
    <w:rsid w:val="68751207"/>
    <w:rsid w:val="688C66C6"/>
    <w:rsid w:val="68C47737"/>
    <w:rsid w:val="68D243C3"/>
    <w:rsid w:val="68DB550E"/>
    <w:rsid w:val="68EF27D2"/>
    <w:rsid w:val="68F74922"/>
    <w:rsid w:val="68F760C0"/>
    <w:rsid w:val="690D0478"/>
    <w:rsid w:val="69107141"/>
    <w:rsid w:val="69132EFA"/>
    <w:rsid w:val="6917406C"/>
    <w:rsid w:val="692E441C"/>
    <w:rsid w:val="6937496B"/>
    <w:rsid w:val="693E22F9"/>
    <w:rsid w:val="69414352"/>
    <w:rsid w:val="695B0B33"/>
    <w:rsid w:val="6975068F"/>
    <w:rsid w:val="699529C5"/>
    <w:rsid w:val="699C6B50"/>
    <w:rsid w:val="69AC0C58"/>
    <w:rsid w:val="69AE7764"/>
    <w:rsid w:val="69BA1483"/>
    <w:rsid w:val="69D87B77"/>
    <w:rsid w:val="69FA19C4"/>
    <w:rsid w:val="6A10120A"/>
    <w:rsid w:val="6A10568B"/>
    <w:rsid w:val="6A2E27F3"/>
    <w:rsid w:val="6A444AB0"/>
    <w:rsid w:val="6A711BA2"/>
    <w:rsid w:val="6A7F45BF"/>
    <w:rsid w:val="6AA33E09"/>
    <w:rsid w:val="6AC1662F"/>
    <w:rsid w:val="6AC21CE8"/>
    <w:rsid w:val="6AD75287"/>
    <w:rsid w:val="6AD7691B"/>
    <w:rsid w:val="6AF864C4"/>
    <w:rsid w:val="6AFD77E4"/>
    <w:rsid w:val="6B1F5CAF"/>
    <w:rsid w:val="6B2667E8"/>
    <w:rsid w:val="6B47372C"/>
    <w:rsid w:val="6B4A718F"/>
    <w:rsid w:val="6B874779"/>
    <w:rsid w:val="6B8D405B"/>
    <w:rsid w:val="6BAC0837"/>
    <w:rsid w:val="6BBB0661"/>
    <w:rsid w:val="6BC00137"/>
    <w:rsid w:val="6BD12BF8"/>
    <w:rsid w:val="6BD32B8E"/>
    <w:rsid w:val="6BD46A7E"/>
    <w:rsid w:val="6BDF00A1"/>
    <w:rsid w:val="6BE558C2"/>
    <w:rsid w:val="6BFF1513"/>
    <w:rsid w:val="6C0B0E44"/>
    <w:rsid w:val="6C221695"/>
    <w:rsid w:val="6C257A09"/>
    <w:rsid w:val="6C524E20"/>
    <w:rsid w:val="6C571FD5"/>
    <w:rsid w:val="6C5D56EC"/>
    <w:rsid w:val="6CB520C0"/>
    <w:rsid w:val="6CCE0EE6"/>
    <w:rsid w:val="6CD52274"/>
    <w:rsid w:val="6D266E50"/>
    <w:rsid w:val="6D2A7C79"/>
    <w:rsid w:val="6D400035"/>
    <w:rsid w:val="6D455235"/>
    <w:rsid w:val="6D8A7502"/>
    <w:rsid w:val="6DEA72F0"/>
    <w:rsid w:val="6E1F5A5B"/>
    <w:rsid w:val="6E3715C7"/>
    <w:rsid w:val="6E5A6ED5"/>
    <w:rsid w:val="6E837F00"/>
    <w:rsid w:val="6E9F3D3E"/>
    <w:rsid w:val="6EBE1FEA"/>
    <w:rsid w:val="6F393F46"/>
    <w:rsid w:val="6F4F27B2"/>
    <w:rsid w:val="6F60051B"/>
    <w:rsid w:val="6F644046"/>
    <w:rsid w:val="6F872048"/>
    <w:rsid w:val="6FAD6AD4"/>
    <w:rsid w:val="6FB85436"/>
    <w:rsid w:val="6FCC297B"/>
    <w:rsid w:val="6FCE2BA6"/>
    <w:rsid w:val="70302B9C"/>
    <w:rsid w:val="703674CE"/>
    <w:rsid w:val="704769F8"/>
    <w:rsid w:val="709139EA"/>
    <w:rsid w:val="70B21B4B"/>
    <w:rsid w:val="70DC68F1"/>
    <w:rsid w:val="70DD5B9B"/>
    <w:rsid w:val="710714CA"/>
    <w:rsid w:val="712D1349"/>
    <w:rsid w:val="71542301"/>
    <w:rsid w:val="71994DB5"/>
    <w:rsid w:val="71B42DA0"/>
    <w:rsid w:val="71B5786E"/>
    <w:rsid w:val="71BC75BD"/>
    <w:rsid w:val="71C56D5B"/>
    <w:rsid w:val="71C76C8A"/>
    <w:rsid w:val="71D93742"/>
    <w:rsid w:val="71FA0DD0"/>
    <w:rsid w:val="71FC3B4E"/>
    <w:rsid w:val="7208515D"/>
    <w:rsid w:val="720A0C12"/>
    <w:rsid w:val="722231C3"/>
    <w:rsid w:val="72427B08"/>
    <w:rsid w:val="72435ED2"/>
    <w:rsid w:val="72713513"/>
    <w:rsid w:val="727A7B45"/>
    <w:rsid w:val="728C3603"/>
    <w:rsid w:val="72A44BC2"/>
    <w:rsid w:val="72AC7571"/>
    <w:rsid w:val="72C62D8B"/>
    <w:rsid w:val="72DE276E"/>
    <w:rsid w:val="72F01FDB"/>
    <w:rsid w:val="72F157AE"/>
    <w:rsid w:val="730C0765"/>
    <w:rsid w:val="734435F5"/>
    <w:rsid w:val="73B307DA"/>
    <w:rsid w:val="73DD21B3"/>
    <w:rsid w:val="74297920"/>
    <w:rsid w:val="743E4EF1"/>
    <w:rsid w:val="74AB3F50"/>
    <w:rsid w:val="74B11E60"/>
    <w:rsid w:val="74B56237"/>
    <w:rsid w:val="74BA5CC7"/>
    <w:rsid w:val="74CE240D"/>
    <w:rsid w:val="74D84FF7"/>
    <w:rsid w:val="74DB6AD8"/>
    <w:rsid w:val="74DC19FE"/>
    <w:rsid w:val="74F50865"/>
    <w:rsid w:val="7550239F"/>
    <w:rsid w:val="75584B24"/>
    <w:rsid w:val="756141F5"/>
    <w:rsid w:val="75790588"/>
    <w:rsid w:val="758D4DA7"/>
    <w:rsid w:val="75930F1E"/>
    <w:rsid w:val="75BE243F"/>
    <w:rsid w:val="75BE5F9B"/>
    <w:rsid w:val="76124539"/>
    <w:rsid w:val="762B1E57"/>
    <w:rsid w:val="7641097A"/>
    <w:rsid w:val="764678E6"/>
    <w:rsid w:val="764B0538"/>
    <w:rsid w:val="764B16AE"/>
    <w:rsid w:val="768C141A"/>
    <w:rsid w:val="76A425CD"/>
    <w:rsid w:val="76AE2456"/>
    <w:rsid w:val="76DE23D4"/>
    <w:rsid w:val="76E16AC1"/>
    <w:rsid w:val="76F8125F"/>
    <w:rsid w:val="770C5B6C"/>
    <w:rsid w:val="770C71DA"/>
    <w:rsid w:val="770D6B8D"/>
    <w:rsid w:val="7722037C"/>
    <w:rsid w:val="77377B98"/>
    <w:rsid w:val="773C2054"/>
    <w:rsid w:val="776E3615"/>
    <w:rsid w:val="77707769"/>
    <w:rsid w:val="77756B2D"/>
    <w:rsid w:val="778C6535"/>
    <w:rsid w:val="77B04009"/>
    <w:rsid w:val="77DB3BCD"/>
    <w:rsid w:val="781520BE"/>
    <w:rsid w:val="781F0A2F"/>
    <w:rsid w:val="78207206"/>
    <w:rsid w:val="784F68D8"/>
    <w:rsid w:val="78807EDF"/>
    <w:rsid w:val="789B6A68"/>
    <w:rsid w:val="789E20B4"/>
    <w:rsid w:val="78E36B1E"/>
    <w:rsid w:val="78E95738"/>
    <w:rsid w:val="79206F6D"/>
    <w:rsid w:val="79224A93"/>
    <w:rsid w:val="79273E57"/>
    <w:rsid w:val="79584860"/>
    <w:rsid w:val="79855467"/>
    <w:rsid w:val="79BD3849"/>
    <w:rsid w:val="79D512B7"/>
    <w:rsid w:val="79D85057"/>
    <w:rsid w:val="79E42E2B"/>
    <w:rsid w:val="79ED6E4F"/>
    <w:rsid w:val="7A092E89"/>
    <w:rsid w:val="7A164415"/>
    <w:rsid w:val="7A230AC3"/>
    <w:rsid w:val="7A272509"/>
    <w:rsid w:val="7A74335F"/>
    <w:rsid w:val="7A807CC3"/>
    <w:rsid w:val="7A9475F1"/>
    <w:rsid w:val="7AA61CBC"/>
    <w:rsid w:val="7ABB519F"/>
    <w:rsid w:val="7AEA54F7"/>
    <w:rsid w:val="7B0F387E"/>
    <w:rsid w:val="7B28096E"/>
    <w:rsid w:val="7B323AD6"/>
    <w:rsid w:val="7B3E36DA"/>
    <w:rsid w:val="7B603538"/>
    <w:rsid w:val="7B6F7D69"/>
    <w:rsid w:val="7B83730E"/>
    <w:rsid w:val="7B8922D4"/>
    <w:rsid w:val="7BB5399C"/>
    <w:rsid w:val="7BD121BF"/>
    <w:rsid w:val="7BF74E3B"/>
    <w:rsid w:val="7BFE6F4D"/>
    <w:rsid w:val="7C0942FF"/>
    <w:rsid w:val="7C0B4F71"/>
    <w:rsid w:val="7C0F0DF3"/>
    <w:rsid w:val="7C0F5D53"/>
    <w:rsid w:val="7C3945CD"/>
    <w:rsid w:val="7C4A55BC"/>
    <w:rsid w:val="7C670BF2"/>
    <w:rsid w:val="7C91672C"/>
    <w:rsid w:val="7CA939E9"/>
    <w:rsid w:val="7CC93D60"/>
    <w:rsid w:val="7D056BA5"/>
    <w:rsid w:val="7D28227A"/>
    <w:rsid w:val="7D700263"/>
    <w:rsid w:val="7D854C73"/>
    <w:rsid w:val="7D9405F3"/>
    <w:rsid w:val="7DBC5263"/>
    <w:rsid w:val="7DE363F1"/>
    <w:rsid w:val="7DEA33CC"/>
    <w:rsid w:val="7E237BA6"/>
    <w:rsid w:val="7E356441"/>
    <w:rsid w:val="7E4A7BE2"/>
    <w:rsid w:val="7E526F49"/>
    <w:rsid w:val="7E576F8D"/>
    <w:rsid w:val="7E6031FC"/>
    <w:rsid w:val="7E9F7FA6"/>
    <w:rsid w:val="7ED21A01"/>
    <w:rsid w:val="7F090A4C"/>
    <w:rsid w:val="7F225DC0"/>
    <w:rsid w:val="7F4B2109"/>
    <w:rsid w:val="7F5042EC"/>
    <w:rsid w:val="7F557F18"/>
    <w:rsid w:val="7F746A40"/>
    <w:rsid w:val="7F8B0E11"/>
    <w:rsid w:val="7FCC18C9"/>
    <w:rsid w:val="7FD4460D"/>
    <w:rsid w:val="7FDE001C"/>
    <w:rsid w:val="7FF33536"/>
    <w:rsid w:val="7FFB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1"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1"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qFormat="1" w:uiPriority="99"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qFormat="1" w:uiPriority="99" w:semiHidden="0" w:name="Body Text First Indent"/>
    <w:lsdException w:uiPriority="1" w:name="Body Text First Indent 2"/>
    <w:lsdException w:uiPriority="1"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1" w:name="Body Text Indent 3"/>
    <w:lsdException w:uiPriority="1" w:name="Block Text"/>
    <w:lsdException w:qFormat="1" w:unhideWhenUsed="0"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qFormat="1" w:uiPriority="99" w:semiHidden="0" w:name="Document Map"/>
    <w:lsdException w:qFormat="1" w:unhideWhenUsed="0" w:uiPriority="99" w:semiHidden="0" w:name="Plain Text"/>
    <w:lsdException w:uiPriority="1" w:name="E-mail Signature"/>
    <w:lsdException w:qFormat="1"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outlineLvl w:val="0"/>
    </w:pPr>
    <w:rPr>
      <w:rFonts w:ascii="Times New Roman"/>
      <w:b/>
      <w:kern w:val="44"/>
      <w:sz w:val="44"/>
    </w:rPr>
  </w:style>
  <w:style w:type="paragraph" w:styleId="2">
    <w:name w:val="heading 2"/>
    <w:basedOn w:val="1"/>
    <w:next w:val="1"/>
    <w:link w:val="36"/>
    <w:qFormat/>
    <w:uiPriority w:val="9"/>
    <w:pPr>
      <w:keepNext/>
      <w:keepLines/>
      <w:ind w:firstLine="0" w:firstLineChars="0"/>
      <w:outlineLvl w:val="1"/>
    </w:pPr>
    <w:rPr>
      <w:rFonts w:hAnsi="Cambria"/>
      <w:b/>
      <w:bCs/>
      <w:szCs w:val="32"/>
    </w:rPr>
  </w:style>
  <w:style w:type="paragraph" w:styleId="4">
    <w:name w:val="heading 3"/>
    <w:basedOn w:val="1"/>
    <w:next w:val="1"/>
    <w:link w:val="37"/>
    <w:qFormat/>
    <w:uiPriority w:val="0"/>
    <w:pPr>
      <w:keepNext/>
      <w:keepLines/>
      <w:widowControl w:val="0"/>
      <w:jc w:val="left"/>
      <w:outlineLvl w:val="2"/>
    </w:pPr>
    <w:rPr>
      <w:rFonts w:hAnsi="Calibri"/>
      <w:b/>
      <w:bCs/>
      <w:szCs w:val="32"/>
    </w:rPr>
  </w:style>
  <w:style w:type="paragraph" w:styleId="5">
    <w:name w:val="heading 6"/>
    <w:basedOn w:val="1"/>
    <w:next w:val="1"/>
    <w:link w:val="38"/>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unhideWhenUsed/>
    <w:qFormat/>
    <w:uiPriority w:val="1"/>
  </w:style>
  <w:style w:type="table" w:default="1" w:styleId="2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widowControl w:val="0"/>
      <w:ind w:left="2520" w:leftChars="1200"/>
    </w:pPr>
    <w:rPr>
      <w:rFonts w:ascii="Calibri" w:hAnsi="Calibri"/>
      <w:kern w:val="2"/>
      <w:sz w:val="21"/>
      <w:szCs w:val="22"/>
    </w:rPr>
  </w:style>
  <w:style w:type="paragraph" w:styleId="7">
    <w:name w:val="Normal Indent"/>
    <w:basedOn w:val="1"/>
    <w:qFormat/>
    <w:uiPriority w:val="0"/>
    <w:pPr>
      <w:widowControl w:val="0"/>
      <w:ind w:firstLine="420"/>
    </w:pPr>
    <w:rPr>
      <w:rFonts w:hAnsi="Calibri"/>
      <w:sz w:val="34"/>
    </w:rPr>
  </w:style>
  <w:style w:type="paragraph" w:styleId="8">
    <w:name w:val="Document Map"/>
    <w:basedOn w:val="1"/>
    <w:link w:val="39"/>
    <w:unhideWhenUsed/>
    <w:qFormat/>
    <w:uiPriority w:val="99"/>
    <w:rPr>
      <w:sz w:val="18"/>
      <w:szCs w:val="18"/>
    </w:rPr>
  </w:style>
  <w:style w:type="paragraph" w:styleId="9">
    <w:name w:val="annotation text"/>
    <w:basedOn w:val="1"/>
    <w:link w:val="40"/>
    <w:unhideWhenUsed/>
    <w:qFormat/>
    <w:uiPriority w:val="99"/>
    <w:pPr>
      <w:jc w:val="left"/>
    </w:pPr>
  </w:style>
  <w:style w:type="paragraph" w:styleId="10">
    <w:name w:val="Body Text 3"/>
    <w:basedOn w:val="1"/>
    <w:qFormat/>
    <w:uiPriority w:val="0"/>
  </w:style>
  <w:style w:type="paragraph" w:styleId="11">
    <w:name w:val="Body Text"/>
    <w:basedOn w:val="1"/>
    <w:link w:val="41"/>
    <w:unhideWhenUsed/>
    <w:qFormat/>
    <w:uiPriority w:val="99"/>
    <w:pPr>
      <w:spacing w:after="120"/>
    </w:pPr>
  </w:style>
  <w:style w:type="paragraph" w:styleId="12">
    <w:name w:val="toc 5"/>
    <w:basedOn w:val="1"/>
    <w:next w:val="1"/>
    <w:unhideWhenUsed/>
    <w:qFormat/>
    <w:uiPriority w:val="39"/>
    <w:pPr>
      <w:widowControl w:val="0"/>
      <w:ind w:left="1680" w:leftChars="800"/>
    </w:pPr>
    <w:rPr>
      <w:rFonts w:ascii="Calibri" w:hAnsi="Calibri"/>
      <w:kern w:val="2"/>
      <w:sz w:val="21"/>
      <w:szCs w:val="22"/>
    </w:rPr>
  </w:style>
  <w:style w:type="paragraph" w:styleId="13">
    <w:name w:val="toc 3"/>
    <w:basedOn w:val="1"/>
    <w:next w:val="1"/>
    <w:qFormat/>
    <w:uiPriority w:val="39"/>
    <w:pPr>
      <w:ind w:left="400" w:leftChars="400"/>
    </w:pPr>
  </w:style>
  <w:style w:type="paragraph" w:styleId="14">
    <w:name w:val="Plain Text"/>
    <w:basedOn w:val="1"/>
    <w:next w:val="1"/>
    <w:link w:val="35"/>
    <w:qFormat/>
    <w:uiPriority w:val="99"/>
    <w:rPr>
      <w:rFonts w:hAnsi="Courier New" w:eastAsia="楷体_GB2312"/>
      <w:sz w:val="20"/>
    </w:rPr>
  </w:style>
  <w:style w:type="paragraph" w:styleId="15">
    <w:name w:val="toc 8"/>
    <w:basedOn w:val="1"/>
    <w:next w:val="1"/>
    <w:unhideWhenUsed/>
    <w:qFormat/>
    <w:uiPriority w:val="39"/>
    <w:pPr>
      <w:widowControl w:val="0"/>
      <w:ind w:left="2940" w:leftChars="1400"/>
    </w:pPr>
    <w:rPr>
      <w:rFonts w:ascii="Calibri" w:hAnsi="Calibri"/>
      <w:kern w:val="2"/>
      <w:sz w:val="21"/>
      <w:szCs w:val="22"/>
    </w:rPr>
  </w:style>
  <w:style w:type="paragraph" w:styleId="16">
    <w:name w:val="Body Text Indent 2"/>
    <w:basedOn w:val="1"/>
    <w:link w:val="42"/>
    <w:unhideWhenUsed/>
    <w:qFormat/>
    <w:uiPriority w:val="99"/>
    <w:pPr>
      <w:spacing w:after="120" w:line="480" w:lineRule="auto"/>
      <w:ind w:left="420" w:leftChars="200"/>
    </w:pPr>
  </w:style>
  <w:style w:type="paragraph" w:styleId="17">
    <w:name w:val="Balloon Text"/>
    <w:basedOn w:val="1"/>
    <w:link w:val="43"/>
    <w:unhideWhenUsed/>
    <w:qFormat/>
    <w:uiPriority w:val="99"/>
    <w:rPr>
      <w:rFonts w:ascii="Times New Roman"/>
      <w:sz w:val="18"/>
      <w:szCs w:val="18"/>
    </w:rPr>
  </w:style>
  <w:style w:type="paragraph" w:styleId="18">
    <w:name w:val="footer"/>
    <w:basedOn w:val="1"/>
    <w:link w:val="44"/>
    <w:unhideWhenUsed/>
    <w:qFormat/>
    <w:uiPriority w:val="99"/>
    <w:pPr>
      <w:tabs>
        <w:tab w:val="center" w:pos="4153"/>
        <w:tab w:val="right" w:pos="8306"/>
      </w:tabs>
      <w:snapToGrid w:val="0"/>
      <w:jc w:val="left"/>
    </w:pPr>
    <w:rPr>
      <w:rFonts w:ascii="Times New Roman"/>
      <w:sz w:val="18"/>
    </w:rPr>
  </w:style>
  <w:style w:type="paragraph" w:styleId="1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0">
    <w:name w:val="toc 1"/>
    <w:basedOn w:val="1"/>
    <w:next w:val="1"/>
    <w:qFormat/>
    <w:uiPriority w:val="39"/>
  </w:style>
  <w:style w:type="paragraph" w:styleId="21">
    <w:name w:val="toc 4"/>
    <w:basedOn w:val="1"/>
    <w:next w:val="1"/>
    <w:unhideWhenUsed/>
    <w:qFormat/>
    <w:uiPriority w:val="39"/>
    <w:pPr>
      <w:widowControl w:val="0"/>
      <w:ind w:left="1260" w:leftChars="600"/>
    </w:pPr>
    <w:rPr>
      <w:rFonts w:ascii="Calibri" w:hAnsi="Calibri"/>
      <w:kern w:val="2"/>
      <w:sz w:val="21"/>
      <w:szCs w:val="22"/>
    </w:rPr>
  </w:style>
  <w:style w:type="paragraph" w:styleId="22">
    <w:name w:val="toc 6"/>
    <w:basedOn w:val="1"/>
    <w:next w:val="1"/>
    <w:unhideWhenUsed/>
    <w:qFormat/>
    <w:uiPriority w:val="39"/>
    <w:pPr>
      <w:widowControl w:val="0"/>
      <w:ind w:left="2100" w:leftChars="1000"/>
    </w:pPr>
    <w:rPr>
      <w:rFonts w:ascii="Calibri" w:hAnsi="Calibri"/>
      <w:kern w:val="2"/>
      <w:sz w:val="21"/>
      <w:szCs w:val="22"/>
    </w:r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widowControl w:val="0"/>
      <w:ind w:left="3360" w:leftChars="1600"/>
    </w:pPr>
    <w:rPr>
      <w:rFonts w:ascii="Calibri" w:hAnsi="Calibri"/>
      <w:kern w:val="2"/>
      <w:sz w:val="21"/>
      <w:szCs w:val="22"/>
    </w:rPr>
  </w:style>
  <w:style w:type="paragraph" w:styleId="25">
    <w:name w:val="Body Text 2"/>
    <w:basedOn w:val="1"/>
    <w:qFormat/>
    <w:uiPriority w:val="0"/>
    <w:rPr>
      <w:rFonts w:ascii="Calibri"/>
      <w:kern w:val="2"/>
      <w:sz w:val="44"/>
      <w:szCs w:val="24"/>
    </w:rPr>
  </w:style>
  <w:style w:type="paragraph" w:styleId="26">
    <w:name w:val="Normal (Web)"/>
    <w:basedOn w:val="1"/>
    <w:unhideWhenUsed/>
    <w:qFormat/>
    <w:uiPriority w:val="0"/>
    <w:pPr>
      <w:jc w:val="left"/>
    </w:pPr>
  </w:style>
  <w:style w:type="paragraph" w:styleId="27">
    <w:name w:val="annotation subject"/>
    <w:basedOn w:val="9"/>
    <w:next w:val="9"/>
    <w:link w:val="45"/>
    <w:unhideWhenUsed/>
    <w:qFormat/>
    <w:uiPriority w:val="99"/>
    <w:rPr>
      <w:b/>
      <w:bCs/>
    </w:rPr>
  </w:style>
  <w:style w:type="paragraph" w:styleId="28">
    <w:name w:val="Body Text First Indent"/>
    <w:basedOn w:val="11"/>
    <w:link w:val="46"/>
    <w:unhideWhenUsed/>
    <w:qFormat/>
    <w:uiPriority w:val="99"/>
    <w:pPr>
      <w:ind w:firstLine="420" w:firstLineChars="1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unhideWhenUsed/>
    <w:qFormat/>
    <w:uiPriority w:val="99"/>
    <w:rPr>
      <w:color w:val="000000"/>
      <w:u w:val="none"/>
    </w:rPr>
  </w:style>
  <w:style w:type="character" w:styleId="33">
    <w:name w:val="Hyperlink"/>
    <w:qFormat/>
    <w:uiPriority w:val="99"/>
    <w:rPr>
      <w:color w:val="5886E0"/>
      <w:u w:val="none"/>
    </w:rPr>
  </w:style>
  <w:style w:type="character" w:styleId="34">
    <w:name w:val="annotation reference"/>
    <w:basedOn w:val="31"/>
    <w:unhideWhenUsed/>
    <w:qFormat/>
    <w:uiPriority w:val="99"/>
    <w:rPr>
      <w:sz w:val="21"/>
      <w:szCs w:val="21"/>
    </w:rPr>
  </w:style>
  <w:style w:type="character" w:customStyle="1" w:styleId="35">
    <w:name w:val="纯文本 字符2"/>
    <w:link w:val="14"/>
    <w:qFormat/>
    <w:uiPriority w:val="99"/>
    <w:rPr>
      <w:rFonts w:ascii="宋体" w:hAnsi="Courier New" w:eastAsia="楷体_GB2312"/>
    </w:rPr>
  </w:style>
  <w:style w:type="character" w:customStyle="1" w:styleId="36">
    <w:name w:val="标题 2 字符"/>
    <w:link w:val="2"/>
    <w:qFormat/>
    <w:uiPriority w:val="9"/>
    <w:rPr>
      <w:rFonts w:ascii="宋体" w:hAnsi="Cambria"/>
      <w:b/>
      <w:bCs/>
      <w:sz w:val="24"/>
      <w:szCs w:val="32"/>
    </w:rPr>
  </w:style>
  <w:style w:type="character" w:customStyle="1" w:styleId="37">
    <w:name w:val="标题 3 字符"/>
    <w:link w:val="4"/>
    <w:qFormat/>
    <w:uiPriority w:val="0"/>
    <w:rPr>
      <w:rFonts w:ascii="宋体" w:hAnsi="Calibri"/>
      <w:b/>
      <w:bCs/>
      <w:sz w:val="24"/>
      <w:szCs w:val="32"/>
    </w:rPr>
  </w:style>
  <w:style w:type="character" w:customStyle="1" w:styleId="38">
    <w:name w:val="标题 6 字符"/>
    <w:link w:val="5"/>
    <w:semiHidden/>
    <w:qFormat/>
    <w:uiPriority w:val="9"/>
    <w:rPr>
      <w:rFonts w:ascii="Cambria" w:hAnsi="Cambria" w:eastAsia="宋体" w:cs="Times New Roman"/>
      <w:b/>
      <w:bCs/>
      <w:sz w:val="24"/>
      <w:szCs w:val="24"/>
    </w:rPr>
  </w:style>
  <w:style w:type="character" w:customStyle="1" w:styleId="39">
    <w:name w:val="文档结构图 字符"/>
    <w:link w:val="8"/>
    <w:semiHidden/>
    <w:qFormat/>
    <w:uiPriority w:val="99"/>
    <w:rPr>
      <w:rFonts w:ascii="宋体"/>
      <w:sz w:val="18"/>
      <w:szCs w:val="18"/>
    </w:rPr>
  </w:style>
  <w:style w:type="character" w:customStyle="1" w:styleId="40">
    <w:name w:val="批注文字 字符1"/>
    <w:link w:val="9"/>
    <w:qFormat/>
    <w:uiPriority w:val="99"/>
  </w:style>
  <w:style w:type="character" w:customStyle="1" w:styleId="41">
    <w:name w:val="正文文本 字符"/>
    <w:link w:val="11"/>
    <w:semiHidden/>
    <w:qFormat/>
    <w:uiPriority w:val="99"/>
  </w:style>
  <w:style w:type="character" w:customStyle="1" w:styleId="42">
    <w:name w:val="正文文本缩进 2 字符"/>
    <w:link w:val="16"/>
    <w:semiHidden/>
    <w:qFormat/>
    <w:uiPriority w:val="99"/>
  </w:style>
  <w:style w:type="character" w:customStyle="1" w:styleId="43">
    <w:name w:val="批注框文本 字符"/>
    <w:link w:val="17"/>
    <w:semiHidden/>
    <w:qFormat/>
    <w:uiPriority w:val="99"/>
    <w:rPr>
      <w:sz w:val="18"/>
      <w:szCs w:val="18"/>
    </w:rPr>
  </w:style>
  <w:style w:type="character" w:customStyle="1" w:styleId="44">
    <w:name w:val="页脚 字符"/>
    <w:link w:val="18"/>
    <w:qFormat/>
    <w:uiPriority w:val="99"/>
    <w:rPr>
      <w:sz w:val="18"/>
    </w:rPr>
  </w:style>
  <w:style w:type="character" w:customStyle="1" w:styleId="45">
    <w:name w:val="批注主题 字符"/>
    <w:link w:val="27"/>
    <w:qFormat/>
    <w:uiPriority w:val="0"/>
  </w:style>
  <w:style w:type="character" w:customStyle="1" w:styleId="46">
    <w:name w:val="正文首行缩进 字符"/>
    <w:link w:val="28"/>
    <w:semiHidden/>
    <w:qFormat/>
    <w:uiPriority w:val="99"/>
  </w:style>
  <w:style w:type="paragraph" w:customStyle="1" w:styleId="47">
    <w:name w:val="表格文字"/>
    <w:basedOn w:val="1"/>
    <w:qFormat/>
    <w:uiPriority w:val="99"/>
    <w:pPr>
      <w:adjustRightInd w:val="0"/>
      <w:spacing w:line="420" w:lineRule="atLeast"/>
      <w:jc w:val="left"/>
      <w:textAlignment w:val="baseline"/>
    </w:pPr>
  </w:style>
  <w:style w:type="character" w:customStyle="1" w:styleId="48">
    <w:name w:val="txt1"/>
    <w:qFormat/>
    <w:uiPriority w:val="0"/>
    <w:rPr>
      <w:color w:val="000000"/>
      <w:sz w:val="18"/>
      <w:szCs w:val="18"/>
      <w:u w:val="none"/>
    </w:rPr>
  </w:style>
  <w:style w:type="character" w:customStyle="1" w:styleId="49">
    <w:name w:val="纯文本 字符1"/>
    <w:qFormat/>
    <w:uiPriority w:val="99"/>
    <w:rPr>
      <w:rFonts w:ascii="宋体" w:hAnsi="Courier New" w:eastAsia="楷体_GB2312"/>
    </w:rPr>
  </w:style>
  <w:style w:type="character" w:customStyle="1" w:styleId="50">
    <w:name w:val="times"/>
    <w:qFormat/>
    <w:uiPriority w:val="0"/>
    <w:rPr>
      <w:color w:val="CDCDCD"/>
      <w:bdr w:val="single" w:color="CDCDCD" w:sz="6" w:space="0"/>
      <w:shd w:val="clear" w:color="auto" w:fill="EFEFEF"/>
    </w:rPr>
  </w:style>
  <w:style w:type="character" w:customStyle="1" w:styleId="51">
    <w:name w:val="times1"/>
    <w:qFormat/>
    <w:uiPriority w:val="0"/>
    <w:rPr>
      <w:color w:val="3399FF"/>
      <w:bdr w:val="single" w:color="D1EDF8" w:sz="6" w:space="0"/>
      <w:shd w:val="clear" w:color="auto" w:fill="EAF9FF"/>
    </w:rPr>
  </w:style>
  <w:style w:type="character" w:customStyle="1" w:styleId="52">
    <w:name w:val="lm1"/>
    <w:qFormat/>
    <w:uiPriority w:val="0"/>
    <w:rPr>
      <w:color w:val="000000"/>
      <w:sz w:val="20"/>
      <w:szCs w:val="20"/>
      <w:u w:val="none"/>
    </w:rPr>
  </w:style>
  <w:style w:type="character" w:customStyle="1" w:styleId="53">
    <w:name w:val="hover40"/>
    <w:qFormat/>
    <w:uiPriority w:val="0"/>
  </w:style>
  <w:style w:type="character" w:customStyle="1" w:styleId="54">
    <w:name w:val="hover42"/>
    <w:qFormat/>
    <w:uiPriority w:val="0"/>
  </w:style>
  <w:style w:type="character" w:customStyle="1" w:styleId="55">
    <w:name w:val="纯文本 字符"/>
    <w:qFormat/>
    <w:locked/>
    <w:uiPriority w:val="99"/>
    <w:rPr>
      <w:rFonts w:ascii="宋体"/>
      <w:kern w:val="2"/>
      <w:sz w:val="21"/>
      <w:szCs w:val="22"/>
    </w:rPr>
  </w:style>
  <w:style w:type="character" w:customStyle="1" w:styleId="56">
    <w:name w:val="批注文字 字符"/>
    <w:qFormat/>
    <w:uiPriority w:val="99"/>
    <w:rPr>
      <w:rFonts w:ascii="宋体" w:hAnsi="Times New Roman"/>
      <w:sz w:val="24"/>
    </w:rPr>
  </w:style>
  <w:style w:type="paragraph" w:styleId="57">
    <w:name w:val="List Paragraph"/>
    <w:basedOn w:val="1"/>
    <w:qFormat/>
    <w:uiPriority w:val="34"/>
    <w:pPr>
      <w:ind w:firstLine="420"/>
    </w:pPr>
  </w:style>
  <w:style w:type="paragraph" w:customStyle="1" w:styleId="58">
    <w:name w:val="Revision"/>
    <w:unhideWhenUsed/>
    <w:qFormat/>
    <w:uiPriority w:val="99"/>
    <w:pPr>
      <w:spacing w:line="360" w:lineRule="auto"/>
      <w:ind w:firstLine="200" w:firstLineChars="200"/>
      <w:jc w:val="both"/>
    </w:pPr>
    <w:rPr>
      <w:rFonts w:ascii="Times New Roman" w:hAnsi="Times New Roman" w:eastAsia="宋体" w:cs="Times New Roman"/>
      <w:lang w:val="en-US" w:eastAsia="zh-CN" w:bidi="ar-SA"/>
    </w:rPr>
  </w:style>
  <w:style w:type="paragraph" w:customStyle="1" w:styleId="5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表格文字1"/>
    <w:basedOn w:val="1"/>
    <w:qFormat/>
    <w:uiPriority w:val="0"/>
    <w:pPr>
      <w:widowControl w:val="0"/>
      <w:adjustRightInd w:val="0"/>
      <w:snapToGrid w:val="0"/>
    </w:pPr>
    <w:rPr>
      <w:rFonts w:hAnsi="Calibri" w:eastAsia="仿宋_GB2312"/>
      <w:sz w:val="34"/>
    </w:rPr>
  </w:style>
  <w:style w:type="paragraph" w:customStyle="1" w:styleId="61">
    <w:name w:val="TOC 标题1"/>
    <w:basedOn w:val="3"/>
    <w:next w:val="1"/>
    <w:qFormat/>
    <w:uiPriority w:val="0"/>
    <w:pPr>
      <w:spacing w:before="480" w:line="276" w:lineRule="auto"/>
      <w:jc w:val="left"/>
      <w:outlineLvl w:val="9"/>
    </w:pPr>
    <w:rPr>
      <w:rFonts w:ascii="Cambria" w:hAnsi="Cambria"/>
      <w:color w:val="365F91"/>
      <w:kern w:val="0"/>
      <w:sz w:val="28"/>
    </w:rPr>
  </w:style>
  <w:style w:type="paragraph" w:customStyle="1" w:styleId="62">
    <w:name w:val="表注1"/>
    <w:basedOn w:val="1"/>
    <w:qFormat/>
    <w:uiPriority w:val="0"/>
    <w:pPr>
      <w:widowControl w:val="0"/>
      <w:adjustRightInd w:val="0"/>
      <w:snapToGrid w:val="0"/>
      <w:spacing w:line="300" w:lineRule="auto"/>
      <w:ind w:left="350" w:hanging="350" w:hangingChars="350"/>
    </w:pPr>
    <w:rPr>
      <w:rFonts w:hAnsi="Calibri" w:eastAsia="仿宋_GB2312"/>
      <w:bCs/>
      <w:color w:val="000000"/>
      <w:sz w:val="34"/>
    </w:rPr>
  </w:style>
  <w:style w:type="paragraph" w:customStyle="1" w:styleId="63">
    <w:name w:val="表格文字中"/>
    <w:basedOn w:val="1"/>
    <w:qFormat/>
    <w:uiPriority w:val="0"/>
    <w:pPr>
      <w:widowControl w:val="0"/>
      <w:adjustRightInd w:val="0"/>
      <w:snapToGrid w:val="0"/>
      <w:ind w:left="22" w:leftChars="8"/>
      <w:jc w:val="center"/>
    </w:pPr>
    <w:rPr>
      <w:rFonts w:hAnsi="Calibri"/>
      <w:sz w:val="34"/>
    </w:rPr>
  </w:style>
  <w:style w:type="paragraph" w:customStyle="1" w:styleId="64">
    <w:name w:val="TOC Heading"/>
    <w:basedOn w:val="3"/>
    <w:next w:val="1"/>
    <w:qFormat/>
    <w:uiPriority w:val="39"/>
    <w:pPr>
      <w:spacing w:before="480" w:line="276" w:lineRule="auto"/>
      <w:outlineLvl w:val="9"/>
    </w:pPr>
    <w:rPr>
      <w:rFonts w:ascii="Cambria" w:hAnsi="Cambria"/>
      <w:bCs/>
      <w:color w:val="365F91"/>
      <w:kern w:val="0"/>
      <w:sz w:val="28"/>
      <w:szCs w:val="28"/>
    </w:rPr>
  </w:style>
  <w:style w:type="paragraph" w:customStyle="1" w:styleId="65">
    <w:name w:val="公文正文"/>
    <w:qFormat/>
    <w:uiPriority w:val="0"/>
    <w:pPr>
      <w:widowControl w:val="0"/>
      <w:spacing w:line="360" w:lineRule="auto"/>
      <w:ind w:firstLine="629" w:firstLineChars="200"/>
      <w:jc w:val="both"/>
    </w:pPr>
    <w:rPr>
      <w:rFonts w:ascii="仿宋_GB2312" w:hAnsi="Calisto MT" w:eastAsia="仿宋_GB2312" w:cs="Times New Roman"/>
      <w:color w:val="000000"/>
      <w:sz w:val="32"/>
      <w:lang w:val="en-US" w:eastAsia="zh-CN" w:bidi="ar-SA"/>
    </w:rPr>
  </w:style>
  <w:style w:type="paragraph" w:customStyle="1" w:styleId="66">
    <w:name w:val="Table Paragraph"/>
    <w:basedOn w:val="1"/>
    <w:qFormat/>
    <w:uiPriority w:val="99"/>
    <w:pPr>
      <w:widowControl w:val="0"/>
    </w:pPr>
    <w:rPr>
      <w:rFonts w:hAnsi="宋体" w:cs="宋体"/>
      <w:sz w:val="22"/>
      <w:szCs w:val="22"/>
      <w:lang w:eastAsia="en-US"/>
    </w:rPr>
  </w:style>
  <w:style w:type="paragraph" w:customStyle="1" w:styleId="67">
    <w:name w:val="列出段落1"/>
    <w:basedOn w:val="1"/>
    <w:qFormat/>
    <w:uiPriority w:val="99"/>
    <w:pPr>
      <w:ind w:firstLine="420"/>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7730</Words>
  <Characters>8202</Characters>
  <Lines>261</Lines>
  <Paragraphs>73</Paragraphs>
  <TotalTime>2</TotalTime>
  <ScaleCrop>false</ScaleCrop>
  <LinksUpToDate>false</LinksUpToDate>
  <CharactersWithSpaces>8359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2025-10-16T02:06:00Z</dcterms:created>
  <dc:creator>刘美良</dc:creator>
  <cp:lastModifiedBy>admin</cp:lastModifiedBy>
  <cp:lastPrinted>2025-11-06T07:16:00Z</cp:lastPrinted>
  <dcterms:modified xsi:type="dcterms:W3CDTF">2025-11-06T07:48:59Z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49DE1EA65A2F41CC89BC64D28E239986_13</vt:lpwstr>
  </property>
  <property fmtid="{D5CDD505-2E9C-101B-9397-08002B2CF9AE}" pid="4" name="KSOTemplateDocerSaveRecord">
    <vt:lpwstr>eyJoZGlkIjoiZWZmOGM1OGUxYzFjMTMxNjQ2YTUxNjQ3YmZmZjA3MGEiLCJ1c2VySWQiOiIyOTM0NTIyNDYifQ==</vt:lpwstr>
  </property>
</Properties>
</file>