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018DF">
      <w:pPr>
        <w:spacing w:line="360" w:lineRule="auto"/>
        <w:jc w:val="center"/>
        <w:rPr>
          <w:rFonts w:hint="eastAsia"/>
          <w:bCs/>
          <w:color w:val="auto"/>
          <w:sz w:val="48"/>
          <w:szCs w:val="48"/>
          <w:highlight w:val="none"/>
          <w:lang w:eastAsia="zh-CN"/>
        </w:rPr>
      </w:pPr>
      <w:r>
        <w:rPr>
          <w:rFonts w:hint="eastAsia"/>
          <w:b/>
          <w:color w:val="auto"/>
          <w:sz w:val="32"/>
          <w:szCs w:val="32"/>
          <w:highlight w:val="none"/>
          <w:lang w:eastAsia="zh-CN"/>
        </w:rPr>
        <w:t xml:space="preserve">            </w:t>
      </w:r>
      <w:r>
        <w:rPr>
          <w:rFonts w:hint="eastAsia"/>
          <w:b/>
          <w:color w:val="auto"/>
          <w:sz w:val="32"/>
          <w:szCs w:val="32"/>
          <w:highlight w:val="none"/>
          <w:lang w:val="en-US" w:eastAsia="zh-CN"/>
        </w:rPr>
        <w:t xml:space="preserve">                  </w:t>
      </w:r>
      <w:r>
        <w:rPr>
          <w:rFonts w:hint="eastAsia"/>
          <w:b/>
          <w:color w:val="auto"/>
          <w:sz w:val="32"/>
          <w:szCs w:val="32"/>
          <w:highlight w:val="none"/>
          <w:lang w:eastAsia="zh-CN"/>
        </w:rPr>
        <w:t xml:space="preserve">  </w:t>
      </w:r>
      <w:r>
        <w:rPr>
          <w:rFonts w:hint="eastAsia"/>
          <w:bCs/>
          <w:color w:val="auto"/>
          <w:sz w:val="28"/>
          <w:szCs w:val="28"/>
          <w:highlight w:val="none"/>
          <w:lang w:eastAsia="zh-CN"/>
        </w:rPr>
        <w:t>合同编号：</w:t>
      </w:r>
      <w:r>
        <w:rPr>
          <w:rFonts w:hint="eastAsia"/>
          <w:b/>
          <w:color w:val="auto"/>
          <w:sz w:val="32"/>
          <w:szCs w:val="32"/>
          <w:highlight w:val="none"/>
          <w:lang w:eastAsia="zh-CN"/>
        </w:rPr>
        <w:t xml:space="preserve">          </w:t>
      </w:r>
    </w:p>
    <w:p w14:paraId="3BEC8077">
      <w:pPr>
        <w:rPr>
          <w:rFonts w:hint="eastAsia"/>
          <w:color w:val="auto"/>
          <w:highlight w:val="none"/>
          <w:lang w:eastAsia="zh-CN"/>
        </w:rPr>
      </w:pPr>
    </w:p>
    <w:p w14:paraId="213D637F">
      <w:pPr>
        <w:pStyle w:val="8"/>
        <w:rPr>
          <w:rFonts w:hint="eastAsia"/>
          <w:lang w:eastAsia="zh-CN"/>
        </w:rPr>
      </w:pPr>
    </w:p>
    <w:p w14:paraId="510FDBB0">
      <w:pPr>
        <w:pStyle w:val="33"/>
        <w:rPr>
          <w:rFonts w:hint="eastAsia"/>
          <w:color w:val="auto"/>
          <w:highlight w:val="none"/>
          <w:lang w:eastAsia="zh-CN"/>
        </w:rPr>
      </w:pPr>
    </w:p>
    <w:p w14:paraId="51B4355A">
      <w:pPr>
        <w:pStyle w:val="33"/>
        <w:rPr>
          <w:rFonts w:hint="eastAsia"/>
          <w:color w:val="auto"/>
          <w:highlight w:val="none"/>
          <w:lang w:eastAsia="zh-CN"/>
        </w:rPr>
      </w:pPr>
    </w:p>
    <w:p w14:paraId="7E7F052B">
      <w:pPr>
        <w:spacing w:line="240" w:lineRule="auto"/>
        <w:jc w:val="center"/>
        <w:rPr>
          <w:rFonts w:hint="eastAsia"/>
          <w:b/>
          <w:color w:val="auto"/>
          <w:sz w:val="52"/>
          <w:szCs w:val="52"/>
          <w:highlight w:val="none"/>
          <w:lang w:eastAsia="zh-CN"/>
        </w:rPr>
      </w:pPr>
      <w:r>
        <w:rPr>
          <w:rFonts w:hint="eastAsia"/>
          <w:b/>
          <w:color w:val="auto"/>
          <w:sz w:val="52"/>
          <w:szCs w:val="52"/>
          <w:highlight w:val="none"/>
          <w:lang w:eastAsia="zh-CN"/>
        </w:rPr>
        <w:t>广州市白云区潭村城中村改造项目二期安置地块及安置区配套道路项目</w:t>
      </w:r>
    </w:p>
    <w:p w14:paraId="3B7ED753">
      <w:pPr>
        <w:spacing w:line="240" w:lineRule="auto"/>
        <w:jc w:val="center"/>
        <w:rPr>
          <w:rFonts w:hint="eastAsia"/>
          <w:b/>
          <w:color w:val="auto"/>
          <w:szCs w:val="21"/>
          <w:highlight w:val="none"/>
          <w:lang w:eastAsia="zh-CN"/>
        </w:rPr>
      </w:pPr>
      <w:r>
        <w:rPr>
          <w:rFonts w:hint="eastAsia"/>
          <w:b/>
          <w:color w:val="auto"/>
          <w:sz w:val="52"/>
          <w:szCs w:val="52"/>
          <w:highlight w:val="none"/>
          <w:lang w:eastAsia="zh-CN"/>
        </w:rPr>
        <w:t>住宅工程质量潜在缺陷保险合同</w:t>
      </w:r>
    </w:p>
    <w:p w14:paraId="7D2B38C5">
      <w:pPr>
        <w:spacing w:line="360" w:lineRule="auto"/>
        <w:rPr>
          <w:rFonts w:hint="eastAsia"/>
          <w:b/>
          <w:color w:val="auto"/>
          <w:szCs w:val="21"/>
          <w:highlight w:val="none"/>
          <w:lang w:eastAsia="zh-CN"/>
        </w:rPr>
      </w:pPr>
    </w:p>
    <w:p w14:paraId="34F2ACD9">
      <w:pPr>
        <w:spacing w:line="360" w:lineRule="auto"/>
        <w:rPr>
          <w:rFonts w:hint="eastAsia"/>
          <w:b/>
          <w:color w:val="auto"/>
          <w:szCs w:val="21"/>
          <w:highlight w:val="none"/>
          <w:lang w:eastAsia="zh-CN"/>
        </w:rPr>
      </w:pPr>
    </w:p>
    <w:p w14:paraId="0B8D2002">
      <w:pPr>
        <w:pStyle w:val="33"/>
        <w:rPr>
          <w:rFonts w:hint="eastAsia"/>
          <w:color w:val="auto"/>
          <w:szCs w:val="21"/>
          <w:highlight w:val="none"/>
          <w:lang w:eastAsia="zh-CN"/>
        </w:rPr>
      </w:pPr>
    </w:p>
    <w:p w14:paraId="2AEB8CD1">
      <w:pPr>
        <w:pStyle w:val="33"/>
        <w:rPr>
          <w:rFonts w:hint="eastAsia"/>
          <w:color w:val="auto"/>
          <w:szCs w:val="21"/>
          <w:highlight w:val="none"/>
          <w:lang w:eastAsia="zh-CN"/>
        </w:rPr>
      </w:pPr>
    </w:p>
    <w:p w14:paraId="73BE07C1">
      <w:pPr>
        <w:pStyle w:val="33"/>
        <w:jc w:val="both"/>
        <w:rPr>
          <w:rFonts w:hint="eastAsia"/>
          <w:color w:val="auto"/>
          <w:szCs w:val="21"/>
          <w:highlight w:val="none"/>
          <w:lang w:eastAsia="zh-CN"/>
        </w:rPr>
      </w:pPr>
    </w:p>
    <w:p w14:paraId="5F2B3353">
      <w:pPr>
        <w:pStyle w:val="33"/>
        <w:rPr>
          <w:rFonts w:hint="eastAsia"/>
          <w:color w:val="auto"/>
          <w:szCs w:val="21"/>
          <w:highlight w:val="none"/>
          <w:lang w:eastAsia="zh-CN"/>
        </w:rPr>
      </w:pPr>
    </w:p>
    <w:p w14:paraId="5DE8436C">
      <w:pPr>
        <w:pStyle w:val="33"/>
        <w:rPr>
          <w:rFonts w:hint="eastAsia"/>
          <w:color w:val="auto"/>
          <w:szCs w:val="21"/>
          <w:highlight w:val="none"/>
          <w:lang w:eastAsia="zh-CN"/>
        </w:rPr>
      </w:pPr>
    </w:p>
    <w:p w14:paraId="0E960201">
      <w:pPr>
        <w:pStyle w:val="33"/>
        <w:rPr>
          <w:rFonts w:hint="eastAsia"/>
          <w:color w:val="auto"/>
          <w:szCs w:val="21"/>
          <w:highlight w:val="none"/>
          <w:lang w:eastAsia="zh-CN"/>
        </w:rPr>
      </w:pPr>
    </w:p>
    <w:p w14:paraId="1BD4DC9C">
      <w:pPr>
        <w:pStyle w:val="33"/>
        <w:jc w:val="both"/>
        <w:rPr>
          <w:rFonts w:hint="eastAsia"/>
          <w:color w:val="auto"/>
          <w:szCs w:val="21"/>
          <w:highlight w:val="none"/>
          <w:lang w:eastAsia="zh-CN"/>
        </w:rPr>
      </w:pPr>
    </w:p>
    <w:p w14:paraId="68A494DE">
      <w:pPr>
        <w:pStyle w:val="33"/>
        <w:jc w:val="both"/>
        <w:rPr>
          <w:rFonts w:hint="eastAsia"/>
          <w:color w:val="auto"/>
          <w:szCs w:val="21"/>
          <w:highlight w:val="none"/>
          <w:lang w:eastAsia="zh-CN"/>
        </w:rPr>
      </w:pPr>
    </w:p>
    <w:p w14:paraId="0773C601">
      <w:pPr>
        <w:pStyle w:val="33"/>
        <w:jc w:val="both"/>
        <w:rPr>
          <w:rFonts w:hint="eastAsia"/>
          <w:color w:val="auto"/>
          <w:szCs w:val="21"/>
          <w:highlight w:val="none"/>
          <w:lang w:eastAsia="zh-CN"/>
        </w:rPr>
      </w:pPr>
    </w:p>
    <w:p w14:paraId="3B3ED55C">
      <w:pPr>
        <w:pStyle w:val="33"/>
        <w:jc w:val="both"/>
        <w:rPr>
          <w:rFonts w:hint="eastAsia"/>
          <w:color w:val="auto"/>
          <w:szCs w:val="21"/>
          <w:highlight w:val="none"/>
          <w:lang w:eastAsia="zh-CN"/>
        </w:rPr>
      </w:pPr>
    </w:p>
    <w:p w14:paraId="603C4B81">
      <w:pPr>
        <w:pStyle w:val="33"/>
        <w:jc w:val="both"/>
        <w:rPr>
          <w:rFonts w:hint="eastAsia"/>
          <w:color w:val="auto"/>
          <w:szCs w:val="21"/>
          <w:highlight w:val="none"/>
          <w:lang w:eastAsia="zh-CN"/>
        </w:rPr>
      </w:pPr>
    </w:p>
    <w:p w14:paraId="0F04AB66">
      <w:pPr>
        <w:pStyle w:val="33"/>
        <w:jc w:val="both"/>
        <w:rPr>
          <w:rFonts w:hint="eastAsia"/>
          <w:color w:val="auto"/>
          <w:szCs w:val="21"/>
          <w:highlight w:val="none"/>
          <w:lang w:eastAsia="zh-CN"/>
        </w:rPr>
      </w:pPr>
    </w:p>
    <w:p w14:paraId="44AF87A0">
      <w:pPr>
        <w:spacing w:line="360" w:lineRule="auto"/>
        <w:rPr>
          <w:rFonts w:hint="eastAsia"/>
          <w:b/>
          <w:color w:val="auto"/>
          <w:szCs w:val="21"/>
          <w:highlight w:val="none"/>
          <w:lang w:eastAsia="zh-CN"/>
        </w:rPr>
      </w:pPr>
    </w:p>
    <w:p w14:paraId="645AB6AF">
      <w:pPr>
        <w:spacing w:line="360" w:lineRule="auto"/>
        <w:rPr>
          <w:rFonts w:hint="eastAsia"/>
          <w:b/>
          <w:color w:val="auto"/>
          <w:szCs w:val="21"/>
          <w:highlight w:val="none"/>
          <w:lang w:eastAsia="zh-CN"/>
        </w:rPr>
      </w:pPr>
    </w:p>
    <w:p w14:paraId="6532F493">
      <w:pPr>
        <w:spacing w:line="360" w:lineRule="auto"/>
        <w:rPr>
          <w:rFonts w:hint="eastAsia"/>
          <w:b/>
          <w:color w:val="auto"/>
          <w:szCs w:val="21"/>
          <w:highlight w:val="none"/>
          <w:lang w:eastAsia="zh-CN"/>
        </w:rPr>
      </w:pPr>
    </w:p>
    <w:p w14:paraId="17681B5C">
      <w:pPr>
        <w:tabs>
          <w:tab w:val="left" w:leader="underscore" w:pos="7560"/>
        </w:tabs>
        <w:spacing w:line="560" w:lineRule="exact"/>
        <w:ind w:left="1400" w:hanging="1400" w:hangingChars="500"/>
        <w:rPr>
          <w:rFonts w:hint="default"/>
          <w:bCs/>
          <w:color w:val="auto"/>
          <w:sz w:val="28"/>
          <w:szCs w:val="28"/>
          <w:highlight w:val="none"/>
          <w:lang w:val="en-US" w:eastAsia="zh-CN"/>
        </w:rPr>
      </w:pPr>
      <w:r>
        <w:rPr>
          <w:rFonts w:hint="eastAsia"/>
          <w:bCs/>
          <w:color w:val="auto"/>
          <w:sz w:val="28"/>
          <w:szCs w:val="28"/>
          <w:highlight w:val="none"/>
          <w:lang w:eastAsia="zh-CN"/>
        </w:rPr>
        <w:t>项目名称：</w:t>
      </w:r>
      <w:r>
        <w:rPr>
          <w:rFonts w:hint="eastAsia"/>
          <w:bCs/>
          <w:color w:val="auto"/>
          <w:sz w:val="28"/>
          <w:szCs w:val="28"/>
          <w:highlight w:val="none"/>
          <w:u w:val="single"/>
          <w:lang w:eastAsia="zh-CN"/>
        </w:rPr>
        <w:t>广州市白云区潭村城中村改造项目二期安置地块及安置区配套道路项目住宅工程质量潜在缺陷保险</w:t>
      </w:r>
      <w:r>
        <w:rPr>
          <w:rFonts w:hint="eastAsia"/>
          <w:bCs/>
          <w:color w:val="auto"/>
          <w:sz w:val="28"/>
          <w:szCs w:val="28"/>
          <w:highlight w:val="none"/>
          <w:u w:val="single"/>
          <w:lang w:val="en-US" w:eastAsia="zh-CN"/>
        </w:rPr>
        <w:t xml:space="preserve">  </w:t>
      </w:r>
    </w:p>
    <w:p w14:paraId="15F6FE02">
      <w:pPr>
        <w:tabs>
          <w:tab w:val="left" w:leader="underscore" w:pos="7560"/>
        </w:tabs>
        <w:spacing w:line="560" w:lineRule="exact"/>
        <w:rPr>
          <w:rFonts w:hint="default"/>
          <w:bCs/>
          <w:color w:val="auto"/>
          <w:sz w:val="28"/>
          <w:szCs w:val="28"/>
          <w:highlight w:val="none"/>
          <w:u w:val="single"/>
          <w:lang w:val="en-US" w:eastAsia="zh-CN"/>
        </w:rPr>
      </w:pPr>
      <w:r>
        <w:rPr>
          <w:rFonts w:hint="eastAsia"/>
          <w:bCs/>
          <w:color w:val="auto"/>
          <w:sz w:val="28"/>
          <w:szCs w:val="28"/>
          <w:highlight w:val="none"/>
          <w:lang w:eastAsia="zh-CN"/>
        </w:rPr>
        <w:t>投保人（甲方1：业主）：</w:t>
      </w:r>
      <w:r>
        <w:rPr>
          <w:rFonts w:hint="eastAsia" w:ascii="宋体" w:hAnsi="宋体" w:eastAsia="宋体" w:cs="宋体"/>
          <w:b w:val="0"/>
          <w:bCs/>
          <w:color w:val="auto"/>
          <w:sz w:val="28"/>
          <w:szCs w:val="28"/>
          <w:highlight w:val="none"/>
          <w:u w:val="single"/>
          <w:lang w:eastAsia="zh-CN"/>
        </w:rPr>
        <w:t>广州白云潭村置地有限公司</w:t>
      </w:r>
      <w:r>
        <w:rPr>
          <w:rFonts w:hint="eastAsia" w:ascii="宋体" w:hAnsi="宋体" w:eastAsia="宋体" w:cs="宋体"/>
          <w:bCs/>
          <w:color w:val="auto"/>
          <w:sz w:val="28"/>
          <w:szCs w:val="28"/>
          <w:highlight w:val="none"/>
          <w:u w:val="single"/>
          <w:lang w:val="en-US" w:eastAsia="zh-CN"/>
        </w:rPr>
        <w:t xml:space="preserve">  </w:t>
      </w:r>
      <w:r>
        <w:rPr>
          <w:rFonts w:hint="eastAsia"/>
          <w:bCs/>
          <w:color w:val="auto"/>
          <w:sz w:val="28"/>
          <w:szCs w:val="28"/>
          <w:highlight w:val="none"/>
          <w:u w:val="single"/>
          <w:lang w:val="en-US" w:eastAsia="zh-CN"/>
        </w:rPr>
        <w:t xml:space="preserve">               </w:t>
      </w:r>
    </w:p>
    <w:p w14:paraId="17CE2EEF">
      <w:pPr>
        <w:tabs>
          <w:tab w:val="left" w:leader="underscore" w:pos="7560"/>
        </w:tabs>
        <w:spacing w:line="560" w:lineRule="exact"/>
        <w:rPr>
          <w:rFonts w:hint="default"/>
          <w:bCs/>
          <w:color w:val="auto"/>
          <w:sz w:val="28"/>
          <w:szCs w:val="28"/>
          <w:highlight w:val="none"/>
          <w:u w:val="single"/>
          <w:lang w:val="en-US" w:eastAsia="zh-CN"/>
        </w:rPr>
      </w:pPr>
      <w:r>
        <w:rPr>
          <w:rFonts w:hint="eastAsia"/>
          <w:bCs/>
          <w:color w:val="auto"/>
          <w:sz w:val="28"/>
          <w:szCs w:val="28"/>
          <w:highlight w:val="none"/>
          <w:lang w:eastAsia="zh-CN"/>
        </w:rPr>
        <w:t>投保人（</w:t>
      </w:r>
      <w:r>
        <w:rPr>
          <w:rFonts w:hint="eastAsia"/>
          <w:bCs/>
          <w:color w:val="auto"/>
          <w:sz w:val="28"/>
          <w:szCs w:val="28"/>
          <w:highlight w:val="none"/>
          <w:u w:val="none"/>
          <w:lang w:eastAsia="zh-CN"/>
        </w:rPr>
        <w:t>甲方2：项目管理单位</w:t>
      </w:r>
      <w:r>
        <w:rPr>
          <w:rFonts w:hint="eastAsia"/>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广州市白云城市建设投资有限公司</w:t>
      </w:r>
      <w:r>
        <w:rPr>
          <w:rFonts w:hint="eastAsia" w:ascii="宋体" w:hAnsi="宋体" w:eastAsia="宋体" w:cs="宋体"/>
          <w:bCs/>
          <w:color w:val="auto"/>
          <w:sz w:val="28"/>
          <w:szCs w:val="28"/>
          <w:highlight w:val="none"/>
          <w:u w:val="single"/>
          <w:lang w:val="en-US" w:eastAsia="zh-CN"/>
        </w:rPr>
        <w:t xml:space="preserve"> </w:t>
      </w:r>
      <w:r>
        <w:rPr>
          <w:rFonts w:hint="eastAsia"/>
          <w:bCs/>
          <w:color w:val="auto"/>
          <w:sz w:val="28"/>
          <w:szCs w:val="28"/>
          <w:highlight w:val="none"/>
          <w:u w:val="single"/>
          <w:lang w:val="en-US" w:eastAsia="zh-CN"/>
        </w:rPr>
        <w:t xml:space="preserve"> </w:t>
      </w:r>
    </w:p>
    <w:p w14:paraId="0E679D46">
      <w:pPr>
        <w:tabs>
          <w:tab w:val="left" w:leader="underscore" w:pos="7560"/>
        </w:tabs>
        <w:spacing w:line="560" w:lineRule="exact"/>
        <w:rPr>
          <w:rFonts w:hint="eastAsia"/>
          <w:bCs/>
          <w:color w:val="auto"/>
          <w:sz w:val="28"/>
          <w:szCs w:val="28"/>
          <w:highlight w:val="none"/>
          <w:lang w:eastAsia="zh-CN"/>
        </w:rPr>
      </w:pPr>
      <w:r>
        <w:rPr>
          <w:rFonts w:hint="eastAsia"/>
          <w:bCs/>
          <w:color w:val="auto"/>
          <w:sz w:val="28"/>
          <w:szCs w:val="28"/>
          <w:highlight w:val="none"/>
          <w:lang w:eastAsia="zh-CN"/>
        </w:rPr>
        <w:t>保险人（乙方）：</w:t>
      </w:r>
      <w:r>
        <w:rPr>
          <w:rFonts w:hint="eastAsia"/>
          <w:bCs/>
          <w:color w:val="auto"/>
          <w:sz w:val="28"/>
          <w:szCs w:val="28"/>
          <w:highlight w:val="none"/>
          <w:u w:val="single"/>
          <w:lang w:eastAsia="zh-CN"/>
        </w:rPr>
        <w:t xml:space="preserve">                                                                  </w:t>
      </w:r>
    </w:p>
    <w:p w14:paraId="3327108E">
      <w:pPr>
        <w:tabs>
          <w:tab w:val="left" w:leader="underscore" w:pos="7560"/>
        </w:tabs>
        <w:spacing w:line="560" w:lineRule="exact"/>
        <w:rPr>
          <w:rFonts w:hint="eastAsia"/>
          <w:bCs/>
          <w:color w:val="auto"/>
          <w:sz w:val="28"/>
          <w:szCs w:val="28"/>
          <w:highlight w:val="none"/>
          <w:u w:val="single"/>
          <w:lang w:eastAsia="zh-CN"/>
        </w:rPr>
      </w:pPr>
      <w:r>
        <w:rPr>
          <w:rFonts w:hint="eastAsia"/>
          <w:bCs/>
          <w:color w:val="auto"/>
          <w:sz w:val="28"/>
          <w:szCs w:val="28"/>
          <w:highlight w:val="none"/>
          <w:lang w:eastAsia="zh-CN"/>
        </w:rPr>
        <w:t>签订日期：</w:t>
      </w:r>
      <w:r>
        <w:rPr>
          <w:rFonts w:hint="eastAsia"/>
          <w:bCs/>
          <w:color w:val="auto"/>
          <w:sz w:val="28"/>
          <w:szCs w:val="28"/>
          <w:highlight w:val="none"/>
          <w:u w:val="single"/>
          <w:lang w:eastAsia="zh-CN"/>
        </w:rPr>
        <w:t xml:space="preserve">  2025年</w:t>
      </w:r>
      <w:r>
        <w:rPr>
          <w:rFonts w:hint="eastAsia"/>
          <w:bCs/>
          <w:color w:val="auto"/>
          <w:sz w:val="28"/>
          <w:szCs w:val="28"/>
          <w:highlight w:val="none"/>
          <w:u w:val="single"/>
          <w:lang w:val="en-US" w:eastAsia="zh-CN"/>
        </w:rPr>
        <w:t xml:space="preserve">   </w:t>
      </w:r>
      <w:r>
        <w:rPr>
          <w:rFonts w:hint="eastAsia"/>
          <w:bCs/>
          <w:color w:val="auto"/>
          <w:sz w:val="28"/>
          <w:szCs w:val="28"/>
          <w:highlight w:val="none"/>
          <w:u w:val="single"/>
          <w:lang w:eastAsia="zh-CN"/>
        </w:rPr>
        <w:t>月</w:t>
      </w:r>
      <w:r>
        <w:rPr>
          <w:rFonts w:hint="eastAsia"/>
          <w:bCs/>
          <w:color w:val="auto"/>
          <w:sz w:val="28"/>
          <w:szCs w:val="28"/>
          <w:highlight w:val="none"/>
          <w:u w:val="single"/>
          <w:lang w:val="en-US" w:eastAsia="zh-CN"/>
        </w:rPr>
        <w:t xml:space="preserve">   </w:t>
      </w:r>
      <w:r>
        <w:rPr>
          <w:rFonts w:hint="eastAsia"/>
          <w:bCs/>
          <w:color w:val="auto"/>
          <w:sz w:val="28"/>
          <w:szCs w:val="28"/>
          <w:highlight w:val="none"/>
          <w:u w:val="single"/>
          <w:lang w:eastAsia="zh-CN"/>
        </w:rPr>
        <w:t xml:space="preserve">日  </w:t>
      </w:r>
    </w:p>
    <w:p w14:paraId="6D1E5A6A">
      <w:pPr>
        <w:tabs>
          <w:tab w:val="left" w:leader="underscore" w:pos="7560"/>
        </w:tabs>
        <w:spacing w:line="560" w:lineRule="exact"/>
        <w:rPr>
          <w:rFonts w:hint="eastAsia"/>
          <w:bCs/>
          <w:color w:val="auto"/>
          <w:sz w:val="28"/>
          <w:szCs w:val="28"/>
          <w:highlight w:val="none"/>
          <w:lang w:eastAsia="zh-CN"/>
        </w:rPr>
      </w:pPr>
      <w:r>
        <w:rPr>
          <w:rFonts w:hint="eastAsia"/>
          <w:bCs/>
          <w:color w:val="auto"/>
          <w:sz w:val="28"/>
          <w:szCs w:val="28"/>
          <w:highlight w:val="none"/>
          <w:lang w:eastAsia="zh-CN"/>
        </w:rPr>
        <w:t>签订地点：</w:t>
      </w:r>
      <w:r>
        <w:rPr>
          <w:rFonts w:hint="eastAsia"/>
          <w:bCs/>
          <w:color w:val="auto"/>
          <w:sz w:val="28"/>
          <w:szCs w:val="28"/>
          <w:highlight w:val="none"/>
          <w:u w:val="single"/>
          <w:lang w:eastAsia="zh-CN"/>
        </w:rPr>
        <w:t xml:space="preserve"> 广州市</w:t>
      </w:r>
      <w:r>
        <w:rPr>
          <w:rFonts w:hint="eastAsia"/>
          <w:bCs/>
          <w:color w:val="auto"/>
          <w:sz w:val="28"/>
          <w:szCs w:val="28"/>
          <w:highlight w:val="none"/>
          <w:u w:val="single"/>
          <w:lang w:val="en-US" w:eastAsia="zh-CN"/>
        </w:rPr>
        <w:t>白云区</w:t>
      </w:r>
      <w:r>
        <w:rPr>
          <w:rFonts w:hint="eastAsia"/>
          <w:bCs/>
          <w:color w:val="auto"/>
          <w:sz w:val="28"/>
          <w:szCs w:val="28"/>
          <w:highlight w:val="none"/>
          <w:u w:val="single"/>
          <w:lang w:eastAsia="zh-CN"/>
        </w:rPr>
        <w:t xml:space="preserve">  </w:t>
      </w:r>
    </w:p>
    <w:p w14:paraId="480FF20B">
      <w:pPr>
        <w:spacing w:line="560" w:lineRule="exact"/>
        <w:rPr>
          <w:rFonts w:hint="eastAsia"/>
          <w:color w:val="auto"/>
          <w:highlight w:val="none"/>
          <w:lang w:eastAsia="zh-CN"/>
        </w:rPr>
        <w:sectPr>
          <w:type w:val="continuous"/>
          <w:pgSz w:w="11910" w:h="16840"/>
          <w:pgMar w:top="1440" w:right="1474" w:bottom="1440" w:left="1587" w:header="0" w:footer="1196" w:gutter="0"/>
          <w:cols w:space="0" w:num="1"/>
        </w:sectPr>
      </w:pPr>
    </w:p>
    <w:p w14:paraId="37CE9592">
      <w:pPr>
        <w:spacing w:before="42"/>
        <w:ind w:left="83" w:right="323"/>
        <w:jc w:val="center"/>
        <w:rPr>
          <w:rFonts w:hint="eastAsia"/>
          <w:b/>
          <w:color w:val="auto"/>
          <w:sz w:val="36"/>
          <w:highlight w:val="none"/>
          <w:lang w:eastAsia="zh-CN"/>
        </w:rPr>
      </w:pPr>
      <w:r>
        <w:rPr>
          <w:rFonts w:hint="eastAsia"/>
          <w:b/>
          <w:color w:val="auto"/>
          <w:sz w:val="36"/>
          <w:highlight w:val="none"/>
          <w:lang w:eastAsia="zh-CN"/>
        </w:rPr>
        <w:t>目 录</w:t>
      </w:r>
    </w:p>
    <w:p w14:paraId="587EB2CA">
      <w:pPr>
        <w:jc w:val="center"/>
        <w:rPr>
          <w:rFonts w:hint="eastAsia"/>
          <w:color w:val="auto"/>
          <w:highlight w:val="none"/>
        </w:rPr>
      </w:pPr>
    </w:p>
    <w:p w14:paraId="74A5816D">
      <w:pPr>
        <w:pStyle w:val="14"/>
        <w:tabs>
          <w:tab w:val="right" w:leader="dot" w:pos="8849"/>
        </w:tabs>
        <w:rPr>
          <w:rFonts w:hint="eastAsia"/>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"_Toc13868" </w:instrText>
      </w:r>
      <w:r>
        <w:rPr>
          <w:color w:val="auto"/>
          <w:highlight w:val="none"/>
        </w:rPr>
        <w:fldChar w:fldCharType="separate"/>
      </w:r>
      <w:r>
        <w:rPr>
          <w:rFonts w:hint="eastAsia"/>
          <w:color w:val="auto"/>
          <w:highlight w:val="none"/>
          <w:lang w:eastAsia="zh-CN"/>
        </w:rPr>
        <w:t>第一部分 保险协议书</w:t>
      </w:r>
      <w:r>
        <w:rPr>
          <w:color w:val="auto"/>
          <w:highlight w:val="none"/>
        </w:rPr>
        <w:tab/>
      </w:r>
      <w:r>
        <w:rPr>
          <w:color w:val="auto"/>
          <w:highlight w:val="none"/>
        </w:rPr>
        <w:fldChar w:fldCharType="begin"/>
      </w:r>
      <w:r>
        <w:rPr>
          <w:color w:val="auto"/>
          <w:highlight w:val="none"/>
        </w:rPr>
        <w:instrText xml:space="preserve"> PAGEREF _Toc13868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823A946">
      <w:pPr>
        <w:pStyle w:val="14"/>
        <w:tabs>
          <w:tab w:val="right" w:leader="dot" w:pos="8849"/>
        </w:tabs>
        <w:rPr>
          <w:rFonts w:hint="eastAsia"/>
          <w:color w:val="auto"/>
          <w:highlight w:val="none"/>
        </w:rPr>
      </w:pPr>
      <w:r>
        <w:rPr>
          <w:color w:val="auto"/>
          <w:highlight w:val="none"/>
        </w:rPr>
        <w:fldChar w:fldCharType="begin"/>
      </w:r>
      <w:r>
        <w:rPr>
          <w:color w:val="auto"/>
          <w:highlight w:val="none"/>
        </w:rPr>
        <w:instrText xml:space="preserve"> HYPERLINK \l "_Toc3393" </w:instrText>
      </w:r>
      <w:r>
        <w:rPr>
          <w:color w:val="auto"/>
          <w:highlight w:val="none"/>
        </w:rPr>
        <w:fldChar w:fldCharType="separate"/>
      </w:r>
      <w:r>
        <w:rPr>
          <w:rFonts w:hint="eastAsia"/>
          <w:color w:val="auto"/>
          <w:highlight w:val="none"/>
          <w:lang w:eastAsia="zh-CN"/>
        </w:rPr>
        <w:t>第二部分 保险条款</w:t>
      </w:r>
      <w:r>
        <w:rPr>
          <w:color w:val="auto"/>
          <w:highlight w:val="none"/>
        </w:rPr>
        <w:tab/>
      </w:r>
      <w:r>
        <w:rPr>
          <w:color w:val="auto"/>
          <w:highlight w:val="none"/>
        </w:rPr>
        <w:fldChar w:fldCharType="begin"/>
      </w:r>
      <w:r>
        <w:rPr>
          <w:color w:val="auto"/>
          <w:highlight w:val="none"/>
        </w:rPr>
        <w:instrText xml:space="preserve"> PAGEREF _Toc3393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0727427">
      <w:pPr>
        <w:pStyle w:val="14"/>
        <w:tabs>
          <w:tab w:val="right" w:leader="dot" w:pos="8849"/>
        </w:tabs>
        <w:jc w:val="both"/>
        <w:rPr>
          <w:rFonts w:hint="eastAsia"/>
          <w:color w:val="auto"/>
          <w:highlight w:val="none"/>
        </w:rPr>
      </w:pPr>
      <w:r>
        <w:rPr>
          <w:color w:val="auto"/>
          <w:highlight w:val="none"/>
        </w:rPr>
        <w:fldChar w:fldCharType="begin"/>
      </w:r>
      <w:r>
        <w:rPr>
          <w:color w:val="auto"/>
          <w:highlight w:val="none"/>
        </w:rPr>
        <w:instrText xml:space="preserve"> HYPERLINK \l "_Toc18873" </w:instrText>
      </w:r>
      <w:r>
        <w:rPr>
          <w:color w:val="auto"/>
          <w:highlight w:val="none"/>
        </w:rPr>
        <w:fldChar w:fldCharType="separate"/>
      </w:r>
      <w:r>
        <w:rPr>
          <w:rFonts w:hint="eastAsia"/>
          <w:color w:val="auto"/>
          <w:highlight w:val="none"/>
          <w:lang w:eastAsia="zh-CN"/>
        </w:rPr>
        <w:t>第三部分 附件</w:t>
      </w:r>
      <w:r>
        <w:rPr>
          <w:color w:val="auto"/>
          <w:highlight w:val="none"/>
        </w:rPr>
        <w:tab/>
      </w:r>
      <w:r>
        <w:rPr>
          <w:color w:val="auto"/>
          <w:highlight w:val="none"/>
        </w:rPr>
        <w:fldChar w:fldCharType="begin"/>
      </w:r>
      <w:r>
        <w:rPr>
          <w:color w:val="auto"/>
          <w:highlight w:val="none"/>
        </w:rPr>
        <w:instrText xml:space="preserve"> PAGEREF _Toc18873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8A18EEB">
      <w:pPr>
        <w:rPr>
          <w:rFonts w:hint="eastAsia"/>
          <w:color w:val="auto"/>
          <w:highlight w:val="none"/>
        </w:rPr>
      </w:pPr>
      <w:r>
        <w:rPr>
          <w:color w:val="auto"/>
          <w:highlight w:val="none"/>
        </w:rPr>
        <w:fldChar w:fldCharType="end"/>
      </w:r>
    </w:p>
    <w:p w14:paraId="6878FDDB">
      <w:pPr>
        <w:rPr>
          <w:rFonts w:hint="eastAsia"/>
          <w:color w:val="auto"/>
          <w:highlight w:val="none"/>
        </w:rPr>
      </w:pPr>
    </w:p>
    <w:p w14:paraId="364A3A41">
      <w:pPr>
        <w:rPr>
          <w:rFonts w:hint="eastAsia"/>
          <w:color w:val="auto"/>
          <w:highlight w:val="none"/>
          <w:lang w:eastAsia="zh-CN"/>
        </w:rPr>
        <w:sectPr>
          <w:footerReference r:id="rId3" w:type="default"/>
          <w:pgSz w:w="11910" w:h="16840"/>
          <w:pgMar w:top="1440" w:right="1474" w:bottom="1440" w:left="1587" w:header="0" w:footer="1196" w:gutter="0"/>
          <w:pgNumType w:start="1"/>
          <w:cols w:space="0" w:num="1"/>
        </w:sectPr>
      </w:pPr>
    </w:p>
    <w:p w14:paraId="5537CD0D">
      <w:pPr>
        <w:pStyle w:val="3"/>
        <w:adjustRightInd w:val="0"/>
        <w:snapToGrid w:val="0"/>
        <w:spacing w:before="0" w:line="360" w:lineRule="auto"/>
        <w:rPr>
          <w:rFonts w:hint="eastAsia"/>
          <w:color w:val="auto"/>
          <w:highlight w:val="none"/>
          <w:lang w:eastAsia="zh-CN"/>
        </w:rPr>
      </w:pPr>
      <w:bookmarkStart w:id="0" w:name="第一部分_保险协议书"/>
      <w:bookmarkEnd w:id="0"/>
      <w:bookmarkStart w:id="1" w:name="_Toc13868"/>
      <w:r>
        <w:rPr>
          <w:rFonts w:hint="eastAsia"/>
          <w:color w:val="auto"/>
          <w:highlight w:val="none"/>
          <w:lang w:eastAsia="zh-CN"/>
        </w:rPr>
        <w:t>第一部分 保险协议书</w:t>
      </w:r>
      <w:bookmarkEnd w:id="1"/>
    </w:p>
    <w:p w14:paraId="42B215D3">
      <w:pPr>
        <w:tabs>
          <w:tab w:val="left" w:leader="underscore" w:pos="7560"/>
        </w:tabs>
        <w:spacing w:line="360" w:lineRule="auto"/>
        <w:rPr>
          <w:rFonts w:hint="eastAsia"/>
          <w:bCs/>
          <w:color w:val="auto"/>
          <w:sz w:val="24"/>
          <w:szCs w:val="24"/>
          <w:highlight w:val="none"/>
          <w:u w:val="single"/>
          <w:lang w:eastAsia="zh-CN"/>
        </w:rPr>
      </w:pPr>
      <w:r>
        <w:rPr>
          <w:rFonts w:hint="eastAsia"/>
          <w:bCs/>
          <w:color w:val="auto"/>
          <w:sz w:val="24"/>
          <w:szCs w:val="24"/>
          <w:highlight w:val="none"/>
          <w:lang w:eastAsia="zh-CN"/>
        </w:rPr>
        <w:t>投保人（甲方1：业主）：</w:t>
      </w:r>
      <w:r>
        <w:rPr>
          <w:rFonts w:hint="eastAsia"/>
          <w:bCs/>
          <w:color w:val="auto"/>
          <w:sz w:val="24"/>
          <w:szCs w:val="24"/>
          <w:highlight w:val="none"/>
          <w:u w:val="single"/>
          <w:lang w:eastAsia="zh-CN"/>
        </w:rPr>
        <w:t xml:space="preserve">广州白云潭村置地有限公司              </w:t>
      </w:r>
    </w:p>
    <w:p w14:paraId="44962832">
      <w:pPr>
        <w:tabs>
          <w:tab w:val="left" w:leader="underscore" w:pos="7560"/>
        </w:tabs>
        <w:adjustRightInd/>
        <w:snapToGrid/>
        <w:spacing w:line="360" w:lineRule="auto"/>
        <w:ind w:firstLine="0" w:firstLineChars="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snapToGrid/>
          <w:color w:val="auto"/>
          <w:kern w:val="0"/>
          <w:sz w:val="24"/>
          <w:szCs w:val="24"/>
          <w:highlight w:val="none"/>
          <w:lang w:eastAsia="zh-CN"/>
        </w:rPr>
        <w:t>统一</w:t>
      </w:r>
      <w:r>
        <w:rPr>
          <w:rFonts w:hint="eastAsia" w:ascii="宋体" w:hAnsi="宋体" w:eastAsia="宋体" w:cs="宋体"/>
          <w:b w:val="0"/>
          <w:bCs/>
          <w:snapToGrid/>
          <w:color w:val="auto"/>
          <w:kern w:val="0"/>
          <w:sz w:val="24"/>
          <w:szCs w:val="24"/>
          <w:highlight w:val="none"/>
          <w:u w:val="none"/>
          <w:lang w:val="en-US" w:eastAsia="zh-CN"/>
        </w:rPr>
        <w:t>社会信用代</w:t>
      </w:r>
      <w:r>
        <w:rPr>
          <w:rFonts w:hint="eastAsia" w:ascii="宋体" w:hAnsi="宋体" w:eastAsia="宋体" w:cs="宋体"/>
          <w:b w:val="0"/>
          <w:bCs/>
          <w:color w:val="auto"/>
          <w:sz w:val="24"/>
          <w:szCs w:val="24"/>
          <w:highlight w:val="none"/>
          <w:u w:val="none"/>
          <w:lang w:val="en-US" w:eastAsia="zh-CN"/>
        </w:rPr>
        <w:t>码：</w:t>
      </w:r>
      <w:r>
        <w:rPr>
          <w:rFonts w:hint="eastAsia" w:ascii="宋体" w:hAnsi="宋体" w:eastAsia="宋体" w:cs="宋体"/>
          <w:b w:val="0"/>
          <w:bCs/>
          <w:snapToGrid/>
          <w:color w:val="auto"/>
          <w:kern w:val="0"/>
          <w:sz w:val="24"/>
          <w:szCs w:val="24"/>
          <w:highlight w:val="none"/>
          <w:u w:val="none"/>
          <w:lang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r>
        <w:rPr>
          <w:rFonts w:hint="eastAsia" w:ascii="宋体" w:hAnsi="宋体" w:eastAsia="宋体" w:cs="宋体"/>
          <w:b w:val="0"/>
          <w:bCs/>
          <w:snapToGrid/>
          <w:color w:val="auto"/>
          <w:kern w:val="0"/>
          <w:sz w:val="24"/>
          <w:szCs w:val="24"/>
          <w:highlight w:val="none"/>
          <w:u w:val="single"/>
          <w:lang w:val="en-US"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p>
    <w:p w14:paraId="7CDCFB18">
      <w:pPr>
        <w:tabs>
          <w:tab w:val="left" w:leader="underscore" w:pos="7560"/>
        </w:tabs>
        <w:spacing w:line="360" w:lineRule="auto"/>
        <w:ind w:firstLine="0" w:firstLineChars="0"/>
        <w:rPr>
          <w:rFonts w:hint="eastAsia" w:ascii="宋体" w:hAnsi="宋体" w:eastAsia="宋体" w:cs="宋体"/>
          <w:b w:val="0"/>
          <w:bCs/>
          <w:snapToGrid/>
          <w:color w:val="auto"/>
          <w:kern w:val="0"/>
          <w:sz w:val="24"/>
          <w:szCs w:val="24"/>
          <w:highlight w:val="none"/>
          <w:u w:val="none"/>
          <w:lang w:eastAsia="zh-CN"/>
        </w:rPr>
      </w:pPr>
      <w:r>
        <w:rPr>
          <w:rFonts w:hint="eastAsia" w:ascii="宋体" w:hAnsi="宋体" w:eastAsia="宋体" w:cs="宋体"/>
          <w:b w:val="0"/>
          <w:bCs/>
          <w:snapToGrid/>
          <w:color w:val="auto"/>
          <w:kern w:val="0"/>
          <w:sz w:val="24"/>
          <w:szCs w:val="24"/>
          <w:highlight w:val="none"/>
          <w:lang w:eastAsia="zh-CN"/>
        </w:rPr>
        <w:t>法定代表人：</w:t>
      </w:r>
      <w:r>
        <w:rPr>
          <w:rFonts w:hint="eastAsia" w:ascii="宋体" w:hAnsi="宋体" w:eastAsia="宋体" w:cs="宋体"/>
          <w:b w:val="0"/>
          <w:bCs/>
          <w:snapToGrid/>
          <w:color w:val="auto"/>
          <w:kern w:val="0"/>
          <w:sz w:val="24"/>
          <w:szCs w:val="24"/>
          <w:highlight w:val="none"/>
          <w:u w:val="single"/>
          <w:lang w:eastAsia="zh-CN"/>
        </w:rPr>
        <w:t xml:space="preserve">                                                 </w:t>
      </w:r>
    </w:p>
    <w:p w14:paraId="143FCA42">
      <w:pPr>
        <w:tabs>
          <w:tab w:val="left" w:leader="underscore" w:pos="7560"/>
        </w:tabs>
        <w:spacing w:line="360" w:lineRule="auto"/>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snapToGrid/>
          <w:color w:val="auto"/>
          <w:kern w:val="0"/>
          <w:sz w:val="24"/>
          <w:szCs w:val="24"/>
          <w:highlight w:val="none"/>
          <w:lang w:eastAsia="zh-CN"/>
        </w:rPr>
        <w:t>地址：</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p>
    <w:p w14:paraId="07729223">
      <w:pPr>
        <w:tabs>
          <w:tab w:val="left" w:leader="underscore" w:pos="7560"/>
        </w:tabs>
        <w:spacing w:line="360" w:lineRule="auto"/>
        <w:rPr>
          <w:rFonts w:hint="default"/>
          <w:bCs/>
          <w:color w:val="auto"/>
          <w:sz w:val="24"/>
          <w:szCs w:val="24"/>
          <w:highlight w:val="none"/>
          <w:u w:val="single"/>
          <w:lang w:val="en-US" w:eastAsia="zh-CN"/>
        </w:rPr>
      </w:pPr>
    </w:p>
    <w:p w14:paraId="27276EB8">
      <w:pPr>
        <w:tabs>
          <w:tab w:val="left" w:leader="underscore" w:pos="7560"/>
        </w:tabs>
        <w:spacing w:line="360" w:lineRule="auto"/>
        <w:rPr>
          <w:rFonts w:hint="default"/>
          <w:bCs/>
          <w:color w:val="auto"/>
          <w:sz w:val="24"/>
          <w:szCs w:val="24"/>
          <w:highlight w:val="none"/>
          <w:u w:val="single"/>
          <w:lang w:val="en-US" w:eastAsia="zh-CN"/>
        </w:rPr>
      </w:pPr>
      <w:r>
        <w:rPr>
          <w:rFonts w:hint="eastAsia"/>
          <w:bCs/>
          <w:color w:val="auto"/>
          <w:sz w:val="24"/>
          <w:szCs w:val="24"/>
          <w:highlight w:val="none"/>
          <w:lang w:eastAsia="zh-CN"/>
        </w:rPr>
        <w:t>投保人（</w:t>
      </w:r>
      <w:r>
        <w:rPr>
          <w:rFonts w:hint="eastAsia"/>
          <w:bCs/>
          <w:color w:val="auto"/>
          <w:sz w:val="24"/>
          <w:szCs w:val="24"/>
          <w:highlight w:val="none"/>
          <w:u w:val="none"/>
          <w:lang w:eastAsia="zh-CN"/>
        </w:rPr>
        <w:t>甲方2：项目管理单位</w:t>
      </w:r>
      <w:r>
        <w:rPr>
          <w:rFonts w:hint="eastAsia"/>
          <w:bCs/>
          <w:color w:val="auto"/>
          <w:sz w:val="24"/>
          <w:szCs w:val="24"/>
          <w:highlight w:val="none"/>
          <w:lang w:eastAsia="zh-CN"/>
        </w:rPr>
        <w:t>）：</w:t>
      </w:r>
      <w:r>
        <w:rPr>
          <w:rFonts w:hint="eastAsia"/>
          <w:bCs/>
          <w:color w:val="auto"/>
          <w:sz w:val="24"/>
          <w:szCs w:val="24"/>
          <w:highlight w:val="none"/>
          <w:u w:val="single"/>
          <w:lang w:eastAsia="zh-CN"/>
        </w:rPr>
        <w:t>广州市白云城市建设投资有限公司</w:t>
      </w:r>
    </w:p>
    <w:p w14:paraId="07236DCA">
      <w:pPr>
        <w:tabs>
          <w:tab w:val="left" w:leader="underscore" w:pos="7560"/>
        </w:tabs>
        <w:adjustRightInd/>
        <w:snapToGrid/>
        <w:spacing w:line="360" w:lineRule="auto"/>
        <w:ind w:firstLine="0" w:firstLineChars="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snapToGrid/>
          <w:color w:val="auto"/>
          <w:kern w:val="0"/>
          <w:sz w:val="24"/>
          <w:szCs w:val="24"/>
          <w:highlight w:val="none"/>
          <w:lang w:eastAsia="zh-CN"/>
        </w:rPr>
        <w:t>统一</w:t>
      </w:r>
      <w:r>
        <w:rPr>
          <w:rFonts w:hint="eastAsia" w:ascii="宋体" w:hAnsi="宋体" w:eastAsia="宋体" w:cs="宋体"/>
          <w:b w:val="0"/>
          <w:bCs/>
          <w:snapToGrid/>
          <w:color w:val="auto"/>
          <w:kern w:val="0"/>
          <w:sz w:val="24"/>
          <w:szCs w:val="24"/>
          <w:highlight w:val="none"/>
          <w:u w:val="none"/>
          <w:lang w:val="en-US" w:eastAsia="zh-CN"/>
        </w:rPr>
        <w:t>社会信用代</w:t>
      </w:r>
      <w:r>
        <w:rPr>
          <w:rFonts w:hint="eastAsia" w:ascii="宋体" w:hAnsi="宋体" w:eastAsia="宋体" w:cs="宋体"/>
          <w:b w:val="0"/>
          <w:bCs/>
          <w:color w:val="auto"/>
          <w:sz w:val="24"/>
          <w:szCs w:val="24"/>
          <w:highlight w:val="none"/>
          <w:u w:val="none"/>
          <w:lang w:val="en-US" w:eastAsia="zh-CN"/>
        </w:rPr>
        <w:t>码：</w:t>
      </w:r>
      <w:r>
        <w:rPr>
          <w:rFonts w:hint="eastAsia" w:ascii="宋体" w:hAnsi="宋体" w:eastAsia="宋体" w:cs="宋体"/>
          <w:b w:val="0"/>
          <w:bCs/>
          <w:snapToGrid/>
          <w:color w:val="auto"/>
          <w:kern w:val="0"/>
          <w:sz w:val="24"/>
          <w:szCs w:val="24"/>
          <w:highlight w:val="none"/>
          <w:u w:val="none"/>
          <w:lang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r>
        <w:rPr>
          <w:rFonts w:hint="eastAsia" w:ascii="宋体" w:hAnsi="宋体" w:eastAsia="宋体" w:cs="宋体"/>
          <w:b w:val="0"/>
          <w:bCs/>
          <w:snapToGrid/>
          <w:color w:val="auto"/>
          <w:kern w:val="0"/>
          <w:sz w:val="24"/>
          <w:szCs w:val="24"/>
          <w:highlight w:val="none"/>
          <w:u w:val="single"/>
          <w:lang w:val="en-US"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p>
    <w:p w14:paraId="26B13957">
      <w:pPr>
        <w:tabs>
          <w:tab w:val="left" w:leader="underscore" w:pos="7560"/>
        </w:tabs>
        <w:spacing w:line="360" w:lineRule="auto"/>
        <w:ind w:firstLine="0" w:firstLineChars="0"/>
        <w:rPr>
          <w:rFonts w:hint="eastAsia" w:ascii="宋体" w:hAnsi="宋体" w:eastAsia="宋体" w:cs="宋体"/>
          <w:b w:val="0"/>
          <w:bCs/>
          <w:snapToGrid/>
          <w:color w:val="auto"/>
          <w:kern w:val="0"/>
          <w:sz w:val="24"/>
          <w:szCs w:val="24"/>
          <w:highlight w:val="none"/>
          <w:u w:val="none"/>
          <w:lang w:eastAsia="zh-CN"/>
        </w:rPr>
      </w:pPr>
      <w:r>
        <w:rPr>
          <w:rFonts w:hint="eastAsia" w:ascii="宋体" w:hAnsi="宋体" w:eastAsia="宋体" w:cs="宋体"/>
          <w:b w:val="0"/>
          <w:bCs/>
          <w:snapToGrid/>
          <w:color w:val="auto"/>
          <w:kern w:val="0"/>
          <w:sz w:val="24"/>
          <w:szCs w:val="24"/>
          <w:highlight w:val="none"/>
          <w:lang w:eastAsia="zh-CN"/>
        </w:rPr>
        <w:t>法定代表人：</w:t>
      </w:r>
      <w:r>
        <w:rPr>
          <w:rFonts w:hint="eastAsia" w:ascii="宋体" w:hAnsi="宋体" w:eastAsia="宋体" w:cs="宋体"/>
          <w:b w:val="0"/>
          <w:bCs/>
          <w:snapToGrid/>
          <w:color w:val="auto"/>
          <w:kern w:val="0"/>
          <w:sz w:val="24"/>
          <w:szCs w:val="24"/>
          <w:highlight w:val="none"/>
          <w:u w:val="single"/>
          <w:lang w:eastAsia="zh-CN"/>
        </w:rPr>
        <w:t xml:space="preserve">                                                 </w:t>
      </w:r>
    </w:p>
    <w:p w14:paraId="3C6FC541">
      <w:pPr>
        <w:tabs>
          <w:tab w:val="left" w:leader="underscore" w:pos="7560"/>
        </w:tabs>
        <w:spacing w:line="360" w:lineRule="auto"/>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snapToGrid/>
          <w:color w:val="auto"/>
          <w:kern w:val="0"/>
          <w:sz w:val="24"/>
          <w:szCs w:val="24"/>
          <w:highlight w:val="none"/>
          <w:lang w:eastAsia="zh-CN"/>
        </w:rPr>
        <w:t>地址：</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p>
    <w:p w14:paraId="20F5B438">
      <w:pPr>
        <w:tabs>
          <w:tab w:val="left" w:leader="underscore" w:pos="7560"/>
        </w:tabs>
        <w:spacing w:line="360" w:lineRule="auto"/>
        <w:rPr>
          <w:rFonts w:hint="eastAsia"/>
          <w:bCs/>
          <w:color w:val="auto"/>
          <w:sz w:val="24"/>
          <w:szCs w:val="24"/>
          <w:highlight w:val="none"/>
          <w:u w:val="single"/>
          <w:lang w:eastAsia="zh-CN"/>
        </w:rPr>
      </w:pPr>
    </w:p>
    <w:p w14:paraId="01D2CA9D">
      <w:pPr>
        <w:tabs>
          <w:tab w:val="left" w:leader="underscore" w:pos="7560"/>
        </w:tabs>
        <w:spacing w:line="360" w:lineRule="auto"/>
        <w:rPr>
          <w:rFonts w:hint="eastAsia"/>
          <w:bCs/>
          <w:color w:val="auto"/>
          <w:sz w:val="24"/>
          <w:szCs w:val="24"/>
          <w:highlight w:val="none"/>
          <w:u w:val="single"/>
          <w:lang w:eastAsia="zh-CN"/>
        </w:rPr>
      </w:pPr>
      <w:r>
        <w:rPr>
          <w:rFonts w:hint="eastAsia"/>
          <w:bCs/>
          <w:color w:val="auto"/>
          <w:sz w:val="24"/>
          <w:szCs w:val="24"/>
          <w:highlight w:val="none"/>
          <w:lang w:eastAsia="zh-CN"/>
        </w:rPr>
        <w:t>保险人（乙方）：</w:t>
      </w:r>
      <w:r>
        <w:rPr>
          <w:rFonts w:hint="eastAsia"/>
          <w:bCs/>
          <w:color w:val="auto"/>
          <w:sz w:val="24"/>
          <w:szCs w:val="24"/>
          <w:highlight w:val="none"/>
          <w:u w:val="single"/>
          <w:lang w:eastAsia="zh-CN"/>
        </w:rPr>
        <w:t xml:space="preserve">                                          </w:t>
      </w:r>
      <w:r>
        <w:rPr>
          <w:rFonts w:hint="eastAsia"/>
          <w:bCs/>
          <w:color w:val="auto"/>
          <w:sz w:val="24"/>
          <w:szCs w:val="24"/>
          <w:highlight w:val="none"/>
          <w:u w:val="single"/>
          <w:lang w:val="en-US" w:eastAsia="zh-CN"/>
        </w:rPr>
        <w:t xml:space="preserve"> </w:t>
      </w:r>
      <w:r>
        <w:rPr>
          <w:rFonts w:hint="eastAsia"/>
          <w:bCs/>
          <w:color w:val="auto"/>
          <w:sz w:val="24"/>
          <w:szCs w:val="24"/>
          <w:highlight w:val="none"/>
          <w:u w:val="single"/>
          <w:lang w:eastAsia="zh-CN"/>
        </w:rPr>
        <w:t xml:space="preserve">  </w:t>
      </w:r>
    </w:p>
    <w:p w14:paraId="2CEFC839">
      <w:pPr>
        <w:tabs>
          <w:tab w:val="left" w:leader="underscore" w:pos="7560"/>
        </w:tabs>
        <w:adjustRightInd/>
        <w:snapToGrid/>
        <w:spacing w:line="360" w:lineRule="auto"/>
        <w:ind w:firstLine="0" w:firstLineChars="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snapToGrid/>
          <w:color w:val="auto"/>
          <w:kern w:val="0"/>
          <w:sz w:val="24"/>
          <w:szCs w:val="24"/>
          <w:highlight w:val="none"/>
          <w:lang w:eastAsia="zh-CN"/>
        </w:rPr>
        <w:t>统一</w:t>
      </w:r>
      <w:r>
        <w:rPr>
          <w:rFonts w:hint="eastAsia" w:ascii="宋体" w:hAnsi="宋体" w:eastAsia="宋体" w:cs="宋体"/>
          <w:b w:val="0"/>
          <w:bCs/>
          <w:snapToGrid/>
          <w:color w:val="auto"/>
          <w:kern w:val="0"/>
          <w:sz w:val="24"/>
          <w:szCs w:val="24"/>
          <w:highlight w:val="none"/>
          <w:u w:val="none"/>
          <w:lang w:val="en-US" w:eastAsia="zh-CN"/>
        </w:rPr>
        <w:t>社会信用代</w:t>
      </w:r>
      <w:r>
        <w:rPr>
          <w:rFonts w:hint="eastAsia" w:ascii="宋体" w:hAnsi="宋体" w:eastAsia="宋体" w:cs="宋体"/>
          <w:b w:val="0"/>
          <w:bCs/>
          <w:color w:val="auto"/>
          <w:sz w:val="24"/>
          <w:szCs w:val="24"/>
          <w:highlight w:val="none"/>
          <w:u w:val="none"/>
          <w:lang w:val="en-US" w:eastAsia="zh-CN"/>
        </w:rPr>
        <w:t>码：</w:t>
      </w:r>
      <w:r>
        <w:rPr>
          <w:rFonts w:hint="eastAsia" w:ascii="宋体" w:hAnsi="宋体" w:eastAsia="宋体" w:cs="宋体"/>
          <w:b w:val="0"/>
          <w:bCs/>
          <w:snapToGrid/>
          <w:color w:val="auto"/>
          <w:kern w:val="0"/>
          <w:sz w:val="24"/>
          <w:szCs w:val="24"/>
          <w:highlight w:val="none"/>
          <w:u w:val="none"/>
          <w:lang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r>
        <w:rPr>
          <w:rFonts w:hint="eastAsia" w:ascii="宋体" w:hAnsi="宋体" w:eastAsia="宋体" w:cs="宋体"/>
          <w:b w:val="0"/>
          <w:bCs/>
          <w:snapToGrid/>
          <w:color w:val="auto"/>
          <w:kern w:val="0"/>
          <w:sz w:val="24"/>
          <w:szCs w:val="24"/>
          <w:highlight w:val="none"/>
          <w:u w:val="single"/>
          <w:lang w:val="en-US"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p>
    <w:p w14:paraId="2038ACF5">
      <w:pPr>
        <w:tabs>
          <w:tab w:val="left" w:leader="underscore" w:pos="7560"/>
        </w:tabs>
        <w:spacing w:line="360" w:lineRule="auto"/>
        <w:ind w:firstLine="0" w:firstLineChars="0"/>
        <w:rPr>
          <w:rFonts w:hint="eastAsia" w:ascii="宋体" w:hAnsi="宋体" w:eastAsia="宋体" w:cs="宋体"/>
          <w:b w:val="0"/>
          <w:bCs/>
          <w:snapToGrid/>
          <w:color w:val="auto"/>
          <w:kern w:val="0"/>
          <w:sz w:val="24"/>
          <w:szCs w:val="24"/>
          <w:highlight w:val="none"/>
          <w:u w:val="none"/>
          <w:lang w:eastAsia="zh-CN"/>
        </w:rPr>
      </w:pPr>
      <w:r>
        <w:rPr>
          <w:rFonts w:hint="eastAsia" w:ascii="宋体" w:hAnsi="宋体" w:eastAsia="宋体" w:cs="宋体"/>
          <w:b w:val="0"/>
          <w:bCs/>
          <w:snapToGrid/>
          <w:color w:val="auto"/>
          <w:kern w:val="0"/>
          <w:sz w:val="24"/>
          <w:szCs w:val="24"/>
          <w:highlight w:val="none"/>
          <w:lang w:eastAsia="zh-CN"/>
        </w:rPr>
        <w:t>法定代表人：</w:t>
      </w:r>
      <w:r>
        <w:rPr>
          <w:rFonts w:hint="eastAsia" w:ascii="宋体" w:hAnsi="宋体" w:eastAsia="宋体" w:cs="宋体"/>
          <w:b w:val="0"/>
          <w:bCs/>
          <w:snapToGrid/>
          <w:color w:val="auto"/>
          <w:kern w:val="0"/>
          <w:sz w:val="24"/>
          <w:szCs w:val="24"/>
          <w:highlight w:val="none"/>
          <w:u w:val="single"/>
          <w:lang w:eastAsia="zh-CN"/>
        </w:rPr>
        <w:t xml:space="preserve">                                                 </w:t>
      </w:r>
    </w:p>
    <w:p w14:paraId="3D2299DD">
      <w:pPr>
        <w:tabs>
          <w:tab w:val="left" w:leader="underscore" w:pos="7560"/>
        </w:tabs>
        <w:spacing w:line="360" w:lineRule="auto"/>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snapToGrid/>
          <w:color w:val="auto"/>
          <w:kern w:val="0"/>
          <w:sz w:val="24"/>
          <w:szCs w:val="24"/>
          <w:highlight w:val="none"/>
          <w:lang w:eastAsia="zh-CN"/>
        </w:rPr>
        <w:t>地址：</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p>
    <w:p w14:paraId="2C40674F">
      <w:pPr>
        <w:spacing w:line="360" w:lineRule="auto"/>
        <w:ind w:firstLine="480" w:firstLineChars="200"/>
        <w:rPr>
          <w:rFonts w:hint="eastAsia"/>
          <w:color w:val="auto"/>
          <w:sz w:val="24"/>
          <w:szCs w:val="24"/>
          <w:lang w:eastAsia="zh-CN"/>
        </w:rPr>
      </w:pPr>
    </w:p>
    <w:p w14:paraId="35B43A9E">
      <w:pPr>
        <w:spacing w:line="360" w:lineRule="auto"/>
        <w:ind w:firstLine="480" w:firstLineChars="200"/>
        <w:rPr>
          <w:rFonts w:hint="eastAsia"/>
          <w:color w:val="auto"/>
          <w:sz w:val="24"/>
          <w:szCs w:val="24"/>
          <w:lang w:eastAsia="zh-CN"/>
        </w:rPr>
      </w:pPr>
      <w:r>
        <w:rPr>
          <w:rFonts w:hint="eastAsia"/>
          <w:color w:val="auto"/>
          <w:sz w:val="24"/>
          <w:szCs w:val="24"/>
          <w:lang w:eastAsia="zh-CN"/>
        </w:rPr>
        <w:t>甲方1是广州市白云区潭村城中村改造项目二期安置地块及安置区配套道路项目</w:t>
      </w:r>
      <w:r>
        <w:rPr>
          <w:rFonts w:hint="eastAsia"/>
          <w:color w:val="auto"/>
          <w:sz w:val="24"/>
          <w:szCs w:val="24"/>
          <w:lang w:val="en-US" w:eastAsia="zh-CN"/>
        </w:rPr>
        <w:t>的业主单位</w:t>
      </w:r>
      <w:r>
        <w:rPr>
          <w:rFonts w:hint="eastAsia"/>
          <w:color w:val="auto"/>
          <w:sz w:val="24"/>
          <w:szCs w:val="24"/>
          <w:lang w:eastAsia="zh-CN"/>
        </w:rPr>
        <w:t>，甲方2是项目建设管理单位，乙方是甲方</w:t>
      </w:r>
      <w:r>
        <w:rPr>
          <w:rFonts w:hint="eastAsia"/>
          <w:color w:val="auto"/>
          <w:sz w:val="24"/>
          <w:szCs w:val="24"/>
          <w:lang w:val="en-US" w:eastAsia="zh-CN"/>
        </w:rPr>
        <w:t>1</w:t>
      </w:r>
      <w:r>
        <w:rPr>
          <w:rFonts w:hint="eastAsia"/>
          <w:color w:val="auto"/>
          <w:sz w:val="24"/>
          <w:szCs w:val="24"/>
          <w:lang w:eastAsia="zh-CN"/>
        </w:rPr>
        <w:t>按</w:t>
      </w:r>
      <w:r>
        <w:rPr>
          <w:rFonts w:hint="eastAsia"/>
          <w:color w:val="auto"/>
          <w:sz w:val="24"/>
          <w:szCs w:val="24"/>
          <w:lang w:val="en-US" w:eastAsia="zh-CN"/>
        </w:rPr>
        <w:t>公开招标</w:t>
      </w:r>
      <w:r>
        <w:rPr>
          <w:rFonts w:hint="eastAsia"/>
          <w:color w:val="auto"/>
          <w:sz w:val="24"/>
          <w:szCs w:val="24"/>
          <w:lang w:eastAsia="zh-CN"/>
        </w:rPr>
        <w:t>程序确认的服务单位。</w:t>
      </w:r>
    </w:p>
    <w:p w14:paraId="74C5EBF5">
      <w:pPr>
        <w:spacing w:line="360" w:lineRule="auto"/>
        <w:rPr>
          <w:rFonts w:hint="eastAsia"/>
          <w:color w:val="auto"/>
          <w:sz w:val="24"/>
          <w:szCs w:val="24"/>
          <w:lang w:eastAsia="zh-CN"/>
        </w:rPr>
      </w:pPr>
    </w:p>
    <w:p w14:paraId="0DAFBC09">
      <w:pPr>
        <w:pStyle w:val="8"/>
        <w:adjustRightInd w:val="0"/>
        <w:snapToGrid w:val="0"/>
        <w:spacing w:line="360" w:lineRule="auto"/>
        <w:ind w:right="235"/>
        <w:rPr>
          <w:rFonts w:hint="eastAsia"/>
          <w:color w:val="auto"/>
          <w:sz w:val="24"/>
          <w:szCs w:val="24"/>
          <w:highlight w:val="none"/>
          <w:lang w:eastAsia="zh-CN"/>
        </w:rPr>
      </w:pPr>
      <w:r>
        <w:rPr>
          <w:rFonts w:hint="eastAsia"/>
          <w:color w:val="auto"/>
          <w:sz w:val="24"/>
          <w:szCs w:val="24"/>
          <w:highlight w:val="none"/>
          <w:lang w:eastAsia="zh-CN"/>
        </w:rPr>
        <w:t xml:space="preserve">为了提升住宅建筑质量，保障住宅所有权人的合法权益，根据《中华人民共和国建筑法》《中华人民共和国保险法》《中华人民共和国民法典》等法律法规，结合《广东省建设工程质量管理条例》《广州市优化营商环境条例》《广州市房屋建筑和市政基础设施工程质量管理办法》《关于印发&lt; </w:t>
      </w:r>
      <w:r>
        <w:rPr>
          <w:rFonts w:hint="eastAsia"/>
          <w:color w:val="auto"/>
          <w:spacing w:val="-3"/>
          <w:sz w:val="24"/>
          <w:szCs w:val="24"/>
          <w:highlight w:val="none"/>
          <w:lang w:eastAsia="zh-CN"/>
        </w:rPr>
        <w:t>广州市住宅工程质量潜在缺陷保险管理办法&gt;的通知》</w:t>
      </w:r>
      <w:r>
        <w:rPr>
          <w:rFonts w:hint="eastAsia"/>
          <w:color w:val="auto"/>
          <w:sz w:val="24"/>
          <w:szCs w:val="24"/>
          <w:highlight w:val="none"/>
          <w:lang w:eastAsia="zh-CN"/>
        </w:rPr>
        <w:t>（</w:t>
      </w:r>
      <w:r>
        <w:rPr>
          <w:rFonts w:hint="eastAsia"/>
          <w:color w:val="auto"/>
          <w:spacing w:val="-6"/>
          <w:sz w:val="24"/>
          <w:szCs w:val="24"/>
          <w:highlight w:val="none"/>
          <w:lang w:eastAsia="zh-CN"/>
        </w:rPr>
        <w:t>穗建质〔</w:t>
      </w:r>
      <w:r>
        <w:rPr>
          <w:rFonts w:hint="eastAsia"/>
          <w:color w:val="auto"/>
          <w:sz w:val="24"/>
          <w:szCs w:val="24"/>
          <w:highlight w:val="none"/>
          <w:lang w:eastAsia="zh-CN"/>
        </w:rPr>
        <w:t>2025</w:t>
      </w:r>
      <w:r>
        <w:rPr>
          <w:rFonts w:hint="eastAsia"/>
          <w:color w:val="auto"/>
          <w:spacing w:val="-25"/>
          <w:sz w:val="24"/>
          <w:szCs w:val="24"/>
          <w:highlight w:val="none"/>
          <w:lang w:eastAsia="zh-CN"/>
        </w:rPr>
        <w:t>〕</w:t>
      </w:r>
      <w:r>
        <w:rPr>
          <w:rFonts w:hint="eastAsia"/>
          <w:color w:val="auto"/>
          <w:sz w:val="24"/>
          <w:szCs w:val="24"/>
          <w:highlight w:val="none"/>
          <w:lang w:eastAsia="zh-CN"/>
        </w:rPr>
        <w:t>71号）</w:t>
      </w:r>
      <w:r>
        <w:rPr>
          <w:rFonts w:hint="eastAsia"/>
          <w:color w:val="auto"/>
          <w:spacing w:val="-4"/>
          <w:sz w:val="24"/>
          <w:szCs w:val="24"/>
          <w:highlight w:val="none"/>
          <w:lang w:eastAsia="zh-CN"/>
        </w:rPr>
        <w:t>的有关规定，投保人对负责实施建设的</w:t>
      </w:r>
      <w:r>
        <w:rPr>
          <w:rFonts w:hint="eastAsia"/>
          <w:color w:val="auto"/>
          <w:sz w:val="24"/>
          <w:szCs w:val="24"/>
          <w:highlight w:val="none"/>
          <w:u w:val="single"/>
          <w:lang w:eastAsia="zh-CN"/>
        </w:rPr>
        <w:t>广州市白云区潭村城中村改造项目二期安置地块及安置区配套道路项目</w:t>
      </w:r>
      <w:r>
        <w:rPr>
          <w:rFonts w:hint="eastAsia"/>
          <w:color w:val="auto"/>
          <w:sz w:val="24"/>
          <w:szCs w:val="24"/>
          <w:highlight w:val="none"/>
          <w:lang w:eastAsia="zh-CN"/>
        </w:rPr>
        <w:t>（</w:t>
      </w:r>
      <w:r>
        <w:rPr>
          <w:rFonts w:hint="eastAsia"/>
          <w:color w:val="auto"/>
          <w:spacing w:val="-12"/>
          <w:sz w:val="24"/>
          <w:szCs w:val="24"/>
          <w:highlight w:val="none"/>
          <w:lang w:eastAsia="zh-CN"/>
        </w:rPr>
        <w:t>以下简称“本项目”</w:t>
      </w:r>
      <w:r>
        <w:rPr>
          <w:rFonts w:hint="eastAsia"/>
          <w:color w:val="auto"/>
          <w:sz w:val="24"/>
          <w:szCs w:val="24"/>
          <w:highlight w:val="none"/>
          <w:lang w:eastAsia="zh-CN"/>
        </w:rPr>
        <w:t>）住宅工程质量潜在缺陷保险进行投保。</w:t>
      </w:r>
    </w:p>
    <w:p w14:paraId="34E5322F">
      <w:pPr>
        <w:pStyle w:val="8"/>
        <w:adjustRightInd w:val="0"/>
        <w:snapToGrid w:val="0"/>
        <w:spacing w:line="360" w:lineRule="auto"/>
        <w:ind w:right="357"/>
        <w:rPr>
          <w:rFonts w:hint="eastAsia"/>
          <w:color w:val="auto"/>
          <w:sz w:val="24"/>
          <w:szCs w:val="24"/>
          <w:highlight w:val="none"/>
          <w:lang w:eastAsia="zh-CN"/>
        </w:rPr>
      </w:pPr>
      <w:r>
        <w:rPr>
          <w:rFonts w:hint="eastAsia"/>
          <w:color w:val="auto"/>
          <w:spacing w:val="-9"/>
          <w:sz w:val="24"/>
          <w:szCs w:val="24"/>
          <w:highlight w:val="none"/>
          <w:lang w:eastAsia="zh-CN"/>
        </w:rPr>
        <w:t>投保人经公开采购，确定保险人</w:t>
      </w:r>
      <w:r>
        <w:rPr>
          <w:rFonts w:hint="eastAsia"/>
          <w:color w:val="auto"/>
          <w:spacing w:val="-9"/>
          <w:sz w:val="24"/>
          <w:szCs w:val="24"/>
          <w:highlight w:val="none"/>
          <w:u w:val="single"/>
          <w:lang w:eastAsia="zh-CN"/>
        </w:rPr>
        <w:t xml:space="preserve">               </w:t>
      </w:r>
      <w:r>
        <w:rPr>
          <w:rFonts w:hint="eastAsia"/>
          <w:color w:val="auto"/>
          <w:spacing w:val="-9"/>
          <w:sz w:val="24"/>
          <w:szCs w:val="24"/>
          <w:highlight w:val="none"/>
          <w:lang w:eastAsia="zh-CN"/>
        </w:rPr>
        <w:t>作为本项目的主承保公司。双方本着友好协</w:t>
      </w:r>
      <w:r>
        <w:rPr>
          <w:rFonts w:hint="eastAsia"/>
          <w:color w:val="auto"/>
          <w:sz w:val="24"/>
          <w:szCs w:val="24"/>
          <w:highlight w:val="none"/>
          <w:lang w:eastAsia="zh-CN"/>
        </w:rPr>
        <w:t>商、平等互利的原则，达成如下协议：</w:t>
      </w:r>
    </w:p>
    <w:p w14:paraId="05CAF968">
      <w:pPr>
        <w:pStyle w:val="5"/>
        <w:adjustRightInd w:val="0"/>
        <w:snapToGrid w:val="0"/>
        <w:spacing w:line="360" w:lineRule="auto"/>
        <w:ind w:left="0" w:right="330" w:firstLine="470" w:firstLineChars="200"/>
        <w:rPr>
          <w:rFonts w:hint="eastAsia"/>
          <w:color w:val="auto"/>
          <w:sz w:val="24"/>
          <w:szCs w:val="24"/>
          <w:highlight w:val="none"/>
          <w:lang w:eastAsia="zh-CN"/>
        </w:rPr>
      </w:pPr>
      <w:r>
        <w:rPr>
          <w:rFonts w:hint="eastAsia"/>
          <w:color w:val="auto"/>
          <w:spacing w:val="3"/>
          <w:w w:val="95"/>
          <w:sz w:val="24"/>
          <w:szCs w:val="24"/>
          <w:highlight w:val="none"/>
          <w:lang w:eastAsia="zh-CN"/>
        </w:rPr>
        <w:t>一、下列文件应作为本项目保险合同的组成部分，并均具有法律效力，合</w:t>
      </w:r>
      <w:r>
        <w:rPr>
          <w:rFonts w:hint="eastAsia"/>
          <w:color w:val="auto"/>
          <w:spacing w:val="3"/>
          <w:sz w:val="24"/>
          <w:szCs w:val="24"/>
          <w:highlight w:val="none"/>
          <w:lang w:eastAsia="zh-CN"/>
        </w:rPr>
        <w:t>同文件应是互为解释，互为说明，除合同另有约定外，解释的优先顺序如下：</w:t>
      </w:r>
    </w:p>
    <w:p w14:paraId="77A68146">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right="360" w:firstLine="482"/>
        <w:rPr>
          <w:rFonts w:hint="eastAsia"/>
          <w:color w:val="auto"/>
          <w:sz w:val="24"/>
          <w:szCs w:val="24"/>
          <w:highlight w:val="none"/>
          <w:lang w:eastAsia="zh-CN"/>
        </w:rPr>
      </w:pPr>
      <w:r>
        <w:rPr>
          <w:rFonts w:hint="eastAsia"/>
          <w:color w:val="auto"/>
          <w:sz w:val="24"/>
          <w:szCs w:val="24"/>
          <w:highlight w:val="none"/>
          <w:lang w:eastAsia="zh-CN"/>
        </w:rPr>
        <w:t>履行本合同的相关补充协议（</w:t>
      </w:r>
      <w:r>
        <w:rPr>
          <w:rFonts w:hint="eastAsia"/>
          <w:color w:val="auto"/>
          <w:spacing w:val="-1"/>
          <w:sz w:val="24"/>
          <w:szCs w:val="24"/>
          <w:highlight w:val="none"/>
          <w:lang w:eastAsia="zh-CN"/>
        </w:rPr>
        <w:t>含工程洽商记录、会议纪要、变更、现</w:t>
      </w:r>
      <w:r>
        <w:rPr>
          <w:rFonts w:hint="eastAsia"/>
          <w:color w:val="auto"/>
          <w:sz w:val="24"/>
          <w:szCs w:val="24"/>
          <w:highlight w:val="none"/>
          <w:lang w:eastAsia="zh-CN"/>
        </w:rPr>
        <w:t>场签证、索赔和合同价款调整报告等修正文件）；</w:t>
      </w:r>
    </w:p>
    <w:p w14:paraId="742EDB7B">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lang w:val="en-US" w:eastAsia="zh-CN"/>
        </w:rPr>
        <w:t>附加条款；</w:t>
      </w:r>
    </w:p>
    <w:p w14:paraId="18AB9D5C">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保险协议书；</w:t>
      </w:r>
    </w:p>
    <w:p w14:paraId="4D4786E4">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lang w:eastAsia="zh-CN"/>
        </w:rPr>
        <w:t>中</w:t>
      </w:r>
      <w:r>
        <w:rPr>
          <w:rFonts w:hint="eastAsia"/>
          <w:color w:val="auto"/>
          <w:sz w:val="24"/>
          <w:szCs w:val="24"/>
          <w:highlight w:val="none"/>
          <w:lang w:val="en-US" w:eastAsia="zh-CN"/>
        </w:rPr>
        <w:t>标</w:t>
      </w:r>
      <w:r>
        <w:rPr>
          <w:rFonts w:hint="eastAsia"/>
          <w:color w:val="auto"/>
          <w:sz w:val="24"/>
          <w:szCs w:val="24"/>
          <w:highlight w:val="none"/>
        </w:rPr>
        <w:t>通知书；</w:t>
      </w:r>
    </w:p>
    <w:p w14:paraId="034EBF37">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lang w:eastAsia="zh-CN"/>
        </w:rPr>
      </w:pPr>
      <w:r>
        <w:rPr>
          <w:rFonts w:hint="eastAsia"/>
          <w:color w:val="auto"/>
          <w:sz w:val="24"/>
          <w:szCs w:val="24"/>
          <w:highlight w:val="none"/>
          <w:lang w:eastAsia="zh-CN"/>
        </w:rPr>
        <w:t>投标文件（含保险方案、报价书等）；</w:t>
      </w:r>
    </w:p>
    <w:p w14:paraId="03D28448">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保险条款；</w:t>
      </w:r>
    </w:p>
    <w:p w14:paraId="5B955A0E">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保险单；</w:t>
      </w:r>
    </w:p>
    <w:p w14:paraId="4E2A719F">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lang w:val="en-US" w:eastAsia="zh-CN"/>
        </w:rPr>
        <w:t>招标</w:t>
      </w:r>
      <w:r>
        <w:rPr>
          <w:rFonts w:hint="eastAsia"/>
          <w:color w:val="auto"/>
          <w:sz w:val="24"/>
          <w:szCs w:val="24"/>
          <w:highlight w:val="none"/>
        </w:rPr>
        <w:t>文件；</w:t>
      </w:r>
    </w:p>
    <w:p w14:paraId="3F39E39C">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其他文件（如有）。</w:t>
      </w:r>
    </w:p>
    <w:p w14:paraId="0F16291C">
      <w:pPr>
        <w:pStyle w:val="8"/>
        <w:keepNext w:val="0"/>
        <w:keepLines w:val="0"/>
        <w:pageBreakBefore w:val="0"/>
        <w:kinsoku/>
        <w:wordWrap/>
        <w:overflowPunct/>
        <w:topLinePunct w:val="0"/>
        <w:bidi w:val="0"/>
        <w:adjustRightInd w:val="0"/>
        <w:snapToGrid w:val="0"/>
        <w:spacing w:line="360" w:lineRule="auto"/>
        <w:ind w:left="119" w:right="357" w:firstLine="482"/>
        <w:jc w:val="both"/>
        <w:rPr>
          <w:rFonts w:hint="eastAsia"/>
          <w:color w:val="auto"/>
          <w:sz w:val="24"/>
          <w:szCs w:val="24"/>
          <w:highlight w:val="none"/>
          <w:lang w:eastAsia="zh-CN"/>
        </w:rPr>
      </w:pPr>
      <w:r>
        <w:rPr>
          <w:rFonts w:hint="eastAsia"/>
          <w:color w:val="auto"/>
          <w:spacing w:val="-7"/>
          <w:sz w:val="24"/>
          <w:szCs w:val="24"/>
          <w:highlight w:val="none"/>
          <w:lang w:eastAsia="zh-CN"/>
        </w:rPr>
        <w:t>上述文件应认为是互为补充和解释的，若保险条款与保险协议书或附加条款</w:t>
      </w:r>
      <w:r>
        <w:rPr>
          <w:rFonts w:hint="eastAsia"/>
          <w:color w:val="auto"/>
          <w:spacing w:val="-10"/>
          <w:sz w:val="24"/>
          <w:szCs w:val="24"/>
          <w:highlight w:val="none"/>
          <w:lang w:eastAsia="zh-CN"/>
        </w:rPr>
        <w:t>冲突，保险协议书及附加条款效力优先。上述文件的优先性，以上面所列顺序在</w:t>
      </w:r>
      <w:r>
        <w:rPr>
          <w:rFonts w:hint="eastAsia"/>
          <w:color w:val="auto"/>
          <w:sz w:val="24"/>
          <w:szCs w:val="24"/>
          <w:highlight w:val="none"/>
          <w:lang w:eastAsia="zh-CN"/>
        </w:rPr>
        <w:t>前为准，若仍有不明确之处，以时间在后者为准。</w:t>
      </w:r>
    </w:p>
    <w:p w14:paraId="765E9675">
      <w:pPr>
        <w:pStyle w:val="8"/>
        <w:keepNext w:val="0"/>
        <w:keepLines w:val="0"/>
        <w:pageBreakBefore w:val="0"/>
        <w:kinsoku/>
        <w:wordWrap/>
        <w:overflowPunct/>
        <w:topLinePunct w:val="0"/>
        <w:bidi w:val="0"/>
        <w:adjustRightInd w:val="0"/>
        <w:snapToGrid w:val="0"/>
        <w:spacing w:line="360" w:lineRule="auto"/>
        <w:ind w:right="357"/>
        <w:jc w:val="both"/>
        <w:rPr>
          <w:rFonts w:hint="eastAsia"/>
          <w:b/>
          <w:bCs/>
          <w:color w:val="auto"/>
          <w:sz w:val="24"/>
          <w:szCs w:val="24"/>
          <w:highlight w:val="none"/>
          <w:lang w:eastAsia="zh-CN"/>
        </w:rPr>
      </w:pPr>
      <w:r>
        <w:rPr>
          <w:rFonts w:hint="eastAsia"/>
          <w:b/>
          <w:bCs/>
          <w:color w:val="auto"/>
          <w:sz w:val="24"/>
          <w:szCs w:val="24"/>
          <w:highlight w:val="none"/>
          <w:lang w:eastAsia="zh-CN"/>
        </w:rPr>
        <w:t>二、保险标的概况</w:t>
      </w:r>
    </w:p>
    <w:p w14:paraId="678D41C7">
      <w:pPr>
        <w:autoSpaceDE/>
        <w:autoSpaceDN/>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建设总用地面积约42166平方米，总建筑面积约297616平方米。</w:t>
      </w:r>
      <w:r>
        <w:rPr>
          <w:rFonts w:hint="eastAsia" w:ascii="宋体" w:hAnsi="宋体" w:eastAsia="宋体" w:cs="宋体"/>
          <w:color w:val="auto"/>
          <w:sz w:val="24"/>
          <w:szCs w:val="24"/>
          <w:highlight w:val="none"/>
          <w:lang w:eastAsia="zh-CN"/>
        </w:rPr>
        <w:t>地块1（AB2716005地块）规划用地面积为14903.0㎡，总建筑面积98416 ㎡；计容面积为67061㎡，不计容面积为31355 ㎡，容积率为4.5；建筑密度28%，绿地率35%；建筑高度80~120米。地下为二层，地上为3栋25~39层高层住宅（首层架空）、1栋15班幼儿园、托儿所及配套公建。</w:t>
      </w:r>
    </w:p>
    <w:p w14:paraId="7C50EC6F">
      <w:pPr>
        <w:autoSpaceDE/>
        <w:autoSpaceDN/>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块2（AB2716006地块）规划用地面积为27263.0㎡，总建筑面积193072㎡；计容面积为134501㎡，不计容面积为58571㎡，容积率为4.93；建筑密度35%，绿地率35%；建筑高度100～120米。地上为6栋31~39层高层住宅（首层架空）和配套公建。</w:t>
      </w:r>
    </w:p>
    <w:p w14:paraId="304AE092">
      <w:pPr>
        <w:autoSpaceDE/>
        <w:autoSpaceDN/>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地块3（AB2716031地块）用地性质为防护绿地（G2），用地面积约为1305㎡。地块4（AB2716007地块）用地性质为防护绿地（G2），用地面积约为2109㎡。</w:t>
      </w:r>
    </w:p>
    <w:p w14:paraId="4044BD45">
      <w:pPr>
        <w:autoSpaceDE/>
        <w:autoSpaceDN/>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小区</w:t>
      </w:r>
      <w:r>
        <w:rPr>
          <w:rFonts w:hint="eastAsia" w:ascii="宋体" w:hAnsi="宋体" w:eastAsia="宋体" w:cs="宋体"/>
          <w:color w:val="auto"/>
          <w:sz w:val="24"/>
          <w:szCs w:val="24"/>
          <w:highlight w:val="none"/>
          <w:lang w:eastAsia="zh-CN"/>
        </w:rPr>
        <w:t>道路：</w:t>
      </w:r>
      <w:r>
        <w:rPr>
          <w:rFonts w:hint="eastAsia" w:ascii="宋体" w:hAnsi="宋体" w:eastAsia="宋体" w:cs="宋体"/>
          <w:color w:val="auto"/>
          <w:sz w:val="24"/>
          <w:szCs w:val="24"/>
          <w:highlight w:val="none"/>
          <w:lang w:val="en-US" w:eastAsia="zh-CN"/>
        </w:rPr>
        <w:t>约468</w:t>
      </w:r>
      <w:r>
        <w:rPr>
          <w:rFonts w:hint="eastAsia" w:ascii="宋体" w:hAnsi="宋体" w:eastAsia="宋体" w:cs="宋体"/>
          <w:color w:val="auto"/>
          <w:sz w:val="24"/>
          <w:szCs w:val="24"/>
          <w:highlight w:val="none"/>
          <w:lang w:eastAsia="zh-CN"/>
        </w:rPr>
        <w:t>米，</w:t>
      </w:r>
      <w:r>
        <w:rPr>
          <w:rFonts w:hint="eastAsia" w:ascii="宋体" w:hAnsi="宋体" w:eastAsia="宋体" w:cs="宋体"/>
          <w:color w:val="auto"/>
          <w:sz w:val="24"/>
          <w:szCs w:val="24"/>
          <w:highlight w:val="none"/>
          <w:lang w:val="en-US" w:eastAsia="zh-CN"/>
        </w:rPr>
        <w:t>面积约5797.5</w:t>
      </w:r>
      <w:r>
        <w:rPr>
          <w:rFonts w:hint="eastAsia" w:ascii="宋体" w:hAnsi="宋体" w:eastAsia="宋体" w:cs="宋体"/>
          <w:color w:val="auto"/>
          <w:sz w:val="24"/>
          <w:szCs w:val="24"/>
          <w:highlight w:val="none"/>
          <w:lang w:eastAsia="zh-CN"/>
        </w:rPr>
        <w:t>㎡。</w:t>
      </w:r>
    </w:p>
    <w:p w14:paraId="0AA5A7F1">
      <w:pPr>
        <w:pStyle w:val="8"/>
        <w:keepNext w:val="0"/>
        <w:keepLines w:val="0"/>
        <w:pageBreakBefore w:val="0"/>
        <w:kinsoku/>
        <w:wordWrap/>
        <w:overflowPunct/>
        <w:topLinePunct w:val="0"/>
        <w:autoSpaceDE/>
        <w:autoSpaceDN/>
        <w:bidi w:val="0"/>
        <w:adjustRightInd w:val="0"/>
        <w:snapToGrid w:val="0"/>
        <w:spacing w:line="360" w:lineRule="auto"/>
        <w:ind w:left="0" w:right="357" w:firstLine="480" w:firstLineChars="20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highlight w:val="none"/>
          <w:lang w:eastAsia="zh-CN"/>
        </w:rPr>
        <w:t>本项目利用两地块中间的</w:t>
      </w:r>
      <w:r>
        <w:rPr>
          <w:rFonts w:hint="eastAsia" w:ascii="宋体" w:hAnsi="宋体" w:eastAsia="宋体" w:cs="宋体"/>
          <w:color w:val="auto"/>
          <w:sz w:val="24"/>
          <w:szCs w:val="24"/>
          <w:highlight w:val="none"/>
          <w:lang w:val="en-US" w:eastAsia="zh-CN"/>
        </w:rPr>
        <w:t>小区</w:t>
      </w:r>
      <w:r>
        <w:rPr>
          <w:rFonts w:hint="eastAsia" w:ascii="宋体" w:hAnsi="宋体" w:eastAsia="宋体" w:cs="宋体"/>
          <w:color w:val="auto"/>
          <w:highlight w:val="none"/>
          <w:lang w:eastAsia="zh-CN"/>
        </w:rPr>
        <w:t>道路地下空间建设地下停车库，与两地块相连通，地下建筑面积6128㎡。</w:t>
      </w:r>
    </w:p>
    <w:p w14:paraId="17791032">
      <w:pPr>
        <w:pStyle w:val="8"/>
        <w:keepNext w:val="0"/>
        <w:keepLines w:val="0"/>
        <w:pageBreakBefore w:val="0"/>
        <w:kinsoku/>
        <w:wordWrap/>
        <w:overflowPunct/>
        <w:topLinePunct w:val="0"/>
        <w:bidi w:val="0"/>
        <w:adjustRightInd w:val="0"/>
        <w:snapToGrid w:val="0"/>
        <w:spacing w:line="360" w:lineRule="auto"/>
        <w:ind w:left="119" w:right="357" w:firstLine="482"/>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工程总工期为</w:t>
      </w:r>
      <w:r>
        <w:rPr>
          <w:rFonts w:hint="eastAsia" w:ascii="宋体" w:hAnsi="宋体" w:eastAsia="宋体" w:cs="宋体"/>
          <w:color w:val="auto"/>
          <w:sz w:val="24"/>
          <w:szCs w:val="24"/>
          <w:highlight w:val="none"/>
          <w:u w:val="none"/>
          <w:lang w:val="en-US" w:eastAsia="zh-CN"/>
        </w:rPr>
        <w:t>695个</w:t>
      </w:r>
      <w:r>
        <w:rPr>
          <w:rFonts w:hint="eastAsia" w:ascii="宋体" w:hAnsi="宋体" w:eastAsia="宋体" w:cs="宋体"/>
          <w:color w:val="auto"/>
          <w:sz w:val="24"/>
          <w:szCs w:val="24"/>
          <w:highlight w:val="none"/>
          <w:u w:val="none"/>
          <w:lang w:eastAsia="zh-CN"/>
        </w:rPr>
        <w:t>日历天。</w:t>
      </w:r>
    </w:p>
    <w:p w14:paraId="43459F2A">
      <w:pPr>
        <w:pStyle w:val="8"/>
        <w:keepNext w:val="0"/>
        <w:keepLines w:val="0"/>
        <w:pageBreakBefore w:val="0"/>
        <w:kinsoku/>
        <w:wordWrap/>
        <w:overflowPunct/>
        <w:topLinePunct w:val="0"/>
        <w:bidi w:val="0"/>
        <w:adjustRightInd w:val="0"/>
        <w:snapToGrid w:val="0"/>
        <w:spacing w:line="360" w:lineRule="auto"/>
        <w:ind w:left="119" w:right="357"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最终工期将以实际情况为准，</w:t>
      </w:r>
      <w:r>
        <w:rPr>
          <w:rFonts w:hint="eastAsia" w:ascii="宋体" w:hAnsi="宋体" w:eastAsia="宋体" w:cs="宋体"/>
          <w:color w:val="auto"/>
          <w:sz w:val="24"/>
          <w:szCs w:val="24"/>
          <w:highlight w:val="none"/>
          <w:u w:val="none"/>
          <w:lang w:eastAsia="zh-CN"/>
        </w:rPr>
        <w:t>项目建设规模及指标最终以政府相关部门批复及投保人选定方案为准）。</w:t>
      </w:r>
      <w:bookmarkStart w:id="26" w:name="_GoBack"/>
      <w:bookmarkEnd w:id="26"/>
    </w:p>
    <w:p w14:paraId="58784E69">
      <w:pPr>
        <w:keepNext w:val="0"/>
        <w:keepLines w:val="0"/>
        <w:pageBreakBefore w:val="0"/>
        <w:kinsoku/>
        <w:wordWrap/>
        <w:overflowPunct/>
        <w:topLinePunct w:val="0"/>
        <w:bidi w:val="0"/>
        <w:adjustRightInd w:val="0"/>
        <w:snapToGrid w:val="0"/>
        <w:spacing w:line="360" w:lineRule="auto"/>
        <w:ind w:right="2785" w:firstLine="482" w:firstLineChars="200"/>
        <w:rPr>
          <w:rFonts w:hint="eastAsia"/>
          <w:b/>
          <w:color w:val="auto"/>
          <w:sz w:val="24"/>
          <w:szCs w:val="24"/>
          <w:highlight w:val="none"/>
          <w:lang w:eastAsia="zh-CN"/>
        </w:rPr>
      </w:pPr>
      <w:r>
        <w:rPr>
          <w:rFonts w:hint="eastAsia"/>
          <w:b/>
          <w:color w:val="auto"/>
          <w:sz w:val="24"/>
          <w:szCs w:val="24"/>
          <w:highlight w:val="none"/>
          <w:lang w:eastAsia="zh-CN"/>
        </w:rPr>
        <w:t>三、投保人、被保险人和保险人信息</w:t>
      </w:r>
    </w:p>
    <w:p w14:paraId="2628F49D">
      <w:pPr>
        <w:pStyle w:val="24"/>
        <w:numPr>
          <w:ilvl w:val="255"/>
          <w:numId w:val="0"/>
        </w:numPr>
        <w:tabs>
          <w:tab w:val="left" w:pos="1080"/>
        </w:tabs>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 投保人：广州白云潭村置地有限公司、</w:t>
      </w:r>
      <w:r>
        <w:rPr>
          <w:rFonts w:hint="eastAsia" w:ascii="宋体" w:hAnsi="宋体" w:eastAsia="宋体" w:cs="宋体"/>
          <w:bCs w:val="0"/>
          <w:color w:val="auto"/>
          <w:sz w:val="24"/>
          <w:szCs w:val="24"/>
          <w:highlight w:val="none"/>
          <w:u w:val="none"/>
          <w:lang w:eastAsia="zh-CN"/>
        </w:rPr>
        <w:t xml:space="preserve">广州市白云城市建设投资有限公司                                          </w:t>
      </w:r>
    </w:p>
    <w:p w14:paraId="16841F7E">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3.2 被保险人：建筑物所有权人</w:t>
      </w:r>
    </w:p>
    <w:p w14:paraId="739305D8">
      <w:pPr>
        <w:pStyle w:val="8"/>
        <w:keepNext w:val="0"/>
        <w:keepLines w:val="0"/>
        <w:pageBreakBefore w:val="0"/>
        <w:kinsoku/>
        <w:wordWrap/>
        <w:overflowPunct/>
        <w:topLinePunct w:val="0"/>
        <w:bidi w:val="0"/>
        <w:spacing w:line="360" w:lineRule="auto"/>
        <w:ind w:left="0" w:firstLineChars="200"/>
        <w:rPr>
          <w:rFonts w:hint="eastAsia"/>
          <w:color w:val="auto"/>
          <w:spacing w:val="-11"/>
          <w:sz w:val="24"/>
          <w:szCs w:val="24"/>
          <w:highlight w:val="none"/>
          <w:lang w:eastAsia="zh-CN"/>
        </w:rPr>
      </w:pPr>
      <w:r>
        <w:rPr>
          <w:rFonts w:hint="eastAsia"/>
          <w:color w:val="auto"/>
          <w:sz w:val="24"/>
          <w:szCs w:val="24"/>
          <w:highlight w:val="none"/>
          <w:lang w:eastAsia="zh-CN"/>
        </w:rPr>
        <w:t xml:space="preserve">3.3 </w:t>
      </w:r>
      <w:r>
        <w:rPr>
          <w:rFonts w:hint="eastAsia"/>
          <w:color w:val="auto"/>
          <w:spacing w:val="-11"/>
          <w:sz w:val="24"/>
          <w:szCs w:val="24"/>
          <w:highlight w:val="none"/>
          <w:lang w:eastAsia="zh-CN"/>
        </w:rPr>
        <w:t>保险人：</w:t>
      </w:r>
      <w:r>
        <w:rPr>
          <w:rFonts w:hint="eastAsia"/>
          <w:color w:val="auto"/>
          <w:spacing w:val="-11"/>
          <w:sz w:val="24"/>
          <w:szCs w:val="24"/>
          <w:highlight w:val="none"/>
          <w:u w:val="single"/>
          <w:lang w:eastAsia="zh-CN"/>
        </w:rPr>
        <w:t xml:space="preserve">                 </w:t>
      </w:r>
      <w:r>
        <w:rPr>
          <w:rFonts w:hint="eastAsia"/>
          <w:color w:val="auto"/>
          <w:spacing w:val="-11"/>
          <w:sz w:val="24"/>
          <w:szCs w:val="24"/>
          <w:highlight w:val="none"/>
          <w:lang w:eastAsia="zh-CN"/>
        </w:rPr>
        <w:t xml:space="preserve"> ，保险人作为本项目主承保公司。本项目住宅工程质量潜在缺陷保险采取共保模式，共保体由1家主承保公司和不少于2家从保公司组成。共保体由保险人选择具有相应资质及类似项目经验的从保公司组建共保体，以签订共保协议的形式明确各自在项目上的承保份额、权利义务。其中主承保公司份额不得低于50%，保险人须向投保人提交一份共保协议复印件备案。本项目共保体</w:t>
      </w:r>
      <w:r>
        <w:rPr>
          <w:rFonts w:hint="eastAsia"/>
          <w:color w:val="auto"/>
          <w:sz w:val="24"/>
          <w:szCs w:val="24"/>
          <w:highlight w:val="none"/>
          <w:lang w:eastAsia="zh-CN"/>
        </w:rPr>
        <w:t>具体信息如下表：</w:t>
      </w:r>
    </w:p>
    <w:tbl>
      <w:tblPr>
        <w:tblStyle w:val="19"/>
        <w:tblpPr w:leftFromText="180" w:rightFromText="180" w:vertAnchor="text" w:horzAnchor="page" w:tblpX="1799" w:tblpY="1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4677"/>
        <w:gridCol w:w="1497"/>
      </w:tblGrid>
      <w:tr w14:paraId="2B78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tcPr>
          <w:p w14:paraId="35E85B7E">
            <w:pPr>
              <w:pStyle w:val="25"/>
              <w:keepNext w:val="0"/>
              <w:keepLines w:val="0"/>
              <w:pageBreakBefore w:val="0"/>
              <w:kinsoku/>
              <w:wordWrap/>
              <w:overflowPunct/>
              <w:topLinePunct w:val="0"/>
              <w:bidi w:val="0"/>
              <w:spacing w:before="80" w:line="360" w:lineRule="auto"/>
              <w:ind w:left="440" w:right="429"/>
              <w:rPr>
                <w:rFonts w:hint="eastAsia"/>
                <w:b/>
                <w:color w:val="auto"/>
                <w:sz w:val="24"/>
                <w:szCs w:val="24"/>
                <w:highlight w:val="none"/>
              </w:rPr>
            </w:pPr>
            <w:r>
              <w:rPr>
                <w:rFonts w:hint="eastAsia"/>
                <w:b/>
                <w:color w:val="auto"/>
                <w:sz w:val="24"/>
                <w:szCs w:val="24"/>
                <w:highlight w:val="none"/>
              </w:rPr>
              <w:t>共保体</w:t>
            </w:r>
          </w:p>
        </w:tc>
        <w:tc>
          <w:tcPr>
            <w:tcW w:w="4677" w:type="dxa"/>
          </w:tcPr>
          <w:p w14:paraId="3C664C53">
            <w:pPr>
              <w:pStyle w:val="25"/>
              <w:keepNext w:val="0"/>
              <w:keepLines w:val="0"/>
              <w:pageBreakBefore w:val="0"/>
              <w:kinsoku/>
              <w:wordWrap/>
              <w:overflowPunct/>
              <w:topLinePunct w:val="0"/>
              <w:bidi w:val="0"/>
              <w:spacing w:before="80" w:line="360" w:lineRule="auto"/>
              <w:ind w:left="1596" w:right="1585"/>
              <w:rPr>
                <w:rFonts w:hint="eastAsia"/>
                <w:b/>
                <w:color w:val="auto"/>
                <w:sz w:val="24"/>
                <w:szCs w:val="24"/>
                <w:highlight w:val="none"/>
              </w:rPr>
            </w:pPr>
            <w:r>
              <w:rPr>
                <w:rFonts w:hint="eastAsia"/>
                <w:b/>
                <w:color w:val="auto"/>
                <w:sz w:val="24"/>
                <w:szCs w:val="24"/>
                <w:highlight w:val="none"/>
              </w:rPr>
              <w:t>保险公司名称</w:t>
            </w:r>
          </w:p>
        </w:tc>
        <w:tc>
          <w:tcPr>
            <w:tcW w:w="1497" w:type="dxa"/>
          </w:tcPr>
          <w:p w14:paraId="63E06FA2">
            <w:pPr>
              <w:pStyle w:val="25"/>
              <w:keepNext w:val="0"/>
              <w:keepLines w:val="0"/>
              <w:pageBreakBefore w:val="0"/>
              <w:kinsoku/>
              <w:wordWrap/>
              <w:overflowPunct/>
              <w:topLinePunct w:val="0"/>
              <w:bidi w:val="0"/>
              <w:spacing w:before="80" w:line="360" w:lineRule="auto"/>
              <w:ind w:left="487" w:right="477"/>
              <w:rPr>
                <w:rFonts w:hint="eastAsia"/>
                <w:b/>
                <w:color w:val="auto"/>
                <w:sz w:val="24"/>
                <w:szCs w:val="24"/>
                <w:highlight w:val="none"/>
              </w:rPr>
            </w:pPr>
            <w:r>
              <w:rPr>
                <w:rFonts w:hint="eastAsia"/>
                <w:b/>
                <w:color w:val="auto"/>
                <w:sz w:val="24"/>
                <w:szCs w:val="24"/>
                <w:highlight w:val="none"/>
              </w:rPr>
              <w:t>份额</w:t>
            </w:r>
          </w:p>
        </w:tc>
      </w:tr>
      <w:tr w14:paraId="7F2F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2122" w:type="dxa"/>
          </w:tcPr>
          <w:p w14:paraId="066B04C5">
            <w:pPr>
              <w:pStyle w:val="25"/>
              <w:keepNext w:val="0"/>
              <w:keepLines w:val="0"/>
              <w:pageBreakBefore w:val="0"/>
              <w:kinsoku/>
              <w:wordWrap/>
              <w:overflowPunct/>
              <w:topLinePunct w:val="0"/>
              <w:bidi w:val="0"/>
              <w:spacing w:before="82" w:line="360" w:lineRule="auto"/>
              <w:ind w:left="438" w:right="430"/>
              <w:rPr>
                <w:rFonts w:hint="eastAsia"/>
                <w:color w:val="auto"/>
                <w:sz w:val="24"/>
                <w:szCs w:val="24"/>
                <w:highlight w:val="none"/>
              </w:rPr>
            </w:pPr>
            <w:r>
              <w:rPr>
                <w:rFonts w:hint="eastAsia"/>
                <w:color w:val="auto"/>
                <w:sz w:val="24"/>
                <w:szCs w:val="24"/>
                <w:highlight w:val="none"/>
              </w:rPr>
              <w:t>主承保公司</w:t>
            </w:r>
          </w:p>
        </w:tc>
        <w:tc>
          <w:tcPr>
            <w:tcW w:w="4677" w:type="dxa"/>
            <w:vAlign w:val="center"/>
          </w:tcPr>
          <w:p w14:paraId="09B047E6">
            <w:pPr>
              <w:keepNext w:val="0"/>
              <w:keepLines w:val="0"/>
              <w:pageBreakBefore w:val="0"/>
              <w:widowControl/>
              <w:kinsoku/>
              <w:wordWrap/>
              <w:overflowPunct/>
              <w:topLinePunct w:val="0"/>
              <w:bidi w:val="0"/>
              <w:spacing w:line="360" w:lineRule="auto"/>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 xml:space="preserve">                                                                </w:t>
            </w:r>
          </w:p>
        </w:tc>
        <w:tc>
          <w:tcPr>
            <w:tcW w:w="1497" w:type="dxa"/>
            <w:vAlign w:val="center"/>
          </w:tcPr>
          <w:p w14:paraId="52E8BA11">
            <w:pPr>
              <w:keepNext w:val="0"/>
              <w:keepLines w:val="0"/>
              <w:pageBreakBefore w:val="0"/>
              <w:widowControl/>
              <w:kinsoku/>
              <w:wordWrap/>
              <w:overflowPunct/>
              <w:topLinePunct w:val="0"/>
              <w:bidi w:val="0"/>
              <w:spacing w:line="360" w:lineRule="auto"/>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p>
        </w:tc>
      </w:tr>
      <w:tr w14:paraId="71E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4DDEB2E6">
            <w:pPr>
              <w:keepNext w:val="0"/>
              <w:keepLines w:val="0"/>
              <w:pageBreakBefore w:val="0"/>
              <w:widowControl/>
              <w:kinsoku/>
              <w:wordWrap/>
              <w:overflowPunct/>
              <w:topLinePunct w:val="0"/>
              <w:bidi w:val="0"/>
              <w:spacing w:line="240" w:lineRule="auto"/>
              <w:jc w:val="center"/>
              <w:textAlignment w:val="center"/>
              <w:rPr>
                <w:rFonts w:hint="eastAsia"/>
                <w:color w:val="auto"/>
                <w:sz w:val="24"/>
                <w:szCs w:val="24"/>
                <w:highlight w:val="none"/>
              </w:rPr>
            </w:pPr>
            <w:r>
              <w:rPr>
                <w:rFonts w:hint="eastAsia"/>
                <w:color w:val="auto"/>
                <w:sz w:val="24"/>
                <w:szCs w:val="24"/>
                <w:highlight w:val="none"/>
                <w:lang w:eastAsia="zh-CN"/>
              </w:rPr>
              <w:t>从保公司1</w:t>
            </w:r>
          </w:p>
        </w:tc>
        <w:tc>
          <w:tcPr>
            <w:tcW w:w="4677" w:type="dxa"/>
            <w:vAlign w:val="center"/>
          </w:tcPr>
          <w:p w14:paraId="4D8C355A">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p>
        </w:tc>
        <w:tc>
          <w:tcPr>
            <w:tcW w:w="1497" w:type="dxa"/>
            <w:vAlign w:val="center"/>
          </w:tcPr>
          <w:p w14:paraId="181203C8">
            <w:pPr>
              <w:keepNext w:val="0"/>
              <w:keepLines w:val="0"/>
              <w:pageBreakBefore w:val="0"/>
              <w:widowControl/>
              <w:kinsoku/>
              <w:wordWrap/>
              <w:overflowPunct/>
              <w:topLinePunct w:val="0"/>
              <w:bidi w:val="0"/>
              <w:spacing w:line="360" w:lineRule="auto"/>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p>
        </w:tc>
      </w:tr>
      <w:tr w14:paraId="2C5F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427B2AA5">
            <w:pPr>
              <w:keepNext w:val="0"/>
              <w:keepLines w:val="0"/>
              <w:pageBreakBefore w:val="0"/>
              <w:widowControl/>
              <w:kinsoku/>
              <w:wordWrap/>
              <w:overflowPunct/>
              <w:topLinePunct w:val="0"/>
              <w:bidi w:val="0"/>
              <w:spacing w:line="240" w:lineRule="auto"/>
              <w:jc w:val="center"/>
              <w:textAlignment w:val="center"/>
              <w:rPr>
                <w:rFonts w:hint="eastAsia"/>
                <w:color w:val="auto"/>
                <w:sz w:val="24"/>
                <w:szCs w:val="24"/>
                <w:highlight w:val="none"/>
              </w:rPr>
            </w:pPr>
            <w:r>
              <w:rPr>
                <w:rFonts w:hint="eastAsia"/>
                <w:color w:val="auto"/>
                <w:sz w:val="24"/>
                <w:szCs w:val="24"/>
                <w:highlight w:val="none"/>
                <w:lang w:eastAsia="zh-CN"/>
              </w:rPr>
              <w:t>从保公司2</w:t>
            </w:r>
          </w:p>
        </w:tc>
        <w:tc>
          <w:tcPr>
            <w:tcW w:w="4677" w:type="dxa"/>
            <w:vAlign w:val="center"/>
          </w:tcPr>
          <w:p w14:paraId="270D78A3">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p>
        </w:tc>
        <w:tc>
          <w:tcPr>
            <w:tcW w:w="1497" w:type="dxa"/>
            <w:vAlign w:val="center"/>
          </w:tcPr>
          <w:p w14:paraId="3128956E">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r>
              <w:rPr>
                <w:rFonts w:hint="eastAsia"/>
                <w:color w:val="auto"/>
                <w:sz w:val="24"/>
                <w:szCs w:val="24"/>
                <w:highlight w:val="none"/>
                <w:lang w:val="en-US" w:eastAsia="zh-CN"/>
              </w:rPr>
              <w:t xml:space="preserve">  %</w:t>
            </w:r>
          </w:p>
        </w:tc>
      </w:tr>
      <w:tr w14:paraId="0FBC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3D313C1C">
            <w:pPr>
              <w:keepNext w:val="0"/>
              <w:keepLines w:val="0"/>
              <w:pageBreakBefore w:val="0"/>
              <w:widowControl/>
              <w:kinsoku/>
              <w:wordWrap/>
              <w:overflowPunct/>
              <w:topLinePunct w:val="0"/>
              <w:bidi w:val="0"/>
              <w:spacing w:line="240" w:lineRule="auto"/>
              <w:jc w:val="center"/>
              <w:textAlignment w:val="center"/>
              <w:rPr>
                <w:rFonts w:hint="default"/>
                <w:color w:val="auto"/>
                <w:sz w:val="24"/>
                <w:szCs w:val="24"/>
                <w:highlight w:val="none"/>
                <w:lang w:val="en-US" w:eastAsia="zh-CN"/>
              </w:rPr>
            </w:pPr>
            <w:r>
              <w:rPr>
                <w:rFonts w:hint="eastAsia" w:ascii="宋体" w:hAnsi="宋体" w:cs="宋体"/>
                <w:color w:val="auto"/>
                <w:sz w:val="24"/>
                <w:szCs w:val="24"/>
                <w:highlight w:val="none"/>
              </w:rPr>
              <w:t>……</w:t>
            </w:r>
          </w:p>
        </w:tc>
        <w:tc>
          <w:tcPr>
            <w:tcW w:w="4677" w:type="dxa"/>
            <w:vAlign w:val="center"/>
          </w:tcPr>
          <w:p w14:paraId="3B241B9B">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p>
        </w:tc>
        <w:tc>
          <w:tcPr>
            <w:tcW w:w="1497" w:type="dxa"/>
            <w:vAlign w:val="center"/>
          </w:tcPr>
          <w:p w14:paraId="3F91BD30">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lang w:val="en-US" w:eastAsia="zh-CN"/>
              </w:rPr>
            </w:pPr>
          </w:p>
        </w:tc>
      </w:tr>
    </w:tbl>
    <w:p w14:paraId="4AB5C313">
      <w:pPr>
        <w:pStyle w:val="24"/>
        <w:keepNext w:val="0"/>
        <w:keepLines w:val="0"/>
        <w:pageBreakBefore w:val="0"/>
        <w:tabs>
          <w:tab w:val="left" w:pos="1080"/>
        </w:tabs>
        <w:kinsoku/>
        <w:wordWrap/>
        <w:overflowPunct/>
        <w:topLinePunct w:val="0"/>
        <w:bidi w:val="0"/>
        <w:adjustRightInd w:val="0"/>
        <w:snapToGrid w:val="0"/>
        <w:spacing w:line="360" w:lineRule="auto"/>
        <w:ind w:left="0" w:right="357" w:firstLineChars="200"/>
        <w:jc w:val="both"/>
        <w:rPr>
          <w:rFonts w:hint="eastAsia"/>
          <w:color w:val="auto"/>
          <w:sz w:val="24"/>
          <w:szCs w:val="24"/>
          <w:highlight w:val="none"/>
          <w:lang w:eastAsia="zh-CN"/>
        </w:rPr>
      </w:pPr>
      <w:r>
        <w:rPr>
          <w:rFonts w:hint="eastAsia"/>
          <w:color w:val="auto"/>
          <w:sz w:val="24"/>
          <w:szCs w:val="24"/>
          <w:highlight w:val="none"/>
          <w:lang w:eastAsia="zh-CN"/>
        </w:rPr>
        <w:t>保险人应提供的具体服务内容包括但不限于：(1)提供风险管理服务，包括但不限于风险评估、风险控制建议和定期检查；(2)提供快速理赔服务，确保在接到报案后及时响应并处理，并及时作出理赔；(3)提供专业的技术支持，确保在保险责任期内对潜在缺陷进行有效管理和修复。</w:t>
      </w:r>
      <w:r>
        <w:rPr>
          <w:rFonts w:hint="eastAsia"/>
          <w:color w:val="auto"/>
          <w:spacing w:val="-6"/>
          <w:sz w:val="24"/>
          <w:szCs w:val="24"/>
          <w:highlight w:val="none"/>
          <w:lang w:eastAsia="zh-CN"/>
        </w:rPr>
        <w:t>各公司应严格按照</w:t>
      </w:r>
      <w:r>
        <w:rPr>
          <w:rFonts w:hint="eastAsia"/>
          <w:color w:val="auto"/>
          <w:sz w:val="24"/>
          <w:szCs w:val="24"/>
          <w:highlight w:val="none"/>
          <w:lang w:eastAsia="zh-CN"/>
        </w:rPr>
        <w:t>保险合同的约定承担保险责任，主承保公司对保单承担直接管理责任，负责对参与共保的其他保险人和风险管理机构进行合规管理，并依法承担其他共保公司或风险管理机构违规行为的连带责任。</w:t>
      </w:r>
      <w:r>
        <w:rPr>
          <w:rFonts w:hint="eastAsia"/>
          <w:color w:val="auto"/>
          <w:sz w:val="24"/>
          <w:szCs w:val="24"/>
          <w:highlight w:val="none"/>
          <w:lang w:val="en-US" w:eastAsia="zh-CN"/>
        </w:rPr>
        <w:t>共保协议任一方</w:t>
      </w:r>
      <w:r>
        <w:rPr>
          <w:rFonts w:hint="eastAsia"/>
          <w:color w:val="auto"/>
          <w:sz w:val="24"/>
          <w:szCs w:val="24"/>
          <w:highlight w:val="none"/>
          <w:lang w:eastAsia="zh-CN"/>
        </w:rPr>
        <w:t>丧失</w:t>
      </w:r>
      <w:r>
        <w:rPr>
          <w:rFonts w:hint="eastAsia"/>
          <w:color w:val="auto"/>
          <w:sz w:val="24"/>
          <w:szCs w:val="24"/>
          <w:highlight w:val="none"/>
          <w:lang w:val="en-US" w:eastAsia="zh-CN"/>
        </w:rPr>
        <w:t>承保能力、</w:t>
      </w:r>
      <w:r>
        <w:rPr>
          <w:rFonts w:hint="eastAsia"/>
          <w:color w:val="auto"/>
          <w:sz w:val="24"/>
          <w:szCs w:val="24"/>
          <w:highlight w:val="none"/>
          <w:lang w:eastAsia="zh-CN"/>
        </w:rPr>
        <w:t>偿付能力的，</w:t>
      </w:r>
      <w:r>
        <w:rPr>
          <w:rFonts w:hint="eastAsia"/>
          <w:color w:val="auto"/>
          <w:sz w:val="24"/>
          <w:szCs w:val="24"/>
          <w:highlight w:val="none"/>
          <w:lang w:val="en-US" w:eastAsia="zh-CN"/>
        </w:rPr>
        <w:t>共保体其他成员应就丧失承保能力、偿付能力的一方所负</w:t>
      </w:r>
      <w:r>
        <w:rPr>
          <w:rFonts w:hint="eastAsia"/>
          <w:color w:val="auto"/>
          <w:sz w:val="24"/>
          <w:szCs w:val="24"/>
          <w:highlight w:val="none"/>
          <w:lang w:eastAsia="zh-CN"/>
        </w:rPr>
        <w:t>份额责任</w:t>
      </w:r>
      <w:r>
        <w:rPr>
          <w:rFonts w:hint="eastAsia"/>
          <w:color w:val="auto"/>
          <w:sz w:val="24"/>
          <w:szCs w:val="24"/>
          <w:highlight w:val="none"/>
          <w:lang w:val="en-US" w:eastAsia="zh-CN"/>
        </w:rPr>
        <w:t>承担连带责任</w:t>
      </w:r>
      <w:r>
        <w:rPr>
          <w:rFonts w:hint="eastAsia"/>
          <w:color w:val="auto"/>
          <w:sz w:val="24"/>
          <w:szCs w:val="24"/>
          <w:highlight w:val="none"/>
          <w:lang w:eastAsia="zh-CN"/>
        </w:rPr>
        <w:t>。</w:t>
      </w:r>
    </w:p>
    <w:p w14:paraId="73B8BA34">
      <w:pPr>
        <w:pStyle w:val="5"/>
        <w:keepNext w:val="0"/>
        <w:keepLines w:val="0"/>
        <w:pageBreakBefore w:val="0"/>
        <w:kinsoku/>
        <w:wordWrap/>
        <w:overflowPunct/>
        <w:topLinePunct w:val="0"/>
        <w:bidi w:val="0"/>
        <w:adjustRightInd w:val="0"/>
        <w:snapToGrid w:val="0"/>
        <w:spacing w:line="360" w:lineRule="auto"/>
        <w:ind w:left="0" w:firstLine="482" w:firstLineChars="200"/>
        <w:rPr>
          <w:rFonts w:hint="eastAsia"/>
          <w:color w:val="auto"/>
          <w:sz w:val="24"/>
          <w:szCs w:val="24"/>
          <w:highlight w:val="none"/>
          <w:lang w:eastAsia="zh-CN"/>
        </w:rPr>
      </w:pPr>
      <w:r>
        <w:rPr>
          <w:rFonts w:hint="eastAsia"/>
          <w:color w:val="auto"/>
          <w:sz w:val="24"/>
          <w:szCs w:val="24"/>
          <w:highlight w:val="none"/>
          <w:lang w:eastAsia="zh-CN"/>
        </w:rPr>
        <w:t>四、投保险种</w:t>
      </w:r>
    </w:p>
    <w:p w14:paraId="7C4D0518">
      <w:pPr>
        <w:pStyle w:val="8"/>
        <w:keepNext w:val="0"/>
        <w:keepLines w:val="0"/>
        <w:pageBreakBefore w:val="0"/>
        <w:kinsoku/>
        <w:wordWrap/>
        <w:overflowPunct/>
        <w:topLinePunct w:val="0"/>
        <w:bidi w:val="0"/>
        <w:adjustRightInd w:val="0"/>
        <w:snapToGrid w:val="0"/>
        <w:spacing w:line="360" w:lineRule="auto"/>
        <w:ind w:left="0" w:firstLineChars="200"/>
        <w:rPr>
          <w:rFonts w:hint="eastAsia"/>
          <w:color w:val="auto"/>
          <w:sz w:val="24"/>
          <w:szCs w:val="24"/>
          <w:highlight w:val="none"/>
          <w:lang w:eastAsia="zh-CN"/>
        </w:rPr>
      </w:pPr>
      <w:r>
        <w:rPr>
          <w:rFonts w:hint="eastAsia"/>
          <w:color w:val="auto"/>
          <w:sz w:val="24"/>
          <w:szCs w:val="24"/>
          <w:highlight w:val="none"/>
          <w:lang w:eastAsia="zh-CN"/>
        </w:rPr>
        <w:t>本项目住宅工程质量潜在缺陷保险采取共保模式承保，承保实行统一保险条款、统一保险费率、统一理赔服务、统一信息平台；本项目作为一个保险标的，出具一份保险单，保险合同涵盖的范围包括投保的住宅工程和同一物业管理区域内的其他建筑物，保险人在该保单项下承担的最大赔偿限额为保单记载的保险金额。投保人向保险人投保住宅工程质量潜在缺陷保险，投保内容如下：</w:t>
      </w:r>
    </w:p>
    <w:p w14:paraId="27250370">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（一）地基基础和主体结构工程：</w:t>
      </w:r>
    </w:p>
    <w:p w14:paraId="3D23CA8E">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1.整体或局部倒塌；</w:t>
      </w:r>
    </w:p>
    <w:p w14:paraId="6CC42B2D">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2.地基产生超出设计规范允许的不均匀沉降；</w:t>
      </w:r>
    </w:p>
    <w:p w14:paraId="52DC047A">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3.基础和主体结构部位出现影响结构安全的裂缝、变形、破损、断裂；</w:t>
      </w:r>
    </w:p>
    <w:p w14:paraId="24DE6A04">
      <w:pPr>
        <w:pStyle w:val="24"/>
        <w:keepNext w:val="0"/>
        <w:keepLines w:val="0"/>
        <w:pageBreakBefore w:val="0"/>
        <w:numPr>
          <w:ilvl w:val="255"/>
          <w:numId w:val="0"/>
        </w:numPr>
        <w:tabs>
          <w:tab w:val="left" w:pos="1201"/>
        </w:tabs>
        <w:kinsoku/>
        <w:wordWrap/>
        <w:overflowPunct/>
        <w:topLinePunct w:val="0"/>
        <w:autoSpaceDE/>
        <w:autoSpaceDN/>
        <w:bidi w:val="0"/>
        <w:adjustRightInd w:val="0"/>
        <w:snapToGrid w:val="0"/>
        <w:spacing w:before="0" w:line="360" w:lineRule="auto"/>
        <w:ind w:right="363" w:firstLine="476" w:firstLineChars="200"/>
        <w:rPr>
          <w:rFonts w:hint="eastAsia"/>
          <w:color w:val="auto"/>
          <w:sz w:val="24"/>
          <w:szCs w:val="24"/>
          <w:highlight w:val="none"/>
          <w:lang w:eastAsia="zh-CN"/>
        </w:rPr>
      </w:pPr>
      <w:r>
        <w:rPr>
          <w:rFonts w:hint="eastAsia"/>
          <w:color w:val="auto"/>
          <w:spacing w:val="-1"/>
          <w:sz w:val="24"/>
          <w:szCs w:val="24"/>
          <w:highlight w:val="none"/>
          <w:lang w:eastAsia="zh-CN"/>
        </w:rPr>
        <w:t>4.阳台、雨</w:t>
      </w:r>
      <w:r>
        <w:rPr>
          <w:rFonts w:hint="eastAsia"/>
          <w:color w:val="auto"/>
          <w:spacing w:val="-1"/>
          <w:sz w:val="24"/>
          <w:szCs w:val="24"/>
          <w:highlight w:val="none"/>
          <w:lang w:val="en-US" w:eastAsia="zh-CN"/>
        </w:rPr>
        <w:t>篷</w:t>
      </w:r>
      <w:r>
        <w:rPr>
          <w:rFonts w:hint="eastAsia"/>
          <w:color w:val="auto"/>
          <w:spacing w:val="-1"/>
          <w:sz w:val="24"/>
          <w:szCs w:val="24"/>
          <w:highlight w:val="none"/>
          <w:lang w:eastAsia="zh-CN"/>
        </w:rPr>
        <w:t>、挑檐、空调板等悬挑构件出现影响使用安全的裂缝、变</w:t>
      </w:r>
      <w:r>
        <w:rPr>
          <w:rFonts w:hint="eastAsia"/>
          <w:color w:val="auto"/>
          <w:sz w:val="24"/>
          <w:szCs w:val="24"/>
          <w:highlight w:val="none"/>
          <w:lang w:eastAsia="zh-CN"/>
        </w:rPr>
        <w:t>形、破损、断裂；</w:t>
      </w:r>
    </w:p>
    <w:p w14:paraId="112223DD">
      <w:pPr>
        <w:pStyle w:val="24"/>
        <w:keepNext w:val="0"/>
        <w:keepLines w:val="0"/>
        <w:pageBreakBefore w:val="0"/>
        <w:numPr>
          <w:ilvl w:val="255"/>
          <w:numId w:val="0"/>
        </w:numPr>
        <w:tabs>
          <w:tab w:val="left" w:pos="1201"/>
        </w:tabs>
        <w:kinsoku/>
        <w:wordWrap/>
        <w:overflowPunct/>
        <w:topLinePunct w:val="0"/>
        <w:autoSpaceDE/>
        <w:autoSpaceDN/>
        <w:bidi w:val="0"/>
        <w:adjustRightInd w:val="0"/>
        <w:snapToGrid w:val="0"/>
        <w:spacing w:before="0" w:line="360" w:lineRule="auto"/>
        <w:ind w:right="363" w:firstLine="480" w:firstLineChars="200"/>
        <w:rPr>
          <w:rFonts w:hint="eastAsia"/>
          <w:color w:val="auto"/>
          <w:sz w:val="24"/>
          <w:szCs w:val="24"/>
          <w:highlight w:val="none"/>
          <w:lang w:eastAsia="zh-CN"/>
        </w:rPr>
      </w:pPr>
      <w:r>
        <w:rPr>
          <w:rFonts w:hint="eastAsia"/>
          <w:color w:val="auto"/>
          <w:sz w:val="24"/>
          <w:szCs w:val="24"/>
          <w:highlight w:val="none"/>
          <w:lang w:eastAsia="zh-CN"/>
        </w:rPr>
        <w:t>5.</w:t>
      </w:r>
      <w:r>
        <w:rPr>
          <w:rFonts w:hint="eastAsia"/>
          <w:color w:val="auto"/>
          <w:spacing w:val="-1"/>
          <w:sz w:val="24"/>
          <w:szCs w:val="24"/>
          <w:highlight w:val="none"/>
          <w:lang w:eastAsia="zh-CN"/>
        </w:rPr>
        <w:t>外墙结构坍塌、脱落等影响使用安全的质量缺陷</w:t>
      </w:r>
      <w:r>
        <w:rPr>
          <w:rFonts w:hint="eastAsia"/>
          <w:color w:val="auto"/>
          <w:sz w:val="24"/>
          <w:szCs w:val="24"/>
          <w:highlight w:val="none"/>
          <w:lang w:eastAsia="zh-CN"/>
        </w:rPr>
        <w:t>；</w:t>
      </w:r>
    </w:p>
    <w:p w14:paraId="082871EB">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right="360" w:firstLine="476" w:firstLineChars="200"/>
        <w:rPr>
          <w:rFonts w:hint="eastAsia"/>
          <w:color w:val="auto"/>
          <w:sz w:val="24"/>
          <w:szCs w:val="24"/>
          <w:highlight w:val="none"/>
          <w:lang w:eastAsia="zh-CN"/>
        </w:rPr>
      </w:pPr>
      <w:r>
        <w:rPr>
          <w:rFonts w:hint="eastAsia"/>
          <w:color w:val="auto"/>
          <w:spacing w:val="-1"/>
          <w:sz w:val="24"/>
          <w:szCs w:val="24"/>
          <w:highlight w:val="none"/>
          <w:lang w:eastAsia="zh-CN"/>
        </w:rPr>
        <w:t>6.其他地基基础和主体结构部位出现的影响结构安全的工程质量潜在缺</w:t>
      </w:r>
      <w:r>
        <w:rPr>
          <w:rFonts w:hint="eastAsia"/>
          <w:color w:val="auto"/>
          <w:sz w:val="24"/>
          <w:szCs w:val="24"/>
          <w:highlight w:val="none"/>
          <w:lang w:eastAsia="zh-CN"/>
        </w:rPr>
        <w:t>陷</w:t>
      </w:r>
      <w:r>
        <w:rPr>
          <w:rFonts w:hint="eastAsia"/>
          <w:color w:val="auto"/>
          <w:sz w:val="24"/>
          <w:szCs w:val="24"/>
          <w:highlight w:val="none"/>
          <w:lang w:val="en-US" w:eastAsia="zh-CN"/>
        </w:rPr>
        <w:t>等</w:t>
      </w:r>
      <w:r>
        <w:rPr>
          <w:rFonts w:hint="eastAsia"/>
          <w:color w:val="auto"/>
          <w:sz w:val="24"/>
          <w:szCs w:val="24"/>
          <w:highlight w:val="none"/>
          <w:lang w:eastAsia="zh-CN"/>
        </w:rPr>
        <w:t>。</w:t>
      </w:r>
    </w:p>
    <w:p w14:paraId="45A78EB4">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（二）保温和防水工程：</w:t>
      </w:r>
    </w:p>
    <w:p w14:paraId="60F332F2">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1.围护结构的保温层破损、脱落；</w:t>
      </w:r>
    </w:p>
    <w:p w14:paraId="1AC65304">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2.地下、屋面、厕浴间防水渗漏；</w:t>
      </w:r>
    </w:p>
    <w:p w14:paraId="61B8BC7B">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3.外墙（包括外窗与外墙交接处）渗漏；</w:t>
      </w:r>
    </w:p>
    <w:p w14:paraId="76DD0A83">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4.其他有防水要求的部位渗漏</w:t>
      </w:r>
      <w:r>
        <w:rPr>
          <w:rFonts w:hint="eastAsia"/>
          <w:color w:val="auto"/>
          <w:sz w:val="24"/>
          <w:szCs w:val="24"/>
          <w:highlight w:val="none"/>
          <w:lang w:val="en-US" w:eastAsia="zh-CN"/>
        </w:rPr>
        <w:t>等</w:t>
      </w:r>
      <w:r>
        <w:rPr>
          <w:rFonts w:hint="eastAsia"/>
          <w:color w:val="auto"/>
          <w:sz w:val="24"/>
          <w:szCs w:val="24"/>
          <w:highlight w:val="none"/>
          <w:lang w:eastAsia="zh-CN"/>
        </w:rPr>
        <w:t>。</w:t>
      </w:r>
    </w:p>
    <w:p w14:paraId="2AEA9280">
      <w:pPr>
        <w:pStyle w:val="24"/>
        <w:keepNext w:val="0"/>
        <w:keepLines w:val="0"/>
        <w:pageBreakBefore w:val="0"/>
        <w:numPr>
          <w:ilvl w:val="0"/>
          <w:numId w:val="2"/>
        </w:numPr>
        <w:tabs>
          <w:tab w:val="left" w:pos="1080"/>
        </w:tabs>
        <w:kinsoku/>
        <w:wordWrap/>
        <w:overflowPunct/>
        <w:topLinePunct w:val="0"/>
        <w:bidi w:val="0"/>
        <w:adjustRightInd w:val="0"/>
        <w:snapToGrid w:val="0"/>
        <w:spacing w:before="0" w:line="360" w:lineRule="auto"/>
        <w:ind w:left="0" w:firstLineChars="200"/>
        <w:rPr>
          <w:rFonts w:hint="eastAsia"/>
          <w:color w:val="auto"/>
          <w:sz w:val="24"/>
          <w:szCs w:val="24"/>
          <w:highlight w:val="none"/>
          <w:lang w:eastAsia="zh-CN"/>
        </w:rPr>
      </w:pPr>
      <w:r>
        <w:rPr>
          <w:rFonts w:hint="eastAsia"/>
          <w:color w:val="auto"/>
          <w:sz w:val="24"/>
          <w:szCs w:val="24"/>
          <w:highlight w:val="none"/>
          <w:lang w:eastAsia="zh-CN"/>
        </w:rPr>
        <w:t>装修与安装工程：</w:t>
      </w:r>
    </w:p>
    <w:p w14:paraId="1D87BD9F">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1.建筑装饰装修工程（含外墙饰面、幕墙、门窗、</w:t>
      </w:r>
      <w:r>
        <w:rPr>
          <w:rFonts w:hint="eastAsia"/>
          <w:color w:val="auto"/>
          <w:sz w:val="24"/>
          <w:szCs w:val="24"/>
          <w:highlight w:val="none"/>
          <w:lang w:val="en-US" w:eastAsia="zh-CN"/>
        </w:rPr>
        <w:t>地面、天花</w:t>
      </w:r>
      <w:r>
        <w:rPr>
          <w:rFonts w:hint="eastAsia"/>
          <w:color w:val="auto"/>
          <w:sz w:val="24"/>
          <w:szCs w:val="24"/>
          <w:highlight w:val="none"/>
          <w:lang w:eastAsia="zh-CN"/>
        </w:rPr>
        <w:t>等</w:t>
      </w:r>
      <w:r>
        <w:rPr>
          <w:rFonts w:hint="eastAsia"/>
          <w:color w:val="auto"/>
          <w:sz w:val="24"/>
          <w:szCs w:val="24"/>
          <w:highlight w:val="none"/>
          <w:lang w:val="en-US" w:eastAsia="zh-CN"/>
        </w:rPr>
        <w:t>装修</w:t>
      </w:r>
      <w:r>
        <w:rPr>
          <w:rFonts w:hint="eastAsia"/>
          <w:color w:val="auto"/>
          <w:sz w:val="24"/>
          <w:szCs w:val="24"/>
          <w:highlight w:val="none"/>
          <w:lang w:eastAsia="zh-CN"/>
        </w:rPr>
        <w:t>质量缺陷）；</w:t>
      </w:r>
    </w:p>
    <w:p w14:paraId="5469C890">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2.建筑给水排水及供暖工程；</w:t>
      </w:r>
    </w:p>
    <w:p w14:paraId="498BB18F">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3.通风与空调工程；</w:t>
      </w:r>
    </w:p>
    <w:p w14:paraId="057FE503">
      <w:pPr>
        <w:pStyle w:val="24"/>
        <w:keepNext w:val="0"/>
        <w:keepLines w:val="0"/>
        <w:pageBreakBefore w:val="0"/>
        <w:numPr>
          <w:ilvl w:val="255"/>
          <w:numId w:val="0"/>
        </w:numPr>
        <w:tabs>
          <w:tab w:val="left" w:pos="102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4.建筑电气工程</w:t>
      </w:r>
      <w:r>
        <w:rPr>
          <w:rFonts w:hint="eastAsia"/>
          <w:color w:val="auto"/>
          <w:sz w:val="24"/>
          <w:szCs w:val="24"/>
          <w:highlight w:val="none"/>
          <w:lang w:val="en-US" w:eastAsia="zh-CN"/>
        </w:rPr>
        <w:t>等</w:t>
      </w:r>
      <w:r>
        <w:rPr>
          <w:rFonts w:hint="eastAsia"/>
          <w:color w:val="auto"/>
          <w:sz w:val="24"/>
          <w:szCs w:val="24"/>
          <w:highlight w:val="none"/>
          <w:lang w:eastAsia="zh-CN"/>
        </w:rPr>
        <w:t>。</w:t>
      </w:r>
    </w:p>
    <w:p w14:paraId="3FE5FA2B">
      <w:pPr>
        <w:keepNext w:val="0"/>
        <w:keepLines w:val="0"/>
        <w:pageBreakBefore w:val="0"/>
        <w:kinsoku/>
        <w:wordWrap/>
        <w:overflowPunct/>
        <w:topLinePunct w:val="0"/>
        <w:bidi w:val="0"/>
        <w:adjustRightInd w:val="0"/>
        <w:snapToGrid w:val="0"/>
        <w:spacing w:line="360" w:lineRule="auto"/>
        <w:ind w:right="5907" w:firstLine="482" w:firstLineChars="200"/>
        <w:rPr>
          <w:rFonts w:hint="eastAsia"/>
          <w:b/>
          <w:color w:val="auto"/>
          <w:sz w:val="24"/>
          <w:szCs w:val="24"/>
          <w:highlight w:val="none"/>
          <w:lang w:eastAsia="zh-CN"/>
        </w:rPr>
      </w:pPr>
      <w:r>
        <w:rPr>
          <w:rFonts w:hint="eastAsia"/>
          <w:b/>
          <w:color w:val="auto"/>
          <w:sz w:val="24"/>
          <w:szCs w:val="24"/>
          <w:highlight w:val="none"/>
          <w:lang w:eastAsia="zh-CN"/>
        </w:rPr>
        <w:t>五、保险期限</w:t>
      </w:r>
    </w:p>
    <w:p w14:paraId="1BCBB6FA">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z w:val="24"/>
          <w:szCs w:val="24"/>
          <w:highlight w:val="none"/>
          <w:lang w:eastAsia="zh-CN"/>
        </w:rPr>
      </w:pPr>
      <w:r>
        <w:rPr>
          <w:rFonts w:hint="eastAsia"/>
          <w:color w:val="auto"/>
          <w:spacing w:val="-4"/>
          <w:sz w:val="24"/>
          <w:szCs w:val="24"/>
          <w:highlight w:val="none"/>
          <w:lang w:eastAsia="zh-CN"/>
        </w:rPr>
        <w:t>保险人应在取得中</w:t>
      </w:r>
      <w:r>
        <w:rPr>
          <w:rFonts w:hint="eastAsia"/>
          <w:color w:val="auto"/>
          <w:spacing w:val="-4"/>
          <w:sz w:val="24"/>
          <w:szCs w:val="24"/>
          <w:highlight w:val="none"/>
          <w:lang w:val="en-US" w:eastAsia="zh-CN"/>
        </w:rPr>
        <w:t>标</w:t>
      </w:r>
      <w:r>
        <w:rPr>
          <w:rFonts w:hint="eastAsia"/>
          <w:color w:val="auto"/>
          <w:spacing w:val="-4"/>
          <w:sz w:val="24"/>
          <w:szCs w:val="24"/>
          <w:highlight w:val="none"/>
          <w:lang w:eastAsia="zh-CN"/>
        </w:rPr>
        <w:t>通知书之日</w:t>
      </w:r>
      <w:r>
        <w:rPr>
          <w:rFonts w:hint="eastAsia"/>
          <w:color w:val="auto"/>
          <w:sz w:val="24"/>
          <w:szCs w:val="24"/>
          <w:highlight w:val="none"/>
          <w:lang w:eastAsia="zh-CN"/>
        </w:rPr>
        <w:t>或投保人提供完整投保资料之日（两者以后者为准），并在投保人缴纳保险费后</w:t>
      </w:r>
      <w:r>
        <w:rPr>
          <w:rFonts w:hint="eastAsia"/>
          <w:color w:val="auto"/>
          <w:sz w:val="24"/>
          <w:szCs w:val="24"/>
          <w:highlight w:val="none"/>
          <w:lang w:val="en-US" w:eastAsia="zh-CN"/>
        </w:rPr>
        <w:t>3</w:t>
      </w:r>
      <w:r>
        <w:rPr>
          <w:rFonts w:hint="eastAsia"/>
          <w:color w:val="auto"/>
          <w:sz w:val="24"/>
          <w:szCs w:val="24"/>
          <w:highlight w:val="none"/>
          <w:lang w:eastAsia="zh-CN"/>
        </w:rPr>
        <w:t>个工作日</w:t>
      </w:r>
      <w:r>
        <w:rPr>
          <w:rFonts w:hint="eastAsia"/>
          <w:color w:val="auto"/>
          <w:spacing w:val="-9"/>
          <w:sz w:val="24"/>
          <w:szCs w:val="24"/>
          <w:highlight w:val="none"/>
          <w:lang w:eastAsia="zh-CN"/>
        </w:rPr>
        <w:t>内向投保人出具正式保险单，住宅工程质量潜在缺陷</w:t>
      </w:r>
      <w:r>
        <w:rPr>
          <w:rFonts w:hint="eastAsia"/>
          <w:color w:val="auto"/>
          <w:spacing w:val="-6"/>
          <w:sz w:val="24"/>
          <w:szCs w:val="24"/>
          <w:highlight w:val="none"/>
          <w:lang w:eastAsia="zh-CN"/>
        </w:rPr>
        <w:t>保险的保险期限自保险单生效之日起，包括工程建设期、缺陷责任期以及保险</w:t>
      </w:r>
      <w:r>
        <w:rPr>
          <w:rFonts w:hint="eastAsia"/>
          <w:color w:val="auto"/>
          <w:sz w:val="24"/>
          <w:szCs w:val="24"/>
          <w:highlight w:val="none"/>
          <w:lang w:eastAsia="zh-CN"/>
        </w:rPr>
        <w:t>责任期间三个阶段，分别为：</w:t>
      </w:r>
    </w:p>
    <w:p w14:paraId="1668456D">
      <w:pPr>
        <w:pStyle w:val="24"/>
        <w:keepNext w:val="0"/>
        <w:keepLines w:val="0"/>
        <w:pageBreakBefore w:val="0"/>
        <w:numPr>
          <w:ilvl w:val="255"/>
          <w:numId w:val="0"/>
        </w:numPr>
        <w:tabs>
          <w:tab w:val="left" w:pos="102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（一）工程建设期：自保险单生效之日起算至工程竣工验收合格之日止。</w:t>
      </w:r>
    </w:p>
    <w:p w14:paraId="2A9C6875">
      <w:pPr>
        <w:pStyle w:val="24"/>
        <w:keepNext w:val="0"/>
        <w:keepLines w:val="0"/>
        <w:pageBreakBefore w:val="0"/>
        <w:numPr>
          <w:ilvl w:val="255"/>
          <w:numId w:val="0"/>
        </w:numPr>
        <w:tabs>
          <w:tab w:val="left" w:pos="1020"/>
        </w:tabs>
        <w:kinsoku/>
        <w:wordWrap/>
        <w:overflowPunct/>
        <w:topLinePunct w:val="0"/>
        <w:autoSpaceDE/>
        <w:autoSpaceDN/>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（二）缺陷责任期：自工程竣工验收合格之日起算，期限为两年。</w:t>
      </w:r>
    </w:p>
    <w:p w14:paraId="27E9C3E6">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（三）保险责任期：自缺陷责任期结束之日起算，其中：</w:t>
      </w:r>
    </w:p>
    <w:p w14:paraId="1E026311">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1.地基基础和主体结构工程保险责任期为 10 年；</w:t>
      </w:r>
    </w:p>
    <w:p w14:paraId="137F964C">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2.保温和防水工程保险责任期为 5 年；</w:t>
      </w:r>
    </w:p>
    <w:p w14:paraId="01ABC736">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3.装修与安装工程（包括建筑装饰装修工程、建筑给水排水及供暖工程、通风与空调工程、建筑电气工程）保险责任期为 2 年。</w:t>
      </w:r>
    </w:p>
    <w:p w14:paraId="629EEBD7">
      <w:pPr>
        <w:keepNext w:val="0"/>
        <w:keepLines w:val="0"/>
        <w:pageBreakBefore w:val="0"/>
        <w:kinsoku/>
        <w:wordWrap/>
        <w:overflowPunct/>
        <w:topLinePunct w:val="0"/>
        <w:autoSpaceDE/>
        <w:autoSpaceDN/>
        <w:bidi w:val="0"/>
        <w:adjustRightInd w:val="0"/>
        <w:snapToGrid w:val="0"/>
        <w:spacing w:line="360" w:lineRule="auto"/>
        <w:ind w:firstLine="464" w:firstLineChars="200"/>
        <w:rPr>
          <w:rFonts w:hint="eastAsia"/>
          <w:color w:val="auto"/>
          <w:spacing w:val="-4"/>
          <w:sz w:val="24"/>
          <w:szCs w:val="24"/>
          <w:highlight w:val="none"/>
          <w:lang w:eastAsia="zh-CN"/>
        </w:rPr>
      </w:pPr>
      <w:r>
        <w:rPr>
          <w:rFonts w:hint="eastAsia"/>
          <w:color w:val="auto"/>
          <w:spacing w:val="-4"/>
          <w:sz w:val="24"/>
          <w:szCs w:val="24"/>
          <w:highlight w:val="none"/>
          <w:lang w:eastAsia="zh-CN"/>
        </w:rPr>
        <w:t>保险期限的具体时间由投保人和保险人根据上述规定和建设工程的实际情况据实确定。若政府主管部门发布文件更新对保险期限的要求，以新发布的保险期限要求为准。</w:t>
      </w:r>
    </w:p>
    <w:p w14:paraId="15D6254F">
      <w:pPr>
        <w:keepNext w:val="0"/>
        <w:keepLines w:val="0"/>
        <w:pageBreakBefore w:val="0"/>
        <w:kinsoku/>
        <w:wordWrap/>
        <w:overflowPunct/>
        <w:topLinePunct w:val="0"/>
        <w:autoSpaceDE/>
        <w:autoSpaceDN/>
        <w:bidi w:val="0"/>
        <w:adjustRightInd w:val="0"/>
        <w:snapToGrid w:val="0"/>
        <w:spacing w:line="360" w:lineRule="auto"/>
        <w:ind w:firstLine="466" w:firstLineChars="200"/>
        <w:rPr>
          <w:rFonts w:hint="eastAsia"/>
          <w:b/>
          <w:bCs/>
          <w:color w:val="auto"/>
          <w:spacing w:val="-4"/>
          <w:sz w:val="24"/>
          <w:szCs w:val="24"/>
          <w:highlight w:val="none"/>
          <w:lang w:eastAsia="zh-CN"/>
        </w:rPr>
      </w:pPr>
      <w:r>
        <w:rPr>
          <w:rFonts w:hint="eastAsia"/>
          <w:b/>
          <w:bCs/>
          <w:color w:val="auto"/>
          <w:spacing w:val="-4"/>
          <w:sz w:val="24"/>
          <w:szCs w:val="24"/>
          <w:highlight w:val="none"/>
          <w:lang w:eastAsia="zh-CN"/>
        </w:rPr>
        <w:t>六、工作及成果要求</w:t>
      </w:r>
    </w:p>
    <w:p w14:paraId="34B8EE0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（一）保险人应当严格执行国家金融监督管理总局保险条款和保险费率管理有关要求。</w:t>
      </w:r>
    </w:p>
    <w:p w14:paraId="118E296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kern w:val="2"/>
          <w:sz w:val="24"/>
          <w:szCs w:val="24"/>
          <w:highlight w:val="none"/>
          <w:lang w:eastAsia="zh-CN"/>
        </w:rPr>
      </w:pPr>
      <w:r>
        <w:rPr>
          <w:rFonts w:hint="eastAsia"/>
          <w:color w:val="auto"/>
          <w:sz w:val="24"/>
          <w:szCs w:val="24"/>
          <w:highlight w:val="none"/>
          <w:lang w:eastAsia="zh-CN"/>
        </w:rPr>
        <w:t>（二）</w:t>
      </w:r>
      <w:r>
        <w:rPr>
          <w:rFonts w:hint="eastAsia"/>
          <w:color w:val="auto"/>
          <w:kern w:val="2"/>
          <w:sz w:val="24"/>
          <w:szCs w:val="24"/>
          <w:highlight w:val="none"/>
          <w:lang w:eastAsia="zh-CN"/>
        </w:rPr>
        <w:t>保险人应当按不低于20%的比例参与分户验收，参与竣工验收，并提出质量评估意见。</w:t>
      </w:r>
    </w:p>
    <w:p w14:paraId="1095873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（三）保险人应当建立便捷的理赔流程，受理建筑物所有权人或索赔权益人的理赔申请，组织现场勘察和维修。</w:t>
      </w:r>
    </w:p>
    <w:p w14:paraId="5AF624A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（四）主承保公司对保单承担直接管理责任，负责对参与共保的其他保险人和风险管理机构进行合规管理，并依法承担其他共保公司或风险管理机构违规行为的连带责任。</w:t>
      </w:r>
    </w:p>
    <w:p w14:paraId="3EB8FE2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五）主承保公司应在收到潜在缺陷保险全额保费后出具正式保单及发票；不得以减少建筑面积、剔除装修费用等方式缩小承保范围降低保额，不得违反规定使用保险条款和保险费率，不得套取费用进行不正当竞争。</w:t>
      </w:r>
    </w:p>
    <w:p w14:paraId="5FCEA02A">
      <w:pPr>
        <w:keepNext w:val="0"/>
        <w:keepLines w:val="0"/>
        <w:pageBreakBefore w:val="0"/>
        <w:kinsoku/>
        <w:wordWrap/>
        <w:overflowPunct/>
        <w:topLinePunct w:val="0"/>
        <w:autoSpaceDE/>
        <w:autoSpaceDN/>
        <w:bidi w:val="0"/>
        <w:adjustRightInd w:val="0"/>
        <w:snapToGrid w:val="0"/>
        <w:spacing w:line="360" w:lineRule="auto"/>
        <w:ind w:left="120" w:right="237" w:firstLine="480" w:firstLineChars="200"/>
        <w:rPr>
          <w:rFonts w:hint="eastAsia"/>
          <w:color w:val="auto"/>
          <w:spacing w:val="-4"/>
          <w:sz w:val="24"/>
          <w:szCs w:val="24"/>
          <w:highlight w:val="none"/>
          <w:lang w:eastAsia="zh-CN"/>
        </w:rPr>
      </w:pPr>
      <w:r>
        <w:rPr>
          <w:rFonts w:hint="eastAsia"/>
          <w:color w:val="auto"/>
          <w:sz w:val="24"/>
          <w:szCs w:val="24"/>
          <w:highlight w:val="none"/>
          <w:lang w:eastAsia="zh-CN"/>
        </w:rPr>
        <w:t>（六）</w:t>
      </w:r>
      <w:r>
        <w:rPr>
          <w:rFonts w:hint="eastAsia"/>
          <w:color w:val="auto"/>
          <w:kern w:val="2"/>
          <w:sz w:val="24"/>
          <w:szCs w:val="24"/>
          <w:highlight w:val="none"/>
          <w:lang w:eastAsia="zh-CN"/>
        </w:rPr>
        <w:t>住宅工程质量潜在缺陷</w:t>
      </w:r>
      <w:r>
        <w:rPr>
          <w:rFonts w:hint="eastAsia"/>
          <w:color w:val="auto"/>
          <w:sz w:val="24"/>
          <w:szCs w:val="24"/>
          <w:highlight w:val="none"/>
          <w:lang w:eastAsia="zh-CN"/>
        </w:rPr>
        <w:t>保险合同签订后，保险人应当及时委托建设工程质量风险管理机构(简称“TIS”机构)实施风险管理:保险人应当与“TIS”机构签订书面委托合同（相应委托合同提交一份复印件给投保人备案），依法约定双方的权利和义务（对“TIS”机构的相关要求见本合同第七条约定）。“TIS”机构不得与该工程参建单位存在关联关系，不得直接或间接参与该工程的勘察、设计、施工、监理和材料供应等工作。确保“TIS”机构在工作中客观、中立，并对所获悉的一切信息、资料承担保密义务。若“TIS”机构给投保人及项目造成损失的，保险人应对“TIS”机构的赔偿义务承担无限连带保证责任。</w:t>
      </w:r>
    </w:p>
    <w:p w14:paraId="2F092AFA">
      <w:pPr>
        <w:pStyle w:val="5"/>
        <w:keepNext w:val="0"/>
        <w:keepLines w:val="0"/>
        <w:pageBreakBefore w:val="0"/>
        <w:kinsoku/>
        <w:wordWrap/>
        <w:overflowPunct/>
        <w:topLinePunct w:val="0"/>
        <w:bidi w:val="0"/>
        <w:adjustRightInd w:val="0"/>
        <w:snapToGrid w:val="0"/>
        <w:spacing w:line="360" w:lineRule="auto"/>
        <w:ind w:left="0" w:firstLine="482" w:firstLineChars="200"/>
        <w:rPr>
          <w:rFonts w:hint="eastAsia"/>
          <w:color w:val="auto"/>
          <w:sz w:val="24"/>
          <w:szCs w:val="24"/>
          <w:highlight w:val="none"/>
          <w:lang w:eastAsia="zh-CN"/>
        </w:rPr>
      </w:pPr>
      <w:r>
        <w:rPr>
          <w:rFonts w:hint="eastAsia"/>
          <w:color w:val="auto"/>
          <w:sz w:val="24"/>
          <w:szCs w:val="24"/>
          <w:highlight w:val="none"/>
          <w:lang w:eastAsia="zh-CN"/>
        </w:rPr>
        <w:t>七、风险管理机构（简称“TIS”机构）</w:t>
      </w:r>
    </w:p>
    <w:p w14:paraId="1B9ADCEF">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一）风险管理机构：保险人委托符合相关资质要求的“TIS”机构（相应委托合同提交一份复印件给投保人备案），并承诺完成tis服务内容，落实对“TIS”机构的管理责任；“TIS”机构应按照《广州市住宅工程质量潜在缺陷保险管理办法》要求及与保险人合同约定对本项目实施风险管理（</w:t>
      </w:r>
      <w:r>
        <w:rPr>
          <w:rFonts w:hint="eastAsia"/>
          <w:color w:val="auto"/>
          <w:sz w:val="24"/>
          <w:szCs w:val="24"/>
          <w:highlight w:val="none"/>
          <w:lang w:val="en-US" w:eastAsia="zh-CN"/>
        </w:rPr>
        <w:t>详附件4</w:t>
      </w:r>
      <w:r>
        <w:rPr>
          <w:rFonts w:hint="eastAsia"/>
          <w:color w:val="auto"/>
          <w:sz w:val="24"/>
          <w:szCs w:val="24"/>
          <w:highlight w:val="none"/>
          <w:lang w:eastAsia="zh-CN"/>
        </w:rPr>
        <w:t>）。</w:t>
      </w:r>
    </w:p>
    <w:p w14:paraId="5454EE0C">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（二）进场时间：保险人出具保险单后按照《广州市住宅工程质量潜在缺陷保险管理办法》要求安排风险管理机构进场。</w:t>
      </w:r>
    </w:p>
    <w:p w14:paraId="7FD4FE13">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）保险人</w:t>
      </w:r>
      <w:r>
        <w:rPr>
          <w:rFonts w:hint="eastAsia"/>
          <w:color w:val="auto"/>
          <w:sz w:val="24"/>
          <w:szCs w:val="24"/>
          <w:highlight w:val="none"/>
          <w:lang w:val="en-US" w:eastAsia="zh-CN"/>
        </w:rPr>
        <w:t>以其</w:t>
      </w:r>
      <w:r>
        <w:rPr>
          <w:rFonts w:hint="eastAsia"/>
          <w:color w:val="auto"/>
          <w:sz w:val="24"/>
          <w:szCs w:val="24"/>
          <w:highlight w:val="none"/>
          <w:lang w:eastAsia="zh-CN"/>
        </w:rPr>
        <w:t>委托的工程质量风险管理机构的</w:t>
      </w:r>
      <w:r>
        <w:rPr>
          <w:rFonts w:hint="eastAsia"/>
          <w:color w:val="auto"/>
          <w:sz w:val="24"/>
          <w:szCs w:val="24"/>
          <w:highlight w:val="none"/>
          <w:lang w:val="en-US" w:eastAsia="zh-CN"/>
        </w:rPr>
        <w:t>检查结果认定</w:t>
      </w:r>
      <w:r>
        <w:rPr>
          <w:rFonts w:hint="eastAsia"/>
          <w:color w:val="auto"/>
          <w:sz w:val="24"/>
          <w:szCs w:val="24"/>
          <w:highlight w:val="none"/>
          <w:lang w:eastAsia="zh-CN"/>
        </w:rPr>
        <w:t>保险单载明的建设工程</w:t>
      </w:r>
      <w:r>
        <w:rPr>
          <w:rFonts w:hint="eastAsia"/>
          <w:color w:val="auto"/>
          <w:sz w:val="24"/>
          <w:szCs w:val="24"/>
          <w:highlight w:val="none"/>
          <w:lang w:val="en-US" w:eastAsia="zh-CN"/>
        </w:rPr>
        <w:t>不合格进而主张解除合同或者拒赔的，应当以投保人和保险人双方共同选定的有资质的第三方评估或检测机构的评估或检测报告为依据，经第三方检测或评估建设工程质量等不存在足以致使合同解除或构成拒赔条件的，检测或评估的费用由保险人承担。</w:t>
      </w:r>
    </w:p>
    <w:p w14:paraId="136DF33E">
      <w:pPr>
        <w:pStyle w:val="5"/>
        <w:keepNext w:val="0"/>
        <w:keepLines w:val="0"/>
        <w:pageBreakBefore w:val="0"/>
        <w:kinsoku/>
        <w:wordWrap/>
        <w:overflowPunct/>
        <w:topLinePunct w:val="0"/>
        <w:bidi w:val="0"/>
        <w:adjustRightInd w:val="0"/>
        <w:snapToGrid w:val="0"/>
        <w:spacing w:line="360" w:lineRule="auto"/>
        <w:ind w:left="0" w:firstLine="482" w:firstLineChars="200"/>
        <w:rPr>
          <w:rFonts w:hint="eastAsia"/>
          <w:color w:val="auto"/>
          <w:sz w:val="24"/>
          <w:szCs w:val="24"/>
          <w:highlight w:val="none"/>
          <w:lang w:eastAsia="zh-CN"/>
        </w:rPr>
      </w:pPr>
      <w:r>
        <w:rPr>
          <w:rFonts w:hint="eastAsia"/>
          <w:color w:val="auto"/>
          <w:sz w:val="24"/>
          <w:szCs w:val="24"/>
          <w:highlight w:val="none"/>
          <w:lang w:eastAsia="zh-CN"/>
        </w:rPr>
        <w:t>八、保险费、支付方式和结算方式</w:t>
      </w:r>
    </w:p>
    <w:p w14:paraId="4CD93E1A">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（一）保险费</w:t>
      </w:r>
    </w:p>
    <w:p w14:paraId="1CE345F4">
      <w:pPr>
        <w:pStyle w:val="8"/>
        <w:keepNext w:val="0"/>
        <w:keepLines w:val="0"/>
        <w:pageBreakBefore w:val="0"/>
        <w:kinsoku/>
        <w:wordWrap/>
        <w:overflowPunct/>
        <w:topLinePunct w:val="0"/>
        <w:bidi w:val="0"/>
        <w:adjustRightInd w:val="0"/>
        <w:snapToGrid w:val="0"/>
        <w:spacing w:line="360" w:lineRule="auto"/>
        <w:ind w:left="0" w:right="357" w:firstLine="696" w:firstLineChars="3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1.本合同</w:t>
      </w:r>
      <w:r>
        <w:rPr>
          <w:rFonts w:hint="eastAsia"/>
          <w:color w:val="auto"/>
          <w:spacing w:val="-4"/>
          <w:sz w:val="24"/>
          <w:szCs w:val="24"/>
          <w:highlight w:val="none"/>
          <w:lang w:val="en-US" w:eastAsia="zh-CN"/>
        </w:rPr>
        <w:t>含主险和各附加险在内的</w:t>
      </w:r>
      <w:r>
        <w:rPr>
          <w:rFonts w:hint="eastAsia"/>
          <w:color w:val="auto"/>
          <w:spacing w:val="-4"/>
          <w:sz w:val="24"/>
          <w:szCs w:val="24"/>
          <w:highlight w:val="none"/>
          <w:lang w:eastAsia="zh-CN"/>
        </w:rPr>
        <w:t>暂定价（含税）为：</w:t>
      </w:r>
      <w:r>
        <w:rPr>
          <w:rFonts w:hint="eastAsia"/>
          <w:color w:val="auto"/>
          <w:spacing w:val="-4"/>
          <w:sz w:val="24"/>
          <w:szCs w:val="24"/>
          <w:highlight w:val="none"/>
          <w:lang w:val="en-US" w:eastAsia="zh-CN"/>
        </w:rPr>
        <w:t>¥</w:t>
      </w:r>
      <w:r>
        <w:rPr>
          <w:rFonts w:hint="eastAsia"/>
          <w:color w:val="auto"/>
          <w:sz w:val="24"/>
          <w:szCs w:val="24"/>
          <w:highlight w:val="none"/>
          <w:u w:val="single"/>
          <w:lang w:val="en-US" w:eastAsia="zh-CN"/>
        </w:rPr>
        <w:t xml:space="preserve">        （大写：        ）</w:t>
      </w:r>
      <w:r>
        <w:rPr>
          <w:rFonts w:hint="eastAsia"/>
          <w:color w:val="auto"/>
          <w:spacing w:val="-4"/>
          <w:sz w:val="24"/>
          <w:szCs w:val="24"/>
          <w:highlight w:val="none"/>
          <w:lang w:eastAsia="zh-CN"/>
        </w:rPr>
        <w:t>，其中：不含税合同暂定价为</w:t>
      </w:r>
      <w:r>
        <w:rPr>
          <w:rFonts w:hint="eastAsia"/>
          <w:color w:val="auto"/>
          <w:spacing w:val="-4"/>
          <w:sz w:val="24"/>
          <w:szCs w:val="24"/>
          <w:highlight w:val="none"/>
          <w:lang w:val="en-US" w:eastAsia="zh-CN"/>
        </w:rPr>
        <w:t>¥</w:t>
      </w:r>
      <w:r>
        <w:rPr>
          <w:rFonts w:hint="eastAsia"/>
          <w:color w:val="auto"/>
          <w:sz w:val="24"/>
          <w:szCs w:val="24"/>
          <w:highlight w:val="none"/>
          <w:u w:val="single"/>
          <w:lang w:val="en-US" w:eastAsia="zh-CN"/>
        </w:rPr>
        <w:t xml:space="preserve">        （大写：           ）</w:t>
      </w:r>
      <w:r>
        <w:rPr>
          <w:rFonts w:hint="eastAsia"/>
          <w:color w:val="auto"/>
          <w:spacing w:val="-4"/>
          <w:sz w:val="24"/>
          <w:szCs w:val="24"/>
          <w:highlight w:val="none"/>
          <w:lang w:eastAsia="zh-CN"/>
        </w:rPr>
        <w:t>，增值税率为</w:t>
      </w:r>
      <w:r>
        <w:rPr>
          <w:rFonts w:hint="eastAsia"/>
          <w:color w:val="auto"/>
          <w:sz w:val="24"/>
          <w:szCs w:val="24"/>
          <w:highlight w:val="none"/>
          <w:u w:val="single"/>
          <w:lang w:val="en-US" w:eastAsia="zh-CN"/>
        </w:rPr>
        <w:t xml:space="preserve">     </w:t>
      </w:r>
      <w:r>
        <w:rPr>
          <w:rFonts w:hint="eastAsia"/>
          <w:color w:val="auto"/>
          <w:spacing w:val="-4"/>
          <w:sz w:val="24"/>
          <w:szCs w:val="24"/>
          <w:highlight w:val="none"/>
          <w:lang w:eastAsia="zh-CN"/>
        </w:rPr>
        <w:t>%。</w:t>
      </w:r>
      <w:r>
        <w:rPr>
          <w:rFonts w:hint="eastAsia"/>
          <w:color w:val="auto"/>
          <w:sz w:val="24"/>
          <w:szCs w:val="24"/>
          <w:highlight w:val="none"/>
          <w:lang w:eastAsia="zh-CN"/>
        </w:rPr>
        <w:t>合同约定的总基准保险费率为</w:t>
      </w:r>
      <w:r>
        <w:rPr>
          <w:rFonts w:hint="eastAsia"/>
          <w:color w:val="auto"/>
          <w:sz w:val="24"/>
          <w:szCs w:val="24"/>
          <w:highlight w:val="none"/>
          <w:u w:val="single"/>
          <w:lang w:val="en-US" w:eastAsia="zh-CN"/>
        </w:rPr>
        <w:t xml:space="preserve">1.25 </w:t>
      </w:r>
      <w:r>
        <w:rPr>
          <w:rFonts w:hint="eastAsia"/>
          <w:color w:val="auto"/>
          <w:sz w:val="24"/>
          <w:szCs w:val="24"/>
          <w:highlight w:val="none"/>
          <w:u w:val="single"/>
          <w:lang w:eastAsia="zh-CN"/>
        </w:rPr>
        <w:t>%</w:t>
      </w:r>
      <w:r>
        <w:rPr>
          <w:rFonts w:hint="eastAsia"/>
          <w:color w:val="auto"/>
          <w:sz w:val="24"/>
          <w:szCs w:val="24"/>
          <w:highlight w:val="none"/>
          <w:lang w:eastAsia="zh-CN"/>
        </w:rPr>
        <w:t>（在任何情况下不予上浮）。合同价款</w:t>
      </w:r>
      <w:r>
        <w:rPr>
          <w:rFonts w:hint="eastAsia"/>
          <w:color w:val="auto"/>
          <w:spacing w:val="-4"/>
          <w:sz w:val="24"/>
          <w:szCs w:val="24"/>
          <w:highlight w:val="none"/>
          <w:lang w:eastAsia="zh-CN"/>
        </w:rPr>
        <w:t>组成见附件</w:t>
      </w:r>
      <w:r>
        <w:rPr>
          <w:rFonts w:hint="eastAsia"/>
          <w:color w:val="auto"/>
          <w:spacing w:val="-4"/>
          <w:sz w:val="24"/>
          <w:szCs w:val="24"/>
          <w:highlight w:val="none"/>
          <w:lang w:val="en-US" w:eastAsia="zh-CN"/>
        </w:rPr>
        <w:t>5</w:t>
      </w:r>
      <w:r>
        <w:rPr>
          <w:rFonts w:hint="eastAsia"/>
          <w:color w:val="auto"/>
          <w:spacing w:val="-4"/>
          <w:sz w:val="24"/>
          <w:szCs w:val="24"/>
          <w:highlight w:val="none"/>
          <w:lang w:eastAsia="zh-CN"/>
        </w:rPr>
        <w:t>《报价清单》，最终按本条第（三）款原则结算。</w:t>
      </w:r>
    </w:p>
    <w:p w14:paraId="291222A3">
      <w:pPr>
        <w:pStyle w:val="8"/>
        <w:adjustRightInd w:val="0"/>
        <w:snapToGrid w:val="0"/>
        <w:spacing w:line="360" w:lineRule="auto"/>
        <w:ind w:left="0" w:right="357" w:firstLine="720" w:firstLineChars="30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eastAsia="zh-CN"/>
        </w:rPr>
        <w:t>本合同不含税价不因国家税率变化而变化，若在合同行期间，遇国家税率调整的，则不含税价不变，税金调整具体以开具发票的时间为准。</w:t>
      </w:r>
    </w:p>
    <w:p w14:paraId="7A3AF2F4">
      <w:pPr>
        <w:pStyle w:val="8"/>
        <w:adjustRightInd w:val="0"/>
        <w:snapToGrid w:val="0"/>
        <w:spacing w:line="360" w:lineRule="auto"/>
        <w:ind w:right="357"/>
        <w:jc w:val="both"/>
        <w:rPr>
          <w:rFonts w:hint="eastAsia"/>
          <w:color w:val="auto"/>
          <w:spacing w:val="-4"/>
          <w:sz w:val="24"/>
          <w:szCs w:val="24"/>
          <w:highlight w:val="none"/>
          <w:lang w:eastAsia="zh-CN"/>
        </w:rPr>
      </w:pPr>
      <w:r>
        <w:rPr>
          <w:rFonts w:hint="eastAsia" w:ascii="宋体" w:hAnsi="宋体" w:eastAsia="宋体" w:cs="宋体"/>
          <w:color w:val="auto"/>
          <w:spacing w:val="0"/>
          <w:sz w:val="24"/>
          <w:szCs w:val="24"/>
          <w:highlight w:val="none"/>
          <w:lang w:eastAsia="zh-CN"/>
        </w:rPr>
        <w:t>保险金额：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元</w:t>
      </w:r>
    </w:p>
    <w:p w14:paraId="3058488D">
      <w:pPr>
        <w:pStyle w:val="24"/>
        <w:keepNext w:val="0"/>
        <w:keepLines w:val="0"/>
        <w:pageBreakBefore w:val="0"/>
        <w:tabs>
          <w:tab w:val="left" w:pos="1080"/>
        </w:tabs>
        <w:kinsoku/>
        <w:wordWrap/>
        <w:overflowPunct/>
        <w:topLinePunct w:val="0"/>
        <w:bidi w:val="0"/>
        <w:adjustRightInd w:val="0"/>
        <w:snapToGrid w:val="0"/>
        <w:spacing w:before="0" w:line="360" w:lineRule="auto"/>
        <w:ind w:left="0" w:firstLineChars="200"/>
        <w:jc w:val="both"/>
        <w:rPr>
          <w:rFonts w:hint="eastAsia"/>
          <w:color w:val="auto"/>
          <w:sz w:val="24"/>
          <w:szCs w:val="24"/>
          <w:highlight w:val="none"/>
          <w:lang w:eastAsia="zh-CN"/>
        </w:rPr>
      </w:pPr>
      <w:r>
        <w:rPr>
          <w:rFonts w:hint="eastAsia"/>
          <w:color w:val="auto"/>
          <w:sz w:val="24"/>
          <w:szCs w:val="24"/>
          <w:highlight w:val="none"/>
          <w:lang w:eastAsia="zh-CN"/>
        </w:rPr>
        <w:t>（二）支付方式</w:t>
      </w:r>
    </w:p>
    <w:p w14:paraId="5A22D884">
      <w:pPr>
        <w:pStyle w:val="8"/>
        <w:keepNext w:val="0"/>
        <w:keepLines w:val="0"/>
        <w:pageBreakBefore w:val="0"/>
        <w:kinsoku/>
        <w:wordWrap/>
        <w:overflowPunct/>
        <w:topLinePunct w:val="0"/>
        <w:bidi w:val="0"/>
        <w:adjustRightInd w:val="0"/>
        <w:snapToGrid w:val="0"/>
        <w:spacing w:line="360" w:lineRule="auto"/>
        <w:ind w:left="0" w:right="357" w:firstLineChars="200"/>
        <w:jc w:val="both"/>
        <w:rPr>
          <w:rFonts w:hint="eastAsia"/>
          <w:color w:val="auto"/>
          <w:sz w:val="24"/>
          <w:szCs w:val="24"/>
          <w:highlight w:val="none"/>
          <w:lang w:eastAsia="zh-CN"/>
        </w:rPr>
      </w:pPr>
      <w:r>
        <w:rPr>
          <w:rFonts w:hint="eastAsia"/>
          <w:color w:val="auto"/>
          <w:sz w:val="24"/>
          <w:szCs w:val="24"/>
          <w:highlight w:val="none"/>
          <w:lang w:eastAsia="zh-CN"/>
        </w:rPr>
        <w:t>1</w:t>
      </w:r>
      <w:r>
        <w:rPr>
          <w:rFonts w:hint="default"/>
          <w:color w:val="auto"/>
          <w:sz w:val="24"/>
          <w:szCs w:val="24"/>
          <w:highlight w:val="none"/>
          <w:lang w:val="en-US" w:eastAsia="zh-CN"/>
        </w:rPr>
        <w:t>.</w:t>
      </w:r>
      <w:r>
        <w:rPr>
          <w:rFonts w:hint="eastAsia"/>
          <w:color w:val="auto"/>
          <w:sz w:val="24"/>
          <w:szCs w:val="24"/>
          <w:highlight w:val="none"/>
          <w:lang w:eastAsia="zh-CN"/>
        </w:rPr>
        <w:t>合同签订生效，</w:t>
      </w:r>
      <w:r>
        <w:rPr>
          <w:rFonts w:hint="eastAsia"/>
          <w:color w:val="auto"/>
          <w:sz w:val="24"/>
          <w:szCs w:val="24"/>
          <w:highlight w:val="none"/>
          <w:lang w:val="en-US" w:eastAsia="zh-CN"/>
        </w:rPr>
        <w:t>在</w:t>
      </w:r>
      <w:r>
        <w:rPr>
          <w:rFonts w:hint="eastAsia"/>
          <w:color w:val="auto"/>
          <w:sz w:val="24"/>
          <w:szCs w:val="24"/>
          <w:highlight w:val="none"/>
          <w:lang w:eastAsia="zh-CN"/>
        </w:rPr>
        <w:t>投保人提供盖章投保单20个工作日内，</w:t>
      </w:r>
      <w:r>
        <w:rPr>
          <w:rFonts w:hint="eastAsia"/>
          <w:color w:val="auto"/>
          <w:sz w:val="24"/>
          <w:szCs w:val="24"/>
          <w:highlight w:val="none"/>
          <w:lang w:val="en-US" w:eastAsia="zh-CN"/>
        </w:rPr>
        <w:t>且在保险人</w:t>
      </w:r>
      <w:r>
        <w:rPr>
          <w:rFonts w:hint="eastAsia"/>
          <w:color w:val="auto"/>
          <w:sz w:val="24"/>
          <w:szCs w:val="24"/>
          <w:highlight w:val="none"/>
          <w:lang w:eastAsia="zh-CN"/>
        </w:rPr>
        <w:t>提交符合</w:t>
      </w:r>
      <w:r>
        <w:rPr>
          <w:rFonts w:hint="eastAsia"/>
          <w:color w:val="auto"/>
          <w:sz w:val="24"/>
          <w:szCs w:val="24"/>
          <w:highlight w:val="none"/>
          <w:lang w:val="en-US" w:eastAsia="zh-CN"/>
        </w:rPr>
        <w:t>投保人</w:t>
      </w:r>
      <w:r>
        <w:rPr>
          <w:rFonts w:hint="eastAsia"/>
          <w:color w:val="auto"/>
          <w:sz w:val="24"/>
          <w:szCs w:val="24"/>
          <w:highlight w:val="none"/>
          <w:lang w:eastAsia="zh-CN"/>
        </w:rPr>
        <w:t>要求的等额合法有效的增值税专用发票</w:t>
      </w:r>
      <w:r>
        <w:rPr>
          <w:rFonts w:hint="eastAsia"/>
          <w:color w:val="auto"/>
          <w:sz w:val="24"/>
          <w:szCs w:val="24"/>
          <w:highlight w:val="none"/>
          <w:lang w:val="en-US" w:eastAsia="zh-CN"/>
        </w:rPr>
        <w:t>之后，</w:t>
      </w:r>
      <w:r>
        <w:rPr>
          <w:rFonts w:hint="eastAsia"/>
          <w:color w:val="auto"/>
          <w:sz w:val="24"/>
          <w:szCs w:val="24"/>
          <w:highlight w:val="none"/>
          <w:lang w:eastAsia="zh-CN"/>
        </w:rPr>
        <w:t>投保人一次性支付本合同暂定价，保险人在</w:t>
      </w:r>
      <w:r>
        <w:rPr>
          <w:rFonts w:hint="eastAsia"/>
          <w:color w:val="auto"/>
          <w:sz w:val="24"/>
          <w:szCs w:val="24"/>
          <w:highlight w:val="none"/>
          <w:lang w:val="en-US" w:eastAsia="zh-CN"/>
        </w:rPr>
        <w:t>3</w:t>
      </w:r>
      <w:r>
        <w:rPr>
          <w:rFonts w:hint="eastAsia"/>
          <w:color w:val="auto"/>
          <w:sz w:val="24"/>
          <w:szCs w:val="24"/>
          <w:highlight w:val="none"/>
          <w:lang w:eastAsia="zh-CN"/>
        </w:rPr>
        <w:t>个工作日内出具正式保险单。</w:t>
      </w:r>
    </w:p>
    <w:p w14:paraId="31488C45">
      <w:pPr>
        <w:pStyle w:val="8"/>
        <w:keepNext w:val="0"/>
        <w:keepLines w:val="0"/>
        <w:pageBreakBefore w:val="0"/>
        <w:kinsoku/>
        <w:wordWrap/>
        <w:overflowPunct/>
        <w:topLinePunct w:val="0"/>
        <w:bidi w:val="0"/>
        <w:adjustRightInd w:val="0"/>
        <w:snapToGrid w:val="0"/>
        <w:spacing w:line="360" w:lineRule="auto"/>
        <w:ind w:left="0" w:right="357" w:firstLineChars="200"/>
        <w:jc w:val="both"/>
        <w:rPr>
          <w:rFonts w:hint="eastAsia"/>
          <w:color w:val="auto"/>
          <w:spacing w:val="-4"/>
          <w:sz w:val="24"/>
          <w:szCs w:val="24"/>
          <w:highlight w:val="none"/>
          <w:lang w:eastAsia="zh-CN"/>
        </w:rPr>
      </w:pPr>
      <w:r>
        <w:rPr>
          <w:rFonts w:hint="eastAsia"/>
          <w:color w:val="auto"/>
          <w:sz w:val="24"/>
          <w:szCs w:val="24"/>
          <w:highlight w:val="none"/>
          <w:lang w:eastAsia="zh-CN"/>
        </w:rPr>
        <w:t>2</w:t>
      </w:r>
      <w:r>
        <w:rPr>
          <w:rFonts w:hint="eastAsia"/>
          <w:color w:val="auto"/>
          <w:spacing w:val="-4"/>
          <w:sz w:val="24"/>
          <w:szCs w:val="24"/>
          <w:highlight w:val="none"/>
          <w:lang w:eastAsia="zh-CN"/>
        </w:rPr>
        <w:t>.投保人付款前，保险人均需按投保人财务管理制度办理书面支付申请手续，否则投保人有权顺延支付合同款项且不构成违约，保险人仍须按照本合同约定履行义务。</w:t>
      </w:r>
    </w:p>
    <w:p w14:paraId="3253B711">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3.因保险人提供的发票不规范、不合法引发的税务及其他一切法律责任由保险人承担，且保险人还应向投保人承担赔偿责任，包括但不限于承担相关税款、滞纳金、罚款及赔偿相关损失等。</w:t>
      </w:r>
    </w:p>
    <w:p w14:paraId="70CC0850">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4. 如本项目资金来源涉及财政资金、专项债劵资金或其他政府专项资金的，则投保人向保险人支付条件还应包括前述资金获得政府或相关部门批准且拨付到位，若由于政府或相关部门审批、拨付资金未完成等非投保人原因导致投保人向保险人付款超过上述约定支付期限的，投保人不承担任何违约责任，且保险人仍须按本合同约定履行义务。</w:t>
      </w:r>
    </w:p>
    <w:p w14:paraId="13C2BA68">
      <w:pPr>
        <w:pStyle w:val="6"/>
        <w:spacing w:line="360" w:lineRule="auto"/>
        <w:ind w:firstLineChars="200"/>
        <w:rPr>
          <w:rFonts w:hint="eastAsia" w:ascii="宋体" w:hAnsi="宋体" w:eastAsia="宋体" w:cs="宋体"/>
          <w:sz w:val="24"/>
          <w:szCs w:val="24"/>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000000"/>
          <w:spacing w:val="0"/>
          <w:sz w:val="24"/>
          <w:szCs w:val="24"/>
          <w:lang w:eastAsia="zh-CN"/>
        </w:rPr>
        <w:t>保险人</w:t>
      </w:r>
      <w:r>
        <w:rPr>
          <w:rFonts w:hint="eastAsia" w:ascii="宋体" w:hAnsi="宋体" w:cs="宋体"/>
          <w:color w:val="000000"/>
          <w:sz w:val="24"/>
          <w:szCs w:val="24"/>
          <w:lang w:eastAsia="zh-CN"/>
        </w:rPr>
        <w:t>收取保险费</w:t>
      </w:r>
      <w:r>
        <w:rPr>
          <w:rFonts w:hint="eastAsia" w:cs="宋体"/>
          <w:color w:val="000000"/>
          <w:sz w:val="24"/>
          <w:szCs w:val="24"/>
          <w:lang w:val="en-US" w:eastAsia="zh-CN"/>
        </w:rPr>
        <w:t>的</w:t>
      </w:r>
      <w:r>
        <w:rPr>
          <w:rFonts w:hint="eastAsia" w:ascii="宋体" w:hAnsi="宋体" w:eastAsia="宋体" w:cs="宋体"/>
          <w:sz w:val="24"/>
          <w:szCs w:val="24"/>
          <w:lang w:val="en-US" w:eastAsia="zh-CN"/>
        </w:rPr>
        <w:t>账户信息</w:t>
      </w:r>
    </w:p>
    <w:p w14:paraId="4E47C85D">
      <w:pPr>
        <w:pStyle w:val="9"/>
        <w:adjustRightInd w:val="0"/>
        <w:snapToGrid w:val="0"/>
        <w:spacing w:after="0" w:line="360" w:lineRule="auto"/>
        <w:ind w:left="0" w:leftChars="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开户名称：</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kern w:val="0"/>
          <w:sz w:val="24"/>
          <w:szCs w:val="24"/>
          <w:u w:val="single"/>
          <w:lang w:eastAsia="zh-CN"/>
        </w:rPr>
        <w:t xml:space="preserve"> </w:t>
      </w:r>
      <w:r>
        <w:rPr>
          <w:rFonts w:hint="eastAsia" w:ascii="宋体" w:hAnsi="宋体" w:eastAsia="宋体" w:cs="宋体"/>
          <w:b w:val="0"/>
          <w:bCs/>
          <w:sz w:val="24"/>
          <w:szCs w:val="24"/>
          <w:u w:val="single"/>
          <w:lang w:val="en-US" w:eastAsia="zh-CN"/>
        </w:rPr>
        <w:t xml:space="preserve">   </w:t>
      </w:r>
    </w:p>
    <w:p w14:paraId="71CDCBE5">
      <w:pPr>
        <w:pStyle w:val="9"/>
        <w:adjustRightInd w:val="0"/>
        <w:snapToGrid w:val="0"/>
        <w:spacing w:after="0" w:line="360" w:lineRule="auto"/>
        <w:ind w:left="0" w:leftChars="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开户银行：</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kern w:val="0"/>
          <w:sz w:val="24"/>
          <w:szCs w:val="24"/>
          <w:u w:val="single"/>
          <w:lang w:eastAsia="zh-CN"/>
        </w:rPr>
        <w:t xml:space="preserve"> </w:t>
      </w:r>
      <w:r>
        <w:rPr>
          <w:rFonts w:hint="eastAsia" w:ascii="宋体" w:hAnsi="宋体" w:eastAsia="宋体" w:cs="宋体"/>
          <w:b w:val="0"/>
          <w:bCs/>
          <w:sz w:val="24"/>
          <w:szCs w:val="24"/>
          <w:u w:val="single"/>
          <w:lang w:val="en-US" w:eastAsia="zh-CN"/>
        </w:rPr>
        <w:t xml:space="preserve">   </w:t>
      </w:r>
    </w:p>
    <w:p w14:paraId="338D1CE3">
      <w:pPr>
        <w:pStyle w:val="9"/>
        <w:adjustRightInd w:val="0"/>
        <w:snapToGrid w:val="0"/>
        <w:spacing w:line="360" w:lineRule="auto"/>
        <w:ind w:left="0" w:leftChars="0" w:firstLine="480" w:firstLineChars="200"/>
        <w:jc w:val="both"/>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rPr>
        <w:t>账</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kern w:val="0"/>
          <w:sz w:val="24"/>
          <w:szCs w:val="24"/>
          <w:u w:val="single"/>
          <w:lang w:eastAsia="zh-CN"/>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none"/>
          <w:lang w:val="en-US" w:eastAsia="zh-CN"/>
        </w:rPr>
        <w:t xml:space="preserve">  </w:t>
      </w:r>
    </w:p>
    <w:p w14:paraId="1491E236">
      <w:pPr>
        <w:keepNext w:val="0"/>
        <w:keepLines w:val="0"/>
        <w:pageBreakBefore w:val="0"/>
        <w:kinsoku/>
        <w:wordWrap/>
        <w:overflowPunct/>
        <w:topLinePunct w:val="0"/>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投保人</w:t>
      </w:r>
      <w:r>
        <w:rPr>
          <w:rFonts w:hint="default" w:ascii="宋体" w:hAnsi="宋体" w:eastAsia="宋体" w:cs="宋体"/>
          <w:b w:val="0"/>
          <w:bCs w:val="0"/>
          <w:i w:val="0"/>
          <w:iCs w:val="0"/>
          <w:color w:val="auto"/>
          <w:sz w:val="24"/>
          <w:szCs w:val="24"/>
          <w:highlight w:val="none"/>
          <w:vertAlign w:val="baseline"/>
          <w:lang w:val="en-US" w:eastAsia="zh-CN" w:bidi="ar-SA"/>
        </w:rPr>
        <w:t>（甲方1：业主）</w:t>
      </w:r>
      <w:r>
        <w:rPr>
          <w:rFonts w:hint="eastAsia" w:ascii="宋体" w:hAnsi="宋体"/>
          <w:color w:val="auto"/>
          <w:sz w:val="24"/>
          <w:szCs w:val="24"/>
          <w:highlight w:val="none"/>
        </w:rPr>
        <w:t>向上述账号汇出款项即视为已履行付款义务。</w:t>
      </w:r>
    </w:p>
    <w:p w14:paraId="50B61173">
      <w:pPr>
        <w:pStyle w:val="9"/>
        <w:adjustRightInd/>
        <w:snapToGrid/>
        <w:spacing w:line="360" w:lineRule="auto"/>
        <w:ind w:left="0" w:leftChars="0" w:firstLine="464" w:firstLineChars="200"/>
        <w:rPr>
          <w:rFonts w:hint="eastAsia" w:ascii="宋体" w:hAnsi="宋体" w:eastAsia="宋体" w:cs="宋体"/>
          <w:bCs/>
          <w:color w:val="auto"/>
          <w:sz w:val="24"/>
          <w:szCs w:val="24"/>
          <w:highlight w:val="none"/>
          <w:lang w:eastAsia="en-US"/>
        </w:rPr>
      </w:pPr>
      <w:r>
        <w:rPr>
          <w:rFonts w:hint="eastAsia"/>
          <w:color w:val="auto"/>
          <w:spacing w:val="-4"/>
          <w:sz w:val="24"/>
          <w:szCs w:val="24"/>
          <w:highlight w:val="none"/>
          <w:lang w:eastAsia="zh-CN"/>
        </w:rPr>
        <w:t>（三）</w:t>
      </w:r>
      <w:r>
        <w:rPr>
          <w:rFonts w:hint="eastAsia"/>
          <w:color w:val="auto"/>
          <w:sz w:val="24"/>
          <w:szCs w:val="24"/>
          <w:highlight w:val="none"/>
          <w:lang w:eastAsia="zh-CN"/>
        </w:rPr>
        <w:t>结算原则及结算方式</w:t>
      </w:r>
    </w:p>
    <w:p w14:paraId="1DB14DAA">
      <w:pPr>
        <w:pStyle w:val="8"/>
        <w:keepNext w:val="0"/>
        <w:keepLines w:val="0"/>
        <w:pageBreakBefore w:val="0"/>
        <w:kinsoku/>
        <w:wordWrap/>
        <w:overflowPunct/>
        <w:topLinePunct w:val="0"/>
        <w:bidi w:val="0"/>
        <w:adjustRightInd w:val="0"/>
        <w:snapToGrid w:val="0"/>
        <w:spacing w:line="360" w:lineRule="auto"/>
        <w:ind w:left="0" w:firstLineChars="200"/>
        <w:jc w:val="both"/>
        <w:rPr>
          <w:rFonts w:hint="eastAsia"/>
          <w:color w:val="auto"/>
          <w:spacing w:val="-4"/>
          <w:sz w:val="24"/>
          <w:szCs w:val="24"/>
          <w:highlight w:val="none"/>
          <w:lang w:val="en-US" w:eastAsia="zh-CN"/>
        </w:rPr>
      </w:pPr>
      <w:r>
        <w:rPr>
          <w:rFonts w:hint="eastAsia" w:ascii="宋体" w:hAnsi="宋体" w:eastAsia="宋体" w:cs="宋体"/>
          <w:bCs/>
          <w:color w:val="auto"/>
          <w:sz w:val="24"/>
          <w:szCs w:val="24"/>
          <w:highlight w:val="none"/>
          <w:lang w:val="en-US" w:eastAsia="en-US"/>
        </w:rPr>
        <w:t>1.结算原则：</w:t>
      </w:r>
      <w:r>
        <w:rPr>
          <w:rFonts w:hint="eastAsia" w:ascii="宋体" w:hAnsi="宋体" w:eastAsia="宋体" w:cs="宋体"/>
          <w:bCs/>
          <w:color w:val="auto"/>
          <w:spacing w:val="0"/>
          <w:sz w:val="24"/>
          <w:szCs w:val="24"/>
          <w:highlight w:val="none"/>
          <w:lang w:val="en-US" w:eastAsia="en-US"/>
        </w:rPr>
        <w:t>第二条</w:t>
      </w:r>
      <w:r>
        <w:rPr>
          <w:rFonts w:hint="eastAsia" w:ascii="宋体" w:hAnsi="宋体" w:eastAsia="宋体" w:cs="宋体"/>
          <w:b w:val="0"/>
          <w:bCs/>
          <w:color w:val="auto"/>
          <w:spacing w:val="0"/>
          <w:sz w:val="24"/>
          <w:szCs w:val="24"/>
          <w:highlight w:val="none"/>
          <w:lang w:eastAsia="en-US"/>
        </w:rPr>
        <w:t>保险标的概况</w:t>
      </w:r>
      <w:r>
        <w:rPr>
          <w:rFonts w:hint="eastAsia" w:ascii="宋体" w:hAnsi="宋体" w:eastAsia="宋体" w:cs="宋体"/>
          <w:b w:val="0"/>
          <w:bCs/>
          <w:color w:val="auto"/>
          <w:spacing w:val="0"/>
          <w:sz w:val="24"/>
          <w:szCs w:val="24"/>
          <w:highlight w:val="none"/>
          <w:lang w:val="en-US" w:eastAsia="en-US"/>
        </w:rPr>
        <w:t>中总建筑面积</w:t>
      </w:r>
      <w:r>
        <w:rPr>
          <w:rFonts w:hint="eastAsia" w:ascii="宋体" w:hAnsi="宋体" w:eastAsia="宋体" w:cs="宋体"/>
          <w:bCs/>
          <w:color w:val="auto"/>
          <w:highlight w:val="none"/>
          <w:lang w:val="zh-CN" w:eastAsia="en-US"/>
        </w:rPr>
        <w:t>297616</w:t>
      </w:r>
      <w:r>
        <w:rPr>
          <w:rFonts w:hint="eastAsia" w:ascii="宋体" w:hAnsi="宋体" w:eastAsia="宋体" w:cs="宋体"/>
          <w:bCs/>
          <w:color w:val="auto"/>
          <w:sz w:val="24"/>
          <w:szCs w:val="24"/>
          <w:highlight w:val="none"/>
          <w:u w:val="none"/>
          <w:lang w:eastAsia="en-US"/>
        </w:rPr>
        <w:t>㎡</w:t>
      </w:r>
      <w:r>
        <w:rPr>
          <w:rFonts w:hint="eastAsia" w:ascii="宋体" w:hAnsi="宋体" w:eastAsia="宋体" w:cs="宋体"/>
          <w:bCs/>
          <w:color w:val="auto"/>
          <w:sz w:val="24"/>
          <w:szCs w:val="24"/>
          <w:highlight w:val="none"/>
        </w:rPr>
        <w:t>为暂定量，</w:t>
      </w:r>
      <w:r>
        <w:rPr>
          <w:rFonts w:hint="eastAsia" w:ascii="宋体" w:hAnsi="宋体" w:eastAsia="宋体" w:cs="宋体"/>
          <w:bCs/>
          <w:color w:val="auto"/>
          <w:sz w:val="24"/>
          <w:szCs w:val="24"/>
          <w:highlight w:val="none"/>
          <w:lang w:val="en-US" w:eastAsia="zh-CN"/>
        </w:rPr>
        <w:t>最终</w:t>
      </w:r>
      <w:r>
        <w:rPr>
          <w:rFonts w:hint="eastAsia" w:ascii="宋体" w:hAnsi="宋体" w:eastAsia="宋体" w:cs="宋体"/>
          <w:bCs/>
          <w:color w:val="auto"/>
          <w:sz w:val="24"/>
          <w:szCs w:val="24"/>
          <w:highlight w:val="none"/>
          <w:lang w:eastAsia="en-US"/>
        </w:rPr>
        <w:t>按照保险范围内项目规划验收的面积，</w:t>
      </w:r>
      <w:r>
        <w:rPr>
          <w:rFonts w:hint="eastAsia" w:ascii="宋体" w:hAnsi="宋体" w:eastAsia="宋体" w:cs="宋体"/>
          <w:bCs/>
          <w:color w:val="auto"/>
          <w:sz w:val="24"/>
          <w:szCs w:val="24"/>
          <w:highlight w:val="none"/>
          <w:lang w:val="en-US" w:eastAsia="en-US"/>
        </w:rPr>
        <w:t>在</w:t>
      </w:r>
      <w:r>
        <w:rPr>
          <w:rFonts w:hint="eastAsia" w:ascii="宋体" w:hAnsi="宋体" w:eastAsia="宋体" w:cs="宋体"/>
          <w:bCs/>
          <w:color w:val="auto"/>
          <w:sz w:val="24"/>
          <w:szCs w:val="24"/>
          <w:highlight w:val="none"/>
          <w:lang w:eastAsia="en-US"/>
        </w:rPr>
        <w:t>附件5《报价清单》</w:t>
      </w:r>
      <w:r>
        <w:rPr>
          <w:rFonts w:hint="eastAsia" w:ascii="宋体" w:hAnsi="宋体" w:eastAsia="宋体" w:cs="宋体"/>
          <w:bCs/>
          <w:color w:val="auto"/>
          <w:sz w:val="24"/>
          <w:szCs w:val="24"/>
          <w:highlight w:val="none"/>
          <w:lang w:val="en-US" w:eastAsia="en-US"/>
        </w:rPr>
        <w:t>约定类型范围内，</w:t>
      </w:r>
      <w:r>
        <w:rPr>
          <w:rFonts w:hint="eastAsia" w:ascii="宋体" w:hAnsi="宋体" w:eastAsia="宋体" w:cs="宋体"/>
          <w:bCs/>
          <w:color w:val="auto"/>
          <w:sz w:val="24"/>
          <w:szCs w:val="24"/>
          <w:highlight w:val="none"/>
          <w:lang w:eastAsia="en-US"/>
        </w:rPr>
        <w:t>根据《广州市建设工程造价管理站关于发布广州市房屋建筑工程2024年度参考造价的通知》（穗建造价〔2024〕145号）建筑安装工程造价下浮10%为保险费计算基数乘以合同约定保险费率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计算</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如</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val="en-US" w:eastAsia="zh-CN"/>
        </w:rPr>
        <w:t>小于</w:t>
      </w:r>
      <w:r>
        <w:rPr>
          <w:rFonts w:hint="eastAsia"/>
          <w:color w:val="auto"/>
          <w:spacing w:val="-4"/>
          <w:sz w:val="24"/>
          <w:szCs w:val="24"/>
          <w:highlight w:val="none"/>
          <w:lang w:eastAsia="zh-CN"/>
        </w:rPr>
        <w:t>本合同暂定价（</w:t>
      </w:r>
      <w:r>
        <w:rPr>
          <w:rFonts w:hint="eastAsia"/>
          <w:color w:val="auto"/>
          <w:spacing w:val="-4"/>
          <w:sz w:val="24"/>
          <w:szCs w:val="24"/>
          <w:highlight w:val="none"/>
          <w:lang w:val="en-US" w:eastAsia="zh-CN"/>
        </w:rPr>
        <w:t>含税</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的</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该</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val="en-US" w:eastAsia="zh-CN"/>
        </w:rPr>
        <w:t>为最终结算价，</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val="en-US" w:eastAsia="zh-CN"/>
        </w:rPr>
        <w:t>大于</w:t>
      </w:r>
      <w:r>
        <w:rPr>
          <w:rFonts w:hint="eastAsia"/>
          <w:color w:val="auto"/>
          <w:spacing w:val="-4"/>
          <w:sz w:val="24"/>
          <w:szCs w:val="24"/>
          <w:highlight w:val="none"/>
          <w:lang w:eastAsia="zh-CN"/>
        </w:rPr>
        <w:t>本合同暂定价（</w:t>
      </w:r>
      <w:r>
        <w:rPr>
          <w:rFonts w:hint="eastAsia"/>
          <w:color w:val="auto"/>
          <w:spacing w:val="-4"/>
          <w:sz w:val="24"/>
          <w:szCs w:val="24"/>
          <w:highlight w:val="none"/>
          <w:lang w:val="en-US" w:eastAsia="zh-CN"/>
        </w:rPr>
        <w:t>含税</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的，则</w:t>
      </w:r>
      <w:r>
        <w:rPr>
          <w:rFonts w:hint="eastAsia"/>
          <w:color w:val="auto"/>
          <w:spacing w:val="-4"/>
          <w:sz w:val="24"/>
          <w:szCs w:val="24"/>
          <w:highlight w:val="none"/>
          <w:lang w:eastAsia="zh-CN"/>
        </w:rPr>
        <w:t>本合同暂定价（</w:t>
      </w:r>
      <w:r>
        <w:rPr>
          <w:rFonts w:hint="eastAsia"/>
          <w:color w:val="auto"/>
          <w:spacing w:val="-4"/>
          <w:sz w:val="24"/>
          <w:szCs w:val="24"/>
          <w:highlight w:val="none"/>
          <w:lang w:val="en-US" w:eastAsia="zh-CN"/>
        </w:rPr>
        <w:t>含税</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为最终结算价。</w:t>
      </w:r>
    </w:p>
    <w:p w14:paraId="5F83F3F4">
      <w:pPr>
        <w:pStyle w:val="8"/>
        <w:adjustRightInd w:val="0"/>
        <w:snapToGrid w:val="0"/>
        <w:spacing w:line="360" w:lineRule="auto"/>
        <w:ind w:left="0" w:firstLineChars="200"/>
        <w:jc w:val="left"/>
        <w:rPr>
          <w:rFonts w:ascii="宋体" w:hAnsi="宋体" w:eastAsia="宋体" w:cs="宋体"/>
          <w:color w:val="auto"/>
          <w:sz w:val="24"/>
          <w:szCs w:val="24"/>
          <w:highlight w:val="none"/>
          <w:lang w:eastAsia="zh-CN"/>
        </w:rPr>
      </w:pPr>
      <w:r>
        <w:rPr>
          <w:rFonts w:hint="eastAsia"/>
          <w:color w:val="auto"/>
          <w:spacing w:val="-4"/>
          <w:sz w:val="24"/>
          <w:szCs w:val="24"/>
          <w:highlight w:val="none"/>
          <w:lang w:val="en-US" w:eastAsia="zh-CN"/>
        </w:rPr>
        <w:t>2、若投保人已支付的保险费（</w:t>
      </w:r>
      <w:r>
        <w:rPr>
          <w:rFonts w:hint="eastAsia"/>
          <w:color w:val="auto"/>
          <w:sz w:val="24"/>
          <w:szCs w:val="24"/>
          <w:highlight w:val="none"/>
          <w:lang w:eastAsia="zh-CN"/>
        </w:rPr>
        <w:t>本合同暂定价</w:t>
      </w:r>
      <w:r>
        <w:rPr>
          <w:rFonts w:hint="eastAsia"/>
          <w:color w:val="auto"/>
          <w:spacing w:val="-4"/>
          <w:sz w:val="24"/>
          <w:szCs w:val="24"/>
          <w:highlight w:val="none"/>
          <w:lang w:val="en-US" w:eastAsia="zh-CN"/>
        </w:rPr>
        <w:t>）高于最终结算价，</w:t>
      </w:r>
      <w:r>
        <w:rPr>
          <w:rFonts w:hint="eastAsia" w:ascii="宋体" w:hAnsi="宋体" w:eastAsia="宋体" w:cs="宋体"/>
          <w:kern w:val="0"/>
          <w:sz w:val="24"/>
          <w:lang w:eastAsia="zh-CN"/>
        </w:rPr>
        <w:t>保险人应于</w:t>
      </w:r>
      <w:r>
        <w:rPr>
          <w:rFonts w:hint="eastAsia" w:cs="宋体"/>
          <w:kern w:val="0"/>
          <w:sz w:val="24"/>
          <w:lang w:val="en-US" w:eastAsia="zh-CN"/>
        </w:rPr>
        <w:t>投保人</w:t>
      </w:r>
      <w:r>
        <w:rPr>
          <w:rFonts w:hint="eastAsia" w:ascii="宋体" w:hAnsi="宋体" w:eastAsia="宋体" w:cs="宋体"/>
          <w:kern w:val="0"/>
          <w:sz w:val="24"/>
          <w:lang w:eastAsia="zh-CN"/>
        </w:rPr>
        <w:t>书面通知之日起三十日</w:t>
      </w:r>
      <w:r>
        <w:rPr>
          <w:rFonts w:hint="eastAsia" w:cs="宋体"/>
          <w:kern w:val="0"/>
          <w:sz w:val="24"/>
          <w:lang w:val="en-US" w:eastAsia="zh-CN"/>
        </w:rPr>
        <w:t>历天</w:t>
      </w:r>
      <w:r>
        <w:rPr>
          <w:rFonts w:hint="eastAsia" w:ascii="宋体" w:hAnsi="宋体" w:eastAsia="宋体" w:cs="宋体"/>
          <w:kern w:val="0"/>
          <w:sz w:val="24"/>
          <w:lang w:eastAsia="zh-CN"/>
        </w:rPr>
        <w:t>内</w:t>
      </w:r>
      <w:r>
        <w:rPr>
          <w:rFonts w:hint="eastAsia" w:cs="宋体"/>
          <w:kern w:val="0"/>
          <w:sz w:val="24"/>
          <w:lang w:val="en-US" w:eastAsia="zh-CN"/>
        </w:rPr>
        <w:t>退</w:t>
      </w:r>
      <w:r>
        <w:rPr>
          <w:rFonts w:hint="eastAsia" w:ascii="宋体" w:hAnsi="宋体" w:eastAsia="宋体" w:cs="宋体"/>
          <w:kern w:val="0"/>
          <w:sz w:val="24"/>
          <w:lang w:eastAsia="zh-CN"/>
        </w:rPr>
        <w:t>还多收款项</w:t>
      </w:r>
      <w:r>
        <w:rPr>
          <w:rFonts w:hint="eastAsia" w:cs="宋体"/>
          <w:kern w:val="0"/>
          <w:sz w:val="24"/>
          <w:lang w:eastAsia="zh-CN"/>
        </w:rPr>
        <w:t>。</w:t>
      </w:r>
      <w:r>
        <w:rPr>
          <w:rFonts w:hint="eastAsia" w:ascii="宋体" w:hAnsi="宋体" w:eastAsia="宋体" w:cs="宋体"/>
          <w:kern w:val="0"/>
          <w:sz w:val="24"/>
          <w:lang w:eastAsia="zh-CN"/>
        </w:rPr>
        <w:t>若未履行，投保人有权向保险人追索。在此情况下，保险人除需足额返还多收款项外，还应</w:t>
      </w:r>
      <w:r>
        <w:rPr>
          <w:rFonts w:hint="eastAsia" w:cs="宋体"/>
          <w:kern w:val="0"/>
          <w:sz w:val="24"/>
          <w:lang w:val="en-US" w:eastAsia="zh-CN"/>
        </w:rPr>
        <w:t>自第三十一个日历天起，</w:t>
      </w:r>
      <w:r>
        <w:rPr>
          <w:rFonts w:hint="eastAsia" w:ascii="宋体" w:hAnsi="宋体" w:eastAsia="宋体" w:cs="宋体"/>
          <w:kern w:val="0"/>
          <w:sz w:val="24"/>
          <w:lang w:eastAsia="zh-CN"/>
        </w:rPr>
        <w:t>按每日</w:t>
      </w:r>
      <w:r>
        <w:rPr>
          <w:rFonts w:hint="eastAsia" w:cs="宋体"/>
          <w:kern w:val="0"/>
          <w:sz w:val="24"/>
          <w:lang w:val="en-US" w:eastAsia="zh-CN"/>
        </w:rPr>
        <w:t>历天</w:t>
      </w:r>
      <w:r>
        <w:rPr>
          <w:rFonts w:hint="eastAsia" w:ascii="宋体" w:hAnsi="宋体" w:eastAsia="宋体" w:cs="宋体"/>
          <w:kern w:val="0"/>
          <w:sz w:val="24"/>
          <w:lang w:eastAsia="zh-CN"/>
        </w:rPr>
        <w:t xml:space="preserve">多收款项总金额的千分之二向投保人支付违约金。 </w:t>
      </w:r>
    </w:p>
    <w:p w14:paraId="576C7B8C">
      <w:pPr>
        <w:numPr>
          <w:ilvl w:val="0"/>
          <w:numId w:val="0"/>
        </w:numPr>
        <w:adjustRightInd w:val="0"/>
        <w:snapToGrid w:val="0"/>
        <w:spacing w:line="360" w:lineRule="auto"/>
        <w:ind w:left="0" w:firstLineChars="200"/>
        <w:jc w:val="left"/>
        <w:rPr>
          <w:rFonts w:hint="default" w:ascii="宋体" w:hAnsi="宋体" w:eastAsia="宋体" w:cs="宋体"/>
          <w:b w:val="0"/>
          <w:bCs w:val="0"/>
          <w:i w:val="0"/>
          <w:iCs w:val="0"/>
          <w:color w:val="auto"/>
          <w:sz w:val="24"/>
          <w:szCs w:val="24"/>
          <w:highlight w:val="none"/>
          <w:vertAlign w:val="baseline"/>
          <w:lang w:val="en-US" w:eastAsia="zh-CN" w:bidi="ar-SA"/>
        </w:rPr>
      </w:pPr>
      <w:r>
        <w:rPr>
          <w:rFonts w:hint="default" w:ascii="宋体" w:hAnsi="宋体" w:eastAsia="宋体" w:cs="宋体"/>
          <w:b w:val="0"/>
          <w:bCs w:val="0"/>
          <w:i w:val="0"/>
          <w:iCs w:val="0"/>
          <w:color w:val="auto"/>
          <w:sz w:val="24"/>
          <w:szCs w:val="24"/>
          <w:highlight w:val="none"/>
          <w:vertAlign w:val="baseline"/>
          <w:lang w:val="en-US" w:eastAsia="zh-CN" w:bidi="ar-SA"/>
        </w:rPr>
        <w:t>3.本合同项下投保人应支付的暂定保险费用、结算费</w:t>
      </w:r>
      <w:r>
        <w:rPr>
          <w:rFonts w:hint="eastAsia" w:cs="宋体"/>
          <w:b w:val="0"/>
          <w:bCs w:val="0"/>
          <w:i w:val="0"/>
          <w:iCs w:val="0"/>
          <w:color w:val="auto"/>
          <w:sz w:val="24"/>
          <w:szCs w:val="24"/>
          <w:highlight w:val="none"/>
          <w:vertAlign w:val="baseline"/>
          <w:lang w:val="en-US" w:eastAsia="zh-CN" w:bidi="ar-SA"/>
        </w:rPr>
        <w:t>用</w:t>
      </w:r>
      <w:r>
        <w:rPr>
          <w:rFonts w:hint="default" w:ascii="宋体" w:hAnsi="宋体" w:eastAsia="宋体" w:cs="宋体"/>
          <w:b w:val="0"/>
          <w:bCs w:val="0"/>
          <w:i w:val="0"/>
          <w:iCs w:val="0"/>
          <w:color w:val="auto"/>
          <w:sz w:val="24"/>
          <w:szCs w:val="24"/>
          <w:highlight w:val="none"/>
          <w:vertAlign w:val="baseline"/>
          <w:lang w:val="en-US" w:eastAsia="zh-CN" w:bidi="ar-SA"/>
        </w:rPr>
        <w:t>、违约金等全部费用由</w:t>
      </w:r>
      <w:r>
        <w:rPr>
          <w:rFonts w:hint="eastAsia" w:cs="宋体"/>
          <w:b w:val="0"/>
          <w:bCs w:val="0"/>
          <w:i w:val="0"/>
          <w:iCs w:val="0"/>
          <w:color w:val="auto"/>
          <w:sz w:val="24"/>
          <w:szCs w:val="24"/>
          <w:highlight w:val="none"/>
          <w:vertAlign w:val="baseline"/>
          <w:lang w:val="en-US" w:eastAsia="zh-CN" w:bidi="ar-SA"/>
        </w:rPr>
        <w:t>广州白云潭村置地有限公司</w:t>
      </w:r>
      <w:r>
        <w:rPr>
          <w:rFonts w:hint="default" w:ascii="宋体" w:hAnsi="宋体" w:eastAsia="宋体" w:cs="宋体"/>
          <w:b w:val="0"/>
          <w:bCs w:val="0"/>
          <w:i w:val="0"/>
          <w:iCs w:val="0"/>
          <w:color w:val="auto"/>
          <w:sz w:val="24"/>
          <w:szCs w:val="24"/>
          <w:highlight w:val="none"/>
          <w:vertAlign w:val="baseline"/>
          <w:lang w:val="en-US" w:eastAsia="zh-CN" w:bidi="ar-SA"/>
        </w:rPr>
        <w:t>（甲方1：业主）承担和支付。</w:t>
      </w:r>
    </w:p>
    <w:p w14:paraId="15E00536">
      <w:pPr>
        <w:pStyle w:val="5"/>
        <w:keepNext w:val="0"/>
        <w:keepLines w:val="0"/>
        <w:pageBreakBefore w:val="0"/>
        <w:kinsoku/>
        <w:wordWrap/>
        <w:overflowPunct/>
        <w:topLinePunct w:val="0"/>
        <w:bidi w:val="0"/>
        <w:adjustRightInd w:val="0"/>
        <w:snapToGrid w:val="0"/>
        <w:spacing w:line="360" w:lineRule="auto"/>
        <w:ind w:left="600"/>
        <w:rPr>
          <w:rFonts w:hint="eastAsia"/>
          <w:color w:val="auto"/>
          <w:sz w:val="24"/>
          <w:szCs w:val="24"/>
          <w:highlight w:val="none"/>
          <w:lang w:eastAsia="zh-CN"/>
        </w:rPr>
      </w:pPr>
      <w:r>
        <w:rPr>
          <w:rFonts w:hint="eastAsia"/>
          <w:color w:val="auto"/>
          <w:sz w:val="24"/>
          <w:szCs w:val="24"/>
          <w:highlight w:val="none"/>
          <w:lang w:eastAsia="zh-CN"/>
        </w:rPr>
        <w:t>九、</w:t>
      </w:r>
      <w:r>
        <w:rPr>
          <w:rFonts w:hint="eastAsia" w:ascii="宋体" w:hAnsi="宋体" w:cs="宋体"/>
          <w:color w:val="auto"/>
          <w:sz w:val="24"/>
          <w:highlight w:val="none"/>
        </w:rPr>
        <w:t>免赔额：无</w:t>
      </w:r>
      <w:r>
        <w:rPr>
          <w:rFonts w:ascii="宋体" w:hAnsi="宋体" w:cs="宋体"/>
          <w:color w:val="auto"/>
          <w:sz w:val="24"/>
          <w:highlight w:val="none"/>
        </w:rPr>
        <w:t>。</w:t>
      </w:r>
    </w:p>
    <w:p w14:paraId="1B297C5A">
      <w:pPr>
        <w:pStyle w:val="5"/>
        <w:keepNext w:val="0"/>
        <w:keepLines w:val="0"/>
        <w:pageBreakBefore w:val="0"/>
        <w:kinsoku/>
        <w:wordWrap/>
        <w:overflowPunct/>
        <w:topLinePunct w:val="0"/>
        <w:bidi w:val="0"/>
        <w:adjustRightInd w:val="0"/>
        <w:snapToGrid w:val="0"/>
        <w:spacing w:line="360" w:lineRule="auto"/>
        <w:ind w:left="600"/>
        <w:rPr>
          <w:rFonts w:hint="eastAsia"/>
          <w:color w:val="auto"/>
          <w:sz w:val="24"/>
          <w:szCs w:val="24"/>
          <w:highlight w:val="none"/>
          <w:lang w:eastAsia="zh-CN"/>
        </w:rPr>
      </w:pPr>
      <w:r>
        <w:rPr>
          <w:rFonts w:hint="eastAsia"/>
          <w:color w:val="auto"/>
          <w:sz w:val="24"/>
          <w:szCs w:val="24"/>
          <w:highlight w:val="none"/>
          <w:lang w:val="en-US" w:eastAsia="zh-CN"/>
        </w:rPr>
        <w:t>十</w:t>
      </w:r>
      <w:r>
        <w:rPr>
          <w:rFonts w:hint="eastAsia"/>
          <w:color w:val="auto"/>
          <w:sz w:val="24"/>
          <w:szCs w:val="24"/>
          <w:highlight w:val="none"/>
          <w:lang w:eastAsia="zh-CN"/>
        </w:rPr>
        <w:t>、法律适用与争议解决</w:t>
      </w:r>
    </w:p>
    <w:p w14:paraId="25368AFB">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（一）本合同的订立、生效、履行、解释、修改、争议解决和终止等事项适用中华人民共和国现行法律、法规及规章。</w:t>
      </w:r>
    </w:p>
    <w:p w14:paraId="5C4F4AAD">
      <w:pPr>
        <w:autoSpaceDE/>
        <w:autoSpaceDN/>
        <w:spacing w:line="360" w:lineRule="auto"/>
        <w:ind w:firstLine="464"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二</w:t>
      </w:r>
      <w:r>
        <w:rPr>
          <w:rFonts w:hint="eastAsia" w:ascii="宋体" w:hAnsi="宋体" w:eastAsia="宋体" w:cs="宋体"/>
          <w:color w:val="auto"/>
          <w:spacing w:val="-4"/>
          <w:sz w:val="24"/>
          <w:szCs w:val="24"/>
          <w:highlight w:val="none"/>
          <w:lang w:eastAsia="zh-CN"/>
        </w:rPr>
        <w:t>）本合同签订后，</w:t>
      </w:r>
      <w:r>
        <w:rPr>
          <w:rFonts w:hint="eastAsia" w:ascii="宋体" w:hAnsi="宋体" w:eastAsia="宋体" w:cs="宋体"/>
          <w:color w:val="auto"/>
          <w:spacing w:val="-4"/>
          <w:sz w:val="24"/>
          <w:szCs w:val="24"/>
          <w:highlight w:val="none"/>
          <w:lang w:val="en-US" w:eastAsia="zh-CN"/>
        </w:rPr>
        <w:t>双方</w:t>
      </w:r>
      <w:r>
        <w:rPr>
          <w:rFonts w:hint="eastAsia" w:ascii="宋体" w:hAnsi="宋体" w:eastAsia="宋体" w:cs="宋体"/>
          <w:color w:val="auto"/>
          <w:spacing w:val="-4"/>
          <w:sz w:val="24"/>
          <w:szCs w:val="24"/>
          <w:highlight w:val="none"/>
          <w:lang w:eastAsia="zh-CN"/>
        </w:rPr>
        <w:t>都必须严格履行。在执行中如有需要协调或补充，须经</w:t>
      </w:r>
      <w:r>
        <w:rPr>
          <w:rFonts w:hint="eastAsia" w:ascii="宋体" w:hAnsi="宋体" w:eastAsia="宋体" w:cs="宋体"/>
          <w:color w:val="auto"/>
          <w:spacing w:val="-4"/>
          <w:sz w:val="24"/>
          <w:szCs w:val="24"/>
          <w:highlight w:val="none"/>
          <w:lang w:val="en-US" w:eastAsia="zh-CN"/>
        </w:rPr>
        <w:t>各方</w:t>
      </w:r>
      <w:r>
        <w:rPr>
          <w:rFonts w:hint="eastAsia" w:ascii="宋体" w:hAnsi="宋体" w:eastAsia="宋体" w:cs="宋体"/>
          <w:color w:val="auto"/>
          <w:spacing w:val="-4"/>
          <w:sz w:val="24"/>
          <w:szCs w:val="24"/>
          <w:highlight w:val="none"/>
          <w:lang w:eastAsia="zh-CN"/>
        </w:rPr>
        <w:t xml:space="preserve">协商一致后，签订补充协议（补充协议与本合同具有同等效力）。   </w:t>
      </w:r>
      <w:r>
        <w:rPr>
          <w:rFonts w:hint="eastAsia" w:ascii="宋体" w:hAnsi="宋体" w:eastAsia="宋体" w:cs="宋体"/>
          <w:b w:val="0"/>
          <w:color w:val="auto"/>
          <w:spacing w:val="-4"/>
          <w:sz w:val="24"/>
          <w:szCs w:val="24"/>
          <w:highlight w:val="none"/>
          <w:lang w:eastAsia="zh-CN"/>
        </w:rPr>
        <w:t xml:space="preserve">  </w:t>
      </w:r>
    </w:p>
    <w:p w14:paraId="797277D8">
      <w:pPr>
        <w:pStyle w:val="8"/>
        <w:keepNext w:val="0"/>
        <w:keepLines w:val="0"/>
        <w:pageBreakBefore w:val="0"/>
        <w:kinsoku/>
        <w:wordWrap/>
        <w:overflowPunct/>
        <w:topLinePunct w:val="0"/>
        <w:autoSpaceDE/>
        <w:autoSpaceDN/>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三</w:t>
      </w:r>
      <w:r>
        <w:rPr>
          <w:rFonts w:hint="eastAsia"/>
          <w:color w:val="auto"/>
          <w:spacing w:val="-4"/>
          <w:sz w:val="24"/>
          <w:szCs w:val="24"/>
          <w:highlight w:val="none"/>
          <w:lang w:eastAsia="zh-CN"/>
        </w:rPr>
        <w:t>）因本合同而起或与本合同有关的任何争议，由双方协商解决。协商不成的，任何一方均有权将争议提交至</w:t>
      </w:r>
      <w:r>
        <w:rPr>
          <w:rFonts w:hint="default" w:ascii="宋体" w:hAnsi="宋体" w:eastAsia="宋体" w:cs="宋体"/>
          <w:b w:val="0"/>
          <w:bCs w:val="0"/>
          <w:i w:val="0"/>
          <w:iCs w:val="0"/>
          <w:color w:val="auto"/>
          <w:sz w:val="24"/>
          <w:szCs w:val="24"/>
          <w:highlight w:val="none"/>
          <w:vertAlign w:val="baseline"/>
          <w:lang w:val="en-US" w:eastAsia="zh-CN" w:bidi="ar-SA"/>
        </w:rPr>
        <w:t>甲方1</w:t>
      </w:r>
      <w:r>
        <w:rPr>
          <w:rFonts w:hint="eastAsia"/>
          <w:color w:val="auto"/>
          <w:spacing w:val="-4"/>
          <w:sz w:val="24"/>
          <w:szCs w:val="24"/>
          <w:highlight w:val="none"/>
          <w:lang w:eastAsia="zh-CN"/>
        </w:rPr>
        <w:t>住所地有管辖权的人民法院通过诉讼解决。除非生效判决另有规定，双方为诉讼而实际支付的费用（包括但不限于诉讼费、保全费、保险费、律师费、执行费等）由败诉方承担。</w:t>
      </w:r>
    </w:p>
    <w:p w14:paraId="6ECDE52D">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四</w:t>
      </w:r>
      <w:r>
        <w:rPr>
          <w:rFonts w:hint="eastAsia"/>
          <w:color w:val="auto"/>
          <w:spacing w:val="-4"/>
          <w:sz w:val="24"/>
          <w:szCs w:val="24"/>
          <w:highlight w:val="none"/>
          <w:lang w:eastAsia="zh-CN"/>
        </w:rPr>
        <w:t>）在诉讼过程中，除双方有争议正在进行诉讼的事项以外，各方应继续履行其他部分的义务。</w:t>
      </w:r>
    </w:p>
    <w:p w14:paraId="6231A019">
      <w:pPr>
        <w:pStyle w:val="8"/>
        <w:keepNext w:val="0"/>
        <w:keepLines w:val="0"/>
        <w:pageBreakBefore w:val="0"/>
        <w:kinsoku/>
        <w:wordWrap/>
        <w:overflowPunct/>
        <w:topLinePunct w:val="0"/>
        <w:bidi w:val="0"/>
        <w:adjustRightInd w:val="0"/>
        <w:snapToGrid w:val="0"/>
        <w:spacing w:line="360" w:lineRule="auto"/>
        <w:ind w:right="357"/>
        <w:jc w:val="both"/>
        <w:rPr>
          <w:rFonts w:hint="eastAsia"/>
          <w:b/>
          <w:bCs/>
          <w:color w:val="auto"/>
          <w:spacing w:val="-4"/>
          <w:sz w:val="24"/>
          <w:szCs w:val="24"/>
          <w:highlight w:val="none"/>
          <w:lang w:eastAsia="zh-CN"/>
        </w:rPr>
      </w:pPr>
      <w:r>
        <w:rPr>
          <w:rFonts w:hint="eastAsia"/>
          <w:b/>
          <w:bCs/>
          <w:color w:val="auto"/>
          <w:spacing w:val="-4"/>
          <w:sz w:val="24"/>
          <w:szCs w:val="24"/>
          <w:highlight w:val="none"/>
          <w:lang w:eastAsia="zh-CN"/>
        </w:rPr>
        <w:t>十</w:t>
      </w:r>
      <w:r>
        <w:rPr>
          <w:rFonts w:hint="eastAsia"/>
          <w:b/>
          <w:bCs/>
          <w:color w:val="auto"/>
          <w:spacing w:val="-4"/>
          <w:sz w:val="24"/>
          <w:szCs w:val="24"/>
          <w:highlight w:val="none"/>
          <w:lang w:val="en-US" w:eastAsia="zh-CN"/>
        </w:rPr>
        <w:t>一</w:t>
      </w:r>
      <w:r>
        <w:rPr>
          <w:rFonts w:hint="eastAsia"/>
          <w:b/>
          <w:bCs/>
          <w:color w:val="auto"/>
          <w:spacing w:val="-4"/>
          <w:sz w:val="24"/>
          <w:szCs w:val="24"/>
          <w:highlight w:val="none"/>
          <w:lang w:eastAsia="zh-CN"/>
        </w:rPr>
        <w:t>、合同份数</w:t>
      </w:r>
    </w:p>
    <w:p w14:paraId="5938E3E1">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本合同正本一式</w:t>
      </w:r>
      <w:r>
        <w:rPr>
          <w:rFonts w:hint="eastAsia"/>
          <w:color w:val="auto"/>
          <w:spacing w:val="-4"/>
          <w:sz w:val="24"/>
          <w:szCs w:val="24"/>
          <w:highlight w:val="none"/>
          <w:u w:val="single"/>
          <w:lang w:val="en-US" w:eastAsia="zh-CN"/>
        </w:rPr>
        <w:t xml:space="preserve">    </w:t>
      </w:r>
      <w:r>
        <w:rPr>
          <w:rFonts w:hint="eastAsia"/>
          <w:color w:val="auto"/>
          <w:spacing w:val="-4"/>
          <w:sz w:val="24"/>
          <w:szCs w:val="24"/>
          <w:highlight w:val="none"/>
          <w:lang w:eastAsia="zh-CN"/>
        </w:rPr>
        <w:t>份，甲乙双方各执</w:t>
      </w:r>
      <w:r>
        <w:rPr>
          <w:rFonts w:hint="eastAsia"/>
          <w:color w:val="auto"/>
          <w:spacing w:val="-4"/>
          <w:sz w:val="24"/>
          <w:szCs w:val="24"/>
          <w:highlight w:val="none"/>
          <w:u w:val="single"/>
          <w:lang w:eastAsia="zh-CN"/>
        </w:rPr>
        <w:t xml:space="preserve"> </w:t>
      </w:r>
      <w:r>
        <w:rPr>
          <w:rFonts w:hint="eastAsia"/>
          <w:color w:val="auto"/>
          <w:spacing w:val="-4"/>
          <w:sz w:val="24"/>
          <w:szCs w:val="24"/>
          <w:highlight w:val="none"/>
          <w:u w:val="single"/>
          <w:lang w:val="en-US" w:eastAsia="zh-CN"/>
        </w:rPr>
        <w:t xml:space="preserve">   </w:t>
      </w:r>
      <w:r>
        <w:rPr>
          <w:rFonts w:hint="eastAsia"/>
          <w:color w:val="auto"/>
          <w:spacing w:val="-4"/>
          <w:sz w:val="24"/>
          <w:szCs w:val="24"/>
          <w:highlight w:val="none"/>
          <w:u w:val="single"/>
          <w:lang w:eastAsia="zh-CN"/>
        </w:rPr>
        <w:t xml:space="preserve"> </w:t>
      </w:r>
      <w:r>
        <w:rPr>
          <w:rFonts w:hint="eastAsia"/>
          <w:color w:val="auto"/>
          <w:spacing w:val="-4"/>
          <w:sz w:val="24"/>
          <w:szCs w:val="24"/>
          <w:highlight w:val="none"/>
          <w:lang w:eastAsia="zh-CN"/>
        </w:rPr>
        <w:t>份，具有同等法律效力。经双方签字盖章后生效，自本保险项目保险单责任终止时失效。</w:t>
      </w:r>
    </w:p>
    <w:p w14:paraId="084DFE50">
      <w:pPr>
        <w:spacing w:line="360" w:lineRule="auto"/>
        <w:ind w:firstLine="464" w:firstLineChars="200"/>
        <w:rPr>
          <w:rFonts w:hint="eastAsia"/>
          <w:color w:val="auto"/>
          <w:sz w:val="24"/>
          <w:szCs w:val="24"/>
          <w:highlight w:val="none"/>
          <w:lang w:eastAsia="zh-CN"/>
        </w:rPr>
      </w:pPr>
      <w:r>
        <w:rPr>
          <w:rFonts w:hint="eastAsia"/>
          <w:color w:val="auto"/>
          <w:spacing w:val="-4"/>
          <w:sz w:val="24"/>
          <w:szCs w:val="24"/>
          <w:highlight w:val="none"/>
          <w:lang w:eastAsia="zh-CN"/>
        </w:rPr>
        <w:t>（本页以下无正文）</w:t>
      </w:r>
    </w:p>
    <w:p w14:paraId="364FE88F">
      <w:pPr>
        <w:pStyle w:val="8"/>
        <w:keepNext w:val="0"/>
        <w:keepLines w:val="0"/>
        <w:pageBreakBefore w:val="0"/>
        <w:kinsoku/>
        <w:wordWrap/>
        <w:overflowPunct/>
        <w:topLinePunct w:val="0"/>
        <w:bidi w:val="0"/>
        <w:spacing w:line="360" w:lineRule="auto"/>
        <w:ind w:left="0" w:firstLine="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本页为签署页</w:t>
      </w:r>
      <w:r>
        <w:rPr>
          <w:rFonts w:hint="eastAsia"/>
          <w:color w:val="auto"/>
          <w:sz w:val="24"/>
          <w:szCs w:val="24"/>
          <w:highlight w:val="none"/>
          <w:lang w:eastAsia="zh-CN"/>
        </w:rPr>
        <w:t>）</w:t>
      </w:r>
    </w:p>
    <w:p w14:paraId="5D37086F">
      <w:pPr>
        <w:keepNext w:val="0"/>
        <w:keepLines w:val="0"/>
        <w:pageBreakBefore w:val="0"/>
        <w:kinsoku/>
        <w:wordWrap/>
        <w:overflowPunct/>
        <w:topLinePunct w:val="0"/>
        <w:bidi w:val="0"/>
        <w:spacing w:line="360" w:lineRule="auto"/>
        <w:rPr>
          <w:rFonts w:hint="eastAsia"/>
          <w:color w:val="auto"/>
          <w:sz w:val="24"/>
          <w:szCs w:val="24"/>
          <w:highlight w:val="none"/>
          <w:lang w:eastAsia="zh-CN"/>
        </w:rPr>
      </w:pPr>
    </w:p>
    <w:tbl>
      <w:tblPr>
        <w:tblStyle w:val="20"/>
        <w:tblpPr w:leftFromText="180" w:rightFromText="180" w:vertAnchor="text" w:horzAnchor="page" w:tblpX="1664" w:tblpY="263"/>
        <w:tblOverlap w:val="never"/>
        <w:tblW w:w="9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9"/>
        <w:gridCol w:w="4252"/>
      </w:tblGrid>
      <w:tr w14:paraId="4CF7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4" w:hRule="atLeast"/>
        </w:trPr>
        <w:tc>
          <w:tcPr>
            <w:tcW w:w="4939" w:type="dxa"/>
          </w:tcPr>
          <w:p w14:paraId="4437115B">
            <w:pPr>
              <w:pStyle w:val="8"/>
              <w:spacing w:before="0"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投保人</w:t>
            </w:r>
            <w:r>
              <w:rPr>
                <w:rFonts w:hint="eastAsia" w:ascii="宋体" w:hAnsi="宋体" w:eastAsia="宋体" w:cs="宋体"/>
                <w:bCs/>
                <w:color w:val="auto"/>
                <w:sz w:val="24"/>
                <w:szCs w:val="24"/>
                <w:highlight w:val="none"/>
                <w:lang w:eastAsia="zh-CN"/>
              </w:rPr>
              <w:t>（甲方1：业主）</w:t>
            </w:r>
            <w:r>
              <w:rPr>
                <w:rFonts w:hint="eastAsia" w:ascii="宋体" w:hAnsi="宋体" w:eastAsia="宋体" w:cs="宋体"/>
                <w:color w:val="auto"/>
                <w:sz w:val="24"/>
                <w:szCs w:val="24"/>
                <w:highlight w:val="none"/>
                <w:lang w:eastAsia="zh-CN"/>
              </w:rPr>
              <w:t>：（盖章）</w:t>
            </w:r>
          </w:p>
          <w:p w14:paraId="268FA1EB">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广州白云潭村置地有限公司    </w:t>
            </w:r>
          </w:p>
          <w:p w14:paraId="381CCDB2">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7B89AEA5">
            <w:pPr>
              <w:pStyle w:val="34"/>
              <w:tabs>
                <w:tab w:val="left" w:pos="3420"/>
                <w:tab w:val="left" w:pos="3600"/>
              </w:tabs>
              <w:spacing w:line="560" w:lineRule="exact"/>
              <w:ind w:right="1958"/>
              <w:jc w:val="both"/>
            </w:pPr>
            <w:r>
              <w:rPr>
                <w:rFonts w:hint="eastAsia" w:ascii="宋体" w:hAnsi="宋体" w:eastAsia="宋体" w:cs="宋体"/>
                <w:color w:val="auto"/>
                <w:sz w:val="24"/>
                <w:highlight w:val="none"/>
                <w:lang w:eastAsia="zh-CN"/>
              </w:rPr>
              <w:t xml:space="preserve">法定代表人： </w:t>
            </w:r>
          </w:p>
          <w:p w14:paraId="1223C8C6">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或委托代理人： </w:t>
            </w:r>
          </w:p>
          <w:p w14:paraId="599E4E1F">
            <w:pPr>
              <w:pStyle w:val="8"/>
              <w:spacing w:line="560" w:lineRule="exact"/>
              <w:ind w:left="0" w:right="1958" w:firstLine="0"/>
              <w:jc w:val="both"/>
              <w:rPr>
                <w:rFonts w:hint="eastAsia" w:ascii="宋体" w:hAnsi="宋体" w:eastAsia="宋体" w:cs="宋体"/>
                <w:color w:val="auto"/>
                <w:highlight w:val="none"/>
                <w:lang w:eastAsia="zh-CN"/>
              </w:rPr>
            </w:pPr>
          </w:p>
          <w:p w14:paraId="0EF6D3B0">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p w14:paraId="7275E1DB">
            <w:pPr>
              <w:spacing w:line="560" w:lineRule="exact"/>
              <w:jc w:val="both"/>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电话：</w:t>
            </w:r>
          </w:p>
          <w:p w14:paraId="15F75B5B">
            <w:pPr>
              <w:spacing w:line="560" w:lineRule="exact"/>
              <w:jc w:val="both"/>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地址：</w:t>
            </w:r>
          </w:p>
          <w:p w14:paraId="478428F3">
            <w:pPr>
              <w:jc w:val="both"/>
            </w:pPr>
          </w:p>
          <w:p w14:paraId="7EFF996A">
            <w:pPr>
              <w:jc w:val="both"/>
            </w:pPr>
          </w:p>
          <w:p w14:paraId="767B0969">
            <w:pPr>
              <w:adjustRightInd w:val="0"/>
              <w:snapToGrid w:val="0"/>
              <w:spacing w:line="312" w:lineRule="auto"/>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签订日期：</w:t>
            </w:r>
            <w:r>
              <w:rPr>
                <w:rFonts w:hint="eastAsia" w:ascii="宋体" w:hAnsi="宋体" w:eastAsia="宋体" w:cs="宋体"/>
                <w:snapToGrid w:val="0"/>
                <w:color w:val="auto"/>
                <w:sz w:val="24"/>
                <w:szCs w:val="24"/>
                <w:highlight w:val="none"/>
                <w:lang w:val="en-US" w:eastAsia="zh-CN"/>
              </w:rPr>
              <w:t>2025</w:t>
            </w:r>
            <w:r>
              <w:rPr>
                <w:rFonts w:hint="eastAsia" w:ascii="宋体" w:hAnsi="宋体" w:eastAsia="宋体" w:cs="宋体"/>
                <w:snapToGrid w:val="0"/>
                <w:color w:val="auto"/>
                <w:sz w:val="24"/>
                <w:szCs w:val="24"/>
                <w:highlight w:val="none"/>
                <w:lang w:eastAsia="zh-CN"/>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日</w:t>
            </w:r>
          </w:p>
          <w:p w14:paraId="766322F2">
            <w:pPr>
              <w:pStyle w:val="8"/>
              <w:spacing w:line="560" w:lineRule="exact"/>
              <w:jc w:val="left"/>
              <w:rPr>
                <w:rFonts w:hint="eastAsia" w:ascii="宋体" w:hAnsi="宋体" w:eastAsia="宋体" w:cs="宋体"/>
                <w:snapToGrid w:val="0"/>
                <w:color w:val="auto"/>
                <w:sz w:val="24"/>
                <w:szCs w:val="24"/>
                <w:highlight w:val="none"/>
                <w:lang w:eastAsia="zh-CN"/>
              </w:rPr>
            </w:pPr>
          </w:p>
          <w:p w14:paraId="4CC0800D">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069CB991">
            <w:pPr>
              <w:pStyle w:val="8"/>
              <w:spacing w:before="0"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（盖章）                                                                </w:t>
            </w:r>
          </w:p>
          <w:p w14:paraId="5FCBC787">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57F373D6">
            <w:pPr>
              <w:pStyle w:val="8"/>
              <w:spacing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法定代表人： </w:t>
            </w:r>
          </w:p>
          <w:p w14:paraId="05823F28">
            <w:pPr>
              <w:pStyle w:val="8"/>
              <w:spacing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或委托代理人：</w:t>
            </w:r>
          </w:p>
          <w:p w14:paraId="18E94314">
            <w:pPr>
              <w:pStyle w:val="8"/>
              <w:spacing w:line="560" w:lineRule="exact"/>
              <w:ind w:left="0" w:right="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p w14:paraId="3003F28C">
            <w:pPr>
              <w:pStyle w:val="8"/>
              <w:spacing w:line="560" w:lineRule="exact"/>
              <w:ind w:left="0" w:right="0" w:firstLine="0"/>
              <w:jc w:val="lef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电话：</w:t>
            </w:r>
          </w:p>
          <w:p w14:paraId="09DCAF6C">
            <w:pPr>
              <w:pStyle w:val="8"/>
              <w:spacing w:line="560" w:lineRule="exact"/>
              <w:ind w:left="0" w:right="0" w:firstLine="0"/>
              <w:jc w:val="left"/>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val="en-US" w:eastAsia="zh-CN"/>
              </w:rPr>
              <w:t>地址：</w:t>
            </w:r>
          </w:p>
          <w:p w14:paraId="023F4FF4">
            <w:pPr>
              <w:pStyle w:val="8"/>
              <w:spacing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rPr>
              <w:t>签订日期：</w:t>
            </w:r>
            <w:r>
              <w:rPr>
                <w:rFonts w:hint="eastAsia" w:ascii="宋体" w:hAnsi="宋体" w:eastAsia="宋体" w:cs="宋体"/>
                <w:snapToGrid w:val="0"/>
                <w:color w:val="auto"/>
                <w:sz w:val="24"/>
                <w:szCs w:val="24"/>
                <w:highlight w:val="none"/>
                <w:lang w:val="en-US" w:eastAsia="zh-CN"/>
              </w:rPr>
              <w:t>2025</w:t>
            </w:r>
            <w:r>
              <w:rPr>
                <w:rFonts w:hint="eastAsia" w:ascii="宋体" w:hAnsi="宋体" w:eastAsia="宋体" w:cs="宋体"/>
                <w:snapToGrid w:val="0"/>
                <w:color w:val="auto"/>
                <w:sz w:val="24"/>
                <w:szCs w:val="24"/>
                <w:highlight w:val="none"/>
                <w:lang w:eastAsia="zh-CN"/>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日</w:t>
            </w:r>
          </w:p>
        </w:tc>
        <w:tc>
          <w:tcPr>
            <w:tcW w:w="4252" w:type="dxa"/>
          </w:tcPr>
          <w:p w14:paraId="1674D06D">
            <w:pPr>
              <w:pStyle w:val="8"/>
              <w:spacing w:before="202" w:line="360" w:lineRule="auto"/>
              <w:ind w:firstLine="0"/>
              <w:jc w:val="both"/>
              <w:rPr>
                <w:rFonts w:hint="eastAsia" w:ascii="宋体" w:hAnsi="宋体" w:eastAsia="宋体" w:cs="宋体"/>
                <w:bCs w:val="0"/>
                <w:color w:val="auto"/>
                <w:sz w:val="24"/>
                <w:szCs w:val="24"/>
                <w:highlight w:val="none"/>
                <w:u w:val="none"/>
                <w:lang w:eastAsia="zh-CN"/>
              </w:rPr>
            </w:pPr>
            <w:r>
              <w:rPr>
                <w:rFonts w:hint="eastAsia" w:ascii="宋体" w:hAnsi="宋体" w:eastAsia="宋体" w:cs="宋体"/>
                <w:bCs w:val="0"/>
                <w:color w:val="auto"/>
                <w:sz w:val="24"/>
                <w:szCs w:val="24"/>
                <w:highlight w:val="none"/>
                <w:lang w:eastAsia="zh-CN"/>
              </w:rPr>
              <w:t>投保人（</w:t>
            </w:r>
            <w:r>
              <w:rPr>
                <w:rFonts w:hint="eastAsia" w:ascii="宋体" w:hAnsi="宋体" w:eastAsia="宋体" w:cs="宋体"/>
                <w:bCs w:val="0"/>
                <w:color w:val="auto"/>
                <w:sz w:val="24"/>
                <w:szCs w:val="24"/>
                <w:highlight w:val="none"/>
                <w:u w:val="none"/>
                <w:lang w:eastAsia="zh-CN"/>
              </w:rPr>
              <w:t>甲方2：项目管理单位</w:t>
            </w:r>
            <w:r>
              <w:rPr>
                <w:rFonts w:hint="eastAsia" w:ascii="宋体" w:hAnsi="宋体" w:eastAsia="宋体" w:cs="宋体"/>
                <w:bCs w:val="0"/>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ascii="宋体" w:hAnsi="宋体" w:eastAsia="宋体" w:cs="宋体"/>
                <w:bCs w:val="0"/>
                <w:color w:val="auto"/>
                <w:sz w:val="24"/>
                <w:szCs w:val="24"/>
                <w:highlight w:val="none"/>
                <w:u w:val="none"/>
                <w:lang w:eastAsia="zh-CN"/>
              </w:rPr>
              <w:t xml:space="preserve">广州市白云城市建设投资有限公司                                          </w:t>
            </w:r>
          </w:p>
          <w:p w14:paraId="6D13F0BC">
            <w:pPr>
              <w:pStyle w:val="34"/>
              <w:tabs>
                <w:tab w:val="left" w:pos="3420"/>
                <w:tab w:val="left" w:pos="3600"/>
              </w:tabs>
              <w:spacing w:line="560" w:lineRule="exact"/>
              <w:ind w:right="1958"/>
              <w:jc w:val="both"/>
            </w:pPr>
            <w:r>
              <w:rPr>
                <w:rFonts w:hint="eastAsia" w:ascii="宋体" w:hAnsi="宋体" w:eastAsia="宋体" w:cs="宋体"/>
                <w:color w:val="auto"/>
                <w:sz w:val="24"/>
                <w:highlight w:val="none"/>
                <w:lang w:eastAsia="zh-CN"/>
              </w:rPr>
              <w:t xml:space="preserve">法定代表人： </w:t>
            </w:r>
          </w:p>
          <w:p w14:paraId="37D3D5F0">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或委托代理人： </w:t>
            </w:r>
          </w:p>
          <w:p w14:paraId="366733AA">
            <w:pPr>
              <w:pStyle w:val="8"/>
              <w:spacing w:line="560" w:lineRule="exact"/>
              <w:ind w:left="0" w:right="1958" w:firstLine="0"/>
              <w:jc w:val="both"/>
              <w:rPr>
                <w:rFonts w:hint="eastAsia" w:ascii="宋体" w:hAnsi="宋体" w:eastAsia="宋体" w:cs="宋体"/>
                <w:color w:val="auto"/>
                <w:highlight w:val="none"/>
                <w:lang w:eastAsia="zh-CN"/>
              </w:rPr>
            </w:pPr>
          </w:p>
          <w:p w14:paraId="0C871343">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p w14:paraId="1DE1589B">
            <w:pPr>
              <w:spacing w:line="560" w:lineRule="exact"/>
              <w:jc w:val="both"/>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电话：</w:t>
            </w:r>
          </w:p>
          <w:p w14:paraId="18158CF5">
            <w:pPr>
              <w:spacing w:line="560" w:lineRule="exact"/>
              <w:jc w:val="both"/>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地址：</w:t>
            </w:r>
          </w:p>
          <w:p w14:paraId="69DEA20A">
            <w:pPr>
              <w:jc w:val="both"/>
            </w:pPr>
          </w:p>
          <w:p w14:paraId="622E8C5B">
            <w:pPr>
              <w:jc w:val="both"/>
            </w:pPr>
          </w:p>
          <w:p w14:paraId="7F1FD9E1">
            <w:pPr>
              <w:adjustRightInd w:val="0"/>
              <w:snapToGrid w:val="0"/>
              <w:spacing w:line="312" w:lineRule="auto"/>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签订日期：</w:t>
            </w:r>
            <w:r>
              <w:rPr>
                <w:rFonts w:hint="eastAsia" w:ascii="宋体" w:hAnsi="宋体" w:eastAsia="宋体" w:cs="宋体"/>
                <w:snapToGrid w:val="0"/>
                <w:color w:val="auto"/>
                <w:sz w:val="24"/>
                <w:szCs w:val="24"/>
                <w:highlight w:val="none"/>
                <w:lang w:val="en-US" w:eastAsia="zh-CN"/>
              </w:rPr>
              <w:t>2025</w:t>
            </w:r>
            <w:r>
              <w:rPr>
                <w:rFonts w:hint="eastAsia" w:ascii="宋体" w:hAnsi="宋体" w:eastAsia="宋体" w:cs="宋体"/>
                <w:snapToGrid w:val="0"/>
                <w:color w:val="auto"/>
                <w:sz w:val="24"/>
                <w:szCs w:val="24"/>
                <w:highlight w:val="none"/>
                <w:lang w:eastAsia="zh-CN"/>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日</w:t>
            </w:r>
          </w:p>
          <w:p w14:paraId="7161755B">
            <w:pPr>
              <w:pStyle w:val="8"/>
              <w:jc w:val="both"/>
              <w:rPr>
                <w:rFonts w:hint="eastAsia"/>
                <w:lang w:eastAsia="zh-CN"/>
              </w:rPr>
            </w:pPr>
          </w:p>
          <w:p w14:paraId="09FC1F0A">
            <w:pPr>
              <w:spacing w:line="360" w:lineRule="auto"/>
              <w:jc w:val="both"/>
              <w:rPr>
                <w:rFonts w:hint="eastAsia" w:ascii="宋体" w:hAnsi="宋体" w:eastAsia="宋体" w:cs="宋体"/>
                <w:bCs/>
                <w:color w:val="auto"/>
                <w:sz w:val="24"/>
                <w:szCs w:val="24"/>
                <w:highlight w:val="none"/>
                <w:u w:val="single"/>
                <w:lang w:eastAsia="zh-CN"/>
              </w:rPr>
            </w:pPr>
          </w:p>
        </w:tc>
      </w:tr>
    </w:tbl>
    <w:p w14:paraId="53B5E41E">
      <w:pPr>
        <w:ind w:left="505"/>
        <w:rPr>
          <w:rFonts w:hint="eastAsia" w:ascii="宋体" w:hAnsi="宋体" w:eastAsia="宋体" w:cs="宋体"/>
          <w:color w:val="auto"/>
          <w:sz w:val="24"/>
          <w:szCs w:val="24"/>
          <w:highlight w:val="none"/>
          <w:lang w:eastAsia="zh-CN"/>
        </w:rPr>
      </w:pPr>
      <w:bookmarkStart w:id="2" w:name="第二部分_保险条款"/>
      <w:bookmarkEnd w:id="2"/>
      <w:r>
        <w:rPr>
          <w:rFonts w:hint="eastAsia" w:ascii="宋体" w:hAnsi="宋体" w:eastAsia="宋体" w:cs="宋体"/>
          <w:color w:val="auto"/>
          <w:sz w:val="24"/>
          <w:szCs w:val="24"/>
          <w:highlight w:val="none"/>
          <w:lang w:eastAsia="zh-CN"/>
        </w:rPr>
        <w:br w:type="page"/>
      </w:r>
    </w:p>
    <w:p w14:paraId="4743A2A3">
      <w:pPr>
        <w:ind w:left="0"/>
        <w:rPr>
          <w:rFonts w:hint="eastAsia" w:ascii="宋体" w:hAnsi="宋体" w:eastAsia="宋体" w:cs="宋体"/>
          <w:color w:val="auto"/>
          <w:sz w:val="22"/>
          <w:szCs w:val="22"/>
          <w:lang w:val="en-US" w:eastAsia="zh-CN" w:bidi="ar-SA"/>
        </w:rPr>
        <w:sectPr>
          <w:footerReference r:id="rId4" w:type="default"/>
          <w:pgSz w:w="11910" w:h="16840"/>
          <w:pgMar w:top="1440" w:right="1474" w:bottom="1440" w:left="1587" w:header="0" w:footer="850" w:gutter="0"/>
          <w:pgNumType w:fmt="decimal" w:start="1"/>
          <w:cols w:space="0" w:num="1"/>
        </w:sectPr>
      </w:pPr>
    </w:p>
    <w:p w14:paraId="30213E68">
      <w:pPr>
        <w:pStyle w:val="3"/>
        <w:ind w:left="505"/>
        <w:rPr>
          <w:rFonts w:hint="eastAsia"/>
          <w:color w:val="auto"/>
          <w:highlight w:val="none"/>
          <w:lang w:eastAsia="zh-CN"/>
        </w:rPr>
      </w:pPr>
      <w:bookmarkStart w:id="3" w:name="_Toc3393"/>
      <w:r>
        <w:rPr>
          <w:rFonts w:hint="eastAsia"/>
          <w:color w:val="auto"/>
          <w:highlight w:val="none"/>
          <w:lang w:eastAsia="zh-CN"/>
        </w:rPr>
        <w:t>第二部分 保险条款</w:t>
      </w:r>
      <w:bookmarkEnd w:id="3"/>
    </w:p>
    <w:p w14:paraId="1955BA87">
      <w:pPr>
        <w:keepNext/>
        <w:keepLines/>
        <w:spacing w:before="260" w:after="260" w:line="416" w:lineRule="atLeast"/>
        <w:jc w:val="both"/>
        <w:outlineLvl w:val="1"/>
        <w:rPr>
          <w:rFonts w:hint="eastAsia" w:ascii="等线" w:hAnsi="等线" w:eastAsia="等线" w:cs="Times New Roman"/>
          <w:b/>
          <w:color w:val="auto"/>
          <w:sz w:val="32"/>
          <w:szCs w:val="32"/>
          <w:highlight w:val="none"/>
          <w:lang w:eastAsia="zh-CN"/>
        </w:rPr>
      </w:pPr>
      <w:bookmarkStart w:id="4" w:name="（一）广州市住宅工程质量潜在缺陷保险条款"/>
      <w:bookmarkEnd w:id="4"/>
      <w:bookmarkStart w:id="5" w:name="_Toc29287"/>
      <w:bookmarkStart w:id="6" w:name="_Toc22719"/>
      <w:r>
        <w:rPr>
          <w:rFonts w:hint="eastAsia" w:ascii="等线" w:hAnsi="等线" w:eastAsia="等线" w:cs="Times New Roman"/>
          <w:b/>
          <w:color w:val="auto"/>
          <w:sz w:val="32"/>
          <w:szCs w:val="32"/>
          <w:highlight w:val="none"/>
          <w:lang w:eastAsia="zh-CN"/>
        </w:rPr>
        <w:t>（一）主险条款</w:t>
      </w:r>
      <w:bookmarkEnd w:id="5"/>
      <w:bookmarkEnd w:id="6"/>
    </w:p>
    <w:p w14:paraId="40978E36">
      <w:pPr>
        <w:widowControl/>
        <w:autoSpaceDE/>
        <w:autoSpaceDN/>
        <w:snapToGrid w:val="0"/>
        <w:spacing w:line="520" w:lineRule="exact"/>
        <w:jc w:val="center"/>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广州</w:t>
      </w:r>
      <w:r>
        <w:rPr>
          <w:rFonts w:ascii="等线" w:hAnsi="等线" w:eastAsia="等线" w:cs="Times New Roman"/>
          <w:b/>
          <w:color w:val="auto"/>
          <w:sz w:val="32"/>
          <w:szCs w:val="32"/>
          <w:highlight w:val="none"/>
          <w:lang w:eastAsia="zh-CN"/>
        </w:rPr>
        <w:t>市</w:t>
      </w:r>
      <w:r>
        <w:rPr>
          <w:rFonts w:hint="eastAsia" w:ascii="等线" w:hAnsi="等线" w:eastAsia="等线" w:cs="Times New Roman"/>
          <w:b/>
          <w:color w:val="auto"/>
          <w:sz w:val="32"/>
          <w:szCs w:val="32"/>
          <w:highlight w:val="none"/>
          <w:lang w:eastAsia="zh-CN"/>
        </w:rPr>
        <w:t>住宅工程质量潜在缺陷保险条款</w:t>
      </w:r>
    </w:p>
    <w:p w14:paraId="4951E3C9">
      <w:pPr>
        <w:widowControl/>
        <w:autoSpaceDE/>
        <w:autoSpaceDN/>
        <w:snapToGrid w:val="0"/>
        <w:spacing w:line="520" w:lineRule="exact"/>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35EFC98A">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本保险合同由保险条款、投保单、保险单、保险凭证以及批单组成。凡涉及保险合同的约定，均应采用书面形式。</w:t>
      </w:r>
    </w:p>
    <w:p w14:paraId="6737B5E2">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bookmarkStart w:id="7" w:name="OLE_LINK93"/>
      <w:bookmarkStart w:id="8" w:name="OLE_LINK92"/>
      <w:r>
        <w:rPr>
          <w:rFonts w:hint="eastAsia" w:ascii="宋体" w:hAnsi="宋体" w:eastAsia="宋体" w:cs="宋体"/>
          <w:color w:val="auto"/>
          <w:kern w:val="2"/>
          <w:sz w:val="24"/>
          <w:szCs w:val="24"/>
          <w:highlight w:val="none"/>
          <w:lang w:eastAsia="zh-CN"/>
        </w:rPr>
        <w:t>凡获得国家或地方建设主管部门资质认可的建设单位，政府投资项目的项目主管部门或者建设项目的委托单位、代建单位均可成为本合同的投保人。</w:t>
      </w:r>
    </w:p>
    <w:p w14:paraId="76D60100">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投保人应在保险单载明的建设工程办理施工许可手续前向保险人申请投保本保险，经保险人同意承保，保险合同成立。投保人按照保险合同约定交纳保险费，保险合同生效。</w:t>
      </w:r>
    </w:p>
    <w:bookmarkEnd w:id="7"/>
    <w:bookmarkEnd w:id="8"/>
    <w:p w14:paraId="676A00A2">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建设工程所有权人、合法继承人和受让人以及政府投资项目的项目主管部门或者建设项目的委托单位、代建单位均可成为本保险合同的被保险人。</w:t>
      </w:r>
    </w:p>
    <w:p w14:paraId="09E259AD">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3A559D38">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保险单载明的建设工程竣工验收合格，并经保险人委托的工程质量风险管理机构检查通过的，在正常使用条件下，</w:t>
      </w:r>
      <w:r>
        <w:rPr>
          <w:rFonts w:hint="eastAsia" w:ascii="宋体" w:hAnsi="宋体" w:eastAsia="宋体" w:cs="宋体"/>
          <w:color w:val="auto"/>
          <w:kern w:val="2"/>
          <w:sz w:val="24"/>
          <w:szCs w:val="24"/>
          <w:highlight w:val="none"/>
          <w:lang w:eastAsia="zh-CN"/>
        </w:rPr>
        <w:t>在保险责任期间内，因工程质量潜在缺陷发生下列情形，造成保险单载明的建设工程的损坏，保险人按照本保险合同的约定负责赔偿修理、加固或重置的费用：</w:t>
      </w:r>
    </w:p>
    <w:p w14:paraId="1417DC9E">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（一）地基基础和主体结构工程：</w:t>
      </w:r>
    </w:p>
    <w:p w14:paraId="27F04363">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1.整体或局部倒塌；</w:t>
      </w:r>
    </w:p>
    <w:p w14:paraId="00678892">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2.地基产生超出设计规范允许的不均匀沉降；</w:t>
      </w:r>
    </w:p>
    <w:p w14:paraId="5467A079">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3.基础和主体结构部位出现影响结构安全的裂缝、变形、破损、断裂；</w:t>
      </w:r>
    </w:p>
    <w:p w14:paraId="1692CC07">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4.阳台、雨蓬、挑檐、空调板等悬挑构件出现影响使用安全的裂缝、变形、破损、断裂；</w:t>
      </w:r>
    </w:p>
    <w:p w14:paraId="3EF0908F">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5.外墙结构坍塌等影响使用安全的质量缺陷；</w:t>
      </w:r>
    </w:p>
    <w:p w14:paraId="4378F611">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6.其他地基基础和主体结构部位出现的影响结构安全的工程质量潜在缺陷。</w:t>
      </w:r>
    </w:p>
    <w:p w14:paraId="75848B26">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（二）防水和保温工程：</w:t>
      </w:r>
    </w:p>
    <w:p w14:paraId="375F53B3">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1.围护结构的保温层破损、脱落；</w:t>
      </w:r>
    </w:p>
    <w:p w14:paraId="562F2C04">
      <w:pPr>
        <w:widowControl/>
        <w:adjustRightIn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2.地下、屋面、厕浴间防水渗漏；</w:t>
      </w:r>
    </w:p>
    <w:p w14:paraId="71F35070">
      <w:pPr>
        <w:widowControl/>
        <w:adjustRightIn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3.外墙（包括外窗与外墙交接处）渗漏；</w:t>
      </w:r>
    </w:p>
    <w:p w14:paraId="3084C72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4.其他有防水要求的部位渗漏。</w:t>
      </w:r>
    </w:p>
    <w:p w14:paraId="72FDA26F">
      <w:pPr>
        <w:numPr>
          <w:ilvl w:val="0"/>
          <w:numId w:val="3"/>
        </w:numPr>
        <w:adjustRightInd w:val="0"/>
        <w:spacing w:line="360" w:lineRule="auto"/>
        <w:ind w:left="0" w:firstLine="567"/>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 保险事故发生后，</w:t>
      </w:r>
      <w:r>
        <w:rPr>
          <w:rFonts w:hint="eastAsia" w:ascii="宋体" w:hAnsi="宋体" w:eastAsia="宋体" w:cs="宋体"/>
          <w:bCs/>
          <w:color w:val="auto"/>
          <w:kern w:val="2"/>
          <w:sz w:val="24"/>
          <w:szCs w:val="24"/>
          <w:highlight w:val="none"/>
          <w:lang w:eastAsia="zh-CN"/>
        </w:rPr>
        <w:t>事先经保险人书面同意</w:t>
      </w:r>
      <w:r>
        <w:rPr>
          <w:rFonts w:hint="eastAsia" w:ascii="宋体" w:hAnsi="宋体" w:eastAsia="宋体" w:cs="宋体"/>
          <w:color w:val="auto"/>
          <w:kern w:val="2"/>
          <w:sz w:val="24"/>
          <w:szCs w:val="24"/>
          <w:highlight w:val="none"/>
          <w:lang w:eastAsia="zh-CN"/>
        </w:rPr>
        <w:t>，被保险人为防止或减少保险单载明建设工程的损失所支付的必要的、合理的费用，保险人按照本合同的约定也负责赔偿。</w:t>
      </w:r>
    </w:p>
    <w:p w14:paraId="56504720">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2BAD75CD">
      <w:pPr>
        <w:numPr>
          <w:ilvl w:val="0"/>
          <w:numId w:val="3"/>
        </w:numPr>
        <w:autoSpaceDE/>
        <w:autoSpaceDN/>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下列原因造成的损失、费用和责任，保险人不负责赔偿：</w:t>
      </w:r>
    </w:p>
    <w:p w14:paraId="1C2B848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（一）投保人、被保险人或使用人的重大过失行为、故意行为、违法行为、犯罪行为；</w:t>
      </w:r>
    </w:p>
    <w:p w14:paraId="56AD91B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（二）战争、敌对行动、军事行为、武装冲突、罢工、骚乱、暴动、恐怖活动；</w:t>
      </w:r>
    </w:p>
    <w:p w14:paraId="4468B47D">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（三）大气污染、土地污染、水污染及其他各种污染，核辐射、核爆炸、核污染及其他放射性污染；</w:t>
      </w:r>
    </w:p>
    <w:p w14:paraId="5C808B04">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（四）行政行为或司法行为；</w:t>
      </w:r>
    </w:p>
    <w:p w14:paraId="77CEC010">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（五）超过设计标准的风荷载和雪荷载； </w:t>
      </w:r>
    </w:p>
    <w:p w14:paraId="0C5AC099">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（六）暴雨、冰雹、雷击、洪水、滑坡、泥石流、地震、崩塌、地面塌陷等自然灾害；</w:t>
      </w:r>
    </w:p>
    <w:p w14:paraId="01F21DC9">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（七）火灾、爆炸；</w:t>
      </w:r>
    </w:p>
    <w:p w14:paraId="0DF669E7">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（八）外界物体碰撞或空中运行物体坠落；</w:t>
      </w:r>
    </w:p>
    <w:p w14:paraId="73F906D9">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（九）投保人、被保险人或使用人使用不当或改动原设计结构、设备位置或原防水措施或超过设计标准增大荷载、擅自拆改房屋承重结构等未按照《房屋建筑使用说明书》相关要求或设计用途正常使用；</w:t>
      </w:r>
    </w:p>
    <w:p w14:paraId="3E05643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（十）设备、配件在设计、施工、材料上的疏忽、缺陷、错误或遗漏；</w:t>
      </w:r>
    </w:p>
    <w:p w14:paraId="68DA2BC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（十一）保险单载明的建设工程附近其他工程的施工影响。</w:t>
      </w:r>
    </w:p>
    <w:p w14:paraId="58710DC7">
      <w:pPr>
        <w:numPr>
          <w:ilvl w:val="0"/>
          <w:numId w:val="3"/>
        </w:numPr>
        <w:autoSpaceDE/>
        <w:autoSpaceDN/>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对于下列各项损失、费用和责任，保险人不负责赔偿：</w:t>
      </w:r>
    </w:p>
    <w:p w14:paraId="51ABCF62">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（一）保险单载明的建设工程竣工验收时，工程质量风险管理机构竣工检查报告提出的未整改的工程质量潜在缺陷中，由保险人列为除外责任的工程质量潜在缺陷导致的相关的损失、费用和责任； </w:t>
      </w:r>
    </w:p>
    <w:p w14:paraId="11169A1D">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（二）保险单载明的建设工程竣工验收合格后等待期届满时，工程质量风险管理机构在进行质量复查时发现的未维修完善的损坏；</w:t>
      </w:r>
    </w:p>
    <w:p w14:paraId="0E86DF73">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（三）保险单载明的建设工程竣工验收后，被保险人或使用人自行添置的包括装修在内的任何财产的损失，但初装修房（毛坯房）的合理二次装修损失不在此限；</w:t>
      </w:r>
    </w:p>
    <w:p w14:paraId="0A787E97">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（四）在对保险单载明的建设工程进行修复过程中，为满足被保险人或使用人要求，超过原设计施工标准，功能改变或性能提高所产生的额外费用；</w:t>
      </w:r>
    </w:p>
    <w:p w14:paraId="5A851434">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（五）修理、加固或重置导致的任何颜色、透明度等表面外观的差异；自然磨损、老化、物质本身变化、其他渐变原因或表面外观的差异（任何颜色、透明度等）造成的损失和费用；</w:t>
      </w:r>
    </w:p>
    <w:p w14:paraId="4C0EA848">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（六）任何投保人、被保险人或使用人以外的第三方损失；</w:t>
      </w:r>
    </w:p>
    <w:p w14:paraId="38E5EB2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（七）在保险单载明的建设工程使用过程中，因投保人、被保险人或使用人以外的第三方造成的损失；</w:t>
      </w:r>
    </w:p>
    <w:p w14:paraId="78E31115">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（八）设备、配件产品质量缺陷所产生的损失； </w:t>
      </w:r>
    </w:p>
    <w:p w14:paraId="3689A1DD">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九）保险事故致使被保险人或使用人无法使用建设工程、停业、停电、停水、停气、停产、通讯或者网络中断、数据丢失、电压变化等造成的损失以及被保险人或使用人财产因市场价格变动造成的贬值、维修后因价值降低造成的损失等各种间接损失；</w:t>
      </w:r>
    </w:p>
    <w:p w14:paraId="648443F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（十）人身伤亡或精神损害赔偿；</w:t>
      </w:r>
    </w:p>
    <w:p w14:paraId="1672EA62">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（十一）罚款、罚金和惩罚性赔偿；</w:t>
      </w:r>
    </w:p>
    <w:p w14:paraId="3FBD562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（十二）保险责任期间开始前产生的损失； </w:t>
      </w:r>
    </w:p>
    <w:p w14:paraId="74DE981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（十三）保险单载明的免赔额或按保险单载明的免赔率计算的免赔额。</w:t>
      </w:r>
    </w:p>
    <w:p w14:paraId="45341778">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4827BFD6">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本保险的</w:t>
      </w:r>
      <w:r>
        <w:rPr>
          <w:rFonts w:hint="eastAsia" w:ascii="宋体" w:hAnsi="宋体" w:eastAsia="宋体" w:cs="宋体"/>
          <w:bCs/>
          <w:color w:val="auto"/>
          <w:kern w:val="2"/>
          <w:sz w:val="24"/>
          <w:szCs w:val="24"/>
          <w:highlight w:val="none"/>
          <w:lang w:eastAsia="zh-CN"/>
        </w:rPr>
        <w:t>保险期间</w:t>
      </w:r>
      <w:r>
        <w:rPr>
          <w:rFonts w:hint="eastAsia" w:ascii="宋体" w:hAnsi="宋体" w:eastAsia="宋体" w:cs="宋体"/>
          <w:color w:val="auto"/>
          <w:kern w:val="2"/>
          <w:sz w:val="24"/>
          <w:szCs w:val="24"/>
          <w:highlight w:val="none"/>
          <w:lang w:eastAsia="zh-CN"/>
        </w:rPr>
        <w:t>，自保险合同生效之日起，至保险责任期间届满之日止，由投保人与保险人协商确定。</w:t>
      </w:r>
    </w:p>
    <w:p w14:paraId="29C452AB">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本保险的</w:t>
      </w:r>
      <w:r>
        <w:rPr>
          <w:rFonts w:hint="eastAsia" w:ascii="宋体" w:hAnsi="宋体" w:eastAsia="宋体" w:cs="宋体"/>
          <w:bCs/>
          <w:color w:val="auto"/>
          <w:kern w:val="2"/>
          <w:sz w:val="24"/>
          <w:szCs w:val="24"/>
          <w:highlight w:val="none"/>
          <w:lang w:eastAsia="zh-CN"/>
        </w:rPr>
        <w:t>保险责任期间</w:t>
      </w:r>
      <w:r>
        <w:rPr>
          <w:rFonts w:hint="eastAsia" w:ascii="宋体" w:hAnsi="宋体" w:eastAsia="宋体" w:cs="宋体"/>
          <w:color w:val="auto"/>
          <w:kern w:val="2"/>
          <w:sz w:val="24"/>
          <w:szCs w:val="24"/>
          <w:highlight w:val="none"/>
          <w:lang w:eastAsia="zh-CN"/>
        </w:rPr>
        <w:t>，是指保险人承担赔偿责任的期间，其中本保险合同第五条第（一）款的保险责任期间，自保险单载明的建设工程竣工验收合格后</w:t>
      </w:r>
      <w:r>
        <w:rPr>
          <w:rFonts w:hint="eastAsia" w:ascii="宋体" w:hAnsi="宋体" w:eastAsia="宋体" w:cs="宋体"/>
          <w:bCs/>
          <w:color w:val="auto"/>
          <w:kern w:val="2"/>
          <w:sz w:val="24"/>
          <w:szCs w:val="24"/>
          <w:highlight w:val="none"/>
          <w:lang w:eastAsia="zh-CN"/>
        </w:rPr>
        <w:t>等待期届满之日起算，最长不超过十年；其中本保险合同第五条</w:t>
      </w:r>
      <w:r>
        <w:rPr>
          <w:rFonts w:hint="eastAsia" w:ascii="宋体" w:hAnsi="宋体" w:eastAsia="宋体" w:cs="宋体"/>
          <w:color w:val="auto"/>
          <w:kern w:val="2"/>
          <w:sz w:val="24"/>
          <w:szCs w:val="24"/>
          <w:highlight w:val="none"/>
          <w:lang w:eastAsia="zh-CN"/>
        </w:rPr>
        <w:t>第</w:t>
      </w:r>
      <w:r>
        <w:rPr>
          <w:rFonts w:hint="eastAsia" w:ascii="宋体" w:hAnsi="宋体" w:eastAsia="宋体" w:cs="宋体"/>
          <w:bCs/>
          <w:color w:val="auto"/>
          <w:kern w:val="2"/>
          <w:sz w:val="24"/>
          <w:szCs w:val="24"/>
          <w:highlight w:val="none"/>
          <w:lang w:eastAsia="zh-CN"/>
        </w:rPr>
        <w:t>（二）</w:t>
      </w:r>
      <w:r>
        <w:rPr>
          <w:rFonts w:hint="eastAsia" w:ascii="宋体" w:hAnsi="宋体" w:eastAsia="宋体" w:cs="宋体"/>
          <w:color w:val="auto"/>
          <w:kern w:val="2"/>
          <w:sz w:val="24"/>
          <w:szCs w:val="24"/>
          <w:highlight w:val="none"/>
          <w:lang w:eastAsia="zh-CN"/>
        </w:rPr>
        <w:t>款</w:t>
      </w:r>
      <w:r>
        <w:rPr>
          <w:rFonts w:hint="eastAsia" w:ascii="宋体" w:hAnsi="宋体" w:eastAsia="宋体" w:cs="宋体"/>
          <w:bCs/>
          <w:color w:val="auto"/>
          <w:kern w:val="2"/>
          <w:sz w:val="24"/>
          <w:szCs w:val="24"/>
          <w:highlight w:val="none"/>
          <w:lang w:eastAsia="zh-CN"/>
        </w:rPr>
        <w:t>的</w:t>
      </w:r>
      <w:r>
        <w:rPr>
          <w:rFonts w:hint="eastAsia" w:ascii="宋体" w:hAnsi="宋体" w:eastAsia="宋体" w:cs="宋体"/>
          <w:color w:val="auto"/>
          <w:kern w:val="2"/>
          <w:sz w:val="24"/>
          <w:szCs w:val="24"/>
          <w:highlight w:val="none"/>
          <w:lang w:eastAsia="zh-CN"/>
        </w:rPr>
        <w:t>保险责任期间，自保险单载明的建设工程竣工验收合格后</w:t>
      </w:r>
      <w:r>
        <w:rPr>
          <w:rFonts w:hint="eastAsia" w:ascii="宋体" w:hAnsi="宋体" w:eastAsia="宋体" w:cs="宋体"/>
          <w:bCs/>
          <w:color w:val="auto"/>
          <w:kern w:val="2"/>
          <w:sz w:val="24"/>
          <w:szCs w:val="24"/>
          <w:highlight w:val="none"/>
          <w:lang w:eastAsia="zh-CN"/>
        </w:rPr>
        <w:t>等待期届满之日起算，最长不超过五年</w:t>
      </w:r>
      <w:r>
        <w:rPr>
          <w:rFonts w:hint="eastAsia" w:ascii="宋体" w:hAnsi="宋体" w:eastAsia="宋体" w:cs="宋体"/>
          <w:color w:val="auto"/>
          <w:kern w:val="2"/>
          <w:sz w:val="24"/>
          <w:szCs w:val="24"/>
          <w:highlight w:val="none"/>
          <w:lang w:eastAsia="zh-CN"/>
        </w:rPr>
        <w:t>。</w:t>
      </w:r>
    </w:p>
    <w:p w14:paraId="71818C4D">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等待期</w:t>
      </w:r>
      <w:r>
        <w:rPr>
          <w:rFonts w:hint="eastAsia" w:ascii="宋体" w:hAnsi="宋体" w:eastAsia="宋体" w:cs="宋体"/>
          <w:color w:val="auto"/>
          <w:kern w:val="2"/>
          <w:sz w:val="24"/>
          <w:szCs w:val="24"/>
          <w:highlight w:val="none"/>
          <w:lang w:eastAsia="zh-CN"/>
        </w:rPr>
        <w:t>指自保险单载明的建设工程竣工验收合格之日起，至投保人和保险人协商确定的时间止。</w:t>
      </w:r>
    </w:p>
    <w:p w14:paraId="1A3B4664">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在本合同保险期间内,本保险合同</w:t>
      </w:r>
      <w:r>
        <w:rPr>
          <w:rFonts w:hint="eastAsia" w:ascii="宋体" w:hAnsi="宋体" w:eastAsia="宋体" w:cs="宋体"/>
          <w:color w:val="auto"/>
          <w:kern w:val="2"/>
          <w:sz w:val="24"/>
          <w:szCs w:val="24"/>
          <w:highlight w:val="none"/>
          <w:lang w:eastAsia="zh-CN"/>
        </w:rPr>
        <w:t>防水和保温工程保险责任期间届满后交房的住宅建设工程，投保人、</w:t>
      </w:r>
      <w:r>
        <w:rPr>
          <w:rFonts w:hint="eastAsia" w:ascii="宋体" w:hAnsi="宋体" w:eastAsia="宋体" w:cs="宋体"/>
          <w:bCs/>
          <w:color w:val="auto"/>
          <w:kern w:val="2"/>
          <w:sz w:val="24"/>
          <w:szCs w:val="24"/>
          <w:highlight w:val="none"/>
          <w:lang w:eastAsia="zh-CN"/>
        </w:rPr>
        <w:t>被保险人应当在交房前15日通知保险人、业主共同验收，若存在质量缺陷，由投保人、被保险人承担维修或赔偿责任</w:t>
      </w:r>
      <w:r>
        <w:rPr>
          <w:rFonts w:hint="eastAsia" w:ascii="宋体" w:hAnsi="宋体" w:eastAsia="宋体" w:cs="宋体"/>
          <w:color w:val="auto"/>
          <w:kern w:val="2"/>
          <w:sz w:val="24"/>
          <w:szCs w:val="24"/>
          <w:highlight w:val="none"/>
          <w:lang w:eastAsia="zh-CN"/>
        </w:rPr>
        <w:t>；业主在交房之日起6个月内，发现承保范围内的保险单载明的建设工程存在质量缺陷的，由保险人承担维修或赔偿责任。前述时间点最长不超过本保险合同的保险期间。</w:t>
      </w:r>
    </w:p>
    <w:p w14:paraId="70E1D555">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保险期间、保险责任期间、等待期以保险单载明的起讫时间为准。</w:t>
      </w:r>
    </w:p>
    <w:p w14:paraId="2AB80A2D">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责任限额、保险费与免赔额（率）</w:t>
      </w:r>
    </w:p>
    <w:p w14:paraId="51230478">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除另有约定外，本</w:t>
      </w:r>
      <w:r>
        <w:rPr>
          <w:rFonts w:hint="eastAsia" w:ascii="宋体" w:hAnsi="宋体" w:eastAsia="宋体" w:cs="宋体"/>
          <w:color w:val="auto"/>
          <w:kern w:val="2"/>
          <w:sz w:val="24"/>
          <w:szCs w:val="24"/>
          <w:highlight w:val="none"/>
          <w:lang w:eastAsia="zh-CN"/>
        </w:rPr>
        <w:t>保险合同的责任限额为保险单载明的建设工程项目建筑安装工程总造价。</w:t>
      </w:r>
    </w:p>
    <w:p w14:paraId="26687F64">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第十一条</w:t>
      </w:r>
      <w:r>
        <w:rPr>
          <w:rFonts w:hint="eastAsia" w:ascii="宋体" w:hAnsi="宋体" w:eastAsia="宋体" w:cs="宋体"/>
          <w:bCs/>
          <w:color w:val="auto"/>
          <w:kern w:val="2"/>
          <w:sz w:val="24"/>
          <w:szCs w:val="24"/>
          <w:highlight w:val="none"/>
          <w:lang w:eastAsia="zh-CN"/>
        </w:rPr>
        <w:t xml:space="preserve">  投保人投保时</w:t>
      </w:r>
      <w:r>
        <w:rPr>
          <w:rFonts w:hint="eastAsia" w:ascii="宋体" w:hAnsi="宋体" w:eastAsia="宋体" w:cs="宋体"/>
          <w:color w:val="auto"/>
          <w:kern w:val="2"/>
          <w:sz w:val="24"/>
          <w:szCs w:val="24"/>
          <w:highlight w:val="none"/>
          <w:lang w:eastAsia="zh-CN"/>
        </w:rPr>
        <w:t>，保险人按照建筑安装工程总造价的预算价作为计费基础计算预收保险费。</w:t>
      </w:r>
      <w:r>
        <w:rPr>
          <w:rFonts w:hint="eastAsia" w:ascii="宋体" w:hAnsi="宋体" w:eastAsia="宋体" w:cs="宋体"/>
          <w:b/>
          <w:bCs/>
          <w:color w:val="auto"/>
          <w:kern w:val="2"/>
          <w:sz w:val="24"/>
          <w:szCs w:val="24"/>
          <w:highlight w:val="none"/>
          <w:lang w:eastAsia="zh-CN"/>
        </w:rPr>
        <w:t>投保人应当一次性支付合同约定的预收保险费。</w:t>
      </w:r>
    </w:p>
    <w:p w14:paraId="2C112D57">
      <w:pPr>
        <w:widowControl/>
        <w:autoSpaceDE/>
        <w:autoSpaceDN/>
        <w:spacing w:line="360" w:lineRule="auto"/>
        <w:ind w:firstLine="480" w:firstLineChars="20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保险单载明的建设工程竣工结算完成后，保险人根据工程质量风险管理机构的评估报告调整保险费率，按照建筑安装工程总造价的结算价调整确定最终责任限额和保险费，并根据已交纳的保险费金额向投保人进行补收或退还。</w:t>
      </w:r>
    </w:p>
    <w:p w14:paraId="6AACABF7">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第十二条  </w:t>
      </w:r>
      <w:r>
        <w:rPr>
          <w:rFonts w:hint="eastAsia" w:ascii="宋体" w:hAnsi="宋体" w:eastAsia="宋体" w:cs="宋体"/>
          <w:color w:val="auto"/>
          <w:kern w:val="2"/>
          <w:sz w:val="24"/>
          <w:szCs w:val="24"/>
          <w:highlight w:val="none"/>
          <w:lang w:eastAsia="zh-CN"/>
        </w:rPr>
        <w:t>每次事故免赔额（率）由投保人与保险人在签订保险合同时协商确定，并在保险单中载明。同时约定了免赔额和免赔率的，免赔金额以免赔额和按照免赔率计算的金额二者高者为准。</w:t>
      </w:r>
    </w:p>
    <w:p w14:paraId="306915F2">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保险人义务</w:t>
      </w:r>
    </w:p>
    <w:p w14:paraId="43692EF9">
      <w:pPr>
        <w:autoSpaceDE/>
        <w:autoSpaceDN/>
        <w:spacing w:line="360" w:lineRule="auto"/>
        <w:ind w:left="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第十三条  </w:t>
      </w:r>
      <w:r>
        <w:rPr>
          <w:rFonts w:hint="eastAsia" w:ascii="宋体" w:hAnsi="宋体" w:eastAsia="宋体" w:cs="宋体"/>
          <w:color w:val="auto"/>
          <w:kern w:val="2"/>
          <w:sz w:val="24"/>
          <w:szCs w:val="24"/>
          <w:highlight w:val="none"/>
          <w:lang w:eastAsia="zh-CN"/>
        </w:rPr>
        <w:t>保险合同成立后，保险人应当及时向投保人签发保险单或其他保险凭证。</w:t>
      </w:r>
    </w:p>
    <w:p w14:paraId="2AC471E5">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第十四条  </w:t>
      </w:r>
      <w:r>
        <w:rPr>
          <w:rFonts w:hint="eastAsia" w:ascii="宋体" w:hAnsi="宋体" w:eastAsia="宋体" w:cs="宋体"/>
          <w:color w:val="auto"/>
          <w:kern w:val="2"/>
          <w:sz w:val="24"/>
          <w:szCs w:val="24"/>
          <w:highlight w:val="none"/>
          <w:lang w:eastAsia="zh-CN"/>
        </w:rPr>
        <w:t>保险事故发生后，投保人、被保险人提供的有关索赔的证明和资料不完整的，保险人应当及时一次性通知投保人、被保险人补充提供。</w:t>
      </w:r>
    </w:p>
    <w:p w14:paraId="7E098ED4">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第十五条  </w:t>
      </w:r>
      <w:r>
        <w:rPr>
          <w:rFonts w:hint="eastAsia" w:ascii="宋体" w:hAnsi="宋体" w:eastAsia="宋体" w:cs="宋体"/>
          <w:color w:val="auto"/>
          <w:kern w:val="2"/>
          <w:sz w:val="24"/>
          <w:szCs w:val="24"/>
          <w:highlight w:val="none"/>
          <w:lang w:eastAsia="zh-CN"/>
        </w:rPr>
        <w:t>保险人收到被保险人的赔偿请求后，应当及时就是否属于保险责任作出核定，并将核定结果通知被保险人。</w:t>
      </w:r>
    </w:p>
    <w:p w14:paraId="388CECAC">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投保人、被保险人义务</w:t>
      </w:r>
    </w:p>
    <w:p w14:paraId="5ECC77DA">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第十六条  </w:t>
      </w:r>
      <w:r>
        <w:rPr>
          <w:rFonts w:hint="eastAsia" w:ascii="宋体" w:hAnsi="宋体" w:eastAsia="宋体" w:cs="宋体"/>
          <w:color w:val="auto"/>
          <w:kern w:val="2"/>
          <w:sz w:val="24"/>
          <w:szCs w:val="24"/>
          <w:highlight w:val="none"/>
          <w:lang w:eastAsia="zh-CN"/>
        </w:rPr>
        <w:t>投保人应履行如实告知义务，如实回答保险人就保险单载明的建设工程有关情况提出的询问，并如实填写投保单。</w:t>
      </w:r>
    </w:p>
    <w:p w14:paraId="26FC3010">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第十七条  </w:t>
      </w:r>
      <w:r>
        <w:rPr>
          <w:rFonts w:hint="eastAsia" w:ascii="宋体" w:hAnsi="宋体" w:eastAsia="宋体" w:cs="宋体"/>
          <w:color w:val="auto"/>
          <w:kern w:val="2"/>
          <w:sz w:val="24"/>
          <w:szCs w:val="24"/>
          <w:highlight w:val="none"/>
          <w:lang w:eastAsia="zh-CN"/>
        </w:rPr>
        <w:t>除另有约定外，投保人应在保险合同成立时交付保险费。</w:t>
      </w:r>
      <w:r>
        <w:rPr>
          <w:rFonts w:hint="eastAsia" w:ascii="宋体" w:hAnsi="宋体" w:eastAsia="宋体" w:cs="宋体"/>
          <w:b/>
          <w:color w:val="auto"/>
          <w:kern w:val="2"/>
          <w:sz w:val="24"/>
          <w:szCs w:val="24"/>
          <w:highlight w:val="none"/>
          <w:lang w:eastAsia="zh-CN"/>
        </w:rPr>
        <w:t>投保人未按约定交付保险费的，保险合同不发生效力。合同生效前发生的保险事故，保险人不承担保险责任。</w:t>
      </w:r>
    </w:p>
    <w:p w14:paraId="0246F688">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第十八条  </w:t>
      </w:r>
      <w:r>
        <w:rPr>
          <w:rFonts w:hint="eastAsia" w:ascii="宋体" w:hAnsi="宋体" w:eastAsia="宋体" w:cs="宋体"/>
          <w:color w:val="auto"/>
          <w:kern w:val="2"/>
          <w:sz w:val="24"/>
          <w:szCs w:val="24"/>
          <w:highlight w:val="none"/>
          <w:lang w:eastAsia="zh-CN"/>
        </w:rPr>
        <w:t>投保人、被保险人应接受并积极配合保险人委托的工程质量风险管理机构对保险单载明的建设工程进行工程质量风险管理工作，对于发现的工程质量潜在缺陷，投保人、被保险人应予以整改。</w:t>
      </w:r>
    </w:p>
    <w:p w14:paraId="46A6A3AE">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投保人、被保险人应接受并积极配合保险人指定的工程质量风险管理机构对保险单载明的建设工程在竣工验收合格后等待期届满前进行的工程质量风险复查工作。</w:t>
      </w:r>
    </w:p>
    <w:p w14:paraId="3A344D2D">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保险合同成立后，对于保险人发现的属于保险责任范围的未尽整改义务或整改不到位的工程质量潜在缺陷，</w:t>
      </w:r>
      <w:r>
        <w:rPr>
          <w:rFonts w:hint="eastAsia" w:ascii="宋体" w:hAnsi="宋体" w:eastAsia="宋体" w:cs="宋体"/>
          <w:b/>
          <w:color w:val="auto"/>
          <w:kern w:val="2"/>
          <w:sz w:val="24"/>
          <w:szCs w:val="24"/>
          <w:highlight w:val="none"/>
          <w:lang w:eastAsia="zh-CN"/>
        </w:rPr>
        <w:t>保险人有权根据保险合同约定适当上浮保险费率或者列入保险除外责任，对工程质量潜在缺陷严重的，保险人有权解除保险合同。</w:t>
      </w:r>
    </w:p>
    <w:p w14:paraId="5A1E8635">
      <w:pPr>
        <w:widowControl/>
        <w:autoSpaceDE/>
        <w:autoSpaceDN/>
        <w:spacing w:line="360" w:lineRule="auto"/>
        <w:ind w:firstLine="480"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对于在质量复查中发现的属于保险责任范围的工程质量缺陷，投保人整改的，应当纳入保险责任范围；</w:t>
      </w:r>
      <w:r>
        <w:rPr>
          <w:rFonts w:hint="eastAsia" w:ascii="宋体" w:hAnsi="宋体" w:eastAsia="宋体" w:cs="宋体"/>
          <w:b/>
          <w:color w:val="auto"/>
          <w:kern w:val="2"/>
          <w:sz w:val="24"/>
          <w:szCs w:val="24"/>
          <w:highlight w:val="none"/>
          <w:lang w:eastAsia="zh-CN"/>
        </w:rPr>
        <w:t>投保人未尽整改义务或整改不到位的，保险人可以根据保险合同约定将其列入保险除外责任。</w:t>
      </w:r>
    </w:p>
    <w:p w14:paraId="7430978E">
      <w:pPr>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第十九条  </w:t>
      </w:r>
      <w:r>
        <w:rPr>
          <w:rFonts w:hint="eastAsia" w:ascii="宋体" w:hAnsi="宋体" w:eastAsia="宋体" w:cs="宋体"/>
          <w:color w:val="auto"/>
          <w:kern w:val="2"/>
          <w:sz w:val="24"/>
          <w:szCs w:val="24"/>
          <w:highlight w:val="none"/>
          <w:lang w:eastAsia="zh-CN"/>
        </w:rPr>
        <w:t>投保人应在保险单载明的建设工程竣工验收合格后两个月内，向保险人提供工程竣工验收证明材料、《房屋建筑质量保证书》《房屋建筑使用说明书》，六个月内提供竣工结算材料等文件。</w:t>
      </w:r>
      <w:r>
        <w:rPr>
          <w:rFonts w:hint="eastAsia" w:ascii="宋体" w:hAnsi="宋体" w:eastAsia="宋体" w:cs="宋体"/>
          <w:b/>
          <w:color w:val="auto"/>
          <w:kern w:val="2"/>
          <w:sz w:val="24"/>
          <w:szCs w:val="24"/>
          <w:highlight w:val="none"/>
          <w:lang w:eastAsia="zh-CN"/>
        </w:rPr>
        <w:t>若投保人无法或不提供前述文件，保险人有权通知投保人解除本保险合同。</w:t>
      </w:r>
    </w:p>
    <w:p w14:paraId="422981B2">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第二十条  </w:t>
      </w:r>
      <w:r>
        <w:rPr>
          <w:rFonts w:hint="eastAsia" w:ascii="宋体" w:hAnsi="宋体" w:eastAsia="宋体" w:cs="宋体"/>
          <w:color w:val="auto"/>
          <w:kern w:val="2"/>
          <w:sz w:val="24"/>
          <w:szCs w:val="24"/>
          <w:highlight w:val="none"/>
          <w:lang w:eastAsia="zh-CN"/>
        </w:rPr>
        <w:t>投保人应严格遵守《中华人民共和国建筑法》《建设工程质量管理条例》《广东省建设工程质量</w:t>
      </w:r>
      <w:r>
        <w:rPr>
          <w:rFonts w:hint="eastAsia" w:ascii="宋体" w:hAnsi="宋体" w:eastAsia="宋体" w:cs="宋体"/>
          <w:color w:val="auto"/>
          <w:kern w:val="2"/>
          <w:sz w:val="24"/>
          <w:szCs w:val="24"/>
          <w:highlight w:val="none"/>
          <w:lang w:val="en-US" w:eastAsia="zh-CN"/>
        </w:rPr>
        <w:t>管理</w:t>
      </w:r>
      <w:r>
        <w:rPr>
          <w:rFonts w:hint="eastAsia" w:ascii="宋体" w:hAnsi="宋体" w:eastAsia="宋体" w:cs="宋体"/>
          <w:color w:val="auto"/>
          <w:kern w:val="2"/>
          <w:sz w:val="24"/>
          <w:szCs w:val="24"/>
          <w:highlight w:val="none"/>
          <w:lang w:eastAsia="zh-CN"/>
        </w:rPr>
        <w:t>条例》等相关法律、法规及规定，聘请具备行业资质的工程监理机构，加强管理，采取合理的预防措施，尽力避免或减少保险事故的发生；被保险人、使用人应严格按照《房屋建筑使用说明书》的要求使用保险单载明的建设工程。</w:t>
      </w:r>
      <w:r>
        <w:rPr>
          <w:rFonts w:hint="eastAsia" w:ascii="宋体" w:hAnsi="宋体" w:eastAsia="宋体" w:cs="宋体"/>
          <w:color w:val="auto"/>
          <w:kern w:val="2"/>
          <w:sz w:val="24"/>
          <w:szCs w:val="24"/>
          <w:highlight w:val="none"/>
          <w:lang w:eastAsia="zh-CN"/>
        </w:rPr>
        <w:cr/>
      </w:r>
      <w:r>
        <w:rPr>
          <w:rFonts w:hint="eastAsia" w:ascii="宋体" w:hAnsi="宋体" w:eastAsia="宋体" w:cs="宋体"/>
          <w:color w:val="auto"/>
          <w:kern w:val="2"/>
          <w:sz w:val="24"/>
          <w:szCs w:val="24"/>
          <w:highlight w:val="none"/>
          <w:lang w:eastAsia="zh-CN"/>
        </w:rPr>
        <w:t xml:space="preserve">    保险人及保险人委托的工程质量风险管理机构可以对投保人、被保险人遵守前款约定的情况进行检查，向投保人、被保险人提出消除不安全因素和隐患的书面建议，投保人、被保险人应该认真付诸实施。</w:t>
      </w:r>
    </w:p>
    <w:p w14:paraId="2D7DB705">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第二十一条  </w:t>
      </w:r>
      <w:r>
        <w:rPr>
          <w:rFonts w:hint="eastAsia" w:ascii="宋体" w:hAnsi="宋体" w:eastAsia="宋体" w:cs="宋体"/>
          <w:color w:val="auto"/>
          <w:kern w:val="2"/>
          <w:sz w:val="24"/>
          <w:szCs w:val="24"/>
          <w:highlight w:val="none"/>
          <w:lang w:eastAsia="zh-CN"/>
        </w:rPr>
        <w:t>在保险期间内，如保险单载明的建设工程变更用途，或被保险人对建设工程进行改建、扩建、移动、大规模修缮、重新装饰装修及其他可能导致保险单载明的建设工程风险程度显著增加的重要事项变更，投保人、被保险人应当按照保险合同的约定事先书面通知保险人，</w:t>
      </w:r>
      <w:r>
        <w:rPr>
          <w:rFonts w:hint="eastAsia" w:ascii="宋体" w:hAnsi="宋体" w:eastAsia="宋体" w:cs="宋体"/>
          <w:b/>
          <w:color w:val="auto"/>
          <w:kern w:val="2"/>
          <w:sz w:val="24"/>
          <w:szCs w:val="24"/>
          <w:highlight w:val="none"/>
          <w:lang w:eastAsia="zh-CN"/>
        </w:rPr>
        <w:t>保险人可以按照保险合同约定调整保险费或者解除保险合同。</w:t>
      </w:r>
    </w:p>
    <w:p w14:paraId="1F9D5FB8">
      <w:pPr>
        <w:widowControl/>
        <w:autoSpaceDE/>
        <w:autoSpaceDN/>
        <w:spacing w:line="360" w:lineRule="auto"/>
        <w:ind w:firstLine="532"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被保险人未履行前款约定的义务，因上述事项变更而保险单载明的建设工程风险程度显著增加导致保险事故发生的，保险人不承担赔偿责任。</w:t>
      </w:r>
    </w:p>
    <w:p w14:paraId="3E511991">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第二十二条 </w:t>
      </w:r>
      <w:r>
        <w:rPr>
          <w:rFonts w:hint="eastAsia" w:ascii="宋体" w:hAnsi="宋体" w:eastAsia="宋体" w:cs="宋体"/>
          <w:color w:val="auto"/>
          <w:kern w:val="2"/>
          <w:sz w:val="24"/>
          <w:szCs w:val="24"/>
          <w:highlight w:val="none"/>
          <w:lang w:eastAsia="zh-CN"/>
        </w:rPr>
        <w:t>在保险期间内，如建设单位发生变更的应及时书面通知保险人，保险人在保险凭证上进行批注。</w:t>
      </w:r>
    </w:p>
    <w:p w14:paraId="31F32C84">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第二十三条  </w:t>
      </w:r>
      <w:r>
        <w:rPr>
          <w:rFonts w:hint="eastAsia" w:ascii="宋体" w:hAnsi="宋体" w:eastAsia="宋体" w:cs="宋体"/>
          <w:color w:val="auto"/>
          <w:kern w:val="2"/>
          <w:sz w:val="24"/>
          <w:szCs w:val="24"/>
          <w:highlight w:val="none"/>
          <w:lang w:eastAsia="zh-CN"/>
        </w:rPr>
        <w:t>保险事故发生时，投保人、被保险人应当尽力采取必要的措施，防止或者减少损失。投保人、被保险人知道保险事故发生后，应当及时通知保险人。</w:t>
      </w:r>
    </w:p>
    <w:p w14:paraId="79A57376">
      <w:pPr>
        <w:autoSpaceDE/>
        <w:autoSpaceDN/>
        <w:spacing w:line="360" w:lineRule="auto"/>
        <w:ind w:firstLine="482" w:firstLineChars="200"/>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第二十四条  因法律法规或合同约定应由勘察单位、设计单位、施工单位、设备材料供应商等责任方承担的法律责任，并不因建设单位投保本保险而免责。</w:t>
      </w:r>
    </w:p>
    <w:p w14:paraId="260C5466">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第二十五条  </w:t>
      </w:r>
      <w:r>
        <w:rPr>
          <w:rFonts w:hint="eastAsia" w:ascii="宋体" w:hAnsi="宋体" w:eastAsia="宋体" w:cs="宋体"/>
          <w:color w:val="auto"/>
          <w:kern w:val="2"/>
          <w:sz w:val="24"/>
          <w:szCs w:val="24"/>
          <w:highlight w:val="none"/>
          <w:lang w:eastAsia="zh-CN"/>
        </w:rPr>
        <w:t>发生保险责任范围内的损失，应由有关责任方负责赔偿的，被保险人应行使或者保留向该责任方请求赔偿的权利。</w:t>
      </w:r>
    </w:p>
    <w:p w14:paraId="520584A2">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发生保险责任范围内的损失，应由有关责任方负责赔偿的，保险人自向被保险人赔偿之日起，在赔偿金额范围内代位行使被保险人对其他责任方请求赔偿的权利。在保险人向有关责任方行使代位请求赔偿权利时，被保险人应当向保险人提供必要的文件和其所知道的有关情况。</w:t>
      </w:r>
      <w:r>
        <w:rPr>
          <w:rFonts w:hint="eastAsia" w:ascii="宋体" w:hAnsi="宋体" w:eastAsia="宋体" w:cs="宋体"/>
          <w:b/>
          <w:color w:val="auto"/>
          <w:kern w:val="2"/>
          <w:sz w:val="24"/>
          <w:szCs w:val="24"/>
          <w:highlight w:val="none"/>
          <w:lang w:eastAsia="zh-CN"/>
        </w:rPr>
        <w:t>被保险人已经从其他责任方取得赔偿的，保险人赔偿时，可以相应扣减被保险人已从其他责任方取得的赔偿金额。</w:t>
      </w:r>
    </w:p>
    <w:p w14:paraId="1C186746">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事故发生后，在保险人未赔偿之前，被保险人放弃对其他责任方请求赔偿权利的，保险人不承担赔偿责任；保险人向被保险人赔偿后，被保险人未经保险人同意放弃对其他责任方请求赔偿权利的，该行为无效；由于被保险人的过错致使保险人不能行使代位请求赔偿权的，保险人可以相应扣减保险赔偿金。</w:t>
      </w:r>
    </w:p>
    <w:p w14:paraId="39EEFD7F">
      <w:pPr>
        <w:autoSpaceDE/>
        <w:autoSpaceDN/>
        <w:adjustRightInd w:val="0"/>
        <w:snapToGrid w:val="0"/>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第二十六条  </w:t>
      </w:r>
      <w:r>
        <w:rPr>
          <w:rFonts w:hint="eastAsia" w:ascii="宋体" w:hAnsi="宋体" w:eastAsia="宋体" w:cs="宋体"/>
          <w:color w:val="auto"/>
          <w:kern w:val="2"/>
          <w:sz w:val="24"/>
          <w:szCs w:val="24"/>
          <w:highlight w:val="none"/>
          <w:lang w:eastAsia="zh-CN"/>
        </w:rPr>
        <w:t>被保险人向保险人请求赔偿时，应提交以下单证：</w:t>
      </w:r>
    </w:p>
    <w:p w14:paraId="33C2F422">
      <w:pPr>
        <w:widowControl/>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（一）保险单或《工程质量潜在缺陷保险告知书》；</w:t>
      </w:r>
    </w:p>
    <w:p w14:paraId="7964328B">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（二）所有权证明文件或其他可证明被保险人具有保险利益的材料；</w:t>
      </w:r>
    </w:p>
    <w:p w14:paraId="74EA807D">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（三）索赔申请书；</w:t>
      </w:r>
    </w:p>
    <w:p w14:paraId="6D61B3ED">
      <w:pPr>
        <w:widowControl/>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（四）损失清单以及相关费用发票；</w:t>
      </w:r>
    </w:p>
    <w:p w14:paraId="092E58E7">
      <w:pPr>
        <w:widowControl/>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（五）投保人、被保险人所能提供的其他与确认保险事故的性质、原因、损失程度等有关的证明和资料。</w:t>
      </w:r>
    </w:p>
    <w:p w14:paraId="174781AC">
      <w:pPr>
        <w:autoSpaceDE/>
        <w:autoSpaceDN/>
        <w:spacing w:line="360" w:lineRule="auto"/>
        <w:ind w:left="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由保险公司推荐维修的，经被保险人申请，维修发票可由维修单位直接提供给保险公司。</w:t>
      </w:r>
    </w:p>
    <w:p w14:paraId="22AB5373">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赔偿处理</w:t>
      </w:r>
    </w:p>
    <w:p w14:paraId="0BE956E7">
      <w:pPr>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第二十七条  </w:t>
      </w:r>
      <w:r>
        <w:rPr>
          <w:rFonts w:hint="eastAsia" w:ascii="宋体" w:hAnsi="宋体" w:eastAsia="宋体" w:cs="宋体"/>
          <w:color w:val="auto"/>
          <w:kern w:val="2"/>
          <w:sz w:val="24"/>
          <w:szCs w:val="24"/>
          <w:highlight w:val="none"/>
          <w:lang w:eastAsia="zh-CN"/>
        </w:rPr>
        <w:t>保险事故发生后，被保险人对保险单载明的建设工程进行修理或加固的，必须事先得到保险人的书面认可，并在维修或加固前会同保险人进行检验，确定修理或加固项目、方式和费用，</w:t>
      </w:r>
      <w:r>
        <w:rPr>
          <w:rFonts w:hint="eastAsia" w:ascii="宋体" w:hAnsi="宋体" w:eastAsia="宋体" w:cs="宋体"/>
          <w:b/>
          <w:bCs/>
          <w:color w:val="auto"/>
          <w:kern w:val="2"/>
          <w:sz w:val="24"/>
          <w:szCs w:val="24"/>
          <w:highlight w:val="none"/>
          <w:lang w:eastAsia="zh-CN"/>
        </w:rPr>
        <w:t>否则，保险人不承担赔偿责任。</w:t>
      </w:r>
    </w:p>
    <w:p w14:paraId="0805379A">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第二十八条  </w:t>
      </w:r>
      <w:r>
        <w:rPr>
          <w:rFonts w:hint="eastAsia" w:ascii="宋体" w:hAnsi="宋体" w:eastAsia="宋体" w:cs="宋体"/>
          <w:color w:val="auto"/>
          <w:kern w:val="2"/>
          <w:sz w:val="24"/>
          <w:szCs w:val="24"/>
          <w:highlight w:val="none"/>
          <w:lang w:eastAsia="zh-CN"/>
        </w:rPr>
        <w:t>被保险人和保险人对保险责任范围、维修结果等存在争议的，可以共同委托有资质的工程质量检测、房屋安全鉴定机构进行检测鉴定，相关报告作为赔付依据。对赔付结果依然无法达成一致的，按照保险合同约定的方式解决。</w:t>
      </w:r>
    </w:p>
    <w:p w14:paraId="5CF4695B">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经检测鉴定属于保险责任范围的，检测鉴定费用由保险人承担；</w:t>
      </w:r>
      <w:r>
        <w:rPr>
          <w:rFonts w:hint="eastAsia" w:ascii="宋体" w:hAnsi="宋体" w:eastAsia="宋体" w:cs="宋体"/>
          <w:b/>
          <w:color w:val="auto"/>
          <w:kern w:val="2"/>
          <w:sz w:val="24"/>
          <w:szCs w:val="24"/>
          <w:highlight w:val="none"/>
          <w:lang w:eastAsia="zh-CN"/>
        </w:rPr>
        <w:t>经检测鉴定不属于保险责任范围的，检测鉴定费用由申请方承担。</w:t>
      </w:r>
    </w:p>
    <w:p w14:paraId="5B95397E">
      <w:pPr>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第二十九条  </w:t>
      </w:r>
      <w:r>
        <w:rPr>
          <w:rFonts w:hint="eastAsia" w:ascii="宋体" w:hAnsi="宋体" w:eastAsia="宋体" w:cs="宋体"/>
          <w:color w:val="auto"/>
          <w:kern w:val="2"/>
          <w:sz w:val="24"/>
          <w:szCs w:val="24"/>
          <w:highlight w:val="none"/>
          <w:lang w:eastAsia="zh-CN"/>
        </w:rPr>
        <w:t>保险事故发生时，如果被保险人的损失在有相同保障的其他保险项下也能够获得赔偿，</w:t>
      </w:r>
      <w:r>
        <w:rPr>
          <w:rFonts w:hint="eastAsia" w:ascii="宋体" w:hAnsi="宋体" w:eastAsia="宋体" w:cs="宋体"/>
          <w:b/>
          <w:color w:val="auto"/>
          <w:kern w:val="2"/>
          <w:sz w:val="24"/>
          <w:szCs w:val="24"/>
          <w:highlight w:val="none"/>
          <w:lang w:eastAsia="zh-CN"/>
        </w:rPr>
        <w:t>保险人按照本保险合同的相应责任限额与其他保险合同及本保险合同相应责任限额总和的比例承担赔偿责任。</w:t>
      </w:r>
    </w:p>
    <w:p w14:paraId="5DB02A89">
      <w:pPr>
        <w:widowControl/>
        <w:autoSpaceDE/>
        <w:autoSpaceDN/>
        <w:spacing w:line="360" w:lineRule="auto"/>
        <w:ind w:firstLine="436" w:firstLineChars="181"/>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其他保险人应承担的赔偿金额，本保险人不负责垫付。被保险人未如实告知导致保险人多支付赔偿金的，保险人有权向被保险人追回多支付的部分。</w:t>
      </w:r>
    </w:p>
    <w:p w14:paraId="48C7C638">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第三十条  </w:t>
      </w:r>
      <w:r>
        <w:rPr>
          <w:rFonts w:hint="eastAsia" w:ascii="宋体" w:hAnsi="宋体" w:eastAsia="宋体" w:cs="宋体"/>
          <w:color w:val="auto"/>
          <w:kern w:val="2"/>
          <w:sz w:val="24"/>
          <w:szCs w:val="24"/>
          <w:highlight w:val="none"/>
          <w:lang w:eastAsia="zh-CN"/>
        </w:rPr>
        <w:t>发生保险责任范围内的损失，保险人根据实际发生的修理、加固或重置费用，</w:t>
      </w:r>
      <w:r>
        <w:rPr>
          <w:rFonts w:hint="eastAsia" w:ascii="宋体" w:hAnsi="宋体" w:eastAsia="宋体" w:cs="宋体"/>
          <w:b/>
          <w:color w:val="auto"/>
          <w:kern w:val="2"/>
          <w:sz w:val="24"/>
          <w:szCs w:val="24"/>
          <w:highlight w:val="none"/>
          <w:lang w:eastAsia="zh-CN"/>
        </w:rPr>
        <w:t>扣除每次保险事故免赔额或按照每次事故免赔率计算的每次事故免赔额后，</w:t>
      </w:r>
      <w:r>
        <w:rPr>
          <w:rFonts w:hint="eastAsia" w:ascii="宋体" w:hAnsi="宋体" w:eastAsia="宋体" w:cs="宋体"/>
          <w:color w:val="auto"/>
          <w:kern w:val="2"/>
          <w:sz w:val="24"/>
          <w:szCs w:val="24"/>
          <w:highlight w:val="none"/>
          <w:lang w:eastAsia="zh-CN"/>
        </w:rPr>
        <w:t>在责任限额内进行赔偿。</w:t>
      </w:r>
    </w:p>
    <w:p w14:paraId="4CAF99AE">
      <w:pPr>
        <w:widowControl/>
        <w:autoSpaceDE/>
        <w:autoSpaceDN/>
        <w:spacing w:line="360" w:lineRule="auto"/>
        <w:ind w:firstLine="482" w:firstLineChars="200"/>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在保险责任期间内，不论一次保险事故还是多次保险事故，当保险人的赔偿金额达到责任限额时，保险合同终止。</w:t>
      </w:r>
    </w:p>
    <w:p w14:paraId="76FA1FF7">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争议处理和法律适用</w:t>
      </w:r>
    </w:p>
    <w:p w14:paraId="2B7368AB">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第三十一条  </w:t>
      </w:r>
      <w:r>
        <w:rPr>
          <w:rFonts w:hint="eastAsia" w:ascii="宋体" w:hAnsi="宋体" w:eastAsia="宋体" w:cs="宋体"/>
          <w:color w:val="auto"/>
          <w:kern w:val="2"/>
          <w:sz w:val="24"/>
          <w:szCs w:val="24"/>
          <w:highlight w:val="none"/>
          <w:lang w:eastAsia="zh-CN"/>
        </w:rPr>
        <w:t>保险合同争议解决方式由当事人在保险合同中约定的下列两种方式中选择一种：</w:t>
      </w:r>
    </w:p>
    <w:p w14:paraId="1D95F83C">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（一）因履行保险合同发生的争议，由当事人协商解决，协商不成的，提交保险合同载明的仲裁委员会仲裁； </w:t>
      </w:r>
    </w:p>
    <w:p w14:paraId="419F1F71">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（二）因履行保险合同发生的争议，由当事人协商解决，协商不成的，依法向中华人民共和国境内（不包括港澳台地区）人民法院起诉。</w:t>
      </w:r>
    </w:p>
    <w:p w14:paraId="36E026DD">
      <w:pPr>
        <w:autoSpaceDE/>
        <w:autoSpaceDN/>
        <w:spacing w:line="360" w:lineRule="auto"/>
        <w:ind w:left="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第三十二条  </w:t>
      </w:r>
      <w:r>
        <w:rPr>
          <w:rFonts w:hint="eastAsia" w:ascii="宋体" w:hAnsi="宋体" w:eastAsia="宋体" w:cs="宋体"/>
          <w:color w:val="auto"/>
          <w:kern w:val="2"/>
          <w:sz w:val="24"/>
          <w:szCs w:val="24"/>
          <w:highlight w:val="none"/>
          <w:lang w:eastAsia="zh-CN"/>
        </w:rPr>
        <w:t>保险合同的争议处理适用中华人民共和国法律（不包括港、澳、台地区法律）。</w:t>
      </w:r>
    </w:p>
    <w:p w14:paraId="0D0A5216">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其他事项</w:t>
      </w:r>
    </w:p>
    <w:p w14:paraId="20F27A4C">
      <w:pPr>
        <w:widowControl/>
        <w:autoSpaceDE/>
        <w:autoSpaceDN/>
        <w:spacing w:after="120" w:afterLines="50"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第三十三条  </w:t>
      </w:r>
      <w:r>
        <w:rPr>
          <w:rFonts w:hint="eastAsia" w:ascii="宋体" w:hAnsi="宋体" w:eastAsia="宋体" w:cs="宋体"/>
          <w:b/>
          <w:color w:val="auto"/>
          <w:kern w:val="2"/>
          <w:sz w:val="24"/>
          <w:szCs w:val="24"/>
          <w:highlight w:val="none"/>
          <w:lang w:eastAsia="zh-CN"/>
        </w:rPr>
        <w:t>本保险合同成立后，保险单载明的建设工程未经保险人委托的工程质量风险管理机构检查通过的，保险人可以解除保险合同。</w:t>
      </w:r>
    </w:p>
    <w:p w14:paraId="7970A39F">
      <w:pPr>
        <w:widowControl/>
        <w:autoSpaceDE/>
        <w:autoSpaceDN/>
        <w:spacing w:after="120" w:afterLines="50"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第三十四条  </w:t>
      </w:r>
      <w:r>
        <w:rPr>
          <w:rFonts w:hint="eastAsia" w:ascii="宋体" w:hAnsi="宋体" w:eastAsia="宋体" w:cs="宋体"/>
          <w:b/>
          <w:color w:val="auto"/>
          <w:kern w:val="2"/>
          <w:sz w:val="24"/>
          <w:szCs w:val="24"/>
          <w:highlight w:val="none"/>
          <w:lang w:eastAsia="zh-CN"/>
        </w:rPr>
        <w:t>本保险合同成立后，投保人提出解除保险合同的，需经全体被保险人书面同意。</w:t>
      </w:r>
    </w:p>
    <w:p w14:paraId="19BF8F91">
      <w:pPr>
        <w:widowControl/>
        <w:autoSpaceDE/>
        <w:autoSpaceDN/>
        <w:spacing w:after="120" w:afterLines="50"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第三十五条  </w:t>
      </w:r>
      <w:r>
        <w:rPr>
          <w:rFonts w:hint="eastAsia" w:ascii="宋体" w:hAnsi="宋体" w:eastAsia="宋体" w:cs="宋体"/>
          <w:color w:val="auto"/>
          <w:kern w:val="2"/>
          <w:sz w:val="24"/>
          <w:szCs w:val="24"/>
          <w:highlight w:val="none"/>
          <w:lang w:eastAsia="zh-CN"/>
        </w:rPr>
        <w:t>保险责任期间开始前解除保险合同的，保险人在扣除已发生的风险管理费用和相当于全部保险费5%的退保手续费后，应当退还剩余部分保险费。</w:t>
      </w:r>
    </w:p>
    <w:p w14:paraId="0DF15883">
      <w:pPr>
        <w:widowControl/>
        <w:autoSpaceDE/>
        <w:autoSpaceDN/>
        <w:spacing w:after="120" w:afterLines="50"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保险责任期间开始后解除保险合同的，保险人在扣除已发生的风险管理费用和相当于全部保险费5%的退保手续费后，应当退还未满期保险费。</w:t>
      </w:r>
    </w:p>
    <w:p w14:paraId="5EA82302">
      <w:pPr>
        <w:widowControl/>
        <w:autoSpaceDE/>
        <w:autoSpaceDN/>
        <w:spacing w:after="120" w:afterLines="50" w:line="360" w:lineRule="auto"/>
        <w:ind w:firstLine="480"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如果解除时，保险合同项下仍有尚未赔偿结案的保险事故，</w:t>
      </w:r>
      <w:r>
        <w:rPr>
          <w:rFonts w:hint="eastAsia" w:ascii="宋体" w:hAnsi="宋体" w:eastAsia="宋体" w:cs="宋体"/>
          <w:b/>
          <w:color w:val="auto"/>
          <w:kern w:val="2"/>
          <w:sz w:val="24"/>
          <w:szCs w:val="24"/>
          <w:highlight w:val="none"/>
          <w:lang w:eastAsia="zh-CN"/>
        </w:rPr>
        <w:t>保险人可在赔偿结案后根据实际赔付情况按照有关保险法规定计算和支付应向投保人退还的未满期保险费。</w:t>
      </w:r>
    </w:p>
    <w:p w14:paraId="22A98AF4">
      <w:pPr>
        <w:widowControl/>
        <w:autoSpaceDE/>
        <w:autoSpaceDN/>
        <w:spacing w:after="120" w:afterLines="50"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未满期保险费＝（保险费-已发生风险管理费用-退保手续费）×（剩余保险责任期间天数/保险责任期间天数）×（责任限额－已决赔偿金额－未决赔偿金额）/责任限额</w:t>
      </w:r>
    </w:p>
    <w:p w14:paraId="2F7BE82B">
      <w:pPr>
        <w:widowControl/>
        <w:autoSpaceDE/>
        <w:autoSpaceDN/>
        <w:spacing w:after="120" w:afterLines="50"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第三十六条  </w:t>
      </w:r>
      <w:r>
        <w:rPr>
          <w:rFonts w:hint="eastAsia" w:ascii="宋体" w:hAnsi="宋体" w:eastAsia="宋体" w:cs="宋体"/>
          <w:color w:val="auto"/>
          <w:kern w:val="2"/>
          <w:sz w:val="24"/>
          <w:szCs w:val="24"/>
          <w:highlight w:val="none"/>
          <w:lang w:eastAsia="zh-CN"/>
        </w:rPr>
        <w:t>保险合同约定与《中华人民共和国保险法》等法律规定相悖之处，以法律规定为准。保险合同未尽事宜，以法律规定为准。</w:t>
      </w:r>
    </w:p>
    <w:p w14:paraId="422B3DB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4B3F3EF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AFF05BA">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7AE002C1">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3D1E21DC">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4448B9C0">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29B86E0">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67D0968D">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7D7BA1E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B658F26">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1913E5E">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042DD92">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BB5B8C4">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FFE6826">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B703A6C">
      <w:pPr>
        <w:keepNext/>
        <w:keepLines/>
        <w:spacing w:before="260" w:after="260" w:line="360" w:lineRule="auto"/>
        <w:jc w:val="both"/>
        <w:outlineLvl w:val="1"/>
        <w:rPr>
          <w:rFonts w:hint="eastAsia" w:ascii="宋体" w:hAnsi="宋体" w:eastAsia="宋体" w:cs="宋体"/>
          <w:b/>
          <w:color w:val="auto"/>
          <w:sz w:val="24"/>
          <w:szCs w:val="24"/>
          <w:highlight w:val="none"/>
          <w:lang w:eastAsia="zh-CN"/>
        </w:rPr>
      </w:pPr>
      <w:bookmarkStart w:id="9" w:name="_Toc1078"/>
      <w:r>
        <w:rPr>
          <w:rFonts w:hint="eastAsia" w:ascii="宋体" w:hAnsi="宋体" w:eastAsia="宋体" w:cs="宋体"/>
          <w:b/>
          <w:color w:val="auto"/>
          <w:sz w:val="24"/>
          <w:szCs w:val="24"/>
          <w:highlight w:val="none"/>
          <w:lang w:eastAsia="zh-CN"/>
        </w:rPr>
        <w:t>（二）附加险条款</w:t>
      </w:r>
      <w:bookmarkEnd w:id="9"/>
    </w:p>
    <w:p w14:paraId="2EEE04D8">
      <w:pPr>
        <w:widowControl/>
        <w:autoSpaceDE/>
        <w:autoSpaceDN/>
        <w:spacing w:line="360" w:lineRule="auto"/>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1．建筑装饰装修工程保险条款</w:t>
      </w:r>
    </w:p>
    <w:p w14:paraId="5182E029">
      <w:pPr>
        <w:widowControl/>
        <w:autoSpaceDE/>
        <w:autoSpaceDN/>
        <w:spacing w:line="360" w:lineRule="auto"/>
        <w:jc w:val="both"/>
        <w:rPr>
          <w:rFonts w:hint="eastAsia" w:ascii="宋体" w:hAnsi="宋体" w:eastAsia="宋体" w:cs="宋体"/>
          <w:color w:val="auto"/>
          <w:kern w:val="2"/>
          <w:sz w:val="24"/>
          <w:szCs w:val="24"/>
          <w:highlight w:val="none"/>
          <w:lang w:eastAsia="zh-CN"/>
        </w:rPr>
      </w:pPr>
    </w:p>
    <w:p w14:paraId="2545A6C4">
      <w:pPr>
        <w:widowControl/>
        <w:autoSpaceDE/>
        <w:autoSpaceDN/>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广州市住宅工程质量潜在缺陷保险</w:t>
      </w:r>
    </w:p>
    <w:p w14:paraId="126D2B29">
      <w:pPr>
        <w:widowControl/>
        <w:autoSpaceDE/>
        <w:autoSpaceDN/>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附加建筑装饰装修工程保险条款</w:t>
      </w:r>
    </w:p>
    <w:p w14:paraId="0474A50F">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7A306EAE">
      <w:pPr>
        <w:numPr>
          <w:ilvl w:val="0"/>
          <w:numId w:val="4"/>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本条款为《广州市住宅工程质量潜在缺陷保险》（以下简称主险）的附加险条款，只有在投保主险的基础上，投保人方可投保本附加险。</w:t>
      </w:r>
    </w:p>
    <w:p w14:paraId="6EFBCB8A">
      <w:pPr>
        <w:widowControl/>
        <w:tabs>
          <w:tab w:val="left" w:pos="1276"/>
        </w:tabs>
        <w:autoSpaceDE/>
        <w:autoSpaceDN/>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795CD908">
      <w:pPr>
        <w:numPr>
          <w:ilvl w:val="0"/>
          <w:numId w:val="4"/>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建筑装饰装修工程存在潜在质量缺陷而造成保险单载明的建设工程损坏的，保险人按照主险和本附加险的约定负责赔偿修理、加固或重置的费用。</w:t>
      </w:r>
    </w:p>
    <w:p w14:paraId="6A705FD1">
      <w:pPr>
        <w:widowControl/>
        <w:tabs>
          <w:tab w:val="left" w:pos="1276"/>
        </w:tabs>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建筑装饰装修”指建设单位对保险单载明的建设工程按销售合同约定提供，为保护建筑物的主体结构、完善建筑物的使用功能和美化建筑物，采用装饰装修材料或饰物，对建筑物的内外表面及空间进行的各种处理过程。</w:t>
      </w:r>
    </w:p>
    <w:p w14:paraId="2055C5C6">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07CE7416">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本保险合同生效后，未经保险人书面同意擅自改动保险单载明的建设工程建筑装饰装修工程的，保险人不负责赔偿。</w:t>
      </w:r>
    </w:p>
    <w:p w14:paraId="2BD1286C">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本附加险保险事故发生后，被保险人未经必要维修继续使用原建筑装饰装修工程致使损失扩大的，保险人对于损失扩大的部分不负责赔偿。</w:t>
      </w:r>
    </w:p>
    <w:p w14:paraId="4B55BA7A">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设备、配件产品质量缺陷所产生的损失，保险人不负责赔偿。</w:t>
      </w:r>
    </w:p>
    <w:p w14:paraId="74FD1DF3">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32A17532">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20716E21">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17B6EAA2">
      <w:pPr>
        <w:numPr>
          <w:ilvl w:val="0"/>
          <w:numId w:val="4"/>
        </w:numPr>
        <w:tabs>
          <w:tab w:val="left" w:pos="1276"/>
        </w:tabs>
        <w:autoSpaceDE/>
        <w:autoSpaceDN/>
        <w:adjustRightInd w:val="0"/>
        <w:snapToGrid w:val="0"/>
        <w:spacing w:line="360" w:lineRule="auto"/>
        <w:ind w:left="0" w:firstLine="482" w:firstLineChars="200"/>
        <w:jc w:val="left"/>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0FD26768">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56391F9C">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40E06DD9">
      <w:pPr>
        <w:numPr>
          <w:ilvl w:val="0"/>
          <w:numId w:val="4"/>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495D1566">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3531AB9B">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50095A55">
      <w:pPr>
        <w:tabs>
          <w:tab w:val="left" w:pos="1418"/>
          <w:tab w:val="left" w:pos="1560"/>
        </w:tabs>
        <w:autoSpaceDE/>
        <w:autoSpaceDN/>
        <w:adjustRightInd w:val="0"/>
        <w:snapToGrid w:val="0"/>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第十条  </w:t>
      </w: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7812F933">
      <w:pPr>
        <w:widowControl/>
        <w:autoSpaceDE/>
        <w:autoSpaceDN/>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728349C">
      <w:pPr>
        <w:widowControl/>
        <w:autoSpaceDE/>
        <w:autoSpaceDN/>
        <w:spacing w:line="560" w:lineRule="exact"/>
        <w:jc w:val="both"/>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2．建筑给水排水及供暖工程保险条款</w:t>
      </w:r>
    </w:p>
    <w:p w14:paraId="468C24F8">
      <w:pPr>
        <w:widowControl/>
        <w:autoSpaceDE/>
        <w:autoSpaceDN/>
        <w:snapToGrid w:val="0"/>
        <w:spacing w:line="520" w:lineRule="exact"/>
        <w:rPr>
          <w:rFonts w:hint="eastAsia" w:ascii="等线" w:hAnsi="等线" w:eastAsia="等线" w:cs="Times New Roman"/>
          <w:b/>
          <w:color w:val="auto"/>
          <w:sz w:val="21"/>
          <w:szCs w:val="21"/>
          <w:highlight w:val="none"/>
          <w:lang w:eastAsia="zh-CN"/>
        </w:rPr>
      </w:pPr>
    </w:p>
    <w:p w14:paraId="6CD6ABBB">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广州市工程质量潜在缺陷保险</w:t>
      </w:r>
    </w:p>
    <w:p w14:paraId="33B77117">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附加建筑给水排水及供暖工程保险条款</w:t>
      </w:r>
    </w:p>
    <w:p w14:paraId="73F2C205">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29FAE49B">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本条款为《广州市住宅工程质量潜在缺陷保险》（以下简称主险）的附加险条款，只有在投保主险的基础上，投保人方可投保本附加险。</w:t>
      </w:r>
    </w:p>
    <w:p w14:paraId="6E84663E">
      <w:pPr>
        <w:widowControl/>
        <w:tabs>
          <w:tab w:val="left" w:pos="1276"/>
        </w:tabs>
        <w:autoSpaceDE/>
        <w:autoSpaceDN/>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74CDEF4B">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建筑给水排水及供暖工程存在潜在质量缺陷而造成保险单载明的建设工程损坏的，保险人按照主险和本附加险的约定负责赔偿修理、加固或重置的费用。</w:t>
      </w:r>
    </w:p>
    <w:p w14:paraId="799BD117">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本附加险中“建筑给水排水及供暖工程”指建设单位对保险单载明的建设工程按销售合同提供的以下系统：</w:t>
      </w:r>
    </w:p>
    <w:p w14:paraId="00AE6171">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给水系统：通过管道及辅助设备，按照建筑物和用户的生产、生活和消防的需要，有组织的输送到用水地点的网络。</w:t>
      </w:r>
    </w:p>
    <w:p w14:paraId="6BEF90D2">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排水系统：通过管道及辅助设备，把屋面雨水及生活和生产过程所产生的污水、废水及时排放出去的网络。</w:t>
      </w:r>
    </w:p>
    <w:p w14:paraId="3E999FE6">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热水系统（含供暖系统）：为满足人们在生活和生产过程中对水温的某些特定要求而由管道及辅助设备组成的输送热水的网络。</w:t>
      </w:r>
    </w:p>
    <w:p w14:paraId="22CE9BDD">
      <w:pPr>
        <w:widowControl/>
        <w:tabs>
          <w:tab w:val="left" w:pos="1276"/>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7EDADF15">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本保险合同生效后，未经保险人书面同意擅自改动保险单载明的建设工程建筑给水排水及供暖工程的，保险人不负责赔偿。</w:t>
      </w:r>
    </w:p>
    <w:p w14:paraId="4E129B36">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本附加险保险事故发生后，被保险人未经必要修理继续使用原给水排水及供暖工程致使损失扩大的，保险人对于损失扩大的部分不负责赔偿。</w:t>
      </w:r>
    </w:p>
    <w:p w14:paraId="52344F0B">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设备、配件产品质量缺陷所产生的损失，保险人不负责赔偿。</w:t>
      </w:r>
    </w:p>
    <w:p w14:paraId="567E386D">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1F2664A2">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41CC8F89">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0F071305">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0C435DB6">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5FE04CC2">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617AAD75">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0D07951B">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58A5F475">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6CD416EA">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424CDF5D">
      <w:pPr>
        <w:widowControl/>
        <w:autoSpaceDE/>
        <w:autoSpaceDN/>
        <w:spacing w:line="360" w:lineRule="auto"/>
        <w:jc w:val="both"/>
        <w:rPr>
          <w:rFonts w:hint="eastAsia" w:ascii="宋体" w:hAnsi="宋体" w:eastAsia="宋体" w:cs="宋体"/>
          <w:color w:val="auto"/>
          <w:kern w:val="2"/>
          <w:sz w:val="24"/>
          <w:szCs w:val="24"/>
          <w:highlight w:val="none"/>
          <w:lang w:eastAsia="zh-CN"/>
        </w:rPr>
      </w:pPr>
    </w:p>
    <w:p w14:paraId="1BE2C56B">
      <w:pPr>
        <w:widowControl/>
        <w:autoSpaceDE/>
        <w:autoSpaceDN/>
        <w:spacing w:line="520" w:lineRule="exact"/>
        <w:jc w:val="both"/>
        <w:rPr>
          <w:rFonts w:hint="eastAsia" w:ascii="等线" w:hAnsi="等线" w:eastAsia="等线" w:cs="Times New Roman"/>
          <w:color w:val="auto"/>
          <w:kern w:val="2"/>
          <w:sz w:val="21"/>
          <w:szCs w:val="21"/>
          <w:highlight w:val="none"/>
          <w:lang w:eastAsia="zh-CN"/>
        </w:rPr>
      </w:pPr>
    </w:p>
    <w:p w14:paraId="108A8C70">
      <w:pPr>
        <w:widowControl/>
        <w:autoSpaceDE/>
        <w:autoSpaceDN/>
        <w:snapToGrid w:val="0"/>
        <w:spacing w:line="520" w:lineRule="exact"/>
        <w:jc w:val="center"/>
        <w:rPr>
          <w:rFonts w:hint="eastAsia" w:ascii="等线" w:hAnsi="等线" w:eastAsia="等线" w:cs="Times New Roman"/>
          <w:color w:val="auto"/>
          <w:kern w:val="2"/>
          <w:sz w:val="21"/>
          <w:szCs w:val="21"/>
          <w:highlight w:val="none"/>
          <w:lang w:eastAsia="zh-CN"/>
        </w:rPr>
      </w:pPr>
      <w:r>
        <w:rPr>
          <w:rFonts w:ascii="等线" w:hAnsi="等线" w:eastAsia="等线" w:cs="Times New Roman"/>
          <w:color w:val="auto"/>
          <w:kern w:val="2"/>
          <w:sz w:val="21"/>
          <w:szCs w:val="21"/>
          <w:highlight w:val="none"/>
          <w:lang w:eastAsia="zh-CN"/>
        </w:rPr>
        <w:br w:type="page"/>
      </w:r>
    </w:p>
    <w:p w14:paraId="4C20DA84">
      <w:pPr>
        <w:widowControl/>
        <w:autoSpaceDE/>
        <w:autoSpaceDN/>
        <w:spacing w:line="560" w:lineRule="exact"/>
        <w:jc w:val="both"/>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3．通风与空调工程保险条款</w:t>
      </w:r>
    </w:p>
    <w:p w14:paraId="3BD65B8B">
      <w:pPr>
        <w:widowControl/>
        <w:autoSpaceDE/>
        <w:autoSpaceDN/>
        <w:snapToGrid w:val="0"/>
        <w:spacing w:line="520" w:lineRule="exact"/>
        <w:jc w:val="both"/>
        <w:rPr>
          <w:rFonts w:hint="eastAsia" w:ascii="等线" w:hAnsi="等线" w:eastAsia="等线" w:cs="Times New Roman"/>
          <w:color w:val="auto"/>
          <w:kern w:val="2"/>
          <w:sz w:val="21"/>
          <w:szCs w:val="21"/>
          <w:highlight w:val="none"/>
          <w:lang w:eastAsia="zh-CN"/>
        </w:rPr>
      </w:pPr>
    </w:p>
    <w:p w14:paraId="13155BB2">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广州市工程质量潜在缺陷保险</w:t>
      </w:r>
    </w:p>
    <w:p w14:paraId="24050C73">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附加通风与空调工程保险条款</w:t>
      </w:r>
    </w:p>
    <w:p w14:paraId="223D14D7">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58E7D4B5">
      <w:pPr>
        <w:numPr>
          <w:ilvl w:val="0"/>
          <w:numId w:val="6"/>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本条款为《广州市住宅工程质量潜在缺陷保险》（以下简称主险）的附加险条款，只有在投保主险的基础上，投保人方可投保本附加险。</w:t>
      </w:r>
    </w:p>
    <w:p w14:paraId="29FAF7CE">
      <w:pPr>
        <w:widowControl/>
        <w:tabs>
          <w:tab w:val="left" w:pos="1276"/>
        </w:tabs>
        <w:autoSpaceDE/>
        <w:autoSpaceDN/>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56493A20">
      <w:pPr>
        <w:numPr>
          <w:ilvl w:val="0"/>
          <w:numId w:val="6"/>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通风与空调工程存在潜在质量缺陷而造成保险单载明的建设工程损坏的，保险人按照主险和本附加险的约定负责赔偿修理、加固或重置的费用。</w:t>
      </w:r>
    </w:p>
    <w:p w14:paraId="650459E4">
      <w:pPr>
        <w:widowControl/>
        <w:tabs>
          <w:tab w:val="left" w:pos="1276"/>
        </w:tabs>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通风与空调工程”指建设单位对保险单载明的建设工程按销售合同约定提供的，应用于建筑内部的送风系统、排风系统、防排烟系统、除尘和气力输送系统、舒适性空调系统、恒温恒湿空调系统、洁净室空气净化、空气调节系统工程的总称。</w:t>
      </w:r>
    </w:p>
    <w:p w14:paraId="7F3D764F">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5E749E12">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本保险合同生效后，未经保险人书面同意擅自改动保险单载明的建设工程通风与空调工程的，保险人不负责赔偿。</w:t>
      </w:r>
    </w:p>
    <w:p w14:paraId="099A5D9B">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本附加险保险事故发生后，被保险人未经必要修理继续使用原通风与空调工程致使损失扩大的，保险人对于损失扩大的部分不负责赔偿。</w:t>
      </w:r>
    </w:p>
    <w:p w14:paraId="583439B8">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设备、配件产品质量缺陷所产生的损失，保险人不负责赔偿。</w:t>
      </w:r>
    </w:p>
    <w:p w14:paraId="701EB74C">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7C262E47">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0B35BB52">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5C408E22">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3C539015">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78510443">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73F97173">
      <w:pPr>
        <w:numPr>
          <w:ilvl w:val="0"/>
          <w:numId w:val="6"/>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5114FE33">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3679BC47">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4E4B08F7">
      <w:pPr>
        <w:widowControl/>
        <w:numPr>
          <w:ilvl w:val="0"/>
          <w:numId w:val="6"/>
        </w:numPr>
        <w:tabs>
          <w:tab w:val="left" w:pos="1276"/>
        </w:tabs>
        <w:autoSpaceDE/>
        <w:autoSpaceDN/>
        <w:adjustRightInd w:val="0"/>
        <w:snapToGrid w:val="0"/>
        <w:spacing w:line="360" w:lineRule="auto"/>
        <w:ind w:left="0" w:firstLine="480" w:firstLineChars="20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w:t>
      </w:r>
    </w:p>
    <w:p w14:paraId="6D3B85A3">
      <w:pPr>
        <w:widowControl/>
        <w:tabs>
          <w:tab w:val="left" w:pos="1276"/>
        </w:tabs>
        <w:autoSpaceDE/>
        <w:autoSpaceDN/>
        <w:adjustRightInd w:val="0"/>
        <w:snapToGrid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本附加险合同效力亦同时终止；主险合同无效，本附加险合同亦无效。</w:t>
      </w:r>
    </w:p>
    <w:p w14:paraId="3D6E04E0">
      <w:pPr>
        <w:widowControl/>
        <w:autoSpaceDE/>
        <w:autoSpaceDN/>
        <w:snapToGrid w:val="0"/>
        <w:spacing w:line="520" w:lineRule="exact"/>
        <w:jc w:val="center"/>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br w:type="page"/>
      </w:r>
    </w:p>
    <w:p w14:paraId="653BB4EB">
      <w:pPr>
        <w:widowControl/>
        <w:autoSpaceDE/>
        <w:autoSpaceDN/>
        <w:spacing w:line="560" w:lineRule="exact"/>
        <w:jc w:val="both"/>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4．建筑电气工程保险条款</w:t>
      </w:r>
    </w:p>
    <w:p w14:paraId="716AE8B4">
      <w:pPr>
        <w:widowControl/>
        <w:autoSpaceDE/>
        <w:autoSpaceDN/>
        <w:snapToGrid w:val="0"/>
        <w:spacing w:line="520" w:lineRule="exact"/>
        <w:rPr>
          <w:rFonts w:hint="eastAsia" w:ascii="等线" w:hAnsi="等线" w:eastAsia="等线" w:cs="Times New Roman"/>
          <w:color w:val="auto"/>
          <w:kern w:val="2"/>
          <w:sz w:val="21"/>
          <w:szCs w:val="21"/>
          <w:highlight w:val="none"/>
          <w:lang w:eastAsia="zh-CN"/>
        </w:rPr>
      </w:pPr>
    </w:p>
    <w:p w14:paraId="4FF6982F">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广州市工程质量潜在缺陷保险</w:t>
      </w:r>
    </w:p>
    <w:p w14:paraId="5F3AABB1">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附加建筑电气工程保险条款</w:t>
      </w:r>
    </w:p>
    <w:p w14:paraId="3C796C0F">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626AFEC7">
      <w:pPr>
        <w:numPr>
          <w:ilvl w:val="0"/>
          <w:numId w:val="7"/>
        </w:numPr>
        <w:tabs>
          <w:tab w:val="left" w:pos="1276"/>
        </w:tabs>
        <w:autoSpaceDE/>
        <w:autoSpaceDN/>
        <w:adjustRightInd w:val="0"/>
        <w:snapToGrid w:val="0"/>
        <w:spacing w:line="360" w:lineRule="auto"/>
        <w:ind w:left="0"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w:t>
      </w:r>
      <w:r>
        <w:rPr>
          <w:rFonts w:hint="eastAsia" w:ascii="宋体" w:hAnsi="宋体" w:eastAsia="宋体" w:cs="宋体"/>
          <w:b/>
          <w:color w:val="auto"/>
          <w:sz w:val="24"/>
          <w:szCs w:val="24"/>
          <w:highlight w:val="none"/>
          <w:lang w:eastAsia="zh-CN"/>
        </w:rPr>
        <w:t>方可投保本附加险。</w:t>
      </w:r>
    </w:p>
    <w:p w14:paraId="3F6B75E6">
      <w:pPr>
        <w:widowControl/>
        <w:tabs>
          <w:tab w:val="left" w:pos="1276"/>
        </w:tabs>
        <w:autoSpaceDE/>
        <w:autoSpaceDN/>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保险责任</w:t>
      </w:r>
    </w:p>
    <w:p w14:paraId="6DA38E18">
      <w:pPr>
        <w:numPr>
          <w:ilvl w:val="0"/>
          <w:numId w:val="7"/>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建筑电气工程存在潜在质量缺陷而造成保险单载明的建设工程损坏的，保险人按照主险和本附加险的约定负责赔偿修理、加固或重置的费用。</w:t>
      </w:r>
    </w:p>
    <w:p w14:paraId="3C5F3590">
      <w:pPr>
        <w:widowControl/>
        <w:tabs>
          <w:tab w:val="left" w:pos="1276"/>
        </w:tabs>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本附加险中“建筑电气工程”指建设单位对保险单载明的建设工程按销售合同约定提供的，由电气装置、布线系统和用电设备电气部分构成的组合。</w:t>
      </w:r>
    </w:p>
    <w:p w14:paraId="6243C142">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3C06B1F3">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本保险合同生效后，未经保险人书面同意擅自改动保险单载明的建设工程建筑电气工程的，保险人不负责赔偿。</w:t>
      </w:r>
    </w:p>
    <w:p w14:paraId="45DCCFF7">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本附加险保险事故发生后，被保险人未经必要修理继续使用原建筑电气工程致使损失扩大的，保险人对于损失扩大的部分不负责赔偿。</w:t>
      </w:r>
    </w:p>
    <w:p w14:paraId="64B7EB07">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因元器件、设备、配件、终端等产品的质量缺陷所产生的损失，保险人不负责赔偿。</w:t>
      </w:r>
    </w:p>
    <w:p w14:paraId="2B899420">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2E34976C">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43770688">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1580ACFD">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50F9D0B6">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36B460E6">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225FA6BE">
      <w:pPr>
        <w:numPr>
          <w:ilvl w:val="0"/>
          <w:numId w:val="7"/>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5E882B57">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0270C690">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66D3C769">
      <w:pPr>
        <w:spacing w:line="360" w:lineRule="auto"/>
        <w:rPr>
          <w:rFonts w:hint="eastAsia" w:ascii="宋体" w:hAnsi="宋体" w:eastAsia="宋体" w:cs="宋体"/>
          <w:color w:val="auto"/>
          <w:sz w:val="24"/>
          <w:szCs w:val="24"/>
          <w:highlight w:val="none"/>
          <w:lang w:eastAsia="zh-CN"/>
        </w:rPr>
        <w:sectPr>
          <w:pgSz w:w="11910" w:h="16840"/>
          <w:pgMar w:top="1440" w:right="1474" w:bottom="1440" w:left="1587" w:header="0" w:footer="1196" w:gutter="0"/>
          <w:pgNumType w:fmt="decimal"/>
          <w:cols w:space="0" w:num="1"/>
        </w:sectPr>
      </w:pP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4D7F24AB">
      <w:pPr>
        <w:pStyle w:val="3"/>
        <w:ind w:right="320"/>
        <w:rPr>
          <w:rFonts w:hint="eastAsia"/>
          <w:color w:val="auto"/>
          <w:highlight w:val="none"/>
          <w:lang w:eastAsia="zh-CN"/>
        </w:rPr>
      </w:pPr>
      <w:bookmarkStart w:id="10" w:name="第三部分_附件"/>
      <w:bookmarkEnd w:id="10"/>
      <w:bookmarkStart w:id="11" w:name="_Toc18873"/>
      <w:r>
        <w:rPr>
          <w:rFonts w:hint="eastAsia"/>
          <w:color w:val="auto"/>
          <w:highlight w:val="none"/>
          <w:lang w:eastAsia="zh-CN"/>
        </w:rPr>
        <w:t>第三部分 附件</w:t>
      </w:r>
      <w:bookmarkEnd w:id="11"/>
    </w:p>
    <w:p w14:paraId="60FC4C27">
      <w:pPr>
        <w:pStyle w:val="8"/>
        <w:ind w:left="0" w:firstLine="0"/>
        <w:rPr>
          <w:rFonts w:hint="eastAsia"/>
          <w:b/>
          <w:color w:val="auto"/>
          <w:sz w:val="11"/>
          <w:highlight w:val="none"/>
          <w:lang w:eastAsia="zh-CN"/>
        </w:rPr>
      </w:pPr>
    </w:p>
    <w:p w14:paraId="6EDE0607">
      <w:pPr>
        <w:pStyle w:val="8"/>
        <w:spacing w:before="67"/>
        <w:ind w:left="0" w:firstLine="0"/>
        <w:rPr>
          <w:rFonts w:hint="eastAsia"/>
          <w:color w:val="auto"/>
          <w:highlight w:val="none"/>
          <w:lang w:eastAsia="zh-CN"/>
        </w:rPr>
      </w:pPr>
      <w:r>
        <w:rPr>
          <w:rFonts w:hint="eastAsia"/>
          <w:color w:val="auto"/>
          <w:highlight w:val="none"/>
          <w:lang w:eastAsia="zh-CN"/>
        </w:rPr>
        <w:t>附件 1：</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lang w:eastAsia="zh-CN"/>
        </w:rPr>
        <w:t>通知书</w:t>
      </w:r>
    </w:p>
    <w:p w14:paraId="27BB00F6">
      <w:pPr>
        <w:rPr>
          <w:rFonts w:hint="eastAsia"/>
          <w:color w:val="auto"/>
          <w:highlight w:val="none"/>
          <w:lang w:eastAsia="zh-CN"/>
        </w:rPr>
      </w:pPr>
    </w:p>
    <w:p w14:paraId="5A4521B4">
      <w:pPr>
        <w:jc w:val="center"/>
        <w:rPr>
          <w:rFonts w:hint="eastAsia"/>
          <w:color w:val="auto"/>
          <w:highlight w:val="none"/>
          <w:lang w:eastAsia="zh-CN"/>
        </w:rPr>
        <w:sectPr>
          <w:pgSz w:w="11910" w:h="16840"/>
          <w:pgMar w:top="1440" w:right="1474" w:bottom="1440" w:left="1587" w:header="0" w:footer="1196" w:gutter="0"/>
          <w:pgNumType w:fmt="decimal"/>
          <w:cols w:space="0" w:num="1"/>
        </w:sectPr>
      </w:pPr>
    </w:p>
    <w:p w14:paraId="31047864">
      <w:pPr>
        <w:pStyle w:val="8"/>
        <w:adjustRightInd w:val="0"/>
        <w:snapToGrid w:val="0"/>
        <w:spacing w:line="312" w:lineRule="auto"/>
        <w:ind w:firstLine="0"/>
        <w:rPr>
          <w:rFonts w:hint="eastAsia"/>
          <w:color w:val="auto"/>
          <w:highlight w:val="none"/>
          <w:lang w:eastAsia="zh-CN"/>
        </w:rPr>
      </w:pPr>
      <w:r>
        <w:rPr>
          <w:rFonts w:hint="eastAsia"/>
          <w:color w:val="auto"/>
          <w:spacing w:val="-20"/>
          <w:highlight w:val="none"/>
          <w:lang w:eastAsia="zh-CN"/>
        </w:rPr>
        <w:t xml:space="preserve">附件 </w:t>
      </w:r>
      <w:r>
        <w:rPr>
          <w:rFonts w:hint="eastAsia"/>
          <w:color w:val="auto"/>
          <w:highlight w:val="none"/>
          <w:lang w:eastAsia="zh-CN"/>
        </w:rPr>
        <w:t>2：</w:t>
      </w:r>
    </w:p>
    <w:p w14:paraId="644F1340">
      <w:pPr>
        <w:autoSpaceDE/>
        <w:autoSpaceDN/>
        <w:adjustRightInd w:val="0"/>
        <w:snapToGrid w:val="0"/>
        <w:spacing w:line="312" w:lineRule="auto"/>
        <w:jc w:val="center"/>
        <w:rPr>
          <w:rFonts w:hint="eastAsia"/>
          <w:color w:val="auto"/>
          <w:sz w:val="24"/>
          <w:szCs w:val="24"/>
          <w:highlight w:val="none"/>
          <w:lang w:eastAsia="zh-CN"/>
        </w:rPr>
      </w:pPr>
      <w:r>
        <w:rPr>
          <w:rFonts w:hint="eastAsia"/>
          <w:b/>
          <w:bCs/>
          <w:color w:val="auto"/>
          <w:sz w:val="32"/>
          <w:szCs w:val="32"/>
          <w:highlight w:val="none"/>
          <w:lang w:eastAsia="zh-CN"/>
        </w:rPr>
        <w:t>廉政合同</w:t>
      </w:r>
    </w:p>
    <w:p w14:paraId="288F397E">
      <w:pPr>
        <w:adjustRightInd w:val="0"/>
        <w:snapToGrid w:val="0"/>
        <w:spacing w:line="312" w:lineRule="auto"/>
        <w:ind w:firstLine="539"/>
        <w:rPr>
          <w:rFonts w:hint="eastAsia"/>
          <w:color w:val="auto"/>
          <w:sz w:val="24"/>
          <w:szCs w:val="24"/>
          <w:highlight w:val="none"/>
          <w:lang w:val="zh-CN" w:eastAsia="zh-CN"/>
        </w:rPr>
      </w:pPr>
    </w:p>
    <w:p w14:paraId="1199B70A">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投保人（甲方1：业主）：</w:t>
      </w:r>
      <w:r>
        <w:rPr>
          <w:rFonts w:hint="eastAsia"/>
          <w:bCs/>
          <w:color w:val="auto"/>
          <w:sz w:val="24"/>
          <w:szCs w:val="24"/>
          <w:highlight w:val="none"/>
          <w:u w:val="single"/>
          <w:lang w:eastAsia="zh-CN"/>
        </w:rPr>
        <w:t xml:space="preserve">广州白云潭村置地有限公司                                               </w:t>
      </w:r>
    </w:p>
    <w:p w14:paraId="421F4082">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w:t>
      </w:r>
      <w:r>
        <w:rPr>
          <w:rFonts w:hint="eastAsia"/>
          <w:bCs/>
          <w:color w:val="auto"/>
          <w:sz w:val="24"/>
          <w:szCs w:val="24"/>
          <w:highlight w:val="none"/>
          <w:u w:val="none"/>
          <w:lang w:eastAsia="zh-CN"/>
        </w:rPr>
        <w:t>甲方2：项目管理单位</w:t>
      </w:r>
      <w:r>
        <w:rPr>
          <w:rFonts w:hint="eastAsia"/>
          <w:bCs/>
          <w:color w:val="auto"/>
          <w:sz w:val="24"/>
          <w:szCs w:val="24"/>
          <w:highlight w:val="none"/>
          <w:lang w:eastAsia="zh-CN"/>
        </w:rPr>
        <w:t>）：</w:t>
      </w:r>
      <w:r>
        <w:rPr>
          <w:rFonts w:hint="eastAsia"/>
          <w:bCs/>
          <w:color w:val="auto"/>
          <w:sz w:val="24"/>
          <w:szCs w:val="24"/>
          <w:highlight w:val="none"/>
          <w:u w:val="single"/>
          <w:lang w:eastAsia="zh-CN"/>
        </w:rPr>
        <w:t xml:space="preserve">广州市白云城市建设投资有限公司                                          </w:t>
      </w:r>
    </w:p>
    <w:p w14:paraId="28918538">
      <w:pPr>
        <w:adjustRightInd w:val="0"/>
        <w:snapToGrid w:val="0"/>
        <w:spacing w:line="312" w:lineRule="auto"/>
        <w:ind w:firstLine="480" w:firstLineChars="200"/>
        <w:rPr>
          <w:rFonts w:hint="eastAsia"/>
          <w:bCs/>
          <w:snapToGrid w:val="0"/>
          <w:color w:val="auto"/>
          <w:spacing w:val="-6"/>
          <w:sz w:val="24"/>
          <w:highlight w:val="none"/>
          <w:u w:val="single"/>
          <w:lang w:eastAsia="zh-CN"/>
        </w:rPr>
      </w:pPr>
      <w:r>
        <w:rPr>
          <w:rFonts w:hint="eastAsia"/>
          <w:color w:val="auto"/>
          <w:sz w:val="24"/>
          <w:szCs w:val="24"/>
          <w:highlight w:val="none"/>
          <w:lang w:eastAsia="zh-CN"/>
        </w:rPr>
        <w:t>保险人</w:t>
      </w:r>
      <w:r>
        <w:rPr>
          <w:rFonts w:hint="eastAsia"/>
          <w:color w:val="auto"/>
          <w:sz w:val="24"/>
          <w:szCs w:val="24"/>
          <w:highlight w:val="none"/>
          <w:lang w:val="zh-CN" w:eastAsia="zh-CN"/>
        </w:rPr>
        <w:t>：</w:t>
      </w:r>
      <w:r>
        <w:rPr>
          <w:rFonts w:hint="eastAsia"/>
          <w:color w:val="auto"/>
          <w:sz w:val="24"/>
          <w:szCs w:val="24"/>
          <w:highlight w:val="none"/>
          <w:u w:val="single"/>
          <w:lang w:eastAsia="zh-CN"/>
        </w:rPr>
        <w:t xml:space="preserve">                                                                 </w:t>
      </w:r>
    </w:p>
    <w:p w14:paraId="5F70A2BA">
      <w:pPr>
        <w:tabs>
          <w:tab w:val="center" w:pos="4153"/>
        </w:tabs>
        <w:adjustRightInd w:val="0"/>
        <w:snapToGrid w:val="0"/>
        <w:spacing w:line="312" w:lineRule="auto"/>
        <w:ind w:firstLine="480" w:firstLineChars="200"/>
        <w:rPr>
          <w:rFonts w:hint="eastAsia"/>
          <w:color w:val="auto"/>
          <w:sz w:val="24"/>
          <w:szCs w:val="24"/>
          <w:highlight w:val="none"/>
          <w:lang w:val="zh-CN" w:eastAsia="zh-CN"/>
        </w:rPr>
      </w:pPr>
    </w:p>
    <w:p w14:paraId="55609D34">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zh-CN" w:eastAsia="zh-CN"/>
        </w:rPr>
        <w:t>根据国家、省有关廉政建设的规定，为做好合同的廉政建设，保证服务质量与安全，提高资金的有效使用和投资效益，合同双方当事人就加强合同的廉政建设，订立本合同</w:t>
      </w:r>
      <w:r>
        <w:rPr>
          <w:rFonts w:hint="eastAsia"/>
          <w:color w:val="auto"/>
          <w:sz w:val="24"/>
          <w:szCs w:val="24"/>
          <w:highlight w:val="none"/>
          <w:lang w:eastAsia="zh-CN"/>
        </w:rPr>
        <w:t>。</w:t>
      </w:r>
    </w:p>
    <w:p w14:paraId="407B0F38">
      <w:pPr>
        <w:adjustRightInd w:val="0"/>
        <w:snapToGrid w:val="0"/>
        <w:spacing w:line="360" w:lineRule="auto"/>
        <w:ind w:firstLine="482" w:firstLineChars="200"/>
        <w:rPr>
          <w:rFonts w:hint="eastAsia"/>
          <w:b/>
          <w:bCs/>
          <w:color w:val="auto"/>
          <w:sz w:val="24"/>
          <w:szCs w:val="24"/>
          <w:highlight w:val="none"/>
          <w:lang w:eastAsia="zh-CN"/>
        </w:rPr>
      </w:pPr>
      <w:bookmarkStart w:id="12" w:name="_Toc6636"/>
      <w:bookmarkStart w:id="13" w:name="_Toc30885"/>
      <w:bookmarkStart w:id="14" w:name="_Toc27416"/>
      <w:bookmarkStart w:id="15" w:name="_Toc17479"/>
      <w:r>
        <w:rPr>
          <w:rFonts w:hint="eastAsia"/>
          <w:b/>
          <w:bCs/>
          <w:color w:val="auto"/>
          <w:sz w:val="24"/>
          <w:szCs w:val="24"/>
          <w:highlight w:val="none"/>
          <w:lang w:eastAsia="zh-CN"/>
        </w:rPr>
        <w:t>一、双方权利和义务</w:t>
      </w:r>
      <w:bookmarkEnd w:id="12"/>
      <w:bookmarkEnd w:id="13"/>
      <w:bookmarkEnd w:id="14"/>
      <w:bookmarkEnd w:id="15"/>
    </w:p>
    <w:p w14:paraId="7440B87E">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1.1 严格遵守国家、省有关法律法规的规定。</w:t>
      </w:r>
    </w:p>
    <w:p w14:paraId="36E04FD8">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1.2 严格执行合同一切合同文件，自觉按合同办事。</w:t>
      </w:r>
    </w:p>
    <w:p w14:paraId="4C2D94BB">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1.3 </w:t>
      </w:r>
      <w:r>
        <w:rPr>
          <w:rFonts w:hint="eastAsia"/>
          <w:color w:val="auto"/>
          <w:sz w:val="24"/>
          <w:szCs w:val="24"/>
          <w:highlight w:val="none"/>
          <w:lang w:val="zh-CN" w:eastAsia="zh-CN"/>
        </w:rPr>
        <w:t>合同双方当事人的业务活动应坚持公平、公开、公正和诚信的原则（法律认定的商业秘密和合同文件另有规定除外），不得损害国家和集体利益，不得违反工程建设管理规章制度</w:t>
      </w:r>
      <w:r>
        <w:rPr>
          <w:rFonts w:hint="eastAsia"/>
          <w:color w:val="auto"/>
          <w:sz w:val="24"/>
          <w:szCs w:val="24"/>
          <w:highlight w:val="none"/>
          <w:lang w:eastAsia="zh-CN"/>
        </w:rPr>
        <w:t>。</w:t>
      </w:r>
    </w:p>
    <w:p w14:paraId="43507B48">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1.4 建立健全廉政制度，开展廉政教育，设立廉政告示牌，公布举报电话，监督并认真查处违法违纪行为。</w:t>
      </w:r>
    </w:p>
    <w:p w14:paraId="2F963A07">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1.5 发现对方在业务活动中有违反廉政建设规定的行为，应及时给予提醒和纠正。</w:t>
      </w:r>
    </w:p>
    <w:p w14:paraId="3D62D127">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1.6 发现对方严重违反合同的行为，有向其主管部门举报、建议给予处理并要求告知处理结果的权利。</w:t>
      </w:r>
    </w:p>
    <w:p w14:paraId="463E2E6A">
      <w:pPr>
        <w:adjustRightInd w:val="0"/>
        <w:snapToGrid w:val="0"/>
        <w:spacing w:line="360" w:lineRule="auto"/>
        <w:ind w:firstLine="482" w:firstLineChars="200"/>
        <w:rPr>
          <w:rFonts w:hint="eastAsia"/>
          <w:b/>
          <w:bCs/>
          <w:color w:val="auto"/>
          <w:sz w:val="24"/>
          <w:szCs w:val="24"/>
          <w:highlight w:val="none"/>
          <w:lang w:eastAsia="zh-CN"/>
        </w:rPr>
      </w:pPr>
      <w:bookmarkStart w:id="16" w:name="_Toc23112"/>
      <w:r>
        <w:rPr>
          <w:rFonts w:hint="eastAsia"/>
          <w:b/>
          <w:bCs/>
          <w:color w:val="auto"/>
          <w:sz w:val="24"/>
          <w:szCs w:val="24"/>
          <w:highlight w:val="none"/>
          <w:lang w:eastAsia="zh-CN"/>
        </w:rPr>
        <w:t>二、投保人义务</w:t>
      </w:r>
      <w:bookmarkEnd w:id="16"/>
    </w:p>
    <w:p w14:paraId="1A7760D5">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2.1 投保人及其工作人员不得索要或接受保险人的礼金、有价证券和贵重物品，不得在保险人报销任何应由投保人或工作人员个人支付的费用等。</w:t>
      </w:r>
    </w:p>
    <w:p w14:paraId="5F57C49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2.2 投保人及其工作人员不得参加保险人安排的宴请（工作餐除外）和娱乐活动；不得接受保险人提供的通讯工具、交通工具和高档办公用品等。</w:t>
      </w:r>
    </w:p>
    <w:p w14:paraId="63CBBBD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2.3 投保人及其工作人员不得要求或者接受保险人为其住房装修、婚丧嫁娶活动、配偶子女的工作安排以及出国出境、旅游等提供方便等。</w:t>
      </w:r>
    </w:p>
    <w:p w14:paraId="47EEE34B">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2.4 不准向保险人介绍配偶、子女、亲属参与与发包人有关的经济活动，不得以任何理由向保险人和相关单位推荐第三方单位。</w:t>
      </w:r>
    </w:p>
    <w:p w14:paraId="63738A19">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2.5 </w:t>
      </w:r>
      <w:r>
        <w:rPr>
          <w:rFonts w:hint="eastAsia"/>
          <w:color w:val="auto"/>
          <w:sz w:val="24"/>
          <w:szCs w:val="24"/>
          <w:highlight w:val="none"/>
          <w:lang w:val="zh-CN" w:eastAsia="zh-CN"/>
        </w:rPr>
        <w:t>投保人及其工作人员要秉公办事，不准营私舞弊，不准利用职权私自为合同工程安排施工队伍，也不得从事与合同工程有关的各种有偿中介活动</w:t>
      </w:r>
      <w:r>
        <w:rPr>
          <w:rFonts w:hint="eastAsia"/>
          <w:color w:val="auto"/>
          <w:sz w:val="24"/>
          <w:szCs w:val="24"/>
          <w:highlight w:val="none"/>
          <w:lang w:eastAsia="zh-CN"/>
        </w:rPr>
        <w:t>。</w:t>
      </w:r>
    </w:p>
    <w:p w14:paraId="564796B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2.6 不准参与影响相关工作正常和公正开展的其他活动。</w:t>
      </w:r>
    </w:p>
    <w:p w14:paraId="4AF3CB22">
      <w:pPr>
        <w:adjustRightInd w:val="0"/>
        <w:snapToGrid w:val="0"/>
        <w:spacing w:line="360" w:lineRule="auto"/>
        <w:ind w:firstLine="482" w:firstLineChars="200"/>
        <w:rPr>
          <w:rFonts w:hint="eastAsia"/>
          <w:b/>
          <w:bCs/>
          <w:color w:val="auto"/>
          <w:sz w:val="24"/>
          <w:szCs w:val="24"/>
          <w:highlight w:val="none"/>
          <w:lang w:eastAsia="zh-CN"/>
        </w:rPr>
      </w:pPr>
      <w:bookmarkStart w:id="17" w:name="_Toc25034"/>
      <w:r>
        <w:rPr>
          <w:rFonts w:hint="eastAsia"/>
          <w:b/>
          <w:bCs/>
          <w:color w:val="auto"/>
          <w:sz w:val="24"/>
          <w:szCs w:val="24"/>
          <w:highlight w:val="none"/>
          <w:lang w:eastAsia="zh-CN"/>
        </w:rPr>
        <w:t>三、保险人义务</w:t>
      </w:r>
      <w:bookmarkEnd w:id="17"/>
    </w:p>
    <w:p w14:paraId="566924B9">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3.1 保险人不得以任何理由向投保人及其工作人员行贿或馈赠礼金、有价证券、贵重礼品。</w:t>
      </w:r>
    </w:p>
    <w:p w14:paraId="11978606">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3.2 保险人不得以任何名义为投保人及其工作人员报销应由投保人或工作人员个人支付的任何费用。</w:t>
      </w:r>
    </w:p>
    <w:p w14:paraId="52B369E3">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3.3 保险人不得以任何理由安排投保人及其工作人员参加宴请（工作餐除外）及娱乐活动。</w:t>
      </w:r>
    </w:p>
    <w:p w14:paraId="0B3927AA">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3.4 保险人不得为投保人和个人购置或提供通讯工具、交通工具和高档办公用品等。</w:t>
      </w:r>
    </w:p>
    <w:p w14:paraId="51FE9852">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3.5 </w:t>
      </w:r>
      <w:r>
        <w:rPr>
          <w:rFonts w:hint="eastAsia"/>
          <w:color w:val="auto"/>
          <w:sz w:val="24"/>
          <w:szCs w:val="24"/>
          <w:highlight w:val="none"/>
          <w:lang w:val="zh-CN" w:eastAsia="zh-CN"/>
        </w:rPr>
        <w:t>保险人不得为投保人及其工作人员的住房装修、婚丧嫁娶活动、配偶子女工作安排以及出国出境、旅游等提供方便。</w:t>
      </w:r>
    </w:p>
    <w:p w14:paraId="4087549B">
      <w:pPr>
        <w:adjustRightInd w:val="0"/>
        <w:snapToGrid w:val="0"/>
        <w:spacing w:line="360" w:lineRule="auto"/>
        <w:ind w:firstLine="482" w:firstLineChars="200"/>
        <w:rPr>
          <w:rFonts w:hint="eastAsia"/>
          <w:b/>
          <w:bCs/>
          <w:color w:val="auto"/>
          <w:sz w:val="24"/>
          <w:szCs w:val="24"/>
          <w:highlight w:val="none"/>
          <w:lang w:eastAsia="zh-CN"/>
        </w:rPr>
      </w:pPr>
      <w:bookmarkStart w:id="18" w:name="_Toc13487"/>
      <w:r>
        <w:rPr>
          <w:rFonts w:hint="eastAsia"/>
          <w:b/>
          <w:bCs/>
          <w:color w:val="auto"/>
          <w:sz w:val="24"/>
          <w:szCs w:val="24"/>
          <w:highlight w:val="none"/>
          <w:lang w:eastAsia="zh-CN"/>
        </w:rPr>
        <w:t>四、违约责任</w:t>
      </w:r>
      <w:bookmarkEnd w:id="18"/>
    </w:p>
    <w:p w14:paraId="3B91B2B7">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4.1 投保人及其工作人员违反本合同第一条和第二条约定，应依据有关规定给予廉政建设规定的处分；涉嫌犯罪的，移交司法机关追究刑事责任；给保险人造成经济损失的，应予赔偿。</w:t>
      </w:r>
    </w:p>
    <w:p w14:paraId="5C235B6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4.2 </w:t>
      </w:r>
      <w:r>
        <w:rPr>
          <w:rFonts w:hint="eastAsia"/>
          <w:color w:val="auto"/>
          <w:sz w:val="24"/>
          <w:szCs w:val="24"/>
          <w:highlight w:val="none"/>
          <w:lang w:val="zh-CN" w:eastAsia="zh-CN"/>
        </w:rPr>
        <w:t>保险人及其工作人员违反本合同第</w:t>
      </w:r>
      <w:r>
        <w:rPr>
          <w:rFonts w:hint="eastAsia"/>
          <w:color w:val="auto"/>
          <w:sz w:val="24"/>
          <w:szCs w:val="24"/>
          <w:highlight w:val="none"/>
          <w:lang w:eastAsia="zh-CN"/>
        </w:rPr>
        <w:t>一</w:t>
      </w:r>
      <w:r>
        <w:rPr>
          <w:rFonts w:hint="eastAsia"/>
          <w:color w:val="auto"/>
          <w:sz w:val="24"/>
          <w:szCs w:val="24"/>
          <w:highlight w:val="none"/>
          <w:lang w:val="zh-CN" w:eastAsia="zh-CN"/>
        </w:rPr>
        <w:t>条和第</w:t>
      </w:r>
      <w:r>
        <w:rPr>
          <w:rFonts w:hint="eastAsia"/>
          <w:color w:val="auto"/>
          <w:sz w:val="24"/>
          <w:szCs w:val="24"/>
          <w:highlight w:val="none"/>
          <w:lang w:eastAsia="zh-CN"/>
        </w:rPr>
        <w:t>三</w:t>
      </w:r>
      <w:r>
        <w:rPr>
          <w:rFonts w:hint="eastAsia"/>
          <w:color w:val="auto"/>
          <w:sz w:val="24"/>
          <w:szCs w:val="24"/>
          <w:highlight w:val="none"/>
          <w:lang w:val="zh-CN" w:eastAsia="zh-CN"/>
        </w:rPr>
        <w:t>条约定，应按照廉政建设的有关规定给予处分；涉嫌犯罪的，移交司法机关追究刑事责任；给投保人造成损失的，应予赔偿。</w:t>
      </w:r>
    </w:p>
    <w:p w14:paraId="3AF71B37">
      <w:pPr>
        <w:adjustRightInd w:val="0"/>
        <w:snapToGrid w:val="0"/>
        <w:spacing w:line="360" w:lineRule="auto"/>
        <w:ind w:firstLine="482" w:firstLineChars="200"/>
        <w:rPr>
          <w:rFonts w:hint="eastAsia"/>
          <w:b/>
          <w:bCs/>
          <w:color w:val="auto"/>
          <w:sz w:val="24"/>
          <w:szCs w:val="24"/>
          <w:highlight w:val="none"/>
          <w:lang w:eastAsia="zh-CN"/>
        </w:rPr>
      </w:pPr>
      <w:bookmarkStart w:id="19" w:name="_Toc30258"/>
      <w:r>
        <w:rPr>
          <w:rFonts w:hint="eastAsia"/>
          <w:b/>
          <w:bCs/>
          <w:color w:val="auto"/>
          <w:sz w:val="24"/>
          <w:szCs w:val="24"/>
          <w:highlight w:val="none"/>
          <w:lang w:eastAsia="zh-CN"/>
        </w:rPr>
        <w:t>五、双方约定</w:t>
      </w:r>
      <w:bookmarkEnd w:id="19"/>
    </w:p>
    <w:p w14:paraId="27992FCB">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zh-CN" w:eastAsia="zh-CN"/>
        </w:rPr>
        <w:t>本合同由合同双方当事人或其主管部门负责监督执行</w:t>
      </w:r>
      <w:r>
        <w:rPr>
          <w:rFonts w:hint="eastAsia"/>
          <w:color w:val="auto"/>
          <w:sz w:val="24"/>
          <w:szCs w:val="24"/>
          <w:highlight w:val="none"/>
          <w:lang w:eastAsia="zh-CN"/>
        </w:rPr>
        <w:t>。</w:t>
      </w:r>
    </w:p>
    <w:p w14:paraId="5D6DFF1B">
      <w:pPr>
        <w:adjustRightInd w:val="0"/>
        <w:snapToGrid w:val="0"/>
        <w:spacing w:line="360" w:lineRule="auto"/>
        <w:ind w:firstLine="482" w:firstLineChars="200"/>
        <w:rPr>
          <w:rFonts w:hint="eastAsia"/>
          <w:b/>
          <w:bCs/>
          <w:color w:val="auto"/>
          <w:sz w:val="24"/>
          <w:szCs w:val="24"/>
          <w:highlight w:val="none"/>
          <w:lang w:eastAsia="zh-CN"/>
        </w:rPr>
      </w:pPr>
      <w:bookmarkStart w:id="20" w:name="_Toc24522"/>
      <w:r>
        <w:rPr>
          <w:rFonts w:hint="eastAsia"/>
          <w:b/>
          <w:bCs/>
          <w:color w:val="auto"/>
          <w:sz w:val="24"/>
          <w:szCs w:val="24"/>
          <w:highlight w:val="none"/>
          <w:lang w:eastAsia="zh-CN"/>
        </w:rPr>
        <w:t>六、合同法律效力</w:t>
      </w:r>
      <w:bookmarkEnd w:id="20"/>
    </w:p>
    <w:p w14:paraId="300A809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本合同作为</w:t>
      </w:r>
      <w:r>
        <w:rPr>
          <w:rFonts w:hint="eastAsia"/>
          <w:color w:val="auto"/>
          <w:sz w:val="24"/>
          <w:szCs w:val="24"/>
          <w:highlight w:val="none"/>
          <w:u w:val="single"/>
          <w:lang w:eastAsia="zh-CN"/>
        </w:rPr>
        <w:t>广州市白云区潭村城中村改造项目二期安置地块及安置区配套道路项目住宅工程质量潜在缺陷保险合同</w:t>
      </w:r>
      <w:r>
        <w:rPr>
          <w:rFonts w:hint="eastAsia"/>
          <w:color w:val="auto"/>
          <w:sz w:val="24"/>
          <w:szCs w:val="24"/>
          <w:highlight w:val="none"/>
          <w:lang w:eastAsia="zh-CN"/>
        </w:rPr>
        <w:t>的附件，与主合同具有同等的法律效力。</w:t>
      </w:r>
    </w:p>
    <w:p w14:paraId="0F4B6B42">
      <w:pPr>
        <w:adjustRightInd w:val="0"/>
        <w:snapToGrid w:val="0"/>
        <w:spacing w:line="360" w:lineRule="auto"/>
        <w:ind w:firstLine="482" w:firstLineChars="200"/>
        <w:rPr>
          <w:rFonts w:hint="eastAsia"/>
          <w:b/>
          <w:bCs/>
          <w:color w:val="auto"/>
          <w:sz w:val="24"/>
          <w:szCs w:val="24"/>
          <w:highlight w:val="none"/>
          <w:lang w:eastAsia="zh-CN"/>
        </w:rPr>
      </w:pPr>
      <w:bookmarkStart w:id="21" w:name="_Toc17037"/>
      <w:r>
        <w:rPr>
          <w:rFonts w:hint="eastAsia"/>
          <w:b/>
          <w:bCs/>
          <w:color w:val="auto"/>
          <w:sz w:val="24"/>
          <w:szCs w:val="24"/>
          <w:highlight w:val="none"/>
          <w:lang w:eastAsia="zh-CN"/>
        </w:rPr>
        <w:t>七、合同份数</w:t>
      </w:r>
      <w:bookmarkEnd w:id="21"/>
    </w:p>
    <w:p w14:paraId="360C9837">
      <w:pPr>
        <w:adjustRightInd w:val="0"/>
        <w:snapToGrid w:val="0"/>
        <w:spacing w:line="360" w:lineRule="auto"/>
        <w:ind w:firstLine="480" w:firstLineChars="200"/>
        <w:rPr>
          <w:rFonts w:hint="eastAsia"/>
          <w:snapToGrid w:val="0"/>
          <w:color w:val="auto"/>
          <w:sz w:val="24"/>
          <w:szCs w:val="24"/>
          <w:highlight w:val="none"/>
          <w:lang w:eastAsia="zh-CN"/>
        </w:rPr>
      </w:pPr>
      <w:r>
        <w:rPr>
          <w:rFonts w:hint="eastAsia"/>
          <w:snapToGrid w:val="0"/>
          <w:color w:val="auto"/>
          <w:sz w:val="24"/>
          <w:szCs w:val="24"/>
          <w:highlight w:val="none"/>
          <w:lang w:eastAsia="zh-CN"/>
        </w:rPr>
        <w:t>本合同一式</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lang w:eastAsia="zh-CN"/>
        </w:rPr>
        <w:t>份，甲乙双方各执</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lang w:eastAsia="zh-CN"/>
        </w:rPr>
        <w:t>份。</w:t>
      </w:r>
    </w:p>
    <w:p w14:paraId="09E57C59">
      <w:pPr>
        <w:adjustRightInd w:val="0"/>
        <w:snapToGrid w:val="0"/>
        <w:spacing w:line="360" w:lineRule="auto"/>
        <w:ind w:firstLine="480" w:firstLineChars="200"/>
        <w:rPr>
          <w:rFonts w:hint="eastAsia"/>
          <w:snapToGrid w:val="0"/>
          <w:color w:val="auto"/>
          <w:sz w:val="24"/>
          <w:szCs w:val="24"/>
          <w:highlight w:val="none"/>
          <w:lang w:eastAsia="zh-CN"/>
        </w:rPr>
      </w:pPr>
      <w:r>
        <w:rPr>
          <w:rFonts w:hint="eastAsia"/>
          <w:snapToGrid w:val="0"/>
          <w:color w:val="auto"/>
          <w:sz w:val="24"/>
          <w:szCs w:val="24"/>
          <w:highlight w:val="none"/>
          <w:lang w:eastAsia="zh-CN"/>
        </w:rPr>
        <w:t>（</w:t>
      </w:r>
      <w:r>
        <w:rPr>
          <w:rFonts w:hint="eastAsia"/>
          <w:snapToGrid w:val="0"/>
          <w:color w:val="auto"/>
          <w:sz w:val="24"/>
          <w:szCs w:val="24"/>
          <w:highlight w:val="none"/>
          <w:lang w:val="en-US" w:eastAsia="zh-CN"/>
        </w:rPr>
        <w:t>本页以下无正文</w:t>
      </w:r>
      <w:r>
        <w:rPr>
          <w:rFonts w:hint="eastAsia"/>
          <w:snapToGrid w:val="0"/>
          <w:color w:val="auto"/>
          <w:sz w:val="24"/>
          <w:szCs w:val="24"/>
          <w:highlight w:val="none"/>
          <w:lang w:eastAsia="zh-CN"/>
        </w:rPr>
        <w:t>）</w:t>
      </w:r>
    </w:p>
    <w:p w14:paraId="73C4E814">
      <w:pPr>
        <w:adjustRightInd w:val="0"/>
        <w:snapToGrid w:val="0"/>
        <w:spacing w:line="360" w:lineRule="auto"/>
        <w:rPr>
          <w:rFonts w:hint="eastAsia"/>
          <w:snapToGrid w:val="0"/>
          <w:color w:val="auto"/>
          <w:sz w:val="24"/>
          <w:szCs w:val="24"/>
          <w:highlight w:val="none"/>
          <w:lang w:eastAsia="zh-CN"/>
        </w:rPr>
      </w:pPr>
    </w:p>
    <w:p w14:paraId="565A2CBC">
      <w:pPr>
        <w:tabs>
          <w:tab w:val="left" w:leader="underscore" w:pos="7560"/>
        </w:tabs>
        <w:spacing w:line="360" w:lineRule="auto"/>
        <w:ind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本页为签署页</w:t>
      </w:r>
      <w:r>
        <w:rPr>
          <w:rFonts w:hint="eastAsia" w:ascii="宋体" w:hAnsi="宋体" w:eastAsia="宋体" w:cs="宋体"/>
          <w:bCs/>
          <w:color w:val="auto"/>
          <w:sz w:val="24"/>
          <w:szCs w:val="24"/>
          <w:highlight w:val="none"/>
          <w:lang w:eastAsia="zh-CN"/>
        </w:rPr>
        <w:t>）</w:t>
      </w:r>
    </w:p>
    <w:p w14:paraId="6DCB9C24">
      <w:pPr>
        <w:tabs>
          <w:tab w:val="left" w:leader="underscore" w:pos="7560"/>
        </w:tabs>
        <w:spacing w:line="360" w:lineRule="auto"/>
        <w:ind w:firstLine="0" w:firstLineChars="0"/>
        <w:rPr>
          <w:rFonts w:hint="eastAsia" w:ascii="宋体" w:hAnsi="宋体" w:eastAsia="宋体" w:cs="宋体"/>
          <w:bCs/>
          <w:color w:val="auto"/>
          <w:sz w:val="24"/>
          <w:szCs w:val="24"/>
          <w:highlight w:val="none"/>
          <w:lang w:eastAsia="zh-CN"/>
        </w:rPr>
      </w:pPr>
    </w:p>
    <w:p w14:paraId="4078CD45">
      <w:pPr>
        <w:tabs>
          <w:tab w:val="left" w:leader="underscore" w:pos="7560"/>
        </w:tabs>
        <w:spacing w:line="360" w:lineRule="auto"/>
        <w:ind w:firstLine="0" w:firstLineChars="0"/>
        <w:rPr>
          <w:rFonts w:hint="eastAsia" w:ascii="宋体" w:hAnsi="宋体" w:eastAsia="宋体" w:cs="宋体"/>
          <w:bCs/>
          <w:color w:val="auto"/>
          <w:sz w:val="24"/>
          <w:szCs w:val="24"/>
          <w:highlight w:val="none"/>
          <w:lang w:eastAsia="zh-CN"/>
        </w:rPr>
      </w:pPr>
    </w:p>
    <w:p w14:paraId="097EFFA5">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投保人（甲方1：业主）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广州白云潭村置地有限公司 </w:t>
      </w:r>
      <w:r>
        <w:rPr>
          <w:rFonts w:hint="eastAsia" w:ascii="宋体" w:hAnsi="宋体" w:eastAsia="宋体" w:cs="宋体"/>
          <w:bCs/>
          <w:color w:val="auto"/>
          <w:sz w:val="24"/>
          <w:szCs w:val="24"/>
          <w:highlight w:val="none"/>
          <w:u w:val="none"/>
          <w:lang w:eastAsia="zh-CN"/>
        </w:rPr>
        <w:t xml:space="preserve">                        </w:t>
      </w:r>
      <w:r>
        <w:rPr>
          <w:rFonts w:hint="eastAsia" w:ascii="宋体" w:hAnsi="宋体" w:eastAsia="宋体" w:cs="宋体"/>
          <w:bCs/>
          <w:color w:val="auto"/>
          <w:sz w:val="24"/>
          <w:szCs w:val="24"/>
          <w:highlight w:val="none"/>
          <w:u w:val="single"/>
          <w:lang w:eastAsia="zh-CN"/>
        </w:rPr>
        <w:t xml:space="preserve">   </w:t>
      </w:r>
    </w:p>
    <w:p w14:paraId="412CDE1D">
      <w:pPr>
        <w:pStyle w:val="8"/>
        <w:spacing w:line="360" w:lineRule="auto"/>
        <w:ind w:right="1958" w:firstLine="0"/>
        <w:jc w:val="both"/>
        <w:rPr>
          <w:rFonts w:hint="eastAsia" w:ascii="宋体" w:hAnsi="宋体" w:eastAsia="宋体" w:cs="宋体"/>
          <w:sz w:val="24"/>
          <w:szCs w:val="24"/>
          <w:highlight w:val="none"/>
          <w:lang w:eastAsia="zh-CN"/>
        </w:rPr>
      </w:pPr>
    </w:p>
    <w:p w14:paraId="07661884">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7454ABFF">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44A849CC">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11FC2ED3">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67948366">
      <w:pPr>
        <w:tabs>
          <w:tab w:val="left" w:leader="underscore" w:pos="7560"/>
        </w:tabs>
        <w:spacing w:line="360" w:lineRule="auto"/>
        <w:ind w:firstLine="0" w:firstLineChars="0"/>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 xml:space="preserve">                   </w:t>
      </w:r>
    </w:p>
    <w:p w14:paraId="21C06D27">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5F7634A9">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w:t>
      </w:r>
      <w:r>
        <w:rPr>
          <w:rFonts w:hint="eastAsia" w:ascii="宋体" w:hAnsi="宋体" w:eastAsia="宋体" w:cs="宋体"/>
          <w:bCs/>
          <w:color w:val="auto"/>
          <w:sz w:val="24"/>
          <w:szCs w:val="24"/>
          <w:highlight w:val="none"/>
          <w:u w:val="none"/>
          <w:lang w:eastAsia="zh-CN"/>
        </w:rPr>
        <w:t>甲方2：项目管理单位</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广州市白云城市建设投资有限公司 </w:t>
      </w:r>
      <w:r>
        <w:rPr>
          <w:rFonts w:hint="eastAsia" w:ascii="宋体" w:hAnsi="宋体" w:eastAsia="宋体" w:cs="宋体"/>
          <w:bCs/>
          <w:color w:val="auto"/>
          <w:sz w:val="24"/>
          <w:szCs w:val="24"/>
          <w:highlight w:val="none"/>
          <w:u w:val="none"/>
          <w:lang w:eastAsia="zh-CN"/>
        </w:rPr>
        <w:t xml:space="preserve">      </w:t>
      </w:r>
    </w:p>
    <w:p w14:paraId="550628D7">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5AC58F62">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4976DC8F">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1102DF82">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020CFCF5">
      <w:pPr>
        <w:pStyle w:val="8"/>
        <w:spacing w:line="360" w:lineRule="auto"/>
        <w:rPr>
          <w:rFonts w:hint="eastAsia" w:ascii="宋体" w:hAnsi="宋体" w:eastAsia="宋体" w:cs="宋体"/>
          <w:sz w:val="24"/>
          <w:szCs w:val="24"/>
          <w:lang w:eastAsia="zh-CN"/>
        </w:rPr>
      </w:pPr>
    </w:p>
    <w:p w14:paraId="706C71CA">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4E403058">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31E012E9">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lang w:eastAsia="zh-CN"/>
        </w:rPr>
        <w:t>保险人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eastAsia="zh-CN"/>
        </w:rPr>
        <w:t xml:space="preserve">                          </w:t>
      </w:r>
    </w:p>
    <w:p w14:paraId="0786AC00">
      <w:pPr>
        <w:spacing w:line="360" w:lineRule="auto"/>
        <w:ind w:left="1672" w:leftChars="760" w:firstLine="480" w:firstLineChars="200"/>
        <w:rPr>
          <w:rFonts w:hint="eastAsia" w:ascii="宋体" w:hAnsi="宋体" w:eastAsia="宋体" w:cs="宋体"/>
          <w:color w:val="auto"/>
          <w:sz w:val="24"/>
          <w:szCs w:val="24"/>
          <w:highlight w:val="none"/>
          <w:lang w:eastAsia="zh-CN"/>
        </w:rPr>
      </w:pPr>
    </w:p>
    <w:p w14:paraId="6E2DA3F1">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3F7DEAF6">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490F6BCA">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18E1DF95">
      <w:pPr>
        <w:spacing w:line="312" w:lineRule="auto"/>
        <w:ind w:left="1672" w:leftChars="7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p>
    <w:p w14:paraId="074EAE24">
      <w:pPr>
        <w:adjustRightInd w:val="0"/>
        <w:snapToGrid w:val="0"/>
        <w:spacing w:line="312" w:lineRule="auto"/>
        <w:jc w:val="center"/>
        <w:rPr>
          <w:rFonts w:hint="eastAsia" w:ascii="宋体" w:hAnsi="宋体" w:eastAsia="宋体" w:cs="宋体"/>
          <w:snapToGrid w:val="0"/>
          <w:color w:val="auto"/>
          <w:sz w:val="24"/>
          <w:szCs w:val="24"/>
          <w:highlight w:val="none"/>
        </w:rPr>
      </w:pPr>
    </w:p>
    <w:p w14:paraId="55BA0BFD">
      <w:pPr>
        <w:adjustRightInd w:val="0"/>
        <w:snapToGrid w:val="0"/>
        <w:spacing w:line="312" w:lineRule="auto"/>
        <w:jc w:val="both"/>
        <w:rPr>
          <w:rFonts w:hint="eastAsia" w:ascii="宋体" w:hAnsi="宋体" w:eastAsia="宋体" w:cs="宋体"/>
          <w:snapToGrid w:val="0"/>
          <w:color w:val="auto"/>
          <w:sz w:val="24"/>
          <w:szCs w:val="24"/>
          <w:highlight w:val="none"/>
          <w:lang w:eastAsia="zh-CN"/>
        </w:rPr>
      </w:pPr>
    </w:p>
    <w:p w14:paraId="4D1B31CD">
      <w:pPr>
        <w:adjustRightInd w:val="0"/>
        <w:snapToGrid w:val="0"/>
        <w:spacing w:line="312" w:lineRule="auto"/>
        <w:jc w:val="both"/>
        <w:rPr>
          <w:rFonts w:hint="eastAsia"/>
          <w:snapToGrid w:val="0"/>
          <w:color w:val="auto"/>
          <w:sz w:val="24"/>
          <w:szCs w:val="24"/>
          <w:highlight w:val="none"/>
          <w:lang w:eastAsia="zh-CN"/>
        </w:rPr>
      </w:pPr>
    </w:p>
    <w:p w14:paraId="5058B598">
      <w:pPr>
        <w:adjustRightInd w:val="0"/>
        <w:snapToGrid w:val="0"/>
        <w:spacing w:line="312" w:lineRule="auto"/>
        <w:jc w:val="both"/>
        <w:rPr>
          <w:rFonts w:hint="eastAsia"/>
          <w:snapToGrid w:val="0"/>
          <w:color w:val="auto"/>
          <w:sz w:val="24"/>
          <w:szCs w:val="24"/>
          <w:highlight w:val="none"/>
          <w:lang w:eastAsia="zh-CN"/>
        </w:rPr>
      </w:pPr>
    </w:p>
    <w:p w14:paraId="137661F7">
      <w:pPr>
        <w:pStyle w:val="8"/>
        <w:adjustRightInd w:val="0"/>
        <w:snapToGrid w:val="0"/>
        <w:spacing w:line="312" w:lineRule="auto"/>
        <w:ind w:left="0" w:firstLine="0"/>
        <w:contextualSpacing/>
        <w:jc w:val="both"/>
        <w:rPr>
          <w:rFonts w:hint="eastAsia"/>
          <w:b/>
          <w:color w:val="auto"/>
          <w:sz w:val="32"/>
          <w:szCs w:val="32"/>
          <w:highlight w:val="none"/>
          <w:lang w:eastAsia="zh-CN"/>
        </w:rPr>
      </w:pPr>
      <w:r>
        <w:rPr>
          <w:rFonts w:hint="eastAsia"/>
          <w:color w:val="auto"/>
          <w:spacing w:val="-20"/>
          <w:highlight w:val="none"/>
          <w:lang w:eastAsia="zh-CN"/>
        </w:rPr>
        <w:t>附件 3</w:t>
      </w:r>
      <w:r>
        <w:rPr>
          <w:rFonts w:hint="eastAsia"/>
          <w:color w:val="auto"/>
          <w:highlight w:val="none"/>
          <w:lang w:eastAsia="zh-CN"/>
        </w:rPr>
        <w:t>：</w:t>
      </w:r>
    </w:p>
    <w:p w14:paraId="2FE0206F">
      <w:pPr>
        <w:adjustRightInd w:val="0"/>
        <w:snapToGrid w:val="0"/>
        <w:contextualSpacing/>
        <w:jc w:val="center"/>
        <w:rPr>
          <w:rFonts w:hint="eastAsia"/>
          <w:b/>
          <w:color w:val="auto"/>
          <w:sz w:val="32"/>
          <w:szCs w:val="32"/>
          <w:highlight w:val="none"/>
          <w:lang w:eastAsia="zh-CN"/>
        </w:rPr>
      </w:pPr>
      <w:r>
        <w:rPr>
          <w:rFonts w:hint="eastAsia"/>
          <w:b/>
          <w:color w:val="auto"/>
          <w:sz w:val="32"/>
          <w:szCs w:val="32"/>
          <w:highlight w:val="none"/>
          <w:lang w:eastAsia="zh-CN"/>
        </w:rPr>
        <w:t>保密协议</w:t>
      </w:r>
    </w:p>
    <w:p w14:paraId="76E70BA7">
      <w:pPr>
        <w:spacing w:line="360" w:lineRule="auto"/>
        <w:ind w:firstLine="540"/>
        <w:rPr>
          <w:rFonts w:hint="eastAsia"/>
          <w:color w:val="auto"/>
          <w:sz w:val="21"/>
          <w:szCs w:val="21"/>
          <w:highlight w:val="none"/>
          <w:lang w:val="zh-CN" w:eastAsia="zh-CN"/>
        </w:rPr>
      </w:pPr>
    </w:p>
    <w:p w14:paraId="71898C5A">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投保人（甲方1：业主）：</w:t>
      </w:r>
      <w:r>
        <w:rPr>
          <w:rFonts w:hint="eastAsia"/>
          <w:bCs/>
          <w:color w:val="auto"/>
          <w:sz w:val="24"/>
          <w:szCs w:val="24"/>
          <w:highlight w:val="none"/>
          <w:u w:val="single"/>
          <w:lang w:eastAsia="zh-CN"/>
        </w:rPr>
        <w:t xml:space="preserve">广州白云潭村置地有限公司                                               </w:t>
      </w:r>
    </w:p>
    <w:p w14:paraId="0C598735">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w:t>
      </w:r>
      <w:r>
        <w:rPr>
          <w:rFonts w:hint="eastAsia"/>
          <w:bCs/>
          <w:color w:val="auto"/>
          <w:sz w:val="24"/>
          <w:szCs w:val="24"/>
          <w:highlight w:val="none"/>
          <w:u w:val="single"/>
          <w:lang w:eastAsia="zh-CN"/>
        </w:rPr>
        <w:t>甲方2：项目管理单位</w:t>
      </w:r>
      <w:r>
        <w:rPr>
          <w:rFonts w:hint="eastAsia"/>
          <w:bCs/>
          <w:color w:val="auto"/>
          <w:sz w:val="24"/>
          <w:szCs w:val="24"/>
          <w:highlight w:val="none"/>
          <w:lang w:eastAsia="zh-CN"/>
        </w:rPr>
        <w:t>）：</w:t>
      </w:r>
      <w:r>
        <w:rPr>
          <w:rFonts w:hint="eastAsia"/>
          <w:bCs/>
          <w:color w:val="auto"/>
          <w:sz w:val="24"/>
          <w:szCs w:val="24"/>
          <w:highlight w:val="none"/>
          <w:u w:val="single"/>
          <w:lang w:eastAsia="zh-CN"/>
        </w:rPr>
        <w:t xml:space="preserve">广州市白云城市建设投资有限公司                                          </w:t>
      </w:r>
    </w:p>
    <w:p w14:paraId="50EF65C2">
      <w:pPr>
        <w:adjustRightInd w:val="0"/>
        <w:snapToGrid w:val="0"/>
        <w:spacing w:line="312" w:lineRule="auto"/>
        <w:ind w:firstLine="480" w:firstLineChars="200"/>
        <w:rPr>
          <w:rFonts w:hint="eastAsia"/>
          <w:bCs/>
          <w:snapToGrid w:val="0"/>
          <w:color w:val="auto"/>
          <w:spacing w:val="-6"/>
          <w:sz w:val="24"/>
          <w:highlight w:val="none"/>
          <w:u w:val="single"/>
          <w:lang w:eastAsia="zh-CN"/>
        </w:rPr>
      </w:pPr>
      <w:r>
        <w:rPr>
          <w:rFonts w:hint="eastAsia"/>
          <w:color w:val="auto"/>
          <w:sz w:val="24"/>
          <w:szCs w:val="24"/>
          <w:highlight w:val="none"/>
          <w:lang w:eastAsia="zh-CN"/>
        </w:rPr>
        <w:t>保险人</w:t>
      </w:r>
      <w:r>
        <w:rPr>
          <w:rFonts w:hint="eastAsia"/>
          <w:color w:val="auto"/>
          <w:sz w:val="24"/>
          <w:szCs w:val="24"/>
          <w:highlight w:val="none"/>
          <w:lang w:val="zh-CN" w:eastAsia="zh-CN"/>
        </w:rPr>
        <w:t>：</w:t>
      </w:r>
      <w:r>
        <w:rPr>
          <w:rFonts w:hint="eastAsia"/>
          <w:color w:val="auto"/>
          <w:sz w:val="24"/>
          <w:szCs w:val="24"/>
          <w:highlight w:val="none"/>
          <w:u w:val="single"/>
          <w:lang w:eastAsia="zh-CN"/>
        </w:rPr>
        <w:t xml:space="preserve">                                                                 </w:t>
      </w:r>
    </w:p>
    <w:p w14:paraId="602ECBD0">
      <w:pPr>
        <w:spacing w:line="312" w:lineRule="auto"/>
        <w:rPr>
          <w:rFonts w:hint="eastAsia"/>
          <w:color w:val="auto"/>
          <w:sz w:val="21"/>
          <w:szCs w:val="21"/>
          <w:highlight w:val="none"/>
          <w:lang w:eastAsia="zh-CN"/>
        </w:rPr>
      </w:pPr>
    </w:p>
    <w:p w14:paraId="59ABAA64">
      <w:pPr>
        <w:spacing w:line="360" w:lineRule="auto"/>
        <w:ind w:firstLine="540"/>
        <w:rPr>
          <w:rFonts w:hint="eastAsia"/>
          <w:color w:val="auto"/>
          <w:sz w:val="24"/>
          <w:szCs w:val="24"/>
          <w:highlight w:val="none"/>
          <w:lang w:eastAsia="zh-CN"/>
        </w:rPr>
      </w:pPr>
      <w:r>
        <w:rPr>
          <w:rFonts w:hint="eastAsia"/>
          <w:color w:val="auto"/>
          <w:sz w:val="24"/>
          <w:szCs w:val="24"/>
          <w:highlight w:val="none"/>
          <w:lang w:eastAsia="zh-CN"/>
        </w:rPr>
        <w:t>保险人作为投保人服务单位，保险人同意遵守投保人下列保密条款：</w:t>
      </w:r>
    </w:p>
    <w:p w14:paraId="1EFC99C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一、保密信息的范围</w:t>
      </w:r>
    </w:p>
    <w:p w14:paraId="2A8C24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val="zh-CN" w:eastAsia="zh-CN"/>
        </w:rPr>
      </w:pPr>
      <w:r>
        <w:rPr>
          <w:rFonts w:hint="eastAsia"/>
          <w:color w:val="auto"/>
          <w:sz w:val="24"/>
          <w:szCs w:val="24"/>
          <w:highlight w:val="none"/>
          <w:lang w:eastAsia="zh-CN"/>
        </w:rPr>
        <w:t>“保密信息”在本保密协议中是指保险人在为投保人提供服务工作的过程中所获取的重要工作信息。</w:t>
      </w:r>
      <w:r>
        <w:rPr>
          <w:rFonts w:hint="eastAsia"/>
          <w:color w:val="auto"/>
          <w:sz w:val="24"/>
          <w:szCs w:val="24"/>
          <w:highlight w:val="none"/>
          <w:lang w:val="zh-CN" w:eastAsia="zh-CN"/>
        </w:rPr>
        <w:t>该保密信息包括但不限于投资计划、项目规模、项目计划、项目相关数据和图纸、采购文件资料及信息、合同、价格、成本、研究报告、会议资料和文件。</w:t>
      </w:r>
    </w:p>
    <w:p w14:paraId="2ADFD1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不论以何种形式或载于何种载体，无论在披露时是否以口头、图像或以书面方式表明其具有保密性，都视为投保人的保密信息。</w:t>
      </w:r>
    </w:p>
    <w:p w14:paraId="31F2830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二、保险人的保密义务</w:t>
      </w:r>
    </w:p>
    <w:p w14:paraId="44E48F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保险人对已知悉的投保人保密信息，在此同意：</w:t>
      </w:r>
    </w:p>
    <w:p w14:paraId="41991B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（一）未经投保人事前书面批准，不论服务期间或以后，保险人及其工作人员不得以任何方式泄漏投保人的保密信息。</w:t>
      </w:r>
    </w:p>
    <w:p w14:paraId="61E67D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（二）一旦服务工作终止，保险人及其工作人员将退还保存的属于投保人的所有保密信息及资料，如方案、制度、报告、合同等。</w:t>
      </w:r>
    </w:p>
    <w:p w14:paraId="3CF89D3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三、保密期限</w:t>
      </w:r>
    </w:p>
    <w:p w14:paraId="44FADB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保密期限包括但不限于：从获知投保人保密信息时起，至保密信息已由投保人通过合法途径让普通公众知悉时止。</w:t>
      </w:r>
    </w:p>
    <w:p w14:paraId="00745A1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四、违约责任</w:t>
      </w:r>
    </w:p>
    <w:p w14:paraId="2C1C85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保险人违反本保密协议约定，要承担违约责任，投保人有权通过任何合理方式追究保险人的责任并终止服务合同。造成损失的，投保人有权要求保险人进行赔偿并追究保险人其他的法律责任。</w:t>
      </w:r>
    </w:p>
    <w:p w14:paraId="6C69A33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五、其他约定</w:t>
      </w:r>
    </w:p>
    <w:p w14:paraId="53D29A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本保密协议一式</w:t>
      </w:r>
      <w:r>
        <w:rPr>
          <w:rFonts w:hint="eastAsia"/>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color w:val="auto"/>
          <w:sz w:val="24"/>
          <w:szCs w:val="24"/>
          <w:highlight w:val="none"/>
          <w:u w:val="single"/>
          <w:lang w:eastAsia="zh-CN"/>
        </w:rPr>
        <w:t xml:space="preserve"> </w:t>
      </w:r>
      <w:r>
        <w:rPr>
          <w:rFonts w:hint="eastAsia"/>
          <w:color w:val="auto"/>
          <w:sz w:val="24"/>
          <w:szCs w:val="24"/>
          <w:highlight w:val="none"/>
          <w:lang w:eastAsia="zh-CN"/>
        </w:rPr>
        <w:t>份，甲乙双方各执</w:t>
      </w:r>
      <w:r>
        <w:rPr>
          <w:rFonts w:hint="eastAsia"/>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color w:val="auto"/>
          <w:sz w:val="24"/>
          <w:szCs w:val="24"/>
          <w:highlight w:val="none"/>
          <w:u w:val="single"/>
          <w:lang w:eastAsia="zh-CN"/>
        </w:rPr>
        <w:t xml:space="preserve"> </w:t>
      </w:r>
      <w:r>
        <w:rPr>
          <w:rFonts w:hint="eastAsia"/>
          <w:color w:val="auto"/>
          <w:sz w:val="24"/>
          <w:szCs w:val="24"/>
          <w:highlight w:val="none"/>
          <w:lang w:eastAsia="zh-CN"/>
        </w:rPr>
        <w:t>份，具有同等法律效力。本保密协议经甲、乙双方签字盖章后生效。</w:t>
      </w:r>
    </w:p>
    <w:p w14:paraId="0073150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以下无正文</w:t>
      </w:r>
      <w:r>
        <w:rPr>
          <w:rFonts w:hint="eastAsia"/>
          <w:color w:val="auto"/>
          <w:sz w:val="24"/>
          <w:szCs w:val="24"/>
          <w:highlight w:val="none"/>
          <w:lang w:eastAsia="zh-CN"/>
        </w:rPr>
        <w:t>）</w:t>
      </w:r>
    </w:p>
    <w:p w14:paraId="00E5D549">
      <w:pPr>
        <w:spacing w:line="360" w:lineRule="auto"/>
        <w:ind w:firstLine="540"/>
        <w:rPr>
          <w:rFonts w:hint="eastAsia"/>
          <w:color w:val="auto"/>
          <w:sz w:val="24"/>
          <w:szCs w:val="24"/>
          <w:highlight w:val="none"/>
          <w:lang w:eastAsia="zh-CN"/>
        </w:rPr>
      </w:pPr>
    </w:p>
    <w:p w14:paraId="4742EB78">
      <w:pPr>
        <w:pStyle w:val="10"/>
        <w:spacing w:line="360" w:lineRule="auto"/>
        <w:rPr>
          <w:rFonts w:hint="eastAsia" w:hAnsi="宋体"/>
          <w:color w:val="auto"/>
          <w:sz w:val="24"/>
          <w:szCs w:val="24"/>
          <w:highlight w:val="none"/>
          <w:lang w:eastAsia="zh-CN"/>
        </w:rPr>
      </w:pPr>
    </w:p>
    <w:p w14:paraId="66B31A81">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投保人（甲方1：业主）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广州白云潭村置地有限公司 </w:t>
      </w:r>
      <w:r>
        <w:rPr>
          <w:rFonts w:hint="eastAsia" w:ascii="宋体" w:hAnsi="宋体" w:eastAsia="宋体" w:cs="宋体"/>
          <w:bCs/>
          <w:color w:val="auto"/>
          <w:sz w:val="24"/>
          <w:szCs w:val="24"/>
          <w:highlight w:val="none"/>
          <w:u w:val="none"/>
          <w:lang w:eastAsia="zh-CN"/>
        </w:rPr>
        <w:t xml:space="preserve">                        </w:t>
      </w:r>
      <w:r>
        <w:rPr>
          <w:rFonts w:hint="eastAsia" w:ascii="宋体" w:hAnsi="宋体" w:eastAsia="宋体" w:cs="宋体"/>
          <w:bCs/>
          <w:color w:val="auto"/>
          <w:sz w:val="24"/>
          <w:szCs w:val="24"/>
          <w:highlight w:val="none"/>
          <w:u w:val="single"/>
          <w:lang w:eastAsia="zh-CN"/>
        </w:rPr>
        <w:t xml:space="preserve">   </w:t>
      </w:r>
    </w:p>
    <w:p w14:paraId="62F4689A">
      <w:pPr>
        <w:pStyle w:val="8"/>
        <w:spacing w:line="360" w:lineRule="auto"/>
        <w:ind w:right="1958" w:firstLine="0"/>
        <w:jc w:val="both"/>
        <w:rPr>
          <w:rFonts w:hint="eastAsia" w:ascii="宋体" w:hAnsi="宋体" w:eastAsia="宋体" w:cs="宋体"/>
          <w:sz w:val="24"/>
          <w:szCs w:val="24"/>
          <w:highlight w:val="none"/>
          <w:lang w:eastAsia="zh-CN"/>
        </w:rPr>
      </w:pPr>
    </w:p>
    <w:p w14:paraId="724E6636">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439DD2FB">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46EFB1E1">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400E3F1F">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36583E70">
      <w:pPr>
        <w:tabs>
          <w:tab w:val="left" w:leader="underscore" w:pos="7560"/>
        </w:tabs>
        <w:spacing w:line="360" w:lineRule="auto"/>
        <w:ind w:firstLine="0" w:firstLineChars="0"/>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 xml:space="preserve">                   </w:t>
      </w:r>
    </w:p>
    <w:p w14:paraId="0873BE10">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6BBADF41">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w:t>
      </w:r>
      <w:r>
        <w:rPr>
          <w:rFonts w:hint="eastAsia" w:ascii="宋体" w:hAnsi="宋体" w:eastAsia="宋体" w:cs="宋体"/>
          <w:bCs/>
          <w:color w:val="auto"/>
          <w:sz w:val="24"/>
          <w:szCs w:val="24"/>
          <w:highlight w:val="none"/>
          <w:u w:val="none"/>
          <w:lang w:eastAsia="zh-CN"/>
        </w:rPr>
        <w:t>甲方2：项目管理单位</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广州市白云城市建设投资有限公司 </w:t>
      </w:r>
      <w:r>
        <w:rPr>
          <w:rFonts w:hint="eastAsia" w:ascii="宋体" w:hAnsi="宋体" w:eastAsia="宋体" w:cs="宋体"/>
          <w:bCs/>
          <w:color w:val="auto"/>
          <w:sz w:val="24"/>
          <w:szCs w:val="24"/>
          <w:highlight w:val="none"/>
          <w:u w:val="none"/>
          <w:lang w:eastAsia="zh-CN"/>
        </w:rPr>
        <w:t xml:space="preserve">      </w:t>
      </w:r>
    </w:p>
    <w:p w14:paraId="370FC3EA">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435A39E7">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78A9412D">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6F8155C1">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1BDC0F2D">
      <w:pPr>
        <w:pStyle w:val="8"/>
        <w:spacing w:line="360" w:lineRule="auto"/>
        <w:rPr>
          <w:rFonts w:hint="eastAsia" w:ascii="宋体" w:hAnsi="宋体" w:eastAsia="宋体" w:cs="宋体"/>
          <w:sz w:val="24"/>
          <w:szCs w:val="24"/>
          <w:lang w:eastAsia="zh-CN"/>
        </w:rPr>
      </w:pPr>
    </w:p>
    <w:p w14:paraId="40A3CDB3">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7A306CE2">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703A7E7A">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lang w:eastAsia="zh-CN"/>
        </w:rPr>
        <w:t>保险人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eastAsia="zh-CN"/>
        </w:rPr>
        <w:t xml:space="preserve">                          </w:t>
      </w:r>
    </w:p>
    <w:p w14:paraId="01681CD7">
      <w:pPr>
        <w:spacing w:line="360" w:lineRule="auto"/>
        <w:ind w:left="1672" w:leftChars="760" w:firstLine="480" w:firstLineChars="200"/>
        <w:rPr>
          <w:rFonts w:hint="eastAsia" w:ascii="宋体" w:hAnsi="宋体" w:eastAsia="宋体" w:cs="宋体"/>
          <w:color w:val="auto"/>
          <w:sz w:val="24"/>
          <w:szCs w:val="24"/>
          <w:highlight w:val="none"/>
          <w:lang w:eastAsia="zh-CN"/>
        </w:rPr>
      </w:pPr>
    </w:p>
    <w:p w14:paraId="52F45A84">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3E979689">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75929406">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601524B1">
      <w:pPr>
        <w:spacing w:line="360" w:lineRule="auto"/>
        <w:ind w:left="1672" w:leftChars="7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p>
    <w:p w14:paraId="2BD5F81D">
      <w:pPr>
        <w:adjustRightInd w:val="0"/>
        <w:snapToGrid w:val="0"/>
        <w:spacing w:line="312" w:lineRule="auto"/>
        <w:jc w:val="center"/>
        <w:rPr>
          <w:rFonts w:hint="eastAsia" w:ascii="宋体" w:hAnsi="宋体" w:eastAsia="宋体" w:cs="宋体"/>
          <w:snapToGrid w:val="0"/>
          <w:color w:val="auto"/>
          <w:sz w:val="24"/>
          <w:szCs w:val="24"/>
          <w:highlight w:val="none"/>
        </w:rPr>
      </w:pPr>
    </w:p>
    <w:p w14:paraId="0EA8C7FE">
      <w:pPr>
        <w:adjustRightInd w:val="0"/>
        <w:snapToGrid w:val="0"/>
        <w:spacing w:line="312" w:lineRule="auto"/>
        <w:jc w:val="both"/>
        <w:rPr>
          <w:rFonts w:hint="eastAsia" w:ascii="宋体" w:hAnsi="宋体" w:eastAsia="宋体" w:cs="宋体"/>
          <w:snapToGrid w:val="0"/>
          <w:color w:val="auto"/>
          <w:sz w:val="24"/>
          <w:szCs w:val="24"/>
          <w:highlight w:val="none"/>
          <w:lang w:eastAsia="zh-CN"/>
        </w:rPr>
      </w:pPr>
    </w:p>
    <w:p w14:paraId="3D90A40C">
      <w:pPr>
        <w:adjustRightInd w:val="0"/>
        <w:snapToGrid w:val="0"/>
        <w:spacing w:line="312" w:lineRule="auto"/>
        <w:jc w:val="both"/>
        <w:rPr>
          <w:rFonts w:hint="eastAsia"/>
          <w:snapToGrid w:val="0"/>
          <w:color w:val="auto"/>
          <w:sz w:val="24"/>
          <w:szCs w:val="24"/>
          <w:highlight w:val="none"/>
          <w:lang w:eastAsia="zh-CN"/>
        </w:rPr>
      </w:pPr>
    </w:p>
    <w:p w14:paraId="492D5A63">
      <w:pPr>
        <w:adjustRightInd w:val="0"/>
        <w:snapToGrid w:val="0"/>
        <w:spacing w:line="312" w:lineRule="auto"/>
        <w:jc w:val="both"/>
        <w:rPr>
          <w:rFonts w:hint="eastAsia"/>
          <w:snapToGrid w:val="0"/>
          <w:color w:val="auto"/>
          <w:sz w:val="24"/>
          <w:szCs w:val="24"/>
          <w:highlight w:val="none"/>
          <w:lang w:eastAsia="zh-CN"/>
        </w:rPr>
      </w:pPr>
    </w:p>
    <w:p w14:paraId="36F612CF">
      <w:pPr>
        <w:spacing w:line="360" w:lineRule="auto"/>
        <w:rPr>
          <w:rFonts w:hint="eastAsia"/>
          <w:color w:val="auto"/>
          <w:sz w:val="24"/>
          <w:szCs w:val="24"/>
          <w:highlight w:val="none"/>
          <w:lang w:eastAsia="zh-CN"/>
        </w:rPr>
      </w:pPr>
      <w:r>
        <w:rPr>
          <w:rFonts w:hint="eastAsia"/>
          <w:color w:val="auto"/>
          <w:sz w:val="24"/>
          <w:szCs w:val="24"/>
          <w:highlight w:val="none"/>
          <w:lang w:eastAsia="zh-CN"/>
        </w:rPr>
        <w:br w:type="page"/>
      </w:r>
    </w:p>
    <w:p w14:paraId="112C79C0">
      <w:pPr>
        <w:pStyle w:val="8"/>
        <w:spacing w:before="45"/>
        <w:ind w:left="0" w:firstLine="0"/>
        <w:rPr>
          <w:rFonts w:hint="eastAsia"/>
          <w:color w:val="auto"/>
          <w:highlight w:val="none"/>
          <w:lang w:eastAsia="zh-CN"/>
        </w:rPr>
      </w:pPr>
      <w:r>
        <w:rPr>
          <w:rFonts w:hint="eastAsia"/>
          <w:color w:val="auto"/>
          <w:highlight w:val="none"/>
          <w:lang w:eastAsia="zh-CN"/>
        </w:rPr>
        <w:t xml:space="preserve">附件 </w:t>
      </w:r>
      <w:r>
        <w:rPr>
          <w:rFonts w:hint="eastAsia"/>
          <w:color w:val="auto"/>
          <w:highlight w:val="none"/>
          <w:lang w:val="en-US" w:eastAsia="zh-CN"/>
        </w:rPr>
        <w:t>4</w:t>
      </w:r>
      <w:r>
        <w:rPr>
          <w:rFonts w:hint="eastAsia"/>
          <w:color w:val="auto"/>
          <w:highlight w:val="none"/>
          <w:lang w:eastAsia="zh-CN"/>
        </w:rPr>
        <w:t>：</w:t>
      </w:r>
    </w:p>
    <w:p w14:paraId="7F4D2B05">
      <w:pPr>
        <w:widowControl w:val="0"/>
        <w:autoSpaceDE/>
        <w:autoSpaceDN/>
        <w:adjustRightInd w:val="0"/>
        <w:snapToGrid w:val="0"/>
        <w:spacing w:after="0" w:line="360" w:lineRule="auto"/>
        <w:ind w:firstLine="466" w:firstLineChars="200"/>
        <w:jc w:val="center"/>
        <w:rPr>
          <w:rFonts w:hint="eastAsia" w:ascii="宋体" w:hAnsi="宋体" w:eastAsia="宋体" w:cs="宋体"/>
          <w:b/>
          <w:bCs/>
          <w:color w:val="auto"/>
          <w:spacing w:val="-4"/>
          <w:sz w:val="24"/>
          <w:highlight w:val="none"/>
          <w:lang w:val="en-US" w:eastAsia="zh-CN" w:bidi="ar-SA"/>
        </w:rPr>
      </w:pPr>
    </w:p>
    <w:p w14:paraId="1A3A998C">
      <w:pPr>
        <w:widowControl w:val="0"/>
        <w:autoSpaceDE/>
        <w:autoSpaceDN/>
        <w:adjustRightInd w:val="0"/>
        <w:snapToGrid w:val="0"/>
        <w:spacing w:after="0" w:line="360" w:lineRule="auto"/>
        <w:ind w:firstLine="546" w:firstLineChars="200"/>
        <w:jc w:val="center"/>
        <w:rPr>
          <w:rFonts w:hint="default" w:ascii="宋体" w:hAnsi="宋体" w:eastAsia="宋体" w:cs="宋体"/>
          <w:color w:val="auto"/>
          <w:sz w:val="28"/>
          <w:szCs w:val="28"/>
          <w:highlight w:val="none"/>
          <w:lang w:val="en-US" w:eastAsia="zh-CN" w:bidi="ar-SA"/>
        </w:rPr>
      </w:pPr>
      <w:r>
        <w:rPr>
          <w:rFonts w:hint="eastAsia" w:ascii="宋体" w:hAnsi="宋体" w:eastAsia="宋体" w:cs="宋体"/>
          <w:b/>
          <w:bCs/>
          <w:color w:val="auto"/>
          <w:spacing w:val="-4"/>
          <w:sz w:val="28"/>
          <w:szCs w:val="24"/>
          <w:highlight w:val="none"/>
          <w:lang w:val="en-US" w:eastAsia="zh-CN" w:bidi="ar-SA"/>
        </w:rPr>
        <w:t>TIS风险评估服务内容</w:t>
      </w:r>
    </w:p>
    <w:p w14:paraId="6D899C3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的工作范围与保险公司承保的建筑工程质量潜在缺陷保险的保单责任范围一致。对投保IDI的建筑工程，以法律法规、规范标准、保险条款以及合同约定为依据，实施全过程质量风险控制，工作范围涵盖建筑工程的实施全过程，包括勘察、设计、施工、材料、验收、使用和维护等，具体工作内容应包括对建设工程的勘察、设计文件和其他工程资料等进行审核分析，对施工、材料、调试、竣工验收、使用和维护等过程进行检查，通过前期风险因素识别、分析和评价，过程风险检查、分析和评价，提出风险警示和风险改进建议，协调和促进参建各方采取落实风险改进措施，竣工风险检查、分析和评价，对建筑工程投入使用后可能存在的非正常使用导致的问题进行预警并最终给出风险评估意见。</w:t>
      </w:r>
    </w:p>
    <w:p w14:paraId="787800F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以上工作内容按照项目进程可以分为四个阶段，即：一、开工前阶段；二、施工阶；三、验收阶段；四、复查阶段</w:t>
      </w:r>
      <w:bookmarkStart w:id="22" w:name="_Toc80632531"/>
      <w:r>
        <w:rPr>
          <w:rFonts w:hint="eastAsia" w:ascii="宋体" w:hAnsi="宋体" w:eastAsia="宋体" w:cs="宋体"/>
          <w:color w:val="auto"/>
          <w:sz w:val="24"/>
          <w:szCs w:val="24"/>
          <w:highlight w:val="none"/>
          <w:lang w:val="en-US" w:eastAsia="zh-CN" w:bidi="ar-SA"/>
        </w:rPr>
        <w:t>。</w:t>
      </w:r>
    </w:p>
    <w:p w14:paraId="76CD934E">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一、开工前阶段</w:t>
      </w:r>
      <w:bookmarkEnd w:id="22"/>
    </w:p>
    <w:p w14:paraId="6F303601">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TIS机构根据保险承保范围，对被保建筑工程质量相关的文件进行检查评估，出具初步风险技术识别评估报告，提出合理的风险评估意见。同时编制风险评估实施方案及检查计划，并做好对项目参建各方的质量检查首次交底。</w:t>
      </w:r>
    </w:p>
    <w:p w14:paraId="2BB4D490">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2、初步评估项目质量风险：</w:t>
      </w:r>
    </w:p>
    <w:p w14:paraId="5C3E067B">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（1）TIS机构在项目施工前期收集相关的工程建设资料，其内容包括项目的勘察文件、设计文件、施工组织设计、主要参建单位的基本信息等；</w:t>
      </w:r>
    </w:p>
    <w:p w14:paraId="2D0899EA">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（2）TIS机构在保险公司的协调下对投保的施工场地进行现场踏勘，了解项目现场的实际状况，包括对勘察设计情况的现场比对和对当前工程建设准备情况的了解等。</w:t>
      </w:r>
    </w:p>
    <w:p w14:paraId="70A1AA79">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TIS机构结合工程建设资料、现场踏勘情况进行分析，出具项目质量风险的初步风险技术识别评估报告，并对项目未来发生可能比较大的质量风险进行警示，报告内容应包含对勘察设计文件检查的合规性评价、对主要参建方的尽职调查评价和对项目主要风险点的预估等。</w:t>
      </w:r>
    </w:p>
    <w:p w14:paraId="30681A8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3、TIS机构技术检查工作计划</w:t>
      </w:r>
    </w:p>
    <w:p w14:paraId="51818A89">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（1）在完成对项目质量风险的初步评估后，TIS机构针对项目的实际情况和风险特点编制并提交相应的技术检查工作计划。</w:t>
      </w:r>
    </w:p>
    <w:p w14:paraId="7DA8E7E8">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（2）技术检查工作计划内容包括检查内容的安排、过程中需重点控制的阶段和部位、检查工作的要求和过程控制可能采取的相关措施等。</w:t>
      </w:r>
    </w:p>
    <w:p w14:paraId="52D7B06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4、TIS机构交底会</w:t>
      </w:r>
    </w:p>
    <w:p w14:paraId="0FC35DF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项目开工前，TIS机构在保险公司的协调下组织项目参建各方召开工程质量检查交底会。交底会上TIS机构将针对项目特点，向各方说明工程中可能存在的质量风险点、过程中将会采用的质量技术检查方法，以及参建各方对检查需配合的相关事宜等，发放技术检查服务计划，以保证技术检查活动的顺利展开。</w:t>
      </w:r>
    </w:p>
    <w:p w14:paraId="12E46977">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5、风险预警</w:t>
      </w:r>
    </w:p>
    <w:p w14:paraId="4FE238C1">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在上述工作中发现风险时，及时提出风险警示，提供项目质量缺陷清单。经过审核分析后，保险公司将TIS机构的评估意见提交给建设单位，由建设单位组织相关单位沟通协商解决方案，并在征询建设单位意见基础后提报政府相关部门。</w:t>
      </w:r>
    </w:p>
    <w:p w14:paraId="4B7D7640">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bookmarkStart w:id="23" w:name="_Toc80632532"/>
      <w:r>
        <w:rPr>
          <w:rFonts w:hint="eastAsia" w:ascii="宋体" w:hAnsi="宋体" w:eastAsia="宋体" w:cs="宋体"/>
          <w:b/>
          <w:bCs/>
          <w:color w:val="auto"/>
          <w:sz w:val="24"/>
          <w:szCs w:val="24"/>
          <w:highlight w:val="none"/>
          <w:lang w:val="en-US" w:eastAsia="zh-CN" w:bidi="ar-SA"/>
        </w:rPr>
        <w:t>二、施工阶段</w:t>
      </w:r>
      <w:bookmarkEnd w:id="23"/>
    </w:p>
    <w:p w14:paraId="2707B263">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1、施工阶段的风险评估和控制</w:t>
      </w:r>
    </w:p>
    <w:p w14:paraId="595F9959">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TIS机构根据施工进度和技术检查服务计划审查施工单位的施工方案及深化图纸、检查工程实体质量和抽查质量文件，评估施工阶段质量风险和控制手段的有效性，提交风险评估报告。</w:t>
      </w:r>
    </w:p>
    <w:p w14:paraId="4C2A886B">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2、施工阶段的质量风险检查</w:t>
      </w:r>
    </w:p>
    <w:p w14:paraId="28C9D6A1">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施工过程中的质量风险检查包含资料检查、实体检查和工序检查三部分内容：</w:t>
      </w:r>
    </w:p>
    <w:p w14:paraId="795EC6E8">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（1）资料检查：即审查施工单位的施工方案及深化图纸，对施工过程中的质量控制文件和记录报告进行抽查，内容包括参建各方的施工质量记录文件、工程检测及监测报告、 工程变更文件、施工方案、监理实施细则等；</w:t>
      </w:r>
    </w:p>
    <w:p w14:paraId="08F9013D">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（2）实体检查：即对施工过程中形成的工程实体进行实测实量，内容包括外观质量、尺寸偏差、结构强度等；</w:t>
      </w:r>
    </w:p>
    <w:p w14:paraId="0598E03B">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工序检查：即对现场的施工工序进行检查，检查可以是普通工序的抽查，也可针对关键工序进行专项检查（提前约定检查节点），尤其对于隐蔽工程施工的过程检查，其内容包括现场施工方法是否符合设计要求和施工规范的要求、工序的实施和验收是否合规、施工成品是否保护到位、施工环境对工程质量的影响（施工环境包括“气温、台风、暴雨、冻融环境、盐雾等等”）等。</w:t>
      </w:r>
    </w:p>
    <w:p w14:paraId="66C207B4">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3、施工过程中的质量风险检查</w:t>
      </w:r>
    </w:p>
    <w:p w14:paraId="523C4EE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TIS机构在每次质量检查结束后，根据检查的实际情况并就检查中发现的质量缺陷提供项目质量缺陷清单和对应的整改建议书，同时出具风险评估报告。报告包括检查情况的描述、检查存在质量缺陷及潜在风险分析提示、质量缺陷的处理建议等。</w:t>
      </w:r>
    </w:p>
    <w:p w14:paraId="0E3E0BC6">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（2）风险评估报告结合保险合同，根据保险责任范围进行主体结构工程、防水工程、保温工程等分项风险评估，明确质量缺陷对相应分项风险等级评定的影响。</w:t>
      </w:r>
    </w:p>
    <w:p w14:paraId="4FF9802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（3）对检查中发现的质量缺陷进行跟踪，检查其整改情况，如已整改完毕则该问题可关闭，如无整改则应继续跟踪，直至整改完毕。 </w:t>
      </w:r>
    </w:p>
    <w:p w14:paraId="63A726C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（4）对于一般技术风险等级以下的质量缺陷，与相关单位沟通协商整改措施，并在检查报告中记录。</w:t>
      </w:r>
    </w:p>
    <w:p w14:paraId="75CADC3E">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（5）对于可能造成严重质量后果的质量缺陷，TIS机构及时提示保险公司，并要求参建单位进行整改处理。</w:t>
      </w:r>
    </w:p>
    <w:p w14:paraId="61E54A54">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（6）TIS机构根据施工进度汇总各施工阶段所有的质量检查情况及整改情况，以便保险公司及建设单位了解项目的总体质量风险状况。</w:t>
      </w:r>
    </w:p>
    <w:p w14:paraId="4ABE256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4、施工现场检查频率</w:t>
      </w:r>
    </w:p>
    <w:p w14:paraId="1B5FDB60">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TIS机构对施工现场的检查频率为不低于平均每月2次，对于施工过程中的重点专项工程及隐蔽工程，有针对性地安排现场检查，增加频次。</w:t>
      </w:r>
    </w:p>
    <w:p w14:paraId="5921D0EA">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5、质量风险跟踪：</w:t>
      </w:r>
    </w:p>
    <w:p w14:paraId="3DC28A97">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对于质量风险检查分析中提出整改建议的质量缺陷，TIS机构在检查过程中保持与保险公司、建设单位和监理单位的沟通，掌握质量缺陷整改的反馈情况，并对整改的实施结果进行跟踪，同时记录相关的处理情况，登记整改销项内容。</w:t>
      </w:r>
    </w:p>
    <w:p w14:paraId="1C483097">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对于质量风险检查分析中提出的整改建议，参建单位拒不整改或整改不力的，TIS机构对质量缺陷的处理过程和处理结果进行记录，并就质量缺陷进行客观的描述和说明，相关记录及时告知建设单位和保险公司。</w:t>
      </w:r>
    </w:p>
    <w:p w14:paraId="75BB9B98">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bookmarkStart w:id="24" w:name="_Toc80632533"/>
      <w:r>
        <w:rPr>
          <w:rFonts w:hint="eastAsia" w:ascii="宋体" w:hAnsi="宋体" w:eastAsia="宋体" w:cs="宋体"/>
          <w:b/>
          <w:bCs/>
          <w:color w:val="auto"/>
          <w:sz w:val="24"/>
          <w:szCs w:val="24"/>
          <w:highlight w:val="none"/>
          <w:lang w:val="en-US" w:eastAsia="zh-CN" w:bidi="ar-SA"/>
        </w:rPr>
        <w:t>三、竣工验收阶段</w:t>
      </w:r>
      <w:bookmarkEnd w:id="24"/>
    </w:p>
    <w:p w14:paraId="69CF2D1E">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工程竣工时，TIS机构将对整个工程实施过程中的质量检查情况、质量缺陷处置结果进行汇总评价，出具项目竣工风险评估报告。竣工报告包括：检查情况汇总、整改及销项质量缺陷汇总（整个过程中所有质量缺陷的整改情况及其效果评价）、未销项问题（拒不整改或整改不力的）、汇总及可能存在隐患的说明、需要进行无损检测的建议项、工程质量情况的总体评价及是否满足建筑工程质量潜在缺陷保险的要求等。同时，TIS机构将按不低于20%的比例参与分户验收，并参与竣工验收，竣工风险评估报告将作为工程竣工验收的重要参考。</w:t>
      </w:r>
    </w:p>
    <w:p w14:paraId="6177A32A">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2、TIS机构聚焦于保险技术与质量层面,检查历次施工质量缺陷整改情况，评价被保建筑工程在其承保范围内的质量风险等级。</w:t>
      </w:r>
    </w:p>
    <w:p w14:paraId="2A07D513">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bookmarkStart w:id="25" w:name="_Toc80632534"/>
      <w:r>
        <w:rPr>
          <w:rFonts w:hint="eastAsia" w:ascii="宋体" w:hAnsi="宋体" w:eastAsia="宋体" w:cs="宋体"/>
          <w:b/>
          <w:bCs/>
          <w:color w:val="auto"/>
          <w:sz w:val="24"/>
          <w:szCs w:val="24"/>
          <w:highlight w:val="none"/>
          <w:lang w:val="en-US" w:eastAsia="zh-CN" w:bidi="ar-SA"/>
        </w:rPr>
        <w:t>四、复查阶段</w:t>
      </w:r>
      <w:bookmarkEnd w:id="25"/>
    </w:p>
    <w:p w14:paraId="4F921074">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保险责任生效前，TIS机构对该项目进行实地回访检查，了解项目当前情况下的质量风险状况，将暴露的质量缺陷汇总，并出具竣工复查风险评估报告。保险公司将复查风险评估报告提交给建设单位，TIS机构配合保险公司会同建设单位组织相关单位沟通协商解决在保险责任生效前暴露的质量缺陷。</w:t>
      </w:r>
    </w:p>
    <w:p w14:paraId="1A381053">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2、项目竣工后建筑有两种状态，即已经投入使用或尚未投用，检查的形式可以是现场实体检查或进行用户问卷调查取证，以判断建筑项目当前质量风险变化情况。</w:t>
      </w:r>
    </w:p>
    <w:p w14:paraId="55AF42E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3、竣工复查风险评估报告内容包含对竣工遗留质量风险问题的跟踪复核、对已经出现的质量缺陷的查看及产生原因判别、目前的质量缺陷是否得到妥善解决、对用户是否正常使用建筑产品的提示等。 </w:t>
      </w:r>
    </w:p>
    <w:p w14:paraId="578E173C">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4、竣工复查风险评估报告将作为竣工交付评价报告的补充文件提交保险公司及建设单位存档。</w:t>
      </w:r>
    </w:p>
    <w:p w14:paraId="35B7E740">
      <w:pPr>
        <w:spacing w:line="360" w:lineRule="auto"/>
        <w:rPr>
          <w:rFonts w:hint="eastAsia"/>
          <w:color w:val="auto"/>
          <w:sz w:val="24"/>
          <w:szCs w:val="24"/>
          <w:highlight w:val="none"/>
          <w:lang w:eastAsia="zh-CN"/>
        </w:rPr>
      </w:pPr>
    </w:p>
    <w:p w14:paraId="10BC32E5">
      <w:pPr>
        <w:spacing w:before="45" w:line="360" w:lineRule="auto"/>
        <w:ind w:left="0" w:firstLine="0"/>
        <w:rPr>
          <w:rFonts w:hint="eastAsia"/>
          <w:color w:val="auto"/>
          <w:sz w:val="24"/>
          <w:szCs w:val="24"/>
          <w:highlight w:val="none"/>
          <w:lang w:eastAsia="zh-CN"/>
        </w:rPr>
      </w:pPr>
      <w:r>
        <w:rPr>
          <w:rFonts w:hint="eastAsia"/>
          <w:color w:val="auto"/>
          <w:sz w:val="24"/>
          <w:szCs w:val="24"/>
          <w:highlight w:val="none"/>
          <w:lang w:eastAsia="zh-CN"/>
        </w:rPr>
        <w:br w:type="page"/>
      </w:r>
    </w:p>
    <w:p w14:paraId="2B6AD45B">
      <w:pPr>
        <w:pStyle w:val="8"/>
        <w:spacing w:before="45"/>
        <w:ind w:left="0" w:firstLine="0"/>
        <w:rPr>
          <w:rFonts w:hint="eastAsia"/>
          <w:color w:val="auto"/>
          <w:highlight w:val="none"/>
          <w:lang w:eastAsia="zh-CN"/>
        </w:rPr>
      </w:pPr>
      <w:r>
        <w:rPr>
          <w:rFonts w:hint="eastAsia"/>
          <w:color w:val="auto"/>
          <w:highlight w:val="none"/>
          <w:lang w:eastAsia="zh-CN"/>
        </w:rPr>
        <w:t xml:space="preserve">附件 </w:t>
      </w:r>
      <w:r>
        <w:rPr>
          <w:rFonts w:hint="eastAsia"/>
          <w:color w:val="auto"/>
          <w:highlight w:val="none"/>
          <w:lang w:val="en-US" w:eastAsia="zh-CN"/>
        </w:rPr>
        <w:t>5</w:t>
      </w:r>
      <w:r>
        <w:rPr>
          <w:rFonts w:hint="eastAsia"/>
          <w:color w:val="auto"/>
          <w:highlight w:val="none"/>
          <w:lang w:eastAsia="zh-CN"/>
        </w:rPr>
        <w:t>：</w:t>
      </w:r>
    </w:p>
    <w:p w14:paraId="35B7BB4B">
      <w:pPr>
        <w:pStyle w:val="8"/>
        <w:spacing w:before="45"/>
        <w:ind w:left="0" w:firstLine="0"/>
        <w:jc w:val="center"/>
        <w:rPr>
          <w:rFonts w:hint="eastAsia"/>
          <w:color w:val="auto"/>
          <w:highlight w:val="none"/>
          <w:lang w:eastAsia="zh-CN"/>
        </w:rPr>
      </w:pPr>
      <w:r>
        <w:rPr>
          <w:rFonts w:hint="eastAsia"/>
          <w:b/>
          <w:color w:val="auto"/>
          <w:sz w:val="32"/>
          <w:szCs w:val="32"/>
          <w:highlight w:val="none"/>
          <w:lang w:eastAsia="zh-CN"/>
        </w:rPr>
        <w:t>报价清单</w:t>
      </w:r>
    </w:p>
    <w:p w14:paraId="6C3C8DA2">
      <w:pPr>
        <w:pStyle w:val="16"/>
        <w:spacing w:before="0" w:beforeAutospacing="0" w:after="0" w:afterAutospacing="0" w:line="360" w:lineRule="auto"/>
        <w:rPr>
          <w:rFonts w:hint="eastAsia"/>
          <w:color w:val="auto"/>
          <w:highlight w:val="none"/>
          <w:lang w:eastAsia="zh-CN"/>
        </w:rPr>
      </w:pPr>
    </w:p>
    <w:p w14:paraId="5B18E4E8">
      <w:pPr>
        <w:pStyle w:val="8"/>
        <w:spacing w:before="45"/>
        <w:ind w:left="0" w:firstLine="0"/>
        <w:jc w:val="center"/>
        <w:rPr>
          <w:rFonts w:hint="eastAsia"/>
          <w:color w:val="auto"/>
          <w:highlight w:val="none"/>
          <w:lang w:eastAsia="zh-CN"/>
        </w:rPr>
        <w:sectPr>
          <w:pgSz w:w="11910" w:h="16840"/>
          <w:pgMar w:top="1440" w:right="1474" w:bottom="1440" w:left="1587" w:header="0" w:footer="1196" w:gutter="0"/>
          <w:pgNumType w:fmt="decimal"/>
          <w:cols w:space="0" w:num="1"/>
        </w:sectPr>
      </w:pPr>
    </w:p>
    <w:p w14:paraId="594A9848">
      <w:pPr>
        <w:pStyle w:val="8"/>
        <w:spacing w:before="45"/>
        <w:ind w:left="0" w:firstLine="0"/>
        <w:rPr>
          <w:rFonts w:hint="eastAsia"/>
          <w:color w:val="auto"/>
          <w:highlight w:val="none"/>
          <w:lang w:eastAsia="zh-CN"/>
        </w:rPr>
      </w:pPr>
      <w:r>
        <w:rPr>
          <w:rFonts w:hint="eastAsia"/>
          <w:color w:val="auto"/>
          <w:highlight w:val="none"/>
          <w:lang w:eastAsia="zh-CN"/>
        </w:rPr>
        <w:t xml:space="preserve">附件 </w:t>
      </w:r>
      <w:r>
        <w:rPr>
          <w:rFonts w:hint="eastAsia"/>
          <w:color w:val="auto"/>
          <w:highlight w:val="none"/>
          <w:lang w:val="en-US" w:eastAsia="zh-CN"/>
        </w:rPr>
        <w:t>6</w:t>
      </w:r>
      <w:r>
        <w:rPr>
          <w:rFonts w:hint="eastAsia"/>
          <w:color w:val="auto"/>
          <w:highlight w:val="none"/>
          <w:lang w:eastAsia="zh-CN"/>
        </w:rPr>
        <w:t>：</w:t>
      </w:r>
    </w:p>
    <w:p w14:paraId="3A14C14C">
      <w:pPr>
        <w:pStyle w:val="8"/>
        <w:spacing w:before="45"/>
        <w:ind w:left="0" w:firstLine="0"/>
        <w:jc w:val="center"/>
        <w:rPr>
          <w:rFonts w:hint="eastAsia"/>
          <w:color w:val="auto"/>
          <w:highlight w:val="none"/>
          <w:lang w:eastAsia="zh-CN"/>
        </w:rPr>
      </w:pPr>
      <w:r>
        <w:rPr>
          <w:rFonts w:hint="eastAsia"/>
          <w:b/>
          <w:color w:val="auto"/>
          <w:sz w:val="32"/>
          <w:szCs w:val="32"/>
          <w:highlight w:val="none"/>
          <w:lang w:eastAsia="zh-CN"/>
        </w:rPr>
        <w:t>保险人营业执照</w:t>
      </w:r>
    </w:p>
    <w:p w14:paraId="05BF7301">
      <w:pPr>
        <w:pStyle w:val="10"/>
        <w:rPr>
          <w:rFonts w:hint="eastAsia" w:hAnsi="宋体"/>
          <w:color w:val="auto"/>
          <w:highlight w:val="none"/>
          <w:lang w:eastAsia="zh-CN"/>
        </w:rPr>
      </w:pPr>
    </w:p>
    <w:p w14:paraId="4C1725C2">
      <w:pPr>
        <w:rPr>
          <w:rFonts w:hint="eastAsia"/>
          <w:color w:val="auto"/>
          <w:highlight w:val="none"/>
          <w:lang w:eastAsia="zh-CN"/>
        </w:rPr>
      </w:pPr>
    </w:p>
    <w:p w14:paraId="12AC7C83">
      <w:pPr>
        <w:rPr>
          <w:rFonts w:hint="eastAsia"/>
          <w:color w:val="auto"/>
          <w:u w:val="single"/>
          <w:lang w:eastAsia="zh-CN"/>
        </w:rPr>
      </w:pPr>
    </w:p>
    <w:sectPr>
      <w:pgSz w:w="11910" w:h="16840"/>
      <w:pgMar w:top="1440" w:right="1474" w:bottom="1440" w:left="1587" w:header="0" w:footer="1196"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BE81">
    <w:pPr>
      <w:pStyle w:val="8"/>
      <w:spacing w:line="14" w:lineRule="auto"/>
      <w:ind w:left="0" w:firstLine="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7CD1">
    <w:pPr>
      <w:pStyle w:val="8"/>
      <w:spacing w:line="14" w:lineRule="auto"/>
      <w:ind w:left="0" w:firstLine="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CA04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4CA04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2"/>
    <w:multiLevelType w:val="multilevel"/>
    <w:tmpl w:val="00000002"/>
    <w:lvl w:ilvl="0" w:tentative="0">
      <w:start w:val="1"/>
      <w:numFmt w:val="japaneseCounting"/>
      <w:lvlText w:val="第%1条"/>
      <w:lvlJc w:val="left"/>
      <w:pPr>
        <w:ind w:left="4662"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00000003"/>
    <w:multiLevelType w:val="multilevel"/>
    <w:tmpl w:val="00000003"/>
    <w:lvl w:ilvl="0" w:tentative="0">
      <w:start w:val="1"/>
      <w:numFmt w:val="japaneseCounting"/>
      <w:lvlText w:val="第%1条"/>
      <w:lvlJc w:val="left"/>
      <w:pPr>
        <w:ind w:left="4662"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00000004"/>
    <w:multiLevelType w:val="multilevel"/>
    <w:tmpl w:val="00000004"/>
    <w:lvl w:ilvl="0" w:tentative="0">
      <w:start w:val="1"/>
      <w:numFmt w:val="japaneseCounting"/>
      <w:lvlText w:val="第%1条"/>
      <w:lvlJc w:val="left"/>
      <w:pPr>
        <w:ind w:left="1680"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00000005"/>
    <w:multiLevelType w:val="multilevel"/>
    <w:tmpl w:val="00000005"/>
    <w:lvl w:ilvl="0" w:tentative="0">
      <w:start w:val="1"/>
      <w:numFmt w:val="japaneseCounting"/>
      <w:lvlText w:val="第%1条"/>
      <w:lvlJc w:val="left"/>
      <w:pPr>
        <w:ind w:left="1706" w:hanging="855"/>
      </w:pPr>
      <w:rPr>
        <w:rFonts w:hint="eastAsia" w:ascii="等线" w:hAnsi="等线" w:eastAsia="等线"/>
        <w:b/>
        <w:lang w:val="en-US"/>
      </w:rPr>
    </w:lvl>
    <w:lvl w:ilvl="1" w:tentative="0">
      <w:start w:val="1"/>
      <w:numFmt w:val="lowerLetter"/>
      <w:lvlText w:val="%2)"/>
      <w:lvlJc w:val="left"/>
      <w:pPr>
        <w:ind w:left="-4829" w:hanging="420"/>
      </w:pPr>
    </w:lvl>
    <w:lvl w:ilvl="2" w:tentative="0">
      <w:start w:val="1"/>
      <w:numFmt w:val="lowerRoman"/>
      <w:lvlText w:val="%3."/>
      <w:lvlJc w:val="right"/>
      <w:pPr>
        <w:ind w:left="-4409" w:hanging="420"/>
      </w:pPr>
    </w:lvl>
    <w:lvl w:ilvl="3" w:tentative="0">
      <w:start w:val="1"/>
      <w:numFmt w:val="decimal"/>
      <w:lvlText w:val="%4."/>
      <w:lvlJc w:val="left"/>
      <w:pPr>
        <w:ind w:left="-3989" w:hanging="420"/>
      </w:pPr>
    </w:lvl>
    <w:lvl w:ilvl="4" w:tentative="0">
      <w:start w:val="1"/>
      <w:numFmt w:val="lowerLetter"/>
      <w:lvlText w:val="%5)"/>
      <w:lvlJc w:val="left"/>
      <w:pPr>
        <w:ind w:left="-3569" w:hanging="420"/>
      </w:pPr>
    </w:lvl>
    <w:lvl w:ilvl="5" w:tentative="0">
      <w:start w:val="1"/>
      <w:numFmt w:val="lowerRoman"/>
      <w:lvlText w:val="%6."/>
      <w:lvlJc w:val="right"/>
      <w:pPr>
        <w:ind w:left="-3149" w:hanging="420"/>
      </w:pPr>
    </w:lvl>
    <w:lvl w:ilvl="6" w:tentative="0">
      <w:start w:val="1"/>
      <w:numFmt w:val="decimal"/>
      <w:lvlText w:val="%7."/>
      <w:lvlJc w:val="left"/>
      <w:pPr>
        <w:ind w:left="-2729" w:hanging="420"/>
      </w:pPr>
    </w:lvl>
    <w:lvl w:ilvl="7" w:tentative="0">
      <w:start w:val="1"/>
      <w:numFmt w:val="lowerLetter"/>
      <w:lvlText w:val="%8)"/>
      <w:lvlJc w:val="left"/>
      <w:pPr>
        <w:ind w:left="-2309" w:hanging="420"/>
      </w:pPr>
    </w:lvl>
    <w:lvl w:ilvl="8" w:tentative="0">
      <w:start w:val="1"/>
      <w:numFmt w:val="lowerRoman"/>
      <w:lvlText w:val="%9."/>
      <w:lvlJc w:val="right"/>
      <w:pPr>
        <w:ind w:left="-1889" w:hanging="420"/>
      </w:pPr>
    </w:lvl>
  </w:abstractNum>
  <w:abstractNum w:abstractNumId="6">
    <w:nsid w:val="00000006"/>
    <w:multiLevelType w:val="multilevel"/>
    <w:tmpl w:val="00000006"/>
    <w:lvl w:ilvl="0" w:tentative="0">
      <w:start w:val="1"/>
      <w:numFmt w:val="japaneseCounting"/>
      <w:lvlText w:val="第%1条"/>
      <w:lvlJc w:val="left"/>
      <w:pPr>
        <w:ind w:left="1680"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24C1"/>
    <w:rsid w:val="00617215"/>
    <w:rsid w:val="00E37089"/>
    <w:rsid w:val="01957768"/>
    <w:rsid w:val="01D24F80"/>
    <w:rsid w:val="02434B86"/>
    <w:rsid w:val="024E73C1"/>
    <w:rsid w:val="03D52A9A"/>
    <w:rsid w:val="04761371"/>
    <w:rsid w:val="050D2A9B"/>
    <w:rsid w:val="06853381"/>
    <w:rsid w:val="069F3BC7"/>
    <w:rsid w:val="077A3CEC"/>
    <w:rsid w:val="07C13E90"/>
    <w:rsid w:val="08645EBC"/>
    <w:rsid w:val="0924663A"/>
    <w:rsid w:val="09542787"/>
    <w:rsid w:val="0A6058C3"/>
    <w:rsid w:val="0AA259E1"/>
    <w:rsid w:val="0AB45767"/>
    <w:rsid w:val="0AF7375C"/>
    <w:rsid w:val="0C4245EB"/>
    <w:rsid w:val="0C956608"/>
    <w:rsid w:val="0D0835AE"/>
    <w:rsid w:val="0D843503"/>
    <w:rsid w:val="0DE545B5"/>
    <w:rsid w:val="0F726F14"/>
    <w:rsid w:val="0FD443E2"/>
    <w:rsid w:val="101D3DDA"/>
    <w:rsid w:val="10244EF8"/>
    <w:rsid w:val="113867AA"/>
    <w:rsid w:val="11895257"/>
    <w:rsid w:val="12173461"/>
    <w:rsid w:val="125E5EE4"/>
    <w:rsid w:val="135845E7"/>
    <w:rsid w:val="13A022EF"/>
    <w:rsid w:val="14122D8F"/>
    <w:rsid w:val="151E03AD"/>
    <w:rsid w:val="154838AB"/>
    <w:rsid w:val="154A73F4"/>
    <w:rsid w:val="157D02DA"/>
    <w:rsid w:val="174054EB"/>
    <w:rsid w:val="1A530AF8"/>
    <w:rsid w:val="1A783ED9"/>
    <w:rsid w:val="1AA21AC2"/>
    <w:rsid w:val="1D1915F0"/>
    <w:rsid w:val="1DC95998"/>
    <w:rsid w:val="1ECC79FE"/>
    <w:rsid w:val="1F29007A"/>
    <w:rsid w:val="1F462AD8"/>
    <w:rsid w:val="20E26732"/>
    <w:rsid w:val="22121167"/>
    <w:rsid w:val="226E7001"/>
    <w:rsid w:val="22810E2B"/>
    <w:rsid w:val="23901752"/>
    <w:rsid w:val="23E940BE"/>
    <w:rsid w:val="244F2331"/>
    <w:rsid w:val="270C275B"/>
    <w:rsid w:val="282F658A"/>
    <w:rsid w:val="28885E11"/>
    <w:rsid w:val="28A32C4B"/>
    <w:rsid w:val="28C50F38"/>
    <w:rsid w:val="2976210D"/>
    <w:rsid w:val="2B313DF8"/>
    <w:rsid w:val="2C704150"/>
    <w:rsid w:val="2C8C7D99"/>
    <w:rsid w:val="2CBA0563"/>
    <w:rsid w:val="2E20774A"/>
    <w:rsid w:val="2EE74AB9"/>
    <w:rsid w:val="2F35422F"/>
    <w:rsid w:val="2F363510"/>
    <w:rsid w:val="2F9B28CE"/>
    <w:rsid w:val="303135DC"/>
    <w:rsid w:val="304A241A"/>
    <w:rsid w:val="306376E1"/>
    <w:rsid w:val="30DB6CFA"/>
    <w:rsid w:val="31194184"/>
    <w:rsid w:val="325A6453"/>
    <w:rsid w:val="3279456F"/>
    <w:rsid w:val="32902A66"/>
    <w:rsid w:val="335B16C6"/>
    <w:rsid w:val="33FF742B"/>
    <w:rsid w:val="36932D82"/>
    <w:rsid w:val="37F46DB5"/>
    <w:rsid w:val="38334F91"/>
    <w:rsid w:val="386E4C11"/>
    <w:rsid w:val="399D3E6D"/>
    <w:rsid w:val="39C641F9"/>
    <w:rsid w:val="3AAC208A"/>
    <w:rsid w:val="3BE260FD"/>
    <w:rsid w:val="3C1D571D"/>
    <w:rsid w:val="3CED3144"/>
    <w:rsid w:val="409603A3"/>
    <w:rsid w:val="41D028AB"/>
    <w:rsid w:val="42436E2A"/>
    <w:rsid w:val="436F24C7"/>
    <w:rsid w:val="437C436D"/>
    <w:rsid w:val="44114AB5"/>
    <w:rsid w:val="446D6D8C"/>
    <w:rsid w:val="446F4402"/>
    <w:rsid w:val="45230C4C"/>
    <w:rsid w:val="459C2AA4"/>
    <w:rsid w:val="489A619F"/>
    <w:rsid w:val="499C69CB"/>
    <w:rsid w:val="49F22E5E"/>
    <w:rsid w:val="4ACA7F9D"/>
    <w:rsid w:val="4BC62629"/>
    <w:rsid w:val="4BEB0653"/>
    <w:rsid w:val="4C0A0767"/>
    <w:rsid w:val="4C995F8F"/>
    <w:rsid w:val="4DA70238"/>
    <w:rsid w:val="4DD25C53"/>
    <w:rsid w:val="4DD94895"/>
    <w:rsid w:val="4E1C0504"/>
    <w:rsid w:val="4E7C16C5"/>
    <w:rsid w:val="50333CCD"/>
    <w:rsid w:val="506D5769"/>
    <w:rsid w:val="519A7F79"/>
    <w:rsid w:val="5256365E"/>
    <w:rsid w:val="52684B86"/>
    <w:rsid w:val="5295278C"/>
    <w:rsid w:val="53651503"/>
    <w:rsid w:val="555A7225"/>
    <w:rsid w:val="55717AA9"/>
    <w:rsid w:val="56370D8F"/>
    <w:rsid w:val="565344AE"/>
    <w:rsid w:val="56736EE7"/>
    <w:rsid w:val="56767894"/>
    <w:rsid w:val="56BF65F2"/>
    <w:rsid w:val="584D7EB1"/>
    <w:rsid w:val="58592B35"/>
    <w:rsid w:val="59611F42"/>
    <w:rsid w:val="5A2473C4"/>
    <w:rsid w:val="5AAA1CF3"/>
    <w:rsid w:val="5BF12750"/>
    <w:rsid w:val="5D266BF9"/>
    <w:rsid w:val="5D577585"/>
    <w:rsid w:val="5E397732"/>
    <w:rsid w:val="5E7A3ADD"/>
    <w:rsid w:val="5E853ADD"/>
    <w:rsid w:val="5F88222C"/>
    <w:rsid w:val="60B46CF3"/>
    <w:rsid w:val="61970898"/>
    <w:rsid w:val="61ED04B8"/>
    <w:rsid w:val="621E484C"/>
    <w:rsid w:val="62A55FEA"/>
    <w:rsid w:val="62B64D4D"/>
    <w:rsid w:val="63EE6769"/>
    <w:rsid w:val="65030F77"/>
    <w:rsid w:val="654D6268"/>
    <w:rsid w:val="65754D61"/>
    <w:rsid w:val="65915823"/>
    <w:rsid w:val="65EA5870"/>
    <w:rsid w:val="666F3B91"/>
    <w:rsid w:val="669E4476"/>
    <w:rsid w:val="6B2D5DC9"/>
    <w:rsid w:val="6B680C17"/>
    <w:rsid w:val="6C6A28AC"/>
    <w:rsid w:val="6CDB2B72"/>
    <w:rsid w:val="6D01279B"/>
    <w:rsid w:val="6E796616"/>
    <w:rsid w:val="6F18535B"/>
    <w:rsid w:val="6FA11A2E"/>
    <w:rsid w:val="71143512"/>
    <w:rsid w:val="71527195"/>
    <w:rsid w:val="715E3FB9"/>
    <w:rsid w:val="722263D0"/>
    <w:rsid w:val="72275320"/>
    <w:rsid w:val="724759C2"/>
    <w:rsid w:val="74981AF2"/>
    <w:rsid w:val="74E7348C"/>
    <w:rsid w:val="75131B6E"/>
    <w:rsid w:val="7AC727C3"/>
    <w:rsid w:val="7BA52279"/>
    <w:rsid w:val="7CC222C0"/>
    <w:rsid w:val="7D767932"/>
    <w:rsid w:val="7EAB7893"/>
    <w:rsid w:val="7EC9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30"/>
      <w:ind w:left="83" w:right="323"/>
      <w:jc w:val="center"/>
      <w:outlineLvl w:val="0"/>
    </w:pPr>
    <w:rPr>
      <w:b/>
      <w:bCs/>
      <w:sz w:val="32"/>
      <w:szCs w:val="32"/>
    </w:rPr>
  </w:style>
  <w:style w:type="paragraph" w:styleId="2">
    <w:name w:val="heading 2"/>
    <w:basedOn w:val="1"/>
    <w:next w:val="1"/>
    <w:qFormat/>
    <w:uiPriority w:val="1"/>
    <w:pPr>
      <w:ind w:left="120"/>
      <w:outlineLvl w:val="1"/>
    </w:pPr>
    <w:rPr>
      <w:sz w:val="32"/>
      <w:szCs w:val="32"/>
    </w:rPr>
  </w:style>
  <w:style w:type="paragraph" w:styleId="4">
    <w:name w:val="heading 3"/>
    <w:basedOn w:val="1"/>
    <w:next w:val="1"/>
    <w:qFormat/>
    <w:uiPriority w:val="1"/>
    <w:pPr>
      <w:ind w:left="120"/>
      <w:outlineLvl w:val="2"/>
    </w:pPr>
    <w:rPr>
      <w:b/>
      <w:bCs/>
      <w:sz w:val="28"/>
      <w:szCs w:val="28"/>
    </w:rPr>
  </w:style>
  <w:style w:type="paragraph" w:styleId="5">
    <w:name w:val="heading 4"/>
    <w:basedOn w:val="1"/>
    <w:next w:val="1"/>
    <w:qFormat/>
    <w:uiPriority w:val="1"/>
    <w:pPr>
      <w:ind w:left="120"/>
      <w:outlineLvl w:val="3"/>
    </w:pPr>
    <w:rPr>
      <w:b/>
      <w:bCs/>
      <w:sz w:val="24"/>
      <w:szCs w:val="24"/>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color w:val="000000"/>
      <w:szCs w:val="21"/>
    </w:rPr>
  </w:style>
  <w:style w:type="paragraph" w:styleId="7">
    <w:name w:val="annotation text"/>
    <w:basedOn w:val="1"/>
    <w:link w:val="27"/>
    <w:qFormat/>
    <w:uiPriority w:val="0"/>
    <w:pPr>
      <w:autoSpaceDE/>
      <w:autoSpaceDN/>
    </w:pPr>
    <w:rPr>
      <w:rFonts w:ascii="Times New Roman" w:hAnsi="Times New Roman" w:cs="Times New Roman"/>
      <w:kern w:val="2"/>
      <w:sz w:val="21"/>
      <w:szCs w:val="24"/>
      <w:lang w:eastAsia="zh-CN"/>
    </w:rPr>
  </w:style>
  <w:style w:type="paragraph" w:styleId="8">
    <w:name w:val="Body Text"/>
    <w:basedOn w:val="1"/>
    <w:next w:val="1"/>
    <w:link w:val="29"/>
    <w:qFormat/>
    <w:uiPriority w:val="1"/>
    <w:pPr>
      <w:ind w:left="120" w:firstLine="480"/>
    </w:pPr>
    <w:rPr>
      <w:sz w:val="24"/>
      <w:szCs w:val="24"/>
    </w:rPr>
  </w:style>
  <w:style w:type="paragraph" w:styleId="9">
    <w:name w:val="Body Text Indent"/>
    <w:basedOn w:val="1"/>
    <w:qFormat/>
    <w:uiPriority w:val="99"/>
    <w:pPr>
      <w:spacing w:after="120"/>
      <w:ind w:left="420" w:leftChars="200"/>
    </w:pPr>
  </w:style>
  <w:style w:type="paragraph" w:styleId="10">
    <w:name w:val="Plain Text"/>
    <w:basedOn w:val="1"/>
    <w:next w:val="1"/>
    <w:qFormat/>
    <w:uiPriority w:val="0"/>
    <w:rPr>
      <w:rFonts w:hAnsi="Courier New"/>
    </w:rPr>
  </w:style>
  <w:style w:type="paragraph" w:styleId="11">
    <w:name w:val="Balloon Text"/>
    <w:basedOn w:val="1"/>
    <w:link w:val="26"/>
    <w:qFormat/>
    <w:uiPriority w:val="99"/>
    <w:rPr>
      <w:sz w:val="18"/>
      <w:szCs w:val="18"/>
    </w:rPr>
  </w:style>
  <w:style w:type="paragraph" w:styleId="12">
    <w:name w:val="footer"/>
    <w:basedOn w:val="1"/>
    <w:link w:val="32"/>
    <w:qFormat/>
    <w:uiPriority w:val="99"/>
    <w:pPr>
      <w:tabs>
        <w:tab w:val="center" w:pos="4153"/>
        <w:tab w:val="right" w:pos="8306"/>
      </w:tabs>
      <w:snapToGrid w:val="0"/>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360"/>
      <w:ind w:right="248"/>
      <w:jc w:val="center"/>
    </w:pPr>
    <w:rPr>
      <w:b/>
      <w:bCs/>
      <w:sz w:val="30"/>
      <w:szCs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pPr>
    <w:rPr>
      <w:sz w:val="24"/>
    </w:rPr>
  </w:style>
  <w:style w:type="paragraph" w:styleId="17">
    <w:name w:val="annotation subject"/>
    <w:basedOn w:val="7"/>
    <w:next w:val="7"/>
    <w:link w:val="28"/>
    <w:qFormat/>
    <w:uiPriority w:val="99"/>
    <w:pPr>
      <w:autoSpaceDE w:val="0"/>
      <w:autoSpaceDN w:val="0"/>
    </w:pPr>
    <w:rPr>
      <w:rFonts w:ascii="宋体" w:hAnsi="宋体" w:cs="宋体"/>
      <w:b/>
      <w:bCs/>
      <w:kern w:val="0"/>
      <w:sz w:val="22"/>
      <w:szCs w:val="22"/>
      <w:lang w:eastAsia="en-US"/>
    </w:rPr>
  </w:style>
  <w:style w:type="paragraph" w:styleId="18">
    <w:name w:val="Body Text First Indent"/>
    <w:basedOn w:val="8"/>
    <w:link w:val="30"/>
    <w:qFormat/>
    <w:uiPriority w:val="99"/>
    <w:pPr>
      <w:spacing w:after="120"/>
      <w:ind w:left="0" w:firstLine="420" w:firstLineChars="100"/>
    </w:pPr>
    <w:rPr>
      <w:sz w:val="22"/>
      <w:szCs w:val="22"/>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qFormat/>
    <w:uiPriority w:val="0"/>
    <w:rPr>
      <w:sz w:val="21"/>
      <w:szCs w:val="21"/>
    </w:rPr>
  </w:style>
  <w:style w:type="table" w:customStyle="1" w:styleId="23">
    <w:name w:val="Table Normal"/>
    <w:qFormat/>
    <w:uiPriority w:val="2"/>
    <w:tblPr>
      <w:tblCellMar>
        <w:top w:w="0" w:type="dxa"/>
        <w:left w:w="0" w:type="dxa"/>
        <w:bottom w:w="0" w:type="dxa"/>
        <w:right w:w="0" w:type="dxa"/>
      </w:tblCellMar>
    </w:tblPr>
  </w:style>
  <w:style w:type="paragraph" w:styleId="24">
    <w:name w:val="List Paragraph"/>
    <w:basedOn w:val="1"/>
    <w:qFormat/>
    <w:uiPriority w:val="1"/>
    <w:pPr>
      <w:spacing w:before="160"/>
      <w:ind w:left="120" w:firstLine="480"/>
    </w:pPr>
  </w:style>
  <w:style w:type="paragraph" w:customStyle="1" w:styleId="25">
    <w:name w:val="Table Paragraph"/>
    <w:basedOn w:val="1"/>
    <w:qFormat/>
    <w:uiPriority w:val="1"/>
    <w:pPr>
      <w:jc w:val="center"/>
    </w:pPr>
  </w:style>
  <w:style w:type="character" w:customStyle="1" w:styleId="26">
    <w:name w:val="批注框文本 字符"/>
    <w:basedOn w:val="21"/>
    <w:link w:val="11"/>
    <w:qFormat/>
    <w:uiPriority w:val="99"/>
    <w:rPr>
      <w:rFonts w:ascii="宋体" w:hAnsi="宋体" w:eastAsia="宋体" w:cs="宋体"/>
      <w:sz w:val="18"/>
      <w:szCs w:val="18"/>
    </w:rPr>
  </w:style>
  <w:style w:type="character" w:customStyle="1" w:styleId="27">
    <w:name w:val="批注文字 字符"/>
    <w:basedOn w:val="21"/>
    <w:link w:val="7"/>
    <w:qFormat/>
    <w:uiPriority w:val="0"/>
    <w:rPr>
      <w:rFonts w:ascii="Times New Roman" w:hAnsi="Times New Roman" w:eastAsia="宋体" w:cs="Times New Roman"/>
      <w:kern w:val="2"/>
      <w:sz w:val="21"/>
      <w:szCs w:val="24"/>
      <w:lang w:eastAsia="zh-CN"/>
    </w:rPr>
  </w:style>
  <w:style w:type="character" w:customStyle="1" w:styleId="28">
    <w:name w:val="批注主题 字符"/>
    <w:basedOn w:val="27"/>
    <w:link w:val="17"/>
    <w:qFormat/>
    <w:uiPriority w:val="99"/>
    <w:rPr>
      <w:rFonts w:ascii="宋体" w:hAnsi="宋体" w:eastAsia="宋体" w:cs="宋体"/>
      <w:b/>
      <w:bCs/>
      <w:kern w:val="2"/>
      <w:sz w:val="21"/>
      <w:szCs w:val="24"/>
      <w:lang w:eastAsia="zh-CN"/>
    </w:rPr>
  </w:style>
  <w:style w:type="character" w:customStyle="1" w:styleId="29">
    <w:name w:val="正文文本 字符"/>
    <w:basedOn w:val="21"/>
    <w:link w:val="8"/>
    <w:qFormat/>
    <w:uiPriority w:val="1"/>
    <w:rPr>
      <w:rFonts w:ascii="宋体" w:hAnsi="宋体" w:eastAsia="宋体" w:cs="宋体"/>
      <w:sz w:val="24"/>
      <w:szCs w:val="24"/>
    </w:rPr>
  </w:style>
  <w:style w:type="character" w:customStyle="1" w:styleId="30">
    <w:name w:val="正文文本首行缩进 字符"/>
    <w:basedOn w:val="29"/>
    <w:link w:val="18"/>
    <w:qFormat/>
    <w:uiPriority w:val="99"/>
    <w:rPr>
      <w:rFonts w:ascii="宋体" w:hAnsi="宋体" w:eastAsia="宋体" w:cs="宋体"/>
      <w:sz w:val="24"/>
      <w:szCs w:val="24"/>
    </w:rPr>
  </w:style>
  <w:style w:type="character" w:customStyle="1" w:styleId="31">
    <w:name w:val="页眉 字符"/>
    <w:basedOn w:val="21"/>
    <w:link w:val="13"/>
    <w:qFormat/>
    <w:uiPriority w:val="99"/>
    <w:rPr>
      <w:rFonts w:ascii="宋体" w:hAnsi="宋体" w:eastAsia="宋体" w:cs="宋体"/>
      <w:sz w:val="18"/>
      <w:szCs w:val="18"/>
    </w:rPr>
  </w:style>
  <w:style w:type="character" w:customStyle="1" w:styleId="32">
    <w:name w:val="页脚 字符"/>
    <w:basedOn w:val="21"/>
    <w:link w:val="12"/>
    <w:qFormat/>
    <w:uiPriority w:val="99"/>
    <w:rPr>
      <w:rFonts w:ascii="宋体" w:hAnsi="宋体" w:eastAsia="宋体" w:cs="宋体"/>
      <w:sz w:val="18"/>
      <w:szCs w:val="18"/>
    </w:rPr>
  </w:style>
  <w:style w:type="paragraph" w:customStyle="1" w:styleId="33">
    <w:name w:val="样式 宋体 行距: 1.5 倍行距"/>
    <w:basedOn w:val="1"/>
    <w:qFormat/>
    <w:uiPriority w:val="99"/>
    <w:pPr>
      <w:jc w:val="center"/>
    </w:pPr>
    <w:rPr>
      <w:b/>
      <w:bCs/>
    </w:rPr>
  </w:style>
  <w:style w:type="paragraph" w:customStyle="1" w:styleId="34">
    <w:name w:val="正文 New New New New New"/>
    <w:qFormat/>
    <w:uiPriority w:val="0"/>
    <w:pPr>
      <w:widowControl w:val="0"/>
      <w:jc w:val="both"/>
    </w:pPr>
    <w:rPr>
      <w:rFonts w:ascii="黑体" w:hAnsi="黑体" w:eastAsia="宋体" w:cs="Times New Roman"/>
      <w:kern w:val="2"/>
      <w:sz w:val="21"/>
      <w:szCs w:val="24"/>
      <w:lang w:val="en-US" w:eastAsia="zh-CN" w:bidi="ar-SA"/>
    </w:rPr>
  </w:style>
  <w:style w:type="paragraph" w:customStyle="1" w:styleId="35">
    <w:name w:val="Revision_dba969db-77ed-4e07-a7af-fa68da6d672f"/>
    <w:qFormat/>
    <w:uiPriority w:val="99"/>
    <w:rPr>
      <w:rFonts w:ascii="宋体" w:hAnsi="宋体" w:eastAsia="宋体" w:cs="宋体"/>
      <w:sz w:val="22"/>
      <w:szCs w:val="22"/>
      <w:lang w:val="en-US" w:eastAsia="en-US" w:bidi="ar-SA"/>
    </w:rPr>
  </w:style>
  <w:style w:type="character" w:customStyle="1" w:styleId="36">
    <w:name w:val="AnnotationReferenc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2BDB0-9BD7-4A49-8828-7E1C73E7E4BE}">
  <ds:schemaRefs/>
</ds:datastoreItem>
</file>

<file path=customXml/itemProps3.xml><?xml version="1.0" encoding="utf-8"?>
<ds:datastoreItem xmlns:ds="http://schemas.openxmlformats.org/officeDocument/2006/customXml" ds:itemID="{dd025d90-7c7c-4e56-a67f-a726c6af7f9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39</Pages>
  <Words>14813</Words>
  <Characters>15160</Characters>
  <Paragraphs>570</Paragraphs>
  <TotalTime>0</TotalTime>
  <ScaleCrop>false</ScaleCrop>
  <LinksUpToDate>false</LinksUpToDate>
  <CharactersWithSpaces>16389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HYQ 1124</cp:lastModifiedBy>
  <cp:revision>13</cp:revision>
  <cp:lastPrinted>2025-07-31T08:38:00Z</cp:lastPrinted>
  <dcterms:created xsi:type="dcterms:W3CDTF">2022-05-16T04:07:00Z</dcterms:created>
  <dcterms:modified xsi:type="dcterms:W3CDTF">2025-11-28T01:26:24Z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WPS 文字</vt:lpwstr>
  </property>
  <property fmtid="{D5CDD505-2E9C-101B-9397-08002B2CF9AE}" pid="4" name="LastSaved">
    <vt:filetime>2022-05-06T00:00:00Z</vt:filetime>
  </property>
  <property fmtid="{D5CDD505-2E9C-101B-9397-08002B2CF9AE}" pid="5" name="KSOProductBuildVer">
    <vt:lpwstr>2052-12.1.0.23542</vt:lpwstr>
  </property>
  <property fmtid="{D5CDD505-2E9C-101B-9397-08002B2CF9AE}" pid="6" name="ICV">
    <vt:lpwstr>AB94D3EEAA224315A0F49E159C21F741_13</vt:lpwstr>
  </property>
  <property fmtid="{D5CDD505-2E9C-101B-9397-08002B2CF9AE}" pid="7" name="KSOTemplateDocerSaveRecord">
    <vt:lpwstr>eyJoZGlkIjoiODlmMDQyMmFjOGI1ZDMwZjE4NjcxMTFhYjMxMjdhMWMiLCJ1c2VySWQiOiI0MDgzNDc5OTYifQ==</vt:lpwstr>
  </property>
</Properties>
</file>